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23A4A0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ADEEB97" w14:textId="77777777" w:rsidR="00F35BAF" w:rsidRPr="00DB58B5" w:rsidRDefault="00F35BAF" w:rsidP="00D76BF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500E04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DA947F4" w14:textId="268A9F2F" w:rsidR="00F35BAF" w:rsidRPr="00DB58B5" w:rsidRDefault="00D76BFE" w:rsidP="00D76BFE">
            <w:pPr>
              <w:jc w:val="right"/>
            </w:pPr>
            <w:r w:rsidRPr="00D76BFE">
              <w:rPr>
                <w:sz w:val="40"/>
              </w:rPr>
              <w:t>ECE</w:t>
            </w:r>
            <w:r>
              <w:t>/TRANS/WP.29/GRVA/2021/28</w:t>
            </w:r>
          </w:p>
        </w:tc>
      </w:tr>
      <w:tr w:rsidR="00F35BAF" w:rsidRPr="00DB58B5" w14:paraId="2A64F83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1361DE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54373AA" wp14:editId="47B90B5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26AF7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EEA08A0" w14:textId="77777777" w:rsidR="00F35BAF" w:rsidRDefault="00D76BFE" w:rsidP="00C97039">
            <w:pPr>
              <w:spacing w:before="240"/>
            </w:pPr>
            <w:r>
              <w:t>Distr. générale</w:t>
            </w:r>
          </w:p>
          <w:p w14:paraId="50906603" w14:textId="77777777" w:rsidR="00D76BFE" w:rsidRDefault="00D76BFE" w:rsidP="00D76BFE">
            <w:pPr>
              <w:spacing w:line="240" w:lineRule="exact"/>
            </w:pPr>
            <w:r>
              <w:t>12 juillet 2021</w:t>
            </w:r>
          </w:p>
          <w:p w14:paraId="635DE0C8" w14:textId="77777777" w:rsidR="00D76BFE" w:rsidRDefault="00D76BFE" w:rsidP="00D76BFE">
            <w:pPr>
              <w:spacing w:line="240" w:lineRule="exact"/>
            </w:pPr>
            <w:r>
              <w:t>Français</w:t>
            </w:r>
          </w:p>
          <w:p w14:paraId="7B27368F" w14:textId="4C0554BC" w:rsidR="00D76BFE" w:rsidRPr="00DB58B5" w:rsidRDefault="00D76BFE" w:rsidP="00D76BFE">
            <w:pPr>
              <w:spacing w:line="240" w:lineRule="exact"/>
            </w:pPr>
            <w:r>
              <w:t>Original : anglais</w:t>
            </w:r>
          </w:p>
        </w:tc>
      </w:tr>
    </w:tbl>
    <w:p w14:paraId="7E936850" w14:textId="11130DE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D48A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815BB7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F3A527D" w14:textId="2DA9CD50" w:rsidR="00D76BFE" w:rsidRDefault="00D76BFE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D48AD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B7B4B19" w14:textId="77777777" w:rsidR="00D76BFE" w:rsidRDefault="00D76BFE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</w:p>
    <w:p w14:paraId="63FCAEB5" w14:textId="70C5E1AF" w:rsidR="00D76BFE" w:rsidRDefault="00D76BFE" w:rsidP="00A3029F">
      <w:pPr>
        <w:spacing w:before="120"/>
        <w:rPr>
          <w:b/>
        </w:rPr>
      </w:pPr>
      <w:r>
        <w:rPr>
          <w:b/>
          <w:bCs/>
          <w:lang w:val="fr-FR"/>
        </w:rPr>
        <w:t>Onzième</w:t>
      </w:r>
      <w:r>
        <w:rPr>
          <w:b/>
        </w:rPr>
        <w:t xml:space="preserve"> session</w:t>
      </w:r>
    </w:p>
    <w:p w14:paraId="6FC75188" w14:textId="0B0DE874" w:rsidR="00D76BFE" w:rsidRDefault="00D76BFE" w:rsidP="00A3029F">
      <w:pPr>
        <w:spacing w:line="240" w:lineRule="exact"/>
      </w:pPr>
      <w:r>
        <w:t xml:space="preserve">Genève, </w:t>
      </w:r>
      <w:r>
        <w:rPr>
          <w:lang w:val="fr-FR"/>
        </w:rPr>
        <w:t>27 septembre-1</w:t>
      </w:r>
      <w:r>
        <w:rPr>
          <w:vertAlign w:val="superscript"/>
          <w:lang w:val="fr-FR"/>
        </w:rPr>
        <w:t>er</w:t>
      </w:r>
      <w:r>
        <w:rPr>
          <w:lang w:val="fr-FR"/>
        </w:rPr>
        <w:t xml:space="preserve"> octobre 2021</w:t>
      </w:r>
    </w:p>
    <w:p w14:paraId="4C8FD14E" w14:textId="66E3E2A1" w:rsidR="00D76BFE" w:rsidRDefault="00D76BFE" w:rsidP="00505626">
      <w:pPr>
        <w:tabs>
          <w:tab w:val="left" w:pos="3489"/>
        </w:tabs>
        <w:spacing w:line="240" w:lineRule="exact"/>
      </w:pPr>
      <w:r>
        <w:t>Point 10 de l</w:t>
      </w:r>
      <w:r w:rsidR="004D48AD">
        <w:t>’</w:t>
      </w:r>
      <w:r>
        <w:t>ordre du jour provisoire</w:t>
      </w:r>
    </w:p>
    <w:p w14:paraId="4F7A3AD8" w14:textId="04C49AA0" w:rsidR="00505626" w:rsidRPr="00505626" w:rsidRDefault="00505626" w:rsidP="00505626">
      <w:pPr>
        <w:tabs>
          <w:tab w:val="left" w:pos="3489"/>
        </w:tabs>
        <w:spacing w:line="240" w:lineRule="exact"/>
        <w:rPr>
          <w:b/>
          <w:bCs/>
        </w:rPr>
      </w:pPr>
      <w:r w:rsidRPr="00505626">
        <w:rPr>
          <w:b/>
          <w:bCs/>
        </w:rPr>
        <w:t>Règlement ONU n</w:t>
      </w:r>
      <w:r w:rsidRPr="00505626">
        <w:rPr>
          <w:b/>
          <w:bCs/>
          <w:vertAlign w:val="superscript"/>
        </w:rPr>
        <w:t>o</w:t>
      </w:r>
      <w:r>
        <w:rPr>
          <w:b/>
          <w:bCs/>
        </w:rPr>
        <w:t> </w:t>
      </w:r>
      <w:r w:rsidRPr="00505626">
        <w:rPr>
          <w:b/>
          <w:bCs/>
        </w:rPr>
        <w:t>90</w:t>
      </w:r>
    </w:p>
    <w:p w14:paraId="0AC7852A" w14:textId="46DAE584" w:rsidR="00D76BFE" w:rsidRPr="00AA4D1E" w:rsidRDefault="00D76BFE" w:rsidP="00D76BFE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</w:t>
      </w:r>
      <w:r w:rsidR="004D48AD"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90 (Pièces</w:t>
      </w:r>
      <w:r w:rsidR="00505626">
        <w:rPr>
          <w:lang w:val="fr-FR"/>
        </w:rPr>
        <w:t> </w:t>
      </w:r>
      <w:r>
        <w:rPr>
          <w:lang w:val="fr-FR"/>
        </w:rPr>
        <w:t>de rechange pour systèmes de freinage)</w:t>
      </w:r>
    </w:p>
    <w:p w14:paraId="234C4133" w14:textId="1F2E9309" w:rsidR="00D76BFE" w:rsidRPr="00AA4D1E" w:rsidRDefault="00D76BFE" w:rsidP="00D76BFE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4D48AD">
        <w:rPr>
          <w:lang w:val="fr-FR"/>
        </w:rPr>
        <w:t>’</w:t>
      </w:r>
      <w:r>
        <w:rPr>
          <w:lang w:val="fr-FR"/>
        </w:rPr>
        <w:t>expert de l</w:t>
      </w:r>
      <w:r w:rsidR="004D48AD">
        <w:rPr>
          <w:lang w:val="fr-FR"/>
        </w:rPr>
        <w:t>’</w:t>
      </w:r>
      <w:r>
        <w:rPr>
          <w:lang w:val="fr-FR"/>
        </w:rPr>
        <w:t>Italie</w:t>
      </w:r>
      <w:r w:rsidRPr="00D76BF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8B4A3DF" w14:textId="18F2B181" w:rsidR="00F9573C" w:rsidRDefault="00D76BFE" w:rsidP="00D76BFE">
      <w:pPr>
        <w:pStyle w:val="SingleTxtG"/>
        <w:ind w:firstLine="567"/>
        <w:rPr>
          <w:lang w:val="fr-FR"/>
        </w:rPr>
      </w:pPr>
      <w:r>
        <w:rPr>
          <w:lang w:val="fr-FR"/>
        </w:rPr>
        <w:t>La présente proposition, établie par l</w:t>
      </w:r>
      <w:r w:rsidR="004D48AD">
        <w:rPr>
          <w:lang w:val="fr-FR"/>
        </w:rPr>
        <w:t>’</w:t>
      </w:r>
      <w:r>
        <w:rPr>
          <w:lang w:val="fr-FR"/>
        </w:rPr>
        <w:t>expert de l</w:t>
      </w:r>
      <w:r w:rsidR="004D48AD">
        <w:rPr>
          <w:lang w:val="fr-FR"/>
        </w:rPr>
        <w:t>’</w:t>
      </w:r>
      <w:r>
        <w:rPr>
          <w:lang w:val="fr-FR"/>
        </w:rPr>
        <w:t>Italie, est soumise au Groupe de travail des véhicules automatisés/autonomes et connectés (GRVA) pour examen à sa onzième session, qui se tiendra en septembre 2021. Les modifications qu</w:t>
      </w:r>
      <w:r w:rsidR="004D48AD">
        <w:rPr>
          <w:lang w:val="fr-FR"/>
        </w:rPr>
        <w:t>’</w:t>
      </w:r>
      <w:r>
        <w:rPr>
          <w:lang w:val="fr-FR"/>
        </w:rPr>
        <w:t>il est proposé d</w:t>
      </w:r>
      <w:r w:rsidR="004D48AD">
        <w:rPr>
          <w:lang w:val="fr-FR"/>
        </w:rPr>
        <w:t>’</w:t>
      </w:r>
      <w:r>
        <w:rPr>
          <w:lang w:val="fr-FR"/>
        </w:rPr>
        <w:t>apporter au texte actuel du Règlement figurent en caractères gras pour les ajouts et biffés pour les suppressions.</w:t>
      </w:r>
    </w:p>
    <w:p w14:paraId="668C6749" w14:textId="1C42BEE4" w:rsidR="00D76BFE" w:rsidRDefault="00D76BFE" w:rsidP="00D76BFE">
      <w:pPr>
        <w:rPr>
          <w:lang w:val="fr-FR"/>
        </w:rPr>
      </w:pPr>
      <w:r>
        <w:rPr>
          <w:lang w:val="fr-FR"/>
        </w:rPr>
        <w:br w:type="page"/>
      </w:r>
    </w:p>
    <w:p w14:paraId="0068FE89" w14:textId="77777777" w:rsidR="00D76BFE" w:rsidRPr="00AA4D1E" w:rsidRDefault="00D76BFE" w:rsidP="00D76BFE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56F9910E" w14:textId="77777777" w:rsidR="00D76BFE" w:rsidRPr="00AA4D1E" w:rsidRDefault="00D76BFE" w:rsidP="00D76BFE">
      <w:pPr>
        <w:pStyle w:val="SingleTxtG"/>
        <w:rPr>
          <w:lang w:val="fr-FR"/>
        </w:rPr>
      </w:pPr>
      <w:r w:rsidRPr="00D76BFE">
        <w:rPr>
          <w:i/>
          <w:iCs/>
          <w:lang w:val="fr-FR"/>
        </w:rPr>
        <w:t>Annexe 14</w:t>
      </w:r>
      <w:r>
        <w:rPr>
          <w:lang w:val="fr-FR"/>
        </w:rPr>
        <w:t>,</w:t>
      </w:r>
    </w:p>
    <w:p w14:paraId="47A1F277" w14:textId="352C7C4D" w:rsidR="00D76BFE" w:rsidRDefault="00D76BFE" w:rsidP="00D76BFE">
      <w:pPr>
        <w:pStyle w:val="SingleTxtG"/>
        <w:rPr>
          <w:lang w:val="fr-FR"/>
        </w:rPr>
      </w:pPr>
      <w:r>
        <w:rPr>
          <w:i/>
          <w:iCs/>
          <w:lang w:val="fr-FR"/>
        </w:rPr>
        <w:t>Tableau A14/2.2.5,</w:t>
      </w:r>
      <w:r>
        <w:rPr>
          <w:lang w:val="fr-FR"/>
        </w:rPr>
        <w:t xml:space="preserve"> lire :</w:t>
      </w:r>
    </w:p>
    <w:p w14:paraId="06A95C09" w14:textId="58943522" w:rsidR="00D76BFE" w:rsidRDefault="00D76BFE" w:rsidP="00D76BFE">
      <w:pPr>
        <w:pStyle w:val="SingleTxtG"/>
        <w:rPr>
          <w:lang w:val="fr-FR"/>
        </w:rPr>
      </w:pPr>
      <w:r>
        <w:rPr>
          <w:lang w:val="fr-FR"/>
        </w:rPr>
        <w:t>« 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867"/>
      </w:tblGrid>
      <w:tr w:rsidR="00D76BFE" w:rsidRPr="00175D55" w14:paraId="2113F4F3" w14:textId="77777777" w:rsidTr="00B0339D"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8AA66" w14:textId="5BBA175E" w:rsidR="00D76BFE" w:rsidRPr="0042663D" w:rsidRDefault="00D76BFE" w:rsidP="0055558F">
            <w:pPr>
              <w:spacing w:before="80" w:after="80"/>
              <w:rPr>
                <w:i/>
                <w:sz w:val="16"/>
                <w:szCs w:val="16"/>
              </w:rPr>
            </w:pPr>
            <w:r w:rsidRPr="0042663D">
              <w:rPr>
                <w:sz w:val="16"/>
                <w:szCs w:val="16"/>
                <w:lang w:val="fr-FR"/>
              </w:rPr>
              <w:t>Diamètre du disque</w:t>
            </w:r>
            <w:r w:rsidR="0055558F">
              <w:rPr>
                <w:sz w:val="16"/>
                <w:szCs w:val="16"/>
                <w:lang w:val="fr-FR"/>
              </w:rPr>
              <w:br/>
            </w:r>
            <w:r w:rsidRPr="0042663D">
              <w:rPr>
                <w:i/>
                <w:iCs/>
                <w:sz w:val="16"/>
                <w:szCs w:val="16"/>
                <w:lang w:val="fr-FR"/>
              </w:rPr>
              <w:t>[mm]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032B" w14:textId="77C12732" w:rsidR="00D76BFE" w:rsidRPr="0042663D" w:rsidRDefault="00D76BFE" w:rsidP="0055558F">
            <w:pPr>
              <w:spacing w:before="80" w:after="80"/>
              <w:rPr>
                <w:i/>
                <w:sz w:val="16"/>
                <w:szCs w:val="16"/>
              </w:rPr>
            </w:pPr>
            <w:r w:rsidRPr="0042663D">
              <w:rPr>
                <w:i/>
                <w:iCs/>
                <w:sz w:val="16"/>
                <w:szCs w:val="16"/>
                <w:lang w:val="fr-FR"/>
              </w:rPr>
              <w:t>Épaisseur du disque</w:t>
            </w:r>
            <w:r w:rsidR="0055558F">
              <w:rPr>
                <w:i/>
                <w:iCs/>
                <w:sz w:val="16"/>
                <w:szCs w:val="16"/>
                <w:lang w:val="fr-FR"/>
              </w:rPr>
              <w:br/>
            </w:r>
            <w:r w:rsidRPr="0042663D">
              <w:rPr>
                <w:i/>
                <w:iCs/>
                <w:sz w:val="16"/>
                <w:szCs w:val="16"/>
                <w:lang w:val="fr-FR"/>
              </w:rPr>
              <w:t>[mm]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C470" w14:textId="4550BE0B" w:rsidR="00D76BFE" w:rsidRPr="0042663D" w:rsidRDefault="00D76BFE" w:rsidP="0055558F">
            <w:pPr>
              <w:spacing w:before="80" w:after="80"/>
              <w:rPr>
                <w:i/>
                <w:sz w:val="16"/>
                <w:szCs w:val="16"/>
                <w:lang w:val="fr-FR"/>
              </w:rPr>
            </w:pPr>
            <w:r w:rsidRPr="0042663D">
              <w:rPr>
                <w:i/>
                <w:iCs/>
                <w:sz w:val="16"/>
                <w:szCs w:val="16"/>
                <w:lang w:val="fr-FR"/>
              </w:rPr>
              <w:t>Force tangentielle F</w:t>
            </w:r>
            <w:r w:rsidRPr="0042663D">
              <w:rPr>
                <w:sz w:val="16"/>
                <w:szCs w:val="16"/>
                <w:lang w:val="fr-FR"/>
              </w:rPr>
              <w:t xml:space="preserve"> </w:t>
            </w:r>
            <w:r w:rsidR="0055558F">
              <w:rPr>
                <w:sz w:val="16"/>
                <w:szCs w:val="16"/>
                <w:lang w:val="fr-FR"/>
              </w:rPr>
              <w:br/>
            </w:r>
            <w:r w:rsidRPr="0042663D">
              <w:rPr>
                <w:i/>
                <w:iCs/>
                <w:sz w:val="16"/>
                <w:szCs w:val="16"/>
                <w:lang w:val="fr-FR"/>
              </w:rPr>
              <w:t>[kN] min</w:t>
            </w:r>
          </w:p>
        </w:tc>
      </w:tr>
      <w:tr w:rsidR="00D76BFE" w:rsidRPr="00EA1A84" w14:paraId="5F98A3ED" w14:textId="77777777" w:rsidTr="00B0339D">
        <w:tc>
          <w:tcPr>
            <w:tcW w:w="1808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D649" w14:textId="77777777" w:rsidR="00D76BFE" w:rsidRPr="005E4174" w:rsidRDefault="00D76BFE" w:rsidP="00B0339D">
            <w:pPr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  <w:r w:rsidRPr="005E4174">
              <w:rPr>
                <w:b/>
                <w:bCs/>
                <w:sz w:val="18"/>
                <w:szCs w:val="18"/>
                <w:lang w:val="fr-FR"/>
              </w:rPr>
              <w:t>≥ 150 &lt; 250</w:t>
            </w:r>
          </w:p>
        </w:tc>
        <w:tc>
          <w:tcPr>
            <w:tcW w:w="180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775A" w14:textId="77777777" w:rsidR="00D76BFE" w:rsidRPr="005E4174" w:rsidRDefault="00D76BFE" w:rsidP="00B0339D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5E4174">
              <w:rPr>
                <w:sz w:val="18"/>
                <w:szCs w:val="18"/>
                <w:lang w:val="fr-FR"/>
              </w:rPr>
              <w:t>≤ 3</w:t>
            </w:r>
          </w:p>
        </w:tc>
        <w:tc>
          <w:tcPr>
            <w:tcW w:w="18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8073" w14:textId="77777777" w:rsidR="00D76BFE" w:rsidRPr="005E4174" w:rsidRDefault="00D76BFE" w:rsidP="00B0339D">
            <w:pPr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  <w:r w:rsidRPr="005E4174">
              <w:rPr>
                <w:b/>
                <w:bCs/>
                <w:sz w:val="18"/>
                <w:szCs w:val="18"/>
                <w:lang w:val="fr-FR"/>
              </w:rPr>
              <w:t>≥ 8</w:t>
            </w:r>
          </w:p>
        </w:tc>
      </w:tr>
      <w:tr w:rsidR="00D76BFE" w:rsidRPr="00EA1A84" w14:paraId="54D9B62B" w14:textId="77777777" w:rsidTr="00B0339D"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5A75E" w14:textId="77777777" w:rsidR="00D76BFE" w:rsidRPr="005E4174" w:rsidRDefault="00D76BFE" w:rsidP="00B0339D">
            <w:pPr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AD0D" w14:textId="77777777" w:rsidR="00D76BFE" w:rsidRPr="005E4174" w:rsidRDefault="00D76BFE" w:rsidP="00B0339D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5E4174">
              <w:rPr>
                <w:sz w:val="18"/>
                <w:szCs w:val="18"/>
                <w:lang w:val="fr-FR"/>
              </w:rPr>
              <w:t>&gt;3 ≤ 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6E6B" w14:textId="77777777" w:rsidR="00D76BFE" w:rsidRPr="005E4174" w:rsidRDefault="00D76BFE" w:rsidP="00B0339D">
            <w:pPr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  <w:r w:rsidRPr="005E4174">
              <w:rPr>
                <w:b/>
                <w:bCs/>
                <w:sz w:val="18"/>
                <w:szCs w:val="18"/>
                <w:lang w:val="fr-FR"/>
              </w:rPr>
              <w:t>≥ 10</w:t>
            </w:r>
          </w:p>
        </w:tc>
      </w:tr>
      <w:tr w:rsidR="00D76BFE" w:rsidRPr="00EA1A84" w14:paraId="1E7BA041" w14:textId="77777777" w:rsidTr="00B0339D"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E6B69" w14:textId="77777777" w:rsidR="00D76BFE" w:rsidRPr="005E4174" w:rsidRDefault="00D76BFE" w:rsidP="00B0339D">
            <w:pPr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622C" w14:textId="77777777" w:rsidR="00D76BFE" w:rsidRPr="005E4174" w:rsidRDefault="00D76BFE" w:rsidP="00B0339D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5E4174">
              <w:rPr>
                <w:sz w:val="18"/>
                <w:szCs w:val="18"/>
                <w:lang w:val="fr-FR"/>
              </w:rPr>
              <w:t>&gt; 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39AD" w14:textId="77777777" w:rsidR="00D76BFE" w:rsidRPr="005E4174" w:rsidRDefault="00D76BFE" w:rsidP="00B0339D">
            <w:pPr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  <w:r w:rsidRPr="005E4174">
              <w:rPr>
                <w:b/>
                <w:bCs/>
                <w:sz w:val="18"/>
                <w:szCs w:val="18"/>
                <w:lang w:val="fr-FR"/>
              </w:rPr>
              <w:t>≥ 12</w:t>
            </w:r>
          </w:p>
        </w:tc>
      </w:tr>
      <w:tr w:rsidR="00D76BFE" w:rsidRPr="00EA1A84" w14:paraId="2282A575" w14:textId="77777777" w:rsidTr="00B0339D"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FA181" w14:textId="77777777" w:rsidR="00D76BFE" w:rsidRPr="005E4174" w:rsidRDefault="00D76BFE" w:rsidP="00B0339D">
            <w:pPr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  <w:r w:rsidRPr="005E4174">
              <w:rPr>
                <w:b/>
                <w:bCs/>
                <w:sz w:val="18"/>
                <w:szCs w:val="18"/>
                <w:lang w:val="fr-FR"/>
              </w:rPr>
              <w:t>≥ 250 &lt; 350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74B4" w14:textId="77777777" w:rsidR="00D76BFE" w:rsidRPr="005E4174" w:rsidRDefault="00D76BFE" w:rsidP="00B0339D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5E4174">
              <w:rPr>
                <w:sz w:val="18"/>
                <w:szCs w:val="18"/>
                <w:lang w:val="fr-FR"/>
              </w:rPr>
              <w:t>≤ 4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08FC" w14:textId="77777777" w:rsidR="00D76BFE" w:rsidRPr="005E4174" w:rsidRDefault="00D76BFE" w:rsidP="00B0339D">
            <w:pPr>
              <w:spacing w:before="40" w:after="40"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4174">
              <w:rPr>
                <w:b/>
                <w:bCs/>
                <w:sz w:val="18"/>
                <w:szCs w:val="18"/>
                <w:lang w:val="fr-FR"/>
              </w:rPr>
              <w:t>≥ 8</w:t>
            </w:r>
          </w:p>
        </w:tc>
      </w:tr>
      <w:tr w:rsidR="00D76BFE" w:rsidRPr="00EA1A84" w14:paraId="0B561B75" w14:textId="77777777" w:rsidTr="00B0339D">
        <w:trPr>
          <w:trHeight w:val="248"/>
        </w:trPr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12414A" w14:textId="77777777" w:rsidR="00D76BFE" w:rsidRPr="005E4174" w:rsidRDefault="00D76BFE" w:rsidP="00B0339D">
            <w:pPr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67D0" w14:textId="77777777" w:rsidR="00D76BFE" w:rsidRPr="005E4174" w:rsidRDefault="00D76BFE" w:rsidP="00B0339D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5E4174">
              <w:rPr>
                <w:sz w:val="18"/>
                <w:szCs w:val="18"/>
                <w:lang w:val="fr-FR"/>
              </w:rPr>
              <w:t>&gt; 4 ≤ 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4552" w14:textId="77777777" w:rsidR="00D76BFE" w:rsidRPr="005E4174" w:rsidRDefault="00D76BFE" w:rsidP="00B0339D">
            <w:pPr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  <w:r w:rsidRPr="005E4174">
              <w:rPr>
                <w:b/>
                <w:bCs/>
                <w:sz w:val="18"/>
                <w:szCs w:val="18"/>
                <w:lang w:val="fr-FR"/>
              </w:rPr>
              <w:t>≥ 11</w:t>
            </w:r>
          </w:p>
        </w:tc>
      </w:tr>
      <w:tr w:rsidR="00D76BFE" w:rsidRPr="00EA1A84" w14:paraId="5A676CA8" w14:textId="77777777" w:rsidTr="00B0339D"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68019E" w14:textId="77777777" w:rsidR="00D76BFE" w:rsidRPr="005E4174" w:rsidRDefault="00D76BFE" w:rsidP="00B0339D">
            <w:pPr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C106" w14:textId="77777777" w:rsidR="00D76BFE" w:rsidRPr="005E4174" w:rsidRDefault="00D76BFE" w:rsidP="00B0339D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5E4174">
              <w:rPr>
                <w:sz w:val="18"/>
                <w:szCs w:val="18"/>
                <w:lang w:val="fr-FR"/>
              </w:rPr>
              <w:t xml:space="preserve">&gt; 5 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C69F" w14:textId="77777777" w:rsidR="00D76BFE" w:rsidRPr="005E4174" w:rsidRDefault="00D76BFE" w:rsidP="00B0339D">
            <w:pPr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  <w:r w:rsidRPr="005E4174">
              <w:rPr>
                <w:b/>
                <w:bCs/>
                <w:sz w:val="18"/>
                <w:szCs w:val="18"/>
                <w:lang w:val="fr-FR"/>
              </w:rPr>
              <w:t>≥ 14</w:t>
            </w:r>
          </w:p>
        </w:tc>
      </w:tr>
    </w:tbl>
    <w:p w14:paraId="1C403945" w14:textId="229DF912" w:rsidR="00D76BFE" w:rsidRPr="00D76BFE" w:rsidRDefault="00D76BFE" w:rsidP="00D76BFE">
      <w:pPr>
        <w:pStyle w:val="SingleTxtG"/>
        <w:spacing w:before="240"/>
        <w:jc w:val="right"/>
        <w:rPr>
          <w:lang w:val="fr-FR"/>
        </w:rPr>
      </w:pPr>
      <w:r w:rsidRPr="00D76BFE">
        <w:rPr>
          <w:lang w:val="fr-FR"/>
        </w:rPr>
        <w:t> »</w:t>
      </w:r>
      <w:r>
        <w:rPr>
          <w:lang w:val="fr-FR"/>
        </w:rPr>
        <w:t>.</w:t>
      </w:r>
    </w:p>
    <w:p w14:paraId="7BF82C03" w14:textId="48C72E18" w:rsidR="00D76BFE" w:rsidRPr="00FD45FB" w:rsidRDefault="00D76BFE" w:rsidP="00D76BFE">
      <w:pPr>
        <w:pStyle w:val="SingleTxtG"/>
        <w:spacing w:before="240"/>
        <w:rPr>
          <w:i/>
          <w:iCs/>
          <w:lang w:val="fr-FR"/>
        </w:rPr>
      </w:pPr>
      <w:r w:rsidRPr="005D64B4"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 w:rsidRPr="005D64B4">
        <w:rPr>
          <w:i/>
          <w:iCs/>
          <w:lang w:val="fr-FR"/>
        </w:rPr>
        <w:t>15,</w:t>
      </w:r>
    </w:p>
    <w:p w14:paraId="7ABD57C3" w14:textId="53E27DDC" w:rsidR="00D76BFE" w:rsidRPr="005D64B4" w:rsidRDefault="00D76BFE" w:rsidP="00D76BFE">
      <w:pPr>
        <w:pStyle w:val="SingleTxtG"/>
        <w:rPr>
          <w:bCs/>
        </w:rPr>
      </w:pPr>
      <w:r w:rsidRPr="005D64B4">
        <w:rPr>
          <w:i/>
          <w:iCs/>
          <w:lang w:val="fr-FR"/>
        </w:rPr>
        <w:t>Ajouter le nouveau paragraphe</w:t>
      </w:r>
      <w:r>
        <w:rPr>
          <w:i/>
          <w:iCs/>
          <w:lang w:val="fr-FR"/>
        </w:rPr>
        <w:t> </w:t>
      </w:r>
      <w:r w:rsidRPr="005D64B4">
        <w:rPr>
          <w:i/>
          <w:iCs/>
          <w:lang w:val="fr-FR"/>
        </w:rPr>
        <w:t>1.5</w:t>
      </w:r>
      <w:r w:rsidRPr="005D64B4">
        <w:rPr>
          <w:lang w:val="fr-FR"/>
        </w:rPr>
        <w:t>, libellé comme suit</w:t>
      </w:r>
      <w:r>
        <w:rPr>
          <w:lang w:val="fr-FR"/>
        </w:rPr>
        <w:t> </w:t>
      </w:r>
      <w:r w:rsidRPr="005D64B4">
        <w:rPr>
          <w:lang w:val="fr-FR"/>
        </w:rPr>
        <w:t>:</w:t>
      </w:r>
    </w:p>
    <w:p w14:paraId="4CDCCA9A" w14:textId="2600F8BE" w:rsidR="00D76BFE" w:rsidRPr="005D64B4" w:rsidRDefault="00D76BFE" w:rsidP="00D76BFE">
      <w:pPr>
        <w:pStyle w:val="SingleTxtG"/>
        <w:ind w:left="2268" w:hanging="1134"/>
        <w:rPr>
          <w:b/>
          <w:bCs/>
        </w:rPr>
      </w:pPr>
      <w:r>
        <w:rPr>
          <w:lang w:val="fr-FR"/>
        </w:rPr>
        <w:t>« </w:t>
      </w:r>
      <w:r w:rsidRPr="005D64B4">
        <w:rPr>
          <w:b/>
          <w:bCs/>
          <w:lang w:val="fr-FR"/>
        </w:rPr>
        <w:t>1.5</w:t>
      </w:r>
      <w:r w:rsidRPr="005D64B4">
        <w:rPr>
          <w:lang w:val="fr-FR"/>
        </w:rPr>
        <w:tab/>
      </w:r>
      <w:r w:rsidRPr="005D64B4">
        <w:rPr>
          <w:b/>
          <w:bCs/>
          <w:lang w:val="fr-FR"/>
        </w:rPr>
        <w:t xml:space="preserve">Définition </w:t>
      </w:r>
      <w:r>
        <w:rPr>
          <w:b/>
          <w:bCs/>
          <w:lang w:val="fr-FR"/>
        </w:rPr>
        <w:t xml:space="preserve">du terme </w:t>
      </w:r>
      <w:r w:rsidR="00BD3A4C" w:rsidRPr="005D64B4">
        <w:rPr>
          <w:b/>
          <w:bCs/>
          <w:lang w:val="fr-FR"/>
        </w:rPr>
        <w:t>“</w:t>
      </w:r>
      <w:r w:rsidRPr="005D64B4">
        <w:rPr>
          <w:b/>
          <w:bCs/>
          <w:lang w:val="fr-FR"/>
        </w:rPr>
        <w:t>face de montage du bol</w:t>
      </w:r>
      <w:r w:rsidR="00BD3A4C" w:rsidRPr="005D64B4">
        <w:rPr>
          <w:b/>
          <w:bCs/>
          <w:lang w:val="fr-FR"/>
        </w:rPr>
        <w:t>”</w:t>
      </w:r>
    </w:p>
    <w:p w14:paraId="4D554C0A" w14:textId="383E5C87" w:rsidR="00D76BFE" w:rsidRPr="005D64B4" w:rsidRDefault="00D76BFE" w:rsidP="00D76BFE">
      <w:pPr>
        <w:pStyle w:val="SingleTxtG"/>
        <w:ind w:left="2268"/>
        <w:rPr>
          <w:b/>
          <w:bCs/>
        </w:rPr>
      </w:pPr>
      <w:r w:rsidRPr="005D64B4">
        <w:rPr>
          <w:b/>
          <w:bCs/>
          <w:lang w:val="fr-FR"/>
        </w:rPr>
        <w:t>Par “</w:t>
      </w:r>
      <w:r w:rsidRPr="005D64B4">
        <w:rPr>
          <w:b/>
          <w:bCs/>
          <w:i/>
          <w:iCs/>
          <w:lang w:val="fr-FR"/>
        </w:rPr>
        <w:t>face de montage du bol</w:t>
      </w:r>
      <w:r w:rsidRPr="005D64B4">
        <w:rPr>
          <w:b/>
          <w:bCs/>
          <w:lang w:val="fr-FR"/>
        </w:rPr>
        <w:t>”, on entend l</w:t>
      </w:r>
      <w:r>
        <w:rPr>
          <w:b/>
          <w:bCs/>
          <w:lang w:val="fr-FR"/>
        </w:rPr>
        <w:t>a</w:t>
      </w:r>
      <w:r w:rsidRPr="005D64B4">
        <w:rPr>
          <w:b/>
          <w:bCs/>
          <w:lang w:val="fr-FR"/>
        </w:rPr>
        <w:t xml:space="preserve"> surface d</w:t>
      </w:r>
      <w:r w:rsidR="004D48AD">
        <w:rPr>
          <w:b/>
          <w:bCs/>
          <w:lang w:val="fr-FR"/>
        </w:rPr>
        <w:t>’</w:t>
      </w:r>
      <w:r w:rsidRPr="005D64B4">
        <w:rPr>
          <w:b/>
          <w:bCs/>
          <w:lang w:val="fr-FR"/>
        </w:rPr>
        <w:t>un disque de frein qui entre en contact avec le moyeu.</w:t>
      </w:r>
    </w:p>
    <w:p w14:paraId="5C52EA28" w14:textId="77777777" w:rsidR="00D76BFE" w:rsidRPr="005D64B4" w:rsidRDefault="00D76BFE" w:rsidP="00D76BFE">
      <w:pPr>
        <w:pStyle w:val="SingleTxtG"/>
        <w:ind w:left="2268"/>
        <w:rPr>
          <w:b/>
          <w:bCs/>
        </w:rPr>
      </w:pPr>
      <w:r w:rsidRPr="005D64B4">
        <w:rPr>
          <w:b/>
          <w:bCs/>
          <w:lang w:val="fr-FR"/>
        </w:rPr>
        <w:t>La surface de montage est calculée entre le diamètre intérieur T(i) du disque et le diamètre T(o), qui correspond au diamètre maximal de la zone soumise à des restrictions de planéité comme indiqué sur le schéma du disque (voir figure</w:t>
      </w:r>
      <w:r>
        <w:rPr>
          <w:b/>
          <w:bCs/>
          <w:lang w:val="fr-FR"/>
        </w:rPr>
        <w:t> </w:t>
      </w:r>
      <w:r w:rsidRPr="005D64B4">
        <w:rPr>
          <w:b/>
          <w:bCs/>
          <w:lang w:val="fr-FR"/>
        </w:rPr>
        <w:t>1).</w:t>
      </w:r>
    </w:p>
    <w:p w14:paraId="73EDE827" w14:textId="35AE540B" w:rsidR="00D76BFE" w:rsidRPr="005D64B4" w:rsidRDefault="00D76BFE" w:rsidP="00D76BFE">
      <w:pPr>
        <w:pStyle w:val="SingleTxtG"/>
        <w:ind w:left="2268"/>
        <w:rPr>
          <w:b/>
          <w:bCs/>
        </w:rPr>
      </w:pPr>
      <w:r w:rsidRPr="005D64B4">
        <w:rPr>
          <w:b/>
          <w:bCs/>
          <w:lang w:val="fr-FR"/>
        </w:rPr>
        <w:t>En l</w:t>
      </w:r>
      <w:r w:rsidR="004D48AD">
        <w:rPr>
          <w:b/>
          <w:bCs/>
          <w:lang w:val="fr-FR"/>
        </w:rPr>
        <w:t>’</w:t>
      </w:r>
      <w:r w:rsidRPr="005D64B4">
        <w:rPr>
          <w:b/>
          <w:bCs/>
          <w:lang w:val="fr-FR"/>
        </w:rPr>
        <w:t>absence de schéma, le diamètre T(o) est défini comme suit</w:t>
      </w:r>
      <w:r w:rsidR="00BD3A4C">
        <w:rPr>
          <w:b/>
          <w:bCs/>
          <w:lang w:val="fr-FR"/>
        </w:rPr>
        <w:t> </w:t>
      </w:r>
      <w:r w:rsidRPr="005D64B4">
        <w:rPr>
          <w:b/>
          <w:bCs/>
          <w:lang w:val="fr-FR"/>
        </w:rPr>
        <w:t>:</w:t>
      </w:r>
    </w:p>
    <w:p w14:paraId="08F02864" w14:textId="77777777" w:rsidR="00D76BFE" w:rsidRPr="005D64B4" w:rsidRDefault="00D76BFE" w:rsidP="00BD3A4C">
      <w:pPr>
        <w:pStyle w:val="SingleTxtG"/>
        <w:ind w:left="2268"/>
        <w:rPr>
          <w:b/>
          <w:bCs/>
        </w:rPr>
      </w:pPr>
      <w:r w:rsidRPr="005D64B4">
        <w:rPr>
          <w:b/>
          <w:bCs/>
          <w:lang w:val="fr-FR"/>
        </w:rPr>
        <w:t>T(o) = T(k) + B + 10</w:t>
      </w:r>
      <w:r>
        <w:rPr>
          <w:b/>
          <w:bCs/>
          <w:lang w:val="fr-FR"/>
        </w:rPr>
        <w:t> </w:t>
      </w:r>
      <w:r w:rsidRPr="005D64B4">
        <w:rPr>
          <w:b/>
          <w:bCs/>
          <w:lang w:val="fr-FR"/>
        </w:rPr>
        <w:t>mm</w:t>
      </w:r>
    </w:p>
    <w:p w14:paraId="004A4080" w14:textId="77777777" w:rsidR="00D76BFE" w:rsidRPr="00BD3A4C" w:rsidRDefault="00D76BFE" w:rsidP="00BD3A4C">
      <w:pPr>
        <w:pStyle w:val="SingleTxtG"/>
        <w:rPr>
          <w:b/>
          <w:bCs/>
        </w:rPr>
      </w:pPr>
      <w:r w:rsidRPr="00BD3A4C">
        <w:rPr>
          <w:b/>
          <w:bCs/>
          <w:lang w:val="fr-FR"/>
        </w:rPr>
        <w:t>Figure 1</w:t>
      </w:r>
    </w:p>
    <w:p w14:paraId="3B991C82" w14:textId="77777777" w:rsidR="00D76BFE" w:rsidRPr="00EA1A84" w:rsidRDefault="00D76BFE" w:rsidP="00BD3A4C">
      <w:pPr>
        <w:pStyle w:val="SingleTxtG"/>
        <w:rPr>
          <w:bCs/>
          <w:sz w:val="22"/>
          <w:szCs w:val="22"/>
          <w:lang w:val="en-GB"/>
        </w:rPr>
      </w:pPr>
      <w:r w:rsidRPr="00EA1A84">
        <w:rPr>
          <w:noProof/>
          <w:lang w:val="en-GB" w:eastAsia="it-IT"/>
        </w:rPr>
        <w:drawing>
          <wp:inline distT="0" distB="0" distL="0" distR="0" wp14:anchorId="76B5A415" wp14:editId="31649EB5">
            <wp:extent cx="3906078" cy="1673629"/>
            <wp:effectExtent l="0" t="0" r="0" b="317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5426" cy="171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76EEE" w14:textId="77777777" w:rsidR="00D76BFE" w:rsidRPr="00EA1A84" w:rsidRDefault="00D76BFE" w:rsidP="00BD3A4C">
      <w:pPr>
        <w:pStyle w:val="SingleTxtG"/>
        <w:rPr>
          <w:bCs/>
          <w:sz w:val="22"/>
          <w:szCs w:val="22"/>
        </w:rPr>
      </w:pPr>
      <w:r w:rsidRPr="00EA1A84">
        <w:rPr>
          <w:noProof/>
          <w:lang w:val="fr-FR" w:eastAsia="it-IT"/>
        </w:rPr>
        <w:drawing>
          <wp:inline distT="0" distB="0" distL="0" distR="0" wp14:anchorId="7C2960F0" wp14:editId="5A78D990">
            <wp:extent cx="4443492" cy="1624993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0213" cy="164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> ».</w:t>
      </w:r>
    </w:p>
    <w:p w14:paraId="7897A887" w14:textId="6F3670F9" w:rsidR="00D76BFE" w:rsidRPr="00AA4D1E" w:rsidRDefault="00D76BFE" w:rsidP="00BD3A4C">
      <w:pPr>
        <w:pStyle w:val="SingleTxtG"/>
        <w:rPr>
          <w:lang w:val="fr-FR"/>
        </w:rPr>
      </w:pPr>
      <w:r>
        <w:rPr>
          <w:i/>
          <w:iCs/>
          <w:lang w:val="fr-FR"/>
        </w:rPr>
        <w:lastRenderedPageBreak/>
        <w:t>Ajouter le nouveau paragraphe 1.6</w:t>
      </w:r>
      <w:r>
        <w:rPr>
          <w:lang w:val="fr-FR"/>
        </w:rPr>
        <w:t>, libellé comme suit</w:t>
      </w:r>
      <w:r w:rsidR="004D48AD">
        <w:rPr>
          <w:lang w:val="fr-FR"/>
        </w:rPr>
        <w:t> </w:t>
      </w:r>
      <w:r>
        <w:rPr>
          <w:lang w:val="fr-FR"/>
        </w:rPr>
        <w:t>:</w:t>
      </w:r>
    </w:p>
    <w:p w14:paraId="6D293DD9" w14:textId="1698FB91" w:rsidR="00D76BFE" w:rsidRPr="00CD4A2C" w:rsidRDefault="00D76BFE" w:rsidP="00BD3A4C">
      <w:pPr>
        <w:pStyle w:val="SingleTxtG"/>
        <w:ind w:left="2268" w:hanging="1134"/>
        <w:rPr>
          <w:lang w:val="fr-FR"/>
        </w:rPr>
      </w:pPr>
      <w:r w:rsidRPr="004D48AD">
        <w:rPr>
          <w:lang w:val="fr-FR"/>
        </w:rPr>
        <w:t>« </w:t>
      </w:r>
      <w:r>
        <w:rPr>
          <w:b/>
          <w:bCs/>
          <w:lang w:val="fr-FR"/>
        </w:rPr>
        <w:t>1.6</w:t>
      </w:r>
      <w:r>
        <w:rPr>
          <w:lang w:val="fr-FR"/>
        </w:rPr>
        <w:tab/>
      </w:r>
      <w:r>
        <w:rPr>
          <w:b/>
          <w:bCs/>
          <w:lang w:val="fr-FR"/>
        </w:rPr>
        <w:t>Définition du disque de référence</w:t>
      </w:r>
    </w:p>
    <w:p w14:paraId="6236A2F1" w14:textId="79997E30" w:rsidR="00D76BFE" w:rsidRPr="00AA4D1E" w:rsidRDefault="00D76BFE" w:rsidP="00BD3A4C">
      <w:pPr>
        <w:pStyle w:val="SingleTxtG"/>
        <w:ind w:left="2268"/>
        <w:rPr>
          <w:bCs/>
          <w:lang w:val="fr-FR"/>
        </w:rPr>
      </w:pPr>
      <w:r>
        <w:rPr>
          <w:b/>
          <w:bCs/>
          <w:lang w:val="fr-FR"/>
        </w:rPr>
        <w:t xml:space="preserve">Dans chaque groupe de disques, le </w:t>
      </w:r>
      <w:r>
        <w:rPr>
          <w:b/>
          <w:bCs/>
          <w:i/>
          <w:iCs/>
          <w:lang w:val="fr-FR"/>
        </w:rPr>
        <w:t>disque de référence</w:t>
      </w:r>
      <w:r>
        <w:rPr>
          <w:b/>
          <w:bCs/>
          <w:lang w:val="fr-FR"/>
        </w:rPr>
        <w:t xml:space="preserve"> est celui dont le ratio énergie cinétique/masse est le plus élevé (compte tenu de tous les freinages qu</w:t>
      </w:r>
      <w:r w:rsidR="004D48AD">
        <w:rPr>
          <w:b/>
          <w:bCs/>
          <w:lang w:val="fr-FR"/>
        </w:rPr>
        <w:t>’</w:t>
      </w:r>
      <w:r>
        <w:rPr>
          <w:b/>
          <w:bCs/>
          <w:lang w:val="fr-FR"/>
        </w:rPr>
        <w:t>il est prévu d</w:t>
      </w:r>
      <w:r w:rsidR="004D48AD">
        <w:rPr>
          <w:b/>
          <w:bCs/>
          <w:lang w:val="fr-FR"/>
        </w:rPr>
        <w:t>’</w:t>
      </w:r>
      <w:r>
        <w:rPr>
          <w:b/>
          <w:bCs/>
          <w:lang w:val="fr-FR"/>
        </w:rPr>
        <w:t>effectuer avec la pièce de rechange), comme décrit au paragraphe 5.3.6.</w:t>
      </w:r>
      <w:r>
        <w:rPr>
          <w:lang w:val="fr-FR"/>
        </w:rPr>
        <w:t> ».</w:t>
      </w:r>
    </w:p>
    <w:p w14:paraId="6515F428" w14:textId="7CD3E673" w:rsidR="00D76BFE" w:rsidRPr="00CD4A2C" w:rsidRDefault="00D76BFE" w:rsidP="00BD3A4C">
      <w:pPr>
        <w:pStyle w:val="SingleTxtG"/>
        <w:rPr>
          <w:lang w:val="fr-FR"/>
        </w:rPr>
      </w:pPr>
      <w:r w:rsidRPr="00CD4A2C">
        <w:rPr>
          <w:i/>
          <w:iCs/>
          <w:lang w:val="fr-FR"/>
        </w:rPr>
        <w:t>Paragraphe 2.3</w:t>
      </w:r>
      <w:r w:rsidRPr="00CD4A2C">
        <w:rPr>
          <w:lang w:val="fr-FR"/>
        </w:rPr>
        <w:t>, lire</w:t>
      </w:r>
      <w:r w:rsidR="00BD3A4C">
        <w:rPr>
          <w:lang w:val="fr-FR"/>
        </w:rPr>
        <w:t> </w:t>
      </w:r>
      <w:r w:rsidRPr="00CD4A2C">
        <w:rPr>
          <w:lang w:val="fr-FR"/>
        </w:rPr>
        <w:t>:</w:t>
      </w:r>
    </w:p>
    <w:p w14:paraId="16447EFF" w14:textId="529A3F89" w:rsidR="00D76BFE" w:rsidRPr="00CD4A2C" w:rsidRDefault="00D76BFE" w:rsidP="00BD3A4C">
      <w:pPr>
        <w:pStyle w:val="SingleTxtG"/>
        <w:ind w:left="2268" w:hanging="1134"/>
        <w:rPr>
          <w:b/>
        </w:rPr>
      </w:pPr>
      <w:r>
        <w:rPr>
          <w:lang w:val="fr-FR"/>
        </w:rPr>
        <w:t>« </w:t>
      </w:r>
      <w:r w:rsidRPr="00CD4A2C">
        <w:rPr>
          <w:lang w:val="fr-FR"/>
        </w:rPr>
        <w:t>2.3</w:t>
      </w:r>
      <w:r w:rsidRPr="00CD4A2C">
        <w:rPr>
          <w:lang w:val="fr-FR"/>
        </w:rPr>
        <w:tab/>
        <w:t>Allégement de la piste de freinage</w:t>
      </w:r>
      <w:r w:rsidR="00F54835">
        <w:rPr>
          <w:lang w:val="fr-FR"/>
        </w:rPr>
        <w:t> </w:t>
      </w:r>
      <w:r w:rsidRPr="00CD4A2C">
        <w:rPr>
          <w:lang w:val="fr-FR"/>
        </w:rPr>
        <w:t xml:space="preserve">: toute solution est autorisée (ouvertures, fentes, ondes tangentielles, etc.) sous réserve que </w:t>
      </w:r>
      <w:r w:rsidRPr="00CD4A2C">
        <w:rPr>
          <w:b/>
          <w:bCs/>
          <w:lang w:val="fr-FR"/>
        </w:rPr>
        <w:t>le ratio entre l</w:t>
      </w:r>
      <w:r w:rsidR="004D48AD">
        <w:rPr>
          <w:b/>
          <w:bCs/>
          <w:lang w:val="fr-FR"/>
        </w:rPr>
        <w:t>’</w:t>
      </w:r>
      <w:r w:rsidRPr="00CD4A2C">
        <w:rPr>
          <w:b/>
          <w:bCs/>
          <w:lang w:val="fr-FR"/>
        </w:rPr>
        <w:t>énergie cinétique du véhicule et la masse de la piste de freinage du disque soit égal ou supérieur au ratio mesuré pour le disque de référence (avec une tolérance de -20</w:t>
      </w:r>
      <w:r>
        <w:rPr>
          <w:b/>
          <w:bCs/>
          <w:lang w:val="fr-FR"/>
        </w:rPr>
        <w:t> </w:t>
      </w:r>
      <w:r w:rsidRPr="00CD4A2C">
        <w:rPr>
          <w:b/>
          <w:bCs/>
          <w:lang w:val="fr-FR"/>
        </w:rPr>
        <w:t>% au maximum).</w:t>
      </w:r>
    </w:p>
    <w:p w14:paraId="5CC8B5A8" w14:textId="424226F5" w:rsidR="00D76BFE" w:rsidRPr="00CD4A2C" w:rsidRDefault="00D76BFE" w:rsidP="00BD3A4C">
      <w:pPr>
        <w:pStyle w:val="SingleTxtG"/>
        <w:ind w:left="2268"/>
        <w:rPr>
          <w:b/>
        </w:rPr>
      </w:pPr>
      <w:r w:rsidRPr="00CD4A2C">
        <w:rPr>
          <w:b/>
          <w:bCs/>
          <w:lang w:val="fr-FR"/>
        </w:rPr>
        <w:t>Exemple</w:t>
      </w:r>
      <w:r w:rsidR="004D48AD">
        <w:rPr>
          <w:b/>
          <w:bCs/>
          <w:lang w:val="fr-FR"/>
        </w:rPr>
        <w:t> </w:t>
      </w:r>
      <w:r w:rsidRPr="00CD4A2C">
        <w:rPr>
          <w:b/>
          <w:bCs/>
          <w:lang w:val="fr-FR"/>
        </w:rPr>
        <w:t>:</w:t>
      </w:r>
      <w:r w:rsidRPr="00CD4A2C">
        <w:rPr>
          <w:lang w:val="fr-FR"/>
        </w:rPr>
        <w:t xml:space="preserve"> </w:t>
      </w:r>
    </w:p>
    <w:p w14:paraId="1AEDD0A4" w14:textId="77777777" w:rsidR="00D76BFE" w:rsidRPr="00CD4A2C" w:rsidRDefault="00D76BFE" w:rsidP="00F272A7">
      <w:pPr>
        <w:pStyle w:val="SingleTxtG"/>
        <w:ind w:left="2268"/>
        <w:rPr>
          <w:b/>
        </w:rPr>
      </w:pPr>
      <w:r w:rsidRPr="00CD4A2C">
        <w:rPr>
          <w:b/>
          <w:bCs/>
          <w:lang w:val="fr-FR"/>
        </w:rPr>
        <w:t>Diamètre extérieur 300</w:t>
      </w:r>
      <w:r>
        <w:rPr>
          <w:b/>
          <w:bCs/>
          <w:lang w:val="fr-FR"/>
        </w:rPr>
        <w:t> </w:t>
      </w:r>
      <w:r w:rsidRPr="00CD4A2C">
        <w:rPr>
          <w:b/>
          <w:bCs/>
          <w:lang w:val="fr-FR"/>
        </w:rPr>
        <w:t>mm,</w:t>
      </w:r>
      <w:r w:rsidRPr="00CD4A2C">
        <w:rPr>
          <w:lang w:val="fr-FR"/>
        </w:rPr>
        <w:t xml:space="preserve"> </w:t>
      </w:r>
    </w:p>
    <w:p w14:paraId="3069D88E" w14:textId="77777777" w:rsidR="00D76BFE" w:rsidRPr="00CD4A2C" w:rsidRDefault="00D76BFE" w:rsidP="00F272A7">
      <w:pPr>
        <w:pStyle w:val="SingleTxtG"/>
        <w:ind w:left="2268"/>
        <w:rPr>
          <w:b/>
        </w:rPr>
      </w:pPr>
      <w:r w:rsidRPr="00CD4A2C">
        <w:rPr>
          <w:b/>
          <w:bCs/>
          <w:lang w:val="fr-FR"/>
        </w:rPr>
        <w:t>largeur radiale de la piste de freinage 36,5</w:t>
      </w:r>
      <w:r>
        <w:rPr>
          <w:b/>
          <w:bCs/>
          <w:lang w:val="fr-FR"/>
        </w:rPr>
        <w:t> </w:t>
      </w:r>
      <w:r w:rsidRPr="00CD4A2C">
        <w:rPr>
          <w:b/>
          <w:bCs/>
          <w:lang w:val="fr-FR"/>
        </w:rPr>
        <w:t>mm ≥ aire totale A = 302</w:t>
      </w:r>
      <w:r>
        <w:rPr>
          <w:b/>
          <w:bCs/>
          <w:lang w:val="fr-FR"/>
        </w:rPr>
        <w:t> </w:t>
      </w:r>
      <w:r w:rsidRPr="00CD4A2C">
        <w:rPr>
          <w:b/>
          <w:bCs/>
          <w:lang w:val="fr-FR"/>
        </w:rPr>
        <w:t>cm</w:t>
      </w:r>
      <w:r w:rsidRPr="00CD4A2C">
        <w:rPr>
          <w:b/>
          <w:bCs/>
          <w:vertAlign w:val="superscript"/>
          <w:lang w:val="fr-FR"/>
        </w:rPr>
        <w:t>2</w:t>
      </w:r>
      <w:r w:rsidRPr="00CD4A2C">
        <w:rPr>
          <w:lang w:val="fr-FR"/>
        </w:rPr>
        <w:t xml:space="preserve"> </w:t>
      </w:r>
    </w:p>
    <w:p w14:paraId="67A5832B" w14:textId="29B00AAB" w:rsidR="00D76BFE" w:rsidRPr="00CD4A2C" w:rsidRDefault="00D76BFE" w:rsidP="00F272A7">
      <w:pPr>
        <w:pStyle w:val="SingleTxtG"/>
        <w:ind w:left="2268"/>
        <w:rPr>
          <w:b/>
        </w:rPr>
      </w:pPr>
      <w:r w:rsidRPr="00CD4A2C">
        <w:rPr>
          <w:b/>
          <w:bCs/>
          <w:lang w:val="fr-FR"/>
        </w:rPr>
        <w:t>Allégements sur la piste de freinage</w:t>
      </w:r>
      <w:r w:rsidR="00F54835">
        <w:rPr>
          <w:b/>
          <w:bCs/>
          <w:lang w:val="fr-FR"/>
        </w:rPr>
        <w:t> </w:t>
      </w:r>
      <w:r w:rsidRPr="00CD4A2C">
        <w:rPr>
          <w:b/>
          <w:bCs/>
          <w:lang w:val="fr-FR"/>
        </w:rPr>
        <w:t>: 64 ouvertures d</w:t>
      </w:r>
      <w:r w:rsidR="004D48AD">
        <w:rPr>
          <w:b/>
          <w:bCs/>
          <w:lang w:val="fr-FR"/>
        </w:rPr>
        <w:t>’</w:t>
      </w:r>
      <w:r w:rsidRPr="00CD4A2C">
        <w:rPr>
          <w:b/>
          <w:bCs/>
          <w:lang w:val="fr-FR"/>
        </w:rPr>
        <w:t>un diamètre de 7</w:t>
      </w:r>
      <w:r>
        <w:rPr>
          <w:b/>
          <w:bCs/>
          <w:lang w:val="fr-FR"/>
        </w:rPr>
        <w:t> </w:t>
      </w:r>
      <w:r w:rsidRPr="00CD4A2C">
        <w:rPr>
          <w:b/>
          <w:bCs/>
          <w:lang w:val="fr-FR"/>
        </w:rPr>
        <w:t>mm ≥ aire totale B = 24,6</w:t>
      </w:r>
      <w:r>
        <w:rPr>
          <w:b/>
          <w:bCs/>
          <w:lang w:val="fr-FR"/>
        </w:rPr>
        <w:t> </w:t>
      </w:r>
      <w:r w:rsidRPr="00CD4A2C">
        <w:rPr>
          <w:b/>
          <w:bCs/>
          <w:lang w:val="fr-FR"/>
        </w:rPr>
        <w:t>cm</w:t>
      </w:r>
      <w:r w:rsidRPr="00CD4A2C">
        <w:rPr>
          <w:b/>
          <w:bCs/>
          <w:vertAlign w:val="superscript"/>
          <w:lang w:val="fr-FR"/>
        </w:rPr>
        <w:t>2</w:t>
      </w:r>
    </w:p>
    <w:p w14:paraId="53A602AE" w14:textId="65CE254D" w:rsidR="00D76BFE" w:rsidRPr="00CD4A2C" w:rsidRDefault="00D76BFE" w:rsidP="00F272A7">
      <w:pPr>
        <w:pStyle w:val="SingleTxtG"/>
        <w:ind w:left="2268"/>
        <w:rPr>
          <w:b/>
        </w:rPr>
      </w:pPr>
      <w:r w:rsidRPr="00CD4A2C">
        <w:rPr>
          <w:b/>
          <w:bCs/>
          <w:lang w:val="fr-FR"/>
        </w:rPr>
        <w:t>δ = poids</w:t>
      </w:r>
      <w:r w:rsidRPr="00CD4A2C">
        <w:rPr>
          <w:lang w:val="fr-FR"/>
        </w:rPr>
        <w:t xml:space="preserve"> </w:t>
      </w:r>
      <w:r w:rsidRPr="00CD4A2C">
        <w:rPr>
          <w:b/>
          <w:bCs/>
          <w:lang w:val="fr-FR"/>
        </w:rPr>
        <w:t>spécifique du matériau de la piste de freinage</w:t>
      </w:r>
      <w:r w:rsidRPr="00CD4A2C">
        <w:rPr>
          <w:lang w:val="fr-FR"/>
        </w:rPr>
        <w:t xml:space="preserve"> </w:t>
      </w:r>
    </w:p>
    <w:p w14:paraId="22C1A2EE" w14:textId="646BCA99" w:rsidR="00D76BFE" w:rsidRPr="00A50076" w:rsidRDefault="00D76BFE" w:rsidP="00F272A7">
      <w:pPr>
        <w:pStyle w:val="SingleTxtG"/>
        <w:ind w:left="2268"/>
        <w:rPr>
          <w:b/>
          <w:spacing w:val="-3"/>
        </w:rPr>
      </w:pPr>
      <w:r w:rsidRPr="00A50076">
        <w:rPr>
          <w:b/>
          <w:bCs/>
          <w:spacing w:val="-3"/>
          <w:lang w:val="fr-FR"/>
        </w:rPr>
        <w:t>Masse de la piste de freinage (</w:t>
      </w:r>
      <w:r w:rsidRPr="00A50076">
        <w:rPr>
          <w:b/>
          <w:spacing w:val="-3"/>
          <w:szCs w:val="22"/>
          <w:lang w:val="fr-FR"/>
        </w:rPr>
        <w:t>Braking Surface Mass, BSM</w:t>
      </w:r>
      <w:r w:rsidRPr="00A50076">
        <w:rPr>
          <w:b/>
          <w:bCs/>
          <w:spacing w:val="-3"/>
          <w:lang w:val="fr-FR"/>
        </w:rPr>
        <w:t>) = (A-B) * Th * δ</w:t>
      </w:r>
    </w:p>
    <w:p w14:paraId="79945681" w14:textId="4DCB55B8" w:rsidR="00D76BFE" w:rsidRPr="00CD4A2C" w:rsidRDefault="00D76BFE" w:rsidP="0055558F">
      <w:pPr>
        <w:pStyle w:val="SingleTxtG"/>
        <w:ind w:left="2268"/>
        <w:rPr>
          <w:b/>
        </w:rPr>
      </w:pPr>
      <w:r w:rsidRPr="00CD4A2C">
        <w:rPr>
          <w:b/>
          <w:bCs/>
          <w:lang w:val="fr-FR"/>
        </w:rPr>
        <w:t>Énergie cinétique du véhicule (</w:t>
      </w:r>
      <w:r w:rsidRPr="0072499E">
        <w:rPr>
          <w:b/>
          <w:szCs w:val="22"/>
          <w:lang w:val="fr-FR"/>
        </w:rPr>
        <w:t xml:space="preserve">kinetic energy, </w:t>
      </w:r>
      <w:r>
        <w:rPr>
          <w:b/>
          <w:bCs/>
          <w:lang w:val="fr-FR"/>
        </w:rPr>
        <w:t>KE</w:t>
      </w:r>
      <w:r w:rsidRPr="00CD4A2C">
        <w:rPr>
          <w:b/>
          <w:bCs/>
          <w:lang w:val="fr-FR"/>
        </w:rPr>
        <w:t>) = ½ m V</w:t>
      </w:r>
      <w:r w:rsidRPr="00CD4A2C">
        <w:rPr>
          <w:b/>
          <w:bCs/>
          <w:vertAlign w:val="superscript"/>
          <w:lang w:val="fr-FR"/>
        </w:rPr>
        <w:t>2</w:t>
      </w:r>
      <w:r w:rsidRPr="00CD4A2C">
        <w:rPr>
          <w:b/>
          <w:bCs/>
          <w:lang w:val="fr-FR"/>
        </w:rPr>
        <w:t xml:space="preserve"> (comme</w:t>
      </w:r>
      <w:r w:rsidR="0055558F">
        <w:rPr>
          <w:b/>
          <w:bCs/>
          <w:lang w:val="fr-FR"/>
        </w:rPr>
        <w:t> </w:t>
      </w:r>
      <w:r w:rsidRPr="00CD4A2C">
        <w:rPr>
          <w:b/>
          <w:bCs/>
          <w:lang w:val="fr-FR"/>
        </w:rPr>
        <w:t>défini au par</w:t>
      </w:r>
      <w:r w:rsidR="00F54835">
        <w:rPr>
          <w:b/>
          <w:bCs/>
          <w:lang w:val="fr-FR"/>
        </w:rPr>
        <w:t>agraphe </w:t>
      </w:r>
      <w:r w:rsidRPr="00CD4A2C">
        <w:rPr>
          <w:b/>
          <w:bCs/>
          <w:lang w:val="fr-FR"/>
        </w:rPr>
        <w:t>5.3.6)</w:t>
      </w:r>
    </w:p>
    <w:p w14:paraId="4AC78F18" w14:textId="27A33943" w:rsidR="00D76BFE" w:rsidRPr="00CD4A2C" w:rsidRDefault="00D76BFE" w:rsidP="00F272A7">
      <w:pPr>
        <w:pStyle w:val="SingleTxtG"/>
        <w:ind w:left="2268"/>
        <w:rPr>
          <w:rFonts w:asciiTheme="majorBidi" w:hAnsiTheme="majorBidi" w:cstheme="majorBidi"/>
          <w:b/>
          <w:bCs/>
        </w:rPr>
      </w:pPr>
      <w:r w:rsidRPr="00CD4A2C">
        <w:rPr>
          <w:b/>
          <w:bCs/>
          <w:lang w:val="fr-FR"/>
        </w:rPr>
        <w:t>Ratio d</w:t>
      </w:r>
      <w:r w:rsidR="004D48AD">
        <w:rPr>
          <w:b/>
          <w:bCs/>
          <w:lang w:val="fr-FR"/>
        </w:rPr>
        <w:t>’</w:t>
      </w:r>
      <w:r w:rsidRPr="00CD4A2C">
        <w:rPr>
          <w:b/>
          <w:bCs/>
          <w:lang w:val="fr-FR"/>
        </w:rPr>
        <w:t>allégement de la piste de freinage (</w:t>
      </w:r>
      <w:r w:rsidRPr="008A1E09">
        <w:rPr>
          <w:rFonts w:asciiTheme="majorBidi" w:hAnsiTheme="majorBidi" w:cstheme="majorBidi"/>
          <w:b/>
          <w:szCs w:val="22"/>
          <w:lang w:val="fr-FR"/>
        </w:rPr>
        <w:t>Braking Surface Lightening</w:t>
      </w:r>
      <w:r>
        <w:rPr>
          <w:rFonts w:asciiTheme="majorBidi" w:hAnsiTheme="majorBidi" w:cstheme="majorBidi"/>
          <w:b/>
          <w:szCs w:val="22"/>
          <w:lang w:val="fr-FR"/>
        </w:rPr>
        <w:t xml:space="preserve">, </w:t>
      </w:r>
      <w:r w:rsidRPr="008A1E09">
        <w:rPr>
          <w:rFonts w:asciiTheme="majorBidi" w:hAnsiTheme="majorBidi" w:cstheme="majorBidi"/>
          <w:b/>
          <w:szCs w:val="22"/>
          <w:lang w:val="fr-FR"/>
        </w:rPr>
        <w:t>BSL</w:t>
      </w:r>
      <w:r w:rsidRPr="00CD4A2C">
        <w:rPr>
          <w:b/>
          <w:bCs/>
          <w:lang w:val="fr-FR"/>
        </w:rPr>
        <w:t xml:space="preserve">) = </w:t>
      </w:r>
      <w:r>
        <w:rPr>
          <w:b/>
          <w:bCs/>
          <w:lang w:val="fr-FR"/>
        </w:rPr>
        <w:t>KE</w:t>
      </w:r>
      <w:r w:rsidRPr="00CD4A2C">
        <w:rPr>
          <w:b/>
          <w:bCs/>
          <w:lang w:val="fr-FR"/>
        </w:rPr>
        <w:t xml:space="preserve"> / </w:t>
      </w:r>
      <w:r w:rsidRPr="0084219C">
        <w:rPr>
          <w:b/>
          <w:bCs/>
          <w:lang w:val="fr-FR"/>
        </w:rPr>
        <w:t>BS</w:t>
      </w:r>
      <w:r w:rsidR="0084219C">
        <w:rPr>
          <w:b/>
          <w:bCs/>
          <w:lang w:val="fr-FR"/>
        </w:rPr>
        <w:t>M</w:t>
      </w:r>
      <w:r>
        <w:rPr>
          <w:lang w:val="fr-FR"/>
        </w:rPr>
        <w:t> »</w:t>
      </w:r>
    </w:p>
    <w:p w14:paraId="64C96BDA" w14:textId="7E257E07" w:rsidR="00D76BFE" w:rsidRPr="00CD4A2C" w:rsidRDefault="00D76BFE" w:rsidP="00BD3A4C">
      <w:pPr>
        <w:pStyle w:val="SingleTxtG"/>
        <w:rPr>
          <w:lang w:val="fr-FR"/>
        </w:rPr>
      </w:pPr>
      <w:r w:rsidRPr="00CD4A2C">
        <w:rPr>
          <w:i/>
          <w:iCs/>
          <w:lang w:val="fr-FR"/>
        </w:rPr>
        <w:t>Paragraphe 2.6</w:t>
      </w:r>
      <w:r w:rsidRPr="00CD4A2C">
        <w:rPr>
          <w:lang w:val="fr-FR"/>
        </w:rPr>
        <w:t>, lire</w:t>
      </w:r>
      <w:r w:rsidR="004D48AD">
        <w:rPr>
          <w:lang w:val="fr-FR"/>
        </w:rPr>
        <w:t> </w:t>
      </w:r>
      <w:r w:rsidRPr="00CD4A2C">
        <w:rPr>
          <w:lang w:val="fr-FR"/>
        </w:rPr>
        <w:t>:</w:t>
      </w:r>
    </w:p>
    <w:p w14:paraId="1E3B65C3" w14:textId="4CD2BF31" w:rsidR="00D76BFE" w:rsidRPr="00CD4A2C" w:rsidRDefault="00D76BFE" w:rsidP="00F272A7">
      <w:pPr>
        <w:pStyle w:val="SingleTxtG"/>
        <w:ind w:left="2268" w:hanging="1134"/>
        <w:rPr>
          <w:bCs/>
        </w:rPr>
      </w:pPr>
      <w:r>
        <w:rPr>
          <w:lang w:val="fr-FR"/>
        </w:rPr>
        <w:t>« </w:t>
      </w:r>
      <w:r w:rsidRPr="00CD4A2C">
        <w:rPr>
          <w:lang w:val="fr-FR"/>
        </w:rPr>
        <w:t>2.6</w:t>
      </w:r>
      <w:r w:rsidRPr="00CD4A2C">
        <w:rPr>
          <w:lang w:val="fr-FR"/>
        </w:rPr>
        <w:tab/>
        <w:t xml:space="preserve">Les rayons du bol avec le ratio plein/vide </w:t>
      </w:r>
      <w:r w:rsidR="004D48AD">
        <w:rPr>
          <w:lang w:val="fr-FR"/>
        </w:rPr>
        <w:t>−</w:t>
      </w:r>
      <w:r w:rsidRPr="00CD4A2C">
        <w:rPr>
          <w:lang w:val="fr-FR"/>
        </w:rPr>
        <w:t xml:space="preserve"> mesuré sur la circonférence moyenne entre l</w:t>
      </w:r>
      <w:r w:rsidR="004D48AD">
        <w:rPr>
          <w:lang w:val="fr-FR"/>
        </w:rPr>
        <w:t>’</w:t>
      </w:r>
      <w:r w:rsidRPr="00CD4A2C">
        <w:rPr>
          <w:lang w:val="fr-FR"/>
        </w:rPr>
        <w:t xml:space="preserve">extrémité de la face de montage et </w:t>
      </w:r>
      <w:r w:rsidRPr="00CD4A2C">
        <w:rPr>
          <w:strike/>
          <w:lang w:val="fr-FR"/>
        </w:rPr>
        <w:t>le début de la surface de frottement</w:t>
      </w:r>
      <w:r w:rsidRPr="00CD4A2C">
        <w:rPr>
          <w:lang w:val="fr-FR"/>
        </w:rPr>
        <w:t xml:space="preserve"> </w:t>
      </w:r>
      <w:r w:rsidRPr="00CD4A2C">
        <w:rPr>
          <w:b/>
          <w:bCs/>
          <w:lang w:val="fr-FR"/>
        </w:rPr>
        <w:t>le diamètre maximal du bol</w:t>
      </w:r>
      <w:r w:rsidRPr="00CD4A2C">
        <w:rPr>
          <w:lang w:val="fr-FR"/>
        </w:rPr>
        <w:t xml:space="preserve"> </w:t>
      </w:r>
      <w:r w:rsidR="004D48AD">
        <w:rPr>
          <w:lang w:val="fr-FR"/>
        </w:rPr>
        <w:t>−</w:t>
      </w:r>
      <w:r w:rsidRPr="00CD4A2C">
        <w:rPr>
          <w:lang w:val="fr-FR"/>
        </w:rPr>
        <w:t xml:space="preserve"> </w:t>
      </w:r>
      <w:r w:rsidRPr="00CD4A2C">
        <w:rPr>
          <w:strike/>
          <w:lang w:val="fr-FR"/>
        </w:rPr>
        <w:t>avec une marge de ±20</w:t>
      </w:r>
      <w:r>
        <w:rPr>
          <w:strike/>
          <w:lang w:val="fr-FR"/>
        </w:rPr>
        <w:t> </w:t>
      </w:r>
      <w:r w:rsidRPr="00CD4A2C">
        <w:rPr>
          <w:strike/>
          <w:lang w:val="fr-FR"/>
        </w:rPr>
        <w:t>%</w:t>
      </w:r>
      <w:r w:rsidRPr="00CD4A2C">
        <w:rPr>
          <w:lang w:val="fr-FR"/>
        </w:rPr>
        <w:t xml:space="preserve"> </w:t>
      </w:r>
      <w:r w:rsidRPr="00CD4A2C">
        <w:rPr>
          <w:b/>
          <w:bCs/>
          <w:lang w:val="fr-FR"/>
        </w:rPr>
        <w:t>égal ou supérieur au ratio mesuré pour le disque de référence (avec une tolérance de -20</w:t>
      </w:r>
      <w:r>
        <w:rPr>
          <w:b/>
          <w:bCs/>
          <w:lang w:val="fr-FR"/>
        </w:rPr>
        <w:t> </w:t>
      </w:r>
      <w:r w:rsidRPr="00CD4A2C">
        <w:rPr>
          <w:b/>
          <w:bCs/>
          <w:lang w:val="fr-FR"/>
        </w:rPr>
        <w:t>% au maximum)</w:t>
      </w:r>
      <w:r w:rsidRPr="00CD4A2C">
        <w:rPr>
          <w:lang w:val="fr-FR"/>
        </w:rPr>
        <w:t xml:space="preserve">, une épaisseur </w:t>
      </w:r>
      <w:r w:rsidRPr="00CD4A2C">
        <w:rPr>
          <w:b/>
          <w:bCs/>
          <w:lang w:val="fr-FR"/>
        </w:rPr>
        <w:t>égale ou supérieure à celle du disque de référence (avec une tolérance de -15</w:t>
      </w:r>
      <w:r>
        <w:rPr>
          <w:b/>
          <w:bCs/>
          <w:lang w:val="fr-FR"/>
        </w:rPr>
        <w:t> </w:t>
      </w:r>
      <w:r w:rsidRPr="00CD4A2C">
        <w:rPr>
          <w:b/>
          <w:bCs/>
          <w:lang w:val="fr-FR"/>
        </w:rPr>
        <w:t>% au maximum)</w:t>
      </w:r>
      <w:r w:rsidRPr="00CD4A2C">
        <w:rPr>
          <w:lang w:val="fr-FR"/>
        </w:rPr>
        <w:t xml:space="preserve"> </w:t>
      </w:r>
      <w:r w:rsidRPr="00CD4A2C">
        <w:rPr>
          <w:strike/>
          <w:lang w:val="fr-FR"/>
        </w:rPr>
        <w:t>dans une fourchette allant de +30</w:t>
      </w:r>
      <w:r>
        <w:rPr>
          <w:strike/>
          <w:lang w:val="fr-FR"/>
        </w:rPr>
        <w:t> </w:t>
      </w:r>
      <w:r w:rsidRPr="00CD4A2C">
        <w:rPr>
          <w:strike/>
          <w:lang w:val="fr-FR"/>
        </w:rPr>
        <w:t>% à -10</w:t>
      </w:r>
      <w:r>
        <w:rPr>
          <w:strike/>
          <w:lang w:val="fr-FR"/>
        </w:rPr>
        <w:t> </w:t>
      </w:r>
      <w:r w:rsidRPr="00CD4A2C">
        <w:rPr>
          <w:strike/>
          <w:lang w:val="fr-FR"/>
        </w:rPr>
        <w:t>%</w:t>
      </w:r>
      <w:r w:rsidRPr="00CD4A2C">
        <w:rPr>
          <w:lang w:val="fr-FR"/>
        </w:rPr>
        <w:t xml:space="preserve"> et les mêmes propriétés mécaniques, comme spécifié dans la norme internationale applicable aux matériaux, pour ce qui est du disque de référence.</w:t>
      </w:r>
      <w:r>
        <w:rPr>
          <w:lang w:val="fr-FR"/>
        </w:rPr>
        <w:t> »</w:t>
      </w:r>
      <w:r w:rsidR="004D48AD">
        <w:rPr>
          <w:lang w:val="fr-FR"/>
        </w:rPr>
        <w:t>.</w:t>
      </w:r>
    </w:p>
    <w:p w14:paraId="67BB9BF7" w14:textId="6393B68B" w:rsidR="00D76BFE" w:rsidRPr="00CD4A2C" w:rsidRDefault="00D76BFE" w:rsidP="00BD3A4C">
      <w:pPr>
        <w:pStyle w:val="SingleTxtG"/>
        <w:rPr>
          <w:lang w:val="fr-FR"/>
        </w:rPr>
      </w:pPr>
      <w:r w:rsidRPr="00CD4A2C">
        <w:rPr>
          <w:i/>
          <w:iCs/>
          <w:lang w:val="fr-FR"/>
        </w:rPr>
        <w:t>Paragraphe 2.9</w:t>
      </w:r>
      <w:r w:rsidRPr="00CD4A2C">
        <w:rPr>
          <w:lang w:val="fr-FR"/>
        </w:rPr>
        <w:t>, lire</w:t>
      </w:r>
      <w:r w:rsidR="004D48AD">
        <w:rPr>
          <w:lang w:val="fr-FR"/>
        </w:rPr>
        <w:t> </w:t>
      </w:r>
      <w:r w:rsidRPr="00CD4A2C">
        <w:rPr>
          <w:lang w:val="fr-FR"/>
        </w:rPr>
        <w:t>:</w:t>
      </w:r>
    </w:p>
    <w:p w14:paraId="235B406D" w14:textId="2A9F79DB" w:rsidR="00D76BFE" w:rsidRDefault="00D76BFE" w:rsidP="00F272A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CD4A2C">
        <w:rPr>
          <w:lang w:val="fr-FR"/>
        </w:rPr>
        <w:t>2.9</w:t>
      </w:r>
      <w:r w:rsidRPr="00CD4A2C">
        <w:rPr>
          <w:lang w:val="fr-FR"/>
        </w:rPr>
        <w:tab/>
        <w:t xml:space="preserve">Diamètre extérieur inclus dans la fourchette de </w:t>
      </w:r>
      <w:r w:rsidRPr="00CD4A2C">
        <w:rPr>
          <w:strike/>
          <w:lang w:val="fr-FR"/>
        </w:rPr>
        <w:t>50</w:t>
      </w:r>
      <w:r w:rsidRPr="00CD4A2C">
        <w:rPr>
          <w:lang w:val="fr-FR"/>
        </w:rPr>
        <w:t xml:space="preserve"> </w:t>
      </w:r>
      <w:r w:rsidRPr="00CD4A2C">
        <w:rPr>
          <w:b/>
          <w:bCs/>
          <w:lang w:val="fr-FR"/>
        </w:rPr>
        <w:t>100</w:t>
      </w:r>
      <w:r w:rsidRPr="00CD4A2C">
        <w:rPr>
          <w:lang w:val="fr-FR"/>
        </w:rPr>
        <w:t xml:space="preserve"> mm, selon le tableau</w:t>
      </w:r>
      <w:r w:rsidR="00D87C2C">
        <w:rPr>
          <w:lang w:val="fr-FR"/>
        </w:rPr>
        <w:t> </w:t>
      </w:r>
      <w:r w:rsidRPr="0084219C">
        <w:rPr>
          <w:lang w:val="fr-FR"/>
        </w:rPr>
        <w:t>A15</w:t>
      </w:r>
      <w:r w:rsidRPr="00CD4A2C">
        <w:rPr>
          <w:lang w:val="fr-FR"/>
        </w:rPr>
        <w:t>/2.9</w:t>
      </w:r>
      <w:r w:rsidR="004D48AD">
        <w:rPr>
          <w:lang w:val="fr-FR"/>
        </w:rPr>
        <w:t> </w:t>
      </w:r>
      <w:r w:rsidRPr="00CD4A2C">
        <w:rPr>
          <w:lang w:val="fr-FR"/>
        </w:rPr>
        <w:t>: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134"/>
      </w:tblGrid>
      <w:tr w:rsidR="00F272A7" w:rsidRPr="00EA1A84" w14:paraId="43ADBAEC" w14:textId="77777777" w:rsidTr="00F272A7">
        <w:trPr>
          <w:trHeight w:val="629"/>
        </w:trPr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3453DFA2" w14:textId="4167C53F" w:rsidR="00F272A7" w:rsidRPr="00552E19" w:rsidRDefault="00F272A7" w:rsidP="0055558F">
            <w:pPr>
              <w:keepNext/>
              <w:keepLines/>
              <w:spacing w:before="80" w:after="80" w:line="240" w:lineRule="auto"/>
              <w:ind w:right="34"/>
              <w:jc w:val="center"/>
              <w:rPr>
                <w:i/>
                <w:sz w:val="16"/>
                <w:szCs w:val="16"/>
              </w:rPr>
            </w:pPr>
            <w:r w:rsidRPr="00552E19">
              <w:rPr>
                <w:i/>
                <w:iCs/>
                <w:sz w:val="16"/>
                <w:szCs w:val="16"/>
                <w:lang w:val="fr-FR"/>
              </w:rPr>
              <w:t>Fourchette</w:t>
            </w:r>
            <w:r w:rsidR="0055558F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55558F">
              <w:rPr>
                <w:i/>
                <w:iCs/>
                <w:sz w:val="16"/>
                <w:szCs w:val="16"/>
                <w:lang w:val="fr-FR"/>
              </w:rPr>
              <w:br/>
            </w:r>
            <w:r w:rsidRPr="00552E19">
              <w:rPr>
                <w:i/>
                <w:iCs/>
                <w:sz w:val="16"/>
                <w:szCs w:val="16"/>
                <w:lang w:val="fr-FR"/>
              </w:rPr>
              <w:t>[mm]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0B7257E" w14:textId="77777777" w:rsidR="00F272A7" w:rsidRPr="00552E19" w:rsidRDefault="00F272A7" w:rsidP="0055558F">
            <w:pPr>
              <w:keepNext/>
              <w:keepLines/>
              <w:spacing w:before="80" w:after="80" w:line="240" w:lineRule="auto"/>
              <w:jc w:val="center"/>
              <w:rPr>
                <w:i/>
                <w:sz w:val="16"/>
                <w:szCs w:val="16"/>
              </w:rPr>
            </w:pPr>
            <w:r w:rsidRPr="00552E19">
              <w:rPr>
                <w:i/>
                <w:iCs/>
                <w:sz w:val="16"/>
                <w:szCs w:val="16"/>
                <w:lang w:val="fr-FR"/>
              </w:rPr>
              <w:t>Disque monobloc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5D260BDE" w14:textId="77777777" w:rsidR="00F272A7" w:rsidRPr="00552E19" w:rsidRDefault="00F272A7" w:rsidP="0055558F">
            <w:pPr>
              <w:keepNext/>
              <w:keepLines/>
              <w:spacing w:before="80" w:after="80" w:line="240" w:lineRule="auto"/>
              <w:jc w:val="center"/>
              <w:rPr>
                <w:i/>
                <w:sz w:val="16"/>
                <w:szCs w:val="16"/>
              </w:rPr>
            </w:pPr>
            <w:r w:rsidRPr="00552E19">
              <w:rPr>
                <w:i/>
                <w:iCs/>
                <w:sz w:val="16"/>
                <w:szCs w:val="16"/>
                <w:lang w:val="fr-FR"/>
              </w:rPr>
              <w:t>Disque fixé bimétallique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7A22D3A" w14:textId="77777777" w:rsidR="00F272A7" w:rsidRPr="00552E19" w:rsidRDefault="00F272A7" w:rsidP="0055558F">
            <w:pPr>
              <w:keepNext/>
              <w:keepLines/>
              <w:spacing w:before="80" w:after="80" w:line="240" w:lineRule="auto"/>
              <w:jc w:val="center"/>
              <w:rPr>
                <w:i/>
                <w:sz w:val="16"/>
                <w:szCs w:val="16"/>
              </w:rPr>
            </w:pPr>
            <w:r w:rsidRPr="00552E19">
              <w:rPr>
                <w:i/>
                <w:iCs/>
                <w:sz w:val="16"/>
                <w:szCs w:val="16"/>
                <w:lang w:val="fr-FR"/>
              </w:rPr>
              <w:t>Disque flottant</w:t>
            </w:r>
          </w:p>
        </w:tc>
      </w:tr>
      <w:tr w:rsidR="00F272A7" w:rsidRPr="00EA1A84" w14:paraId="7420EDAB" w14:textId="77777777" w:rsidTr="00F272A7">
        <w:trPr>
          <w:trHeight w:val="343"/>
        </w:trPr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E8DA0E" w14:textId="77777777" w:rsidR="00F272A7" w:rsidRPr="00552E19" w:rsidRDefault="00F272A7" w:rsidP="00B0339D">
            <w:pPr>
              <w:keepNext/>
              <w:keepLines/>
              <w:spacing w:before="40" w:after="120" w:line="240" w:lineRule="auto"/>
              <w:ind w:right="34"/>
              <w:jc w:val="center"/>
              <w:rPr>
                <w:b/>
                <w:sz w:val="18"/>
                <w:szCs w:val="18"/>
              </w:rPr>
            </w:pPr>
            <w:r w:rsidRPr="00552E19">
              <w:rPr>
                <w:b/>
                <w:bCs/>
                <w:sz w:val="18"/>
                <w:szCs w:val="18"/>
                <w:lang w:val="fr-FR"/>
              </w:rPr>
              <w:t>≥ 150 &lt; 250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202419F" w14:textId="77777777" w:rsidR="00F272A7" w:rsidRPr="00552E19" w:rsidRDefault="00F272A7" w:rsidP="00B0339D">
            <w:pPr>
              <w:keepNext/>
              <w:keepLines/>
              <w:spacing w:before="40" w:after="120" w:line="240" w:lineRule="auto"/>
              <w:jc w:val="center"/>
              <w:rPr>
                <w:bCs/>
                <w:sz w:val="18"/>
                <w:szCs w:val="18"/>
              </w:rPr>
            </w:pPr>
            <w:r w:rsidRPr="00552E19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3B9C5863" w14:textId="77777777" w:rsidR="00F272A7" w:rsidRPr="00552E19" w:rsidRDefault="00F272A7" w:rsidP="00B0339D">
            <w:pPr>
              <w:keepNext/>
              <w:keepLines/>
              <w:spacing w:before="40" w:after="120" w:line="240" w:lineRule="auto"/>
              <w:jc w:val="center"/>
              <w:rPr>
                <w:bCs/>
                <w:sz w:val="18"/>
                <w:szCs w:val="18"/>
              </w:rPr>
            </w:pPr>
            <w:r w:rsidRPr="00552E19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F7AFD1" w14:textId="77777777" w:rsidR="00F272A7" w:rsidRPr="00552E19" w:rsidRDefault="00F272A7" w:rsidP="00B0339D">
            <w:pPr>
              <w:keepNext/>
              <w:keepLines/>
              <w:spacing w:before="40" w:after="120" w:line="240" w:lineRule="auto"/>
              <w:jc w:val="center"/>
              <w:rPr>
                <w:bCs/>
                <w:sz w:val="18"/>
                <w:szCs w:val="18"/>
              </w:rPr>
            </w:pPr>
            <w:r w:rsidRPr="00552E19">
              <w:rPr>
                <w:sz w:val="18"/>
                <w:szCs w:val="18"/>
                <w:lang w:val="fr-FR"/>
              </w:rPr>
              <w:t>X</w:t>
            </w:r>
          </w:p>
        </w:tc>
      </w:tr>
      <w:tr w:rsidR="00F272A7" w:rsidRPr="00EA1A84" w14:paraId="6CF94EF6" w14:textId="77777777" w:rsidTr="00F272A7">
        <w:tc>
          <w:tcPr>
            <w:tcW w:w="2694" w:type="dxa"/>
            <w:shd w:val="clear" w:color="auto" w:fill="auto"/>
            <w:vAlign w:val="center"/>
          </w:tcPr>
          <w:p w14:paraId="2E4AA5FE" w14:textId="77777777" w:rsidR="00F272A7" w:rsidRPr="00552E19" w:rsidRDefault="00F272A7" w:rsidP="00B0339D">
            <w:pPr>
              <w:keepNext/>
              <w:keepLines/>
              <w:spacing w:before="40" w:after="120" w:line="240" w:lineRule="auto"/>
              <w:ind w:right="34"/>
              <w:jc w:val="center"/>
              <w:rPr>
                <w:b/>
                <w:sz w:val="18"/>
                <w:szCs w:val="18"/>
              </w:rPr>
            </w:pPr>
            <w:r w:rsidRPr="00552E19">
              <w:rPr>
                <w:b/>
                <w:bCs/>
                <w:sz w:val="18"/>
                <w:szCs w:val="18"/>
                <w:lang w:val="fr-FR"/>
              </w:rPr>
              <w:t>≥ 250 &lt; 350</w:t>
            </w:r>
          </w:p>
        </w:tc>
        <w:tc>
          <w:tcPr>
            <w:tcW w:w="1134" w:type="dxa"/>
            <w:shd w:val="clear" w:color="auto" w:fill="auto"/>
          </w:tcPr>
          <w:p w14:paraId="00CED845" w14:textId="77777777" w:rsidR="00F272A7" w:rsidRPr="00552E19" w:rsidRDefault="00F272A7" w:rsidP="00B0339D">
            <w:pPr>
              <w:keepNext/>
              <w:keepLines/>
              <w:spacing w:before="40" w:after="120" w:line="240" w:lineRule="auto"/>
              <w:jc w:val="center"/>
              <w:rPr>
                <w:bCs/>
                <w:sz w:val="18"/>
                <w:szCs w:val="18"/>
              </w:rPr>
            </w:pPr>
            <w:r w:rsidRPr="00552E19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1A4B7E20" w14:textId="77777777" w:rsidR="00F272A7" w:rsidRPr="00552E19" w:rsidRDefault="00F272A7" w:rsidP="00B0339D">
            <w:pPr>
              <w:keepNext/>
              <w:keepLines/>
              <w:spacing w:before="40" w:after="120" w:line="240" w:lineRule="auto"/>
              <w:jc w:val="center"/>
              <w:rPr>
                <w:bCs/>
                <w:sz w:val="18"/>
                <w:szCs w:val="18"/>
              </w:rPr>
            </w:pPr>
            <w:r w:rsidRPr="00552E19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3247CC" w14:textId="77777777" w:rsidR="00F272A7" w:rsidRPr="00552E19" w:rsidRDefault="00F272A7" w:rsidP="00B0339D">
            <w:pPr>
              <w:keepNext/>
              <w:keepLines/>
              <w:spacing w:before="40" w:after="120" w:line="240" w:lineRule="auto"/>
              <w:jc w:val="center"/>
              <w:rPr>
                <w:bCs/>
                <w:sz w:val="18"/>
                <w:szCs w:val="18"/>
              </w:rPr>
            </w:pPr>
            <w:r w:rsidRPr="00552E19">
              <w:rPr>
                <w:sz w:val="18"/>
                <w:szCs w:val="18"/>
                <w:lang w:val="fr-FR"/>
              </w:rPr>
              <w:t>X</w:t>
            </w:r>
          </w:p>
        </w:tc>
      </w:tr>
      <w:tr w:rsidR="00F272A7" w:rsidRPr="00EA1A84" w14:paraId="714E9FCD" w14:textId="77777777" w:rsidTr="00F272A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72077" w14:textId="77777777" w:rsidR="00F272A7" w:rsidRPr="00552E19" w:rsidRDefault="00F272A7" w:rsidP="00B0339D">
            <w:pPr>
              <w:keepNext/>
              <w:keepLines/>
              <w:spacing w:before="40" w:after="120" w:line="240" w:lineRule="auto"/>
              <w:ind w:right="34"/>
              <w:jc w:val="center"/>
              <w:rPr>
                <w:strike/>
                <w:sz w:val="18"/>
                <w:szCs w:val="18"/>
              </w:rPr>
            </w:pPr>
            <w:r w:rsidRPr="00552E19">
              <w:rPr>
                <w:strike/>
                <w:sz w:val="18"/>
                <w:szCs w:val="18"/>
                <w:lang w:val="fr-FR"/>
              </w:rPr>
              <w:t>≥ 250 &lt; 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0853AB1" w14:textId="77777777" w:rsidR="00F272A7" w:rsidRPr="00552E19" w:rsidRDefault="00F272A7" w:rsidP="00B0339D">
            <w:pPr>
              <w:keepNext/>
              <w:keepLines/>
              <w:spacing w:before="40" w:after="120" w:line="240" w:lineRule="auto"/>
              <w:jc w:val="center"/>
              <w:rPr>
                <w:bCs/>
                <w:strike/>
                <w:sz w:val="18"/>
                <w:szCs w:val="18"/>
              </w:rPr>
            </w:pPr>
            <w:r w:rsidRPr="00552E19">
              <w:rPr>
                <w:strike/>
                <w:sz w:val="18"/>
                <w:szCs w:val="18"/>
                <w:lang w:val="fr-FR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295A64" w14:textId="77777777" w:rsidR="00F272A7" w:rsidRPr="00552E19" w:rsidRDefault="00F272A7" w:rsidP="00B0339D">
            <w:pPr>
              <w:keepNext/>
              <w:keepLines/>
              <w:spacing w:before="40" w:after="120" w:line="240" w:lineRule="auto"/>
              <w:jc w:val="center"/>
              <w:rPr>
                <w:bCs/>
                <w:strike/>
                <w:sz w:val="18"/>
                <w:szCs w:val="18"/>
              </w:rPr>
            </w:pPr>
            <w:r w:rsidRPr="00552E19">
              <w:rPr>
                <w:strike/>
                <w:sz w:val="18"/>
                <w:szCs w:val="18"/>
                <w:lang w:val="fr-FR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D69C0" w14:textId="77777777" w:rsidR="00F272A7" w:rsidRPr="00552E19" w:rsidRDefault="00F272A7" w:rsidP="00B0339D">
            <w:pPr>
              <w:keepNext/>
              <w:keepLines/>
              <w:spacing w:before="40" w:after="120" w:line="240" w:lineRule="auto"/>
              <w:jc w:val="center"/>
              <w:rPr>
                <w:bCs/>
                <w:strike/>
                <w:sz w:val="18"/>
                <w:szCs w:val="18"/>
              </w:rPr>
            </w:pPr>
            <w:r w:rsidRPr="00552E19">
              <w:rPr>
                <w:strike/>
                <w:sz w:val="18"/>
                <w:szCs w:val="18"/>
                <w:lang w:val="fr-FR"/>
              </w:rPr>
              <w:t>X</w:t>
            </w:r>
          </w:p>
        </w:tc>
      </w:tr>
      <w:tr w:rsidR="00F272A7" w:rsidRPr="00EA1A84" w14:paraId="4AD71D51" w14:textId="77777777" w:rsidTr="00F272A7"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555D04" w14:textId="77777777" w:rsidR="00F272A7" w:rsidRPr="00552E19" w:rsidRDefault="00F272A7" w:rsidP="00B0339D">
            <w:pPr>
              <w:keepNext/>
              <w:keepLines/>
              <w:spacing w:before="40" w:after="120" w:line="240" w:lineRule="auto"/>
              <w:ind w:right="34"/>
              <w:jc w:val="center"/>
              <w:rPr>
                <w:strike/>
                <w:sz w:val="18"/>
                <w:szCs w:val="18"/>
              </w:rPr>
            </w:pPr>
            <w:r w:rsidRPr="00552E19">
              <w:rPr>
                <w:strike/>
                <w:sz w:val="18"/>
                <w:szCs w:val="18"/>
                <w:lang w:val="fr-FR"/>
              </w:rPr>
              <w:t>≥ 300 &lt; 350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5DE668E" w14:textId="77777777" w:rsidR="00F272A7" w:rsidRPr="00552E19" w:rsidRDefault="00F272A7" w:rsidP="00B0339D">
            <w:pPr>
              <w:keepNext/>
              <w:keepLines/>
              <w:spacing w:before="40" w:after="120" w:line="240" w:lineRule="auto"/>
              <w:jc w:val="center"/>
              <w:rPr>
                <w:bCs/>
                <w:strike/>
                <w:sz w:val="18"/>
                <w:szCs w:val="18"/>
              </w:rPr>
            </w:pPr>
            <w:r w:rsidRPr="00552E19">
              <w:rPr>
                <w:strike/>
                <w:sz w:val="18"/>
                <w:szCs w:val="18"/>
                <w:lang w:val="fr-FR"/>
              </w:rPr>
              <w:t>X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011120E" w14:textId="77777777" w:rsidR="00F272A7" w:rsidRPr="00552E19" w:rsidRDefault="00F272A7" w:rsidP="00B0339D">
            <w:pPr>
              <w:keepNext/>
              <w:keepLines/>
              <w:spacing w:before="40" w:after="120" w:line="240" w:lineRule="auto"/>
              <w:jc w:val="center"/>
              <w:rPr>
                <w:bCs/>
                <w:strike/>
                <w:sz w:val="18"/>
                <w:szCs w:val="18"/>
              </w:rPr>
            </w:pPr>
            <w:r w:rsidRPr="00552E19">
              <w:rPr>
                <w:strike/>
                <w:sz w:val="18"/>
                <w:szCs w:val="18"/>
                <w:lang w:val="fr-FR"/>
              </w:rPr>
              <w:t>X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EE6CF6" w14:textId="77777777" w:rsidR="00F272A7" w:rsidRPr="00552E19" w:rsidRDefault="00F272A7" w:rsidP="00B0339D">
            <w:pPr>
              <w:keepNext/>
              <w:keepLines/>
              <w:spacing w:before="40" w:after="120" w:line="240" w:lineRule="auto"/>
              <w:jc w:val="center"/>
              <w:rPr>
                <w:bCs/>
                <w:strike/>
                <w:sz w:val="18"/>
                <w:szCs w:val="18"/>
              </w:rPr>
            </w:pPr>
            <w:r w:rsidRPr="00552E19">
              <w:rPr>
                <w:strike/>
                <w:sz w:val="18"/>
                <w:szCs w:val="18"/>
                <w:lang w:val="fr-FR"/>
              </w:rPr>
              <w:t>X</w:t>
            </w:r>
          </w:p>
        </w:tc>
      </w:tr>
    </w:tbl>
    <w:p w14:paraId="23D50F40" w14:textId="0FEDBABA" w:rsidR="00F272A7" w:rsidRDefault="004D48AD" w:rsidP="004D48AD">
      <w:pPr>
        <w:pStyle w:val="SingleTxtG"/>
        <w:ind w:left="2268" w:hanging="1134"/>
        <w:jc w:val="right"/>
        <w:rPr>
          <w:lang w:val="fr-FR"/>
        </w:rPr>
      </w:pPr>
      <w:r w:rsidRPr="00D76BFE">
        <w:rPr>
          <w:lang w:val="fr-FR"/>
        </w:rPr>
        <w:t> »</w:t>
      </w:r>
      <w:r>
        <w:rPr>
          <w:lang w:val="fr-FR"/>
        </w:rPr>
        <w:t>.</w:t>
      </w:r>
    </w:p>
    <w:p w14:paraId="6BF7A716" w14:textId="77777777" w:rsidR="00D76BFE" w:rsidRPr="006D0011" w:rsidRDefault="00D76BFE" w:rsidP="004D48AD">
      <w:pPr>
        <w:pStyle w:val="HChG"/>
      </w:pPr>
      <w:r>
        <w:rPr>
          <w:lang w:val="fr-FR"/>
        </w:rPr>
        <w:lastRenderedPageBreak/>
        <w:tab/>
        <w:t>II.</w:t>
      </w:r>
      <w:r>
        <w:rPr>
          <w:lang w:val="fr-FR"/>
        </w:rPr>
        <w:tab/>
        <w:t>Justification</w:t>
      </w:r>
    </w:p>
    <w:p w14:paraId="16D1DF5F" w14:textId="4FBEC778" w:rsidR="00D76BFE" w:rsidRPr="00AA4D1E" w:rsidRDefault="00D76BFE" w:rsidP="004D48AD">
      <w:pPr>
        <w:pStyle w:val="SingleTxtG"/>
        <w:rPr>
          <w:rFonts w:asciiTheme="majorBidi" w:hAnsiTheme="majorBidi" w:cstheme="majorBidi"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</w:t>
      </w:r>
      <w:r w:rsidR="004D48AD">
        <w:rPr>
          <w:lang w:val="fr-FR"/>
        </w:rPr>
        <w:t>’</w:t>
      </w:r>
      <w:r>
        <w:rPr>
          <w:lang w:val="fr-FR"/>
        </w:rPr>
        <w:t>application du Règlement ONU n</w:t>
      </w:r>
      <w:r w:rsidR="004D48AD">
        <w:rPr>
          <w:vertAlign w:val="superscript"/>
          <w:lang w:val="fr-FR"/>
        </w:rPr>
        <w:t>o</w:t>
      </w:r>
      <w:r w:rsidR="004D48AD" w:rsidRPr="004D48AD">
        <w:rPr>
          <w:lang w:val="fr-FR"/>
        </w:rPr>
        <w:t> </w:t>
      </w:r>
      <w:r>
        <w:rPr>
          <w:lang w:val="fr-FR"/>
        </w:rPr>
        <w:t>90 a mis en évidence d</w:t>
      </w:r>
      <w:r w:rsidR="004D48AD">
        <w:rPr>
          <w:lang w:val="fr-FR"/>
        </w:rPr>
        <w:t>’</w:t>
      </w:r>
      <w:r>
        <w:rPr>
          <w:lang w:val="fr-FR"/>
        </w:rPr>
        <w:t>importantes lacunes en ce qui concerne l</w:t>
      </w:r>
      <w:r w:rsidR="004D48AD">
        <w:rPr>
          <w:lang w:val="fr-FR"/>
        </w:rPr>
        <w:t>’</w:t>
      </w:r>
      <w:r>
        <w:rPr>
          <w:lang w:val="fr-FR"/>
        </w:rPr>
        <w:t>homologation des disques de rechange pour les motocycles.</w:t>
      </w:r>
    </w:p>
    <w:p w14:paraId="0C72F40A" w14:textId="32D63B93" w:rsidR="00D76BFE" w:rsidRPr="00AA4D1E" w:rsidRDefault="00D76BFE" w:rsidP="004D48AD">
      <w:pPr>
        <w:pStyle w:val="SingleTxtG"/>
        <w:rPr>
          <w:rFonts w:asciiTheme="majorBidi" w:hAnsiTheme="majorBidi" w:cstheme="majorBidi"/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En particulier, l</w:t>
      </w:r>
      <w:r w:rsidR="004D48AD">
        <w:rPr>
          <w:lang w:val="fr-FR"/>
        </w:rPr>
        <w:t>’</w:t>
      </w:r>
      <w:r>
        <w:rPr>
          <w:lang w:val="fr-FR"/>
        </w:rPr>
        <w:t>annexe 15, qui définit les critères de groupement des disques, est complexe à mettre en œuvre, car, dans les faits, l</w:t>
      </w:r>
      <w:r w:rsidR="004D48AD">
        <w:rPr>
          <w:lang w:val="fr-FR"/>
        </w:rPr>
        <w:t>’</w:t>
      </w:r>
      <w:r>
        <w:rPr>
          <w:lang w:val="fr-FR"/>
        </w:rPr>
        <w:t>application des neuf critères aboutit à la constitution d</w:t>
      </w:r>
      <w:r w:rsidR="004D48AD">
        <w:rPr>
          <w:lang w:val="fr-FR"/>
        </w:rPr>
        <w:t>’</w:t>
      </w:r>
      <w:r>
        <w:rPr>
          <w:lang w:val="fr-FR"/>
        </w:rPr>
        <w:t>un nombre énorme de groupes, certains comprenant un seul disque.</w:t>
      </w:r>
    </w:p>
    <w:p w14:paraId="3108E3C6" w14:textId="388D0A01" w:rsidR="00D76BFE" w:rsidRPr="00AA4D1E" w:rsidRDefault="00D76BFE" w:rsidP="004D48AD">
      <w:pPr>
        <w:pStyle w:val="SingleTxtG"/>
        <w:rPr>
          <w:rFonts w:asciiTheme="majorBidi" w:hAnsiTheme="majorBidi" w:cstheme="majorBidi"/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La présente proposition vise à conserver les mêmes neuf critères, mais à permettre l</w:t>
      </w:r>
      <w:r w:rsidR="004D48AD">
        <w:rPr>
          <w:lang w:val="fr-FR"/>
        </w:rPr>
        <w:t>’</w:t>
      </w:r>
      <w:r>
        <w:rPr>
          <w:lang w:val="fr-FR"/>
        </w:rPr>
        <w:t>inclusion de disques ayant une géométrie différente dans un même groupe, pour autant que ces disques soient sujets à des contraintes thermiques et mécaniques moins fortes que celles auxquelles est sujet le disque de référence.</w:t>
      </w:r>
    </w:p>
    <w:p w14:paraId="3D16E8FD" w14:textId="5AD54C16" w:rsidR="00D76BFE" w:rsidRPr="00AA4D1E" w:rsidRDefault="00D76BFE" w:rsidP="004D48AD">
      <w:pPr>
        <w:pStyle w:val="SingleTxtG"/>
        <w:rPr>
          <w:rFonts w:asciiTheme="majorBidi" w:hAnsiTheme="majorBidi" w:cstheme="majorBidi"/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</w:t>
      </w:r>
      <w:r w:rsidR="004D48AD">
        <w:rPr>
          <w:lang w:val="fr-FR"/>
        </w:rPr>
        <w:t>’</w:t>
      </w:r>
      <w:r>
        <w:rPr>
          <w:lang w:val="fr-FR"/>
        </w:rPr>
        <w:t>objectif est donc de simplifier la constitution des groupes de disques et de réduire le nombre de ces groupes tout en assurant les mêmes garanties sur le plan technique.</w:t>
      </w:r>
    </w:p>
    <w:p w14:paraId="32F50562" w14:textId="55C3670A" w:rsidR="00D76BFE" w:rsidRPr="00AA4D1E" w:rsidRDefault="00D76BFE" w:rsidP="004D48AD">
      <w:pPr>
        <w:pStyle w:val="SingleTxtG"/>
        <w:rPr>
          <w:rFonts w:asciiTheme="majorBidi" w:hAnsiTheme="majorBidi" w:cstheme="majorBidi"/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De plus, l</w:t>
      </w:r>
      <w:r w:rsidR="004D48AD">
        <w:rPr>
          <w:lang w:val="fr-FR"/>
        </w:rPr>
        <w:t>’</w:t>
      </w:r>
      <w:r>
        <w:rPr>
          <w:lang w:val="fr-FR"/>
        </w:rPr>
        <w:t>annexe 15 et le texte actuel du Règlement ne définissent pas clairement les critères de sélection du disque de référence à utiliser pour constituer les groupes de disques.</w:t>
      </w:r>
    </w:p>
    <w:p w14:paraId="7CDC4169" w14:textId="33B51A93" w:rsidR="00D76BFE" w:rsidRPr="00AA4D1E" w:rsidRDefault="00D76BFE" w:rsidP="004D48AD">
      <w:pPr>
        <w:pStyle w:val="SingleTxtG"/>
        <w:rPr>
          <w:rFonts w:asciiTheme="majorBidi" w:hAnsiTheme="majorBidi" w:cstheme="majorBidi"/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Le disque à tester pourrait être différent du disque de référence utilisé pour constituer les groupes de disques à condition qu</w:t>
      </w:r>
      <w:r w:rsidR="004D48AD">
        <w:rPr>
          <w:lang w:val="fr-FR"/>
        </w:rPr>
        <w:t>’</w:t>
      </w:r>
      <w:r>
        <w:rPr>
          <w:lang w:val="fr-FR"/>
        </w:rPr>
        <w:t>il s</w:t>
      </w:r>
      <w:r w:rsidR="004D48AD">
        <w:rPr>
          <w:lang w:val="fr-FR"/>
        </w:rPr>
        <w:t>’</w:t>
      </w:r>
      <w:r>
        <w:rPr>
          <w:lang w:val="fr-FR"/>
        </w:rPr>
        <w:t>agisse du disque soumis « au couple de freinage le plus fort et à l</w:t>
      </w:r>
      <w:r w:rsidR="004D48AD">
        <w:rPr>
          <w:lang w:val="fr-FR"/>
        </w:rPr>
        <w:t>’</w:t>
      </w:r>
      <w:r>
        <w:rPr>
          <w:lang w:val="fr-FR"/>
        </w:rPr>
        <w:t>énergie la plus importante à absorber ».</w:t>
      </w:r>
    </w:p>
    <w:p w14:paraId="28C65DEB" w14:textId="324FBC01" w:rsidR="00D76BFE" w:rsidRPr="00AA4D1E" w:rsidRDefault="00D76BFE" w:rsidP="004D48AD">
      <w:pPr>
        <w:pStyle w:val="SingleTxtG"/>
        <w:rPr>
          <w:rFonts w:asciiTheme="majorBidi" w:hAnsiTheme="majorBidi" w:cstheme="majorBidi"/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 xml:space="preserve">Il est clairement indiqué dans la présente proposition que le disque de référence à utiliser pour constituer les groupes doit être celui dont le ratio énergie </w:t>
      </w:r>
      <w:r w:rsidRPr="0084219C">
        <w:rPr>
          <w:lang w:val="fr-FR"/>
        </w:rPr>
        <w:t>cinétique/masse est</w:t>
      </w:r>
      <w:r>
        <w:rPr>
          <w:lang w:val="fr-FR"/>
        </w:rPr>
        <w:t xml:space="preserve"> le plus élevé, le bol </w:t>
      </w:r>
      <w:r w:rsidR="00ED4FE6">
        <w:rPr>
          <w:lang w:val="fr-FR"/>
        </w:rPr>
        <w:t xml:space="preserve">le moins épais et </w:t>
      </w:r>
      <w:r>
        <w:rPr>
          <w:lang w:val="fr-FR"/>
        </w:rPr>
        <w:t>le plus allégé et le nombre d</w:t>
      </w:r>
      <w:r w:rsidR="004D48AD">
        <w:rPr>
          <w:lang w:val="fr-FR"/>
        </w:rPr>
        <w:t>’</w:t>
      </w:r>
      <w:r>
        <w:rPr>
          <w:lang w:val="fr-FR"/>
        </w:rPr>
        <w:t>attaches de fixation le plus petit.</w:t>
      </w:r>
    </w:p>
    <w:p w14:paraId="1A9A2C86" w14:textId="5397D8C1" w:rsidR="00D76BFE" w:rsidRDefault="00D76BFE" w:rsidP="004D48AD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Les essais d</w:t>
      </w:r>
      <w:r w:rsidR="004D48AD">
        <w:rPr>
          <w:lang w:val="fr-FR"/>
        </w:rPr>
        <w:t>’</w:t>
      </w:r>
      <w:r>
        <w:rPr>
          <w:lang w:val="fr-FR"/>
        </w:rPr>
        <w:t>homologation doivent être effectués sur le même disque pour éviter toute ambiguïté quant au choix du disque de référence.</w:t>
      </w:r>
    </w:p>
    <w:p w14:paraId="05147C70" w14:textId="735181C4" w:rsidR="004D48AD" w:rsidRPr="004D48AD" w:rsidRDefault="004D48AD" w:rsidP="004D48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48AD" w:rsidRPr="004D48AD" w:rsidSect="00D76BF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6C6B8" w14:textId="77777777" w:rsidR="009E3A26" w:rsidRDefault="009E3A26" w:rsidP="00F95C08">
      <w:pPr>
        <w:spacing w:line="240" w:lineRule="auto"/>
      </w:pPr>
    </w:p>
  </w:endnote>
  <w:endnote w:type="continuationSeparator" w:id="0">
    <w:p w14:paraId="1EBDA24B" w14:textId="77777777" w:rsidR="009E3A26" w:rsidRPr="00AC3823" w:rsidRDefault="009E3A26" w:rsidP="00AC3823">
      <w:pPr>
        <w:pStyle w:val="Pieddepage"/>
      </w:pPr>
    </w:p>
  </w:endnote>
  <w:endnote w:type="continuationNotice" w:id="1">
    <w:p w14:paraId="02FE811D" w14:textId="77777777" w:rsidR="009E3A26" w:rsidRDefault="009E3A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B1919" w14:textId="0510D90F" w:rsidR="00D76BFE" w:rsidRPr="00D76BFE" w:rsidRDefault="00D76BFE" w:rsidP="00D76BFE">
    <w:pPr>
      <w:pStyle w:val="Pieddepage"/>
      <w:tabs>
        <w:tab w:val="right" w:pos="9638"/>
      </w:tabs>
    </w:pPr>
    <w:r w:rsidRPr="00D76BFE">
      <w:rPr>
        <w:b/>
        <w:sz w:val="18"/>
      </w:rPr>
      <w:fldChar w:fldCharType="begin"/>
    </w:r>
    <w:r w:rsidRPr="00D76BFE">
      <w:rPr>
        <w:b/>
        <w:sz w:val="18"/>
      </w:rPr>
      <w:instrText xml:space="preserve"> PAGE  \* MERGEFORMAT </w:instrText>
    </w:r>
    <w:r w:rsidRPr="00D76BFE">
      <w:rPr>
        <w:b/>
        <w:sz w:val="18"/>
      </w:rPr>
      <w:fldChar w:fldCharType="separate"/>
    </w:r>
    <w:r w:rsidRPr="00D76BFE">
      <w:rPr>
        <w:b/>
        <w:noProof/>
        <w:sz w:val="18"/>
      </w:rPr>
      <w:t>2</w:t>
    </w:r>
    <w:r w:rsidRPr="00D76BFE">
      <w:rPr>
        <w:b/>
        <w:sz w:val="18"/>
      </w:rPr>
      <w:fldChar w:fldCharType="end"/>
    </w:r>
    <w:r>
      <w:rPr>
        <w:b/>
        <w:sz w:val="18"/>
      </w:rPr>
      <w:tab/>
    </w:r>
    <w:r>
      <w:t>GE.21-09627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F5BD1" w14:textId="57C817CC" w:rsidR="00D76BFE" w:rsidRPr="00D76BFE" w:rsidRDefault="00D76BFE" w:rsidP="00D76BFE">
    <w:pPr>
      <w:pStyle w:val="Pieddepage"/>
      <w:tabs>
        <w:tab w:val="right" w:pos="9638"/>
      </w:tabs>
      <w:rPr>
        <w:b/>
        <w:sz w:val="18"/>
      </w:rPr>
    </w:pPr>
    <w:r>
      <w:t>GE.21-09627</w:t>
    </w:r>
    <w:r>
      <w:tab/>
    </w:r>
    <w:r w:rsidRPr="00D76BFE">
      <w:rPr>
        <w:b/>
        <w:sz w:val="18"/>
      </w:rPr>
      <w:fldChar w:fldCharType="begin"/>
    </w:r>
    <w:r w:rsidRPr="00D76BFE">
      <w:rPr>
        <w:b/>
        <w:sz w:val="18"/>
      </w:rPr>
      <w:instrText xml:space="preserve"> PAGE  \* MERGEFORMAT </w:instrText>
    </w:r>
    <w:r w:rsidRPr="00D76BFE">
      <w:rPr>
        <w:b/>
        <w:sz w:val="18"/>
      </w:rPr>
      <w:fldChar w:fldCharType="separate"/>
    </w:r>
    <w:r w:rsidRPr="00D76BFE">
      <w:rPr>
        <w:b/>
        <w:noProof/>
        <w:sz w:val="18"/>
      </w:rPr>
      <w:t>3</w:t>
    </w:r>
    <w:r w:rsidRPr="00D76B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1B89" w14:textId="2C523305" w:rsidR="007F20FA" w:rsidRPr="00D76BFE" w:rsidRDefault="00D76BFE" w:rsidP="00D76BF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F248FEF" wp14:editId="072364F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21-09627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4D108DC" wp14:editId="3A8AD4F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100821    100821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3CBA3" w14:textId="77777777" w:rsidR="009E3A26" w:rsidRPr="00AC3823" w:rsidRDefault="009E3A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DD5F39" w14:textId="77777777" w:rsidR="009E3A26" w:rsidRPr="00AC3823" w:rsidRDefault="009E3A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C29FBC" w14:textId="77777777" w:rsidR="009E3A26" w:rsidRPr="00AC3823" w:rsidRDefault="009E3A26">
      <w:pPr>
        <w:spacing w:line="240" w:lineRule="auto"/>
        <w:rPr>
          <w:sz w:val="2"/>
          <w:szCs w:val="2"/>
        </w:rPr>
      </w:pPr>
    </w:p>
  </w:footnote>
  <w:footnote w:id="2">
    <w:p w14:paraId="60B5AC5A" w14:textId="6805DB78" w:rsidR="00D76BFE" w:rsidRPr="00D76BFE" w:rsidRDefault="00D76BFE" w:rsidP="00F54835">
      <w:pPr>
        <w:pStyle w:val="Notedebasdepage"/>
      </w:pPr>
      <w:r>
        <w:rPr>
          <w:rStyle w:val="Appelnotedebasdep"/>
        </w:rPr>
        <w:tab/>
      </w:r>
      <w:r w:rsidRPr="00D76BFE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2021 tel qu</w:t>
      </w:r>
      <w:r w:rsidR="004D48AD">
        <w:rPr>
          <w:lang w:val="fr-FR"/>
        </w:rPr>
        <w:t>’</w:t>
      </w:r>
      <w:r>
        <w:rPr>
          <w:lang w:val="fr-FR"/>
        </w:rPr>
        <w:t>il figure dans le projet de budget-programme pour 2021 (A/75/6 (Sect. 20), par. 20.51), le Forum mondial a pour mission d</w:t>
      </w:r>
      <w:r w:rsidR="004D48AD">
        <w:rPr>
          <w:lang w:val="fr-FR"/>
        </w:rPr>
        <w:t>’</w:t>
      </w:r>
      <w:r>
        <w:rPr>
          <w:lang w:val="fr-FR"/>
        </w:rPr>
        <w:t>élaborer, d</w:t>
      </w:r>
      <w:r w:rsidR="004D48AD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4D48AD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3DFE" w14:textId="0F2D7BB3" w:rsidR="00D76BFE" w:rsidRPr="00D76BFE" w:rsidRDefault="00BE6868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6862E" w14:textId="1BE6F063" w:rsidR="00D76BFE" w:rsidRPr="00D76BFE" w:rsidRDefault="00BE6868" w:rsidP="00D76BFE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6"/>
    <w:rsid w:val="00017F94"/>
    <w:rsid w:val="00023842"/>
    <w:rsid w:val="000334F9"/>
    <w:rsid w:val="00045FEB"/>
    <w:rsid w:val="0007796D"/>
    <w:rsid w:val="000B60F5"/>
    <w:rsid w:val="000B7790"/>
    <w:rsid w:val="00111F2F"/>
    <w:rsid w:val="0014365E"/>
    <w:rsid w:val="00143C66"/>
    <w:rsid w:val="0015747A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D48AD"/>
    <w:rsid w:val="004E2EED"/>
    <w:rsid w:val="004E468C"/>
    <w:rsid w:val="00505626"/>
    <w:rsid w:val="005505B7"/>
    <w:rsid w:val="0055558F"/>
    <w:rsid w:val="00573BE5"/>
    <w:rsid w:val="00586ED3"/>
    <w:rsid w:val="00596AA9"/>
    <w:rsid w:val="0071601D"/>
    <w:rsid w:val="007A62E6"/>
    <w:rsid w:val="007F20FA"/>
    <w:rsid w:val="0080684C"/>
    <w:rsid w:val="0084219C"/>
    <w:rsid w:val="00871C75"/>
    <w:rsid w:val="008776DC"/>
    <w:rsid w:val="008D5EF9"/>
    <w:rsid w:val="009446C0"/>
    <w:rsid w:val="009705C8"/>
    <w:rsid w:val="009C1CF4"/>
    <w:rsid w:val="009E3A26"/>
    <w:rsid w:val="009F6B74"/>
    <w:rsid w:val="00A3029F"/>
    <w:rsid w:val="00A30353"/>
    <w:rsid w:val="00A50076"/>
    <w:rsid w:val="00AC3823"/>
    <w:rsid w:val="00AE323C"/>
    <w:rsid w:val="00AF0CB5"/>
    <w:rsid w:val="00B00181"/>
    <w:rsid w:val="00B00B0D"/>
    <w:rsid w:val="00B45F2E"/>
    <w:rsid w:val="00B665D3"/>
    <w:rsid w:val="00B765F7"/>
    <w:rsid w:val="00B77993"/>
    <w:rsid w:val="00BA0CA9"/>
    <w:rsid w:val="00BD3A4C"/>
    <w:rsid w:val="00BE6868"/>
    <w:rsid w:val="00C02897"/>
    <w:rsid w:val="00C97039"/>
    <w:rsid w:val="00D3439C"/>
    <w:rsid w:val="00D7622E"/>
    <w:rsid w:val="00D76BFE"/>
    <w:rsid w:val="00D87C2C"/>
    <w:rsid w:val="00DB1831"/>
    <w:rsid w:val="00DD3BFD"/>
    <w:rsid w:val="00DF6678"/>
    <w:rsid w:val="00E0299A"/>
    <w:rsid w:val="00E85C74"/>
    <w:rsid w:val="00EA6547"/>
    <w:rsid w:val="00ED4FE6"/>
    <w:rsid w:val="00ED7237"/>
    <w:rsid w:val="00EF2E22"/>
    <w:rsid w:val="00F272A7"/>
    <w:rsid w:val="00F35BAF"/>
    <w:rsid w:val="00F54835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D7DBBF"/>
  <w15:docId w15:val="{BE582B24-4EDB-4501-B346-1BC386AD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-E Fußnotentext Car,footnote text Car,Fußnotentext Ursprung Car,Footnote Text Char Char Car,Footnote Text Char Char Char Char Car,Footnote Text1 Car,Footnote Text Char Char Char Car,Fußnotentext Char1 Car"/>
    <w:basedOn w:val="Policepardfaut"/>
    <w:link w:val="Notedebasdepage"/>
    <w:uiPriority w:val="99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1144E-ED44-4F97-BA06-87842167E0EE}"/>
</file>

<file path=customXml/itemProps2.xml><?xml version="1.0" encoding="utf-8"?>
<ds:datastoreItem xmlns:ds="http://schemas.openxmlformats.org/officeDocument/2006/customXml" ds:itemID="{7B2C2BAC-3168-4BFD-B3AC-21D0B5B0CEC3}"/>
</file>

<file path=customXml/itemProps3.xml><?xml version="1.0" encoding="utf-8"?>
<ds:datastoreItem xmlns:ds="http://schemas.openxmlformats.org/officeDocument/2006/customXml" ds:itemID="{C5E71F0A-0838-4C89-A37E-827F2A3369D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4</Pages>
  <Words>715</Words>
  <Characters>5007</Characters>
  <Application>Microsoft Office Word</Application>
  <DocSecurity>0</DocSecurity>
  <Lines>417</Lines>
  <Paragraphs>228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ECE/TRANS/WP.29/GRVA/2021/28</vt:lpstr>
    </vt:vector>
  </TitlesOfParts>
  <Company>DCM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ECE/TRANS/WP.29/GRVA/2021/28</dc:title>
  <dc:subject/>
  <dc:creator>Julien OKRZESIK</dc:creator>
  <cp:keywords/>
  <cp:lastModifiedBy>Julien Okrzesik</cp:lastModifiedBy>
  <cp:revision>3</cp:revision>
  <cp:lastPrinted>2021-08-10T12:42:00Z</cp:lastPrinted>
  <dcterms:created xsi:type="dcterms:W3CDTF">2021-08-10T12:42:00Z</dcterms:created>
  <dcterms:modified xsi:type="dcterms:W3CDTF">2021-08-10T12:44:00Z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