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01573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C726D1" w14:textId="77777777" w:rsidR="002D5AAC" w:rsidRDefault="002D5AAC" w:rsidP="00DE34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28D10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E6EC3A" w14:textId="24A41F77" w:rsidR="002D5AAC" w:rsidRDefault="00DE3423" w:rsidP="00DE3423">
            <w:pPr>
              <w:jc w:val="right"/>
            </w:pPr>
            <w:r w:rsidRPr="00DE3423">
              <w:rPr>
                <w:sz w:val="40"/>
              </w:rPr>
              <w:t>ECE</w:t>
            </w:r>
            <w:r>
              <w:t>/TRANS/WP.29/GRVA/2021/26</w:t>
            </w:r>
          </w:p>
        </w:tc>
      </w:tr>
      <w:tr w:rsidR="002D5AAC" w:rsidRPr="00DE3423" w14:paraId="3E7E585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7CCE1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C626C1" wp14:editId="5AC9A5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FC6AF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7AA022" w14:textId="11246A9F" w:rsidR="002D5AAC" w:rsidRPr="00DE3423" w:rsidRDefault="00DE342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DE3423">
              <w:rPr>
                <w:lang w:val="en-US"/>
              </w:rPr>
              <w:t xml:space="preserve"> </w:t>
            </w:r>
            <w:r w:rsidRPr="00DE3423">
              <w:rPr>
                <w:lang w:val="en-US"/>
              </w:rPr>
              <w:t>General</w:t>
            </w:r>
          </w:p>
          <w:p w14:paraId="13FB955C" w14:textId="66AE120B" w:rsidR="00DE3423" w:rsidRDefault="00DE3423" w:rsidP="00DE3423">
            <w:pPr>
              <w:spacing w:line="240" w:lineRule="exact"/>
              <w:rPr>
                <w:lang w:val="en-US"/>
              </w:rPr>
            </w:pPr>
            <w:r>
              <w:t>9</w:t>
            </w:r>
            <w:r w:rsidRPr="00055B2C">
              <w:t xml:space="preserve"> </w:t>
            </w:r>
            <w:proofErr w:type="spellStart"/>
            <w:r w:rsidRPr="00055B2C">
              <w:t>July</w:t>
            </w:r>
            <w:proofErr w:type="spellEnd"/>
            <w:r w:rsidRPr="00055B2C">
              <w:t xml:space="preserve"> 2021</w:t>
            </w:r>
          </w:p>
          <w:p w14:paraId="63767506" w14:textId="77777777" w:rsidR="00DE3423" w:rsidRDefault="00DE3423" w:rsidP="00DE34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A0F25B" w14:textId="5305D66F" w:rsidR="00DE3423" w:rsidRPr="008D53B6" w:rsidRDefault="00DE3423" w:rsidP="00DE34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10B05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3F41F6" w14:textId="77777777" w:rsidR="00DE3423" w:rsidRPr="00DE3423" w:rsidRDefault="00DE3423" w:rsidP="00DE3423">
      <w:pPr>
        <w:spacing w:before="120"/>
        <w:rPr>
          <w:sz w:val="28"/>
          <w:szCs w:val="28"/>
        </w:rPr>
      </w:pPr>
      <w:r w:rsidRPr="00DE3423">
        <w:rPr>
          <w:sz w:val="28"/>
          <w:szCs w:val="28"/>
        </w:rPr>
        <w:t>Комитет по внутреннему транспорту</w:t>
      </w:r>
    </w:p>
    <w:p w14:paraId="1CD25316" w14:textId="4DBDD44B" w:rsidR="00DE3423" w:rsidRPr="00DE3423" w:rsidRDefault="00DE3423" w:rsidP="00DE3423">
      <w:pPr>
        <w:spacing w:before="120"/>
        <w:rPr>
          <w:b/>
          <w:sz w:val="24"/>
          <w:szCs w:val="24"/>
        </w:rPr>
      </w:pPr>
      <w:r w:rsidRPr="00DE3423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DE3423">
        <w:rPr>
          <w:b/>
          <w:bCs/>
          <w:sz w:val="24"/>
          <w:szCs w:val="24"/>
        </w:rPr>
        <w:t>в области транспортных средств</w:t>
      </w:r>
    </w:p>
    <w:p w14:paraId="4BCA28DE" w14:textId="6287A420" w:rsidR="00DE3423" w:rsidRPr="00FF4C8C" w:rsidRDefault="00DE3423" w:rsidP="00DE3423">
      <w:pPr>
        <w:spacing w:before="120"/>
        <w:rPr>
          <w:b/>
        </w:rPr>
      </w:pPr>
      <w:bookmarkStart w:id="0" w:name="_Hlk518466992"/>
      <w:r>
        <w:rPr>
          <w:b/>
          <w:bCs/>
        </w:rPr>
        <w:t>Рабочая группа по автоматизированным/автономным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74F2EA79" w14:textId="5201C9F0" w:rsidR="00DE3423" w:rsidRPr="00FF4C8C" w:rsidRDefault="00DE3423" w:rsidP="00DE3423">
      <w:pPr>
        <w:spacing w:before="120"/>
        <w:rPr>
          <w:b/>
          <w:bCs/>
        </w:rPr>
      </w:pPr>
      <w:bookmarkStart w:id="1" w:name="OLE_LINK2"/>
      <w:r>
        <w:rPr>
          <w:b/>
          <w:bCs/>
        </w:rPr>
        <w:t>Одиннадцатая сессия</w:t>
      </w:r>
      <w:r>
        <w:rPr>
          <w:b/>
          <w:bCs/>
        </w:rPr>
        <w:br/>
      </w:r>
      <w:r>
        <w:t xml:space="preserve">Женева, 27 сентября </w:t>
      </w:r>
      <w:r w:rsidRPr="00B76E19">
        <w:rPr>
          <w:rFonts w:cs="Times New Roman"/>
        </w:rPr>
        <w:t>‒</w:t>
      </w:r>
      <w:r w:rsidRPr="00DE3423">
        <w:rPr>
          <w:rFonts w:cs="Times New Roman"/>
        </w:rPr>
        <w:t>‒</w:t>
      </w:r>
      <w:r>
        <w:t xml:space="preserve"> 1 октября 2021 года</w:t>
      </w:r>
      <w:r>
        <w:br/>
      </w:r>
      <w:r>
        <w:t>Пункт 9 b) предварительной повестки дня</w:t>
      </w:r>
      <w:r>
        <w:br/>
      </w:r>
      <w:r>
        <w:rPr>
          <w:b/>
          <w:bCs/>
        </w:rPr>
        <w:t>Тормозные системы мотоциклов: Правила № 78 ООН</w:t>
      </w:r>
    </w:p>
    <w:p w14:paraId="261A0F2E" w14:textId="3029DF1F" w:rsidR="00DE3423" w:rsidRPr="00FF4C8C" w:rsidRDefault="00DE3423" w:rsidP="00DE3423">
      <w:pPr>
        <w:pStyle w:val="HChG"/>
      </w:pPr>
      <w:r>
        <w:tab/>
      </w:r>
      <w:r>
        <w:tab/>
      </w:r>
      <w:r>
        <w:rPr>
          <w:bCs/>
        </w:rPr>
        <w:t>Предложение по новому дополнению к поправкам серии</w:t>
      </w:r>
      <w:r>
        <w:rPr>
          <w:bCs/>
          <w:lang w:val="en-US"/>
        </w:rPr>
        <w:t> </w:t>
      </w:r>
      <w:r>
        <w:rPr>
          <w:bCs/>
        </w:rPr>
        <w:t>05 к Правилам № 78 ООН (тормозные</w:t>
      </w:r>
      <w:r>
        <w:rPr>
          <w:bCs/>
        </w:rPr>
        <w:br/>
      </w:r>
      <w:r>
        <w:rPr>
          <w:bCs/>
        </w:rPr>
        <w:t>системы мотоциклов)</w:t>
      </w:r>
      <w:bookmarkEnd w:id="1"/>
    </w:p>
    <w:p w14:paraId="50C52EDA" w14:textId="240E1986" w:rsidR="00DE3423" w:rsidRPr="00FF4C8C" w:rsidRDefault="00DE3423" w:rsidP="00DE342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Международной ассоциации</w:t>
      </w:r>
      <w:r>
        <w:rPr>
          <w:bCs/>
        </w:rPr>
        <w:br/>
      </w:r>
      <w:r>
        <w:rPr>
          <w:bCs/>
        </w:rPr>
        <w:t>заводов-изготовителей мотоциклов</w:t>
      </w:r>
      <w:r w:rsidRPr="00DE3423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37A3448D" w14:textId="031B5642" w:rsidR="00DE3423" w:rsidRPr="00FF4C8C" w:rsidRDefault="00DE3423" w:rsidP="00DE3423">
      <w:pPr>
        <w:pStyle w:val="SingleTxtG"/>
      </w:pPr>
      <w:r>
        <w:tab/>
        <w:t>Воспроизведенный ниже текст был подготовлен экспертом от Международной ассоциации заводов-изготовителей мотоциклов (МАЗМ) в целях согласования Правил</w:t>
      </w:r>
      <w:r>
        <w:rPr>
          <w:lang w:val="en-US"/>
        </w:rPr>
        <w:t> </w:t>
      </w:r>
      <w:r>
        <w:t>№ 78 ООН с последними поправками к Правилам № 13-H ООН, касающимися пороговых значений замедления для активации стоп-сигнала(</w:t>
      </w:r>
      <w:proofErr w:type="spellStart"/>
      <w:r>
        <w:t>ов</w:t>
      </w:r>
      <w:proofErr w:type="spellEnd"/>
      <w:r>
        <w:t>) при рекуперативном торможении, которые были приняты Рабочей группой по автоматизированным/</w:t>
      </w:r>
      <w:r>
        <w:t xml:space="preserve"> </w:t>
      </w:r>
      <w:r>
        <w:t xml:space="preserve">автономным и подключенным транспортным средствам (GRVA) на ее </w:t>
      </w:r>
      <w:r w:rsidR="002A74AA">
        <w:t>седьмой</w:t>
      </w:r>
      <w:r>
        <w:t xml:space="preserve"> сессии. В его основу положен неофициальный документ GRVA-10-11.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40C2F7FC" w14:textId="40156AAF" w:rsidR="00DE3423" w:rsidRPr="00FF4C8C" w:rsidRDefault="00DE3423" w:rsidP="00DE3423">
      <w:pPr>
        <w:pStyle w:val="HChG"/>
        <w:pageBreakBefore/>
      </w:pPr>
      <w:r>
        <w:lastRenderedPageBreak/>
        <w:tab/>
        <w:t>I.</w:t>
      </w:r>
      <w:r>
        <w:tab/>
      </w:r>
      <w:r w:rsidRPr="00DE3423">
        <w:t>Предложение</w:t>
      </w:r>
    </w:p>
    <w:p w14:paraId="12B04954" w14:textId="77777777" w:rsidR="00DE3423" w:rsidRPr="00FF4C8C" w:rsidRDefault="00DE3423" w:rsidP="00DE3423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t>Пункт 5.1.17.2</w:t>
      </w:r>
      <w:r>
        <w:t xml:space="preserve"> изменить следующим образом:</w:t>
      </w:r>
    </w:p>
    <w:p w14:paraId="0FF9D9A2" w14:textId="2821C155" w:rsidR="00DE3423" w:rsidRPr="00FF4C8C" w:rsidRDefault="00DE3423" w:rsidP="00DE3423">
      <w:pPr>
        <w:spacing w:after="120"/>
        <w:ind w:left="2259" w:right="1134" w:hanging="1125"/>
        <w:jc w:val="both"/>
      </w:pPr>
      <w:r>
        <w:t>«</w:t>
      </w:r>
      <w:r>
        <w:t>5.1.17.2</w:t>
      </w:r>
      <w:r>
        <w:tab/>
        <w:t>кроме того, в случае транспортных средств, приводимых в движение исключительно с помощью электрической тяги и оснащенных системами электрического рекуперативного торможения</w:t>
      </w:r>
      <w:r>
        <w:rPr>
          <w:strike/>
        </w:rPr>
        <w:t>, определенными в пункте 2.32 настоящих Правил</w:t>
      </w:r>
      <w:r>
        <w:t>, которые создают тормозное усилие при отпускании устройства управления акселератором, сигнал торможения инициируется также в соответствии со следующими предписаниями</w:t>
      </w:r>
      <w:r w:rsidRPr="00DE3423">
        <w:rPr>
          <w:b/>
          <w:bCs/>
          <w:sz w:val="18"/>
          <w:szCs w:val="18"/>
          <w:vertAlign w:val="superscript"/>
        </w:rPr>
        <w:t>4</w:t>
      </w:r>
      <w:r>
        <w:t>:</w:t>
      </w:r>
    </w:p>
    <w:tbl>
      <w:tblPr>
        <w:tblW w:w="6234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3432"/>
      </w:tblGrid>
      <w:tr w:rsidR="00DE3423" w:rsidRPr="00D65377" w14:paraId="2773336E" w14:textId="77777777" w:rsidTr="00EB218C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F1EE594" w14:textId="71AA1A27" w:rsidR="00DE3423" w:rsidRPr="00DE3423" w:rsidRDefault="00DE3423" w:rsidP="00DE342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DE3423">
              <w:rPr>
                <w:i/>
                <w:iCs/>
                <w:sz w:val="16"/>
                <w:szCs w:val="16"/>
              </w:rPr>
              <w:t>Замедление транспортного средства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5F5A54C7" w14:textId="77777777" w:rsidR="00DE3423" w:rsidRPr="00DE3423" w:rsidRDefault="00DE3423" w:rsidP="00DE342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DE3423">
              <w:rPr>
                <w:i/>
                <w:iCs/>
                <w:sz w:val="16"/>
                <w:szCs w:val="16"/>
              </w:rPr>
              <w:t>Подача сигнала</w:t>
            </w:r>
          </w:p>
        </w:tc>
      </w:tr>
      <w:tr w:rsidR="00DE3423" w:rsidRPr="00D65377" w14:paraId="6E2B852F" w14:textId="77777777" w:rsidTr="00EB218C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8D456" w14:textId="45FCF2A7" w:rsidR="00DE3423" w:rsidRPr="00DE3423" w:rsidRDefault="00DE3423" w:rsidP="00DE3423">
            <w:pPr>
              <w:spacing w:before="40" w:after="120"/>
              <w:ind w:left="57" w:right="57"/>
              <w:rPr>
                <w:strike/>
                <w:sz w:val="18"/>
                <w:szCs w:val="18"/>
              </w:rPr>
            </w:pPr>
            <w:r w:rsidRPr="00DE3423">
              <w:rPr>
                <w:strike/>
                <w:sz w:val="18"/>
                <w:szCs w:val="18"/>
              </w:rPr>
              <w:t>≤0,7 м/с²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6A4C2" w14:textId="77777777" w:rsidR="00DE3423" w:rsidRPr="00DE3423" w:rsidRDefault="00DE3423" w:rsidP="00DE3423">
            <w:pPr>
              <w:spacing w:before="40" w:after="120"/>
              <w:ind w:left="57" w:right="57"/>
              <w:rPr>
                <w:strike/>
                <w:sz w:val="18"/>
                <w:szCs w:val="18"/>
              </w:rPr>
            </w:pPr>
            <w:r w:rsidRPr="00DE3423">
              <w:rPr>
                <w:strike/>
                <w:sz w:val="18"/>
                <w:szCs w:val="18"/>
              </w:rPr>
              <w:t>Сигнал не подается</w:t>
            </w:r>
          </w:p>
        </w:tc>
      </w:tr>
      <w:tr w:rsidR="00DE3423" w:rsidRPr="00D65377" w14:paraId="5E6C423B" w14:textId="77777777" w:rsidTr="00EB218C"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14CB2" w14:textId="56C2D645" w:rsidR="00DE3423" w:rsidRPr="00DE3423" w:rsidRDefault="00DE3423" w:rsidP="00DE3423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DE3423">
              <w:rPr>
                <w:strike/>
                <w:sz w:val="18"/>
                <w:szCs w:val="18"/>
              </w:rPr>
              <w:t>&gt;0,7 м/с² и</w:t>
            </w:r>
            <w:r w:rsidRPr="00DE3423">
              <w:rPr>
                <w:sz w:val="18"/>
                <w:szCs w:val="18"/>
              </w:rPr>
              <w:t xml:space="preserve"> ≤1,3 м/с²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7FC71" w14:textId="77777777" w:rsidR="00DE3423" w:rsidRPr="00DE3423" w:rsidRDefault="00DE3423" w:rsidP="00DE3423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DE3423">
              <w:rPr>
                <w:sz w:val="18"/>
                <w:szCs w:val="18"/>
              </w:rPr>
              <w:t>Сигнал может подаваться</w:t>
            </w:r>
          </w:p>
        </w:tc>
      </w:tr>
      <w:tr w:rsidR="00DE3423" w:rsidRPr="00D65377" w14:paraId="434F0191" w14:textId="77777777" w:rsidTr="00EB218C">
        <w:trPr>
          <w:trHeight w:val="244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A35C0B3" w14:textId="681D8259" w:rsidR="00DE3423" w:rsidRPr="00DE3423" w:rsidRDefault="00DE3423" w:rsidP="00DE3423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DE3423">
              <w:rPr>
                <w:sz w:val="18"/>
                <w:szCs w:val="18"/>
              </w:rPr>
              <w:t>&gt;1,3 м/с²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B2E891C" w14:textId="77777777" w:rsidR="00DE3423" w:rsidRPr="00DE3423" w:rsidRDefault="00DE3423" w:rsidP="00DE3423">
            <w:pPr>
              <w:spacing w:before="40" w:after="120"/>
              <w:ind w:left="57" w:right="57"/>
              <w:rPr>
                <w:sz w:val="18"/>
                <w:szCs w:val="18"/>
              </w:rPr>
            </w:pPr>
            <w:r w:rsidRPr="00DE3423">
              <w:rPr>
                <w:sz w:val="18"/>
                <w:szCs w:val="18"/>
              </w:rPr>
              <w:t>Сигнал подается</w:t>
            </w:r>
          </w:p>
        </w:tc>
      </w:tr>
    </w:tbl>
    <w:p w14:paraId="48FBDE09" w14:textId="77777777" w:rsidR="00DE3423" w:rsidRPr="00DE3423" w:rsidRDefault="00DE3423" w:rsidP="00DE3423">
      <w:pPr>
        <w:pStyle w:val="af3"/>
        <w:spacing w:before="120"/>
        <w:ind w:left="2268" w:firstLine="0"/>
        <w:rPr>
          <w:strike/>
          <w:sz w:val="18"/>
          <w:szCs w:val="18"/>
        </w:rPr>
      </w:pPr>
      <w:r w:rsidRPr="00DE3423">
        <w:rPr>
          <w:strike/>
          <w:sz w:val="18"/>
          <w:szCs w:val="18"/>
          <w:lang w:val="ru-RU"/>
        </w:rPr>
        <w:t>Во всех случаях сигнал деактивируется не позднее того момента, когда замедление снижается до значения менее 0,7 м/с</w:t>
      </w:r>
      <w:r w:rsidRPr="00DE3423">
        <w:rPr>
          <w:strike/>
          <w:sz w:val="18"/>
          <w:szCs w:val="18"/>
          <w:vertAlign w:val="superscript"/>
          <w:lang w:val="ru-RU"/>
        </w:rPr>
        <w:t>2</w:t>
      </w:r>
      <w:r w:rsidRPr="00DE3423">
        <w:rPr>
          <w:strike/>
          <w:sz w:val="18"/>
          <w:szCs w:val="18"/>
          <w:lang w:val="ru-RU"/>
        </w:rPr>
        <w:t>*.</w:t>
      </w:r>
    </w:p>
    <w:p w14:paraId="0181C841" w14:textId="4AC8E590" w:rsidR="00DE3423" w:rsidRPr="00DE3423" w:rsidRDefault="00DE3423" w:rsidP="00DE3423">
      <w:pPr>
        <w:pStyle w:val="af3"/>
        <w:ind w:left="2268" w:firstLine="0"/>
        <w:rPr>
          <w:strike/>
          <w:sz w:val="18"/>
          <w:szCs w:val="18"/>
        </w:rPr>
      </w:pPr>
      <w:r w:rsidRPr="00DE3423">
        <w:rPr>
          <w:strike/>
          <w:sz w:val="18"/>
          <w:szCs w:val="18"/>
          <w:lang w:val="ru-RU"/>
        </w:rPr>
        <w:t>*  В момент предоставления официального утверждения типа соответствие этому требованию должно быть подтверждено изготовителем транспортного средства</w:t>
      </w:r>
      <w:r w:rsidRPr="002A74AA">
        <w:rPr>
          <w:strike/>
          <w:sz w:val="18"/>
          <w:szCs w:val="18"/>
          <w:lang w:val="ru-RU"/>
        </w:rPr>
        <w:t>.</w:t>
      </w:r>
    </w:p>
    <w:p w14:paraId="6AEC15F1" w14:textId="77777777" w:rsidR="00DE3423" w:rsidRPr="00DE3423" w:rsidRDefault="00DE3423" w:rsidP="00DE3423">
      <w:pPr>
        <w:spacing w:after="120" w:line="240" w:lineRule="auto"/>
        <w:ind w:left="2268" w:right="1133"/>
        <w:jc w:val="both"/>
        <w:rPr>
          <w:b/>
          <w:sz w:val="18"/>
          <w:szCs w:val="18"/>
        </w:rPr>
      </w:pPr>
      <w:r w:rsidRPr="00DE3423">
        <w:rPr>
          <w:b/>
          <w:bCs/>
          <w:sz w:val="18"/>
          <w:szCs w:val="18"/>
        </w:rPr>
        <w:t>После срабатывания сигнал подается до тех пор, пока сохраняется потребность в замедлении.</w:t>
      </w:r>
      <w:r w:rsidRPr="00DE3423">
        <w:rPr>
          <w:sz w:val="18"/>
          <w:szCs w:val="18"/>
        </w:rPr>
        <w:t xml:space="preserve"> </w:t>
      </w:r>
      <w:r w:rsidRPr="00DE3423">
        <w:rPr>
          <w:b/>
          <w:bCs/>
          <w:sz w:val="18"/>
          <w:szCs w:val="18"/>
        </w:rPr>
        <w:t>Однако сигнал может подавляться при остановке.</w:t>
      </w:r>
    </w:p>
    <w:p w14:paraId="7E129E75" w14:textId="447526FB" w:rsidR="00DE3423" w:rsidRPr="00DE3423" w:rsidRDefault="00DE3423" w:rsidP="00DE3423">
      <w:pPr>
        <w:spacing w:after="120"/>
        <w:ind w:left="2268" w:right="1133"/>
        <w:jc w:val="both"/>
        <w:rPr>
          <w:b/>
          <w:sz w:val="18"/>
          <w:szCs w:val="18"/>
        </w:rPr>
      </w:pPr>
      <w:r w:rsidRPr="00DE3423">
        <w:rPr>
          <w:b/>
          <w:bCs/>
          <w:sz w:val="18"/>
          <w:szCs w:val="18"/>
        </w:rPr>
        <w:t>Во избежание быстрых изменений сигнала, приводящих к мерцанию</w:t>
      </w:r>
      <w:r w:rsidR="00675E17">
        <w:rPr>
          <w:b/>
          <w:bCs/>
          <w:sz w:val="18"/>
          <w:szCs w:val="18"/>
        </w:rPr>
        <w:br/>
      </w:r>
      <w:r w:rsidRPr="00DE3423">
        <w:rPr>
          <w:b/>
          <w:bCs/>
          <w:sz w:val="18"/>
          <w:szCs w:val="18"/>
        </w:rPr>
        <w:t xml:space="preserve">стоп-сигналов, должны применяться соответствующие меры (например, гистерезис переключения, усреднение, </w:t>
      </w:r>
      <w:proofErr w:type="spellStart"/>
      <w:r w:rsidRPr="00DE3423">
        <w:rPr>
          <w:b/>
          <w:bCs/>
          <w:sz w:val="18"/>
          <w:szCs w:val="18"/>
        </w:rPr>
        <w:t>временнáя</w:t>
      </w:r>
      <w:proofErr w:type="spellEnd"/>
      <w:r w:rsidRPr="00DE3423">
        <w:rPr>
          <w:b/>
          <w:bCs/>
          <w:sz w:val="18"/>
          <w:szCs w:val="18"/>
        </w:rPr>
        <w:t xml:space="preserve"> задержка).</w:t>
      </w:r>
    </w:p>
    <w:p w14:paraId="2B55E711" w14:textId="77777777" w:rsidR="00DE3423" w:rsidRPr="00FF4C8C" w:rsidRDefault="00DE3423" w:rsidP="00DE3423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FF4C8C">
        <w:rPr>
          <w:bCs/>
          <w:u w:val="single"/>
        </w:rPr>
        <w:tab/>
      </w:r>
      <w:r w:rsidRPr="00FF4C8C">
        <w:rPr>
          <w:bCs/>
          <w:u w:val="single"/>
        </w:rPr>
        <w:tab/>
      </w:r>
      <w:r w:rsidRPr="00FF4C8C">
        <w:rPr>
          <w:bCs/>
          <w:u w:val="single"/>
        </w:rPr>
        <w:tab/>
      </w:r>
    </w:p>
    <w:p w14:paraId="198E34B2" w14:textId="77777777" w:rsidR="00DE3423" w:rsidRPr="00675E17" w:rsidRDefault="00DE3423" w:rsidP="00605929">
      <w:pPr>
        <w:spacing w:after="120" w:line="220" w:lineRule="exact"/>
        <w:ind w:left="1134" w:right="1134"/>
        <w:jc w:val="both"/>
        <w:rPr>
          <w:i/>
          <w:iCs/>
          <w:sz w:val="18"/>
          <w:szCs w:val="18"/>
        </w:rPr>
      </w:pPr>
      <w:r w:rsidRPr="00675E17">
        <w:rPr>
          <w:sz w:val="18"/>
          <w:szCs w:val="18"/>
        </w:rPr>
        <w:tab/>
      </w:r>
      <w:r w:rsidRPr="002A74AA">
        <w:rPr>
          <w:b/>
          <w:bCs/>
          <w:sz w:val="18"/>
          <w:szCs w:val="18"/>
          <w:vertAlign w:val="superscript"/>
        </w:rPr>
        <w:t>4</w:t>
      </w:r>
      <w:r w:rsidRPr="00675E17">
        <w:rPr>
          <w:b/>
          <w:bCs/>
          <w:sz w:val="18"/>
          <w:szCs w:val="18"/>
        </w:rPr>
        <w:t>  В момент предоставления официального утверждения типа соответствие этому требованию должно быть подтверждено изготовителем транспортного средства</w:t>
      </w:r>
      <w:r w:rsidRPr="00675E17">
        <w:rPr>
          <w:sz w:val="18"/>
          <w:szCs w:val="18"/>
        </w:rPr>
        <w:t>».</w:t>
      </w:r>
    </w:p>
    <w:p w14:paraId="7F884902" w14:textId="0081648E" w:rsidR="00DE3423" w:rsidRPr="00FF4C8C" w:rsidRDefault="00DE3423" w:rsidP="00605929">
      <w:pPr>
        <w:spacing w:before="120" w:after="120"/>
        <w:ind w:left="2268" w:right="1134" w:hanging="1134"/>
        <w:jc w:val="both"/>
        <w:rPr>
          <w:b/>
          <w:bCs/>
        </w:rPr>
      </w:pPr>
      <w:r>
        <w:rPr>
          <w:i/>
          <w:iCs/>
        </w:rPr>
        <w:t>Включить новый пункт 5.1.17.</w:t>
      </w:r>
      <w:r w:rsidR="009762B8">
        <w:rPr>
          <w:i/>
          <w:iCs/>
        </w:rPr>
        <w:t>3</w:t>
      </w:r>
      <w:r>
        <w:t xml:space="preserve"> следующего содержания:</w:t>
      </w:r>
    </w:p>
    <w:p w14:paraId="2A65C258" w14:textId="47401DE3" w:rsidR="00DE3423" w:rsidRPr="00FF4C8C" w:rsidRDefault="00675E17" w:rsidP="00DE3423">
      <w:pPr>
        <w:spacing w:after="120"/>
        <w:ind w:left="2268" w:right="1133" w:hanging="1134"/>
        <w:jc w:val="both"/>
        <w:rPr>
          <w:b/>
          <w:bCs/>
        </w:rPr>
      </w:pPr>
      <w:r>
        <w:t>«</w:t>
      </w:r>
      <w:r w:rsidR="00DE3423">
        <w:rPr>
          <w:b/>
          <w:bCs/>
        </w:rPr>
        <w:t>5.1.17.3</w:t>
      </w:r>
      <w:r w:rsidR="00DE3423">
        <w:tab/>
      </w:r>
      <w:r w:rsidR="00DE3423">
        <w:rPr>
          <w:b/>
          <w:bCs/>
        </w:rPr>
        <w:t>Сигнал не подается, если замедление вызвано исключительно естественным торможением двигателя, сопротивлением воздуха/</w:t>
      </w:r>
      <w:r>
        <w:rPr>
          <w:b/>
          <w:bCs/>
        </w:rPr>
        <w:t xml:space="preserve"> </w:t>
      </w:r>
      <w:r w:rsidR="00DE3423">
        <w:rPr>
          <w:b/>
          <w:bCs/>
        </w:rPr>
        <w:t>сопротивлением качению и/или уклоном дороги</w:t>
      </w:r>
      <w:r w:rsidRPr="002A74AA">
        <w:t>»</w:t>
      </w:r>
      <w:r w:rsidR="00DE3423" w:rsidRPr="002A74AA">
        <w:t>.</w:t>
      </w:r>
    </w:p>
    <w:p w14:paraId="1CDD841C" w14:textId="77777777" w:rsidR="00DE3423" w:rsidRPr="00675E17" w:rsidRDefault="00DE3423" w:rsidP="00675E17">
      <w:pPr>
        <w:pStyle w:val="HChG"/>
        <w:rPr>
          <w:b w:val="0"/>
        </w:rPr>
      </w:pPr>
      <w:r>
        <w:tab/>
        <w:t>II.</w:t>
      </w:r>
      <w:r>
        <w:tab/>
      </w:r>
      <w:r w:rsidRPr="00675E17">
        <w:t>Обоснование</w:t>
      </w:r>
    </w:p>
    <w:p w14:paraId="7921ED5A" w14:textId="77777777" w:rsidR="00DE3423" w:rsidRPr="00FF4C8C" w:rsidRDefault="00DE3423" w:rsidP="00DE3423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>Цель настоящего предложения заключается в том, чтобы обеспечить согласованность положений Правил № 78 ООН с последней поправкой к Правилам № 13-Н ООН, касающейся пороговых значений замедления для активации стоп-сигнала(</w:t>
      </w:r>
      <w:proofErr w:type="spellStart"/>
      <w:r>
        <w:t>ов</w:t>
      </w:r>
      <w:proofErr w:type="spellEnd"/>
      <w:r>
        <w:t>) при рекуперативном торможении, которая была представлена МАЗМ на десятой сессии GRVA в документе GRVA-10-11.</w:t>
      </w:r>
    </w:p>
    <w:p w14:paraId="259B84F7" w14:textId="58491EB9" w:rsidR="00DE3423" w:rsidRPr="00FF4C8C" w:rsidRDefault="00DE3423" w:rsidP="00DE3423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>В настоящее время Правила № 78 ООН содержат положения, касающиеся подачи сигнала для включения стоп-сигналов при рекуперативном торможении в случае транспортных средств категории L. Пороговые значения замедления в Правилах № 78 ООН согласованы с пороговыми значениями, указанными в текущем варианте Правил № 13-H ООН, что обеспечивает согласованные принципы работы стоп-сигналов у различных категорий транспортных средств и, следовательно, позволяет избежать путаницы участникам дорожного движения, движущимся</w:t>
      </w:r>
      <w:r w:rsidR="00675E17">
        <w:br/>
      </w:r>
      <w:r>
        <w:t>за тормозящим транспортным средством, к какой бы категории оно ни относилось.</w:t>
      </w:r>
    </w:p>
    <w:p w14:paraId="5A48C787" w14:textId="313A5B59" w:rsidR="00DE3423" w:rsidRPr="00FF4C8C" w:rsidRDefault="00DE3423" w:rsidP="00DE3423">
      <w:pPr>
        <w:pStyle w:val="SingleTxtG"/>
        <w:numPr>
          <w:ilvl w:val="0"/>
          <w:numId w:val="23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 xml:space="preserve">В декабре 2020 года GRVA приняла предложение Международной организации предприятий автомобильной промышленности (МОПАП) и Европейской ассоциации поставщиков автомобильной промышленности (КСАОД), касающееся изменения положений о подаче сигнала торможения для включения стоп-сигналов в </w:t>
      </w:r>
      <w:r>
        <w:lastRenderedPageBreak/>
        <w:t>Правилах № 13-H ООН (ECE/TRANS/WP.29/GRVA/2020/31), для обеспечения того, чтобы включение стоп-сигналов отражало намерение замедлить движение независимо от типа тяги. С этой целью было снято требование о деактивации сигнала для включения стоп-сигналов, когда замедление снижается до значения менее 0,7 м/с</w:t>
      </w:r>
      <w:r>
        <w:rPr>
          <w:vertAlign w:val="superscript"/>
        </w:rPr>
        <w:t>2</w:t>
      </w:r>
      <w:r>
        <w:t>.</w:t>
      </w:r>
      <w:r w:rsidR="00675E17">
        <w:br/>
      </w:r>
      <w:r>
        <w:t>Для обеспечения последовательности МАЗМ предлагает согласовать пороговые значения замедления в Правилах № 78 ООН соответствующим образом.</w:t>
      </w:r>
    </w:p>
    <w:p w14:paraId="351B710B" w14:textId="77777777" w:rsidR="00DE3423" w:rsidRPr="00FF4C8C" w:rsidRDefault="00DE3423" w:rsidP="00DE3423">
      <w:pPr>
        <w:spacing w:before="240"/>
        <w:jc w:val="center"/>
        <w:rPr>
          <w:rFonts w:asciiTheme="majorBidi" w:hAnsiTheme="majorBidi"/>
          <w:u w:val="single"/>
        </w:rPr>
      </w:pPr>
      <w:r w:rsidRPr="00FF4C8C">
        <w:rPr>
          <w:rFonts w:asciiTheme="majorBidi" w:hAnsiTheme="majorBidi"/>
          <w:u w:val="single"/>
        </w:rPr>
        <w:tab/>
      </w:r>
      <w:r w:rsidRPr="00FF4C8C">
        <w:rPr>
          <w:rFonts w:asciiTheme="majorBidi" w:hAnsiTheme="majorBidi"/>
          <w:u w:val="single"/>
        </w:rPr>
        <w:tab/>
      </w:r>
      <w:r w:rsidRPr="00FF4C8C">
        <w:rPr>
          <w:rFonts w:asciiTheme="majorBidi" w:hAnsiTheme="majorBidi"/>
          <w:u w:val="single"/>
        </w:rPr>
        <w:tab/>
      </w:r>
    </w:p>
    <w:sectPr w:rsidR="00DE3423" w:rsidRPr="00FF4C8C" w:rsidSect="00DE34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B490" w14:textId="77777777" w:rsidR="008954DA" w:rsidRPr="00A312BC" w:rsidRDefault="008954DA" w:rsidP="00A312BC"/>
  </w:endnote>
  <w:endnote w:type="continuationSeparator" w:id="0">
    <w:p w14:paraId="69179EF6" w14:textId="77777777" w:rsidR="008954DA" w:rsidRPr="00A312BC" w:rsidRDefault="008954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07CD" w14:textId="7B097BAB" w:rsidR="00DE3423" w:rsidRPr="00DE3423" w:rsidRDefault="00DE3423">
    <w:pPr>
      <w:pStyle w:val="a8"/>
    </w:pPr>
    <w:r w:rsidRPr="00DE3423">
      <w:rPr>
        <w:b/>
        <w:sz w:val="18"/>
      </w:rPr>
      <w:fldChar w:fldCharType="begin"/>
    </w:r>
    <w:r w:rsidRPr="00DE3423">
      <w:rPr>
        <w:b/>
        <w:sz w:val="18"/>
      </w:rPr>
      <w:instrText xml:space="preserve"> PAGE  \* MERGEFORMAT </w:instrText>
    </w:r>
    <w:r w:rsidRPr="00DE3423">
      <w:rPr>
        <w:b/>
        <w:sz w:val="18"/>
      </w:rPr>
      <w:fldChar w:fldCharType="separate"/>
    </w:r>
    <w:r w:rsidRPr="00DE3423">
      <w:rPr>
        <w:b/>
        <w:noProof/>
        <w:sz w:val="18"/>
      </w:rPr>
      <w:t>2</w:t>
    </w:r>
    <w:r w:rsidRPr="00DE3423">
      <w:rPr>
        <w:b/>
        <w:sz w:val="18"/>
      </w:rPr>
      <w:fldChar w:fldCharType="end"/>
    </w:r>
    <w:r>
      <w:rPr>
        <w:b/>
        <w:sz w:val="18"/>
      </w:rPr>
      <w:tab/>
    </w:r>
    <w:r>
      <w:t>GE.21-09549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5082" w14:textId="0FAC7122" w:rsidR="00DE3423" w:rsidRPr="00DE3423" w:rsidRDefault="00DE3423" w:rsidP="00DE3423">
    <w:pPr>
      <w:pStyle w:val="a8"/>
      <w:tabs>
        <w:tab w:val="clear" w:pos="9639"/>
        <w:tab w:val="right" w:pos="9638"/>
      </w:tabs>
      <w:rPr>
        <w:b/>
        <w:sz w:val="18"/>
      </w:rPr>
    </w:pPr>
    <w:r>
      <w:t>GE.21-09549</w:t>
    </w:r>
    <w:r>
      <w:tab/>
    </w:r>
    <w:r w:rsidRPr="00DE3423">
      <w:rPr>
        <w:b/>
        <w:sz w:val="18"/>
      </w:rPr>
      <w:fldChar w:fldCharType="begin"/>
    </w:r>
    <w:r w:rsidRPr="00DE3423">
      <w:rPr>
        <w:b/>
        <w:sz w:val="18"/>
      </w:rPr>
      <w:instrText xml:space="preserve"> PAGE  \* MERGEFORMAT </w:instrText>
    </w:r>
    <w:r w:rsidRPr="00DE3423">
      <w:rPr>
        <w:b/>
        <w:sz w:val="18"/>
      </w:rPr>
      <w:fldChar w:fldCharType="separate"/>
    </w:r>
    <w:r w:rsidRPr="00DE3423">
      <w:rPr>
        <w:b/>
        <w:noProof/>
        <w:sz w:val="18"/>
      </w:rPr>
      <w:t>3</w:t>
    </w:r>
    <w:r w:rsidRPr="00DE34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F91A" w14:textId="1385D594" w:rsidR="00042B72" w:rsidRPr="00DE3423" w:rsidRDefault="00DE3423" w:rsidP="00DE342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9119FD" wp14:editId="3D200F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21-09549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4629C6" wp14:editId="4EAD5D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090821  090821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D2BD5" w14:textId="77777777" w:rsidR="008954DA" w:rsidRPr="001075E9" w:rsidRDefault="008954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C72D98" w14:textId="77777777" w:rsidR="008954DA" w:rsidRDefault="008954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CC7528" w14:textId="4E6F0F60" w:rsidR="00DE3423" w:rsidRPr="006C5434" w:rsidRDefault="00DE3423" w:rsidP="00DE3423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ED95" w14:textId="0879EA83" w:rsidR="00DE3423" w:rsidRPr="00DE3423" w:rsidRDefault="00DE3423">
    <w:pPr>
      <w:pStyle w:val="a5"/>
    </w:pPr>
    <w:fldSimple w:instr=" TITLE  \* MERGEFORMAT ">
      <w:r w:rsidR="009A6FFB">
        <w:t>ECE/TRANS/WP.29/GRVA/2021/26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516A" w14:textId="04C9B79D" w:rsidR="00DE3423" w:rsidRPr="00DE3423" w:rsidRDefault="00DE3423" w:rsidP="00DE3423">
    <w:pPr>
      <w:pStyle w:val="a5"/>
      <w:jc w:val="right"/>
    </w:pPr>
    <w:fldSimple w:instr=" TITLE  \* MERGEFORMAT ">
      <w:r w:rsidR="009A6FFB">
        <w:t>ECE/TRANS/WP.29/GRVA/2021/26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46C11"/>
    <w:multiLevelType w:val="hybridMultilevel"/>
    <w:tmpl w:val="5B94AA68"/>
    <w:lvl w:ilvl="0" w:tplc="4560F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17"/>
    <w:lvlOverride w:ilvl="0">
      <w:lvl w:ilvl="0" w:tplc="4560F18E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D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74AA"/>
    <w:rsid w:val="002B0106"/>
    <w:rsid w:val="002B377A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5929"/>
    <w:rsid w:val="00617A43"/>
    <w:rsid w:val="006345DB"/>
    <w:rsid w:val="00640F49"/>
    <w:rsid w:val="00675E1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54DA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62B8"/>
    <w:rsid w:val="009A24AC"/>
    <w:rsid w:val="009A6FFB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558F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5B27"/>
    <w:rsid w:val="00DD78D1"/>
    <w:rsid w:val="00DE32CD"/>
    <w:rsid w:val="00DE3423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487000"/>
  <w15:docId w15:val="{DF2C0B91-46DE-4681-8710-2E8FC7FB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E3423"/>
    <w:rPr>
      <w:lang w:val="ru-RU" w:eastAsia="en-US"/>
    </w:rPr>
  </w:style>
  <w:style w:type="paragraph" w:customStyle="1" w:styleId="Level1">
    <w:name w:val="Level 1"/>
    <w:basedOn w:val="a"/>
    <w:rsid w:val="00DE3423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rsid w:val="00DE342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E3423"/>
    <w:rPr>
      <w:b/>
      <w:sz w:val="24"/>
      <w:lang w:val="ru-RU" w:eastAsia="ru-RU"/>
    </w:rPr>
  </w:style>
  <w:style w:type="paragraph" w:customStyle="1" w:styleId="af3">
    <w:name w:val="(a)"/>
    <w:basedOn w:val="a"/>
    <w:qFormat/>
    <w:rsid w:val="00DE3423"/>
    <w:pPr>
      <w:spacing w:after="120"/>
      <w:ind w:left="2835" w:right="1134" w:hanging="567"/>
      <w:jc w:val="both"/>
    </w:pPr>
    <w:rPr>
      <w:rFonts w:eastAsia="Yu Mincho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F44B0-1986-4ED4-B8A3-F0FD98DDE18F}"/>
</file>

<file path=customXml/itemProps2.xml><?xml version="1.0" encoding="utf-8"?>
<ds:datastoreItem xmlns:ds="http://schemas.openxmlformats.org/officeDocument/2006/customXml" ds:itemID="{FAC1C35A-4974-45E9-A7C7-D08D476763C7}"/>
</file>

<file path=customXml/itemProps3.xml><?xml version="1.0" encoding="utf-8"?>
<ds:datastoreItem xmlns:ds="http://schemas.openxmlformats.org/officeDocument/2006/customXml" ds:itemID="{98673CF9-7EA1-4678-AF97-DEA729EC5F9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558</Words>
  <Characters>4065</Characters>
  <Application>Microsoft Office Word</Application>
  <DocSecurity>0</DocSecurity>
  <Lines>369</Lines>
  <Paragraphs>154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ECE/TRANS/WP.29/GRVA/2021/26</vt:lpstr>
      <vt:lpstr>A/</vt:lpstr>
      <vt:lpstr>A/</vt:lpstr>
    </vt:vector>
  </TitlesOfParts>
  <Company>DCM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ECE/TRANS/WP.29/GRVA/2021/26</dc:title>
  <dc:subject/>
  <dc:creator>Anna KISSELEVA</dc:creator>
  <cp:keywords/>
  <cp:lastModifiedBy>Anna Kisseleva</cp:lastModifiedBy>
  <cp:revision>3</cp:revision>
  <cp:lastPrinted>2021-08-09T14:42:00Z</cp:lastPrinted>
  <dcterms:created xsi:type="dcterms:W3CDTF">2021-08-09T14:42:00Z</dcterms:created>
  <dcterms:modified xsi:type="dcterms:W3CDTF">2021-08-09T14:43:00Z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