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5711E13" w14:textId="77777777" w:rsidTr="00C97039">
        <w:trPr>
          <w:trHeight w:hRule="exact" w:val="851"/>
        </w:trPr>
        <w:tc>
          <w:tcPr>
            <w:tcW w:w="1276" w:type="dxa"/>
            <w:tcBorders>
              <w:bottom w:val="single" w:sz="4" w:space="0" w:color="auto"/>
            </w:tcBorders>
          </w:tcPr>
          <w:p w14:paraId="66BD319C" w14:textId="77777777" w:rsidR="00F35BAF" w:rsidRPr="00DB58B5" w:rsidRDefault="00F35BAF" w:rsidP="00D205DF"/>
        </w:tc>
        <w:tc>
          <w:tcPr>
            <w:tcW w:w="2268" w:type="dxa"/>
            <w:tcBorders>
              <w:bottom w:val="single" w:sz="4" w:space="0" w:color="auto"/>
            </w:tcBorders>
            <w:vAlign w:val="bottom"/>
          </w:tcPr>
          <w:p w14:paraId="03250CC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673536" w14:textId="6AAB2781" w:rsidR="00F35BAF" w:rsidRPr="00DB58B5" w:rsidRDefault="00D205DF" w:rsidP="00D205DF">
            <w:pPr>
              <w:jc w:val="right"/>
            </w:pPr>
            <w:r w:rsidRPr="00D205DF">
              <w:rPr>
                <w:sz w:val="40"/>
              </w:rPr>
              <w:t>ECE</w:t>
            </w:r>
            <w:r>
              <w:t>/TRANS/WP.29/GRVA/2021/26</w:t>
            </w:r>
          </w:p>
        </w:tc>
      </w:tr>
      <w:tr w:rsidR="00F35BAF" w:rsidRPr="00DB58B5" w14:paraId="661156FD" w14:textId="77777777" w:rsidTr="00C97039">
        <w:trPr>
          <w:trHeight w:hRule="exact" w:val="2835"/>
        </w:trPr>
        <w:tc>
          <w:tcPr>
            <w:tcW w:w="1276" w:type="dxa"/>
            <w:tcBorders>
              <w:top w:val="single" w:sz="4" w:space="0" w:color="auto"/>
              <w:bottom w:val="single" w:sz="12" w:space="0" w:color="auto"/>
            </w:tcBorders>
          </w:tcPr>
          <w:p w14:paraId="0F9BBE5C" w14:textId="77777777" w:rsidR="00F35BAF" w:rsidRPr="00DB58B5" w:rsidRDefault="00F35BAF" w:rsidP="00C97039">
            <w:pPr>
              <w:spacing w:before="120"/>
              <w:jc w:val="center"/>
            </w:pPr>
            <w:r>
              <w:rPr>
                <w:noProof/>
                <w:lang w:eastAsia="fr-CH"/>
              </w:rPr>
              <w:drawing>
                <wp:inline distT="0" distB="0" distL="0" distR="0" wp14:anchorId="1EA82E8C" wp14:editId="350E6F5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E281D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B3572EB" w14:textId="77777777" w:rsidR="00F35BAF" w:rsidRDefault="00D205DF" w:rsidP="00C97039">
            <w:pPr>
              <w:spacing w:before="240"/>
            </w:pPr>
            <w:r>
              <w:t>Distr. générale</w:t>
            </w:r>
          </w:p>
          <w:p w14:paraId="7E999921" w14:textId="77777777" w:rsidR="00D205DF" w:rsidRDefault="00D205DF" w:rsidP="00D205DF">
            <w:pPr>
              <w:spacing w:line="240" w:lineRule="exact"/>
            </w:pPr>
            <w:r>
              <w:t>9 juillet 2021</w:t>
            </w:r>
          </w:p>
          <w:p w14:paraId="07D4D679" w14:textId="77777777" w:rsidR="00D205DF" w:rsidRDefault="00D205DF" w:rsidP="00D205DF">
            <w:pPr>
              <w:spacing w:line="240" w:lineRule="exact"/>
            </w:pPr>
            <w:r>
              <w:t>Français</w:t>
            </w:r>
          </w:p>
          <w:p w14:paraId="609C4509" w14:textId="7D2B026C" w:rsidR="00D205DF" w:rsidRPr="00DB58B5" w:rsidRDefault="00D205DF" w:rsidP="00D205DF">
            <w:pPr>
              <w:spacing w:line="240" w:lineRule="exact"/>
            </w:pPr>
            <w:r>
              <w:t>Original : anglais</w:t>
            </w:r>
          </w:p>
        </w:tc>
      </w:tr>
    </w:tbl>
    <w:p w14:paraId="42431741" w14:textId="77777777" w:rsidR="007F20FA" w:rsidRPr="000312C0" w:rsidRDefault="007F20FA" w:rsidP="007F20FA">
      <w:pPr>
        <w:spacing w:before="120"/>
        <w:rPr>
          <w:b/>
          <w:sz w:val="28"/>
          <w:szCs w:val="28"/>
        </w:rPr>
      </w:pPr>
      <w:r w:rsidRPr="000312C0">
        <w:rPr>
          <w:b/>
          <w:sz w:val="28"/>
          <w:szCs w:val="28"/>
        </w:rPr>
        <w:t>Commission économique pour l’Europe</w:t>
      </w:r>
    </w:p>
    <w:p w14:paraId="22DFEF4F" w14:textId="77777777" w:rsidR="007F20FA" w:rsidRDefault="007F20FA" w:rsidP="007F20FA">
      <w:pPr>
        <w:spacing w:before="120"/>
        <w:rPr>
          <w:sz w:val="28"/>
          <w:szCs w:val="28"/>
        </w:rPr>
      </w:pPr>
      <w:r w:rsidRPr="00685843">
        <w:rPr>
          <w:sz w:val="28"/>
          <w:szCs w:val="28"/>
        </w:rPr>
        <w:t>Comité des transports intérieurs</w:t>
      </w:r>
    </w:p>
    <w:p w14:paraId="3022FB7A" w14:textId="77777777" w:rsidR="00D205DF" w:rsidRPr="00236360" w:rsidRDefault="00D205DF" w:rsidP="00D205DF">
      <w:pPr>
        <w:spacing w:before="120" w:line="240" w:lineRule="auto"/>
        <w:rPr>
          <w:b/>
          <w:sz w:val="24"/>
          <w:szCs w:val="24"/>
        </w:rPr>
      </w:pPr>
      <w:r w:rsidRPr="00236360">
        <w:rPr>
          <w:b/>
          <w:bCs/>
          <w:sz w:val="24"/>
          <w:szCs w:val="24"/>
          <w:lang w:val="fr-FR"/>
        </w:rPr>
        <w:t>Forum mondial de l</w:t>
      </w:r>
      <w:r>
        <w:rPr>
          <w:b/>
          <w:bCs/>
          <w:sz w:val="24"/>
          <w:szCs w:val="24"/>
          <w:lang w:val="fr-FR"/>
        </w:rPr>
        <w:t>’</w:t>
      </w:r>
      <w:r w:rsidRPr="00236360">
        <w:rPr>
          <w:b/>
          <w:bCs/>
          <w:sz w:val="24"/>
          <w:szCs w:val="24"/>
          <w:lang w:val="fr-FR"/>
        </w:rPr>
        <w:t xml:space="preserve">harmonisation </w:t>
      </w:r>
      <w:r>
        <w:rPr>
          <w:b/>
          <w:bCs/>
          <w:sz w:val="24"/>
          <w:szCs w:val="24"/>
          <w:lang w:val="fr-FR"/>
        </w:rPr>
        <w:br/>
      </w:r>
      <w:r w:rsidRPr="00236360">
        <w:rPr>
          <w:b/>
          <w:bCs/>
          <w:sz w:val="24"/>
          <w:szCs w:val="24"/>
          <w:lang w:val="fr-FR"/>
        </w:rPr>
        <w:t>des Règlements concernant les véhicules</w:t>
      </w:r>
    </w:p>
    <w:p w14:paraId="49164CBD" w14:textId="77777777" w:rsidR="00D205DF" w:rsidRPr="00400A83" w:rsidRDefault="00D205DF" w:rsidP="00D205DF">
      <w:pPr>
        <w:spacing w:before="120" w:line="240" w:lineRule="auto"/>
        <w:rPr>
          <w:b/>
        </w:rPr>
      </w:pPr>
      <w:bookmarkStart w:id="0" w:name="_Hlk518466992"/>
      <w:r w:rsidRPr="00400A83">
        <w:rPr>
          <w:b/>
          <w:bCs/>
          <w:lang w:val="fr-FR"/>
        </w:rPr>
        <w:t>Groupe de travail des véhicules automatisés/autonomes et connectés</w:t>
      </w:r>
      <w:bookmarkEnd w:id="0"/>
    </w:p>
    <w:p w14:paraId="778ACB32" w14:textId="77777777" w:rsidR="00D205DF" w:rsidRPr="00400A83" w:rsidRDefault="00D205DF" w:rsidP="00D205DF">
      <w:pPr>
        <w:spacing w:before="120" w:line="240" w:lineRule="auto"/>
        <w:rPr>
          <w:b/>
        </w:rPr>
      </w:pPr>
      <w:bookmarkStart w:id="1" w:name="OLE_LINK2"/>
      <w:r w:rsidRPr="00400A83">
        <w:rPr>
          <w:b/>
          <w:bCs/>
          <w:lang w:val="fr-FR"/>
        </w:rPr>
        <w:t>Onzième session</w:t>
      </w:r>
    </w:p>
    <w:p w14:paraId="22A22385" w14:textId="77777777" w:rsidR="00D205DF" w:rsidRPr="00400A83" w:rsidRDefault="00D205DF" w:rsidP="00D205DF">
      <w:pPr>
        <w:spacing w:line="240" w:lineRule="auto"/>
      </w:pPr>
      <w:r w:rsidRPr="00400A83">
        <w:rPr>
          <w:lang w:val="fr-FR"/>
        </w:rPr>
        <w:t>Genève, 27 septembre-1</w:t>
      </w:r>
      <w:r w:rsidRPr="00400A83">
        <w:rPr>
          <w:vertAlign w:val="superscript"/>
          <w:lang w:val="fr-FR"/>
        </w:rPr>
        <w:t>er</w:t>
      </w:r>
      <w:r w:rsidRPr="00400A83">
        <w:rPr>
          <w:lang w:val="fr-FR"/>
        </w:rPr>
        <w:t xml:space="preserve"> octobre 2021</w:t>
      </w:r>
    </w:p>
    <w:p w14:paraId="41395D96" w14:textId="77777777" w:rsidR="00D205DF" w:rsidRPr="00400A83" w:rsidRDefault="00D205DF" w:rsidP="00D205DF">
      <w:pPr>
        <w:spacing w:line="240" w:lineRule="auto"/>
      </w:pPr>
      <w:r w:rsidRPr="00400A83">
        <w:rPr>
          <w:lang w:val="fr-FR"/>
        </w:rPr>
        <w:t>Point 9 b) de l’ordre du jour provisoire</w:t>
      </w:r>
    </w:p>
    <w:p w14:paraId="50C82D24" w14:textId="3F869670" w:rsidR="00D205DF" w:rsidRPr="00400A83" w:rsidRDefault="00D205DF" w:rsidP="00D205DF">
      <w:pPr>
        <w:spacing w:line="240" w:lineRule="auto"/>
        <w:rPr>
          <w:b/>
          <w:bCs/>
        </w:rPr>
      </w:pPr>
      <w:r w:rsidRPr="00400A83">
        <w:rPr>
          <w:b/>
          <w:bCs/>
          <w:lang w:val="fr-FR"/>
        </w:rPr>
        <w:t>Freinage des motocycles : Règlement ONU n</w:t>
      </w:r>
      <w:r w:rsidRPr="00400A83">
        <w:rPr>
          <w:b/>
          <w:bCs/>
          <w:vertAlign w:val="superscript"/>
          <w:lang w:val="fr-FR"/>
        </w:rPr>
        <w:t>o </w:t>
      </w:r>
      <w:r w:rsidRPr="00400A83">
        <w:rPr>
          <w:b/>
          <w:bCs/>
          <w:lang w:val="fr-FR"/>
        </w:rPr>
        <w:t>78</w:t>
      </w:r>
    </w:p>
    <w:p w14:paraId="2A789C44" w14:textId="77777777" w:rsidR="00D205DF" w:rsidRPr="00236360" w:rsidRDefault="00D205DF" w:rsidP="00D205DF">
      <w:pPr>
        <w:pStyle w:val="HChG"/>
      </w:pPr>
      <w:r w:rsidRPr="00236360">
        <w:rPr>
          <w:lang w:val="fr-FR"/>
        </w:rPr>
        <w:tab/>
      </w:r>
      <w:r w:rsidRPr="00236360">
        <w:rPr>
          <w:lang w:val="fr-FR"/>
        </w:rPr>
        <w:tab/>
        <w:t>Proposition de nouveau complément à la série 05 d</w:t>
      </w:r>
      <w:r>
        <w:rPr>
          <w:lang w:val="fr-FR"/>
        </w:rPr>
        <w:t>’</w:t>
      </w:r>
      <w:r w:rsidRPr="00236360">
        <w:rPr>
          <w:lang w:val="fr-FR"/>
        </w:rPr>
        <w:t xml:space="preserve">amendements au Règlement ONU </w:t>
      </w:r>
      <w:r w:rsidRPr="00F66E7A">
        <w:rPr>
          <w:lang w:val="fr-FR"/>
        </w:rPr>
        <w:t>n</w:t>
      </w:r>
      <w:r w:rsidRPr="00F66E7A">
        <w:rPr>
          <w:vertAlign w:val="superscript"/>
          <w:lang w:val="fr-FR"/>
        </w:rPr>
        <w:t>o</w:t>
      </w:r>
      <w:r>
        <w:rPr>
          <w:vertAlign w:val="superscript"/>
          <w:lang w:val="fr-FR"/>
        </w:rPr>
        <w:t> </w:t>
      </w:r>
      <w:r w:rsidRPr="00236360">
        <w:rPr>
          <w:lang w:val="fr-FR"/>
        </w:rPr>
        <w:t xml:space="preserve">78 </w:t>
      </w:r>
      <w:r>
        <w:rPr>
          <w:lang w:val="fr-FR"/>
        </w:rPr>
        <w:br/>
      </w:r>
      <w:r w:rsidRPr="00236360">
        <w:rPr>
          <w:lang w:val="fr-FR"/>
        </w:rPr>
        <w:t>(Freinage des motocycles)</w:t>
      </w:r>
      <w:bookmarkEnd w:id="1"/>
    </w:p>
    <w:p w14:paraId="700F9C8A" w14:textId="77777777" w:rsidR="00D205DF" w:rsidRPr="00236360" w:rsidRDefault="00D205DF" w:rsidP="00D205DF">
      <w:pPr>
        <w:pStyle w:val="H1G"/>
      </w:pPr>
      <w:r w:rsidRPr="00236360">
        <w:rPr>
          <w:lang w:val="fr-FR"/>
        </w:rPr>
        <w:tab/>
      </w:r>
      <w:r w:rsidRPr="00236360">
        <w:rPr>
          <w:lang w:val="fr-FR"/>
        </w:rPr>
        <w:tab/>
        <w:t>Communication de l</w:t>
      </w:r>
      <w:r>
        <w:rPr>
          <w:lang w:val="fr-FR"/>
        </w:rPr>
        <w:t>’</w:t>
      </w:r>
      <w:r w:rsidRPr="00236360">
        <w:rPr>
          <w:lang w:val="fr-FR"/>
        </w:rPr>
        <w:t>expert de l</w:t>
      </w:r>
      <w:r>
        <w:rPr>
          <w:lang w:val="fr-FR"/>
        </w:rPr>
        <w:t>’</w:t>
      </w:r>
      <w:r w:rsidRPr="00236360">
        <w:rPr>
          <w:lang w:val="fr-FR"/>
        </w:rPr>
        <w:t xml:space="preserve">Association internationale </w:t>
      </w:r>
      <w:r>
        <w:rPr>
          <w:lang w:val="fr-FR"/>
        </w:rPr>
        <w:br/>
      </w:r>
      <w:r w:rsidRPr="00236360">
        <w:rPr>
          <w:lang w:val="fr-FR"/>
        </w:rPr>
        <w:t>des constructeurs de motocycles</w:t>
      </w:r>
      <w:r w:rsidRPr="00D205DF">
        <w:rPr>
          <w:rStyle w:val="Appelnotedebasdep"/>
          <w:b w:val="0"/>
          <w:bCs/>
          <w:sz w:val="20"/>
          <w:vertAlign w:val="baseline"/>
          <w:lang w:val="fr-FR"/>
        </w:rPr>
        <w:footnoteReference w:customMarkFollows="1" w:id="2"/>
        <w:t>*</w:t>
      </w:r>
    </w:p>
    <w:p w14:paraId="21F5510C" w14:textId="77777777" w:rsidR="00D205DF" w:rsidRPr="00236360" w:rsidRDefault="00D205DF" w:rsidP="00D205DF">
      <w:pPr>
        <w:pStyle w:val="SingleTxtG"/>
      </w:pPr>
      <w:r w:rsidRPr="00236360">
        <w:rPr>
          <w:lang w:val="fr-FR"/>
        </w:rPr>
        <w:tab/>
      </w:r>
      <w:r>
        <w:rPr>
          <w:lang w:val="fr-FR"/>
        </w:rPr>
        <w:tab/>
      </w:r>
      <w:r w:rsidRPr="00236360">
        <w:rPr>
          <w:lang w:val="fr-FR"/>
        </w:rPr>
        <w:t>Le texte ci-après a été établi par l</w:t>
      </w:r>
      <w:r>
        <w:rPr>
          <w:lang w:val="fr-FR"/>
        </w:rPr>
        <w:t>’</w:t>
      </w:r>
      <w:r w:rsidRPr="00236360">
        <w:rPr>
          <w:lang w:val="fr-FR"/>
        </w:rPr>
        <w:t>expert de l</w:t>
      </w:r>
      <w:r>
        <w:rPr>
          <w:lang w:val="fr-FR"/>
        </w:rPr>
        <w:t>’</w:t>
      </w:r>
      <w:r w:rsidRPr="00236360">
        <w:rPr>
          <w:lang w:val="fr-FR"/>
        </w:rPr>
        <w:t>Association internationale des constructeurs de motocycles (IMMA) dans le but d</w:t>
      </w:r>
      <w:r>
        <w:rPr>
          <w:lang w:val="fr-FR"/>
        </w:rPr>
        <w:t>’aligner</w:t>
      </w:r>
      <w:r w:rsidRPr="00236360">
        <w:rPr>
          <w:lang w:val="fr-FR"/>
        </w:rPr>
        <w:t xml:space="preserve"> les prescriptions du Règlement ONU </w:t>
      </w:r>
      <w:r w:rsidRPr="00F66E7A">
        <w:rPr>
          <w:lang w:val="fr-FR"/>
        </w:rPr>
        <w:t>n</w:t>
      </w:r>
      <w:r w:rsidRPr="00F66E7A">
        <w:rPr>
          <w:vertAlign w:val="superscript"/>
          <w:lang w:val="fr-FR"/>
        </w:rPr>
        <w:t>o</w:t>
      </w:r>
      <w:r>
        <w:rPr>
          <w:vertAlign w:val="superscript"/>
          <w:lang w:val="fr-FR"/>
        </w:rPr>
        <w:t> </w:t>
      </w:r>
      <w:r w:rsidRPr="00236360">
        <w:rPr>
          <w:lang w:val="fr-FR"/>
        </w:rPr>
        <w:t xml:space="preserve">78 </w:t>
      </w:r>
      <w:r>
        <w:rPr>
          <w:lang w:val="fr-FR"/>
        </w:rPr>
        <w:t>sur les derniers</w:t>
      </w:r>
      <w:r w:rsidRPr="00236360">
        <w:rPr>
          <w:lang w:val="fr-FR"/>
        </w:rPr>
        <w:t xml:space="preserve"> amendements </w:t>
      </w:r>
      <w:r>
        <w:rPr>
          <w:lang w:val="fr-FR"/>
        </w:rPr>
        <w:t xml:space="preserve">apportés </w:t>
      </w:r>
      <w:r w:rsidRPr="00236360">
        <w:rPr>
          <w:lang w:val="fr-FR"/>
        </w:rPr>
        <w:t xml:space="preserve">au Règlement ONU </w:t>
      </w:r>
      <w:r w:rsidRPr="00F66E7A">
        <w:rPr>
          <w:lang w:val="fr-FR"/>
        </w:rPr>
        <w:t>n</w:t>
      </w:r>
      <w:r w:rsidRPr="00F66E7A">
        <w:rPr>
          <w:vertAlign w:val="superscript"/>
          <w:lang w:val="fr-FR"/>
        </w:rPr>
        <w:t>o</w:t>
      </w:r>
      <w:r>
        <w:rPr>
          <w:vertAlign w:val="superscript"/>
          <w:lang w:val="fr-FR"/>
        </w:rPr>
        <w:t> </w:t>
      </w:r>
      <w:r w:rsidRPr="00236360">
        <w:rPr>
          <w:lang w:val="fr-FR"/>
        </w:rPr>
        <w:t xml:space="preserve">13-H </w:t>
      </w:r>
      <w:r>
        <w:rPr>
          <w:lang w:val="fr-FR"/>
        </w:rPr>
        <w:t>s’agissant d</w:t>
      </w:r>
      <w:r w:rsidRPr="00236360">
        <w:rPr>
          <w:lang w:val="fr-FR"/>
        </w:rPr>
        <w:t>es seuils de décélération pour l</w:t>
      </w:r>
      <w:r>
        <w:rPr>
          <w:lang w:val="fr-FR"/>
        </w:rPr>
        <w:t>’</w:t>
      </w:r>
      <w:r w:rsidRPr="00236360">
        <w:rPr>
          <w:lang w:val="fr-FR"/>
        </w:rPr>
        <w:t xml:space="preserve">activation du ou des feux-stop en cas de freinage par récupération, que le Groupe de travail des véhicules automatisés/autonomes et connectés (GRVA) a adoptés à sa septième session. Il est fondé sur le </w:t>
      </w:r>
      <w:r w:rsidRPr="00400A83">
        <w:rPr>
          <w:lang w:val="fr-FR"/>
        </w:rPr>
        <w:t>document informel GRVA-10</w:t>
      </w:r>
      <w:r>
        <w:rPr>
          <w:lang w:val="fr-FR"/>
        </w:rPr>
        <w:noBreakHyphen/>
      </w:r>
      <w:r w:rsidRPr="00400A83">
        <w:rPr>
          <w:lang w:val="fr-FR"/>
        </w:rPr>
        <w:t>11. Les modifications qu’il est proposé d’apporter au texte actuel du Règlement figurent en caractères gras pour les ajouts et biffés pour les suppressions.</w:t>
      </w:r>
    </w:p>
    <w:p w14:paraId="5B32F706" w14:textId="77777777" w:rsidR="00D205DF" w:rsidRPr="00236360" w:rsidRDefault="00D205DF" w:rsidP="00D205DF">
      <w:pPr>
        <w:pStyle w:val="HChG"/>
      </w:pPr>
      <w:r>
        <w:rPr>
          <w:lang w:val="fr-FR"/>
        </w:rPr>
        <w:tab/>
      </w:r>
      <w:r w:rsidRPr="00236360">
        <w:rPr>
          <w:lang w:val="fr-FR"/>
        </w:rPr>
        <w:t>I.</w:t>
      </w:r>
      <w:r w:rsidRPr="00236360">
        <w:rPr>
          <w:lang w:val="fr-FR"/>
        </w:rPr>
        <w:tab/>
        <w:t xml:space="preserve">Proposition </w:t>
      </w:r>
    </w:p>
    <w:p w14:paraId="4D3B8DD3" w14:textId="77777777" w:rsidR="00D205DF" w:rsidRPr="00400A83" w:rsidRDefault="00D205DF" w:rsidP="00D205DF">
      <w:pPr>
        <w:pStyle w:val="SingleTxtG"/>
        <w:rPr>
          <w:iCs/>
        </w:rPr>
      </w:pPr>
      <w:r w:rsidRPr="00980B89">
        <w:rPr>
          <w:i/>
          <w:iCs/>
          <w:lang w:val="fr-FR"/>
        </w:rPr>
        <w:t>Paragraphe 5.1.17.2</w:t>
      </w:r>
      <w:r w:rsidRPr="00980B89">
        <w:rPr>
          <w:lang w:val="fr-FR"/>
        </w:rPr>
        <w:t>,</w:t>
      </w:r>
      <w:r w:rsidRPr="00980B89">
        <w:rPr>
          <w:i/>
          <w:iCs/>
          <w:lang w:val="fr-FR"/>
        </w:rPr>
        <w:t xml:space="preserve"> </w:t>
      </w:r>
      <w:r w:rsidRPr="00980B89">
        <w:rPr>
          <w:lang w:val="fr-FR"/>
        </w:rPr>
        <w:t>lire :</w:t>
      </w:r>
    </w:p>
    <w:p w14:paraId="00BCC008" w14:textId="77777777" w:rsidR="00D205DF" w:rsidRDefault="00D205DF" w:rsidP="00D205DF">
      <w:pPr>
        <w:pStyle w:val="SingleTxtG"/>
        <w:ind w:left="2268" w:hanging="1134"/>
        <w:rPr>
          <w:lang w:val="fr-FR"/>
        </w:rPr>
      </w:pPr>
      <w:r w:rsidRPr="00400A83">
        <w:rPr>
          <w:lang w:val="fr-FR"/>
        </w:rPr>
        <w:t>« 5.1.17.2</w:t>
      </w:r>
      <w:r w:rsidRPr="00400A83">
        <w:rPr>
          <w:lang w:val="fr-FR"/>
        </w:rPr>
        <w:tab/>
        <w:t xml:space="preserve">En outre, dans le cas d’un véhicule mû seulement par une chaîne de traction électrique équipée d’un système de freinage électrique par récupération </w:t>
      </w:r>
      <w:r w:rsidRPr="00400A83">
        <w:rPr>
          <w:strike/>
          <w:lang w:val="fr-FR"/>
        </w:rPr>
        <w:t>tel qu’il est défini au paragraphe 2.32 du présent Règlement</w:t>
      </w:r>
      <w:r w:rsidRPr="00400A83">
        <w:rPr>
          <w:lang w:val="fr-FR"/>
        </w:rPr>
        <w:t>, produisant un ralentissement lorsque la pédale d’accélérateur est relâchée, les conditions d’émission du signal de freinage sont les suivantes</w:t>
      </w:r>
      <w:r w:rsidRPr="00400A83">
        <w:rPr>
          <w:sz w:val="18"/>
          <w:szCs w:val="18"/>
          <w:vertAlign w:val="superscript"/>
          <w:lang w:val="fr-FR"/>
        </w:rPr>
        <w:t>4</w:t>
      </w:r>
      <w:r w:rsidRPr="00400A83">
        <w:rPr>
          <w:lang w:val="fr-FR"/>
        </w:rPr>
        <w:t xml:space="preserve"> : </w:t>
      </w:r>
    </w:p>
    <w:tbl>
      <w:tblPr>
        <w:tblW w:w="6234"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02"/>
        <w:gridCol w:w="3432"/>
      </w:tblGrid>
      <w:tr w:rsidR="00D205DF" w:rsidRPr="00236360" w14:paraId="7735F5DC" w14:textId="77777777" w:rsidTr="008F2122">
        <w:tc>
          <w:tcPr>
            <w:tcW w:w="2802" w:type="dxa"/>
            <w:vAlign w:val="bottom"/>
            <w:hideMark/>
          </w:tcPr>
          <w:p w14:paraId="641FA75B" w14:textId="77777777" w:rsidR="00D205DF" w:rsidRPr="00400A83" w:rsidRDefault="00D205DF" w:rsidP="00D205DF">
            <w:pPr>
              <w:keepNext/>
              <w:spacing w:before="80" w:after="80" w:line="200" w:lineRule="exact"/>
              <w:ind w:left="57" w:right="57"/>
              <w:rPr>
                <w:i/>
                <w:sz w:val="16"/>
              </w:rPr>
            </w:pPr>
            <w:r w:rsidRPr="00400A83">
              <w:rPr>
                <w:i/>
                <w:sz w:val="16"/>
              </w:rPr>
              <w:lastRenderedPageBreak/>
              <w:t xml:space="preserve">Décélération du véhicule  </w:t>
            </w:r>
          </w:p>
        </w:tc>
        <w:tc>
          <w:tcPr>
            <w:tcW w:w="3432" w:type="dxa"/>
            <w:vAlign w:val="bottom"/>
            <w:hideMark/>
          </w:tcPr>
          <w:p w14:paraId="2D642D98" w14:textId="77777777" w:rsidR="00D205DF" w:rsidRPr="00400A83" w:rsidRDefault="00D205DF" w:rsidP="008F2122">
            <w:pPr>
              <w:spacing w:before="80" w:after="80" w:line="200" w:lineRule="exact"/>
              <w:ind w:left="57" w:right="57"/>
              <w:rPr>
                <w:i/>
                <w:sz w:val="16"/>
              </w:rPr>
            </w:pPr>
            <w:r w:rsidRPr="00400A83">
              <w:rPr>
                <w:i/>
                <w:sz w:val="16"/>
              </w:rPr>
              <w:t>Émission du signal</w:t>
            </w:r>
          </w:p>
        </w:tc>
      </w:tr>
      <w:tr w:rsidR="00D205DF" w:rsidRPr="00400A83" w14:paraId="6B480A5A" w14:textId="77777777" w:rsidTr="008F2122">
        <w:tc>
          <w:tcPr>
            <w:tcW w:w="2802" w:type="dxa"/>
            <w:hideMark/>
          </w:tcPr>
          <w:p w14:paraId="6C25EA5C" w14:textId="77777777" w:rsidR="00D205DF" w:rsidRPr="00400A83" w:rsidRDefault="00D205DF" w:rsidP="008F2122">
            <w:pPr>
              <w:spacing w:before="40" w:after="40"/>
              <w:ind w:left="57" w:right="57"/>
              <w:rPr>
                <w:strike/>
              </w:rPr>
            </w:pPr>
            <w:r w:rsidRPr="00400A83">
              <w:rPr>
                <w:strike/>
                <w:lang w:val="fr-FR"/>
              </w:rPr>
              <w:t>≤0,7 m/s</w:t>
            </w:r>
            <w:r w:rsidRPr="00400A83">
              <w:rPr>
                <w:strike/>
                <w:vertAlign w:val="superscript"/>
                <w:lang w:val="fr-FR"/>
              </w:rPr>
              <w:t>2</w:t>
            </w:r>
          </w:p>
        </w:tc>
        <w:tc>
          <w:tcPr>
            <w:tcW w:w="3432" w:type="dxa"/>
            <w:hideMark/>
          </w:tcPr>
          <w:p w14:paraId="059CCBEE" w14:textId="77777777" w:rsidR="00D205DF" w:rsidRPr="00400A83" w:rsidRDefault="00D205DF" w:rsidP="008F2122">
            <w:pPr>
              <w:spacing w:before="40" w:after="40"/>
              <w:ind w:left="57" w:right="57"/>
              <w:rPr>
                <w:strike/>
              </w:rPr>
            </w:pPr>
            <w:r w:rsidRPr="00400A83">
              <w:rPr>
                <w:strike/>
                <w:lang w:val="fr-FR"/>
              </w:rPr>
              <w:t>Le signal ne doit pas être émis</w:t>
            </w:r>
          </w:p>
        </w:tc>
      </w:tr>
      <w:tr w:rsidR="00D205DF" w:rsidRPr="00400A83" w14:paraId="2D1959BF" w14:textId="77777777" w:rsidTr="008F2122">
        <w:tc>
          <w:tcPr>
            <w:tcW w:w="2802" w:type="dxa"/>
            <w:hideMark/>
          </w:tcPr>
          <w:p w14:paraId="45C214EF" w14:textId="77777777" w:rsidR="00D205DF" w:rsidRPr="00400A83" w:rsidRDefault="00D205DF" w:rsidP="008F2122">
            <w:pPr>
              <w:spacing w:before="40" w:after="40"/>
              <w:ind w:left="57" w:right="57"/>
            </w:pPr>
            <w:r w:rsidRPr="00400A83">
              <w:rPr>
                <w:strike/>
                <w:lang w:val="fr-FR"/>
              </w:rPr>
              <w:t>&gt;0,7 m/s</w:t>
            </w:r>
            <w:r w:rsidRPr="00400A83">
              <w:rPr>
                <w:strike/>
                <w:vertAlign w:val="superscript"/>
                <w:lang w:val="fr-FR"/>
              </w:rPr>
              <w:t>2</w:t>
            </w:r>
            <w:r w:rsidRPr="00400A83">
              <w:rPr>
                <w:strike/>
                <w:lang w:val="fr-FR"/>
              </w:rPr>
              <w:t xml:space="preserve"> et</w:t>
            </w:r>
            <w:r w:rsidRPr="00400A83">
              <w:rPr>
                <w:lang w:val="fr-FR"/>
              </w:rPr>
              <w:t xml:space="preserve"> ≤1,3 m/s</w:t>
            </w:r>
            <w:r w:rsidRPr="00400A83">
              <w:rPr>
                <w:vertAlign w:val="superscript"/>
                <w:lang w:val="fr-FR"/>
              </w:rPr>
              <w:t>2</w:t>
            </w:r>
          </w:p>
        </w:tc>
        <w:tc>
          <w:tcPr>
            <w:tcW w:w="3432" w:type="dxa"/>
            <w:hideMark/>
          </w:tcPr>
          <w:p w14:paraId="41A9E094" w14:textId="77777777" w:rsidR="00D205DF" w:rsidRPr="00400A83" w:rsidRDefault="00D205DF" w:rsidP="008F2122">
            <w:pPr>
              <w:spacing w:before="40" w:after="40"/>
              <w:ind w:left="57" w:right="57"/>
            </w:pPr>
            <w:r w:rsidRPr="00400A83">
              <w:rPr>
                <w:lang w:val="fr-FR"/>
              </w:rPr>
              <w:t>Le signal peut être émis</w:t>
            </w:r>
          </w:p>
        </w:tc>
      </w:tr>
      <w:tr w:rsidR="00D205DF" w:rsidRPr="00400A83" w14:paraId="5738641D" w14:textId="77777777" w:rsidTr="008F2122">
        <w:trPr>
          <w:trHeight w:val="244"/>
        </w:trPr>
        <w:tc>
          <w:tcPr>
            <w:tcW w:w="2802" w:type="dxa"/>
            <w:hideMark/>
          </w:tcPr>
          <w:p w14:paraId="4094AEE8" w14:textId="77777777" w:rsidR="00D205DF" w:rsidRPr="00400A83" w:rsidRDefault="00D205DF" w:rsidP="008F2122">
            <w:pPr>
              <w:spacing w:before="40" w:after="40"/>
              <w:ind w:left="57" w:right="57"/>
            </w:pPr>
            <w:r w:rsidRPr="00400A83">
              <w:rPr>
                <w:lang w:val="fr-FR"/>
              </w:rPr>
              <w:t>&gt;1,3 m/s</w:t>
            </w:r>
            <w:r w:rsidRPr="00400A83">
              <w:rPr>
                <w:vertAlign w:val="superscript"/>
                <w:lang w:val="fr-FR"/>
              </w:rPr>
              <w:t>2</w:t>
            </w:r>
          </w:p>
        </w:tc>
        <w:tc>
          <w:tcPr>
            <w:tcW w:w="3432" w:type="dxa"/>
            <w:hideMark/>
          </w:tcPr>
          <w:p w14:paraId="2306CECD" w14:textId="77777777" w:rsidR="00D205DF" w:rsidRPr="00400A83" w:rsidRDefault="00D205DF" w:rsidP="008F2122">
            <w:pPr>
              <w:spacing w:before="40" w:after="40"/>
              <w:ind w:left="57" w:right="57"/>
            </w:pPr>
            <w:r w:rsidRPr="00400A83">
              <w:rPr>
                <w:lang w:val="fr-FR"/>
              </w:rPr>
              <w:t>Le signal doit être émis</w:t>
            </w:r>
          </w:p>
        </w:tc>
      </w:tr>
    </w:tbl>
    <w:p w14:paraId="29659DFA" w14:textId="77777777" w:rsidR="00D205DF" w:rsidRPr="00400A83" w:rsidRDefault="00D205DF" w:rsidP="00D205DF">
      <w:pPr>
        <w:pStyle w:val="SingleTxtG"/>
        <w:spacing w:after="0" w:line="220" w:lineRule="exact"/>
        <w:ind w:left="2268" w:firstLine="170"/>
        <w:jc w:val="left"/>
        <w:rPr>
          <w:strike/>
          <w:sz w:val="18"/>
          <w:szCs w:val="18"/>
        </w:rPr>
      </w:pPr>
      <w:r w:rsidRPr="00400A83">
        <w:rPr>
          <w:strike/>
          <w:sz w:val="18"/>
          <w:szCs w:val="18"/>
          <w:lang w:val="fr-FR"/>
        </w:rPr>
        <w:t>Dans tous les cas, le signal doit être désactivé au plus tard lorsque la décélération tombe sous le seuil de 0,7 m/s</w:t>
      </w:r>
      <w:r w:rsidRPr="00400A83">
        <w:rPr>
          <w:strike/>
          <w:sz w:val="18"/>
          <w:szCs w:val="18"/>
          <w:vertAlign w:val="superscript"/>
          <w:lang w:val="fr-FR"/>
        </w:rPr>
        <w:t>2</w:t>
      </w:r>
      <w:r w:rsidRPr="00400A83">
        <w:rPr>
          <w:strike/>
          <w:sz w:val="18"/>
          <w:szCs w:val="18"/>
          <w:lang w:val="fr-FR"/>
        </w:rPr>
        <w:t>*.</w:t>
      </w:r>
    </w:p>
    <w:p w14:paraId="3A6A59CF" w14:textId="77777777" w:rsidR="00D205DF" w:rsidRPr="00400A83" w:rsidRDefault="00D205DF" w:rsidP="00D205DF">
      <w:pPr>
        <w:pStyle w:val="SingleTxtG"/>
        <w:spacing w:after="240" w:line="220" w:lineRule="exact"/>
        <w:ind w:left="2268" w:firstLine="170"/>
        <w:jc w:val="left"/>
        <w:rPr>
          <w:strike/>
          <w:sz w:val="18"/>
          <w:szCs w:val="18"/>
        </w:rPr>
      </w:pPr>
      <w:r w:rsidRPr="00400A83">
        <w:rPr>
          <w:strike/>
          <w:sz w:val="18"/>
          <w:szCs w:val="18"/>
          <w:lang w:val="fr-FR"/>
        </w:rPr>
        <w:t>* Au moment de l’homologation de type, le constructeur automobile doit confirmer le respect de cette disposition.</w:t>
      </w:r>
    </w:p>
    <w:p w14:paraId="1D0439CF" w14:textId="77777777" w:rsidR="00D205DF" w:rsidRPr="00400A83" w:rsidRDefault="00D205DF" w:rsidP="00D205DF">
      <w:pPr>
        <w:pStyle w:val="SingleTxtG"/>
        <w:ind w:left="2268"/>
        <w:rPr>
          <w:b/>
        </w:rPr>
      </w:pPr>
      <w:r w:rsidRPr="00400A83">
        <w:rPr>
          <w:b/>
          <w:bCs/>
          <w:lang w:val="fr-FR"/>
        </w:rPr>
        <w:t>Une fois émis, le signal doit persister tant qu’une demande de décélération est maintenue.</w:t>
      </w:r>
      <w:r w:rsidRPr="00400A83">
        <w:rPr>
          <w:lang w:val="fr-FR"/>
        </w:rPr>
        <w:t xml:space="preserve"> </w:t>
      </w:r>
      <w:r w:rsidRPr="00400A83">
        <w:rPr>
          <w:b/>
          <w:bCs/>
          <w:lang w:val="fr-FR"/>
        </w:rPr>
        <w:t>Il peut toutefois être supprimé à l’arrêt.</w:t>
      </w:r>
    </w:p>
    <w:p w14:paraId="462A8B59" w14:textId="3E49D6EE" w:rsidR="00D205DF" w:rsidRDefault="00D205DF" w:rsidP="00D205DF">
      <w:pPr>
        <w:pStyle w:val="SingleTxtG"/>
        <w:ind w:left="2268"/>
        <w:rPr>
          <w:b/>
          <w:bCs/>
          <w:lang w:val="fr-FR"/>
        </w:rPr>
      </w:pPr>
      <w:r w:rsidRPr="00400A83">
        <w:rPr>
          <w:b/>
          <w:bCs/>
          <w:lang w:val="fr-FR"/>
        </w:rPr>
        <w:t>Une mesure appropriée (par exemple, l’élimination de l’hystérésis, le lissage ou la temporisation) doit être mise en œuvre afin d’éviter que des modifications rapides du signal n’entraînent le clignotement des feux</w:t>
      </w:r>
      <w:r>
        <w:rPr>
          <w:b/>
          <w:bCs/>
          <w:lang w:val="fr-FR"/>
        </w:rPr>
        <w:noBreakHyphen/>
      </w:r>
      <w:r w:rsidRPr="00400A83">
        <w:rPr>
          <w:b/>
          <w:bCs/>
          <w:lang w:val="fr-FR"/>
        </w:rPr>
        <w:t>stop.</w:t>
      </w:r>
    </w:p>
    <w:p w14:paraId="6930A44E" w14:textId="77777777" w:rsidR="00D205DF" w:rsidRPr="00236360" w:rsidRDefault="00D205DF" w:rsidP="00D205DF">
      <w:pPr>
        <w:pStyle w:val="SingleTxtG"/>
        <w:tabs>
          <w:tab w:val="left" w:leader="underscore" w:pos="2170"/>
        </w:tabs>
        <w:spacing w:line="240" w:lineRule="auto"/>
        <w:ind w:left="697"/>
        <w:rPr>
          <w:sz w:val="24"/>
          <w:szCs w:val="24"/>
        </w:rPr>
      </w:pPr>
      <w:r>
        <w:rPr>
          <w:sz w:val="24"/>
          <w:szCs w:val="24"/>
        </w:rPr>
        <w:tab/>
      </w:r>
    </w:p>
    <w:p w14:paraId="0A1C2F69" w14:textId="1160927F" w:rsidR="00D205DF" w:rsidRPr="00236360" w:rsidRDefault="00D205DF" w:rsidP="00D205DF">
      <w:pPr>
        <w:pStyle w:val="Notedebasdepage"/>
        <w:spacing w:after="240"/>
        <w:rPr>
          <w:i/>
          <w:iCs/>
          <w:sz w:val="24"/>
          <w:szCs w:val="24"/>
        </w:rPr>
      </w:pPr>
      <w:r w:rsidRPr="00980B89">
        <w:rPr>
          <w:szCs w:val="18"/>
          <w:lang w:val="fr-FR"/>
        </w:rPr>
        <w:tab/>
      </w:r>
      <w:r w:rsidRPr="00980B89">
        <w:rPr>
          <w:b/>
          <w:bCs/>
          <w:szCs w:val="18"/>
          <w:vertAlign w:val="superscript"/>
          <w:lang w:val="fr-FR"/>
        </w:rPr>
        <w:t>4</w:t>
      </w:r>
      <w:r>
        <w:rPr>
          <w:b/>
          <w:bCs/>
          <w:szCs w:val="18"/>
          <w:vertAlign w:val="superscript"/>
          <w:lang w:val="fr-FR"/>
        </w:rPr>
        <w:tab/>
      </w:r>
      <w:r w:rsidRPr="00980B89">
        <w:rPr>
          <w:b/>
          <w:bCs/>
          <w:szCs w:val="18"/>
          <w:lang w:val="fr-FR"/>
        </w:rPr>
        <w:t>Au moment de l’homologation de type, le constructeur automobile doit confirmer le respect de cette disposition.</w:t>
      </w:r>
      <w:r w:rsidRPr="008E581E">
        <w:rPr>
          <w:b/>
          <w:bCs/>
          <w:sz w:val="24"/>
          <w:szCs w:val="24"/>
          <w:lang w:val="fr-FR"/>
        </w:rPr>
        <w:t> </w:t>
      </w:r>
      <w:r w:rsidRPr="00400A83">
        <w:rPr>
          <w:sz w:val="24"/>
          <w:szCs w:val="24"/>
          <w:lang w:val="fr-FR"/>
        </w:rPr>
        <w:t>».</w:t>
      </w:r>
    </w:p>
    <w:p w14:paraId="76539846" w14:textId="77777777" w:rsidR="00D205DF" w:rsidRPr="00980B89" w:rsidRDefault="00D205DF" w:rsidP="00D205DF">
      <w:pPr>
        <w:pStyle w:val="SingleTxtG"/>
        <w:rPr>
          <w:b/>
          <w:bCs/>
        </w:rPr>
      </w:pPr>
      <w:r w:rsidRPr="00980B89">
        <w:rPr>
          <w:i/>
          <w:iCs/>
          <w:lang w:val="fr-FR"/>
        </w:rPr>
        <w:t>Ajouter le nouveau paragraphe 5.1.17.3</w:t>
      </w:r>
      <w:r w:rsidRPr="00980B89">
        <w:rPr>
          <w:lang w:val="fr-FR"/>
        </w:rPr>
        <w:t>, libellé comme suit</w:t>
      </w:r>
      <w:r>
        <w:rPr>
          <w:lang w:val="fr-FR"/>
        </w:rPr>
        <w:t> </w:t>
      </w:r>
      <w:r w:rsidRPr="00980B89">
        <w:rPr>
          <w:lang w:val="fr-FR"/>
        </w:rPr>
        <w:t>:</w:t>
      </w:r>
    </w:p>
    <w:p w14:paraId="00059A10" w14:textId="77777777" w:rsidR="00D205DF" w:rsidRPr="00980B89" w:rsidRDefault="00D205DF" w:rsidP="00D205DF">
      <w:pPr>
        <w:pStyle w:val="SingleTxtG"/>
        <w:ind w:left="2268" w:hanging="1134"/>
        <w:rPr>
          <w:b/>
          <w:bCs/>
        </w:rPr>
      </w:pPr>
      <w:r w:rsidRPr="00980B89">
        <w:rPr>
          <w:b/>
          <w:bCs/>
          <w:lang w:val="fr-FR"/>
        </w:rPr>
        <w:t>« 5.1.17.3</w:t>
      </w:r>
      <w:r w:rsidRPr="00980B89">
        <w:rPr>
          <w:lang w:val="fr-FR"/>
        </w:rPr>
        <w:tab/>
      </w:r>
      <w:r w:rsidRPr="00980B89">
        <w:rPr>
          <w:b/>
          <w:bCs/>
          <w:lang w:val="fr-FR"/>
        </w:rPr>
        <w:t>Le signal ne doit pas être émis lorsque le ralentissement est uniquement dû à l’effet de freinage naturel du moteur, à la résistance à l’air ou au roulement ou à la déclivité de la route.</w:t>
      </w:r>
      <w:r w:rsidRPr="00980B89">
        <w:rPr>
          <w:lang w:val="fr-FR"/>
        </w:rPr>
        <w:t> ».</w:t>
      </w:r>
    </w:p>
    <w:p w14:paraId="71F40930" w14:textId="77777777" w:rsidR="00D205DF" w:rsidRPr="00400A83" w:rsidRDefault="00D205DF" w:rsidP="00D205DF">
      <w:pPr>
        <w:pStyle w:val="HChG"/>
        <w:rPr>
          <w:rFonts w:ascii="Arial" w:hAnsi="Arial"/>
        </w:rPr>
      </w:pPr>
      <w:r>
        <w:rPr>
          <w:lang w:val="fr-FR"/>
        </w:rPr>
        <w:tab/>
      </w:r>
      <w:r w:rsidRPr="00236360">
        <w:rPr>
          <w:lang w:val="fr-FR"/>
        </w:rPr>
        <w:t>II.</w:t>
      </w:r>
      <w:r w:rsidRPr="00236360">
        <w:rPr>
          <w:lang w:val="fr-FR"/>
        </w:rPr>
        <w:tab/>
        <w:t>Justification</w:t>
      </w:r>
    </w:p>
    <w:p w14:paraId="3A116B2E" w14:textId="77777777" w:rsidR="00D205DF" w:rsidRPr="00236360" w:rsidRDefault="00D205DF" w:rsidP="00D205DF">
      <w:pPr>
        <w:pStyle w:val="SingleTxtG"/>
      </w:pPr>
      <w:r w:rsidRPr="00236360">
        <w:t>1.</w:t>
      </w:r>
      <w:r w:rsidRPr="00236360">
        <w:tab/>
      </w:r>
      <w:r w:rsidRPr="00236360">
        <w:rPr>
          <w:lang w:val="fr-FR"/>
        </w:rPr>
        <w:t>L</w:t>
      </w:r>
      <w:r>
        <w:rPr>
          <w:lang w:val="fr-FR"/>
        </w:rPr>
        <w:t>’</w:t>
      </w:r>
      <w:r w:rsidRPr="00236360">
        <w:rPr>
          <w:lang w:val="fr-FR"/>
        </w:rPr>
        <w:t xml:space="preserve">objet de la présente proposition est </w:t>
      </w:r>
      <w:r>
        <w:rPr>
          <w:lang w:val="fr-FR"/>
        </w:rPr>
        <w:t xml:space="preserve">d’aligner les dispositions du </w:t>
      </w:r>
      <w:r w:rsidRPr="00BD36FB">
        <w:rPr>
          <w:lang w:val="fr-FR"/>
        </w:rPr>
        <w:t>Règlement ONU</w:t>
      </w:r>
      <w:r>
        <w:rPr>
          <w:lang w:val="fr-FR"/>
        </w:rPr>
        <w:t> </w:t>
      </w:r>
      <w:r w:rsidRPr="00980B89">
        <w:rPr>
          <w:rFonts w:eastAsia="MS Mincho"/>
          <w:lang w:val="fr-FR"/>
        </w:rPr>
        <w:t>n</w:t>
      </w:r>
      <w:r w:rsidRPr="00980B89">
        <w:rPr>
          <w:rFonts w:eastAsia="MS Mincho"/>
          <w:vertAlign w:val="superscript"/>
          <w:lang w:val="fr-FR"/>
        </w:rPr>
        <w:t>o</w:t>
      </w:r>
      <w:r>
        <w:rPr>
          <w:lang w:val="fr-FR"/>
        </w:rPr>
        <w:t> </w:t>
      </w:r>
      <w:r w:rsidRPr="00BD36FB">
        <w:rPr>
          <w:lang w:val="fr-FR"/>
        </w:rPr>
        <w:t xml:space="preserve">78 </w:t>
      </w:r>
      <w:r>
        <w:rPr>
          <w:lang w:val="fr-FR"/>
        </w:rPr>
        <w:t xml:space="preserve">sur les </w:t>
      </w:r>
      <w:r w:rsidRPr="00BD36FB">
        <w:rPr>
          <w:lang w:val="fr-FR"/>
        </w:rPr>
        <w:t>derniers amendements apportés</w:t>
      </w:r>
      <w:r>
        <w:rPr>
          <w:lang w:val="fr-FR"/>
        </w:rPr>
        <w:t xml:space="preserve"> au </w:t>
      </w:r>
      <w:r w:rsidRPr="00236360">
        <w:rPr>
          <w:lang w:val="fr-FR"/>
        </w:rPr>
        <w:t xml:space="preserve">Règlement ONU </w:t>
      </w:r>
      <w:r w:rsidRPr="00980B89">
        <w:rPr>
          <w:rFonts w:eastAsia="MS Mincho"/>
          <w:lang w:val="fr-FR"/>
        </w:rPr>
        <w:t>n</w:t>
      </w:r>
      <w:r w:rsidRPr="00980B89">
        <w:rPr>
          <w:rFonts w:eastAsia="MS Mincho"/>
          <w:vertAlign w:val="superscript"/>
          <w:lang w:val="fr-FR"/>
        </w:rPr>
        <w:t>o</w:t>
      </w:r>
      <w:r>
        <w:rPr>
          <w:lang w:val="fr-FR"/>
        </w:rPr>
        <w:t> </w:t>
      </w:r>
      <w:r w:rsidRPr="00236360">
        <w:rPr>
          <w:lang w:val="fr-FR"/>
        </w:rPr>
        <w:t xml:space="preserve">13-H </w:t>
      </w:r>
      <w:r>
        <w:rPr>
          <w:lang w:val="fr-FR"/>
        </w:rPr>
        <w:t>s’agissant</w:t>
      </w:r>
      <w:r w:rsidRPr="00236360">
        <w:rPr>
          <w:lang w:val="fr-FR"/>
        </w:rPr>
        <w:t xml:space="preserve"> </w:t>
      </w:r>
      <w:r>
        <w:rPr>
          <w:lang w:val="fr-FR"/>
        </w:rPr>
        <w:t>d</w:t>
      </w:r>
      <w:r w:rsidRPr="00236360">
        <w:rPr>
          <w:lang w:val="fr-FR"/>
        </w:rPr>
        <w:t>es seuils de décélération pour l</w:t>
      </w:r>
      <w:r>
        <w:rPr>
          <w:lang w:val="fr-FR"/>
        </w:rPr>
        <w:t>’</w:t>
      </w:r>
      <w:r w:rsidRPr="00236360">
        <w:rPr>
          <w:lang w:val="fr-FR"/>
        </w:rPr>
        <w:t>activation du ou des feux</w:t>
      </w:r>
      <w:r>
        <w:rPr>
          <w:lang w:val="fr-FR"/>
        </w:rPr>
        <w:t>-</w:t>
      </w:r>
      <w:r w:rsidRPr="00236360">
        <w:rPr>
          <w:lang w:val="fr-FR"/>
        </w:rPr>
        <w:t xml:space="preserve">stop en cas de freinage par récupération, </w:t>
      </w:r>
      <w:r>
        <w:rPr>
          <w:lang w:val="fr-FR"/>
        </w:rPr>
        <w:t xml:space="preserve">comme </w:t>
      </w:r>
      <w:r w:rsidRPr="00236360">
        <w:rPr>
          <w:lang w:val="fr-FR"/>
        </w:rPr>
        <w:t>présenté par l</w:t>
      </w:r>
      <w:r>
        <w:rPr>
          <w:lang w:val="fr-FR"/>
        </w:rPr>
        <w:t>’</w:t>
      </w:r>
      <w:r w:rsidRPr="00236360">
        <w:rPr>
          <w:lang w:val="fr-FR"/>
        </w:rPr>
        <w:t>IMMA dans le document GRVA-10-11 à la dixième session du GRVA</w:t>
      </w:r>
      <w:r>
        <w:rPr>
          <w:lang w:val="fr-FR"/>
        </w:rPr>
        <w:t>, afin que les deux Règlements restent harmonisés</w:t>
      </w:r>
      <w:r w:rsidRPr="00236360">
        <w:rPr>
          <w:lang w:val="fr-FR"/>
        </w:rPr>
        <w:t>.</w:t>
      </w:r>
    </w:p>
    <w:p w14:paraId="494984F9" w14:textId="77777777" w:rsidR="00D205DF" w:rsidRDefault="00D205DF" w:rsidP="00D205DF">
      <w:pPr>
        <w:pStyle w:val="SingleTxtG"/>
        <w:rPr>
          <w:lang w:val="fr-FR"/>
        </w:rPr>
      </w:pPr>
      <w:r w:rsidRPr="00400A83">
        <w:t>2.</w:t>
      </w:r>
      <w:r w:rsidRPr="00400A83">
        <w:tab/>
      </w:r>
      <w:r w:rsidRPr="00236360">
        <w:rPr>
          <w:lang w:val="fr-FR"/>
        </w:rPr>
        <w:t xml:space="preserve">Le Règlement ONU </w:t>
      </w:r>
      <w:r w:rsidRPr="00980B89">
        <w:rPr>
          <w:rFonts w:eastAsia="MS Mincho"/>
          <w:lang w:val="fr-FR"/>
        </w:rPr>
        <w:t>n</w:t>
      </w:r>
      <w:r w:rsidRPr="00980B89">
        <w:rPr>
          <w:rFonts w:eastAsia="MS Mincho"/>
          <w:vertAlign w:val="superscript"/>
          <w:lang w:val="fr-FR"/>
        </w:rPr>
        <w:t>o</w:t>
      </w:r>
      <w:r>
        <w:rPr>
          <w:lang w:val="fr-FR"/>
        </w:rPr>
        <w:t xml:space="preserve"> </w:t>
      </w:r>
      <w:r w:rsidRPr="00236360">
        <w:rPr>
          <w:lang w:val="fr-FR"/>
        </w:rPr>
        <w:t xml:space="preserve">78 </w:t>
      </w:r>
      <w:r>
        <w:rPr>
          <w:lang w:val="fr-FR"/>
        </w:rPr>
        <w:t>c</w:t>
      </w:r>
      <w:r w:rsidRPr="00236360">
        <w:rPr>
          <w:lang w:val="fr-FR"/>
        </w:rPr>
        <w:t xml:space="preserve">ontient actuellement des dispositions </w:t>
      </w:r>
      <w:r>
        <w:rPr>
          <w:lang w:val="fr-FR"/>
        </w:rPr>
        <w:t>relatives à l’émission du</w:t>
      </w:r>
      <w:r w:rsidRPr="00236360">
        <w:rPr>
          <w:lang w:val="fr-FR"/>
        </w:rPr>
        <w:t xml:space="preserve"> signal d</w:t>
      </w:r>
      <w:r>
        <w:rPr>
          <w:lang w:val="fr-FR"/>
        </w:rPr>
        <w:t>’</w:t>
      </w:r>
      <w:r w:rsidRPr="00236360">
        <w:rPr>
          <w:lang w:val="fr-FR"/>
        </w:rPr>
        <w:t>activation des feux</w:t>
      </w:r>
      <w:r>
        <w:rPr>
          <w:lang w:val="fr-FR"/>
        </w:rPr>
        <w:t>-</w:t>
      </w:r>
      <w:r w:rsidRPr="00236360">
        <w:rPr>
          <w:lang w:val="fr-FR"/>
        </w:rPr>
        <w:t xml:space="preserve">stop en cas de freinage par récupération pour les véhicules de la catégorie L. </w:t>
      </w:r>
      <w:r w:rsidRPr="004773B1">
        <w:rPr>
          <w:lang w:val="fr-FR"/>
        </w:rPr>
        <w:t xml:space="preserve">Les seuils de décélération du Règlement ONU </w:t>
      </w:r>
      <w:r w:rsidRPr="00980B89">
        <w:rPr>
          <w:rFonts w:eastAsia="MS Mincho"/>
          <w:lang w:val="fr-FR"/>
        </w:rPr>
        <w:t>n</w:t>
      </w:r>
      <w:r w:rsidRPr="00980B89">
        <w:rPr>
          <w:rFonts w:eastAsia="MS Mincho"/>
          <w:vertAlign w:val="superscript"/>
          <w:lang w:val="fr-FR"/>
        </w:rPr>
        <w:t>o</w:t>
      </w:r>
      <w:r>
        <w:rPr>
          <w:lang w:val="fr-FR"/>
        </w:rPr>
        <w:t xml:space="preserve"> </w:t>
      </w:r>
      <w:r w:rsidRPr="004773B1">
        <w:rPr>
          <w:lang w:val="fr-FR"/>
        </w:rPr>
        <w:t xml:space="preserve">78 sont alignés sur ceux de la version actuelle du Règlement </w:t>
      </w:r>
      <w:r>
        <w:rPr>
          <w:lang w:val="fr-FR"/>
        </w:rPr>
        <w:t xml:space="preserve">ONU </w:t>
      </w:r>
      <w:r w:rsidRPr="00980B89">
        <w:rPr>
          <w:rFonts w:eastAsia="MS Mincho"/>
          <w:lang w:val="fr-FR"/>
        </w:rPr>
        <w:t>n</w:t>
      </w:r>
      <w:r w:rsidRPr="00980B89">
        <w:rPr>
          <w:rFonts w:eastAsia="MS Mincho"/>
          <w:vertAlign w:val="superscript"/>
          <w:lang w:val="fr-FR"/>
        </w:rPr>
        <w:t>o</w:t>
      </w:r>
      <w:r>
        <w:rPr>
          <w:lang w:val="fr-FR"/>
        </w:rPr>
        <w:t xml:space="preserve"> </w:t>
      </w:r>
      <w:r w:rsidRPr="004773B1">
        <w:rPr>
          <w:lang w:val="fr-FR"/>
        </w:rPr>
        <w:t xml:space="preserve">13-H, ce qui garantit </w:t>
      </w:r>
      <w:r>
        <w:rPr>
          <w:lang w:val="fr-FR"/>
        </w:rPr>
        <w:t>un comportement</w:t>
      </w:r>
      <w:r w:rsidRPr="004773B1">
        <w:rPr>
          <w:lang w:val="fr-FR"/>
        </w:rPr>
        <w:t xml:space="preserve"> </w:t>
      </w:r>
      <w:r>
        <w:rPr>
          <w:lang w:val="fr-FR"/>
        </w:rPr>
        <w:t>uniforme</w:t>
      </w:r>
      <w:r w:rsidRPr="004773B1">
        <w:rPr>
          <w:lang w:val="fr-FR"/>
        </w:rPr>
        <w:t xml:space="preserve"> des feux</w:t>
      </w:r>
      <w:r>
        <w:rPr>
          <w:lang w:val="fr-FR"/>
        </w:rPr>
        <w:t>-</w:t>
      </w:r>
      <w:r w:rsidRPr="004773B1">
        <w:rPr>
          <w:lang w:val="fr-FR"/>
        </w:rPr>
        <w:t xml:space="preserve">stop </w:t>
      </w:r>
      <w:r>
        <w:rPr>
          <w:lang w:val="fr-FR"/>
        </w:rPr>
        <w:t>des</w:t>
      </w:r>
      <w:r w:rsidRPr="004773B1">
        <w:rPr>
          <w:lang w:val="fr-FR"/>
        </w:rPr>
        <w:t xml:space="preserve"> différentes catégories de véhicules et évite donc de désorienter les usagers de la route qui circulent derrière un véhicule qui freine, quelle que soit sa catégorie.</w:t>
      </w:r>
    </w:p>
    <w:p w14:paraId="247F2651" w14:textId="77777777" w:rsidR="00D205DF" w:rsidRPr="00B40CF9" w:rsidRDefault="00D205DF" w:rsidP="00D205DF">
      <w:pPr>
        <w:pStyle w:val="SingleTxtG"/>
      </w:pPr>
      <w:r w:rsidRPr="00B40CF9">
        <w:t>3.</w:t>
      </w:r>
      <w:r w:rsidRPr="00B40CF9">
        <w:tab/>
      </w:r>
      <w:r w:rsidRPr="00236360">
        <w:rPr>
          <w:lang w:val="fr-FR"/>
        </w:rPr>
        <w:t>En décembre 2020, le GRVA a adopté une proposition de l</w:t>
      </w:r>
      <w:r>
        <w:rPr>
          <w:lang w:val="fr-FR"/>
        </w:rPr>
        <w:t>’</w:t>
      </w:r>
      <w:r w:rsidRPr="00236360">
        <w:rPr>
          <w:lang w:val="fr-FR"/>
        </w:rPr>
        <w:t>Organisation internationale des constructeurs d</w:t>
      </w:r>
      <w:r>
        <w:rPr>
          <w:lang w:val="fr-FR"/>
        </w:rPr>
        <w:t>’</w:t>
      </w:r>
      <w:r w:rsidRPr="00236360">
        <w:rPr>
          <w:lang w:val="fr-FR"/>
        </w:rPr>
        <w:t>automobiles (OICA) et de l</w:t>
      </w:r>
      <w:r>
        <w:rPr>
          <w:lang w:val="fr-FR"/>
        </w:rPr>
        <w:t>’</w:t>
      </w:r>
      <w:r w:rsidRPr="00236360">
        <w:rPr>
          <w:lang w:val="fr-FR"/>
        </w:rPr>
        <w:t>Association européenne des fournisseurs de l</w:t>
      </w:r>
      <w:r>
        <w:rPr>
          <w:lang w:val="fr-FR"/>
        </w:rPr>
        <w:t>’</w:t>
      </w:r>
      <w:r w:rsidRPr="00236360">
        <w:rPr>
          <w:lang w:val="fr-FR"/>
        </w:rPr>
        <w:t>automobile (CLEPA) modifiant les dispositions relatives à l</w:t>
      </w:r>
      <w:r>
        <w:rPr>
          <w:lang w:val="fr-FR"/>
        </w:rPr>
        <w:t>’</w:t>
      </w:r>
      <w:r w:rsidRPr="00236360">
        <w:rPr>
          <w:lang w:val="fr-FR"/>
        </w:rPr>
        <w:t>émission d</w:t>
      </w:r>
      <w:r>
        <w:rPr>
          <w:lang w:val="fr-FR"/>
        </w:rPr>
        <w:t>’</w:t>
      </w:r>
      <w:r w:rsidRPr="00236360">
        <w:rPr>
          <w:lang w:val="fr-FR"/>
        </w:rPr>
        <w:t>un signal de freinage commandant l</w:t>
      </w:r>
      <w:r>
        <w:rPr>
          <w:lang w:val="fr-FR"/>
        </w:rPr>
        <w:t>’</w:t>
      </w:r>
      <w:r w:rsidRPr="00236360">
        <w:rPr>
          <w:lang w:val="fr-FR"/>
        </w:rPr>
        <w:t>allumage des feux</w:t>
      </w:r>
      <w:r>
        <w:rPr>
          <w:lang w:val="fr-FR"/>
        </w:rPr>
        <w:t>-</w:t>
      </w:r>
      <w:r w:rsidRPr="00236360">
        <w:rPr>
          <w:lang w:val="fr-FR"/>
        </w:rPr>
        <w:t xml:space="preserve">stop </w:t>
      </w:r>
      <w:r>
        <w:rPr>
          <w:lang w:val="fr-FR"/>
        </w:rPr>
        <w:t>du</w:t>
      </w:r>
      <w:r w:rsidRPr="00236360">
        <w:rPr>
          <w:lang w:val="fr-FR"/>
        </w:rPr>
        <w:t xml:space="preserve"> Règlement ONU </w:t>
      </w:r>
      <w:r w:rsidRPr="00980B89">
        <w:rPr>
          <w:rFonts w:eastAsia="MS Mincho"/>
          <w:lang w:val="fr-FR"/>
        </w:rPr>
        <w:t>n</w:t>
      </w:r>
      <w:r w:rsidRPr="00980B89">
        <w:rPr>
          <w:rFonts w:eastAsia="MS Mincho"/>
          <w:vertAlign w:val="superscript"/>
          <w:lang w:val="fr-FR"/>
        </w:rPr>
        <w:t>o</w:t>
      </w:r>
      <w:r>
        <w:rPr>
          <w:lang w:val="fr-FR"/>
        </w:rPr>
        <w:t xml:space="preserve"> </w:t>
      </w:r>
      <w:r w:rsidRPr="00236360">
        <w:rPr>
          <w:lang w:val="fr-FR"/>
        </w:rPr>
        <w:t>13-H (ECE/TRANS/WP.29/GRVA/2020/31), afin que l</w:t>
      </w:r>
      <w:r>
        <w:rPr>
          <w:lang w:val="fr-FR"/>
        </w:rPr>
        <w:t>’</w:t>
      </w:r>
      <w:r w:rsidRPr="00236360">
        <w:rPr>
          <w:lang w:val="fr-FR"/>
        </w:rPr>
        <w:t>allumage des feux</w:t>
      </w:r>
      <w:r>
        <w:rPr>
          <w:lang w:val="fr-FR"/>
        </w:rPr>
        <w:t>-</w:t>
      </w:r>
      <w:r w:rsidRPr="00236360">
        <w:rPr>
          <w:lang w:val="fr-FR"/>
        </w:rPr>
        <w:t xml:space="preserve">stop </w:t>
      </w:r>
      <w:r>
        <w:rPr>
          <w:lang w:val="fr-FR"/>
        </w:rPr>
        <w:t>signale</w:t>
      </w:r>
      <w:r w:rsidRPr="00236360">
        <w:rPr>
          <w:lang w:val="fr-FR"/>
        </w:rPr>
        <w:t xml:space="preserve"> l</w:t>
      </w:r>
      <w:r>
        <w:rPr>
          <w:lang w:val="fr-FR"/>
        </w:rPr>
        <w:t>’</w:t>
      </w:r>
      <w:r w:rsidRPr="00236360">
        <w:rPr>
          <w:lang w:val="fr-FR"/>
        </w:rPr>
        <w:t xml:space="preserve">intention de ralentir, indépendamment du type de propulsion. À cette fin, </w:t>
      </w:r>
      <w:r>
        <w:rPr>
          <w:lang w:val="fr-FR"/>
        </w:rPr>
        <w:t>la prescription visant à</w:t>
      </w:r>
      <w:r w:rsidRPr="00236360">
        <w:rPr>
          <w:lang w:val="fr-FR"/>
        </w:rPr>
        <w:t xml:space="preserve"> désactiver le signal du feu</w:t>
      </w:r>
      <w:r>
        <w:rPr>
          <w:lang w:val="fr-FR"/>
        </w:rPr>
        <w:t>-</w:t>
      </w:r>
      <w:r w:rsidRPr="00236360">
        <w:rPr>
          <w:lang w:val="fr-FR"/>
        </w:rPr>
        <w:t>stop lorsque la décélération est inférieure à 0,7 m/s</w:t>
      </w:r>
      <w:r w:rsidRPr="008E581E">
        <w:rPr>
          <w:vertAlign w:val="superscript"/>
          <w:lang w:val="fr-FR"/>
        </w:rPr>
        <w:t>2</w:t>
      </w:r>
      <w:r w:rsidRPr="00236360">
        <w:rPr>
          <w:lang w:val="fr-FR"/>
        </w:rPr>
        <w:t xml:space="preserve"> en cas de freinage par récupération a été supprimée. </w:t>
      </w:r>
      <w:r w:rsidRPr="00B40CF9">
        <w:t>Dans un souci de cohérence, l</w:t>
      </w:r>
      <w:r>
        <w:t>’</w:t>
      </w:r>
      <w:r w:rsidRPr="00B40CF9">
        <w:t xml:space="preserve">IMMA propose </w:t>
      </w:r>
      <w:r>
        <w:t>de modifier</w:t>
      </w:r>
      <w:r w:rsidRPr="00B40CF9">
        <w:t xml:space="preserve"> les seuils de décélération du </w:t>
      </w:r>
      <w:r>
        <w:t>R</w:t>
      </w:r>
      <w:r w:rsidRPr="00B40CF9">
        <w:t xml:space="preserve">èglement </w:t>
      </w:r>
      <w:r>
        <w:t xml:space="preserve">ONU </w:t>
      </w:r>
      <w:r w:rsidRPr="00980B89">
        <w:rPr>
          <w:rFonts w:eastAsia="MS Mincho"/>
        </w:rPr>
        <w:t>n</w:t>
      </w:r>
      <w:r w:rsidRPr="00980B89">
        <w:rPr>
          <w:rFonts w:eastAsia="MS Mincho"/>
          <w:vertAlign w:val="superscript"/>
        </w:rPr>
        <w:t>o</w:t>
      </w:r>
      <w:r>
        <w:t xml:space="preserve"> </w:t>
      </w:r>
      <w:r w:rsidRPr="00B40CF9">
        <w:t xml:space="preserve">78 </w:t>
      </w:r>
      <w:r>
        <w:t>en conséquence</w:t>
      </w:r>
      <w:r w:rsidRPr="00B40CF9">
        <w:t>.</w:t>
      </w:r>
    </w:p>
    <w:p w14:paraId="3CEDAD72" w14:textId="77777777" w:rsidR="00D205DF" w:rsidRPr="00B40CF9" w:rsidRDefault="00D205DF" w:rsidP="00D205DF">
      <w:pPr>
        <w:spacing w:before="240" w:line="240" w:lineRule="auto"/>
        <w:jc w:val="center"/>
        <w:rPr>
          <w:rFonts w:asciiTheme="majorBidi" w:hAnsiTheme="majorBidi"/>
          <w:sz w:val="24"/>
          <w:szCs w:val="24"/>
          <w:u w:val="single"/>
        </w:rPr>
      </w:pPr>
      <w:r w:rsidRPr="00B40CF9">
        <w:rPr>
          <w:rFonts w:asciiTheme="majorBidi" w:hAnsiTheme="majorBidi"/>
          <w:sz w:val="24"/>
          <w:szCs w:val="24"/>
          <w:u w:val="single"/>
        </w:rPr>
        <w:tab/>
      </w:r>
      <w:r w:rsidRPr="00B40CF9">
        <w:rPr>
          <w:rFonts w:asciiTheme="majorBidi" w:hAnsiTheme="majorBidi"/>
          <w:sz w:val="24"/>
          <w:szCs w:val="24"/>
          <w:u w:val="single"/>
        </w:rPr>
        <w:tab/>
      </w:r>
      <w:r w:rsidRPr="00B40CF9">
        <w:rPr>
          <w:rFonts w:asciiTheme="majorBidi" w:hAnsiTheme="majorBidi"/>
          <w:sz w:val="24"/>
          <w:szCs w:val="24"/>
          <w:u w:val="single"/>
        </w:rPr>
        <w:tab/>
      </w:r>
    </w:p>
    <w:p w14:paraId="32E68EAA" w14:textId="77777777" w:rsidR="00F9573C" w:rsidRDefault="00F9573C" w:rsidP="00AF0CB5"/>
    <w:sectPr w:rsidR="00F9573C" w:rsidSect="00D205D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18E5C" w14:textId="77777777" w:rsidR="00852DB9" w:rsidRDefault="00852DB9" w:rsidP="00F95C08">
      <w:pPr>
        <w:spacing w:line="240" w:lineRule="auto"/>
      </w:pPr>
    </w:p>
  </w:endnote>
  <w:endnote w:type="continuationSeparator" w:id="0">
    <w:p w14:paraId="37870F76" w14:textId="77777777" w:rsidR="00852DB9" w:rsidRPr="00AC3823" w:rsidRDefault="00852DB9" w:rsidP="00AC3823">
      <w:pPr>
        <w:pStyle w:val="Pieddepage"/>
      </w:pPr>
    </w:p>
  </w:endnote>
  <w:endnote w:type="continuationNotice" w:id="1">
    <w:p w14:paraId="7BD27457" w14:textId="77777777" w:rsidR="00852DB9" w:rsidRDefault="00852D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8EF6" w14:textId="266F5E95" w:rsidR="00D205DF" w:rsidRPr="00D205DF" w:rsidRDefault="00D205DF" w:rsidP="00D205DF">
    <w:pPr>
      <w:pStyle w:val="Pieddepage"/>
      <w:tabs>
        <w:tab w:val="right" w:pos="9638"/>
      </w:tabs>
    </w:pPr>
    <w:r w:rsidRPr="00D205DF">
      <w:rPr>
        <w:b/>
        <w:sz w:val="18"/>
      </w:rPr>
      <w:fldChar w:fldCharType="begin"/>
    </w:r>
    <w:r w:rsidRPr="00D205DF">
      <w:rPr>
        <w:b/>
        <w:sz w:val="18"/>
      </w:rPr>
      <w:instrText xml:space="preserve"> PAGE  \* MERGEFORMAT </w:instrText>
    </w:r>
    <w:r w:rsidRPr="00D205DF">
      <w:rPr>
        <w:b/>
        <w:sz w:val="18"/>
      </w:rPr>
      <w:fldChar w:fldCharType="separate"/>
    </w:r>
    <w:r w:rsidRPr="00D205DF">
      <w:rPr>
        <w:b/>
        <w:noProof/>
        <w:sz w:val="18"/>
      </w:rPr>
      <w:t>2</w:t>
    </w:r>
    <w:r w:rsidRPr="00D205DF">
      <w:rPr>
        <w:b/>
        <w:sz w:val="18"/>
      </w:rPr>
      <w:fldChar w:fldCharType="end"/>
    </w:r>
    <w:r>
      <w:rPr>
        <w:b/>
        <w:sz w:val="18"/>
      </w:rPr>
      <w:tab/>
    </w:r>
    <w:r>
      <w:t>GE.21-09549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C9187" w14:textId="7FC6D3E2" w:rsidR="00D205DF" w:rsidRPr="00D205DF" w:rsidRDefault="00D205DF" w:rsidP="00D205DF">
    <w:pPr>
      <w:pStyle w:val="Pieddepage"/>
      <w:tabs>
        <w:tab w:val="right" w:pos="9638"/>
      </w:tabs>
      <w:rPr>
        <w:b/>
        <w:sz w:val="18"/>
      </w:rPr>
    </w:pPr>
    <w:r>
      <w:t>GE.21-09549</w:t>
    </w:r>
    <w:r>
      <w:tab/>
    </w:r>
    <w:r w:rsidRPr="00D205DF">
      <w:rPr>
        <w:b/>
        <w:sz w:val="18"/>
      </w:rPr>
      <w:fldChar w:fldCharType="begin"/>
    </w:r>
    <w:r w:rsidRPr="00D205DF">
      <w:rPr>
        <w:b/>
        <w:sz w:val="18"/>
      </w:rPr>
      <w:instrText xml:space="preserve"> PAGE  \* MERGEFORMAT </w:instrText>
    </w:r>
    <w:r w:rsidRPr="00D205DF">
      <w:rPr>
        <w:b/>
        <w:sz w:val="18"/>
      </w:rPr>
      <w:fldChar w:fldCharType="separate"/>
    </w:r>
    <w:r w:rsidRPr="00D205DF">
      <w:rPr>
        <w:b/>
        <w:noProof/>
        <w:sz w:val="18"/>
      </w:rPr>
      <w:t>3</w:t>
    </w:r>
    <w:r w:rsidRPr="00D205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64EFB" w14:textId="206E8FF4" w:rsidR="007F20FA" w:rsidRPr="00D205DF" w:rsidRDefault="00D205DF" w:rsidP="00D205D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7762515" wp14:editId="6451B14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21-09549  (F)</w:t>
    </w:r>
    <w:r>
      <w:rPr>
        <w:noProof/>
        <w:sz w:val="20"/>
      </w:rPr>
      <w:drawing>
        <wp:anchor distT="0" distB="0" distL="114300" distR="114300" simplePos="0" relativeHeight="251660288" behindDoc="0" locked="0" layoutInCell="1" allowOverlap="1" wp14:anchorId="7B4509E6" wp14:editId="18C9343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090821    100821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295E8" w14:textId="77777777" w:rsidR="00852DB9" w:rsidRPr="00AC3823" w:rsidRDefault="00852DB9" w:rsidP="00AC3823">
      <w:pPr>
        <w:pStyle w:val="Pieddepage"/>
        <w:tabs>
          <w:tab w:val="right" w:pos="2155"/>
        </w:tabs>
        <w:spacing w:after="80" w:line="240" w:lineRule="atLeast"/>
        <w:ind w:left="680"/>
        <w:rPr>
          <w:u w:val="single"/>
        </w:rPr>
      </w:pPr>
      <w:r>
        <w:rPr>
          <w:u w:val="single"/>
        </w:rPr>
        <w:tab/>
      </w:r>
    </w:p>
  </w:footnote>
  <w:footnote w:type="continuationSeparator" w:id="0">
    <w:p w14:paraId="3D8C6F16" w14:textId="77777777" w:rsidR="00852DB9" w:rsidRPr="00AC3823" w:rsidRDefault="00852DB9" w:rsidP="00AC3823">
      <w:pPr>
        <w:pStyle w:val="Pieddepage"/>
        <w:tabs>
          <w:tab w:val="right" w:pos="2155"/>
        </w:tabs>
        <w:spacing w:after="80" w:line="240" w:lineRule="atLeast"/>
        <w:ind w:left="680"/>
        <w:rPr>
          <w:u w:val="single"/>
        </w:rPr>
      </w:pPr>
      <w:r>
        <w:rPr>
          <w:u w:val="single"/>
        </w:rPr>
        <w:tab/>
      </w:r>
    </w:p>
  </w:footnote>
  <w:footnote w:type="continuationNotice" w:id="1">
    <w:p w14:paraId="288D4BBE" w14:textId="77777777" w:rsidR="00852DB9" w:rsidRPr="00AC3823" w:rsidRDefault="00852DB9">
      <w:pPr>
        <w:spacing w:line="240" w:lineRule="auto"/>
        <w:rPr>
          <w:sz w:val="2"/>
          <w:szCs w:val="2"/>
        </w:rPr>
      </w:pPr>
    </w:p>
  </w:footnote>
  <w:footnote w:id="2">
    <w:p w14:paraId="0523B4DA" w14:textId="77777777" w:rsidR="00D205DF" w:rsidRPr="00236360" w:rsidRDefault="00D205DF" w:rsidP="00D205DF">
      <w:pPr>
        <w:pStyle w:val="Notedebasdepage"/>
      </w:pPr>
      <w:r>
        <w:rPr>
          <w:lang w:val="fr-FR"/>
        </w:rPr>
        <w:tab/>
      </w:r>
      <w:r w:rsidRPr="00400A83">
        <w:rPr>
          <w:sz w:val="20"/>
          <w:lang w:val="fr-FR"/>
        </w:rPr>
        <w:t>*</w:t>
      </w:r>
      <w:r>
        <w:rPr>
          <w:lang w:val="fr-FR"/>
        </w:rPr>
        <w:tab/>
        <w:t xml:space="preserve">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B778C" w14:textId="1D62125C" w:rsidR="00D205DF" w:rsidRPr="00D205DF" w:rsidRDefault="00D205DF">
    <w:pPr>
      <w:pStyle w:val="En-tte"/>
    </w:pPr>
    <w:fldSimple w:instr=" TITLE  \* MERGEFORMAT ">
      <w:r>
        <w:t>ECE/TRANS/WP.29/GRVA/2021/26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78F2" w14:textId="7F7A548C" w:rsidR="00D205DF" w:rsidRPr="00D205DF" w:rsidRDefault="00D205DF" w:rsidP="00D205DF">
    <w:pPr>
      <w:pStyle w:val="En-tte"/>
      <w:jc w:val="right"/>
    </w:pPr>
    <w:fldSimple w:instr=" TITLE  \* MERGEFORMAT ">
      <w:r>
        <w:t>ECE/TRANS/WP.29/GRVA/2021/26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B9"/>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52DB9"/>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3DF0"/>
    <w:rsid w:val="00B765F7"/>
    <w:rsid w:val="00B77993"/>
    <w:rsid w:val="00BA0CA9"/>
    <w:rsid w:val="00C02897"/>
    <w:rsid w:val="00C97039"/>
    <w:rsid w:val="00D205DF"/>
    <w:rsid w:val="00D3439C"/>
    <w:rsid w:val="00D7622E"/>
    <w:rsid w:val="00DB1831"/>
    <w:rsid w:val="00DD3BFD"/>
    <w:rsid w:val="00DF6678"/>
    <w:rsid w:val="00E0299A"/>
    <w:rsid w:val="00E85C74"/>
    <w:rsid w:val="00EA6547"/>
    <w:rsid w:val="00ED7237"/>
    <w:rsid w:val="00EF2E22"/>
    <w:rsid w:val="00F349F4"/>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7921BD"/>
  <w15:docId w15:val="{FFBE7E32-0AF2-4FE2-88FB-DDD6E146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D205DF"/>
    <w:rPr>
      <w:rFonts w:ascii="Times New Roman" w:eastAsiaTheme="minorHAnsi" w:hAnsi="Times New Roman" w:cs="Times New Roman"/>
      <w:sz w:val="20"/>
      <w:szCs w:val="20"/>
      <w:lang w:eastAsia="en-US"/>
    </w:rPr>
  </w:style>
  <w:style w:type="character" w:customStyle="1" w:styleId="HChGChar">
    <w:name w:val="_ H _Ch_G Char"/>
    <w:link w:val="HChG"/>
    <w:rsid w:val="00D205DF"/>
    <w:rPr>
      <w:rFonts w:ascii="Times New Roman" w:eastAsiaTheme="minorHAnsi" w:hAnsi="Times New Roman" w:cs="Times New Roman"/>
      <w:b/>
      <w:sz w:val="28"/>
      <w:szCs w:val="20"/>
      <w:lang w:eastAsia="en-US"/>
    </w:rPr>
  </w:style>
  <w:style w:type="character" w:customStyle="1" w:styleId="H1GChar">
    <w:name w:val="_ H_1_G Char"/>
    <w:link w:val="H1G"/>
    <w:rsid w:val="00D205DF"/>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2BAF0-B436-4C6D-A836-7116C059CA4E}"/>
</file>

<file path=customXml/itemProps2.xml><?xml version="1.0" encoding="utf-8"?>
<ds:datastoreItem xmlns:ds="http://schemas.openxmlformats.org/officeDocument/2006/customXml" ds:itemID="{47301CA3-F9C6-44FD-9994-1E36ED6BDAC0}"/>
</file>

<file path=customXml/itemProps3.xml><?xml version="1.0" encoding="utf-8"?>
<ds:datastoreItem xmlns:ds="http://schemas.openxmlformats.org/officeDocument/2006/customXml" ds:itemID="{F35AD428-4D30-4D37-97B9-5EAC78CED4A9}"/>
</file>

<file path=docProps/app.xml><?xml version="1.0" encoding="utf-8"?>
<Properties xmlns="http://schemas.openxmlformats.org/officeDocument/2006/extended-properties" xmlns:vt="http://schemas.openxmlformats.org/officeDocument/2006/docPropsVTypes">
  <Template>ECE_TRANS.dotm</Template>
  <TotalTime>0</TotalTime>
  <Pages>2</Pages>
  <Words>709</Words>
  <Characters>3954</Characters>
  <Application>Microsoft Office Word</Application>
  <DocSecurity>0</DocSecurity>
  <Lines>85</Lines>
  <Paragraphs>47</Paragraphs>
  <ScaleCrop>false</ScaleCrop>
  <HeadingPairs>
    <vt:vector size="2" baseType="variant">
      <vt:variant>
        <vt:lpstr>Titre</vt:lpstr>
      </vt:variant>
      <vt:variant>
        <vt:i4>1</vt:i4>
      </vt:variant>
    </vt:vector>
  </HeadingPairs>
  <TitlesOfParts>
    <vt:vector size="1" baseType="lpstr">
      <vt:lpstr>ECE/TRANS/WP.29/GRVA/2021/26</vt:lpstr>
    </vt:vector>
  </TitlesOfParts>
  <Company>DCM</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ECE/TRANS/WP.29/GRVA/2021/26</dc:title>
  <dc:subject/>
  <dc:creator>Sandrine CLERE</dc:creator>
  <cp:keywords/>
  <cp:lastModifiedBy>Sandrine CLERE</cp:lastModifiedBy>
  <cp:revision>2</cp:revision>
  <cp:lastPrinted>2014-05-14T10:59:00Z</cp:lastPrinted>
  <dcterms:created xsi:type="dcterms:W3CDTF">2021-08-10T05:08:00Z</dcterms:created>
  <dcterms:modified xsi:type="dcterms:W3CDTF">2021-08-10T05:08:00Z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