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359B8EAE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75DF4058" w14:textId="77777777" w:rsidR="00F35BAF" w:rsidRPr="00DB58B5" w:rsidRDefault="00F35BAF" w:rsidP="008A1EAC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10B45EDE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72A81787" w14:textId="0C5ECE05" w:rsidR="00F35BAF" w:rsidRPr="00DB58B5" w:rsidRDefault="008A1EAC" w:rsidP="008A1EAC">
            <w:pPr>
              <w:jc w:val="right"/>
            </w:pPr>
            <w:r w:rsidRPr="008A1EAC">
              <w:rPr>
                <w:sz w:val="40"/>
              </w:rPr>
              <w:t>ECE</w:t>
            </w:r>
            <w:r>
              <w:t>/TRANS/WP.29/GRVA/2021/25</w:t>
            </w:r>
          </w:p>
        </w:tc>
      </w:tr>
      <w:tr w:rsidR="00F35BAF" w:rsidRPr="00DB58B5" w14:paraId="3650F945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2BBD6DC6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42091A50" wp14:editId="72433904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D290020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1D061CBC" w14:textId="77777777" w:rsidR="00F35BAF" w:rsidRDefault="008A1EAC" w:rsidP="00C97039">
            <w:pPr>
              <w:spacing w:before="240"/>
            </w:pPr>
            <w:r>
              <w:t>Distr. générale</w:t>
            </w:r>
          </w:p>
          <w:p w14:paraId="7A277BA5" w14:textId="77777777" w:rsidR="008A1EAC" w:rsidRDefault="008A1EAC" w:rsidP="008A1EAC">
            <w:pPr>
              <w:spacing w:line="240" w:lineRule="exact"/>
            </w:pPr>
            <w:r>
              <w:t>13 juillet 2021</w:t>
            </w:r>
          </w:p>
          <w:p w14:paraId="723ADA71" w14:textId="77777777" w:rsidR="008A1EAC" w:rsidRDefault="008A1EAC" w:rsidP="008A1EAC">
            <w:pPr>
              <w:spacing w:line="240" w:lineRule="exact"/>
            </w:pPr>
            <w:r>
              <w:t>Français</w:t>
            </w:r>
          </w:p>
          <w:p w14:paraId="48F69222" w14:textId="2DFF5EBA" w:rsidR="008A1EAC" w:rsidRPr="00DB58B5" w:rsidRDefault="008A1EAC" w:rsidP="008A1EAC">
            <w:pPr>
              <w:spacing w:line="240" w:lineRule="exact"/>
            </w:pPr>
            <w:r>
              <w:t>Original : anglais</w:t>
            </w:r>
          </w:p>
        </w:tc>
      </w:tr>
    </w:tbl>
    <w:p w14:paraId="5B779A84" w14:textId="696A13F9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4405B4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14:paraId="166F9A9D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434AEB8B" w14:textId="354CA3B0" w:rsidR="008A1EAC" w:rsidRDefault="008A1EAC" w:rsidP="00A3029F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 w:rsidR="004405B4"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14:paraId="2C3AFFED" w14:textId="77777777" w:rsidR="008A1EAC" w:rsidRDefault="008A1EAC" w:rsidP="00A3029F">
      <w:pPr>
        <w:spacing w:before="120"/>
        <w:rPr>
          <w:b/>
        </w:rPr>
      </w:pPr>
      <w:r>
        <w:rPr>
          <w:b/>
        </w:rPr>
        <w:t xml:space="preserve">Groupe de travail </w:t>
      </w:r>
      <w:r w:rsidRPr="00EA3397">
        <w:rPr>
          <w:rFonts w:eastAsia="Times New Roman"/>
          <w:b/>
          <w:bCs/>
        </w:rPr>
        <w:t>des véhicules automatisés</w:t>
      </w:r>
      <w:r>
        <w:rPr>
          <w:rFonts w:eastAsia="Times New Roman"/>
          <w:b/>
          <w:bCs/>
        </w:rPr>
        <w:t>/autonomes et connectés</w:t>
      </w:r>
    </w:p>
    <w:p w14:paraId="6E78E510" w14:textId="4BFD4BAE" w:rsidR="008A1EAC" w:rsidRDefault="008A1EAC" w:rsidP="00A3029F">
      <w:pPr>
        <w:spacing w:before="120"/>
        <w:rPr>
          <w:b/>
        </w:rPr>
      </w:pPr>
      <w:r w:rsidRPr="003B7583">
        <w:rPr>
          <w:b/>
          <w:bCs/>
          <w:lang w:val="fr-FR"/>
        </w:rPr>
        <w:t>Onzième</w:t>
      </w:r>
      <w:r>
        <w:rPr>
          <w:b/>
        </w:rPr>
        <w:t xml:space="preserve"> session</w:t>
      </w:r>
    </w:p>
    <w:p w14:paraId="2EF878F8" w14:textId="149CF392" w:rsidR="008A1EAC" w:rsidRDefault="008A1EAC" w:rsidP="00A3029F">
      <w:pPr>
        <w:spacing w:line="240" w:lineRule="exact"/>
      </w:pPr>
      <w:r>
        <w:t xml:space="preserve">Genève, </w:t>
      </w:r>
      <w:r w:rsidRPr="003B7583">
        <w:rPr>
          <w:lang w:val="fr-FR"/>
        </w:rPr>
        <w:t>27 septembre-1</w:t>
      </w:r>
      <w:r w:rsidRPr="003B7583">
        <w:rPr>
          <w:vertAlign w:val="superscript"/>
          <w:lang w:val="fr-FR"/>
        </w:rPr>
        <w:t>er</w:t>
      </w:r>
      <w:r w:rsidRPr="003B7583">
        <w:rPr>
          <w:lang w:val="fr-FR"/>
        </w:rPr>
        <w:t xml:space="preserve"> octobre 2021</w:t>
      </w:r>
    </w:p>
    <w:p w14:paraId="0D459A23" w14:textId="56F347CB" w:rsidR="008A1EAC" w:rsidRDefault="008A1EAC" w:rsidP="00A3029F">
      <w:pPr>
        <w:spacing w:line="240" w:lineRule="exact"/>
      </w:pPr>
      <w:r>
        <w:t>Point</w:t>
      </w:r>
      <w:r w:rsidR="00DA4335">
        <w:t> </w:t>
      </w:r>
      <w:r w:rsidRPr="003B7583">
        <w:rPr>
          <w:lang w:val="fr-FR"/>
        </w:rPr>
        <w:t>8</w:t>
      </w:r>
      <w:r w:rsidR="00DA4335">
        <w:rPr>
          <w:lang w:val="fr-FR"/>
        </w:rPr>
        <w:t> </w:t>
      </w:r>
      <w:r w:rsidRPr="003B7583">
        <w:rPr>
          <w:lang w:val="fr-FR"/>
        </w:rPr>
        <w:t>c)</w:t>
      </w:r>
      <w:r>
        <w:t xml:space="preserve"> de l</w:t>
      </w:r>
      <w:r w:rsidR="004405B4">
        <w:t>’</w:t>
      </w:r>
      <w:r>
        <w:t>ordre du jour provisoire</w:t>
      </w:r>
    </w:p>
    <w:p w14:paraId="352413A3" w14:textId="55E5584A" w:rsidR="008A1EAC" w:rsidRPr="003B7583" w:rsidRDefault="008A1EAC" w:rsidP="008A1EAC">
      <w:pPr>
        <w:rPr>
          <w:b/>
        </w:rPr>
      </w:pPr>
      <w:r w:rsidRPr="003B7583">
        <w:rPr>
          <w:b/>
          <w:bCs/>
          <w:lang w:val="fr-FR"/>
        </w:rPr>
        <w:t>Règlements ONU n</w:t>
      </w:r>
      <w:r w:rsidRPr="003B7583">
        <w:rPr>
          <w:b/>
          <w:bCs/>
          <w:vertAlign w:val="superscript"/>
          <w:lang w:val="fr-FR"/>
        </w:rPr>
        <w:t>os</w:t>
      </w:r>
      <w:r w:rsidR="00B23EF1">
        <w:rPr>
          <w:b/>
          <w:bCs/>
          <w:lang w:val="fr-FR"/>
        </w:rPr>
        <w:t> </w:t>
      </w:r>
      <w:r w:rsidRPr="003B7583">
        <w:rPr>
          <w:b/>
          <w:bCs/>
          <w:lang w:val="fr-FR"/>
        </w:rPr>
        <w:t>13, 13-H, 139 et 140, et RTM ONU n</w:t>
      </w:r>
      <w:r w:rsidRPr="003B7583">
        <w:rPr>
          <w:b/>
          <w:bCs/>
          <w:vertAlign w:val="superscript"/>
          <w:lang w:val="fr-FR"/>
        </w:rPr>
        <w:t>o</w:t>
      </w:r>
      <w:r w:rsidRPr="008A1EAC">
        <w:rPr>
          <w:b/>
          <w:bCs/>
          <w:lang w:val="fr-FR"/>
        </w:rPr>
        <w:t> </w:t>
      </w:r>
      <w:r w:rsidRPr="003B7583">
        <w:rPr>
          <w:b/>
          <w:bCs/>
          <w:lang w:val="fr-FR"/>
        </w:rPr>
        <w:t>8</w:t>
      </w:r>
      <w:r>
        <w:rPr>
          <w:b/>
          <w:bCs/>
          <w:lang w:val="fr-FR"/>
        </w:rPr>
        <w:t> :</w:t>
      </w:r>
    </w:p>
    <w:p w14:paraId="44122A62" w14:textId="77777777" w:rsidR="008A1EAC" w:rsidRPr="003B7583" w:rsidRDefault="008A1EAC" w:rsidP="008A1EAC">
      <w:pPr>
        <w:rPr>
          <w:b/>
          <w:bCs/>
        </w:rPr>
      </w:pPr>
      <w:r w:rsidRPr="003B7583">
        <w:rPr>
          <w:b/>
          <w:bCs/>
          <w:lang w:val="fr-FR"/>
        </w:rPr>
        <w:t>Précisions</w:t>
      </w:r>
    </w:p>
    <w:p w14:paraId="07F0C719" w14:textId="0A604F14" w:rsidR="008A1EAC" w:rsidRPr="003B7583" w:rsidRDefault="008A1EAC" w:rsidP="008A1EAC">
      <w:pPr>
        <w:pStyle w:val="HChG"/>
      </w:pPr>
      <w:r w:rsidRPr="003B7583">
        <w:rPr>
          <w:lang w:val="fr-FR"/>
        </w:rPr>
        <w:tab/>
      </w:r>
      <w:r w:rsidRPr="003B7583">
        <w:rPr>
          <w:lang w:val="fr-FR"/>
        </w:rPr>
        <w:tab/>
      </w:r>
      <w:r w:rsidRPr="00D136D3">
        <w:rPr>
          <w:lang w:val="fr-FR"/>
        </w:rPr>
        <w:t>Proposition de série 12 d</w:t>
      </w:r>
      <w:r w:rsidR="004405B4" w:rsidRPr="00D136D3">
        <w:rPr>
          <w:lang w:val="fr-FR"/>
        </w:rPr>
        <w:t>’</w:t>
      </w:r>
      <w:r w:rsidRPr="00D136D3">
        <w:rPr>
          <w:lang w:val="fr-FR"/>
        </w:rPr>
        <w:t>amendements</w:t>
      </w:r>
      <w:r w:rsidRPr="003B7583">
        <w:rPr>
          <w:lang w:val="fr-FR"/>
        </w:rPr>
        <w:t xml:space="preserve"> </w:t>
      </w:r>
      <w:r w:rsidR="007E2EB9">
        <w:rPr>
          <w:lang w:val="fr-FR"/>
        </w:rPr>
        <w:br/>
      </w:r>
      <w:r w:rsidRPr="003B7583">
        <w:rPr>
          <w:lang w:val="fr-FR"/>
        </w:rPr>
        <w:t>au Règlement ONU n</w:t>
      </w:r>
      <w:r w:rsidRPr="003B7583">
        <w:rPr>
          <w:vertAlign w:val="superscript"/>
          <w:lang w:val="fr-FR"/>
        </w:rPr>
        <w:t>o</w:t>
      </w:r>
      <w:r w:rsidRPr="008A1EAC">
        <w:rPr>
          <w:lang w:val="fr-FR"/>
        </w:rPr>
        <w:t> </w:t>
      </w:r>
      <w:r w:rsidRPr="003B7583">
        <w:rPr>
          <w:lang w:val="fr-FR"/>
        </w:rPr>
        <w:t>13 (Freinage des véhicules lourds)</w:t>
      </w:r>
    </w:p>
    <w:p w14:paraId="3B12C739" w14:textId="1A7033A1" w:rsidR="008A1EAC" w:rsidRPr="003B7583" w:rsidRDefault="008A1EAC" w:rsidP="008A1EAC">
      <w:pPr>
        <w:pStyle w:val="H1G"/>
      </w:pPr>
      <w:r w:rsidRPr="003B7583">
        <w:rPr>
          <w:lang w:val="fr-FR"/>
        </w:rPr>
        <w:tab/>
      </w:r>
      <w:r w:rsidRPr="003B7583">
        <w:rPr>
          <w:lang w:val="fr-FR"/>
        </w:rPr>
        <w:tab/>
        <w:t>Communication de l</w:t>
      </w:r>
      <w:r w:rsidR="004405B4">
        <w:rPr>
          <w:lang w:val="fr-FR"/>
        </w:rPr>
        <w:t>’</w:t>
      </w:r>
      <w:r w:rsidRPr="003B7583">
        <w:rPr>
          <w:lang w:val="fr-FR"/>
        </w:rPr>
        <w:t>expert de l</w:t>
      </w:r>
      <w:r w:rsidR="004405B4">
        <w:rPr>
          <w:lang w:val="fr-FR"/>
        </w:rPr>
        <w:t>’</w:t>
      </w:r>
      <w:r w:rsidRPr="003B7583">
        <w:rPr>
          <w:lang w:val="fr-FR"/>
        </w:rPr>
        <w:t xml:space="preserve">Organisation internationale </w:t>
      </w:r>
      <w:r w:rsidRPr="00D136D3">
        <w:rPr>
          <w:lang w:val="fr-FR"/>
        </w:rPr>
        <w:t>des</w:t>
      </w:r>
      <w:r w:rsidR="00DA4335" w:rsidRPr="00D136D3">
        <w:rPr>
          <w:lang w:val="fr-FR"/>
        </w:rPr>
        <w:t> </w:t>
      </w:r>
      <w:r w:rsidRPr="00D136D3">
        <w:rPr>
          <w:lang w:val="fr-FR"/>
        </w:rPr>
        <w:t>constructeurs d</w:t>
      </w:r>
      <w:r w:rsidR="004405B4" w:rsidRPr="00D136D3">
        <w:rPr>
          <w:lang w:val="fr-FR"/>
        </w:rPr>
        <w:t>’</w:t>
      </w:r>
      <w:r w:rsidRPr="00D136D3">
        <w:rPr>
          <w:lang w:val="fr-FR"/>
        </w:rPr>
        <w:t>automobiles</w:t>
      </w:r>
      <w:r w:rsidRPr="008A1EAC">
        <w:rPr>
          <w:rStyle w:val="Appelnotedebasdep"/>
          <w:b w:val="0"/>
          <w:bCs/>
          <w:sz w:val="20"/>
          <w:vertAlign w:val="baseline"/>
        </w:rPr>
        <w:footnoteReference w:customMarkFollows="1" w:id="2"/>
        <w:t>*</w:t>
      </w:r>
    </w:p>
    <w:p w14:paraId="52A7ACA9" w14:textId="4188D97B" w:rsidR="00F9573C" w:rsidRPr="00DA4335" w:rsidRDefault="008A1EAC" w:rsidP="008A1EAC">
      <w:pPr>
        <w:pStyle w:val="SingleTxtG"/>
        <w:ind w:firstLine="567"/>
        <w:rPr>
          <w:spacing w:val="-2"/>
          <w:lang w:val="fr-FR"/>
        </w:rPr>
      </w:pPr>
      <w:r w:rsidRPr="00DA4335">
        <w:rPr>
          <w:spacing w:val="-2"/>
          <w:lang w:val="fr-FR"/>
        </w:rPr>
        <w:t>La présente proposition a été établie par l</w:t>
      </w:r>
      <w:r w:rsidR="004405B4">
        <w:rPr>
          <w:spacing w:val="-2"/>
          <w:lang w:val="fr-FR"/>
        </w:rPr>
        <w:t>’</w:t>
      </w:r>
      <w:r w:rsidRPr="00DA4335">
        <w:rPr>
          <w:spacing w:val="-2"/>
          <w:lang w:val="fr-FR"/>
        </w:rPr>
        <w:t>expert de l</w:t>
      </w:r>
      <w:r w:rsidR="004405B4">
        <w:rPr>
          <w:spacing w:val="-2"/>
          <w:lang w:val="fr-FR"/>
        </w:rPr>
        <w:t>’</w:t>
      </w:r>
      <w:r w:rsidRPr="00DA4335">
        <w:rPr>
          <w:spacing w:val="-2"/>
          <w:lang w:val="fr-FR"/>
        </w:rPr>
        <w:t>Organisation internationale des constructeurs d</w:t>
      </w:r>
      <w:r w:rsidR="004405B4">
        <w:rPr>
          <w:spacing w:val="-2"/>
          <w:lang w:val="fr-FR"/>
        </w:rPr>
        <w:t>’</w:t>
      </w:r>
      <w:r w:rsidRPr="00DA4335">
        <w:rPr>
          <w:spacing w:val="-2"/>
          <w:lang w:val="fr-FR"/>
        </w:rPr>
        <w:t>automobiles (OICA). Elle est fondée sur le document informel GRVA-10-33, qui a été présenté à la dixième session du Groupe de travail des véhicules automatisés/autonomes et connectés (GRVA), en mai 2021. Les modifications qu</w:t>
      </w:r>
      <w:r w:rsidR="004405B4">
        <w:rPr>
          <w:spacing w:val="-2"/>
          <w:lang w:val="fr-FR"/>
        </w:rPr>
        <w:t>’</w:t>
      </w:r>
      <w:r w:rsidRPr="00DA4335">
        <w:rPr>
          <w:spacing w:val="-2"/>
          <w:lang w:val="fr-FR"/>
        </w:rPr>
        <w:t>il est proposé d</w:t>
      </w:r>
      <w:r w:rsidR="004405B4">
        <w:rPr>
          <w:spacing w:val="-2"/>
          <w:lang w:val="fr-FR"/>
        </w:rPr>
        <w:t>’</w:t>
      </w:r>
      <w:r w:rsidRPr="00DA4335">
        <w:rPr>
          <w:spacing w:val="-2"/>
          <w:lang w:val="fr-FR"/>
        </w:rPr>
        <w:t>apporter au texte actuel du Règlement figurent en caractères gras pour les ajouts et biffés pour les suppressions.</w:t>
      </w:r>
    </w:p>
    <w:p w14:paraId="01C4AB19" w14:textId="0E26704E" w:rsidR="008A1EAC" w:rsidRDefault="008A1EAC" w:rsidP="008A1EAC">
      <w:pPr>
        <w:rPr>
          <w:lang w:val="fr-FR"/>
        </w:rPr>
      </w:pPr>
      <w:r>
        <w:rPr>
          <w:lang w:val="fr-FR"/>
        </w:rPr>
        <w:br w:type="page"/>
      </w:r>
    </w:p>
    <w:p w14:paraId="1EF3E019" w14:textId="576D78D1" w:rsidR="008A1EAC" w:rsidRPr="003B7583" w:rsidRDefault="008A1EAC" w:rsidP="008A1EAC">
      <w:pPr>
        <w:pStyle w:val="HChG"/>
      </w:pPr>
      <w:r>
        <w:rPr>
          <w:lang w:val="fr-FR"/>
        </w:rPr>
        <w:lastRenderedPageBreak/>
        <w:tab/>
      </w:r>
      <w:r w:rsidRPr="003B7583">
        <w:rPr>
          <w:lang w:val="fr-FR"/>
        </w:rPr>
        <w:t>I.</w:t>
      </w:r>
      <w:r w:rsidRPr="003B7583">
        <w:rPr>
          <w:lang w:val="fr-FR"/>
        </w:rPr>
        <w:tab/>
        <w:t>Proposition</w:t>
      </w:r>
    </w:p>
    <w:p w14:paraId="0CE8E7D7" w14:textId="68EE1925" w:rsidR="008A1EAC" w:rsidRPr="003B7583" w:rsidRDefault="008A1EAC" w:rsidP="008A1EAC">
      <w:pPr>
        <w:pStyle w:val="SingleTxtG"/>
        <w:rPr>
          <w:iCs/>
        </w:rPr>
      </w:pPr>
      <w:r w:rsidRPr="003B7583">
        <w:rPr>
          <w:i/>
          <w:iCs/>
          <w:lang w:val="fr-FR"/>
        </w:rPr>
        <w:t>Paragraphe 5.1.2.3</w:t>
      </w:r>
      <w:r w:rsidRPr="003B7583">
        <w:rPr>
          <w:lang w:val="fr-FR"/>
        </w:rPr>
        <w:t>, rappelé par commodité</w:t>
      </w:r>
      <w:r>
        <w:rPr>
          <w:lang w:val="fr-FR"/>
        </w:rPr>
        <w:t> </w:t>
      </w:r>
      <w:r w:rsidRPr="003B7583">
        <w:rPr>
          <w:lang w:val="fr-FR"/>
        </w:rPr>
        <w:t>:</w:t>
      </w:r>
    </w:p>
    <w:p w14:paraId="5E12E4E4" w14:textId="77777777" w:rsidR="008A1EAC" w:rsidRPr="003B7583" w:rsidRDefault="008A1EAC" w:rsidP="008A1EAC">
      <w:pPr>
        <w:pStyle w:val="SingleTxtG"/>
        <w:ind w:left="2268" w:hanging="1134"/>
      </w:pPr>
      <w:r w:rsidRPr="003B7583">
        <w:rPr>
          <w:lang w:val="fr-FR"/>
        </w:rPr>
        <w:t>« 5.1.2.3</w:t>
      </w:r>
      <w:r w:rsidRPr="003B7583">
        <w:rPr>
          <w:lang w:val="fr-FR"/>
        </w:rPr>
        <w:tab/>
        <w:t>Système de freinage de stationnement</w:t>
      </w:r>
    </w:p>
    <w:p w14:paraId="15E3EB1A" w14:textId="245BEBB0" w:rsidR="008A1EAC" w:rsidRDefault="008A1EAC" w:rsidP="008A1EAC">
      <w:pPr>
        <w:pStyle w:val="SingleTxtG"/>
        <w:ind w:left="2268"/>
        <w:rPr>
          <w:lang w:val="fr-FR"/>
        </w:rPr>
      </w:pPr>
      <w:r w:rsidRPr="003B7583">
        <w:rPr>
          <w:lang w:val="fr-FR"/>
        </w:rPr>
        <w:t>Le système de freinage de stationnement doit permettre de maintenir le véhicule immobile sur une déclivité ascendante ou descendante, même en l</w:t>
      </w:r>
      <w:r w:rsidR="004405B4">
        <w:rPr>
          <w:lang w:val="fr-FR"/>
        </w:rPr>
        <w:t>’</w:t>
      </w:r>
      <w:r w:rsidRPr="003B7583">
        <w:rPr>
          <w:lang w:val="fr-FR"/>
        </w:rPr>
        <w:t>absence du conducteur, les éléments actifs restant alors maintenus en</w:t>
      </w:r>
      <w:r>
        <w:rPr>
          <w:lang w:val="fr-FR"/>
        </w:rPr>
        <w:t xml:space="preserve"> </w:t>
      </w:r>
      <w:r w:rsidRPr="003B7583">
        <w:rPr>
          <w:lang w:val="fr-FR"/>
        </w:rPr>
        <w:t>position de serrage au moyen d</w:t>
      </w:r>
      <w:r w:rsidR="004405B4">
        <w:rPr>
          <w:lang w:val="fr-FR"/>
        </w:rPr>
        <w:t>’</w:t>
      </w:r>
      <w:r w:rsidRPr="003B7583">
        <w:rPr>
          <w:lang w:val="fr-FR"/>
        </w:rPr>
        <w:t>un dispositif à action purement mécanique. Le</w:t>
      </w:r>
      <w:r w:rsidR="007E2EB9">
        <w:rPr>
          <w:lang w:val="fr-FR"/>
        </w:rPr>
        <w:t> </w:t>
      </w:r>
      <w:r w:rsidRPr="003B7583">
        <w:rPr>
          <w:lang w:val="fr-FR"/>
        </w:rPr>
        <w:t>conducteur doit pouvoir obtenir ce freinage de sa place de conduite, sous réserve, dans le cas d</w:t>
      </w:r>
      <w:r w:rsidR="004405B4">
        <w:rPr>
          <w:lang w:val="fr-FR"/>
        </w:rPr>
        <w:t>’</w:t>
      </w:r>
      <w:r w:rsidRPr="003B7583">
        <w:rPr>
          <w:lang w:val="fr-FR"/>
        </w:rPr>
        <w:t>une remorque, des prescriptions du paragraphe</w:t>
      </w:r>
      <w:r w:rsidR="007E2EB9">
        <w:rPr>
          <w:lang w:val="fr-FR"/>
        </w:rPr>
        <w:t> </w:t>
      </w:r>
      <w:r w:rsidRPr="003B7583">
        <w:rPr>
          <w:lang w:val="fr-FR"/>
        </w:rPr>
        <w:t>5.2.2.10 du présent Règlement.</w:t>
      </w:r>
    </w:p>
    <w:p w14:paraId="63BF09FA" w14:textId="6A921551" w:rsidR="008A1EAC" w:rsidRPr="003B7583" w:rsidRDefault="008A1EAC" w:rsidP="008A1EAC">
      <w:pPr>
        <w:pStyle w:val="SingleTxtG"/>
        <w:ind w:left="2268"/>
      </w:pPr>
      <w:r w:rsidRPr="003B7583">
        <w:rPr>
          <w:lang w:val="fr-FR"/>
        </w:rPr>
        <w:t>Il est admis que le frein pneumatique de la remorque et le système de freinage de stationnement du véhicule tracteur soient commandés simultanément, à condition que le conducteur soit en mesure de s</w:t>
      </w:r>
      <w:r w:rsidR="004405B4">
        <w:rPr>
          <w:lang w:val="fr-FR"/>
        </w:rPr>
        <w:t>’</w:t>
      </w:r>
      <w:r w:rsidRPr="003B7583">
        <w:rPr>
          <w:lang w:val="fr-FR"/>
        </w:rPr>
        <w:t>assurer, en permanence, que l</w:t>
      </w:r>
      <w:r w:rsidR="004405B4">
        <w:rPr>
          <w:lang w:val="fr-FR"/>
        </w:rPr>
        <w:t>’</w:t>
      </w:r>
      <w:r w:rsidRPr="003B7583">
        <w:rPr>
          <w:lang w:val="fr-FR"/>
        </w:rPr>
        <w:t>efficacité du frein de stationnement de l</w:t>
      </w:r>
      <w:r w:rsidR="004405B4">
        <w:rPr>
          <w:lang w:val="fr-FR"/>
        </w:rPr>
        <w:t>’</w:t>
      </w:r>
      <w:r w:rsidRPr="003B7583">
        <w:rPr>
          <w:lang w:val="fr-FR"/>
        </w:rPr>
        <w:t>ensemble de véhicules, fournie par le système de freinage de stationnement à action purement mécanique, est suffisante. ».</w:t>
      </w:r>
    </w:p>
    <w:p w14:paraId="092C20D3" w14:textId="08A223EB" w:rsidR="008A1EAC" w:rsidRPr="003B7583" w:rsidRDefault="008A1EAC" w:rsidP="008A1EAC">
      <w:pPr>
        <w:pStyle w:val="SingleTxtG"/>
      </w:pPr>
      <w:r w:rsidRPr="003B7583">
        <w:rPr>
          <w:i/>
          <w:iCs/>
          <w:lang w:val="fr-FR"/>
        </w:rPr>
        <w:t>Paragraphe 5.2.1.26</w:t>
      </w:r>
      <w:r w:rsidRPr="003B7583">
        <w:rPr>
          <w:lang w:val="fr-FR"/>
        </w:rPr>
        <w:t>, rappelé par commodité</w:t>
      </w:r>
      <w:r>
        <w:rPr>
          <w:lang w:val="fr-FR"/>
        </w:rPr>
        <w:t> </w:t>
      </w:r>
      <w:r w:rsidRPr="003B7583">
        <w:rPr>
          <w:lang w:val="fr-FR"/>
        </w:rPr>
        <w:t>:</w:t>
      </w:r>
    </w:p>
    <w:p w14:paraId="7CF3F413" w14:textId="77777777" w:rsidR="008A1EAC" w:rsidRPr="003B7583" w:rsidRDefault="008A1EAC" w:rsidP="008A1EAC">
      <w:pPr>
        <w:pStyle w:val="SingleTxtG"/>
        <w:ind w:left="2268" w:hanging="1134"/>
      </w:pPr>
      <w:r w:rsidRPr="003B7583">
        <w:rPr>
          <w:lang w:val="fr-FR"/>
        </w:rPr>
        <w:t>« 5.2.1.26</w:t>
      </w:r>
      <w:r w:rsidRPr="003B7583">
        <w:rPr>
          <w:lang w:val="fr-FR"/>
        </w:rPr>
        <w:tab/>
        <w:t>Prescriptions supplémentaires spéciales pour la transmission électrique du frein de stationnement. ».</w:t>
      </w:r>
    </w:p>
    <w:p w14:paraId="35E76A4C" w14:textId="07460A95" w:rsidR="008A1EAC" w:rsidRPr="003B7583" w:rsidRDefault="008A1EAC" w:rsidP="008A1EAC">
      <w:pPr>
        <w:pStyle w:val="SingleTxtG"/>
        <w:rPr>
          <w:iCs/>
        </w:rPr>
      </w:pPr>
      <w:r w:rsidRPr="003B7583">
        <w:rPr>
          <w:i/>
          <w:iCs/>
          <w:lang w:val="fr-FR"/>
        </w:rPr>
        <w:t>Paragraphe 5.2.1.26.4</w:t>
      </w:r>
      <w:r w:rsidRPr="003B7583">
        <w:rPr>
          <w:lang w:val="fr-FR"/>
        </w:rPr>
        <w:t>, lire</w:t>
      </w:r>
      <w:r w:rsidR="007E2EB9">
        <w:rPr>
          <w:lang w:val="fr-FR"/>
        </w:rPr>
        <w:t> </w:t>
      </w:r>
      <w:r w:rsidRPr="003B7583">
        <w:rPr>
          <w:lang w:val="fr-FR"/>
        </w:rPr>
        <w:t>:</w:t>
      </w:r>
    </w:p>
    <w:p w14:paraId="09E5C6F2" w14:textId="7175EAEF" w:rsidR="008A1EAC" w:rsidRPr="003B7583" w:rsidRDefault="008A1EAC" w:rsidP="008A1EAC">
      <w:pPr>
        <w:pStyle w:val="SingleTxtG"/>
        <w:ind w:left="2268" w:hanging="1134"/>
        <w:rPr>
          <w:rFonts w:eastAsia="Calibri"/>
        </w:rPr>
      </w:pPr>
      <w:r w:rsidRPr="003B7583">
        <w:rPr>
          <w:lang w:val="fr-FR"/>
        </w:rPr>
        <w:t>« 5.2.1.26.4</w:t>
      </w:r>
      <w:r w:rsidRPr="003B7583">
        <w:rPr>
          <w:lang w:val="fr-FR"/>
        </w:rPr>
        <w:tab/>
        <w:t>Une fois que le contacteur de mise en marche, qui commande l</w:t>
      </w:r>
      <w:r w:rsidR="004405B4">
        <w:rPr>
          <w:lang w:val="fr-FR"/>
        </w:rPr>
        <w:t>’</w:t>
      </w:r>
      <w:r w:rsidRPr="003B7583">
        <w:rPr>
          <w:lang w:val="fr-FR"/>
        </w:rPr>
        <w:t xml:space="preserve">alimentation en électricité du système de freinage, a été mis sur la position </w:t>
      </w:r>
      <w:r w:rsidR="007E2EB9">
        <w:rPr>
          <w:lang w:val="fr-FR"/>
        </w:rPr>
        <w:t>« </w:t>
      </w:r>
      <w:r w:rsidRPr="003B7583">
        <w:rPr>
          <w:lang w:val="fr-FR"/>
        </w:rPr>
        <w:t>arrêt</w:t>
      </w:r>
      <w:r w:rsidR="007E2EB9">
        <w:rPr>
          <w:lang w:val="fr-FR"/>
        </w:rPr>
        <w:t> »</w:t>
      </w:r>
      <w:r w:rsidRPr="003B7583">
        <w:rPr>
          <w:lang w:val="fr-FR"/>
        </w:rPr>
        <w:t xml:space="preserve"> et/ou que la clef de contact a été retirée, il doit encore être possible d</w:t>
      </w:r>
      <w:r w:rsidR="004405B4">
        <w:rPr>
          <w:lang w:val="fr-FR"/>
        </w:rPr>
        <w:t>’</w:t>
      </w:r>
      <w:r w:rsidRPr="003B7583">
        <w:rPr>
          <w:lang w:val="fr-FR"/>
        </w:rPr>
        <w:t xml:space="preserve">actionner le frein de stationnement, mais il doit être impossible de le desserrer </w:t>
      </w:r>
      <w:r w:rsidRPr="003B7583">
        <w:rPr>
          <w:b/>
          <w:bCs/>
          <w:lang w:val="fr-FR"/>
        </w:rPr>
        <w:t>au moyen de la commande de frein de stationnement.</w:t>
      </w:r>
    </w:p>
    <w:p w14:paraId="4F0DE384" w14:textId="6A27CAED" w:rsidR="008A1EAC" w:rsidRPr="003B7583" w:rsidRDefault="008A1EAC" w:rsidP="008A1EAC">
      <w:pPr>
        <w:pStyle w:val="SingleTxtG"/>
        <w:ind w:left="2268"/>
        <w:rPr>
          <w:rFonts w:eastAsia="Calibri"/>
        </w:rPr>
      </w:pPr>
      <w:r w:rsidRPr="003B7583">
        <w:rPr>
          <w:lang w:val="fr-FR"/>
        </w:rPr>
        <w:t>Toutefois, le système de freinage de stationnement doit pouvoir être desserré en actionnant une télécommande satisfaisant aux prescriptions techniques s</w:t>
      </w:r>
      <w:r w:rsidR="004405B4">
        <w:rPr>
          <w:lang w:val="fr-FR"/>
        </w:rPr>
        <w:t>’</w:t>
      </w:r>
      <w:r w:rsidRPr="003B7583">
        <w:rPr>
          <w:lang w:val="fr-FR"/>
        </w:rPr>
        <w:t>appliquant à une ACSF de catégorie A, qui sont énoncées dans la série 02 d</w:t>
      </w:r>
      <w:r w:rsidR="004405B4">
        <w:rPr>
          <w:lang w:val="fr-FR"/>
        </w:rPr>
        <w:t>’</w:t>
      </w:r>
      <w:r w:rsidRPr="003B7583">
        <w:rPr>
          <w:lang w:val="fr-FR"/>
        </w:rPr>
        <w:t xml:space="preserve">amendements au Règlement ONU </w:t>
      </w:r>
      <w:r w:rsidRPr="0060170E">
        <w:rPr>
          <w:lang w:val="fr-FR"/>
        </w:rPr>
        <w:t>n</w:t>
      </w:r>
      <w:r w:rsidRPr="0060170E">
        <w:rPr>
          <w:vertAlign w:val="superscript"/>
          <w:lang w:val="fr-FR"/>
        </w:rPr>
        <w:t>o</w:t>
      </w:r>
      <w:r w:rsidRPr="008A1EAC">
        <w:rPr>
          <w:lang w:val="fr-FR"/>
        </w:rPr>
        <w:t> </w:t>
      </w:r>
      <w:r w:rsidRPr="003B7583">
        <w:rPr>
          <w:lang w:val="fr-FR"/>
        </w:rPr>
        <w:t>79 ou dans les séries d</w:t>
      </w:r>
      <w:r w:rsidR="004405B4">
        <w:rPr>
          <w:lang w:val="fr-FR"/>
        </w:rPr>
        <w:t>’</w:t>
      </w:r>
      <w:r w:rsidRPr="003B7583">
        <w:rPr>
          <w:lang w:val="fr-FR"/>
        </w:rPr>
        <w:t>amendements ultérieures.</w:t>
      </w:r>
    </w:p>
    <w:p w14:paraId="62DE223B" w14:textId="583070A0" w:rsidR="008A1EAC" w:rsidRPr="008A1EAC" w:rsidRDefault="008A1EAC" w:rsidP="008A1EAC">
      <w:pPr>
        <w:pStyle w:val="SingleTxtG"/>
        <w:ind w:left="2268"/>
        <w:rPr>
          <w:rFonts w:eastAsia="Calibri"/>
          <w:b/>
          <w:bCs/>
        </w:rPr>
      </w:pPr>
      <w:r w:rsidRPr="008A1EAC">
        <w:rPr>
          <w:b/>
          <w:bCs/>
          <w:lang w:val="fr-FR"/>
        </w:rPr>
        <w:t>En outre, le frein de stationnement doit être automatiquement actionné, du moins lorsque le véhicule est détecté en position immobile et que l</w:t>
      </w:r>
      <w:r w:rsidR="004405B4">
        <w:rPr>
          <w:b/>
          <w:bCs/>
          <w:lang w:val="fr-FR"/>
        </w:rPr>
        <w:t>’</w:t>
      </w:r>
      <w:r w:rsidRPr="008A1EAC">
        <w:rPr>
          <w:b/>
          <w:bCs/>
          <w:lang w:val="fr-FR"/>
        </w:rPr>
        <w:t>une ou l</w:t>
      </w:r>
      <w:r w:rsidR="004405B4">
        <w:rPr>
          <w:b/>
          <w:bCs/>
          <w:lang w:val="fr-FR"/>
        </w:rPr>
        <w:t>’</w:t>
      </w:r>
      <w:r w:rsidRPr="008A1EAC">
        <w:rPr>
          <w:b/>
          <w:bCs/>
          <w:lang w:val="fr-FR"/>
        </w:rPr>
        <w:t>autre des conditions suivantes est remplie</w:t>
      </w:r>
      <w:r>
        <w:rPr>
          <w:b/>
          <w:bCs/>
          <w:lang w:val="fr-FR"/>
        </w:rPr>
        <w:t> </w:t>
      </w:r>
      <w:r w:rsidRPr="008A1EAC">
        <w:rPr>
          <w:b/>
          <w:bCs/>
          <w:lang w:val="fr-FR"/>
        </w:rPr>
        <w:t>:</w:t>
      </w:r>
    </w:p>
    <w:p w14:paraId="7ED4251F" w14:textId="345EC36E" w:rsidR="008A1EAC" w:rsidRPr="003B7583" w:rsidRDefault="008A1EAC" w:rsidP="008A1EAC">
      <w:pPr>
        <w:pStyle w:val="SingleTxtG"/>
        <w:ind w:left="2835"/>
        <w:rPr>
          <w:rFonts w:eastAsia="Calibri"/>
          <w:b/>
        </w:rPr>
      </w:pPr>
      <w:r w:rsidRPr="003B7583">
        <w:rPr>
          <w:b/>
          <w:bCs/>
          <w:lang w:val="fr-FR"/>
        </w:rPr>
        <w:t>a)</w:t>
      </w:r>
      <w:r w:rsidRPr="003B7583">
        <w:rPr>
          <w:lang w:val="fr-FR"/>
        </w:rPr>
        <w:tab/>
      </w:r>
      <w:r w:rsidRPr="003B7583">
        <w:rPr>
          <w:b/>
          <w:bCs/>
          <w:lang w:val="fr-FR"/>
        </w:rPr>
        <w:t>Le contact</w:t>
      </w:r>
      <w:r>
        <w:rPr>
          <w:b/>
          <w:bCs/>
          <w:lang w:val="fr-FR"/>
        </w:rPr>
        <w:t>eur</w:t>
      </w:r>
      <w:r w:rsidRPr="003B7583">
        <w:rPr>
          <w:b/>
          <w:bCs/>
          <w:lang w:val="fr-FR"/>
        </w:rPr>
        <w:t xml:space="preserve"> </w:t>
      </w:r>
      <w:r>
        <w:rPr>
          <w:b/>
          <w:bCs/>
          <w:lang w:val="fr-FR"/>
        </w:rPr>
        <w:t>de mise en marche,</w:t>
      </w:r>
      <w:r w:rsidRPr="003B7583">
        <w:rPr>
          <w:b/>
          <w:bCs/>
          <w:lang w:val="fr-FR"/>
        </w:rPr>
        <w:t xml:space="preserve"> qui commande l</w:t>
      </w:r>
      <w:r w:rsidR="004405B4">
        <w:rPr>
          <w:b/>
          <w:bCs/>
          <w:lang w:val="fr-FR"/>
        </w:rPr>
        <w:t>’</w:t>
      </w:r>
      <w:r w:rsidRPr="003B7583">
        <w:rPr>
          <w:b/>
          <w:bCs/>
          <w:lang w:val="fr-FR"/>
        </w:rPr>
        <w:t>alimentation en électricité de l</w:t>
      </w:r>
      <w:r w:rsidR="004405B4">
        <w:rPr>
          <w:b/>
          <w:bCs/>
          <w:lang w:val="fr-FR"/>
        </w:rPr>
        <w:t>’</w:t>
      </w:r>
      <w:r w:rsidRPr="003B7583">
        <w:rPr>
          <w:b/>
          <w:bCs/>
          <w:lang w:val="fr-FR"/>
        </w:rPr>
        <w:t>équipement de freinage</w:t>
      </w:r>
      <w:r>
        <w:rPr>
          <w:b/>
          <w:bCs/>
          <w:lang w:val="fr-FR"/>
        </w:rPr>
        <w:t>,</w:t>
      </w:r>
      <w:r w:rsidRPr="003B7583">
        <w:rPr>
          <w:b/>
          <w:bCs/>
          <w:lang w:val="fr-FR"/>
        </w:rPr>
        <w:t xml:space="preserve"> a été coupé et/ou la clef de contact a été retirée</w:t>
      </w:r>
      <w:r>
        <w:rPr>
          <w:b/>
          <w:bCs/>
          <w:lang w:val="fr-FR"/>
        </w:rPr>
        <w:t> </w:t>
      </w:r>
      <w:r w:rsidRPr="003B7583">
        <w:rPr>
          <w:b/>
          <w:bCs/>
          <w:lang w:val="fr-FR"/>
        </w:rPr>
        <w:t>;</w:t>
      </w:r>
    </w:p>
    <w:p w14:paraId="2BA1017C" w14:textId="056732C8" w:rsidR="008A1EAC" w:rsidRPr="003B7583" w:rsidRDefault="008A1EAC" w:rsidP="008A1EAC">
      <w:pPr>
        <w:pStyle w:val="SingleTxtG"/>
        <w:ind w:left="2835"/>
        <w:rPr>
          <w:rFonts w:eastAsia="Calibri"/>
          <w:b/>
        </w:rPr>
      </w:pPr>
      <w:r w:rsidRPr="003B7583">
        <w:rPr>
          <w:b/>
          <w:bCs/>
          <w:lang w:val="fr-FR"/>
        </w:rPr>
        <w:t>b)</w:t>
      </w:r>
      <w:r w:rsidRPr="003B7583">
        <w:rPr>
          <w:lang w:val="fr-FR"/>
        </w:rPr>
        <w:tab/>
      </w:r>
      <w:r w:rsidRPr="003B7583">
        <w:rPr>
          <w:b/>
          <w:bCs/>
          <w:lang w:val="fr-FR"/>
        </w:rPr>
        <w:t xml:space="preserve">Le conducteur </w:t>
      </w:r>
      <w:r>
        <w:rPr>
          <w:b/>
          <w:bCs/>
          <w:lang w:val="fr-FR"/>
        </w:rPr>
        <w:t xml:space="preserve">semble </w:t>
      </w:r>
      <w:r w:rsidRPr="003B7583">
        <w:rPr>
          <w:b/>
          <w:bCs/>
          <w:lang w:val="fr-FR"/>
        </w:rPr>
        <w:t>quitt</w:t>
      </w:r>
      <w:r>
        <w:rPr>
          <w:b/>
          <w:bCs/>
          <w:lang w:val="fr-FR"/>
        </w:rPr>
        <w:t>er</w:t>
      </w:r>
      <w:r w:rsidRPr="003B7583">
        <w:rPr>
          <w:b/>
          <w:bCs/>
          <w:lang w:val="fr-FR"/>
        </w:rPr>
        <w:t xml:space="preserve"> son siège (</w:t>
      </w:r>
      <w:r>
        <w:rPr>
          <w:b/>
          <w:bCs/>
          <w:lang w:val="fr-FR"/>
        </w:rPr>
        <w:t xml:space="preserve">par </w:t>
      </w:r>
      <w:r w:rsidRPr="003B7583">
        <w:rPr>
          <w:b/>
          <w:bCs/>
          <w:lang w:val="fr-FR"/>
        </w:rPr>
        <w:t>détection de l</w:t>
      </w:r>
      <w:r w:rsidR="004405B4">
        <w:rPr>
          <w:b/>
          <w:bCs/>
          <w:lang w:val="fr-FR"/>
        </w:rPr>
        <w:t>’</w:t>
      </w:r>
      <w:r w:rsidRPr="003B7583">
        <w:rPr>
          <w:b/>
          <w:bCs/>
          <w:lang w:val="fr-FR"/>
        </w:rPr>
        <w:t>ouverture d</w:t>
      </w:r>
      <w:r w:rsidR="004405B4">
        <w:rPr>
          <w:b/>
          <w:bCs/>
          <w:lang w:val="fr-FR"/>
        </w:rPr>
        <w:t>’</w:t>
      </w:r>
      <w:r w:rsidRPr="003B7583">
        <w:rPr>
          <w:b/>
          <w:bCs/>
          <w:lang w:val="fr-FR"/>
        </w:rPr>
        <w:t>une porte ou du détachement de la ceinture de sécurité</w:t>
      </w:r>
      <w:r>
        <w:rPr>
          <w:b/>
          <w:bCs/>
          <w:lang w:val="fr-FR"/>
        </w:rPr>
        <w:t>, par exemple</w:t>
      </w:r>
      <w:r w:rsidRPr="003B7583">
        <w:rPr>
          <w:b/>
          <w:bCs/>
          <w:lang w:val="fr-FR"/>
        </w:rPr>
        <w:t>).</w:t>
      </w:r>
      <w:r w:rsidRPr="003B7583">
        <w:rPr>
          <w:lang w:val="fr-FR"/>
        </w:rPr>
        <w:t xml:space="preserve"> </w:t>
      </w:r>
      <w:r>
        <w:rPr>
          <w:b/>
          <w:bCs/>
          <w:lang w:val="fr-FR"/>
        </w:rPr>
        <w:t>À</w:t>
      </w:r>
      <w:r w:rsidRPr="003B7583">
        <w:rPr>
          <w:b/>
          <w:bCs/>
          <w:lang w:val="fr-FR"/>
        </w:rPr>
        <w:t xml:space="preserve"> défaut, pour les véhicules de la catégorie</w:t>
      </w:r>
      <w:r w:rsidR="007E2EB9">
        <w:rPr>
          <w:b/>
          <w:bCs/>
          <w:lang w:val="fr-FR"/>
        </w:rPr>
        <w:t> </w:t>
      </w:r>
      <w:r w:rsidRPr="003B7583">
        <w:rPr>
          <w:b/>
          <w:bCs/>
          <w:lang w:val="fr-FR"/>
        </w:rPr>
        <w:t xml:space="preserve">M, le frein de stationnement doit être automatiquement activé </w:t>
      </w:r>
      <w:r>
        <w:rPr>
          <w:b/>
          <w:bCs/>
          <w:lang w:val="fr-FR"/>
        </w:rPr>
        <w:t>en l</w:t>
      </w:r>
      <w:r w:rsidR="004405B4">
        <w:rPr>
          <w:b/>
          <w:bCs/>
          <w:lang w:val="fr-FR"/>
        </w:rPr>
        <w:t>’</w:t>
      </w:r>
      <w:r>
        <w:rPr>
          <w:b/>
          <w:bCs/>
          <w:lang w:val="fr-FR"/>
        </w:rPr>
        <w:t>absence de détection d</w:t>
      </w:r>
      <w:r w:rsidR="004405B4">
        <w:rPr>
          <w:b/>
          <w:bCs/>
          <w:lang w:val="fr-FR"/>
        </w:rPr>
        <w:t>’</w:t>
      </w:r>
      <w:r>
        <w:rPr>
          <w:b/>
          <w:bCs/>
          <w:lang w:val="fr-FR"/>
        </w:rPr>
        <w:t xml:space="preserve">une </w:t>
      </w:r>
      <w:r w:rsidRPr="00F4254B">
        <w:rPr>
          <w:b/>
          <w:bCs/>
          <w:lang w:val="fr-FR"/>
        </w:rPr>
        <w:t>manœuvre de freinage</w:t>
      </w:r>
      <w:r>
        <w:rPr>
          <w:b/>
          <w:bCs/>
          <w:lang w:val="fr-FR"/>
        </w:rPr>
        <w:t xml:space="preserve"> ou</w:t>
      </w:r>
      <w:r w:rsidRPr="003B7583">
        <w:rPr>
          <w:b/>
          <w:bCs/>
          <w:lang w:val="fr-FR"/>
        </w:rPr>
        <w:t xml:space="preserve"> </w:t>
      </w:r>
      <w:r>
        <w:rPr>
          <w:b/>
          <w:bCs/>
          <w:lang w:val="fr-FR"/>
        </w:rPr>
        <w:t>de l</w:t>
      </w:r>
      <w:r w:rsidR="004405B4">
        <w:rPr>
          <w:b/>
          <w:bCs/>
          <w:lang w:val="fr-FR"/>
        </w:rPr>
        <w:t>’</w:t>
      </w:r>
      <w:r>
        <w:rPr>
          <w:b/>
          <w:bCs/>
          <w:lang w:val="fr-FR"/>
        </w:rPr>
        <w:t xml:space="preserve">actionnement par le </w:t>
      </w:r>
      <w:r w:rsidRPr="003B7583">
        <w:rPr>
          <w:b/>
          <w:bCs/>
          <w:lang w:val="fr-FR"/>
        </w:rPr>
        <w:t xml:space="preserve">conducteur </w:t>
      </w:r>
      <w:r>
        <w:rPr>
          <w:b/>
          <w:bCs/>
          <w:lang w:val="fr-FR"/>
        </w:rPr>
        <w:t>d</w:t>
      </w:r>
      <w:r w:rsidR="004405B4">
        <w:rPr>
          <w:b/>
          <w:bCs/>
          <w:lang w:val="fr-FR"/>
        </w:rPr>
        <w:t>’</w:t>
      </w:r>
      <w:r w:rsidRPr="003B7583">
        <w:rPr>
          <w:b/>
          <w:bCs/>
          <w:lang w:val="fr-FR"/>
        </w:rPr>
        <w:t>une commande</w:t>
      </w:r>
      <w:r w:rsidRPr="00461FDE">
        <w:t xml:space="preserve"> </w:t>
      </w:r>
      <w:r w:rsidRPr="00461FDE">
        <w:rPr>
          <w:b/>
          <w:bCs/>
          <w:lang w:val="fr-FR"/>
        </w:rPr>
        <w:t>pendant plus de 30</w:t>
      </w:r>
      <w:r w:rsidR="007E2EB9">
        <w:rPr>
          <w:b/>
          <w:bCs/>
          <w:lang w:val="fr-FR"/>
        </w:rPr>
        <w:t> </w:t>
      </w:r>
      <w:r w:rsidRPr="00461FDE">
        <w:rPr>
          <w:b/>
          <w:bCs/>
          <w:lang w:val="fr-FR"/>
        </w:rPr>
        <w:t>secondes</w:t>
      </w:r>
      <w:r w:rsidRPr="003B7583">
        <w:rPr>
          <w:b/>
          <w:bCs/>
          <w:lang w:val="fr-FR"/>
        </w:rPr>
        <w:t>.</w:t>
      </w:r>
    </w:p>
    <w:p w14:paraId="5AC2C930" w14:textId="39AB0AF0" w:rsidR="008A1EAC" w:rsidRPr="00740C66" w:rsidRDefault="008A1EAC" w:rsidP="008A1EAC">
      <w:pPr>
        <w:pStyle w:val="SingleTxtG"/>
        <w:ind w:left="2268"/>
        <w:rPr>
          <w:rFonts w:eastAsia="Calibri"/>
        </w:rPr>
      </w:pPr>
      <w:r w:rsidRPr="003B7583">
        <w:rPr>
          <w:b/>
          <w:bCs/>
          <w:lang w:val="fr-FR"/>
        </w:rPr>
        <w:t>Toutefois, l</w:t>
      </w:r>
      <w:r w:rsidR="004405B4">
        <w:rPr>
          <w:b/>
          <w:bCs/>
          <w:lang w:val="fr-FR"/>
        </w:rPr>
        <w:t>’</w:t>
      </w:r>
      <w:r w:rsidRPr="003B7583">
        <w:rPr>
          <w:b/>
          <w:bCs/>
          <w:lang w:val="fr-FR"/>
        </w:rPr>
        <w:t>actionnement automatique du système de freinage de stationnement peut être inhibé (par exemple, lors d</w:t>
      </w:r>
      <w:r w:rsidR="004405B4">
        <w:rPr>
          <w:b/>
          <w:bCs/>
          <w:lang w:val="fr-FR"/>
        </w:rPr>
        <w:t>’</w:t>
      </w:r>
      <w:r w:rsidRPr="003B7583">
        <w:rPr>
          <w:b/>
          <w:bCs/>
          <w:lang w:val="fr-FR"/>
        </w:rPr>
        <w:t>une opération d</w:t>
      </w:r>
      <w:r w:rsidR="004405B4">
        <w:rPr>
          <w:b/>
          <w:bCs/>
          <w:lang w:val="fr-FR"/>
        </w:rPr>
        <w:t>’</w:t>
      </w:r>
      <w:r w:rsidRPr="003B7583">
        <w:rPr>
          <w:b/>
          <w:bCs/>
          <w:lang w:val="fr-FR"/>
        </w:rPr>
        <w:t xml:space="preserve">entretien, pendant une manœuvre, </w:t>
      </w:r>
      <w:r>
        <w:rPr>
          <w:b/>
          <w:bCs/>
          <w:lang w:val="fr-FR"/>
        </w:rPr>
        <w:t xml:space="preserve">ou </w:t>
      </w:r>
      <w:r w:rsidRPr="003B7583">
        <w:rPr>
          <w:b/>
          <w:bCs/>
          <w:lang w:val="fr-FR"/>
        </w:rPr>
        <w:t xml:space="preserve">pour éviter le gel du frein de stationnement en hiver) par une </w:t>
      </w:r>
      <w:r>
        <w:rPr>
          <w:b/>
          <w:bCs/>
          <w:lang w:val="fr-FR"/>
        </w:rPr>
        <w:t>intervention</w:t>
      </w:r>
      <w:r w:rsidRPr="003B7583">
        <w:rPr>
          <w:b/>
          <w:bCs/>
          <w:lang w:val="fr-FR"/>
        </w:rPr>
        <w:t xml:space="preserve"> </w:t>
      </w:r>
      <w:r>
        <w:rPr>
          <w:b/>
          <w:bCs/>
          <w:lang w:val="fr-FR"/>
        </w:rPr>
        <w:t>spécifique</w:t>
      </w:r>
      <w:r w:rsidRPr="003B7583">
        <w:rPr>
          <w:b/>
          <w:bCs/>
          <w:lang w:val="fr-FR"/>
        </w:rPr>
        <w:t xml:space="preserve"> </w:t>
      </w:r>
      <w:r>
        <w:rPr>
          <w:b/>
          <w:bCs/>
          <w:lang w:val="fr-FR"/>
        </w:rPr>
        <w:t xml:space="preserve">du conducteur </w:t>
      </w:r>
      <w:r w:rsidRPr="003B7583">
        <w:rPr>
          <w:b/>
          <w:bCs/>
          <w:lang w:val="fr-FR"/>
        </w:rPr>
        <w:t>(par exemple, l</w:t>
      </w:r>
      <w:r w:rsidR="004405B4">
        <w:rPr>
          <w:b/>
          <w:bCs/>
          <w:lang w:val="fr-FR"/>
        </w:rPr>
        <w:t>’</w:t>
      </w:r>
      <w:r w:rsidRPr="003B7583">
        <w:rPr>
          <w:b/>
          <w:bCs/>
          <w:lang w:val="fr-FR"/>
        </w:rPr>
        <w:t>actionnement d</w:t>
      </w:r>
      <w:r w:rsidR="004405B4">
        <w:rPr>
          <w:b/>
          <w:bCs/>
          <w:lang w:val="fr-FR"/>
        </w:rPr>
        <w:t>’</w:t>
      </w:r>
      <w:r w:rsidRPr="003B7583">
        <w:rPr>
          <w:b/>
          <w:bCs/>
          <w:lang w:val="fr-FR"/>
        </w:rPr>
        <w:t>une pédale ou d</w:t>
      </w:r>
      <w:r w:rsidR="004405B4">
        <w:rPr>
          <w:b/>
          <w:bCs/>
          <w:lang w:val="fr-FR"/>
        </w:rPr>
        <w:t>’</w:t>
      </w:r>
      <w:r w:rsidRPr="003B7583">
        <w:rPr>
          <w:b/>
          <w:bCs/>
          <w:lang w:val="fr-FR"/>
        </w:rPr>
        <w:t>un contacteur). </w:t>
      </w:r>
      <w:r w:rsidRPr="00740C66">
        <w:rPr>
          <w:lang w:val="fr-FR"/>
        </w:rPr>
        <w:t>».</w:t>
      </w:r>
    </w:p>
    <w:p w14:paraId="7DAD19CA" w14:textId="5CDBB3AA" w:rsidR="008A1EAC" w:rsidRPr="003B7583" w:rsidRDefault="008A1EAC" w:rsidP="007E2EB9">
      <w:pPr>
        <w:pStyle w:val="SingleTxtG"/>
        <w:keepNext/>
        <w:rPr>
          <w:b/>
          <w:iCs/>
        </w:rPr>
      </w:pPr>
      <w:r w:rsidRPr="003B7583">
        <w:rPr>
          <w:i/>
          <w:iCs/>
          <w:lang w:val="fr-FR"/>
        </w:rPr>
        <w:lastRenderedPageBreak/>
        <w:t>Paragraphe 12</w:t>
      </w:r>
      <w:r w:rsidRPr="003B7583">
        <w:rPr>
          <w:lang w:val="fr-FR"/>
        </w:rPr>
        <w:t>, lire</w:t>
      </w:r>
      <w:r w:rsidR="004405B4">
        <w:rPr>
          <w:lang w:val="fr-FR"/>
        </w:rPr>
        <w:t> </w:t>
      </w:r>
      <w:r w:rsidRPr="003B7583">
        <w:rPr>
          <w:lang w:val="fr-FR"/>
        </w:rPr>
        <w:t>:</w:t>
      </w:r>
    </w:p>
    <w:p w14:paraId="74C3550A" w14:textId="31E983D0" w:rsidR="008A1EAC" w:rsidRPr="003B7583" w:rsidRDefault="008A1EAC" w:rsidP="007E2EB9">
      <w:pPr>
        <w:pStyle w:val="SingleTxtG"/>
        <w:keepNext/>
        <w:ind w:left="2268" w:hanging="1134"/>
        <w:rPr>
          <w:b/>
          <w:iCs/>
        </w:rPr>
      </w:pPr>
      <w:r w:rsidRPr="00740C66">
        <w:rPr>
          <w:lang w:val="fr-FR"/>
        </w:rPr>
        <w:t>« </w:t>
      </w:r>
      <w:r w:rsidRPr="003B7583">
        <w:rPr>
          <w:b/>
          <w:bCs/>
          <w:lang w:val="fr-FR"/>
        </w:rPr>
        <w:t>12.</w:t>
      </w:r>
      <w:r w:rsidRPr="003B7583">
        <w:rPr>
          <w:lang w:val="fr-FR"/>
        </w:rPr>
        <w:tab/>
      </w:r>
      <w:r w:rsidRPr="003B7583">
        <w:rPr>
          <w:lang w:val="fr-FR"/>
        </w:rPr>
        <w:tab/>
      </w:r>
      <w:r w:rsidRPr="003B7583">
        <w:rPr>
          <w:b/>
          <w:bCs/>
          <w:lang w:val="fr-FR"/>
        </w:rPr>
        <w:t>Dispositions transitoires</w:t>
      </w:r>
    </w:p>
    <w:p w14:paraId="04A247D0" w14:textId="2B736C8C" w:rsidR="008A1EAC" w:rsidRPr="003B7583" w:rsidRDefault="008A1EAC" w:rsidP="007E2EB9">
      <w:pPr>
        <w:pStyle w:val="SingleTxtG"/>
        <w:keepNext/>
        <w:ind w:left="2268" w:hanging="1134"/>
        <w:rPr>
          <w:b/>
          <w:iCs/>
        </w:rPr>
      </w:pPr>
      <w:r w:rsidRPr="003B7583">
        <w:rPr>
          <w:b/>
          <w:bCs/>
          <w:lang w:val="fr-FR"/>
        </w:rPr>
        <w:t>12.1</w:t>
      </w:r>
      <w:r w:rsidRPr="003B7583">
        <w:rPr>
          <w:lang w:val="fr-FR"/>
        </w:rPr>
        <w:tab/>
      </w:r>
      <w:r w:rsidRPr="003B7583">
        <w:rPr>
          <w:b/>
          <w:bCs/>
          <w:lang w:val="fr-FR"/>
        </w:rPr>
        <w:t>À compter de la date officielle d</w:t>
      </w:r>
      <w:r w:rsidR="004405B4">
        <w:rPr>
          <w:b/>
          <w:bCs/>
          <w:lang w:val="fr-FR"/>
        </w:rPr>
        <w:t>’</w:t>
      </w:r>
      <w:r w:rsidRPr="003B7583">
        <w:rPr>
          <w:b/>
          <w:bCs/>
          <w:lang w:val="fr-FR"/>
        </w:rPr>
        <w:t>entrée en vigueur de la série 12 d</w:t>
      </w:r>
      <w:r w:rsidR="004405B4">
        <w:rPr>
          <w:b/>
          <w:bCs/>
          <w:lang w:val="fr-FR"/>
        </w:rPr>
        <w:t>’</w:t>
      </w:r>
      <w:r w:rsidRPr="003B7583">
        <w:rPr>
          <w:b/>
          <w:bCs/>
          <w:lang w:val="fr-FR"/>
        </w:rPr>
        <w:t>amendements, aucune Partie contractante appliquant le présent Règlement ne pourra refuser d</w:t>
      </w:r>
      <w:r w:rsidR="004405B4">
        <w:rPr>
          <w:b/>
          <w:bCs/>
          <w:lang w:val="fr-FR"/>
        </w:rPr>
        <w:t>’</w:t>
      </w:r>
      <w:r w:rsidRPr="003B7583">
        <w:rPr>
          <w:b/>
          <w:bCs/>
          <w:lang w:val="fr-FR"/>
        </w:rPr>
        <w:t>accorder ou d</w:t>
      </w:r>
      <w:r w:rsidR="004405B4">
        <w:rPr>
          <w:b/>
          <w:bCs/>
          <w:lang w:val="fr-FR"/>
        </w:rPr>
        <w:t>’</w:t>
      </w:r>
      <w:r w:rsidRPr="003B7583">
        <w:rPr>
          <w:b/>
          <w:bCs/>
          <w:lang w:val="fr-FR"/>
        </w:rPr>
        <w:t>accepter une homologation de type en vertu dudit Règlement tel que modifié par la série 12 d</w:t>
      </w:r>
      <w:r w:rsidR="004405B4">
        <w:rPr>
          <w:b/>
          <w:bCs/>
          <w:lang w:val="fr-FR"/>
        </w:rPr>
        <w:t>’</w:t>
      </w:r>
      <w:r w:rsidRPr="003B7583">
        <w:rPr>
          <w:b/>
          <w:bCs/>
          <w:lang w:val="fr-FR"/>
        </w:rPr>
        <w:t>amendements.</w:t>
      </w:r>
    </w:p>
    <w:p w14:paraId="60A9AEAF" w14:textId="7F30B7E0" w:rsidR="008A1EAC" w:rsidRPr="003B7583" w:rsidRDefault="008A1EAC" w:rsidP="008A1EAC">
      <w:pPr>
        <w:pStyle w:val="SingleTxtG"/>
        <w:ind w:left="2268" w:hanging="1134"/>
        <w:rPr>
          <w:b/>
          <w:iCs/>
        </w:rPr>
      </w:pPr>
      <w:r w:rsidRPr="003B7583">
        <w:rPr>
          <w:b/>
          <w:bCs/>
          <w:lang w:val="fr-FR"/>
        </w:rPr>
        <w:t>12.2</w:t>
      </w:r>
      <w:r w:rsidRPr="003B7583">
        <w:rPr>
          <w:lang w:val="fr-FR"/>
        </w:rPr>
        <w:tab/>
      </w:r>
      <w:r w:rsidRPr="003B7583">
        <w:rPr>
          <w:b/>
          <w:bCs/>
          <w:lang w:val="fr-FR"/>
        </w:rPr>
        <w:t xml:space="preserve">À compter du </w:t>
      </w:r>
      <w:r>
        <w:rPr>
          <w:b/>
          <w:bCs/>
          <w:lang w:val="fr-FR"/>
        </w:rPr>
        <w:t>[</w:t>
      </w:r>
      <w:r w:rsidRPr="003B7583">
        <w:rPr>
          <w:b/>
          <w:bCs/>
          <w:lang w:val="fr-FR"/>
        </w:rPr>
        <w:t>1</w:t>
      </w:r>
      <w:r w:rsidRPr="003B176E">
        <w:rPr>
          <w:b/>
          <w:bCs/>
          <w:vertAlign w:val="superscript"/>
          <w:lang w:val="fr-FR"/>
        </w:rPr>
        <w:t>er</w:t>
      </w:r>
      <w:r w:rsidR="007E2EB9">
        <w:rPr>
          <w:b/>
          <w:bCs/>
          <w:lang w:val="fr-FR"/>
        </w:rPr>
        <w:t> </w:t>
      </w:r>
      <w:r w:rsidRPr="003B7583">
        <w:rPr>
          <w:b/>
          <w:bCs/>
          <w:lang w:val="fr-FR"/>
        </w:rPr>
        <w:t>septembre 2024</w:t>
      </w:r>
      <w:r>
        <w:rPr>
          <w:b/>
          <w:bCs/>
          <w:lang w:val="fr-FR"/>
        </w:rPr>
        <w:t>]</w:t>
      </w:r>
      <w:r w:rsidRPr="003B7583">
        <w:rPr>
          <w:b/>
          <w:bCs/>
          <w:lang w:val="fr-FR"/>
        </w:rPr>
        <w:t>, les Parties contractantes appliquant le présent Règlement ne seront plus tenues d</w:t>
      </w:r>
      <w:r w:rsidR="004405B4">
        <w:rPr>
          <w:b/>
          <w:bCs/>
          <w:lang w:val="fr-FR"/>
        </w:rPr>
        <w:t>’</w:t>
      </w:r>
      <w:r w:rsidRPr="003B7583">
        <w:rPr>
          <w:b/>
          <w:bCs/>
          <w:lang w:val="fr-FR"/>
        </w:rPr>
        <w:t>accepter les homologations de type établies conformément aux précédentes séries d</w:t>
      </w:r>
      <w:r w:rsidR="004405B4">
        <w:rPr>
          <w:b/>
          <w:bCs/>
          <w:lang w:val="fr-FR"/>
        </w:rPr>
        <w:t>’</w:t>
      </w:r>
      <w:r w:rsidRPr="003B7583">
        <w:rPr>
          <w:b/>
          <w:bCs/>
          <w:lang w:val="fr-FR"/>
        </w:rPr>
        <w:t xml:space="preserve">amendements, délivrées pour la première fois après le </w:t>
      </w:r>
      <w:r>
        <w:rPr>
          <w:b/>
          <w:bCs/>
          <w:lang w:val="fr-FR"/>
        </w:rPr>
        <w:t>[</w:t>
      </w:r>
      <w:r w:rsidRPr="003B7583">
        <w:rPr>
          <w:b/>
          <w:bCs/>
          <w:lang w:val="fr-FR"/>
        </w:rPr>
        <w:t>1</w:t>
      </w:r>
      <w:r w:rsidRPr="007E2EB9">
        <w:rPr>
          <w:b/>
          <w:bCs/>
          <w:vertAlign w:val="superscript"/>
          <w:lang w:val="fr-FR"/>
        </w:rPr>
        <w:t>er</w:t>
      </w:r>
      <w:r w:rsidR="007E2EB9">
        <w:rPr>
          <w:b/>
          <w:bCs/>
          <w:lang w:val="fr-FR"/>
        </w:rPr>
        <w:t> </w:t>
      </w:r>
      <w:r w:rsidRPr="003B7583">
        <w:rPr>
          <w:b/>
          <w:bCs/>
          <w:lang w:val="fr-FR"/>
        </w:rPr>
        <w:t>septembre 2024</w:t>
      </w:r>
      <w:r>
        <w:rPr>
          <w:b/>
          <w:bCs/>
          <w:lang w:val="fr-FR"/>
        </w:rPr>
        <w:t>]</w:t>
      </w:r>
      <w:r w:rsidRPr="003B7583">
        <w:rPr>
          <w:b/>
          <w:bCs/>
          <w:lang w:val="fr-FR"/>
        </w:rPr>
        <w:t>.</w:t>
      </w:r>
    </w:p>
    <w:p w14:paraId="689F4B49" w14:textId="2D70C870" w:rsidR="008A1EAC" w:rsidRPr="003B7583" w:rsidRDefault="008A1EAC" w:rsidP="008A1EAC">
      <w:pPr>
        <w:pStyle w:val="SingleTxtG"/>
        <w:ind w:left="2268" w:hanging="1134"/>
        <w:rPr>
          <w:b/>
          <w:iCs/>
        </w:rPr>
      </w:pPr>
      <w:r w:rsidRPr="003B7583">
        <w:rPr>
          <w:b/>
          <w:bCs/>
          <w:lang w:val="fr-FR"/>
        </w:rPr>
        <w:t>12.3</w:t>
      </w:r>
      <w:r w:rsidRPr="003B7583">
        <w:rPr>
          <w:lang w:val="fr-FR"/>
        </w:rPr>
        <w:tab/>
      </w:r>
      <w:r w:rsidRPr="003B7583">
        <w:rPr>
          <w:b/>
          <w:bCs/>
          <w:lang w:val="fr-FR"/>
        </w:rPr>
        <w:t>Jusqu</w:t>
      </w:r>
      <w:r w:rsidR="004405B4">
        <w:rPr>
          <w:b/>
          <w:bCs/>
          <w:lang w:val="fr-FR"/>
        </w:rPr>
        <w:t>’</w:t>
      </w:r>
      <w:r w:rsidRPr="003B7583">
        <w:rPr>
          <w:b/>
          <w:bCs/>
          <w:lang w:val="fr-FR"/>
        </w:rPr>
        <w:t xml:space="preserve">au </w:t>
      </w:r>
      <w:r>
        <w:rPr>
          <w:b/>
          <w:bCs/>
          <w:lang w:val="fr-FR"/>
        </w:rPr>
        <w:t>[</w:t>
      </w:r>
      <w:r w:rsidRPr="003B7583">
        <w:rPr>
          <w:b/>
          <w:bCs/>
          <w:lang w:val="fr-FR"/>
        </w:rPr>
        <w:t>1</w:t>
      </w:r>
      <w:r w:rsidRPr="003B176E">
        <w:rPr>
          <w:b/>
          <w:bCs/>
          <w:vertAlign w:val="superscript"/>
          <w:lang w:val="fr-FR"/>
        </w:rPr>
        <w:t>er</w:t>
      </w:r>
      <w:r w:rsidR="007E2EB9">
        <w:rPr>
          <w:b/>
          <w:bCs/>
          <w:lang w:val="fr-FR"/>
        </w:rPr>
        <w:t> </w:t>
      </w:r>
      <w:r w:rsidRPr="003B7583">
        <w:rPr>
          <w:b/>
          <w:bCs/>
          <w:lang w:val="fr-FR"/>
        </w:rPr>
        <w:t>septembre 2026</w:t>
      </w:r>
      <w:r>
        <w:rPr>
          <w:b/>
          <w:bCs/>
          <w:lang w:val="fr-FR"/>
        </w:rPr>
        <w:t>]</w:t>
      </w:r>
      <w:r w:rsidRPr="003B7583">
        <w:rPr>
          <w:b/>
          <w:bCs/>
          <w:lang w:val="fr-FR"/>
        </w:rPr>
        <w:t>, les Parties contractantes appliquant le présent Règlement seront tenues d</w:t>
      </w:r>
      <w:r w:rsidR="004405B4">
        <w:rPr>
          <w:b/>
          <w:bCs/>
          <w:lang w:val="fr-FR"/>
        </w:rPr>
        <w:t>’</w:t>
      </w:r>
      <w:r w:rsidRPr="003B7583">
        <w:rPr>
          <w:b/>
          <w:bCs/>
          <w:lang w:val="fr-FR"/>
        </w:rPr>
        <w:t>accepter les homologations de type établies conformément aux précédentes séries d</w:t>
      </w:r>
      <w:r w:rsidR="004405B4">
        <w:rPr>
          <w:b/>
          <w:bCs/>
          <w:lang w:val="fr-FR"/>
        </w:rPr>
        <w:t>’</w:t>
      </w:r>
      <w:r w:rsidRPr="003B7583">
        <w:rPr>
          <w:b/>
          <w:bCs/>
          <w:lang w:val="fr-FR"/>
        </w:rPr>
        <w:t xml:space="preserve">amendements, délivrées pour la première fois avant le </w:t>
      </w:r>
      <w:r>
        <w:rPr>
          <w:b/>
          <w:bCs/>
          <w:lang w:val="fr-FR"/>
        </w:rPr>
        <w:t>[</w:t>
      </w:r>
      <w:r w:rsidRPr="003B7583">
        <w:rPr>
          <w:b/>
          <w:bCs/>
          <w:lang w:val="fr-FR"/>
        </w:rPr>
        <w:t>1</w:t>
      </w:r>
      <w:r w:rsidRPr="00E37C3D">
        <w:rPr>
          <w:b/>
          <w:bCs/>
          <w:vertAlign w:val="superscript"/>
          <w:lang w:val="fr-FR"/>
        </w:rPr>
        <w:t>er</w:t>
      </w:r>
      <w:r w:rsidR="007E2EB9">
        <w:rPr>
          <w:b/>
          <w:bCs/>
          <w:lang w:val="fr-FR"/>
        </w:rPr>
        <w:t> </w:t>
      </w:r>
      <w:r w:rsidRPr="003B7583">
        <w:rPr>
          <w:b/>
          <w:bCs/>
          <w:lang w:val="fr-FR"/>
        </w:rPr>
        <w:t>septembre 2024</w:t>
      </w:r>
      <w:r>
        <w:rPr>
          <w:b/>
          <w:bCs/>
          <w:lang w:val="fr-FR"/>
        </w:rPr>
        <w:t>]</w:t>
      </w:r>
      <w:r w:rsidRPr="003B7583">
        <w:rPr>
          <w:b/>
          <w:bCs/>
          <w:lang w:val="fr-FR"/>
        </w:rPr>
        <w:t>.</w:t>
      </w:r>
    </w:p>
    <w:p w14:paraId="421815F2" w14:textId="03095B86" w:rsidR="008A1EAC" w:rsidRPr="003B7583" w:rsidRDefault="008A1EAC" w:rsidP="008A1EAC">
      <w:pPr>
        <w:pStyle w:val="SingleTxtG"/>
        <w:ind w:left="2268" w:hanging="1134"/>
        <w:rPr>
          <w:b/>
          <w:iCs/>
        </w:rPr>
      </w:pPr>
      <w:r w:rsidRPr="003B7583">
        <w:rPr>
          <w:b/>
          <w:bCs/>
          <w:lang w:val="fr-FR"/>
        </w:rPr>
        <w:t>12.4</w:t>
      </w:r>
      <w:r w:rsidRPr="003B7583">
        <w:rPr>
          <w:lang w:val="fr-FR"/>
        </w:rPr>
        <w:tab/>
      </w:r>
      <w:r w:rsidRPr="003B7583">
        <w:rPr>
          <w:b/>
          <w:bCs/>
          <w:lang w:val="fr-FR"/>
        </w:rPr>
        <w:t xml:space="preserve">À compter du </w:t>
      </w:r>
      <w:r>
        <w:rPr>
          <w:b/>
          <w:bCs/>
          <w:lang w:val="fr-FR"/>
        </w:rPr>
        <w:t>[</w:t>
      </w:r>
      <w:r w:rsidRPr="003B7583">
        <w:rPr>
          <w:b/>
          <w:bCs/>
          <w:lang w:val="fr-FR"/>
        </w:rPr>
        <w:t>1</w:t>
      </w:r>
      <w:r w:rsidRPr="003B176E">
        <w:rPr>
          <w:b/>
          <w:bCs/>
          <w:vertAlign w:val="superscript"/>
          <w:lang w:val="fr-FR"/>
        </w:rPr>
        <w:t>er</w:t>
      </w:r>
      <w:r w:rsidR="007E2EB9">
        <w:rPr>
          <w:b/>
          <w:bCs/>
          <w:lang w:val="fr-FR"/>
        </w:rPr>
        <w:t> </w:t>
      </w:r>
      <w:r w:rsidRPr="003B7583">
        <w:rPr>
          <w:b/>
          <w:bCs/>
          <w:lang w:val="fr-FR"/>
        </w:rPr>
        <w:t>septembre 2026</w:t>
      </w:r>
      <w:r>
        <w:rPr>
          <w:b/>
          <w:bCs/>
          <w:lang w:val="fr-FR"/>
        </w:rPr>
        <w:t>]</w:t>
      </w:r>
      <w:r w:rsidRPr="003B7583">
        <w:rPr>
          <w:b/>
          <w:bCs/>
          <w:lang w:val="fr-FR"/>
        </w:rPr>
        <w:t>, les Parties contractantes appliquant le présent Règlement ne seront plus tenues d</w:t>
      </w:r>
      <w:r w:rsidR="004405B4">
        <w:rPr>
          <w:b/>
          <w:bCs/>
          <w:lang w:val="fr-FR"/>
        </w:rPr>
        <w:t>’</w:t>
      </w:r>
      <w:r w:rsidRPr="003B7583">
        <w:rPr>
          <w:b/>
          <w:bCs/>
          <w:lang w:val="fr-FR"/>
        </w:rPr>
        <w:t>accepter les homologations de type délivrées en vertu des précédentes séries d</w:t>
      </w:r>
      <w:r w:rsidR="004405B4">
        <w:rPr>
          <w:b/>
          <w:bCs/>
          <w:lang w:val="fr-FR"/>
        </w:rPr>
        <w:t>’</w:t>
      </w:r>
      <w:r w:rsidRPr="003B7583">
        <w:rPr>
          <w:b/>
          <w:bCs/>
          <w:lang w:val="fr-FR"/>
        </w:rPr>
        <w:t>amendements audit Règlement.</w:t>
      </w:r>
    </w:p>
    <w:p w14:paraId="310ECA5E" w14:textId="03A998A2" w:rsidR="008A1EAC" w:rsidRPr="003B7583" w:rsidRDefault="008A1EAC" w:rsidP="008A1EAC">
      <w:pPr>
        <w:pStyle w:val="SingleTxtG"/>
        <w:ind w:left="2268" w:hanging="1134"/>
        <w:rPr>
          <w:b/>
          <w:iCs/>
        </w:rPr>
      </w:pPr>
      <w:r w:rsidRPr="003B7583">
        <w:rPr>
          <w:b/>
          <w:bCs/>
          <w:lang w:val="fr-FR"/>
        </w:rPr>
        <w:t>12.5</w:t>
      </w:r>
      <w:r w:rsidRPr="003B7583">
        <w:rPr>
          <w:lang w:val="fr-FR"/>
        </w:rPr>
        <w:tab/>
      </w:r>
      <w:r w:rsidRPr="003B7583">
        <w:rPr>
          <w:b/>
          <w:bCs/>
          <w:lang w:val="fr-FR"/>
        </w:rPr>
        <w:t>Nonobstant les dispositions du paragraphe 12.4, les Parties contractantes appliquant le présent Règlement continueront de reconnaître les homologations de type délivrées au titre des précédentes séries d</w:t>
      </w:r>
      <w:r w:rsidR="004405B4">
        <w:rPr>
          <w:b/>
          <w:bCs/>
          <w:lang w:val="fr-FR"/>
        </w:rPr>
        <w:t>’</w:t>
      </w:r>
      <w:r w:rsidRPr="003B7583">
        <w:rPr>
          <w:b/>
          <w:bCs/>
          <w:lang w:val="fr-FR"/>
        </w:rPr>
        <w:t>amendements audit Règlement pour les véhicules non concernés par les modifications apportées par la série 12 d</w:t>
      </w:r>
      <w:r w:rsidR="004405B4">
        <w:rPr>
          <w:b/>
          <w:bCs/>
          <w:lang w:val="fr-FR"/>
        </w:rPr>
        <w:t>’</w:t>
      </w:r>
      <w:r w:rsidRPr="003B7583">
        <w:rPr>
          <w:b/>
          <w:bCs/>
          <w:lang w:val="fr-FR"/>
        </w:rPr>
        <w:t>amendements.</w:t>
      </w:r>
    </w:p>
    <w:p w14:paraId="1F764FBE" w14:textId="7E3A3241" w:rsidR="008A1EAC" w:rsidRPr="003B7583" w:rsidRDefault="008A1EAC" w:rsidP="008A1EAC">
      <w:pPr>
        <w:pStyle w:val="SingleTxtG"/>
        <w:ind w:left="2268" w:hanging="1134"/>
        <w:rPr>
          <w:b/>
          <w:bCs/>
          <w:iCs/>
        </w:rPr>
      </w:pPr>
      <w:r w:rsidRPr="003B7583">
        <w:rPr>
          <w:b/>
          <w:bCs/>
          <w:lang w:val="fr-FR"/>
        </w:rPr>
        <w:t>12.6</w:t>
      </w:r>
      <w:r w:rsidRPr="003B7583">
        <w:rPr>
          <w:lang w:val="fr-FR"/>
        </w:rPr>
        <w:tab/>
      </w:r>
      <w:r w:rsidRPr="003B7583">
        <w:rPr>
          <w:b/>
          <w:bCs/>
          <w:lang w:val="fr-FR"/>
        </w:rPr>
        <w:t>Les Parties contractantes appliquant le présent Règlement peuvent accorder des homologations de type en vertu de l</w:t>
      </w:r>
      <w:r w:rsidR="004405B4">
        <w:rPr>
          <w:b/>
          <w:bCs/>
          <w:lang w:val="fr-FR"/>
        </w:rPr>
        <w:t>’</w:t>
      </w:r>
      <w:r w:rsidRPr="003B7583">
        <w:rPr>
          <w:b/>
          <w:bCs/>
          <w:lang w:val="fr-FR"/>
        </w:rPr>
        <w:t>une quelconque des précédentes séries d</w:t>
      </w:r>
      <w:r w:rsidR="004405B4">
        <w:rPr>
          <w:b/>
          <w:bCs/>
          <w:lang w:val="fr-FR"/>
        </w:rPr>
        <w:t>’</w:t>
      </w:r>
      <w:r w:rsidRPr="003B7583">
        <w:rPr>
          <w:b/>
          <w:bCs/>
          <w:lang w:val="fr-FR"/>
        </w:rPr>
        <w:t>amendements audit Règlement.</w:t>
      </w:r>
    </w:p>
    <w:p w14:paraId="18DDEC77" w14:textId="19A6DD41" w:rsidR="008A1EAC" w:rsidRPr="003B7583" w:rsidRDefault="008A1EAC" w:rsidP="008A1EAC">
      <w:pPr>
        <w:pStyle w:val="SingleTxtG"/>
        <w:ind w:left="2268" w:hanging="1134"/>
        <w:rPr>
          <w:b/>
          <w:bCs/>
          <w:iCs/>
        </w:rPr>
      </w:pPr>
      <w:r w:rsidRPr="003B7583">
        <w:rPr>
          <w:b/>
          <w:bCs/>
          <w:lang w:val="fr-FR"/>
        </w:rPr>
        <w:t>12.7</w:t>
      </w:r>
      <w:r w:rsidRPr="003B7583">
        <w:rPr>
          <w:lang w:val="fr-FR"/>
        </w:rPr>
        <w:tab/>
      </w:r>
      <w:r w:rsidRPr="003B7583">
        <w:rPr>
          <w:b/>
          <w:bCs/>
          <w:lang w:val="fr-FR"/>
        </w:rPr>
        <w:t>Les Parties contractantes appliquant le présent Règlement continueront d</w:t>
      </w:r>
      <w:r w:rsidR="004405B4">
        <w:rPr>
          <w:b/>
          <w:bCs/>
          <w:lang w:val="fr-FR"/>
        </w:rPr>
        <w:t>’</w:t>
      </w:r>
      <w:r w:rsidRPr="003B7583">
        <w:rPr>
          <w:b/>
          <w:bCs/>
          <w:lang w:val="fr-FR"/>
        </w:rPr>
        <w:t>accorder des extensions pour les homologations établies conformément à l</w:t>
      </w:r>
      <w:r w:rsidR="004405B4">
        <w:rPr>
          <w:b/>
          <w:bCs/>
          <w:lang w:val="fr-FR"/>
        </w:rPr>
        <w:t>’</w:t>
      </w:r>
      <w:r w:rsidRPr="003B7583">
        <w:rPr>
          <w:b/>
          <w:bCs/>
          <w:lang w:val="fr-FR"/>
        </w:rPr>
        <w:t>une quelconque des précédentes séries d</w:t>
      </w:r>
      <w:r w:rsidR="004405B4">
        <w:rPr>
          <w:b/>
          <w:bCs/>
          <w:lang w:val="fr-FR"/>
        </w:rPr>
        <w:t>’</w:t>
      </w:r>
      <w:r w:rsidRPr="003B7583">
        <w:rPr>
          <w:b/>
          <w:bCs/>
          <w:lang w:val="fr-FR"/>
        </w:rPr>
        <w:t>amendements audit Règlement. </w:t>
      </w:r>
      <w:r w:rsidRPr="00740C66">
        <w:rPr>
          <w:lang w:val="fr-FR"/>
        </w:rPr>
        <w:t>».</w:t>
      </w:r>
    </w:p>
    <w:p w14:paraId="14C54CCD" w14:textId="77777777" w:rsidR="008A1EAC" w:rsidRPr="003B7583" w:rsidRDefault="008A1EAC" w:rsidP="008A1EAC">
      <w:pPr>
        <w:pStyle w:val="SingleTxtG"/>
        <w:rPr>
          <w:iCs/>
        </w:rPr>
      </w:pPr>
      <w:r w:rsidRPr="003B7583">
        <w:rPr>
          <w:i/>
          <w:iCs/>
          <w:lang w:val="fr-FR"/>
        </w:rPr>
        <w:t>Annexe 4, paragraphe 2.3</w:t>
      </w:r>
      <w:r w:rsidRPr="003B7583">
        <w:rPr>
          <w:lang w:val="fr-FR"/>
        </w:rPr>
        <w:t>, lire :</w:t>
      </w:r>
    </w:p>
    <w:p w14:paraId="70201775" w14:textId="3182C0FC" w:rsidR="008A1EAC" w:rsidRPr="003B7583" w:rsidRDefault="008A1EAC" w:rsidP="008A1EAC">
      <w:pPr>
        <w:pStyle w:val="SingleTxtG"/>
        <w:ind w:left="2268" w:hanging="1134"/>
      </w:pPr>
      <w:r w:rsidRPr="003B7583">
        <w:rPr>
          <w:lang w:val="fr-FR"/>
        </w:rPr>
        <w:t>« 2.3</w:t>
      </w:r>
      <w:r w:rsidRPr="003B7583">
        <w:rPr>
          <w:lang w:val="fr-FR"/>
        </w:rPr>
        <w:tab/>
        <w:t>Système de freinage de stationnement</w:t>
      </w:r>
    </w:p>
    <w:p w14:paraId="1A30CC2E" w14:textId="2452B1E0" w:rsidR="008A1EAC" w:rsidRPr="003B7583" w:rsidRDefault="008A1EAC" w:rsidP="008A1EAC">
      <w:pPr>
        <w:pStyle w:val="SingleTxtG"/>
        <w:ind w:left="2268" w:hanging="1134"/>
      </w:pPr>
      <w:r w:rsidRPr="003B7583">
        <w:rPr>
          <w:lang w:val="fr-FR"/>
        </w:rPr>
        <w:t>2.3.1</w:t>
      </w:r>
      <w:r w:rsidRPr="003B7583">
        <w:rPr>
          <w:lang w:val="fr-FR"/>
        </w:rPr>
        <w:tab/>
        <w:t>Le système de freinage de stationnement, même s</w:t>
      </w:r>
      <w:r w:rsidR="004405B4">
        <w:rPr>
          <w:lang w:val="fr-FR"/>
        </w:rPr>
        <w:t>’</w:t>
      </w:r>
      <w:r w:rsidRPr="003B7583">
        <w:rPr>
          <w:lang w:val="fr-FR"/>
        </w:rPr>
        <w:t>il est combiné avec l</w:t>
      </w:r>
      <w:r w:rsidR="004405B4">
        <w:rPr>
          <w:lang w:val="fr-FR"/>
        </w:rPr>
        <w:t>’</w:t>
      </w:r>
      <w:r w:rsidRPr="003B7583">
        <w:rPr>
          <w:lang w:val="fr-FR"/>
        </w:rPr>
        <w:t>un des autres systèmes de freinage, doit pouvoir maintenir à l</w:t>
      </w:r>
      <w:r w:rsidR="004405B4">
        <w:rPr>
          <w:lang w:val="fr-FR"/>
        </w:rPr>
        <w:t>’</w:t>
      </w:r>
      <w:r w:rsidRPr="003B7583">
        <w:rPr>
          <w:lang w:val="fr-FR"/>
        </w:rPr>
        <w:t>arrêt le véhicule en charge sur une pente, ascendante ou descendante, de 18</w:t>
      </w:r>
      <w:r w:rsidR="00E71186">
        <w:rPr>
          <w:lang w:val="fr-FR"/>
        </w:rPr>
        <w:t> </w:t>
      </w:r>
      <w:r w:rsidRPr="003B7583">
        <w:rPr>
          <w:lang w:val="fr-FR"/>
        </w:rPr>
        <w:t>%.</w:t>
      </w:r>
    </w:p>
    <w:p w14:paraId="5D15D11C" w14:textId="0D9512DD" w:rsidR="008A1EAC" w:rsidRPr="003B7583" w:rsidRDefault="008A1EAC" w:rsidP="008A1EAC">
      <w:pPr>
        <w:pStyle w:val="SingleTxtG"/>
        <w:ind w:left="2268" w:hanging="1134"/>
      </w:pPr>
      <w:r w:rsidRPr="003B7583">
        <w:rPr>
          <w:lang w:val="fr-FR"/>
        </w:rPr>
        <w:t>2.3.2</w:t>
      </w:r>
      <w:r w:rsidRPr="003B7583">
        <w:rPr>
          <w:lang w:val="fr-FR"/>
        </w:rPr>
        <w:tab/>
        <w:t>Sur les véhicules auxquels il est autorisé d</w:t>
      </w:r>
      <w:r w:rsidR="004405B4">
        <w:rPr>
          <w:lang w:val="fr-FR"/>
        </w:rPr>
        <w:t>’</w:t>
      </w:r>
      <w:r w:rsidRPr="003B7583">
        <w:rPr>
          <w:lang w:val="fr-FR"/>
        </w:rPr>
        <w:t>atteler une remorque, le système de freinage de stationnement du véhicule tracteur doit pouvoir maintenir l</w:t>
      </w:r>
      <w:r w:rsidR="004405B4">
        <w:rPr>
          <w:lang w:val="fr-FR"/>
        </w:rPr>
        <w:t>’</w:t>
      </w:r>
      <w:r w:rsidRPr="003B7583">
        <w:rPr>
          <w:lang w:val="fr-FR"/>
        </w:rPr>
        <w:t>ensemble à l</w:t>
      </w:r>
      <w:r w:rsidR="004405B4">
        <w:rPr>
          <w:lang w:val="fr-FR"/>
        </w:rPr>
        <w:t>’</w:t>
      </w:r>
      <w:r w:rsidRPr="003B7583">
        <w:rPr>
          <w:lang w:val="fr-FR"/>
        </w:rPr>
        <w:t>arrêt sur une pente de 12</w:t>
      </w:r>
      <w:r w:rsidR="00E71186">
        <w:rPr>
          <w:lang w:val="fr-FR"/>
        </w:rPr>
        <w:t> </w:t>
      </w:r>
      <w:r w:rsidRPr="003B7583">
        <w:rPr>
          <w:lang w:val="fr-FR"/>
        </w:rPr>
        <w:t>%.</w:t>
      </w:r>
    </w:p>
    <w:p w14:paraId="2903F531" w14:textId="2B015DDC" w:rsidR="008A1EAC" w:rsidRPr="003B7583" w:rsidRDefault="008A1EAC" w:rsidP="008A1EAC">
      <w:pPr>
        <w:pStyle w:val="SingleTxtG"/>
        <w:ind w:left="2268" w:hanging="1134"/>
      </w:pPr>
      <w:r w:rsidRPr="003B7583">
        <w:rPr>
          <w:lang w:val="fr-FR"/>
        </w:rPr>
        <w:t>2.3.3</w:t>
      </w:r>
      <w:r w:rsidRPr="003B7583">
        <w:rPr>
          <w:lang w:val="fr-FR"/>
        </w:rPr>
        <w:tab/>
        <w:t>Si la commande est à main, la force exercée sur la commande ne doit pas dépasser 60 daN.</w:t>
      </w:r>
    </w:p>
    <w:p w14:paraId="17E2205C" w14:textId="6E7A95E3" w:rsidR="008A1EAC" w:rsidRPr="003B7583" w:rsidRDefault="008A1EAC" w:rsidP="008A1EAC">
      <w:pPr>
        <w:pStyle w:val="SingleTxtG"/>
        <w:ind w:left="2268" w:hanging="1134"/>
      </w:pPr>
      <w:r w:rsidRPr="003B7583">
        <w:rPr>
          <w:lang w:val="fr-FR"/>
        </w:rPr>
        <w:t>2.3.4</w:t>
      </w:r>
      <w:r w:rsidRPr="003B7583">
        <w:rPr>
          <w:lang w:val="fr-FR"/>
        </w:rPr>
        <w:tab/>
        <w:t>Si la commande est à pied, la force exercée sur la commande ne doit pas dépasser 70 daN.</w:t>
      </w:r>
    </w:p>
    <w:p w14:paraId="59002ECE" w14:textId="6FD524EA" w:rsidR="008A1EAC" w:rsidRPr="003B7583" w:rsidRDefault="008A1EAC" w:rsidP="008A1EAC">
      <w:pPr>
        <w:pStyle w:val="SingleTxtG"/>
        <w:ind w:left="2268" w:hanging="1134"/>
      </w:pPr>
      <w:r w:rsidRPr="003B7583">
        <w:rPr>
          <w:lang w:val="fr-FR"/>
        </w:rPr>
        <w:t>2.3.5</w:t>
      </w:r>
      <w:r w:rsidRPr="003B7583">
        <w:rPr>
          <w:lang w:val="fr-FR"/>
        </w:rPr>
        <w:tab/>
        <w:t>Un système de freinage de stationnement qui doit être actionné plusieurs fois avant d</w:t>
      </w:r>
      <w:r w:rsidR="004405B4">
        <w:rPr>
          <w:lang w:val="fr-FR"/>
        </w:rPr>
        <w:t>’</w:t>
      </w:r>
      <w:r w:rsidRPr="003B7583">
        <w:rPr>
          <w:lang w:val="fr-FR"/>
        </w:rPr>
        <w:t>atteindre l</w:t>
      </w:r>
      <w:r w:rsidR="004405B4">
        <w:rPr>
          <w:lang w:val="fr-FR"/>
        </w:rPr>
        <w:t>’</w:t>
      </w:r>
      <w:r w:rsidRPr="003B7583">
        <w:rPr>
          <w:lang w:val="fr-FR"/>
        </w:rPr>
        <w:t>efficacité prescrite peut être admis.</w:t>
      </w:r>
    </w:p>
    <w:p w14:paraId="77107651" w14:textId="2881F2D3" w:rsidR="008A1EAC" w:rsidRPr="003B7583" w:rsidRDefault="008A1EAC" w:rsidP="008A1EAC">
      <w:pPr>
        <w:pStyle w:val="SingleTxtG"/>
        <w:ind w:left="2268" w:hanging="1134"/>
      </w:pPr>
      <w:r w:rsidRPr="003B7583">
        <w:rPr>
          <w:lang w:val="fr-FR"/>
        </w:rPr>
        <w:t>2.3.6</w:t>
      </w:r>
      <w:r w:rsidRPr="003B7583">
        <w:rPr>
          <w:lang w:val="fr-FR"/>
        </w:rPr>
        <w:tab/>
        <w:t>Pour vérifier la conformité aux prescriptions du paragraphe 5.2.1.2.4 du présent Règlement, on doit exécuter un essai d</w:t>
      </w:r>
      <w:r>
        <w:rPr>
          <w:lang w:val="fr-FR"/>
        </w:rPr>
        <w:t>e</w:t>
      </w:r>
      <w:r w:rsidRPr="003B7583">
        <w:rPr>
          <w:lang w:val="fr-FR"/>
        </w:rPr>
        <w:t xml:space="preserve"> type 0 moteur débrayé, à une vitesse d</w:t>
      </w:r>
      <w:r w:rsidR="004405B4">
        <w:rPr>
          <w:lang w:val="fr-FR"/>
        </w:rPr>
        <w:t>’</w:t>
      </w:r>
      <w:r w:rsidRPr="003B7583">
        <w:rPr>
          <w:lang w:val="fr-FR"/>
        </w:rPr>
        <w:t>essai initiale de 30</w:t>
      </w:r>
      <w:r w:rsidR="00E71186">
        <w:rPr>
          <w:lang w:val="fr-FR"/>
        </w:rPr>
        <w:t> </w:t>
      </w:r>
      <w:r w:rsidRPr="003B7583">
        <w:rPr>
          <w:lang w:val="fr-FR"/>
        </w:rPr>
        <w:t>km/h. Lors d</w:t>
      </w:r>
      <w:r w:rsidR="004405B4">
        <w:rPr>
          <w:lang w:val="fr-FR"/>
        </w:rPr>
        <w:t>’</w:t>
      </w:r>
      <w:r w:rsidRPr="003B7583">
        <w:rPr>
          <w:lang w:val="fr-FR"/>
        </w:rPr>
        <w:t>un freinage exécuté par manœuvre de la commande du système de frein de stationnement, la décélération moyenne en régime et la décélération juste avant l</w:t>
      </w:r>
      <w:r w:rsidR="004405B4">
        <w:rPr>
          <w:lang w:val="fr-FR"/>
        </w:rPr>
        <w:t>’</w:t>
      </w:r>
      <w:r w:rsidRPr="003B7583">
        <w:rPr>
          <w:lang w:val="fr-FR"/>
        </w:rPr>
        <w:t>arrêt du véhicule ne doivent pas être inférieures à 1,5 m/s</w:t>
      </w:r>
      <w:r w:rsidRPr="00E71186">
        <w:rPr>
          <w:vertAlign w:val="superscript"/>
          <w:lang w:val="fr-FR"/>
        </w:rPr>
        <w:t>2</w:t>
      </w:r>
      <w:r w:rsidRPr="003B7583">
        <w:rPr>
          <w:lang w:val="fr-FR"/>
        </w:rPr>
        <w:t>. L</w:t>
      </w:r>
      <w:r w:rsidR="004405B4">
        <w:rPr>
          <w:lang w:val="fr-FR"/>
        </w:rPr>
        <w:t>’</w:t>
      </w:r>
      <w:r w:rsidRPr="003B7583">
        <w:rPr>
          <w:lang w:val="fr-FR"/>
        </w:rPr>
        <w:t xml:space="preserve">essai est exécuté sur le véhicule en charge. </w:t>
      </w:r>
      <w:r w:rsidRPr="003B7583">
        <w:rPr>
          <w:lang w:val="fr-FR"/>
        </w:rPr>
        <w:lastRenderedPageBreak/>
        <w:t>La</w:t>
      </w:r>
      <w:r w:rsidR="00E71186">
        <w:rPr>
          <w:lang w:val="fr-FR"/>
        </w:rPr>
        <w:t> </w:t>
      </w:r>
      <w:r w:rsidRPr="003B7583">
        <w:rPr>
          <w:lang w:val="fr-FR"/>
        </w:rPr>
        <w:t>force exercée sur le dispositif de commande de frein ne doit pas dépasser les valeurs prescrites.</w:t>
      </w:r>
    </w:p>
    <w:p w14:paraId="4D97E754" w14:textId="5A700B01" w:rsidR="008A1EAC" w:rsidRPr="001945A8" w:rsidRDefault="008A1EAC" w:rsidP="008A1EAC">
      <w:pPr>
        <w:pStyle w:val="SingleTxtG"/>
        <w:ind w:left="2268" w:hanging="1134"/>
        <w:rPr>
          <w:rFonts w:eastAsia="Malgun Gothic"/>
        </w:rPr>
      </w:pPr>
      <w:r w:rsidRPr="003B7583">
        <w:rPr>
          <w:b/>
          <w:bCs/>
          <w:lang w:val="fr-FR"/>
        </w:rPr>
        <w:t>2.3.7</w:t>
      </w:r>
      <w:r w:rsidRPr="003B7583">
        <w:rPr>
          <w:lang w:val="fr-FR"/>
        </w:rPr>
        <w:tab/>
      </w:r>
      <w:r w:rsidRPr="003B7583">
        <w:rPr>
          <w:lang w:val="fr-FR"/>
        </w:rPr>
        <w:tab/>
      </w:r>
      <w:r w:rsidRPr="003B7583">
        <w:rPr>
          <w:b/>
          <w:bCs/>
          <w:lang w:val="fr-FR"/>
        </w:rPr>
        <w:t xml:space="preserve">Pour vérifier la conformité aux prescriptions du paragraphe 5.2.1.26.4 du présent Règlement, </w:t>
      </w:r>
      <w:r>
        <w:rPr>
          <w:b/>
          <w:bCs/>
          <w:lang w:val="fr-FR"/>
        </w:rPr>
        <w:t xml:space="preserve">il convient de contrôler </w:t>
      </w:r>
      <w:r w:rsidRPr="003B7583">
        <w:rPr>
          <w:b/>
          <w:bCs/>
          <w:lang w:val="fr-FR"/>
        </w:rPr>
        <w:t>l</w:t>
      </w:r>
      <w:r w:rsidR="004405B4">
        <w:rPr>
          <w:b/>
          <w:bCs/>
          <w:lang w:val="fr-FR"/>
        </w:rPr>
        <w:t>’</w:t>
      </w:r>
      <w:r w:rsidRPr="003B7583">
        <w:rPr>
          <w:b/>
          <w:bCs/>
          <w:lang w:val="fr-FR"/>
        </w:rPr>
        <w:t xml:space="preserve">activation automatique du frein de stationnement en arrêtant le moteur et en </w:t>
      </w:r>
      <w:r>
        <w:rPr>
          <w:b/>
          <w:bCs/>
          <w:lang w:val="fr-FR"/>
        </w:rPr>
        <w:t>quittant</w:t>
      </w:r>
      <w:r w:rsidRPr="003B7583">
        <w:rPr>
          <w:b/>
          <w:bCs/>
          <w:lang w:val="fr-FR"/>
        </w:rPr>
        <w:t xml:space="preserve"> l</w:t>
      </w:r>
      <w:r w:rsidR="004405B4">
        <w:rPr>
          <w:b/>
          <w:bCs/>
          <w:lang w:val="fr-FR"/>
        </w:rPr>
        <w:t>’</w:t>
      </w:r>
      <w:r w:rsidRPr="003B7583">
        <w:rPr>
          <w:b/>
          <w:bCs/>
          <w:lang w:val="fr-FR"/>
        </w:rPr>
        <w:t xml:space="preserve">habitacle, </w:t>
      </w:r>
      <w:r>
        <w:rPr>
          <w:b/>
          <w:bCs/>
          <w:lang w:val="fr-FR"/>
        </w:rPr>
        <w:t>conformément aux</w:t>
      </w:r>
      <w:r w:rsidRPr="003B7583">
        <w:rPr>
          <w:b/>
          <w:bCs/>
          <w:lang w:val="fr-FR"/>
        </w:rPr>
        <w:t xml:space="preserve"> critères d</w:t>
      </w:r>
      <w:r w:rsidR="004405B4">
        <w:rPr>
          <w:b/>
          <w:bCs/>
          <w:lang w:val="fr-FR"/>
        </w:rPr>
        <w:t>’</w:t>
      </w:r>
      <w:r w:rsidRPr="003B7583">
        <w:rPr>
          <w:b/>
          <w:bCs/>
          <w:lang w:val="fr-FR"/>
        </w:rPr>
        <w:t>activation énoncés ou, pour les véhicules de la catégorie M, en s</w:t>
      </w:r>
      <w:r w:rsidR="004405B4">
        <w:rPr>
          <w:b/>
          <w:bCs/>
          <w:lang w:val="fr-FR"/>
        </w:rPr>
        <w:t>’</w:t>
      </w:r>
      <w:r w:rsidRPr="003B7583">
        <w:rPr>
          <w:b/>
          <w:bCs/>
          <w:lang w:val="fr-FR"/>
        </w:rPr>
        <w:t>abstenant d</w:t>
      </w:r>
      <w:r w:rsidR="004405B4">
        <w:rPr>
          <w:b/>
          <w:bCs/>
          <w:lang w:val="fr-FR"/>
        </w:rPr>
        <w:t>’</w:t>
      </w:r>
      <w:r w:rsidRPr="003B7583">
        <w:rPr>
          <w:b/>
          <w:bCs/>
          <w:lang w:val="fr-FR"/>
        </w:rPr>
        <w:t>actionner les commandes ou les freins pendant au moins 30 secondes. </w:t>
      </w:r>
      <w:r w:rsidRPr="00740C66">
        <w:rPr>
          <w:lang w:val="fr-FR"/>
        </w:rPr>
        <w:t>».</w:t>
      </w:r>
    </w:p>
    <w:p w14:paraId="57925C8D" w14:textId="2C7F912C" w:rsidR="008A1EAC" w:rsidRPr="003B7583" w:rsidRDefault="008A1EAC" w:rsidP="008A1EAC">
      <w:pPr>
        <w:pStyle w:val="HChG"/>
      </w:pPr>
      <w:r>
        <w:rPr>
          <w:lang w:val="fr-FR"/>
        </w:rPr>
        <w:tab/>
      </w:r>
      <w:r w:rsidRPr="003B7583">
        <w:rPr>
          <w:lang w:val="fr-FR"/>
        </w:rPr>
        <w:t>II.</w:t>
      </w:r>
      <w:r w:rsidRPr="003B7583">
        <w:rPr>
          <w:lang w:val="fr-FR"/>
        </w:rPr>
        <w:tab/>
        <w:t>Justification</w:t>
      </w:r>
    </w:p>
    <w:p w14:paraId="73AF1635" w14:textId="224000F2" w:rsidR="008A1EAC" w:rsidRDefault="008A1EAC" w:rsidP="008A1EAC">
      <w:pPr>
        <w:pStyle w:val="SingleTxtG"/>
        <w:ind w:firstLine="567"/>
        <w:rPr>
          <w:lang w:val="fr-FR"/>
        </w:rPr>
      </w:pPr>
      <w:r w:rsidRPr="003B7583">
        <w:rPr>
          <w:lang w:val="fr-FR"/>
        </w:rPr>
        <w:t xml:space="preserve">Le présent document </w:t>
      </w:r>
      <w:r w:rsidRPr="00D136D3">
        <w:rPr>
          <w:lang w:val="fr-FR"/>
        </w:rPr>
        <w:t>propose une série</w:t>
      </w:r>
      <w:r w:rsidRPr="003B7583">
        <w:rPr>
          <w:lang w:val="fr-FR"/>
        </w:rPr>
        <w:t xml:space="preserve"> 12 d</w:t>
      </w:r>
      <w:r w:rsidR="004405B4">
        <w:rPr>
          <w:lang w:val="fr-FR"/>
        </w:rPr>
        <w:t>’</w:t>
      </w:r>
      <w:r w:rsidRPr="003B7583">
        <w:rPr>
          <w:lang w:val="fr-FR"/>
        </w:rPr>
        <w:t xml:space="preserve">amendements au Règlement ONU </w:t>
      </w:r>
      <w:r w:rsidRPr="003248B8">
        <w:rPr>
          <w:lang w:val="fr-FR"/>
        </w:rPr>
        <w:t>n</w:t>
      </w:r>
      <w:r w:rsidRPr="003248B8">
        <w:rPr>
          <w:vertAlign w:val="superscript"/>
          <w:lang w:val="fr-FR"/>
        </w:rPr>
        <w:t>o</w:t>
      </w:r>
      <w:r w:rsidRPr="00E71186">
        <w:rPr>
          <w:lang w:val="fr-FR"/>
        </w:rPr>
        <w:t> </w:t>
      </w:r>
      <w:r w:rsidRPr="003B7583">
        <w:rPr>
          <w:lang w:val="fr-FR"/>
        </w:rPr>
        <w:t>13. Il est fondé sur le document informel GRVA-10-05</w:t>
      </w:r>
      <w:r>
        <w:rPr>
          <w:lang w:val="fr-FR"/>
        </w:rPr>
        <w:t>,</w:t>
      </w:r>
      <w:r w:rsidRPr="003B7583">
        <w:rPr>
          <w:lang w:val="fr-FR"/>
        </w:rPr>
        <w:t xml:space="preserve"> présenté par l</w:t>
      </w:r>
      <w:r w:rsidR="004405B4">
        <w:rPr>
          <w:lang w:val="fr-FR"/>
        </w:rPr>
        <w:t>’</w:t>
      </w:r>
      <w:r w:rsidRPr="003B7583">
        <w:rPr>
          <w:lang w:val="fr-FR"/>
        </w:rPr>
        <w:t>expert de l</w:t>
      </w:r>
      <w:r w:rsidR="004405B4">
        <w:rPr>
          <w:lang w:val="fr-FR"/>
        </w:rPr>
        <w:t>’</w:t>
      </w:r>
      <w:r w:rsidRPr="003B7583">
        <w:rPr>
          <w:lang w:val="fr-FR"/>
        </w:rPr>
        <w:t>Allemagne</w:t>
      </w:r>
      <w:r>
        <w:rPr>
          <w:lang w:val="fr-FR"/>
        </w:rPr>
        <w:t>,</w:t>
      </w:r>
      <w:r w:rsidRPr="003B7583">
        <w:rPr>
          <w:lang w:val="fr-FR"/>
        </w:rPr>
        <w:t xml:space="preserve"> et sur les amendements proposés par les experts de l</w:t>
      </w:r>
      <w:r w:rsidR="004405B4">
        <w:rPr>
          <w:lang w:val="fr-FR"/>
        </w:rPr>
        <w:t>’</w:t>
      </w:r>
      <w:r w:rsidRPr="003B7583">
        <w:rPr>
          <w:lang w:val="fr-FR"/>
        </w:rPr>
        <w:t>OICA dans le document GRVA-10-33.</w:t>
      </w:r>
    </w:p>
    <w:p w14:paraId="533F7D01" w14:textId="5A15D035" w:rsidR="008A1EAC" w:rsidRPr="008A1EAC" w:rsidRDefault="008A1EAC" w:rsidP="008A1EAC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8A1EAC" w:rsidRPr="008A1EAC" w:rsidSect="008A1EAC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45C378" w14:textId="77777777" w:rsidR="007630FA" w:rsidRDefault="007630FA" w:rsidP="00F95C08">
      <w:pPr>
        <w:spacing w:line="240" w:lineRule="auto"/>
      </w:pPr>
    </w:p>
  </w:endnote>
  <w:endnote w:type="continuationSeparator" w:id="0">
    <w:p w14:paraId="0E891A88" w14:textId="77777777" w:rsidR="007630FA" w:rsidRPr="00AC3823" w:rsidRDefault="007630FA" w:rsidP="00AC3823">
      <w:pPr>
        <w:pStyle w:val="Pieddepage"/>
      </w:pPr>
    </w:p>
  </w:endnote>
  <w:endnote w:type="continuationNotice" w:id="1">
    <w:p w14:paraId="67E8536D" w14:textId="77777777" w:rsidR="007630FA" w:rsidRDefault="007630F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7CD4F2" w14:textId="20BA2965" w:rsidR="008A1EAC" w:rsidRPr="008A1EAC" w:rsidRDefault="008A1EAC" w:rsidP="008A1EAC">
    <w:pPr>
      <w:pStyle w:val="Pieddepage"/>
      <w:tabs>
        <w:tab w:val="right" w:pos="9638"/>
      </w:tabs>
    </w:pPr>
    <w:r w:rsidRPr="008A1EAC">
      <w:rPr>
        <w:b/>
        <w:sz w:val="18"/>
      </w:rPr>
      <w:fldChar w:fldCharType="begin"/>
    </w:r>
    <w:r w:rsidRPr="008A1EAC">
      <w:rPr>
        <w:b/>
        <w:sz w:val="18"/>
      </w:rPr>
      <w:instrText xml:space="preserve"> PAGE  \* MERGEFORMAT </w:instrText>
    </w:r>
    <w:r w:rsidRPr="008A1EAC">
      <w:rPr>
        <w:b/>
        <w:sz w:val="18"/>
      </w:rPr>
      <w:fldChar w:fldCharType="separate"/>
    </w:r>
    <w:r w:rsidRPr="008A1EAC">
      <w:rPr>
        <w:b/>
        <w:noProof/>
        <w:sz w:val="18"/>
      </w:rPr>
      <w:t>2</w:t>
    </w:r>
    <w:r w:rsidRPr="008A1EAC">
      <w:rPr>
        <w:b/>
        <w:sz w:val="18"/>
      </w:rPr>
      <w:fldChar w:fldCharType="end"/>
    </w:r>
    <w:r>
      <w:rPr>
        <w:b/>
        <w:sz w:val="18"/>
      </w:rPr>
      <w:tab/>
    </w:r>
    <w:r>
      <w:t>GE.21-09711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0FC354" w14:textId="6C52A444" w:rsidR="008A1EAC" w:rsidRPr="008A1EAC" w:rsidRDefault="008A1EAC" w:rsidP="008A1EAC">
    <w:pPr>
      <w:pStyle w:val="Pieddepage"/>
      <w:tabs>
        <w:tab w:val="right" w:pos="9638"/>
      </w:tabs>
      <w:rPr>
        <w:b/>
        <w:sz w:val="18"/>
      </w:rPr>
    </w:pPr>
    <w:r>
      <w:t>GE.21-09711</w:t>
    </w:r>
    <w:r>
      <w:tab/>
    </w:r>
    <w:r w:rsidRPr="008A1EAC">
      <w:rPr>
        <w:b/>
        <w:sz w:val="18"/>
      </w:rPr>
      <w:fldChar w:fldCharType="begin"/>
    </w:r>
    <w:r w:rsidRPr="008A1EAC">
      <w:rPr>
        <w:b/>
        <w:sz w:val="18"/>
      </w:rPr>
      <w:instrText xml:space="preserve"> PAGE  \* MERGEFORMAT </w:instrText>
    </w:r>
    <w:r w:rsidRPr="008A1EAC">
      <w:rPr>
        <w:b/>
        <w:sz w:val="18"/>
      </w:rPr>
      <w:fldChar w:fldCharType="separate"/>
    </w:r>
    <w:r w:rsidRPr="008A1EAC">
      <w:rPr>
        <w:b/>
        <w:noProof/>
        <w:sz w:val="18"/>
      </w:rPr>
      <w:t>3</w:t>
    </w:r>
    <w:r w:rsidRPr="008A1EA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A67E3C" w14:textId="6217EA51" w:rsidR="007F20FA" w:rsidRPr="008A1EAC" w:rsidRDefault="008A1EAC" w:rsidP="008A1EAC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1B30E0AD" wp14:editId="7817E9B5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21-09711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35603F0A" wp14:editId="5567AC7C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100821    100821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EF3302" w14:textId="77777777" w:rsidR="007630FA" w:rsidRPr="00AC3823" w:rsidRDefault="007630FA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1AA74DE" w14:textId="77777777" w:rsidR="007630FA" w:rsidRPr="00AC3823" w:rsidRDefault="007630FA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51B4F19" w14:textId="77777777" w:rsidR="007630FA" w:rsidRPr="00AC3823" w:rsidRDefault="007630FA">
      <w:pPr>
        <w:spacing w:line="240" w:lineRule="auto"/>
        <w:rPr>
          <w:sz w:val="2"/>
          <w:szCs w:val="2"/>
        </w:rPr>
      </w:pPr>
    </w:p>
  </w:footnote>
  <w:footnote w:id="2">
    <w:p w14:paraId="5C2814DF" w14:textId="3A81F7BD" w:rsidR="008A1EAC" w:rsidRPr="008A1EAC" w:rsidRDefault="008A1EAC">
      <w:pPr>
        <w:pStyle w:val="Notedebasdepage"/>
      </w:pPr>
      <w:r>
        <w:rPr>
          <w:rStyle w:val="Appelnotedebasdep"/>
        </w:rPr>
        <w:tab/>
      </w:r>
      <w:r w:rsidRPr="008A1EAC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  <w:vertAlign w:val="baseline"/>
        </w:rPr>
        <w:tab/>
      </w:r>
      <w:r>
        <w:rPr>
          <w:lang w:val="fr-FR"/>
        </w:rPr>
        <w:t>Conformément au programme de travail du Comité des transports intérieurs pour 2021 tel qu</w:t>
      </w:r>
      <w:r>
        <w:rPr>
          <w:lang w:val="fr-FR"/>
        </w:rPr>
        <w:t>’</w:t>
      </w:r>
      <w:r>
        <w:rPr>
          <w:lang w:val="fr-FR"/>
        </w:rPr>
        <w:t>il figure dans le projet de budget-programme pour 2021 (A/75/6 (Sect. 20), par. 20.51), le Forum mondial a pour mission d</w:t>
      </w:r>
      <w:r>
        <w:rPr>
          <w:lang w:val="fr-FR"/>
        </w:rPr>
        <w:t>’</w:t>
      </w:r>
      <w:r>
        <w:rPr>
          <w:lang w:val="fr-FR"/>
        </w:rPr>
        <w:t>élaborer, d</w:t>
      </w:r>
      <w:r>
        <w:rPr>
          <w:lang w:val="fr-FR"/>
        </w:rPr>
        <w:t>’</w:t>
      </w:r>
      <w:r>
        <w:rPr>
          <w:lang w:val="fr-FR"/>
        </w:rPr>
        <w:t>harmoniser et de mettre à jour les Règlements ONU en vue d</w:t>
      </w:r>
      <w:r>
        <w:rPr>
          <w:lang w:val="fr-FR"/>
        </w:rPr>
        <w:t>’</w:t>
      </w:r>
      <w:r>
        <w:rPr>
          <w:lang w:val="fr-FR"/>
        </w:rPr>
        <w:t>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209831" w14:textId="18508BA4" w:rsidR="008A1EAC" w:rsidRPr="008A1EAC" w:rsidRDefault="008A1EAC">
    <w:pPr>
      <w:pStyle w:val="En-tte"/>
    </w:pPr>
    <w:fldSimple w:instr=" TITLE  \* MERGEFORMAT ">
      <w:r w:rsidR="00186B42">
        <w:t>ECE/TRANS/WP.29/GRVA/2021/25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4A672" w14:textId="471EC94C" w:rsidR="008A1EAC" w:rsidRPr="008A1EAC" w:rsidRDefault="008A1EAC" w:rsidP="008A1EAC">
    <w:pPr>
      <w:pStyle w:val="En-tte"/>
      <w:jc w:val="right"/>
    </w:pPr>
    <w:fldSimple w:instr=" TITLE  \* MERGEFORMAT ">
      <w:r w:rsidR="00186B42">
        <w:t>ECE/TRANS/WP.29/GRVA/2021/25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0FA"/>
    <w:rsid w:val="00017F94"/>
    <w:rsid w:val="00023842"/>
    <w:rsid w:val="000334F9"/>
    <w:rsid w:val="00045FEB"/>
    <w:rsid w:val="0007796D"/>
    <w:rsid w:val="000B7790"/>
    <w:rsid w:val="000C62D4"/>
    <w:rsid w:val="00111F2F"/>
    <w:rsid w:val="0014365E"/>
    <w:rsid w:val="00143C66"/>
    <w:rsid w:val="00176178"/>
    <w:rsid w:val="00186B42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916DE"/>
    <w:rsid w:val="00421996"/>
    <w:rsid w:val="004405B4"/>
    <w:rsid w:val="00441C3B"/>
    <w:rsid w:val="00446FE5"/>
    <w:rsid w:val="00452396"/>
    <w:rsid w:val="00477EB2"/>
    <w:rsid w:val="004837D8"/>
    <w:rsid w:val="004E2EED"/>
    <w:rsid w:val="004E468C"/>
    <w:rsid w:val="005505B7"/>
    <w:rsid w:val="00573BE5"/>
    <w:rsid w:val="00586ED3"/>
    <w:rsid w:val="00596AA9"/>
    <w:rsid w:val="0071601D"/>
    <w:rsid w:val="007630FA"/>
    <w:rsid w:val="007A62E6"/>
    <w:rsid w:val="007E2EB9"/>
    <w:rsid w:val="007F20FA"/>
    <w:rsid w:val="0080684C"/>
    <w:rsid w:val="00825FCD"/>
    <w:rsid w:val="00871C75"/>
    <w:rsid w:val="008776DC"/>
    <w:rsid w:val="008A1EAC"/>
    <w:rsid w:val="008D5EF9"/>
    <w:rsid w:val="009446C0"/>
    <w:rsid w:val="009705C8"/>
    <w:rsid w:val="009C1CF4"/>
    <w:rsid w:val="009F6B74"/>
    <w:rsid w:val="00A3029F"/>
    <w:rsid w:val="00A30353"/>
    <w:rsid w:val="00A60C11"/>
    <w:rsid w:val="00AC3823"/>
    <w:rsid w:val="00AE323C"/>
    <w:rsid w:val="00AF0CB5"/>
    <w:rsid w:val="00B00181"/>
    <w:rsid w:val="00B00B0D"/>
    <w:rsid w:val="00B23EF1"/>
    <w:rsid w:val="00B45F2E"/>
    <w:rsid w:val="00B765F7"/>
    <w:rsid w:val="00B77993"/>
    <w:rsid w:val="00BA0CA9"/>
    <w:rsid w:val="00C02897"/>
    <w:rsid w:val="00C97039"/>
    <w:rsid w:val="00D136D3"/>
    <w:rsid w:val="00D3439C"/>
    <w:rsid w:val="00D7622E"/>
    <w:rsid w:val="00DA4335"/>
    <w:rsid w:val="00DB1831"/>
    <w:rsid w:val="00DD3BFD"/>
    <w:rsid w:val="00DF6678"/>
    <w:rsid w:val="00E0299A"/>
    <w:rsid w:val="00E71186"/>
    <w:rsid w:val="00E85C74"/>
    <w:rsid w:val="00EA6547"/>
    <w:rsid w:val="00ED723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17B4710"/>
  <w15:docId w15:val="{13446D0B-DF8A-4262-95B5-9353BD013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,(Footnote Reference),-E Fußnotenzeichen,BVI fnr, BVI fnr,Footnote symbol,Footnote,Footnote Reference Superscript,SUPERS,4_GR,Fußnotenzeichen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,PP,5_G_6,-E Fußnotentext,footnote text,Fußnotentext Ursprung,Footnote Text Char Char,Footnote Text Char Char Char Char,Footnote Text1,Footnote Text Char Char Char,Fußnotentext Char1,Fußnotentext Char Char,Fußnotentext Char2,Fußn"/>
    <w:basedOn w:val="Normal"/>
    <w:link w:val="NotedebasdepageCar"/>
    <w:uiPriority w:val="99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,PP Car,5_G_6 Car,-E Fußnotentext Car,footnote text Car,Fußnotentext Ursprung Car,Footnote Text Char Char Car,Footnote Text Char Char Char Char Car,Footnote Text1 Car,Footnote Text Char Char Char Car,Fußnotentext Char1 Car"/>
    <w:basedOn w:val="Policepardfaut"/>
    <w:link w:val="Notedebasdepage"/>
    <w:uiPriority w:val="99"/>
    <w:qFormat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118C3E-A91C-4B04-A782-C110ACA92E1C}"/>
</file>

<file path=customXml/itemProps2.xml><?xml version="1.0" encoding="utf-8"?>
<ds:datastoreItem xmlns:ds="http://schemas.openxmlformats.org/officeDocument/2006/customXml" ds:itemID="{C9AE5C48-4B01-4F01-8CE7-0A0A5C92151C}"/>
</file>

<file path=customXml/itemProps3.xml><?xml version="1.0" encoding="utf-8"?>
<ds:datastoreItem xmlns:ds="http://schemas.openxmlformats.org/officeDocument/2006/customXml" ds:itemID="{DBE7CC27-22E3-454D-AEC3-1E7F8311EAE5}"/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4</Pages>
  <Words>1001</Words>
  <Characters>7011</Characters>
  <Application>Microsoft Office Word</Application>
  <DocSecurity>0</DocSecurity>
  <Lines>584</Lines>
  <Paragraphs>320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ECE/TRANS/WP.29/GRVA/2021/25</vt:lpstr>
    </vt:vector>
  </TitlesOfParts>
  <Company>DCM</Company>
  <LinksUpToDate>false</LinksUpToDate>
  <CharactersWithSpaces>7692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ECE/TRANS/WP.29/GRVA/2021/25</dc:title>
  <dc:subject/>
  <dc:creator>Julien OKRZESIK</dc:creator>
  <cp:keywords/>
  <cp:lastModifiedBy>Julien Okrzesik</cp:lastModifiedBy>
  <cp:revision>3</cp:revision>
  <cp:lastPrinted>2021-08-10T14:19:00Z</cp:lastPrinted>
  <dcterms:created xsi:type="dcterms:W3CDTF">2021-08-10T14:19:00Z</dcterms:created>
  <dcterms:modified xsi:type="dcterms:W3CDTF">2021-08-10T14:19:00Z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