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57C861E4"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202741">
              <w:t>25</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02A750B" w:rsidR="00EA2A77" w:rsidRPr="004C4906" w:rsidRDefault="00844BB6" w:rsidP="00844BB6">
            <w:pPr>
              <w:spacing w:before="240" w:line="240" w:lineRule="exact"/>
            </w:pPr>
            <w:r w:rsidRPr="004C4906">
              <w:t>Distr.: General</w:t>
            </w:r>
          </w:p>
          <w:p w14:paraId="5B2929BA" w14:textId="61675433" w:rsidR="00844BB6" w:rsidRPr="004C4906" w:rsidRDefault="00202741" w:rsidP="00844BB6">
            <w:pPr>
              <w:spacing w:line="240" w:lineRule="exact"/>
            </w:pPr>
            <w:r>
              <w:t>1</w:t>
            </w:r>
            <w:r w:rsidR="006862A6">
              <w:t>3</w:t>
            </w:r>
            <w:r w:rsidR="002169BD">
              <w:t xml:space="preserve"> </w:t>
            </w:r>
            <w:r>
              <w:t>July</w:t>
            </w:r>
            <w:r w:rsidR="002169BD">
              <w:t xml:space="preserve"> </w:t>
            </w:r>
            <w:r w:rsidR="00BF6DED">
              <w:t>20</w:t>
            </w:r>
            <w:r w:rsidR="00AD425D">
              <w:t>21</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D3279BF" w:rsidR="008841F1" w:rsidRPr="004C4906" w:rsidRDefault="00AD425D" w:rsidP="008841F1">
      <w:pPr>
        <w:spacing w:before="120"/>
        <w:rPr>
          <w:b/>
        </w:rPr>
      </w:pPr>
      <w:r>
        <w:rPr>
          <w:b/>
        </w:rPr>
        <w:t>Eleventh</w:t>
      </w:r>
      <w:r w:rsidR="00BF6DED">
        <w:rPr>
          <w:b/>
        </w:rPr>
        <w:t xml:space="preserve"> session</w:t>
      </w:r>
    </w:p>
    <w:p w14:paraId="158D95F8" w14:textId="77777777" w:rsidR="002D53BA" w:rsidRDefault="002D53BA" w:rsidP="00893ECC">
      <w:bookmarkStart w:id="2" w:name="OLE_LINK2"/>
      <w:r>
        <w:t>Geneva, 27 September – 1 October 2021</w:t>
      </w:r>
    </w:p>
    <w:p w14:paraId="4E49D5FA" w14:textId="3BFA8A04" w:rsidR="00893ECC" w:rsidRPr="004C4906" w:rsidRDefault="00893ECC" w:rsidP="00893ECC">
      <w:r>
        <w:t>Item 8 (c) of the provisional agenda</w:t>
      </w:r>
    </w:p>
    <w:p w14:paraId="01A2BBDB" w14:textId="77777777" w:rsidR="00893ECC" w:rsidRPr="006C2F68" w:rsidRDefault="00893ECC" w:rsidP="00893ECC">
      <w:pPr>
        <w:rPr>
          <w:b/>
          <w:lang w:val="es-ES"/>
        </w:rPr>
      </w:pPr>
      <w:r w:rsidRPr="006C2F68">
        <w:rPr>
          <w:b/>
          <w:bCs/>
          <w:lang w:val="es-ES"/>
        </w:rPr>
        <w:t xml:space="preserve">UN </w:t>
      </w:r>
      <w:proofErr w:type="spellStart"/>
      <w:r w:rsidRPr="006C2F68">
        <w:rPr>
          <w:b/>
          <w:bCs/>
          <w:lang w:val="es-ES"/>
        </w:rPr>
        <w:t>Regulations</w:t>
      </w:r>
      <w:proofErr w:type="spellEnd"/>
      <w:r w:rsidRPr="006C2F68">
        <w:rPr>
          <w:b/>
          <w:bCs/>
          <w:lang w:val="es-ES"/>
        </w:rPr>
        <w:t xml:space="preserve"> Nos. 13, 13-H, 139, 140 and UN GTR No. 8</w:t>
      </w:r>
      <w:r w:rsidRPr="006C2F68">
        <w:rPr>
          <w:b/>
          <w:lang w:val="es-ES"/>
        </w:rPr>
        <w:t>:</w:t>
      </w:r>
    </w:p>
    <w:p w14:paraId="3FF25E63" w14:textId="4F26C967" w:rsidR="00961324" w:rsidRPr="002A07AE" w:rsidRDefault="00893ECC" w:rsidP="00893ECC">
      <w:pPr>
        <w:rPr>
          <w:b/>
          <w:bCs/>
          <w:lang w:val="en-US"/>
        </w:rPr>
      </w:pPr>
      <w:r>
        <w:rPr>
          <w:b/>
          <w:bCs/>
        </w:rPr>
        <w:t>Clarifications</w:t>
      </w:r>
    </w:p>
    <w:p w14:paraId="501BCCA9" w14:textId="5563107E" w:rsidR="00135769" w:rsidRPr="005268DD" w:rsidRDefault="00135769" w:rsidP="00310AF9">
      <w:pPr>
        <w:pStyle w:val="HChG"/>
        <w:rPr>
          <w:lang w:val="en-US"/>
        </w:rPr>
      </w:pPr>
      <w:r w:rsidRPr="004C4906">
        <w:tab/>
      </w:r>
      <w:r w:rsidRPr="004C4906">
        <w:tab/>
      </w:r>
      <w:bookmarkEnd w:id="2"/>
      <w:r w:rsidR="008F1169">
        <w:rPr>
          <w:bCs/>
          <w:szCs w:val="28"/>
          <w:lang w:val="en-US"/>
        </w:rPr>
        <w:t xml:space="preserve">Proposal for </w:t>
      </w:r>
      <w:r w:rsidR="00ED14EC">
        <w:rPr>
          <w:bCs/>
          <w:szCs w:val="28"/>
          <w:lang w:val="en-US"/>
        </w:rPr>
        <w:t>the</w:t>
      </w:r>
      <w:r w:rsidR="006C057F">
        <w:rPr>
          <w:bCs/>
          <w:szCs w:val="28"/>
          <w:lang w:val="en-US"/>
        </w:rPr>
        <w:t xml:space="preserve"> new 12 series of amendments</w:t>
      </w:r>
      <w:r w:rsidR="001B6B53">
        <w:rPr>
          <w:bCs/>
          <w:szCs w:val="28"/>
          <w:lang w:val="en-US"/>
        </w:rPr>
        <w:t xml:space="preserve"> to </w:t>
      </w:r>
      <w:r w:rsidR="008F1169">
        <w:rPr>
          <w:bCs/>
          <w:szCs w:val="28"/>
          <w:lang w:val="en-US"/>
        </w:rPr>
        <w:t xml:space="preserve">UN Regulation No. 13 </w:t>
      </w:r>
      <w:r w:rsidR="008F1169">
        <w:t>(Heavy vehicle braking)</w:t>
      </w:r>
    </w:p>
    <w:p w14:paraId="55876149" w14:textId="5EBCF8AF" w:rsidR="009F1A57" w:rsidRDefault="009F1A57" w:rsidP="009F1A57">
      <w:pPr>
        <w:pStyle w:val="H1G"/>
        <w:rPr>
          <w:szCs w:val="24"/>
          <w:lang w:val="en-US"/>
        </w:rPr>
      </w:pPr>
      <w:r>
        <w:tab/>
      </w:r>
      <w:r>
        <w:tab/>
        <w:t>Submitted by the expert from</w:t>
      </w:r>
      <w:r w:rsidR="00CA07C0">
        <w:t xml:space="preserve"> the International Organization of Motor Vehicle Manufacturers</w:t>
      </w:r>
      <w:r w:rsidR="00EA475E" w:rsidRPr="00524BC2">
        <w:rPr>
          <w:rStyle w:val="FootnoteReference"/>
          <w:b w:val="0"/>
          <w:bCs/>
          <w:sz w:val="24"/>
          <w:szCs w:val="24"/>
          <w:vertAlign w:val="baseline"/>
        </w:rPr>
        <w:footnoteReference w:customMarkFollows="1" w:id="2"/>
        <w:t>*</w:t>
      </w:r>
    </w:p>
    <w:p w14:paraId="45AC0AF5" w14:textId="46D166B5"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3D05">
        <w:t xml:space="preserve">by the expert from </w:t>
      </w:r>
      <w:r w:rsidR="00CA07C0">
        <w:t>the International Organization of Motor Vehicle Manufacturers (OICA)</w:t>
      </w:r>
      <w:r w:rsidR="00873D05">
        <w:t xml:space="preserve">, </w:t>
      </w:r>
      <w:r w:rsidR="002A07AE">
        <w:t>bas</w:t>
      </w:r>
      <w:r w:rsidR="00873D05">
        <w:t>ed</w:t>
      </w:r>
      <w:r w:rsidR="002A07AE">
        <w:t xml:space="preserve"> on </w:t>
      </w:r>
      <w:r w:rsidR="00C53B8A">
        <w:t xml:space="preserve">informal </w:t>
      </w:r>
      <w:r w:rsidR="005556CB">
        <w:t xml:space="preserve">document </w:t>
      </w:r>
      <w:r w:rsidR="005556CB">
        <w:rPr>
          <w:lang w:val="en-US"/>
        </w:rPr>
        <w:t>GRVA</w:t>
      </w:r>
      <w:r w:rsidR="005556CB" w:rsidRPr="007E2BFF">
        <w:t>-</w:t>
      </w:r>
      <w:r w:rsidR="002A0863">
        <w:t>10</w:t>
      </w:r>
      <w:r w:rsidR="005556CB" w:rsidRPr="007E2BFF">
        <w:t>-</w:t>
      </w:r>
      <w:r w:rsidR="002A0863">
        <w:t>33</w:t>
      </w:r>
      <w:r w:rsidR="005556CB">
        <w:t xml:space="preserve"> at the </w:t>
      </w:r>
      <w:r w:rsidR="002A0863">
        <w:t>tenth</w:t>
      </w:r>
      <w:r w:rsidR="005556CB">
        <w:t xml:space="preserve"> session </w:t>
      </w:r>
      <w:r w:rsidR="007174B8">
        <w:t xml:space="preserve">of the </w:t>
      </w:r>
      <w:r w:rsidR="007174B8" w:rsidRPr="007174B8">
        <w:t xml:space="preserve">Working Party on Automated/Autonomous and Connected Vehicles </w:t>
      </w:r>
      <w:r w:rsidR="007174B8">
        <w:t xml:space="preserve">(GRVA) </w:t>
      </w:r>
      <w:r w:rsidR="005556CB">
        <w:t xml:space="preserve">in </w:t>
      </w:r>
      <w:r w:rsidR="002A0863">
        <w:t>May</w:t>
      </w:r>
      <w:r w:rsidR="005556CB">
        <w:t xml:space="preserve"> 202</w:t>
      </w:r>
      <w:r w:rsidR="002A0863">
        <w:t>1</w:t>
      </w:r>
      <w:r w:rsidR="005556CB">
        <w:t>.</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6D8ACDD2" w14:textId="4535E223" w:rsidR="001D4195" w:rsidRPr="00CA3CDB" w:rsidRDefault="00590138" w:rsidP="001D4195">
      <w:pPr>
        <w:spacing w:after="120"/>
        <w:ind w:left="1134" w:right="1134"/>
        <w:rPr>
          <w:iCs/>
          <w:lang w:val="en-IN"/>
        </w:rPr>
      </w:pPr>
      <w:r w:rsidRPr="009F2CA3">
        <w:rPr>
          <w:i/>
          <w:lang w:val="en-IN"/>
        </w:rPr>
        <w:t>Paragraph 5.1.2.3.</w:t>
      </w:r>
      <w:r w:rsidR="009F2CA3">
        <w:rPr>
          <w:i/>
          <w:lang w:val="en-IN"/>
        </w:rPr>
        <w:t>,</w:t>
      </w:r>
      <w:r>
        <w:rPr>
          <w:iCs/>
          <w:lang w:val="en-IN"/>
        </w:rPr>
        <w:t xml:space="preserve"> </w:t>
      </w:r>
      <w:r w:rsidR="003F78B2">
        <w:rPr>
          <w:lang w:val="en-US"/>
        </w:rPr>
        <w:t>recalled for easy convenience:</w:t>
      </w:r>
    </w:p>
    <w:p w14:paraId="0106E728" w14:textId="6CA2DE62" w:rsidR="001D4195" w:rsidRPr="00CA3CDB" w:rsidRDefault="00870132" w:rsidP="001D4195">
      <w:pPr>
        <w:spacing w:after="120"/>
        <w:ind w:left="1134" w:right="1134"/>
        <w:rPr>
          <w:lang w:val="en-US"/>
        </w:rPr>
      </w:pPr>
      <w:r>
        <w:rPr>
          <w:lang w:val="en-US"/>
        </w:rPr>
        <w:t>“</w:t>
      </w:r>
      <w:r w:rsidR="001D4195" w:rsidRPr="00CA3CDB">
        <w:rPr>
          <w:lang w:val="en-US"/>
        </w:rPr>
        <w:t>5.1.2.3.</w:t>
      </w:r>
      <w:r w:rsidR="001D4195" w:rsidRPr="00CA3CDB">
        <w:rPr>
          <w:lang w:val="en-US"/>
        </w:rPr>
        <w:tab/>
        <w:t>Parking braking system</w:t>
      </w:r>
    </w:p>
    <w:p w14:paraId="00DE925F" w14:textId="77777777" w:rsidR="001D4195" w:rsidRPr="00CA3CDB" w:rsidRDefault="001D4195" w:rsidP="00FF6CC2">
      <w:pPr>
        <w:spacing w:after="120"/>
        <w:ind w:left="2268" w:right="1134"/>
        <w:jc w:val="both"/>
        <w:rPr>
          <w:lang w:val="en-US"/>
        </w:rPr>
      </w:pPr>
      <w:r w:rsidRPr="00CA3CDB">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6A57FAED" w14:textId="1F5F4916" w:rsidR="001D4195" w:rsidRDefault="001D4195" w:rsidP="00FF6CC2">
      <w:pPr>
        <w:spacing w:after="120"/>
        <w:ind w:left="2268" w:right="1134"/>
        <w:jc w:val="both"/>
        <w:rPr>
          <w:lang w:val="en-US"/>
        </w:rPr>
      </w:pPr>
      <w:r w:rsidRPr="00CA3CDB">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r w:rsidR="00870132">
        <w:rPr>
          <w:lang w:val="en-US"/>
        </w:rPr>
        <w:t>”</w:t>
      </w:r>
    </w:p>
    <w:p w14:paraId="2583957B" w14:textId="7920AD0D" w:rsidR="00870132" w:rsidRPr="00CA3CDB" w:rsidRDefault="00870132" w:rsidP="00870132">
      <w:pPr>
        <w:spacing w:after="120"/>
        <w:ind w:left="1134" w:right="1134"/>
        <w:rPr>
          <w:lang w:val="en-US"/>
        </w:rPr>
      </w:pPr>
      <w:r w:rsidRPr="00870132">
        <w:rPr>
          <w:i/>
          <w:iCs/>
          <w:lang w:val="en-US"/>
        </w:rPr>
        <w:t>Paragraph 5.2.1.26</w:t>
      </w:r>
      <w:r>
        <w:rPr>
          <w:i/>
          <w:iCs/>
          <w:lang w:val="en-US"/>
        </w:rPr>
        <w:t>.</w:t>
      </w:r>
      <w:r>
        <w:rPr>
          <w:lang w:val="en-US"/>
        </w:rPr>
        <w:t>, recalled for easy convenience:</w:t>
      </w:r>
    </w:p>
    <w:p w14:paraId="4C42443E" w14:textId="5E37DDF6" w:rsidR="001D4195" w:rsidRPr="00CA3CDB" w:rsidRDefault="006C057F" w:rsidP="001D4195">
      <w:pPr>
        <w:pStyle w:val="SingleTxtG"/>
        <w:ind w:left="2268" w:hanging="1134"/>
      </w:pPr>
      <w:r>
        <w:t>“</w:t>
      </w:r>
      <w:r w:rsidR="001D4195" w:rsidRPr="00CA3CDB">
        <w:t>5.2.1.26.</w:t>
      </w:r>
      <w:r w:rsidR="001D4195" w:rsidRPr="00CA3CDB">
        <w:tab/>
        <w:t>Special additional requirements for the electric transmission of the parking braking system</w:t>
      </w:r>
      <w:r>
        <w:t>”</w:t>
      </w:r>
    </w:p>
    <w:p w14:paraId="43CA78AE" w14:textId="77777777" w:rsidR="001D4195" w:rsidRPr="006C057F" w:rsidRDefault="001D4195" w:rsidP="001D4195">
      <w:pPr>
        <w:spacing w:after="120"/>
        <w:ind w:left="1134" w:right="1134"/>
        <w:rPr>
          <w:iCs/>
          <w:lang w:val="en-US"/>
        </w:rPr>
      </w:pPr>
      <w:r w:rsidRPr="00CA3CDB">
        <w:rPr>
          <w:i/>
          <w:lang w:val="en-IN"/>
        </w:rPr>
        <w:t xml:space="preserve">Paragraph 5.2.1.26.4., </w:t>
      </w:r>
      <w:r w:rsidRPr="006C057F">
        <w:rPr>
          <w:iCs/>
          <w:lang w:val="en-IN"/>
        </w:rPr>
        <w:t>amend to read:</w:t>
      </w:r>
    </w:p>
    <w:p w14:paraId="576EA8EC" w14:textId="10946A09" w:rsidR="001D4195" w:rsidRPr="00CA3CDB" w:rsidRDefault="006C057F" w:rsidP="001D4195">
      <w:pPr>
        <w:suppressAutoHyphens w:val="0"/>
        <w:spacing w:after="120"/>
        <w:ind w:left="2268" w:right="1134" w:hanging="1134"/>
        <w:jc w:val="both"/>
        <w:rPr>
          <w:rFonts w:eastAsia="Calibri"/>
        </w:rPr>
      </w:pPr>
      <w:r>
        <w:rPr>
          <w:rFonts w:eastAsia="Calibri"/>
        </w:rPr>
        <w:t>“</w:t>
      </w:r>
      <w:r w:rsidR="001D4195" w:rsidRPr="00CA3CDB">
        <w:rPr>
          <w:rFonts w:eastAsia="Calibri"/>
        </w:rPr>
        <w:t>5.2.1.26.4.</w:t>
      </w:r>
      <w:r w:rsidR="001D4195" w:rsidRPr="00CA3CDB">
        <w:rPr>
          <w:rFonts w:eastAsia="Calibri"/>
        </w:rPr>
        <w:tab/>
        <w:t xml:space="preserve">After the ignition/start switch which controls the electrical energy for the braking equipment has been switched off and/or the key removed, it shall remain possible to apply the parking braking system, whereas releasing </w:t>
      </w:r>
      <w:r w:rsidR="001D4195" w:rsidRPr="00CA3CDB">
        <w:rPr>
          <w:rFonts w:eastAsia="Calibri"/>
          <w:b/>
        </w:rPr>
        <w:t xml:space="preserve">by using the parking brake control </w:t>
      </w:r>
      <w:r w:rsidR="001D4195" w:rsidRPr="00CA3CDB">
        <w:rPr>
          <w:rFonts w:eastAsia="Calibri"/>
        </w:rPr>
        <w:t>shall be prevented.</w:t>
      </w:r>
    </w:p>
    <w:p w14:paraId="4B5357DA" w14:textId="77777777" w:rsidR="001D4195" w:rsidRPr="00CA3CDB" w:rsidRDefault="001D4195" w:rsidP="001D4195">
      <w:pPr>
        <w:suppressAutoHyphens w:val="0"/>
        <w:spacing w:after="120"/>
        <w:ind w:left="2268" w:right="1134"/>
        <w:jc w:val="both"/>
        <w:rPr>
          <w:rFonts w:eastAsia="Calibri"/>
        </w:rPr>
      </w:pPr>
      <w:r w:rsidRPr="00CA3CDB">
        <w:rPr>
          <w:rFonts w:eastAsia="Calibri"/>
        </w:rPr>
        <w:t>However, the parking braking system may also be released when this action is part of an operation of a remote control system fulfilling the technical requirements of an ACSF of Category A as specified in the 02 series of amendments to UN Regulation No. 79 or later series of amendments.</w:t>
      </w:r>
    </w:p>
    <w:p w14:paraId="575E122C" w14:textId="77777777" w:rsidR="001D4195" w:rsidRPr="00CA3CDB" w:rsidRDefault="001D4195" w:rsidP="001D4195">
      <w:pPr>
        <w:suppressAutoHyphens w:val="0"/>
        <w:spacing w:after="120"/>
        <w:ind w:left="2268" w:right="1134"/>
        <w:jc w:val="both"/>
        <w:rPr>
          <w:rFonts w:eastAsia="Calibri"/>
          <w:b/>
        </w:rPr>
      </w:pPr>
      <w:r w:rsidRPr="00CA3CDB">
        <w:rPr>
          <w:rFonts w:eastAsia="Calibri"/>
          <w:b/>
        </w:rPr>
        <w:t>Furthermore, the parking brake shall be automatically applied, at least when the vehicle is detected to be stationary and additionally any of the following conditions is fulfilled:</w:t>
      </w:r>
    </w:p>
    <w:p w14:paraId="4EEC02DE" w14:textId="03E7B20A" w:rsidR="001D4195" w:rsidRPr="00CA3CDB" w:rsidRDefault="00785A7B" w:rsidP="00B56F72">
      <w:pPr>
        <w:suppressAutoHyphens w:val="0"/>
        <w:spacing w:after="120"/>
        <w:ind w:left="2835" w:right="1134"/>
        <w:jc w:val="both"/>
        <w:rPr>
          <w:rFonts w:eastAsia="Calibri"/>
          <w:b/>
        </w:rPr>
      </w:pPr>
      <w:r w:rsidRPr="00CA3CDB">
        <w:rPr>
          <w:rFonts w:eastAsia="Calibri"/>
          <w:b/>
        </w:rPr>
        <w:t>(a)</w:t>
      </w:r>
      <w:r w:rsidRPr="00CA3CDB">
        <w:rPr>
          <w:rFonts w:eastAsia="Calibri"/>
          <w:b/>
        </w:rPr>
        <w:tab/>
        <w:t>T</w:t>
      </w:r>
      <w:r w:rsidR="001D4195" w:rsidRPr="00CA3CDB">
        <w:rPr>
          <w:rFonts w:eastAsia="Calibri"/>
          <w:b/>
        </w:rPr>
        <w:t xml:space="preserve">he ignition/start switch which controls the electrical energy for the braking equipment has been switched off and/or the key </w:t>
      </w:r>
      <w:proofErr w:type="gramStart"/>
      <w:r w:rsidR="001D4195" w:rsidRPr="00CA3CDB">
        <w:rPr>
          <w:rFonts w:eastAsia="Calibri"/>
          <w:b/>
        </w:rPr>
        <w:t>removed;</w:t>
      </w:r>
      <w:proofErr w:type="gramEnd"/>
    </w:p>
    <w:p w14:paraId="4F36D32B" w14:textId="76C75C5C" w:rsidR="001D4195" w:rsidRPr="00CA3CDB" w:rsidRDefault="00785A7B" w:rsidP="00B56F72">
      <w:pPr>
        <w:suppressAutoHyphens w:val="0"/>
        <w:spacing w:after="120"/>
        <w:ind w:left="2835" w:right="1134"/>
        <w:jc w:val="both"/>
        <w:rPr>
          <w:rFonts w:eastAsia="Calibri"/>
          <w:b/>
        </w:rPr>
      </w:pPr>
      <w:r w:rsidRPr="00CA3CDB">
        <w:rPr>
          <w:rFonts w:eastAsia="Calibri"/>
          <w:b/>
        </w:rPr>
        <w:t>(b)</w:t>
      </w:r>
      <w:r w:rsidRPr="00CA3CDB">
        <w:rPr>
          <w:rFonts w:eastAsia="Calibri"/>
          <w:b/>
        </w:rPr>
        <w:tab/>
        <w:t>T</w:t>
      </w:r>
      <w:r w:rsidR="001D4195" w:rsidRPr="00CA3CDB">
        <w:rPr>
          <w:rFonts w:eastAsia="Calibri"/>
          <w:b/>
        </w:rPr>
        <w:t>he driver is deemed to leave the driving seat (e.g. via a detection of door opening, unfastening of seat belt). Alternatively, for vehicles of category M, the parking brake shall be automatically applied if no input to any control by the driver nor any brakes application are detected for a time greater than 30 seconds.</w:t>
      </w:r>
    </w:p>
    <w:p w14:paraId="054FEE45" w14:textId="687A7555" w:rsidR="001D4195" w:rsidRPr="00CA3CDB" w:rsidRDefault="001D4195" w:rsidP="001D4195">
      <w:pPr>
        <w:suppressAutoHyphens w:val="0"/>
        <w:spacing w:after="120"/>
        <w:ind w:left="2268" w:right="1134"/>
        <w:jc w:val="both"/>
        <w:rPr>
          <w:rFonts w:eastAsia="Calibri"/>
          <w:b/>
        </w:rPr>
      </w:pPr>
      <w:r w:rsidRPr="00CA3CDB">
        <w:rPr>
          <w:rFonts w:eastAsia="Calibri"/>
          <w:b/>
        </w:rPr>
        <w:t>However, the automatic application of the parking braking system may be suppressed by the driver (e.g. during maintenance operation, manoeuvring situations, to avoid park brake freezing in winter conditions) with a dedicated action (e.g. by pedal actuation, a switch).</w:t>
      </w:r>
      <w:r w:rsidR="006C057F">
        <w:rPr>
          <w:rFonts w:eastAsia="Calibri"/>
          <w:b/>
        </w:rPr>
        <w:t>”</w:t>
      </w:r>
    </w:p>
    <w:p w14:paraId="1C3DDFA6" w14:textId="31E81404" w:rsidR="001D4195" w:rsidRPr="00CA3CDB" w:rsidRDefault="001D4195" w:rsidP="001D4195">
      <w:pPr>
        <w:spacing w:after="120"/>
        <w:ind w:left="1134" w:right="1134"/>
        <w:rPr>
          <w:b/>
          <w:iCs/>
        </w:rPr>
      </w:pPr>
      <w:r w:rsidRPr="00CA3CDB">
        <w:rPr>
          <w:bCs/>
          <w:i/>
        </w:rPr>
        <w:t>Paragraph 12</w:t>
      </w:r>
      <w:r w:rsidR="00F36038">
        <w:rPr>
          <w:bCs/>
          <w:i/>
        </w:rPr>
        <w:t>.</w:t>
      </w:r>
      <w:r w:rsidRPr="00CA3CDB">
        <w:rPr>
          <w:bCs/>
          <w:i/>
        </w:rPr>
        <w:t xml:space="preserve">, </w:t>
      </w:r>
      <w:r w:rsidRPr="00CA3CDB">
        <w:rPr>
          <w:bCs/>
          <w:iCs/>
        </w:rPr>
        <w:t>amend to read:</w:t>
      </w:r>
    </w:p>
    <w:p w14:paraId="0CB99C8E" w14:textId="13AE326C" w:rsidR="001D4195" w:rsidRPr="00CA3CDB" w:rsidRDefault="006C2E41" w:rsidP="00CA07C0">
      <w:pPr>
        <w:spacing w:after="120"/>
        <w:ind w:left="1134" w:right="1134"/>
        <w:jc w:val="both"/>
        <w:rPr>
          <w:b/>
          <w:iCs/>
        </w:rPr>
      </w:pPr>
      <w:r>
        <w:rPr>
          <w:b/>
          <w:iCs/>
        </w:rPr>
        <w:t>“</w:t>
      </w:r>
      <w:r w:rsidR="001D4195" w:rsidRPr="00CA3CDB">
        <w:rPr>
          <w:b/>
          <w:iCs/>
        </w:rPr>
        <w:t>12.</w:t>
      </w:r>
      <w:r w:rsidR="001D4195" w:rsidRPr="00CA3CDB">
        <w:rPr>
          <w:b/>
          <w:iCs/>
        </w:rPr>
        <w:tab/>
      </w:r>
      <w:r w:rsidR="001D4195" w:rsidRPr="00CA3CDB">
        <w:rPr>
          <w:b/>
          <w:iCs/>
        </w:rPr>
        <w:tab/>
        <w:t xml:space="preserve">Transitional provisions </w:t>
      </w:r>
    </w:p>
    <w:p w14:paraId="47B79E5F" w14:textId="77777777" w:rsidR="001D4195" w:rsidRPr="00CA3CDB" w:rsidRDefault="001D4195" w:rsidP="00CA07C0">
      <w:pPr>
        <w:spacing w:after="120"/>
        <w:ind w:left="2268" w:right="1134" w:hanging="1134"/>
        <w:jc w:val="both"/>
        <w:rPr>
          <w:b/>
          <w:iCs/>
        </w:rPr>
      </w:pPr>
      <w:r w:rsidRPr="00CA3CDB">
        <w:rPr>
          <w:b/>
          <w:iCs/>
        </w:rPr>
        <w:t>12.1.</w:t>
      </w:r>
      <w:r w:rsidRPr="00CA3CDB">
        <w:rPr>
          <w:b/>
          <w:iCs/>
        </w:rPr>
        <w:tab/>
        <w:t>As from the official date of entry into force of the 12 series of amendments, no Contracting Party applying this Regulation shall refuse to grant or refuse to accept type approvals under this Regulation as amended by the 12 series of amendments.</w:t>
      </w:r>
    </w:p>
    <w:p w14:paraId="6A43717C" w14:textId="77777777" w:rsidR="001D4195" w:rsidRPr="00CA3CDB" w:rsidRDefault="001D4195" w:rsidP="00CA07C0">
      <w:pPr>
        <w:spacing w:after="120"/>
        <w:ind w:left="2268" w:right="1134" w:hanging="1134"/>
        <w:jc w:val="both"/>
        <w:rPr>
          <w:b/>
          <w:iCs/>
        </w:rPr>
      </w:pPr>
      <w:r w:rsidRPr="00CA3CDB">
        <w:rPr>
          <w:b/>
          <w:iCs/>
        </w:rPr>
        <w:t>12.2.</w:t>
      </w:r>
      <w:r w:rsidRPr="00CA3CDB">
        <w:rPr>
          <w:b/>
          <w:iCs/>
        </w:rPr>
        <w:tab/>
        <w:t>As from [1 September 2024], Contracting Parties applying this Regulation shall not be obliged to accept type approvals to the preceding series of amendments, first issued after [1 September 2024].</w:t>
      </w:r>
    </w:p>
    <w:p w14:paraId="38658D1F" w14:textId="77777777" w:rsidR="001D4195" w:rsidRPr="00CA3CDB" w:rsidRDefault="001D4195" w:rsidP="00CA07C0">
      <w:pPr>
        <w:spacing w:after="120"/>
        <w:ind w:left="2268" w:right="1134" w:hanging="1134"/>
        <w:jc w:val="both"/>
        <w:rPr>
          <w:b/>
          <w:iCs/>
        </w:rPr>
      </w:pPr>
      <w:r w:rsidRPr="00CA3CDB">
        <w:rPr>
          <w:b/>
          <w:iCs/>
        </w:rPr>
        <w:lastRenderedPageBreak/>
        <w:t>12.3.</w:t>
      </w:r>
      <w:r w:rsidRPr="00CA3CDB">
        <w:rPr>
          <w:b/>
          <w:iCs/>
        </w:rPr>
        <w:tab/>
        <w:t>Until [1 September 2026], Contracting Parties applying this Regulation shall accept type approvals to the preceding series of amendments, first issued before [1 September 2024].</w:t>
      </w:r>
    </w:p>
    <w:p w14:paraId="2AE3A765" w14:textId="77777777" w:rsidR="001D4195" w:rsidRPr="00CA3CDB" w:rsidRDefault="001D4195" w:rsidP="00CA07C0">
      <w:pPr>
        <w:spacing w:after="120"/>
        <w:ind w:left="2268" w:right="1134" w:hanging="1134"/>
        <w:jc w:val="both"/>
        <w:rPr>
          <w:b/>
          <w:iCs/>
        </w:rPr>
      </w:pPr>
      <w:r w:rsidRPr="00CA3CDB">
        <w:rPr>
          <w:b/>
          <w:iCs/>
        </w:rPr>
        <w:t>12.4.</w:t>
      </w:r>
      <w:r w:rsidRPr="00CA3CDB">
        <w:rPr>
          <w:b/>
          <w:iCs/>
        </w:rPr>
        <w:tab/>
        <w:t>As from [1 September 2026], Contracting Parties applying this Regulation shall not be obliged to accept type approvals issued to the preceding series of amendments to this Regulation.</w:t>
      </w:r>
    </w:p>
    <w:p w14:paraId="7A998BF4" w14:textId="6D9619A5" w:rsidR="001D4195" w:rsidRPr="00CA3CDB" w:rsidRDefault="001D4195" w:rsidP="00CA07C0">
      <w:pPr>
        <w:spacing w:after="120"/>
        <w:ind w:left="2268" w:right="1134" w:hanging="1134"/>
        <w:jc w:val="both"/>
        <w:rPr>
          <w:b/>
          <w:iCs/>
        </w:rPr>
      </w:pPr>
      <w:r w:rsidRPr="00CA3CDB">
        <w:rPr>
          <w:b/>
          <w:iCs/>
        </w:rPr>
        <w:t>12.5.</w:t>
      </w:r>
      <w:r w:rsidRPr="00CA3CDB">
        <w:rPr>
          <w:b/>
          <w:iCs/>
        </w:rPr>
        <w:tab/>
        <w:t>Notwithstanding paragraph 12.4</w:t>
      </w:r>
      <w:r w:rsidR="007A1666">
        <w:rPr>
          <w:b/>
          <w:iCs/>
        </w:rPr>
        <w:t>.</w:t>
      </w:r>
      <w:r w:rsidRPr="00CA3CDB">
        <w:rPr>
          <w:b/>
          <w:iCs/>
        </w:rPr>
        <w:t>, Contracting Parties applying this Regulation shall continue to accept type approvals issued according to the preceding series of amendments to this Regulation, for the vehicles which are not affected by the changes introduced by the 12 series of amendment</w:t>
      </w:r>
      <w:r w:rsidR="00FF6CC2">
        <w:rPr>
          <w:b/>
          <w:iCs/>
        </w:rPr>
        <w:t>s</w:t>
      </w:r>
      <w:r w:rsidRPr="00CA3CDB">
        <w:rPr>
          <w:b/>
          <w:iCs/>
        </w:rPr>
        <w:t>.</w:t>
      </w:r>
    </w:p>
    <w:p w14:paraId="6F9B0DAB" w14:textId="77777777" w:rsidR="001D4195" w:rsidRPr="00CA3CDB" w:rsidRDefault="001D4195" w:rsidP="00CA07C0">
      <w:pPr>
        <w:spacing w:after="120"/>
        <w:ind w:left="2268" w:right="1134" w:hanging="1134"/>
        <w:jc w:val="both"/>
        <w:rPr>
          <w:b/>
          <w:bCs/>
          <w:iCs/>
        </w:rPr>
      </w:pPr>
      <w:r w:rsidRPr="00CA3CDB">
        <w:rPr>
          <w:b/>
          <w:iCs/>
        </w:rPr>
        <w:t>12.6.</w:t>
      </w:r>
      <w:r w:rsidRPr="00CA3CDB">
        <w:rPr>
          <w:b/>
          <w:iCs/>
        </w:rPr>
        <w:tab/>
      </w:r>
      <w:r w:rsidRPr="00CA3CDB">
        <w:rPr>
          <w:b/>
          <w:bCs/>
          <w:iCs/>
        </w:rPr>
        <w:t xml:space="preserve">Contracting Parties applying this Regulation may grant type approvals according to any preceding series of amendments to this Regulation. </w:t>
      </w:r>
    </w:p>
    <w:p w14:paraId="2A68470B" w14:textId="77777777" w:rsidR="001D4195" w:rsidRPr="00CA3CDB" w:rsidRDefault="001D4195" w:rsidP="00CA07C0">
      <w:pPr>
        <w:spacing w:after="120"/>
        <w:ind w:left="2268" w:right="1134" w:hanging="1134"/>
        <w:jc w:val="both"/>
        <w:rPr>
          <w:b/>
          <w:bCs/>
          <w:iCs/>
        </w:rPr>
      </w:pPr>
      <w:r w:rsidRPr="00CA3CDB">
        <w:rPr>
          <w:b/>
          <w:bCs/>
          <w:iCs/>
        </w:rPr>
        <w:t xml:space="preserve">12.7. </w:t>
      </w:r>
      <w:r w:rsidRPr="00CA3CDB">
        <w:rPr>
          <w:b/>
          <w:bCs/>
          <w:iCs/>
        </w:rPr>
        <w:tab/>
        <w:t xml:space="preserve">Contracting </w:t>
      </w:r>
      <w:r w:rsidRPr="00CA3CDB">
        <w:rPr>
          <w:b/>
          <w:iCs/>
        </w:rPr>
        <w:t>Parties</w:t>
      </w:r>
      <w:r w:rsidRPr="00CA3CDB">
        <w:rPr>
          <w:b/>
          <w:bCs/>
          <w:iCs/>
        </w:rPr>
        <w:t xml:space="preserve"> applying this Regulation shall continue to grant extensions of existing approvals to any preceding series of amendments to this Regulation.”</w:t>
      </w:r>
    </w:p>
    <w:p w14:paraId="5487E897" w14:textId="2F54A888" w:rsidR="001D4195" w:rsidRPr="00CA3CDB" w:rsidRDefault="001D4195" w:rsidP="001D4195">
      <w:pPr>
        <w:spacing w:after="120"/>
        <w:ind w:left="1134" w:right="1134"/>
        <w:rPr>
          <w:iCs/>
          <w:lang w:val="en-IN"/>
        </w:rPr>
      </w:pPr>
      <w:r w:rsidRPr="00CA3CDB">
        <w:rPr>
          <w:i/>
          <w:lang w:val="en-IN"/>
        </w:rPr>
        <w:t>Annex 4, paragraph 2.3</w:t>
      </w:r>
      <w:r w:rsidR="00F36038">
        <w:rPr>
          <w:i/>
          <w:lang w:val="en-IN"/>
        </w:rPr>
        <w:t>.</w:t>
      </w:r>
      <w:r w:rsidRPr="00CA3CDB">
        <w:rPr>
          <w:i/>
          <w:lang w:val="en-IN"/>
        </w:rPr>
        <w:t xml:space="preserve">, </w:t>
      </w:r>
      <w:r w:rsidRPr="00CA3CDB">
        <w:rPr>
          <w:iCs/>
          <w:lang w:val="en-IN"/>
        </w:rPr>
        <w:t>amend to read:</w:t>
      </w:r>
    </w:p>
    <w:p w14:paraId="7CF2CAC9" w14:textId="77777777" w:rsidR="001D4195" w:rsidRPr="00CA3CDB" w:rsidRDefault="001D4195" w:rsidP="001D4195">
      <w:pPr>
        <w:spacing w:after="120" w:line="240" w:lineRule="auto"/>
        <w:ind w:left="2268" w:right="1134" w:hanging="1134"/>
        <w:jc w:val="both"/>
        <w:rPr>
          <w:lang w:val="en-US"/>
        </w:rPr>
      </w:pPr>
      <w:r w:rsidRPr="00CA3CDB">
        <w:rPr>
          <w:lang w:val="en-US"/>
        </w:rPr>
        <w:t xml:space="preserve">2.3. </w:t>
      </w:r>
      <w:r w:rsidRPr="00CA3CDB">
        <w:rPr>
          <w:lang w:val="en-US"/>
        </w:rPr>
        <w:tab/>
        <w:t>Parking braking system</w:t>
      </w:r>
    </w:p>
    <w:p w14:paraId="095A6A5F" w14:textId="77777777" w:rsidR="001D4195" w:rsidRPr="00CA3CDB" w:rsidRDefault="001D4195" w:rsidP="001D4195">
      <w:pPr>
        <w:spacing w:after="120" w:line="240" w:lineRule="auto"/>
        <w:ind w:left="2268" w:right="1134" w:hanging="1134"/>
        <w:jc w:val="both"/>
        <w:rPr>
          <w:lang w:val="en-US"/>
        </w:rPr>
      </w:pPr>
      <w:r w:rsidRPr="00CA3CDB">
        <w:rPr>
          <w:lang w:val="en-US"/>
        </w:rPr>
        <w:t>2.3.1.</w:t>
      </w:r>
      <w:r w:rsidRPr="00CA3CDB">
        <w:rPr>
          <w:lang w:val="en-US"/>
        </w:rPr>
        <w:tab/>
        <w:t>The parking braking system shall, even if it is combined with one of the other braking systems, be capable of holding the laden vehicle stationary on an 18 per cent up or down-gradient.</w:t>
      </w:r>
    </w:p>
    <w:p w14:paraId="6CAF80F9" w14:textId="77777777" w:rsidR="001D4195" w:rsidRPr="00CA3CDB" w:rsidRDefault="001D4195" w:rsidP="001D4195">
      <w:pPr>
        <w:spacing w:after="120" w:line="240" w:lineRule="auto"/>
        <w:ind w:left="2268" w:right="1134" w:hanging="1134"/>
        <w:jc w:val="both"/>
        <w:rPr>
          <w:lang w:val="en-US"/>
        </w:rPr>
      </w:pPr>
      <w:r w:rsidRPr="00CA3CDB">
        <w:rPr>
          <w:lang w:val="en-US"/>
        </w:rPr>
        <w:t xml:space="preserve">2.3.2. </w:t>
      </w:r>
      <w:r w:rsidRPr="00CA3CDB">
        <w:rPr>
          <w:lang w:val="en-US"/>
        </w:rPr>
        <w:tab/>
        <w:t>On vehicles to which the coupling of a trailer is authorized, the parking braking system of the towing vehicle shall be capable of holding the combination of vehicles stationary on a 12 per cent up or down-gradient.</w:t>
      </w:r>
    </w:p>
    <w:p w14:paraId="23F3AEB8" w14:textId="77777777" w:rsidR="001D4195" w:rsidRPr="00CA3CDB" w:rsidRDefault="001D4195" w:rsidP="00F36038">
      <w:pPr>
        <w:spacing w:after="120" w:line="240" w:lineRule="auto"/>
        <w:ind w:left="2268" w:right="1134" w:hanging="1134"/>
        <w:rPr>
          <w:lang w:val="en-US"/>
        </w:rPr>
      </w:pPr>
      <w:r w:rsidRPr="00CA3CDB">
        <w:rPr>
          <w:lang w:val="en-US"/>
        </w:rPr>
        <w:t xml:space="preserve">2.3.3. </w:t>
      </w:r>
      <w:r w:rsidRPr="00CA3CDB">
        <w:rPr>
          <w:lang w:val="en-US"/>
        </w:rPr>
        <w:tab/>
        <w:t xml:space="preserve">If the control is manual, the force applied to it shall not exceed 60 </w:t>
      </w:r>
      <w:proofErr w:type="spellStart"/>
      <w:r w:rsidRPr="00CA3CDB">
        <w:rPr>
          <w:lang w:val="en-US"/>
        </w:rPr>
        <w:t>daN.</w:t>
      </w:r>
      <w:proofErr w:type="spellEnd"/>
    </w:p>
    <w:p w14:paraId="56828FCD" w14:textId="77777777" w:rsidR="001D4195" w:rsidRPr="00CA3CDB" w:rsidRDefault="001D4195" w:rsidP="001D4195">
      <w:pPr>
        <w:spacing w:after="120" w:line="240" w:lineRule="auto"/>
        <w:ind w:left="2268" w:right="1134" w:hanging="1134"/>
        <w:jc w:val="both"/>
        <w:rPr>
          <w:lang w:val="en-US"/>
        </w:rPr>
      </w:pPr>
      <w:r w:rsidRPr="00CA3CDB">
        <w:rPr>
          <w:lang w:val="en-US"/>
        </w:rPr>
        <w:t xml:space="preserve">2.3.4. </w:t>
      </w:r>
      <w:r w:rsidRPr="00CA3CDB">
        <w:rPr>
          <w:lang w:val="en-US"/>
        </w:rPr>
        <w:tab/>
        <w:t xml:space="preserve">If it is a foot control, the force exerted on the control shall not exceed 70 </w:t>
      </w:r>
      <w:proofErr w:type="spellStart"/>
      <w:r w:rsidRPr="00CA3CDB">
        <w:rPr>
          <w:lang w:val="en-US"/>
        </w:rPr>
        <w:t>daN.</w:t>
      </w:r>
      <w:proofErr w:type="spellEnd"/>
    </w:p>
    <w:p w14:paraId="69D385D5" w14:textId="77777777" w:rsidR="001D4195" w:rsidRPr="00CA3CDB" w:rsidRDefault="001D4195" w:rsidP="001D4195">
      <w:pPr>
        <w:spacing w:after="120" w:line="240" w:lineRule="auto"/>
        <w:ind w:left="2268" w:right="1134" w:hanging="1134"/>
        <w:jc w:val="both"/>
        <w:rPr>
          <w:lang w:val="en-US"/>
        </w:rPr>
      </w:pPr>
      <w:r w:rsidRPr="00CA3CDB">
        <w:rPr>
          <w:lang w:val="en-US"/>
        </w:rPr>
        <w:t xml:space="preserve">2.3.5. </w:t>
      </w:r>
      <w:r w:rsidRPr="00CA3CDB">
        <w:rPr>
          <w:lang w:val="en-US"/>
        </w:rPr>
        <w:tab/>
        <w:t xml:space="preserve">A parking braking system which </w:t>
      </w:r>
      <w:proofErr w:type="gramStart"/>
      <w:r w:rsidRPr="00CA3CDB">
        <w:rPr>
          <w:lang w:val="en-US"/>
        </w:rPr>
        <w:t>has to</w:t>
      </w:r>
      <w:proofErr w:type="gramEnd"/>
      <w:r w:rsidRPr="00CA3CDB">
        <w:rPr>
          <w:lang w:val="en-US"/>
        </w:rPr>
        <w:t xml:space="preserve"> be actuated several times before it attains the prescribed performance is admissible.</w:t>
      </w:r>
    </w:p>
    <w:p w14:paraId="72C23ED4" w14:textId="77777777" w:rsidR="001D4195" w:rsidRPr="00CA3CDB" w:rsidRDefault="001D4195" w:rsidP="001D4195">
      <w:pPr>
        <w:spacing w:after="120" w:line="240" w:lineRule="auto"/>
        <w:ind w:left="2268" w:right="1134" w:hanging="1134"/>
        <w:jc w:val="both"/>
        <w:rPr>
          <w:lang w:val="en-US"/>
        </w:rPr>
      </w:pPr>
      <w:r w:rsidRPr="00CA3CDB">
        <w:rPr>
          <w:lang w:val="en-US"/>
        </w:rPr>
        <w:t xml:space="preserve">2.3.6. </w:t>
      </w:r>
      <w:r w:rsidRPr="00CA3CDB">
        <w:rPr>
          <w:lang w:val="en-US"/>
        </w:rPr>
        <w:tab/>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390F3A2D" w14:textId="0BC40EE8" w:rsidR="00D73FD4" w:rsidRPr="00CA3CDB" w:rsidRDefault="001D4195" w:rsidP="001D4195">
      <w:pPr>
        <w:keepNext/>
        <w:keepLines/>
        <w:spacing w:after="120"/>
        <w:ind w:left="2268" w:right="1134" w:hanging="1134"/>
        <w:jc w:val="both"/>
        <w:rPr>
          <w:rFonts w:eastAsia="Malgun Gothic"/>
          <w:lang w:val="en-US"/>
        </w:rPr>
      </w:pPr>
      <w:r w:rsidRPr="00CA3CDB">
        <w:rPr>
          <w:b/>
          <w:bCs/>
          <w:lang w:val="en-US"/>
        </w:rPr>
        <w:t xml:space="preserve">2.3.7. </w:t>
      </w:r>
      <w:r w:rsidRPr="00CA3CDB">
        <w:rPr>
          <w:b/>
          <w:bCs/>
          <w:lang w:val="en-US"/>
        </w:rPr>
        <w:tab/>
      </w:r>
      <w:r w:rsidRPr="00CA3CDB">
        <w:rPr>
          <w:b/>
          <w:bCs/>
          <w:lang w:val="en-US"/>
        </w:rPr>
        <w:tab/>
        <w:t xml:space="preserve">To check the compliance with the requirements specified in paragraph </w:t>
      </w:r>
      <w:r w:rsidRPr="00CA3CDB">
        <w:rPr>
          <w:b/>
        </w:rPr>
        <w:t>5.2.1.26.4</w:t>
      </w:r>
      <w:r w:rsidRPr="00BC3D82">
        <w:rPr>
          <w:b/>
          <w:bCs/>
        </w:rPr>
        <w:t>.</w:t>
      </w:r>
      <w:r w:rsidRPr="00CA3CDB">
        <w:t xml:space="preserve"> </w:t>
      </w:r>
      <w:r w:rsidRPr="00CA3CDB">
        <w:rPr>
          <w:b/>
          <w:bCs/>
          <w:lang w:val="en-US"/>
        </w:rPr>
        <w:t xml:space="preserve">of this Regulation, the automatic activation of the parking brake shall be checked by stopping the engine and additionally by leaving the cabin against the declared activation criteria and/or for vehicles of </w:t>
      </w:r>
      <w:r w:rsidR="001B6B53">
        <w:rPr>
          <w:b/>
          <w:bCs/>
          <w:lang w:val="en-US"/>
        </w:rPr>
        <w:t>C</w:t>
      </w:r>
      <w:r w:rsidRPr="00CA3CDB">
        <w:rPr>
          <w:b/>
          <w:bCs/>
          <w:lang w:val="en-US"/>
        </w:rPr>
        <w:t>ategory M by not operating any controls nor any brakes for a duration of at least 30 s</w:t>
      </w:r>
      <w:r w:rsidR="001B6B53">
        <w:rPr>
          <w:b/>
          <w:bCs/>
          <w:lang w:val="en-US"/>
        </w:rPr>
        <w:t>econds</w:t>
      </w:r>
      <w:r w:rsidRPr="00CA3CDB">
        <w:rPr>
          <w:b/>
          <w:bCs/>
          <w:lang w:val="en-US"/>
        </w:rPr>
        <w:t>.</w:t>
      </w:r>
      <w:r w:rsidR="006C2E41">
        <w:rPr>
          <w:b/>
          <w:bCs/>
          <w:lang w:val="en-US"/>
        </w:rPr>
        <w:t>”</w:t>
      </w:r>
    </w:p>
    <w:p w14:paraId="3D391609" w14:textId="322A375B" w:rsidR="003078A0" w:rsidRDefault="003078A0" w:rsidP="005E1406">
      <w:pPr>
        <w:pStyle w:val="HChG"/>
      </w:pPr>
      <w:r w:rsidRPr="001240A8">
        <w:rPr>
          <w:lang w:val="en-US"/>
        </w:rPr>
        <w:tab/>
      </w:r>
      <w:r w:rsidRPr="006D0011">
        <w:t>II.</w:t>
      </w:r>
      <w:r w:rsidRPr="006D0011">
        <w:tab/>
        <w:t>Justification</w:t>
      </w:r>
    </w:p>
    <w:p w14:paraId="189A7CFF" w14:textId="42217D23" w:rsidR="007F56FB" w:rsidRPr="007F56FB" w:rsidRDefault="004E00CF" w:rsidP="007F56FB">
      <w:pPr>
        <w:pStyle w:val="SingleTxtG"/>
      </w:pPr>
      <w:r>
        <w:tab/>
      </w:r>
      <w:r w:rsidR="007F56FB">
        <w:tab/>
        <w:t xml:space="preserve">This </w:t>
      </w:r>
      <w:r w:rsidR="002F032C">
        <w:t xml:space="preserve">document proposes </w:t>
      </w:r>
      <w:r w:rsidR="009E7F17">
        <w:t>the</w:t>
      </w:r>
      <w:r w:rsidR="002F032C">
        <w:t xml:space="preserve"> new 12 series of amendments to UN Regulation No. 13. It is based on informal document GRVA-10-05 presented by </w:t>
      </w:r>
      <w:r>
        <w:t xml:space="preserve">expert from </w:t>
      </w:r>
      <w:r w:rsidR="002F032C">
        <w:t>Germany and amendments it proposed by the experts from OICA in GRVA-10-33.</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FD0D80">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E4FC" w14:textId="77777777" w:rsidR="007F635A" w:rsidRDefault="007F635A"/>
  </w:endnote>
  <w:endnote w:type="continuationSeparator" w:id="0">
    <w:p w14:paraId="5DE25884" w14:textId="77777777" w:rsidR="007F635A" w:rsidRDefault="007F635A"/>
  </w:endnote>
  <w:endnote w:type="continuationNotice" w:id="1">
    <w:p w14:paraId="4BED80A1" w14:textId="77777777" w:rsidR="007F635A" w:rsidRDefault="007F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673C" w14:textId="3C0B95FE" w:rsidR="006641B2" w:rsidRDefault="006641B2" w:rsidP="006641B2">
    <w:pPr>
      <w:pStyle w:val="Footer"/>
    </w:pPr>
    <w:r w:rsidRPr="0027112F">
      <w:rPr>
        <w:noProof/>
        <w:lang w:val="en-US"/>
      </w:rPr>
      <w:drawing>
        <wp:anchor distT="0" distB="0" distL="114300" distR="114300" simplePos="0" relativeHeight="251659264" behindDoc="0" locked="1" layoutInCell="1" allowOverlap="1" wp14:anchorId="33E86F37" wp14:editId="76FF527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86075E" w14:textId="07F68F68" w:rsidR="006641B2" w:rsidRPr="006641B2" w:rsidRDefault="006641B2" w:rsidP="006641B2">
    <w:pPr>
      <w:pStyle w:val="Footer"/>
      <w:ind w:right="1134"/>
      <w:rPr>
        <w:sz w:val="20"/>
      </w:rPr>
    </w:pPr>
    <w:r>
      <w:rPr>
        <w:sz w:val="20"/>
      </w:rPr>
      <w:t>GE.21-09711(E)</w:t>
    </w:r>
    <w:r>
      <w:rPr>
        <w:noProof/>
        <w:sz w:val="20"/>
      </w:rPr>
      <w:drawing>
        <wp:anchor distT="0" distB="0" distL="114300" distR="114300" simplePos="0" relativeHeight="251660288" behindDoc="0" locked="0" layoutInCell="1" allowOverlap="1" wp14:anchorId="45B10A71" wp14:editId="3231231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F411" w14:textId="77777777" w:rsidR="007F635A" w:rsidRPr="000B175B" w:rsidRDefault="007F635A" w:rsidP="000B175B">
      <w:pPr>
        <w:tabs>
          <w:tab w:val="right" w:pos="2155"/>
        </w:tabs>
        <w:spacing w:after="80"/>
        <w:ind w:left="680"/>
        <w:rPr>
          <w:u w:val="single"/>
        </w:rPr>
      </w:pPr>
      <w:r>
        <w:rPr>
          <w:u w:val="single"/>
        </w:rPr>
        <w:tab/>
      </w:r>
    </w:p>
  </w:footnote>
  <w:footnote w:type="continuationSeparator" w:id="0">
    <w:p w14:paraId="03F1DE75" w14:textId="77777777" w:rsidR="007F635A" w:rsidRPr="00FC68B7" w:rsidRDefault="007F635A" w:rsidP="00FC68B7">
      <w:pPr>
        <w:tabs>
          <w:tab w:val="left" w:pos="2155"/>
        </w:tabs>
        <w:spacing w:after="80"/>
        <w:ind w:left="680"/>
        <w:rPr>
          <w:u w:val="single"/>
        </w:rPr>
      </w:pPr>
      <w:r>
        <w:rPr>
          <w:u w:val="single"/>
        </w:rPr>
        <w:tab/>
      </w:r>
    </w:p>
  </w:footnote>
  <w:footnote w:type="continuationNotice" w:id="1">
    <w:p w14:paraId="3FF09282" w14:textId="77777777" w:rsidR="007F635A" w:rsidRDefault="007F635A"/>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414F6212"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364F5B">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6CC29AB2" w:rsidR="00C14B9E" w:rsidRPr="00844BB6" w:rsidRDefault="00C14B9E" w:rsidP="00844BB6">
    <w:pPr>
      <w:pStyle w:val="Header"/>
      <w:jc w:val="right"/>
    </w:pPr>
    <w:r>
      <w:t>ECE/TRANS/WP.29/GR</w:t>
    </w:r>
    <w:r w:rsidR="001821A8">
      <w:t>VA</w:t>
    </w:r>
    <w:r>
      <w:t>/20</w:t>
    </w:r>
    <w:r w:rsidR="00503150">
      <w:t>2</w:t>
    </w:r>
    <w:r w:rsidR="005556CB">
      <w:t>1</w:t>
    </w:r>
    <w:r w:rsidR="001821A8">
      <w:t>/</w:t>
    </w:r>
    <w:r w:rsidR="00CA3CDB">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DF285B"/>
    <w:multiLevelType w:val="hybridMultilevel"/>
    <w:tmpl w:val="1110F5C2"/>
    <w:lvl w:ilvl="0" w:tplc="3D2C409C">
      <w:start w:val="1"/>
      <w:numFmt w:val="decimal"/>
      <w:lvlText w:val="%1."/>
      <w:lvlJc w:val="left"/>
      <w:pPr>
        <w:ind w:left="1698" w:hanging="564"/>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DD0B95"/>
    <w:multiLevelType w:val="hybridMultilevel"/>
    <w:tmpl w:val="F0AEFEFE"/>
    <w:lvl w:ilvl="0" w:tplc="04090017">
      <w:start w:val="1"/>
      <w:numFmt w:val="lowerLetter"/>
      <w:lvlText w:val="%1)"/>
      <w:lvlJc w:val="left"/>
      <w:pPr>
        <w:ind w:left="3414" w:hanging="360"/>
      </w:pPr>
      <w:rPr>
        <w:rFont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48FA"/>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0F0AB8"/>
    <w:rsid w:val="00101EDE"/>
    <w:rsid w:val="001063AD"/>
    <w:rsid w:val="001103AA"/>
    <w:rsid w:val="00114B96"/>
    <w:rsid w:val="0011664F"/>
    <w:rsid w:val="0011666B"/>
    <w:rsid w:val="00117BC9"/>
    <w:rsid w:val="00120C2A"/>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B6B53"/>
    <w:rsid w:val="001C1C50"/>
    <w:rsid w:val="001C490A"/>
    <w:rsid w:val="001C6663"/>
    <w:rsid w:val="001C6E4D"/>
    <w:rsid w:val="001C7895"/>
    <w:rsid w:val="001D0C8C"/>
    <w:rsid w:val="001D1419"/>
    <w:rsid w:val="001D26DF"/>
    <w:rsid w:val="001D3A03"/>
    <w:rsid w:val="001D4195"/>
    <w:rsid w:val="001E5C30"/>
    <w:rsid w:val="001E7B67"/>
    <w:rsid w:val="001F278D"/>
    <w:rsid w:val="001F42B0"/>
    <w:rsid w:val="00202741"/>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49B0"/>
    <w:rsid w:val="002755EB"/>
    <w:rsid w:val="002758FB"/>
    <w:rsid w:val="00280F90"/>
    <w:rsid w:val="00285D1B"/>
    <w:rsid w:val="00286B4D"/>
    <w:rsid w:val="00287CF6"/>
    <w:rsid w:val="00294109"/>
    <w:rsid w:val="002941EE"/>
    <w:rsid w:val="002A07AE"/>
    <w:rsid w:val="002A0863"/>
    <w:rsid w:val="002A6F8E"/>
    <w:rsid w:val="002B13FB"/>
    <w:rsid w:val="002B2288"/>
    <w:rsid w:val="002B2D35"/>
    <w:rsid w:val="002B6A6D"/>
    <w:rsid w:val="002C446B"/>
    <w:rsid w:val="002D463A"/>
    <w:rsid w:val="002D4643"/>
    <w:rsid w:val="002D53BA"/>
    <w:rsid w:val="002E07F8"/>
    <w:rsid w:val="002E207F"/>
    <w:rsid w:val="002E4CBF"/>
    <w:rsid w:val="002E51AD"/>
    <w:rsid w:val="002E64ED"/>
    <w:rsid w:val="002F0243"/>
    <w:rsid w:val="002F032C"/>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4F5B"/>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3F78B2"/>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00CF"/>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8688C"/>
    <w:rsid w:val="00590138"/>
    <w:rsid w:val="00590FBF"/>
    <w:rsid w:val="005941EC"/>
    <w:rsid w:val="0059724D"/>
    <w:rsid w:val="00597421"/>
    <w:rsid w:val="005A1C80"/>
    <w:rsid w:val="005A6C50"/>
    <w:rsid w:val="005A7429"/>
    <w:rsid w:val="005B13ED"/>
    <w:rsid w:val="005B143A"/>
    <w:rsid w:val="005B17DC"/>
    <w:rsid w:val="005B320C"/>
    <w:rsid w:val="005B3DB3"/>
    <w:rsid w:val="005B4E13"/>
    <w:rsid w:val="005B7AC9"/>
    <w:rsid w:val="005B7C50"/>
    <w:rsid w:val="005C342F"/>
    <w:rsid w:val="005C6FD1"/>
    <w:rsid w:val="005C7D1E"/>
    <w:rsid w:val="005D13A8"/>
    <w:rsid w:val="005D56EB"/>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872"/>
    <w:rsid w:val="00640B26"/>
    <w:rsid w:val="006412EB"/>
    <w:rsid w:val="00652D0A"/>
    <w:rsid w:val="0065770E"/>
    <w:rsid w:val="00662BB6"/>
    <w:rsid w:val="006641B2"/>
    <w:rsid w:val="00666436"/>
    <w:rsid w:val="00671B51"/>
    <w:rsid w:val="0067362F"/>
    <w:rsid w:val="00676606"/>
    <w:rsid w:val="006823C3"/>
    <w:rsid w:val="00684C21"/>
    <w:rsid w:val="006862A6"/>
    <w:rsid w:val="006A2530"/>
    <w:rsid w:val="006B5286"/>
    <w:rsid w:val="006B54FC"/>
    <w:rsid w:val="006C057F"/>
    <w:rsid w:val="006C2E41"/>
    <w:rsid w:val="006C2F68"/>
    <w:rsid w:val="006C3589"/>
    <w:rsid w:val="006C5959"/>
    <w:rsid w:val="006D1DDA"/>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85A7B"/>
    <w:rsid w:val="00785B0D"/>
    <w:rsid w:val="0079333E"/>
    <w:rsid w:val="007935B7"/>
    <w:rsid w:val="00795DF4"/>
    <w:rsid w:val="007A1666"/>
    <w:rsid w:val="007A3283"/>
    <w:rsid w:val="007A57BD"/>
    <w:rsid w:val="007A6DA0"/>
    <w:rsid w:val="007B32AB"/>
    <w:rsid w:val="007B3BDE"/>
    <w:rsid w:val="007B6BA5"/>
    <w:rsid w:val="007B6CCE"/>
    <w:rsid w:val="007C2896"/>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56FB"/>
    <w:rsid w:val="007F635A"/>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0132"/>
    <w:rsid w:val="008725AE"/>
    <w:rsid w:val="008734C6"/>
    <w:rsid w:val="00873723"/>
    <w:rsid w:val="00873D05"/>
    <w:rsid w:val="008777F3"/>
    <w:rsid w:val="008823EA"/>
    <w:rsid w:val="00882EF3"/>
    <w:rsid w:val="008841F1"/>
    <w:rsid w:val="008878DE"/>
    <w:rsid w:val="008916DB"/>
    <w:rsid w:val="008926F2"/>
    <w:rsid w:val="00893ECC"/>
    <w:rsid w:val="008979B1"/>
    <w:rsid w:val="008A1ED5"/>
    <w:rsid w:val="008A20ED"/>
    <w:rsid w:val="008A4D2C"/>
    <w:rsid w:val="008A6B25"/>
    <w:rsid w:val="008A6C4F"/>
    <w:rsid w:val="008B2335"/>
    <w:rsid w:val="008B2E36"/>
    <w:rsid w:val="008C2DA4"/>
    <w:rsid w:val="008D2A0A"/>
    <w:rsid w:val="008E0678"/>
    <w:rsid w:val="008E15D4"/>
    <w:rsid w:val="008F0BD7"/>
    <w:rsid w:val="008F1169"/>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2413"/>
    <w:rsid w:val="009562A2"/>
    <w:rsid w:val="009562AA"/>
    <w:rsid w:val="00961324"/>
    <w:rsid w:val="00961DCD"/>
    <w:rsid w:val="00961E9C"/>
    <w:rsid w:val="00965B01"/>
    <w:rsid w:val="00967659"/>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E7F17"/>
    <w:rsid w:val="009F064D"/>
    <w:rsid w:val="009F1A57"/>
    <w:rsid w:val="009F2CA3"/>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D425D"/>
    <w:rsid w:val="00AE1E19"/>
    <w:rsid w:val="00AE44EF"/>
    <w:rsid w:val="00B06031"/>
    <w:rsid w:val="00B120EB"/>
    <w:rsid w:val="00B144C2"/>
    <w:rsid w:val="00B15F7C"/>
    <w:rsid w:val="00B17155"/>
    <w:rsid w:val="00B21341"/>
    <w:rsid w:val="00B274A5"/>
    <w:rsid w:val="00B30179"/>
    <w:rsid w:val="00B3069B"/>
    <w:rsid w:val="00B41EC5"/>
    <w:rsid w:val="00B421C1"/>
    <w:rsid w:val="00B42AC0"/>
    <w:rsid w:val="00B50044"/>
    <w:rsid w:val="00B5083C"/>
    <w:rsid w:val="00B5221B"/>
    <w:rsid w:val="00B53C21"/>
    <w:rsid w:val="00B55C71"/>
    <w:rsid w:val="00B56B11"/>
    <w:rsid w:val="00B56E4A"/>
    <w:rsid w:val="00B56E9C"/>
    <w:rsid w:val="00B56F72"/>
    <w:rsid w:val="00B64B1F"/>
    <w:rsid w:val="00B6553F"/>
    <w:rsid w:val="00B65BDE"/>
    <w:rsid w:val="00B65D86"/>
    <w:rsid w:val="00B67275"/>
    <w:rsid w:val="00B72DCE"/>
    <w:rsid w:val="00B77D05"/>
    <w:rsid w:val="00B81206"/>
    <w:rsid w:val="00B81E12"/>
    <w:rsid w:val="00B82BA7"/>
    <w:rsid w:val="00B900BC"/>
    <w:rsid w:val="00B95198"/>
    <w:rsid w:val="00BB4732"/>
    <w:rsid w:val="00BB6CB6"/>
    <w:rsid w:val="00BC3035"/>
    <w:rsid w:val="00BC3D82"/>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A64"/>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07C0"/>
    <w:rsid w:val="00CA3CDB"/>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06D1"/>
    <w:rsid w:val="00E211AD"/>
    <w:rsid w:val="00E22B0C"/>
    <w:rsid w:val="00E23189"/>
    <w:rsid w:val="00E24189"/>
    <w:rsid w:val="00E27346"/>
    <w:rsid w:val="00E40A45"/>
    <w:rsid w:val="00E46D35"/>
    <w:rsid w:val="00E50D7B"/>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14EC"/>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36038"/>
    <w:rsid w:val="00F6100A"/>
    <w:rsid w:val="00F70CDF"/>
    <w:rsid w:val="00F80BC8"/>
    <w:rsid w:val="00F93781"/>
    <w:rsid w:val="00F94B1C"/>
    <w:rsid w:val="00F94E82"/>
    <w:rsid w:val="00F9635E"/>
    <w:rsid w:val="00FA1145"/>
    <w:rsid w:val="00FA127E"/>
    <w:rsid w:val="00FA2E0D"/>
    <w:rsid w:val="00FA33CA"/>
    <w:rsid w:val="00FA446B"/>
    <w:rsid w:val="00FB0FDF"/>
    <w:rsid w:val="00FB5C24"/>
    <w:rsid w:val="00FB613B"/>
    <w:rsid w:val="00FC3ADA"/>
    <w:rsid w:val="00FC4523"/>
    <w:rsid w:val="00FC68B7"/>
    <w:rsid w:val="00FD0044"/>
    <w:rsid w:val="00FD0D80"/>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6CC2"/>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styleId="ListParagraph">
    <w:name w:val="List Paragraph"/>
    <w:basedOn w:val="Normal"/>
    <w:uiPriority w:val="34"/>
    <w:qFormat/>
    <w:rsid w:val="001D419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F2D1AFE3-9738-497B-ACD5-5FA27017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4b4a1c0d-4a69-4996-a84a-fc699b9f49d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customXml/itemProps4.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1087</Words>
  <Characters>5876</Characters>
  <Application>Microsoft Office Word</Application>
  <DocSecurity>0</DocSecurity>
  <Lines>123</Lines>
  <Paragraphs>52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ECE/TRANS/WP.29/GRVA/2021/25</dc:title>
  <dc:subject>2109711</dc:subject>
  <dc:creator>Francois Guichard</dc:creator>
  <cp:keywords/>
  <dc:description/>
  <cp:lastModifiedBy>Pauline Anne Princesa ESCALANTE</cp:lastModifiedBy>
  <cp:revision>2</cp:revision>
  <cp:lastPrinted>2021-07-08T14:02:00Z</cp:lastPrinted>
  <dcterms:created xsi:type="dcterms:W3CDTF">2021-07-13T13:46:00Z</dcterms:created>
  <dcterms:modified xsi:type="dcterms:W3CDTF">2021-07-13T13:46:00Z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