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82B54E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89C024E" w14:textId="77777777" w:rsidR="00F35BAF" w:rsidRPr="00DB58B5" w:rsidRDefault="00F35BAF" w:rsidP="009C4B9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411511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76065B9" w14:textId="5BE8D39C" w:rsidR="00F35BAF" w:rsidRPr="00DB58B5" w:rsidRDefault="009C4B97" w:rsidP="009C4B97">
            <w:pPr>
              <w:jc w:val="right"/>
            </w:pPr>
            <w:r w:rsidRPr="009C4B97">
              <w:rPr>
                <w:sz w:val="40"/>
              </w:rPr>
              <w:t>ECE</w:t>
            </w:r>
            <w:r>
              <w:t>/TRANS/WP.29/GRVA/2021/23</w:t>
            </w:r>
          </w:p>
        </w:tc>
      </w:tr>
      <w:tr w:rsidR="00F35BAF" w:rsidRPr="00DB58B5" w14:paraId="0D2B646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6514E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9168A4" wp14:editId="7C68126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E0E7C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79C4E9B" w14:textId="77777777" w:rsidR="00F35BAF" w:rsidRDefault="009C4B97" w:rsidP="00C97039">
            <w:pPr>
              <w:spacing w:before="240"/>
            </w:pPr>
            <w:r>
              <w:t>Distr. générale</w:t>
            </w:r>
          </w:p>
          <w:p w14:paraId="1B8D40AB" w14:textId="77777777" w:rsidR="009C4B97" w:rsidRDefault="009C4B97" w:rsidP="009C4B97">
            <w:pPr>
              <w:spacing w:line="240" w:lineRule="exact"/>
            </w:pPr>
            <w:r>
              <w:t>13 juillet 2021</w:t>
            </w:r>
          </w:p>
          <w:p w14:paraId="5ECDCDB9" w14:textId="77777777" w:rsidR="009C4B97" w:rsidRDefault="009C4B97" w:rsidP="009C4B97">
            <w:pPr>
              <w:spacing w:line="240" w:lineRule="exact"/>
            </w:pPr>
            <w:r>
              <w:t>Français</w:t>
            </w:r>
          </w:p>
          <w:p w14:paraId="08284D55" w14:textId="517E9AAD" w:rsidR="009C4B97" w:rsidRPr="00DB58B5" w:rsidRDefault="009C4B97" w:rsidP="009C4B97">
            <w:pPr>
              <w:spacing w:line="240" w:lineRule="exact"/>
            </w:pPr>
            <w:r>
              <w:t>Original : anglais</w:t>
            </w:r>
          </w:p>
        </w:tc>
      </w:tr>
    </w:tbl>
    <w:p w14:paraId="54B7E24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B8A796C" w14:textId="77777777" w:rsidR="0014172D" w:rsidRPr="0014172D" w:rsidRDefault="0014172D" w:rsidP="0014172D">
      <w:pPr>
        <w:spacing w:before="120"/>
        <w:rPr>
          <w:sz w:val="28"/>
          <w:szCs w:val="28"/>
        </w:rPr>
      </w:pPr>
      <w:r w:rsidRPr="0014172D">
        <w:rPr>
          <w:sz w:val="28"/>
          <w:szCs w:val="28"/>
          <w:lang w:val="fr-FR"/>
        </w:rPr>
        <w:t>Comité des transports intérieurs</w:t>
      </w:r>
    </w:p>
    <w:p w14:paraId="5A60D712" w14:textId="31B4BA54" w:rsidR="0014172D" w:rsidRPr="0014172D" w:rsidRDefault="0014172D" w:rsidP="0014172D">
      <w:pPr>
        <w:spacing w:before="120"/>
        <w:rPr>
          <w:b/>
          <w:sz w:val="24"/>
          <w:szCs w:val="24"/>
          <w:lang w:val="fr-FR"/>
        </w:rPr>
      </w:pPr>
      <w:r w:rsidRPr="0014172D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14172D">
        <w:rPr>
          <w:b/>
          <w:bCs/>
          <w:sz w:val="24"/>
          <w:szCs w:val="24"/>
          <w:lang w:val="fr-FR"/>
        </w:rPr>
        <w:t>concernant les véhicules</w:t>
      </w:r>
    </w:p>
    <w:p w14:paraId="5027C3E3" w14:textId="77777777" w:rsidR="0014172D" w:rsidRPr="0014172D" w:rsidRDefault="0014172D" w:rsidP="0014172D">
      <w:pPr>
        <w:spacing w:before="120"/>
        <w:rPr>
          <w:b/>
          <w:lang w:val="fr-FR"/>
        </w:rPr>
      </w:pPr>
      <w:bookmarkStart w:id="0" w:name="_Hlk518466992"/>
      <w:bookmarkStart w:id="1" w:name="_Hlk56769561"/>
      <w:r w:rsidRPr="0014172D">
        <w:rPr>
          <w:b/>
          <w:bCs/>
          <w:lang w:val="fr-FR"/>
        </w:rPr>
        <w:t>Groupe de travail des véhicules automatisés/autonomes et connectés</w:t>
      </w:r>
      <w:bookmarkEnd w:id="0"/>
      <w:bookmarkEnd w:id="1"/>
    </w:p>
    <w:p w14:paraId="2092C4AB" w14:textId="77777777" w:rsidR="0014172D" w:rsidRPr="0014172D" w:rsidRDefault="0014172D" w:rsidP="0014172D">
      <w:pPr>
        <w:spacing w:before="120"/>
        <w:rPr>
          <w:b/>
          <w:lang w:val="fr-FR"/>
        </w:rPr>
      </w:pPr>
      <w:r w:rsidRPr="0014172D">
        <w:rPr>
          <w:b/>
          <w:bCs/>
          <w:lang w:val="fr-FR"/>
        </w:rPr>
        <w:t>Onzième session</w:t>
      </w:r>
    </w:p>
    <w:p w14:paraId="398F887F" w14:textId="70FA13B7" w:rsidR="0014172D" w:rsidRPr="0014172D" w:rsidRDefault="0014172D" w:rsidP="0014172D">
      <w:pPr>
        <w:rPr>
          <w:lang w:val="fr-FR"/>
        </w:rPr>
      </w:pPr>
      <w:bookmarkStart w:id="2" w:name="OLE_LINK2"/>
      <w:r w:rsidRPr="0014172D">
        <w:rPr>
          <w:lang w:val="fr-FR"/>
        </w:rPr>
        <w:t>Genève, 27 septembre-1</w:t>
      </w:r>
      <w:r w:rsidRPr="0014172D">
        <w:rPr>
          <w:vertAlign w:val="superscript"/>
          <w:lang w:val="fr-FR"/>
        </w:rPr>
        <w:t>er</w:t>
      </w:r>
      <w:r>
        <w:rPr>
          <w:vertAlign w:val="superscript"/>
          <w:lang w:val="fr-FR"/>
        </w:rPr>
        <w:t> </w:t>
      </w:r>
      <w:r w:rsidRPr="0014172D">
        <w:rPr>
          <w:lang w:val="fr-FR"/>
        </w:rPr>
        <w:t>octobre 2021</w:t>
      </w:r>
    </w:p>
    <w:p w14:paraId="527448B3" w14:textId="77777777" w:rsidR="0014172D" w:rsidRPr="0014172D" w:rsidRDefault="0014172D" w:rsidP="0014172D">
      <w:pPr>
        <w:rPr>
          <w:lang w:val="fr-FR"/>
        </w:rPr>
      </w:pPr>
      <w:r w:rsidRPr="0014172D">
        <w:rPr>
          <w:lang w:val="fr-FR"/>
        </w:rPr>
        <w:t>Point 7 de l’ordre du jour provisoire</w:t>
      </w:r>
    </w:p>
    <w:p w14:paraId="5215EFB1" w14:textId="77777777" w:rsidR="0014172D" w:rsidRPr="0014172D" w:rsidRDefault="0014172D" w:rsidP="0014172D">
      <w:pPr>
        <w:rPr>
          <w:b/>
          <w:bCs/>
          <w:lang w:val="fr-FR"/>
        </w:rPr>
      </w:pPr>
      <w:r w:rsidRPr="0014172D">
        <w:rPr>
          <w:b/>
          <w:bCs/>
          <w:lang w:val="fr-FR"/>
        </w:rPr>
        <w:t>Système actif de freinage d’urgence</w:t>
      </w:r>
    </w:p>
    <w:p w14:paraId="2E992C06" w14:textId="287FDD2E" w:rsidR="0014172D" w:rsidRPr="0014172D" w:rsidRDefault="0014172D" w:rsidP="0014172D">
      <w:pPr>
        <w:pStyle w:val="HChG"/>
        <w:rPr>
          <w:lang w:val="fr-FR"/>
        </w:rPr>
      </w:pPr>
      <w:r w:rsidRPr="0014172D">
        <w:rPr>
          <w:lang w:val="fr-FR"/>
        </w:rPr>
        <w:tab/>
      </w:r>
      <w:r w:rsidRPr="0014172D">
        <w:rPr>
          <w:lang w:val="fr-FR"/>
        </w:rPr>
        <w:tab/>
        <w:t xml:space="preserve">Proposition de complément à la série 02 d’amendements </w:t>
      </w:r>
      <w:r>
        <w:rPr>
          <w:lang w:val="fr-FR"/>
        </w:rPr>
        <w:br/>
      </w:r>
      <w:r w:rsidRPr="0014172D">
        <w:rPr>
          <w:lang w:val="fr-FR"/>
        </w:rPr>
        <w:t>au Règlement ONU n</w:t>
      </w:r>
      <w:r w:rsidRPr="0014172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4172D">
        <w:rPr>
          <w:lang w:val="fr-FR"/>
        </w:rPr>
        <w:t xml:space="preserve">152 (AEBS pour les véhicules </w:t>
      </w:r>
      <w:r>
        <w:rPr>
          <w:lang w:val="fr-FR"/>
        </w:rPr>
        <w:br/>
      </w:r>
      <w:r w:rsidRPr="0014172D">
        <w:rPr>
          <w:lang w:val="fr-FR"/>
        </w:rPr>
        <w:t>des catégories M</w:t>
      </w:r>
      <w:r w:rsidRPr="0014172D">
        <w:rPr>
          <w:vertAlign w:val="subscript"/>
          <w:lang w:val="fr-FR"/>
        </w:rPr>
        <w:t>1</w:t>
      </w:r>
      <w:r w:rsidRPr="0014172D">
        <w:rPr>
          <w:lang w:val="fr-FR"/>
        </w:rPr>
        <w:t xml:space="preserve"> et N</w:t>
      </w:r>
      <w:r w:rsidRPr="0014172D">
        <w:rPr>
          <w:vertAlign w:val="subscript"/>
          <w:lang w:val="fr-FR"/>
        </w:rPr>
        <w:t>1</w:t>
      </w:r>
      <w:r w:rsidRPr="0014172D">
        <w:rPr>
          <w:lang w:val="fr-FR"/>
        </w:rPr>
        <w:t>)</w:t>
      </w:r>
      <w:bookmarkEnd w:id="2"/>
    </w:p>
    <w:p w14:paraId="453AAA09" w14:textId="58487641" w:rsidR="0014172D" w:rsidRPr="0014172D" w:rsidRDefault="0014172D" w:rsidP="0014172D">
      <w:pPr>
        <w:pStyle w:val="H1G"/>
        <w:rPr>
          <w:lang w:val="fr-FR"/>
        </w:rPr>
      </w:pPr>
      <w:r w:rsidRPr="0014172D">
        <w:rPr>
          <w:lang w:val="fr-FR"/>
        </w:rPr>
        <w:tab/>
      </w:r>
      <w:r w:rsidRPr="0014172D">
        <w:rPr>
          <w:lang w:val="fr-FR"/>
        </w:rPr>
        <w:tab/>
        <w:t xml:space="preserve">Communication de l’expert de l’Organisation internationale </w:t>
      </w:r>
      <w:r>
        <w:rPr>
          <w:lang w:val="fr-FR"/>
        </w:rPr>
        <w:br/>
      </w:r>
      <w:r w:rsidRPr="0014172D">
        <w:rPr>
          <w:lang w:val="fr-FR"/>
        </w:rPr>
        <w:t>des constructeurs d’automobiles</w:t>
      </w:r>
      <w:r w:rsidRPr="0014172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7699FC86" w14:textId="77777777" w:rsidR="0014172D" w:rsidRPr="0014172D" w:rsidRDefault="0014172D" w:rsidP="0014172D">
      <w:pPr>
        <w:pStyle w:val="SingleTxtG"/>
        <w:ind w:firstLine="567"/>
        <w:rPr>
          <w:lang w:val="fr-FR"/>
        </w:rPr>
      </w:pPr>
      <w:r w:rsidRPr="0014172D">
        <w:rPr>
          <w:lang w:val="fr-FR"/>
        </w:rPr>
        <w:t>Le texte ci-après a été établi par l’expert de l’Organisation internationale des constructeurs d’automobiles. Il est fondé sur le document informel GRVA-10-05, qui a été présenté à la dixième session du Groupe de travail des véhicules automatisés/autonomes et connectés (GRVA), en mai 2021. Les modifications qu’il est proposé d’apporter au texte actuel du Règlement figurent en caractères gras pour les ajouts et biffés pour les suppressions.</w:t>
      </w:r>
    </w:p>
    <w:p w14:paraId="0C79980B" w14:textId="77777777" w:rsidR="0014172D" w:rsidRPr="0014172D" w:rsidRDefault="0014172D" w:rsidP="0014172D">
      <w:pPr>
        <w:rPr>
          <w:lang w:val="fr-FR"/>
        </w:rPr>
      </w:pPr>
      <w:r w:rsidRPr="0014172D">
        <w:rPr>
          <w:lang w:val="fr-FR"/>
        </w:rPr>
        <w:br w:type="page"/>
      </w:r>
    </w:p>
    <w:p w14:paraId="2FCA9F1C" w14:textId="2B87E33D" w:rsidR="0014172D" w:rsidRPr="0014172D" w:rsidRDefault="0014172D" w:rsidP="0014172D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 w:rsidRPr="0014172D">
        <w:rPr>
          <w:lang w:val="fr-FR"/>
        </w:rPr>
        <w:t>Proposition</w:t>
      </w:r>
    </w:p>
    <w:p w14:paraId="0B46C918" w14:textId="5DD7E687" w:rsidR="0014172D" w:rsidRPr="0014172D" w:rsidRDefault="0014172D" w:rsidP="0014172D">
      <w:pPr>
        <w:pStyle w:val="SingleTxtG"/>
        <w:keepNext/>
        <w:rPr>
          <w:rFonts w:asciiTheme="majorBidi" w:hAnsiTheme="majorBidi"/>
          <w:lang w:val="fr-FR"/>
        </w:rPr>
      </w:pPr>
      <w:r w:rsidRPr="0014172D">
        <w:rPr>
          <w:i/>
          <w:iCs/>
          <w:lang w:val="fr-FR"/>
        </w:rPr>
        <w:t>Paragraphe 5.2.3.4</w:t>
      </w:r>
      <w:r w:rsidRPr="0014172D">
        <w:rPr>
          <w:lang w:val="fr-FR"/>
        </w:rPr>
        <w:t>, lire</w:t>
      </w:r>
      <w:r>
        <w:rPr>
          <w:lang w:val="fr-FR"/>
        </w:rPr>
        <w:t> </w:t>
      </w:r>
      <w:r w:rsidRPr="0014172D">
        <w:rPr>
          <w:lang w:val="fr-FR"/>
        </w:rPr>
        <w:t xml:space="preserve">: </w:t>
      </w:r>
    </w:p>
    <w:p w14:paraId="359D61FB" w14:textId="77777777" w:rsidR="0014172D" w:rsidRPr="0014172D" w:rsidRDefault="0014172D" w:rsidP="0014172D">
      <w:pPr>
        <w:pStyle w:val="SingleTxtG"/>
        <w:keepNext/>
        <w:rPr>
          <w:rFonts w:asciiTheme="majorBidi" w:eastAsiaTheme="minorEastAsia" w:hAnsiTheme="majorBidi" w:cstheme="minorBidi"/>
          <w:lang w:val="fr-FR"/>
        </w:rPr>
      </w:pPr>
      <w:r w:rsidRPr="0014172D">
        <w:rPr>
          <w:lang w:val="fr-FR"/>
        </w:rPr>
        <w:t>« 5.2.3.4</w:t>
      </w:r>
      <w:r w:rsidRPr="0014172D">
        <w:rPr>
          <w:lang w:val="fr-FR"/>
        </w:rPr>
        <w:tab/>
        <w:t xml:space="preserve">Réduction de la vitesse résultant de la demande de freinage </w:t>
      </w:r>
    </w:p>
    <w:p w14:paraId="71C49FDD" w14:textId="27D6D9FF" w:rsidR="0014172D" w:rsidRPr="0014172D" w:rsidRDefault="0014172D" w:rsidP="0014172D">
      <w:pPr>
        <w:pStyle w:val="SingleTxtG"/>
        <w:ind w:left="2268"/>
        <w:rPr>
          <w:rFonts w:asciiTheme="majorBidi" w:eastAsiaTheme="minorEastAsia" w:hAnsiTheme="majorBidi" w:cstheme="minorBidi"/>
          <w:lang w:val="fr-FR"/>
        </w:rPr>
      </w:pPr>
      <w:r w:rsidRPr="0014172D">
        <w:rPr>
          <w:lang w:val="fr-FR"/>
        </w:rPr>
        <w:t>En l’absence d’ordre du conducteur se traduisant par une interruption conformément aux dispositions du paragraphe</w:t>
      </w:r>
      <w:r>
        <w:rPr>
          <w:lang w:val="fr-FR"/>
        </w:rPr>
        <w:t> </w:t>
      </w:r>
      <w:r w:rsidRPr="0014172D">
        <w:rPr>
          <w:lang w:val="fr-FR"/>
        </w:rPr>
        <w:t>5.3.2, le système AEBS doit être capable d’atteindre une vitesse d’impact inférieure ou égale à la vitesse d’impact relative maximale donnée dans le tableau ci-après :</w:t>
      </w:r>
    </w:p>
    <w:p w14:paraId="1F35DEA4" w14:textId="77777777" w:rsidR="0014172D" w:rsidRPr="0014172D" w:rsidRDefault="0014172D" w:rsidP="0014172D">
      <w:pPr>
        <w:pStyle w:val="SingleTxtG"/>
        <w:ind w:left="2268"/>
        <w:rPr>
          <w:rFonts w:asciiTheme="majorBidi" w:eastAsiaTheme="minorEastAsia" w:hAnsiTheme="majorBidi" w:cstheme="minorBidi"/>
          <w:lang w:val="fr-FR"/>
        </w:rPr>
      </w:pPr>
      <w:r w:rsidRPr="0014172D">
        <w:rPr>
          <w:lang w:val="fr-FR"/>
        </w:rPr>
        <w:t>a)</w:t>
      </w:r>
      <w:r w:rsidRPr="0014172D">
        <w:rPr>
          <w:lang w:val="fr-FR"/>
        </w:rPr>
        <w:tab/>
        <w:t>Pour des collisions avec des bicyclettes non masquées traversant à la perpendiculaire à des vitesses constantes de 10 à 15 km/h ;</w:t>
      </w:r>
    </w:p>
    <w:p w14:paraId="70AB0F12" w14:textId="77777777" w:rsidR="0014172D" w:rsidRPr="0014172D" w:rsidRDefault="0014172D" w:rsidP="0014172D">
      <w:pPr>
        <w:pStyle w:val="SingleTxtG"/>
        <w:ind w:left="2268"/>
        <w:rPr>
          <w:rFonts w:asciiTheme="majorBidi" w:eastAsiaTheme="minorEastAsia" w:hAnsiTheme="majorBidi" w:cstheme="minorBidi"/>
          <w:lang w:val="fr-FR"/>
        </w:rPr>
      </w:pPr>
      <w:r w:rsidRPr="0014172D">
        <w:rPr>
          <w:lang w:val="fr-FR"/>
        </w:rPr>
        <w:t>b)</w:t>
      </w:r>
      <w:r w:rsidRPr="0014172D">
        <w:rPr>
          <w:lang w:val="fr-FR"/>
        </w:rPr>
        <w:tab/>
        <w:t xml:space="preserve">Dans des situations non ambiguës (il n’y a pas plusieurs bicyclettes, par exemple) ; </w:t>
      </w:r>
    </w:p>
    <w:p w14:paraId="6D6E090B" w14:textId="544D4A25" w:rsidR="0014172D" w:rsidRPr="0014172D" w:rsidRDefault="0014172D" w:rsidP="0014172D">
      <w:pPr>
        <w:pStyle w:val="SingleTxtG"/>
        <w:ind w:left="2268"/>
        <w:rPr>
          <w:rFonts w:asciiTheme="majorBidi" w:eastAsiaTheme="minorEastAsia" w:hAnsiTheme="majorBidi" w:cstheme="minorBidi"/>
          <w:lang w:val="fr-FR"/>
        </w:rPr>
      </w:pPr>
      <w:r w:rsidRPr="0014172D">
        <w:rPr>
          <w:lang w:val="fr-FR"/>
        </w:rPr>
        <w:t>c)</w:t>
      </w:r>
      <w:r w:rsidRPr="0014172D">
        <w:rPr>
          <w:lang w:val="fr-FR"/>
        </w:rPr>
        <w:tab/>
        <w:t xml:space="preserve">Sur route plane, horizontale et sèche </w:t>
      </w:r>
      <w:r w:rsidRPr="0014172D">
        <w:rPr>
          <w:b/>
          <w:bCs/>
          <w:lang w:val="fr-FR"/>
        </w:rPr>
        <w:t>offrant une bonne adhérence</w:t>
      </w:r>
      <w:r>
        <w:rPr>
          <w:lang w:val="fr-FR"/>
        </w:rPr>
        <w:t> </w:t>
      </w:r>
      <w:r w:rsidRPr="0014172D">
        <w:rPr>
          <w:lang w:val="fr-FR"/>
        </w:rPr>
        <w:t>;</w:t>
      </w:r>
    </w:p>
    <w:p w14:paraId="315DCD3A" w14:textId="77777777" w:rsidR="0014172D" w:rsidRPr="0014172D" w:rsidRDefault="0014172D" w:rsidP="0014172D">
      <w:pPr>
        <w:pStyle w:val="SingleTxtG"/>
        <w:ind w:left="2268"/>
        <w:rPr>
          <w:rFonts w:asciiTheme="majorBidi" w:eastAsiaTheme="minorEastAsia" w:hAnsiTheme="majorBidi" w:cstheme="minorBidi"/>
          <w:lang w:val="fr-FR"/>
        </w:rPr>
      </w:pPr>
      <w:r w:rsidRPr="0014172D">
        <w:rPr>
          <w:lang w:val="fr-FR"/>
        </w:rPr>
        <w:t>d)</w:t>
      </w:r>
      <w:r w:rsidRPr="0014172D">
        <w:rPr>
          <w:lang w:val="fr-FR"/>
        </w:rPr>
        <w:tab/>
        <w:t>Lorsque le véhicule est à sa masse maximale ou à sa masse en ordre de marche ;</w:t>
      </w:r>
    </w:p>
    <w:p w14:paraId="76970900" w14:textId="77777777" w:rsidR="0014172D" w:rsidRPr="0014172D" w:rsidRDefault="0014172D" w:rsidP="0014172D">
      <w:pPr>
        <w:pStyle w:val="SingleTxtG"/>
        <w:ind w:left="2268"/>
        <w:rPr>
          <w:rFonts w:asciiTheme="majorBidi" w:eastAsiaTheme="minorEastAsia" w:hAnsiTheme="majorBidi" w:cstheme="minorBidi"/>
          <w:lang w:val="fr-FR"/>
        </w:rPr>
      </w:pPr>
      <w:r w:rsidRPr="0014172D">
        <w:rPr>
          <w:lang w:val="fr-FR"/>
        </w:rPr>
        <w:t>e)</w:t>
      </w:r>
      <w:r w:rsidRPr="0014172D">
        <w:rPr>
          <w:lang w:val="fr-FR"/>
        </w:rPr>
        <w:tab/>
        <w:t>Dans des situations où le point d’impact anticipé de l’axe de pédalier de la bicyclette ne se déplace pas de plus de 0,2 m par rapport à l’axe longitudinal du véhicule ;</w:t>
      </w:r>
    </w:p>
    <w:p w14:paraId="1B414A86" w14:textId="236951D9" w:rsidR="0014172D" w:rsidRPr="0014172D" w:rsidRDefault="0014172D" w:rsidP="0014172D">
      <w:pPr>
        <w:pStyle w:val="SingleTxtG"/>
        <w:ind w:left="2268"/>
        <w:rPr>
          <w:rFonts w:asciiTheme="majorBidi" w:eastAsiaTheme="minorEastAsia" w:hAnsiTheme="majorBidi" w:cstheme="minorBidi"/>
          <w:lang w:val="fr-FR"/>
        </w:rPr>
      </w:pPr>
      <w:r w:rsidRPr="0014172D">
        <w:rPr>
          <w:lang w:val="fr-FR"/>
        </w:rPr>
        <w:t>f)</w:t>
      </w:r>
      <w:r w:rsidRPr="0014172D">
        <w:rPr>
          <w:lang w:val="fr-FR"/>
        </w:rPr>
        <w:tab/>
        <w:t>Lorsque l’éclairement ambiant est d’au moins 2</w:t>
      </w:r>
      <w:r>
        <w:rPr>
          <w:lang w:val="fr-FR"/>
        </w:rPr>
        <w:t> </w:t>
      </w:r>
      <w:r w:rsidRPr="0014172D">
        <w:rPr>
          <w:lang w:val="fr-FR"/>
        </w:rPr>
        <w:t>000</w:t>
      </w:r>
      <w:r>
        <w:rPr>
          <w:lang w:val="fr-FR"/>
        </w:rPr>
        <w:t> </w:t>
      </w:r>
      <w:r w:rsidRPr="0014172D">
        <w:rPr>
          <w:lang w:val="fr-FR"/>
        </w:rPr>
        <w:t>lux, sans éblouissement des capteurs, par exemple par le soleil directement</w:t>
      </w:r>
      <w:r>
        <w:rPr>
          <w:lang w:val="fr-FR"/>
        </w:rPr>
        <w:t> </w:t>
      </w:r>
      <w:r w:rsidRPr="0014172D">
        <w:rPr>
          <w:lang w:val="fr-FR"/>
        </w:rPr>
        <w:t xml:space="preserve">; </w:t>
      </w:r>
    </w:p>
    <w:p w14:paraId="32D4C488" w14:textId="6DBD383F" w:rsidR="0014172D" w:rsidRPr="0014172D" w:rsidRDefault="0014172D" w:rsidP="0014172D">
      <w:pPr>
        <w:pStyle w:val="SingleTxtG"/>
        <w:ind w:left="2268"/>
        <w:rPr>
          <w:rFonts w:asciiTheme="majorBidi" w:eastAsiaTheme="minorEastAsia" w:hAnsiTheme="majorBidi" w:cstheme="minorBidi"/>
          <w:lang w:val="fr-FR"/>
        </w:rPr>
      </w:pPr>
      <w:r w:rsidRPr="0014172D">
        <w:rPr>
          <w:lang w:val="fr-FR"/>
        </w:rPr>
        <w:t>g)</w:t>
      </w:r>
      <w:r w:rsidRPr="0014172D">
        <w:rPr>
          <w:lang w:val="fr-FR"/>
        </w:rPr>
        <w:tab/>
        <w:t>En l’absence de conditions atmosphériques défavorables pour le comportement dynamique du véhicule (absence de tempête ou température au moins égale à 0 °C)</w:t>
      </w:r>
      <w:r>
        <w:rPr>
          <w:lang w:val="fr-FR"/>
        </w:rPr>
        <w:t xml:space="preserve"> ; </w:t>
      </w:r>
      <w:r w:rsidRPr="0014172D">
        <w:rPr>
          <w:lang w:val="fr-FR"/>
        </w:rPr>
        <w:t>et</w:t>
      </w:r>
    </w:p>
    <w:p w14:paraId="278464AF" w14:textId="77777777" w:rsidR="0014172D" w:rsidRPr="0014172D" w:rsidRDefault="0014172D" w:rsidP="0014172D">
      <w:pPr>
        <w:pStyle w:val="SingleTxtG"/>
        <w:ind w:left="2268"/>
        <w:rPr>
          <w:rFonts w:asciiTheme="majorBidi" w:eastAsiaTheme="minorEastAsia" w:hAnsiTheme="majorBidi" w:cstheme="minorBidi"/>
          <w:lang w:val="fr-FR"/>
        </w:rPr>
      </w:pPr>
      <w:r w:rsidRPr="0014172D">
        <w:rPr>
          <w:lang w:val="fr-FR"/>
        </w:rPr>
        <w:t>h)</w:t>
      </w:r>
      <w:r w:rsidRPr="0014172D">
        <w:rPr>
          <w:lang w:val="fr-FR"/>
        </w:rPr>
        <w:tab/>
        <w:t>Sur un parcours rectiligne, sans virage ni changement de direction à une intersection.</w:t>
      </w:r>
    </w:p>
    <w:p w14:paraId="1D1747CC" w14:textId="44E02A87" w:rsidR="0014172D" w:rsidRPr="0014172D" w:rsidRDefault="0014172D" w:rsidP="0014172D">
      <w:pPr>
        <w:pStyle w:val="SingleTxtG"/>
        <w:ind w:left="2268"/>
        <w:rPr>
          <w:rFonts w:asciiTheme="majorBidi" w:eastAsiaTheme="minorEastAsia" w:hAnsiTheme="majorBidi" w:cstheme="minorBidi"/>
          <w:lang w:val="fr-FR"/>
        </w:rPr>
      </w:pPr>
      <w:r w:rsidRPr="0014172D">
        <w:rPr>
          <w:lang w:val="fr-FR"/>
        </w:rPr>
        <w:t>Il est admis que… »</w:t>
      </w:r>
      <w:r>
        <w:rPr>
          <w:lang w:val="fr-FR"/>
        </w:rPr>
        <w:t>.</w:t>
      </w:r>
    </w:p>
    <w:p w14:paraId="212A15C2" w14:textId="5DB92119" w:rsidR="0014172D" w:rsidRPr="0014172D" w:rsidRDefault="0014172D" w:rsidP="0014172D">
      <w:pPr>
        <w:pStyle w:val="HChG"/>
      </w:pPr>
      <w:r w:rsidRPr="0014172D">
        <w:tab/>
        <w:t>II.</w:t>
      </w:r>
      <w:r w:rsidRPr="0014172D">
        <w:tab/>
      </w:r>
      <w:r w:rsidRPr="0014172D">
        <w:tab/>
      </w:r>
      <w:r w:rsidRPr="0014172D">
        <w:t>Justification</w:t>
      </w:r>
    </w:p>
    <w:p w14:paraId="6691733D" w14:textId="15469B3B" w:rsidR="0014172D" w:rsidRDefault="0014172D" w:rsidP="0014172D">
      <w:pPr>
        <w:pStyle w:val="SingleTxtG"/>
        <w:ind w:firstLine="567"/>
        <w:rPr>
          <w:lang w:val="fr-FR"/>
        </w:rPr>
      </w:pPr>
      <w:r w:rsidRPr="0014172D">
        <w:rPr>
          <w:lang w:val="fr-FR"/>
        </w:rPr>
        <w:tab/>
        <w:t>Cette proposition vise, outre les amendements proposés dans le document ECE/TRANS/WP.29/GRVA/2021/22, à harmoniser le libellé « route sèche offrant une bonne adhérence » dans la série 02 d’amendements également afin d’éviter toute confusion avec d’autres règlements qui pourraient faire référence à une « route sèche</w:t>
      </w:r>
      <w:r>
        <w:rPr>
          <w:lang w:val="fr-FR"/>
        </w:rPr>
        <w:t> </w:t>
      </w:r>
      <w:r w:rsidRPr="0014172D">
        <w:rPr>
          <w:lang w:val="fr-FR"/>
        </w:rPr>
        <w:t xml:space="preserve">» dans un contexte différent. </w:t>
      </w:r>
    </w:p>
    <w:p w14:paraId="50BDE72C" w14:textId="614453AC" w:rsidR="0014172D" w:rsidRPr="0014172D" w:rsidRDefault="0014172D" w:rsidP="0014172D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14172D" w:rsidRPr="0014172D" w:rsidSect="009C4B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66413" w14:textId="77777777" w:rsidR="00170EBF" w:rsidRDefault="00170EBF" w:rsidP="00F95C08">
      <w:pPr>
        <w:spacing w:line="240" w:lineRule="auto"/>
      </w:pPr>
    </w:p>
  </w:endnote>
  <w:endnote w:type="continuationSeparator" w:id="0">
    <w:p w14:paraId="4AF11DB9" w14:textId="77777777" w:rsidR="00170EBF" w:rsidRPr="00AC3823" w:rsidRDefault="00170EBF" w:rsidP="00AC3823">
      <w:pPr>
        <w:pStyle w:val="Pieddepage"/>
      </w:pPr>
    </w:p>
  </w:endnote>
  <w:endnote w:type="continuationNotice" w:id="1">
    <w:p w14:paraId="7A4E55ED" w14:textId="77777777" w:rsidR="00170EBF" w:rsidRDefault="00170E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FADD4" w14:textId="4E285F04" w:rsidR="009C4B97" w:rsidRPr="009C4B97" w:rsidRDefault="009C4B97" w:rsidP="009C4B97">
    <w:pPr>
      <w:pStyle w:val="Pieddepage"/>
      <w:tabs>
        <w:tab w:val="right" w:pos="9638"/>
      </w:tabs>
    </w:pPr>
    <w:r w:rsidRPr="009C4B97">
      <w:rPr>
        <w:b/>
        <w:sz w:val="18"/>
      </w:rPr>
      <w:fldChar w:fldCharType="begin"/>
    </w:r>
    <w:r w:rsidRPr="009C4B97">
      <w:rPr>
        <w:b/>
        <w:sz w:val="18"/>
      </w:rPr>
      <w:instrText xml:space="preserve"> PAGE  \* MERGEFORMAT </w:instrText>
    </w:r>
    <w:r w:rsidRPr="009C4B97">
      <w:rPr>
        <w:b/>
        <w:sz w:val="18"/>
      </w:rPr>
      <w:fldChar w:fldCharType="separate"/>
    </w:r>
    <w:r w:rsidRPr="009C4B97">
      <w:rPr>
        <w:b/>
        <w:noProof/>
        <w:sz w:val="18"/>
      </w:rPr>
      <w:t>2</w:t>
    </w:r>
    <w:r w:rsidRPr="009C4B97">
      <w:rPr>
        <w:b/>
        <w:sz w:val="18"/>
      </w:rPr>
      <w:fldChar w:fldCharType="end"/>
    </w:r>
    <w:r>
      <w:rPr>
        <w:b/>
        <w:sz w:val="18"/>
      </w:rPr>
      <w:tab/>
    </w:r>
    <w:r>
      <w:t>GE.21-09698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1507" w14:textId="76843EE2" w:rsidR="009C4B97" w:rsidRPr="009C4B97" w:rsidRDefault="009C4B97" w:rsidP="009C4B97">
    <w:pPr>
      <w:pStyle w:val="Pieddepage"/>
      <w:tabs>
        <w:tab w:val="right" w:pos="9638"/>
      </w:tabs>
      <w:rPr>
        <w:b/>
        <w:sz w:val="18"/>
      </w:rPr>
    </w:pPr>
    <w:r>
      <w:t>GE.21-09698</w:t>
    </w:r>
    <w:r>
      <w:tab/>
    </w:r>
    <w:r w:rsidRPr="009C4B97">
      <w:rPr>
        <w:b/>
        <w:sz w:val="18"/>
      </w:rPr>
      <w:fldChar w:fldCharType="begin"/>
    </w:r>
    <w:r w:rsidRPr="009C4B97">
      <w:rPr>
        <w:b/>
        <w:sz w:val="18"/>
      </w:rPr>
      <w:instrText xml:space="preserve"> PAGE  \* MERGEFORMAT </w:instrText>
    </w:r>
    <w:r w:rsidRPr="009C4B97">
      <w:rPr>
        <w:b/>
        <w:sz w:val="18"/>
      </w:rPr>
      <w:fldChar w:fldCharType="separate"/>
    </w:r>
    <w:r w:rsidRPr="009C4B97">
      <w:rPr>
        <w:b/>
        <w:noProof/>
        <w:sz w:val="18"/>
      </w:rPr>
      <w:t>3</w:t>
    </w:r>
    <w:r w:rsidRPr="009C4B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5541" w14:textId="512B97EA" w:rsidR="007F20FA" w:rsidRPr="009C4B97" w:rsidRDefault="009C4B97" w:rsidP="009C4B9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510C77D" wp14:editId="56A4E3E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21-09698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A8F21C2" wp14:editId="1E1CAA4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050821    060821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7B7F0" w14:textId="77777777" w:rsidR="00170EBF" w:rsidRPr="00AC3823" w:rsidRDefault="00170EB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EF6FDF" w14:textId="77777777" w:rsidR="00170EBF" w:rsidRPr="00AC3823" w:rsidRDefault="00170EB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8A3FF4" w14:textId="77777777" w:rsidR="00170EBF" w:rsidRPr="00AC3823" w:rsidRDefault="00170EBF">
      <w:pPr>
        <w:spacing w:line="240" w:lineRule="auto"/>
        <w:rPr>
          <w:sz w:val="2"/>
          <w:szCs w:val="2"/>
        </w:rPr>
      </w:pPr>
    </w:p>
  </w:footnote>
  <w:footnote w:id="2">
    <w:p w14:paraId="57723FB1" w14:textId="77777777" w:rsidR="0014172D" w:rsidRPr="00291821" w:rsidRDefault="0014172D" w:rsidP="0014172D">
      <w:pPr>
        <w:pStyle w:val="Notedebasdepage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D7AA6" w14:textId="0FDF489F" w:rsidR="009C4B97" w:rsidRPr="009C4B97" w:rsidRDefault="009C4B97">
    <w:pPr>
      <w:pStyle w:val="En-tte"/>
    </w:pPr>
    <w:fldSimple w:instr=" TITLE  \* MERGEFORMAT ">
      <w:r w:rsidR="003069ED">
        <w:t>ECE/TRANS/WP.29/GRVA/2021/23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C40F" w14:textId="69D10959" w:rsidR="009C4B97" w:rsidRPr="009C4B97" w:rsidRDefault="009C4B97" w:rsidP="009C4B97">
    <w:pPr>
      <w:pStyle w:val="En-tte"/>
      <w:jc w:val="right"/>
    </w:pPr>
    <w:fldSimple w:instr=" TITLE  \* MERGEFORMAT ">
      <w:r w:rsidR="003069ED">
        <w:t>ECE/TRANS/WP.29/GRVA/2021/23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BF"/>
    <w:rsid w:val="00017F94"/>
    <w:rsid w:val="00023842"/>
    <w:rsid w:val="000334F9"/>
    <w:rsid w:val="00045FEB"/>
    <w:rsid w:val="0007796D"/>
    <w:rsid w:val="000B7790"/>
    <w:rsid w:val="00111F2F"/>
    <w:rsid w:val="0014172D"/>
    <w:rsid w:val="0014365E"/>
    <w:rsid w:val="00143C66"/>
    <w:rsid w:val="00170EBF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069ED"/>
    <w:rsid w:val="003916DE"/>
    <w:rsid w:val="00421996"/>
    <w:rsid w:val="00441C3B"/>
    <w:rsid w:val="00446FE5"/>
    <w:rsid w:val="00452396"/>
    <w:rsid w:val="00477EB2"/>
    <w:rsid w:val="004837D8"/>
    <w:rsid w:val="004B4582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7F331A"/>
    <w:rsid w:val="0080684C"/>
    <w:rsid w:val="00871C75"/>
    <w:rsid w:val="008776DC"/>
    <w:rsid w:val="008D5EF9"/>
    <w:rsid w:val="009446C0"/>
    <w:rsid w:val="009705C8"/>
    <w:rsid w:val="009C1CF4"/>
    <w:rsid w:val="009C4B97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D7250C"/>
  <w15:docId w15:val="{E88AB7C8-E3C8-4C96-8307-ED74389C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EF9F8-F113-4566-BBAF-DD74EF85AF1C}"/>
</file>

<file path=customXml/itemProps2.xml><?xml version="1.0" encoding="utf-8"?>
<ds:datastoreItem xmlns:ds="http://schemas.openxmlformats.org/officeDocument/2006/customXml" ds:itemID="{F677B1D5-F7AD-435C-888F-A2FA54D70724}"/>
</file>

<file path=customXml/itemProps3.xml><?xml version="1.0" encoding="utf-8"?>
<ds:datastoreItem xmlns:ds="http://schemas.openxmlformats.org/officeDocument/2006/customXml" ds:itemID="{4A484462-060D-444B-85EE-907524AE21E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435</Words>
  <Characters>2411</Characters>
  <Application>Microsoft Office Word</Application>
  <DocSecurity>0</DocSecurity>
  <Lines>61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ECE/TRANS/WP.29/GRVA/2021/23</dc:title>
  <dc:subject/>
  <dc:creator>Christine CHAUTAGNAT</dc:creator>
  <cp:keywords/>
  <cp:lastModifiedBy>Christine Chautagnat</cp:lastModifiedBy>
  <cp:revision>3</cp:revision>
  <cp:lastPrinted>2021-08-06T09:48:00Z</cp:lastPrinted>
  <dcterms:created xsi:type="dcterms:W3CDTF">2021-08-06T09:48:00Z</dcterms:created>
  <dcterms:modified xsi:type="dcterms:W3CDTF">2021-08-06T09:49:00Z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