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1E83E3AA" w14:textId="77777777" w:rsidTr="000D1B89">
        <w:trPr>
          <w:cantSplit/>
          <w:trHeight w:hRule="exact" w:val="851"/>
        </w:trPr>
        <w:tc>
          <w:tcPr>
            <w:tcW w:w="1276" w:type="dxa"/>
            <w:tcBorders>
              <w:bottom w:val="single" w:sz="4" w:space="0" w:color="auto"/>
            </w:tcBorders>
            <w:vAlign w:val="bottom"/>
          </w:tcPr>
          <w:p w14:paraId="009151EC" w14:textId="77777777" w:rsidR="00717266" w:rsidRDefault="00717266" w:rsidP="000D1B89">
            <w:pPr>
              <w:spacing w:after="80"/>
            </w:pPr>
          </w:p>
        </w:tc>
        <w:tc>
          <w:tcPr>
            <w:tcW w:w="2268" w:type="dxa"/>
            <w:tcBorders>
              <w:bottom w:val="single" w:sz="4" w:space="0" w:color="auto"/>
            </w:tcBorders>
            <w:vAlign w:val="bottom"/>
          </w:tcPr>
          <w:p w14:paraId="6200846D"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8E5448E" w14:textId="77777777" w:rsidR="00717266" w:rsidRPr="00D47EEA" w:rsidRDefault="00F034DD" w:rsidP="00F034DD">
            <w:pPr>
              <w:suppressAutoHyphens w:val="0"/>
              <w:spacing w:after="20"/>
              <w:jc w:val="right"/>
            </w:pPr>
            <w:r w:rsidRPr="00F034DD">
              <w:rPr>
                <w:sz w:val="40"/>
              </w:rPr>
              <w:t>ECE</w:t>
            </w:r>
            <w:r>
              <w:t>/TRANS/WP.15/AC.1/2021/41</w:t>
            </w:r>
          </w:p>
        </w:tc>
      </w:tr>
      <w:tr w:rsidR="00717266" w14:paraId="6ABFA9BC" w14:textId="77777777" w:rsidTr="000D1B89">
        <w:trPr>
          <w:cantSplit/>
          <w:trHeight w:hRule="exact" w:val="2835"/>
        </w:trPr>
        <w:tc>
          <w:tcPr>
            <w:tcW w:w="1276" w:type="dxa"/>
            <w:tcBorders>
              <w:top w:val="single" w:sz="4" w:space="0" w:color="auto"/>
              <w:bottom w:val="single" w:sz="12" w:space="0" w:color="auto"/>
            </w:tcBorders>
          </w:tcPr>
          <w:p w14:paraId="44C1AFB3" w14:textId="77777777" w:rsidR="00717266" w:rsidRDefault="00717266" w:rsidP="000D1B89">
            <w:pPr>
              <w:spacing w:before="120"/>
            </w:pPr>
            <w:r>
              <w:rPr>
                <w:noProof/>
                <w:lang w:val="fr-CH" w:eastAsia="fr-CH"/>
              </w:rPr>
              <w:drawing>
                <wp:inline distT="0" distB="0" distL="0" distR="0" wp14:anchorId="4E8AFD6F" wp14:editId="452975CC">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7E2FAE"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4F81541" w14:textId="77777777" w:rsidR="00717266" w:rsidRDefault="00F034DD" w:rsidP="00F034DD">
            <w:pPr>
              <w:spacing w:before="240"/>
            </w:pPr>
            <w:r>
              <w:t>Distr.: General</w:t>
            </w:r>
          </w:p>
          <w:p w14:paraId="1C543FCC" w14:textId="77777777" w:rsidR="00F034DD" w:rsidRDefault="00F034DD" w:rsidP="00F034DD">
            <w:pPr>
              <w:suppressAutoHyphens w:val="0"/>
            </w:pPr>
            <w:r>
              <w:t>7 July 2021</w:t>
            </w:r>
          </w:p>
          <w:p w14:paraId="67203F23" w14:textId="02BCCE4C" w:rsidR="00F034DD" w:rsidRDefault="00F034DD" w:rsidP="00F034DD">
            <w:pPr>
              <w:suppressAutoHyphens w:val="0"/>
            </w:pPr>
            <w:r>
              <w:t>English</w:t>
            </w:r>
          </w:p>
          <w:p w14:paraId="5B230D3C" w14:textId="77777777" w:rsidR="00F034DD" w:rsidRDefault="00F034DD" w:rsidP="00F034DD">
            <w:pPr>
              <w:suppressAutoHyphens w:val="0"/>
            </w:pPr>
            <w:r>
              <w:t>Original: French</w:t>
            </w:r>
          </w:p>
        </w:tc>
      </w:tr>
    </w:tbl>
    <w:p w14:paraId="4CE56A44" w14:textId="77777777" w:rsidR="00F034DD" w:rsidRDefault="00F034DD">
      <w:pPr>
        <w:spacing w:before="120"/>
        <w:rPr>
          <w:b/>
          <w:sz w:val="28"/>
          <w:szCs w:val="28"/>
        </w:rPr>
      </w:pPr>
      <w:r>
        <w:rPr>
          <w:b/>
          <w:sz w:val="28"/>
          <w:szCs w:val="28"/>
        </w:rPr>
        <w:t>Economic Commission for Europe</w:t>
      </w:r>
    </w:p>
    <w:p w14:paraId="182A8FFE" w14:textId="77777777" w:rsidR="00F034DD" w:rsidRDefault="00F034DD">
      <w:pPr>
        <w:spacing w:before="120"/>
        <w:rPr>
          <w:sz w:val="28"/>
          <w:szCs w:val="28"/>
        </w:rPr>
      </w:pPr>
      <w:r>
        <w:rPr>
          <w:sz w:val="28"/>
          <w:szCs w:val="28"/>
        </w:rPr>
        <w:t>Inland Transport Committee</w:t>
      </w:r>
    </w:p>
    <w:p w14:paraId="33E2BC38" w14:textId="44701193" w:rsidR="00F034DD" w:rsidRDefault="00F034DD">
      <w:pPr>
        <w:spacing w:before="120"/>
        <w:rPr>
          <w:b/>
          <w:sz w:val="24"/>
          <w:szCs w:val="24"/>
        </w:rPr>
      </w:pPr>
      <w:r>
        <w:rPr>
          <w:b/>
          <w:sz w:val="24"/>
          <w:szCs w:val="24"/>
        </w:rPr>
        <w:t>Working Party on the Transport of Dangerous Goods</w:t>
      </w:r>
    </w:p>
    <w:p w14:paraId="52E5985D" w14:textId="77777777" w:rsidR="00F034DD" w:rsidRPr="00F034DD" w:rsidRDefault="00F034DD" w:rsidP="00F034DD">
      <w:pPr>
        <w:spacing w:before="120"/>
        <w:rPr>
          <w:b/>
          <w:bCs/>
        </w:rPr>
      </w:pPr>
      <w:r w:rsidRPr="00F034DD">
        <w:rPr>
          <w:b/>
          <w:bCs/>
        </w:rPr>
        <w:t xml:space="preserve">Joint Meeting of the RID Committee of Experts and the </w:t>
      </w:r>
      <w:r w:rsidRPr="00F034DD">
        <w:rPr>
          <w:b/>
          <w:bCs/>
        </w:rPr>
        <w:br/>
        <w:t>Working Party on the Transport of Dangerous Goods</w:t>
      </w:r>
    </w:p>
    <w:p w14:paraId="4D1304FF" w14:textId="77777777" w:rsidR="00F034DD" w:rsidRPr="00730B2C" w:rsidRDefault="00F034DD" w:rsidP="00F034DD">
      <w:r w:rsidRPr="00730B2C">
        <w:t>Geneva, 21 September–1 October 2021</w:t>
      </w:r>
    </w:p>
    <w:p w14:paraId="6DB382FA" w14:textId="77777777" w:rsidR="00F034DD" w:rsidRPr="00730B2C" w:rsidRDefault="00F034DD" w:rsidP="00F034DD">
      <w:r w:rsidRPr="00730B2C">
        <w:t>Item 3 of the provisional agenda</w:t>
      </w:r>
    </w:p>
    <w:p w14:paraId="1AB49095" w14:textId="77777777" w:rsidR="00F034DD" w:rsidRPr="00F034DD" w:rsidRDefault="00F034DD" w:rsidP="00F034DD">
      <w:pPr>
        <w:rPr>
          <w:b/>
          <w:bCs/>
        </w:rPr>
      </w:pPr>
      <w:r w:rsidRPr="00F034DD">
        <w:rPr>
          <w:b/>
          <w:bCs/>
        </w:rPr>
        <w:t>Standards</w:t>
      </w:r>
    </w:p>
    <w:p w14:paraId="1C1B5D01" w14:textId="77777777" w:rsidR="00F034DD" w:rsidRPr="00730B2C" w:rsidRDefault="00F034DD" w:rsidP="00F034DD">
      <w:pPr>
        <w:pStyle w:val="HChG"/>
      </w:pPr>
      <w:r w:rsidRPr="00730B2C">
        <w:tab/>
      </w:r>
      <w:r w:rsidRPr="00730B2C">
        <w:tab/>
        <w:t>Information on the difficulties in applying a standard cited in Chapter 6.2</w:t>
      </w:r>
    </w:p>
    <w:p w14:paraId="60CB9DAB" w14:textId="5284C14C" w:rsidR="00F034DD" w:rsidRDefault="00F034DD" w:rsidP="00F034DD">
      <w:pPr>
        <w:pStyle w:val="H1G"/>
        <w:rPr>
          <w:b w:val="0"/>
          <w:bCs/>
          <w:sz w:val="20"/>
        </w:rPr>
      </w:pPr>
      <w:r w:rsidRPr="00730B2C">
        <w:tab/>
      </w:r>
      <w:r w:rsidRPr="00730B2C">
        <w:tab/>
        <w:t>Transmitted by the Government of France</w:t>
      </w:r>
      <w:r w:rsidRPr="00F034DD">
        <w:rPr>
          <w:rStyle w:val="FootnoteReference"/>
          <w:b w:val="0"/>
          <w:bCs/>
          <w:sz w:val="20"/>
          <w:vertAlign w:val="baseline"/>
        </w:rPr>
        <w:footnoteReference w:customMarkFollows="1" w:id="1"/>
        <w:t>*</w:t>
      </w:r>
      <w:r w:rsidRPr="00F034DD">
        <w:rPr>
          <w:b w:val="0"/>
          <w:bCs/>
          <w:position w:val="8"/>
          <w:sz w:val="20"/>
        </w:rPr>
        <w:t>,</w:t>
      </w:r>
      <w:r w:rsidRPr="00F034DD">
        <w:rPr>
          <w:b w:val="0"/>
          <w:bCs/>
          <w:sz w:val="20"/>
        </w:rPr>
        <w:t xml:space="preserve"> </w:t>
      </w:r>
      <w:r w:rsidRPr="00F034DD">
        <w:rPr>
          <w:rStyle w:val="FootnoteReference"/>
          <w:b w:val="0"/>
          <w:bCs/>
          <w:sz w:val="20"/>
          <w:vertAlign w:val="baseline"/>
        </w:rPr>
        <w:footnoteReference w:customMarkFollows="1" w:id="2"/>
        <w:t>**</w:t>
      </w:r>
      <w:r w:rsidRPr="00F034DD">
        <w:rPr>
          <w:b w:val="0"/>
          <w:bCs/>
          <w:position w:val="8"/>
          <w:sz w:val="20"/>
        </w:rPr>
        <w:t>,</w:t>
      </w:r>
      <w:r w:rsidRPr="00F034DD">
        <w:rPr>
          <w:b w:val="0"/>
          <w:bCs/>
          <w:sz w:val="20"/>
        </w:rPr>
        <w:t xml:space="preserve"> </w:t>
      </w:r>
      <w:r w:rsidRPr="00F034DD">
        <w:rPr>
          <w:rStyle w:val="FootnoteReference"/>
          <w:b w:val="0"/>
          <w:bCs/>
          <w:sz w:val="20"/>
          <w:vertAlign w:val="baseline"/>
        </w:rPr>
        <w:footnoteReference w:customMarkFollows="1" w:id="3"/>
        <w:t>***</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F034DD" w14:paraId="1AFCDD42" w14:textId="77777777" w:rsidTr="00F034DD">
        <w:trPr>
          <w:jc w:val="center"/>
        </w:trPr>
        <w:tc>
          <w:tcPr>
            <w:tcW w:w="9637" w:type="dxa"/>
            <w:tcBorders>
              <w:bottom w:val="nil"/>
            </w:tcBorders>
          </w:tcPr>
          <w:p w14:paraId="7340E0CC" w14:textId="7495ECDF" w:rsidR="00F034DD" w:rsidRPr="00F034DD" w:rsidRDefault="00F034DD" w:rsidP="00F034DD">
            <w:pPr>
              <w:tabs>
                <w:tab w:val="left" w:pos="255"/>
              </w:tabs>
              <w:suppressAutoHyphens w:val="0"/>
              <w:spacing w:before="240" w:after="120"/>
              <w:rPr>
                <w:sz w:val="24"/>
              </w:rPr>
            </w:pPr>
            <w:r>
              <w:tab/>
            </w:r>
            <w:r>
              <w:rPr>
                <w:i/>
                <w:sz w:val="24"/>
              </w:rPr>
              <w:t>Summary</w:t>
            </w:r>
          </w:p>
        </w:tc>
      </w:tr>
      <w:tr w:rsidR="00F034DD" w14:paraId="13BF6228" w14:textId="77777777" w:rsidTr="00F034DD">
        <w:trPr>
          <w:jc w:val="center"/>
        </w:trPr>
        <w:tc>
          <w:tcPr>
            <w:tcW w:w="9637" w:type="dxa"/>
            <w:tcBorders>
              <w:top w:val="nil"/>
              <w:bottom w:val="nil"/>
            </w:tcBorders>
            <w:shd w:val="clear" w:color="auto" w:fill="auto"/>
          </w:tcPr>
          <w:p w14:paraId="71C0FD39" w14:textId="6F5636B8" w:rsidR="00F034DD" w:rsidRDefault="00F034DD" w:rsidP="00F034DD">
            <w:pPr>
              <w:pStyle w:val="SingleTxtG"/>
              <w:ind w:left="3686" w:hanging="2552"/>
            </w:pPr>
            <w:r w:rsidRPr="00454F88">
              <w:rPr>
                <w:b/>
                <w:bCs/>
                <w:lang w:val="en-CA"/>
              </w:rPr>
              <w:t>Executive summary:</w:t>
            </w:r>
            <w:r w:rsidRPr="00454F88">
              <w:rPr>
                <w:lang w:val="en-CA"/>
              </w:rPr>
              <w:tab/>
              <w:t>This document provides the Joint Meeting with information on</w:t>
            </w:r>
            <w:r>
              <w:rPr>
                <w:lang w:val="en-CA"/>
              </w:rPr>
              <w:t xml:space="preserve"> the</w:t>
            </w:r>
            <w:r w:rsidRPr="00454F88">
              <w:rPr>
                <w:lang w:val="en-CA"/>
              </w:rPr>
              <w:t xml:space="preserve"> difficulties in </w:t>
            </w:r>
            <w:r>
              <w:rPr>
                <w:lang w:val="en-CA"/>
              </w:rPr>
              <w:t>applying</w:t>
            </w:r>
            <w:r w:rsidRPr="00454F88">
              <w:rPr>
                <w:lang w:val="en-CA"/>
              </w:rPr>
              <w:t xml:space="preserve"> a mandatory standard referred to in Chapter 6.2.</w:t>
            </w:r>
          </w:p>
        </w:tc>
      </w:tr>
      <w:tr w:rsidR="00F034DD" w14:paraId="7BBBD137" w14:textId="77777777" w:rsidTr="00F034DD">
        <w:trPr>
          <w:jc w:val="center"/>
        </w:trPr>
        <w:tc>
          <w:tcPr>
            <w:tcW w:w="9637" w:type="dxa"/>
            <w:tcBorders>
              <w:top w:val="nil"/>
              <w:bottom w:val="nil"/>
            </w:tcBorders>
            <w:shd w:val="clear" w:color="auto" w:fill="auto"/>
          </w:tcPr>
          <w:p w14:paraId="6F2F1169" w14:textId="32120EE8" w:rsidR="00F034DD" w:rsidRDefault="00F034DD" w:rsidP="00F034DD">
            <w:pPr>
              <w:pStyle w:val="SingleTxtG"/>
              <w:ind w:left="3686" w:hanging="2552"/>
            </w:pPr>
            <w:r w:rsidRPr="00454F88">
              <w:rPr>
                <w:b/>
                <w:bCs/>
                <w:lang w:val="en-CA"/>
              </w:rPr>
              <w:t>Action to be taken</w:t>
            </w:r>
            <w:r>
              <w:rPr>
                <w:b/>
                <w:bCs/>
                <w:lang w:val="en-CA"/>
              </w:rPr>
              <w:t>:</w:t>
            </w:r>
            <w:r w:rsidRPr="00454F88">
              <w:rPr>
                <w:lang w:val="en-CA"/>
              </w:rPr>
              <w:tab/>
              <w:t>Decisions on actions to be taken in conjunction with the Joint Meeting Working Group on Standards and the European Committee for Standardization (CEN).</w:t>
            </w:r>
          </w:p>
        </w:tc>
      </w:tr>
      <w:tr w:rsidR="00F034DD" w14:paraId="20664B79" w14:textId="77777777" w:rsidTr="00F034DD">
        <w:trPr>
          <w:jc w:val="center"/>
        </w:trPr>
        <w:tc>
          <w:tcPr>
            <w:tcW w:w="9637" w:type="dxa"/>
            <w:tcBorders>
              <w:top w:val="nil"/>
            </w:tcBorders>
          </w:tcPr>
          <w:p w14:paraId="3025421E" w14:textId="77777777" w:rsidR="00F034DD" w:rsidRDefault="00F034DD" w:rsidP="00F034DD">
            <w:pPr>
              <w:suppressAutoHyphens w:val="0"/>
            </w:pPr>
          </w:p>
        </w:tc>
      </w:tr>
    </w:tbl>
    <w:p w14:paraId="2F7B62DB" w14:textId="77777777" w:rsidR="00F034DD" w:rsidRPr="00730B2C" w:rsidRDefault="00F034DD" w:rsidP="00F034DD">
      <w:pPr>
        <w:pStyle w:val="HChG"/>
      </w:pPr>
      <w:r w:rsidRPr="00730B2C">
        <w:tab/>
      </w:r>
      <w:r w:rsidRPr="00730B2C">
        <w:tab/>
      </w:r>
      <w:r w:rsidRPr="00730B2C">
        <w:tab/>
        <w:t>Introduction</w:t>
      </w:r>
    </w:p>
    <w:p w14:paraId="2B8C2C99" w14:textId="0F179C1D" w:rsidR="00F034DD" w:rsidRPr="00730B2C" w:rsidRDefault="00880B74" w:rsidP="00880B74">
      <w:pPr>
        <w:pStyle w:val="ParaNoG"/>
        <w:numPr>
          <w:ilvl w:val="0"/>
          <w:numId w:val="0"/>
        </w:numPr>
        <w:tabs>
          <w:tab w:val="left" w:pos="0"/>
        </w:tabs>
        <w:ind w:left="1134"/>
      </w:pPr>
      <w:r w:rsidRPr="00730B2C">
        <w:t>1.</w:t>
      </w:r>
      <w:r w:rsidRPr="00730B2C">
        <w:tab/>
      </w:r>
      <w:r w:rsidR="00F034DD" w:rsidRPr="00730B2C">
        <w:t>The French market surveillance authorities have taken action on several types of non-refillable metal pressure receptacles containing helium. As part of this market surveillance action, a number of non-conformities were identified and steps to ban placing them on the market were taken.</w:t>
      </w:r>
    </w:p>
    <w:p w14:paraId="3B97B689" w14:textId="582E9BB0" w:rsidR="00F034DD" w:rsidRPr="00730B2C" w:rsidRDefault="00880B74" w:rsidP="00880B74">
      <w:pPr>
        <w:pStyle w:val="ParaNoG"/>
        <w:numPr>
          <w:ilvl w:val="0"/>
          <w:numId w:val="0"/>
        </w:numPr>
        <w:tabs>
          <w:tab w:val="left" w:pos="0"/>
        </w:tabs>
        <w:ind w:left="1134"/>
      </w:pPr>
      <w:r w:rsidRPr="00730B2C">
        <w:t>2.</w:t>
      </w:r>
      <w:r w:rsidRPr="00730B2C">
        <w:tab/>
      </w:r>
      <w:r w:rsidR="00F034DD" w:rsidRPr="00730B2C">
        <w:t>This market surveillance action has highlighted some difficulties in applying EN ISO 11118:2015 as referenced in 6.2.4 of RID/ADR. The application of this standard is mandatory for the issue of type approvals, until further notice, to meet the requirements of 6.2.3.1, 6.2.3.3 and 6.2.3.4.</w:t>
      </w:r>
    </w:p>
    <w:p w14:paraId="46426E26" w14:textId="49804046" w:rsidR="00F034DD" w:rsidRPr="00730B2C" w:rsidRDefault="00880B74" w:rsidP="00880B74">
      <w:pPr>
        <w:pStyle w:val="ParaNoG"/>
        <w:numPr>
          <w:ilvl w:val="0"/>
          <w:numId w:val="0"/>
        </w:numPr>
        <w:tabs>
          <w:tab w:val="left" w:pos="0"/>
        </w:tabs>
        <w:ind w:left="1134"/>
      </w:pPr>
      <w:r w:rsidRPr="00730B2C">
        <w:lastRenderedPageBreak/>
        <w:t>3.</w:t>
      </w:r>
      <w:r w:rsidRPr="00730B2C">
        <w:tab/>
      </w:r>
      <w:r w:rsidR="00F034DD" w:rsidRPr="00730B2C">
        <w:t>The present document aims to provide the Joint Meeting with an overview of these difficulties.</w:t>
      </w:r>
    </w:p>
    <w:p w14:paraId="7D889379" w14:textId="77777777" w:rsidR="00F034DD" w:rsidRPr="00730B2C" w:rsidRDefault="00F034DD" w:rsidP="00F034DD">
      <w:pPr>
        <w:pStyle w:val="HChG"/>
      </w:pPr>
      <w:r w:rsidRPr="00730B2C">
        <w:tab/>
      </w:r>
      <w:r w:rsidRPr="00730B2C">
        <w:tab/>
        <w:t>Materials</w:t>
      </w:r>
    </w:p>
    <w:p w14:paraId="589BDB52" w14:textId="2BF3F810" w:rsidR="006555B2" w:rsidRDefault="00880B74" w:rsidP="00880B74">
      <w:pPr>
        <w:pStyle w:val="ParaNoG"/>
        <w:numPr>
          <w:ilvl w:val="0"/>
          <w:numId w:val="0"/>
        </w:numPr>
        <w:tabs>
          <w:tab w:val="left" w:pos="0"/>
        </w:tabs>
        <w:ind w:left="1134"/>
      </w:pPr>
      <w:r>
        <w:t>4.</w:t>
      </w:r>
      <w:r>
        <w:tab/>
      </w:r>
      <w:r w:rsidR="00F034DD" w:rsidRPr="00730B2C">
        <w:t xml:space="preserve">6.2.1.2.2 of RID/ADR specifies: </w:t>
      </w:r>
      <w:r w:rsidR="006555B2">
        <w:t>“</w:t>
      </w:r>
      <w:r w:rsidR="00F034DD" w:rsidRPr="00730B2C">
        <w:t xml:space="preserve">Pressure receptacles and their closures shall be made of the materials specified in the design and construction technical standards and the applicable packing instruction for the substances intended for carriage in the pressure receptacle. </w:t>
      </w:r>
      <w:r w:rsidR="00F034DD" w:rsidRPr="00F034DD">
        <w:rPr>
          <w:u w:val="single"/>
        </w:rPr>
        <w:t>The materials shall be resistant to brittle fracture</w:t>
      </w:r>
      <w:r w:rsidR="00F034DD" w:rsidRPr="00730B2C">
        <w:t xml:space="preserve"> and to stress corrosion cracking </w:t>
      </w:r>
      <w:r w:rsidR="00F034DD" w:rsidRPr="00F034DD">
        <w:rPr>
          <w:u w:val="single"/>
        </w:rPr>
        <w:t>as indicated in the design and construction technical standards</w:t>
      </w:r>
      <w:r w:rsidR="00F034DD" w:rsidRPr="00730B2C">
        <w:t>.</w:t>
      </w:r>
      <w:r w:rsidR="006555B2">
        <w:t>”</w:t>
      </w:r>
    </w:p>
    <w:p w14:paraId="373BB403" w14:textId="77777777" w:rsidR="006555B2" w:rsidRDefault="00F034DD" w:rsidP="00F034DD">
      <w:pPr>
        <w:pStyle w:val="SingleTxtG"/>
      </w:pPr>
      <w:r w:rsidRPr="00730B2C">
        <w:t xml:space="preserve">EN ISO 11118 states in 5.1.6: </w:t>
      </w:r>
      <w:r w:rsidR="006555B2">
        <w:t>“</w:t>
      </w:r>
      <w:r w:rsidRPr="00730B2C">
        <w:t>All materials shall be suitable for use at the minimum service temperature or -20 °C, whichever is lower.</w:t>
      </w:r>
      <w:r w:rsidR="006555B2">
        <w:t>”</w:t>
      </w:r>
    </w:p>
    <w:p w14:paraId="17123C29" w14:textId="6E39B759" w:rsidR="00F034DD" w:rsidRPr="00730B2C" w:rsidRDefault="00F034DD" w:rsidP="00F034DD">
      <w:pPr>
        <w:pStyle w:val="SingleTxtG"/>
      </w:pPr>
      <w:r w:rsidRPr="00730B2C">
        <w:t>This standard does not set any criteria for assessing the resistance of the material to brittle fracture.</w:t>
      </w:r>
    </w:p>
    <w:p w14:paraId="319AA319" w14:textId="77777777" w:rsidR="00F034DD" w:rsidRPr="00730B2C" w:rsidRDefault="00F034DD" w:rsidP="00F034DD">
      <w:pPr>
        <w:pStyle w:val="SingleTxtG"/>
      </w:pPr>
      <w:r w:rsidRPr="00730B2C">
        <w:t>When these materials are used with a small thickness, the risk of brittle fracture is much lower. This could be developed and clarified in the standard. Moreover, when the material is too thin to perform impact bending tests, a fracture mechanics analysis could be used to justify the choice of material.</w:t>
      </w:r>
    </w:p>
    <w:p w14:paraId="146FC463" w14:textId="77777777" w:rsidR="00F034DD" w:rsidRPr="00730B2C" w:rsidRDefault="00F034DD" w:rsidP="00F034DD">
      <w:pPr>
        <w:pStyle w:val="SingleTxtG"/>
      </w:pPr>
      <w:r w:rsidRPr="00730B2C">
        <w:t>It might be appropriate to require that materials be chosen according to standards that provide sufficient guarantees of resilience.</w:t>
      </w:r>
    </w:p>
    <w:p w14:paraId="1ECDB653" w14:textId="254D1999" w:rsidR="00F034DD" w:rsidRPr="00730B2C" w:rsidRDefault="00F034DD" w:rsidP="00F034DD">
      <w:pPr>
        <w:pStyle w:val="H23G"/>
      </w:pPr>
      <w:r>
        <w:tab/>
      </w:r>
      <w:r>
        <w:tab/>
      </w:r>
      <w:r w:rsidRPr="00730B2C">
        <w:t>Manufacturing quality</w:t>
      </w:r>
    </w:p>
    <w:p w14:paraId="27591D64" w14:textId="77777777" w:rsidR="006555B2" w:rsidRDefault="00F034DD" w:rsidP="00F034DD">
      <w:pPr>
        <w:pStyle w:val="SingleTxtG"/>
      </w:pPr>
      <w:r w:rsidRPr="00730B2C">
        <w:t>5.</w:t>
      </w:r>
      <w:r w:rsidRPr="00730B2C">
        <w:tab/>
        <w:t xml:space="preserve">Article 8.2 (c) of EN ISO 11118 states that, </w:t>
      </w:r>
      <w:r w:rsidR="006555B2">
        <w:t>“</w:t>
      </w:r>
      <w:r w:rsidRPr="00730B2C">
        <w:t>after completion of all welded/brazed joints, the weld shall not have concavity, weld under-cutting, or abrupt weld irregularity nor have any cracks or other defects</w:t>
      </w:r>
      <w:r w:rsidR="006555B2">
        <w:t>”</w:t>
      </w:r>
      <w:r w:rsidRPr="00730B2C">
        <w:t>.</w:t>
      </w:r>
    </w:p>
    <w:p w14:paraId="0A686BFD" w14:textId="0875B979" w:rsidR="00F034DD" w:rsidRPr="00730B2C" w:rsidRDefault="00F034DD" w:rsidP="00F034DD">
      <w:pPr>
        <w:pStyle w:val="SingleTxtG"/>
      </w:pPr>
      <w:r w:rsidRPr="00730B2C">
        <w:t xml:space="preserve">EN ISO 11118 does not set criteria for the acceptance levels of defects and does not refer to any other standard (e.g. EN ISO 5817, </w:t>
      </w:r>
      <w:r w:rsidR="006555B2">
        <w:t>“</w:t>
      </w:r>
      <w:r w:rsidRPr="00730B2C">
        <w:t>Welding – Fusion-welded joints in steel, nickel, titanium and their alloys (beam welding excluded) – Quality levels for imperfections</w:t>
      </w:r>
      <w:r w:rsidR="006555B2">
        <w:t>”</w:t>
      </w:r>
      <w:r w:rsidRPr="00730B2C">
        <w:t>).</w:t>
      </w:r>
    </w:p>
    <w:p w14:paraId="6303738B" w14:textId="57F3D775" w:rsidR="00F034DD" w:rsidRPr="00730B2C" w:rsidRDefault="00F034DD" w:rsidP="00F034DD">
      <w:pPr>
        <w:pStyle w:val="SingleTxtG"/>
      </w:pPr>
      <w:r w:rsidRPr="00730B2C">
        <w:t>Therefore, it is not possible to evaluate defects in welded/brazed joints. Acceptable defects are not defined.</w:t>
      </w:r>
    </w:p>
    <w:p w14:paraId="167482E6" w14:textId="750C6892" w:rsidR="00F034DD" w:rsidRPr="00730B2C" w:rsidRDefault="00F034DD" w:rsidP="00F034DD">
      <w:pPr>
        <w:pStyle w:val="H23G"/>
      </w:pPr>
      <w:r>
        <w:tab/>
      </w:r>
      <w:r>
        <w:tab/>
      </w:r>
      <w:r w:rsidRPr="00730B2C">
        <w:t>Qualification of welders</w:t>
      </w:r>
    </w:p>
    <w:p w14:paraId="66D9575D" w14:textId="77777777" w:rsidR="006555B2" w:rsidRDefault="00F034DD" w:rsidP="00F034DD">
      <w:pPr>
        <w:pStyle w:val="SingleTxtG"/>
      </w:pPr>
      <w:r w:rsidRPr="00730B2C">
        <w:t>6.</w:t>
      </w:r>
      <w:r w:rsidRPr="00730B2C">
        <w:tab/>
        <w:t xml:space="preserve">8.1.1.2.2.1 of EN ISO 11118 states: </w:t>
      </w:r>
      <w:r w:rsidR="006555B2">
        <w:t>“</w:t>
      </w:r>
      <w:r w:rsidRPr="00730B2C">
        <w:t>(a) All welding operators and welding procedures shall be approved by meeting the requirements of 8.1.1.2.2 through 8.1.1.2.2.9 or those given in ISO 9606-1, ISO 15613, and ISO 15614-1.</w:t>
      </w:r>
      <w:r w:rsidR="006555B2">
        <w:t>”</w:t>
      </w:r>
    </w:p>
    <w:p w14:paraId="22D8099C" w14:textId="20C95547" w:rsidR="00F034DD" w:rsidRPr="00730B2C" w:rsidRDefault="00F034DD" w:rsidP="00F034DD">
      <w:pPr>
        <w:pStyle w:val="SingleTxtG"/>
      </w:pPr>
      <w:r w:rsidRPr="00730B2C">
        <w:t>However:</w:t>
      </w:r>
    </w:p>
    <w:p w14:paraId="54F56AFB" w14:textId="77777777" w:rsidR="00F034DD" w:rsidRPr="00730B2C" w:rsidRDefault="00F034DD" w:rsidP="00F034DD">
      <w:pPr>
        <w:pStyle w:val="SingleTxtG"/>
      </w:pPr>
      <w:r w:rsidRPr="00730B2C">
        <w:t>– EN ISO 11118 does not specify the examinations and tests required for the qualification of welding procedures in cases where EN ISO 15613 or 15614–1 are not implemented.</w:t>
      </w:r>
    </w:p>
    <w:p w14:paraId="6615F9B2" w14:textId="77777777" w:rsidR="00F034DD" w:rsidRPr="00730B2C" w:rsidRDefault="00F034DD" w:rsidP="00F034DD">
      <w:pPr>
        <w:pStyle w:val="SingleTxtG"/>
      </w:pPr>
      <w:r w:rsidRPr="00730B2C">
        <w:t>– EN ISO 11118 only defines the welder qualification tests as follows:</w:t>
      </w:r>
    </w:p>
    <w:p w14:paraId="74190BAF" w14:textId="3A928E72" w:rsidR="00F034DD" w:rsidRPr="006555B2" w:rsidRDefault="006555B2" w:rsidP="00F034DD">
      <w:pPr>
        <w:pStyle w:val="SingleTxtG"/>
        <w:rPr>
          <w:b/>
          <w:bCs/>
        </w:rPr>
      </w:pPr>
      <w:r>
        <w:rPr>
          <w:b/>
          <w:bCs/>
        </w:rPr>
        <w:t>“</w:t>
      </w:r>
      <w:r w:rsidR="00F034DD" w:rsidRPr="006555B2">
        <w:rPr>
          <w:b/>
          <w:bCs/>
        </w:rPr>
        <w:t>8.1.1.2.2.8</w:t>
      </w:r>
      <w:r w:rsidR="00F034DD" w:rsidRPr="006555B2">
        <w:rPr>
          <w:b/>
          <w:bCs/>
        </w:rPr>
        <w:tab/>
        <w:t>Welder qualification tests</w:t>
      </w:r>
    </w:p>
    <w:p w14:paraId="7FE23999" w14:textId="6F8F3E8D" w:rsidR="00F034DD" w:rsidRPr="00730B2C" w:rsidRDefault="006555B2" w:rsidP="00F034DD">
      <w:pPr>
        <w:pStyle w:val="SingleTxtG"/>
      </w:pPr>
      <w:r>
        <w:tab/>
      </w:r>
      <w:r w:rsidR="00F034DD" w:rsidRPr="00730B2C">
        <w:t>a)</w:t>
      </w:r>
      <w:r w:rsidR="00F034DD" w:rsidRPr="00730B2C">
        <w:tab/>
        <w:t>For longitudinal welds:</w:t>
      </w:r>
    </w:p>
    <w:p w14:paraId="24C89AB2" w14:textId="77777777" w:rsidR="00F034DD" w:rsidRPr="00730B2C" w:rsidRDefault="00F034DD" w:rsidP="006555B2">
      <w:pPr>
        <w:pStyle w:val="SingleTxtG"/>
        <w:ind w:left="2268"/>
      </w:pPr>
      <w:r w:rsidRPr="00730B2C">
        <w:t>1)</w:t>
      </w:r>
      <w:r w:rsidRPr="00730B2C">
        <w:tab/>
        <w:t>Bend test, root of weld;</w:t>
      </w:r>
    </w:p>
    <w:p w14:paraId="3EE358BC" w14:textId="77777777" w:rsidR="00F034DD" w:rsidRPr="00730B2C" w:rsidRDefault="00F034DD" w:rsidP="006555B2">
      <w:pPr>
        <w:pStyle w:val="SingleTxtG"/>
        <w:ind w:left="2268"/>
      </w:pPr>
      <w:r w:rsidRPr="00730B2C">
        <w:t>2)</w:t>
      </w:r>
      <w:r w:rsidRPr="00730B2C">
        <w:tab/>
        <w:t>Weld tensile test.</w:t>
      </w:r>
    </w:p>
    <w:p w14:paraId="32CFF55F" w14:textId="655F888D" w:rsidR="00F034DD" w:rsidRPr="00730B2C" w:rsidRDefault="006555B2" w:rsidP="00F034DD">
      <w:pPr>
        <w:pStyle w:val="SingleTxtG"/>
      </w:pPr>
      <w:r>
        <w:tab/>
      </w:r>
      <w:r w:rsidR="00F034DD" w:rsidRPr="00730B2C">
        <w:t>b)</w:t>
      </w:r>
      <w:r w:rsidR="00F034DD" w:rsidRPr="00730B2C">
        <w:tab/>
        <w:t>For circumferential welds:</w:t>
      </w:r>
    </w:p>
    <w:p w14:paraId="6F050584" w14:textId="77777777" w:rsidR="00F034DD" w:rsidRPr="00730B2C" w:rsidRDefault="00F034DD" w:rsidP="006555B2">
      <w:pPr>
        <w:pStyle w:val="SingleTxtG"/>
        <w:ind w:left="2268"/>
      </w:pPr>
      <w:r w:rsidRPr="00730B2C">
        <w:t>1)</w:t>
      </w:r>
      <w:r w:rsidRPr="00730B2C">
        <w:tab/>
        <w:t>Macro test;</w:t>
      </w:r>
    </w:p>
    <w:p w14:paraId="2EB18826" w14:textId="77777777" w:rsidR="00F034DD" w:rsidRPr="00730B2C" w:rsidRDefault="00F034DD" w:rsidP="006555B2">
      <w:pPr>
        <w:pStyle w:val="SingleTxtG"/>
        <w:ind w:left="2268"/>
      </w:pPr>
      <w:r w:rsidRPr="00730B2C">
        <w:t>2)</w:t>
      </w:r>
      <w:r w:rsidRPr="00730B2C">
        <w:tab/>
        <w:t>Weld tensile test.</w:t>
      </w:r>
    </w:p>
    <w:p w14:paraId="6BC0E28F" w14:textId="1D0687A1" w:rsidR="00F034DD" w:rsidRPr="00730B2C" w:rsidRDefault="006555B2" w:rsidP="00F034DD">
      <w:pPr>
        <w:pStyle w:val="SingleTxtG"/>
      </w:pPr>
      <w:r>
        <w:tab/>
      </w:r>
      <w:r w:rsidR="00F034DD" w:rsidRPr="00730B2C">
        <w:t>c)</w:t>
      </w:r>
      <w:r w:rsidR="00F034DD" w:rsidRPr="00730B2C">
        <w:tab/>
        <w:t>For threaded connections to cylinder ends: macro tests, 180° apart.</w:t>
      </w:r>
    </w:p>
    <w:p w14:paraId="61C07019" w14:textId="1E8DEF60" w:rsidR="00F034DD" w:rsidRPr="00730B2C" w:rsidRDefault="006555B2" w:rsidP="00F034DD">
      <w:pPr>
        <w:pStyle w:val="SingleTxtG"/>
      </w:pPr>
      <w:r>
        <w:tab/>
      </w:r>
      <w:r w:rsidR="00F034DD" w:rsidRPr="00730B2C">
        <w:t>d)</w:t>
      </w:r>
      <w:r w:rsidR="00F034DD" w:rsidRPr="00730B2C">
        <w:tab/>
        <w:t>For welded attachments, foot rings, collars, or lugs: macro test.</w:t>
      </w:r>
    </w:p>
    <w:p w14:paraId="2E995B81" w14:textId="054A0377" w:rsidR="00F034DD" w:rsidRPr="00730B2C" w:rsidRDefault="006555B2" w:rsidP="00F034DD">
      <w:pPr>
        <w:pStyle w:val="SingleTxtG"/>
      </w:pPr>
      <w:r>
        <w:lastRenderedPageBreak/>
        <w:tab/>
      </w:r>
      <w:r w:rsidR="00F034DD" w:rsidRPr="00730B2C">
        <w:t>e)</w:t>
      </w:r>
      <w:r w:rsidR="00F034DD" w:rsidRPr="00730B2C">
        <w:tab/>
        <w:t>For fillet welds: macro tests, 180° apart.</w:t>
      </w:r>
      <w:r>
        <w:t>”</w:t>
      </w:r>
    </w:p>
    <w:p w14:paraId="4C583755" w14:textId="77777777" w:rsidR="00F034DD" w:rsidRPr="00730B2C" w:rsidRDefault="00F034DD" w:rsidP="00F034DD">
      <w:pPr>
        <w:pStyle w:val="SingleTxtG"/>
      </w:pPr>
      <w:r w:rsidRPr="00730B2C">
        <w:t>The requirements are significantly different between EN ISO 11118 and ISO 9606–1.</w:t>
      </w:r>
    </w:p>
    <w:p w14:paraId="6F4F9F0D" w14:textId="77777777" w:rsidR="00F034DD" w:rsidRPr="00730B2C" w:rsidRDefault="00F034DD" w:rsidP="00F034DD">
      <w:pPr>
        <w:pStyle w:val="SingleTxtG"/>
      </w:pPr>
      <w:r w:rsidRPr="00730B2C">
        <w:t>Extract from ISO 9606–1:</w:t>
      </w:r>
    </w:p>
    <w:p w14:paraId="5C95BA7F" w14:textId="17CCAA9A" w:rsidR="00F034DD" w:rsidRPr="00A54E9B" w:rsidRDefault="00F034DD" w:rsidP="00A54E9B">
      <w:pPr>
        <w:pStyle w:val="SingleTxtG"/>
        <w:spacing w:before="240"/>
        <w:jc w:val="center"/>
        <w:rPr>
          <w:b/>
          <w:bCs/>
        </w:rPr>
      </w:pPr>
      <w:r w:rsidRPr="00A54E9B">
        <w:rPr>
          <w:b/>
          <w:bCs/>
        </w:rPr>
        <w:t>Table 13 – Test methods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126"/>
        <w:gridCol w:w="2127"/>
      </w:tblGrid>
      <w:tr w:rsidR="00F034DD" w:rsidRPr="006555B2" w14:paraId="7339416F" w14:textId="77777777" w:rsidTr="006555B2">
        <w:tc>
          <w:tcPr>
            <w:tcW w:w="3539" w:type="dxa"/>
          </w:tcPr>
          <w:p w14:paraId="77206EE1" w14:textId="77777777" w:rsidR="00F034DD" w:rsidRPr="006555B2" w:rsidRDefault="00F034DD" w:rsidP="006555B2">
            <w:pPr>
              <w:jc w:val="center"/>
              <w:rPr>
                <w:b/>
                <w:bCs/>
              </w:rPr>
            </w:pPr>
            <w:r w:rsidRPr="006555B2">
              <w:rPr>
                <w:b/>
                <w:bCs/>
              </w:rPr>
              <w:t>Test method</w:t>
            </w:r>
          </w:p>
        </w:tc>
        <w:tc>
          <w:tcPr>
            <w:tcW w:w="2126" w:type="dxa"/>
          </w:tcPr>
          <w:p w14:paraId="324A984A" w14:textId="77777777" w:rsidR="00F034DD" w:rsidRPr="006555B2" w:rsidRDefault="00F034DD" w:rsidP="006555B2">
            <w:pPr>
              <w:jc w:val="center"/>
              <w:rPr>
                <w:b/>
                <w:bCs/>
              </w:rPr>
            </w:pPr>
            <w:r w:rsidRPr="006555B2">
              <w:rPr>
                <w:b/>
                <w:bCs/>
              </w:rPr>
              <w:t>Butt weld (in plate or pipe)</w:t>
            </w:r>
          </w:p>
        </w:tc>
        <w:tc>
          <w:tcPr>
            <w:tcW w:w="2127" w:type="dxa"/>
          </w:tcPr>
          <w:p w14:paraId="72C10DBF" w14:textId="77777777" w:rsidR="00F034DD" w:rsidRPr="006555B2" w:rsidRDefault="00F034DD" w:rsidP="006555B2">
            <w:pPr>
              <w:jc w:val="center"/>
              <w:rPr>
                <w:b/>
                <w:bCs/>
              </w:rPr>
            </w:pPr>
            <w:r w:rsidRPr="006555B2">
              <w:rPr>
                <w:b/>
                <w:bCs/>
              </w:rPr>
              <w:t>Fillet weld and branch joint</w:t>
            </w:r>
          </w:p>
        </w:tc>
      </w:tr>
      <w:tr w:rsidR="00F034DD" w:rsidRPr="00730B2C" w14:paraId="3FE8581F" w14:textId="77777777" w:rsidTr="006555B2">
        <w:tc>
          <w:tcPr>
            <w:tcW w:w="3539" w:type="dxa"/>
          </w:tcPr>
          <w:p w14:paraId="769032A3" w14:textId="77777777" w:rsidR="00F034DD" w:rsidRPr="00730B2C" w:rsidRDefault="00F034DD" w:rsidP="006555B2">
            <w:pPr>
              <w:spacing w:after="120"/>
            </w:pPr>
            <w:r w:rsidRPr="00730B2C">
              <w:t>Visual testing according to ISO 17637</w:t>
            </w:r>
          </w:p>
        </w:tc>
        <w:tc>
          <w:tcPr>
            <w:tcW w:w="2126" w:type="dxa"/>
          </w:tcPr>
          <w:p w14:paraId="14F38609" w14:textId="77777777" w:rsidR="00F034DD" w:rsidRPr="00730B2C" w:rsidRDefault="00F034DD" w:rsidP="006555B2">
            <w:pPr>
              <w:spacing w:after="120"/>
              <w:jc w:val="center"/>
            </w:pPr>
            <w:r w:rsidRPr="00730B2C">
              <w:t>Mandatory</w:t>
            </w:r>
          </w:p>
        </w:tc>
        <w:tc>
          <w:tcPr>
            <w:tcW w:w="2127" w:type="dxa"/>
          </w:tcPr>
          <w:p w14:paraId="5D69D39F" w14:textId="77777777" w:rsidR="00F034DD" w:rsidRPr="00730B2C" w:rsidRDefault="00F034DD" w:rsidP="006555B2">
            <w:pPr>
              <w:spacing w:after="120"/>
              <w:jc w:val="center"/>
            </w:pPr>
            <w:r w:rsidRPr="00730B2C">
              <w:t>Mandatory</w:t>
            </w:r>
          </w:p>
        </w:tc>
      </w:tr>
      <w:tr w:rsidR="00F034DD" w:rsidRPr="00730B2C" w14:paraId="4ED2E0C4" w14:textId="77777777" w:rsidTr="006555B2">
        <w:tc>
          <w:tcPr>
            <w:tcW w:w="3539" w:type="dxa"/>
          </w:tcPr>
          <w:p w14:paraId="4F89838A" w14:textId="77777777" w:rsidR="00F034DD" w:rsidRPr="00730B2C" w:rsidRDefault="00F034DD" w:rsidP="006555B2">
            <w:pPr>
              <w:spacing w:after="120"/>
            </w:pPr>
            <w:r w:rsidRPr="00730B2C">
              <w:t>Radiographic testing according to ISO 17636</w:t>
            </w:r>
          </w:p>
        </w:tc>
        <w:tc>
          <w:tcPr>
            <w:tcW w:w="2126" w:type="dxa"/>
          </w:tcPr>
          <w:p w14:paraId="69881CA6" w14:textId="7B686A9F" w:rsidR="00F034DD" w:rsidRPr="00730B2C" w:rsidRDefault="00F034DD" w:rsidP="006555B2">
            <w:pPr>
              <w:spacing w:after="120"/>
              <w:jc w:val="center"/>
            </w:pPr>
            <w:r w:rsidRPr="00730B2C">
              <w:t>Mandatory a,</w:t>
            </w:r>
            <w:r w:rsidR="006555B2">
              <w:t xml:space="preserve"> </w:t>
            </w:r>
            <w:r w:rsidRPr="00730B2C">
              <w:t>b,</w:t>
            </w:r>
            <w:r w:rsidR="006555B2">
              <w:t xml:space="preserve"> </w:t>
            </w:r>
            <w:r w:rsidRPr="00730B2C">
              <w:t>c</w:t>
            </w:r>
          </w:p>
        </w:tc>
        <w:tc>
          <w:tcPr>
            <w:tcW w:w="2127" w:type="dxa"/>
          </w:tcPr>
          <w:p w14:paraId="25BFEC24" w14:textId="77777777" w:rsidR="00F034DD" w:rsidRPr="00730B2C" w:rsidRDefault="00F034DD" w:rsidP="006555B2">
            <w:pPr>
              <w:spacing w:after="120"/>
              <w:jc w:val="center"/>
            </w:pPr>
            <w:r w:rsidRPr="00730B2C">
              <w:t>Not mandatory</w:t>
            </w:r>
          </w:p>
        </w:tc>
      </w:tr>
      <w:tr w:rsidR="00F034DD" w:rsidRPr="00730B2C" w14:paraId="2F2219DA" w14:textId="77777777" w:rsidTr="006555B2">
        <w:tc>
          <w:tcPr>
            <w:tcW w:w="3539" w:type="dxa"/>
          </w:tcPr>
          <w:p w14:paraId="0B05A82E" w14:textId="77777777" w:rsidR="00F034DD" w:rsidRPr="00730B2C" w:rsidRDefault="00F034DD" w:rsidP="006555B2">
            <w:pPr>
              <w:spacing w:after="120"/>
            </w:pPr>
            <w:r w:rsidRPr="00730B2C">
              <w:t>Bend test according to ISO 5173</w:t>
            </w:r>
          </w:p>
        </w:tc>
        <w:tc>
          <w:tcPr>
            <w:tcW w:w="2126" w:type="dxa"/>
          </w:tcPr>
          <w:p w14:paraId="7311B28B" w14:textId="05F33297" w:rsidR="00F034DD" w:rsidRPr="00730B2C" w:rsidRDefault="00F034DD" w:rsidP="006555B2">
            <w:pPr>
              <w:spacing w:after="120"/>
              <w:jc w:val="center"/>
            </w:pPr>
            <w:r w:rsidRPr="00730B2C">
              <w:t>Mandatory a,</w:t>
            </w:r>
            <w:r w:rsidR="00880B74">
              <w:t xml:space="preserve"> </w:t>
            </w:r>
            <w:r w:rsidRPr="00730B2C">
              <w:t>b,</w:t>
            </w:r>
            <w:r w:rsidR="00880B74">
              <w:t xml:space="preserve"> </w:t>
            </w:r>
            <w:r w:rsidRPr="00730B2C">
              <w:t>d</w:t>
            </w:r>
          </w:p>
        </w:tc>
        <w:tc>
          <w:tcPr>
            <w:tcW w:w="2127" w:type="dxa"/>
          </w:tcPr>
          <w:p w14:paraId="08FB636E" w14:textId="77777777" w:rsidR="00F034DD" w:rsidRPr="00730B2C" w:rsidRDefault="00F034DD" w:rsidP="006555B2">
            <w:pPr>
              <w:spacing w:after="120"/>
              <w:jc w:val="center"/>
            </w:pPr>
            <w:r w:rsidRPr="00730B2C">
              <w:t>Not applicable</w:t>
            </w:r>
          </w:p>
        </w:tc>
      </w:tr>
      <w:tr w:rsidR="00F034DD" w:rsidRPr="00730B2C" w14:paraId="051F6A26" w14:textId="77777777" w:rsidTr="006555B2">
        <w:tc>
          <w:tcPr>
            <w:tcW w:w="3539" w:type="dxa"/>
          </w:tcPr>
          <w:p w14:paraId="4A467E16" w14:textId="77777777" w:rsidR="00F034DD" w:rsidRPr="00730B2C" w:rsidRDefault="00F034DD" w:rsidP="006555B2">
            <w:pPr>
              <w:spacing w:after="120"/>
            </w:pPr>
            <w:r w:rsidRPr="00730B2C">
              <w:t>Fracture test according to ISO 9017</w:t>
            </w:r>
          </w:p>
        </w:tc>
        <w:tc>
          <w:tcPr>
            <w:tcW w:w="2126" w:type="dxa"/>
          </w:tcPr>
          <w:p w14:paraId="0D5FED2F" w14:textId="3A9C9C0D" w:rsidR="00F034DD" w:rsidRPr="00730B2C" w:rsidRDefault="00F034DD" w:rsidP="006555B2">
            <w:pPr>
              <w:spacing w:after="120"/>
              <w:jc w:val="center"/>
            </w:pPr>
            <w:r w:rsidRPr="00730B2C">
              <w:t>Mandatory a,</w:t>
            </w:r>
            <w:r w:rsidR="00880B74">
              <w:t xml:space="preserve"> </w:t>
            </w:r>
            <w:r w:rsidRPr="00730B2C">
              <w:t>b,</w:t>
            </w:r>
            <w:r w:rsidR="00880B74">
              <w:t xml:space="preserve"> </w:t>
            </w:r>
            <w:r w:rsidRPr="00730B2C">
              <w:t>d</w:t>
            </w:r>
          </w:p>
        </w:tc>
        <w:tc>
          <w:tcPr>
            <w:tcW w:w="2127" w:type="dxa"/>
          </w:tcPr>
          <w:p w14:paraId="341AD9B9" w14:textId="251B80F5" w:rsidR="00F034DD" w:rsidRPr="00730B2C" w:rsidRDefault="00F034DD" w:rsidP="006555B2">
            <w:pPr>
              <w:spacing w:after="120"/>
              <w:jc w:val="center"/>
            </w:pPr>
            <w:r w:rsidRPr="00730B2C">
              <w:t>Mandatory e,</w:t>
            </w:r>
            <w:r w:rsidR="00880B74">
              <w:t xml:space="preserve"> </w:t>
            </w:r>
            <w:r w:rsidRPr="00730B2C">
              <w:t>f</w:t>
            </w:r>
          </w:p>
        </w:tc>
      </w:tr>
      <w:tr w:rsidR="00F034DD" w:rsidRPr="00730B2C" w14:paraId="1E56543D" w14:textId="77777777" w:rsidTr="006555B2">
        <w:tc>
          <w:tcPr>
            <w:tcW w:w="7792" w:type="dxa"/>
            <w:gridSpan w:val="3"/>
          </w:tcPr>
          <w:p w14:paraId="2137E26A" w14:textId="342A0F27" w:rsidR="00F034DD" w:rsidRPr="00730B2C" w:rsidRDefault="00F034DD" w:rsidP="006555B2">
            <w:pPr>
              <w:spacing w:after="120"/>
            </w:pPr>
            <w:r w:rsidRPr="00730B2C">
              <w:t xml:space="preserve">a </w:t>
            </w:r>
            <w:r w:rsidR="006555B2">
              <w:tab/>
            </w:r>
            <w:r w:rsidRPr="00730B2C">
              <w:t>Either radiographic testing or bend or fracture tests shall be used.</w:t>
            </w:r>
          </w:p>
          <w:p w14:paraId="77F5AF3B" w14:textId="4C940D1B" w:rsidR="00F034DD" w:rsidRPr="00730B2C" w:rsidRDefault="00F034DD" w:rsidP="006555B2">
            <w:pPr>
              <w:spacing w:after="120"/>
            </w:pPr>
            <w:r w:rsidRPr="00730B2C">
              <w:t xml:space="preserve">b </w:t>
            </w:r>
            <w:r w:rsidR="006555B2">
              <w:tab/>
            </w:r>
            <w:r w:rsidRPr="00730B2C">
              <w:t>When radiographic testing is used, then additional bend or fracture tests are mandatory for welding processes 131, 135, 138 and 311.</w:t>
            </w:r>
          </w:p>
          <w:p w14:paraId="27506984" w14:textId="66C798A7" w:rsidR="00F034DD" w:rsidRPr="00730B2C" w:rsidRDefault="00F034DD" w:rsidP="006555B2">
            <w:pPr>
              <w:spacing w:after="120"/>
            </w:pPr>
            <w:r w:rsidRPr="00730B2C">
              <w:t xml:space="preserve">c </w:t>
            </w:r>
            <w:r w:rsidR="006555B2">
              <w:tab/>
            </w:r>
            <w:r w:rsidRPr="00730B2C">
              <w:t>The radiographic testing may be replaced by ultrasonic testing according to ISO 17640</w:t>
            </w:r>
            <w:r w:rsidRPr="00A54E9B">
              <w:rPr>
                <w:vertAlign w:val="superscript"/>
              </w:rPr>
              <w:t>[19]</w:t>
            </w:r>
            <w:r w:rsidRPr="00730B2C">
              <w:t xml:space="preserve"> for thicknesses ≥ 8 mm on ferritic steels only. In this case, the additional tests mentioned in footnote b are not required.</w:t>
            </w:r>
          </w:p>
          <w:p w14:paraId="52ECA2D3" w14:textId="232F3568" w:rsidR="00F034DD" w:rsidRPr="00730B2C" w:rsidRDefault="00A54E9B" w:rsidP="006555B2">
            <w:pPr>
              <w:spacing w:after="120"/>
            </w:pPr>
            <w:r>
              <w:t>d</w:t>
            </w:r>
            <w:r w:rsidR="006555B2">
              <w:tab/>
            </w:r>
            <w:r w:rsidR="00F034DD" w:rsidRPr="00730B2C">
              <w:t xml:space="preserve"> For outside pipe diameters </w:t>
            </w:r>
            <w:r w:rsidR="00F034DD" w:rsidRPr="00A54E9B">
              <w:rPr>
                <w:i/>
                <w:iCs/>
              </w:rPr>
              <w:t>D</w:t>
            </w:r>
            <w:r w:rsidR="00F034DD" w:rsidRPr="00A54E9B">
              <w:t xml:space="preserve"> ≤ 25 mm</w:t>
            </w:r>
            <w:r w:rsidR="00F034DD" w:rsidRPr="00730B2C">
              <w:t>, the bend or fracture tests may be replaced by a notched tensile test of the complete test piece (an example is given in figure 9).</w:t>
            </w:r>
          </w:p>
          <w:p w14:paraId="5B2F697E" w14:textId="7F9E50B3" w:rsidR="00F034DD" w:rsidRPr="00730B2C" w:rsidRDefault="00F034DD" w:rsidP="006555B2">
            <w:pPr>
              <w:spacing w:after="120"/>
            </w:pPr>
            <w:r w:rsidRPr="00730B2C">
              <w:t xml:space="preserve">e </w:t>
            </w:r>
            <w:r w:rsidR="006555B2">
              <w:tab/>
            </w:r>
            <w:r w:rsidRPr="00730B2C">
              <w:t>The fracture tests may be replaced by a macroscopic examination, performed according to ISO 17639,</w:t>
            </w:r>
            <w:r w:rsidRPr="00A54E9B">
              <w:rPr>
                <w:vertAlign w:val="superscript"/>
              </w:rPr>
              <w:t>[18]</w:t>
            </w:r>
            <w:r w:rsidRPr="00730B2C">
              <w:t xml:space="preserve"> of at least two sections, at least one of which shall be taken from the stop/start location.</w:t>
            </w:r>
          </w:p>
          <w:p w14:paraId="44EEF5BE" w14:textId="778AD42A" w:rsidR="00F034DD" w:rsidRPr="00730B2C" w:rsidRDefault="00F034DD" w:rsidP="006555B2">
            <w:pPr>
              <w:spacing w:after="120"/>
            </w:pPr>
            <w:r w:rsidRPr="00730B2C">
              <w:t xml:space="preserve">f </w:t>
            </w:r>
            <w:r w:rsidR="006555B2">
              <w:tab/>
            </w:r>
            <w:r w:rsidRPr="00730B2C">
              <w:t>The fracture tests on pipes may be replaced by radiographic testing.</w:t>
            </w:r>
          </w:p>
        </w:tc>
      </w:tr>
    </w:tbl>
    <w:p w14:paraId="6DC99FD8" w14:textId="77777777" w:rsidR="00F034DD" w:rsidRPr="00730B2C" w:rsidRDefault="00F034DD" w:rsidP="006555B2">
      <w:pPr>
        <w:pStyle w:val="SingleTxtG"/>
        <w:spacing w:before="240"/>
      </w:pPr>
      <w:r w:rsidRPr="00730B2C">
        <w:t>Ambiguities exist between the application of EN ISO 11118 and ISO 15614-1/ISO 9606-1:</w:t>
      </w:r>
    </w:p>
    <w:p w14:paraId="6B061814" w14:textId="77777777" w:rsidR="00F034DD" w:rsidRPr="00730B2C" w:rsidRDefault="00F034DD" w:rsidP="006555B2">
      <w:pPr>
        <w:pStyle w:val="SingleTxtG"/>
      </w:pPr>
      <w:r w:rsidRPr="00730B2C">
        <w:t>EN ISO 11118 states:</w:t>
      </w:r>
    </w:p>
    <w:p w14:paraId="0D8D54AE" w14:textId="77777777" w:rsidR="006555B2" w:rsidRDefault="006555B2" w:rsidP="006555B2">
      <w:pPr>
        <w:pStyle w:val="SingleTxtG"/>
      </w:pPr>
      <w:r>
        <w:t>“</w:t>
      </w:r>
      <w:r w:rsidR="00F034DD" w:rsidRPr="00730B2C">
        <w:t>The welding procedure and operator qualifications shall include, as a minimum, welds representative of those made in production representing the variables in the materials and the process. (8.1.1.2.1). […] Welding operators and welding procedures shall pass the approval tests for the specific type of work and the procedure specification concerned (8.1.1.2.2.1 d).</w:t>
      </w:r>
      <w:r>
        <w:t>”</w:t>
      </w:r>
    </w:p>
    <w:p w14:paraId="3CA2E6DD" w14:textId="3AF96B12" w:rsidR="00F034DD" w:rsidRPr="00730B2C" w:rsidRDefault="00F034DD" w:rsidP="006555B2">
      <w:pPr>
        <w:pStyle w:val="SingleTxtG"/>
      </w:pPr>
      <w:r w:rsidRPr="00730B2C">
        <w:t>However, ISO 15614-1 and ISO 9606-1 are not as precise for welding procedure qualifications or welder qualifications.</w:t>
      </w:r>
    </w:p>
    <w:p w14:paraId="507F73C4" w14:textId="77777777" w:rsidR="00F034DD" w:rsidRPr="00730B2C" w:rsidRDefault="00F034DD" w:rsidP="006555B2">
      <w:pPr>
        <w:pStyle w:val="SingleTxtG"/>
      </w:pPr>
      <w:r w:rsidRPr="00730B2C">
        <w:t>The test pieces can qualify different types of production welding by virtue of the scope of validity of these standards.</w:t>
      </w:r>
    </w:p>
    <w:p w14:paraId="44890AFB" w14:textId="77777777" w:rsidR="00F034DD" w:rsidRPr="00730B2C" w:rsidRDefault="00F034DD" w:rsidP="006555B2">
      <w:pPr>
        <w:pStyle w:val="SingleTxtG"/>
      </w:pPr>
      <w:r w:rsidRPr="00730B2C">
        <w:t>The requirements of EN ISO 11118 should be complementary to those set out in ISO 9606–1, ISO 15613 and ISO 15614–1.</w:t>
      </w:r>
    </w:p>
    <w:p w14:paraId="587724C9" w14:textId="77777777" w:rsidR="00F034DD" w:rsidRPr="00730B2C" w:rsidRDefault="00F034DD" w:rsidP="006555B2">
      <w:pPr>
        <w:pStyle w:val="HChG"/>
      </w:pPr>
      <w:r w:rsidRPr="00730B2C">
        <w:tab/>
      </w:r>
      <w:r w:rsidRPr="00730B2C">
        <w:tab/>
        <w:t>Thickness measurements</w:t>
      </w:r>
    </w:p>
    <w:p w14:paraId="6DCB188B" w14:textId="77777777" w:rsidR="00F034DD" w:rsidRPr="00730B2C" w:rsidRDefault="00F034DD" w:rsidP="006555B2">
      <w:pPr>
        <w:pStyle w:val="SingleTxtG"/>
      </w:pPr>
      <w:r w:rsidRPr="00730B2C">
        <w:t>7.</w:t>
      </w:r>
      <w:r w:rsidRPr="00730B2C">
        <w:tab/>
        <w:t>EN ISO 11118 does not require verification of the minimum thickness during the mass production of cylinders.</w:t>
      </w:r>
    </w:p>
    <w:p w14:paraId="2379916C" w14:textId="77777777" w:rsidR="00F034DD" w:rsidRPr="00730B2C" w:rsidRDefault="00F034DD" w:rsidP="006555B2">
      <w:pPr>
        <w:pStyle w:val="SingleTxtG"/>
      </w:pPr>
      <w:r w:rsidRPr="00730B2C">
        <w:t>However, RID/ADR 6.2.1.5.1 (b) requires that the minimum thickness of the pressure receptacles be verified on an adequate sample of pressure receptacles (test batch) during the initial inspection and test.</w:t>
      </w:r>
    </w:p>
    <w:p w14:paraId="09CC98B5" w14:textId="77777777" w:rsidR="00F034DD" w:rsidRPr="00730B2C" w:rsidRDefault="00F034DD" w:rsidP="006555B2">
      <w:pPr>
        <w:pStyle w:val="SingleTxtG"/>
        <w:keepNext/>
        <w:spacing w:after="240"/>
      </w:pPr>
      <w:r w:rsidRPr="00730B2C">
        <w:lastRenderedPageBreak/>
        <w:t>The application of the standard presumes there is compliance with the requirements of 6.2.3.1, 6.2.3.3 and 6.2.3.4 of RID/ADR.</w:t>
      </w: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59"/>
        <w:gridCol w:w="2410"/>
        <w:gridCol w:w="1275"/>
        <w:gridCol w:w="1418"/>
        <w:gridCol w:w="1417"/>
      </w:tblGrid>
      <w:tr w:rsidR="00F034DD" w:rsidRPr="00730B2C" w14:paraId="786FEFEC" w14:textId="77777777" w:rsidTr="00027AD2">
        <w:trPr>
          <w:cantSplit/>
          <w:tblHeader/>
        </w:trPr>
        <w:tc>
          <w:tcPr>
            <w:tcW w:w="1559" w:type="dxa"/>
            <w:vAlign w:val="center"/>
          </w:tcPr>
          <w:p w14:paraId="055663A8" w14:textId="77777777" w:rsidR="00F034DD" w:rsidRPr="00730B2C" w:rsidRDefault="00F034DD" w:rsidP="006555B2">
            <w:pPr>
              <w:keepNext/>
              <w:jc w:val="center"/>
            </w:pPr>
            <w:r w:rsidRPr="00730B2C">
              <w:t>Reference</w:t>
            </w:r>
          </w:p>
        </w:tc>
        <w:tc>
          <w:tcPr>
            <w:tcW w:w="2410" w:type="dxa"/>
            <w:vAlign w:val="center"/>
          </w:tcPr>
          <w:p w14:paraId="5E39D27C" w14:textId="77777777" w:rsidR="00F034DD" w:rsidRPr="00730B2C" w:rsidRDefault="00F034DD" w:rsidP="006555B2">
            <w:pPr>
              <w:keepNext/>
              <w:jc w:val="center"/>
            </w:pPr>
            <w:r w:rsidRPr="00730B2C">
              <w:t>Title of document</w:t>
            </w:r>
          </w:p>
        </w:tc>
        <w:tc>
          <w:tcPr>
            <w:tcW w:w="1275" w:type="dxa"/>
            <w:vAlign w:val="center"/>
          </w:tcPr>
          <w:p w14:paraId="6B4CD090" w14:textId="77777777" w:rsidR="00F034DD" w:rsidRPr="00730B2C" w:rsidRDefault="00F034DD" w:rsidP="006555B2">
            <w:pPr>
              <w:keepNext/>
              <w:jc w:val="center"/>
            </w:pPr>
            <w:r w:rsidRPr="00730B2C">
              <w:t>Applicable subsections and paragraphs</w:t>
            </w:r>
          </w:p>
        </w:tc>
        <w:tc>
          <w:tcPr>
            <w:tcW w:w="1418" w:type="dxa"/>
            <w:vAlign w:val="center"/>
          </w:tcPr>
          <w:p w14:paraId="7CEA0544" w14:textId="77777777" w:rsidR="00F034DD" w:rsidRPr="00730B2C" w:rsidRDefault="00F034DD" w:rsidP="006555B2">
            <w:pPr>
              <w:keepNext/>
              <w:jc w:val="center"/>
            </w:pPr>
            <w:r w:rsidRPr="00730B2C">
              <w:t>Applicable for new type approvals or for renewals</w:t>
            </w:r>
          </w:p>
        </w:tc>
        <w:tc>
          <w:tcPr>
            <w:tcW w:w="1417" w:type="dxa"/>
            <w:vAlign w:val="center"/>
          </w:tcPr>
          <w:p w14:paraId="38D903B4" w14:textId="77777777" w:rsidR="00F034DD" w:rsidRPr="00730B2C" w:rsidRDefault="00F034DD" w:rsidP="006555B2">
            <w:pPr>
              <w:keepNext/>
              <w:jc w:val="center"/>
            </w:pPr>
            <w:r w:rsidRPr="00730B2C">
              <w:t>Latest date for withdrawal of existing type approvals</w:t>
            </w:r>
          </w:p>
        </w:tc>
      </w:tr>
      <w:tr w:rsidR="00F034DD" w:rsidRPr="00730B2C" w14:paraId="2C74A26E" w14:textId="77777777" w:rsidTr="00027AD2">
        <w:trPr>
          <w:cantSplit/>
          <w:tblHeader/>
        </w:trPr>
        <w:tc>
          <w:tcPr>
            <w:tcW w:w="1559" w:type="dxa"/>
            <w:vAlign w:val="center"/>
          </w:tcPr>
          <w:p w14:paraId="79542146" w14:textId="77777777" w:rsidR="00F034DD" w:rsidRPr="00730B2C" w:rsidRDefault="00F034DD" w:rsidP="006555B2">
            <w:pPr>
              <w:jc w:val="center"/>
            </w:pPr>
            <w:r w:rsidRPr="00730B2C">
              <w:t>(1)</w:t>
            </w:r>
          </w:p>
        </w:tc>
        <w:tc>
          <w:tcPr>
            <w:tcW w:w="2410" w:type="dxa"/>
            <w:vAlign w:val="center"/>
          </w:tcPr>
          <w:p w14:paraId="2B8D740A" w14:textId="77777777" w:rsidR="00F034DD" w:rsidRPr="00730B2C" w:rsidRDefault="00F034DD" w:rsidP="006555B2">
            <w:pPr>
              <w:jc w:val="center"/>
            </w:pPr>
            <w:r w:rsidRPr="00730B2C">
              <w:t>(2)</w:t>
            </w:r>
          </w:p>
        </w:tc>
        <w:tc>
          <w:tcPr>
            <w:tcW w:w="1275" w:type="dxa"/>
            <w:vAlign w:val="center"/>
          </w:tcPr>
          <w:p w14:paraId="6CA975FA" w14:textId="77777777" w:rsidR="00F034DD" w:rsidRPr="00730B2C" w:rsidRDefault="00F034DD" w:rsidP="006555B2">
            <w:pPr>
              <w:jc w:val="center"/>
            </w:pPr>
            <w:r w:rsidRPr="00730B2C">
              <w:t>(3)</w:t>
            </w:r>
          </w:p>
        </w:tc>
        <w:tc>
          <w:tcPr>
            <w:tcW w:w="1418" w:type="dxa"/>
            <w:vAlign w:val="center"/>
          </w:tcPr>
          <w:p w14:paraId="3C1FE990" w14:textId="77777777" w:rsidR="00F034DD" w:rsidRPr="00730B2C" w:rsidRDefault="00F034DD" w:rsidP="006555B2">
            <w:pPr>
              <w:jc w:val="center"/>
            </w:pPr>
            <w:r w:rsidRPr="00730B2C">
              <w:t>(4)</w:t>
            </w:r>
          </w:p>
        </w:tc>
        <w:tc>
          <w:tcPr>
            <w:tcW w:w="1417" w:type="dxa"/>
            <w:vAlign w:val="center"/>
          </w:tcPr>
          <w:p w14:paraId="2F5008F6" w14:textId="77777777" w:rsidR="00F034DD" w:rsidRPr="00730B2C" w:rsidRDefault="00F034DD" w:rsidP="006555B2">
            <w:pPr>
              <w:jc w:val="center"/>
            </w:pPr>
            <w:r w:rsidRPr="00730B2C">
              <w:t>(5)</w:t>
            </w:r>
          </w:p>
        </w:tc>
      </w:tr>
      <w:tr w:rsidR="00F034DD" w:rsidRPr="006555B2" w14:paraId="2E4E77C9" w14:textId="77777777" w:rsidTr="00027AD2">
        <w:trPr>
          <w:cantSplit/>
        </w:trPr>
        <w:tc>
          <w:tcPr>
            <w:tcW w:w="8079" w:type="dxa"/>
            <w:gridSpan w:val="5"/>
          </w:tcPr>
          <w:p w14:paraId="1188205E" w14:textId="77777777" w:rsidR="00F034DD" w:rsidRPr="006555B2" w:rsidRDefault="00F034DD" w:rsidP="00027AD2">
            <w:pPr>
              <w:rPr>
                <w:b/>
                <w:bCs/>
                <w:i/>
                <w:iCs/>
              </w:rPr>
            </w:pPr>
            <w:r w:rsidRPr="006555B2">
              <w:rPr>
                <w:b/>
                <w:bCs/>
                <w:i/>
                <w:iCs/>
              </w:rPr>
              <w:t>For design and construction</w:t>
            </w:r>
          </w:p>
        </w:tc>
      </w:tr>
      <w:tr w:rsidR="00F034DD" w:rsidRPr="00730B2C" w14:paraId="14087FD4" w14:textId="77777777" w:rsidTr="00027AD2">
        <w:trPr>
          <w:cantSplit/>
        </w:trPr>
        <w:tc>
          <w:tcPr>
            <w:tcW w:w="1559" w:type="dxa"/>
          </w:tcPr>
          <w:p w14:paraId="1356385B" w14:textId="77777777" w:rsidR="00F034DD" w:rsidRPr="00730B2C" w:rsidRDefault="00F034DD" w:rsidP="00027AD2">
            <w:r w:rsidRPr="00730B2C">
              <w:t>EN ISO 11118:2015</w:t>
            </w:r>
          </w:p>
        </w:tc>
        <w:tc>
          <w:tcPr>
            <w:tcW w:w="2410" w:type="dxa"/>
          </w:tcPr>
          <w:p w14:paraId="6DBCC8D5" w14:textId="77777777" w:rsidR="00F034DD" w:rsidRPr="00730B2C" w:rsidRDefault="00F034DD" w:rsidP="00027AD2">
            <w:r w:rsidRPr="00730B2C">
              <w:t>Gas cylinders – Non-refillable metallic gas cylinders – Specification and test methods</w:t>
            </w:r>
          </w:p>
        </w:tc>
        <w:tc>
          <w:tcPr>
            <w:tcW w:w="1275" w:type="dxa"/>
          </w:tcPr>
          <w:p w14:paraId="7E71820B" w14:textId="77777777" w:rsidR="00F034DD" w:rsidRPr="00730B2C" w:rsidRDefault="00F034DD" w:rsidP="00027AD2">
            <w:r w:rsidRPr="00730B2C">
              <w:t>6.2.3.1, 6.2.3.3 and 6.2.3.4</w:t>
            </w:r>
          </w:p>
        </w:tc>
        <w:tc>
          <w:tcPr>
            <w:tcW w:w="1418" w:type="dxa"/>
          </w:tcPr>
          <w:p w14:paraId="6396EB23" w14:textId="77777777" w:rsidR="00F034DD" w:rsidRPr="00730B2C" w:rsidRDefault="00F034DD" w:rsidP="00536DDD">
            <w:pPr>
              <w:jc w:val="center"/>
            </w:pPr>
            <w:r w:rsidRPr="00730B2C">
              <w:t>Until further notice</w:t>
            </w:r>
          </w:p>
        </w:tc>
        <w:tc>
          <w:tcPr>
            <w:tcW w:w="1417" w:type="dxa"/>
            <w:vAlign w:val="center"/>
          </w:tcPr>
          <w:p w14:paraId="2FC78365" w14:textId="77777777" w:rsidR="00F034DD" w:rsidRPr="00730B2C" w:rsidRDefault="00F034DD" w:rsidP="00027AD2"/>
        </w:tc>
      </w:tr>
    </w:tbl>
    <w:p w14:paraId="559D0169" w14:textId="3CB2BC2E" w:rsidR="00F034DD" w:rsidRPr="00730B2C" w:rsidRDefault="00F034DD" w:rsidP="006555B2">
      <w:pPr>
        <w:pStyle w:val="SingleTxtG"/>
        <w:spacing w:before="240"/>
      </w:pPr>
      <w:r w:rsidRPr="00730B2C">
        <w:t xml:space="preserve">6.2.3.4.1 of RID/ADR states: </w:t>
      </w:r>
      <w:r w:rsidR="006555B2">
        <w:t>“</w:t>
      </w:r>
      <w:r w:rsidRPr="00730B2C">
        <w:t>New pressure receptacles shall be subjected to testing and inspection during and after manufacture in accordance with the requirements of 6.2.1.5.</w:t>
      </w:r>
      <w:r w:rsidR="006555B2">
        <w:t>”</w:t>
      </w:r>
    </w:p>
    <w:p w14:paraId="034BF7EF" w14:textId="77777777" w:rsidR="00F034DD" w:rsidRPr="00730B2C" w:rsidRDefault="00F034DD" w:rsidP="006555B2">
      <w:pPr>
        <w:pStyle w:val="SingleTxtG"/>
      </w:pPr>
      <w:r w:rsidRPr="00730B2C">
        <w:t>The application of EN ISO 11118 therefore does not meet this requirement of RID/ADR.</w:t>
      </w:r>
    </w:p>
    <w:p w14:paraId="147336B0" w14:textId="77777777" w:rsidR="00F034DD" w:rsidRPr="00730B2C" w:rsidRDefault="00F034DD" w:rsidP="006555B2">
      <w:pPr>
        <w:pStyle w:val="HChG"/>
      </w:pPr>
      <w:r w:rsidRPr="00730B2C">
        <w:tab/>
      </w:r>
      <w:r w:rsidRPr="00730B2C">
        <w:tab/>
        <w:t>Pressure device</w:t>
      </w:r>
    </w:p>
    <w:p w14:paraId="2305AD85" w14:textId="7E490A82" w:rsidR="00F034DD" w:rsidRPr="00730B2C" w:rsidRDefault="00F034DD" w:rsidP="006555B2">
      <w:pPr>
        <w:pStyle w:val="SingleTxtG"/>
      </w:pPr>
      <w:r w:rsidRPr="00730B2C">
        <w:t>8.</w:t>
      </w:r>
      <w:r w:rsidRPr="00730B2C">
        <w:tab/>
        <w:t xml:space="preserve">6.2.1.3.4 of RID/ADR states: </w:t>
      </w:r>
      <w:r w:rsidR="006555B2">
        <w:t>“</w:t>
      </w:r>
      <w:r w:rsidRPr="00730B2C">
        <w:t>Individual pressure receptacles shall be equipped with pressure relief devices as specified in P200 [...]</w:t>
      </w:r>
      <w:r w:rsidR="006555B2">
        <w:t>”</w:t>
      </w:r>
      <w:r w:rsidRPr="00730B2C">
        <w:t>.</w:t>
      </w:r>
    </w:p>
    <w:p w14:paraId="5F2C2429" w14:textId="77777777" w:rsidR="006555B2" w:rsidRDefault="00F034DD" w:rsidP="006555B2">
      <w:pPr>
        <w:pStyle w:val="SingleTxtG"/>
      </w:pPr>
      <w:r w:rsidRPr="00730B2C">
        <w:t xml:space="preserve">EN ISO 11118 states in 8.1.3: </w:t>
      </w:r>
      <w:r w:rsidR="006555B2">
        <w:t>“</w:t>
      </w:r>
      <w:r w:rsidRPr="00730B2C">
        <w:t>Where a pressure device is an integral part of the cylinder, the manufacturer of the cylinder shall size the pressure relief device to have sufficient relieving capacity to prevent the rupture.</w:t>
      </w:r>
      <w:r w:rsidR="006555B2">
        <w:t>”</w:t>
      </w:r>
    </w:p>
    <w:p w14:paraId="16831116" w14:textId="01F6411A" w:rsidR="00F034DD" w:rsidRPr="00730B2C" w:rsidRDefault="00F034DD" w:rsidP="006555B2">
      <w:pPr>
        <w:pStyle w:val="SingleTxtG"/>
      </w:pPr>
      <w:r w:rsidRPr="00730B2C">
        <w:t xml:space="preserve">Where a pressure device is a bursting disc, it is assumed to have been tested according to annex A, A.4 </w:t>
      </w:r>
      <w:r w:rsidR="006555B2">
        <w:t>“</w:t>
      </w:r>
      <w:r w:rsidRPr="00730B2C">
        <w:t>Prototype tests of pierceable metal sealing membranes</w:t>
      </w:r>
      <w:r w:rsidR="006555B2">
        <w:t>”</w:t>
      </w:r>
      <w:r w:rsidRPr="00730B2C">
        <w:t>:</w:t>
      </w:r>
    </w:p>
    <w:p w14:paraId="3D333490" w14:textId="67E3BFCE" w:rsidR="00F034DD" w:rsidRPr="00730B2C" w:rsidRDefault="006555B2" w:rsidP="006555B2">
      <w:pPr>
        <w:pStyle w:val="SingleTxtG"/>
        <w:ind w:left="1701"/>
      </w:pPr>
      <w:r>
        <w:t>“</w:t>
      </w:r>
      <w:r w:rsidR="00F034DD" w:rsidRPr="00730B2C">
        <w:t>The membrane shall pass when it does not become detached from the cylinder and</w:t>
      </w:r>
    </w:p>
    <w:p w14:paraId="70743B4C" w14:textId="77777777" w:rsidR="00F034DD" w:rsidRPr="00730B2C" w:rsidRDefault="00F034DD" w:rsidP="006555B2">
      <w:pPr>
        <w:pStyle w:val="SingleTxtG"/>
        <w:ind w:left="1701"/>
      </w:pPr>
      <w:r w:rsidRPr="00730B2C">
        <w:t>(a)</w:t>
      </w:r>
      <w:r w:rsidRPr="00730B2C">
        <w:tab/>
        <w:t>where the membrane acts as a pressure relief device, it releases the contents at a pressure in excess of the test pressure without the cylinder rupturing, or</w:t>
      </w:r>
    </w:p>
    <w:p w14:paraId="733E2E15" w14:textId="77777777" w:rsidR="006555B2" w:rsidRDefault="00F034DD" w:rsidP="006555B2">
      <w:pPr>
        <w:pStyle w:val="SingleTxtG"/>
        <w:ind w:left="1701"/>
      </w:pPr>
      <w:r w:rsidRPr="00730B2C">
        <w:t>(b)</w:t>
      </w:r>
      <w:r w:rsidRPr="00730B2C">
        <w:tab/>
        <w:t>where the membrane acts simply as sealing device, the cylinder ruptures at a pressure exceeding 1.6 times the test pressure.</w:t>
      </w:r>
      <w:r w:rsidR="006555B2">
        <w:t>”</w:t>
      </w:r>
    </w:p>
    <w:p w14:paraId="0C27E281" w14:textId="77777777" w:rsidR="006555B2" w:rsidRDefault="00F034DD" w:rsidP="006555B2">
      <w:pPr>
        <w:pStyle w:val="SingleTxtG"/>
      </w:pPr>
      <w:r w:rsidRPr="00730B2C">
        <w:t xml:space="preserve">Problem: as a general rule, it is found that the inspection bodies consider this annex to be </w:t>
      </w:r>
      <w:r w:rsidR="006555B2">
        <w:t>“</w:t>
      </w:r>
      <w:r w:rsidRPr="00730B2C">
        <w:t>not applicable</w:t>
      </w:r>
      <w:r w:rsidR="006555B2">
        <w:t>”</w:t>
      </w:r>
      <w:r w:rsidRPr="00730B2C">
        <w:t>.</w:t>
      </w:r>
    </w:p>
    <w:p w14:paraId="53C941C0" w14:textId="77777777" w:rsidR="006555B2" w:rsidRDefault="00F034DD" w:rsidP="006555B2">
      <w:pPr>
        <w:pStyle w:val="SingleTxtG"/>
      </w:pPr>
      <w:r w:rsidRPr="00730B2C">
        <w:t xml:space="preserve">Indeed, annex A deals with </w:t>
      </w:r>
      <w:r w:rsidR="006555B2">
        <w:t>“</w:t>
      </w:r>
      <w:r w:rsidRPr="00730B2C">
        <w:t>Non-refillable sealing devices – Specifications and prototype testing.</w:t>
      </w:r>
      <w:r w:rsidR="006555B2">
        <w:t>”</w:t>
      </w:r>
    </w:p>
    <w:p w14:paraId="455EE3E2" w14:textId="71292DA7" w:rsidR="00F034DD" w:rsidRPr="00730B2C" w:rsidRDefault="00F034DD" w:rsidP="006555B2">
      <w:pPr>
        <w:pStyle w:val="SingleTxtG"/>
      </w:pPr>
      <w:r w:rsidRPr="00730B2C">
        <w:t>For example, in the case of helium cylinders, the device that prevents refilling is the valve, not the bursting disc. However, the bursting disc must meet the requirements of clause 8.1.3 of the standard, i.e. have sufficient guaranteed characteristics to prevent cylinder rupture.</w:t>
      </w:r>
    </w:p>
    <w:p w14:paraId="645940D9" w14:textId="77777777" w:rsidR="00F034DD" w:rsidRPr="00730B2C" w:rsidRDefault="00F034DD" w:rsidP="006555B2">
      <w:pPr>
        <w:pStyle w:val="SingleTxtG"/>
      </w:pPr>
      <w:r w:rsidRPr="00730B2C">
        <w:t>Paragraph A.4.3 a) should not appear in annex A for non-refillable sealing devices.</w:t>
      </w:r>
    </w:p>
    <w:p w14:paraId="4F19A650" w14:textId="77777777" w:rsidR="00F034DD" w:rsidRPr="00730B2C" w:rsidRDefault="00F034DD" w:rsidP="006555B2">
      <w:pPr>
        <w:pStyle w:val="HChG"/>
      </w:pPr>
      <w:r w:rsidRPr="00730B2C">
        <w:tab/>
      </w:r>
      <w:r w:rsidRPr="00730B2C">
        <w:tab/>
        <w:t>Proposal</w:t>
      </w:r>
    </w:p>
    <w:p w14:paraId="260E30F8" w14:textId="5787D979" w:rsidR="00F034DD" w:rsidRDefault="00F034DD" w:rsidP="006555B2">
      <w:pPr>
        <w:pStyle w:val="SingleTxtG"/>
      </w:pPr>
      <w:r w:rsidRPr="00730B2C">
        <w:t>9.</w:t>
      </w:r>
      <w:r w:rsidRPr="00730B2C">
        <w:tab/>
        <w:t>We invite the participants of the Joint Meeting to submit their comments on these various points in order to request their possible addition to the agenda of the technical committee for standardization concerned.</w:t>
      </w:r>
    </w:p>
    <w:p w14:paraId="11AEEDF2" w14:textId="34219067" w:rsidR="006555B2" w:rsidRPr="006555B2" w:rsidRDefault="006555B2" w:rsidP="006555B2">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6555B2" w:rsidRPr="006555B2"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300C7" w14:textId="77777777" w:rsidR="00DD5B57" w:rsidRPr="00FB1744" w:rsidRDefault="00DD5B57" w:rsidP="00FB1744">
      <w:pPr>
        <w:pStyle w:val="Footer"/>
      </w:pPr>
    </w:p>
  </w:endnote>
  <w:endnote w:type="continuationSeparator" w:id="0">
    <w:p w14:paraId="4EEF1F80" w14:textId="77777777" w:rsidR="00DD5B57" w:rsidRPr="00FB1744" w:rsidRDefault="00DD5B57"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1B858" w14:textId="77777777" w:rsidR="00F034DD" w:rsidRDefault="00F034DD" w:rsidP="00F034DD">
    <w:pPr>
      <w:pStyle w:val="Footer"/>
      <w:tabs>
        <w:tab w:val="right" w:pos="9638"/>
      </w:tabs>
    </w:pPr>
    <w:r w:rsidRPr="00F034DD">
      <w:rPr>
        <w:b/>
        <w:bCs/>
        <w:sz w:val="18"/>
      </w:rPr>
      <w:fldChar w:fldCharType="begin"/>
    </w:r>
    <w:r w:rsidRPr="00F034DD">
      <w:rPr>
        <w:b/>
        <w:bCs/>
        <w:sz w:val="18"/>
      </w:rPr>
      <w:instrText xml:space="preserve"> PAGE  \* MERGEFORMAT </w:instrText>
    </w:r>
    <w:r w:rsidRPr="00F034DD">
      <w:rPr>
        <w:b/>
        <w:bCs/>
        <w:sz w:val="18"/>
      </w:rPr>
      <w:fldChar w:fldCharType="separate"/>
    </w:r>
    <w:r w:rsidRPr="00F034DD">
      <w:rPr>
        <w:b/>
        <w:bCs/>
        <w:noProof/>
        <w:sz w:val="18"/>
      </w:rPr>
      <w:t>2</w:t>
    </w:r>
    <w:r w:rsidRPr="00F034DD">
      <w:rPr>
        <w:b/>
        <w:bCs/>
        <w:sz w:val="18"/>
      </w:rPr>
      <w:fldChar w:fldCharType="end"/>
    </w:r>
    <w:r>
      <w:tab/>
      <w:t>GE.21-09335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5379F" w14:textId="77777777" w:rsidR="00F034DD" w:rsidRDefault="00F034DD" w:rsidP="00F034DD">
    <w:pPr>
      <w:pStyle w:val="Footer"/>
      <w:tabs>
        <w:tab w:val="right" w:pos="9638"/>
      </w:tabs>
    </w:pPr>
    <w:r>
      <w:t>GE.21-09335</w:t>
    </w:r>
    <w:r>
      <w:tab/>
    </w:r>
    <w:r w:rsidRPr="00F034DD">
      <w:rPr>
        <w:b/>
        <w:bCs/>
        <w:sz w:val="18"/>
      </w:rPr>
      <w:fldChar w:fldCharType="begin"/>
    </w:r>
    <w:r w:rsidRPr="00F034DD">
      <w:rPr>
        <w:b/>
        <w:bCs/>
        <w:sz w:val="18"/>
      </w:rPr>
      <w:instrText xml:space="preserve"> PAGE  \* MERGEFORMAT </w:instrText>
    </w:r>
    <w:r w:rsidRPr="00F034DD">
      <w:rPr>
        <w:b/>
        <w:bCs/>
        <w:sz w:val="18"/>
      </w:rPr>
      <w:fldChar w:fldCharType="separate"/>
    </w:r>
    <w:r w:rsidRPr="00F034DD">
      <w:rPr>
        <w:b/>
        <w:bCs/>
        <w:noProof/>
        <w:sz w:val="18"/>
      </w:rPr>
      <w:t>3</w:t>
    </w:r>
    <w:r w:rsidRPr="00F034D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046C2" w14:textId="77777777" w:rsidR="00C448F7" w:rsidRDefault="00F034DD">
    <w:pPr>
      <w:pStyle w:val="Footer"/>
      <w:rPr>
        <w:sz w:val="20"/>
      </w:rPr>
    </w:pPr>
    <w:r w:rsidRPr="0027112F">
      <w:rPr>
        <w:noProof/>
        <w:lang w:val="en-US"/>
      </w:rPr>
      <w:drawing>
        <wp:anchor distT="0" distB="0" distL="114300" distR="114300" simplePos="0" relativeHeight="251659264" behindDoc="0" locked="1" layoutInCell="1" allowOverlap="1" wp14:anchorId="2F44D18D" wp14:editId="7E27C79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7B78BFF" w14:textId="1BB7BB70" w:rsidR="00F034DD" w:rsidRPr="00F034DD" w:rsidRDefault="00F034DD" w:rsidP="00F034DD">
    <w:pPr>
      <w:pStyle w:val="Footer"/>
      <w:tabs>
        <w:tab w:val="right" w:pos="7370"/>
      </w:tabs>
      <w:rPr>
        <w:sz w:val="20"/>
      </w:rPr>
    </w:pPr>
    <w:r>
      <w:rPr>
        <w:sz w:val="20"/>
      </w:rPr>
      <w:t>GE.21-09335  (E)</w:t>
    </w:r>
    <w:r>
      <w:rPr>
        <w:noProof/>
        <w:sz w:val="20"/>
      </w:rPr>
      <w:drawing>
        <wp:anchor distT="0" distB="0" distL="114300" distR="114300" simplePos="0" relativeHeight="251660288" behindDoc="0" locked="0" layoutInCell="1" allowOverlap="1" wp14:anchorId="5721D77B" wp14:editId="485476DB">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55B2">
      <w:rPr>
        <w:sz w:val="20"/>
      </w:rPr>
      <w:t xml:space="preserve">    060821    060821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82338" w14:textId="77777777" w:rsidR="00DD5B57" w:rsidRPr="00FB1744" w:rsidRDefault="00DD5B57" w:rsidP="00FB1744">
      <w:pPr>
        <w:tabs>
          <w:tab w:val="right" w:pos="2155"/>
        </w:tabs>
        <w:spacing w:after="80" w:line="240" w:lineRule="auto"/>
        <w:ind w:left="680"/>
      </w:pPr>
      <w:r>
        <w:rPr>
          <w:u w:val="single"/>
        </w:rPr>
        <w:tab/>
      </w:r>
    </w:p>
  </w:footnote>
  <w:footnote w:type="continuationSeparator" w:id="0">
    <w:p w14:paraId="6C4AA4EA" w14:textId="77777777" w:rsidR="00DD5B57" w:rsidRPr="00FB1744" w:rsidRDefault="00DD5B57" w:rsidP="00FB1744">
      <w:pPr>
        <w:tabs>
          <w:tab w:val="right" w:pos="2155"/>
        </w:tabs>
        <w:spacing w:after="80" w:line="240" w:lineRule="auto"/>
        <w:ind w:left="680"/>
      </w:pPr>
      <w:r>
        <w:rPr>
          <w:u w:val="single"/>
        </w:rPr>
        <w:tab/>
      </w:r>
    </w:p>
  </w:footnote>
  <w:footnote w:id="1">
    <w:p w14:paraId="6C5CB284" w14:textId="6CCE90A8" w:rsidR="00F034DD" w:rsidRPr="00F034DD" w:rsidRDefault="00F034DD">
      <w:pPr>
        <w:pStyle w:val="FootnoteText"/>
        <w:rPr>
          <w:lang w:val="en-US"/>
        </w:rPr>
      </w:pPr>
      <w:r>
        <w:rPr>
          <w:rStyle w:val="FootnoteReference"/>
        </w:rPr>
        <w:tab/>
      </w:r>
      <w:r w:rsidRPr="00F034DD">
        <w:rPr>
          <w:rStyle w:val="FootnoteReference"/>
          <w:sz w:val="20"/>
          <w:vertAlign w:val="baseline"/>
        </w:rPr>
        <w:t>*</w:t>
      </w:r>
      <w:r>
        <w:rPr>
          <w:rStyle w:val="FootnoteReference"/>
          <w:sz w:val="20"/>
          <w:vertAlign w:val="baseline"/>
        </w:rPr>
        <w:tab/>
      </w:r>
      <w:r w:rsidRPr="00A70D89">
        <w:t>A/75/6 (Sect.20), para</w:t>
      </w:r>
      <w:r>
        <w:t>.</w:t>
      </w:r>
      <w:r w:rsidRPr="00A70D89">
        <w:t xml:space="preserve"> 20.51</w:t>
      </w:r>
      <w:r>
        <w:t>.</w:t>
      </w:r>
    </w:p>
  </w:footnote>
  <w:footnote w:id="2">
    <w:p w14:paraId="5E00F623" w14:textId="3B09D446" w:rsidR="00F034DD" w:rsidRPr="00F034DD" w:rsidRDefault="00F034DD">
      <w:pPr>
        <w:pStyle w:val="FootnoteText"/>
        <w:rPr>
          <w:lang w:val="en-US"/>
        </w:rPr>
      </w:pPr>
      <w:r>
        <w:rPr>
          <w:rStyle w:val="FootnoteReference"/>
        </w:rPr>
        <w:tab/>
      </w:r>
      <w:r w:rsidRPr="00F034DD">
        <w:rPr>
          <w:rStyle w:val="FootnoteReference"/>
          <w:sz w:val="20"/>
          <w:vertAlign w:val="baseline"/>
        </w:rPr>
        <w:t>**</w:t>
      </w:r>
      <w:r>
        <w:rPr>
          <w:rStyle w:val="FootnoteReference"/>
          <w:sz w:val="20"/>
          <w:vertAlign w:val="baseline"/>
        </w:rPr>
        <w:tab/>
      </w:r>
      <w:r>
        <w:t xml:space="preserve">Circulated by the Intergovernmental Organisation for International Carriage by Rail (OTIF) </w:t>
      </w:r>
      <w:r w:rsidRPr="009161FA">
        <w:rPr>
          <w:lang w:val="en-CA"/>
        </w:rPr>
        <w:t>under the symbol</w:t>
      </w:r>
      <w:r>
        <w:t xml:space="preserve"> OTIF/RID/RC/2021/41.</w:t>
      </w:r>
    </w:p>
  </w:footnote>
  <w:footnote w:id="3">
    <w:p w14:paraId="49F868C2" w14:textId="19F2F52E" w:rsidR="00F034DD" w:rsidRPr="00F034DD" w:rsidRDefault="00F034DD">
      <w:pPr>
        <w:pStyle w:val="FootnoteText"/>
        <w:rPr>
          <w:lang w:val="en-US"/>
        </w:rPr>
      </w:pPr>
      <w:r>
        <w:rPr>
          <w:rStyle w:val="FootnoteReference"/>
        </w:rPr>
        <w:tab/>
      </w:r>
      <w:r w:rsidRPr="00F034DD">
        <w:rPr>
          <w:rStyle w:val="FootnoteReference"/>
          <w:sz w:val="20"/>
          <w:vertAlign w:val="baseline"/>
        </w:rPr>
        <w:t>***</w:t>
      </w:r>
      <w:r>
        <w:rPr>
          <w:rStyle w:val="FootnoteReference"/>
          <w:sz w:val="20"/>
          <w:vertAlign w:val="baseline"/>
        </w:rPr>
        <w:tab/>
      </w:r>
      <w:r>
        <w:rPr>
          <w:szCs w:val="18"/>
        </w:rPr>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C7051" w14:textId="77777777" w:rsidR="00F034DD" w:rsidRDefault="00F034DD" w:rsidP="00F034DD">
    <w:pPr>
      <w:pStyle w:val="Header"/>
    </w:pPr>
    <w:r>
      <w:t>ECE/TRANS/WP.15/AC.1/2021/41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BCBE9" w14:textId="77777777" w:rsidR="00F034DD" w:rsidRDefault="00F034DD" w:rsidP="00F034DD">
    <w:pPr>
      <w:pStyle w:val="Header"/>
      <w:jc w:val="right"/>
    </w:pPr>
    <w:r>
      <w:t>ECE/TRANS/WP.15/AC.1/2021/41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DD5B57"/>
    <w:rsid w:val="00046E92"/>
    <w:rsid w:val="000D1B89"/>
    <w:rsid w:val="000F6E29"/>
    <w:rsid w:val="001170DC"/>
    <w:rsid w:val="00247E2C"/>
    <w:rsid w:val="002D6C53"/>
    <w:rsid w:val="002F5595"/>
    <w:rsid w:val="00334F6A"/>
    <w:rsid w:val="00342AC8"/>
    <w:rsid w:val="003B4550"/>
    <w:rsid w:val="0043448D"/>
    <w:rsid w:val="00461253"/>
    <w:rsid w:val="005042C2"/>
    <w:rsid w:val="00506C12"/>
    <w:rsid w:val="00536DDD"/>
    <w:rsid w:val="0056599A"/>
    <w:rsid w:val="00585AE1"/>
    <w:rsid w:val="00587690"/>
    <w:rsid w:val="006555B2"/>
    <w:rsid w:val="00671529"/>
    <w:rsid w:val="006A5598"/>
    <w:rsid w:val="00717266"/>
    <w:rsid w:val="007268F9"/>
    <w:rsid w:val="007C52B0"/>
    <w:rsid w:val="00880B74"/>
    <w:rsid w:val="009411B4"/>
    <w:rsid w:val="009D0139"/>
    <w:rsid w:val="009F5CDC"/>
    <w:rsid w:val="00A429CD"/>
    <w:rsid w:val="00A54E9B"/>
    <w:rsid w:val="00A775CF"/>
    <w:rsid w:val="00AB3C7E"/>
    <w:rsid w:val="00B06045"/>
    <w:rsid w:val="00C35A27"/>
    <w:rsid w:val="00C448F7"/>
    <w:rsid w:val="00DD5B57"/>
    <w:rsid w:val="00E02C2B"/>
    <w:rsid w:val="00E665C4"/>
    <w:rsid w:val="00E77AFA"/>
    <w:rsid w:val="00E929D6"/>
    <w:rsid w:val="00ED6C48"/>
    <w:rsid w:val="00EF76C5"/>
    <w:rsid w:val="00F034DD"/>
    <w:rsid w:val="00F65F5D"/>
    <w:rsid w:val="00F86A3A"/>
    <w:rsid w:val="00FB1744"/>
    <w:rsid w:val="00FC04AB"/>
    <w:rsid w:val="00FE71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156E0"/>
  <w15:docId w15:val="{14697EF9-9818-452A-8FCC-4A52BB00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ECE/TRANS/WP.15/AC.1/2021/41</vt:lpstr>
    </vt:vector>
  </TitlesOfParts>
  <Company>DCM</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ECE/TRANS/WP.15/AC.1/2021/41</dc:title>
  <dc:subject>2109335</dc:subject>
  <dc:creator>Brigoli</dc:creator>
  <cp:keywords/>
  <dc:description/>
  <cp:lastModifiedBy>Christine Barrio-Champeau</cp:lastModifiedBy>
  <cp:revision>2</cp:revision>
  <dcterms:created xsi:type="dcterms:W3CDTF">2021-08-10T13:08:00Z</dcterms:created>
  <dcterms:modified xsi:type="dcterms:W3CDTF">2021-08-10T13:08:00Z</dcterms:modified>
</cp:coreProperties>
</file>