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A9123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80B7B1" w14:textId="77777777" w:rsidR="002D5AAC" w:rsidRDefault="002D5AAC" w:rsidP="004655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14083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8D37F8" w14:textId="72A44580" w:rsidR="002D5AAC" w:rsidRDefault="004655FE" w:rsidP="004655FE">
            <w:pPr>
              <w:jc w:val="right"/>
            </w:pPr>
            <w:r w:rsidRPr="004655FE">
              <w:rPr>
                <w:sz w:val="40"/>
              </w:rPr>
              <w:t>ECE</w:t>
            </w:r>
            <w:r>
              <w:t>/TRANS/WP.15/AC.1/2021/37</w:t>
            </w:r>
          </w:p>
        </w:tc>
      </w:tr>
      <w:tr w:rsidR="002D5AAC" w14:paraId="2EB6CE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2BA74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B57140" wp14:editId="67C672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BC776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3C755F" w14:textId="77777777" w:rsidR="002D5AAC" w:rsidRDefault="004655F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F42034" w14:textId="77777777" w:rsidR="004655FE" w:rsidRDefault="004655FE" w:rsidP="004655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2021</w:t>
            </w:r>
          </w:p>
          <w:p w14:paraId="21BB5B16" w14:textId="77777777" w:rsidR="004655FE" w:rsidRDefault="004655FE" w:rsidP="004655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3E7262" w14:textId="02D585FC" w:rsidR="004655FE" w:rsidRPr="008D53B6" w:rsidRDefault="004655FE" w:rsidP="004655F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22A73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6CBB4C" w14:textId="77777777" w:rsidR="004655FE" w:rsidRPr="00575890" w:rsidRDefault="004655FE" w:rsidP="004655FE">
      <w:pPr>
        <w:spacing w:before="120"/>
        <w:rPr>
          <w:sz w:val="28"/>
          <w:szCs w:val="28"/>
        </w:rPr>
      </w:pPr>
      <w:r w:rsidRPr="00575890">
        <w:rPr>
          <w:sz w:val="28"/>
          <w:szCs w:val="28"/>
        </w:rPr>
        <w:t>Комитет по внутреннему транспорту</w:t>
      </w:r>
    </w:p>
    <w:p w14:paraId="355A1F1D" w14:textId="77777777" w:rsidR="004655FE" w:rsidRPr="00575890" w:rsidRDefault="004655FE" w:rsidP="004655FE">
      <w:pPr>
        <w:spacing w:before="120" w:after="120"/>
        <w:rPr>
          <w:b/>
          <w:sz w:val="24"/>
          <w:szCs w:val="24"/>
        </w:rPr>
      </w:pPr>
      <w:r w:rsidRPr="00575890">
        <w:rPr>
          <w:b/>
          <w:bCs/>
          <w:sz w:val="24"/>
          <w:szCs w:val="24"/>
        </w:rPr>
        <w:t>Рабочая группа по перевозкам опасных грузов</w:t>
      </w:r>
    </w:p>
    <w:p w14:paraId="5D686078" w14:textId="77777777" w:rsidR="004655FE" w:rsidRDefault="004655FE" w:rsidP="004655FE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и </w:t>
      </w:r>
    </w:p>
    <w:p w14:paraId="0849B9A2" w14:textId="77777777" w:rsidR="004655FE" w:rsidRPr="00F729DC" w:rsidRDefault="004655FE" w:rsidP="004655FE">
      <w:pPr>
        <w:rPr>
          <w:b/>
          <w:bCs/>
        </w:rPr>
      </w:pPr>
      <w:r>
        <w:rPr>
          <w:b/>
          <w:bCs/>
        </w:rPr>
        <w:t>Рабочей группы по перевозкам опасных грузов</w:t>
      </w:r>
    </w:p>
    <w:p w14:paraId="0F632DC2" w14:textId="77777777" w:rsidR="004655FE" w:rsidRPr="00F729DC" w:rsidRDefault="004655FE" w:rsidP="004655FE">
      <w:r>
        <w:t>Женева, 21 сентября — 1 октября 2021 года</w:t>
      </w:r>
    </w:p>
    <w:p w14:paraId="6ADF1DE7" w14:textId="77777777" w:rsidR="004655FE" w:rsidRPr="00F729DC" w:rsidRDefault="004655FE" w:rsidP="004655FE">
      <w:r>
        <w:t>Пункт 5 b) предварительной повестки дня</w:t>
      </w:r>
    </w:p>
    <w:p w14:paraId="0C8B0A20" w14:textId="77777777" w:rsidR="004655FE" w:rsidRDefault="004655FE" w:rsidP="004655FE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</w:p>
    <w:p w14:paraId="4D1033FB" w14:textId="77777777" w:rsidR="004655FE" w:rsidRPr="00F729DC" w:rsidRDefault="004655FE" w:rsidP="004655FE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01A71388" w14:textId="3CFFDCC3" w:rsidR="004655FE" w:rsidRPr="00F729DC" w:rsidRDefault="004655FE" w:rsidP="004655FE">
      <w:pPr>
        <w:pStyle w:val="HChG"/>
      </w:pPr>
      <w:r>
        <w:tab/>
      </w:r>
      <w:r>
        <w:tab/>
      </w:r>
      <w:r>
        <w:rPr>
          <w:bCs/>
        </w:rPr>
        <w:t>Краски и типографские краски, классифицируемые как</w:t>
      </w:r>
      <w:r>
        <w:rPr>
          <w:bCs/>
          <w:lang w:val="en-US"/>
        </w:rPr>
        <w:t> </w:t>
      </w:r>
      <w:r>
        <w:rPr>
          <w:bCs/>
        </w:rPr>
        <w:t xml:space="preserve">вещество, опасное для окружающей среды </w:t>
      </w:r>
      <w:r>
        <w:rPr>
          <w:bCs/>
        </w:rPr>
        <w:br/>
        <w:t>(№ ООН 3082), и требования к эксплуатационным испытаниям</w:t>
      </w:r>
    </w:p>
    <w:p w14:paraId="01A4F8BD" w14:textId="121011A5" w:rsidR="004655FE" w:rsidRPr="00F729DC" w:rsidRDefault="004655FE" w:rsidP="004655F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Европейским советом производителей красителей, типографских и художественных красок (ЕКАК</w:t>
      </w:r>
      <w:r w:rsidRPr="004655FE">
        <w:rPr>
          <w:b w:val="0"/>
          <w:sz w:val="20"/>
        </w:rPr>
        <w:t>)</w:t>
      </w:r>
      <w:r w:rsidRPr="004655FE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 w:rsidRPr="004655FE">
        <w:rPr>
          <w:b w:val="0"/>
          <w:sz w:val="20"/>
          <w:shd w:val="clear" w:color="auto" w:fill="FFFFFF"/>
        </w:rPr>
        <w:t xml:space="preserve"> </w:t>
      </w:r>
      <w:r w:rsidRPr="004655FE">
        <w:rPr>
          <w:rStyle w:val="FootnoteReference"/>
          <w:b w:val="0"/>
          <w:sz w:val="20"/>
          <w:vertAlign w:val="baseline"/>
        </w:rPr>
        <w:footnoteReference w:customMarkFollows="1" w:id="2"/>
        <w:sym w:font="Symbol" w:char="F02A"/>
      </w:r>
      <w:r w:rsidRPr="004655FE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3"/>
        <w:sym w:font="Symbol" w:char="F02A"/>
      </w:r>
      <w:r w:rsidRPr="004655FE">
        <w:rPr>
          <w:rStyle w:val="FootnoteReference"/>
          <w:b w:val="0"/>
          <w:sz w:val="20"/>
          <w:vertAlign w:val="baseline"/>
        </w:rPr>
        <w:t xml:space="preserve"> </w:t>
      </w:r>
      <w:r w:rsidRPr="004655FE">
        <w:rPr>
          <w:rStyle w:val="FootnoteReference"/>
          <w:b w:val="0"/>
          <w:sz w:val="20"/>
          <w:vertAlign w:val="baseline"/>
        </w:rPr>
        <w:sym w:font="Symbol" w:char="F02A"/>
      </w:r>
      <w:r w:rsidRPr="004655FE">
        <w:rPr>
          <w:rStyle w:val="FootnoteReference"/>
          <w:b w:val="0"/>
          <w:sz w:val="20"/>
          <w:vertAlign w:val="baseline"/>
        </w:rPr>
        <w:sym w:font="Symbol" w:char="F02A"/>
      </w:r>
      <w:r w:rsidRPr="004655FE">
        <w:rPr>
          <w:rStyle w:val="FootnoteReference"/>
          <w:b w:val="0"/>
          <w:sz w:val="20"/>
          <w:vertAlign w:val="baseline"/>
        </w:rPr>
        <w:sym w:font="Symbol" w:char="F02A"/>
      </w:r>
    </w:p>
    <w:p w14:paraId="30E72435" w14:textId="77777777" w:rsidR="004655FE" w:rsidRPr="00F729DC" w:rsidRDefault="004655FE" w:rsidP="004655F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E64D769" w14:textId="7D11CD84" w:rsidR="004655FE" w:rsidRPr="00575890" w:rsidRDefault="004655FE" w:rsidP="004655FE">
      <w:pPr>
        <w:pStyle w:val="SingleTxtG"/>
      </w:pPr>
      <w:r>
        <w:t>1.</w:t>
      </w:r>
      <w:r>
        <w:tab/>
        <w:t>На последней сессии Совместного совещания МПОГ/ДОПОГ/ВОПОГ в марте 2021 года ЕКАК представил неофициальный документ INF.17, в котором рассматривался вопрос о том, что краски стали классифицироваться как вещества, опасные для окружающей среды, в связи с внедрением пятнадцатой Адаптации к техническому прогрессу (АТП) к Регламенту Европейского союза по классификации, маркировке и упаковке веществ и смесей (Регламент CLP). Представителю ЕКАК было поручено подготовить пересмотренное предложение для рассмотрения в качестве официального документа (см. пункт</w:t>
      </w:r>
      <w:r w:rsidR="000C3E3F">
        <w:rPr>
          <w:lang w:val="en-US"/>
        </w:rPr>
        <w:t> </w:t>
      </w:r>
      <w:r>
        <w:t>36 доклада ECE/TRANS/WP.15/</w:t>
      </w:r>
      <w:r w:rsidRPr="004655FE">
        <w:t xml:space="preserve"> </w:t>
      </w:r>
      <w:r>
        <w:t>AC.1/160).</w:t>
      </w:r>
    </w:p>
    <w:p w14:paraId="6DA8B3A4" w14:textId="1795903B" w:rsidR="004655FE" w:rsidRPr="00F729DC" w:rsidRDefault="004655FE" w:rsidP="004655FE">
      <w:pPr>
        <w:pStyle w:val="SingleTxtG"/>
      </w:pPr>
      <w:r>
        <w:t>2.</w:t>
      </w:r>
      <w:r>
        <w:tab/>
        <w:t xml:space="preserve">Наблюдается последовательный переход от красок и типографских красок на основе растворителей к водорастворимым вариантам. Данная тенденция позволяет снизить содержание летучих органических растворителей (ЛОС) в интересах защиты окружающей среды. Это делается для выполнения нормативных обязательств или на добровольной основе из соображений социальной ответственности. Этот переход ведет к увеличению числа красок и типографских красок, попадающих под действие правил перевозки опасных грузов вследствие их классификации в качестве опасных </w:t>
      </w:r>
      <w:r>
        <w:lastRenderedPageBreak/>
        <w:t>для окружающей среды в соответствии с Согласованной на глобальном уровне системой классификации опасности и маркировки химической продукции (СГС). Однако в этой связи в отрасли возникли проблемы и опасения, поскольку водорастворимые краски содержат биоциды для защиты от порчи продукта. Совсем недавно в рамках пятнадцатой АТП к Регламенту CLP были приняты изменения в классификации, которые означают, что продукты, содержащие 0,025</w:t>
      </w:r>
      <w:r>
        <w:rPr>
          <w:lang w:val="en-US"/>
        </w:rPr>
        <w:t> </w:t>
      </w:r>
      <w:r>
        <w:t>% или более консервантов, таких как 4,5-дихлор-2-октил-2H-изотиазол-3-он (DCOIT), октилинон (OIT) и пиритион цинка (ZnPT), будут классифицироваться как № ООН 3082, ГУ III.</w:t>
      </w:r>
    </w:p>
    <w:p w14:paraId="7C0090A0" w14:textId="5FCAF488" w:rsidR="004655FE" w:rsidRPr="00F729DC" w:rsidRDefault="004655FE" w:rsidP="004655FE">
      <w:pPr>
        <w:pStyle w:val="SingleTxtG"/>
      </w:pPr>
      <w:r>
        <w:t>3.</w:t>
      </w:r>
      <w:r>
        <w:tab/>
        <w:t xml:space="preserve">Консерванты важны для сохранения рабочих характеристик продуктов и увеличения их срока годности, чтобы избежать порчи и ненужных отходов. </w:t>
      </w:r>
      <w:r>
        <w:br/>
        <w:t>Из-за отсутствия альтернатив замена этих консервантов может быть затруднена.</w:t>
      </w:r>
    </w:p>
    <w:p w14:paraId="3CB93DE4" w14:textId="62AFD764" w:rsidR="004655FE" w:rsidRPr="00F729DC" w:rsidRDefault="004655FE" w:rsidP="004655FE">
      <w:pPr>
        <w:pStyle w:val="SingleTxtG"/>
      </w:pPr>
      <w:r>
        <w:t>4.</w:t>
      </w:r>
      <w:r>
        <w:tab/>
        <w:t xml:space="preserve">Согласно Регламенту CLP, компаниям предоставляется </w:t>
      </w:r>
      <w:r w:rsidR="000C3E3F" w:rsidRPr="000C3E3F">
        <w:t>18</w:t>
      </w:r>
      <w:r>
        <w:t xml:space="preserve"> месяцев для внесения изменений в маркировку в ответ на изменение классификации. Пятнадцатая АТП начнет применяться с </w:t>
      </w:r>
      <w:r>
        <w:rPr>
          <w:b/>
          <w:bCs/>
        </w:rPr>
        <w:t>1 марта 2022 года</w:t>
      </w:r>
      <w:r>
        <w:t>. Как опасные грузы эти продукты будут подпадать под действие требований к упаковке опасных грузов.</w:t>
      </w:r>
    </w:p>
    <w:p w14:paraId="29881FBB" w14:textId="77777777" w:rsidR="004655FE" w:rsidRPr="00F729DC" w:rsidRDefault="004655FE" w:rsidP="004655FE">
      <w:pPr>
        <w:pStyle w:val="SingleTxtG"/>
      </w:pPr>
      <w:r>
        <w:t>5.</w:t>
      </w:r>
      <w:r>
        <w:tab/>
        <w:t>Утвержденная согласно требованиям ООН тара, требуемая для перевозки этих продуктов в количестве более 5 литров, пока еще имеется не для всех типов продуктов, поскольку она не в полной мере подходит для лакокрасочной промышленности. Пластмассовая тара преимущественно используется для водорастворимых красок, поскольку тип затвора позволяет открывать и закрывать тару для колеровки в магазине. Ранее потребности в таре для водорастворимых декоративных красок, утвержденной согласно требованиям ООН, были очень ограничены, и отсутствие такого типа тары на рынке отражает это. Отсутствие подходящей тары приведет к увеличению использования тары, так как продукты придется перевозить в меньших количествах; в качестве альтернативы, если у тары не будет повторно закрываемого затвора для осуществления колеровки в магазине, продукт придется переливать в новую тару после колеровки, что приведет к увеличению упаковочных отходов.</w:t>
      </w:r>
    </w:p>
    <w:p w14:paraId="663622D8" w14:textId="15F1C4DD" w:rsidR="004655FE" w:rsidRPr="00F729DC" w:rsidRDefault="004655FE" w:rsidP="004655FE">
      <w:pPr>
        <w:pStyle w:val="SingleTxtG"/>
      </w:pPr>
      <w:r>
        <w:t>6.</w:t>
      </w:r>
      <w:r>
        <w:tab/>
        <w:t xml:space="preserve">Текущие сроки для внесения этих изменений, которые обеспечат возможность дальнейшей перевозки продукции в режиме МПОГ/ДОПОГ, являются недостаточными. Разработка тары, отвечающей требованиям ООН, для удовлетворения потребностей в декоративных красках, упакованных как в пластмассовую, так и в металлическую тару, в течение </w:t>
      </w:r>
      <w:r w:rsidR="000C3E3F" w:rsidRPr="000C3E3F">
        <w:t>18</w:t>
      </w:r>
      <w:r>
        <w:t xml:space="preserve"> месяцев является технически сложной задачей по всей цепочке создания стоимости. Упаковочной промышленности необходимо время, чтобы адаптироваться к изменениям в правилах и разработать новые упаковочные решения.</w:t>
      </w:r>
    </w:p>
    <w:p w14:paraId="45E3B779" w14:textId="30E733B8" w:rsidR="004655FE" w:rsidRPr="00575890" w:rsidRDefault="004655FE" w:rsidP="004655FE">
      <w:pPr>
        <w:pStyle w:val="SingleTxtG"/>
      </w:pPr>
      <w:r>
        <w:t>7.</w:t>
      </w:r>
      <w:r>
        <w:tab/>
        <w:t xml:space="preserve">Специальное положение по упаковке PP1, содержащееся в инструкции по упаковке P001, освобождает краски и типографские краски, отнесенные к </w:t>
      </w:r>
      <w:r>
        <w:br/>
        <w:t xml:space="preserve">№ ООН 3082, в количествах не более 5 литров на единицу тары от требования использовать тару, утвержденную согласно требованиям ООН, если перевозка осуществляется в соответствии с положениями, изложенными в PP1. Кроме того, на небольшие количества </w:t>
      </w:r>
      <w:r w:rsidRPr="004655FE">
        <w:t>—</w:t>
      </w:r>
      <w:r>
        <w:t xml:space="preserve"> до 5 литров </w:t>
      </w:r>
      <w:r w:rsidRPr="004655FE">
        <w:t>—</w:t>
      </w:r>
      <w:r>
        <w:t xml:space="preserve"> веществ под № ООН 3082 не распространяются никакие другие положения МПОГ/ДОПОГ при условии, что тара отвечает общим положениям пунктов 4.1.1.1, 4.1.1.2 и 4.1.1.4−4.1.1.8.</w:t>
      </w:r>
    </w:p>
    <w:p w14:paraId="4C02723A" w14:textId="77777777" w:rsidR="004655FE" w:rsidRPr="00F729DC" w:rsidRDefault="004655FE" w:rsidP="004655FE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14E4E9AC" w14:textId="77777777" w:rsidR="004655FE" w:rsidRPr="00F729DC" w:rsidRDefault="004655FE" w:rsidP="004655FE">
      <w:pPr>
        <w:pStyle w:val="SingleTxtG"/>
      </w:pPr>
      <w:r>
        <w:t>8.</w:t>
      </w:r>
      <w:r>
        <w:tab/>
        <w:t>Включить в главу 1.6 МПОГ/ДОПОГ новое переходное положение следующего содержания:</w:t>
      </w:r>
    </w:p>
    <w:p w14:paraId="2CE533B7" w14:textId="3BBA5185" w:rsidR="004655FE" w:rsidRPr="00F729DC" w:rsidRDefault="004655FE" w:rsidP="004655FE">
      <w:pPr>
        <w:pStyle w:val="SingleTxtG"/>
        <w:ind w:left="1701" w:hanging="567"/>
      </w:pPr>
      <w:r>
        <w:tab/>
        <w:t>«</w:t>
      </w:r>
      <w:r>
        <w:rPr>
          <w:b/>
          <w:bCs/>
        </w:rPr>
        <w:t>1.6.1.х</w:t>
      </w:r>
      <w:r>
        <w:tab/>
        <w:t>а)</w:t>
      </w:r>
      <w:r>
        <w:tab/>
        <w:t>Несмотря на требования МПОГ/ДОПОГ, применяемые с 1</w:t>
      </w:r>
      <w:r>
        <w:rPr>
          <w:lang w:val="en-US"/>
        </w:rPr>
        <w:t> </w:t>
      </w:r>
      <w:r>
        <w:t xml:space="preserve">января 2023 года, клеи, краски и лакокрасочные материалы, типографские краски и материалы, используемые с типографскими красками, и растворы смолы, отнесенные к № ООН 3082 вещество, опасное для окружающей среды, жидкое, н.у.к., ГУ III, на основании Регламента (ЕС) 2020/1182 (пятнадцатая </w:t>
      </w:r>
      <w:r>
        <w:lastRenderedPageBreak/>
        <w:t>АТП)</w:t>
      </w:r>
      <w:r>
        <w:rPr>
          <w:rStyle w:val="FootnoteReference"/>
          <w:rFonts w:cstheme="minorHAnsi"/>
        </w:rPr>
        <w:footnoteReference w:id="4"/>
      </w:r>
      <w:r>
        <w:t>, содержащие сами по себе или в комбинации не менее 0,025</w:t>
      </w:r>
      <w:r>
        <w:rPr>
          <w:lang w:val="en-US"/>
        </w:rPr>
        <w:t> </w:t>
      </w:r>
      <w:r>
        <w:t>% таких веществ, как 4,5-дихлор-2-октил-2H-изотиазол-3-он (DCOIT), октилинон (OIT) и пиритион цинка (ZnPT), могут до 30 июня 2025 года перевозиться в металлической или пластмассовой таре, которая необязательно должна отвечать требованиям пункта 4.1.1.3 и требованиям к эксплуатационным испытаниям, предусмотренным в главе 6.1, в количестве не более 30 литров на единицу тару;</w:t>
      </w:r>
    </w:p>
    <w:p w14:paraId="6FFDD137" w14:textId="77777777" w:rsidR="004655FE" w:rsidRPr="00F729DC" w:rsidRDefault="004655FE" w:rsidP="004655FE">
      <w:pPr>
        <w:pStyle w:val="SingleTxtG"/>
      </w:pPr>
      <w:r>
        <w:tab/>
      </w:r>
      <w:r>
        <w:tab/>
        <w:t>b)</w:t>
      </w:r>
      <w:r>
        <w:tab/>
        <w:t>продукты, упомянутые в пункте а), должны перевозиться:</w:t>
      </w:r>
    </w:p>
    <w:p w14:paraId="77500DBC" w14:textId="77777777" w:rsidR="004655FE" w:rsidRPr="00F729DC" w:rsidRDefault="004655FE" w:rsidP="000C3E3F">
      <w:pPr>
        <w:pStyle w:val="SingleTxtG"/>
        <w:ind w:left="3402" w:hanging="567"/>
      </w:pPr>
      <w:r w:rsidRPr="00F57BEB">
        <w:t>–</w:t>
      </w:r>
      <w:r>
        <w:tab/>
        <w:t>в пакетах, ящиках-поддонах или в тарно-погрузочном приспособлении; например, отдельные упаковки укладываются или штабелируются на поддоне и закрепляются при помощи ленты, термоусадочного или растягивающего материала либо иным подходящим способом; или</w:t>
      </w:r>
    </w:p>
    <w:p w14:paraId="552BCEB8" w14:textId="77777777" w:rsidR="004655FE" w:rsidRPr="00F729DC" w:rsidRDefault="004655FE" w:rsidP="000C3E3F">
      <w:pPr>
        <w:pStyle w:val="SingleTxtG"/>
        <w:ind w:left="3402" w:hanging="567"/>
      </w:pPr>
      <w:r w:rsidRPr="00F57BEB">
        <w:t>–</w:t>
      </w:r>
      <w:r>
        <w:tab/>
        <w:t>в качестве внутренней тары в комбинированной таре максимальной массой нетто 40 кг;</w:t>
      </w:r>
    </w:p>
    <w:p w14:paraId="0CA65891" w14:textId="77777777" w:rsidR="004655FE" w:rsidRPr="00F729DC" w:rsidRDefault="004655FE" w:rsidP="004655FE">
      <w:pPr>
        <w:pStyle w:val="SingleTxtG"/>
        <w:ind w:left="1701" w:hanging="567"/>
      </w:pPr>
      <w:r>
        <w:tab/>
      </w:r>
      <w:r>
        <w:tab/>
        <w:t>c)</w:t>
      </w:r>
      <w:r>
        <w:tab/>
        <w:t>должны по-прежнему выполняться требования СГС/Регламента CLP и все другие обязательные требования МПОГ/ДОПОГ.».</w:t>
      </w:r>
    </w:p>
    <w:p w14:paraId="64A05F7B" w14:textId="77777777" w:rsidR="004655FE" w:rsidRPr="00F729DC" w:rsidRDefault="004655FE" w:rsidP="004655FE">
      <w:pPr>
        <w:pStyle w:val="SingleTxtG"/>
      </w:pPr>
      <w:r>
        <w:t>9.</w:t>
      </w:r>
      <w:r>
        <w:tab/>
        <w:t>ЕКАК надеется, что Совместное совещание признает важность вопросов, поднятых в настоящем документе, и решит принять изменения, касающиеся продуктов класса 9, в соответствии с вышеизложенным предложением.</w:t>
      </w:r>
    </w:p>
    <w:p w14:paraId="777BE359" w14:textId="77777777" w:rsidR="004655FE" w:rsidRPr="00F729DC" w:rsidRDefault="004655FE" w:rsidP="004655FE">
      <w:pPr>
        <w:pStyle w:val="HChG"/>
      </w:pPr>
      <w:r>
        <w:tab/>
      </w:r>
      <w:r>
        <w:tab/>
      </w:r>
      <w:r>
        <w:rPr>
          <w:bCs/>
        </w:rPr>
        <w:t>Обоснование предложения</w:t>
      </w:r>
    </w:p>
    <w:p w14:paraId="66CDBC39" w14:textId="090B2FF3" w:rsidR="004655FE" w:rsidRPr="00F729DC" w:rsidRDefault="004655FE" w:rsidP="004655FE">
      <w:pPr>
        <w:pStyle w:val="SingleTxtG"/>
        <w:rPr>
          <w:b/>
        </w:rPr>
      </w:pPr>
      <w:r>
        <w:t>10.</w:t>
      </w:r>
      <w:r>
        <w:tab/>
        <w:t>Краски и типографские краски являются товарами с чрезвычайно высоким объемом продаж на мировом рынке. Согласно текущим данным, около 50</w:t>
      </w:r>
      <w:r>
        <w:rPr>
          <w:lang w:val="en-US"/>
        </w:rPr>
        <w:t> </w:t>
      </w:r>
      <w:r>
        <w:t>% перевозимых красок и типографских красок являются водорастворимыми продуктами, значительная часть которых теперь будет регулироваться в рамках класса 9. Только в Европейском союзе этот показатель, по оценкам, составляет более 5 млн тонн в год. Эти водорастворимые продукты с высокой температурой вспышки исторически перевозились как нерегулируемые продукты, поскольку они представляли незначительную или нулевую опасность по сравнению с продуктами, которым назначена ГУ III по воспламеняемости или коррозионной активности.</w:t>
      </w:r>
    </w:p>
    <w:p w14:paraId="7DBAD050" w14:textId="77777777" w:rsidR="004655FE" w:rsidRPr="00F729DC" w:rsidRDefault="004655FE" w:rsidP="004655FE">
      <w:pPr>
        <w:pStyle w:val="SingleTxtG"/>
      </w:pPr>
      <w:r>
        <w:t>11.</w:t>
      </w:r>
      <w:r>
        <w:tab/>
        <w:t>Переходный период для красок, типографских красок и используемых с ними материалов, которые теперь будут отнесены к № ООН 3082, ГУ III, обеспечит предприятиям отрасли возможность продолжать транспортировку этих материалов, пока будут вноситься необходимые изменения в их состав или используемую тару, без ущерба для безопасности или работы служб экстренного реагирования.</w:t>
      </w:r>
    </w:p>
    <w:p w14:paraId="02D685B3" w14:textId="77777777" w:rsidR="004655FE" w:rsidRPr="00F729DC" w:rsidRDefault="004655FE" w:rsidP="004655FE">
      <w:pPr>
        <w:spacing w:before="240"/>
        <w:jc w:val="center"/>
        <w:rPr>
          <w:u w:val="single"/>
        </w:rPr>
      </w:pPr>
      <w:r w:rsidRPr="00F729DC">
        <w:rPr>
          <w:u w:val="single"/>
        </w:rPr>
        <w:tab/>
      </w:r>
      <w:r w:rsidRPr="00F729DC">
        <w:rPr>
          <w:u w:val="single"/>
        </w:rPr>
        <w:tab/>
      </w:r>
      <w:r w:rsidRPr="00F729DC">
        <w:rPr>
          <w:u w:val="single"/>
        </w:rPr>
        <w:tab/>
      </w:r>
    </w:p>
    <w:sectPr w:rsidR="004655FE" w:rsidRPr="00F729DC" w:rsidSect="004655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1D6E" w14:textId="77777777" w:rsidR="00F3789C" w:rsidRPr="00A312BC" w:rsidRDefault="00F3789C" w:rsidP="00A312BC"/>
  </w:endnote>
  <w:endnote w:type="continuationSeparator" w:id="0">
    <w:p w14:paraId="12629EE8" w14:textId="77777777" w:rsidR="00F3789C" w:rsidRPr="00A312BC" w:rsidRDefault="00F378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C7B4" w14:textId="491AEA5B" w:rsidR="004655FE" w:rsidRPr="004655FE" w:rsidRDefault="004655FE">
    <w:pPr>
      <w:pStyle w:val="Footer"/>
    </w:pPr>
    <w:r w:rsidRPr="004655FE">
      <w:rPr>
        <w:b/>
        <w:sz w:val="18"/>
      </w:rPr>
      <w:fldChar w:fldCharType="begin"/>
    </w:r>
    <w:r w:rsidRPr="004655FE">
      <w:rPr>
        <w:b/>
        <w:sz w:val="18"/>
      </w:rPr>
      <w:instrText xml:space="preserve"> PAGE  \* MERGEFORMAT </w:instrText>
    </w:r>
    <w:r w:rsidRPr="004655FE">
      <w:rPr>
        <w:b/>
        <w:sz w:val="18"/>
      </w:rPr>
      <w:fldChar w:fldCharType="separate"/>
    </w:r>
    <w:r w:rsidRPr="004655FE">
      <w:rPr>
        <w:b/>
        <w:noProof/>
        <w:sz w:val="18"/>
      </w:rPr>
      <w:t>2</w:t>
    </w:r>
    <w:r w:rsidRPr="004655FE">
      <w:rPr>
        <w:b/>
        <w:sz w:val="18"/>
      </w:rPr>
      <w:fldChar w:fldCharType="end"/>
    </w:r>
    <w:r>
      <w:rPr>
        <w:b/>
        <w:sz w:val="18"/>
      </w:rPr>
      <w:tab/>
    </w:r>
    <w:r>
      <w:t>GE.21-09180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FC48" w14:textId="47E2D44D" w:rsidR="004655FE" w:rsidRPr="004655FE" w:rsidRDefault="004655FE" w:rsidP="004655FE">
    <w:pPr>
      <w:pStyle w:val="Footer"/>
      <w:tabs>
        <w:tab w:val="clear" w:pos="9639"/>
        <w:tab w:val="right" w:pos="9638"/>
      </w:tabs>
      <w:rPr>
        <w:b/>
        <w:sz w:val="18"/>
      </w:rPr>
    </w:pPr>
    <w:r>
      <w:t>GE.21-09180</w:t>
    </w:r>
    <w:r>
      <w:tab/>
    </w:r>
    <w:r w:rsidRPr="004655FE">
      <w:rPr>
        <w:b/>
        <w:sz w:val="18"/>
      </w:rPr>
      <w:fldChar w:fldCharType="begin"/>
    </w:r>
    <w:r w:rsidRPr="004655FE">
      <w:rPr>
        <w:b/>
        <w:sz w:val="18"/>
      </w:rPr>
      <w:instrText xml:space="preserve"> PAGE  \* MERGEFORMAT </w:instrText>
    </w:r>
    <w:r w:rsidRPr="004655FE">
      <w:rPr>
        <w:b/>
        <w:sz w:val="18"/>
      </w:rPr>
      <w:fldChar w:fldCharType="separate"/>
    </w:r>
    <w:r w:rsidRPr="004655FE">
      <w:rPr>
        <w:b/>
        <w:noProof/>
        <w:sz w:val="18"/>
      </w:rPr>
      <w:t>3</w:t>
    </w:r>
    <w:r w:rsidRPr="004655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F21F" w14:textId="50184E39" w:rsidR="00042B72" w:rsidRPr="004655FE" w:rsidRDefault="004655FE" w:rsidP="004655F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6EA618" wp14:editId="20DC91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21-09180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43FB10" wp14:editId="4BAC85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070721  090721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FD8E" w14:textId="77777777" w:rsidR="00F3789C" w:rsidRPr="001075E9" w:rsidRDefault="00F378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815B6E" w14:textId="77777777" w:rsidR="00F3789C" w:rsidRDefault="00F378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D3E895" w14:textId="77777777" w:rsidR="004655FE" w:rsidRPr="001F6AE8" w:rsidRDefault="004655FE" w:rsidP="004655FE">
      <w:pPr>
        <w:pStyle w:val="FootnoteText"/>
      </w:pPr>
      <w:r>
        <w:tab/>
      </w:r>
      <w:r w:rsidRPr="004655FE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  <w:footnote w:id="2">
    <w:p w14:paraId="2E8EA40D" w14:textId="77777777" w:rsidR="004655FE" w:rsidRPr="00F729DC" w:rsidRDefault="004655FE" w:rsidP="004655FE">
      <w:pPr>
        <w:pStyle w:val="FootnoteText"/>
      </w:pPr>
      <w:r>
        <w:tab/>
      </w:r>
      <w:r w:rsidRPr="004655FE">
        <w:rPr>
          <w:rStyle w:val="FootnoteReference"/>
          <w:sz w:val="20"/>
          <w:vertAlign w:val="baseline"/>
        </w:rPr>
        <w:sym w:font="Symbol" w:char="F02A"/>
      </w:r>
      <w:r w:rsidRPr="004655FE">
        <w:rPr>
          <w:rStyle w:val="FootnoteReference"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OTIF/RID/RC/2021/37.</w:t>
      </w:r>
    </w:p>
  </w:footnote>
  <w:footnote w:id="3">
    <w:p w14:paraId="3138644F" w14:textId="77777777" w:rsidR="004655FE" w:rsidRPr="00F729DC" w:rsidRDefault="004655FE" w:rsidP="004655FE">
      <w:pPr>
        <w:pStyle w:val="FootnoteText"/>
      </w:pPr>
      <w:r>
        <w:tab/>
      </w:r>
      <w:r w:rsidRPr="004655FE">
        <w:rPr>
          <w:rStyle w:val="FootnoteReference"/>
          <w:sz w:val="20"/>
          <w:vertAlign w:val="baseline"/>
        </w:rPr>
        <w:sym w:font="Symbol" w:char="F02A"/>
      </w:r>
      <w:r w:rsidRPr="004655FE">
        <w:rPr>
          <w:rStyle w:val="FootnoteReference"/>
          <w:sz w:val="20"/>
          <w:vertAlign w:val="baseline"/>
        </w:rPr>
        <w:sym w:font="Symbol" w:char="F02A"/>
      </w:r>
      <w:r w:rsidRPr="004655FE">
        <w:rPr>
          <w:rStyle w:val="FootnoteReference"/>
          <w:sz w:val="20"/>
          <w:vertAlign w:val="baseline"/>
        </w:rPr>
        <w:sym w:font="Symbol" w:char="F02A"/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4">
    <w:p w14:paraId="5B6CFF84" w14:textId="678287BA" w:rsidR="004655FE" w:rsidRPr="00F729DC" w:rsidRDefault="004655FE" w:rsidP="004655F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Делегированный регламент Комиссии (ЕС) 2020/1182</w:t>
      </w:r>
      <w:r w:rsidR="00237DC9">
        <w:t xml:space="preserve"> (</w:t>
      </w:r>
      <w:hyperlink r:id="rId1" w:history="1">
        <w:r w:rsidR="00237DC9" w:rsidRPr="001F6AE8">
          <w:rPr>
            <w:rStyle w:val="Hyperlink"/>
            <w:lang w:val="fr-FR"/>
          </w:rPr>
          <w:t>EUR</w:t>
        </w:r>
        <w:r w:rsidR="00237DC9" w:rsidRPr="00237DC9">
          <w:rPr>
            <w:rStyle w:val="Hyperlink"/>
          </w:rPr>
          <w:t>-</w:t>
        </w:r>
        <w:r w:rsidR="00237DC9" w:rsidRPr="001F6AE8">
          <w:rPr>
            <w:rStyle w:val="Hyperlink"/>
            <w:lang w:val="fr-FR"/>
          </w:rPr>
          <w:t>Lex</w:t>
        </w:r>
        <w:r w:rsidR="00237DC9" w:rsidRPr="00237DC9">
          <w:rPr>
            <w:rStyle w:val="Hyperlink"/>
          </w:rPr>
          <w:t xml:space="preserve"> - 32020</w:t>
        </w:r>
        <w:r w:rsidR="00237DC9" w:rsidRPr="001F6AE8">
          <w:rPr>
            <w:rStyle w:val="Hyperlink"/>
            <w:lang w:val="fr-FR"/>
          </w:rPr>
          <w:t>R</w:t>
        </w:r>
        <w:r w:rsidR="00237DC9" w:rsidRPr="00237DC9">
          <w:rPr>
            <w:rStyle w:val="Hyperlink"/>
          </w:rPr>
          <w:t xml:space="preserve">1182 - </w:t>
        </w:r>
        <w:r w:rsidR="00237DC9" w:rsidRPr="001F6AE8">
          <w:rPr>
            <w:rStyle w:val="Hyperlink"/>
            <w:lang w:val="fr-FR"/>
          </w:rPr>
          <w:t>EN</w:t>
        </w:r>
        <w:r w:rsidR="00237DC9" w:rsidRPr="00237DC9">
          <w:rPr>
            <w:rStyle w:val="Hyperlink"/>
          </w:rPr>
          <w:t xml:space="preserve"> - </w:t>
        </w:r>
        <w:r w:rsidR="00237DC9" w:rsidRPr="001F6AE8">
          <w:rPr>
            <w:rStyle w:val="Hyperlink"/>
            <w:lang w:val="fr-FR"/>
          </w:rPr>
          <w:t>EUR</w:t>
        </w:r>
        <w:r w:rsidR="00237DC9" w:rsidRPr="00237DC9">
          <w:rPr>
            <w:rStyle w:val="Hyperlink"/>
          </w:rPr>
          <w:t>-</w:t>
        </w:r>
        <w:r w:rsidR="00237DC9" w:rsidRPr="001F6AE8">
          <w:rPr>
            <w:rStyle w:val="Hyperlink"/>
            <w:lang w:val="fr-FR"/>
          </w:rPr>
          <w:t>Lex</w:t>
        </w:r>
        <w:r w:rsidR="00237DC9" w:rsidRPr="00237DC9">
          <w:rPr>
            <w:rStyle w:val="Hyperlink"/>
          </w:rPr>
          <w:t xml:space="preserve"> (</w:t>
        </w:r>
        <w:r w:rsidR="00237DC9" w:rsidRPr="001F6AE8">
          <w:rPr>
            <w:rStyle w:val="Hyperlink"/>
            <w:lang w:val="fr-FR"/>
          </w:rPr>
          <w:t>europa</w:t>
        </w:r>
        <w:r w:rsidR="00237DC9" w:rsidRPr="00237DC9">
          <w:rPr>
            <w:rStyle w:val="Hyperlink"/>
          </w:rPr>
          <w:t>.</w:t>
        </w:r>
        <w:r w:rsidR="00237DC9" w:rsidRPr="001F6AE8">
          <w:rPr>
            <w:rStyle w:val="Hyperlink"/>
            <w:lang w:val="fr-FR"/>
          </w:rPr>
          <w:t>eu</w:t>
        </w:r>
        <w:r w:rsidR="00237DC9" w:rsidRPr="00237DC9">
          <w:rPr>
            <w:rStyle w:val="Hyperlink"/>
          </w:rPr>
          <w:t>)</w:t>
        </w:r>
      </w:hyperlink>
      <w:r w:rsidR="00237DC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D966" w14:textId="5E2D9772" w:rsidR="004655FE" w:rsidRPr="004655FE" w:rsidRDefault="00E063FC">
    <w:pPr>
      <w:pStyle w:val="Header"/>
    </w:pPr>
    <w:fldSimple w:instr=" TITLE  \* MERGEFORMAT ">
      <w:r>
        <w:t>ECE/TRANS/WP.15/AC.1/2021/37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EFDD" w14:textId="2B15A182" w:rsidR="004655FE" w:rsidRPr="004655FE" w:rsidRDefault="00E063FC" w:rsidP="004655FE">
    <w:pPr>
      <w:pStyle w:val="Header"/>
      <w:jc w:val="right"/>
    </w:pPr>
    <w:fldSimple w:instr=" TITLE  \* MERGEFORMAT ">
      <w:r>
        <w:t>ECE/TRANS/WP.15/AC.1/2021/37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9C"/>
    <w:rsid w:val="00033EE1"/>
    <w:rsid w:val="00042B72"/>
    <w:rsid w:val="000558BD"/>
    <w:rsid w:val="000B57E7"/>
    <w:rsid w:val="000B6373"/>
    <w:rsid w:val="000C3E3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7DC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02B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5FE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03A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F9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63F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D37"/>
    <w:rsid w:val="00F3789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51AC27"/>
  <w15:docId w15:val="{30DDF8C6-BDB8-40B4-8648-1F16C7D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655FE"/>
    <w:rPr>
      <w:lang w:val="ru-RU" w:eastAsia="en-US"/>
    </w:rPr>
  </w:style>
  <w:style w:type="paragraph" w:customStyle="1" w:styleId="ParNoG">
    <w:name w:val="_ParNo_G"/>
    <w:basedOn w:val="SingleTxtG"/>
    <w:qFormat/>
    <w:rsid w:val="004655F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4655F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20R11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6764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ECE/TRANS/WP.15/AC.1/2021/37</vt:lpstr>
      <vt:lpstr>A/</vt:lpstr>
      <vt:lpstr>A/</vt:lpstr>
    </vt:vector>
  </TitlesOfParts>
  <Company>DCM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ECE/TRANS/WP.15/AC.1/2021/37</dc:title>
  <dc:subject/>
  <dc:creator>Svetlana PROKOUDINA</dc:creator>
  <cp:keywords/>
  <cp:lastModifiedBy>Christine Barrio-Champeau</cp:lastModifiedBy>
  <cp:revision>2</cp:revision>
  <cp:lastPrinted>2021-07-09T09:47:00Z</cp:lastPrinted>
  <dcterms:created xsi:type="dcterms:W3CDTF">2021-08-12T06:42:00Z</dcterms:created>
  <dcterms:modified xsi:type="dcterms:W3CDTF">2021-08-12T06:42:00Z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