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4B405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673AD6" w14:textId="77777777" w:rsidR="002D5AAC" w:rsidRDefault="002D5AAC" w:rsidP="00ED47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48F9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8B766F" w14:textId="0B4DAB08" w:rsidR="002D5AAC" w:rsidRDefault="00ED47CB" w:rsidP="00ED47CB">
            <w:pPr>
              <w:jc w:val="right"/>
            </w:pPr>
            <w:r w:rsidRPr="00ED47CB">
              <w:rPr>
                <w:sz w:val="40"/>
              </w:rPr>
              <w:t>ECE</w:t>
            </w:r>
            <w:r>
              <w:t>/TRANS/WP.15/AC.1/2021/33</w:t>
            </w:r>
          </w:p>
        </w:tc>
      </w:tr>
      <w:tr w:rsidR="002D5AAC" w:rsidRPr="00ED47CB" w14:paraId="5D21C0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EF328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B3EDE0" wp14:editId="0CB977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731D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FD1998" w14:textId="77777777" w:rsidR="002D5AAC" w:rsidRDefault="00ED47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29D5BF" w14:textId="77777777" w:rsidR="00ED47CB" w:rsidRDefault="00ED47CB" w:rsidP="00ED47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2021</w:t>
            </w:r>
          </w:p>
          <w:p w14:paraId="3C43CB0C" w14:textId="77777777" w:rsidR="00ED47CB" w:rsidRDefault="00ED47CB" w:rsidP="00ED47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4DB4E6" w14:textId="6DD3D654" w:rsidR="00ED47CB" w:rsidRPr="008D53B6" w:rsidRDefault="00ED47CB" w:rsidP="00ED47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F3617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9597F5" w14:textId="77777777" w:rsidR="00ED47CB" w:rsidRPr="006F7672" w:rsidRDefault="00ED47CB" w:rsidP="00ED47CB">
      <w:pPr>
        <w:spacing w:before="120"/>
        <w:rPr>
          <w:sz w:val="28"/>
          <w:szCs w:val="28"/>
        </w:rPr>
      </w:pPr>
      <w:r w:rsidRPr="006F7672">
        <w:rPr>
          <w:sz w:val="28"/>
          <w:szCs w:val="28"/>
        </w:rPr>
        <w:t>Комитет по внутреннему транспорту</w:t>
      </w:r>
    </w:p>
    <w:p w14:paraId="56F345C7" w14:textId="77777777" w:rsidR="00ED47CB" w:rsidRPr="006F7672" w:rsidRDefault="00ED47CB" w:rsidP="00ED47CB">
      <w:pPr>
        <w:spacing w:before="120" w:after="120"/>
        <w:rPr>
          <w:b/>
          <w:sz w:val="24"/>
          <w:szCs w:val="24"/>
        </w:rPr>
      </w:pPr>
      <w:r w:rsidRPr="006F7672">
        <w:rPr>
          <w:b/>
          <w:bCs/>
          <w:sz w:val="24"/>
          <w:szCs w:val="24"/>
        </w:rPr>
        <w:t>Рабочая группа по перевозкам опасных грузов</w:t>
      </w:r>
    </w:p>
    <w:p w14:paraId="2C009103" w14:textId="4A3ADB6B" w:rsidR="00ED47CB" w:rsidRPr="00D34381" w:rsidRDefault="00ED47CB" w:rsidP="00ED47CB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CC7EFD1" w14:textId="77777777" w:rsidR="00ED47CB" w:rsidRPr="00D34381" w:rsidRDefault="00ED47CB" w:rsidP="00ED47CB">
      <w:r>
        <w:t>Женева, 21 сентября — 1 октября 2021 года</w:t>
      </w:r>
    </w:p>
    <w:p w14:paraId="0D47E298" w14:textId="77777777" w:rsidR="00ED47CB" w:rsidRPr="00D34381" w:rsidRDefault="00ED47CB" w:rsidP="00ED47CB">
      <w:r>
        <w:t>Пункт 5 а) предварительной повестки дня</w:t>
      </w:r>
    </w:p>
    <w:p w14:paraId="20AE6184" w14:textId="0A38D96B" w:rsidR="00E12C5F" w:rsidRDefault="00ED47CB" w:rsidP="00ED47CB">
      <w:r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  <w:t>нерассмотренные вопросы</w:t>
      </w:r>
    </w:p>
    <w:p w14:paraId="3206818F" w14:textId="77777777" w:rsidR="00ED47CB" w:rsidRPr="00D34381" w:rsidRDefault="00ED47CB" w:rsidP="00ED47CB">
      <w:pPr>
        <w:pStyle w:val="HChG"/>
      </w:pPr>
      <w:r>
        <w:tab/>
      </w:r>
      <w:r>
        <w:tab/>
        <w:t>Сосуды под давлением, утвержденные Министерством транспорта Соединенных Штатов Америки</w:t>
      </w:r>
    </w:p>
    <w:p w14:paraId="7DA0F2CC" w14:textId="603E8389" w:rsidR="00ED47CB" w:rsidRDefault="00ED47CB" w:rsidP="00ED47CB">
      <w:pPr>
        <w:pStyle w:val="H1G"/>
      </w:pPr>
      <w:r>
        <w:tab/>
      </w:r>
      <w:r>
        <w:tab/>
        <w:t>Передано секретариатами ОТИФ и ЕЭК ООН</w:t>
      </w:r>
      <w:r w:rsidRPr="00ED47C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ED47CB">
        <w:rPr>
          <w:b w:val="0"/>
          <w:bCs/>
          <w:sz w:val="20"/>
        </w:rPr>
        <w:t xml:space="preserve"> </w:t>
      </w:r>
      <w:r w:rsidRPr="00ED47C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D47CB" w:rsidRPr="00ED47CB" w14:paraId="4C98296A" w14:textId="77777777" w:rsidTr="00ED47CB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F153B7E" w14:textId="77777777" w:rsidR="00ED47CB" w:rsidRPr="00ED47CB" w:rsidRDefault="00ED47C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D47CB">
              <w:rPr>
                <w:rFonts w:cs="Times New Roman"/>
              </w:rPr>
              <w:tab/>
            </w:r>
            <w:r w:rsidRPr="00ED47C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D47CB" w:rsidRPr="00ED47CB" w14:paraId="48804CE4" w14:textId="77777777" w:rsidTr="00ED47C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2C2480E" w14:textId="77777777" w:rsidR="00ED47CB" w:rsidRDefault="00ED47CB" w:rsidP="00ED47CB">
            <w:pPr>
              <w:pStyle w:val="SingleTxtG"/>
              <w:tabs>
                <w:tab w:val="left" w:pos="3686"/>
              </w:tabs>
              <w:ind w:left="3686" w:hanging="2552"/>
            </w:pPr>
            <w:r w:rsidRPr="00ED47CB">
              <w:rPr>
                <w:b/>
                <w:bCs/>
              </w:rPr>
              <w:t>Существо предложения:</w:t>
            </w:r>
            <w:r w:rsidRPr="00ED47CB">
              <w:tab/>
              <w:t xml:space="preserve">Предлагаются незначительные поправки к новому </w:t>
            </w:r>
            <w:r w:rsidRPr="00ED47CB">
              <w:rPr>
                <w:spacing w:val="-2"/>
              </w:rPr>
              <w:t>подразделу 1.1.4.7, касающемуся сосудов под давлением</w:t>
            </w:r>
            <w:r w:rsidRPr="00ED47CB">
              <w:t xml:space="preserve"> многоразового использования, утвержденных Министерством транспорта Соединенных Штатов Америки.</w:t>
            </w:r>
          </w:p>
          <w:p w14:paraId="04799CC8" w14:textId="77E9D609" w:rsidR="00ED47CB" w:rsidRPr="00ED47CB" w:rsidRDefault="00ED47CB" w:rsidP="00ED47CB">
            <w:pPr>
              <w:pStyle w:val="SingleTxtG"/>
              <w:tabs>
                <w:tab w:val="left" w:pos="3686"/>
              </w:tabs>
              <w:spacing w:after="0"/>
              <w:ind w:left="3686" w:hanging="2552"/>
            </w:pPr>
            <w:r w:rsidRPr="00ED47CB">
              <w:rPr>
                <w:b/>
                <w:bCs/>
              </w:rPr>
              <w:t>Справочные документы:</w:t>
            </w:r>
            <w:r>
              <w:tab/>
              <w:t>ECE/TRANS/WP.15/AC.1/2021/9</w:t>
            </w:r>
            <w:r>
              <w:br/>
              <w:t>Неофициальный документ INF.24 Совместного совещания, состоявшегося в марте 2021 года</w:t>
            </w:r>
            <w:r>
              <w:br/>
              <w:t>ECE/TRANS/WP.15/AC.1/160, приложение II</w:t>
            </w:r>
          </w:p>
        </w:tc>
      </w:tr>
      <w:tr w:rsidR="00ED47CB" w:rsidRPr="00ED47CB" w14:paraId="51C6CDF8" w14:textId="77777777" w:rsidTr="00ED47CB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D12B56B" w14:textId="77777777" w:rsidR="00ED47CB" w:rsidRPr="00ED47CB" w:rsidRDefault="00ED47CB" w:rsidP="00850215">
            <w:pPr>
              <w:rPr>
                <w:rFonts w:cs="Times New Roman"/>
              </w:rPr>
            </w:pPr>
          </w:p>
        </w:tc>
      </w:tr>
    </w:tbl>
    <w:p w14:paraId="461EC032" w14:textId="77777777" w:rsidR="00ED47CB" w:rsidRDefault="00ED47CB" w:rsidP="00ED47C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4C02831" w14:textId="77777777" w:rsidR="00ED47CB" w:rsidRPr="00EA02FC" w:rsidRDefault="00ED47CB" w:rsidP="00ED47CB">
      <w:pPr>
        <w:pStyle w:val="SingleTxtG"/>
      </w:pPr>
      <w:r>
        <w:t>1.</w:t>
      </w:r>
      <w:r>
        <w:tab/>
        <w:t>На Совместном совещании МПОГ/ДОПОГ/ВОПОГ в марте 2021 года был включен новый подраздел 1.1.4.7 для сосудов под давлением многоразового использования, утвержденных Министерством транспорта Соединенных Штатов Америки (МТ США) (см. ECE/TRANS/WP.15/AC.1/160, приложение II):</w:t>
      </w:r>
    </w:p>
    <w:p w14:paraId="7AD29419" w14:textId="1A86621C" w:rsidR="00ED47CB" w:rsidRPr="00D34381" w:rsidRDefault="00ED47CB" w:rsidP="00ED47CB">
      <w:pPr>
        <w:pStyle w:val="SingleTxtG"/>
        <w:ind w:left="2268" w:hanging="1134"/>
        <w:rPr>
          <w:b/>
          <w:i/>
          <w:iCs/>
        </w:rPr>
      </w:pPr>
      <w:r>
        <w:t>«</w:t>
      </w:r>
      <w:r>
        <w:rPr>
          <w:b/>
          <w:bCs/>
        </w:rPr>
        <w:t>1.1.4.7</w:t>
      </w:r>
      <w:r>
        <w:tab/>
      </w:r>
      <w:r>
        <w:rPr>
          <w:b/>
          <w:bCs/>
          <w:i/>
          <w:iCs/>
        </w:rPr>
        <w:t>Сосуды под давлением многоразового использования, разрешенные Министерством транспорта Соединенных Штатов Америки</w:t>
      </w:r>
      <w:r>
        <w:t xml:space="preserve"> </w:t>
      </w:r>
      <w:bookmarkStart w:id="0" w:name="_Hlk525131534"/>
    </w:p>
    <w:p w14:paraId="7B887B0A" w14:textId="77777777" w:rsidR="00ED47CB" w:rsidRPr="00D34381" w:rsidRDefault="00ED47CB" w:rsidP="00ED47CB">
      <w:pPr>
        <w:snapToGrid w:val="0"/>
        <w:spacing w:before="120" w:after="120" w:line="240" w:lineRule="auto"/>
        <w:ind w:left="1701" w:hanging="567"/>
        <w:rPr>
          <w:bCs/>
          <w:i/>
          <w:iCs/>
        </w:rPr>
      </w:pPr>
      <w:r>
        <w:lastRenderedPageBreak/>
        <w:t>1.1.4.7.1</w:t>
      </w:r>
      <w:r>
        <w:tab/>
      </w:r>
      <w:r>
        <w:rPr>
          <w:i/>
          <w:iCs/>
        </w:rPr>
        <w:t>Импорт газов</w:t>
      </w:r>
    </w:p>
    <w:p w14:paraId="3DE5277E" w14:textId="77777777" w:rsidR="00ED47CB" w:rsidRPr="00D34381" w:rsidRDefault="00ED47CB" w:rsidP="00ED47CB">
      <w:pPr>
        <w:ind w:left="2268" w:right="1134"/>
        <w:jc w:val="both"/>
        <w:rPr>
          <w:bCs/>
        </w:rPr>
      </w:pPr>
      <w:r>
        <w:t xml:space="preserve">Сосуды под давлением многоразового использования, разрешенные Министерством транспорта Соединенных Штатов Америки и изготовленные и испытанные в соответствии со стандартами, перечисленными в части 178 “Спецификации для тары” раздела 49 “Транспорт” Свода федеральных нормативных актов, допущенные к перевозке в транспортной цепи в соответствии с подразделом 1.1.4.2, могут перевозиться от места временного складирования в конечном пункте транспортной цепи до конечного пользователя. </w:t>
      </w:r>
      <w:bookmarkEnd w:id="0"/>
    </w:p>
    <w:p w14:paraId="1B28E62A" w14:textId="77777777" w:rsidR="00ED47CB" w:rsidRPr="00D34381" w:rsidRDefault="00ED47CB" w:rsidP="00ED47CB">
      <w:pPr>
        <w:snapToGrid w:val="0"/>
        <w:spacing w:before="120" w:after="120"/>
        <w:ind w:left="2268" w:right="1134"/>
        <w:jc w:val="both"/>
        <w:rPr>
          <w:bCs/>
        </w:rPr>
      </w:pPr>
      <w:bookmarkStart w:id="1" w:name="_Hlk525132507"/>
      <w:r>
        <w:t>Грузоотправитель, оформляющий перевозку согласно МПОГ/ДОПОГ, делает в транспортном документе следующую запись:</w:t>
      </w:r>
    </w:p>
    <w:p w14:paraId="0B12A77D" w14:textId="77777777" w:rsidR="00ED47CB" w:rsidRPr="00D34381" w:rsidRDefault="00ED47CB" w:rsidP="00ED47CB">
      <w:pPr>
        <w:snapToGrid w:val="0"/>
        <w:spacing w:before="120" w:after="120"/>
        <w:ind w:left="2268"/>
        <w:rPr>
          <w:bCs/>
        </w:rPr>
      </w:pPr>
      <w:r>
        <w:t>“Перевозка в соответствии с пунктом 1.1.4.7.1”.</w:t>
      </w:r>
    </w:p>
    <w:bookmarkEnd w:id="1"/>
    <w:p w14:paraId="65B00BCC" w14:textId="77777777" w:rsidR="00ED47CB" w:rsidRPr="00D34381" w:rsidRDefault="00ED47CB" w:rsidP="00ED47CB">
      <w:pPr>
        <w:snapToGrid w:val="0"/>
        <w:spacing w:before="120" w:after="120" w:line="240" w:lineRule="auto"/>
        <w:ind w:left="1701" w:hanging="567"/>
        <w:rPr>
          <w:bCs/>
          <w:i/>
          <w:iCs/>
        </w:rPr>
      </w:pPr>
      <w:r>
        <w:t>1.1.4.7.2</w:t>
      </w:r>
      <w:r>
        <w:tab/>
      </w:r>
      <w:r>
        <w:rPr>
          <w:i/>
          <w:iCs/>
        </w:rPr>
        <w:t>Экспорт газов и порожних неочищенных сосудов под давлением</w:t>
      </w:r>
    </w:p>
    <w:p w14:paraId="2DC18374" w14:textId="77777777" w:rsidR="00ED47CB" w:rsidRPr="00D34381" w:rsidRDefault="00ED47CB" w:rsidP="00ED47CB">
      <w:pPr>
        <w:ind w:left="2268" w:right="1134"/>
        <w:jc w:val="both"/>
        <w:rPr>
          <w:bCs/>
        </w:rPr>
      </w:pPr>
      <w:r>
        <w:t>Сосуды под давлением многоразового использования, разрешенные Министерством транспорта Соединенных Штатов Америки и изготовленные в соответствии со стандартами, перечисленными в части 178 “Спецификации для тары” раздела 49 “Транспорт” Свода федеральных нормативных актов, могут наполняться и перевозиться только с целью экспорта в страны, не являющиеся Договаривающимися государствами МПОГ/Договаривающимися сторонами ДОПОГ, при выполнении следующих условий:</w:t>
      </w:r>
    </w:p>
    <w:p w14:paraId="73DCB3A8" w14:textId="77777777" w:rsidR="00ED47CB" w:rsidRPr="00D34381" w:rsidRDefault="00ED47CB" w:rsidP="00ED47CB">
      <w:pPr>
        <w:spacing w:before="120" w:after="120"/>
        <w:ind w:left="2835" w:right="1134" w:hanging="567"/>
        <w:jc w:val="both"/>
      </w:pPr>
      <w:r>
        <w:t>a)</w:t>
      </w:r>
      <w:r>
        <w:tab/>
        <w:t>наполнение сосуда под давлением осуществляется согласно соответствующим требованиям Свода федеральных нормативных актов Соединенных Штатов Америки;</w:t>
      </w:r>
    </w:p>
    <w:p w14:paraId="74E52EE9" w14:textId="77777777" w:rsidR="00ED47CB" w:rsidRPr="00D34381" w:rsidRDefault="00ED47CB" w:rsidP="00ED47CB">
      <w:pPr>
        <w:spacing w:before="120" w:after="120"/>
        <w:ind w:left="2835" w:right="1134" w:hanging="567"/>
        <w:jc w:val="both"/>
      </w:pPr>
      <w:r>
        <w:t>b)</w:t>
      </w:r>
      <w:r>
        <w:tab/>
        <w:t>сосуды под давлением маркируются и снабжаются знаками опасности в соответствии с требованиями главы 5.2 МПОГ/ДОПОГ;</w:t>
      </w:r>
    </w:p>
    <w:p w14:paraId="17459CA7" w14:textId="77777777" w:rsidR="00ED47CB" w:rsidRPr="0031795E" w:rsidRDefault="00ED47CB" w:rsidP="00ED47CB">
      <w:pPr>
        <w:spacing w:before="120" w:after="120"/>
        <w:ind w:left="2835" w:right="1134" w:hanging="567"/>
        <w:jc w:val="both"/>
      </w:pPr>
      <w:r>
        <w:t>c)</w:t>
      </w:r>
      <w:r>
        <w:tab/>
        <w:t>к сосудам под давлением применяются положения пунктов 4.1.6.12 и 4.1.6.13. Сосуды под давлением не должны наполняться после наступления срока их периодической проверки, но могут перевозиться после истечения предельного срока в целях проведения проверки, включая промежуточные перевозки;</w:t>
      </w:r>
    </w:p>
    <w:p w14:paraId="64977DD2" w14:textId="77777777" w:rsidR="00ED47CB" w:rsidRPr="00D34381" w:rsidRDefault="00ED47CB" w:rsidP="00ED47CB">
      <w:pPr>
        <w:spacing w:before="120" w:after="120"/>
        <w:ind w:left="2835" w:right="1134" w:hanging="567"/>
        <w:jc w:val="both"/>
        <w:rPr>
          <w:bCs/>
        </w:rPr>
      </w:pPr>
      <w:r>
        <w:t>d)</w:t>
      </w:r>
      <w:r>
        <w:tab/>
        <w:t>грузоотправитель, оформляющий перевозку согласно МПОГ/ ДОПОГ, делает в транспортном документе следующую запись:</w:t>
      </w:r>
    </w:p>
    <w:p w14:paraId="22C2C240" w14:textId="77777777" w:rsidR="00ED47CB" w:rsidRPr="00D34381" w:rsidRDefault="00ED47CB" w:rsidP="00ED47CB">
      <w:pPr>
        <w:spacing w:before="120" w:after="120"/>
        <w:ind w:left="2835" w:right="1134" w:hanging="567"/>
        <w:jc w:val="both"/>
      </w:pPr>
      <w:r>
        <w:tab/>
      </w:r>
      <w:r>
        <w:tab/>
      </w:r>
      <w:bookmarkStart w:id="2" w:name="_Hlk75780782"/>
      <w:r>
        <w:t>“</w:t>
      </w:r>
      <w:bookmarkEnd w:id="2"/>
      <w:r>
        <w:t>Перевозка в соответствии с пунктом 1.1.4.7.2”.».</w:t>
      </w:r>
    </w:p>
    <w:p w14:paraId="24A2C660" w14:textId="77777777" w:rsidR="00ED47CB" w:rsidRPr="00D34381" w:rsidRDefault="00ED47CB" w:rsidP="00ED47CB">
      <w:pPr>
        <w:pStyle w:val="SingleTxtG"/>
      </w:pPr>
      <w:r>
        <w:t>2.</w:t>
      </w:r>
      <w:r>
        <w:tab/>
        <w:t>В связи с принятием этих текстов для ДОПОГ на сто девятой сессии WP.15 (Женева, 4</w:t>
      </w:r>
      <w:r w:rsidRPr="00C30EEB">
        <w:t>–</w:t>
      </w:r>
      <w:r>
        <w:t>7 мая 2021 года) было отмечено, что необходимо уточнение термина «грузоотправитель, оформляющий перевозку согласно МПОГ/ДОПОГ», используемого в пункте 1.1.4.7.1 и пункте 1.1.4.7.2 d). Секретариаты договорились представить предложение по этой теме Совместному совещанию в сентябре 2021 года.</w:t>
      </w:r>
    </w:p>
    <w:p w14:paraId="13A12266" w14:textId="77777777" w:rsidR="00ED47CB" w:rsidRPr="00D34381" w:rsidRDefault="00ED47CB" w:rsidP="00ED47CB">
      <w:pPr>
        <w:pStyle w:val="SingleTxtG"/>
        <w:rPr>
          <w:u w:val="single"/>
        </w:rPr>
      </w:pPr>
      <w:r>
        <w:rPr>
          <w:u w:val="single"/>
        </w:rPr>
        <w:t>Грузоотправитель, оформляющий перевозку согласно МПОГ/ДОПОГ</w:t>
      </w:r>
    </w:p>
    <w:p w14:paraId="27B16E82" w14:textId="77777777" w:rsidR="00ED47CB" w:rsidRPr="00D34381" w:rsidRDefault="00ED47CB" w:rsidP="00ED47CB">
      <w:pPr>
        <w:pStyle w:val="SingleTxtG"/>
      </w:pPr>
      <w:r>
        <w:t>3.</w:t>
      </w:r>
      <w:r>
        <w:tab/>
        <w:t>В пунктах 1.1.4.7.1 и 1.1.4.7.2 d) упоминается «грузоотправитель, оформляющий перевозку согласно МПОГ/ДОПОГ», который должен делать специальную запись в транспортном документе.</w:t>
      </w:r>
    </w:p>
    <w:p w14:paraId="5CE947B1" w14:textId="77777777" w:rsidR="00ED47CB" w:rsidRPr="00D34381" w:rsidRDefault="00ED47CB" w:rsidP="00ED47CB">
      <w:pPr>
        <w:pStyle w:val="SingleTxtG"/>
      </w:pPr>
      <w:r>
        <w:t>4.</w:t>
      </w:r>
      <w:r>
        <w:tab/>
        <w:t>В разделе 1.2.1 приведено определение термина «грузоотправитель». Во всем тексте МПОГ/ДОПОГ/ВОПОГ используется только этот термин без каких-либо дополнений.</w:t>
      </w:r>
    </w:p>
    <w:p w14:paraId="7C7042AA" w14:textId="77777777" w:rsidR="00ED47CB" w:rsidRPr="00D34381" w:rsidRDefault="00ED47CB" w:rsidP="00ED47CB">
      <w:pPr>
        <w:pStyle w:val="SingleTxtG"/>
      </w:pPr>
      <w:r>
        <w:t>5.</w:t>
      </w:r>
      <w:r>
        <w:tab/>
        <w:t>В пункте 1.1.4.7.2 d), который касается экспорта газов и неочищенных порожних сосудов под давлением, термин «грузоотправитель, оформляющий перевозку согласно МПОГ/ДОПОГ» обозначает грузоотправителя, определение которого содержится в разделе 1.2.1.</w:t>
      </w:r>
    </w:p>
    <w:p w14:paraId="79BA6D23" w14:textId="433E7BF6" w:rsidR="00ED47CB" w:rsidRPr="00D34381" w:rsidRDefault="00ED47CB" w:rsidP="00ED47CB">
      <w:pPr>
        <w:pStyle w:val="SingleTxtG"/>
      </w:pPr>
      <w:r>
        <w:lastRenderedPageBreak/>
        <w:t>6.</w:t>
      </w:r>
      <w:r>
        <w:tab/>
        <w:t>Пункт 1.1.4.7.1, касающийся импорта газов, применяется к перевозке в транспортной цепи в соответствии с подразделом 1.1.4.2. В отношении перевозки в соответствии с пунктом 1.1.4.2.1 применяется пункт 5.4.1.1.7. Пункт 5.4.1.1.7 требует внесения записи в транспортный документ, но при этом не указано, кто должен делать эту запись. Секретариаты задаются вопросом, по-прежнему ли необходим второй абзац пункта 1.1.4.7.1. Если этот второй абзац будет сохранен, то ссылку на «грузоотправителя, оформляющего перевозку согласно МПОГ/ДОПОГ» следует уточнить.</w:t>
      </w:r>
    </w:p>
    <w:p w14:paraId="7FF9E1CE" w14:textId="77777777" w:rsidR="00ED47CB" w:rsidRPr="00D34381" w:rsidRDefault="00ED47CB" w:rsidP="00ED47CB">
      <w:pPr>
        <w:pStyle w:val="SingleTxtG"/>
        <w:rPr>
          <w:u w:val="single"/>
        </w:rPr>
      </w:pPr>
      <w:r>
        <w:rPr>
          <w:u w:val="single"/>
        </w:rPr>
        <w:t>Информация, указываемая в транспортном документе</w:t>
      </w:r>
    </w:p>
    <w:p w14:paraId="3058930C" w14:textId="77777777" w:rsidR="00ED47CB" w:rsidRPr="00D34381" w:rsidRDefault="00ED47CB" w:rsidP="00ED47CB">
      <w:pPr>
        <w:pStyle w:val="SingleTxtG"/>
      </w:pPr>
      <w:r>
        <w:t>7.</w:t>
      </w:r>
      <w:r>
        <w:tab/>
        <w:t>Для удобства пользователей в главе 5.4 МПОГ/ДОПОГ/ВОПОГ содержится вся информация, которая должна быть указана в транспортном документе, даже в тех случаях, когда в исходном положении уже содержится требуемая дополнительная запись.</w:t>
      </w:r>
    </w:p>
    <w:p w14:paraId="510E0CE6" w14:textId="77777777" w:rsidR="00ED47CB" w:rsidRPr="00D34381" w:rsidRDefault="00ED47CB" w:rsidP="00ED47CB">
      <w:pPr>
        <w:pStyle w:val="SingleTxtG"/>
      </w:pPr>
      <w:r>
        <w:t>8.</w:t>
      </w:r>
      <w:r>
        <w:tab/>
        <w:t>Запись в транспортном документе, требуемая для сосудов под давлением, разрешенных МТ США, должна быть упомянута в главе 5.4 для полноты изложения. Чтобы избежать дублирования положений, в примечании можно сделать ссылку на соответствующий пункт главы 5.4, как в подразделе 1.1.4.2.</w:t>
      </w:r>
    </w:p>
    <w:p w14:paraId="2311AFB8" w14:textId="77777777" w:rsidR="00ED47CB" w:rsidRPr="00D34381" w:rsidRDefault="00ED47CB" w:rsidP="00A36498">
      <w:pPr>
        <w:pStyle w:val="HChG"/>
      </w:pPr>
      <w:r>
        <w:tab/>
      </w:r>
      <w:r>
        <w:tab/>
        <w:t>Предложения</w:t>
      </w:r>
    </w:p>
    <w:p w14:paraId="788EE95A" w14:textId="77777777" w:rsidR="00ED47CB" w:rsidRPr="00D34381" w:rsidRDefault="00ED47CB" w:rsidP="00ED47CB">
      <w:pPr>
        <w:pStyle w:val="SingleTxtG"/>
        <w:spacing w:before="120"/>
        <w:ind w:left="2268" w:hanging="1134"/>
      </w:pPr>
      <w:r w:rsidRPr="00353A5E">
        <w:rPr>
          <w:b/>
          <w:bCs/>
        </w:rPr>
        <w:t>1.1.4.7.1</w:t>
      </w:r>
      <w:r>
        <w:tab/>
        <w:t>В поправке, содержащейся в приложении II к документу ECE/TRANS/WP.15/AC.1/160, исключить второй абзац.</w:t>
      </w:r>
    </w:p>
    <w:p w14:paraId="1D9B14CA" w14:textId="77777777" w:rsidR="00ED47CB" w:rsidRPr="00D34381" w:rsidRDefault="00ED47CB" w:rsidP="00ED47CB">
      <w:pPr>
        <w:pStyle w:val="SingleTxtG"/>
        <w:spacing w:before="120"/>
        <w:ind w:left="2268" w:hanging="1134"/>
      </w:pPr>
      <w:r w:rsidRPr="00353A5E">
        <w:rPr>
          <w:b/>
          <w:bCs/>
        </w:rPr>
        <w:t>1.1.4.7.2</w:t>
      </w:r>
      <w:r>
        <w:tab/>
        <w:t>В поправке, содержащейся в приложении II к документу ECE/TRANS/WP.15/AC.1/160, исключить подпункт d).</w:t>
      </w:r>
    </w:p>
    <w:p w14:paraId="61793CDB" w14:textId="77777777" w:rsidR="00ED47CB" w:rsidRPr="00D34381" w:rsidRDefault="00ED47CB" w:rsidP="00ED47CB">
      <w:pPr>
        <w:pStyle w:val="SingleTxtG"/>
        <w:spacing w:before="120"/>
        <w:ind w:left="2268" w:hanging="1134"/>
      </w:pPr>
      <w:r w:rsidRPr="00353A5E">
        <w:rPr>
          <w:b/>
          <w:bCs/>
        </w:rPr>
        <w:t>1.1.4.7</w:t>
      </w:r>
      <w:r>
        <w:tab/>
      </w:r>
      <w:r>
        <w:tab/>
        <w:t>После пункта 1.1.4.7.2 включить примечание следующего содержания:</w:t>
      </w:r>
    </w:p>
    <w:p w14:paraId="03209599" w14:textId="77777777" w:rsidR="00ED47CB" w:rsidRPr="00D34381" w:rsidRDefault="00ED47CB" w:rsidP="00ED47CB">
      <w:pPr>
        <w:pStyle w:val="SingleTxtG"/>
        <w:spacing w:before="120"/>
        <w:ind w:left="2268"/>
      </w:pPr>
      <w:r>
        <w:t>«</w:t>
      </w:r>
      <w:r>
        <w:rPr>
          <w:b/>
          <w:bCs/>
        </w:rPr>
        <w:t>ПРИМЕЧАНИЕ:</w:t>
      </w:r>
      <w:r>
        <w:tab/>
      </w:r>
      <w:r>
        <w:tab/>
        <w:t>В отношении перевозки в соответствии с подразделом 1.1.4.7 см. также пункт 5.4.1.1.23.».</w:t>
      </w:r>
    </w:p>
    <w:p w14:paraId="1417C19C" w14:textId="77777777" w:rsidR="00ED47CB" w:rsidRPr="00D34381" w:rsidRDefault="00ED47CB" w:rsidP="00ED47CB">
      <w:pPr>
        <w:pStyle w:val="SingleTxtG"/>
        <w:spacing w:before="120"/>
        <w:ind w:left="2268" w:hanging="1134"/>
      </w:pPr>
      <w:r w:rsidRPr="00353A5E">
        <w:rPr>
          <w:b/>
          <w:bCs/>
        </w:rPr>
        <w:t>5.4.1.1</w:t>
      </w:r>
      <w:r>
        <w:tab/>
      </w:r>
      <w:r>
        <w:tab/>
        <w:t>Включить новый пункт 5.4.1.1.23 следующего содержания:</w:t>
      </w:r>
    </w:p>
    <w:p w14:paraId="6E6B4BE6" w14:textId="77777777" w:rsidR="00ED47CB" w:rsidRPr="00D34381" w:rsidRDefault="00ED47CB" w:rsidP="00ED47CB">
      <w:pPr>
        <w:pStyle w:val="SingleTxtG"/>
        <w:spacing w:before="120"/>
        <w:ind w:left="2268" w:hanging="1134"/>
      </w:pPr>
      <w:r>
        <w:t>«</w:t>
      </w:r>
      <w:r>
        <w:rPr>
          <w:b/>
          <w:bCs/>
        </w:rPr>
        <w:t>5.4.1.1.23</w:t>
      </w:r>
      <w:r>
        <w:tab/>
      </w:r>
      <w:r>
        <w:rPr>
          <w:b/>
          <w:bCs/>
        </w:rPr>
        <w:t>Специальные положения, касающиеся сосудов под давлением многоразового использования, разрешенных Министерством транспорта Соединенных Штатов Америки</w:t>
      </w:r>
    </w:p>
    <w:p w14:paraId="254B9950" w14:textId="0E7998F3" w:rsidR="00ED47CB" w:rsidRPr="00D34381" w:rsidRDefault="00ED47CB" w:rsidP="00ED47CB">
      <w:pPr>
        <w:pStyle w:val="SingleTxtG"/>
        <w:spacing w:before="120"/>
        <w:ind w:left="2268"/>
      </w:pPr>
      <w:r>
        <w:t>При перевозке, осуществляемой в соответствии с подразделом 1.1.4.7, в</w:t>
      </w:r>
      <w:r w:rsidR="00A36498">
        <w:t> </w:t>
      </w:r>
      <w:r>
        <w:t>транспортном документе должна быть сделана следующая запись:</w:t>
      </w:r>
    </w:p>
    <w:p w14:paraId="6045551F" w14:textId="77777777" w:rsidR="00ED47CB" w:rsidRPr="00D34381" w:rsidRDefault="00ED47CB" w:rsidP="00ED47CB">
      <w:pPr>
        <w:pStyle w:val="SingleTxtG"/>
        <w:spacing w:before="120"/>
        <w:ind w:left="2268"/>
      </w:pPr>
      <w:r>
        <w:t>“ПЕРЕВОЗКА В СООТВЕТСТВИИ С ПУНКТОМ 1.1.4.7.1</w:t>
      </w:r>
      <w:r w:rsidRPr="00433B4B">
        <w:t>”</w:t>
      </w:r>
      <w:r>
        <w:t xml:space="preserve"> или</w:t>
      </w:r>
    </w:p>
    <w:p w14:paraId="2C9B43F0" w14:textId="5EDF75E7" w:rsidR="00ED47CB" w:rsidRDefault="00ED47CB" w:rsidP="00ED47CB">
      <w:pPr>
        <w:pStyle w:val="SingleTxtG"/>
        <w:spacing w:before="120"/>
        <w:ind w:left="2268"/>
      </w:pPr>
      <w:r>
        <w:t>“ПЕРЕВОЗКА В СООТВЕТСТВИИ С ПУНКТОМ 1.1.4.7.2</w:t>
      </w:r>
      <w:r w:rsidRPr="00433B4B">
        <w:t>”</w:t>
      </w:r>
      <w:r>
        <w:t xml:space="preserve"> соответственно.».</w:t>
      </w:r>
    </w:p>
    <w:p w14:paraId="742C35B4" w14:textId="5A934BF5" w:rsidR="00ED47CB" w:rsidRPr="00ED47CB" w:rsidRDefault="00ED47CB" w:rsidP="00ED47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47CB" w:rsidRPr="00ED47CB" w:rsidSect="00ED47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E357" w14:textId="77777777" w:rsidR="00197F1F" w:rsidRPr="00A312BC" w:rsidRDefault="00197F1F" w:rsidP="00A312BC"/>
  </w:endnote>
  <w:endnote w:type="continuationSeparator" w:id="0">
    <w:p w14:paraId="67B0A16B" w14:textId="77777777" w:rsidR="00197F1F" w:rsidRPr="00A312BC" w:rsidRDefault="00197F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0D03" w14:textId="3A08083B" w:rsidR="00ED47CB" w:rsidRPr="00ED47CB" w:rsidRDefault="00ED47CB">
    <w:pPr>
      <w:pStyle w:val="Footer"/>
    </w:pPr>
    <w:r w:rsidRPr="00ED47CB">
      <w:rPr>
        <w:b/>
        <w:sz w:val="18"/>
      </w:rPr>
      <w:fldChar w:fldCharType="begin"/>
    </w:r>
    <w:r w:rsidRPr="00ED47CB">
      <w:rPr>
        <w:b/>
        <w:sz w:val="18"/>
      </w:rPr>
      <w:instrText xml:space="preserve"> PAGE  \* MERGEFORMAT </w:instrText>
    </w:r>
    <w:r w:rsidRPr="00ED47CB">
      <w:rPr>
        <w:b/>
        <w:sz w:val="18"/>
      </w:rPr>
      <w:fldChar w:fldCharType="separate"/>
    </w:r>
    <w:r w:rsidRPr="00ED47CB">
      <w:rPr>
        <w:b/>
        <w:noProof/>
        <w:sz w:val="18"/>
      </w:rPr>
      <w:t>2</w:t>
    </w:r>
    <w:r w:rsidRPr="00ED47CB">
      <w:rPr>
        <w:b/>
        <w:sz w:val="18"/>
      </w:rPr>
      <w:fldChar w:fldCharType="end"/>
    </w:r>
    <w:r>
      <w:rPr>
        <w:b/>
        <w:sz w:val="18"/>
      </w:rPr>
      <w:tab/>
    </w:r>
    <w:r>
      <w:t>GE.21-08578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347D" w14:textId="21ADBBA1" w:rsidR="00ED47CB" w:rsidRPr="00ED47CB" w:rsidRDefault="00ED47CB" w:rsidP="00ED47CB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GE.21-08578</w:t>
    </w:r>
    <w:r>
      <w:tab/>
    </w:r>
    <w:r w:rsidRPr="00ED47CB">
      <w:rPr>
        <w:b/>
        <w:sz w:val="18"/>
      </w:rPr>
      <w:fldChar w:fldCharType="begin"/>
    </w:r>
    <w:r w:rsidRPr="00ED47CB">
      <w:rPr>
        <w:b/>
        <w:sz w:val="18"/>
      </w:rPr>
      <w:instrText xml:space="preserve"> PAGE  \* MERGEFORMAT </w:instrText>
    </w:r>
    <w:r w:rsidRPr="00ED47CB">
      <w:rPr>
        <w:b/>
        <w:sz w:val="18"/>
      </w:rPr>
      <w:fldChar w:fldCharType="separate"/>
    </w:r>
    <w:r w:rsidRPr="00ED47CB">
      <w:rPr>
        <w:b/>
        <w:noProof/>
        <w:sz w:val="18"/>
      </w:rPr>
      <w:t>3</w:t>
    </w:r>
    <w:r w:rsidRPr="00ED47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64EF" w14:textId="374EE684" w:rsidR="00042B72" w:rsidRPr="00417128" w:rsidRDefault="00ED47CB" w:rsidP="00ED47C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16438A" wp14:editId="58C59B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21-08578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33202A" wp14:editId="6D36B2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498">
      <w:t xml:space="preserve">  290621  290621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98DD" w14:textId="77777777" w:rsidR="00197F1F" w:rsidRPr="001075E9" w:rsidRDefault="00197F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89676B" w14:textId="77777777" w:rsidR="00197F1F" w:rsidRDefault="00197F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E6490F" w14:textId="77777777" w:rsidR="00ED47CB" w:rsidRPr="006774FA" w:rsidRDefault="00ED47CB" w:rsidP="00ED47CB">
      <w:pPr>
        <w:pStyle w:val="FootnoteText"/>
      </w:pPr>
      <w:r>
        <w:tab/>
      </w:r>
      <w:r w:rsidRPr="00ED47CB">
        <w:rPr>
          <w:sz w:val="20"/>
        </w:rPr>
        <w:t>*</w:t>
      </w:r>
      <w:r>
        <w:t xml:space="preserve"> </w:t>
      </w:r>
      <w:r>
        <w:tab/>
        <w:t>A/75/6 (разд. 20), п. 20.51.</w:t>
      </w:r>
    </w:p>
  </w:footnote>
  <w:footnote w:id="2">
    <w:p w14:paraId="668D9AD7" w14:textId="77777777" w:rsidR="00ED47CB" w:rsidRPr="00D34381" w:rsidRDefault="00ED47CB" w:rsidP="00ED47CB">
      <w:pPr>
        <w:pStyle w:val="FootnoteText"/>
      </w:pPr>
      <w:r>
        <w:tab/>
      </w:r>
      <w:r w:rsidRPr="00A36498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E2AF" w14:textId="7452573D" w:rsidR="00ED47CB" w:rsidRPr="00ED47CB" w:rsidRDefault="00EC25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4F71">
      <w:t>ECE/TRANS/WP.15/AC.1/2021/33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2E07" w14:textId="42902DD8" w:rsidR="00ED47CB" w:rsidRPr="00ED47CB" w:rsidRDefault="00EC25A6" w:rsidP="00ED47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4F71">
      <w:t>ECE/TRANS/WP.15/AC.1/2021/33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F1F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712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F7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649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25A6"/>
    <w:rsid w:val="00ED0BDA"/>
    <w:rsid w:val="00ED47CB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19C40"/>
  <w15:docId w15:val="{78AF7F4F-2773-4000-BAD1-1FCCD4F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D47C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ECE/TRANS/WP.15/AC.1/2021/33</vt:lpstr>
      <vt:lpstr>A/</vt:lpstr>
      <vt:lpstr>A/</vt:lpstr>
    </vt:vector>
  </TitlesOfParts>
  <Company>DCM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ECE/TRANS/WP.15/AC.1/2021/33</dc:title>
  <dc:subject/>
  <dc:creator>Marina KOROTKOVA</dc:creator>
  <cp:keywords/>
  <cp:lastModifiedBy>Christine Barrio-Champeau</cp:lastModifiedBy>
  <cp:revision>2</cp:revision>
  <cp:lastPrinted>2021-06-29T11:51:00Z</cp:lastPrinted>
  <dcterms:created xsi:type="dcterms:W3CDTF">2021-08-10T16:17:00Z</dcterms:created>
  <dcterms:modified xsi:type="dcterms:W3CDTF">2021-08-10T16:17:00Z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