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1276"/>
        <w:gridCol w:w="2268"/>
        <w:gridCol w:w="3260"/>
        <w:gridCol w:w="2552"/>
      </w:tblGrid>
      <w:tr w:rsidR="00DC6949" w:rsidRPr="00A402B2" w14:paraId="650CFA61" w14:textId="77777777" w:rsidTr="003E4B22">
        <w:trPr>
          <w:cantSplit/>
          <w:trHeight w:hRule="exact" w:val="851"/>
        </w:trPr>
        <w:tc>
          <w:tcPr>
            <w:tcW w:w="1276" w:type="dxa"/>
            <w:tcBorders>
              <w:bottom w:val="single" w:sz="4" w:space="0" w:color="000000"/>
            </w:tcBorders>
            <w:shd w:val="clear" w:color="auto" w:fill="auto"/>
            <w:vAlign w:val="bottom"/>
          </w:tcPr>
          <w:p w14:paraId="337C3396" w14:textId="77777777" w:rsidR="00DC6949" w:rsidRDefault="00DC6949" w:rsidP="00D666EE">
            <w:pPr>
              <w:snapToGrid w:val="0"/>
              <w:spacing w:after="80"/>
              <w:ind w:left="1276"/>
            </w:pPr>
          </w:p>
        </w:tc>
        <w:tc>
          <w:tcPr>
            <w:tcW w:w="2268" w:type="dxa"/>
            <w:tcBorders>
              <w:bottom w:val="single" w:sz="4" w:space="0" w:color="000000"/>
            </w:tcBorders>
            <w:shd w:val="clear" w:color="auto" w:fill="auto"/>
            <w:vAlign w:val="bottom"/>
          </w:tcPr>
          <w:p w14:paraId="3ED3C381" w14:textId="77777777" w:rsidR="00DC6949" w:rsidRPr="00A402B2" w:rsidRDefault="00DC6949" w:rsidP="003B2CF1">
            <w:pPr>
              <w:spacing w:after="80" w:line="300" w:lineRule="exact"/>
              <w:ind w:left="143"/>
              <w:jc w:val="both"/>
            </w:pPr>
            <w:r w:rsidRPr="00A402B2">
              <w:rPr>
                <w:sz w:val="28"/>
                <w:szCs w:val="28"/>
              </w:rPr>
              <w:t>United Nations</w:t>
            </w:r>
          </w:p>
        </w:tc>
        <w:tc>
          <w:tcPr>
            <w:tcW w:w="5812" w:type="dxa"/>
            <w:gridSpan w:val="2"/>
            <w:tcBorders>
              <w:bottom w:val="single" w:sz="4" w:space="0" w:color="000000"/>
            </w:tcBorders>
            <w:shd w:val="clear" w:color="auto" w:fill="auto"/>
            <w:vAlign w:val="bottom"/>
          </w:tcPr>
          <w:p w14:paraId="5D0006AD" w14:textId="77777777" w:rsidR="00DC6949" w:rsidRPr="00A402B2" w:rsidRDefault="00DC6949" w:rsidP="00D666EE">
            <w:pPr>
              <w:ind w:left="1276"/>
              <w:jc w:val="right"/>
            </w:pPr>
            <w:r w:rsidRPr="00A402B2">
              <w:rPr>
                <w:sz w:val="40"/>
              </w:rPr>
              <w:t>ECE</w:t>
            </w:r>
            <w:r w:rsidRPr="00A402B2">
              <w:t>/MP.PP/20</w:t>
            </w:r>
            <w:r w:rsidR="008D7FB7" w:rsidRPr="00A402B2">
              <w:t>21</w:t>
            </w:r>
            <w:r w:rsidRPr="00A402B2">
              <w:t>/</w:t>
            </w:r>
            <w:r w:rsidR="008D7FB7" w:rsidRPr="00A402B2">
              <w:t>XX</w:t>
            </w:r>
          </w:p>
        </w:tc>
      </w:tr>
      <w:tr w:rsidR="00DC6949" w:rsidRPr="00A402B2" w14:paraId="7429E612" w14:textId="77777777" w:rsidTr="003E4B22">
        <w:trPr>
          <w:cantSplit/>
          <w:trHeight w:hRule="exact" w:val="2835"/>
        </w:trPr>
        <w:tc>
          <w:tcPr>
            <w:tcW w:w="1276" w:type="dxa"/>
            <w:tcBorders>
              <w:top w:val="single" w:sz="4" w:space="0" w:color="000000"/>
              <w:bottom w:val="single" w:sz="12" w:space="0" w:color="000000"/>
            </w:tcBorders>
            <w:shd w:val="clear" w:color="auto" w:fill="auto"/>
          </w:tcPr>
          <w:p w14:paraId="3DEE4BC8" w14:textId="207C5E20" w:rsidR="00DC6949" w:rsidRPr="00A402B2" w:rsidRDefault="003E6CE3" w:rsidP="00D666EE">
            <w:pPr>
              <w:spacing w:before="120"/>
              <w:ind w:left="1276"/>
              <w:rPr>
                <w:b/>
                <w:sz w:val="40"/>
                <w:szCs w:val="40"/>
              </w:rPr>
            </w:pPr>
            <w:r>
              <w:rPr>
                <w:noProof/>
              </w:rPr>
              <w:drawing>
                <wp:inline distT="0" distB="0" distL="0" distR="0" wp14:anchorId="50A80A3C" wp14:editId="3BC719A3">
                  <wp:extent cx="704850" cy="590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solidFill>
                            <a:srgbClr val="FFFFFF"/>
                          </a:solidFill>
                          <a:ln>
                            <a:noFill/>
                          </a:ln>
                        </pic:spPr>
                      </pic:pic>
                    </a:graphicData>
                  </a:graphic>
                </wp:inline>
              </w:drawing>
            </w:r>
          </w:p>
        </w:tc>
        <w:tc>
          <w:tcPr>
            <w:tcW w:w="5528" w:type="dxa"/>
            <w:gridSpan w:val="2"/>
            <w:tcBorders>
              <w:top w:val="single" w:sz="4" w:space="0" w:color="000000"/>
              <w:bottom w:val="single" w:sz="12" w:space="0" w:color="000000"/>
            </w:tcBorders>
            <w:shd w:val="clear" w:color="auto" w:fill="auto"/>
          </w:tcPr>
          <w:p w14:paraId="79DE0AC0" w14:textId="77777777" w:rsidR="00DC6949" w:rsidRPr="00A402B2" w:rsidRDefault="00DC6949" w:rsidP="003B2CF1">
            <w:pPr>
              <w:spacing w:before="120" w:line="420" w:lineRule="exact"/>
              <w:ind w:left="143"/>
              <w:jc w:val="both"/>
            </w:pPr>
            <w:r w:rsidRPr="00A402B2">
              <w:rPr>
                <w:b/>
                <w:sz w:val="40"/>
                <w:szCs w:val="40"/>
              </w:rPr>
              <w:t>Economic and Social Council</w:t>
            </w:r>
          </w:p>
        </w:tc>
        <w:tc>
          <w:tcPr>
            <w:tcW w:w="2552" w:type="dxa"/>
            <w:tcBorders>
              <w:top w:val="single" w:sz="4" w:space="0" w:color="000000"/>
              <w:bottom w:val="single" w:sz="12" w:space="0" w:color="000000"/>
            </w:tcBorders>
            <w:shd w:val="clear" w:color="auto" w:fill="auto"/>
          </w:tcPr>
          <w:p w14:paraId="564F5272" w14:textId="77777777" w:rsidR="00DC6949" w:rsidRPr="00A402B2" w:rsidRDefault="00DC6949" w:rsidP="00D666EE">
            <w:pPr>
              <w:spacing w:before="240" w:line="240" w:lineRule="exact"/>
              <w:ind w:left="1276"/>
            </w:pPr>
            <w:r w:rsidRPr="00A402B2">
              <w:t>Distr.: General</w:t>
            </w:r>
          </w:p>
          <w:p w14:paraId="3C1AD26E" w14:textId="77777777" w:rsidR="00DC6949" w:rsidRPr="00A402B2" w:rsidRDefault="00DC6949" w:rsidP="00D666EE">
            <w:pPr>
              <w:spacing w:line="240" w:lineRule="exact"/>
              <w:ind w:left="1276"/>
            </w:pPr>
            <w:r w:rsidRPr="00A402B2">
              <w:t>XX</w:t>
            </w:r>
            <w:r w:rsidR="00555E8B" w:rsidRPr="00A402B2">
              <w:t xml:space="preserve"> Ju</w:t>
            </w:r>
            <w:r w:rsidR="00DA2F90" w:rsidRPr="00A402B2">
              <w:t>ly</w:t>
            </w:r>
            <w:r w:rsidRPr="00A402B2">
              <w:t xml:space="preserve"> 20</w:t>
            </w:r>
            <w:r w:rsidR="008D7FB7" w:rsidRPr="00A402B2">
              <w:t>21</w:t>
            </w:r>
          </w:p>
          <w:p w14:paraId="6C0798D4" w14:textId="77777777" w:rsidR="00DC6949" w:rsidRPr="00A402B2" w:rsidRDefault="00DC6949" w:rsidP="00D666EE">
            <w:pPr>
              <w:spacing w:line="240" w:lineRule="exact"/>
              <w:ind w:left="1276"/>
            </w:pPr>
          </w:p>
          <w:p w14:paraId="7A7EF92B" w14:textId="77777777" w:rsidR="00DC6949" w:rsidRPr="00A402B2" w:rsidRDefault="00DC6949" w:rsidP="00D666EE">
            <w:pPr>
              <w:spacing w:line="240" w:lineRule="exact"/>
              <w:ind w:left="1276"/>
            </w:pPr>
            <w:r w:rsidRPr="00A402B2">
              <w:t>Original: English</w:t>
            </w:r>
          </w:p>
        </w:tc>
      </w:tr>
    </w:tbl>
    <w:p w14:paraId="066C3FB2" w14:textId="77777777" w:rsidR="00827336" w:rsidRPr="00A402B2" w:rsidRDefault="00827336" w:rsidP="00D666EE">
      <w:pPr>
        <w:spacing w:before="120"/>
        <w:ind w:left="1276" w:right="1133"/>
      </w:pPr>
      <w:r w:rsidRPr="00A402B2">
        <w:rPr>
          <w:b/>
          <w:sz w:val="28"/>
          <w:szCs w:val="28"/>
        </w:rPr>
        <w:t>Economic Commission for Europe</w:t>
      </w:r>
    </w:p>
    <w:p w14:paraId="01D44C96" w14:textId="77777777" w:rsidR="00827336" w:rsidRPr="00A402B2" w:rsidRDefault="00827336" w:rsidP="00D666EE">
      <w:pPr>
        <w:spacing w:before="120"/>
        <w:ind w:left="1276" w:right="1133"/>
      </w:pPr>
      <w:r w:rsidRPr="00A402B2">
        <w:rPr>
          <w:sz w:val="28"/>
          <w:szCs w:val="28"/>
        </w:rPr>
        <w:t>Meeting of the Parties to the Convention on</w:t>
      </w:r>
      <w:r w:rsidRPr="00A402B2">
        <w:rPr>
          <w:sz w:val="28"/>
          <w:szCs w:val="28"/>
        </w:rPr>
        <w:br/>
        <w:t>Access to Information, Public Participation</w:t>
      </w:r>
      <w:r w:rsidRPr="00A402B2">
        <w:rPr>
          <w:sz w:val="28"/>
          <w:szCs w:val="28"/>
        </w:rPr>
        <w:br/>
        <w:t>in Decision-making and Access to Justice</w:t>
      </w:r>
      <w:r w:rsidRPr="00A402B2">
        <w:rPr>
          <w:sz w:val="28"/>
          <w:szCs w:val="28"/>
        </w:rPr>
        <w:br/>
        <w:t>in Environmental Matters</w:t>
      </w:r>
    </w:p>
    <w:p w14:paraId="488ABD74" w14:textId="7322E975" w:rsidR="00827336" w:rsidRPr="00A402B2" w:rsidRDefault="00B30588" w:rsidP="00D666EE">
      <w:pPr>
        <w:spacing w:before="120"/>
        <w:ind w:left="1276" w:right="1133"/>
      </w:pPr>
      <w:r w:rsidRPr="00A402B2">
        <w:rPr>
          <w:b/>
        </w:rPr>
        <w:t>Seventh</w:t>
      </w:r>
      <w:r w:rsidR="00827336" w:rsidRPr="00A402B2">
        <w:rPr>
          <w:b/>
        </w:rPr>
        <w:t xml:space="preserve"> session</w:t>
      </w:r>
      <w:r w:rsidR="00827336" w:rsidRPr="00A402B2">
        <w:br/>
      </w:r>
      <w:r w:rsidRPr="00A402B2">
        <w:t>Geneva</w:t>
      </w:r>
      <w:r w:rsidR="00827336" w:rsidRPr="00A402B2">
        <w:t xml:space="preserve">, </w:t>
      </w:r>
      <w:r w:rsidRPr="00A402B2">
        <w:t>18</w:t>
      </w:r>
      <w:r w:rsidR="00827336" w:rsidRPr="00A402B2">
        <w:t xml:space="preserve"> – </w:t>
      </w:r>
      <w:r w:rsidRPr="00A402B2">
        <w:t>2</w:t>
      </w:r>
      <w:r w:rsidR="00702E83">
        <w:t>0</w:t>
      </w:r>
      <w:r w:rsidR="005855B3" w:rsidRPr="00A402B2">
        <w:t xml:space="preserve"> </w:t>
      </w:r>
      <w:r w:rsidRPr="00A402B2">
        <w:t>October</w:t>
      </w:r>
      <w:r w:rsidR="00827336" w:rsidRPr="00A402B2">
        <w:t xml:space="preserve"> 20</w:t>
      </w:r>
      <w:r w:rsidRPr="00A402B2">
        <w:t>21</w:t>
      </w:r>
    </w:p>
    <w:p w14:paraId="0D92F65E" w14:textId="1B54C435" w:rsidR="00827336" w:rsidRPr="00A402B2" w:rsidRDefault="00827336" w:rsidP="00D666EE">
      <w:pPr>
        <w:ind w:left="1276" w:right="1133"/>
      </w:pPr>
      <w:r w:rsidRPr="00A402B2">
        <w:t xml:space="preserve">Item </w:t>
      </w:r>
      <w:r w:rsidR="00282BD5">
        <w:t>xx</w:t>
      </w:r>
      <w:r w:rsidR="00B771E4" w:rsidRPr="00A402B2">
        <w:t xml:space="preserve"> </w:t>
      </w:r>
      <w:r w:rsidRPr="00A402B2">
        <w:t>(</w:t>
      </w:r>
      <w:r w:rsidR="00282BD5">
        <w:t>x</w:t>
      </w:r>
      <w:r w:rsidRPr="00A402B2">
        <w:t>) of the provisional agenda</w:t>
      </w:r>
    </w:p>
    <w:p w14:paraId="5A023BDB" w14:textId="77777777" w:rsidR="00827336" w:rsidRDefault="00827336" w:rsidP="00D666EE">
      <w:pPr>
        <w:ind w:left="1276" w:right="1133"/>
      </w:pPr>
      <w:r w:rsidRPr="00A402B2">
        <w:rPr>
          <w:b/>
        </w:rPr>
        <w:t>Procedures and mechanisms facilitating the implementation of the Convention:</w:t>
      </w:r>
      <w:r w:rsidRPr="00A402B2">
        <w:rPr>
          <w:b/>
        </w:rPr>
        <w:br/>
        <w:t>Compliance mechanism</w:t>
      </w:r>
    </w:p>
    <w:p w14:paraId="22BF13E2" w14:textId="49F5BA60" w:rsidR="00827336" w:rsidRDefault="00827336" w:rsidP="00D666EE">
      <w:pPr>
        <w:pStyle w:val="HChG"/>
        <w:ind w:left="1276" w:right="1133" w:firstLine="0"/>
      </w:pPr>
      <w:r>
        <w:tab/>
      </w:r>
      <w:r>
        <w:tab/>
      </w:r>
      <w:r w:rsidR="00A402B2">
        <w:t>Draft r</w:t>
      </w:r>
      <w:r>
        <w:t>eport of the Compliance Committee</w:t>
      </w:r>
    </w:p>
    <w:p w14:paraId="176A77FB" w14:textId="5FF3A135" w:rsidR="00827336" w:rsidRDefault="00827336" w:rsidP="00282BD5">
      <w:pPr>
        <w:pStyle w:val="H1G"/>
        <w:ind w:left="1276" w:right="140" w:firstLine="0"/>
        <w:jc w:val="both"/>
      </w:pPr>
      <w:r>
        <w:tab/>
      </w:r>
      <w:r w:rsidR="00282BD5">
        <w:tab/>
      </w:r>
      <w:r>
        <w:t xml:space="preserve">Compliance by </w:t>
      </w:r>
      <w:r w:rsidR="00026576">
        <w:t>Spain</w:t>
      </w:r>
      <w:r>
        <w:t xml:space="preserve"> with its obligations under the Convention</w:t>
      </w:r>
    </w:p>
    <w:tbl>
      <w:tblPr>
        <w:tblW w:w="8401" w:type="dxa"/>
        <w:tblInd w:w="1271" w:type="dxa"/>
        <w:tblLayout w:type="fixed"/>
        <w:tblCellMar>
          <w:left w:w="0" w:type="dxa"/>
          <w:right w:w="0" w:type="dxa"/>
        </w:tblCellMar>
        <w:tblLook w:val="0000" w:firstRow="0" w:lastRow="0" w:firstColumn="0" w:lastColumn="0" w:noHBand="0" w:noVBand="0"/>
      </w:tblPr>
      <w:tblGrid>
        <w:gridCol w:w="8401"/>
      </w:tblGrid>
      <w:tr w:rsidR="00827336" w14:paraId="3BAB2DF4" w14:textId="77777777" w:rsidTr="00282BD5">
        <w:tc>
          <w:tcPr>
            <w:tcW w:w="8401" w:type="dxa"/>
            <w:tcBorders>
              <w:top w:val="single" w:sz="4" w:space="0" w:color="000000"/>
              <w:left w:val="single" w:sz="4" w:space="0" w:color="000000"/>
              <w:right w:val="single" w:sz="4" w:space="0" w:color="000000"/>
            </w:tcBorders>
            <w:shd w:val="clear" w:color="auto" w:fill="auto"/>
          </w:tcPr>
          <w:p w14:paraId="6A899878" w14:textId="77777777" w:rsidR="00827336" w:rsidRDefault="00827336" w:rsidP="00D666EE">
            <w:pPr>
              <w:pStyle w:val="SingleTxtG"/>
              <w:spacing w:before="240"/>
              <w:ind w:left="1276" w:right="1133"/>
            </w:pPr>
            <w:r>
              <w:rPr>
                <w:i/>
                <w:sz w:val="24"/>
                <w:szCs w:val="24"/>
              </w:rPr>
              <w:t>Summary</w:t>
            </w:r>
          </w:p>
        </w:tc>
      </w:tr>
      <w:tr w:rsidR="00827336" w14:paraId="1C3D9094" w14:textId="77777777" w:rsidTr="00282BD5">
        <w:tc>
          <w:tcPr>
            <w:tcW w:w="8401" w:type="dxa"/>
            <w:tcBorders>
              <w:left w:val="single" w:sz="4" w:space="0" w:color="000000"/>
              <w:right w:val="single" w:sz="4" w:space="0" w:color="000000"/>
            </w:tcBorders>
            <w:shd w:val="clear" w:color="auto" w:fill="auto"/>
          </w:tcPr>
          <w:p w14:paraId="310EB4DF" w14:textId="571E7BD0" w:rsidR="00827336" w:rsidRDefault="00827336" w:rsidP="00D666EE">
            <w:pPr>
              <w:pStyle w:val="SingleTxtG"/>
              <w:ind w:left="1276" w:right="1133"/>
            </w:pPr>
            <w:r>
              <w:t xml:space="preserve">This document is prepared by the Compliance Committee pursuant to the request set out in paragraph </w:t>
            </w:r>
            <w:r w:rsidR="000E0097">
              <w:t>21</w:t>
            </w:r>
            <w:r>
              <w:t xml:space="preserve"> of decision V</w:t>
            </w:r>
            <w:r w:rsidR="000E0097">
              <w:t>I</w:t>
            </w:r>
            <w:r>
              <w:t>/</w:t>
            </w:r>
            <w:r w:rsidR="000E0097">
              <w:t>8</w:t>
            </w:r>
            <w:r>
              <w:t xml:space="preserve"> of the Meeting of the Parties (</w:t>
            </w:r>
            <w:r w:rsidR="000E0097" w:rsidRPr="000E0097">
              <w:rPr>
                <w:color w:val="000000"/>
              </w:rPr>
              <w:t>ECE/MP.PP/2017/2/Add.1</w:t>
            </w:r>
            <w:r>
              <w:t>) and in accordance with the Committee’s mandate set out in paragraph 35 of the annex to decision I/7 of the Meeting of the Parties on review of compliance (ECE/MP.PP/2/Add.8).</w:t>
            </w:r>
            <w:r w:rsidR="000E0097">
              <w:t xml:space="preserve"> </w:t>
            </w:r>
          </w:p>
        </w:tc>
      </w:tr>
      <w:tr w:rsidR="00827336" w14:paraId="336F0D77" w14:textId="77777777" w:rsidTr="00282BD5">
        <w:tc>
          <w:tcPr>
            <w:tcW w:w="8401" w:type="dxa"/>
            <w:tcBorders>
              <w:left w:val="single" w:sz="4" w:space="0" w:color="000000"/>
              <w:bottom w:val="single" w:sz="4" w:space="0" w:color="000000"/>
              <w:right w:val="single" w:sz="4" w:space="0" w:color="000000"/>
            </w:tcBorders>
            <w:shd w:val="clear" w:color="auto" w:fill="auto"/>
          </w:tcPr>
          <w:p w14:paraId="00E02EC6" w14:textId="77777777" w:rsidR="00827336" w:rsidRDefault="00827336" w:rsidP="00D666EE">
            <w:pPr>
              <w:snapToGrid w:val="0"/>
              <w:ind w:left="1276" w:right="1133"/>
              <w:jc w:val="both"/>
            </w:pPr>
          </w:p>
        </w:tc>
      </w:tr>
    </w:tbl>
    <w:p w14:paraId="4664562A" w14:textId="77777777" w:rsidR="00827336" w:rsidRDefault="00827336" w:rsidP="00D666EE">
      <w:pPr>
        <w:pStyle w:val="SingleTxtG"/>
        <w:pageBreakBefore/>
        <w:ind w:left="1276" w:right="1133"/>
      </w:pPr>
      <w:r>
        <w:lastRenderedPageBreak/>
        <w:tab/>
      </w:r>
    </w:p>
    <w:p w14:paraId="124A56A0" w14:textId="1E77FA12" w:rsidR="00827336" w:rsidRDefault="00827336" w:rsidP="00D666EE">
      <w:pPr>
        <w:pStyle w:val="HChG"/>
        <w:numPr>
          <w:ilvl w:val="3"/>
          <w:numId w:val="12"/>
        </w:numPr>
        <w:spacing w:before="0"/>
        <w:ind w:left="1276" w:right="1133" w:firstLine="0"/>
        <w:jc w:val="both"/>
        <w:rPr>
          <w:rFonts w:eastAsia="Calibri"/>
        </w:rPr>
      </w:pPr>
      <w:r>
        <w:rPr>
          <w:rFonts w:eastAsia="Calibri"/>
        </w:rPr>
        <w:t xml:space="preserve">Introduction </w:t>
      </w:r>
    </w:p>
    <w:p w14:paraId="3A915685" w14:textId="2AD37068" w:rsidR="00D666EE" w:rsidRDefault="00D666EE" w:rsidP="00D666EE">
      <w:pPr>
        <w:pStyle w:val="NumberedParas"/>
        <w:ind w:left="1276" w:firstLine="0"/>
      </w:pPr>
      <w:r w:rsidRPr="00AB652B">
        <w:t>At its sixth session (Budva, Montenegro, 11-13 September 2017), the Meeting of the Parties to the Convention on Access to Information, Public Participation in Decision-making and Access to Justice in Environmental Matters (Aarhus Convention) adopted decision VI/8j on compliance by Spain with its obligations under the Convention (see ECE/MP.PP/2017/2/Add.1).</w:t>
      </w:r>
    </w:p>
    <w:p w14:paraId="0C8C1E6D" w14:textId="77777777" w:rsidR="00D666EE" w:rsidRPr="00AB652B" w:rsidRDefault="00D666EE" w:rsidP="00D666EE">
      <w:pPr>
        <w:pStyle w:val="NumberedParas"/>
        <w:numPr>
          <w:ilvl w:val="0"/>
          <w:numId w:val="0"/>
        </w:numPr>
        <w:ind w:left="1276"/>
      </w:pPr>
    </w:p>
    <w:p w14:paraId="74B0FF8F" w14:textId="77777777" w:rsidR="00D666EE" w:rsidRPr="00D666EE" w:rsidRDefault="00D666EE" w:rsidP="00D666EE">
      <w:pPr>
        <w:pStyle w:val="HChG"/>
        <w:numPr>
          <w:ilvl w:val="3"/>
          <w:numId w:val="12"/>
        </w:numPr>
        <w:spacing w:before="0"/>
        <w:ind w:left="1276" w:right="1133" w:firstLine="0"/>
        <w:jc w:val="both"/>
        <w:rPr>
          <w:rFonts w:eastAsia="Calibri"/>
        </w:rPr>
      </w:pPr>
      <w:r w:rsidRPr="00D666EE">
        <w:rPr>
          <w:rFonts w:eastAsia="Calibri"/>
        </w:rPr>
        <w:t xml:space="preserve">Summary of follow-up </w:t>
      </w:r>
    </w:p>
    <w:p w14:paraId="45490995" w14:textId="77777777" w:rsidR="00D666EE" w:rsidRPr="00AB652B" w:rsidRDefault="00D666EE" w:rsidP="00D666EE">
      <w:pPr>
        <w:pStyle w:val="NumberedParas"/>
        <w:ind w:left="1276" w:firstLine="0"/>
      </w:pPr>
      <w:r w:rsidRPr="00AB652B">
        <w:t xml:space="preserve">At its sixtieth meeting (Geneva, 12-15 March 2018), the Committee reviewed the implementation of decision VI/8j in open session with the participation by audio conference of representatives of the Party concerned, and the communicants of communications ACCC/C/2008/24 and ACCC/C/2014/99. During the session, the Party concerned sought the Committee’s view on whether certain proposed measures would fulfil paragraph 7 of decision VI/8j. The Chair requested that the Party concerned provide its request for advice in writing and the Party concerned duly did so directly after the session. </w:t>
      </w:r>
    </w:p>
    <w:p w14:paraId="1E01840E" w14:textId="77777777" w:rsidR="00D666EE" w:rsidRPr="00AB652B" w:rsidRDefault="00D666EE" w:rsidP="00D666EE">
      <w:pPr>
        <w:pStyle w:val="NumberedParas"/>
        <w:ind w:left="1276" w:firstLine="0"/>
      </w:pPr>
      <w:r w:rsidRPr="00AB652B">
        <w:t>On 6 May 2018, the communicant of communication ACCC/C/2008/24 submitted the text of a legislative proposal on legal aid that had been submitted by a political party in the Party concerned to the government for its consideration.</w:t>
      </w:r>
    </w:p>
    <w:p w14:paraId="3B33C848" w14:textId="77777777" w:rsidR="00D666EE" w:rsidRPr="00AB652B" w:rsidRDefault="00D666EE" w:rsidP="00D666EE">
      <w:pPr>
        <w:pStyle w:val="NumberedParas"/>
        <w:ind w:left="1276" w:firstLine="0"/>
      </w:pPr>
      <w:r w:rsidRPr="00AB652B">
        <w:t>On 22 August 2018, the secretariat sent a letter to the Party concerned enclosing the Committee’s advice regarding its request for advice on paragraph 7 of decision VI/8j.</w:t>
      </w:r>
    </w:p>
    <w:p w14:paraId="4C9738AA" w14:textId="77777777" w:rsidR="00D666EE" w:rsidRPr="00AB652B" w:rsidRDefault="00D666EE" w:rsidP="00D666EE">
      <w:pPr>
        <w:pStyle w:val="NumberedParas"/>
        <w:ind w:left="1276" w:firstLine="0"/>
      </w:pPr>
      <w:r w:rsidRPr="00AB652B">
        <w:t>On 28 September 2018, the Party concerned submitted its first progress report on decision VI/8j, on time.</w:t>
      </w:r>
    </w:p>
    <w:p w14:paraId="6065A8AC" w14:textId="77777777" w:rsidR="00D666EE" w:rsidRPr="00AB652B" w:rsidRDefault="00D666EE" w:rsidP="00D666EE">
      <w:pPr>
        <w:pStyle w:val="NumberedParas"/>
        <w:ind w:left="1276" w:firstLine="0"/>
      </w:pPr>
      <w:r w:rsidRPr="00AB652B">
        <w:t>On 5 October 2018, the secretariat forwarded the first progress report to the communicants of communications ACCC/C/2008/24, ACCC/C/2009/36 and ACCC/C/2014/99, inviting their comments by 1 November 2018.</w:t>
      </w:r>
    </w:p>
    <w:p w14:paraId="3704C34C" w14:textId="77777777" w:rsidR="00D666EE" w:rsidRPr="00AB652B" w:rsidRDefault="00D666EE" w:rsidP="00D666EE">
      <w:pPr>
        <w:pStyle w:val="NumberedParas"/>
        <w:ind w:left="1276" w:firstLine="0"/>
      </w:pPr>
      <w:r w:rsidRPr="00AB652B">
        <w:t>On 8 October 2018, the communicant of communication ACCC/C/2009/36 provided comments on the first progress report of the Party concerned. On 31 October 2018, the communicants of communications ACCC/C/2008/24 and ACCC/C/2014/99 provided comments on the first progress report.</w:t>
      </w:r>
    </w:p>
    <w:p w14:paraId="4CC51B44" w14:textId="77777777" w:rsidR="00D666EE" w:rsidRPr="00AB652B" w:rsidRDefault="00D666EE" w:rsidP="00D666EE">
      <w:pPr>
        <w:pStyle w:val="NumberedParas"/>
        <w:ind w:left="1276" w:firstLine="0"/>
      </w:pPr>
      <w:r w:rsidRPr="00AB652B">
        <w:t xml:space="preserve">After taking into account the information received, the Committee prepared its first progress review and adopted it through its electronic decision-making procedure on </w:t>
      </w:r>
      <w:r w:rsidRPr="00AB652B">
        <w:br/>
        <w:t xml:space="preserve">18 February 2019.  </w:t>
      </w:r>
      <w:r>
        <w:t>On 26 February, the secretariat sent</w:t>
      </w:r>
      <w:r w:rsidRPr="00AB652B">
        <w:t xml:space="preserve"> the </w:t>
      </w:r>
      <w:r>
        <w:t xml:space="preserve">Committee’s </w:t>
      </w:r>
      <w:r w:rsidRPr="00AB652B">
        <w:t xml:space="preserve">first progress review to the Party concerned and the communicants of communications ACCC/C/2008/24, ACCC/C/2009/36 and ACCC/C/2014/99. </w:t>
      </w:r>
    </w:p>
    <w:p w14:paraId="40B3E5AE" w14:textId="77777777" w:rsidR="00D666EE" w:rsidRPr="00AB652B" w:rsidRDefault="00D666EE" w:rsidP="00D666EE">
      <w:pPr>
        <w:pStyle w:val="NumberedParas"/>
        <w:ind w:left="1276" w:firstLine="0"/>
      </w:pPr>
      <w:bookmarkStart w:id="0" w:name="_Hlk23943452"/>
      <w:r w:rsidRPr="00AB652B">
        <w:t xml:space="preserve">At its sixty-third meeting (Geneva, 11-15 March 2019), </w:t>
      </w:r>
      <w:bookmarkEnd w:id="0"/>
      <w:r w:rsidRPr="00AB652B">
        <w:t>the Committee reviewed the implementation of decision VI/8j in open session, with the participation by audio conference of a representative of the Party concerned. Though invited, the communicants of communications ACCC/C/2008/24, ACCC/C/2009/36 and ACCC/C/2014/99 did not take part in the open session.</w:t>
      </w:r>
    </w:p>
    <w:p w14:paraId="507F2637" w14:textId="77777777" w:rsidR="00D666EE" w:rsidRPr="00AB652B" w:rsidRDefault="00D666EE" w:rsidP="00D666EE">
      <w:pPr>
        <w:pStyle w:val="NumberedParas"/>
        <w:ind w:left="1276" w:firstLine="0"/>
      </w:pPr>
      <w:r w:rsidRPr="00AB652B">
        <w:lastRenderedPageBreak/>
        <w:t>On 19 March 2019, the communicants of communications ACCC/C/2008/24 and ACCC/C/2009/36 provided their comments on the statement of the Party concerned delivered at the open session on decision VI/8j at the Committee’s sixty-third meeting.</w:t>
      </w:r>
    </w:p>
    <w:p w14:paraId="38E9FC4C" w14:textId="77777777" w:rsidR="00D666EE" w:rsidRPr="00AB652B" w:rsidRDefault="00D666EE" w:rsidP="00D666EE">
      <w:pPr>
        <w:pStyle w:val="NumberedParas"/>
        <w:ind w:left="1276" w:firstLine="0"/>
      </w:pPr>
      <w:r w:rsidRPr="00AB652B">
        <w:t>On 24 July 2019, the secretariat sent the Party concerned a letter reminding the Party concerned of the deadline set out in paragraph 8(a) of decision VI/8j for it to submit its second progress report by 1 October 2019.</w:t>
      </w:r>
    </w:p>
    <w:p w14:paraId="0380D42B" w14:textId="77777777" w:rsidR="00D666EE" w:rsidRPr="00AB652B" w:rsidRDefault="00D666EE" w:rsidP="00D666EE">
      <w:pPr>
        <w:pStyle w:val="NumberedParas"/>
        <w:ind w:left="1276" w:firstLine="0"/>
      </w:pPr>
      <w:r w:rsidRPr="00AB652B">
        <w:t>On 1 October 2019, the Party concerned provided its second progress report, on time.</w:t>
      </w:r>
    </w:p>
    <w:p w14:paraId="00581FF6" w14:textId="77777777" w:rsidR="00D666EE" w:rsidRPr="00AB652B" w:rsidRDefault="00D666EE" w:rsidP="00D666EE">
      <w:pPr>
        <w:pStyle w:val="NumberedParas"/>
        <w:ind w:left="1276" w:firstLine="0"/>
      </w:pPr>
      <w:r w:rsidRPr="00AB652B">
        <w:t>On 2 October 2019, the secretariat forwarded the second progress report of the Party concerned to the communicants of communications ACCC/C/2008/24, ACCC/C/2009/36 and ACCC/C/2014/99 for their comments thereon.</w:t>
      </w:r>
    </w:p>
    <w:p w14:paraId="4FCEC588" w14:textId="77777777" w:rsidR="00D666EE" w:rsidRDefault="00D666EE" w:rsidP="00D666EE">
      <w:pPr>
        <w:pStyle w:val="NumberedParas"/>
        <w:ind w:left="1276" w:firstLine="0"/>
      </w:pPr>
      <w:r w:rsidRPr="00AB652B">
        <w:t>On 30 October 2019, the communicants of communications ACCC/C/2008/24 and ACCC/C/2014/99 each provided their comments on the second progress report</w:t>
      </w:r>
      <w:r>
        <w:t xml:space="preserve"> of the Party concerned</w:t>
      </w:r>
      <w:r w:rsidRPr="00AB652B">
        <w:t>.</w:t>
      </w:r>
    </w:p>
    <w:p w14:paraId="4A7CCFD8" w14:textId="77777777" w:rsidR="00D666EE" w:rsidRDefault="00D666EE" w:rsidP="00D666EE">
      <w:pPr>
        <w:pStyle w:val="NumberedParas"/>
        <w:ind w:left="1276" w:firstLine="0"/>
      </w:pPr>
      <w:r w:rsidRPr="00AB652B">
        <w:t xml:space="preserve">After taking into account the information received, the Committee prepared its second progress review and adopted it through its electronic decision-making procedure on </w:t>
      </w:r>
      <w:r>
        <w:t xml:space="preserve">1 March </w:t>
      </w:r>
      <w:r w:rsidRPr="00AB652B">
        <w:t xml:space="preserve">2020.  </w:t>
      </w:r>
      <w:r>
        <w:t>On 2 March 2020, the secretariat sent</w:t>
      </w:r>
      <w:r w:rsidRPr="00AB652B">
        <w:t xml:space="preserve"> the </w:t>
      </w:r>
      <w:r>
        <w:t xml:space="preserve">Committee’s </w:t>
      </w:r>
      <w:r w:rsidRPr="00AB652B">
        <w:t>second progress review to the Party concerned and the communicants of communications ACCC/C/2008/24, ACCC/C/2009/36 and ACCC/C/2014/99.</w:t>
      </w:r>
    </w:p>
    <w:p w14:paraId="313E66BD" w14:textId="77777777" w:rsidR="00D666EE" w:rsidRDefault="00D666EE" w:rsidP="00D666EE">
      <w:pPr>
        <w:pStyle w:val="NumberedParas"/>
        <w:ind w:left="1276" w:firstLine="0"/>
      </w:pPr>
      <w:r w:rsidRPr="00AB652B">
        <w:t>At its sixty-</w:t>
      </w:r>
      <w:r>
        <w:t>sixth</w:t>
      </w:r>
      <w:r w:rsidRPr="00AB652B">
        <w:t xml:space="preserve"> meeting (Geneva, </w:t>
      </w:r>
      <w:r>
        <w:t>9-13 March 2020</w:t>
      </w:r>
      <w:r w:rsidRPr="00AB652B">
        <w:t>), the Committee reviewed the implementation of decision VI/8j in open session, with the participation by audio conferenc</w:t>
      </w:r>
      <w:r>
        <w:t xml:space="preserve">e </w:t>
      </w:r>
      <w:r w:rsidRPr="00AB652B">
        <w:t>of representative</w:t>
      </w:r>
      <w:r>
        <w:t>s</w:t>
      </w:r>
      <w:r w:rsidRPr="00AB652B">
        <w:t xml:space="preserve"> of the Party concerned</w:t>
      </w:r>
      <w:r>
        <w:t xml:space="preserve"> and the communicant </w:t>
      </w:r>
      <w:r w:rsidRPr="00AB652B">
        <w:t>of communication ACCC/C/2008/24</w:t>
      </w:r>
      <w:r>
        <w:t>.</w:t>
      </w:r>
    </w:p>
    <w:p w14:paraId="41F82F43" w14:textId="77777777" w:rsidR="00D666EE" w:rsidRDefault="00D666EE" w:rsidP="00D666EE">
      <w:pPr>
        <w:pStyle w:val="NumberedParas"/>
        <w:ind w:left="1276" w:firstLine="0"/>
      </w:pPr>
      <w:r>
        <w:t>On 14 March 2020, the communicant of communication ACCC/C/2009/36 provided an update to the Committee. The Party concerned sent comments on that update on 15 April 2020.</w:t>
      </w:r>
    </w:p>
    <w:p w14:paraId="6939E592" w14:textId="77777777" w:rsidR="00D666EE" w:rsidRDefault="00D666EE" w:rsidP="00D666EE">
      <w:pPr>
        <w:pStyle w:val="NumberedParas"/>
        <w:ind w:left="1276" w:firstLine="0"/>
      </w:pPr>
      <w:r>
        <w:t>On 6 October 2020, the Party concerned provided its final progress report, after the deadline of 1 October 2020.</w:t>
      </w:r>
    </w:p>
    <w:p w14:paraId="6D28EFC6" w14:textId="77777777" w:rsidR="00D666EE" w:rsidRPr="00AB652B" w:rsidRDefault="00D666EE" w:rsidP="00D666EE">
      <w:pPr>
        <w:pStyle w:val="NumberedParas"/>
        <w:ind w:left="1276" w:firstLine="0"/>
      </w:pPr>
      <w:r>
        <w:t xml:space="preserve">On 9 October 2020, the secretariat </w:t>
      </w:r>
      <w:r w:rsidRPr="00AB652B">
        <w:t xml:space="preserve">forwarded the first progress report to the communicants of communications ACCC/C/2008/24, ACCC/C/2009/36 and ACCC/C/2014/99, inviting their comments by </w:t>
      </w:r>
      <w:r>
        <w:t>6</w:t>
      </w:r>
      <w:r w:rsidRPr="00AB652B">
        <w:t xml:space="preserve"> November 20</w:t>
      </w:r>
      <w:r>
        <w:t>20</w:t>
      </w:r>
      <w:r w:rsidRPr="00AB652B">
        <w:t>.</w:t>
      </w:r>
    </w:p>
    <w:p w14:paraId="568361AF" w14:textId="77777777" w:rsidR="00D666EE" w:rsidRDefault="00D666EE" w:rsidP="00D666EE">
      <w:pPr>
        <w:pStyle w:val="NumberedParas"/>
        <w:ind w:left="1276" w:firstLine="0"/>
      </w:pPr>
      <w:r>
        <w:t>On 26 October 2020, the communication of communication ACCC/C/2014/99 submitted comments on the final progress report. The Party concerned submitted comments on the communicant’s comments on 26 November 2020.</w:t>
      </w:r>
    </w:p>
    <w:p w14:paraId="09476001" w14:textId="77777777" w:rsidR="00D666EE" w:rsidRDefault="00D666EE" w:rsidP="00D666EE">
      <w:pPr>
        <w:pStyle w:val="NumberedParas"/>
        <w:ind w:left="1276" w:firstLine="0"/>
      </w:pPr>
      <w:r>
        <w:t xml:space="preserve">On 5 November 2020, the communication of communication ACCC/C/2008/24 submitted comments on the final progress report. </w:t>
      </w:r>
    </w:p>
    <w:p w14:paraId="123AA948" w14:textId="3954D2B0" w:rsidR="00D666EE" w:rsidRDefault="00D666EE" w:rsidP="00D666EE">
      <w:pPr>
        <w:pStyle w:val="NumberedParas"/>
        <w:ind w:left="1276" w:firstLine="0"/>
      </w:pPr>
      <w:r>
        <w:t>Also on 5 November 20</w:t>
      </w:r>
      <w:r w:rsidR="00702E83">
        <w:t>20</w:t>
      </w:r>
      <w:r>
        <w:t>, comments on the final progress report were received from the communicant of communication ACCC/C/2009/36. On 2 December 20</w:t>
      </w:r>
      <w:r w:rsidR="00702E83">
        <w:t>20</w:t>
      </w:r>
      <w:r>
        <w:t>, the Party concerned submitted comments on those comments. On 4 December 20</w:t>
      </w:r>
      <w:r w:rsidR="00702E83">
        <w:t>20</w:t>
      </w:r>
      <w:r>
        <w:t>, the communicant of communication ACCC/C/2009/36 submitted comments on the comments of the Party concerned. The Party concerned submitted additional comments on 21 December 2020. On 4 February 2021, the communicant of communication ACCC/C/2009/36 submitted comments on the Party concerned’s comments. On 12 February 2021, the Party concerned submitted comments on the comments of 4 February 2021.</w:t>
      </w:r>
    </w:p>
    <w:p w14:paraId="50DECCB2" w14:textId="3C579EE6" w:rsidR="00702E83" w:rsidRPr="00282BD5" w:rsidRDefault="00702E83" w:rsidP="00702E83">
      <w:pPr>
        <w:pStyle w:val="NumberedParas"/>
        <w:ind w:left="1276" w:firstLine="0"/>
      </w:pPr>
      <w:r w:rsidRPr="00282BD5">
        <w:t xml:space="preserve">The Committee completed its draft report to the seventh session of the Meeting of the Parties on the progress by the Party concerned to implement decision </w:t>
      </w:r>
      <w:r w:rsidRPr="00282BD5">
        <w:lastRenderedPageBreak/>
        <w:t xml:space="preserve">VI/8j through its electronic decision-making procedure on </w:t>
      </w:r>
      <w:r w:rsidR="00282BD5">
        <w:t>30 June</w:t>
      </w:r>
      <w:r w:rsidRPr="00282BD5">
        <w:t xml:space="preserve"> 2021. In accordance with paragraph 34 of the annex to decision I/7, the draft report was then forwarded on </w:t>
      </w:r>
      <w:r w:rsidR="00282BD5">
        <w:t>1 July 2021</w:t>
      </w:r>
      <w:r w:rsidRPr="00282BD5">
        <w:t xml:space="preserve"> to the Party concerned and communicants with an invitation to provide comments by </w:t>
      </w:r>
      <w:r w:rsidR="00282BD5">
        <w:t>15</w:t>
      </w:r>
      <w:r w:rsidRPr="00282BD5">
        <w:t xml:space="preserve"> July 2021.</w:t>
      </w:r>
    </w:p>
    <w:p w14:paraId="0E5FB2D7" w14:textId="21A37A98" w:rsidR="00702E83" w:rsidRPr="00702E83" w:rsidRDefault="00702E83" w:rsidP="00702E83">
      <w:pPr>
        <w:pStyle w:val="NumberedParas"/>
        <w:ind w:left="1276" w:firstLine="0"/>
        <w:rPr>
          <w:i/>
          <w:iCs/>
        </w:rPr>
      </w:pPr>
      <w:r w:rsidRPr="00702E83">
        <w:rPr>
          <w:i/>
          <w:iCs/>
        </w:rPr>
        <w:t>At its seventy-first meeting (Geneva online, 7-9 July 2021), the Committee reviewed the implementation of decision VI/8j in open session with the participation via virtual means of XX.</w:t>
      </w:r>
    </w:p>
    <w:p w14:paraId="085CA459" w14:textId="0877AEC8" w:rsidR="00702E83" w:rsidRPr="00702E83" w:rsidRDefault="00702E83" w:rsidP="00702E83">
      <w:pPr>
        <w:pStyle w:val="NumberedParas"/>
        <w:ind w:left="1276" w:firstLine="0"/>
        <w:rPr>
          <w:i/>
          <w:iCs/>
        </w:rPr>
      </w:pPr>
      <w:r w:rsidRPr="00702E83">
        <w:rPr>
          <w:i/>
          <w:iCs/>
        </w:rPr>
        <w:t>Comments on the Committee’s draft report was received from XX</w:t>
      </w:r>
      <w:r w:rsidR="00282BD5">
        <w:rPr>
          <w:i/>
          <w:iCs/>
        </w:rPr>
        <w:t>.</w:t>
      </w:r>
    </w:p>
    <w:p w14:paraId="65198D52" w14:textId="29CB8995" w:rsidR="00702E83" w:rsidRPr="00702E83" w:rsidRDefault="00702E83" w:rsidP="00702E83">
      <w:pPr>
        <w:pStyle w:val="NumberedParas"/>
        <w:ind w:left="1276" w:firstLine="0"/>
        <w:rPr>
          <w:i/>
          <w:iCs/>
        </w:rPr>
      </w:pPr>
      <w:r w:rsidRPr="00702E83">
        <w:rPr>
          <w:i/>
          <w:iCs/>
        </w:rPr>
        <w:t>After taking into account the information received, the Committee finalized and adopted its report to the seventh session of the Meeting of the Parties on the implementation of decision VI/8j through its electronic decision-making procedure on xx July 2021 and thereafter requested the secretariat to send it to the Party concerned</w:t>
      </w:r>
      <w:r w:rsidR="00F91DB4">
        <w:rPr>
          <w:i/>
          <w:iCs/>
        </w:rPr>
        <w:t xml:space="preserve"> and the communicants</w:t>
      </w:r>
      <w:r w:rsidRPr="00702E83">
        <w:rPr>
          <w:i/>
          <w:iCs/>
        </w:rPr>
        <w:t>.</w:t>
      </w:r>
    </w:p>
    <w:p w14:paraId="27B6CC96" w14:textId="77777777" w:rsidR="00D666EE" w:rsidRDefault="00D666EE" w:rsidP="00D666EE">
      <w:pPr>
        <w:pStyle w:val="NumberedParas"/>
        <w:numPr>
          <w:ilvl w:val="0"/>
          <w:numId w:val="0"/>
        </w:numPr>
        <w:ind w:left="1276"/>
      </w:pPr>
    </w:p>
    <w:p w14:paraId="6F7CFB5B" w14:textId="302D837A" w:rsidR="00D666EE" w:rsidRPr="00D666EE" w:rsidRDefault="00702E83" w:rsidP="00D666EE">
      <w:pPr>
        <w:pStyle w:val="HChG"/>
        <w:numPr>
          <w:ilvl w:val="3"/>
          <w:numId w:val="12"/>
        </w:numPr>
        <w:spacing w:before="0"/>
        <w:ind w:left="1276" w:right="1133" w:firstLine="0"/>
        <w:jc w:val="both"/>
        <w:rPr>
          <w:rFonts w:eastAsia="Calibri"/>
        </w:rPr>
      </w:pPr>
      <w:r>
        <w:rPr>
          <w:rFonts w:eastAsia="Calibri"/>
        </w:rPr>
        <w:t xml:space="preserve"> </w:t>
      </w:r>
      <w:r w:rsidR="00D666EE" w:rsidRPr="00D666EE">
        <w:rPr>
          <w:rFonts w:eastAsia="Calibri"/>
        </w:rPr>
        <w:t>Consideration and evaluation by the Committee</w:t>
      </w:r>
    </w:p>
    <w:p w14:paraId="28C3C7D9" w14:textId="11078F28" w:rsidR="00D666EE" w:rsidRPr="00AB652B" w:rsidRDefault="00D666EE" w:rsidP="00D666EE">
      <w:pPr>
        <w:pStyle w:val="NumberedParas"/>
        <w:ind w:left="1276" w:firstLine="0"/>
      </w:pPr>
      <w:r w:rsidRPr="00AB652B">
        <w:t xml:space="preserve">In order to fulfil the requirements of paragraph 3 of decision VI/8j, the Party concerned would need to provide the Committee with evidence that it had taken measures, as a matter of urgency, to ensure that the remaining obstacles to the full implementation of article 9(4) and (5) of the Convention with respect to legal aid for non-governmental organizations </w:t>
      </w:r>
      <w:r w:rsidR="00AD29AA">
        <w:t xml:space="preserve">(NGOs) </w:t>
      </w:r>
      <w:r w:rsidRPr="00AB652B">
        <w:t xml:space="preserve">identified by the Committee in paragraph 66 of its findings on communication ACCC/C/2009/36 have </w:t>
      </w:r>
      <w:r w:rsidRPr="00D666EE">
        <w:rPr>
          <w:rFonts w:cs="Times New Roman"/>
        </w:rPr>
        <w:t>been overcome</w:t>
      </w:r>
      <w:r w:rsidRPr="00AB652B">
        <w:t>.</w:t>
      </w:r>
    </w:p>
    <w:p w14:paraId="79D697FC" w14:textId="623F89A0" w:rsidR="00D666EE" w:rsidRDefault="00D666EE" w:rsidP="00BB4CF0">
      <w:pPr>
        <w:pStyle w:val="NumberedParas"/>
        <w:spacing w:after="0"/>
        <w:ind w:left="1276" w:firstLine="0"/>
        <w:jc w:val="mediumKashida"/>
      </w:pPr>
      <w:r w:rsidRPr="00AB652B">
        <w:t xml:space="preserve">In order to fulfil the requirements of paragraph 7 of decision VI/8j, </w:t>
      </w:r>
      <w:r w:rsidRPr="00D666EE">
        <w:rPr>
          <w:rFonts w:cs="Times New Roman"/>
        </w:rPr>
        <w:t>the Party concerned</w:t>
      </w:r>
      <w:r w:rsidRPr="00AB652B">
        <w:t xml:space="preserve"> would need to provide evidence that </w:t>
      </w:r>
      <w:r w:rsidRPr="00D666EE">
        <w:rPr>
          <w:rFonts w:cs="Times New Roman"/>
        </w:rPr>
        <w:t>it had</w:t>
      </w:r>
      <w:r w:rsidRPr="00AB652B">
        <w:t xml:space="preserve"> taken the necessary legislative, regulatory or other measures and practical arrangements to ensure that the public is promptly informed of decisions taken under article 6(9) of the Convention not only through the Internet, but also through other means, including but not necessarily limited to the methods used to inform the public concerned </w:t>
      </w:r>
      <w:r w:rsidRPr="003858D5">
        <w:t>pursuant to article 6(2) of the Convention.</w:t>
      </w:r>
    </w:p>
    <w:p w14:paraId="3A8FB091" w14:textId="77777777" w:rsidR="00CD31D7" w:rsidRPr="003858D5" w:rsidRDefault="00CD31D7" w:rsidP="00CD31D7">
      <w:pPr>
        <w:pStyle w:val="NumberedParas"/>
        <w:numPr>
          <w:ilvl w:val="0"/>
          <w:numId w:val="0"/>
        </w:numPr>
        <w:spacing w:after="0"/>
        <w:ind w:left="1276"/>
        <w:jc w:val="mediumKashida"/>
      </w:pPr>
    </w:p>
    <w:p w14:paraId="38919BAE" w14:textId="2E142FAC" w:rsidR="00D666EE" w:rsidRDefault="00D666EE" w:rsidP="00D666EE">
      <w:pPr>
        <w:pStyle w:val="Heading3"/>
        <w:ind w:left="1276" w:firstLine="0"/>
        <w:rPr>
          <w:b/>
          <w:bCs/>
        </w:rPr>
      </w:pPr>
      <w:r w:rsidRPr="00D666EE">
        <w:rPr>
          <w:b/>
          <w:bCs/>
        </w:rPr>
        <w:t>Paragraph 3 of decision VI/8j</w:t>
      </w:r>
    </w:p>
    <w:p w14:paraId="577593DA" w14:textId="77777777" w:rsidR="00D666EE" w:rsidRPr="00D666EE" w:rsidRDefault="00D666EE" w:rsidP="00D666EE"/>
    <w:p w14:paraId="450E22E0" w14:textId="77777777" w:rsidR="00D666EE" w:rsidRDefault="00D666EE" w:rsidP="00D666EE">
      <w:pPr>
        <w:pStyle w:val="NumberedParas"/>
        <w:ind w:left="1276" w:firstLine="0"/>
      </w:pPr>
      <w:r>
        <w:t xml:space="preserve">With respect to paragraph 3 of decision VI/8j, in its second progress review, the Committee had invited the Party concerned, together with its final progress report to provide: </w:t>
      </w:r>
    </w:p>
    <w:p w14:paraId="4A5CBBD9" w14:textId="77777777" w:rsidR="00D666EE" w:rsidRDefault="00D666EE" w:rsidP="00D666EE">
      <w:pPr>
        <w:pStyle w:val="NumberedParas"/>
        <w:numPr>
          <w:ilvl w:val="0"/>
          <w:numId w:val="0"/>
        </w:numPr>
        <w:ind w:left="1276"/>
      </w:pPr>
      <w:r>
        <w:tab/>
        <w:t xml:space="preserve">(a) The text of the legislative measures, together with English translation thereof, it has by that date taken to ensure; or </w:t>
      </w:r>
    </w:p>
    <w:p w14:paraId="629F50D1" w14:textId="77777777" w:rsidR="00D666EE" w:rsidRDefault="00D666EE" w:rsidP="00D666EE">
      <w:pPr>
        <w:pStyle w:val="NumberedParas"/>
        <w:numPr>
          <w:ilvl w:val="0"/>
          <w:numId w:val="0"/>
        </w:numPr>
        <w:ind w:left="1276"/>
      </w:pPr>
      <w:r>
        <w:tab/>
        <w:t xml:space="preserve">(b) The text of the Supreme Court decision of 19 March 2019 and any other relevant decisions of the Supreme Court issued since 16 January 2018, together with English translations thereof, and to comment on the extent to which the Supreme Court’s decisions together establish a consistent jurisprudence recognizing the right of environmental associations to legal aid which conclusively demonstrates; </w:t>
      </w:r>
    </w:p>
    <w:p w14:paraId="14EC4BBA" w14:textId="06238BDF" w:rsidR="00D666EE" w:rsidRDefault="00D666EE" w:rsidP="00D666EE">
      <w:pPr>
        <w:pStyle w:val="NumberedParas"/>
        <w:numPr>
          <w:ilvl w:val="0"/>
          <w:numId w:val="0"/>
        </w:numPr>
        <w:ind w:left="1276"/>
      </w:pPr>
      <w:r>
        <w:t xml:space="preserve">that the remaining obstacles to the full implementation of article 9(4) and (5) of the Convention with respect to legal aid for </w:t>
      </w:r>
      <w:r w:rsidR="00AD29AA">
        <w:t>NGOs</w:t>
      </w:r>
      <w:r>
        <w:t xml:space="preserve"> identified by the Committee in paragraph 66 of its findings on communication ACCC/C/2009/36 have been overcome.</w:t>
      </w:r>
    </w:p>
    <w:p w14:paraId="4821E454" w14:textId="1A2E9B50" w:rsidR="00D666EE" w:rsidRPr="00AB652B" w:rsidRDefault="00D666EE" w:rsidP="00D666EE">
      <w:pPr>
        <w:pStyle w:val="NumberedParas"/>
        <w:ind w:left="1276" w:firstLine="0"/>
      </w:pPr>
      <w:r>
        <w:lastRenderedPageBreak/>
        <w:t>In its progress reports the Party concerned has indicated that, in its view, there are two paths for implementing the recommendation in paragraph 3 of decision VI/8</w:t>
      </w:r>
      <w:r w:rsidR="00CD31D7">
        <w:t>j</w:t>
      </w:r>
      <w:r>
        <w:t xml:space="preserve">, namely either through developments in jurisprudence </w:t>
      </w:r>
      <w:r w:rsidRPr="00AB652B">
        <w:t>or through legislative reform.</w:t>
      </w:r>
      <w:r w:rsidRPr="00AB652B">
        <w:rPr>
          <w:rStyle w:val="FootnoteReference"/>
        </w:rPr>
        <w:footnoteReference w:id="2"/>
      </w:r>
      <w:bookmarkStart w:id="1" w:name="_Ref29472136"/>
      <w:r>
        <w:t xml:space="preserve"> The Party concerned submits that </w:t>
      </w:r>
      <w:r w:rsidR="00AD29AA">
        <w:t xml:space="preserve">it </w:t>
      </w:r>
      <w:r>
        <w:t xml:space="preserve">had been its intention to amend Act 27/2006 of 18 July (which implements the Convention) in order to meet the requirements of paragraph 3 of decision VI/8j. However, the political situation over the past years has meant that the government, as a caretaker government for much of that time, has </w:t>
      </w:r>
      <w:r w:rsidRPr="00AB652B">
        <w:t>been without the capacity to implement legislative reform in the parliament.</w:t>
      </w:r>
      <w:r w:rsidRPr="00AB652B">
        <w:rPr>
          <w:rStyle w:val="FootnoteReference"/>
        </w:rPr>
        <w:footnoteReference w:id="3"/>
      </w:r>
      <w:r w:rsidRPr="00AB652B">
        <w:t xml:space="preserve"> </w:t>
      </w:r>
    </w:p>
    <w:p w14:paraId="57414879" w14:textId="1497342C" w:rsidR="00D666EE" w:rsidRDefault="00AD29AA" w:rsidP="00D666EE">
      <w:pPr>
        <w:pStyle w:val="NumberedParas"/>
        <w:ind w:left="1276" w:firstLine="0"/>
      </w:pPr>
      <w:r>
        <w:t>Regarding</w:t>
      </w:r>
      <w:r w:rsidR="00D666EE" w:rsidRPr="00AB652B">
        <w:t xml:space="preserve"> developments in jurisprudence relevant to the implementation of paragraph 3 of decision VI/8j, the Party concerned reports</w:t>
      </w:r>
      <w:r>
        <w:t xml:space="preserve"> upon</w:t>
      </w:r>
      <w:r w:rsidR="00D666EE" w:rsidRPr="00AB652B">
        <w:t xml:space="preserve"> </w:t>
      </w:r>
      <w:r w:rsidR="00D666EE">
        <w:t>two</w:t>
      </w:r>
      <w:r w:rsidR="00D666EE" w:rsidRPr="00AB652B">
        <w:t xml:space="preserve"> decision</w:t>
      </w:r>
      <w:r w:rsidR="00D666EE">
        <w:t>s</w:t>
      </w:r>
      <w:r w:rsidR="00D666EE" w:rsidRPr="00AB652B">
        <w:t xml:space="preserve"> of the Administrative Chamber of the Supreme Court </w:t>
      </w:r>
      <w:r>
        <w:t>dated</w:t>
      </w:r>
      <w:r w:rsidR="00D666EE" w:rsidRPr="00AB652B">
        <w:t xml:space="preserve"> 16 January 2018</w:t>
      </w:r>
      <w:r w:rsidR="00D666EE">
        <w:t xml:space="preserve"> and 13 March 2019</w:t>
      </w:r>
      <w:r w:rsidR="00D666EE" w:rsidRPr="00AB652B">
        <w:t>, in which the Court recognized the right of an environmental association to legal aid.</w:t>
      </w:r>
      <w:r w:rsidR="00D666EE" w:rsidRPr="00AB652B">
        <w:rPr>
          <w:rStyle w:val="FootnoteReference"/>
        </w:rPr>
        <w:footnoteReference w:id="4"/>
      </w:r>
      <w:r w:rsidR="00D666EE" w:rsidRPr="00AB652B">
        <w:t xml:space="preserve"> Specifically, the Court found that an association meeting the requirements in</w:t>
      </w:r>
      <w:r w:rsidR="00D666EE">
        <w:t xml:space="preserve"> article 23 of</w:t>
      </w:r>
      <w:r w:rsidR="00D666EE" w:rsidRPr="00AB652B">
        <w:t xml:space="preserve"> Act 27/2006 need not meet the additional requirements of Act 1/1996 on Legal Aid.</w:t>
      </w:r>
      <w:r w:rsidR="00D666EE" w:rsidRPr="00AB652B">
        <w:rPr>
          <w:rStyle w:val="FootnoteReference"/>
        </w:rPr>
        <w:footnoteReference w:id="5"/>
      </w:r>
      <w:r w:rsidR="00D666EE" w:rsidRPr="00AB652B">
        <w:t xml:space="preserve"> </w:t>
      </w:r>
    </w:p>
    <w:p w14:paraId="7E86419D" w14:textId="07B92B0B" w:rsidR="00D666EE" w:rsidRDefault="00D666EE" w:rsidP="00D666EE">
      <w:pPr>
        <w:pStyle w:val="NumberedParas"/>
        <w:ind w:left="1276" w:firstLine="0"/>
      </w:pPr>
      <w:r w:rsidRPr="00AB652B">
        <w:t xml:space="preserve">The Party concerned states that </w:t>
      </w:r>
      <w:r>
        <w:t>these two decisions enshrine the settled case law of the Supreme Court and that thereby any</w:t>
      </w:r>
      <w:r w:rsidRPr="00AB652B">
        <w:t xml:space="preserve"> remaining obstacles to the full implementation of the Convention with respect to legal aid for </w:t>
      </w:r>
      <w:r w:rsidR="00AD29AA">
        <w:t>NGOs</w:t>
      </w:r>
      <w:r w:rsidRPr="00AB652B">
        <w:t xml:space="preserve"> have been overcome.</w:t>
      </w:r>
      <w:r w:rsidRPr="00AB652B">
        <w:rPr>
          <w:rStyle w:val="FootnoteReference"/>
        </w:rPr>
        <w:footnoteReference w:id="6"/>
      </w:r>
      <w:bookmarkEnd w:id="1"/>
      <w:r>
        <w:t xml:space="preserve"> The Party concerned states that it has disseminated these judgments through the Aarhus Convention focal points of the Autonomous Communities so that environmental NGOs are aware of them and may cite them in their requests for legal aid.</w:t>
      </w:r>
      <w:r>
        <w:rPr>
          <w:rStyle w:val="FootnoteReference"/>
        </w:rPr>
        <w:footnoteReference w:id="7"/>
      </w:r>
      <w:r>
        <w:t xml:space="preserve"> </w:t>
      </w:r>
    </w:p>
    <w:p w14:paraId="7F90274E" w14:textId="77777777" w:rsidR="00D666EE" w:rsidRPr="00AB652B" w:rsidRDefault="00D666EE" w:rsidP="00D666EE">
      <w:pPr>
        <w:pStyle w:val="NumberedParas"/>
        <w:ind w:left="1276" w:firstLine="0"/>
      </w:pPr>
      <w:r w:rsidRPr="00AB652B">
        <w:t xml:space="preserve">The communicant of communication ACCC/C/2008/24 </w:t>
      </w:r>
      <w:r>
        <w:t>states</w:t>
      </w:r>
      <w:r w:rsidRPr="00AB652B">
        <w:t xml:space="preserve"> that the situation on legal aid for environmental NGOs </w:t>
      </w:r>
      <w:r>
        <w:t>remains unclear</w:t>
      </w:r>
      <w:r w:rsidRPr="00AB652B">
        <w:t>.</w:t>
      </w:r>
      <w:r w:rsidRPr="00AB652B">
        <w:rPr>
          <w:rStyle w:val="FootnoteReference"/>
        </w:rPr>
        <w:footnoteReference w:id="8"/>
      </w:r>
      <w:r w:rsidRPr="00AB652B">
        <w:t xml:space="preserve"> </w:t>
      </w:r>
      <w:r>
        <w:t>It claims that the Party concerned is relying on judicial orders whereas judicial judgments are needed to create jurisprudence.</w:t>
      </w:r>
      <w:r>
        <w:rPr>
          <w:rStyle w:val="FootnoteReference"/>
        </w:rPr>
        <w:footnoteReference w:id="9"/>
      </w:r>
      <w:r>
        <w:t xml:space="preserve"> </w:t>
      </w:r>
      <w:r w:rsidRPr="00AB652B">
        <w:t xml:space="preserve">The communicant accordingly submits that the Party concerned should </w:t>
      </w:r>
      <w:r>
        <w:t>amend its legislation to make clear that environmental NGOs do not need to fulfil the requirements of Law 1/1996 in order to qualify for legal aid.</w:t>
      </w:r>
      <w:r>
        <w:rPr>
          <w:rStyle w:val="FootnoteReference"/>
        </w:rPr>
        <w:footnoteReference w:id="10"/>
      </w:r>
      <w:r>
        <w:t xml:space="preserve">  </w:t>
      </w:r>
    </w:p>
    <w:p w14:paraId="5840E487" w14:textId="1D2CA6F2" w:rsidR="00D666EE" w:rsidRDefault="00D666EE" w:rsidP="00D666EE">
      <w:pPr>
        <w:pStyle w:val="NumberedParas"/>
        <w:ind w:left="1276" w:firstLine="0"/>
      </w:pPr>
      <w:r w:rsidRPr="00AB652B">
        <w:t xml:space="preserve">The communicant of communication ACCC/C/2009/36 </w:t>
      </w:r>
      <w:r w:rsidR="00AD29AA">
        <w:t xml:space="preserve">likewise </w:t>
      </w:r>
      <w:r w:rsidRPr="00AB652B">
        <w:t xml:space="preserve">submits that </w:t>
      </w:r>
      <w:r>
        <w:t>the situation remains unclear, including because NGOs still have to be declared as public interest organisations in order to benefit from legal aid and this has a particular impact on small NGOs.</w:t>
      </w:r>
      <w:r>
        <w:rPr>
          <w:rStyle w:val="FootnoteReference"/>
        </w:rPr>
        <w:footnoteReference w:id="11"/>
      </w:r>
      <w:r>
        <w:t xml:space="preserve"> To support </w:t>
      </w:r>
      <w:r w:rsidR="00AD29AA">
        <w:t>its</w:t>
      </w:r>
      <w:r>
        <w:t xml:space="preserve"> claims, the communicant refers to an order of the clerk of the Superior Court of Catalonia of 1</w:t>
      </w:r>
      <w:r w:rsidR="000E2FE0">
        <w:t>6</w:t>
      </w:r>
      <w:r>
        <w:t xml:space="preserve"> November 2020 that denied legal aid to </w:t>
      </w:r>
      <w:r>
        <w:lastRenderedPageBreak/>
        <w:t>an environmental NGO</w:t>
      </w:r>
      <w:r>
        <w:rPr>
          <w:rStyle w:val="FootnoteReference"/>
        </w:rPr>
        <w:footnoteReference w:id="12"/>
      </w:r>
      <w:r>
        <w:t xml:space="preserve"> and a 2019 report of the Ombudsman stating that there is a need to harmonise the mismatch between the provisions of Act 27/2006 and Act 1/1996.</w:t>
      </w:r>
      <w:r>
        <w:rPr>
          <w:rStyle w:val="FootnoteReference"/>
        </w:rPr>
        <w:footnoteReference w:id="13"/>
      </w:r>
      <w:r>
        <w:t xml:space="preserve"> </w:t>
      </w:r>
      <w:r w:rsidRPr="00AB652B">
        <w:t xml:space="preserve">The communicant </w:t>
      </w:r>
      <w:r>
        <w:t>considers</w:t>
      </w:r>
      <w:r w:rsidRPr="00AB652B">
        <w:t xml:space="preserve"> that the Party concerned must modify the law so that there is no possibility of interpretation concerning something that should not be open to interpretation.</w:t>
      </w:r>
      <w:r w:rsidRPr="00AB652B">
        <w:rPr>
          <w:rStyle w:val="FootnoteReference"/>
        </w:rPr>
        <w:footnoteReference w:id="14"/>
      </w:r>
    </w:p>
    <w:p w14:paraId="4C8BFF5C" w14:textId="77777777" w:rsidR="00D666EE" w:rsidRPr="00AB652B" w:rsidRDefault="00D666EE" w:rsidP="00D666EE">
      <w:pPr>
        <w:pStyle w:val="NumberedParas"/>
        <w:ind w:left="1276" w:firstLine="0"/>
      </w:pPr>
      <w:r>
        <w:t>With respect to the communicants’ above comments, the Party concerned contends that the Supreme Court’s case law is clear that the requirements of Act 1/1996 do not apply to the award of legal aid under article 23 of Act 27/2006;</w:t>
      </w:r>
      <w:r>
        <w:rPr>
          <w:rStyle w:val="FootnoteReference"/>
        </w:rPr>
        <w:footnoteReference w:id="15"/>
      </w:r>
      <w:r>
        <w:t xml:space="preserve"> that the order of the Superior Court of Catalonia is not a final decision and does not have the status of a ruling;</w:t>
      </w:r>
      <w:r>
        <w:rPr>
          <w:rStyle w:val="FootnoteReference"/>
        </w:rPr>
        <w:footnoteReference w:id="16"/>
      </w:r>
      <w:r>
        <w:t xml:space="preserve"> and that the Ombudsman’s opinion carries no legal weight. It also questions whether the Ombudsman was aware of the recent case law.</w:t>
      </w:r>
      <w:r>
        <w:rPr>
          <w:rStyle w:val="FootnoteReference"/>
        </w:rPr>
        <w:footnoteReference w:id="17"/>
      </w:r>
    </w:p>
    <w:p w14:paraId="31D050FA" w14:textId="77777777" w:rsidR="00D666EE" w:rsidRDefault="00D666EE" w:rsidP="00D666EE">
      <w:pPr>
        <w:pStyle w:val="NumberedParas"/>
        <w:ind w:left="1276" w:firstLine="0"/>
      </w:pPr>
      <w:r w:rsidRPr="00AB652B">
        <w:t xml:space="preserve">The Committee welcomes the </w:t>
      </w:r>
      <w:r>
        <w:t>orders</w:t>
      </w:r>
      <w:r w:rsidRPr="00AB652B">
        <w:t xml:space="preserve"> of the Supreme Court of 16 January 2018 </w:t>
      </w:r>
      <w:r>
        <w:t xml:space="preserve">and 13 March 2019 </w:t>
      </w:r>
      <w:r w:rsidRPr="00AB652B">
        <w:t>as significant positive development</w:t>
      </w:r>
      <w:r>
        <w:t>s</w:t>
      </w:r>
      <w:r w:rsidRPr="00AB652B">
        <w:t xml:space="preserve"> towards fulfilling the requirements of paragraph 3 of decision VI/8j. </w:t>
      </w:r>
    </w:p>
    <w:p w14:paraId="1FBF5785" w14:textId="795F9CAB" w:rsidR="00D666EE" w:rsidRPr="007028B9" w:rsidRDefault="00AD29AA" w:rsidP="00D666EE">
      <w:pPr>
        <w:pStyle w:val="NumberedParas"/>
        <w:tabs>
          <w:tab w:val="num" w:pos="720"/>
        </w:tabs>
        <w:ind w:left="1276" w:firstLine="0"/>
      </w:pPr>
      <w:r>
        <w:t>I</w:t>
      </w:r>
      <w:r w:rsidR="00D666EE">
        <w:t xml:space="preserve">n order to fully meet the requirements of paragraph 3 of decision VI/8j, </w:t>
      </w:r>
      <w:r>
        <w:t xml:space="preserve">however, </w:t>
      </w:r>
      <w:r w:rsidR="00D666EE">
        <w:t xml:space="preserve">the Party concerned would need to </w:t>
      </w:r>
      <w:r w:rsidR="00D666EE" w:rsidRPr="00AB652B">
        <w:t>provide the Committee with evidence that it had taken measures</w:t>
      </w:r>
      <w:r w:rsidR="00D666EE">
        <w:t xml:space="preserve"> </w:t>
      </w:r>
      <w:r w:rsidR="00D666EE" w:rsidRPr="00AB652B">
        <w:t xml:space="preserve">to </w:t>
      </w:r>
      <w:r w:rsidR="00D666EE" w:rsidRPr="007028B9">
        <w:rPr>
          <w:i/>
          <w:iCs/>
        </w:rPr>
        <w:t>ensure</w:t>
      </w:r>
      <w:r w:rsidR="00D666EE" w:rsidRPr="00AB652B">
        <w:t xml:space="preserve"> that the remaining obstacles to the full implementation of article 9(4) and (5) of the Convention with respect to legal aid for </w:t>
      </w:r>
      <w:r>
        <w:t>NGOs</w:t>
      </w:r>
      <w:r w:rsidR="00D666EE" w:rsidRPr="00AB652B">
        <w:t xml:space="preserve"> identified by the Committee in paragraph 66 of its findings on communication ACCC/C/2009/36 have </w:t>
      </w:r>
      <w:r w:rsidR="00D666EE" w:rsidRPr="00D666EE">
        <w:rPr>
          <w:rFonts w:cs="Times New Roman"/>
        </w:rPr>
        <w:t>been overcome.</w:t>
      </w:r>
    </w:p>
    <w:p w14:paraId="0A8D54D9" w14:textId="1CE735DB" w:rsidR="00D666EE" w:rsidRPr="007E0C9D" w:rsidRDefault="00D666EE" w:rsidP="00D666EE">
      <w:pPr>
        <w:pStyle w:val="NumberedParas"/>
        <w:tabs>
          <w:tab w:val="num" w:pos="720"/>
        </w:tabs>
        <w:ind w:left="1276" w:firstLine="0"/>
      </w:pPr>
      <w:r w:rsidRPr="00D666EE">
        <w:rPr>
          <w:rFonts w:cs="Times New Roman"/>
        </w:rPr>
        <w:t xml:space="preserve">The Committee makes clear that if, despite the Supreme Court orders of </w:t>
      </w:r>
      <w:r w:rsidRPr="00AB652B">
        <w:t xml:space="preserve">16 January 2018 </w:t>
      </w:r>
      <w:r>
        <w:t xml:space="preserve">and 13 March 2019, </w:t>
      </w:r>
      <w:r w:rsidRPr="00D666EE">
        <w:rPr>
          <w:rFonts w:cs="Times New Roman"/>
        </w:rPr>
        <w:t>Legal Aid Commissions are still in practice denying environmental NGOs legal aid on the grounds that the NGOs do not meet the requirements of Act 1/1996, then the “remaining obstacles to the full implementation of article 9(4) and (5) of the Convention” have not yet been fully overcome. This point applies even</w:t>
      </w:r>
      <w:r w:rsidR="00AD29AA">
        <w:rPr>
          <w:rFonts w:cs="Times New Roman"/>
        </w:rPr>
        <w:t xml:space="preserve"> if</w:t>
      </w:r>
      <w:r w:rsidR="000E2FE0">
        <w:rPr>
          <w:rFonts w:cs="Times New Roman"/>
        </w:rPr>
        <w:t>, upon the NGO appealing</w:t>
      </w:r>
      <w:r w:rsidRPr="00D666EE">
        <w:rPr>
          <w:rFonts w:cs="Times New Roman"/>
        </w:rPr>
        <w:t xml:space="preserve"> the Legal Aid Commission’s decision to the court, the court </w:t>
      </w:r>
      <w:r w:rsidR="00AD29AA">
        <w:rPr>
          <w:rFonts w:cs="Times New Roman"/>
        </w:rPr>
        <w:t>may</w:t>
      </w:r>
      <w:r w:rsidRPr="00D666EE">
        <w:rPr>
          <w:rFonts w:cs="Times New Roman"/>
        </w:rPr>
        <w:t xml:space="preserve"> </w:t>
      </w:r>
      <w:r w:rsidR="000E2FE0">
        <w:rPr>
          <w:rFonts w:cs="Times New Roman"/>
        </w:rPr>
        <w:t xml:space="preserve">ultimately </w:t>
      </w:r>
      <w:r w:rsidRPr="00D666EE">
        <w:rPr>
          <w:rFonts w:cs="Times New Roman"/>
        </w:rPr>
        <w:t xml:space="preserve">overturn that decision. If Legal Aid Commissions are still denying legal aid in practice and thus environmental NGOs are having to bring court proceedings to overturn those wrongful decisions, </w:t>
      </w:r>
      <w:r w:rsidR="000E2FE0">
        <w:rPr>
          <w:rFonts w:cs="Times New Roman"/>
        </w:rPr>
        <w:t xml:space="preserve">with the ensuing delays and uncertainty involved, </w:t>
      </w:r>
      <w:r w:rsidRPr="00D666EE">
        <w:rPr>
          <w:rFonts w:cs="Times New Roman"/>
        </w:rPr>
        <w:t>that means that not all the remaining obstacles are yet removed.</w:t>
      </w:r>
    </w:p>
    <w:p w14:paraId="6AFCBFE7" w14:textId="77777777" w:rsidR="00D666EE" w:rsidRPr="00E17BA5" w:rsidRDefault="00D666EE" w:rsidP="00D666EE">
      <w:pPr>
        <w:pStyle w:val="NumberedParas"/>
        <w:tabs>
          <w:tab w:val="num" w:pos="720"/>
        </w:tabs>
        <w:ind w:left="1276" w:firstLine="0"/>
      </w:pPr>
      <w:bookmarkStart w:id="2" w:name="_Ref75804062"/>
      <w:r w:rsidRPr="00D666EE">
        <w:rPr>
          <w:rFonts w:cs="Times New Roman"/>
        </w:rPr>
        <w:t>In this regard, the Committee notes that, in addition to the two Supreme Court orders, the Party concerned has provided two High Court orders decided since the Supreme Court’s orders in which the High Court overturned decisions by Legal Aid Commissions that had denied environmental NGO legal aid.</w:t>
      </w:r>
      <w:r w:rsidRPr="00D666EE">
        <w:rPr>
          <w:rStyle w:val="FootnoteReference"/>
          <w:rFonts w:cs="Times New Roman"/>
        </w:rPr>
        <w:footnoteReference w:id="18"/>
      </w:r>
      <w:r w:rsidRPr="00D666EE">
        <w:rPr>
          <w:rFonts w:cs="Times New Roman"/>
        </w:rPr>
        <w:t xml:space="preserve"> While the Committee welcomes the High Court orders as providing some limited evidence that the High </w:t>
      </w:r>
      <w:r w:rsidRPr="00D666EE">
        <w:rPr>
          <w:rFonts w:cs="Times New Roman"/>
        </w:rPr>
        <w:lastRenderedPageBreak/>
        <w:t>Court is following the position of the Supreme Court, both the decisions of the Legal Aid Commissions at issue were themselves decided after the Supreme Court’s orders.</w:t>
      </w:r>
      <w:bookmarkEnd w:id="2"/>
      <w:r w:rsidRPr="00D666EE">
        <w:rPr>
          <w:rFonts w:cs="Times New Roman"/>
        </w:rPr>
        <w:t xml:space="preserve"> </w:t>
      </w:r>
    </w:p>
    <w:p w14:paraId="7D5AEE29" w14:textId="5F4093BA" w:rsidR="00D666EE" w:rsidRPr="007028B9" w:rsidRDefault="000E2FE0" w:rsidP="00D666EE">
      <w:pPr>
        <w:pStyle w:val="NumberedParas"/>
        <w:tabs>
          <w:tab w:val="num" w:pos="720"/>
        </w:tabs>
        <w:ind w:left="1276" w:firstLine="0"/>
      </w:pPr>
      <w:bookmarkStart w:id="3" w:name="_Ref75804067"/>
      <w:r>
        <w:rPr>
          <w:rFonts w:cs="Times New Roman"/>
        </w:rPr>
        <w:t>T</w:t>
      </w:r>
      <w:r w:rsidR="00D666EE" w:rsidRPr="00D666EE">
        <w:rPr>
          <w:rFonts w:cs="Times New Roman"/>
        </w:rPr>
        <w:t xml:space="preserve">he </w:t>
      </w:r>
      <w:r>
        <w:rPr>
          <w:rFonts w:cs="Times New Roman"/>
        </w:rPr>
        <w:t xml:space="preserve">Committee also notes the </w:t>
      </w:r>
      <w:r w:rsidR="00D666EE" w:rsidRPr="00D666EE">
        <w:rPr>
          <w:rFonts w:cs="Times New Roman"/>
        </w:rPr>
        <w:t xml:space="preserve">order from the Superior Court of Catalonia dated 16 November 2020 </w:t>
      </w:r>
      <w:r>
        <w:rPr>
          <w:rFonts w:cs="Times New Roman"/>
        </w:rPr>
        <w:t xml:space="preserve">submitted by the </w:t>
      </w:r>
      <w:r w:rsidRPr="00D666EE">
        <w:rPr>
          <w:rFonts w:cs="Times New Roman"/>
        </w:rPr>
        <w:t xml:space="preserve">communicant of communication ACCC/C/2009/36 </w:t>
      </w:r>
      <w:r>
        <w:rPr>
          <w:rFonts w:cs="Times New Roman"/>
        </w:rPr>
        <w:t xml:space="preserve">in which the Court denied </w:t>
      </w:r>
      <w:r w:rsidR="00D666EE" w:rsidRPr="00D666EE">
        <w:rPr>
          <w:rFonts w:cs="Times New Roman"/>
        </w:rPr>
        <w:t>an environmental NGO legal aid on the basis that it did not meet the requirements of Act 1/1996.</w:t>
      </w:r>
      <w:r>
        <w:rPr>
          <w:rStyle w:val="FootnoteReference"/>
        </w:rPr>
        <w:footnoteReference w:id="19"/>
      </w:r>
      <w:bookmarkEnd w:id="3"/>
    </w:p>
    <w:p w14:paraId="246F94CE" w14:textId="077BC40A" w:rsidR="00D666EE" w:rsidRDefault="00D666EE" w:rsidP="00D666EE">
      <w:pPr>
        <w:pStyle w:val="NumberedParas"/>
        <w:tabs>
          <w:tab w:val="num" w:pos="720"/>
        </w:tabs>
        <w:ind w:left="1276" w:firstLine="0"/>
      </w:pPr>
      <w:r>
        <w:t xml:space="preserve">Since the three decisions by Legal Aid Commissions </w:t>
      </w:r>
      <w:r w:rsidR="000E2FE0">
        <w:t xml:space="preserve">in paragraphs </w:t>
      </w:r>
      <w:r w:rsidR="000E2FE0">
        <w:fldChar w:fldCharType="begin"/>
      </w:r>
      <w:r w:rsidR="000E2FE0">
        <w:instrText xml:space="preserve"> REF _Ref75804062 \r \h </w:instrText>
      </w:r>
      <w:r w:rsidR="000E2FE0">
        <w:fldChar w:fldCharType="separate"/>
      </w:r>
      <w:r w:rsidR="001E551D">
        <w:rPr>
          <w:cs/>
        </w:rPr>
        <w:t>‎</w:t>
      </w:r>
      <w:r w:rsidR="001E551D">
        <w:t>39</w:t>
      </w:r>
      <w:r w:rsidR="000E2FE0">
        <w:fldChar w:fldCharType="end"/>
      </w:r>
      <w:r w:rsidR="000E2FE0">
        <w:t xml:space="preserve"> and </w:t>
      </w:r>
      <w:r w:rsidR="000E2FE0">
        <w:fldChar w:fldCharType="begin"/>
      </w:r>
      <w:r w:rsidR="000E2FE0">
        <w:instrText xml:space="preserve"> REF _Ref75804067 \r \h </w:instrText>
      </w:r>
      <w:r w:rsidR="000E2FE0">
        <w:fldChar w:fldCharType="separate"/>
      </w:r>
      <w:r w:rsidR="001E551D">
        <w:rPr>
          <w:cs/>
        </w:rPr>
        <w:t>‎</w:t>
      </w:r>
      <w:r w:rsidR="001E551D">
        <w:t>40</w:t>
      </w:r>
      <w:r w:rsidR="000E2FE0">
        <w:fldChar w:fldCharType="end"/>
      </w:r>
      <w:r w:rsidR="000E2FE0">
        <w:t xml:space="preserve"> above </w:t>
      </w:r>
      <w:r>
        <w:t xml:space="preserve">were decided after the Supreme Court orders of </w:t>
      </w:r>
      <w:r w:rsidRPr="00AB652B">
        <w:t xml:space="preserve">16 January 2018 </w:t>
      </w:r>
      <w:r>
        <w:t xml:space="preserve">and 13 March 2019, the Committee considers that further efforts are required by the Party concerned to ensure that the Legal Aid Commissions themselves are applying article 23 of Act 27/2006 so as to grant small environmental NGOs legal aid. </w:t>
      </w:r>
    </w:p>
    <w:p w14:paraId="67AC6AB1" w14:textId="0775A5CB" w:rsidR="00D666EE" w:rsidRDefault="00D666EE" w:rsidP="00D666EE">
      <w:pPr>
        <w:pStyle w:val="NumberedParas"/>
        <w:tabs>
          <w:tab w:val="num" w:pos="720"/>
        </w:tabs>
        <w:ind w:left="1276" w:firstLine="0"/>
      </w:pPr>
      <w:r>
        <w:t xml:space="preserve">Based on the foregoing, the Committee finds that, while the orders of the Administrative Chamber of the Supreme Court of 16 January 2018 and 13 March 2019 are significant positive developments, until the Legal Aid Commissions are themselves are applying article 23 of Act 27/2006 so as to grant small environmental NGOs legal aid, the remaining obstacles to the full implementation of article 9(4) and (5) of the Convention have not yet been fully overcome and thus the requirements of paragraph 3 of decision VI/8j </w:t>
      </w:r>
      <w:r w:rsidR="000E2FE0">
        <w:t>have not yet been</w:t>
      </w:r>
      <w:r>
        <w:t xml:space="preserve"> fully met. </w:t>
      </w:r>
    </w:p>
    <w:p w14:paraId="16BE1664" w14:textId="77777777" w:rsidR="00CA308E" w:rsidRPr="00BB4CF0" w:rsidRDefault="00CA308E" w:rsidP="00BB4CF0">
      <w:pPr>
        <w:pStyle w:val="Heading3"/>
        <w:ind w:left="1276" w:firstLine="0"/>
        <w:rPr>
          <w:b/>
        </w:rPr>
      </w:pPr>
    </w:p>
    <w:p w14:paraId="5C85E98E" w14:textId="665645BB" w:rsidR="00D666EE" w:rsidRDefault="00D666EE" w:rsidP="00D666EE">
      <w:pPr>
        <w:pStyle w:val="Heading3"/>
        <w:ind w:left="1276" w:firstLine="0"/>
        <w:rPr>
          <w:b/>
          <w:bCs/>
        </w:rPr>
      </w:pPr>
      <w:r w:rsidRPr="00D666EE">
        <w:rPr>
          <w:b/>
          <w:bCs/>
        </w:rPr>
        <w:t>Paragraph 7 of decision VI/8j</w:t>
      </w:r>
    </w:p>
    <w:p w14:paraId="525F5386" w14:textId="77777777" w:rsidR="00D666EE" w:rsidRPr="00D666EE" w:rsidRDefault="00D666EE" w:rsidP="00D666EE"/>
    <w:p w14:paraId="185DE3F3" w14:textId="47662234" w:rsidR="00D666EE" w:rsidRPr="00AB652B" w:rsidRDefault="00D666EE" w:rsidP="00D666EE">
      <w:pPr>
        <w:pStyle w:val="NumberedParas"/>
        <w:ind w:left="1276" w:firstLine="0"/>
      </w:pPr>
      <w:r w:rsidRPr="00AB652B">
        <w:t xml:space="preserve">In its findings on communication ACCC/C/2014/99, the Committee noted that </w:t>
      </w:r>
      <w:r>
        <w:t>when</w:t>
      </w:r>
      <w:r w:rsidRPr="00AB652B">
        <w:t xml:space="preserve"> the permit at issue in that communication was granted article 23(4) of </w:t>
      </w:r>
      <w:r>
        <w:t>Act</w:t>
      </w:r>
      <w:r w:rsidRPr="00AB652B">
        <w:t xml:space="preserve"> 16/2002 on integrated pollution and control stipulated that: </w:t>
      </w:r>
    </w:p>
    <w:p w14:paraId="64FEA250" w14:textId="77777777" w:rsidR="00D666EE" w:rsidRPr="00AB652B" w:rsidRDefault="00D666EE" w:rsidP="00D666EE">
      <w:pPr>
        <w:pStyle w:val="Quote"/>
        <w:ind w:left="1701"/>
      </w:pPr>
      <w:r w:rsidRPr="00AB652B">
        <w:t>The autonomous communities shall publish the administrative rulings by means of which integrated environmental authorizations are granted or modified in their respective official journals.</w:t>
      </w:r>
      <w:r w:rsidRPr="00AB652B">
        <w:rPr>
          <w:rStyle w:val="FootnoteReference"/>
        </w:rPr>
        <w:footnoteReference w:id="20"/>
      </w:r>
      <w:r w:rsidRPr="00AB652B">
        <w:t xml:space="preserve"> </w:t>
      </w:r>
    </w:p>
    <w:p w14:paraId="17A5CA61" w14:textId="77777777" w:rsidR="00D666EE" w:rsidRDefault="00D666EE" w:rsidP="00D666EE">
      <w:pPr>
        <w:pStyle w:val="NumberedParas"/>
        <w:ind w:left="1276" w:firstLine="0"/>
      </w:pPr>
      <w:bookmarkStart w:id="4" w:name="_Ref33520351"/>
      <w:r>
        <w:t>At the time of those findings, the official journal of each of the autonomous communities in the Party concerned were published exclusively in digital format.</w:t>
      </w:r>
      <w:r>
        <w:rPr>
          <w:rStyle w:val="FootnoteReference"/>
        </w:rPr>
        <w:footnoteReference w:id="21"/>
      </w:r>
    </w:p>
    <w:p w14:paraId="4E51B39E" w14:textId="77777777" w:rsidR="00D666EE" w:rsidRDefault="00D666EE" w:rsidP="00D666EE">
      <w:pPr>
        <w:pStyle w:val="NumberedParas"/>
        <w:ind w:left="1276" w:firstLine="0"/>
      </w:pPr>
      <w:r>
        <w:t>In those findings, the Committee found that, by not informing the public about the decision to permit the activity subject to article 6 of the Convention by any other means than publishing the decision on the internet, the Party concerned failed to comply with article 6(9) of the Convention.</w:t>
      </w:r>
      <w:r>
        <w:rPr>
          <w:rStyle w:val="FootnoteReference"/>
        </w:rPr>
        <w:footnoteReference w:id="22"/>
      </w:r>
      <w:r>
        <w:t xml:space="preserve"> </w:t>
      </w:r>
    </w:p>
    <w:bookmarkEnd w:id="4"/>
    <w:p w14:paraId="2F64A012" w14:textId="77777777" w:rsidR="00D666EE" w:rsidRPr="00AB652B" w:rsidRDefault="00D666EE" w:rsidP="00D666EE">
      <w:pPr>
        <w:pStyle w:val="NumberedParas"/>
        <w:ind w:left="1276" w:firstLine="0"/>
      </w:pPr>
      <w:r>
        <w:t>T</w:t>
      </w:r>
      <w:r w:rsidRPr="00AB652B">
        <w:t>he Party concerned reports that</w:t>
      </w:r>
      <w:r>
        <w:t>,</w:t>
      </w:r>
      <w:r w:rsidRPr="00AB652B">
        <w:t xml:space="preserve"> on 28 September 2018</w:t>
      </w:r>
      <w:r>
        <w:t>,</w:t>
      </w:r>
      <w:r w:rsidRPr="00AB652B">
        <w:t xml:space="preserve"> the Directorate-General of Environmental Quality and Climate Change of the Department of Territories and Sustainability of the Autonomous Administration of Catalonia issued an instruction (</w:t>
      </w:r>
      <w:r>
        <w:t>“</w:t>
      </w:r>
      <w:r w:rsidRPr="00AB652B">
        <w:t>Catalonia’s instruction</w:t>
      </w:r>
      <w:r>
        <w:t>”</w:t>
      </w:r>
      <w:r w:rsidRPr="00AB652B">
        <w:t>).</w:t>
      </w:r>
      <w:r w:rsidRPr="00AB652B">
        <w:rPr>
          <w:rStyle w:val="FootnoteReference"/>
        </w:rPr>
        <w:footnoteReference w:id="23"/>
      </w:r>
      <w:r w:rsidRPr="00AB652B">
        <w:t xml:space="preserve"> Catalonia’s instruction provides that:</w:t>
      </w:r>
    </w:p>
    <w:p w14:paraId="425DAD0D" w14:textId="77777777" w:rsidR="00D666EE" w:rsidRPr="00AB652B" w:rsidRDefault="00D666EE" w:rsidP="00D666EE">
      <w:pPr>
        <w:pStyle w:val="Quote"/>
        <w:ind w:left="1701"/>
      </w:pPr>
      <w:r w:rsidRPr="00AB652B">
        <w:t xml:space="preserve">The  units under the aegis of this Directorate-General, once environmental permits have been granted or denied, when notifying the municipal council of the location where the activity for which the environmental permit is being granted or denied is to be undertaken, must indicate that this resolution shall be </w:t>
      </w:r>
      <w:r w:rsidRPr="00AB652B">
        <w:lastRenderedPageBreak/>
        <w:t>made available to the public on the corresponding municipal notice boards and on the municipal website.</w:t>
      </w:r>
      <w:r w:rsidRPr="00AB652B">
        <w:rPr>
          <w:rStyle w:val="FootnoteReference"/>
        </w:rPr>
        <w:footnoteReference w:id="24"/>
      </w:r>
    </w:p>
    <w:p w14:paraId="1EC4B5C0" w14:textId="77777777" w:rsidR="00D666EE" w:rsidRDefault="00D666EE" w:rsidP="00D666EE">
      <w:pPr>
        <w:pStyle w:val="NumberedParas"/>
        <w:ind w:left="1276" w:firstLine="0"/>
      </w:pPr>
      <w:r w:rsidRPr="00AB652B">
        <w:t>The Party concerned reports that the above instruction “has been disseminated among its different autonomous administrations, both in writing to the regional contact points for the Aarhus Convention in May 2019 and during a meeting held on 26 September 2019, in order for them to adapt their actions in their respective territories regarding this matter to the contents of the instruction and pursuant to the indications in decision VI/8j.”</w:t>
      </w:r>
      <w:r w:rsidRPr="00AB652B">
        <w:rPr>
          <w:rStyle w:val="FootnoteReference"/>
        </w:rPr>
        <w:footnoteReference w:id="25"/>
      </w:r>
      <w:r>
        <w:t xml:space="preserve"> </w:t>
      </w:r>
    </w:p>
    <w:p w14:paraId="7B7D3B0C" w14:textId="77777777" w:rsidR="00D666EE" w:rsidRPr="00AB652B" w:rsidRDefault="00D666EE" w:rsidP="00D666EE">
      <w:pPr>
        <w:pStyle w:val="NumberedParas"/>
        <w:ind w:left="1276" w:firstLine="0"/>
      </w:pPr>
      <w:r>
        <w:t>T</w:t>
      </w:r>
      <w:r w:rsidRPr="00AB652B">
        <w:t>he communicant of communication ACCC/C/2014/99 claims that Catalonia’s instruction is not an appropriate measure to implement paragraph 7 of decision VI/8j.</w:t>
      </w:r>
      <w:r w:rsidRPr="00AB652B">
        <w:rPr>
          <w:rStyle w:val="FootnoteReference"/>
        </w:rPr>
        <w:footnoteReference w:id="26"/>
      </w:r>
      <w:r w:rsidRPr="00AB652B">
        <w:t xml:space="preserve"> The communicant claims firstly that making permits available not only on the internet and in the Official Journal, but also on the corresponding municipal notice boards and on the municipal website fails to ensure that the public is effectively informed.</w:t>
      </w:r>
      <w:r w:rsidRPr="00AB652B">
        <w:rPr>
          <w:rStyle w:val="FootnoteReference"/>
        </w:rPr>
        <w:footnoteReference w:id="27"/>
      </w:r>
      <w:r w:rsidRPr="00AB652B">
        <w:t xml:space="preserve"> It states that in practice more effective measures should be implemented, such as putting up posters announcing the authorization of the project in the area in which it is to be carried out and placing notices in the local press.</w:t>
      </w:r>
      <w:r w:rsidRPr="00AB652B">
        <w:rPr>
          <w:rStyle w:val="FootnoteReference"/>
        </w:rPr>
        <w:footnoteReference w:id="28"/>
      </w:r>
      <w:r w:rsidRPr="00AB652B">
        <w:t xml:space="preserve"> </w:t>
      </w:r>
    </w:p>
    <w:p w14:paraId="0E4F3353" w14:textId="77777777" w:rsidR="00D666EE" w:rsidRDefault="00D666EE" w:rsidP="00D666EE">
      <w:pPr>
        <w:pStyle w:val="NumberedParas"/>
        <w:ind w:left="1276" w:firstLine="0"/>
      </w:pPr>
      <w:r w:rsidRPr="00AB652B">
        <w:t xml:space="preserve">The communicant submits secondly that the instruction has binding effects only for the public workers of the Directorate-General of Environmental Quality and Climate Change of the Department of Territories and Sustainability of the Autonomous Administration of Catalonia. The communicant claims therefore that the instruction </w:t>
      </w:r>
      <w:r>
        <w:t>does not apply</w:t>
      </w:r>
      <w:r w:rsidRPr="00AB652B">
        <w:t xml:space="preserve"> to municipalities because they are a separate </w:t>
      </w:r>
      <w:r>
        <w:t xml:space="preserve">level of </w:t>
      </w:r>
      <w:r w:rsidRPr="00AB652B">
        <w:t>public administration.</w:t>
      </w:r>
      <w:r w:rsidRPr="00AB652B">
        <w:rPr>
          <w:rStyle w:val="FootnoteReference"/>
        </w:rPr>
        <w:footnoteReference w:id="29"/>
      </w:r>
      <w:r w:rsidRPr="00AB652B">
        <w:t xml:space="preserve"> The communicant submits that a modification of the Spanish or Catalan </w:t>
      </w:r>
      <w:r>
        <w:t xml:space="preserve">legislation </w:t>
      </w:r>
      <w:r w:rsidRPr="00AB652B">
        <w:t>is required</w:t>
      </w:r>
      <w:r w:rsidRPr="0070681C">
        <w:t xml:space="preserve"> </w:t>
      </w:r>
      <w:r w:rsidRPr="00AB652B">
        <w:t>in order to have binding effects for municipalities.</w:t>
      </w:r>
      <w:r w:rsidRPr="00AB652B">
        <w:rPr>
          <w:rStyle w:val="FootnoteReference"/>
        </w:rPr>
        <w:footnoteReference w:id="30"/>
      </w:r>
    </w:p>
    <w:p w14:paraId="0F70A34A" w14:textId="587BA463" w:rsidR="00D666EE" w:rsidRDefault="00D666EE" w:rsidP="00D666EE">
      <w:pPr>
        <w:pStyle w:val="NumberedParas"/>
        <w:ind w:left="1276" w:firstLine="0"/>
      </w:pPr>
      <w:r w:rsidRPr="00AB652B">
        <w:t>The Committee welcomes the adoption of Catalonia’s instruction</w:t>
      </w:r>
      <w:r>
        <w:t>,</w:t>
      </w:r>
      <w:r w:rsidRPr="00AB652B">
        <w:t xml:space="preserve"> </w:t>
      </w:r>
      <w:r>
        <w:t xml:space="preserve">and the implementation of the instruction in practice, </w:t>
      </w:r>
      <w:r w:rsidRPr="00AB652B">
        <w:t>as positive step</w:t>
      </w:r>
      <w:r w:rsidR="0084365F">
        <w:t>s</w:t>
      </w:r>
      <w:r w:rsidRPr="00AB652B">
        <w:t xml:space="preserve"> towards implementing the recommendation in paragraph 7 of decision VI/8j. </w:t>
      </w:r>
      <w:r>
        <w:t>The Committee examines below the extent to which Catalonia’s instruction fully meets the requirements of paragraph 7 of decision VI/8j.</w:t>
      </w:r>
    </w:p>
    <w:p w14:paraId="6F3500D5" w14:textId="3B723EAF" w:rsidR="00D666EE" w:rsidRDefault="00D666EE" w:rsidP="00D666EE">
      <w:pPr>
        <w:pStyle w:val="Heading5"/>
        <w:ind w:left="1276" w:firstLine="0"/>
        <w:rPr>
          <w:i/>
          <w:iCs/>
        </w:rPr>
      </w:pPr>
      <w:r w:rsidRPr="00D666EE">
        <w:rPr>
          <w:i/>
          <w:iCs/>
        </w:rPr>
        <w:t>Decision VI/8j applies to all autonomous communities</w:t>
      </w:r>
    </w:p>
    <w:p w14:paraId="28DBA2EE" w14:textId="77777777" w:rsidR="0084365F" w:rsidRPr="0084365F" w:rsidRDefault="0084365F" w:rsidP="0084365F"/>
    <w:p w14:paraId="5F6DD8FF" w14:textId="77777777" w:rsidR="00D666EE" w:rsidRPr="00AB652B" w:rsidRDefault="00D666EE" w:rsidP="00D666EE">
      <w:pPr>
        <w:pStyle w:val="NumberedParas"/>
        <w:ind w:left="1276" w:firstLine="0"/>
      </w:pPr>
      <w:bookmarkStart w:id="5" w:name="_Ref29568768"/>
      <w:r>
        <w:t>The Committee underlines that</w:t>
      </w:r>
      <w:r w:rsidRPr="00AB652B">
        <w:t xml:space="preserve">, as </w:t>
      </w:r>
      <w:r>
        <w:t xml:space="preserve">it already </w:t>
      </w:r>
      <w:r w:rsidRPr="00AB652B">
        <w:t>made clear in its first</w:t>
      </w:r>
      <w:r>
        <w:t xml:space="preserve"> and second</w:t>
      </w:r>
      <w:r w:rsidRPr="00AB652B">
        <w:t xml:space="preserve"> progress review</w:t>
      </w:r>
      <w:r>
        <w:t>s,</w:t>
      </w:r>
      <w:r w:rsidRPr="00AB652B">
        <w:t xml:space="preserve"> decision VI/8j concerns the compliance of Spain, not just that of Catalonia.</w:t>
      </w:r>
      <w:r w:rsidRPr="00AB652B">
        <w:rPr>
          <w:rStyle w:val="FootnoteReference"/>
        </w:rPr>
        <w:footnoteReference w:id="31"/>
      </w:r>
      <w:r w:rsidRPr="00AB652B">
        <w:t xml:space="preserve"> </w:t>
      </w:r>
    </w:p>
    <w:p w14:paraId="142AA4F4" w14:textId="77777777" w:rsidR="00D666EE" w:rsidRDefault="00D666EE" w:rsidP="00D666EE">
      <w:pPr>
        <w:pStyle w:val="NumberedParas"/>
        <w:ind w:left="1276" w:firstLine="0"/>
      </w:pPr>
      <w:r>
        <w:lastRenderedPageBreak/>
        <w:t>The</w:t>
      </w:r>
      <w:r w:rsidRPr="00592EF9">
        <w:t xml:space="preserve"> Committee appreciates that the Party concerned has disseminated </w:t>
      </w:r>
      <w:r>
        <w:t>Catalonia’s</w:t>
      </w:r>
      <w:r w:rsidRPr="00592EF9">
        <w:t xml:space="preserve"> instruction among its autonomous </w:t>
      </w:r>
      <w:r>
        <w:t>communities</w:t>
      </w:r>
      <w:r w:rsidRPr="00592EF9">
        <w:t>, both in writing to the Aarhus Convention regio</w:t>
      </w:r>
      <w:r w:rsidRPr="00A165D9">
        <w:t>nal contact points in May 2019 and during a meeting held on 26 September 2019 in order for them to adapt their actions in their respective territories</w:t>
      </w:r>
      <w:r w:rsidRPr="00592EF9">
        <w:t xml:space="preserve"> to the contents of the instruction and decision VI/8j</w:t>
      </w:r>
      <w:r>
        <w:t>.</w:t>
      </w:r>
      <w:r w:rsidRPr="00AB652B">
        <w:rPr>
          <w:rStyle w:val="FootnoteReference"/>
        </w:rPr>
        <w:footnoteReference w:id="32"/>
      </w:r>
      <w:r w:rsidRPr="00592EF9">
        <w:t xml:space="preserve"> </w:t>
      </w:r>
      <w:r>
        <w:t>The Party concerned has not however put any evidence before the Committee that would indicate that, as a result of these steps, the other autonomous communities are under a legal obligation to adapt their actions in line with Catalonia’s instructions. T</w:t>
      </w:r>
      <w:r w:rsidRPr="00592EF9">
        <w:t xml:space="preserve">he Committee </w:t>
      </w:r>
      <w:r>
        <w:t>points out</w:t>
      </w:r>
      <w:r w:rsidRPr="00592EF9">
        <w:t xml:space="preserve"> </w:t>
      </w:r>
      <w:r>
        <w:t xml:space="preserve">that, in order to meet the requirements of paragraph 7 of decision VI/8j, the Party concerned will need to take </w:t>
      </w:r>
      <w:r w:rsidRPr="00592EF9">
        <w:t xml:space="preserve">the necessary measures to </w:t>
      </w:r>
      <w:r w:rsidRPr="000835BE">
        <w:rPr>
          <w:i/>
          <w:iCs/>
        </w:rPr>
        <w:t>ensure</w:t>
      </w:r>
      <w:r w:rsidRPr="00A165D9">
        <w:t xml:space="preserve"> that the public in all the autonomous communities of the Party concerned </w:t>
      </w:r>
      <w:r>
        <w:t xml:space="preserve">are </w:t>
      </w:r>
      <w:r w:rsidRPr="00A165D9">
        <w:t xml:space="preserve">promptly informed of decisions taken under article 6(9). </w:t>
      </w:r>
    </w:p>
    <w:p w14:paraId="4306D0D9" w14:textId="2D9864CB" w:rsidR="00D666EE" w:rsidRDefault="00D666EE" w:rsidP="00D666EE">
      <w:pPr>
        <w:pStyle w:val="NumberedParas"/>
        <w:ind w:left="1276" w:firstLine="0"/>
      </w:pPr>
      <w:bookmarkStart w:id="6" w:name="_Ref75110731"/>
      <w:r>
        <w:t xml:space="preserve">In this regard, the Party concerned has not to date provided the Committee with the text of any administrative instructions or other measures taken by the other autonomous communities that would indicate that they have indeed adapted their actions in line with Catalonia’s instruction accordingly. </w:t>
      </w:r>
      <w:bookmarkStart w:id="7" w:name="_Hlk33523479"/>
      <w:r>
        <w:t>In order to conclude the Party concerned has met the requirements of paragraph 7 of decision VI/8j, the Committee w</w:t>
      </w:r>
      <w:r w:rsidR="00124431">
        <w:t xml:space="preserve">ill </w:t>
      </w:r>
      <w:r>
        <w:t xml:space="preserve">need to be provided with the administrative instructions or other measures taken </w:t>
      </w:r>
      <w:r w:rsidR="00124431">
        <w:t>to ensure that the requirements of paragraph 7 are met for</w:t>
      </w:r>
      <w:r>
        <w:t xml:space="preserve"> </w:t>
      </w:r>
      <w:r w:rsidRPr="00C635C6">
        <w:rPr>
          <w:i/>
          <w:iCs/>
        </w:rPr>
        <w:t xml:space="preserve">each </w:t>
      </w:r>
      <w:r>
        <w:t>autonomous community.</w:t>
      </w:r>
      <w:bookmarkEnd w:id="6"/>
    </w:p>
    <w:bookmarkEnd w:id="7"/>
    <w:p w14:paraId="7786F51D" w14:textId="63CA77CC" w:rsidR="00D666EE" w:rsidRDefault="00D666EE" w:rsidP="00D666EE">
      <w:pPr>
        <w:pStyle w:val="NumberedParas"/>
        <w:ind w:left="1276" w:firstLine="0"/>
      </w:pPr>
      <w:r>
        <w:t xml:space="preserve"> Accordingly, the Committee concludes that the Party concerned has not yet met the requirements of paragraph 7 of decision VI8j with respect to each of its autonomous communities.</w:t>
      </w:r>
    </w:p>
    <w:p w14:paraId="6E1D7615" w14:textId="77777777" w:rsidR="00282BD5" w:rsidRDefault="00282BD5" w:rsidP="00D666EE">
      <w:pPr>
        <w:pStyle w:val="Heading5"/>
        <w:ind w:left="1276" w:firstLine="0"/>
        <w:rPr>
          <w:i/>
          <w:iCs/>
        </w:rPr>
      </w:pPr>
    </w:p>
    <w:p w14:paraId="0F76430A" w14:textId="78DDC00C" w:rsidR="00D666EE" w:rsidRPr="00D666EE" w:rsidRDefault="00D666EE" w:rsidP="00D666EE">
      <w:pPr>
        <w:pStyle w:val="Heading5"/>
        <w:ind w:left="1276" w:firstLine="0"/>
        <w:rPr>
          <w:i/>
          <w:iCs/>
        </w:rPr>
      </w:pPr>
      <w:r w:rsidRPr="00D666EE">
        <w:rPr>
          <w:i/>
          <w:iCs/>
        </w:rPr>
        <w:t xml:space="preserve">Means of notification under article 6(2) as a minimum </w:t>
      </w:r>
    </w:p>
    <w:p w14:paraId="2A96DA7B" w14:textId="77777777" w:rsidR="00D666EE" w:rsidRPr="00D666EE" w:rsidRDefault="00D666EE" w:rsidP="00D666EE"/>
    <w:p w14:paraId="46F68085" w14:textId="77777777" w:rsidR="00D666EE" w:rsidRDefault="00D666EE" w:rsidP="00D666EE">
      <w:pPr>
        <w:pStyle w:val="NumberedParas"/>
        <w:ind w:left="1276" w:firstLine="0"/>
      </w:pPr>
      <w:r>
        <w:t>In its findings on communication ACCC/C/201/99, the Committee held that:</w:t>
      </w:r>
    </w:p>
    <w:p w14:paraId="79AD3665" w14:textId="77777777" w:rsidR="00D666EE" w:rsidRDefault="00D666EE" w:rsidP="00BB4CF0">
      <w:pPr>
        <w:pStyle w:val="NumberedParas"/>
        <w:numPr>
          <w:ilvl w:val="0"/>
          <w:numId w:val="0"/>
        </w:numPr>
        <w:ind w:left="1701"/>
      </w:pPr>
      <w:r>
        <w:t>as a good practice, the methods used to notify the public concerned under article 6, paragraph 2, should be utilized as a minimum for informing the public under article 6, paragraph 9, of the decision once taken, recalling that the latter requires the public generally to be informed, and not just the public concerned.</w:t>
      </w:r>
      <w:r>
        <w:rPr>
          <w:rStyle w:val="FootnoteReference"/>
        </w:rPr>
        <w:footnoteReference w:id="33"/>
      </w:r>
    </w:p>
    <w:p w14:paraId="050CB6DB" w14:textId="77777777" w:rsidR="00D666EE" w:rsidRDefault="00D666EE" w:rsidP="00D666EE">
      <w:pPr>
        <w:pStyle w:val="NumberedParas"/>
        <w:ind w:left="1276" w:firstLine="0"/>
      </w:pPr>
      <w:bookmarkStart w:id="8" w:name="_Ref33520358"/>
      <w:bookmarkEnd w:id="5"/>
      <w:r>
        <w:t>In its first and second progress reviews, the Committee stated that in order to fulfil paragraph 7 of decision VI/8j:</w:t>
      </w:r>
    </w:p>
    <w:p w14:paraId="53CFB444" w14:textId="054E235F" w:rsidR="00D666EE" w:rsidRDefault="00D666EE" w:rsidP="00BB4CF0">
      <w:pPr>
        <w:pStyle w:val="NumberedParas"/>
        <w:numPr>
          <w:ilvl w:val="0"/>
          <w:numId w:val="0"/>
        </w:numPr>
        <w:ind w:left="1701"/>
      </w:pPr>
      <w:r>
        <w:t>Spain will need to demonstrate to the Committee that it has put in place the necessary measures to ensure that, for each decision-making procedure subject to article 6 of the Convention, the means used in practice to notify the public of its opportunities to participate in a particular decision-making procedure under article 6(2) will also be used, as a minimum, to inform the public of the decision once it has been taken.</w:t>
      </w:r>
      <w:r>
        <w:rPr>
          <w:rStyle w:val="FootnoteReference"/>
        </w:rPr>
        <w:footnoteReference w:id="34"/>
      </w:r>
    </w:p>
    <w:p w14:paraId="62438432" w14:textId="4A5F8F52" w:rsidR="00D666EE" w:rsidRDefault="00D666EE" w:rsidP="00D666EE">
      <w:pPr>
        <w:pStyle w:val="NumberedParas"/>
        <w:ind w:left="1276" w:firstLine="0"/>
      </w:pPr>
      <w:r>
        <w:t>To that end, in its second progress review, the Committee ask</w:t>
      </w:r>
      <w:r w:rsidR="00124431">
        <w:t>ed</w:t>
      </w:r>
      <w:r>
        <w:t xml:space="preserve"> the Party concerned, together with its final progress report, to provide the text of the relevant provisions of Law 16/2002 or other law setting out the means to be used by autonomous communities to notify the public concerned of applications for permits subject to article 6 of the Convention.</w:t>
      </w:r>
      <w:r>
        <w:rPr>
          <w:rStyle w:val="FootnoteReference"/>
        </w:rPr>
        <w:footnoteReference w:id="35"/>
      </w:r>
    </w:p>
    <w:p w14:paraId="533356CB" w14:textId="77777777" w:rsidR="00D666EE" w:rsidRDefault="00D666EE" w:rsidP="00D666EE">
      <w:pPr>
        <w:pStyle w:val="NumberedParas"/>
        <w:ind w:left="1276" w:firstLine="0"/>
      </w:pPr>
      <w:bookmarkStart w:id="9" w:name="_Ref75111427"/>
      <w:r>
        <w:lastRenderedPageBreak/>
        <w:t>In reply, the Party concerned states that its domestic legislation requires that the 30-day period of public consultation before the granting of a permit for integrated environmental permits must be announced in the Official Journal and disseminated on the website of the administration concerned. Documentation must be publicly displayed for a specific period of time at the town hall of the municipality where the activity is to be carried out. Individuals living in the immediate vicinity and parties with a specific interest shall be informed personally.</w:t>
      </w:r>
      <w:r>
        <w:rPr>
          <w:rStyle w:val="FootnoteReference"/>
        </w:rPr>
        <w:footnoteReference w:id="36"/>
      </w:r>
      <w:bookmarkEnd w:id="9"/>
      <w:r>
        <w:t xml:space="preserve"> </w:t>
      </w:r>
    </w:p>
    <w:p w14:paraId="73958169" w14:textId="508336A0" w:rsidR="00D666EE" w:rsidRDefault="00D666EE" w:rsidP="00D666EE">
      <w:pPr>
        <w:pStyle w:val="NumberedParas"/>
        <w:ind w:left="1276" w:firstLine="0"/>
      </w:pPr>
      <w:r>
        <w:t xml:space="preserve">The Party concerned points out that the Industrial Emissions Directive envisages different means of notification regarding the proposed decision-making and </w:t>
      </w:r>
      <w:r w:rsidR="00124431">
        <w:t>of</w:t>
      </w:r>
      <w:r>
        <w:t xml:space="preserve"> the decision on the permit once taken.</w:t>
      </w:r>
      <w:r>
        <w:rPr>
          <w:rStyle w:val="FootnoteReference"/>
        </w:rPr>
        <w:footnoteReference w:id="37"/>
      </w:r>
      <w:r>
        <w:t xml:space="preserve"> It submits that point 1 of Annex IV of the Directive expressly states that the “arrangements for informing the public (for example by bill posting within a certain radius or publication in local newspapers) [of the proposed decision-making] shall be determined by the Member States”. In contrast, article 24(2) of the Directive provides that “when a decision on granting…a permit has been taken, the competent authority shall make available to the public, including via the internet” the specified information. It submits that Member States thus have a margin of appreciation in deciding which means to use to comply with article 6(9) of the Convention. It also cites the judgment of the Court of Justice of the European Union in Case C-280/18 </w:t>
      </w:r>
      <w:r w:rsidRPr="00685E91">
        <w:rPr>
          <w:i/>
          <w:iCs/>
        </w:rPr>
        <w:t xml:space="preserve">Flausch </w:t>
      </w:r>
      <w:r>
        <w:rPr>
          <w:i/>
          <w:iCs/>
        </w:rPr>
        <w:t>and others</w:t>
      </w:r>
      <w:r>
        <w:t xml:space="preserve"> which it submits held that, for the purposes of the EIA Directive, the publication of the development consent on the </w:t>
      </w:r>
      <w:r w:rsidR="00124431">
        <w:t>I</w:t>
      </w:r>
      <w:r>
        <w:t>nternet was sufficient.</w:t>
      </w:r>
      <w:r>
        <w:rPr>
          <w:rStyle w:val="FootnoteReference"/>
        </w:rPr>
        <w:footnoteReference w:id="38"/>
      </w:r>
    </w:p>
    <w:p w14:paraId="499286EA" w14:textId="2E936942" w:rsidR="00D666EE" w:rsidRDefault="00D666EE" w:rsidP="00D666EE">
      <w:pPr>
        <w:pStyle w:val="NumberedParas"/>
        <w:ind w:left="1276" w:firstLine="0"/>
      </w:pPr>
      <w:r>
        <w:t xml:space="preserve">The Committee takes note of the submissions by the Party concerned that, under the Industrial Emissions Directive, the means used to notify the public of </w:t>
      </w:r>
      <w:r w:rsidR="001E551D">
        <w:t xml:space="preserve">the </w:t>
      </w:r>
      <w:r>
        <w:t xml:space="preserve">proposed decision-making and of the integrated environmental permit itself differ and that Parties have a margin of appreciation when deciding which means to use to notify the public of the permit. The Committee also notes the Party concerned’s reference to the ruling in Case C-280/18 </w:t>
      </w:r>
      <w:r w:rsidRPr="00685E91">
        <w:rPr>
          <w:i/>
          <w:iCs/>
        </w:rPr>
        <w:t xml:space="preserve">Flausch </w:t>
      </w:r>
      <w:r>
        <w:rPr>
          <w:i/>
          <w:iCs/>
        </w:rPr>
        <w:t>and others.</w:t>
      </w:r>
      <w:r>
        <w:t xml:space="preserve"> The Committee underlines that the Convention’s requirements are established by the text of the Convention and not by the text of European Union legislation or the caselaw of the European Union’s courts.</w:t>
      </w:r>
    </w:p>
    <w:p w14:paraId="03E5C786" w14:textId="5E642F08" w:rsidR="00D666EE" w:rsidRDefault="00D666EE" w:rsidP="00D666EE">
      <w:pPr>
        <w:pStyle w:val="NumberedParas"/>
        <w:ind w:left="1276" w:firstLine="0"/>
      </w:pPr>
      <w:bookmarkStart w:id="10" w:name="_Ref75120176"/>
      <w:r>
        <w:t xml:space="preserve">The Committee points out that the Meeting of the Parties, in paragraph 7 of decision VI/8j, recommended that the Party concerned take the </w:t>
      </w:r>
      <w:r w:rsidRPr="00AB652B">
        <w:t xml:space="preserve"> necessary legislative, regulatory or other measures and practical arrangements to ensure that the public is promptly informed of decisions taken under article 6(9) of the Convention not only through the Internet, but also through other means, </w:t>
      </w:r>
      <w:r w:rsidRPr="004A5339">
        <w:rPr>
          <w:i/>
          <w:iCs/>
        </w:rPr>
        <w:t xml:space="preserve">including but not necessarily limited </w:t>
      </w:r>
      <w:r w:rsidRPr="004A5339">
        <w:t>to the methods used to inform the public concerned pursuant to article 6(2)</w:t>
      </w:r>
      <w:r w:rsidRPr="00AB652B">
        <w:t xml:space="preserve"> of the Convention</w:t>
      </w:r>
      <w:r>
        <w:t>. Accordingly, in order to fulfil the requirements of paragraph 7 of decision VI/8j, the Party concerned will need to ensure that the public is promptly informed of decisions on integrated environmental permits through at least the means used in the Party concerned to notify of the proposed decision-making itself, that is</w:t>
      </w:r>
      <w:r w:rsidR="001E551D">
        <w:t>,</w:t>
      </w:r>
      <w:r>
        <w:t xml:space="preserve"> the means listed in paragraph </w:t>
      </w:r>
      <w:r>
        <w:fldChar w:fldCharType="begin"/>
      </w:r>
      <w:r>
        <w:instrText xml:space="preserve"> REF _Ref75111427 \r \h </w:instrText>
      </w:r>
      <w:r>
        <w:fldChar w:fldCharType="separate"/>
      </w:r>
      <w:r w:rsidR="001E551D">
        <w:rPr>
          <w:cs/>
        </w:rPr>
        <w:t>‎</w:t>
      </w:r>
      <w:r w:rsidR="001E551D">
        <w:t>58</w:t>
      </w:r>
      <w:r>
        <w:fldChar w:fldCharType="end"/>
      </w:r>
      <w:r>
        <w:t xml:space="preserve"> above.</w:t>
      </w:r>
      <w:bookmarkEnd w:id="10"/>
      <w:r>
        <w:t xml:space="preserve"> </w:t>
      </w:r>
    </w:p>
    <w:p w14:paraId="21241A5A" w14:textId="7E9EAE83" w:rsidR="00D666EE" w:rsidRDefault="00D666EE" w:rsidP="00D666EE">
      <w:pPr>
        <w:pStyle w:val="NumberedParas"/>
        <w:ind w:left="1276" w:firstLine="0"/>
      </w:pPr>
      <w:r>
        <w:t xml:space="preserve">In that regard, the Committee notes that the only apparent difference between the means listed in Catalonia’s instruction and those used by the Party concerned to notify the public concerned of the proposed decision-making is that individuals living in the immediate vicinity and parties with a specific interest are required to be informed personally of the proposed decision-making whereas Catalonia’s instruction does not include such a requirement. Accordingly, in order to meet the requirements of paragraph 7 of decision VI/8j, Catalonia’s instruction would need to be amended to </w:t>
      </w:r>
      <w:r w:rsidR="001E551D">
        <w:lastRenderedPageBreak/>
        <w:t>specify</w:t>
      </w:r>
      <w:r>
        <w:t xml:space="preserve"> that these members of the public </w:t>
      </w:r>
      <w:r w:rsidR="001E551D">
        <w:t xml:space="preserve">must </w:t>
      </w:r>
      <w:r>
        <w:t xml:space="preserve">be personally informed of the grant of the integrated environmental permit. Likewise, the corresponding administrative instructions or measures to be taken </w:t>
      </w:r>
      <w:r w:rsidR="001E551D">
        <w:t>to ensure that the requirements of paragraph 7 are met in</w:t>
      </w:r>
      <w:r>
        <w:t xml:space="preserve"> each of the other autonomous communities (see para.</w:t>
      </w:r>
      <w:r w:rsidRPr="00FA7B3D">
        <w:t xml:space="preserve"> </w:t>
      </w:r>
      <w:r>
        <w:fldChar w:fldCharType="begin"/>
      </w:r>
      <w:r>
        <w:instrText xml:space="preserve"> REF _Ref75110731 \r \h </w:instrText>
      </w:r>
      <w:r>
        <w:fldChar w:fldCharType="separate"/>
      </w:r>
      <w:r w:rsidR="001E551D">
        <w:rPr>
          <w:cs/>
        </w:rPr>
        <w:t>‎</w:t>
      </w:r>
      <w:r w:rsidR="001E551D">
        <w:t>53</w:t>
      </w:r>
      <w:r>
        <w:fldChar w:fldCharType="end"/>
      </w:r>
      <w:r>
        <w:t xml:space="preserve"> above) would need to include such a requirement also. </w:t>
      </w:r>
    </w:p>
    <w:bookmarkEnd w:id="8"/>
    <w:p w14:paraId="67CDD93D" w14:textId="7EA56572" w:rsidR="00D666EE" w:rsidRDefault="00D666EE" w:rsidP="00D666EE">
      <w:pPr>
        <w:pStyle w:val="Heading5"/>
        <w:ind w:left="1276" w:firstLine="0"/>
        <w:rPr>
          <w:i/>
          <w:iCs/>
        </w:rPr>
      </w:pPr>
      <w:r w:rsidRPr="00D666EE">
        <w:rPr>
          <w:i/>
          <w:iCs/>
        </w:rPr>
        <w:t>Binding on municipal authorities</w:t>
      </w:r>
    </w:p>
    <w:p w14:paraId="2A31C38C" w14:textId="77777777" w:rsidR="00D666EE" w:rsidRPr="00D666EE" w:rsidRDefault="00D666EE" w:rsidP="00D666EE"/>
    <w:p w14:paraId="5F13F444" w14:textId="77777777" w:rsidR="00D666EE" w:rsidRDefault="00D666EE" w:rsidP="00D666EE">
      <w:pPr>
        <w:pStyle w:val="NumberedParas"/>
        <w:ind w:left="1276" w:firstLine="0"/>
      </w:pPr>
      <w:r>
        <w:t>T</w:t>
      </w:r>
      <w:r w:rsidRPr="00AB652B">
        <w:t>he communicant of communication ACCC/C/2014/99</w:t>
      </w:r>
      <w:r>
        <w:t xml:space="preserve"> submits</w:t>
      </w:r>
      <w:r w:rsidRPr="00AB652B">
        <w:t xml:space="preserve"> that </w:t>
      </w:r>
      <w:r>
        <w:t>Catalonia’s</w:t>
      </w:r>
      <w:r w:rsidRPr="00AB652B">
        <w:t xml:space="preserve"> instruction is only binding on entities acting under the direction of the Directorate-General of Environmental Quality and Climate Change of the Department of Territories and Sustainability of the Autonomous Administration of Catalonia, and not municipal authorities.</w:t>
      </w:r>
      <w:r>
        <w:rPr>
          <w:rStyle w:val="FootnoteReference"/>
        </w:rPr>
        <w:footnoteReference w:id="39"/>
      </w:r>
      <w:r w:rsidRPr="00AB652B">
        <w:t xml:space="preserve"> </w:t>
      </w:r>
      <w:bookmarkStart w:id="11" w:name="_Ref33713345"/>
    </w:p>
    <w:p w14:paraId="1B8EBF41" w14:textId="77777777" w:rsidR="00D666EE" w:rsidRDefault="00D666EE" w:rsidP="00D666EE">
      <w:pPr>
        <w:pStyle w:val="NumberedParas"/>
        <w:ind w:left="1276" w:firstLine="0"/>
      </w:pPr>
      <w:r>
        <w:t xml:space="preserve">In its second progress review, the Committee noted that this </w:t>
      </w:r>
      <w:r w:rsidRPr="00AB652B">
        <w:t>raise</w:t>
      </w:r>
      <w:r>
        <w:t>d</w:t>
      </w:r>
      <w:r w:rsidRPr="00AB652B">
        <w:t xml:space="preserve"> the question as to whether Catalonia’s instruction would be sufficient to prevent a situation where municipal authorities fail to act on a request from Catalan officials to make a particular environmental permit available to the public on its notice boards and website.</w:t>
      </w:r>
      <w:r>
        <w:t xml:space="preserve"> The Committee thus invited the Party concerned to clarify whether Catalonia’s instruction would indeed be binding on a municipal council which receives such a request.</w:t>
      </w:r>
      <w:r>
        <w:rPr>
          <w:rStyle w:val="FootnoteReference"/>
        </w:rPr>
        <w:footnoteReference w:id="40"/>
      </w:r>
      <w:r>
        <w:t xml:space="preserve"> </w:t>
      </w:r>
    </w:p>
    <w:p w14:paraId="4E4BDF54" w14:textId="19C365A7" w:rsidR="00D666EE" w:rsidRPr="00AB652B" w:rsidRDefault="00D666EE" w:rsidP="00D666EE">
      <w:pPr>
        <w:pStyle w:val="NumberedParas"/>
        <w:ind w:left="1276" w:firstLine="0"/>
      </w:pPr>
      <w:r>
        <w:t>In response, the Party concerned has provided a number of examples of notices published by municipal authorities in accordance with the instruction of the Directorate-General</w:t>
      </w:r>
      <w:r w:rsidRPr="00AB652B">
        <w:t>.</w:t>
      </w:r>
      <w:bookmarkEnd w:id="11"/>
      <w:r>
        <w:rPr>
          <w:rStyle w:val="FootnoteReference"/>
        </w:rPr>
        <w:footnoteReference w:id="41"/>
      </w:r>
      <w:r>
        <w:t xml:space="preserve"> Noting these examples, and having no evidence before it that municipal authorities in Catalonia are not publishing environmental permits in accordance with the instruction of the Directorate-General, the Committee </w:t>
      </w:r>
      <w:r w:rsidR="00702E83">
        <w:t xml:space="preserve">will not </w:t>
      </w:r>
      <w:r w:rsidR="001E551D">
        <w:t xml:space="preserve">examine </w:t>
      </w:r>
      <w:r w:rsidR="00702E83">
        <w:t>this aspect further</w:t>
      </w:r>
      <w:r>
        <w:t>.</w:t>
      </w:r>
    </w:p>
    <w:p w14:paraId="4FC374A1" w14:textId="72A0E021" w:rsidR="00D666EE" w:rsidRDefault="00D666EE" w:rsidP="00D666EE">
      <w:pPr>
        <w:pStyle w:val="Heading4"/>
        <w:ind w:left="1276" w:firstLine="0"/>
        <w:rPr>
          <w:i/>
          <w:iCs/>
        </w:rPr>
      </w:pPr>
      <w:r w:rsidRPr="00D666EE">
        <w:rPr>
          <w:i/>
          <w:iCs/>
        </w:rPr>
        <w:t xml:space="preserve">Concluding remarks regarding paragraph 7 </w:t>
      </w:r>
    </w:p>
    <w:p w14:paraId="20C347C7" w14:textId="77777777" w:rsidR="00D666EE" w:rsidRPr="00D666EE" w:rsidRDefault="00D666EE" w:rsidP="00D666EE"/>
    <w:p w14:paraId="185E1989" w14:textId="239770D1" w:rsidR="00D666EE" w:rsidRDefault="00D666EE" w:rsidP="00D666EE">
      <w:pPr>
        <w:pStyle w:val="NumberedParas"/>
        <w:ind w:left="1276" w:firstLine="0"/>
      </w:pPr>
      <w:r>
        <w:t xml:space="preserve">While welcoming </w:t>
      </w:r>
      <w:r w:rsidRPr="00AB652B">
        <w:t>Catalonia’s instruction</w:t>
      </w:r>
      <w:r>
        <w:t>, its implementation</w:t>
      </w:r>
      <w:r w:rsidRPr="00AB652B">
        <w:t xml:space="preserve"> </w:t>
      </w:r>
      <w:r>
        <w:t xml:space="preserve">and the distribution thereof to the other autonomous communities as </w:t>
      </w:r>
      <w:r w:rsidRPr="00AB652B">
        <w:t>positive step</w:t>
      </w:r>
      <w:r>
        <w:t>s</w:t>
      </w:r>
      <w:r w:rsidRPr="00AB652B">
        <w:t xml:space="preserve">, </w:t>
      </w:r>
      <w:r>
        <w:t>in the light of the issues identified  above, the Committee considers</w:t>
      </w:r>
      <w:r w:rsidRPr="00AB652B">
        <w:t xml:space="preserve"> that the Party concerned has not</w:t>
      </w:r>
      <w:r>
        <w:t xml:space="preserve"> demonstrated that </w:t>
      </w:r>
      <w:r w:rsidR="001E551D">
        <w:t>Catalonia’s</w:t>
      </w:r>
      <w:r>
        <w:t xml:space="preserve"> instruction meets </w:t>
      </w:r>
      <w:r w:rsidRPr="00AB652B">
        <w:t>the requirements of paragraph 7 of decision VI/8j.</w:t>
      </w:r>
      <w:r>
        <w:t xml:space="preserve"> The Committee also reminds the Party concerned that compliance with </w:t>
      </w:r>
      <w:r w:rsidR="001E551D">
        <w:t>European Union</w:t>
      </w:r>
      <w:r>
        <w:t xml:space="preserve"> law does not </w:t>
      </w:r>
      <w:r w:rsidR="001E551D">
        <w:t>necessarily result in</w:t>
      </w:r>
      <w:r>
        <w:t xml:space="preserve"> compliance with the Convention, which places standalone obligations on </w:t>
      </w:r>
      <w:r w:rsidR="001E551D">
        <w:t>the Party concerned</w:t>
      </w:r>
      <w:r>
        <w:t xml:space="preserve"> as a matter of international law. </w:t>
      </w:r>
    </w:p>
    <w:p w14:paraId="6D065676" w14:textId="40781689" w:rsidR="00D666EE" w:rsidRPr="00F3479C" w:rsidRDefault="00D666EE" w:rsidP="00D666EE">
      <w:pPr>
        <w:pStyle w:val="NumberedParas"/>
        <w:ind w:left="1276" w:firstLine="0"/>
      </w:pPr>
      <w:r>
        <w:t xml:space="preserve">The Committee considers that Catalonia’s instruction (with the necessary amendment highlighted in paragraph </w:t>
      </w:r>
      <w:r>
        <w:fldChar w:fldCharType="begin"/>
      </w:r>
      <w:r>
        <w:instrText xml:space="preserve"> REF _Ref75120176 \r \h </w:instrText>
      </w:r>
      <w:r>
        <w:fldChar w:fldCharType="separate"/>
      </w:r>
      <w:r w:rsidR="001E551D">
        <w:rPr>
          <w:cs/>
        </w:rPr>
        <w:t>‎</w:t>
      </w:r>
      <w:r w:rsidR="001E551D">
        <w:t>61</w:t>
      </w:r>
      <w:r>
        <w:fldChar w:fldCharType="end"/>
      </w:r>
      <w:r>
        <w:t xml:space="preserve"> above) could serve as a useful template to be replicated in each of the other autonomous communities. Alternatively, the Party concerned may decide to implement paragraph 7 through a legislative measure</w:t>
      </w:r>
      <w:r w:rsidR="001E551D">
        <w:t xml:space="preserve"> at the national level</w:t>
      </w:r>
      <w:r>
        <w:t>, such as an amendment to article 23(4) of Law 16/2002</w:t>
      </w:r>
      <w:bookmarkStart w:id="12" w:name="_Ref33734808"/>
      <w:r w:rsidRPr="00F3479C">
        <w:t xml:space="preserve">, provided that such an amendment </w:t>
      </w:r>
      <w:r w:rsidR="001E551D">
        <w:t>will be</w:t>
      </w:r>
      <w:r w:rsidRPr="00F3479C">
        <w:t xml:space="preserve"> binding on all autonomous communities. </w:t>
      </w:r>
      <w:r w:rsidRPr="00AA0E7B">
        <w:t>T</w:t>
      </w:r>
      <w:r w:rsidRPr="00F3479C">
        <w:t>o fulfil para</w:t>
      </w:r>
      <w:r w:rsidRPr="00AA0E7B">
        <w:t>graph</w:t>
      </w:r>
      <w:r w:rsidRPr="00F3479C">
        <w:t xml:space="preserve"> 7 of decision VI/8j</w:t>
      </w:r>
      <w:r w:rsidRPr="00AA0E7B">
        <w:t>,</w:t>
      </w:r>
      <w:r w:rsidRPr="00F3479C">
        <w:t xml:space="preserve"> the </w:t>
      </w:r>
      <w:r w:rsidR="001E551D">
        <w:t>legislative amendment at the national level</w:t>
      </w:r>
      <w:r w:rsidRPr="00F3479C">
        <w:t xml:space="preserve"> would have to require autonomous communities to publish the administrative </w:t>
      </w:r>
      <w:r>
        <w:t>decisions</w:t>
      </w:r>
      <w:r w:rsidRPr="00F3479C">
        <w:t xml:space="preserve"> by means of which integrated environmental </w:t>
      </w:r>
      <w:r w:rsidR="001E551D">
        <w:t>permits</w:t>
      </w:r>
      <w:r w:rsidRPr="00F3479C">
        <w:t xml:space="preserve"> are granted or modified</w:t>
      </w:r>
      <w:r w:rsidR="00FF2D96">
        <w:t>:</w:t>
      </w:r>
      <w:r w:rsidRPr="00F3479C">
        <w:t xml:space="preserve"> </w:t>
      </w:r>
      <w:r w:rsidR="00FF2D96">
        <w:t xml:space="preserve">(a) </w:t>
      </w:r>
      <w:r w:rsidRPr="00F3479C">
        <w:t>not only in their official journals but also through any other means used to inform the public concerned of the application for the permit under article 6(2) of the Convention</w:t>
      </w:r>
      <w:r w:rsidR="00FF2D96">
        <w:t>;</w:t>
      </w:r>
      <w:r w:rsidRPr="00F3479C">
        <w:t xml:space="preserve"> and </w:t>
      </w:r>
      <w:r w:rsidR="00FF2D96">
        <w:t xml:space="preserve">(b) </w:t>
      </w:r>
      <w:r w:rsidRPr="00F3479C">
        <w:t xml:space="preserve">that the means used are not to be limited to the </w:t>
      </w:r>
      <w:r>
        <w:t>i</w:t>
      </w:r>
      <w:r w:rsidRPr="00F3479C">
        <w:t xml:space="preserve">nternet. </w:t>
      </w:r>
      <w:bookmarkEnd w:id="12"/>
    </w:p>
    <w:p w14:paraId="272FE7D4" w14:textId="7B47E8DB" w:rsidR="00D666EE" w:rsidRDefault="00D666EE" w:rsidP="00D666EE">
      <w:pPr>
        <w:pStyle w:val="NumberedParas"/>
        <w:ind w:left="1276" w:firstLine="0"/>
      </w:pPr>
      <w:r>
        <w:lastRenderedPageBreak/>
        <w:t xml:space="preserve">Based on the above, the Committee </w:t>
      </w:r>
      <w:r w:rsidR="00FF2D96">
        <w:t xml:space="preserve">finds that, while welcoming the positive steps made in that direction, </w:t>
      </w:r>
      <w:r>
        <w:t>the Party concerned has not yet met the requirements of paragraph 7 of decision VI/8j.</w:t>
      </w:r>
    </w:p>
    <w:p w14:paraId="10BD02B0" w14:textId="77777777" w:rsidR="00282BD5" w:rsidRDefault="00282BD5" w:rsidP="00282BD5">
      <w:pPr>
        <w:pStyle w:val="NumberedParas"/>
        <w:numPr>
          <w:ilvl w:val="0"/>
          <w:numId w:val="0"/>
        </w:numPr>
        <w:ind w:left="1276"/>
      </w:pPr>
    </w:p>
    <w:p w14:paraId="73DD6656" w14:textId="77777777" w:rsidR="00D666EE" w:rsidRPr="00AB652B" w:rsidRDefault="00D666EE" w:rsidP="00D666EE">
      <w:pPr>
        <w:pStyle w:val="HChG"/>
        <w:numPr>
          <w:ilvl w:val="3"/>
          <w:numId w:val="12"/>
        </w:numPr>
        <w:spacing w:before="0"/>
        <w:ind w:left="1276" w:right="1133" w:firstLine="0"/>
        <w:jc w:val="both"/>
      </w:pPr>
      <w:r w:rsidRPr="00AB652B">
        <w:tab/>
      </w:r>
      <w:r w:rsidRPr="00D666EE">
        <w:rPr>
          <w:rFonts w:eastAsia="Calibri"/>
        </w:rPr>
        <w:t xml:space="preserve">Conclusions </w:t>
      </w:r>
    </w:p>
    <w:p w14:paraId="0FABE589" w14:textId="77777777" w:rsidR="00D666EE" w:rsidRDefault="00D666EE" w:rsidP="00D666EE">
      <w:pPr>
        <w:pStyle w:val="NumberedParas"/>
        <w:ind w:left="1276" w:firstLine="0"/>
      </w:pPr>
      <w:bookmarkStart w:id="13" w:name="_Hlk75113503"/>
      <w:r>
        <w:t>The Committee welcomes the constructive engagement with the Committee demonstrated by the Party concerned throughout the intersessional period.</w:t>
      </w:r>
    </w:p>
    <w:p w14:paraId="509168A6" w14:textId="5CA6F72C" w:rsidR="00D666EE" w:rsidRDefault="00D666EE" w:rsidP="00D666EE">
      <w:pPr>
        <w:pStyle w:val="NumberedParas"/>
        <w:ind w:left="1276" w:firstLine="0"/>
      </w:pPr>
      <w:r w:rsidRPr="00AB652B">
        <w:t xml:space="preserve">The Committee </w:t>
      </w:r>
      <w:r>
        <w:t>finds</w:t>
      </w:r>
      <w:r w:rsidRPr="00AB652B">
        <w:t xml:space="preserve"> that</w:t>
      </w:r>
      <w:r w:rsidR="00FF2D96">
        <w:t>, while welcoming the positive steps made in that direction,</w:t>
      </w:r>
      <w:r w:rsidRPr="00AB652B">
        <w:t xml:space="preserve"> the Party concerned has not yet fully met the requirements of </w:t>
      </w:r>
      <w:r>
        <w:t xml:space="preserve">paragraphs 3 or 7 of </w:t>
      </w:r>
      <w:r w:rsidRPr="00AB652B">
        <w:t>decision VI/8j.</w:t>
      </w:r>
    </w:p>
    <w:p w14:paraId="1333872D" w14:textId="6BF13DE1" w:rsidR="00D666EE" w:rsidRDefault="00D666EE" w:rsidP="00BB4CF0">
      <w:pPr>
        <w:pStyle w:val="NumberedParas"/>
        <w:ind w:left="1276" w:firstLine="0"/>
      </w:pPr>
      <w:bookmarkStart w:id="14" w:name="_Ref486252333"/>
      <w:bookmarkStart w:id="15" w:name="_Ref71100066"/>
      <w:bookmarkEnd w:id="13"/>
      <w:r>
        <w:t>The Committee recommends to the Meeting of the Parties that it</w:t>
      </w:r>
      <w:r w:rsidR="007A4394">
        <w:t xml:space="preserve"> reaffirm decision </w:t>
      </w:r>
      <w:bookmarkEnd w:id="14"/>
      <w:bookmarkEnd w:id="15"/>
      <w:r>
        <w:t xml:space="preserve">VI/8j </w:t>
      </w:r>
      <w:r w:rsidR="007A4394">
        <w:t>and recommend</w:t>
      </w:r>
      <w:r>
        <w:t xml:space="preserve"> that the Party concerned: </w:t>
      </w:r>
    </w:p>
    <w:p w14:paraId="3AD5854A" w14:textId="79C1527A" w:rsidR="00D666EE" w:rsidRDefault="007A4394" w:rsidP="00BB4CF0">
      <w:pPr>
        <w:pStyle w:val="NumberedParas"/>
        <w:numPr>
          <w:ilvl w:val="1"/>
          <w:numId w:val="35"/>
        </w:numPr>
        <w:ind w:left="1276" w:firstLine="425"/>
      </w:pPr>
      <w:r>
        <w:t>To t</w:t>
      </w:r>
      <w:r w:rsidR="00D666EE">
        <w:t>ake measures, as a matter of urgency, to ensure that the remaining obstacles to the full implementation of article 9</w:t>
      </w:r>
      <w:r>
        <w:t>(</w:t>
      </w:r>
      <w:r w:rsidR="00D666EE">
        <w:t>4</w:t>
      </w:r>
      <w:r>
        <w:t>)</w:t>
      </w:r>
      <w:r w:rsidR="00D666EE">
        <w:t xml:space="preserve"> and </w:t>
      </w:r>
      <w:r>
        <w:t>(</w:t>
      </w:r>
      <w:r w:rsidR="00D666EE">
        <w:t>5</w:t>
      </w:r>
      <w:r>
        <w:t>)</w:t>
      </w:r>
      <w:r w:rsidR="00D666EE">
        <w:t xml:space="preserve"> of the Convention with respect to legal aid for non-governmental organizations identified by the Committee in paragraph 66 of its findings on communication ACCC/C/2009/36 are overcome</w:t>
      </w:r>
      <w:r>
        <w:t xml:space="preserve">, and in particular that its Legal Aid Commissions act in accordance with the decisions dated </w:t>
      </w:r>
      <w:r w:rsidRPr="00AB652B">
        <w:t>16 January 2018</w:t>
      </w:r>
      <w:r>
        <w:t xml:space="preserve"> and 13 March 2019 of the Administrative Chamber of the Supreme Court in practice</w:t>
      </w:r>
      <w:r w:rsidR="007F5D79">
        <w:t>;</w:t>
      </w:r>
    </w:p>
    <w:p w14:paraId="2C674DB6" w14:textId="61799CBA" w:rsidR="00D666EE" w:rsidRDefault="007A4394" w:rsidP="00BB4CF0">
      <w:pPr>
        <w:pStyle w:val="NumberedParas"/>
        <w:numPr>
          <w:ilvl w:val="1"/>
          <w:numId w:val="35"/>
        </w:numPr>
        <w:ind w:left="1276" w:firstLine="425"/>
      </w:pPr>
      <w:r>
        <w:t>To t</w:t>
      </w:r>
      <w:r w:rsidR="00D666EE">
        <w:t>ake the necessary legislative, regulatory or other measures and practical arrangements to ensure that, in each of its autonomous communities</w:t>
      </w:r>
      <w:r w:rsidR="00FF2D96">
        <w:t>,</w:t>
      </w:r>
      <w:r w:rsidR="00D666EE">
        <w:t xml:space="preserve"> the public is promptly informed of decisions on integrated environmental permits taken under article 6</w:t>
      </w:r>
      <w:r>
        <w:t>(</w:t>
      </w:r>
      <w:r w:rsidR="00D666EE">
        <w:t>9</w:t>
      </w:r>
      <w:r>
        <w:t>)</w:t>
      </w:r>
      <w:r w:rsidR="00D666EE">
        <w:t xml:space="preserve"> of the Convention not only through the Internet,</w:t>
      </w:r>
      <w:r w:rsidR="00FF2D96">
        <w:t xml:space="preserve"> </w:t>
      </w:r>
      <w:r w:rsidR="00D666EE">
        <w:t>but also through other means, including but not necessarily limited to the methods used to inform the public concerned pursuant to article 6</w:t>
      </w:r>
      <w:r>
        <w:t>(</w:t>
      </w:r>
      <w:r w:rsidR="00D666EE">
        <w:t>2</w:t>
      </w:r>
      <w:r>
        <w:t>)</w:t>
      </w:r>
      <w:r w:rsidR="00D666EE">
        <w:t xml:space="preserve"> of the Convention</w:t>
      </w:r>
      <w:r>
        <w:t>;</w:t>
      </w:r>
    </w:p>
    <w:p w14:paraId="479B04D3" w14:textId="79F16BD0" w:rsidR="007A4394" w:rsidRDefault="007A4394" w:rsidP="007A4394">
      <w:pPr>
        <w:pStyle w:val="NumberedParas"/>
        <w:numPr>
          <w:ilvl w:val="1"/>
          <w:numId w:val="35"/>
        </w:numPr>
        <w:ind w:left="1276" w:firstLine="425"/>
      </w:pPr>
      <w:r>
        <w:t>To</w:t>
      </w:r>
      <w:r w:rsidRPr="007A4394">
        <w:t xml:space="preserve"> </w:t>
      </w:r>
      <w:r>
        <w:t xml:space="preserve">submit a </w:t>
      </w:r>
      <w:r w:rsidR="00282BD5">
        <w:t>plan of action</w:t>
      </w:r>
      <w:r>
        <w:t xml:space="preserve">, including a time schedule, to the Committee by 1 July 2022 regarding the </w:t>
      </w:r>
      <w:r w:rsidRPr="006F2FE0">
        <w:t xml:space="preserve">implementation of the </w:t>
      </w:r>
      <w:r>
        <w:t>above recommendations;</w:t>
      </w:r>
    </w:p>
    <w:p w14:paraId="121D1331" w14:textId="65E2B5F1" w:rsidR="00D666EE" w:rsidRDefault="007A4394" w:rsidP="00BB4CF0">
      <w:pPr>
        <w:pStyle w:val="NumberedParas"/>
        <w:numPr>
          <w:ilvl w:val="1"/>
          <w:numId w:val="35"/>
        </w:numPr>
        <w:ind w:left="1276" w:firstLine="425"/>
      </w:pPr>
      <w:r>
        <w:t>To p</w:t>
      </w:r>
      <w:r w:rsidR="00D666EE">
        <w:t>rovide detailed progress reports to the Committee by 1 October 2023 and 1 October 2024 on the measures taken and the results achieved in the implementation of the above recommendation;</w:t>
      </w:r>
    </w:p>
    <w:p w14:paraId="0075EAA3" w14:textId="456AD3BD" w:rsidR="00D666EE" w:rsidRDefault="007A4394" w:rsidP="00BB4CF0">
      <w:pPr>
        <w:pStyle w:val="NumberedParas"/>
        <w:numPr>
          <w:ilvl w:val="1"/>
          <w:numId w:val="35"/>
        </w:numPr>
        <w:ind w:left="1276" w:firstLine="425"/>
      </w:pPr>
      <w:r>
        <w:t>To p</w:t>
      </w:r>
      <w:r w:rsidR="00D666EE">
        <w:t xml:space="preserve">rovide such further information as the Committee may request in order to assist it to review the progress by the Party concerned in implementing the above recommendation; </w:t>
      </w:r>
    </w:p>
    <w:p w14:paraId="46B72CA8" w14:textId="2E49D6CC" w:rsidR="00D666EE" w:rsidRPr="00AB652B" w:rsidRDefault="007A4394" w:rsidP="00BB4CF0">
      <w:pPr>
        <w:pStyle w:val="NumberedParas"/>
        <w:numPr>
          <w:ilvl w:val="1"/>
          <w:numId w:val="35"/>
        </w:numPr>
        <w:ind w:left="1276" w:firstLine="425"/>
      </w:pPr>
      <w:r>
        <w:t>To p</w:t>
      </w:r>
      <w:r w:rsidR="00D666EE">
        <w:t>articipate (either in person or by virtual means) in the meetings of the Committee at which the progress of the Party concerned in implementing the above recommendation is to be considered.</w:t>
      </w:r>
    </w:p>
    <w:p w14:paraId="31DF85C5" w14:textId="77777777" w:rsidR="00D666EE" w:rsidRPr="00AB652B" w:rsidRDefault="00D666EE" w:rsidP="00BB4CF0">
      <w:pPr>
        <w:pStyle w:val="SingleTxtG"/>
        <w:tabs>
          <w:tab w:val="left" w:pos="1701"/>
        </w:tabs>
        <w:ind w:left="0"/>
      </w:pPr>
    </w:p>
    <w:p w14:paraId="671BA850" w14:textId="77777777" w:rsidR="00D666EE" w:rsidRPr="00193DA5" w:rsidRDefault="00D666EE" w:rsidP="00D666EE">
      <w:pPr>
        <w:pStyle w:val="SingleTxtG"/>
        <w:tabs>
          <w:tab w:val="left" w:pos="1701"/>
        </w:tabs>
        <w:ind w:left="1276"/>
        <w:jc w:val="center"/>
        <w:rPr>
          <w:rFonts w:eastAsia="Calibri"/>
        </w:rPr>
      </w:pPr>
      <w:r w:rsidRPr="00AB652B">
        <w:rPr>
          <w:rFonts w:eastAsia="Calibri"/>
        </w:rPr>
        <w:t>________________________________</w:t>
      </w:r>
    </w:p>
    <w:p w14:paraId="7BC1541C" w14:textId="77777777" w:rsidR="00D666EE" w:rsidRPr="00D666EE" w:rsidRDefault="00D666EE" w:rsidP="00D666EE">
      <w:pPr>
        <w:ind w:left="1276"/>
      </w:pPr>
    </w:p>
    <w:sectPr w:rsidR="00D666EE" w:rsidRPr="00D666EE" w:rsidSect="00282BD5">
      <w:headerReference w:type="even" r:id="rId13"/>
      <w:headerReference w:type="default" r:id="rId14"/>
      <w:footerReference w:type="even" r:id="rId15"/>
      <w:footerReference w:type="default" r:id="rId16"/>
      <w:footerReference w:type="first" r:id="rId17"/>
      <w:pgSz w:w="11906" w:h="16838"/>
      <w:pgMar w:top="1701" w:right="1841"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AAE6" w14:textId="77777777" w:rsidR="005F227B" w:rsidRDefault="005F227B">
      <w:pPr>
        <w:spacing w:line="240" w:lineRule="auto"/>
      </w:pPr>
      <w:r>
        <w:separator/>
      </w:r>
    </w:p>
  </w:endnote>
  <w:endnote w:type="continuationSeparator" w:id="0">
    <w:p w14:paraId="4286FD90" w14:textId="77777777" w:rsidR="005F227B" w:rsidRDefault="005F227B">
      <w:pPr>
        <w:spacing w:line="240" w:lineRule="auto"/>
      </w:pPr>
      <w:r>
        <w:continuationSeparator/>
      </w:r>
    </w:p>
  </w:endnote>
  <w:endnote w:type="continuationNotice" w:id="1">
    <w:p w14:paraId="399D3120" w14:textId="77777777" w:rsidR="005F227B" w:rsidRDefault="005F22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Times New Roman"/>
    <w:charset w:val="01"/>
    <w:family w:val="auto"/>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47574" w14:textId="77777777" w:rsidR="00AE7496" w:rsidRDefault="00AE7496">
    <w:pPr>
      <w:pStyle w:val="Footer"/>
      <w:tabs>
        <w:tab w:val="right" w:pos="9638"/>
      </w:tabs>
    </w:pPr>
    <w:r>
      <w:rPr>
        <w:b/>
        <w:sz w:val="18"/>
      </w:rPr>
      <w:fldChar w:fldCharType="begin"/>
    </w:r>
    <w:r>
      <w:rPr>
        <w:b/>
        <w:sz w:val="18"/>
      </w:rPr>
      <w:instrText xml:space="preserve"> PAGE </w:instrText>
    </w:r>
    <w:r>
      <w:rPr>
        <w:b/>
        <w:sz w:val="18"/>
      </w:rPr>
      <w:fldChar w:fldCharType="separate"/>
    </w:r>
    <w:r>
      <w:rPr>
        <w:b/>
        <w:noProof/>
        <w:sz w:val="18"/>
      </w:rPr>
      <w:t>6</w:t>
    </w:r>
    <w:r>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A1D50" w14:textId="77777777" w:rsidR="00AE7496" w:rsidRDefault="00AE7496">
    <w:pPr>
      <w:pStyle w:val="Footer"/>
      <w:tabs>
        <w:tab w:val="right" w:pos="9638"/>
      </w:tabs>
    </w:pPr>
    <w:r>
      <w:tab/>
    </w:r>
    <w:r>
      <w:rPr>
        <w:b/>
        <w:sz w:val="18"/>
      </w:rPr>
      <w:fldChar w:fldCharType="begin"/>
    </w:r>
    <w:r>
      <w:rPr>
        <w:b/>
        <w:sz w:val="18"/>
      </w:rPr>
      <w:instrText xml:space="preserve"> PAGE </w:instrText>
    </w:r>
    <w:r>
      <w:rPr>
        <w:b/>
        <w:sz w:val="18"/>
      </w:rPr>
      <w:fldChar w:fldCharType="separate"/>
    </w:r>
    <w:r>
      <w:rPr>
        <w:b/>
        <w:noProof/>
        <w:sz w:val="18"/>
      </w:rPr>
      <w:t>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10A7" w14:textId="61C2217B" w:rsidR="00AE7496" w:rsidRDefault="003E6CE3">
    <w:pPr>
      <w:pStyle w:val="Footer"/>
    </w:pPr>
    <w:r>
      <w:rPr>
        <w:noProof/>
        <w:sz w:val="20"/>
      </w:rPr>
      <w:drawing>
        <wp:anchor distT="0" distB="0" distL="114935" distR="114935" simplePos="0" relativeHeight="251657216" behindDoc="1" locked="0" layoutInCell="1" allowOverlap="1" wp14:anchorId="72883549" wp14:editId="5C3C9181">
          <wp:simplePos x="0" y="0"/>
          <wp:positionH relativeFrom="column">
            <wp:posOffset>5148580</wp:posOffset>
          </wp:positionH>
          <wp:positionV relativeFrom="paragraph">
            <wp:posOffset>-79375</wp:posOffset>
          </wp:positionV>
          <wp:extent cx="928370" cy="228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2286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E7496">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19A9" w14:textId="77777777" w:rsidR="005F227B" w:rsidRDefault="005F227B">
      <w:pPr>
        <w:spacing w:line="240" w:lineRule="auto"/>
      </w:pPr>
      <w:r>
        <w:separator/>
      </w:r>
    </w:p>
  </w:footnote>
  <w:footnote w:type="continuationSeparator" w:id="0">
    <w:p w14:paraId="4125DF67" w14:textId="77777777" w:rsidR="005F227B" w:rsidRDefault="005F227B">
      <w:pPr>
        <w:spacing w:line="240" w:lineRule="auto"/>
      </w:pPr>
      <w:r>
        <w:continuationSeparator/>
      </w:r>
    </w:p>
  </w:footnote>
  <w:footnote w:type="continuationNotice" w:id="1">
    <w:p w14:paraId="23CBFA93" w14:textId="77777777" w:rsidR="005F227B" w:rsidRDefault="005F227B">
      <w:pPr>
        <w:spacing w:line="240" w:lineRule="auto"/>
      </w:pPr>
    </w:p>
  </w:footnote>
  <w:footnote w:id="2">
    <w:p w14:paraId="69DC1D84"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Party’s second progress report, 1 October 2019, pp. 1-2; Party’s final progress report, 6 October 2020, pp. 1-2.</w:t>
      </w:r>
    </w:p>
  </w:footnote>
  <w:footnote w:id="3">
    <w:p w14:paraId="3C652F5D"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Party’s second progress report, 1 October 2019, p. 2; Party’s final progress report, 6 October 2019, pp. 1-2.</w:t>
      </w:r>
    </w:p>
  </w:footnote>
  <w:footnote w:id="4">
    <w:p w14:paraId="10D6D788"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Party’s second progress report, 1 October 2019, p. 2, and annex 1, p. 4; Party’s final progress report, 6 October 2019, p. 2 and annex 1.</w:t>
      </w:r>
    </w:p>
  </w:footnote>
  <w:footnote w:id="5">
    <w:p w14:paraId="1D174098"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Party’s second progress report, 1 October 2019, annex 1, pp. 2-4; Party’s final progress report, 6 October 2020, annex 1, pp. 2-4.</w:t>
      </w:r>
    </w:p>
  </w:footnote>
  <w:footnote w:id="6">
    <w:p w14:paraId="2015C5F0"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Party’s statement delivered at the Committee’s sixty-third meeting, 15 March 2019, p. 2; Party’s final progress report, 6 October 2020, p. 2.</w:t>
      </w:r>
    </w:p>
  </w:footnote>
  <w:footnote w:id="7">
    <w:p w14:paraId="7E573CEF"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Party’s final progress report, 6 October 2020, p. 2.</w:t>
      </w:r>
    </w:p>
  </w:footnote>
  <w:footnote w:id="8">
    <w:p w14:paraId="73C9983A"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 xml:space="preserve">Comments by communicant of communication ACCC/C/2008/24 on the Party’s final progress report, 5 November 2020, p. 1. </w:t>
      </w:r>
    </w:p>
  </w:footnote>
  <w:footnote w:id="9">
    <w:p w14:paraId="17E1EF92"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Comments by communicant of communication ACCC/C/2008/24 on the Party’s final progress report, 5 November 2020, p. 1</w:t>
      </w:r>
    </w:p>
  </w:footnote>
  <w:footnote w:id="10">
    <w:p w14:paraId="51B06950"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Comments by communicant of communication ACCC/C/2008/24 on the Party’s final progress report, 5 November 2020, p. 1</w:t>
      </w:r>
    </w:p>
  </w:footnote>
  <w:footnote w:id="11">
    <w:p w14:paraId="77C50185"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Comments by communicant of communication ACCC/C/2009/36 on the Party’s final progress report, 5 November 2020, pp. 1-2.</w:t>
      </w:r>
    </w:p>
  </w:footnote>
  <w:footnote w:id="12">
    <w:p w14:paraId="5BD834E4"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Comments to the Party’s concerned’s comments with respect to final progress report, 4 December 2020, annex 1. </w:t>
      </w:r>
    </w:p>
  </w:footnote>
  <w:footnote w:id="13">
    <w:p w14:paraId="1071E61F"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Comments on the Party concerned’s comments with respect to final progress report, 4 February 2021, pp. 1-2.</w:t>
      </w:r>
    </w:p>
  </w:footnote>
  <w:footnote w:id="14">
    <w:p w14:paraId="7C95FE30"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Comments by communicant of communication ACCC/C/2009/36 on the Party’s statement, 19 March 2019, p. 2; .</w:t>
      </w:r>
    </w:p>
  </w:footnote>
  <w:footnote w:id="15">
    <w:p w14:paraId="214569DB"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Party concerned’s comments to the comments of the communicant of communication ACCC/C/2009/36, 2 December 2020, pp. 1-2.</w:t>
      </w:r>
    </w:p>
  </w:footnote>
  <w:footnote w:id="16">
    <w:p w14:paraId="7EFAB81E"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Party concerned’s additional comments on the comments of the communicant of communication ACCC/C/2009/36, 21 December 2020, p. 1.</w:t>
      </w:r>
    </w:p>
  </w:footnote>
  <w:footnote w:id="17">
    <w:p w14:paraId="737654A0"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Party concerned’s additional comments of the comments of the communicant of communication ACCC/C/2009/36, 12 February 2021, p. 1.</w:t>
      </w:r>
    </w:p>
  </w:footnote>
  <w:footnote w:id="18">
    <w:p w14:paraId="1D99768A"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Party concerned’s comments to the comments of the communicant of communication ACCC/C/2009/36, 2 December 2020, annex; and Party concerned’s additional comments of the comments of the communicant of communication ACCC/C/2009/36, 21 December 2020, annexes 1-4.</w:t>
      </w:r>
    </w:p>
  </w:footnote>
  <w:footnote w:id="19">
    <w:p w14:paraId="050DECF3" w14:textId="77777777" w:rsidR="000E2FE0" w:rsidRPr="00DE59DB" w:rsidRDefault="000E2FE0" w:rsidP="000E2FE0">
      <w:pPr>
        <w:pStyle w:val="Footnotes"/>
        <w:rPr>
          <w:szCs w:val="18"/>
        </w:rPr>
      </w:pPr>
      <w:r w:rsidRPr="00DE59DB">
        <w:rPr>
          <w:rStyle w:val="FootnoteReference"/>
          <w:szCs w:val="18"/>
        </w:rPr>
        <w:footnoteRef/>
      </w:r>
      <w:r w:rsidRPr="00DE59DB">
        <w:rPr>
          <w:szCs w:val="18"/>
        </w:rPr>
        <w:t xml:space="preserve"> Comments to the Party’s concerned’s comments with respect to final progress report, 4 December 2020, annex 1. </w:t>
      </w:r>
    </w:p>
  </w:footnote>
  <w:footnote w:id="20">
    <w:p w14:paraId="23653BB7" w14:textId="77777777" w:rsidR="00D666EE" w:rsidRPr="00DE59DB" w:rsidRDefault="00D666EE" w:rsidP="00DB2BB1">
      <w:pPr>
        <w:pStyle w:val="Footnotes"/>
        <w:rPr>
          <w:szCs w:val="18"/>
          <w:lang w:val="es-ES"/>
        </w:rPr>
      </w:pPr>
      <w:r w:rsidRPr="00DE59DB">
        <w:rPr>
          <w:rStyle w:val="FootnoteReference"/>
          <w:szCs w:val="18"/>
        </w:rPr>
        <w:footnoteRef/>
      </w:r>
      <w:r w:rsidRPr="00DE59DB">
        <w:rPr>
          <w:szCs w:val="18"/>
          <w:lang w:val="es-ES"/>
        </w:rPr>
        <w:t xml:space="preserve"> ECE/MP.PP/C.1/2017/17, para. 22.</w:t>
      </w:r>
    </w:p>
  </w:footnote>
  <w:footnote w:id="21">
    <w:p w14:paraId="7DB09C11" w14:textId="77777777" w:rsidR="00D666EE" w:rsidRPr="00DE59DB" w:rsidRDefault="00D666EE" w:rsidP="00DB2BB1">
      <w:pPr>
        <w:pStyle w:val="FootnoteText"/>
        <w:ind w:firstLine="0"/>
        <w:rPr>
          <w:szCs w:val="18"/>
          <w:lang w:val="es-ES"/>
        </w:rPr>
      </w:pPr>
      <w:r w:rsidRPr="00DE59DB">
        <w:rPr>
          <w:rStyle w:val="FootnoteReference"/>
          <w:szCs w:val="18"/>
        </w:rPr>
        <w:footnoteRef/>
      </w:r>
      <w:r w:rsidRPr="00DE59DB">
        <w:rPr>
          <w:szCs w:val="18"/>
          <w:lang w:val="es-ES"/>
        </w:rPr>
        <w:t xml:space="preserve"> ECE/MP.PP/C.1/2017/17, para. 28.</w:t>
      </w:r>
    </w:p>
  </w:footnote>
  <w:footnote w:id="22">
    <w:p w14:paraId="7B60280A" w14:textId="77777777" w:rsidR="00D666EE" w:rsidRPr="00DE59DB" w:rsidRDefault="00D666EE" w:rsidP="00DB2BB1">
      <w:pPr>
        <w:pStyle w:val="Footnotes"/>
        <w:rPr>
          <w:szCs w:val="18"/>
        </w:rPr>
      </w:pPr>
      <w:r w:rsidRPr="00DE59DB">
        <w:rPr>
          <w:rStyle w:val="FootnoteReference"/>
          <w:szCs w:val="18"/>
        </w:rPr>
        <w:footnoteRef/>
      </w:r>
      <w:r w:rsidRPr="00DE59DB">
        <w:rPr>
          <w:szCs w:val="18"/>
          <w:lang w:val="es-ES"/>
        </w:rPr>
        <w:t xml:space="preserve"> ECE/MP.PP/C.1/2017/17, para. </w:t>
      </w:r>
      <w:r w:rsidRPr="00DE59DB">
        <w:rPr>
          <w:szCs w:val="18"/>
        </w:rPr>
        <w:t>105.</w:t>
      </w:r>
    </w:p>
  </w:footnote>
  <w:footnote w:id="23">
    <w:p w14:paraId="32ED0F2E"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Party’s second progress report, 1 October 2019, p. 3, and annex 2.</w:t>
      </w:r>
    </w:p>
  </w:footnote>
  <w:footnote w:id="24">
    <w:p w14:paraId="4B6C21D1"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 xml:space="preserve">Party’s second progress report, 1 October 2019, annex 2, p. 2; </w:t>
      </w:r>
      <w:r w:rsidRPr="00DE59DB">
        <w:rPr>
          <w:szCs w:val="18"/>
        </w:rPr>
        <w:t>Party’s final progress report, 6 October 2020, p. 3</w:t>
      </w:r>
      <w:r w:rsidRPr="00DE59DB">
        <w:rPr>
          <w:szCs w:val="18"/>
          <w:lang w:val="en-US"/>
        </w:rPr>
        <w:t>.</w:t>
      </w:r>
    </w:p>
  </w:footnote>
  <w:footnote w:id="25">
    <w:p w14:paraId="0E5A1B0E"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 xml:space="preserve">Party’s second progress report, 1 October 2019, p. 3; </w:t>
      </w:r>
      <w:r w:rsidRPr="00DE59DB">
        <w:rPr>
          <w:szCs w:val="18"/>
        </w:rPr>
        <w:t>Party’s final progress report, 6 October 2020, p. 3</w:t>
      </w:r>
      <w:r w:rsidRPr="00DE59DB">
        <w:rPr>
          <w:szCs w:val="18"/>
          <w:lang w:val="en-US"/>
        </w:rPr>
        <w:t>.</w:t>
      </w:r>
    </w:p>
  </w:footnote>
  <w:footnote w:id="26">
    <w:p w14:paraId="31CCB08B"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Comments by the communicant of communication ACCC/C/2014/99 on the </w:t>
      </w:r>
      <w:r w:rsidRPr="00DE59DB">
        <w:rPr>
          <w:szCs w:val="18"/>
          <w:lang w:val="en-US"/>
        </w:rPr>
        <w:t>Party’s second progress</w:t>
      </w:r>
      <w:r w:rsidRPr="00DE59DB">
        <w:rPr>
          <w:szCs w:val="18"/>
          <w:lang w:val="en-US"/>
        </w:rPr>
        <w:br/>
        <w:t xml:space="preserve"> report, 30 October 2019, p. 1; Comments by the communicant of communication ACCC/C/2014/99 on the Party’s final progress report, 26 October 2020, p. 1.</w:t>
      </w:r>
    </w:p>
  </w:footnote>
  <w:footnote w:id="27">
    <w:p w14:paraId="149D90C7"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Comments by the communicant of communication ACCC/C/2014/99 on the </w:t>
      </w:r>
      <w:r w:rsidRPr="00DE59DB">
        <w:rPr>
          <w:szCs w:val="18"/>
          <w:lang w:val="en-US"/>
        </w:rPr>
        <w:t>Party’s second progress</w:t>
      </w:r>
      <w:r w:rsidRPr="00DE59DB">
        <w:rPr>
          <w:szCs w:val="18"/>
          <w:lang w:val="en-US"/>
        </w:rPr>
        <w:br/>
        <w:t xml:space="preserve"> report, 30 October 2019, p. 1; Comments by the communicant of communication ACCC/C/2014/99 on the Party’s final progress report, 26 October 2020, p. 1.</w:t>
      </w:r>
    </w:p>
  </w:footnote>
  <w:footnote w:id="28">
    <w:p w14:paraId="7BC7D252"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Comments by the communicant of communication ACCC/C/2014/99 on the </w:t>
      </w:r>
      <w:r w:rsidRPr="00DE59DB">
        <w:rPr>
          <w:szCs w:val="18"/>
          <w:lang w:val="en-US"/>
        </w:rPr>
        <w:t>Party’s second progress</w:t>
      </w:r>
      <w:r w:rsidRPr="00DE59DB">
        <w:rPr>
          <w:szCs w:val="18"/>
          <w:lang w:val="en-US"/>
        </w:rPr>
        <w:br/>
        <w:t xml:space="preserve"> report, 30 October 2019, p. 1; Comments by the communicant of communication ACCC/C/2014/99 on the Party’s final progress report, 26 October 2020, p. 1.</w:t>
      </w:r>
    </w:p>
  </w:footnote>
  <w:footnote w:id="29">
    <w:p w14:paraId="3BDC7E30"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 xml:space="preserve">Comments on the Party’s second progress report from the communicant of communication </w:t>
      </w:r>
      <w:r w:rsidRPr="00DE59DB">
        <w:rPr>
          <w:szCs w:val="18"/>
          <w:lang w:val="en-US"/>
        </w:rPr>
        <w:br/>
      </w:r>
      <w:r w:rsidRPr="00DE59DB">
        <w:rPr>
          <w:szCs w:val="18"/>
        </w:rPr>
        <w:t xml:space="preserve">ACCC/C/2014/99, 30 October 2019; </w:t>
      </w:r>
      <w:r w:rsidRPr="00DE59DB">
        <w:rPr>
          <w:szCs w:val="18"/>
          <w:lang w:val="en-US"/>
        </w:rPr>
        <w:t>Comments by the communicant of communication ACCC/C/2014/99 on the Party’s final progress report, 26 October 2020, p. 1</w:t>
      </w:r>
      <w:r w:rsidRPr="00DE59DB">
        <w:rPr>
          <w:szCs w:val="18"/>
        </w:rPr>
        <w:t>.</w:t>
      </w:r>
    </w:p>
  </w:footnote>
  <w:footnote w:id="30">
    <w:p w14:paraId="14E1CE95"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 xml:space="preserve">Comments on the Party’s second progress report from the communicant of communication </w:t>
      </w:r>
      <w:r w:rsidRPr="00DE59DB">
        <w:rPr>
          <w:szCs w:val="18"/>
          <w:lang w:val="en-US"/>
        </w:rPr>
        <w:br/>
      </w:r>
      <w:r w:rsidRPr="00DE59DB">
        <w:rPr>
          <w:szCs w:val="18"/>
        </w:rPr>
        <w:t xml:space="preserve">ACCC/C/2014/99, 30 October 2019; </w:t>
      </w:r>
      <w:r w:rsidRPr="00DE59DB">
        <w:rPr>
          <w:szCs w:val="18"/>
          <w:lang w:val="en-US"/>
        </w:rPr>
        <w:t>Comments by the communicant of communication ACCC/C/2014/99 on the Party’s final progress report, 26 October 2020, p. 1</w:t>
      </w:r>
      <w:r w:rsidRPr="00DE59DB">
        <w:rPr>
          <w:szCs w:val="18"/>
        </w:rPr>
        <w:t>.</w:t>
      </w:r>
    </w:p>
  </w:footnote>
  <w:footnote w:id="31">
    <w:p w14:paraId="35BEE71F"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Committee’s first progress review, 26 February 2019, para. 22</w:t>
      </w:r>
      <w:r w:rsidRPr="00DE59DB">
        <w:rPr>
          <w:szCs w:val="18"/>
        </w:rPr>
        <w:t>.</w:t>
      </w:r>
    </w:p>
  </w:footnote>
  <w:footnote w:id="32">
    <w:p w14:paraId="77B5648E" w14:textId="77777777" w:rsidR="00D666EE" w:rsidRPr="00DE59DB" w:rsidRDefault="00D666EE" w:rsidP="00DB2BB1">
      <w:pPr>
        <w:pStyle w:val="Footnotes"/>
        <w:rPr>
          <w:szCs w:val="18"/>
          <w:lang w:val="en-US"/>
        </w:rPr>
      </w:pPr>
      <w:r w:rsidRPr="00DE59DB">
        <w:rPr>
          <w:rStyle w:val="FootnoteReference"/>
          <w:szCs w:val="18"/>
        </w:rPr>
        <w:footnoteRef/>
      </w:r>
      <w:r w:rsidRPr="00DE59DB">
        <w:rPr>
          <w:szCs w:val="18"/>
        </w:rPr>
        <w:t xml:space="preserve"> </w:t>
      </w:r>
      <w:r w:rsidRPr="00DE59DB">
        <w:rPr>
          <w:szCs w:val="18"/>
          <w:lang w:val="en-US"/>
        </w:rPr>
        <w:t>Party’s second progress report, 1 October 2019, p. 3.</w:t>
      </w:r>
    </w:p>
  </w:footnote>
  <w:footnote w:id="33">
    <w:p w14:paraId="04DF82B1"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lang w:val="es-ES"/>
        </w:rPr>
        <w:t xml:space="preserve"> ECE/MP.PP/C.1/2017/17, para. </w:t>
      </w:r>
      <w:r w:rsidRPr="00DE59DB">
        <w:rPr>
          <w:szCs w:val="18"/>
        </w:rPr>
        <w:t>103.</w:t>
      </w:r>
    </w:p>
  </w:footnote>
  <w:footnote w:id="34">
    <w:p w14:paraId="1EFB6F1B" w14:textId="3FEA7538" w:rsidR="00D666EE" w:rsidRPr="00DE59DB" w:rsidRDefault="00D666EE" w:rsidP="00DB2BB1">
      <w:pPr>
        <w:pStyle w:val="Footnotes"/>
        <w:rPr>
          <w:szCs w:val="18"/>
        </w:rPr>
      </w:pPr>
      <w:r w:rsidRPr="00DE59DB">
        <w:rPr>
          <w:rStyle w:val="FootnoteReference"/>
          <w:szCs w:val="18"/>
        </w:rPr>
        <w:footnoteRef/>
      </w:r>
      <w:r w:rsidRPr="00DE59DB">
        <w:rPr>
          <w:szCs w:val="18"/>
        </w:rPr>
        <w:t xml:space="preserve"> </w:t>
      </w:r>
      <w:r w:rsidRPr="00DE59DB">
        <w:rPr>
          <w:szCs w:val="18"/>
          <w:lang w:val="en-US"/>
        </w:rPr>
        <w:t>Committee’s first progress review, 26 February 2019, para. 23</w:t>
      </w:r>
      <w:r w:rsidRPr="00DE59DB">
        <w:rPr>
          <w:szCs w:val="18"/>
        </w:rPr>
        <w:t>; Committee’s second progress review, 1 March 2020, para. 35.</w:t>
      </w:r>
    </w:p>
  </w:footnote>
  <w:footnote w:id="35">
    <w:p w14:paraId="2EE2229F"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rPr>
        <w:t xml:space="preserve"> Committee’s second progress review, 1 March 2020, para. 37.</w:t>
      </w:r>
    </w:p>
  </w:footnote>
  <w:footnote w:id="36">
    <w:p w14:paraId="3456F000" w14:textId="77777777" w:rsidR="00D666EE" w:rsidRPr="00DE59DB" w:rsidRDefault="00D666EE" w:rsidP="00DB2BB1">
      <w:pPr>
        <w:pStyle w:val="Footnotes"/>
        <w:rPr>
          <w:szCs w:val="18"/>
        </w:rPr>
      </w:pPr>
      <w:r w:rsidRPr="00DE59DB">
        <w:rPr>
          <w:rStyle w:val="FootnoteReference"/>
          <w:szCs w:val="18"/>
        </w:rPr>
        <w:footnoteRef/>
      </w:r>
      <w:r w:rsidRPr="00DE59DB">
        <w:rPr>
          <w:szCs w:val="18"/>
        </w:rPr>
        <w:t xml:space="preserve"> Party’s final progress report, 6 October 2020, p. 4.</w:t>
      </w:r>
    </w:p>
  </w:footnote>
  <w:footnote w:id="37">
    <w:p w14:paraId="0641F95C"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rPr>
        <w:t xml:space="preserve"> Party’s final progress report, 6 October 2020, p. 4.</w:t>
      </w:r>
    </w:p>
  </w:footnote>
  <w:footnote w:id="38">
    <w:p w14:paraId="2C07EB3B"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rPr>
        <w:t xml:space="preserve"> Party’s final progress report, 6 October 2020, pp. 4-5.</w:t>
      </w:r>
    </w:p>
    <w:p w14:paraId="46D801BD" w14:textId="77777777" w:rsidR="00D666EE" w:rsidRPr="00DE59DB" w:rsidRDefault="00D666EE" w:rsidP="00DB2BB1">
      <w:pPr>
        <w:pStyle w:val="FootnoteText"/>
        <w:ind w:firstLine="0"/>
        <w:rPr>
          <w:szCs w:val="18"/>
        </w:rPr>
      </w:pPr>
    </w:p>
  </w:footnote>
  <w:footnote w:id="39">
    <w:p w14:paraId="36F975A2"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rPr>
        <w:t xml:space="preserve"> Comments of communicant of communication ACCC/C/2014/99, 30 October 2019.</w:t>
      </w:r>
    </w:p>
  </w:footnote>
  <w:footnote w:id="40">
    <w:p w14:paraId="1B228C43"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rPr>
        <w:t xml:space="preserve"> Committee’s second progress review, 1 March 2020, para. 43.</w:t>
      </w:r>
    </w:p>
  </w:footnote>
  <w:footnote w:id="41">
    <w:p w14:paraId="176BB9F6" w14:textId="77777777" w:rsidR="00D666EE" w:rsidRPr="00DE59DB" w:rsidRDefault="00D666EE" w:rsidP="00DB2BB1">
      <w:pPr>
        <w:pStyle w:val="FootnoteText"/>
        <w:ind w:firstLine="0"/>
        <w:rPr>
          <w:szCs w:val="18"/>
        </w:rPr>
      </w:pPr>
      <w:r w:rsidRPr="00DE59DB">
        <w:rPr>
          <w:rStyle w:val="FootnoteReference"/>
          <w:szCs w:val="18"/>
        </w:rPr>
        <w:footnoteRef/>
      </w:r>
      <w:r w:rsidRPr="00DE59DB">
        <w:rPr>
          <w:szCs w:val="18"/>
        </w:rPr>
        <w:t xml:space="preserve"> Party concerned’s comments to the comments of the communicant of communication ACCC/C/2014/99, 26 November 2020, p.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61215" w14:textId="77777777" w:rsidR="00AE7496" w:rsidRDefault="00AE7496">
    <w:pPr>
      <w:pStyle w:val="Header"/>
    </w:pPr>
    <w:r w:rsidRPr="006C31CD">
      <w:t>ECE/MP.PP/20</w:t>
    </w:r>
    <w:r>
      <w:t>21</w:t>
    </w:r>
    <w:r w:rsidRPr="006C31CD">
      <w:t>/</w:t>
    </w:r>
    <w: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DFFA" w14:textId="1B022F79" w:rsidR="00AE7496" w:rsidRDefault="00AE7496" w:rsidP="009135EE">
    <w:pPr>
      <w:pStyle w:val="Header"/>
      <w:jc w:val="right"/>
    </w:pPr>
    <w:r>
      <w:t>ECE/MP.PP/</w:t>
    </w:r>
    <w:r w:rsidR="009135EE">
      <w:t>2021/XX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492"/>
        </w:tabs>
        <w:ind w:left="1492"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926"/>
        </w:tabs>
        <w:ind w:left="926"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492"/>
        </w:tabs>
        <w:ind w:left="1492"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209"/>
        </w:tabs>
        <w:ind w:left="1209"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926"/>
        </w:tabs>
        <w:ind w:left="926"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643"/>
        </w:tabs>
        <w:ind w:left="643" w:hanging="360"/>
      </w:pPr>
      <w:rPr>
        <w:rFonts w:ascii="Symbol" w:hAnsi="Symbol" w:cs="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bullet"/>
      <w:pStyle w:val="ListBullet"/>
      <w:lvlText w:val=""/>
      <w:lvlJc w:val="left"/>
      <w:pPr>
        <w:tabs>
          <w:tab w:val="num" w:pos="360"/>
        </w:tabs>
        <w:ind w:left="360" w:hanging="360"/>
      </w:pPr>
      <w:rPr>
        <w:rFonts w:ascii="Symbol" w:hAnsi="Symbol" w:cs="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2" w15:restartNumberingAfterBreak="0">
    <w:nsid w:val="0000000D"/>
    <w:multiLevelType w:val="singleLevel"/>
    <w:tmpl w:val="0000000D"/>
    <w:name w:val="WW8Num14"/>
    <w:lvl w:ilvl="0">
      <w:start w:val="1"/>
      <w:numFmt w:val="bullet"/>
      <w:pStyle w:val="Bullet1G"/>
      <w:lvlText w:val="•"/>
      <w:lvlJc w:val="left"/>
      <w:pPr>
        <w:tabs>
          <w:tab w:val="num" w:pos="1701"/>
        </w:tabs>
        <w:ind w:left="1701" w:hanging="170"/>
      </w:pPr>
      <w:rPr>
        <w:rFonts w:ascii="Times New Roman" w:hAnsi="Times New Roman" w:cs="Times New Roman"/>
        <w:b w:val="0"/>
        <w:i w:val="0"/>
        <w:sz w:val="20"/>
      </w:rPr>
    </w:lvl>
  </w:abstractNum>
  <w:abstractNum w:abstractNumId="13" w15:restartNumberingAfterBreak="0">
    <w:nsid w:val="0000000E"/>
    <w:multiLevelType w:val="singleLevel"/>
    <w:tmpl w:val="0000000E"/>
    <w:name w:val="WW8Num15"/>
    <w:lvl w:ilvl="0">
      <w:start w:val="1"/>
      <w:numFmt w:val="bullet"/>
      <w:pStyle w:val="Bullet2G"/>
      <w:lvlText w:val="•"/>
      <w:lvlJc w:val="left"/>
      <w:pPr>
        <w:tabs>
          <w:tab w:val="num" w:pos="2268"/>
        </w:tabs>
        <w:ind w:left="2268" w:hanging="170"/>
      </w:pPr>
      <w:rPr>
        <w:rFonts w:ascii="Times New Roman" w:hAnsi="Times New Roman" w:cs="Times New Roman"/>
      </w:rPr>
    </w:lvl>
  </w:abstractNum>
  <w:abstractNum w:abstractNumId="14" w15:restartNumberingAfterBreak="0">
    <w:nsid w:val="0000000F"/>
    <w:multiLevelType w:val="multilevel"/>
    <w:tmpl w:val="8B2A6E00"/>
    <w:name w:val="WW8Num16"/>
    <w:lvl w:ilvl="0">
      <w:start w:val="1"/>
      <w:numFmt w:val="decimal"/>
      <w:lvlText w:val="%1."/>
      <w:lvlJc w:val="left"/>
      <w:pPr>
        <w:tabs>
          <w:tab w:val="num" w:pos="0"/>
        </w:tabs>
        <w:ind w:left="1854" w:hanging="360"/>
      </w:pPr>
      <w:rPr>
        <w:rFonts w:eastAsia="Times New Roman" w:cs="Times New Roman"/>
        <w:b w:val="0"/>
        <w:bCs w:val="0"/>
        <w:i/>
        <w:iCs/>
        <w:spacing w:val="0"/>
        <w:w w:val="100"/>
        <w:sz w:val="20"/>
        <w:szCs w:val="2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5" w15:restartNumberingAfterBreak="0">
    <w:nsid w:val="021E7ACB"/>
    <w:multiLevelType w:val="hybridMultilevel"/>
    <w:tmpl w:val="088AF166"/>
    <w:lvl w:ilvl="0" w:tplc="AA2A9296">
      <w:start w:val="1"/>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41E3381"/>
    <w:multiLevelType w:val="hybridMultilevel"/>
    <w:tmpl w:val="6C5801F8"/>
    <w:lvl w:ilvl="0" w:tplc="4EF445D4">
      <w:start w:val="2"/>
      <w:numFmt w:val="decimal"/>
      <w:lvlText w:val="%1."/>
      <w:lvlJc w:val="left"/>
      <w:pPr>
        <w:ind w:left="1665"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17" w15:restartNumberingAfterBreak="0">
    <w:nsid w:val="0BA44819"/>
    <w:multiLevelType w:val="multilevel"/>
    <w:tmpl w:val="DCE4C118"/>
    <w:lvl w:ilvl="0">
      <w:start w:val="1"/>
      <w:numFmt w:val="decimal"/>
      <w:lvlText w:val="%1."/>
      <w:lvlJc w:val="left"/>
      <w:pPr>
        <w:ind w:left="2271" w:hanging="570"/>
      </w:pPr>
      <w:rPr>
        <w:rFonts w:hint="default"/>
        <w:b w:val="0"/>
        <w:i w:val="0"/>
      </w:rPr>
    </w:lvl>
    <w:lvl w:ilvl="1">
      <w:start w:val="1"/>
      <w:numFmt w:val="lowerLetter"/>
      <w:lvlText w:val="%2."/>
      <w:lvlJc w:val="left"/>
      <w:pPr>
        <w:ind w:left="2781" w:hanging="360"/>
      </w:pPr>
    </w:lvl>
    <w:lvl w:ilvl="2">
      <w:start w:val="1"/>
      <w:numFmt w:val="lowerLetter"/>
      <w:lvlText w:val="(%3)"/>
      <w:lvlJc w:val="left"/>
      <w:pPr>
        <w:ind w:left="3681" w:hanging="360"/>
      </w:pPr>
      <w:rPr>
        <w:rFonts w:hint="default"/>
      </w:r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18" w15:restartNumberingAfterBreak="0">
    <w:nsid w:val="0BB714C7"/>
    <w:multiLevelType w:val="multilevel"/>
    <w:tmpl w:val="91329030"/>
    <w:lvl w:ilvl="0">
      <w:start w:val="1"/>
      <w:numFmt w:val="decimal"/>
      <w:lvlText w:val="%1."/>
      <w:lvlJc w:val="left"/>
      <w:pPr>
        <w:ind w:left="2271" w:hanging="570"/>
      </w:pPr>
      <w:rPr>
        <w:rFonts w:hint="default"/>
      </w:rPr>
    </w:lvl>
    <w:lvl w:ilvl="1">
      <w:start w:val="1"/>
      <w:numFmt w:val="lowerLetter"/>
      <w:lvlText w:val="(%2)"/>
      <w:lvlJc w:val="left"/>
      <w:pPr>
        <w:ind w:left="2781" w:hanging="360"/>
      </w:pPr>
      <w:rPr>
        <w:rFonts w:hint="default"/>
      </w:r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19" w15:restartNumberingAfterBreak="0">
    <w:nsid w:val="155A5ECE"/>
    <w:multiLevelType w:val="multilevel"/>
    <w:tmpl w:val="27CAC610"/>
    <w:lvl w:ilvl="0">
      <w:start w:val="1"/>
      <w:numFmt w:val="decimal"/>
      <w:lvlText w:val="%1."/>
      <w:lvlJc w:val="left"/>
      <w:pPr>
        <w:ind w:left="2271" w:hanging="570"/>
      </w:pPr>
      <w:rPr>
        <w:rFonts w:hint="default"/>
        <w:b w:val="0"/>
        <w:i w:val="0"/>
      </w:rPr>
    </w:lvl>
    <w:lvl w:ilvl="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0" w15:restartNumberingAfterBreak="0">
    <w:nsid w:val="1A6D7CF4"/>
    <w:multiLevelType w:val="multilevel"/>
    <w:tmpl w:val="8B2A6E00"/>
    <w:lvl w:ilvl="0">
      <w:start w:val="1"/>
      <w:numFmt w:val="decimal"/>
      <w:lvlText w:val="%1."/>
      <w:lvlJc w:val="left"/>
      <w:pPr>
        <w:tabs>
          <w:tab w:val="num" w:pos="0"/>
        </w:tabs>
        <w:ind w:left="1854" w:hanging="360"/>
      </w:pPr>
      <w:rPr>
        <w:rFonts w:eastAsia="Times New Roman" w:cs="Times New Roman"/>
        <w:b w:val="0"/>
        <w:bCs w:val="0"/>
        <w:i/>
        <w:iCs/>
        <w:spacing w:val="0"/>
        <w:w w:val="100"/>
        <w:sz w:val="20"/>
        <w:szCs w:val="2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15:restartNumberingAfterBreak="0">
    <w:nsid w:val="24244078"/>
    <w:multiLevelType w:val="hybridMultilevel"/>
    <w:tmpl w:val="E2988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4F8794E"/>
    <w:multiLevelType w:val="hybridMultilevel"/>
    <w:tmpl w:val="DCFAE792"/>
    <w:lvl w:ilvl="0" w:tplc="4624641E">
      <w:start w:val="1"/>
      <w:numFmt w:val="lowerLetter"/>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7812857"/>
    <w:multiLevelType w:val="multilevel"/>
    <w:tmpl w:val="DCE4C118"/>
    <w:lvl w:ilvl="0">
      <w:start w:val="1"/>
      <w:numFmt w:val="decimal"/>
      <w:lvlText w:val="%1."/>
      <w:lvlJc w:val="left"/>
      <w:pPr>
        <w:ind w:left="2271" w:hanging="570"/>
      </w:pPr>
      <w:rPr>
        <w:rFonts w:hint="default"/>
        <w:b w:val="0"/>
        <w:i w:val="0"/>
      </w:rPr>
    </w:lvl>
    <w:lvl w:ilvl="1">
      <w:start w:val="1"/>
      <w:numFmt w:val="lowerLetter"/>
      <w:lvlText w:val="%2."/>
      <w:lvlJc w:val="left"/>
      <w:pPr>
        <w:ind w:left="2781" w:hanging="360"/>
      </w:pPr>
    </w:lvl>
    <w:lvl w:ilvl="2">
      <w:start w:val="1"/>
      <w:numFmt w:val="lowerLetter"/>
      <w:lvlText w:val="(%3)"/>
      <w:lvlJc w:val="left"/>
      <w:pPr>
        <w:ind w:left="3681" w:hanging="360"/>
      </w:pPr>
      <w:rPr>
        <w:rFonts w:hint="default"/>
      </w:r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4" w15:restartNumberingAfterBreak="0">
    <w:nsid w:val="29EE483B"/>
    <w:multiLevelType w:val="hybridMultilevel"/>
    <w:tmpl w:val="C36A6F74"/>
    <w:lvl w:ilvl="0" w:tplc="9DCC349A">
      <w:start w:val="1"/>
      <w:numFmt w:val="decimal"/>
      <w:pStyle w:val="NumberedParas"/>
      <w:lvlText w:val="%1."/>
      <w:lvlJc w:val="left"/>
      <w:pPr>
        <w:ind w:left="720" w:hanging="360"/>
      </w:pPr>
    </w:lvl>
    <w:lvl w:ilvl="1" w:tplc="19E0E62C">
      <w:start w:val="1"/>
      <w:numFmt w:val="lowerLetter"/>
      <w:lvlText w:val="(%2)"/>
      <w:lvlJc w:val="left"/>
      <w:pPr>
        <w:ind w:left="1440" w:firstLine="261"/>
      </w:pPr>
      <w:rPr>
        <w:rFonts w:ascii="Times New Roman" w:eastAsia="Calibri" w:hAnsi="Times New Roman"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5A58B9"/>
    <w:multiLevelType w:val="hybridMultilevel"/>
    <w:tmpl w:val="21E4B04E"/>
    <w:lvl w:ilvl="0" w:tplc="32EC01F0">
      <w:start w:val="1"/>
      <w:numFmt w:val="decimal"/>
      <w:lvlText w:val="%1."/>
      <w:lvlJc w:val="left"/>
      <w:pPr>
        <w:ind w:left="5605" w:hanging="360"/>
      </w:pPr>
      <w:rPr>
        <w:rFonts w:hint="default"/>
        <w:b w:val="0"/>
        <w:bCs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2FCC7079"/>
    <w:multiLevelType w:val="multilevel"/>
    <w:tmpl w:val="47AC034C"/>
    <w:lvl w:ilvl="0">
      <w:start w:val="1"/>
      <w:numFmt w:val="lowerLetter"/>
      <w:lvlText w:val="(%1)"/>
      <w:lvlJc w:val="left"/>
      <w:pPr>
        <w:ind w:left="2271" w:hanging="570"/>
      </w:pPr>
      <w:rPr>
        <w:rFonts w:hint="default"/>
      </w:rPr>
    </w:lvl>
    <w:lvl w:ilvl="1" w:tentative="1">
      <w:start w:val="1"/>
      <w:numFmt w:val="lowerLetter"/>
      <w:lvlText w:val="%2."/>
      <w:lvlJc w:val="left"/>
      <w:pPr>
        <w:ind w:left="2781" w:hanging="360"/>
      </w:pPr>
    </w:lvl>
    <w:lvl w:ilvl="2" w:tentative="1">
      <w:start w:val="1"/>
      <w:numFmt w:val="lowerRoman"/>
      <w:lvlText w:val="%3."/>
      <w:lvlJc w:val="right"/>
      <w:pPr>
        <w:ind w:left="3501" w:hanging="180"/>
      </w:p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7" w15:restartNumberingAfterBreak="0">
    <w:nsid w:val="362277CD"/>
    <w:multiLevelType w:val="hybridMultilevel"/>
    <w:tmpl w:val="6B2622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63663DC"/>
    <w:multiLevelType w:val="multilevel"/>
    <w:tmpl w:val="DCE4C118"/>
    <w:lvl w:ilvl="0">
      <w:start w:val="1"/>
      <w:numFmt w:val="decimal"/>
      <w:lvlText w:val="%1."/>
      <w:lvlJc w:val="left"/>
      <w:pPr>
        <w:ind w:left="2271" w:hanging="570"/>
      </w:pPr>
      <w:rPr>
        <w:rFonts w:hint="default"/>
        <w:b w:val="0"/>
        <w:i w:val="0"/>
      </w:rPr>
    </w:lvl>
    <w:lvl w:ilvl="1">
      <w:start w:val="1"/>
      <w:numFmt w:val="lowerLetter"/>
      <w:lvlText w:val="%2."/>
      <w:lvlJc w:val="left"/>
      <w:pPr>
        <w:ind w:left="2781" w:hanging="360"/>
      </w:pPr>
    </w:lvl>
    <w:lvl w:ilvl="2">
      <w:start w:val="1"/>
      <w:numFmt w:val="lowerLetter"/>
      <w:lvlText w:val="(%3)"/>
      <w:lvlJc w:val="left"/>
      <w:pPr>
        <w:ind w:left="3681" w:hanging="360"/>
      </w:pPr>
      <w:rPr>
        <w:rFonts w:hint="default"/>
      </w:r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abstractNum w:abstractNumId="29" w15:restartNumberingAfterBreak="0">
    <w:nsid w:val="429B7F87"/>
    <w:multiLevelType w:val="multilevel"/>
    <w:tmpl w:val="ECEEE7BE"/>
    <w:lvl w:ilvl="0">
      <w:start w:val="1"/>
      <w:numFmt w:val="none"/>
      <w:lvlText w:val="%1."/>
      <w:lvlJc w:val="left"/>
      <w:pPr>
        <w:ind w:left="0" w:firstLine="0"/>
      </w:pPr>
      <w:rPr>
        <w:rFonts w:hint="default"/>
      </w:rPr>
    </w:lvl>
    <w:lvl w:ilvl="1">
      <w:start w:val="1"/>
      <w:numFmt w:val="upperRoman"/>
      <w:lvlText w:val="%2."/>
      <w:lvlJc w:val="left"/>
      <w:pPr>
        <w:ind w:left="1134" w:hanging="454"/>
      </w:pPr>
      <w:rPr>
        <w:rFonts w:hint="default"/>
      </w:rPr>
    </w:lvl>
    <w:lvl w:ilvl="2">
      <w:start w:val="1"/>
      <w:numFmt w:val="upperLetter"/>
      <w:lvlText w:val="%3."/>
      <w:lvlJc w:val="left"/>
      <w:pPr>
        <w:tabs>
          <w:tab w:val="num" w:pos="2268"/>
        </w:tabs>
        <w:ind w:left="1134" w:hanging="414"/>
      </w:pPr>
      <w:rPr>
        <w:rFonts w:hint="default"/>
      </w:rPr>
    </w:lvl>
    <w:lvl w:ilvl="3">
      <w:start w:val="1"/>
      <w:numFmt w:val="decimal"/>
      <w:lvlText w:val="%4."/>
      <w:lvlJc w:val="left"/>
      <w:pPr>
        <w:ind w:left="2160" w:firstLine="0"/>
      </w:pPr>
      <w:rPr>
        <w:rFonts w:hint="default"/>
        <w:b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4DD41207"/>
    <w:multiLevelType w:val="hybridMultilevel"/>
    <w:tmpl w:val="6C8E1EE4"/>
    <w:lvl w:ilvl="0" w:tplc="83083C52">
      <w:start w:val="1"/>
      <w:numFmt w:val="lowerLetter"/>
      <w:lvlText w:val="(%1)"/>
      <w:lvlJc w:val="left"/>
      <w:pPr>
        <w:ind w:left="2166" w:hanging="465"/>
      </w:pPr>
      <w:rPr>
        <w:rFonts w:eastAsia="Calibri"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15:restartNumberingAfterBreak="0">
    <w:nsid w:val="52803025"/>
    <w:multiLevelType w:val="hybridMultilevel"/>
    <w:tmpl w:val="583C5A3E"/>
    <w:lvl w:ilvl="0" w:tplc="AE3E347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6ADF3BA3"/>
    <w:multiLevelType w:val="hybridMultilevel"/>
    <w:tmpl w:val="1D442FDA"/>
    <w:lvl w:ilvl="0" w:tplc="AE3E347A">
      <w:start w:val="1"/>
      <w:numFmt w:val="lowerLetter"/>
      <w:lvlText w:val="(%1)"/>
      <w:lvlJc w:val="left"/>
      <w:pPr>
        <w:ind w:left="2061" w:hanging="360"/>
      </w:pPr>
      <w:rPr>
        <w:rFonts w:hint="default"/>
      </w:rPr>
    </w:lvl>
    <w:lvl w:ilvl="1" w:tplc="04020019">
      <w:start w:val="1"/>
      <w:numFmt w:val="lowerLetter"/>
      <w:lvlText w:val="%2."/>
      <w:lvlJc w:val="left"/>
      <w:pPr>
        <w:ind w:left="2781" w:hanging="360"/>
      </w:pPr>
    </w:lvl>
    <w:lvl w:ilvl="2" w:tplc="0402001B" w:tentative="1">
      <w:start w:val="1"/>
      <w:numFmt w:val="lowerRoman"/>
      <w:lvlText w:val="%3."/>
      <w:lvlJc w:val="right"/>
      <w:pPr>
        <w:ind w:left="3501" w:hanging="180"/>
      </w:pPr>
    </w:lvl>
    <w:lvl w:ilvl="3" w:tplc="0402000F" w:tentative="1">
      <w:start w:val="1"/>
      <w:numFmt w:val="decimal"/>
      <w:lvlText w:val="%4."/>
      <w:lvlJc w:val="left"/>
      <w:pPr>
        <w:ind w:left="4221" w:hanging="360"/>
      </w:pPr>
    </w:lvl>
    <w:lvl w:ilvl="4" w:tplc="04020019" w:tentative="1">
      <w:start w:val="1"/>
      <w:numFmt w:val="lowerLetter"/>
      <w:lvlText w:val="%5."/>
      <w:lvlJc w:val="left"/>
      <w:pPr>
        <w:ind w:left="4941" w:hanging="360"/>
      </w:pPr>
    </w:lvl>
    <w:lvl w:ilvl="5" w:tplc="0402001B" w:tentative="1">
      <w:start w:val="1"/>
      <w:numFmt w:val="lowerRoman"/>
      <w:lvlText w:val="%6."/>
      <w:lvlJc w:val="right"/>
      <w:pPr>
        <w:ind w:left="5661" w:hanging="180"/>
      </w:pPr>
    </w:lvl>
    <w:lvl w:ilvl="6" w:tplc="0402000F" w:tentative="1">
      <w:start w:val="1"/>
      <w:numFmt w:val="decimal"/>
      <w:lvlText w:val="%7."/>
      <w:lvlJc w:val="left"/>
      <w:pPr>
        <w:ind w:left="6381" w:hanging="360"/>
      </w:pPr>
    </w:lvl>
    <w:lvl w:ilvl="7" w:tplc="04020019" w:tentative="1">
      <w:start w:val="1"/>
      <w:numFmt w:val="lowerLetter"/>
      <w:lvlText w:val="%8."/>
      <w:lvlJc w:val="left"/>
      <w:pPr>
        <w:ind w:left="7101" w:hanging="360"/>
      </w:pPr>
    </w:lvl>
    <w:lvl w:ilvl="8" w:tplc="0402001B" w:tentative="1">
      <w:start w:val="1"/>
      <w:numFmt w:val="lowerRoman"/>
      <w:lvlText w:val="%9."/>
      <w:lvlJc w:val="right"/>
      <w:pPr>
        <w:ind w:left="7821" w:hanging="180"/>
      </w:pPr>
    </w:lvl>
  </w:abstractNum>
  <w:abstractNum w:abstractNumId="33" w15:restartNumberingAfterBreak="0">
    <w:nsid w:val="6D692362"/>
    <w:multiLevelType w:val="hybridMultilevel"/>
    <w:tmpl w:val="70D4D696"/>
    <w:lvl w:ilvl="0" w:tplc="4624641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6D854966"/>
    <w:multiLevelType w:val="hybridMultilevel"/>
    <w:tmpl w:val="44E0D0C4"/>
    <w:lvl w:ilvl="0" w:tplc="04070017">
      <w:start w:val="1"/>
      <w:numFmt w:val="lowerLetter"/>
      <w:lvlText w:val="%1)"/>
      <w:lvlJc w:val="left"/>
      <w:pPr>
        <w:ind w:left="1854" w:hanging="360"/>
      </w:pPr>
    </w:lvl>
    <w:lvl w:ilvl="1" w:tplc="08090019">
      <w:start w:val="1"/>
      <w:numFmt w:val="lowerLetter"/>
      <w:lvlText w:val="%2."/>
      <w:lvlJc w:val="left"/>
      <w:pPr>
        <w:ind w:left="2574" w:hanging="360"/>
      </w:pPr>
    </w:lvl>
    <w:lvl w:ilvl="2" w:tplc="AE3E347A">
      <w:start w:val="1"/>
      <w:numFmt w:val="lowerLetter"/>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06F2547"/>
    <w:multiLevelType w:val="hybridMultilevel"/>
    <w:tmpl w:val="47AC034C"/>
    <w:lvl w:ilvl="0" w:tplc="9D74ED6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7E7F2D98"/>
    <w:multiLevelType w:val="multilevel"/>
    <w:tmpl w:val="DCE4C118"/>
    <w:lvl w:ilvl="0">
      <w:start w:val="1"/>
      <w:numFmt w:val="decimal"/>
      <w:lvlText w:val="%1."/>
      <w:lvlJc w:val="left"/>
      <w:pPr>
        <w:ind w:left="2697" w:hanging="570"/>
      </w:pPr>
      <w:rPr>
        <w:rFonts w:hint="default"/>
        <w:b w:val="0"/>
        <w:i w:val="0"/>
      </w:rPr>
    </w:lvl>
    <w:lvl w:ilvl="1">
      <w:start w:val="1"/>
      <w:numFmt w:val="lowerLetter"/>
      <w:lvlText w:val="%2."/>
      <w:lvlJc w:val="left"/>
      <w:pPr>
        <w:ind w:left="2781" w:hanging="360"/>
      </w:pPr>
    </w:lvl>
    <w:lvl w:ilvl="2">
      <w:start w:val="1"/>
      <w:numFmt w:val="lowerLetter"/>
      <w:lvlText w:val="(%3)"/>
      <w:lvlJc w:val="left"/>
      <w:pPr>
        <w:ind w:left="3681" w:hanging="360"/>
      </w:pPr>
      <w:rPr>
        <w:rFonts w:hint="default"/>
      </w:rPr>
    </w:lvl>
    <w:lvl w:ilvl="3" w:tentative="1">
      <w:start w:val="1"/>
      <w:numFmt w:val="decimal"/>
      <w:lvlText w:val="%4."/>
      <w:lvlJc w:val="left"/>
      <w:pPr>
        <w:ind w:left="4221" w:hanging="360"/>
      </w:pPr>
    </w:lvl>
    <w:lvl w:ilvl="4" w:tentative="1">
      <w:start w:val="1"/>
      <w:numFmt w:val="lowerLetter"/>
      <w:lvlText w:val="%5."/>
      <w:lvlJc w:val="left"/>
      <w:pPr>
        <w:ind w:left="4941" w:hanging="360"/>
      </w:pPr>
    </w:lvl>
    <w:lvl w:ilvl="5" w:tentative="1">
      <w:start w:val="1"/>
      <w:numFmt w:val="lowerRoman"/>
      <w:lvlText w:val="%6."/>
      <w:lvlJc w:val="right"/>
      <w:pPr>
        <w:ind w:left="5661" w:hanging="180"/>
      </w:pPr>
    </w:lvl>
    <w:lvl w:ilvl="6" w:tentative="1">
      <w:start w:val="1"/>
      <w:numFmt w:val="decimal"/>
      <w:lvlText w:val="%7."/>
      <w:lvlJc w:val="left"/>
      <w:pPr>
        <w:ind w:left="6381" w:hanging="360"/>
      </w:pPr>
    </w:lvl>
    <w:lvl w:ilvl="7" w:tentative="1">
      <w:start w:val="1"/>
      <w:numFmt w:val="lowerLetter"/>
      <w:lvlText w:val="%8."/>
      <w:lvlJc w:val="left"/>
      <w:pPr>
        <w:ind w:left="7101" w:hanging="360"/>
      </w:pPr>
    </w:lvl>
    <w:lvl w:ilvl="8" w:tentative="1">
      <w:start w:val="1"/>
      <w:numFmt w:val="lowerRoman"/>
      <w:lvlText w:val="%9."/>
      <w:lvlJc w:val="right"/>
      <w:pPr>
        <w:ind w:left="782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35"/>
  </w:num>
  <w:num w:numId="18">
    <w:abstractNumId w:val="21"/>
  </w:num>
  <w:num w:numId="19">
    <w:abstractNumId w:val="26"/>
  </w:num>
  <w:num w:numId="20">
    <w:abstractNumId w:val="36"/>
  </w:num>
  <w:num w:numId="21">
    <w:abstractNumId w:val="18"/>
  </w:num>
  <w:num w:numId="22">
    <w:abstractNumId w:val="15"/>
  </w:num>
  <w:num w:numId="23">
    <w:abstractNumId w:val="27"/>
  </w:num>
  <w:num w:numId="24">
    <w:abstractNumId w:val="25"/>
  </w:num>
  <w:num w:numId="25">
    <w:abstractNumId w:val="19"/>
  </w:num>
  <w:num w:numId="26">
    <w:abstractNumId w:val="30"/>
  </w:num>
  <w:num w:numId="27">
    <w:abstractNumId w:val="22"/>
  </w:num>
  <w:num w:numId="28">
    <w:abstractNumId w:val="33"/>
  </w:num>
  <w:num w:numId="29">
    <w:abstractNumId w:val="32"/>
  </w:num>
  <w:num w:numId="30">
    <w:abstractNumId w:val="34"/>
  </w:num>
  <w:num w:numId="31">
    <w:abstractNumId w:val="31"/>
  </w:num>
  <w:num w:numId="32">
    <w:abstractNumId w:val="17"/>
  </w:num>
  <w:num w:numId="33">
    <w:abstractNumId w:val="23"/>
  </w:num>
  <w:num w:numId="34">
    <w:abstractNumId w:val="28"/>
  </w:num>
  <w:num w:numId="35">
    <w:abstractNumId w:val="24"/>
  </w:num>
  <w:num w:numId="36">
    <w:abstractNumId w:val="29"/>
  </w:num>
  <w:num w:numId="37">
    <w:abstractNumId w:val="1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ar-SA"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37"/>
    <w:rsid w:val="00010B52"/>
    <w:rsid w:val="00022A39"/>
    <w:rsid w:val="00022B38"/>
    <w:rsid w:val="00026576"/>
    <w:rsid w:val="00031E1C"/>
    <w:rsid w:val="00032B8B"/>
    <w:rsid w:val="000376DB"/>
    <w:rsid w:val="00055763"/>
    <w:rsid w:val="00076CD8"/>
    <w:rsid w:val="000A59DF"/>
    <w:rsid w:val="000B21EF"/>
    <w:rsid w:val="000B43C6"/>
    <w:rsid w:val="000C25C4"/>
    <w:rsid w:val="000D078D"/>
    <w:rsid w:val="000D20F8"/>
    <w:rsid w:val="000E0097"/>
    <w:rsid w:val="000E2FE0"/>
    <w:rsid w:val="000E6636"/>
    <w:rsid w:val="000F479F"/>
    <w:rsid w:val="000F5498"/>
    <w:rsid w:val="00104BBB"/>
    <w:rsid w:val="001110F0"/>
    <w:rsid w:val="00121D3B"/>
    <w:rsid w:val="00122D0A"/>
    <w:rsid w:val="00124431"/>
    <w:rsid w:val="00126141"/>
    <w:rsid w:val="00134B68"/>
    <w:rsid w:val="0016609E"/>
    <w:rsid w:val="001669FC"/>
    <w:rsid w:val="001761D7"/>
    <w:rsid w:val="00180499"/>
    <w:rsid w:val="0018636F"/>
    <w:rsid w:val="001961CD"/>
    <w:rsid w:val="001B249A"/>
    <w:rsid w:val="001B3402"/>
    <w:rsid w:val="001D00D7"/>
    <w:rsid w:val="001E3049"/>
    <w:rsid w:val="001E551D"/>
    <w:rsid w:val="001F0A23"/>
    <w:rsid w:val="002058D7"/>
    <w:rsid w:val="00205A7C"/>
    <w:rsid w:val="00210366"/>
    <w:rsid w:val="0022354C"/>
    <w:rsid w:val="00243D35"/>
    <w:rsid w:val="00247EAA"/>
    <w:rsid w:val="00257A92"/>
    <w:rsid w:val="00265A2D"/>
    <w:rsid w:val="00280401"/>
    <w:rsid w:val="0028126B"/>
    <w:rsid w:val="00282BD5"/>
    <w:rsid w:val="002910BF"/>
    <w:rsid w:val="00292978"/>
    <w:rsid w:val="00295356"/>
    <w:rsid w:val="002A2F54"/>
    <w:rsid w:val="002A39C5"/>
    <w:rsid w:val="002A6CB4"/>
    <w:rsid w:val="002A773E"/>
    <w:rsid w:val="002C016F"/>
    <w:rsid w:val="002D13A1"/>
    <w:rsid w:val="002E62D1"/>
    <w:rsid w:val="002E687E"/>
    <w:rsid w:val="002F20AF"/>
    <w:rsid w:val="00301E57"/>
    <w:rsid w:val="003133CC"/>
    <w:rsid w:val="003221D9"/>
    <w:rsid w:val="00322798"/>
    <w:rsid w:val="00346651"/>
    <w:rsid w:val="003518A2"/>
    <w:rsid w:val="00352899"/>
    <w:rsid w:val="00360AB9"/>
    <w:rsid w:val="003827A9"/>
    <w:rsid w:val="00387BE2"/>
    <w:rsid w:val="0039710E"/>
    <w:rsid w:val="00397627"/>
    <w:rsid w:val="003A3DEC"/>
    <w:rsid w:val="003B2CF1"/>
    <w:rsid w:val="003B4C3A"/>
    <w:rsid w:val="003C47DD"/>
    <w:rsid w:val="003D69CC"/>
    <w:rsid w:val="003E4B22"/>
    <w:rsid w:val="003E6CE3"/>
    <w:rsid w:val="003F218F"/>
    <w:rsid w:val="00415E67"/>
    <w:rsid w:val="00420DEC"/>
    <w:rsid w:val="004225B4"/>
    <w:rsid w:val="00436271"/>
    <w:rsid w:val="00442C2D"/>
    <w:rsid w:val="00467BA1"/>
    <w:rsid w:val="00476DC9"/>
    <w:rsid w:val="00490E56"/>
    <w:rsid w:val="00491C70"/>
    <w:rsid w:val="004946B0"/>
    <w:rsid w:val="004A228C"/>
    <w:rsid w:val="004B0831"/>
    <w:rsid w:val="004B0CE7"/>
    <w:rsid w:val="004C112D"/>
    <w:rsid w:val="004D2FC2"/>
    <w:rsid w:val="004D6EE2"/>
    <w:rsid w:val="004D7172"/>
    <w:rsid w:val="004D7673"/>
    <w:rsid w:val="004F58B7"/>
    <w:rsid w:val="004F643B"/>
    <w:rsid w:val="00501772"/>
    <w:rsid w:val="00512A11"/>
    <w:rsid w:val="00521AD7"/>
    <w:rsid w:val="00532275"/>
    <w:rsid w:val="00540A10"/>
    <w:rsid w:val="00555E8B"/>
    <w:rsid w:val="005665E0"/>
    <w:rsid w:val="00570567"/>
    <w:rsid w:val="00571C48"/>
    <w:rsid w:val="005731C0"/>
    <w:rsid w:val="005765B4"/>
    <w:rsid w:val="005855B3"/>
    <w:rsid w:val="00587E5C"/>
    <w:rsid w:val="00592595"/>
    <w:rsid w:val="0059263D"/>
    <w:rsid w:val="005D5E6C"/>
    <w:rsid w:val="005E1D3C"/>
    <w:rsid w:val="005E2FBF"/>
    <w:rsid w:val="005E7D01"/>
    <w:rsid w:val="005F227B"/>
    <w:rsid w:val="005F2475"/>
    <w:rsid w:val="006226AF"/>
    <w:rsid w:val="00624B55"/>
    <w:rsid w:val="006273AE"/>
    <w:rsid w:val="006342C0"/>
    <w:rsid w:val="0067208D"/>
    <w:rsid w:val="006861F5"/>
    <w:rsid w:val="006942F9"/>
    <w:rsid w:val="00695BE2"/>
    <w:rsid w:val="00696C88"/>
    <w:rsid w:val="006A0431"/>
    <w:rsid w:val="006A29CC"/>
    <w:rsid w:val="006C31CD"/>
    <w:rsid w:val="006D3720"/>
    <w:rsid w:val="006D376E"/>
    <w:rsid w:val="006D3DCF"/>
    <w:rsid w:val="006E0E4A"/>
    <w:rsid w:val="006E2E86"/>
    <w:rsid w:val="006F594D"/>
    <w:rsid w:val="006F7860"/>
    <w:rsid w:val="00702E83"/>
    <w:rsid w:val="00717C53"/>
    <w:rsid w:val="007246A0"/>
    <w:rsid w:val="00742C34"/>
    <w:rsid w:val="00754173"/>
    <w:rsid w:val="007616F4"/>
    <w:rsid w:val="00780A92"/>
    <w:rsid w:val="00781024"/>
    <w:rsid w:val="007812A0"/>
    <w:rsid w:val="0079245F"/>
    <w:rsid w:val="007965E6"/>
    <w:rsid w:val="007A4394"/>
    <w:rsid w:val="007B4153"/>
    <w:rsid w:val="007B4E7E"/>
    <w:rsid w:val="007D6B82"/>
    <w:rsid w:val="007F5D79"/>
    <w:rsid w:val="007F62DD"/>
    <w:rsid w:val="008077B7"/>
    <w:rsid w:val="00813811"/>
    <w:rsid w:val="00827336"/>
    <w:rsid w:val="008306D0"/>
    <w:rsid w:val="00831B81"/>
    <w:rsid w:val="0084365F"/>
    <w:rsid w:val="00845F9E"/>
    <w:rsid w:val="008535F3"/>
    <w:rsid w:val="0085638A"/>
    <w:rsid w:val="00871E65"/>
    <w:rsid w:val="008724A4"/>
    <w:rsid w:val="008728FD"/>
    <w:rsid w:val="00874B63"/>
    <w:rsid w:val="00884FD0"/>
    <w:rsid w:val="008A10C2"/>
    <w:rsid w:val="008A188C"/>
    <w:rsid w:val="008A4800"/>
    <w:rsid w:val="008B1862"/>
    <w:rsid w:val="008B3CCE"/>
    <w:rsid w:val="008B5AF0"/>
    <w:rsid w:val="008C0554"/>
    <w:rsid w:val="008C4056"/>
    <w:rsid w:val="008D1579"/>
    <w:rsid w:val="008D1884"/>
    <w:rsid w:val="008D62D3"/>
    <w:rsid w:val="008D7FB7"/>
    <w:rsid w:val="00907B59"/>
    <w:rsid w:val="009135EE"/>
    <w:rsid w:val="00930A6A"/>
    <w:rsid w:val="00952840"/>
    <w:rsid w:val="00952E9E"/>
    <w:rsid w:val="009647FF"/>
    <w:rsid w:val="00972388"/>
    <w:rsid w:val="00985466"/>
    <w:rsid w:val="00992830"/>
    <w:rsid w:val="009C060F"/>
    <w:rsid w:val="009C0827"/>
    <w:rsid w:val="009E02AB"/>
    <w:rsid w:val="009E0A2A"/>
    <w:rsid w:val="009E6BA7"/>
    <w:rsid w:val="009F029A"/>
    <w:rsid w:val="00A0212C"/>
    <w:rsid w:val="00A02491"/>
    <w:rsid w:val="00A14AC0"/>
    <w:rsid w:val="00A27881"/>
    <w:rsid w:val="00A402B2"/>
    <w:rsid w:val="00A40ADF"/>
    <w:rsid w:val="00A41266"/>
    <w:rsid w:val="00A52A1F"/>
    <w:rsid w:val="00A62EBF"/>
    <w:rsid w:val="00A63FB3"/>
    <w:rsid w:val="00A87141"/>
    <w:rsid w:val="00A94D20"/>
    <w:rsid w:val="00A97ADC"/>
    <w:rsid w:val="00AA148D"/>
    <w:rsid w:val="00AB7D1E"/>
    <w:rsid w:val="00AD29AA"/>
    <w:rsid w:val="00AE357E"/>
    <w:rsid w:val="00AE7496"/>
    <w:rsid w:val="00B00833"/>
    <w:rsid w:val="00B1168C"/>
    <w:rsid w:val="00B266E1"/>
    <w:rsid w:val="00B30588"/>
    <w:rsid w:val="00B4059E"/>
    <w:rsid w:val="00B620A8"/>
    <w:rsid w:val="00B639BA"/>
    <w:rsid w:val="00B64DCF"/>
    <w:rsid w:val="00B67CAA"/>
    <w:rsid w:val="00B771E4"/>
    <w:rsid w:val="00BA026E"/>
    <w:rsid w:val="00BB472D"/>
    <w:rsid w:val="00BB4CF0"/>
    <w:rsid w:val="00BB67B2"/>
    <w:rsid w:val="00BD263D"/>
    <w:rsid w:val="00BD7859"/>
    <w:rsid w:val="00C17C91"/>
    <w:rsid w:val="00C228A3"/>
    <w:rsid w:val="00C26B02"/>
    <w:rsid w:val="00C27BC6"/>
    <w:rsid w:val="00C30A09"/>
    <w:rsid w:val="00C32E1D"/>
    <w:rsid w:val="00C36DDF"/>
    <w:rsid w:val="00C4280D"/>
    <w:rsid w:val="00C82C94"/>
    <w:rsid w:val="00CA308E"/>
    <w:rsid w:val="00CC1265"/>
    <w:rsid w:val="00CC1506"/>
    <w:rsid w:val="00CD31D7"/>
    <w:rsid w:val="00CE0945"/>
    <w:rsid w:val="00CF7A37"/>
    <w:rsid w:val="00D10A39"/>
    <w:rsid w:val="00D20890"/>
    <w:rsid w:val="00D261A5"/>
    <w:rsid w:val="00D50A0A"/>
    <w:rsid w:val="00D55F6D"/>
    <w:rsid w:val="00D666EE"/>
    <w:rsid w:val="00D76E42"/>
    <w:rsid w:val="00D8221F"/>
    <w:rsid w:val="00D95F61"/>
    <w:rsid w:val="00DA1237"/>
    <w:rsid w:val="00DA2F90"/>
    <w:rsid w:val="00DA6537"/>
    <w:rsid w:val="00DB2BB1"/>
    <w:rsid w:val="00DC6949"/>
    <w:rsid w:val="00DE2CD1"/>
    <w:rsid w:val="00DE7B52"/>
    <w:rsid w:val="00DE7F22"/>
    <w:rsid w:val="00E00E72"/>
    <w:rsid w:val="00E31D6A"/>
    <w:rsid w:val="00E33451"/>
    <w:rsid w:val="00E55414"/>
    <w:rsid w:val="00E56ED4"/>
    <w:rsid w:val="00E61A16"/>
    <w:rsid w:val="00E65C52"/>
    <w:rsid w:val="00E661CB"/>
    <w:rsid w:val="00E87EDE"/>
    <w:rsid w:val="00E92562"/>
    <w:rsid w:val="00EA2061"/>
    <w:rsid w:val="00EA3CD1"/>
    <w:rsid w:val="00EB1FD0"/>
    <w:rsid w:val="00EB5130"/>
    <w:rsid w:val="00EC3A87"/>
    <w:rsid w:val="00EC6498"/>
    <w:rsid w:val="00EC79BF"/>
    <w:rsid w:val="00ED53D9"/>
    <w:rsid w:val="00ED7F69"/>
    <w:rsid w:val="00EE1750"/>
    <w:rsid w:val="00F02C5C"/>
    <w:rsid w:val="00F17DE2"/>
    <w:rsid w:val="00F400C8"/>
    <w:rsid w:val="00F51461"/>
    <w:rsid w:val="00F638AF"/>
    <w:rsid w:val="00F64E37"/>
    <w:rsid w:val="00F81419"/>
    <w:rsid w:val="00F90A21"/>
    <w:rsid w:val="00F91DB4"/>
    <w:rsid w:val="00FA2C6D"/>
    <w:rsid w:val="00FB029E"/>
    <w:rsid w:val="00FB34F8"/>
    <w:rsid w:val="00FB5970"/>
    <w:rsid w:val="00FC2D9E"/>
    <w:rsid w:val="00FC4044"/>
    <w:rsid w:val="00FD33DE"/>
    <w:rsid w:val="00FD7640"/>
    <w:rsid w:val="00FF2D96"/>
    <w:rsid w:val="00FF5E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F9D72"/>
  <w15:chartTrackingRefBased/>
  <w15:docId w15:val="{46249369-3460-4CD6-AF91-253ECA0D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Calibri" w:hAnsi="Times New Roman" w:cs="Times New Roman"/>
      <w:sz w:val="24"/>
      <w:highlight w:val="yellow"/>
      <w:lang w:val="en-US"/>
    </w:rPr>
  </w:style>
  <w:style w:type="character" w:customStyle="1" w:styleId="WW8Num14z0">
    <w:name w:val="WW8Num14z0"/>
    <w:rPr>
      <w:rFonts w:ascii="Times New Roman" w:hAnsi="Times New Roman" w:cs="Times New Roman"/>
      <w:b w:val="0"/>
      <w:i w:val="0"/>
      <w:sz w:val="20"/>
    </w:rPr>
  </w:style>
  <w:style w:type="character" w:customStyle="1" w:styleId="WW8Num15z0">
    <w:name w:val="WW8Num15z0"/>
    <w:rPr>
      <w:rFonts w:ascii="Times New Roman" w:hAnsi="Times New Roman" w:cs="Times New Roman"/>
    </w:rPr>
  </w:style>
  <w:style w:type="character" w:customStyle="1" w:styleId="WW8Num16z0">
    <w:name w:val="WW8Num16z0"/>
    <w:rPr>
      <w:rFonts w:eastAsia="Times New Roman" w:cs="Times New Roman"/>
      <w:b w:val="0"/>
      <w:bCs w:val="0"/>
      <w:i/>
      <w:iCs/>
      <w:spacing w:val="0"/>
      <w:w w:val="100"/>
      <w:sz w:val="20"/>
      <w:szCs w:val="2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Calibr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highlight w:val="yellow"/>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Calibri"/>
      <w:highlight w:val="yellow"/>
      <w:lang w:val="en-U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Calibri"/>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b w:val="0"/>
      <w:i w:val="0"/>
      <w:sz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styleId="PageNumber">
    <w:name w:val="page number"/>
    <w:rPr>
      <w:rFonts w:ascii="Times New Roman" w:hAnsi="Times New Roman" w:cs="Times New Roman"/>
      <w:b/>
      <w:sz w:val="18"/>
    </w:rPr>
  </w:style>
  <w:style w:type="character" w:customStyle="1" w:styleId="EndnoteCharacters">
    <w:name w:val="Endnote Characters"/>
    <w:rPr>
      <w:rFonts w:ascii="Times New Roman" w:hAnsi="Times New Roman" w:cs="Times New Roman"/>
      <w:sz w:val="18"/>
      <w:vertAlign w:val="superscript"/>
    </w:rPr>
  </w:style>
  <w:style w:type="character" w:customStyle="1" w:styleId="FootnoteCharacters">
    <w:name w:val="Footnote Characters"/>
    <w:rPr>
      <w:rFonts w:ascii="Times New Roman" w:hAnsi="Times New Roman" w:cs="Times New Roman"/>
      <w:sz w:val="18"/>
      <w:vertAlign w:val="superscript"/>
    </w:rPr>
  </w:style>
  <w:style w:type="character" w:styleId="CommentReference">
    <w:name w:val="annotation reference"/>
    <w:uiPriority w:val="99"/>
    <w:rPr>
      <w:sz w:val="6"/>
    </w:rPr>
  </w:style>
  <w:style w:type="character" w:styleId="LineNumber">
    <w:name w:val="line number"/>
    <w:rPr>
      <w:sz w:val="14"/>
    </w:rPr>
  </w:style>
  <w:style w:type="character" w:styleId="Emphasis">
    <w:name w:val="Emphasis"/>
    <w:qFormat/>
    <w:rPr>
      <w:i/>
      <w:iCs/>
    </w:rPr>
  </w:style>
  <w:style w:type="character" w:styleId="FollowedHyperlink">
    <w:name w:val="FollowedHyperlink"/>
    <w:rPr>
      <w:color w:val="000000"/>
      <w:u w:val="non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00"/>
      <w:u w:val="none"/>
    </w:rPr>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customStyle="1" w:styleId="FootnoteTextChar">
    <w:name w:val="Footnote Text Char"/>
    <w:aliases w:val="5_G Char"/>
    <w:uiPriority w:val="99"/>
    <w:rPr>
      <w:sz w:val="18"/>
    </w:rPr>
  </w:style>
  <w:style w:type="character" w:customStyle="1" w:styleId="SingleTxtGChar">
    <w:name w:val="_ Single Txt_G Char"/>
    <w:qFormat/>
  </w:style>
  <w:style w:type="character" w:customStyle="1" w:styleId="CommentTextChar">
    <w:name w:val="Comment Text Char"/>
    <w:uiPriority w:val="99"/>
  </w:style>
  <w:style w:type="character" w:customStyle="1" w:styleId="CommentSubjectChar">
    <w:name w:val="Comment Subject Char"/>
    <w:rPr>
      <w:b/>
      <w:bCs/>
    </w:rPr>
  </w:style>
  <w:style w:type="character" w:styleId="FootnoteReference">
    <w:name w:val="footnote reference"/>
    <w:aliases w:val="4_G"/>
    <w:uiPriority w:val="99"/>
    <w:rPr>
      <w:vertAlign w:val="superscript"/>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spacing w:before="240" w:after="60"/>
      <w:jc w:val="center"/>
    </w:pPr>
    <w:rPr>
      <w:rFonts w:ascii="Arial" w:hAnsi="Arial" w:cs="Arial"/>
      <w:b/>
      <w:bCs/>
      <w:kern w:val="1"/>
      <w:sz w:val="32"/>
      <w:szCs w:val="32"/>
    </w:rPr>
  </w:style>
  <w:style w:type="paragraph" w:styleId="BodyText">
    <w:name w:val="Body Text"/>
    <w:basedOn w:val="Normal"/>
    <w:next w:val="Normal"/>
  </w:style>
  <w:style w:type="paragraph" w:styleId="List">
    <w:name w:val="List"/>
    <w:basedOn w:val="Normal"/>
    <w:pPr>
      <w:ind w:left="283" w:hanging="283"/>
    </w:p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spacing w:before="240" w:after="240" w:line="360" w:lineRule="exact"/>
      <w:ind w:left="1134" w:right="1134" w:hanging="1134"/>
    </w:pPr>
    <w:rPr>
      <w:b/>
      <w:sz w:val="34"/>
    </w:rPr>
  </w:style>
  <w:style w:type="paragraph" w:customStyle="1" w:styleId="HChG">
    <w:name w:val="_ H _Ch_G"/>
    <w:basedOn w:val="Normal"/>
    <w:next w:val="Normal"/>
    <w:pPr>
      <w:keepNext/>
      <w:keepLines/>
      <w:spacing w:before="360" w:after="240" w:line="300" w:lineRule="exact"/>
      <w:ind w:left="1134" w:right="1134" w:hanging="1134"/>
    </w:pPr>
    <w:rPr>
      <w:b/>
      <w:sz w:val="28"/>
    </w:rPr>
  </w:style>
  <w:style w:type="paragraph" w:styleId="PlainText">
    <w:name w:val="Plain Text"/>
    <w:basedOn w:val="Normal"/>
    <w:rPr>
      <w:rFonts w:cs="Courier New"/>
    </w:rPr>
  </w:style>
  <w:style w:type="paragraph" w:styleId="BodyTextIndent">
    <w:name w:val="Body Text Indent"/>
    <w:basedOn w:val="Normal"/>
    <w:pPr>
      <w:spacing w:after="120"/>
      <w:ind w:left="283"/>
    </w:pPr>
  </w:style>
  <w:style w:type="paragraph" w:styleId="BlockText">
    <w:name w:val="Block Text"/>
    <w:basedOn w:val="Normal"/>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uiPriority w:val="99"/>
    <w:pPr>
      <w:spacing w:line="220" w:lineRule="exact"/>
      <w:ind w:left="1134" w:right="1134" w:hanging="1134"/>
    </w:pPr>
    <w:rPr>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3"/>
      </w:numPr>
      <w:spacing w:after="120"/>
      <w:ind w:left="0" w:right="1134" w:firstLine="0"/>
      <w:jc w:val="both"/>
    </w:pPr>
  </w:style>
  <w:style w:type="paragraph" w:styleId="EndnoteText">
    <w:name w:val="endnote text"/>
    <w:basedOn w:val="FootnoteText"/>
  </w:style>
  <w:style w:type="paragraph" w:styleId="CommentText">
    <w:name w:val="annotation text"/>
    <w:basedOn w:val="Normal"/>
    <w:link w:val="CommentTextChar1"/>
    <w:uiPriority w:val="99"/>
  </w:style>
  <w:style w:type="paragraph" w:customStyle="1" w:styleId="Bullet2G">
    <w:name w:val="_Bullet 2_G"/>
    <w:basedOn w:val="Normal"/>
    <w:pPr>
      <w:numPr>
        <w:numId w:val="14"/>
      </w:numPr>
      <w:spacing w:after="120"/>
      <w:ind w:left="0" w:right="1134" w:firstLine="0"/>
      <w:jc w:val="both"/>
    </w:pPr>
  </w:style>
  <w:style w:type="paragraph" w:customStyle="1" w:styleId="H1G">
    <w:name w:val="_ H_1_G"/>
    <w:basedOn w:val="Normal"/>
    <w:next w:val="Normal"/>
    <w:pPr>
      <w:keepNext/>
      <w:keepLines/>
      <w:spacing w:before="360" w:after="240" w:line="270" w:lineRule="exact"/>
      <w:ind w:left="1134" w:right="1134" w:hanging="1134"/>
    </w:pPr>
    <w:rPr>
      <w:b/>
      <w:sz w:val="24"/>
    </w:rPr>
  </w:style>
  <w:style w:type="paragraph" w:customStyle="1" w:styleId="H23G">
    <w:name w:val="_ H_2/3_G"/>
    <w:basedOn w:val="Normal"/>
    <w:next w:val="Normal"/>
    <w:pPr>
      <w:keepNext/>
      <w:keepLines/>
      <w:spacing w:before="240" w:after="120" w:line="240" w:lineRule="exact"/>
      <w:ind w:left="1134" w:right="1134" w:hanging="1134"/>
    </w:pPr>
    <w:rPr>
      <w:b/>
    </w:rPr>
  </w:style>
  <w:style w:type="paragraph" w:customStyle="1" w:styleId="H4G">
    <w:name w:val="_ H_4_G"/>
    <w:basedOn w:val="Normal"/>
    <w:next w:val="Normal"/>
    <w:pPr>
      <w:keepNext/>
      <w:keepLines/>
      <w:spacing w:before="240" w:after="120" w:line="240" w:lineRule="exact"/>
      <w:ind w:left="1134" w:right="1134" w:hanging="1134"/>
    </w:pPr>
    <w:rPr>
      <w:i/>
    </w:rPr>
  </w:style>
  <w:style w:type="paragraph" w:customStyle="1" w:styleId="H56G">
    <w:name w:val="_ H_5/6_G"/>
    <w:basedOn w:val="Normal"/>
    <w:next w:val="Normal"/>
    <w:pPr>
      <w:keepNext/>
      <w:keepLines/>
      <w:spacing w:before="240" w:after="120" w:line="240" w:lineRule="exact"/>
      <w:ind w:left="1134" w:right="1134" w:hanging="1134"/>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ListBullet2">
    <w:name w:val="List Bullet 2"/>
    <w:basedOn w:val="Normal"/>
    <w:pPr>
      <w:numPr>
        <w:numId w:val="9"/>
      </w:numPr>
    </w:pPr>
  </w:style>
  <w:style w:type="paragraph" w:styleId="ListBullet3">
    <w:name w:val="List Bullet 3"/>
    <w:basedOn w:val="Normal"/>
    <w:pPr>
      <w:numPr>
        <w:numId w:val="8"/>
      </w:numPr>
    </w:pPr>
  </w:style>
  <w:style w:type="paragraph" w:styleId="ListBullet4">
    <w:name w:val="List Bullet 4"/>
    <w:basedOn w:val="Normal"/>
    <w:pPr>
      <w:numPr>
        <w:numId w:val="7"/>
      </w:numPr>
    </w:pPr>
  </w:style>
  <w:style w:type="paragraph" w:styleId="ListBullet5">
    <w:name w:val="List Bullet 5"/>
    <w:basedOn w:val="Normal"/>
    <w:pPr>
      <w:numPr>
        <w:numId w:val="6"/>
      </w:numPr>
    </w:pPr>
  </w:style>
  <w:style w:type="paragraph" w:styleId="ListBullet">
    <w:name w:val="List Bullet"/>
    <w:basedOn w:val="Normal"/>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567"/>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styleId="EnvelopeAddress">
    <w:name w:val="envelope address"/>
    <w:basedOn w:val="Normal"/>
    <w:pPr>
      <w:ind w:left="2880"/>
    </w:pPr>
    <w:rPr>
      <w:rFonts w:ascii="Arial" w:hAnsi="Arial" w:cs="Arial"/>
      <w:sz w:val="24"/>
      <w:szCs w:val="24"/>
    </w:rPr>
  </w:style>
  <w:style w:type="paragraph" w:styleId="Footer">
    <w:name w:val="footer"/>
    <w:basedOn w:val="Normal"/>
    <w:pPr>
      <w:spacing w:line="240" w:lineRule="auto"/>
    </w:pPr>
    <w:rPr>
      <w:sz w:val="16"/>
    </w:rPr>
  </w:style>
  <w:style w:type="paragraph" w:styleId="Header">
    <w:name w:val="header"/>
    <w:basedOn w:val="Normal"/>
    <w:pPr>
      <w:pBdr>
        <w:top w:val="none" w:sz="0" w:space="0" w:color="000000"/>
        <w:left w:val="none" w:sz="0" w:space="0" w:color="000000"/>
        <w:bottom w:val="single" w:sz="4" w:space="4" w:color="000000"/>
        <w:right w:val="none" w:sz="0" w:space="0" w:color="000000"/>
      </w:pBdr>
      <w:spacing w:line="240" w:lineRule="auto"/>
    </w:pPr>
    <w:rPr>
      <w:b/>
      <w:sz w:val="18"/>
    </w:rPr>
  </w:style>
  <w:style w:type="paragraph" w:styleId="BalloonText">
    <w:name w:val="Balloon Text"/>
    <w:basedOn w:val="Normal"/>
    <w:pPr>
      <w:spacing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Normal"/>
    <w:pPr>
      <w:suppressLineNumbers/>
      <w:tabs>
        <w:tab w:val="center" w:pos="4819"/>
        <w:tab w:val="right" w:pos="9638"/>
      </w:tabs>
    </w:pPr>
  </w:style>
  <w:style w:type="paragraph" w:customStyle="1" w:styleId="Default">
    <w:name w:val="Default"/>
    <w:rsid w:val="00587E5C"/>
    <w:pPr>
      <w:autoSpaceDE w:val="0"/>
      <w:autoSpaceDN w:val="0"/>
      <w:adjustRightInd w:val="0"/>
    </w:pPr>
    <w:rPr>
      <w:color w:val="000000"/>
      <w:sz w:val="24"/>
      <w:szCs w:val="24"/>
      <w:lang w:val="en-US" w:eastAsia="en-US"/>
    </w:rPr>
  </w:style>
  <w:style w:type="character" w:customStyle="1" w:styleId="CommentTextChar1">
    <w:name w:val="Comment Text Char1"/>
    <w:link w:val="CommentText"/>
    <w:uiPriority w:val="99"/>
    <w:rsid w:val="008C4056"/>
    <w:rPr>
      <w:lang w:eastAsia="zh-CN"/>
    </w:rPr>
  </w:style>
  <w:style w:type="character" w:styleId="UnresolvedMention">
    <w:name w:val="Unresolved Mention"/>
    <w:uiPriority w:val="99"/>
    <w:semiHidden/>
    <w:unhideWhenUsed/>
    <w:rsid w:val="000B43C6"/>
    <w:rPr>
      <w:color w:val="605E5C"/>
      <w:shd w:val="clear" w:color="auto" w:fill="E1DFDD"/>
    </w:rPr>
  </w:style>
  <w:style w:type="paragraph" w:customStyle="1" w:styleId="NumberedParas">
    <w:name w:val="Numbered Paras"/>
    <w:basedOn w:val="Normal"/>
    <w:link w:val="NumberedParasChar"/>
    <w:qFormat/>
    <w:rsid w:val="006D376E"/>
    <w:pPr>
      <w:numPr>
        <w:numId w:val="35"/>
      </w:numPr>
      <w:tabs>
        <w:tab w:val="left" w:pos="1701"/>
      </w:tabs>
      <w:adjustRightInd w:val="0"/>
      <w:snapToGrid w:val="0"/>
      <w:spacing w:after="120"/>
      <w:ind w:right="828"/>
      <w:jc w:val="lowKashida"/>
    </w:pPr>
    <w:rPr>
      <w:rFonts w:eastAsia="Calibri" w:cs="Arial"/>
      <w:color w:val="000000"/>
      <w:szCs w:val="22"/>
      <w:lang w:eastAsia="en-US"/>
    </w:rPr>
  </w:style>
  <w:style w:type="character" w:customStyle="1" w:styleId="NumberedParasChar">
    <w:name w:val="Numbered Paras Char"/>
    <w:link w:val="NumberedParas"/>
    <w:rsid w:val="006D376E"/>
    <w:rPr>
      <w:rFonts w:eastAsia="Calibri" w:cs="Arial"/>
      <w:color w:val="000000"/>
      <w:szCs w:val="22"/>
      <w:lang w:eastAsia="en-US"/>
    </w:rPr>
  </w:style>
  <w:style w:type="paragraph" w:customStyle="1" w:styleId="Footnotes">
    <w:name w:val="Footnotes"/>
    <w:link w:val="FootnotesChar"/>
    <w:qFormat/>
    <w:rsid w:val="00D666EE"/>
    <w:pPr>
      <w:ind w:left="1134"/>
    </w:pPr>
    <w:rPr>
      <w:rFonts w:eastAsia="Calibri" w:cs="Arial"/>
      <w:sz w:val="18"/>
      <w:lang w:eastAsia="en-US"/>
    </w:rPr>
  </w:style>
  <w:style w:type="character" w:customStyle="1" w:styleId="FootnotesChar">
    <w:name w:val="Footnotes Char"/>
    <w:link w:val="Footnotes"/>
    <w:rsid w:val="00D666EE"/>
    <w:rPr>
      <w:rFonts w:eastAsia="Calibri" w:cs="Arial"/>
      <w:sz w:val="18"/>
      <w:lang w:eastAsia="en-US"/>
    </w:rPr>
  </w:style>
  <w:style w:type="paragraph" w:styleId="Quote">
    <w:name w:val="Quote"/>
    <w:link w:val="QuoteChar"/>
    <w:uiPriority w:val="8"/>
    <w:qFormat/>
    <w:rsid w:val="00D666EE"/>
    <w:pPr>
      <w:spacing w:before="200" w:after="160"/>
      <w:ind w:left="1395" w:right="828"/>
      <w:jc w:val="both"/>
    </w:pPr>
    <w:rPr>
      <w:rFonts w:eastAsia="Calibri" w:cs="Arial"/>
      <w:iCs/>
      <w:szCs w:val="22"/>
      <w:lang w:eastAsia="en-US"/>
    </w:rPr>
  </w:style>
  <w:style w:type="character" w:customStyle="1" w:styleId="QuoteChar">
    <w:name w:val="Quote Char"/>
    <w:link w:val="Quote"/>
    <w:uiPriority w:val="8"/>
    <w:rsid w:val="00D666EE"/>
    <w:rPr>
      <w:rFonts w:eastAsia="Calibri" w:cs="Arial"/>
      <w:i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502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8656">
          <w:marLeft w:val="0"/>
          <w:marRight w:val="0"/>
          <w:marTop w:val="0"/>
          <w:marBottom w:val="0"/>
          <w:divBdr>
            <w:top w:val="none" w:sz="0" w:space="0" w:color="auto"/>
            <w:left w:val="none" w:sz="0" w:space="0" w:color="auto"/>
            <w:bottom w:val="none" w:sz="0" w:space="0" w:color="auto"/>
            <w:right w:val="none" w:sz="0" w:space="0" w:color="auto"/>
          </w:divBdr>
        </w:div>
        <w:div w:id="1143422091">
          <w:marLeft w:val="0"/>
          <w:marRight w:val="0"/>
          <w:marTop w:val="0"/>
          <w:marBottom w:val="0"/>
          <w:divBdr>
            <w:top w:val="none" w:sz="0" w:space="0" w:color="auto"/>
            <w:left w:val="none" w:sz="0" w:space="0" w:color="auto"/>
            <w:bottom w:val="none" w:sz="0" w:space="0" w:color="auto"/>
            <w:right w:val="none" w:sz="0" w:space="0" w:color="auto"/>
          </w:divBdr>
        </w:div>
        <w:div w:id="1189681856">
          <w:marLeft w:val="0"/>
          <w:marRight w:val="0"/>
          <w:marTop w:val="0"/>
          <w:marBottom w:val="0"/>
          <w:divBdr>
            <w:top w:val="none" w:sz="0" w:space="0" w:color="auto"/>
            <w:left w:val="none" w:sz="0" w:space="0" w:color="auto"/>
            <w:bottom w:val="none" w:sz="0" w:space="0" w:color="auto"/>
            <w:right w:val="none" w:sz="0" w:space="0" w:color="auto"/>
          </w:divBdr>
        </w:div>
        <w:div w:id="1508406342">
          <w:marLeft w:val="0"/>
          <w:marRight w:val="0"/>
          <w:marTop w:val="0"/>
          <w:marBottom w:val="0"/>
          <w:divBdr>
            <w:top w:val="none" w:sz="0" w:space="0" w:color="auto"/>
            <w:left w:val="none" w:sz="0" w:space="0" w:color="auto"/>
            <w:bottom w:val="none" w:sz="0" w:space="0" w:color="auto"/>
            <w:right w:val="none" w:sz="0" w:space="0" w:color="auto"/>
          </w:divBdr>
        </w:div>
        <w:div w:id="2088530218">
          <w:marLeft w:val="0"/>
          <w:marRight w:val="0"/>
          <w:marTop w:val="0"/>
          <w:marBottom w:val="0"/>
          <w:divBdr>
            <w:top w:val="none" w:sz="0" w:space="0" w:color="auto"/>
            <w:left w:val="none" w:sz="0" w:space="0" w:color="auto"/>
            <w:bottom w:val="none" w:sz="0" w:space="0" w:color="auto"/>
            <w:right w:val="none" w:sz="0" w:space="0" w:color="auto"/>
          </w:divBdr>
        </w:div>
      </w:divsChild>
    </w:div>
    <w:div w:id="461197426">
      <w:bodyDiv w:val="1"/>
      <w:marLeft w:val="0"/>
      <w:marRight w:val="0"/>
      <w:marTop w:val="0"/>
      <w:marBottom w:val="0"/>
      <w:divBdr>
        <w:top w:val="none" w:sz="0" w:space="0" w:color="auto"/>
        <w:left w:val="none" w:sz="0" w:space="0" w:color="auto"/>
        <w:bottom w:val="none" w:sz="0" w:space="0" w:color="auto"/>
        <w:right w:val="none" w:sz="0" w:space="0" w:color="auto"/>
      </w:divBdr>
      <w:divsChild>
        <w:div w:id="226961109">
          <w:marLeft w:val="0"/>
          <w:marRight w:val="0"/>
          <w:marTop w:val="0"/>
          <w:marBottom w:val="0"/>
          <w:divBdr>
            <w:top w:val="none" w:sz="0" w:space="0" w:color="auto"/>
            <w:left w:val="none" w:sz="0" w:space="0" w:color="auto"/>
            <w:bottom w:val="none" w:sz="0" w:space="0" w:color="auto"/>
            <w:right w:val="none" w:sz="0" w:space="0" w:color="auto"/>
          </w:divBdr>
        </w:div>
        <w:div w:id="801581303">
          <w:marLeft w:val="0"/>
          <w:marRight w:val="0"/>
          <w:marTop w:val="0"/>
          <w:marBottom w:val="0"/>
          <w:divBdr>
            <w:top w:val="none" w:sz="0" w:space="0" w:color="auto"/>
            <w:left w:val="none" w:sz="0" w:space="0" w:color="auto"/>
            <w:bottom w:val="none" w:sz="0" w:space="0" w:color="auto"/>
            <w:right w:val="none" w:sz="0" w:space="0" w:color="auto"/>
          </w:divBdr>
        </w:div>
        <w:div w:id="945693061">
          <w:marLeft w:val="0"/>
          <w:marRight w:val="0"/>
          <w:marTop w:val="0"/>
          <w:marBottom w:val="0"/>
          <w:divBdr>
            <w:top w:val="none" w:sz="0" w:space="0" w:color="auto"/>
            <w:left w:val="none" w:sz="0" w:space="0" w:color="auto"/>
            <w:bottom w:val="none" w:sz="0" w:space="0" w:color="auto"/>
            <w:right w:val="none" w:sz="0" w:space="0" w:color="auto"/>
          </w:divBdr>
        </w:div>
        <w:div w:id="1606575229">
          <w:marLeft w:val="0"/>
          <w:marRight w:val="0"/>
          <w:marTop w:val="0"/>
          <w:marBottom w:val="0"/>
          <w:divBdr>
            <w:top w:val="none" w:sz="0" w:space="0" w:color="auto"/>
            <w:left w:val="none" w:sz="0" w:space="0" w:color="auto"/>
            <w:bottom w:val="none" w:sz="0" w:space="0" w:color="auto"/>
            <w:right w:val="none" w:sz="0" w:space="0" w:color="auto"/>
          </w:divBdr>
        </w:div>
        <w:div w:id="1814979649">
          <w:marLeft w:val="0"/>
          <w:marRight w:val="0"/>
          <w:marTop w:val="0"/>
          <w:marBottom w:val="0"/>
          <w:divBdr>
            <w:top w:val="none" w:sz="0" w:space="0" w:color="auto"/>
            <w:left w:val="none" w:sz="0" w:space="0" w:color="auto"/>
            <w:bottom w:val="none" w:sz="0" w:space="0" w:color="auto"/>
            <w:right w:val="none" w:sz="0" w:space="0" w:color="auto"/>
          </w:divBdr>
        </w:div>
      </w:divsChild>
    </w:div>
    <w:div w:id="1694264688">
      <w:bodyDiv w:val="1"/>
      <w:marLeft w:val="0"/>
      <w:marRight w:val="0"/>
      <w:marTop w:val="0"/>
      <w:marBottom w:val="0"/>
      <w:divBdr>
        <w:top w:val="none" w:sz="0" w:space="0" w:color="auto"/>
        <w:left w:val="none" w:sz="0" w:space="0" w:color="auto"/>
        <w:bottom w:val="none" w:sz="0" w:space="0" w:color="auto"/>
        <w:right w:val="none" w:sz="0" w:space="0" w:color="auto"/>
      </w:divBdr>
      <w:divsChild>
        <w:div w:id="288899099">
          <w:marLeft w:val="0"/>
          <w:marRight w:val="0"/>
          <w:marTop w:val="0"/>
          <w:marBottom w:val="0"/>
          <w:divBdr>
            <w:top w:val="none" w:sz="0" w:space="0" w:color="auto"/>
            <w:left w:val="none" w:sz="0" w:space="0" w:color="auto"/>
            <w:bottom w:val="none" w:sz="0" w:space="0" w:color="auto"/>
            <w:right w:val="none" w:sz="0" w:space="0" w:color="auto"/>
          </w:divBdr>
        </w:div>
        <w:div w:id="1487936280">
          <w:marLeft w:val="0"/>
          <w:marRight w:val="0"/>
          <w:marTop w:val="0"/>
          <w:marBottom w:val="0"/>
          <w:divBdr>
            <w:top w:val="none" w:sz="0" w:space="0" w:color="auto"/>
            <w:left w:val="none" w:sz="0" w:space="0" w:color="auto"/>
            <w:bottom w:val="none" w:sz="0" w:space="0" w:color="auto"/>
            <w:right w:val="none" w:sz="0" w:space="0" w:color="auto"/>
          </w:divBdr>
        </w:div>
        <w:div w:id="1722703875">
          <w:marLeft w:val="0"/>
          <w:marRight w:val="0"/>
          <w:marTop w:val="0"/>
          <w:marBottom w:val="0"/>
          <w:divBdr>
            <w:top w:val="none" w:sz="0" w:space="0" w:color="auto"/>
            <w:left w:val="none" w:sz="0" w:space="0" w:color="auto"/>
            <w:bottom w:val="none" w:sz="0" w:space="0" w:color="auto"/>
            <w:right w:val="none" w:sz="0" w:space="0" w:color="auto"/>
          </w:divBdr>
        </w:div>
        <w:div w:id="1729261925">
          <w:marLeft w:val="0"/>
          <w:marRight w:val="0"/>
          <w:marTop w:val="0"/>
          <w:marBottom w:val="0"/>
          <w:divBdr>
            <w:top w:val="none" w:sz="0" w:space="0" w:color="auto"/>
            <w:left w:val="none" w:sz="0" w:space="0" w:color="auto"/>
            <w:bottom w:val="none" w:sz="0" w:space="0" w:color="auto"/>
            <w:right w:val="none" w:sz="0" w:space="0" w:color="auto"/>
          </w:divBdr>
        </w:div>
        <w:div w:id="204828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ED70-9CA4-4AFC-8197-91D6179E6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5C70E-2C59-40A7-9190-0D0DC762A060}">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5330AFE4-55F3-4D72-8A4B-191B76529220}">
  <ds:schemaRefs>
    <ds:schemaRef ds:uri="http://schemas.microsoft.com/office/2006/metadata/longProperties"/>
  </ds:schemaRefs>
</ds:datastoreItem>
</file>

<file path=customXml/itemProps4.xml><?xml version="1.0" encoding="utf-8"?>
<ds:datastoreItem xmlns:ds="http://schemas.openxmlformats.org/officeDocument/2006/customXml" ds:itemID="{096E89D4-EDFB-412F-A982-9DADDE9C7C4D}">
  <ds:schemaRefs>
    <ds:schemaRef ds:uri="http://schemas.microsoft.com/sharepoint/v3/contenttype/forms"/>
  </ds:schemaRefs>
</ds:datastoreItem>
</file>

<file path=customXml/itemProps5.xml><?xml version="1.0" encoding="utf-8"?>
<ds:datastoreItem xmlns:ds="http://schemas.openxmlformats.org/officeDocument/2006/customXml" ds:itemID="{BD9BBFCF-60ED-4150-9A50-6FFA04E8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4907</Words>
  <Characters>27975</Characters>
  <Application>Microsoft Office Word</Application>
  <DocSecurity>0</DocSecurity>
  <Lines>233</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UNECE</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halm</dc:creator>
  <cp:keywords/>
  <dc:description/>
  <cp:lastModifiedBy>Fiona Marshall</cp:lastModifiedBy>
  <cp:revision>3</cp:revision>
  <cp:lastPrinted>2017-07-10T11:53:00Z</cp:lastPrinted>
  <dcterms:created xsi:type="dcterms:W3CDTF">2021-07-01T20:04:00Z</dcterms:created>
  <dcterms:modified xsi:type="dcterms:W3CDTF">2021-07-01T20:07:00Z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10864400.0000000</vt:lpwstr>
  </property>
  <property fmtid="{D5CDD505-2E9C-101B-9397-08002B2CF9AE}" pid="4" name="display_urn:schemas-microsoft-com:office:office#Author">
    <vt:lpwstr>BUILTIN\administrators</vt:lpwstr>
  </property>
  <property fmtid="{D5CDD505-2E9C-101B-9397-08002B2CF9AE}" pid="5" name="ContentTypeId">
    <vt:lpwstr>0x010100B5BAD6B90F990844849380189D456564</vt:lpwstr>
  </property>
</Properties>
</file>