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FA0F0E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1B56C85F" w:rsidR="00717408" w:rsidRPr="00FA0F0E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FA0F0E">
              <w:rPr>
                <w:b/>
                <w:sz w:val="40"/>
                <w:szCs w:val="40"/>
              </w:rPr>
              <w:t>UN/SCEGHS/</w:t>
            </w:r>
            <w:r w:rsidR="00260117" w:rsidRPr="00FA0F0E">
              <w:rPr>
                <w:b/>
                <w:sz w:val="40"/>
                <w:szCs w:val="40"/>
              </w:rPr>
              <w:t>40</w:t>
            </w:r>
            <w:r w:rsidRPr="00FA0F0E">
              <w:rPr>
                <w:b/>
                <w:sz w:val="40"/>
                <w:szCs w:val="40"/>
              </w:rPr>
              <w:t>/INF.</w:t>
            </w:r>
            <w:r w:rsidR="003D4B25">
              <w:rPr>
                <w:b/>
                <w:sz w:val="40"/>
                <w:szCs w:val="40"/>
              </w:rPr>
              <w:t>22</w:t>
            </w:r>
          </w:p>
        </w:tc>
      </w:tr>
      <w:tr w:rsidR="00717408" w14:paraId="50374DD2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951EBC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5E4B042A" w:rsidR="00717408" w:rsidRPr="00951EBC" w:rsidRDefault="00FA63B2" w:rsidP="00820224">
            <w:pPr>
              <w:tabs>
                <w:tab w:val="left" w:pos="7938"/>
              </w:tabs>
              <w:spacing w:before="120"/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Pr="00951EBC">
              <w:t xml:space="preserve"> </w:t>
            </w:r>
            <w:r w:rsidR="00717408" w:rsidRPr="00951EBC">
              <w:tab/>
            </w:r>
            <w:r w:rsidR="004E04A9">
              <w:rPr>
                <w:b/>
                <w:bCs/>
              </w:rPr>
              <w:t>2 July</w:t>
            </w:r>
            <w:r w:rsidR="00717408" w:rsidRPr="00764A83">
              <w:rPr>
                <w:b/>
                <w:bCs/>
              </w:rPr>
              <w:t xml:space="preserve"> </w:t>
            </w:r>
            <w:r w:rsidR="009B11B2" w:rsidRPr="00764A83">
              <w:rPr>
                <w:b/>
                <w:bCs/>
              </w:rPr>
              <w:t>2021</w:t>
            </w:r>
          </w:p>
          <w:p w14:paraId="4F6387B0" w14:textId="7266E336" w:rsidR="000B6ACF" w:rsidRDefault="003C425A" w:rsidP="000B6ACF">
            <w:pPr>
              <w:spacing w:before="120"/>
              <w:rPr>
                <w:b/>
              </w:rPr>
            </w:pPr>
            <w:bookmarkStart w:id="0" w:name="_Hlk35441056"/>
            <w:r>
              <w:rPr>
                <w:b/>
              </w:rPr>
              <w:t>Fortieth</w:t>
            </w:r>
            <w:r w:rsidR="000B6ACF">
              <w:rPr>
                <w:b/>
              </w:rPr>
              <w:t xml:space="preserve"> session</w:t>
            </w:r>
          </w:p>
          <w:bookmarkEnd w:id="0"/>
          <w:p w14:paraId="629A7D1E" w14:textId="77777777" w:rsidR="003C425A" w:rsidRPr="009103F3" w:rsidRDefault="003C425A" w:rsidP="003C425A">
            <w:pPr>
              <w:spacing w:before="40"/>
            </w:pPr>
            <w:r w:rsidRPr="009103F3">
              <w:t>Geneva, 5-7 July 2021</w:t>
            </w:r>
          </w:p>
          <w:p w14:paraId="5BBEE255" w14:textId="7131C26C" w:rsidR="003C425A" w:rsidRPr="0030509D" w:rsidRDefault="003C425A" w:rsidP="003C425A">
            <w:pPr>
              <w:spacing w:before="40"/>
            </w:pPr>
            <w:r w:rsidRPr="0030509D">
              <w:t xml:space="preserve">Item </w:t>
            </w:r>
            <w:r w:rsidR="005F22CC">
              <w:t>2</w:t>
            </w:r>
            <w:r w:rsidR="00D718E5">
              <w:t xml:space="preserve"> (</w:t>
            </w:r>
            <w:r w:rsidR="005F22CC">
              <w:t>c</w:t>
            </w:r>
            <w:r w:rsidR="00D718E5">
              <w:t>)</w:t>
            </w:r>
            <w:r w:rsidRPr="0030509D">
              <w:t xml:space="preserve"> of the provisional agenda</w:t>
            </w:r>
          </w:p>
          <w:p w14:paraId="7F67E7DF" w14:textId="4CD5A7A6" w:rsidR="00717408" w:rsidRPr="00AC7597" w:rsidRDefault="00E11ECF" w:rsidP="003C425A">
            <w:pPr>
              <w:spacing w:line="240" w:lineRule="exact"/>
              <w:rPr>
                <w:b/>
                <w:bCs/>
              </w:rPr>
            </w:pPr>
            <w:r w:rsidRPr="005E5074">
              <w:rPr>
                <w:b/>
              </w:rPr>
              <w:t xml:space="preserve">Classification criteria and related hazard communication: </w:t>
            </w:r>
            <w:r w:rsidRPr="005E5074">
              <w:rPr>
                <w:b/>
              </w:rPr>
              <w:br/>
              <w:t>use of non-animal testing methods for classification of health hazards</w:t>
            </w:r>
          </w:p>
        </w:tc>
      </w:tr>
    </w:tbl>
    <w:p w14:paraId="28164E0B" w14:textId="2A7377A4" w:rsidR="00932AAB" w:rsidRPr="004768CC" w:rsidRDefault="00932AAB" w:rsidP="007E440B">
      <w:pPr>
        <w:pStyle w:val="HChG"/>
        <w:ind w:right="237"/>
        <w:rPr>
          <w:szCs w:val="28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AA4176">
        <w:rPr>
          <w:rFonts w:eastAsia="MS Mincho"/>
          <w:lang w:val="en-US" w:eastAsia="ja-JP"/>
        </w:rPr>
        <w:t>A</w:t>
      </w:r>
      <w:r w:rsidR="00A65C57">
        <w:rPr>
          <w:rFonts w:eastAsia="MS Mincho"/>
          <w:lang w:val="en-US" w:eastAsia="ja-JP"/>
        </w:rPr>
        <w:t>mendment</w:t>
      </w:r>
      <w:r w:rsidR="003279EE">
        <w:rPr>
          <w:rFonts w:eastAsia="MS Mincho"/>
          <w:lang w:val="en-US" w:eastAsia="ja-JP"/>
        </w:rPr>
        <w:t>s</w:t>
      </w:r>
      <w:r w:rsidR="00A65C57">
        <w:rPr>
          <w:rFonts w:eastAsia="MS Mincho"/>
          <w:lang w:val="en-US" w:eastAsia="ja-JP"/>
        </w:rPr>
        <w:t xml:space="preserve"> to</w:t>
      </w:r>
      <w:r w:rsidR="00A65C57" w:rsidRPr="009103F3">
        <w:t xml:space="preserve"> </w:t>
      </w:r>
      <w:r w:rsidR="007E440B">
        <w:t>section 3.2.2</w:t>
      </w:r>
      <w:r w:rsidR="007D15C1">
        <w:t>.3</w:t>
      </w:r>
      <w:r w:rsidR="007E440B" w:rsidRPr="009103F3">
        <w:t xml:space="preserve"> </w:t>
      </w:r>
      <w:r w:rsidR="007E440B">
        <w:t xml:space="preserve">in </w:t>
      </w:r>
      <w:r w:rsidR="00AA4176">
        <w:t>ST/SG/AC.10/</w:t>
      </w:r>
      <w:r w:rsidR="007E440B">
        <w:t>2021/</w:t>
      </w:r>
      <w:r w:rsidR="00AA4176">
        <w:t xml:space="preserve">5 </w:t>
      </w:r>
    </w:p>
    <w:p w14:paraId="7ABCC86B" w14:textId="77777777" w:rsidR="00932AAB" w:rsidRDefault="00932AAB" w:rsidP="00132EFC">
      <w:pPr>
        <w:pStyle w:val="H1G"/>
        <w:ind w:right="237"/>
      </w:pPr>
      <w:r>
        <w:tab/>
      </w:r>
      <w:r>
        <w:tab/>
      </w:r>
      <w:r w:rsidRPr="00AE4DC1">
        <w:t xml:space="preserve">Transmitted by </w:t>
      </w:r>
      <w:r w:rsidRPr="00AE4DC1">
        <w:rPr>
          <w:lang w:eastAsia="ja-JP"/>
        </w:rPr>
        <w:t>the expert</w:t>
      </w:r>
      <w:r>
        <w:rPr>
          <w:lang w:eastAsia="ja-JP"/>
        </w:rPr>
        <w:t>s</w:t>
      </w:r>
      <w:r w:rsidRPr="00AE4DC1">
        <w:rPr>
          <w:lang w:eastAsia="ja-JP"/>
        </w:rPr>
        <w:t xml:space="preserve"> </w:t>
      </w:r>
      <w:r w:rsidRPr="00AE4DC1">
        <w:t xml:space="preserve">from the United </w:t>
      </w:r>
      <w:r w:rsidRPr="0064644C">
        <w:t>Kingdom</w:t>
      </w:r>
      <w:r>
        <w:t xml:space="preserve"> and the Netherlands</w:t>
      </w:r>
      <w:r w:rsidRPr="00AE4DC1">
        <w:t xml:space="preserve"> </w:t>
      </w:r>
      <w:r w:rsidRPr="00AE4DC1">
        <w:rPr>
          <w:lang w:eastAsia="de-DE"/>
        </w:rPr>
        <w:t xml:space="preserve">on behalf of the informal </w:t>
      </w:r>
      <w:r>
        <w:rPr>
          <w:lang w:eastAsia="de-DE"/>
        </w:rPr>
        <w:t>working</w:t>
      </w:r>
      <w:r w:rsidRPr="00AE4DC1">
        <w:rPr>
          <w:lang w:eastAsia="de-DE"/>
        </w:rPr>
        <w:t xml:space="preserve"> </w:t>
      </w:r>
      <w:r w:rsidRPr="0097163C">
        <w:t>group</w:t>
      </w:r>
    </w:p>
    <w:p w14:paraId="3761BB90" w14:textId="77777777" w:rsidR="00932AAB" w:rsidRDefault="00932AAB" w:rsidP="00932AAB">
      <w:pPr>
        <w:pStyle w:val="HChG"/>
      </w:pPr>
      <w:r>
        <w:tab/>
      </w:r>
      <w:r>
        <w:tab/>
        <w:t>Introduction</w:t>
      </w:r>
    </w:p>
    <w:p w14:paraId="3B65658B" w14:textId="2F5B9DAC" w:rsidR="00932AAB" w:rsidRDefault="00CB345A" w:rsidP="00B13745">
      <w:pPr>
        <w:pStyle w:val="SingleTxtG"/>
        <w:ind w:right="237"/>
      </w:pPr>
      <w:r>
        <w:t>1.</w:t>
      </w:r>
      <w:r>
        <w:tab/>
      </w:r>
      <w:r w:rsidR="007D15C1">
        <w:t>T</w:t>
      </w:r>
      <w:r w:rsidR="00772B95">
        <w:t xml:space="preserve">his </w:t>
      </w:r>
      <w:proofErr w:type="spellStart"/>
      <w:r w:rsidR="00772B95" w:rsidRPr="00772B95">
        <w:rPr>
          <w:lang w:val="fr-CH"/>
        </w:rPr>
        <w:t>informal</w:t>
      </w:r>
      <w:proofErr w:type="spellEnd"/>
      <w:r w:rsidR="00772B95" w:rsidRPr="00772B95">
        <w:rPr>
          <w:lang w:val="fr-CH"/>
        </w:rPr>
        <w:t xml:space="preserve"> document</w:t>
      </w:r>
      <w:r w:rsidR="00772B95">
        <w:t xml:space="preserve"> </w:t>
      </w:r>
      <w:r w:rsidR="007A06F5">
        <w:t xml:space="preserve">proposes </w:t>
      </w:r>
      <w:r w:rsidR="005D6E2B">
        <w:t xml:space="preserve">a revised </w:t>
      </w:r>
      <w:r w:rsidR="004A002C">
        <w:t xml:space="preserve">section </w:t>
      </w:r>
      <w:r w:rsidR="00597DB0">
        <w:t>3.2</w:t>
      </w:r>
      <w:r w:rsidR="004A002C">
        <w:t>.2.3</w:t>
      </w:r>
      <w:r w:rsidR="00772B95">
        <w:t xml:space="preserve"> </w:t>
      </w:r>
      <w:r w:rsidR="00CC69C0">
        <w:t>following the outcome of the discussions of the informal working group</w:t>
      </w:r>
      <w:r w:rsidR="00B23245">
        <w:t xml:space="preserve"> on the proposed revision of Chapter 3.3</w:t>
      </w:r>
      <w:r w:rsidR="00B23245">
        <w:rPr>
          <w:rStyle w:val="FootnoteReference"/>
        </w:rPr>
        <w:footnoteReference w:id="2"/>
      </w:r>
      <w:r w:rsidR="00B23245">
        <w:t xml:space="preserve"> which is also being presented at the fortieth session</w:t>
      </w:r>
      <w:r w:rsidR="00CC69C0">
        <w:t>. The</w:t>
      </w:r>
      <w:r w:rsidR="006A0EFF">
        <w:t xml:space="preserve"> revised section 3.2.2.</w:t>
      </w:r>
      <w:r w:rsidR="00BB1BD6">
        <w:t>3 is reproduce</w:t>
      </w:r>
      <w:r w:rsidR="00795DAB">
        <w:t>d</w:t>
      </w:r>
      <w:r w:rsidR="00BB1BD6">
        <w:t xml:space="preserve"> in paragraph 6 </w:t>
      </w:r>
      <w:r w:rsidR="00795DAB">
        <w:t xml:space="preserve">of this document and takes account of the amendments </w:t>
      </w:r>
      <w:r w:rsidR="00D509E4">
        <w:t xml:space="preserve">proposed </w:t>
      </w:r>
      <w:r w:rsidR="00CC69C0">
        <w:t xml:space="preserve">in </w:t>
      </w:r>
      <w:r w:rsidR="00CC69C0" w:rsidRPr="00380718">
        <w:rPr>
          <w:rFonts w:eastAsia="MS Mincho"/>
          <w:lang w:val="en-US" w:eastAsia="ja-JP"/>
        </w:rPr>
        <w:t>ST/SG/AC.10/C.4/2021/</w:t>
      </w:r>
      <w:r w:rsidR="00CC69C0">
        <w:rPr>
          <w:rFonts w:eastAsia="MS Mincho"/>
          <w:lang w:val="en-US" w:eastAsia="ja-JP"/>
        </w:rPr>
        <w:t xml:space="preserve">5 </w:t>
      </w:r>
      <w:r w:rsidR="008032FE">
        <w:rPr>
          <w:rFonts w:eastAsia="MS Mincho"/>
          <w:lang w:val="en-US" w:eastAsia="ja-JP"/>
        </w:rPr>
        <w:t>and INF.4 for section 3.2.2.3</w:t>
      </w:r>
      <w:r w:rsidR="00932AAB">
        <w:t>.</w:t>
      </w:r>
      <w:r w:rsidR="006A714C">
        <w:t xml:space="preserve"> </w:t>
      </w:r>
    </w:p>
    <w:p w14:paraId="3BF5645B" w14:textId="3CADEDAC" w:rsidR="00932AAB" w:rsidRDefault="00932AAB" w:rsidP="0064644C">
      <w:pPr>
        <w:pStyle w:val="HChG"/>
        <w:rPr>
          <w:highlight w:val="lightGray"/>
        </w:rPr>
      </w:pPr>
      <w:r>
        <w:tab/>
      </w:r>
      <w:r w:rsidR="0064644C">
        <w:tab/>
      </w:r>
      <w:r>
        <w:t>Background</w:t>
      </w:r>
    </w:p>
    <w:p w14:paraId="0A77F211" w14:textId="523EDEB1" w:rsidR="009023A0" w:rsidRDefault="009023A0" w:rsidP="00C07ABD">
      <w:pPr>
        <w:pStyle w:val="SingleTxtG"/>
        <w:ind w:right="237"/>
      </w:pPr>
      <w:r>
        <w:t xml:space="preserve">2. </w:t>
      </w:r>
      <w:r>
        <w:tab/>
        <w:t xml:space="preserve">As planned, the informal working group held a </w:t>
      </w:r>
      <w:r w:rsidR="0099540D">
        <w:t>meeting</w:t>
      </w:r>
      <w:r>
        <w:t xml:space="preserve"> on </w:t>
      </w:r>
      <w:r w:rsidR="000F059F">
        <w:t>1 July 2021</w:t>
      </w:r>
      <w:r>
        <w:t xml:space="preserve"> after</w:t>
      </w:r>
      <w:r w:rsidR="009B7A43">
        <w:t xml:space="preserve"> the </w:t>
      </w:r>
      <w:r w:rsidR="009F4551">
        <w:t>formal proposals to revise Chapter 3.3</w:t>
      </w:r>
      <w:r w:rsidR="00737044">
        <w:rPr>
          <w:rStyle w:val="FootnoteReference"/>
        </w:rPr>
        <w:t>1</w:t>
      </w:r>
      <w:r w:rsidR="00737044">
        <w:t xml:space="preserve"> </w:t>
      </w:r>
      <w:r w:rsidR="00690B7F">
        <w:t>and the consequential amendments to Chapter 1.2 and 3.2</w:t>
      </w:r>
      <w:r w:rsidR="00F66133">
        <w:rPr>
          <w:rStyle w:val="FootnoteReference"/>
        </w:rPr>
        <w:footnoteReference w:id="3"/>
      </w:r>
      <w:r w:rsidR="00690B7F">
        <w:t xml:space="preserve"> </w:t>
      </w:r>
      <w:r>
        <w:t xml:space="preserve">had been submitted for discussion at </w:t>
      </w:r>
      <w:r w:rsidR="00EF6435">
        <w:t>th</w:t>
      </w:r>
      <w:r w:rsidR="009D36CA">
        <w:t>e fortieth</w:t>
      </w:r>
      <w:r>
        <w:t xml:space="preserve"> session. </w:t>
      </w:r>
      <w:r w:rsidR="00C07ABD">
        <w:t xml:space="preserve"> </w:t>
      </w:r>
      <w:r w:rsidR="00047E8B">
        <w:t xml:space="preserve">A </w:t>
      </w:r>
      <w:r w:rsidR="00780DFC">
        <w:t>key</w:t>
      </w:r>
      <w:r w:rsidR="00047E8B">
        <w:t xml:space="preserve"> </w:t>
      </w:r>
      <w:r>
        <w:t xml:space="preserve">purpose </w:t>
      </w:r>
      <w:r w:rsidR="00047E8B">
        <w:t xml:space="preserve">of the meeting </w:t>
      </w:r>
      <w:r>
        <w:t xml:space="preserve">was to undertake a final review of the </w:t>
      </w:r>
      <w:r w:rsidR="00C04D51">
        <w:t xml:space="preserve">submitted </w:t>
      </w:r>
      <w:r w:rsidR="002958B1">
        <w:t>documents</w:t>
      </w:r>
      <w:r>
        <w:t>.</w:t>
      </w:r>
    </w:p>
    <w:p w14:paraId="5282ECAF" w14:textId="4A4B754F" w:rsidR="00FA7237" w:rsidRDefault="009023A0" w:rsidP="009A5883">
      <w:pPr>
        <w:pStyle w:val="SingleTxtG"/>
        <w:ind w:right="237"/>
      </w:pPr>
      <w:r>
        <w:t xml:space="preserve">3. </w:t>
      </w:r>
      <w:r>
        <w:tab/>
      </w:r>
      <w:r w:rsidR="00662F59">
        <w:t xml:space="preserve">However, </w:t>
      </w:r>
      <w:r w:rsidR="00E54691">
        <w:t>a</w:t>
      </w:r>
      <w:r>
        <w:t xml:space="preserve"> </w:t>
      </w:r>
      <w:r w:rsidR="007356FB">
        <w:t>few</w:t>
      </w:r>
      <w:r>
        <w:t xml:space="preserve"> minor editorial changes </w:t>
      </w:r>
      <w:r w:rsidR="003C7A93">
        <w:t xml:space="preserve">to </w:t>
      </w:r>
      <w:r w:rsidR="0096175A">
        <w:t xml:space="preserve">section </w:t>
      </w:r>
      <w:r w:rsidR="003C7A93">
        <w:t>3.2.2.3</w:t>
      </w:r>
      <w:r w:rsidR="0096175A">
        <w:t xml:space="preserve"> and paragraph 3.2.2.7.2 </w:t>
      </w:r>
      <w:r>
        <w:t>were agreed</w:t>
      </w:r>
      <w:r w:rsidR="00AF7049">
        <w:t>.</w:t>
      </w:r>
      <w:r w:rsidR="000934B1">
        <w:t xml:space="preserve"> </w:t>
      </w:r>
      <w:r w:rsidR="005A2461">
        <w:t xml:space="preserve"> </w:t>
      </w:r>
    </w:p>
    <w:p w14:paraId="2C6E3FD3" w14:textId="1FF7512C" w:rsidR="00AF7049" w:rsidRDefault="00DC1C96" w:rsidP="009D6B3E">
      <w:pPr>
        <w:pStyle w:val="SingleTxtG"/>
        <w:ind w:right="237"/>
      </w:pPr>
      <w:r>
        <w:t>4.</w:t>
      </w:r>
      <w:r>
        <w:tab/>
      </w:r>
      <w:r w:rsidR="00BB1F87">
        <w:t>New text is propose</w:t>
      </w:r>
      <w:r w:rsidR="000B4A9C">
        <w:t>d</w:t>
      </w:r>
      <w:r w:rsidR="00BB1F87">
        <w:t xml:space="preserve"> to be added to the beginning of paragraph 3.2.2.3.2, prior to the text that is proposed to be deleted from the current paragraph 3.2.2.3.2</w:t>
      </w:r>
      <w:r w:rsidR="007813C7" w:rsidRPr="007813C7">
        <w:t xml:space="preserve"> </w:t>
      </w:r>
      <w:r w:rsidR="007813C7">
        <w:t xml:space="preserve">in </w:t>
      </w:r>
      <w:r w:rsidR="007813C7" w:rsidRPr="00380718">
        <w:rPr>
          <w:rFonts w:eastAsia="MS Mincho"/>
          <w:lang w:val="en-US" w:eastAsia="ja-JP"/>
        </w:rPr>
        <w:t>ST/SG/AC.10/C.4/2021/</w:t>
      </w:r>
      <w:r w:rsidR="007813C7">
        <w:rPr>
          <w:rFonts w:eastAsia="MS Mincho"/>
          <w:lang w:val="en-US" w:eastAsia="ja-JP"/>
        </w:rPr>
        <w:t xml:space="preserve">5 and </w:t>
      </w:r>
      <w:r w:rsidR="007813C7">
        <w:t>INF.4</w:t>
      </w:r>
      <w:r w:rsidR="007F43A0">
        <w:t>. In addition</w:t>
      </w:r>
      <w:r w:rsidR="00B809D3">
        <w:t>,</w:t>
      </w:r>
      <w:r w:rsidR="001F482B">
        <w:t xml:space="preserve"> it is proposed to </w:t>
      </w:r>
      <w:r w:rsidR="00BB1F87">
        <w:t>mov</w:t>
      </w:r>
      <w:r w:rsidR="001F482B">
        <w:t>e</w:t>
      </w:r>
      <w:r w:rsidR="00BB1F87">
        <w:t xml:space="preserve"> the last sentence of the current 3.2.2.3.2 into a new paragraph 3.2.2.3.3</w:t>
      </w:r>
      <w:r w:rsidR="00750365">
        <w:t>,</w:t>
      </w:r>
      <w:r w:rsidR="001F482B">
        <w:t xml:space="preserve"> </w:t>
      </w:r>
      <w:r w:rsidR="00137F23">
        <w:t xml:space="preserve">which necessitates the renumbering </w:t>
      </w:r>
      <w:r w:rsidR="007C2016">
        <w:t xml:space="preserve">of the remaining paragraphs </w:t>
      </w:r>
      <w:r w:rsidR="00750365">
        <w:t>with</w:t>
      </w:r>
      <w:r w:rsidR="007C2016">
        <w:t xml:space="preserve">in 3.2.2.3. </w:t>
      </w:r>
      <w:r w:rsidR="00FA7237">
        <w:t xml:space="preserve">These amendments are </w:t>
      </w:r>
      <w:r w:rsidR="00871A96">
        <w:t xml:space="preserve">proposed in full in paragraph </w:t>
      </w:r>
      <w:r w:rsidR="00EC134A">
        <w:t>6</w:t>
      </w:r>
      <w:r w:rsidR="00871A96">
        <w:t xml:space="preserve"> below</w:t>
      </w:r>
      <w:r w:rsidR="00FB346D">
        <w:t>,</w:t>
      </w:r>
      <w:r w:rsidR="00871A96">
        <w:t xml:space="preserve"> with n</w:t>
      </w:r>
      <w:r w:rsidR="00AF7049" w:rsidRPr="009103F3">
        <w:t xml:space="preserve">ew text </w:t>
      </w:r>
      <w:r w:rsidR="00F40B9C">
        <w:t>(including the renumber</w:t>
      </w:r>
      <w:r w:rsidR="003121B9">
        <w:t>ed</w:t>
      </w:r>
      <w:r w:rsidR="00F40B9C">
        <w:t xml:space="preserve"> paragraphs) </w:t>
      </w:r>
      <w:r w:rsidR="00AF7049" w:rsidRPr="009103F3">
        <w:t xml:space="preserve">shown in </w:t>
      </w:r>
      <w:r w:rsidR="000006F0" w:rsidRPr="000006F0">
        <w:rPr>
          <w:color w:val="FF0000"/>
        </w:rPr>
        <w:t>red</w:t>
      </w:r>
      <w:r w:rsidR="00750365" w:rsidRPr="00160E1A">
        <w:t>,</w:t>
      </w:r>
      <w:r w:rsidR="00EC3004" w:rsidRPr="00160E1A">
        <w:t xml:space="preserve"> </w:t>
      </w:r>
      <w:r w:rsidR="00EC3004" w:rsidRPr="00EC3004">
        <w:t xml:space="preserve">and </w:t>
      </w:r>
      <w:r w:rsidR="00AF7049" w:rsidRPr="009103F3">
        <w:t xml:space="preserve">deleted text shown in </w:t>
      </w:r>
      <w:r w:rsidR="00AF7049" w:rsidRPr="0028150B">
        <w:rPr>
          <w:strike/>
        </w:rPr>
        <w:t>strikethrough</w:t>
      </w:r>
      <w:r w:rsidR="00160E1A" w:rsidRPr="00160E1A">
        <w:t xml:space="preserve"> </w:t>
      </w:r>
      <w:r w:rsidR="00160E1A" w:rsidRPr="00EC3004">
        <w:t>f</w:t>
      </w:r>
      <w:r w:rsidR="00160E1A" w:rsidRPr="009103F3">
        <w:t>or clarity</w:t>
      </w:r>
      <w:r w:rsidR="00AF7049" w:rsidRPr="009103F3">
        <w:t>.</w:t>
      </w:r>
      <w:r w:rsidR="007F43A0">
        <w:t xml:space="preserve"> </w:t>
      </w:r>
      <w:r w:rsidR="009B77B5">
        <w:t xml:space="preserve">Text shown in </w:t>
      </w:r>
      <w:r w:rsidR="009B77B5" w:rsidRPr="00653AC1">
        <w:rPr>
          <w:color w:val="0070C0"/>
        </w:rPr>
        <w:t>blue</w:t>
      </w:r>
      <w:r w:rsidR="009B77B5">
        <w:t xml:space="preserve"> is </w:t>
      </w:r>
      <w:r w:rsidR="00CD7CE4">
        <w:t xml:space="preserve">the </w:t>
      </w:r>
      <w:r w:rsidR="00653AC1">
        <w:t xml:space="preserve">text </w:t>
      </w:r>
      <w:r w:rsidR="001B1AEB">
        <w:t xml:space="preserve">previously </w:t>
      </w:r>
      <w:r w:rsidR="00653AC1">
        <w:t xml:space="preserve">proposed in </w:t>
      </w:r>
      <w:r w:rsidR="00653AC1" w:rsidRPr="00380718">
        <w:rPr>
          <w:rFonts w:eastAsia="MS Mincho"/>
          <w:lang w:val="en-US" w:eastAsia="ja-JP"/>
        </w:rPr>
        <w:t>ST/SG/AC.10/C.4/2021/</w:t>
      </w:r>
      <w:r w:rsidR="00653AC1">
        <w:rPr>
          <w:rFonts w:eastAsia="MS Mincho"/>
          <w:lang w:val="en-US" w:eastAsia="ja-JP"/>
        </w:rPr>
        <w:t xml:space="preserve">5 and </w:t>
      </w:r>
      <w:r w:rsidR="00653AC1">
        <w:t>INF.4</w:t>
      </w:r>
      <w:r w:rsidR="00EC134A" w:rsidRPr="00EC134A">
        <w:t xml:space="preserve"> </w:t>
      </w:r>
      <w:r w:rsidR="00EC134A">
        <w:t>that remains unchanged</w:t>
      </w:r>
      <w:r w:rsidR="00423FB7">
        <w:t>.</w:t>
      </w:r>
    </w:p>
    <w:p w14:paraId="6AEE1840" w14:textId="7742E002" w:rsidR="00EF5E69" w:rsidRDefault="00DC1C96" w:rsidP="00545D48">
      <w:pPr>
        <w:pStyle w:val="SingleTxtG"/>
        <w:tabs>
          <w:tab w:val="left" w:pos="1418"/>
        </w:tabs>
        <w:ind w:right="237"/>
      </w:pPr>
      <w:r>
        <w:t>5</w:t>
      </w:r>
      <w:r w:rsidR="00932AAB" w:rsidRPr="00FD6FD0">
        <w:t>.</w:t>
      </w:r>
      <w:r w:rsidR="00932AAB" w:rsidRPr="00FD6FD0">
        <w:tab/>
      </w:r>
      <w:r w:rsidR="00B809D3">
        <w:t>In addition, a</w:t>
      </w:r>
      <w:r>
        <w:t xml:space="preserve"> typographical error was also identified in </w:t>
      </w:r>
      <w:r w:rsidR="002B7C93">
        <w:t xml:space="preserve">the reference </w:t>
      </w:r>
      <w:r w:rsidR="00D72F9C">
        <w:t xml:space="preserve">provided </w:t>
      </w:r>
      <w:r w:rsidR="002B7C93">
        <w:t xml:space="preserve">within brackets </w:t>
      </w:r>
      <w:r w:rsidR="00EF5E69">
        <w:t xml:space="preserve">in paragraph 3.2.2.7.2 </w:t>
      </w:r>
      <w:r w:rsidR="00C14EBA">
        <w:t xml:space="preserve">where </w:t>
      </w:r>
      <w:r w:rsidR="00545D48">
        <w:t xml:space="preserve">the </w:t>
      </w:r>
      <w:r w:rsidR="00C14EBA">
        <w:t>re</w:t>
      </w:r>
      <w:r w:rsidR="00EF5E69">
        <w:t xml:space="preserve">ference to Tier 4 which should read </w:t>
      </w:r>
      <w:proofErr w:type="gramStart"/>
      <w:r w:rsidR="00EF5E69">
        <w:t>‘..</w:t>
      </w:r>
      <w:proofErr w:type="gramEnd"/>
      <w:r w:rsidR="00EF5E69">
        <w:t>see 3.2.2.5)</w:t>
      </w:r>
      <w:r w:rsidR="00F147A4">
        <w:t xml:space="preserve">’. This proposed correction </w:t>
      </w:r>
      <w:r w:rsidR="00554E1C">
        <w:t>is provided i</w:t>
      </w:r>
      <w:r w:rsidR="00F147A4">
        <w:t xml:space="preserve">n paragraph </w:t>
      </w:r>
      <w:r w:rsidR="00423FB7">
        <w:t>7</w:t>
      </w:r>
      <w:r w:rsidR="00F147A4">
        <w:t xml:space="preserve"> below</w:t>
      </w:r>
      <w:r w:rsidR="00B65C92">
        <w:t>, and is</w:t>
      </w:r>
      <w:r w:rsidR="00F147A4" w:rsidRPr="009103F3">
        <w:t xml:space="preserve"> shown in </w:t>
      </w:r>
      <w:r w:rsidR="003121B9" w:rsidRPr="000006F0">
        <w:rPr>
          <w:color w:val="FF0000"/>
        </w:rPr>
        <w:t>red</w:t>
      </w:r>
      <w:r w:rsidR="00046947">
        <w:rPr>
          <w:color w:val="FF0000"/>
        </w:rPr>
        <w:t xml:space="preserve">. </w:t>
      </w:r>
    </w:p>
    <w:p w14:paraId="0E375D90" w14:textId="77777777" w:rsidR="00B51EB0" w:rsidRDefault="00B51EB0">
      <w:pPr>
        <w:suppressAutoHyphens w:val="0"/>
        <w:spacing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</w:p>
    <w:p w14:paraId="4B0BD9A8" w14:textId="6DF1CF50" w:rsidR="00D766EE" w:rsidRPr="00D23599" w:rsidRDefault="00D766EE" w:rsidP="00D766EE">
      <w:pPr>
        <w:pStyle w:val="SingleTxtG"/>
        <w:spacing w:before="360" w:after="240" w:line="270" w:lineRule="atLeast"/>
        <w:ind w:right="567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 xml:space="preserve">Proposed </w:t>
      </w:r>
      <w:r w:rsidR="006A2B9B">
        <w:rPr>
          <w:b/>
          <w:bCs/>
          <w:noProof/>
          <w:sz w:val="28"/>
          <w:szCs w:val="28"/>
        </w:rPr>
        <w:t xml:space="preserve">new </w:t>
      </w:r>
      <w:r w:rsidRPr="00D23599">
        <w:rPr>
          <w:b/>
          <w:bCs/>
          <w:noProof/>
          <w:sz w:val="28"/>
          <w:szCs w:val="28"/>
        </w:rPr>
        <w:t xml:space="preserve">changes to </w:t>
      </w:r>
      <w:r w:rsidR="005D1B10">
        <w:rPr>
          <w:b/>
          <w:bCs/>
          <w:noProof/>
          <w:sz w:val="28"/>
          <w:szCs w:val="28"/>
        </w:rPr>
        <w:t>section</w:t>
      </w:r>
      <w:r w:rsidR="005D1B10" w:rsidRPr="00D23599">
        <w:rPr>
          <w:b/>
          <w:bCs/>
          <w:noProof/>
          <w:sz w:val="28"/>
          <w:szCs w:val="28"/>
        </w:rPr>
        <w:t xml:space="preserve"> </w:t>
      </w:r>
      <w:r w:rsidRPr="00D23599">
        <w:rPr>
          <w:b/>
          <w:bCs/>
          <w:noProof/>
          <w:sz w:val="28"/>
          <w:szCs w:val="28"/>
        </w:rPr>
        <w:t>3.2</w:t>
      </w:r>
      <w:r w:rsidR="005D1B10">
        <w:rPr>
          <w:b/>
          <w:bCs/>
          <w:noProof/>
          <w:sz w:val="28"/>
          <w:szCs w:val="28"/>
        </w:rPr>
        <w:t>.2.3</w:t>
      </w:r>
    </w:p>
    <w:p w14:paraId="395121A0" w14:textId="6EE55EEA" w:rsidR="008F59F4" w:rsidRPr="001C5873" w:rsidRDefault="009F5B65" w:rsidP="009F5B65">
      <w:pPr>
        <w:pStyle w:val="SingleTxtG"/>
      </w:pPr>
      <w:r>
        <w:t>6</w:t>
      </w:r>
      <w:r w:rsidR="00171864">
        <w:t>.</w:t>
      </w:r>
      <w:r w:rsidR="00171864">
        <w:tab/>
      </w:r>
      <w:r w:rsidR="008F59F4" w:rsidRPr="001C5873">
        <w:t xml:space="preserve">Replace </w:t>
      </w:r>
      <w:r w:rsidR="00AC4652">
        <w:t>section 3.2.2.3 with:</w:t>
      </w:r>
    </w:p>
    <w:p w14:paraId="3C5716CF" w14:textId="77777777" w:rsidR="005413AD" w:rsidRDefault="005413AD" w:rsidP="0057207E"/>
    <w:p w14:paraId="5A9DBADB" w14:textId="1CD35556" w:rsidR="003F4E9A" w:rsidRDefault="00E44BB9" w:rsidP="009F5B65">
      <w:pPr>
        <w:pStyle w:val="GHSHeading4"/>
        <w:spacing w:after="240"/>
        <w:ind w:left="1418" w:right="237"/>
        <w:rPr>
          <w:i/>
          <w:iCs/>
          <w:sz w:val="20"/>
          <w:szCs w:val="20"/>
        </w:rPr>
      </w:pPr>
      <w:r>
        <w:rPr>
          <w:sz w:val="20"/>
          <w:szCs w:val="20"/>
        </w:rPr>
        <w:t>“</w:t>
      </w:r>
      <w:r w:rsidR="003F4E9A">
        <w:rPr>
          <w:sz w:val="20"/>
          <w:szCs w:val="20"/>
        </w:rPr>
        <w:t>3.2.2.3</w:t>
      </w:r>
      <w:r w:rsidR="003F4E9A">
        <w:rPr>
          <w:i/>
          <w:iCs/>
          <w:sz w:val="20"/>
          <w:szCs w:val="20"/>
        </w:rPr>
        <w:t xml:space="preserve">   Classification based on in vitro/ex vivo data </w:t>
      </w:r>
      <w:r w:rsidR="003F4E9A" w:rsidRPr="00995B3F">
        <w:rPr>
          <w:i/>
          <w:iCs/>
          <w:color w:val="0070C0"/>
          <w:sz w:val="20"/>
          <w:szCs w:val="20"/>
        </w:rPr>
        <w:t>(Tier 2 in Figure 3.</w:t>
      </w:r>
      <w:r w:rsidR="003F4E9A" w:rsidRPr="00995B3F">
        <w:rPr>
          <w:b w:val="0"/>
          <w:bCs w:val="0"/>
          <w:i/>
          <w:iCs/>
          <w:color w:val="0070C0"/>
          <w:sz w:val="20"/>
          <w:szCs w:val="20"/>
        </w:rPr>
        <w:t>2</w:t>
      </w:r>
      <w:r w:rsidR="003F4E9A" w:rsidRPr="00995B3F">
        <w:rPr>
          <w:i/>
          <w:iCs/>
          <w:color w:val="0070C0"/>
          <w:sz w:val="20"/>
          <w:szCs w:val="20"/>
        </w:rPr>
        <w:t>.1)</w:t>
      </w:r>
    </w:p>
    <w:p w14:paraId="701656F2" w14:textId="77777777" w:rsidR="003F4E9A" w:rsidRDefault="003F4E9A" w:rsidP="009F5B65">
      <w:pPr>
        <w:spacing w:after="240"/>
        <w:ind w:left="1418" w:right="237"/>
        <w:jc w:val="both"/>
      </w:pPr>
      <w:r>
        <w:t xml:space="preserve">3.2.2.3.1                 The currently available individual </w:t>
      </w:r>
      <w:r>
        <w:rPr>
          <w:i/>
          <w:iCs/>
        </w:rPr>
        <w:t>in vitro/ex vivo</w:t>
      </w:r>
      <w:r>
        <w:t xml:space="preserve"> test methods address either skin irritation or skin corrosion, but do not address both endpoints in one single test. Therefore, classification based solely on </w:t>
      </w:r>
      <w:r>
        <w:rPr>
          <w:i/>
          <w:iCs/>
        </w:rPr>
        <w:t>in vitro/ex vivo</w:t>
      </w:r>
      <w:r>
        <w:t xml:space="preserve"> test results may require data from more than one method. For authorities implementing Category 3 it is important to note that the currently available internationally validated and accepted </w:t>
      </w:r>
      <w:r>
        <w:rPr>
          <w:i/>
          <w:iCs/>
        </w:rPr>
        <w:t>in vitro/ex vivo</w:t>
      </w:r>
      <w:r>
        <w:t xml:space="preserve"> test methods do not allow identification of substances classified as Category 3.</w:t>
      </w:r>
    </w:p>
    <w:p w14:paraId="241277A1" w14:textId="77777777" w:rsidR="003F4E9A" w:rsidRDefault="003F4E9A" w:rsidP="009F5B65">
      <w:pPr>
        <w:spacing w:after="240"/>
        <w:ind w:left="1418" w:right="237"/>
        <w:jc w:val="both"/>
        <w:rPr>
          <w:sz w:val="22"/>
          <w:szCs w:val="22"/>
        </w:rPr>
      </w:pPr>
      <w:r>
        <w:t xml:space="preserve">3.2.2.3.2                 </w:t>
      </w:r>
      <w:r w:rsidRPr="00E15E8F">
        <w:rPr>
          <w:color w:val="FF0000"/>
          <w:lang w:val="en-US"/>
        </w:rPr>
        <w:t>The classification criteria for the currently available</w:t>
      </w:r>
      <w:r w:rsidRPr="00E15E8F">
        <w:rPr>
          <w:rStyle w:val="apple-converted-space"/>
          <w:color w:val="FF0000"/>
          <w:lang w:val="en-US"/>
        </w:rPr>
        <w:t> </w:t>
      </w:r>
      <w:r w:rsidRPr="00E15E8F">
        <w:rPr>
          <w:i/>
          <w:iCs/>
          <w:color w:val="FF0000"/>
          <w:lang w:val="en-US"/>
        </w:rPr>
        <w:t>in vitro</w:t>
      </w:r>
      <w:r w:rsidRPr="00E15E8F">
        <w:rPr>
          <w:color w:val="FF0000"/>
          <w:lang w:val="en-US"/>
        </w:rPr>
        <w:t>/</w:t>
      </w:r>
      <w:r w:rsidRPr="00E15E8F">
        <w:rPr>
          <w:i/>
          <w:iCs/>
          <w:color w:val="FF0000"/>
          <w:lang w:val="en-US"/>
        </w:rPr>
        <w:t>ex vivo</w:t>
      </w:r>
      <w:r w:rsidRPr="00E15E8F">
        <w:rPr>
          <w:rStyle w:val="apple-converted-space"/>
          <w:i/>
          <w:iCs/>
          <w:color w:val="FF0000"/>
          <w:lang w:val="en-US"/>
        </w:rPr>
        <w:t> </w:t>
      </w:r>
      <w:r w:rsidRPr="00E15E8F">
        <w:rPr>
          <w:color w:val="FF0000"/>
          <w:lang w:val="en-US"/>
        </w:rPr>
        <w:t>test methods adopted by the OECD in test guidelines 430, 431, 435, and 439 are described in Tables 3.2.6 and 3.2.7 (see 3.2.5.3.4).  Other validated</w:t>
      </w:r>
      <w:r w:rsidRPr="00E15E8F">
        <w:rPr>
          <w:rStyle w:val="apple-converted-space"/>
          <w:color w:val="FF0000"/>
          <w:lang w:val="en-US"/>
        </w:rPr>
        <w:t> </w:t>
      </w:r>
      <w:r w:rsidRPr="00E15E8F">
        <w:rPr>
          <w:i/>
          <w:iCs/>
          <w:color w:val="FF0000"/>
          <w:lang w:val="en-US"/>
        </w:rPr>
        <w:t>in vitro/ex vivo</w:t>
      </w:r>
      <w:r w:rsidRPr="00E15E8F">
        <w:rPr>
          <w:rStyle w:val="apple-converted-space"/>
          <w:color w:val="FF0000"/>
          <w:lang w:val="en-US"/>
        </w:rPr>
        <w:t> </w:t>
      </w:r>
      <w:r w:rsidRPr="00E15E8F">
        <w:rPr>
          <w:color w:val="FF0000"/>
          <w:lang w:val="en-US"/>
        </w:rPr>
        <w:t>test methods accepted by some competent authorities may also be considered. </w:t>
      </w:r>
      <w:r w:rsidRPr="00E15E8F">
        <w:rPr>
          <w:rStyle w:val="apple-converted-space"/>
          <w:color w:val="FF0000"/>
          <w:lang w:val="en-US"/>
        </w:rPr>
        <w:t> </w:t>
      </w:r>
      <w:r w:rsidRPr="00E15E8F">
        <w:rPr>
          <w:color w:val="FF0000"/>
          <w:lang w:val="en-US"/>
        </w:rPr>
        <w:t>A competent authority may decide which classification criteria, if any, should be applied for other test methods to conclude on classification, including that a substance is not classified for effects on the skin.</w:t>
      </w:r>
      <w:r w:rsidRPr="00E15E8F">
        <w:rPr>
          <w:strike/>
          <w:color w:val="FF0000"/>
          <w:lang w:val="en-US"/>
        </w:rPr>
        <w:t xml:space="preserve"> </w:t>
      </w:r>
      <w:r>
        <w:rPr>
          <w:strike/>
        </w:rPr>
        <w:t xml:space="preserve">Wherever possible classification should be based on data generated using internationally validated and accepted </w:t>
      </w:r>
      <w:r>
        <w:rPr>
          <w:i/>
          <w:iCs/>
          <w:strike/>
        </w:rPr>
        <w:t xml:space="preserve">in vitro/ex vivo </w:t>
      </w:r>
      <w:r>
        <w:rPr>
          <w:strike/>
        </w:rPr>
        <w:t>test methods, and the classification criteria provided in these test methods needs to be applied.</w:t>
      </w:r>
      <w:r>
        <w:t xml:space="preserve"> </w:t>
      </w:r>
    </w:p>
    <w:p w14:paraId="73841CBF" w14:textId="77777777" w:rsidR="003F4E9A" w:rsidRDefault="003F4E9A" w:rsidP="009F5B65">
      <w:pPr>
        <w:spacing w:after="240"/>
        <w:ind w:left="1418" w:right="237"/>
        <w:jc w:val="both"/>
      </w:pPr>
      <w:r w:rsidRPr="00E15E8F">
        <w:t>3.2.2.3</w:t>
      </w:r>
      <w:r>
        <w:rPr>
          <w:color w:val="FF0000"/>
        </w:rPr>
        <w:t>.</w:t>
      </w:r>
      <w:r w:rsidRPr="000006F0">
        <w:rPr>
          <w:color w:val="FF0000"/>
        </w:rPr>
        <w:t>3</w:t>
      </w:r>
      <w:r>
        <w:t xml:space="preserve">                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vitro/ex vivo</w:t>
      </w:r>
      <w:r>
        <w:t xml:space="preserve"> data can only be used for classification when the tested substance is within the applicability domain of the test method</w:t>
      </w:r>
      <w:r>
        <w:rPr>
          <w:color w:val="0070C0"/>
        </w:rPr>
        <w:t>(</w:t>
      </w:r>
      <w:r>
        <w:t>s</w:t>
      </w:r>
      <w:r>
        <w:rPr>
          <w:color w:val="0070C0"/>
        </w:rPr>
        <w:t>)</w:t>
      </w:r>
      <w:r>
        <w:t xml:space="preserve"> used. Additional limitations described in the published literature should also be taken into consideration.</w:t>
      </w:r>
    </w:p>
    <w:p w14:paraId="2E4FD39C" w14:textId="3E3AE36E" w:rsidR="003F4E9A" w:rsidRDefault="003F4E9A" w:rsidP="009F5B65">
      <w:pPr>
        <w:pStyle w:val="GHSHeading5"/>
        <w:spacing w:after="240"/>
        <w:ind w:left="1418" w:right="237"/>
        <w:rPr>
          <w:sz w:val="20"/>
          <w:szCs w:val="20"/>
        </w:rPr>
      </w:pPr>
      <w:r>
        <w:rPr>
          <w:sz w:val="20"/>
          <w:szCs w:val="20"/>
        </w:rPr>
        <w:t>3.2.2.3.</w:t>
      </w:r>
      <w:r>
        <w:rPr>
          <w:color w:val="FF0000"/>
          <w:sz w:val="20"/>
          <w:szCs w:val="20"/>
        </w:rPr>
        <w:t>4</w:t>
      </w:r>
      <w:r>
        <w:rPr>
          <w:sz w:val="20"/>
          <w:szCs w:val="20"/>
        </w:rPr>
        <w:t xml:space="preserve">                </w:t>
      </w:r>
      <w:r>
        <w:rPr>
          <w:i/>
          <w:iCs/>
          <w:sz w:val="20"/>
          <w:szCs w:val="20"/>
        </w:rPr>
        <w:t>Skin corrosion</w:t>
      </w:r>
    </w:p>
    <w:p w14:paraId="4775C3D7" w14:textId="24D298C1" w:rsidR="003F4E9A" w:rsidRDefault="003F4E9A" w:rsidP="009F5B65">
      <w:pPr>
        <w:spacing w:after="240"/>
        <w:ind w:left="1418" w:right="237"/>
        <w:jc w:val="both"/>
      </w:pPr>
      <w:r>
        <w:t>3.2.2.3</w:t>
      </w:r>
      <w:r w:rsidR="00D30209">
        <w:t>.</w:t>
      </w:r>
      <w:r>
        <w:rPr>
          <w:color w:val="FF0000"/>
        </w:rPr>
        <w:t>4</w:t>
      </w:r>
      <w:r>
        <w:t xml:space="preserve">.1             Where tests have been undertaken in accordance with OECD test guidelines 430, 431, or 435, a substance is classified for skin corrosion in Category 1 (and, where possible and required into sub-categories 1A, 1B or 1C) based on the criteria in Table 3.2.6 </w:t>
      </w:r>
      <w:r>
        <w:rPr>
          <w:color w:val="0070C0"/>
        </w:rPr>
        <w:t>(see 3.2.5.3.4)</w:t>
      </w:r>
      <w:r>
        <w:t xml:space="preserve">. </w:t>
      </w:r>
    </w:p>
    <w:p w14:paraId="0BE6E37A" w14:textId="1296233D" w:rsidR="003F4E9A" w:rsidRDefault="003F4E9A" w:rsidP="009F5B65">
      <w:pPr>
        <w:spacing w:after="240"/>
        <w:ind w:left="1418" w:right="237"/>
        <w:jc w:val="both"/>
        <w:rPr>
          <w:sz w:val="22"/>
          <w:szCs w:val="22"/>
        </w:rPr>
      </w:pPr>
      <w:r>
        <w:t>3.2.2.3.</w:t>
      </w:r>
      <w:r>
        <w:rPr>
          <w:color w:val="FF0000"/>
        </w:rPr>
        <w:t>4</w:t>
      </w:r>
      <w:r>
        <w:t xml:space="preserve">.2              Some </w:t>
      </w:r>
      <w:r>
        <w:rPr>
          <w:i/>
          <w:iCs/>
        </w:rPr>
        <w:t>in vitro/ex vivo</w:t>
      </w:r>
      <w:r>
        <w:t xml:space="preserve"> methods do not allow differentiation between sub-categories 1B and 1C (see Table 3.2.6). Where sub-categories are required by competent authorities and existing </w:t>
      </w:r>
      <w:r>
        <w:rPr>
          <w:i/>
          <w:iCs/>
        </w:rPr>
        <w:t>in vitro/ex vivo</w:t>
      </w:r>
      <w:r>
        <w:t xml:space="preserve"> data cannot distinguish between the sub-categories, additional information </w:t>
      </w:r>
      <w:proofErr w:type="gramStart"/>
      <w:r>
        <w:t>has to</w:t>
      </w:r>
      <w:proofErr w:type="gramEnd"/>
      <w:r>
        <w:t xml:space="preserve"> be taken into account to differentiate between these two sub-categories. Where no or insufficient additional information is available, Category 1 is applied.</w:t>
      </w:r>
    </w:p>
    <w:p w14:paraId="33B18707" w14:textId="2F7E1270" w:rsidR="003F4E9A" w:rsidRDefault="003F4E9A" w:rsidP="009F5B65">
      <w:pPr>
        <w:spacing w:after="240"/>
        <w:ind w:left="1418" w:right="237"/>
        <w:jc w:val="both"/>
      </w:pPr>
      <w:r>
        <w:t>3.2.2.3.</w:t>
      </w:r>
      <w:r>
        <w:rPr>
          <w:color w:val="FF0000"/>
        </w:rPr>
        <w:t>4</w:t>
      </w:r>
      <w:r>
        <w:t>.3              A substance identified as not corrosive should be considered for classification as skin irritant.</w:t>
      </w:r>
    </w:p>
    <w:p w14:paraId="3C95EADD" w14:textId="7511307D" w:rsidR="003F4E9A" w:rsidRDefault="003F4E9A" w:rsidP="009F5B65">
      <w:pPr>
        <w:pStyle w:val="GHSHeading5"/>
        <w:spacing w:after="240"/>
        <w:ind w:left="1418" w:right="237"/>
        <w:rPr>
          <w:sz w:val="20"/>
          <w:szCs w:val="20"/>
        </w:rPr>
      </w:pPr>
      <w:r>
        <w:rPr>
          <w:sz w:val="20"/>
          <w:szCs w:val="20"/>
        </w:rPr>
        <w:t>3.2.2.3</w:t>
      </w:r>
      <w:r w:rsidR="000A2444">
        <w:rPr>
          <w:sz w:val="20"/>
          <w:szCs w:val="20"/>
        </w:rPr>
        <w:t>.</w:t>
      </w:r>
      <w:r>
        <w:rPr>
          <w:color w:val="FF0000"/>
          <w:sz w:val="20"/>
          <w:szCs w:val="20"/>
        </w:rPr>
        <w:t>5</w:t>
      </w:r>
      <w:r>
        <w:rPr>
          <w:sz w:val="20"/>
          <w:szCs w:val="20"/>
        </w:rPr>
        <w:t xml:space="preserve">                   </w:t>
      </w:r>
      <w:r>
        <w:rPr>
          <w:i/>
          <w:iCs/>
          <w:sz w:val="20"/>
          <w:szCs w:val="20"/>
        </w:rPr>
        <w:t>Skin irritation</w:t>
      </w:r>
    </w:p>
    <w:p w14:paraId="5E5FF986" w14:textId="048B74EC" w:rsidR="003F4E9A" w:rsidRDefault="003F4E9A" w:rsidP="009F5B65">
      <w:pPr>
        <w:spacing w:after="240"/>
        <w:ind w:left="1418" w:right="237"/>
        <w:jc w:val="both"/>
      </w:pPr>
      <w:r>
        <w:t>3.2.2.3.</w:t>
      </w:r>
      <w:r>
        <w:rPr>
          <w:color w:val="FF0000"/>
        </w:rPr>
        <w:t>5</w:t>
      </w:r>
      <w:r>
        <w:t xml:space="preserve">.1             Where classification for corrosivity can be excluded and where tests have been undertaken in accordance with OECD Test Guideline 439, a substance should be considered for classification as skin irritant in Category 2 based on the criteria in Table 3.2.7 </w:t>
      </w:r>
      <w:r>
        <w:rPr>
          <w:color w:val="0070C0"/>
        </w:rPr>
        <w:t>(see 3.2.5.3.4)</w:t>
      </w:r>
      <w:r>
        <w:t xml:space="preserve">. </w:t>
      </w:r>
    </w:p>
    <w:p w14:paraId="22F47055" w14:textId="5816FA41" w:rsidR="003F4E9A" w:rsidRDefault="003F4E9A" w:rsidP="009F5B65">
      <w:pPr>
        <w:spacing w:after="240"/>
        <w:ind w:left="1418" w:right="237"/>
        <w:jc w:val="both"/>
        <w:rPr>
          <w:sz w:val="22"/>
          <w:szCs w:val="22"/>
        </w:rPr>
      </w:pPr>
      <w:r>
        <w:t>3.2.2.3.</w:t>
      </w:r>
      <w:r>
        <w:rPr>
          <w:color w:val="FF0000"/>
        </w:rPr>
        <w:t>5</w:t>
      </w:r>
      <w:r>
        <w:t xml:space="preserve">.2             Where competent authorities adopt Category 3, it is important to note that currently available </w:t>
      </w:r>
      <w:r>
        <w:rPr>
          <w:i/>
          <w:iCs/>
        </w:rPr>
        <w:t>in vitro/ex vivo</w:t>
      </w:r>
      <w:r>
        <w:t xml:space="preserve"> test methods for skin irritation (e.g. OECD Test Guideline 439) do not allow for classification of substances in Category 3. </w:t>
      </w:r>
      <w:r>
        <w:rPr>
          <w:strike/>
        </w:rPr>
        <w:t>In this situation, if the classification criteria for either category 1 or 2 are not fulfilled, additional information is required to differentiate between category 3 and no classification.</w:t>
      </w:r>
      <w:r>
        <w:t xml:space="preserve"> </w:t>
      </w:r>
    </w:p>
    <w:p w14:paraId="168640E0" w14:textId="77777777" w:rsidR="003F4E9A" w:rsidRDefault="003F4E9A" w:rsidP="009F5B65">
      <w:pPr>
        <w:pStyle w:val="GHSHeading5"/>
        <w:spacing w:after="240"/>
        <w:ind w:left="1418" w:right="237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lastRenderedPageBreak/>
        <w:t>3.2.2.3.</w:t>
      </w:r>
      <w:r>
        <w:rPr>
          <w:color w:val="FF0000"/>
          <w:sz w:val="20"/>
          <w:szCs w:val="20"/>
        </w:rPr>
        <w:t>6</w:t>
      </w:r>
      <w:r>
        <w:rPr>
          <w:color w:val="0070C0"/>
          <w:sz w:val="20"/>
          <w:szCs w:val="20"/>
        </w:rPr>
        <w:t xml:space="preserve">                   </w:t>
      </w:r>
      <w:r>
        <w:rPr>
          <w:i/>
          <w:iCs/>
          <w:color w:val="0070C0"/>
          <w:sz w:val="20"/>
          <w:szCs w:val="20"/>
        </w:rPr>
        <w:t>No classification for effects on the skin</w:t>
      </w:r>
    </w:p>
    <w:p w14:paraId="37739C9B" w14:textId="4FB34F86" w:rsidR="003F4E9A" w:rsidRDefault="003F4E9A" w:rsidP="009F5B65">
      <w:pPr>
        <w:spacing w:after="240"/>
        <w:ind w:left="1418" w:right="237"/>
        <w:jc w:val="both"/>
      </w:pPr>
      <w:r>
        <w:t>3.2.2.3.</w:t>
      </w:r>
      <w:r>
        <w:rPr>
          <w:color w:val="FF0000"/>
        </w:rPr>
        <w:t>6</w:t>
      </w:r>
      <w:r>
        <w:rPr>
          <w:color w:val="0070C0"/>
        </w:rPr>
        <w:t>.1</w:t>
      </w:r>
      <w:r>
        <w:rPr>
          <w:strike/>
        </w:rPr>
        <w:t>4.3</w:t>
      </w:r>
      <w:r>
        <w:t xml:space="preserve">        Where competent authorities do not adopt Category 3, a negative result in an </w:t>
      </w:r>
      <w:r>
        <w:rPr>
          <w:strike/>
        </w:rPr>
        <w:t>internationally accepted and validated</w:t>
      </w:r>
      <w:r>
        <w:t xml:space="preserve"> </w:t>
      </w:r>
      <w:r>
        <w:rPr>
          <w:i/>
          <w:iCs/>
        </w:rPr>
        <w:t>in vitro/ex vivo</w:t>
      </w:r>
      <w:r>
        <w:t xml:space="preserve"> test </w:t>
      </w:r>
      <w:r>
        <w:rPr>
          <w:color w:val="0070C0"/>
        </w:rPr>
        <w:t xml:space="preserve">method </w:t>
      </w:r>
      <w:r>
        <w:t xml:space="preserve">for skin irritation </w:t>
      </w:r>
      <w:r>
        <w:rPr>
          <w:color w:val="0070C0"/>
        </w:rPr>
        <w:t>that is validated according to international procedures</w:t>
      </w:r>
      <w:r>
        <w:t xml:space="preserve">, e.g. OECD Test Guideline 439, can be used to conclude as not classified for skin irritation. </w:t>
      </w:r>
      <w:r>
        <w:rPr>
          <w:color w:val="0070C0"/>
        </w:rPr>
        <w:t>Where competent authorities adopt Category 3, additional information is required to differentiate between Category 3 and no classification.</w:t>
      </w:r>
      <w:r w:rsidR="00E44BB9" w:rsidRPr="00E44BB9">
        <w:t>”</w:t>
      </w:r>
    </w:p>
    <w:p w14:paraId="2CFEBA3F" w14:textId="60347737" w:rsidR="0014296E" w:rsidRDefault="0014296E" w:rsidP="0014296E">
      <w:pPr>
        <w:spacing w:after="240"/>
        <w:ind w:left="1134" w:right="237"/>
        <w:jc w:val="both"/>
      </w:pPr>
      <w:r>
        <w:t xml:space="preserve">7.  </w:t>
      </w:r>
      <w:proofErr w:type="gramStart"/>
      <w:r w:rsidRPr="00C32F81">
        <w:t xml:space="preserve">3.2.2.7.2  </w:t>
      </w:r>
      <w:r>
        <w:t>In</w:t>
      </w:r>
      <w:proofErr w:type="gramEnd"/>
      <w:r>
        <w:t xml:space="preserve"> the first sentence</w:t>
      </w:r>
      <w:r w:rsidR="000C1113" w:rsidRPr="000C1113">
        <w:t xml:space="preserve"> </w:t>
      </w:r>
      <w:r w:rsidR="000C1113">
        <w:t>within the second set of brackets</w:t>
      </w:r>
      <w:r>
        <w:t>,</w:t>
      </w:r>
      <w:r>
        <w:rPr>
          <w:color w:val="0070C0"/>
        </w:rPr>
        <w:t xml:space="preserve"> </w:t>
      </w:r>
      <w:r w:rsidRPr="00C32F81">
        <w:t>replace “</w:t>
      </w:r>
      <w:r w:rsidRPr="00C32F81">
        <w:rPr>
          <w:color w:val="0070C0"/>
        </w:rPr>
        <w:t>see 3.2.2.7</w:t>
      </w:r>
      <w:r w:rsidRPr="00C32F81">
        <w:t>” with “</w:t>
      </w:r>
      <w:r w:rsidRPr="00AC4EEC">
        <w:rPr>
          <w:color w:val="FF0000"/>
        </w:rPr>
        <w:t>see 3.2.2.5</w:t>
      </w:r>
      <w:r w:rsidRPr="00C32F81">
        <w:t>”</w:t>
      </w:r>
      <w:r>
        <w:t xml:space="preserve"> </w:t>
      </w:r>
    </w:p>
    <w:p w14:paraId="07E62A56" w14:textId="07D8BB1C" w:rsidR="00D172DC" w:rsidRPr="00AD7F80" w:rsidRDefault="00932AAB" w:rsidP="00D172DC">
      <w:pPr>
        <w:pStyle w:val="HChG"/>
      </w:pPr>
      <w:r>
        <w:tab/>
      </w:r>
      <w:r>
        <w:tab/>
      </w:r>
      <w:r w:rsidR="008F3069" w:rsidRPr="000F67AB">
        <w:rPr>
          <w:szCs w:val="28"/>
        </w:rPr>
        <w:t xml:space="preserve">Action </w:t>
      </w:r>
      <w:r w:rsidR="008F3069" w:rsidRPr="009E4F9B">
        <w:rPr>
          <w:szCs w:val="28"/>
        </w:rPr>
        <w:t>and next steps</w:t>
      </w:r>
    </w:p>
    <w:p w14:paraId="5642C1CB" w14:textId="595064BF" w:rsidR="006A2B57" w:rsidRDefault="000C1113" w:rsidP="00595C69">
      <w:pPr>
        <w:pStyle w:val="SingleTxtG"/>
        <w:ind w:right="237"/>
      </w:pPr>
      <w:r>
        <w:t>8</w:t>
      </w:r>
      <w:r w:rsidR="00D172DC">
        <w:t xml:space="preserve">. </w:t>
      </w:r>
      <w:r w:rsidR="00D172DC">
        <w:tab/>
      </w:r>
      <w:r w:rsidR="006A2B57" w:rsidRPr="006F7F90">
        <w:t xml:space="preserve">The </w:t>
      </w:r>
      <w:r w:rsidR="006A2B57">
        <w:t xml:space="preserve">Sub-Committee is invited to agree the proposed changes to Chapter 3.2 as provided </w:t>
      </w:r>
      <w:r w:rsidR="008F7F18">
        <w:t xml:space="preserve">above </w:t>
      </w:r>
      <w:r w:rsidR="006A2B57">
        <w:t>in paragraph</w:t>
      </w:r>
      <w:r w:rsidR="008F7F18">
        <w:t>s</w:t>
      </w:r>
      <w:r w:rsidR="006A2B57">
        <w:t xml:space="preserve"> </w:t>
      </w:r>
      <w:r w:rsidR="008F7F18">
        <w:t>6 and 7</w:t>
      </w:r>
      <w:r w:rsidR="006A2B57">
        <w:t xml:space="preserve"> of this document</w:t>
      </w:r>
      <w:r w:rsidR="008F7F18">
        <w:t xml:space="preserve"> </w:t>
      </w:r>
      <w:r w:rsidR="00F84822">
        <w:t xml:space="preserve">in addition to those provided </w:t>
      </w:r>
      <w:r w:rsidR="00BA586E">
        <w:t xml:space="preserve">in </w:t>
      </w:r>
      <w:r w:rsidR="00BA586E" w:rsidRPr="00380718">
        <w:rPr>
          <w:rFonts w:eastAsia="MS Mincho"/>
          <w:lang w:val="en-US" w:eastAsia="ja-JP"/>
        </w:rPr>
        <w:t>ST/SG/AC.10/C.4/2021/</w:t>
      </w:r>
      <w:r w:rsidR="00BA586E">
        <w:rPr>
          <w:rFonts w:eastAsia="MS Mincho"/>
          <w:lang w:val="en-US" w:eastAsia="ja-JP"/>
        </w:rPr>
        <w:t xml:space="preserve">5 and </w:t>
      </w:r>
      <w:r w:rsidR="00BA586E">
        <w:t xml:space="preserve">INF.4 </w:t>
      </w:r>
      <w:r w:rsidR="00C12706">
        <w:t>on proposals to</w:t>
      </w:r>
      <w:r w:rsidR="006A2B57">
        <w:t xml:space="preserve"> Chapter</w:t>
      </w:r>
      <w:r w:rsidR="00BA586E">
        <w:t>s 1.2 and</w:t>
      </w:r>
      <w:r w:rsidR="006A2B57">
        <w:t xml:space="preserve"> 3.2</w:t>
      </w:r>
      <w:r w:rsidR="006A2B57" w:rsidRPr="00DC371F">
        <w:t>.</w:t>
      </w:r>
    </w:p>
    <w:p w14:paraId="7E25D8D0" w14:textId="77777777" w:rsidR="009F3091" w:rsidRDefault="009F3091" w:rsidP="006A2B57">
      <w:pPr>
        <w:pStyle w:val="SingleTxtG"/>
      </w:pPr>
    </w:p>
    <w:p w14:paraId="63113A2D" w14:textId="78A862EA" w:rsidR="00CE6284" w:rsidRPr="0064644C" w:rsidRDefault="0064644C" w:rsidP="0064644C">
      <w:pPr>
        <w:spacing w:before="240"/>
        <w:jc w:val="center"/>
        <w:rPr>
          <w:rStyle w:val="SingleTxtGCar"/>
          <w:u w:val="single"/>
        </w:rPr>
      </w:pPr>
      <w:r>
        <w:rPr>
          <w:rStyle w:val="SingleTxtGCar"/>
          <w:u w:val="single"/>
        </w:rPr>
        <w:tab/>
      </w:r>
      <w:r>
        <w:rPr>
          <w:rStyle w:val="SingleTxtGCar"/>
          <w:u w:val="single"/>
        </w:rPr>
        <w:tab/>
      </w:r>
      <w:r>
        <w:rPr>
          <w:rStyle w:val="SingleTxtGCar"/>
          <w:u w:val="single"/>
        </w:rPr>
        <w:tab/>
      </w:r>
    </w:p>
    <w:sectPr w:rsidR="00CE6284" w:rsidRPr="0064644C" w:rsidSect="00C96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C87BB" w14:textId="77777777" w:rsidR="00B10823" w:rsidRDefault="00B10823" w:rsidP="00760F29">
      <w:pPr>
        <w:spacing w:line="240" w:lineRule="auto"/>
      </w:pPr>
      <w:r>
        <w:separator/>
      </w:r>
    </w:p>
  </w:endnote>
  <w:endnote w:type="continuationSeparator" w:id="0">
    <w:p w14:paraId="3C8BC0D7" w14:textId="77777777" w:rsidR="00B10823" w:rsidRDefault="00B10823" w:rsidP="00760F29">
      <w:pPr>
        <w:spacing w:line="240" w:lineRule="auto"/>
      </w:pPr>
      <w:r>
        <w:continuationSeparator/>
      </w:r>
    </w:p>
  </w:endnote>
  <w:endnote w:type="continuationNotice" w:id="1">
    <w:p w14:paraId="1F3CFD5C" w14:textId="77777777" w:rsidR="00B10823" w:rsidRDefault="00B108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7750" w14:textId="77777777" w:rsidR="0076675C" w:rsidRPr="000216CC" w:rsidRDefault="00A31103" w:rsidP="0076675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66A1" w14:textId="77777777" w:rsidR="0076675C" w:rsidRPr="000216CC" w:rsidRDefault="00A31103" w:rsidP="0076675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21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52942" w14:textId="010C5935" w:rsidR="0076675C" w:rsidRPr="00952862" w:rsidRDefault="0076675C">
    <w:pPr>
      <w:pStyle w:val="Footer"/>
      <w:rPr>
        <w:b/>
        <w:bCs/>
      </w:rPr>
    </w:pPr>
  </w:p>
  <w:p w14:paraId="2D4C9FAC" w14:textId="77777777" w:rsidR="0076675C" w:rsidRDefault="0076675C" w:rsidP="0076675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5B3F0" w14:textId="77777777" w:rsidR="00B10823" w:rsidRDefault="00B10823" w:rsidP="00760F29">
      <w:pPr>
        <w:spacing w:line="240" w:lineRule="auto"/>
      </w:pPr>
      <w:r>
        <w:separator/>
      </w:r>
    </w:p>
  </w:footnote>
  <w:footnote w:type="continuationSeparator" w:id="0">
    <w:p w14:paraId="2E91FB1D" w14:textId="77777777" w:rsidR="00B10823" w:rsidRDefault="00B10823" w:rsidP="00760F29">
      <w:pPr>
        <w:spacing w:line="240" w:lineRule="auto"/>
      </w:pPr>
      <w:r>
        <w:continuationSeparator/>
      </w:r>
    </w:p>
  </w:footnote>
  <w:footnote w:type="continuationNotice" w:id="1">
    <w:p w14:paraId="191B1867" w14:textId="77777777" w:rsidR="00B10823" w:rsidRDefault="00B10823">
      <w:pPr>
        <w:spacing w:line="240" w:lineRule="auto"/>
      </w:pPr>
    </w:p>
  </w:footnote>
  <w:footnote w:id="2">
    <w:p w14:paraId="338E83E1" w14:textId="77777777" w:rsidR="00B23245" w:rsidRDefault="00B23245" w:rsidP="00B23245">
      <w:pPr>
        <w:pStyle w:val="FootnoteText"/>
        <w:tabs>
          <w:tab w:val="clear" w:pos="1021"/>
        </w:tabs>
        <w:ind w:hanging="425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</w:t>
      </w:r>
      <w:r w:rsidRPr="00902B41">
        <w:t>ST/SG/AC.10/C.4/2021/4 and informal document INF.3</w:t>
      </w:r>
    </w:p>
  </w:footnote>
  <w:footnote w:id="3">
    <w:p w14:paraId="29671812" w14:textId="241D4509" w:rsidR="00F66133" w:rsidRDefault="00F66133" w:rsidP="00F66133">
      <w:pPr>
        <w:pStyle w:val="FootnoteText"/>
        <w:tabs>
          <w:tab w:val="clear" w:pos="1021"/>
        </w:tabs>
        <w:ind w:hanging="425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</w:t>
      </w:r>
      <w:r w:rsidRPr="00902B41">
        <w:t>ST/SG/AC.10/C.4/2021/</w:t>
      </w:r>
      <w:r>
        <w:t>5</w:t>
      </w:r>
      <w:r w:rsidRPr="00902B41">
        <w:t xml:space="preserve"> and informal document INF.</w:t>
      </w:r>
      <w:r>
        <w:t>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8ADA" w14:textId="1615597A" w:rsidR="0076675C" w:rsidRPr="001E5919" w:rsidRDefault="00A31103" w:rsidP="0076675C">
    <w:pPr>
      <w:pStyle w:val="Header"/>
      <w:rPr>
        <w:lang w:val="fr-FR"/>
      </w:rPr>
    </w:pPr>
    <w:r>
      <w:rPr>
        <w:lang w:val="fr-FR"/>
      </w:rPr>
      <w:t>UN/SCEGHS/40/INF.</w:t>
    </w:r>
    <w:r w:rsidR="008D4536">
      <w:rPr>
        <w:lang w:val="fr-FR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1E6B" w14:textId="0056291A" w:rsidR="0076675C" w:rsidRPr="001E5919" w:rsidRDefault="00A31103" w:rsidP="0076675C">
    <w:pPr>
      <w:pStyle w:val="Header"/>
      <w:jc w:val="right"/>
      <w:rPr>
        <w:lang w:val="fr-FR"/>
      </w:rPr>
    </w:pPr>
    <w:r>
      <w:rPr>
        <w:lang w:val="fr-FR"/>
      </w:rPr>
      <w:t>UN/SCEGHS/40/INF.</w:t>
    </w:r>
    <w:r w:rsidR="008D4536">
      <w:rPr>
        <w:lang w:val="fr-F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B383" w14:textId="30154839" w:rsidR="0076675C" w:rsidRPr="00C969C0" w:rsidRDefault="0076675C" w:rsidP="00C969C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8AD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26D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9CE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B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09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CC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F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0E1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C7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0C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F0AF6"/>
    <w:multiLevelType w:val="hybridMultilevel"/>
    <w:tmpl w:val="5522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7D2774F"/>
    <w:multiLevelType w:val="hybridMultilevel"/>
    <w:tmpl w:val="D9D6A028"/>
    <w:lvl w:ilvl="0" w:tplc="911A2DBC">
      <w:start w:val="1"/>
      <w:numFmt w:val="decimal"/>
      <w:lvlText w:val="%1."/>
      <w:lvlJc w:val="left"/>
      <w:pPr>
        <w:ind w:left="2010" w:hanging="57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1A093E"/>
    <w:multiLevelType w:val="hybridMultilevel"/>
    <w:tmpl w:val="7EC49F1C"/>
    <w:lvl w:ilvl="0" w:tplc="77EE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DB063DE"/>
    <w:multiLevelType w:val="hybridMultilevel"/>
    <w:tmpl w:val="854C24D4"/>
    <w:lvl w:ilvl="0" w:tplc="7BBA121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16E12A4"/>
    <w:multiLevelType w:val="hybridMultilevel"/>
    <w:tmpl w:val="369428CA"/>
    <w:lvl w:ilvl="0" w:tplc="39F497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55662"/>
    <w:multiLevelType w:val="hybridMultilevel"/>
    <w:tmpl w:val="6EFC11B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22"/>
  </w:num>
  <w:num w:numId="5">
    <w:abstractNumId w:val="17"/>
  </w:num>
  <w:num w:numId="6">
    <w:abstractNumId w:val="16"/>
  </w:num>
  <w:num w:numId="7">
    <w:abstractNumId w:val="12"/>
  </w:num>
  <w:num w:numId="8">
    <w:abstractNumId w:val="21"/>
  </w:num>
  <w:num w:numId="9">
    <w:abstractNumId w:val="15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14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08"/>
    <w:rsid w:val="000006F0"/>
    <w:rsid w:val="00010BDD"/>
    <w:rsid w:val="00015F9B"/>
    <w:rsid w:val="000214BC"/>
    <w:rsid w:val="00027018"/>
    <w:rsid w:val="0003079A"/>
    <w:rsid w:val="00040DE3"/>
    <w:rsid w:val="00046865"/>
    <w:rsid w:val="00046947"/>
    <w:rsid w:val="00047E8B"/>
    <w:rsid w:val="0006039D"/>
    <w:rsid w:val="00067399"/>
    <w:rsid w:val="00067AF0"/>
    <w:rsid w:val="00081A93"/>
    <w:rsid w:val="00092F68"/>
    <w:rsid w:val="000934B1"/>
    <w:rsid w:val="0009425C"/>
    <w:rsid w:val="00094C7F"/>
    <w:rsid w:val="000975D0"/>
    <w:rsid w:val="000A18D2"/>
    <w:rsid w:val="000A2444"/>
    <w:rsid w:val="000A35E5"/>
    <w:rsid w:val="000B3B96"/>
    <w:rsid w:val="000B4A9C"/>
    <w:rsid w:val="000B6ACF"/>
    <w:rsid w:val="000C0250"/>
    <w:rsid w:val="000C0B83"/>
    <w:rsid w:val="000C1113"/>
    <w:rsid w:val="000C5F34"/>
    <w:rsid w:val="000E1E26"/>
    <w:rsid w:val="000E235E"/>
    <w:rsid w:val="000F059F"/>
    <w:rsid w:val="0010109A"/>
    <w:rsid w:val="00132EFC"/>
    <w:rsid w:val="00137F23"/>
    <w:rsid w:val="0014296E"/>
    <w:rsid w:val="001506E7"/>
    <w:rsid w:val="00160E1A"/>
    <w:rsid w:val="00171864"/>
    <w:rsid w:val="001720A7"/>
    <w:rsid w:val="0018257A"/>
    <w:rsid w:val="001851B2"/>
    <w:rsid w:val="0018609A"/>
    <w:rsid w:val="00191D9D"/>
    <w:rsid w:val="001B057F"/>
    <w:rsid w:val="001B1AEB"/>
    <w:rsid w:val="001B2AFB"/>
    <w:rsid w:val="001C5FE4"/>
    <w:rsid w:val="001C6E26"/>
    <w:rsid w:val="001F19BA"/>
    <w:rsid w:val="001F33A9"/>
    <w:rsid w:val="001F482B"/>
    <w:rsid w:val="002006B8"/>
    <w:rsid w:val="002103CC"/>
    <w:rsid w:val="00223F9F"/>
    <w:rsid w:val="00225747"/>
    <w:rsid w:val="00226CEA"/>
    <w:rsid w:val="00235889"/>
    <w:rsid w:val="00236385"/>
    <w:rsid w:val="0024310D"/>
    <w:rsid w:val="00260117"/>
    <w:rsid w:val="00266A6D"/>
    <w:rsid w:val="00275729"/>
    <w:rsid w:val="00276B4C"/>
    <w:rsid w:val="00280ED1"/>
    <w:rsid w:val="0028150B"/>
    <w:rsid w:val="00294CE4"/>
    <w:rsid w:val="002958B1"/>
    <w:rsid w:val="002A01A8"/>
    <w:rsid w:val="002B02C4"/>
    <w:rsid w:val="002B4FB4"/>
    <w:rsid w:val="002B6848"/>
    <w:rsid w:val="002B7C93"/>
    <w:rsid w:val="002F7C78"/>
    <w:rsid w:val="00300B20"/>
    <w:rsid w:val="0030509D"/>
    <w:rsid w:val="00306630"/>
    <w:rsid w:val="0031182A"/>
    <w:rsid w:val="003121B9"/>
    <w:rsid w:val="00313097"/>
    <w:rsid w:val="00327749"/>
    <w:rsid w:val="003279EE"/>
    <w:rsid w:val="00330944"/>
    <w:rsid w:val="00330AC2"/>
    <w:rsid w:val="00340588"/>
    <w:rsid w:val="00371089"/>
    <w:rsid w:val="003A228D"/>
    <w:rsid w:val="003A2720"/>
    <w:rsid w:val="003A2A96"/>
    <w:rsid w:val="003A3245"/>
    <w:rsid w:val="003A5E6D"/>
    <w:rsid w:val="003B2653"/>
    <w:rsid w:val="003C10B9"/>
    <w:rsid w:val="003C425A"/>
    <w:rsid w:val="003C4B75"/>
    <w:rsid w:val="003C7A93"/>
    <w:rsid w:val="003D4B25"/>
    <w:rsid w:val="003E64B9"/>
    <w:rsid w:val="003F0B1C"/>
    <w:rsid w:val="003F4E9A"/>
    <w:rsid w:val="0040625C"/>
    <w:rsid w:val="00406A6B"/>
    <w:rsid w:val="00416769"/>
    <w:rsid w:val="00423FB7"/>
    <w:rsid w:val="00440F59"/>
    <w:rsid w:val="00451105"/>
    <w:rsid w:val="00462A16"/>
    <w:rsid w:val="00462D7F"/>
    <w:rsid w:val="00466410"/>
    <w:rsid w:val="00474BB9"/>
    <w:rsid w:val="00483E24"/>
    <w:rsid w:val="004873B8"/>
    <w:rsid w:val="004957C8"/>
    <w:rsid w:val="004A002C"/>
    <w:rsid w:val="004B35FF"/>
    <w:rsid w:val="004B5A77"/>
    <w:rsid w:val="004C135A"/>
    <w:rsid w:val="004D1F0E"/>
    <w:rsid w:val="004D3744"/>
    <w:rsid w:val="004E04A9"/>
    <w:rsid w:val="004E0CC0"/>
    <w:rsid w:val="004E248D"/>
    <w:rsid w:val="004E7435"/>
    <w:rsid w:val="00500A85"/>
    <w:rsid w:val="00507FDD"/>
    <w:rsid w:val="00511689"/>
    <w:rsid w:val="00511C24"/>
    <w:rsid w:val="00513EED"/>
    <w:rsid w:val="005210E2"/>
    <w:rsid w:val="00522D72"/>
    <w:rsid w:val="005413AD"/>
    <w:rsid w:val="00545D48"/>
    <w:rsid w:val="00554E1C"/>
    <w:rsid w:val="00561E93"/>
    <w:rsid w:val="005632F6"/>
    <w:rsid w:val="005673B1"/>
    <w:rsid w:val="0057207E"/>
    <w:rsid w:val="00574027"/>
    <w:rsid w:val="005746FD"/>
    <w:rsid w:val="0058731A"/>
    <w:rsid w:val="00590ACD"/>
    <w:rsid w:val="00592369"/>
    <w:rsid w:val="00595C69"/>
    <w:rsid w:val="00597DB0"/>
    <w:rsid w:val="005A2461"/>
    <w:rsid w:val="005C0B65"/>
    <w:rsid w:val="005D1B10"/>
    <w:rsid w:val="005D6E2B"/>
    <w:rsid w:val="005E79BB"/>
    <w:rsid w:val="005F0BE2"/>
    <w:rsid w:val="005F22CC"/>
    <w:rsid w:val="005F7AE9"/>
    <w:rsid w:val="0061276A"/>
    <w:rsid w:val="00613BFE"/>
    <w:rsid w:val="0062268F"/>
    <w:rsid w:val="0062617C"/>
    <w:rsid w:val="00630265"/>
    <w:rsid w:val="00633F54"/>
    <w:rsid w:val="00634DE5"/>
    <w:rsid w:val="006419EB"/>
    <w:rsid w:val="0064644C"/>
    <w:rsid w:val="00653AC1"/>
    <w:rsid w:val="00660F3F"/>
    <w:rsid w:val="00661DE9"/>
    <w:rsid w:val="00662F59"/>
    <w:rsid w:val="00686B73"/>
    <w:rsid w:val="00690B7F"/>
    <w:rsid w:val="006A0EFF"/>
    <w:rsid w:val="006A2B57"/>
    <w:rsid w:val="006A2B9B"/>
    <w:rsid w:val="006A2C7D"/>
    <w:rsid w:val="006A714C"/>
    <w:rsid w:val="006C32FF"/>
    <w:rsid w:val="006D3E76"/>
    <w:rsid w:val="006D48E6"/>
    <w:rsid w:val="006E0172"/>
    <w:rsid w:val="006F2CCE"/>
    <w:rsid w:val="00705D5B"/>
    <w:rsid w:val="00717408"/>
    <w:rsid w:val="00724B7B"/>
    <w:rsid w:val="007356FB"/>
    <w:rsid w:val="00737044"/>
    <w:rsid w:val="00750365"/>
    <w:rsid w:val="00752709"/>
    <w:rsid w:val="007552E9"/>
    <w:rsid w:val="00760F29"/>
    <w:rsid w:val="007624FE"/>
    <w:rsid w:val="00764A83"/>
    <w:rsid w:val="0076675C"/>
    <w:rsid w:val="00771004"/>
    <w:rsid w:val="00772B95"/>
    <w:rsid w:val="0077369A"/>
    <w:rsid w:val="00780DFC"/>
    <w:rsid w:val="007813C7"/>
    <w:rsid w:val="00781920"/>
    <w:rsid w:val="00787CA8"/>
    <w:rsid w:val="00795DAB"/>
    <w:rsid w:val="007A06F5"/>
    <w:rsid w:val="007A5031"/>
    <w:rsid w:val="007C1E4D"/>
    <w:rsid w:val="007C2016"/>
    <w:rsid w:val="007C61DB"/>
    <w:rsid w:val="007D15C1"/>
    <w:rsid w:val="007D6912"/>
    <w:rsid w:val="007E440B"/>
    <w:rsid w:val="007E657B"/>
    <w:rsid w:val="007F1D3F"/>
    <w:rsid w:val="007F3AC6"/>
    <w:rsid w:val="007F43A0"/>
    <w:rsid w:val="007F5C09"/>
    <w:rsid w:val="008032FE"/>
    <w:rsid w:val="00820224"/>
    <w:rsid w:val="00822F3B"/>
    <w:rsid w:val="008322A2"/>
    <w:rsid w:val="0083354F"/>
    <w:rsid w:val="0085283D"/>
    <w:rsid w:val="00854DD7"/>
    <w:rsid w:val="00862DAD"/>
    <w:rsid w:val="00863850"/>
    <w:rsid w:val="00864A4B"/>
    <w:rsid w:val="00871A96"/>
    <w:rsid w:val="00880A9D"/>
    <w:rsid w:val="00885C2F"/>
    <w:rsid w:val="008B52EE"/>
    <w:rsid w:val="008D1654"/>
    <w:rsid w:val="008D4536"/>
    <w:rsid w:val="008E0BFF"/>
    <w:rsid w:val="008E6C87"/>
    <w:rsid w:val="008F3069"/>
    <w:rsid w:val="008F59F4"/>
    <w:rsid w:val="008F7F18"/>
    <w:rsid w:val="00901873"/>
    <w:rsid w:val="009023A0"/>
    <w:rsid w:val="00913246"/>
    <w:rsid w:val="00922AEF"/>
    <w:rsid w:val="00930F93"/>
    <w:rsid w:val="00931FF8"/>
    <w:rsid w:val="00932AAB"/>
    <w:rsid w:val="00935F35"/>
    <w:rsid w:val="0094551F"/>
    <w:rsid w:val="009506BC"/>
    <w:rsid w:val="0096175A"/>
    <w:rsid w:val="009855D0"/>
    <w:rsid w:val="0099540D"/>
    <w:rsid w:val="00995B3F"/>
    <w:rsid w:val="009A5883"/>
    <w:rsid w:val="009B11B2"/>
    <w:rsid w:val="009B651B"/>
    <w:rsid w:val="009B77B5"/>
    <w:rsid w:val="009B7A43"/>
    <w:rsid w:val="009B7C35"/>
    <w:rsid w:val="009C6587"/>
    <w:rsid w:val="009D36CA"/>
    <w:rsid w:val="009D6B3E"/>
    <w:rsid w:val="009D759F"/>
    <w:rsid w:val="009E1F11"/>
    <w:rsid w:val="009E245E"/>
    <w:rsid w:val="009E42E4"/>
    <w:rsid w:val="009F3091"/>
    <w:rsid w:val="009F4551"/>
    <w:rsid w:val="009F5B65"/>
    <w:rsid w:val="00A049EC"/>
    <w:rsid w:val="00A25245"/>
    <w:rsid w:val="00A31103"/>
    <w:rsid w:val="00A411C6"/>
    <w:rsid w:val="00A45838"/>
    <w:rsid w:val="00A46375"/>
    <w:rsid w:val="00A55BFD"/>
    <w:rsid w:val="00A57ACB"/>
    <w:rsid w:val="00A65C57"/>
    <w:rsid w:val="00A72105"/>
    <w:rsid w:val="00A76E7E"/>
    <w:rsid w:val="00A83A4A"/>
    <w:rsid w:val="00A85FC4"/>
    <w:rsid w:val="00A91B52"/>
    <w:rsid w:val="00A951F7"/>
    <w:rsid w:val="00AA3D2B"/>
    <w:rsid w:val="00AA4176"/>
    <w:rsid w:val="00AC4652"/>
    <w:rsid w:val="00AC4EEC"/>
    <w:rsid w:val="00AC54EC"/>
    <w:rsid w:val="00AC7597"/>
    <w:rsid w:val="00AE0560"/>
    <w:rsid w:val="00AF56C8"/>
    <w:rsid w:val="00AF7049"/>
    <w:rsid w:val="00AF779F"/>
    <w:rsid w:val="00B02AA4"/>
    <w:rsid w:val="00B10823"/>
    <w:rsid w:val="00B13745"/>
    <w:rsid w:val="00B21C0B"/>
    <w:rsid w:val="00B226E9"/>
    <w:rsid w:val="00B23245"/>
    <w:rsid w:val="00B27FB1"/>
    <w:rsid w:val="00B427B0"/>
    <w:rsid w:val="00B51EB0"/>
    <w:rsid w:val="00B56E76"/>
    <w:rsid w:val="00B64854"/>
    <w:rsid w:val="00B65741"/>
    <w:rsid w:val="00B659E7"/>
    <w:rsid w:val="00B65C92"/>
    <w:rsid w:val="00B77E3D"/>
    <w:rsid w:val="00B809D3"/>
    <w:rsid w:val="00B83234"/>
    <w:rsid w:val="00B85035"/>
    <w:rsid w:val="00B94A0E"/>
    <w:rsid w:val="00BA118B"/>
    <w:rsid w:val="00BA586E"/>
    <w:rsid w:val="00BB1BD6"/>
    <w:rsid w:val="00BB1F87"/>
    <w:rsid w:val="00BB2F90"/>
    <w:rsid w:val="00BB4D43"/>
    <w:rsid w:val="00BD61D4"/>
    <w:rsid w:val="00BF0E50"/>
    <w:rsid w:val="00BF65B4"/>
    <w:rsid w:val="00C01F21"/>
    <w:rsid w:val="00C04D51"/>
    <w:rsid w:val="00C07ABD"/>
    <w:rsid w:val="00C12706"/>
    <w:rsid w:val="00C13576"/>
    <w:rsid w:val="00C13F89"/>
    <w:rsid w:val="00C14EBA"/>
    <w:rsid w:val="00C169E8"/>
    <w:rsid w:val="00C32F81"/>
    <w:rsid w:val="00C45953"/>
    <w:rsid w:val="00C5116F"/>
    <w:rsid w:val="00C5390E"/>
    <w:rsid w:val="00C55D07"/>
    <w:rsid w:val="00C55F0A"/>
    <w:rsid w:val="00C60AE5"/>
    <w:rsid w:val="00C64CCA"/>
    <w:rsid w:val="00C65283"/>
    <w:rsid w:val="00C70FBC"/>
    <w:rsid w:val="00C846BC"/>
    <w:rsid w:val="00C90E4D"/>
    <w:rsid w:val="00C969C0"/>
    <w:rsid w:val="00CA28D8"/>
    <w:rsid w:val="00CA5128"/>
    <w:rsid w:val="00CA7831"/>
    <w:rsid w:val="00CB0AA8"/>
    <w:rsid w:val="00CB345A"/>
    <w:rsid w:val="00CC69C0"/>
    <w:rsid w:val="00CD3876"/>
    <w:rsid w:val="00CD7CE4"/>
    <w:rsid w:val="00CE031D"/>
    <w:rsid w:val="00CE5143"/>
    <w:rsid w:val="00CE6284"/>
    <w:rsid w:val="00CF4B9E"/>
    <w:rsid w:val="00CF5E7D"/>
    <w:rsid w:val="00D15940"/>
    <w:rsid w:val="00D172DC"/>
    <w:rsid w:val="00D30209"/>
    <w:rsid w:val="00D37B8A"/>
    <w:rsid w:val="00D427E0"/>
    <w:rsid w:val="00D509E4"/>
    <w:rsid w:val="00D62CCE"/>
    <w:rsid w:val="00D660CB"/>
    <w:rsid w:val="00D670CE"/>
    <w:rsid w:val="00D718E5"/>
    <w:rsid w:val="00D72F9C"/>
    <w:rsid w:val="00D7452E"/>
    <w:rsid w:val="00D766EE"/>
    <w:rsid w:val="00D767FB"/>
    <w:rsid w:val="00D828D7"/>
    <w:rsid w:val="00D841B8"/>
    <w:rsid w:val="00D918AD"/>
    <w:rsid w:val="00D943EB"/>
    <w:rsid w:val="00DA6169"/>
    <w:rsid w:val="00DA7712"/>
    <w:rsid w:val="00DB175A"/>
    <w:rsid w:val="00DB521F"/>
    <w:rsid w:val="00DC1C96"/>
    <w:rsid w:val="00DC6884"/>
    <w:rsid w:val="00DC69CD"/>
    <w:rsid w:val="00DD396E"/>
    <w:rsid w:val="00DE37D5"/>
    <w:rsid w:val="00E002DD"/>
    <w:rsid w:val="00E10E26"/>
    <w:rsid w:val="00E11ECF"/>
    <w:rsid w:val="00E15AE8"/>
    <w:rsid w:val="00E15E49"/>
    <w:rsid w:val="00E15E8F"/>
    <w:rsid w:val="00E1727E"/>
    <w:rsid w:val="00E25694"/>
    <w:rsid w:val="00E26063"/>
    <w:rsid w:val="00E319C2"/>
    <w:rsid w:val="00E42175"/>
    <w:rsid w:val="00E449C3"/>
    <w:rsid w:val="00E44BB9"/>
    <w:rsid w:val="00E46745"/>
    <w:rsid w:val="00E528FF"/>
    <w:rsid w:val="00E54691"/>
    <w:rsid w:val="00E67F2E"/>
    <w:rsid w:val="00E74A0F"/>
    <w:rsid w:val="00E76A5B"/>
    <w:rsid w:val="00E86FBA"/>
    <w:rsid w:val="00E93287"/>
    <w:rsid w:val="00E97BCE"/>
    <w:rsid w:val="00EA1BCC"/>
    <w:rsid w:val="00EA3F81"/>
    <w:rsid w:val="00EA4EB1"/>
    <w:rsid w:val="00EA5B52"/>
    <w:rsid w:val="00EB1291"/>
    <w:rsid w:val="00EC134A"/>
    <w:rsid w:val="00EC3004"/>
    <w:rsid w:val="00EC3F38"/>
    <w:rsid w:val="00EC7690"/>
    <w:rsid w:val="00EE3546"/>
    <w:rsid w:val="00EF5E69"/>
    <w:rsid w:val="00EF6435"/>
    <w:rsid w:val="00F01DF9"/>
    <w:rsid w:val="00F147A4"/>
    <w:rsid w:val="00F22714"/>
    <w:rsid w:val="00F27F2C"/>
    <w:rsid w:val="00F34E15"/>
    <w:rsid w:val="00F37A47"/>
    <w:rsid w:val="00F40B9C"/>
    <w:rsid w:val="00F414FF"/>
    <w:rsid w:val="00F41B6B"/>
    <w:rsid w:val="00F66133"/>
    <w:rsid w:val="00F675E5"/>
    <w:rsid w:val="00F717DC"/>
    <w:rsid w:val="00F84822"/>
    <w:rsid w:val="00F84D1C"/>
    <w:rsid w:val="00F84D75"/>
    <w:rsid w:val="00F85DE2"/>
    <w:rsid w:val="00FA0F0E"/>
    <w:rsid w:val="00FA63B2"/>
    <w:rsid w:val="00FA7237"/>
    <w:rsid w:val="00FB0354"/>
    <w:rsid w:val="00FB0F9F"/>
    <w:rsid w:val="00FB346D"/>
    <w:rsid w:val="00FB3D6D"/>
    <w:rsid w:val="00FB66FA"/>
    <w:rsid w:val="00FB75C1"/>
    <w:rsid w:val="00FE179E"/>
    <w:rsid w:val="00FF551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DCCC7"/>
  <w15:docId w15:val="{D311CA43-17F3-4F92-B5EC-3995351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aliases w:val="GHS Chapter Heading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uiPriority w:val="99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uiPriority w:val="39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  <w:style w:type="paragraph" w:customStyle="1" w:styleId="Default">
    <w:name w:val="Default"/>
    <w:uiPriority w:val="99"/>
    <w:rsid w:val="00276B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v-SE" w:eastAsia="sv-SE"/>
    </w:rPr>
  </w:style>
  <w:style w:type="paragraph" w:customStyle="1" w:styleId="GHSHeading4">
    <w:name w:val="GHSHeading4"/>
    <w:basedOn w:val="Normal"/>
    <w:rsid w:val="00276B4C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276B4C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276B4C"/>
    <w:pPr>
      <w:suppressAutoHyphens w:val="0"/>
      <w:spacing w:line="240" w:lineRule="auto"/>
    </w:pPr>
    <w:rPr>
      <w:sz w:val="22"/>
      <w:szCs w:val="24"/>
    </w:rPr>
  </w:style>
  <w:style w:type="paragraph" w:customStyle="1" w:styleId="Num-DocParagraph">
    <w:name w:val="Num-Doc Paragraph"/>
    <w:basedOn w:val="BodyText"/>
    <w:uiPriority w:val="99"/>
    <w:rsid w:val="00276B4C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GHSHeading3">
    <w:name w:val="GHSHeading3"/>
    <w:basedOn w:val="Heading3"/>
    <w:uiPriority w:val="99"/>
    <w:rsid w:val="00276B4C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rsid w:val="00276B4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276B4C"/>
    <w:rPr>
      <w:rFonts w:eastAsia="Times New Roman"/>
      <w:sz w:val="22"/>
      <w:lang w:eastAsia="en-US"/>
    </w:rPr>
  </w:style>
  <w:style w:type="paragraph" w:customStyle="1" w:styleId="StyleGHSHeading410pt">
    <w:name w:val="Style GHSHeading4 + 10 pt"/>
    <w:basedOn w:val="GHSHeading4"/>
    <w:uiPriority w:val="99"/>
    <w:rsid w:val="00276B4C"/>
    <w:pPr>
      <w:spacing w:after="240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6B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6B4C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76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B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76B4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4C"/>
    <w:rPr>
      <w:rFonts w:eastAsia="Times New Roman"/>
      <w:b/>
      <w:bCs/>
      <w:lang w:eastAsia="en-US"/>
    </w:rPr>
  </w:style>
  <w:style w:type="character" w:customStyle="1" w:styleId="SingleTxtGCar">
    <w:name w:val="_ Single Txt_G Car"/>
    <w:rsid w:val="0024310D"/>
    <w:rPr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390E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390E"/>
    <w:pPr>
      <w:suppressAutoHyphens w:val="0"/>
      <w:spacing w:line="240" w:lineRule="auto"/>
    </w:pPr>
    <w:rPr>
      <w:rFonts w:ascii="Arial" w:hAnsi="Arial" w:cs="Arial"/>
      <w:b/>
      <w:bCs/>
      <w:sz w:val="22"/>
      <w:szCs w:val="24"/>
    </w:rPr>
  </w:style>
  <w:style w:type="paragraph" w:customStyle="1" w:styleId="StyleGHSHeading410ptAuto">
    <w:name w:val="Style GHSHeading4 + 10 pt Auto"/>
    <w:basedOn w:val="GHSHeading4"/>
    <w:uiPriority w:val="99"/>
    <w:rsid w:val="00C5390E"/>
    <w:pPr>
      <w:spacing w:after="240"/>
    </w:pPr>
    <w:rPr>
      <w:color w:val="auto"/>
      <w:sz w:val="20"/>
    </w:rPr>
  </w:style>
  <w:style w:type="character" w:customStyle="1" w:styleId="Funotenzeichen2">
    <w:name w:val="Fußnotenzeichen2"/>
    <w:rsid w:val="00C539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32F6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SingleTxtGChar1">
    <w:name w:val="_ Single Txt_G Char1"/>
    <w:locked/>
    <w:rsid w:val="00880A9D"/>
    <w:rPr>
      <w:rFonts w:eastAsia="Times New Roman"/>
    </w:rPr>
  </w:style>
  <w:style w:type="paragraph" w:styleId="ListNumber5">
    <w:name w:val="List Number 5"/>
    <w:basedOn w:val="Normal"/>
    <w:rsid w:val="00C55D07"/>
    <w:pPr>
      <w:tabs>
        <w:tab w:val="num" w:pos="1492"/>
      </w:tabs>
      <w:ind w:left="1492" w:hanging="360"/>
    </w:pPr>
  </w:style>
  <w:style w:type="character" w:customStyle="1" w:styleId="apple-converted-space">
    <w:name w:val="apple-converted-space"/>
    <w:basedOn w:val="DefaultParagraphFont"/>
    <w:rsid w:val="0057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C22F7-FAF9-4254-BED4-9BABC1BAA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D41E92-F2C9-42EA-B322-36B38285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Garcia-Couto</dc:creator>
  <cp:keywords/>
  <cp:lastModifiedBy>Rosa Garcia Couto</cp:lastModifiedBy>
  <cp:revision>7</cp:revision>
  <dcterms:created xsi:type="dcterms:W3CDTF">2021-07-02T10:09:00Z</dcterms:created>
  <dcterms:modified xsi:type="dcterms:W3CDTF">2021-07-02T11:22:00Z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</Properties>
</file>