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F648F" w14:paraId="315D4C6B" w14:textId="77777777" w:rsidTr="009E6CB7">
        <w:trPr>
          <w:cantSplit/>
          <w:trHeight w:hRule="exact" w:val="851"/>
        </w:trPr>
        <w:tc>
          <w:tcPr>
            <w:tcW w:w="1276" w:type="dxa"/>
            <w:tcBorders>
              <w:bottom w:val="single" w:sz="4" w:space="0" w:color="auto"/>
            </w:tcBorders>
            <w:vAlign w:val="bottom"/>
          </w:tcPr>
          <w:p w14:paraId="315D4C68" w14:textId="77777777" w:rsidR="009E6CB7" w:rsidRDefault="009E6CB7" w:rsidP="009E6CB7">
            <w:pPr>
              <w:spacing w:after="80"/>
            </w:pPr>
          </w:p>
        </w:tc>
        <w:tc>
          <w:tcPr>
            <w:tcW w:w="2268" w:type="dxa"/>
            <w:tcBorders>
              <w:bottom w:val="single" w:sz="4" w:space="0" w:color="auto"/>
            </w:tcBorders>
            <w:vAlign w:val="bottom"/>
          </w:tcPr>
          <w:p w14:paraId="315D4C69" w14:textId="77777777" w:rsidR="009E6CB7" w:rsidRPr="00AF648F" w:rsidRDefault="009E6CB7" w:rsidP="009E6CB7">
            <w:pPr>
              <w:spacing w:after="80" w:line="300" w:lineRule="exact"/>
              <w:rPr>
                <w:b/>
                <w:sz w:val="24"/>
                <w:szCs w:val="24"/>
              </w:rPr>
            </w:pPr>
            <w:r w:rsidRPr="00AF648F">
              <w:rPr>
                <w:sz w:val="28"/>
                <w:szCs w:val="28"/>
              </w:rPr>
              <w:t>United Nations</w:t>
            </w:r>
          </w:p>
        </w:tc>
        <w:tc>
          <w:tcPr>
            <w:tcW w:w="6095" w:type="dxa"/>
            <w:gridSpan w:val="2"/>
            <w:tcBorders>
              <w:bottom w:val="single" w:sz="4" w:space="0" w:color="auto"/>
            </w:tcBorders>
            <w:vAlign w:val="bottom"/>
          </w:tcPr>
          <w:p w14:paraId="315D4C6A" w14:textId="7E1A5DA8" w:rsidR="009E6CB7" w:rsidRPr="00AF648F" w:rsidRDefault="0042121A" w:rsidP="0042121A">
            <w:pPr>
              <w:jc w:val="right"/>
            </w:pPr>
            <w:r w:rsidRPr="00AF648F">
              <w:rPr>
                <w:sz w:val="40"/>
              </w:rPr>
              <w:t>ECE</w:t>
            </w:r>
            <w:r w:rsidRPr="00AF648F">
              <w:t>/</w:t>
            </w:r>
            <w:proofErr w:type="gramStart"/>
            <w:r w:rsidRPr="00AF648F">
              <w:t>MP.PP</w:t>
            </w:r>
            <w:proofErr w:type="gramEnd"/>
            <w:r w:rsidRPr="00AF648F">
              <w:t>/20</w:t>
            </w:r>
            <w:r w:rsidR="00800710" w:rsidRPr="00AF648F">
              <w:t>21</w:t>
            </w:r>
            <w:r w:rsidRPr="00AF648F">
              <w:t>/</w:t>
            </w:r>
            <w:r w:rsidR="00800710" w:rsidRPr="00AF648F">
              <w:t>XX</w:t>
            </w:r>
          </w:p>
        </w:tc>
      </w:tr>
      <w:tr w:rsidR="009E6CB7" w:rsidRPr="00AF648F" w14:paraId="315D4C72" w14:textId="77777777" w:rsidTr="009E6CB7">
        <w:trPr>
          <w:cantSplit/>
          <w:trHeight w:hRule="exact" w:val="2835"/>
        </w:trPr>
        <w:tc>
          <w:tcPr>
            <w:tcW w:w="1276" w:type="dxa"/>
            <w:tcBorders>
              <w:top w:val="single" w:sz="4" w:space="0" w:color="auto"/>
              <w:bottom w:val="single" w:sz="12" w:space="0" w:color="auto"/>
            </w:tcBorders>
          </w:tcPr>
          <w:p w14:paraId="315D4C6C" w14:textId="77777777" w:rsidR="009E6CB7" w:rsidRPr="00AF648F" w:rsidRDefault="00BC7F91" w:rsidP="009E6CB7">
            <w:pPr>
              <w:spacing w:before="120"/>
            </w:pPr>
            <w:r w:rsidRPr="00AF648F">
              <w:rPr>
                <w:noProof/>
                <w:lang w:val="en-US"/>
              </w:rPr>
              <w:drawing>
                <wp:inline distT="0" distB="0" distL="0" distR="0" wp14:anchorId="315D4CD1" wp14:editId="315D4CD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5D4C6D" w14:textId="77777777" w:rsidR="009E6CB7" w:rsidRPr="00AF648F" w:rsidRDefault="009E6CB7" w:rsidP="009E6CB7">
            <w:pPr>
              <w:spacing w:before="120" w:line="420" w:lineRule="exact"/>
              <w:rPr>
                <w:sz w:val="40"/>
                <w:szCs w:val="40"/>
              </w:rPr>
            </w:pPr>
            <w:r w:rsidRPr="00AF648F">
              <w:rPr>
                <w:b/>
                <w:sz w:val="40"/>
                <w:szCs w:val="40"/>
              </w:rPr>
              <w:t>Economic and Social Council</w:t>
            </w:r>
          </w:p>
        </w:tc>
        <w:tc>
          <w:tcPr>
            <w:tcW w:w="2835" w:type="dxa"/>
            <w:tcBorders>
              <w:top w:val="single" w:sz="4" w:space="0" w:color="auto"/>
              <w:bottom w:val="single" w:sz="12" w:space="0" w:color="auto"/>
            </w:tcBorders>
          </w:tcPr>
          <w:p w14:paraId="315D4C6E" w14:textId="77777777" w:rsidR="009E6CB7" w:rsidRPr="00AF648F" w:rsidRDefault="0042121A" w:rsidP="0042121A">
            <w:pPr>
              <w:spacing w:before="240" w:line="240" w:lineRule="exact"/>
            </w:pPr>
            <w:r w:rsidRPr="00AF648F">
              <w:t>Distr.: General</w:t>
            </w:r>
          </w:p>
          <w:p w14:paraId="315D4C6F" w14:textId="66B96527" w:rsidR="0042121A" w:rsidRPr="00AF648F" w:rsidRDefault="00800710" w:rsidP="0042121A">
            <w:pPr>
              <w:spacing w:line="240" w:lineRule="exact"/>
            </w:pPr>
            <w:r w:rsidRPr="00AF648F">
              <w:t>XX</w:t>
            </w:r>
            <w:r w:rsidR="0042121A" w:rsidRPr="00AF648F">
              <w:t xml:space="preserve"> July </w:t>
            </w:r>
            <w:r w:rsidRPr="00AF648F">
              <w:t>2021</w:t>
            </w:r>
          </w:p>
          <w:p w14:paraId="315D4C70" w14:textId="77777777" w:rsidR="0042121A" w:rsidRPr="00AF648F" w:rsidRDefault="0042121A" w:rsidP="0042121A">
            <w:pPr>
              <w:spacing w:line="240" w:lineRule="exact"/>
            </w:pPr>
          </w:p>
          <w:p w14:paraId="315D4C71" w14:textId="77777777" w:rsidR="0042121A" w:rsidRPr="00AF648F" w:rsidRDefault="0042121A" w:rsidP="0042121A">
            <w:pPr>
              <w:spacing w:line="240" w:lineRule="exact"/>
            </w:pPr>
            <w:r w:rsidRPr="00AF648F">
              <w:t>Original: English</w:t>
            </w:r>
          </w:p>
        </w:tc>
      </w:tr>
    </w:tbl>
    <w:p w14:paraId="315D4C73" w14:textId="77777777" w:rsidR="00CF7784" w:rsidRPr="00AF648F" w:rsidRDefault="00CF7784" w:rsidP="00CF7784">
      <w:pPr>
        <w:spacing w:before="120"/>
        <w:rPr>
          <w:b/>
          <w:sz w:val="28"/>
          <w:szCs w:val="28"/>
        </w:rPr>
      </w:pPr>
      <w:r w:rsidRPr="00AF648F">
        <w:rPr>
          <w:b/>
          <w:sz w:val="28"/>
          <w:szCs w:val="28"/>
        </w:rPr>
        <w:t>Economic Commission for Europe</w:t>
      </w:r>
    </w:p>
    <w:p w14:paraId="315D4C74" w14:textId="77777777" w:rsidR="00CF7784" w:rsidRPr="00AF648F" w:rsidRDefault="00CF7784" w:rsidP="00CF7784">
      <w:pPr>
        <w:spacing w:before="120"/>
        <w:rPr>
          <w:b/>
          <w:sz w:val="24"/>
          <w:szCs w:val="24"/>
        </w:rPr>
      </w:pPr>
      <w:r w:rsidRPr="00AF648F">
        <w:rPr>
          <w:sz w:val="28"/>
          <w:szCs w:val="28"/>
        </w:rPr>
        <w:t xml:space="preserve">Meeting of the Parties to the Convention on </w:t>
      </w:r>
      <w:r w:rsidRPr="00AF648F">
        <w:rPr>
          <w:sz w:val="28"/>
          <w:szCs w:val="28"/>
        </w:rPr>
        <w:br/>
        <w:t xml:space="preserve">Access to Information, Public Participation </w:t>
      </w:r>
      <w:r w:rsidRPr="00AF648F">
        <w:rPr>
          <w:sz w:val="28"/>
          <w:szCs w:val="28"/>
        </w:rPr>
        <w:br/>
        <w:t xml:space="preserve">in Decision-making and Access to Justice </w:t>
      </w:r>
      <w:r w:rsidRPr="00AF648F">
        <w:rPr>
          <w:sz w:val="28"/>
          <w:szCs w:val="28"/>
        </w:rPr>
        <w:br/>
        <w:t>in Environmental Matters</w:t>
      </w:r>
    </w:p>
    <w:p w14:paraId="315D4C75" w14:textId="65B23125" w:rsidR="00CF7784" w:rsidRPr="00AF648F" w:rsidRDefault="00FF249B" w:rsidP="00CF7784">
      <w:pPr>
        <w:spacing w:before="120"/>
        <w:rPr>
          <w:b/>
          <w:bCs/>
        </w:rPr>
      </w:pPr>
      <w:r w:rsidRPr="00AF648F">
        <w:rPr>
          <w:b/>
          <w:bCs/>
        </w:rPr>
        <w:t>Seventh</w:t>
      </w:r>
      <w:r w:rsidR="00CF7784" w:rsidRPr="00AF648F">
        <w:rPr>
          <w:b/>
          <w:bCs/>
        </w:rPr>
        <w:t xml:space="preserve"> session</w:t>
      </w:r>
    </w:p>
    <w:p w14:paraId="0B1F3CAB" w14:textId="7F57499B" w:rsidR="00FF249B" w:rsidRPr="00AF648F" w:rsidRDefault="00FF249B" w:rsidP="00FF249B">
      <w:r w:rsidRPr="00AF648F">
        <w:t>Geneva, Switzerland, 18 – 2</w:t>
      </w:r>
      <w:r w:rsidR="00800710" w:rsidRPr="00AF648F">
        <w:t>0</w:t>
      </w:r>
      <w:r w:rsidRPr="00AF648F">
        <w:t xml:space="preserve"> October 2021</w:t>
      </w:r>
    </w:p>
    <w:p w14:paraId="315D4C77" w14:textId="3F07972C" w:rsidR="00CF7784" w:rsidRPr="00AF648F" w:rsidRDefault="00CF7784" w:rsidP="00CF7784">
      <w:pPr>
        <w:spacing w:line="240" w:lineRule="auto"/>
      </w:pPr>
      <w:r w:rsidRPr="00AF648F">
        <w:t xml:space="preserve">Item </w:t>
      </w:r>
      <w:r w:rsidR="00800710" w:rsidRPr="00AF648F">
        <w:t>x</w:t>
      </w:r>
      <w:r w:rsidRPr="00AF648F">
        <w:t xml:space="preserve"> (</w:t>
      </w:r>
      <w:r w:rsidR="00800710" w:rsidRPr="00AF648F">
        <w:t>x</w:t>
      </w:r>
      <w:r w:rsidRPr="00AF648F">
        <w:t>) of the provisional agenda</w:t>
      </w:r>
    </w:p>
    <w:p w14:paraId="315D4C78" w14:textId="77777777" w:rsidR="001C6663" w:rsidRPr="00AF648F" w:rsidRDefault="00CF7784" w:rsidP="00CF7784">
      <w:pPr>
        <w:rPr>
          <w:b/>
        </w:rPr>
      </w:pPr>
      <w:r w:rsidRPr="00AF648F">
        <w:rPr>
          <w:b/>
        </w:rPr>
        <w:t>Procedures and mechanisms facilitating the implementation</w:t>
      </w:r>
      <w:r w:rsidRPr="00AF648F">
        <w:rPr>
          <w:b/>
        </w:rPr>
        <w:br/>
        <w:t>of the Convention: compliance mechanism</w:t>
      </w:r>
    </w:p>
    <w:p w14:paraId="315D4C79" w14:textId="2921FACA" w:rsidR="00CF7784" w:rsidRPr="00AF648F" w:rsidRDefault="00CF7784" w:rsidP="00CF7784">
      <w:pPr>
        <w:pStyle w:val="HChG"/>
        <w:rPr>
          <w:sz w:val="20"/>
          <w:lang w:eastAsia="zh-CN"/>
        </w:rPr>
      </w:pPr>
      <w:r w:rsidRPr="00AF648F">
        <w:rPr>
          <w:lang w:eastAsia="zh-CN"/>
        </w:rPr>
        <w:tab/>
      </w:r>
      <w:r w:rsidRPr="00AF648F">
        <w:rPr>
          <w:lang w:eastAsia="zh-CN"/>
        </w:rPr>
        <w:tab/>
      </w:r>
      <w:r w:rsidR="00800710" w:rsidRPr="00AF648F">
        <w:rPr>
          <w:lang w:eastAsia="zh-CN"/>
        </w:rPr>
        <w:t>Draft r</w:t>
      </w:r>
      <w:r w:rsidRPr="00AF648F">
        <w:rPr>
          <w:lang w:eastAsia="zh-CN"/>
        </w:rPr>
        <w:t>eport of the Compliance Committee</w:t>
      </w:r>
      <w:r w:rsidRPr="00AF648F">
        <w:rPr>
          <w:rStyle w:val="FootnoteReference"/>
          <w:sz w:val="20"/>
          <w:vertAlign w:val="baseline"/>
          <w:lang w:eastAsia="zh-CN"/>
        </w:rPr>
        <w:footnoteReference w:customMarkFollows="1" w:id="2"/>
        <w:t>*</w:t>
      </w:r>
    </w:p>
    <w:p w14:paraId="315D4C7A" w14:textId="77777777" w:rsidR="00CF7784" w:rsidRPr="00AF648F" w:rsidRDefault="00CF7784" w:rsidP="00CF7784">
      <w:pPr>
        <w:pStyle w:val="H1G"/>
        <w:rPr>
          <w:lang w:eastAsia="zh-CN"/>
        </w:rPr>
      </w:pPr>
      <w:r w:rsidRPr="00AF648F">
        <w:rPr>
          <w:lang w:eastAsia="zh-CN"/>
        </w:rPr>
        <w:tab/>
      </w:r>
      <w:r w:rsidRPr="00AF648F">
        <w:rPr>
          <w:lang w:eastAsia="zh-CN"/>
        </w:rPr>
        <w:tab/>
        <w:t>Compliance by the European Union with its obligations under the Convention</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F7784" w:rsidRPr="00AF648F" w14:paraId="315D4C7C" w14:textId="77777777" w:rsidTr="00CF7784">
        <w:trPr>
          <w:jc w:val="center"/>
        </w:trPr>
        <w:tc>
          <w:tcPr>
            <w:tcW w:w="9637" w:type="dxa"/>
            <w:shd w:val="clear" w:color="auto" w:fill="auto"/>
          </w:tcPr>
          <w:p w14:paraId="315D4C7B" w14:textId="77777777" w:rsidR="00CF7784" w:rsidRPr="00AF648F" w:rsidRDefault="00CF7784" w:rsidP="00CF7784">
            <w:pPr>
              <w:spacing w:before="240" w:after="120"/>
              <w:ind w:left="255"/>
              <w:rPr>
                <w:i/>
                <w:sz w:val="24"/>
                <w:lang w:eastAsia="zh-CN"/>
              </w:rPr>
            </w:pPr>
            <w:r w:rsidRPr="00AF648F">
              <w:rPr>
                <w:i/>
                <w:sz w:val="24"/>
                <w:lang w:eastAsia="zh-CN"/>
              </w:rPr>
              <w:t>Summary</w:t>
            </w:r>
          </w:p>
        </w:tc>
      </w:tr>
      <w:tr w:rsidR="00CF7784" w:rsidRPr="00AF648F" w14:paraId="315D4C7E" w14:textId="77777777" w:rsidTr="00CF7784">
        <w:trPr>
          <w:jc w:val="center"/>
        </w:trPr>
        <w:tc>
          <w:tcPr>
            <w:tcW w:w="9637" w:type="dxa"/>
            <w:shd w:val="clear" w:color="auto" w:fill="auto"/>
          </w:tcPr>
          <w:p w14:paraId="315D4C7D" w14:textId="1CFDBC64" w:rsidR="00CF7784" w:rsidRPr="00AF648F" w:rsidRDefault="0083608A" w:rsidP="00CF7784">
            <w:pPr>
              <w:pStyle w:val="SingleTxtG"/>
              <w:rPr>
                <w:lang w:eastAsia="zh-CN"/>
              </w:rPr>
            </w:pPr>
            <w:r w:rsidRPr="00AF648F">
              <w:rPr>
                <w:lang w:eastAsia="zh-CN"/>
              </w:rPr>
              <w:tab/>
            </w:r>
            <w:r w:rsidR="00CF7784" w:rsidRPr="00AF648F">
              <w:rPr>
                <w:lang w:eastAsia="zh-CN"/>
              </w:rPr>
              <w:t xml:space="preserve">This document is prepared by the Compliance Committee pursuant to the request set out in paragraph </w:t>
            </w:r>
            <w:r w:rsidR="00835183" w:rsidRPr="00AF648F">
              <w:rPr>
                <w:lang w:eastAsia="zh-CN"/>
              </w:rPr>
              <w:t>63</w:t>
            </w:r>
            <w:r w:rsidR="00CF7784" w:rsidRPr="00AF648F">
              <w:rPr>
                <w:lang w:eastAsia="zh-CN"/>
              </w:rPr>
              <w:t xml:space="preserve"> of </w:t>
            </w:r>
            <w:r w:rsidR="00800710" w:rsidRPr="00AF648F">
              <w:rPr>
                <w:lang w:eastAsia="zh-CN"/>
              </w:rPr>
              <w:t>the report</w:t>
            </w:r>
            <w:r w:rsidR="00CF7784" w:rsidRPr="00AF648F">
              <w:rPr>
                <w:lang w:eastAsia="zh-CN"/>
              </w:rPr>
              <w:t xml:space="preserve"> of the </w:t>
            </w:r>
            <w:r w:rsidR="00800710" w:rsidRPr="00AF648F">
              <w:rPr>
                <w:lang w:eastAsia="zh-CN"/>
              </w:rPr>
              <w:t xml:space="preserve">sixth session of the </w:t>
            </w:r>
            <w:r w:rsidR="00CF7784" w:rsidRPr="00AF648F">
              <w:rPr>
                <w:lang w:eastAsia="zh-CN"/>
              </w:rPr>
              <w:t>Meeting of the Parties</w:t>
            </w:r>
            <w:r w:rsidR="00800710" w:rsidRPr="00AF648F">
              <w:rPr>
                <w:lang w:eastAsia="zh-CN"/>
              </w:rPr>
              <w:t xml:space="preserve"> (</w:t>
            </w:r>
            <w:proofErr w:type="spellStart"/>
            <w:r w:rsidR="00800710" w:rsidRPr="00AF648F">
              <w:rPr>
                <w:lang w:eastAsia="zh-CN"/>
              </w:rPr>
              <w:t>Budva</w:t>
            </w:r>
            <w:proofErr w:type="spellEnd"/>
            <w:r w:rsidR="00800710" w:rsidRPr="00AF648F">
              <w:rPr>
                <w:lang w:eastAsia="zh-CN"/>
              </w:rPr>
              <w:t>, Montenegro, 11-13 September 2017)</w:t>
            </w:r>
            <w:r w:rsidR="00CF7784" w:rsidRPr="00AF648F">
              <w:rPr>
                <w:lang w:eastAsia="zh-CN"/>
              </w:rPr>
              <w:t xml:space="preserve"> (</w:t>
            </w:r>
            <w:r w:rsidR="00835183" w:rsidRPr="00AF648F">
              <w:rPr>
                <w:color w:val="000000"/>
              </w:rPr>
              <w:t>ECE/MP.PP/2017/2</w:t>
            </w:r>
            <w:r w:rsidR="00CF7784" w:rsidRPr="00AF648F">
              <w:rPr>
                <w:lang w:eastAsia="zh-CN"/>
              </w:rPr>
              <w:t>) and in accordance with the Committee’s mandate set out in paragraph 35 of the annex to decision I/7 of the Meeting of the Parties on review of compliance (ECE/MP.PP/2/Add.8).</w:t>
            </w:r>
          </w:p>
        </w:tc>
      </w:tr>
      <w:tr w:rsidR="00CF7784" w:rsidRPr="00AF648F" w14:paraId="315D4C80" w14:textId="77777777" w:rsidTr="00CF7784">
        <w:trPr>
          <w:jc w:val="center"/>
        </w:trPr>
        <w:tc>
          <w:tcPr>
            <w:tcW w:w="9637" w:type="dxa"/>
            <w:shd w:val="clear" w:color="auto" w:fill="auto"/>
          </w:tcPr>
          <w:p w14:paraId="315D4C7F" w14:textId="77777777" w:rsidR="00CF7784" w:rsidRPr="00AF648F" w:rsidRDefault="00CF7784" w:rsidP="00CF7784">
            <w:pPr>
              <w:rPr>
                <w:lang w:eastAsia="zh-CN"/>
              </w:rPr>
            </w:pPr>
          </w:p>
        </w:tc>
      </w:tr>
    </w:tbl>
    <w:p w14:paraId="315D4C81" w14:textId="77777777" w:rsidR="00CF7784" w:rsidRPr="00AF648F" w:rsidRDefault="00CF7784" w:rsidP="00CF7784">
      <w:pPr>
        <w:rPr>
          <w:lang w:eastAsia="zh-CN"/>
        </w:rPr>
      </w:pPr>
    </w:p>
    <w:p w14:paraId="315D4C82" w14:textId="77777777" w:rsidR="0042121A" w:rsidRPr="00AF648F" w:rsidRDefault="0042121A">
      <w:pPr>
        <w:suppressAutoHyphens w:val="0"/>
        <w:spacing w:line="240" w:lineRule="auto"/>
      </w:pPr>
      <w:r w:rsidRPr="00AF648F">
        <w:br w:type="page"/>
      </w:r>
    </w:p>
    <w:p w14:paraId="315D4C83" w14:textId="77777777" w:rsidR="00CF7784" w:rsidRPr="00AF648F" w:rsidRDefault="001A33D6" w:rsidP="00CF7784">
      <w:pPr>
        <w:pStyle w:val="HChG"/>
        <w:rPr>
          <w:lang w:eastAsia="zh-CN"/>
        </w:rPr>
      </w:pPr>
      <w:r w:rsidRPr="00AF648F">
        <w:rPr>
          <w:lang w:eastAsia="zh-CN"/>
        </w:rPr>
        <w:lastRenderedPageBreak/>
        <w:tab/>
      </w:r>
      <w:r w:rsidR="00CF7784" w:rsidRPr="00AF648F">
        <w:rPr>
          <w:lang w:eastAsia="zh-CN"/>
        </w:rPr>
        <w:t>I.</w:t>
      </w:r>
      <w:r w:rsidR="00CF7784" w:rsidRPr="00AF648F">
        <w:rPr>
          <w:lang w:eastAsia="zh-CN"/>
        </w:rPr>
        <w:tab/>
      </w:r>
      <w:r w:rsidR="00CF7784" w:rsidRPr="00AF648F">
        <w:rPr>
          <w:rFonts w:eastAsia="Calibri"/>
          <w:lang w:eastAsia="zh-CN"/>
        </w:rPr>
        <w:t>Introduction</w:t>
      </w:r>
    </w:p>
    <w:p w14:paraId="315D4C84" w14:textId="0E015A29" w:rsidR="00CF7784" w:rsidRPr="00AF648F" w:rsidRDefault="00873DDD" w:rsidP="00F0552C">
      <w:pPr>
        <w:pStyle w:val="SingleTxtG"/>
        <w:numPr>
          <w:ilvl w:val="0"/>
          <w:numId w:val="19"/>
        </w:numPr>
        <w:tabs>
          <w:tab w:val="left" w:pos="1701"/>
        </w:tabs>
        <w:ind w:left="1134" w:firstLine="0"/>
        <w:rPr>
          <w:lang w:eastAsia="zh-CN"/>
        </w:rPr>
      </w:pPr>
      <w:r w:rsidRPr="00AF648F">
        <w:rPr>
          <w:lang w:eastAsia="zh-CN"/>
        </w:rPr>
        <w:t>At its sixth session (</w:t>
      </w:r>
      <w:proofErr w:type="spellStart"/>
      <w:r w:rsidRPr="00AF648F">
        <w:rPr>
          <w:lang w:eastAsia="zh-CN"/>
        </w:rPr>
        <w:t>Budva</w:t>
      </w:r>
      <w:proofErr w:type="spellEnd"/>
      <w:r w:rsidRPr="00AF648F">
        <w:rPr>
          <w:lang w:eastAsia="zh-CN"/>
        </w:rPr>
        <w:t>, Montenegro, 11-13 September 2017), the Meeting of the Parties to the Convention on Access to Information, Public Participation in Decision-making and Access to Justice in Environmental Matters (Aarhus Convention) agreed to include the following text in the report of its sixth session:</w:t>
      </w:r>
    </w:p>
    <w:p w14:paraId="51E0975C" w14:textId="2049B5D6" w:rsidR="00873DDD" w:rsidRPr="00AF648F" w:rsidRDefault="00873DDD" w:rsidP="00873DDD">
      <w:pPr>
        <w:pStyle w:val="SingleTxtG"/>
        <w:ind w:left="1701" w:firstLine="3"/>
      </w:pPr>
      <w:r w:rsidRPr="00AF648F">
        <w:t>In the spirit of reaching consensus, considering exceptional circumstances, the Meeting of the Parties decided by consensus to postpone the decision-making on draft decision VI/8f concerning the European Union to the next ordinary session of the Meeting of the Parties to be held in 2021. The European Union recalled its willingness to continue exploring ways and means to comply with the Convention in a way that was compatible with the fundamental principles of the European Union legal order and with its system of judicial review.</w:t>
      </w:r>
    </w:p>
    <w:p w14:paraId="46D19AAC" w14:textId="2FB5FE9C" w:rsidR="00873DDD" w:rsidRPr="00AF648F" w:rsidRDefault="00873DDD" w:rsidP="00873DDD">
      <w:pPr>
        <w:pStyle w:val="SingleTxtG"/>
        <w:numPr>
          <w:ilvl w:val="0"/>
          <w:numId w:val="19"/>
        </w:numPr>
        <w:tabs>
          <w:tab w:val="left" w:pos="1701"/>
        </w:tabs>
        <w:ind w:left="1134" w:firstLine="0"/>
        <w:rPr>
          <w:lang w:eastAsia="zh-CN"/>
        </w:rPr>
      </w:pPr>
      <w:r w:rsidRPr="00AF648F">
        <w:t>Through paragraph 63 of its report of the sixth session, the Meeting of the Parties requested the Compliance Committee to review any developments that had taken place regarding the matter and to report to the Meeting of the Parties accordingly. In that context, the European Union stated that it reaffirmed its commitment to implement decision V/9g (see ECE/</w:t>
      </w:r>
      <w:proofErr w:type="gramStart"/>
      <w:r w:rsidRPr="00AF648F">
        <w:t>MP.PP</w:t>
      </w:r>
      <w:proofErr w:type="gramEnd"/>
      <w:r w:rsidRPr="00AF648F">
        <w:t>/2017/2).</w:t>
      </w:r>
    </w:p>
    <w:p w14:paraId="73F5726C" w14:textId="46EF13CF" w:rsidR="00F0552C" w:rsidRPr="00AF648F" w:rsidRDefault="00F0552C" w:rsidP="00F0552C">
      <w:pPr>
        <w:pStyle w:val="SingleTxtG"/>
        <w:numPr>
          <w:ilvl w:val="0"/>
          <w:numId w:val="19"/>
        </w:numPr>
        <w:tabs>
          <w:tab w:val="left" w:pos="1701"/>
        </w:tabs>
        <w:ind w:left="1134" w:firstLine="0"/>
        <w:rPr>
          <w:lang w:eastAsia="zh-CN"/>
        </w:rPr>
      </w:pPr>
      <w:r w:rsidRPr="00AF648F">
        <w:rPr>
          <w:lang w:eastAsia="zh-CN"/>
        </w:rPr>
        <w:t>In accordance with the Compliance Committee’s procedure, the request of the Meeting of the Parties was given the case reference: request ACCC/M/2017/3.</w:t>
      </w:r>
    </w:p>
    <w:p w14:paraId="7FD2C675" w14:textId="4E30D4C3" w:rsidR="00873DDD" w:rsidRPr="00AF648F" w:rsidRDefault="00CF7784" w:rsidP="00F0552C">
      <w:pPr>
        <w:pStyle w:val="HChG"/>
        <w:rPr>
          <w:rFonts w:eastAsia="Calibri"/>
          <w:lang w:eastAsia="zh-CN"/>
        </w:rPr>
      </w:pPr>
      <w:r w:rsidRPr="00AF648F">
        <w:rPr>
          <w:rFonts w:eastAsia="Calibri"/>
          <w:lang w:eastAsia="zh-CN"/>
        </w:rPr>
        <w:tab/>
        <w:t>II.</w:t>
      </w:r>
      <w:r w:rsidRPr="00AF648F">
        <w:rPr>
          <w:rFonts w:eastAsia="Calibri"/>
          <w:lang w:eastAsia="zh-CN"/>
        </w:rPr>
        <w:tab/>
        <w:t>Summary of follow-up</w:t>
      </w:r>
    </w:p>
    <w:p w14:paraId="1FD39E69" w14:textId="1F61ECB0" w:rsidR="00873DDD" w:rsidRPr="00AF648F" w:rsidRDefault="00873DDD" w:rsidP="00873DDD">
      <w:pPr>
        <w:pStyle w:val="SingleTxtG"/>
        <w:numPr>
          <w:ilvl w:val="0"/>
          <w:numId w:val="19"/>
        </w:numPr>
        <w:tabs>
          <w:tab w:val="left" w:pos="1701"/>
        </w:tabs>
        <w:ind w:left="1134" w:firstLine="0"/>
        <w:rPr>
          <w:lang w:eastAsia="zh-CN"/>
        </w:rPr>
      </w:pPr>
      <w:r w:rsidRPr="00AF648F">
        <w:t>On 26 February 2018, the communicant of communication ACCC/C/2010/54 submitted a written statement.</w:t>
      </w:r>
    </w:p>
    <w:p w14:paraId="0AC1CE5E" w14:textId="4C368DBB" w:rsidR="00873DDD" w:rsidRPr="00AF648F" w:rsidRDefault="00873DDD" w:rsidP="00873DDD">
      <w:pPr>
        <w:pStyle w:val="SingleTxtG"/>
        <w:numPr>
          <w:ilvl w:val="0"/>
          <w:numId w:val="19"/>
        </w:numPr>
        <w:tabs>
          <w:tab w:val="left" w:pos="1701"/>
        </w:tabs>
        <w:ind w:left="1134" w:firstLine="0"/>
        <w:rPr>
          <w:lang w:eastAsia="zh-CN"/>
        </w:rPr>
      </w:pPr>
      <w:r w:rsidRPr="00AF648F">
        <w:t>At its sixtieth meeting (Geneva, 12-15 March 2018), the Committee reviewed request ACCC/M/2017/3 (European Union) in open session with the participation by audio conference of representatives of the Party concerned, the communicants of communications ACCC/C/2008/32 and ACCC/C/2010/54 and representatives of Italy, Norway, the Netherlands and Switzerland as observers. The Chair informed the Party concerned that the Committee would invite the Party concerned to provide a progress report by 1 October 2018 on the measures taken by then to implement request ACCC/M/2017/3.</w:t>
      </w:r>
    </w:p>
    <w:p w14:paraId="3C79BDB8" w14:textId="0694567A" w:rsidR="00800710" w:rsidRPr="00AF648F" w:rsidRDefault="00800710" w:rsidP="00873DDD">
      <w:pPr>
        <w:pStyle w:val="SingleTxtG"/>
        <w:numPr>
          <w:ilvl w:val="0"/>
          <w:numId w:val="19"/>
        </w:numPr>
        <w:tabs>
          <w:tab w:val="left" w:pos="1701"/>
        </w:tabs>
        <w:ind w:left="1134" w:firstLine="0"/>
        <w:rPr>
          <w:lang w:eastAsia="zh-CN"/>
        </w:rPr>
      </w:pPr>
      <w:r w:rsidRPr="00AF648F">
        <w:t>On 13 June 2018, the Party concerned provided a written version of the statement it had delivered at the Committee’s sixtieth meeting</w:t>
      </w:r>
      <w:r w:rsidR="008B4729" w:rsidRPr="00AF648F">
        <w:t>, together with a  “roadmap” for the implementation of the Convention in the area of access to justice in environmental matters.</w:t>
      </w:r>
    </w:p>
    <w:p w14:paraId="63E82D14" w14:textId="042B1442" w:rsidR="00873DDD" w:rsidRPr="00AF648F" w:rsidRDefault="00873DDD" w:rsidP="00873DDD">
      <w:pPr>
        <w:pStyle w:val="SingleTxtG"/>
        <w:numPr>
          <w:ilvl w:val="0"/>
          <w:numId w:val="19"/>
        </w:numPr>
        <w:tabs>
          <w:tab w:val="left" w:pos="1701"/>
        </w:tabs>
        <w:ind w:left="1134" w:firstLine="0"/>
        <w:rPr>
          <w:lang w:eastAsia="zh-CN"/>
        </w:rPr>
      </w:pPr>
      <w:r w:rsidRPr="00AF648F">
        <w:t xml:space="preserve">On 26 June 2018, the communicant of communication ACCC/C/2010/54 submitted a written statement </w:t>
      </w:r>
      <w:r w:rsidR="00800710" w:rsidRPr="00AF648F">
        <w:t xml:space="preserve">for </w:t>
      </w:r>
      <w:r w:rsidRPr="00AF648F">
        <w:t xml:space="preserve">the Committee’s </w:t>
      </w:r>
      <w:r w:rsidR="00800710" w:rsidRPr="00AF648F">
        <w:t>sixty-first</w:t>
      </w:r>
      <w:r w:rsidRPr="00AF648F">
        <w:t xml:space="preserve"> meeting</w:t>
      </w:r>
      <w:r w:rsidR="00800710" w:rsidRPr="00AF648F">
        <w:t xml:space="preserve"> (Geneva, 2-6 July 2018)</w:t>
      </w:r>
      <w:r w:rsidRPr="00AF648F">
        <w:t>.</w:t>
      </w:r>
    </w:p>
    <w:p w14:paraId="0655A706" w14:textId="70186761" w:rsidR="00873DDD" w:rsidRPr="00AF648F" w:rsidRDefault="006D2870" w:rsidP="00873DDD">
      <w:pPr>
        <w:pStyle w:val="SingleTxtG"/>
        <w:numPr>
          <w:ilvl w:val="0"/>
          <w:numId w:val="19"/>
        </w:numPr>
        <w:tabs>
          <w:tab w:val="left" w:pos="1701"/>
        </w:tabs>
        <w:ind w:left="1134" w:firstLine="0"/>
        <w:rPr>
          <w:lang w:eastAsia="zh-CN"/>
        </w:rPr>
      </w:pPr>
      <w:r w:rsidRPr="00AF648F">
        <w:rPr>
          <w:lang w:eastAsia="zh-CN"/>
        </w:rPr>
        <w:t>On 31 July 2018, the secretariat wrote to the Party concerned to remind it of the deadline of 1 October 2018 to report on its progress with respect to request ACCC/M/2017/3.</w:t>
      </w:r>
    </w:p>
    <w:p w14:paraId="4509F664" w14:textId="03B4E2F3"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On 1 October 2018, the Party concerned submitted its first progress report on request ACCC/M/2017/3 on time.</w:t>
      </w:r>
    </w:p>
    <w:p w14:paraId="4C2EC804" w14:textId="41F14996"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 xml:space="preserve">On 5 October 2018, the secretariat forwarded the </w:t>
      </w:r>
      <w:r w:rsidR="00800710" w:rsidRPr="00AF648F">
        <w:rPr>
          <w:lang w:eastAsia="zh-CN"/>
        </w:rPr>
        <w:t xml:space="preserve">Party </w:t>
      </w:r>
      <w:proofErr w:type="spellStart"/>
      <w:r w:rsidR="00800710" w:rsidRPr="00AF648F">
        <w:rPr>
          <w:lang w:eastAsia="zh-CN"/>
        </w:rPr>
        <w:t>concerned’s</w:t>
      </w:r>
      <w:proofErr w:type="spellEnd"/>
      <w:r w:rsidR="00800710" w:rsidRPr="00AF648F">
        <w:rPr>
          <w:lang w:eastAsia="zh-CN"/>
        </w:rPr>
        <w:t xml:space="preserve"> </w:t>
      </w:r>
      <w:r w:rsidRPr="00AF648F">
        <w:rPr>
          <w:lang w:eastAsia="zh-CN"/>
        </w:rPr>
        <w:t xml:space="preserve">first progress report to the communicants of communications ACCC/C/2008/32, and ACCC/C/2010/54, and observers Coalition for Access to Justice for the Environment, Justice &amp; Environment, Ms. </w:t>
      </w:r>
      <w:proofErr w:type="spellStart"/>
      <w:r w:rsidRPr="00AF648F">
        <w:rPr>
          <w:lang w:eastAsia="zh-CN"/>
        </w:rPr>
        <w:t>Mariolina</w:t>
      </w:r>
      <w:proofErr w:type="spellEnd"/>
      <w:r w:rsidRPr="00AF648F">
        <w:rPr>
          <w:lang w:eastAsia="zh-CN"/>
        </w:rPr>
        <w:t xml:space="preserve"> </w:t>
      </w:r>
      <w:proofErr w:type="spellStart"/>
      <w:r w:rsidRPr="00AF648F">
        <w:rPr>
          <w:lang w:eastAsia="zh-CN"/>
        </w:rPr>
        <w:t>Eliantonio</w:t>
      </w:r>
      <w:proofErr w:type="spellEnd"/>
      <w:r w:rsidRPr="00AF648F">
        <w:rPr>
          <w:lang w:eastAsia="zh-CN"/>
        </w:rPr>
        <w:t xml:space="preserve">, Mr. Chris Backes, Mr. Otto Brouwer and Mr. Joep </w:t>
      </w:r>
      <w:proofErr w:type="spellStart"/>
      <w:r w:rsidRPr="00AF648F">
        <w:rPr>
          <w:lang w:eastAsia="zh-CN"/>
        </w:rPr>
        <w:t>Wolfhagen</w:t>
      </w:r>
      <w:proofErr w:type="spellEnd"/>
      <w:r w:rsidRPr="00AF648F">
        <w:rPr>
          <w:lang w:eastAsia="zh-CN"/>
        </w:rPr>
        <w:t>, inviting their comments by 1 November 2018.</w:t>
      </w:r>
    </w:p>
    <w:p w14:paraId="11DA1D72" w14:textId="57B29D2A"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lastRenderedPageBreak/>
        <w:t>On 22 October 2018, the communicant of communication ACCC/C/2010/54 provided comments on the first progress report.</w:t>
      </w:r>
    </w:p>
    <w:p w14:paraId="7A443164" w14:textId="613E3AB4"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On 5 November 2018, the communicant of communication ACCC/C/2008/32 provided comments on the first progress report.</w:t>
      </w:r>
    </w:p>
    <w:p w14:paraId="2B5F04B3" w14:textId="739A4EB1"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 xml:space="preserve">After </w:t>
      </w:r>
      <w:proofErr w:type="gramStart"/>
      <w:r w:rsidRPr="00AF648F">
        <w:rPr>
          <w:lang w:eastAsia="zh-CN"/>
        </w:rPr>
        <w:t>taking into account</w:t>
      </w:r>
      <w:proofErr w:type="gramEnd"/>
      <w:r w:rsidRPr="00AF648F">
        <w:rPr>
          <w:lang w:eastAsia="zh-CN"/>
        </w:rPr>
        <w:t xml:space="preserve"> the information received, the Committee prepared its first progress review and adopted it through its electronic decision-making procedure on 22 February 2019. </w:t>
      </w:r>
      <w:r w:rsidR="00800710" w:rsidRPr="00AF648F">
        <w:rPr>
          <w:lang w:eastAsia="zh-CN"/>
        </w:rPr>
        <w:t>On 26 February 2019, the Committee’s first progress review was sent</w:t>
      </w:r>
      <w:r w:rsidRPr="00AF648F">
        <w:rPr>
          <w:lang w:eastAsia="zh-CN"/>
        </w:rPr>
        <w:t xml:space="preserve"> to the Party concerned, the communicants of communications ACCC/C/2008/32 and ACCC/C/2010/54 and registered observers.</w:t>
      </w:r>
    </w:p>
    <w:p w14:paraId="4E54C635" w14:textId="38788E3E"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On 5 March 2019, the communicant of communication ACCC/C/2008/32 submitted additional information.</w:t>
      </w:r>
    </w:p>
    <w:p w14:paraId="03F5C41B" w14:textId="7FECCF4F"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 xml:space="preserve">At its sixty-third meeting (Geneva, 11-15 March 2019), the Committee reviewed the implementation of </w:t>
      </w:r>
      <w:r w:rsidR="00800710" w:rsidRPr="00AF648F">
        <w:rPr>
          <w:lang w:eastAsia="zh-CN"/>
        </w:rPr>
        <w:t xml:space="preserve">request ACCC/M/2017/3 </w:t>
      </w:r>
      <w:r w:rsidRPr="00AF648F">
        <w:rPr>
          <w:lang w:eastAsia="zh-CN"/>
        </w:rPr>
        <w:t>in open session, with the participation by audio conference of representatives of the Party concerned and of the communicants of communications ACCC/C/2008/32 and ACCC/C/2010/54.</w:t>
      </w:r>
    </w:p>
    <w:p w14:paraId="64FDE393" w14:textId="32D851B9"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On 30 April 2019, the Party concerned submitted a statement following the open session on request ACCC/M/2017/3 at the Committee’s sixty-third meeting, and on 6 May 2019, the communicant of communication ACCC/C/2008/32 submitted comments thereon.</w:t>
      </w:r>
    </w:p>
    <w:p w14:paraId="2FC3E779" w14:textId="181BCF13"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On 28 May 2019, the Committee sent advice to the Party concerned</w:t>
      </w:r>
      <w:r w:rsidR="0065276E">
        <w:rPr>
          <w:lang w:eastAsia="zh-CN"/>
        </w:rPr>
        <w:t xml:space="preserve"> with respect to its implementation of paragraph 3 of decision V/9g</w:t>
      </w:r>
      <w:r w:rsidRPr="00AF648F">
        <w:rPr>
          <w:lang w:eastAsia="zh-CN"/>
        </w:rPr>
        <w:t>.</w:t>
      </w:r>
    </w:p>
    <w:p w14:paraId="067416C0" w14:textId="0BB71E14"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On 24 July 2019, the secretariat sent a letter to the Party concerned reminding the Party concerned of the Committee’s invitation at its sixty-third meeting to provide a second progress report by 1 October 2019 on the progress it had by that date made to implement paragraph 3 of decision V/9g and paragraph 123 of the Committee’s findings on communication ACCC/C/2008/32 (part II).</w:t>
      </w:r>
    </w:p>
    <w:p w14:paraId="0B09924D" w14:textId="6A73DE36"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On 30 September 2019, the Party concerned requested an extension of the deadline to submit its second progress report. On the same day, the Chair of the Committee agreed to the extension.</w:t>
      </w:r>
    </w:p>
    <w:p w14:paraId="4A7E2994" w14:textId="2728E99C" w:rsidR="00812AFF" w:rsidRPr="00AF648F" w:rsidRDefault="00F0552C" w:rsidP="00812AFF">
      <w:pPr>
        <w:pStyle w:val="SingleTxtG"/>
        <w:numPr>
          <w:ilvl w:val="0"/>
          <w:numId w:val="19"/>
        </w:numPr>
        <w:tabs>
          <w:tab w:val="left" w:pos="1701"/>
        </w:tabs>
        <w:ind w:left="1134" w:firstLine="0"/>
        <w:rPr>
          <w:lang w:eastAsia="zh-CN"/>
        </w:rPr>
      </w:pPr>
      <w:r w:rsidRPr="00AF648F">
        <w:rPr>
          <w:lang w:eastAsia="zh-CN"/>
        </w:rPr>
        <w:t>On 28 October 2019, the Party concerned submitted its second progress report</w:t>
      </w:r>
      <w:r w:rsidR="00812AFF" w:rsidRPr="00AF648F">
        <w:rPr>
          <w:lang w:eastAsia="zh-CN"/>
        </w:rPr>
        <w:t xml:space="preserve"> on request ACCC/M/2017/3.</w:t>
      </w:r>
    </w:p>
    <w:p w14:paraId="50F186DB" w14:textId="2DE78AB7"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On 30 October 2019, the second progress report of the Party concerned was forwarded to the communicants of communications ACCC/C/2008/32 and ACCC/C/2010/54 and registered observers for their comments by 26 November 2019.</w:t>
      </w:r>
    </w:p>
    <w:p w14:paraId="26C1585D" w14:textId="70FF36F2"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On 25 November 2019, the communicant of communication ACCC/C/2008/32 submitted its comments on the second progress report of the Party concerned.</w:t>
      </w:r>
    </w:p>
    <w:p w14:paraId="09EBDA67" w14:textId="6A8BFBDE"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On 13 December 2019, the communicant of communication ACCC/C/2010/54 submitted his comments on the second progress report of the Party concerned.</w:t>
      </w:r>
    </w:p>
    <w:p w14:paraId="174A72A8" w14:textId="6A1595C5" w:rsidR="00F0552C" w:rsidRPr="00AF648F" w:rsidRDefault="00F0552C" w:rsidP="00873DDD">
      <w:pPr>
        <w:pStyle w:val="SingleTxtG"/>
        <w:numPr>
          <w:ilvl w:val="0"/>
          <w:numId w:val="19"/>
        </w:numPr>
        <w:tabs>
          <w:tab w:val="left" w:pos="1701"/>
        </w:tabs>
        <w:ind w:left="1134" w:firstLine="0"/>
        <w:rPr>
          <w:lang w:eastAsia="zh-CN"/>
        </w:rPr>
      </w:pPr>
      <w:r w:rsidRPr="00AF648F">
        <w:rPr>
          <w:lang w:eastAsia="zh-CN"/>
        </w:rPr>
        <w:t>On 21 January 2020, the secretariat wrote to the Party concerned to inform it that the Committee st</w:t>
      </w:r>
      <w:r w:rsidR="008B4729" w:rsidRPr="00AF648F">
        <w:rPr>
          <w:lang w:eastAsia="zh-CN"/>
        </w:rPr>
        <w:t>ood</w:t>
      </w:r>
      <w:r w:rsidRPr="00AF648F">
        <w:rPr>
          <w:lang w:eastAsia="zh-CN"/>
        </w:rPr>
        <w:t xml:space="preserve"> ready to provide advice and assistance with respect to any draft measures to implement paragraph 123 of the Committee’s findings on communication ACCC/C/2008/32 (part II), and to express the Committee’s willingness to meet with representatives of the Party concerned in this regard.</w:t>
      </w:r>
    </w:p>
    <w:p w14:paraId="35D8C47B" w14:textId="03C6487C" w:rsidR="00F0552C" w:rsidRPr="00AF648F" w:rsidRDefault="008B4729" w:rsidP="00873DDD">
      <w:pPr>
        <w:pStyle w:val="SingleTxtG"/>
        <w:numPr>
          <w:ilvl w:val="0"/>
          <w:numId w:val="19"/>
        </w:numPr>
        <w:tabs>
          <w:tab w:val="left" w:pos="1701"/>
        </w:tabs>
        <w:ind w:left="1134" w:firstLine="0"/>
        <w:rPr>
          <w:lang w:eastAsia="zh-CN"/>
        </w:rPr>
      </w:pPr>
      <w:r w:rsidRPr="00AF648F">
        <w:rPr>
          <w:lang w:eastAsia="zh-CN"/>
        </w:rPr>
        <w:t>T</w:t>
      </w:r>
      <w:r w:rsidR="00F0552C" w:rsidRPr="00AF648F">
        <w:rPr>
          <w:lang w:eastAsia="zh-CN"/>
        </w:rPr>
        <w:t>he Committee prepared its second progress review</w:t>
      </w:r>
      <w:r w:rsidRPr="00AF648F">
        <w:rPr>
          <w:lang w:eastAsia="zh-CN"/>
        </w:rPr>
        <w:t xml:space="preserve">, </w:t>
      </w:r>
      <w:proofErr w:type="gramStart"/>
      <w:r w:rsidRPr="00AF648F">
        <w:rPr>
          <w:lang w:eastAsia="zh-CN"/>
        </w:rPr>
        <w:t>taking into account</w:t>
      </w:r>
      <w:proofErr w:type="gramEnd"/>
      <w:r w:rsidRPr="00AF648F">
        <w:rPr>
          <w:lang w:eastAsia="zh-CN"/>
        </w:rPr>
        <w:t xml:space="preserve"> the information on request ACCC/M/2017/3 by then received,</w:t>
      </w:r>
      <w:r w:rsidR="00F0552C" w:rsidRPr="00AF648F">
        <w:rPr>
          <w:lang w:eastAsia="zh-CN"/>
        </w:rPr>
        <w:t xml:space="preserve"> and adopted it through its electronic decision-making procedure on 26 February 2020. </w:t>
      </w:r>
      <w:r w:rsidRPr="00AF648F">
        <w:rPr>
          <w:lang w:eastAsia="zh-CN"/>
        </w:rPr>
        <w:t>The</w:t>
      </w:r>
      <w:r w:rsidR="00F0552C" w:rsidRPr="00AF648F">
        <w:rPr>
          <w:lang w:eastAsia="zh-CN"/>
        </w:rPr>
        <w:t xml:space="preserve"> second progress review </w:t>
      </w:r>
      <w:r w:rsidRPr="00AF648F">
        <w:rPr>
          <w:lang w:eastAsia="zh-CN"/>
        </w:rPr>
        <w:t xml:space="preserve">was </w:t>
      </w:r>
      <w:r w:rsidRPr="00AF648F">
        <w:rPr>
          <w:lang w:eastAsia="zh-CN"/>
        </w:rPr>
        <w:lastRenderedPageBreak/>
        <w:t xml:space="preserve">thereafter sent on that date </w:t>
      </w:r>
      <w:r w:rsidR="00F0552C" w:rsidRPr="00AF648F">
        <w:rPr>
          <w:lang w:eastAsia="zh-CN"/>
        </w:rPr>
        <w:t>to the Party concerned and the communicants of communications ACCC/C/2008/32 and ACCC/C/2010/54 and registered observers.</w:t>
      </w:r>
    </w:p>
    <w:p w14:paraId="7DA7F6DA" w14:textId="474AE4CA" w:rsidR="00F0552C" w:rsidRPr="00AF648F" w:rsidRDefault="00B30688" w:rsidP="00873DDD">
      <w:pPr>
        <w:pStyle w:val="SingleTxtG"/>
        <w:numPr>
          <w:ilvl w:val="0"/>
          <w:numId w:val="19"/>
        </w:numPr>
        <w:tabs>
          <w:tab w:val="left" w:pos="1701"/>
        </w:tabs>
        <w:ind w:left="1134" w:firstLine="0"/>
        <w:rPr>
          <w:lang w:eastAsia="zh-CN"/>
        </w:rPr>
      </w:pPr>
      <w:r w:rsidRPr="00AF648F">
        <w:rPr>
          <w:lang w:eastAsia="zh-CN"/>
        </w:rPr>
        <w:t>On 6 March 2020, the Party concerned submitted a “roadmap” on access to justice in environmental matters. On the same day, observer Justice &amp; Environment submitted additional information.</w:t>
      </w:r>
    </w:p>
    <w:p w14:paraId="1F37FA0B" w14:textId="268CE574" w:rsidR="00B30688" w:rsidRPr="00AF648F" w:rsidRDefault="00002FC4" w:rsidP="00873DDD">
      <w:pPr>
        <w:pStyle w:val="SingleTxtG"/>
        <w:numPr>
          <w:ilvl w:val="0"/>
          <w:numId w:val="19"/>
        </w:numPr>
        <w:tabs>
          <w:tab w:val="left" w:pos="1701"/>
        </w:tabs>
        <w:ind w:left="1134" w:firstLine="0"/>
        <w:rPr>
          <w:lang w:eastAsia="zh-CN"/>
        </w:rPr>
      </w:pPr>
      <w:r w:rsidRPr="00AF648F">
        <w:rPr>
          <w:lang w:eastAsia="zh-CN"/>
        </w:rPr>
        <w:t>At its sixty-sixth meeting (Geneva, 9-13 March 2020), the Committee reviewed the implementation of decision VI/8k in open session, with the participation by audio conference of representatives of the Party concerned and of the communicants of communications ACCC/C/2008/32 and ACCC/C/2010/54.</w:t>
      </w:r>
    </w:p>
    <w:p w14:paraId="355A659D" w14:textId="60D4A8F5" w:rsidR="00B30688" w:rsidRPr="00AF648F" w:rsidRDefault="00812AFF" w:rsidP="00873DDD">
      <w:pPr>
        <w:pStyle w:val="SingleTxtG"/>
        <w:numPr>
          <w:ilvl w:val="0"/>
          <w:numId w:val="19"/>
        </w:numPr>
        <w:tabs>
          <w:tab w:val="left" w:pos="1701"/>
        </w:tabs>
        <w:ind w:left="1134" w:firstLine="0"/>
        <w:rPr>
          <w:lang w:eastAsia="zh-CN"/>
        </w:rPr>
      </w:pPr>
      <w:r w:rsidRPr="00AF648F">
        <w:rPr>
          <w:lang w:eastAsia="zh-CN"/>
        </w:rPr>
        <w:t xml:space="preserve">On 11 March 2020, the communicant of communications ACCC/C/2008/32 sent a written version of </w:t>
      </w:r>
      <w:r w:rsidR="008B4729" w:rsidRPr="00AF648F">
        <w:rPr>
          <w:lang w:eastAsia="zh-CN"/>
        </w:rPr>
        <w:t>the</w:t>
      </w:r>
      <w:r w:rsidRPr="00AF648F">
        <w:rPr>
          <w:lang w:eastAsia="zh-CN"/>
        </w:rPr>
        <w:t xml:space="preserve"> statement </w:t>
      </w:r>
      <w:r w:rsidR="008B4729" w:rsidRPr="00AF648F">
        <w:rPr>
          <w:lang w:eastAsia="zh-CN"/>
        </w:rPr>
        <w:t xml:space="preserve">it had </w:t>
      </w:r>
      <w:r w:rsidRPr="00AF648F">
        <w:rPr>
          <w:lang w:eastAsia="zh-CN"/>
        </w:rPr>
        <w:t xml:space="preserve">delivered at the Committee’s sixty-sixth meeting. </w:t>
      </w:r>
    </w:p>
    <w:p w14:paraId="114CF0DA" w14:textId="5962AEB9"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On 30 September 2020, the Party concerned submitted its final progress report on request ACCC/M/2017/3. On the same day, the secretariat forwarded the final progress report to the communicants of communications ACCC/C/2008/32 and ACCC/C/2010/54 and registered observers, inviting their comments thereon by 29 October 2020</w:t>
      </w:r>
      <w:r w:rsidR="008B4729" w:rsidRPr="00AF648F">
        <w:rPr>
          <w:lang w:eastAsia="zh-CN"/>
        </w:rPr>
        <w:t>.</w:t>
      </w:r>
    </w:p>
    <w:p w14:paraId="1D7A6AC5" w14:textId="4FBC27D7"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On 14 October 2020, the Party concerned submitted an update to its final progress report, including a legislative proposal to amend the Aarhus Regulation and a Communication to the European Parliament, the Council, the European Economic and Social Committee and the Committee of the Regions on improving access to justice in environmental matters.</w:t>
      </w:r>
    </w:p>
    <w:p w14:paraId="00515227" w14:textId="1C1F403E"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 xml:space="preserve">On 26 October 2020, the communicant of communication ACCC/C/2010/54 </w:t>
      </w:r>
      <w:r w:rsidR="008B4729" w:rsidRPr="00AF648F">
        <w:rPr>
          <w:lang w:eastAsia="zh-CN"/>
        </w:rPr>
        <w:t xml:space="preserve">and the Council of Bars and Law Societies of Europe each </w:t>
      </w:r>
      <w:r w:rsidRPr="00AF648F">
        <w:rPr>
          <w:lang w:eastAsia="zh-CN"/>
        </w:rPr>
        <w:t xml:space="preserve">submitted comments on the Party </w:t>
      </w:r>
      <w:proofErr w:type="spellStart"/>
      <w:r w:rsidRPr="00AF648F">
        <w:rPr>
          <w:lang w:eastAsia="zh-CN"/>
        </w:rPr>
        <w:t>concerned’s</w:t>
      </w:r>
      <w:proofErr w:type="spellEnd"/>
      <w:r w:rsidRPr="00AF648F">
        <w:rPr>
          <w:lang w:eastAsia="zh-CN"/>
        </w:rPr>
        <w:t xml:space="preserve"> final progress report and legislative proposal.</w:t>
      </w:r>
    </w:p>
    <w:p w14:paraId="7D2FF99F" w14:textId="689953F0"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 xml:space="preserve">On 28 October 2020, the communicant of communication ACCC/C/2008/32 provided comments on the Party </w:t>
      </w:r>
      <w:proofErr w:type="spellStart"/>
      <w:r w:rsidRPr="00AF648F">
        <w:rPr>
          <w:lang w:eastAsia="zh-CN"/>
        </w:rPr>
        <w:t>concerned’s</w:t>
      </w:r>
      <w:proofErr w:type="spellEnd"/>
      <w:r w:rsidRPr="00AF648F">
        <w:rPr>
          <w:lang w:eastAsia="zh-CN"/>
        </w:rPr>
        <w:t xml:space="preserve"> final progress report and legislative proposal.</w:t>
      </w:r>
    </w:p>
    <w:p w14:paraId="5D3618B2" w14:textId="0FDA1A5F"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On 5 November 2020, the Party concerned requested the Committee to provide it with advice on its legislative proposal to amend the Aarhus Regulation.</w:t>
      </w:r>
    </w:p>
    <w:p w14:paraId="3D326E20" w14:textId="495B5D74"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By letter of 12 November 2020, the Committee confirmed its willingness to provide the requested advice. With a view to preparing its draft advice, the Committee also indicated its intention to hold a videoconference regarding request ACCC/M/2017/3 at its upcoming sixty-eighth meeting (23-27 November 2020) in order to hear the views of the Party concerned, communicants and observers on the extent to which the legislative proposal, and accompanying Communication, would fulfil the requirements of the Committee’s findings on communication ACCC/C/2008/32 (Part II).</w:t>
      </w:r>
    </w:p>
    <w:p w14:paraId="511D0BDF" w14:textId="39BC69C6"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 xml:space="preserve">On 25 November 2020, in the context of its sixty-eighth meeting, the Committee held </w:t>
      </w:r>
      <w:r w:rsidR="008B4729" w:rsidRPr="00AF648F">
        <w:rPr>
          <w:lang w:eastAsia="zh-CN"/>
        </w:rPr>
        <w:t>a</w:t>
      </w:r>
      <w:r w:rsidRPr="00AF648F">
        <w:rPr>
          <w:lang w:eastAsia="zh-CN"/>
        </w:rPr>
        <w:t xml:space="preserve"> videoconference with the participation of representatives of the Party concerned, the communicants of communications ACCC/C/2008/32 and ACCC/C/2010/54 and observers.</w:t>
      </w:r>
    </w:p>
    <w:p w14:paraId="23F38D67" w14:textId="4FB3A456"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On 25 and 26 November 2020 respectively, the communicant of communication ACCC/C/2008/32 and the Party concerned provided practical examples, at the Committee’s request, of provisions of acts explicitly requiring implementing measures at the national level.</w:t>
      </w:r>
    </w:p>
    <w:p w14:paraId="39B4568D" w14:textId="538B2173"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On 29 and 30 November 2020 respectively, the communicant of communication ACCC/C/2010/54 and the communicant of communication ACCC/C/2008/32 provided comments on the practical examples provided by the Party concerned.</w:t>
      </w:r>
    </w:p>
    <w:p w14:paraId="1B8F24E7" w14:textId="4CEAC5A1"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On 30 November 2020, the Party concerned provided comments on the practical examples provided by the communicant of communication ACCC/C/2008/32.</w:t>
      </w:r>
    </w:p>
    <w:p w14:paraId="65AC8542" w14:textId="6BD6A373"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lastRenderedPageBreak/>
        <w:t>On 19 December 2020, the Party concerned informed the Committee that the Council of the European Union had adopted its general approach on the Commission’s legislative proposal of 14 October 2020.</w:t>
      </w:r>
    </w:p>
    <w:p w14:paraId="2449523D" w14:textId="42B9356F"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The Committee prepared its draft advice and agreed it through its electronic decision-making procedure on 18 January 2021. In accordance with paragraph 34 of the annex to decision I/7, the draft advice was forwarded on that date to the Party concerned, the communicants of communications ACCC/C/2008/32 and ACCC/C/2010/54 and registered observers with an invitation to provide comments by 1 February 2021.</w:t>
      </w:r>
    </w:p>
    <w:p w14:paraId="5643AA5B" w14:textId="1B5766ED"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Comments on the Committee’s draft advice were received on 31 January 2021 from the communicant of communication ACCC/C/2010/54 and on 1 February 2021 from the Party concerned, the communicant of communication ACCC/C/2008/32 and the European Environmental Bureau as an observer.</w:t>
      </w:r>
    </w:p>
    <w:p w14:paraId="03146439" w14:textId="1578691B" w:rsidR="00812AFF" w:rsidRPr="00AF648F" w:rsidRDefault="00812AFF" w:rsidP="00873DDD">
      <w:pPr>
        <w:pStyle w:val="SingleTxtG"/>
        <w:numPr>
          <w:ilvl w:val="0"/>
          <w:numId w:val="19"/>
        </w:numPr>
        <w:tabs>
          <w:tab w:val="left" w:pos="1701"/>
        </w:tabs>
        <w:ind w:left="1134" w:firstLine="0"/>
        <w:rPr>
          <w:lang w:eastAsia="zh-CN"/>
        </w:rPr>
      </w:pPr>
      <w:r w:rsidRPr="00AF648F">
        <w:rPr>
          <w:lang w:eastAsia="zh-CN"/>
        </w:rPr>
        <w:t xml:space="preserve">After </w:t>
      </w:r>
      <w:proofErr w:type="gramStart"/>
      <w:r w:rsidRPr="00AF648F">
        <w:rPr>
          <w:lang w:eastAsia="zh-CN"/>
        </w:rPr>
        <w:t>taking into account</w:t>
      </w:r>
      <w:proofErr w:type="gramEnd"/>
      <w:r w:rsidRPr="00AF648F">
        <w:rPr>
          <w:lang w:eastAsia="zh-CN"/>
        </w:rPr>
        <w:t xml:space="preserve"> the comments received, the Committee finalized its advice and adopted it through its electronic decision-making procedure on 12 February 2021. O</w:t>
      </w:r>
      <w:r w:rsidR="008D61E5" w:rsidRPr="00AF648F">
        <w:rPr>
          <w:lang w:eastAsia="zh-CN"/>
        </w:rPr>
        <w:t xml:space="preserve">n </w:t>
      </w:r>
      <w:r w:rsidRPr="00AF648F">
        <w:rPr>
          <w:lang w:eastAsia="zh-CN"/>
        </w:rPr>
        <w:t>the same day, the secretariat sen</w:t>
      </w:r>
      <w:r w:rsidR="008D61E5" w:rsidRPr="00AF648F">
        <w:rPr>
          <w:lang w:eastAsia="zh-CN"/>
        </w:rPr>
        <w:t>t</w:t>
      </w:r>
      <w:r w:rsidRPr="00AF648F">
        <w:rPr>
          <w:lang w:eastAsia="zh-CN"/>
        </w:rPr>
        <w:t xml:space="preserve"> the advice to the Party concerned, the communicants of communications ACCC/C/2008/32 and ACCC/C/2010/54 and registered observers.</w:t>
      </w:r>
      <w:r w:rsidR="008D61E5" w:rsidRPr="00AF648F">
        <w:rPr>
          <w:lang w:eastAsia="zh-CN"/>
        </w:rPr>
        <w:t xml:space="preserve"> </w:t>
      </w:r>
    </w:p>
    <w:p w14:paraId="2E20E643" w14:textId="0C3B1D7E" w:rsidR="00873DDD" w:rsidRPr="00AF648F" w:rsidRDefault="008D61E5" w:rsidP="00F0552C">
      <w:pPr>
        <w:pStyle w:val="SingleTxtG"/>
        <w:numPr>
          <w:ilvl w:val="0"/>
          <w:numId w:val="19"/>
        </w:numPr>
        <w:tabs>
          <w:tab w:val="left" w:pos="1701"/>
        </w:tabs>
        <w:ind w:left="1134" w:firstLine="0"/>
        <w:rPr>
          <w:lang w:eastAsia="zh-CN"/>
        </w:rPr>
      </w:pPr>
      <w:r w:rsidRPr="00AF648F">
        <w:rPr>
          <w:lang w:eastAsia="zh-CN"/>
        </w:rPr>
        <w:t xml:space="preserve">On 5 March 2021, observer Justice &amp; Environment submitted a statement on the Committee’s advice to the Party concerned. </w:t>
      </w:r>
    </w:p>
    <w:p w14:paraId="2F3DC958" w14:textId="083AAB9A" w:rsidR="00984B3C" w:rsidRPr="00AF648F" w:rsidRDefault="00984B3C" w:rsidP="00F0552C">
      <w:pPr>
        <w:pStyle w:val="SingleTxtG"/>
        <w:numPr>
          <w:ilvl w:val="0"/>
          <w:numId w:val="19"/>
        </w:numPr>
        <w:tabs>
          <w:tab w:val="left" w:pos="1701"/>
        </w:tabs>
        <w:ind w:left="1134" w:firstLine="0"/>
        <w:rPr>
          <w:lang w:eastAsia="zh-CN"/>
        </w:rPr>
      </w:pPr>
      <w:r w:rsidRPr="00AF648F">
        <w:rPr>
          <w:lang w:eastAsia="zh-CN"/>
        </w:rPr>
        <w:t xml:space="preserve">On 24 June 2021, the secretariat wrote to the Party concerned to inform it that the Committee’s draft report </w:t>
      </w:r>
      <w:r w:rsidR="00C51BDE" w:rsidRPr="00AF648F">
        <w:rPr>
          <w:lang w:eastAsia="zh-CN"/>
        </w:rPr>
        <w:t>to the seventh session of the Meeting of the Parties on request ACCC/M/2017/3 would be sent in the course of the following week. It also invited the Party concerned to take part in an open session to be held during the Committee’s seventy-first meeting (Geneva online, 5-7 July 2021) to discuss the Committee’s draft report.</w:t>
      </w:r>
    </w:p>
    <w:p w14:paraId="52E723B8" w14:textId="2045C25A" w:rsidR="004C3996" w:rsidRPr="00AF648F" w:rsidRDefault="007620A3" w:rsidP="00F0552C">
      <w:pPr>
        <w:pStyle w:val="SingleTxtG"/>
        <w:numPr>
          <w:ilvl w:val="0"/>
          <w:numId w:val="19"/>
        </w:numPr>
        <w:tabs>
          <w:tab w:val="left" w:pos="1701"/>
        </w:tabs>
        <w:ind w:left="1134" w:firstLine="0"/>
        <w:rPr>
          <w:lang w:eastAsia="zh-CN"/>
        </w:rPr>
      </w:pPr>
      <w:r w:rsidRPr="00AF648F">
        <w:rPr>
          <w:lang w:eastAsia="zh-CN"/>
        </w:rPr>
        <w:t xml:space="preserve">On 25 June 2021, the </w:t>
      </w:r>
      <w:r w:rsidR="00674E72" w:rsidRPr="00AF648F">
        <w:rPr>
          <w:lang w:eastAsia="zh-CN"/>
        </w:rPr>
        <w:t>P</w:t>
      </w:r>
      <w:r w:rsidRPr="00AF648F">
        <w:rPr>
          <w:lang w:eastAsia="zh-CN"/>
        </w:rPr>
        <w:t xml:space="preserve">arty concerned </w:t>
      </w:r>
      <w:r w:rsidR="00A964A8" w:rsidRPr="00AF648F">
        <w:rPr>
          <w:lang w:eastAsia="zh-CN"/>
        </w:rPr>
        <w:t xml:space="preserve">provided additional information </w:t>
      </w:r>
      <w:r w:rsidR="0012024A" w:rsidRPr="00AF648F">
        <w:rPr>
          <w:lang w:eastAsia="zh-CN"/>
        </w:rPr>
        <w:t xml:space="preserve">on its progress </w:t>
      </w:r>
      <w:r w:rsidR="00DA79CE" w:rsidRPr="00AF648F">
        <w:rPr>
          <w:lang w:eastAsia="zh-CN"/>
        </w:rPr>
        <w:t>with respect to</w:t>
      </w:r>
      <w:r w:rsidR="0012024A" w:rsidRPr="00AF648F">
        <w:rPr>
          <w:lang w:eastAsia="zh-CN"/>
        </w:rPr>
        <w:t xml:space="preserve"> request ACCC/M/2017/3</w:t>
      </w:r>
      <w:r w:rsidR="00DA79CE" w:rsidRPr="00AF648F">
        <w:rPr>
          <w:lang w:eastAsia="zh-CN"/>
        </w:rPr>
        <w:t>.</w:t>
      </w:r>
    </w:p>
    <w:p w14:paraId="3E555D14" w14:textId="661DB6E1" w:rsidR="008B4729" w:rsidRPr="00B77D4F" w:rsidRDefault="008B4729" w:rsidP="00BD0627">
      <w:pPr>
        <w:pStyle w:val="SingleTxtG"/>
        <w:numPr>
          <w:ilvl w:val="0"/>
          <w:numId w:val="19"/>
        </w:numPr>
        <w:tabs>
          <w:tab w:val="left" w:pos="1701"/>
        </w:tabs>
        <w:ind w:left="1134" w:firstLine="0"/>
      </w:pPr>
      <w:bookmarkStart w:id="0" w:name="_Hlk75937741"/>
      <w:r w:rsidRPr="00B77D4F">
        <w:t xml:space="preserve">The Committee completed its draft report to the seventh session of the Meeting of the Parties on the progress by the Party concerned to implement </w:t>
      </w:r>
      <w:r w:rsidR="00BD0627" w:rsidRPr="00B77D4F">
        <w:t>request ACCC/M/2017/3</w:t>
      </w:r>
      <w:r w:rsidRPr="00B77D4F">
        <w:t xml:space="preserve"> through its electronic decision-making procedure on </w:t>
      </w:r>
      <w:r w:rsidR="00B77D4F">
        <w:t>2 July</w:t>
      </w:r>
      <w:r w:rsidRPr="00B77D4F">
        <w:t xml:space="preserve"> 2021. In accordance with paragraph 34 of the annex to decision I/7, the draft report was then forwarded on that date to the Party concerned</w:t>
      </w:r>
      <w:r w:rsidR="00BD0627" w:rsidRPr="00B77D4F">
        <w:t>,</w:t>
      </w:r>
      <w:r w:rsidRPr="00B77D4F">
        <w:t xml:space="preserve"> </w:t>
      </w:r>
      <w:r w:rsidR="00BD0627" w:rsidRPr="00B77D4F">
        <w:t xml:space="preserve">the </w:t>
      </w:r>
      <w:r w:rsidRPr="00B77D4F">
        <w:t xml:space="preserve">communicants </w:t>
      </w:r>
      <w:r w:rsidR="00BD0627" w:rsidRPr="00B77D4F">
        <w:t xml:space="preserve">and registered observers </w:t>
      </w:r>
      <w:r w:rsidRPr="00B77D4F">
        <w:t xml:space="preserve">with an invitation to provide comments by </w:t>
      </w:r>
      <w:r w:rsidR="00B77D4F">
        <w:t>16</w:t>
      </w:r>
      <w:r w:rsidRPr="00B77D4F">
        <w:t xml:space="preserve"> July 2021.</w:t>
      </w:r>
    </w:p>
    <w:p w14:paraId="6BE097C3" w14:textId="0C1AEDFE" w:rsidR="008B4729" w:rsidRPr="00AF648F" w:rsidRDefault="008B4729" w:rsidP="00BD0627">
      <w:pPr>
        <w:pStyle w:val="SingleTxtG"/>
        <w:numPr>
          <w:ilvl w:val="0"/>
          <w:numId w:val="19"/>
        </w:numPr>
        <w:tabs>
          <w:tab w:val="left" w:pos="1701"/>
        </w:tabs>
        <w:ind w:left="1134" w:firstLine="0"/>
        <w:rPr>
          <w:i/>
          <w:iCs/>
        </w:rPr>
      </w:pPr>
      <w:r w:rsidRPr="00AF648F">
        <w:rPr>
          <w:i/>
          <w:iCs/>
        </w:rPr>
        <w:t xml:space="preserve">At its seventy-first meeting (Geneva online, 7-9 July 2021), the Committee reviewed the implementation of </w:t>
      </w:r>
      <w:r w:rsidR="00BD0627" w:rsidRPr="00AF648F">
        <w:rPr>
          <w:i/>
          <w:iCs/>
        </w:rPr>
        <w:t>request ACCC/M/2017/3 </w:t>
      </w:r>
      <w:r w:rsidRPr="00AF648F">
        <w:rPr>
          <w:i/>
          <w:iCs/>
        </w:rPr>
        <w:t>in open session with the participation via virtual means of XX.</w:t>
      </w:r>
    </w:p>
    <w:p w14:paraId="222B14CB" w14:textId="44557E32" w:rsidR="008B4729" w:rsidRPr="00AF648F" w:rsidRDefault="008B4729" w:rsidP="00BD0627">
      <w:pPr>
        <w:pStyle w:val="SingleTxtG"/>
        <w:numPr>
          <w:ilvl w:val="0"/>
          <w:numId w:val="19"/>
        </w:numPr>
        <w:tabs>
          <w:tab w:val="left" w:pos="1701"/>
        </w:tabs>
        <w:ind w:left="1134" w:firstLine="0"/>
        <w:rPr>
          <w:i/>
          <w:iCs/>
        </w:rPr>
      </w:pPr>
      <w:r w:rsidRPr="00AF648F">
        <w:rPr>
          <w:i/>
          <w:iCs/>
        </w:rPr>
        <w:t>Comments on the Committee’s draft report was received from XX</w:t>
      </w:r>
      <w:r w:rsidR="00BD0627" w:rsidRPr="00AF648F">
        <w:rPr>
          <w:i/>
          <w:iCs/>
        </w:rPr>
        <w:t>.</w:t>
      </w:r>
    </w:p>
    <w:p w14:paraId="69C97A73" w14:textId="7FEBE5E1" w:rsidR="008B4729" w:rsidRPr="00AF648F" w:rsidRDefault="008B4729" w:rsidP="00BD0627">
      <w:pPr>
        <w:pStyle w:val="SingleTxtG"/>
        <w:numPr>
          <w:ilvl w:val="0"/>
          <w:numId w:val="19"/>
        </w:numPr>
        <w:tabs>
          <w:tab w:val="left" w:pos="1701"/>
        </w:tabs>
        <w:ind w:left="1134" w:firstLine="0"/>
        <w:rPr>
          <w:i/>
          <w:iCs/>
        </w:rPr>
      </w:pPr>
      <w:r w:rsidRPr="00AF648F">
        <w:rPr>
          <w:i/>
          <w:iCs/>
        </w:rPr>
        <w:t xml:space="preserve">After taking into account the information received, the Committee finalized and adopted its report to the seventh session of the Meeting of the Parties on the implementation of </w:t>
      </w:r>
      <w:r w:rsidR="00BD0627" w:rsidRPr="00AF648F">
        <w:rPr>
          <w:i/>
          <w:iCs/>
        </w:rPr>
        <w:t>request ACCC/M/2017/3 </w:t>
      </w:r>
      <w:r w:rsidRPr="00AF648F">
        <w:rPr>
          <w:i/>
          <w:iCs/>
        </w:rPr>
        <w:t>through its electronic decision-making procedure on xx July 2021 and thereafter requested the secretariat to send it to the Party concerned</w:t>
      </w:r>
      <w:r w:rsidR="00BD0627" w:rsidRPr="00AF648F">
        <w:rPr>
          <w:i/>
          <w:iCs/>
        </w:rPr>
        <w:t>,</w:t>
      </w:r>
      <w:r w:rsidRPr="00AF648F">
        <w:rPr>
          <w:i/>
          <w:iCs/>
        </w:rPr>
        <w:t xml:space="preserve"> the communicants</w:t>
      </w:r>
      <w:r w:rsidR="00BD0627" w:rsidRPr="00AF648F">
        <w:rPr>
          <w:i/>
          <w:iCs/>
        </w:rPr>
        <w:t xml:space="preserve"> and registered observers</w:t>
      </w:r>
      <w:r w:rsidRPr="00AF648F">
        <w:rPr>
          <w:i/>
          <w:iCs/>
        </w:rPr>
        <w:t>.</w:t>
      </w:r>
    </w:p>
    <w:bookmarkEnd w:id="0"/>
    <w:p w14:paraId="03C9C7F1" w14:textId="17EC123C" w:rsidR="0032701E" w:rsidRPr="00AF648F" w:rsidRDefault="0032701E" w:rsidP="0032701E">
      <w:pPr>
        <w:pStyle w:val="HChG"/>
        <w:rPr>
          <w:lang w:eastAsia="zh-CN"/>
        </w:rPr>
      </w:pPr>
      <w:r w:rsidRPr="00AF648F">
        <w:rPr>
          <w:rFonts w:eastAsia="Calibri"/>
          <w:lang w:eastAsia="zh-CN"/>
        </w:rPr>
        <w:tab/>
        <w:t>III.</w:t>
      </w:r>
      <w:r w:rsidRPr="00AF648F">
        <w:rPr>
          <w:rFonts w:eastAsia="Calibri"/>
          <w:lang w:eastAsia="zh-CN"/>
        </w:rPr>
        <w:tab/>
        <w:t>Considerations and evaluation by the Committee</w:t>
      </w:r>
    </w:p>
    <w:p w14:paraId="09BA4BDF" w14:textId="6C7369F7" w:rsidR="0032701E" w:rsidRPr="00AF648F" w:rsidRDefault="0032701E" w:rsidP="00F0552C">
      <w:pPr>
        <w:pStyle w:val="SingleTxtG"/>
        <w:numPr>
          <w:ilvl w:val="0"/>
          <w:numId w:val="19"/>
        </w:numPr>
        <w:tabs>
          <w:tab w:val="left" w:pos="1701"/>
        </w:tabs>
        <w:ind w:left="1134" w:firstLine="0"/>
        <w:rPr>
          <w:lang w:eastAsia="zh-CN"/>
        </w:rPr>
      </w:pPr>
      <w:r w:rsidRPr="00AF648F">
        <w:rPr>
          <w:lang w:eastAsia="zh-CN"/>
        </w:rPr>
        <w:t xml:space="preserve">ln order to fulfil request ACCC/M/2017/3 with respect to paragraph 3 of decision V/9g, the European Union would need to provide the Committee with evidence that it had adopted a proper regulatory framework and/or clear instructions for implementing article 7 of the Convention with respect to the adoption of national renewable energy action plans </w:t>
      </w:r>
      <w:r w:rsidRPr="00AF648F">
        <w:rPr>
          <w:lang w:eastAsia="zh-CN"/>
        </w:rPr>
        <w:lastRenderedPageBreak/>
        <w:t xml:space="preserve">(NREAPs). This would entail that the European Union ensure that the arrangements for public participation in its member States are transparent and fair and that within those arrangements the necessary information is provided to the public. In addition, such a regulatory framework and/or clear instructions must ensure that the requirements of article 6(3), (4) and (8) of the Convention are met, including reasonable time frames, allowing sufficient time for informing the public and for the public to prepare and participate effectively, allowing for early public participation when all options are open, and ensuring that due account is taken of the outcome of the public participation. Moreover, the European Union must adapt the </w:t>
      </w:r>
      <w:proofErr w:type="gramStart"/>
      <w:r w:rsidRPr="00AF648F">
        <w:rPr>
          <w:lang w:eastAsia="zh-CN"/>
        </w:rPr>
        <w:t>manner in which</w:t>
      </w:r>
      <w:proofErr w:type="gramEnd"/>
      <w:r w:rsidRPr="00AF648F">
        <w:rPr>
          <w:lang w:eastAsia="zh-CN"/>
        </w:rPr>
        <w:t xml:space="preserve"> it evaluates NREAPs accordingly</w:t>
      </w:r>
      <w:r w:rsidR="002F23E6" w:rsidRPr="00AF648F">
        <w:rPr>
          <w:lang w:eastAsia="zh-CN"/>
        </w:rPr>
        <w:t>.</w:t>
      </w:r>
    </w:p>
    <w:p w14:paraId="0F995F30" w14:textId="35018614" w:rsidR="0032701E" w:rsidRPr="00AF648F" w:rsidRDefault="0032701E" w:rsidP="00F0552C">
      <w:pPr>
        <w:pStyle w:val="SingleTxtG"/>
        <w:numPr>
          <w:ilvl w:val="0"/>
          <w:numId w:val="19"/>
        </w:numPr>
        <w:tabs>
          <w:tab w:val="left" w:pos="1701"/>
        </w:tabs>
        <w:ind w:left="1134" w:firstLine="0"/>
        <w:rPr>
          <w:lang w:eastAsia="zh-CN"/>
        </w:rPr>
      </w:pPr>
      <w:proofErr w:type="gramStart"/>
      <w:r w:rsidRPr="00AF648F">
        <w:rPr>
          <w:lang w:eastAsia="zh-CN"/>
        </w:rPr>
        <w:t>In order to</w:t>
      </w:r>
      <w:proofErr w:type="gramEnd"/>
      <w:r w:rsidRPr="00AF648F">
        <w:rPr>
          <w:lang w:eastAsia="zh-CN"/>
        </w:rPr>
        <w:t xml:space="preserve"> fulfil request ACCC/M/2017/3 with respect to the Committee’s findings on communication ACCC/C/2008/32 (part II), the European Union would need to provide the Committee with evidence that:</w:t>
      </w:r>
    </w:p>
    <w:p w14:paraId="16818E27" w14:textId="086A1796" w:rsidR="0032701E" w:rsidRPr="00AF648F" w:rsidRDefault="0032701E" w:rsidP="0032701E">
      <w:pPr>
        <w:pStyle w:val="SingleTxtG"/>
        <w:tabs>
          <w:tab w:val="left" w:pos="1701"/>
        </w:tabs>
        <w:rPr>
          <w:lang w:eastAsia="zh-CN"/>
        </w:rPr>
      </w:pPr>
      <w:r w:rsidRPr="00AF648F">
        <w:rPr>
          <w:lang w:eastAsia="zh-CN"/>
        </w:rPr>
        <w:tab/>
        <w:t>(a) All relevant European Union institutions within their competences take the steps necessary to provide the public concerned with access to justice in environmental matters in accordance with article 9(3) and (4) of the Convention.</w:t>
      </w:r>
    </w:p>
    <w:p w14:paraId="4142A14F" w14:textId="5C7517E2" w:rsidR="00171CBA" w:rsidRPr="00AF648F" w:rsidRDefault="0032701E" w:rsidP="006E6C2C">
      <w:pPr>
        <w:pStyle w:val="SingleTxtG"/>
        <w:tabs>
          <w:tab w:val="left" w:pos="1701"/>
        </w:tabs>
        <w:rPr>
          <w:lang w:eastAsia="zh-CN"/>
        </w:rPr>
      </w:pPr>
      <w:r w:rsidRPr="00AF648F">
        <w:rPr>
          <w:lang w:eastAsia="zh-CN"/>
        </w:rPr>
        <w:tab/>
        <w:t>(b) If and to the extent that the European Union intends to rely on the Aarhus Regulation</w:t>
      </w:r>
      <w:r w:rsidRPr="00AF648F">
        <w:rPr>
          <w:rStyle w:val="FootnoteReference"/>
          <w:lang w:eastAsia="zh-CN"/>
        </w:rPr>
        <w:footnoteReference w:id="3"/>
      </w:r>
      <w:r w:rsidRPr="00AF648F">
        <w:rPr>
          <w:lang w:eastAsia="zh-CN"/>
        </w:rPr>
        <w:t xml:space="preserve"> or other European Union legislation to implement article 9(3) and (4) of the Convention:</w:t>
      </w:r>
    </w:p>
    <w:p w14:paraId="4B0EDBEE" w14:textId="7A58C643" w:rsidR="0032701E" w:rsidRPr="00AF648F" w:rsidRDefault="0032701E" w:rsidP="0032701E">
      <w:pPr>
        <w:pStyle w:val="SingleTxtG"/>
        <w:tabs>
          <w:tab w:val="left" w:pos="1701"/>
        </w:tabs>
        <w:ind w:left="1701"/>
        <w:rPr>
          <w:lang w:eastAsia="zh-CN"/>
        </w:rPr>
      </w:pPr>
      <w:r w:rsidRPr="00AF648F">
        <w:rPr>
          <w:lang w:eastAsia="zh-CN"/>
        </w:rPr>
        <w:tab/>
        <w:t xml:space="preserve">(i) The Aarhus Regulation is amended, or any new European Union legislation is drafted, so that it is clear to the Court of Justice of the European Union (CJEU) that that legislation is intended to implement article 9(3) of the </w:t>
      </w:r>
      <w:proofErr w:type="gramStart"/>
      <w:r w:rsidRPr="00AF648F">
        <w:rPr>
          <w:lang w:eastAsia="zh-CN"/>
        </w:rPr>
        <w:t>Convention;</w:t>
      </w:r>
      <w:proofErr w:type="gramEnd"/>
    </w:p>
    <w:p w14:paraId="2ABE5DE7" w14:textId="543F77CD" w:rsidR="0032701E" w:rsidRPr="00AF648F" w:rsidRDefault="0032701E" w:rsidP="0032701E">
      <w:pPr>
        <w:pStyle w:val="SingleTxtG"/>
        <w:tabs>
          <w:tab w:val="left" w:pos="1701"/>
        </w:tabs>
        <w:ind w:left="1701"/>
        <w:rPr>
          <w:lang w:eastAsia="zh-CN"/>
        </w:rPr>
      </w:pPr>
      <w:r w:rsidRPr="00AF648F">
        <w:rPr>
          <w:lang w:eastAsia="zh-CN"/>
        </w:rPr>
        <w:tab/>
        <w:t>(ii) New or amended legislation implementing the Aarhus Convention uses wording that clearly and fully transposes the relevant part of the Convention; in particular it is important to correct failures in implementation caused by the use of words or terms that do not fully correspond to the terms of the Convention.</w:t>
      </w:r>
    </w:p>
    <w:p w14:paraId="21E3C6A5" w14:textId="03E35A14" w:rsidR="0032701E" w:rsidRPr="00AF648F" w:rsidRDefault="00171CBA" w:rsidP="0032701E">
      <w:pPr>
        <w:pStyle w:val="SingleTxtG"/>
        <w:tabs>
          <w:tab w:val="left" w:pos="1701"/>
        </w:tabs>
        <w:rPr>
          <w:lang w:eastAsia="zh-CN"/>
        </w:rPr>
      </w:pPr>
      <w:r w:rsidRPr="00AF648F">
        <w:rPr>
          <w:lang w:eastAsia="zh-CN"/>
        </w:rPr>
        <w:tab/>
        <w:t>(c) If and to the extent that the Party concerned is going to rely on the jurisprudence of the CJEU to ensure that the obligations arising under article 9(3) and (4) of the Convention are implemented, the CJEU:</w:t>
      </w:r>
    </w:p>
    <w:p w14:paraId="2EE1C571" w14:textId="56E16E78" w:rsidR="00171CBA" w:rsidRPr="00AF648F" w:rsidRDefault="00171CBA" w:rsidP="00171CBA">
      <w:pPr>
        <w:pStyle w:val="SingleTxtG"/>
        <w:tabs>
          <w:tab w:val="left" w:pos="1701"/>
        </w:tabs>
        <w:ind w:left="1701"/>
        <w:rPr>
          <w:lang w:eastAsia="zh-CN"/>
        </w:rPr>
      </w:pPr>
      <w:r w:rsidRPr="00AF648F">
        <w:rPr>
          <w:lang w:eastAsia="zh-CN"/>
        </w:rPr>
        <w:tab/>
        <w:t xml:space="preserve">(i) Assesses the legality of the European Union’s implementing measures in the light of those obligations and acts </w:t>
      </w:r>
      <w:proofErr w:type="gramStart"/>
      <w:r w:rsidRPr="00AF648F">
        <w:rPr>
          <w:lang w:eastAsia="zh-CN"/>
        </w:rPr>
        <w:t>accordingly;</w:t>
      </w:r>
      <w:proofErr w:type="gramEnd"/>
    </w:p>
    <w:p w14:paraId="617D7FEC" w14:textId="44036DE2" w:rsidR="00171CBA" w:rsidRPr="00AF648F" w:rsidRDefault="00171CBA" w:rsidP="00171CBA">
      <w:pPr>
        <w:pStyle w:val="SingleTxtG"/>
        <w:tabs>
          <w:tab w:val="left" w:pos="1701"/>
        </w:tabs>
        <w:ind w:left="1701"/>
        <w:rPr>
          <w:lang w:eastAsia="zh-CN"/>
        </w:rPr>
      </w:pPr>
      <w:r w:rsidRPr="00AF648F">
        <w:rPr>
          <w:lang w:eastAsia="zh-CN"/>
        </w:rPr>
        <w:tab/>
        <w:t xml:space="preserve">(ii) Interprets European Union law in a way which, to the fullest extent possible, is consistent with the objectives of article 9(3) and (4) of the Convention. </w:t>
      </w:r>
    </w:p>
    <w:p w14:paraId="1AB88CE2" w14:textId="22DE8BD6" w:rsidR="0032701E" w:rsidRPr="00AF648F" w:rsidRDefault="00171CBA" w:rsidP="00F0552C">
      <w:pPr>
        <w:pStyle w:val="SingleTxtG"/>
        <w:numPr>
          <w:ilvl w:val="0"/>
          <w:numId w:val="19"/>
        </w:numPr>
        <w:tabs>
          <w:tab w:val="left" w:pos="1701"/>
        </w:tabs>
        <w:ind w:left="1134" w:firstLine="0"/>
        <w:rPr>
          <w:lang w:eastAsia="zh-CN"/>
        </w:rPr>
      </w:pPr>
      <w:r w:rsidRPr="00AF648F">
        <w:rPr>
          <w:lang w:eastAsia="zh-CN"/>
        </w:rPr>
        <w:t>The Committee welcomes the three progress reports submitted by the Party concerned</w:t>
      </w:r>
      <w:r w:rsidR="002F23E6" w:rsidRPr="00AF648F">
        <w:rPr>
          <w:lang w:eastAsia="zh-CN"/>
        </w:rPr>
        <w:t xml:space="preserve"> as well as the additional information it provided between these progress reports</w:t>
      </w:r>
      <w:r w:rsidR="00B11498" w:rsidRPr="00AF648F">
        <w:rPr>
          <w:rFonts w:eastAsia="Calibri"/>
        </w:rPr>
        <w:t xml:space="preserve">. </w:t>
      </w:r>
    </w:p>
    <w:p w14:paraId="244165E2" w14:textId="234E07C7" w:rsidR="006A3CEA" w:rsidRPr="00AF648F" w:rsidRDefault="00B11498" w:rsidP="002F23E6">
      <w:pPr>
        <w:pStyle w:val="SingleTxtG"/>
        <w:numPr>
          <w:ilvl w:val="0"/>
          <w:numId w:val="19"/>
        </w:numPr>
        <w:tabs>
          <w:tab w:val="left" w:pos="1701"/>
        </w:tabs>
        <w:ind w:left="1134" w:firstLine="0"/>
        <w:rPr>
          <w:lang w:eastAsia="zh-CN"/>
        </w:rPr>
      </w:pPr>
      <w:r w:rsidRPr="00AF648F">
        <w:rPr>
          <w:rFonts w:eastAsia="Calibri"/>
        </w:rPr>
        <w:t>The Committee also welcomes the comments and information provided by the communicant</w:t>
      </w:r>
      <w:r w:rsidR="002F23E6" w:rsidRPr="00AF648F">
        <w:rPr>
          <w:rFonts w:eastAsia="Calibri"/>
        </w:rPr>
        <w:t>s</w:t>
      </w:r>
      <w:r w:rsidRPr="00AF648F">
        <w:rPr>
          <w:rFonts w:eastAsia="Calibri"/>
        </w:rPr>
        <w:t xml:space="preserve"> of </w:t>
      </w:r>
      <w:r w:rsidRPr="00AF648F">
        <w:t xml:space="preserve">communication </w:t>
      </w:r>
      <w:r w:rsidR="002F23E6" w:rsidRPr="00AF648F">
        <w:t xml:space="preserve">ACCC/C/2008/32 and </w:t>
      </w:r>
      <w:r w:rsidRPr="00AF648F">
        <w:t xml:space="preserve">ACCC/C/2010/54 </w:t>
      </w:r>
      <w:r w:rsidR="002F23E6" w:rsidRPr="00AF648F">
        <w:t>and observers</w:t>
      </w:r>
      <w:r w:rsidR="006A3CEA" w:rsidRPr="00AF648F">
        <w:t>.</w:t>
      </w:r>
    </w:p>
    <w:p w14:paraId="2FF664A3" w14:textId="78B0A6A0" w:rsidR="006A3CEA" w:rsidRDefault="006A3CEA" w:rsidP="00171CBA">
      <w:pPr>
        <w:pStyle w:val="SingleTxtG"/>
        <w:tabs>
          <w:tab w:val="left" w:pos="1701"/>
        </w:tabs>
        <w:rPr>
          <w:b/>
          <w:bCs/>
        </w:rPr>
      </w:pPr>
    </w:p>
    <w:p w14:paraId="2BF537C5" w14:textId="79694CEA" w:rsidR="001F1E82" w:rsidRDefault="001F1E82" w:rsidP="00171CBA">
      <w:pPr>
        <w:pStyle w:val="SingleTxtG"/>
        <w:tabs>
          <w:tab w:val="left" w:pos="1701"/>
        </w:tabs>
        <w:rPr>
          <w:b/>
          <w:bCs/>
        </w:rPr>
      </w:pPr>
    </w:p>
    <w:p w14:paraId="57B8B0BB" w14:textId="6360DC5C" w:rsidR="001F1E82" w:rsidRDefault="001F1E82" w:rsidP="00171CBA">
      <w:pPr>
        <w:pStyle w:val="SingleTxtG"/>
        <w:tabs>
          <w:tab w:val="left" w:pos="1701"/>
        </w:tabs>
        <w:rPr>
          <w:b/>
          <w:bCs/>
        </w:rPr>
      </w:pPr>
    </w:p>
    <w:p w14:paraId="15F29AE1" w14:textId="77777777" w:rsidR="001F1E82" w:rsidRPr="00AF648F" w:rsidRDefault="001F1E82" w:rsidP="00171CBA">
      <w:pPr>
        <w:pStyle w:val="SingleTxtG"/>
        <w:tabs>
          <w:tab w:val="left" w:pos="1701"/>
        </w:tabs>
        <w:rPr>
          <w:b/>
          <w:bCs/>
        </w:rPr>
      </w:pPr>
    </w:p>
    <w:p w14:paraId="3580F367" w14:textId="10927DD0" w:rsidR="00171CBA" w:rsidRPr="00AF648F" w:rsidRDefault="00171CBA" w:rsidP="00171CBA">
      <w:pPr>
        <w:pStyle w:val="SingleTxtG"/>
        <w:tabs>
          <w:tab w:val="left" w:pos="1701"/>
        </w:tabs>
        <w:rPr>
          <w:b/>
          <w:bCs/>
        </w:rPr>
      </w:pPr>
      <w:r w:rsidRPr="00AF648F">
        <w:rPr>
          <w:b/>
          <w:bCs/>
        </w:rPr>
        <w:lastRenderedPageBreak/>
        <w:t>Paragraph 3</w:t>
      </w:r>
      <w:r w:rsidR="00547E14" w:rsidRPr="00AF648F">
        <w:rPr>
          <w:b/>
          <w:bCs/>
        </w:rPr>
        <w:t>, first three sentences,</w:t>
      </w:r>
      <w:r w:rsidRPr="00AF648F">
        <w:rPr>
          <w:b/>
          <w:bCs/>
        </w:rPr>
        <w:t xml:space="preserve"> of decision V/9g</w:t>
      </w:r>
      <w:r w:rsidR="00547E14" w:rsidRPr="00AF648F">
        <w:rPr>
          <w:b/>
          <w:bCs/>
        </w:rPr>
        <w:t xml:space="preserve"> </w:t>
      </w:r>
      <w:r w:rsidRPr="00AF648F">
        <w:rPr>
          <w:b/>
          <w:bCs/>
        </w:rPr>
        <w:t>– Proper regulatory framework or clear instructions with respect to</w:t>
      </w:r>
      <w:r w:rsidR="00830AFD" w:rsidRPr="00AF648F">
        <w:rPr>
          <w:b/>
          <w:bCs/>
        </w:rPr>
        <w:t xml:space="preserve"> the</w:t>
      </w:r>
      <w:r w:rsidRPr="00AF648F">
        <w:rPr>
          <w:b/>
          <w:bCs/>
        </w:rPr>
        <w:t xml:space="preserve"> adoption of </w:t>
      </w:r>
      <w:r w:rsidR="00F25E09">
        <w:rPr>
          <w:b/>
          <w:bCs/>
        </w:rPr>
        <w:t>national renewable energy action plans</w:t>
      </w:r>
    </w:p>
    <w:p w14:paraId="4300BA6A" w14:textId="50BD38CB" w:rsidR="00BA7A02" w:rsidRPr="00AF648F" w:rsidRDefault="00BA7A02" w:rsidP="00171CBA">
      <w:pPr>
        <w:pStyle w:val="SingleTxtG"/>
        <w:tabs>
          <w:tab w:val="left" w:pos="1701"/>
        </w:tabs>
        <w:rPr>
          <w:i/>
          <w:lang w:eastAsia="zh-CN"/>
        </w:rPr>
      </w:pPr>
      <w:r w:rsidRPr="00AF648F">
        <w:rPr>
          <w:i/>
        </w:rPr>
        <w:t>Amendments to member States’ 2010 NREAPs</w:t>
      </w:r>
    </w:p>
    <w:p w14:paraId="16AD77F7" w14:textId="77777777" w:rsidR="001C1C11" w:rsidRPr="00AF648F" w:rsidRDefault="001C1C11" w:rsidP="001C1C11">
      <w:pPr>
        <w:pStyle w:val="SingleTxtG"/>
        <w:numPr>
          <w:ilvl w:val="0"/>
          <w:numId w:val="19"/>
        </w:numPr>
        <w:tabs>
          <w:tab w:val="left" w:pos="1701"/>
        </w:tabs>
        <w:suppressAutoHyphens w:val="0"/>
        <w:spacing w:line="240" w:lineRule="auto"/>
        <w:ind w:left="1134" w:firstLine="0"/>
      </w:pPr>
      <w:r w:rsidRPr="00AF648F">
        <w:t>On 11 December 2018, the Regulation on the Governance of the Energy Union and Climate Action</w:t>
      </w:r>
      <w:r w:rsidRPr="00AF648F">
        <w:rPr>
          <w:rStyle w:val="FootnoteReference"/>
        </w:rPr>
        <w:footnoteReference w:id="4"/>
      </w:r>
      <w:r w:rsidRPr="00AF648F">
        <w:t xml:space="preserve"> (the Governance Regulation) was adopted by the Party concerned; it entered into force on 24 December 2018.</w:t>
      </w:r>
      <w:r w:rsidRPr="00AF648F">
        <w:rPr>
          <w:rStyle w:val="FootnoteReference"/>
        </w:rPr>
        <w:footnoteReference w:id="5"/>
      </w:r>
      <w:r w:rsidRPr="00AF648F">
        <w:t xml:space="preserve"> The Governance Regulation integrates in the Energy Union governance system the previous obligations relating to NREAPs under the Renewable Energy Directive.</w:t>
      </w:r>
      <w:r w:rsidRPr="00AF648F">
        <w:rPr>
          <w:rStyle w:val="FootnoteReference"/>
        </w:rPr>
        <w:footnoteReference w:id="6"/>
      </w:r>
    </w:p>
    <w:p w14:paraId="2BEC9079" w14:textId="24EECFEE" w:rsidR="00171CBA" w:rsidRPr="00AF648F" w:rsidRDefault="001C1C11" w:rsidP="00F0552C">
      <w:pPr>
        <w:pStyle w:val="SingleTxtG"/>
        <w:numPr>
          <w:ilvl w:val="0"/>
          <w:numId w:val="19"/>
        </w:numPr>
        <w:tabs>
          <w:tab w:val="left" w:pos="1701"/>
        </w:tabs>
        <w:ind w:left="1134" w:firstLine="0"/>
        <w:rPr>
          <w:lang w:eastAsia="zh-CN"/>
        </w:rPr>
      </w:pPr>
      <w:r w:rsidRPr="00AF648F">
        <w:rPr>
          <w:lang w:eastAsia="zh-CN"/>
        </w:rPr>
        <w:t>Accordingly, and a</w:t>
      </w:r>
      <w:r w:rsidR="00BA7A02" w:rsidRPr="00AF648F">
        <w:rPr>
          <w:lang w:eastAsia="zh-CN"/>
        </w:rPr>
        <w:t xml:space="preserve">s the Committee </w:t>
      </w:r>
      <w:r w:rsidR="00C36E8F" w:rsidRPr="00AF648F">
        <w:rPr>
          <w:lang w:eastAsia="zh-CN"/>
        </w:rPr>
        <w:t>indicated</w:t>
      </w:r>
      <w:r w:rsidR="00BA7A02" w:rsidRPr="00AF648F">
        <w:rPr>
          <w:lang w:eastAsia="zh-CN"/>
        </w:rPr>
        <w:t xml:space="preserve"> in its first and second progress </w:t>
      </w:r>
      <w:r w:rsidR="002F23E6" w:rsidRPr="00AF648F">
        <w:rPr>
          <w:lang w:eastAsia="zh-CN"/>
        </w:rPr>
        <w:t>reviews</w:t>
      </w:r>
      <w:r w:rsidR="00BA7A02" w:rsidRPr="00AF648F">
        <w:rPr>
          <w:lang w:eastAsia="zh-CN"/>
        </w:rPr>
        <w:t xml:space="preserve">, </w:t>
      </w:r>
      <w:r w:rsidRPr="00AF648F">
        <w:rPr>
          <w:lang w:eastAsia="zh-CN"/>
        </w:rPr>
        <w:t xml:space="preserve">following the entry into force of the Governance Regulation, </w:t>
      </w:r>
      <w:r w:rsidR="00526CA5" w:rsidRPr="00AF648F">
        <w:rPr>
          <w:lang w:eastAsia="zh-CN"/>
        </w:rPr>
        <w:t xml:space="preserve">the Committee </w:t>
      </w:r>
      <w:r w:rsidRPr="00AF648F">
        <w:rPr>
          <w:lang w:eastAsia="zh-CN"/>
        </w:rPr>
        <w:t xml:space="preserve">will not examine the </w:t>
      </w:r>
      <w:r w:rsidR="00526CA5" w:rsidRPr="00AF648F">
        <w:rPr>
          <w:lang w:eastAsia="zh-CN"/>
        </w:rPr>
        <w:t>issue of amendments to member States’ 2010 NREAPs</w:t>
      </w:r>
      <w:r w:rsidRPr="00AF648F">
        <w:rPr>
          <w:lang w:eastAsia="zh-CN"/>
        </w:rPr>
        <w:t xml:space="preserve"> further</w:t>
      </w:r>
      <w:r w:rsidR="00526CA5" w:rsidRPr="00AF648F">
        <w:rPr>
          <w:lang w:eastAsia="zh-CN"/>
        </w:rPr>
        <w:t>.</w:t>
      </w:r>
      <w:r w:rsidR="00526CA5" w:rsidRPr="00AF648F">
        <w:rPr>
          <w:rStyle w:val="FootnoteReference"/>
          <w:lang w:eastAsia="zh-CN"/>
        </w:rPr>
        <w:footnoteReference w:id="7"/>
      </w:r>
      <w:r w:rsidR="007A326F" w:rsidRPr="00AF648F">
        <w:rPr>
          <w:lang w:eastAsia="zh-CN"/>
        </w:rPr>
        <w:t xml:space="preserve"> </w:t>
      </w:r>
      <w:r w:rsidRPr="00AF648F">
        <w:rPr>
          <w:lang w:eastAsia="zh-CN"/>
        </w:rPr>
        <w:t xml:space="preserve"> Rather, </w:t>
      </w:r>
      <w:r w:rsidRPr="00AF648F">
        <w:t>the Committee examines the measures taken by the Party concerned to put in place a proper regulatory framework or clear instructions with respect to the adoption of the National Energy and Climate Plans (NECPs) pursuant to the Governance Regulation, which take the place of NREAPs post-2020.</w:t>
      </w:r>
      <w:r w:rsidR="000F486A" w:rsidRPr="00AF648F">
        <w:rPr>
          <w:rStyle w:val="FootnoteReference"/>
          <w:lang w:eastAsia="zh-CN"/>
        </w:rPr>
        <w:footnoteReference w:id="8"/>
      </w:r>
    </w:p>
    <w:p w14:paraId="52A1D248" w14:textId="11AEF5FF" w:rsidR="00957D32" w:rsidRPr="00AF648F" w:rsidRDefault="00957D32" w:rsidP="00957D32">
      <w:pPr>
        <w:pStyle w:val="SingleTxtG"/>
        <w:tabs>
          <w:tab w:val="left" w:pos="1701"/>
        </w:tabs>
        <w:rPr>
          <w:i/>
          <w:lang w:eastAsia="zh-CN"/>
        </w:rPr>
      </w:pPr>
      <w:r w:rsidRPr="00AF648F">
        <w:rPr>
          <w:i/>
          <w:lang w:eastAsia="zh-CN"/>
        </w:rPr>
        <w:t>Adoption of National Energy and Climate Plans post-2020</w:t>
      </w:r>
    </w:p>
    <w:p w14:paraId="3C494882" w14:textId="2990C22C" w:rsidR="00264679" w:rsidRPr="00AF648F" w:rsidRDefault="000F486A" w:rsidP="00957D32">
      <w:pPr>
        <w:pStyle w:val="SingleTxtG"/>
        <w:numPr>
          <w:ilvl w:val="0"/>
          <w:numId w:val="19"/>
        </w:numPr>
        <w:tabs>
          <w:tab w:val="left" w:pos="1701"/>
        </w:tabs>
        <w:ind w:left="1134" w:firstLine="0"/>
        <w:rPr>
          <w:lang w:eastAsia="zh-CN"/>
        </w:rPr>
      </w:pPr>
      <w:r w:rsidRPr="00AF648F">
        <w:rPr>
          <w:lang w:eastAsia="zh-CN"/>
        </w:rPr>
        <w:t>I</w:t>
      </w:r>
      <w:r w:rsidR="00974704" w:rsidRPr="00AF648F">
        <w:rPr>
          <w:lang w:eastAsia="zh-CN"/>
        </w:rPr>
        <w:t xml:space="preserve">n order to fulfil the first three sentences of paragraph 3 of decision V/9g, the Party concerned must adopt a proper regulatory framework or clear instructions that would ensure that member States put in place arrangements regarding the adoption of NECPs that would meet each of the elements of article 7 set out in that paragraph, including that: </w:t>
      </w:r>
    </w:p>
    <w:p w14:paraId="57564D7A" w14:textId="5916A05B" w:rsidR="00974704" w:rsidRPr="00AF648F" w:rsidRDefault="00974704" w:rsidP="00974704">
      <w:pPr>
        <w:pStyle w:val="SingleTxtG"/>
        <w:tabs>
          <w:tab w:val="left" w:pos="1701"/>
        </w:tabs>
        <w:rPr>
          <w:lang w:eastAsia="zh-CN"/>
        </w:rPr>
      </w:pPr>
      <w:r w:rsidRPr="00AF648F">
        <w:rPr>
          <w:lang w:eastAsia="zh-CN"/>
        </w:rPr>
        <w:tab/>
        <w:t xml:space="preserve">(a) The arrangements are transparent and </w:t>
      </w:r>
      <w:proofErr w:type="gramStart"/>
      <w:r w:rsidRPr="00AF648F">
        <w:rPr>
          <w:lang w:eastAsia="zh-CN"/>
        </w:rPr>
        <w:t>fair;</w:t>
      </w:r>
      <w:proofErr w:type="gramEnd"/>
    </w:p>
    <w:p w14:paraId="24E72C18" w14:textId="5412993A" w:rsidR="00974704" w:rsidRPr="00AF648F" w:rsidRDefault="00974704" w:rsidP="00974704">
      <w:pPr>
        <w:pStyle w:val="SingleTxtG"/>
        <w:tabs>
          <w:tab w:val="left" w:pos="1701"/>
        </w:tabs>
        <w:rPr>
          <w:lang w:eastAsia="zh-CN"/>
        </w:rPr>
      </w:pPr>
      <w:r w:rsidRPr="00AF648F">
        <w:rPr>
          <w:lang w:eastAsia="zh-CN"/>
        </w:rPr>
        <w:tab/>
        <w:t xml:space="preserve">(b) Within the arrangements the necessary information is provided to the </w:t>
      </w:r>
      <w:proofErr w:type="gramStart"/>
      <w:r w:rsidRPr="00AF648F">
        <w:rPr>
          <w:lang w:eastAsia="zh-CN"/>
        </w:rPr>
        <w:t>public;</w:t>
      </w:r>
      <w:proofErr w:type="gramEnd"/>
    </w:p>
    <w:p w14:paraId="120CA27A" w14:textId="12D7FC39" w:rsidR="00974704" w:rsidRPr="00AF648F" w:rsidRDefault="00974704" w:rsidP="00974704">
      <w:pPr>
        <w:pStyle w:val="SingleTxtG"/>
        <w:tabs>
          <w:tab w:val="left" w:pos="1701"/>
        </w:tabs>
        <w:rPr>
          <w:lang w:eastAsia="zh-CN"/>
        </w:rPr>
      </w:pPr>
      <w:r w:rsidRPr="00AF648F">
        <w:rPr>
          <w:lang w:eastAsia="zh-CN"/>
        </w:rPr>
        <w:tab/>
        <w:t>(c) The requirements of article 6(3), (4) and (8) are met, including reasonable timeframes, allowing sufficient time for informing the public and for the public to prepare and participate effectively, allowing for early public participation when all options are open, and ensuring that due account is taken of the outcomes of public participation.</w:t>
      </w:r>
      <w:r w:rsidRPr="00AF648F">
        <w:rPr>
          <w:rStyle w:val="FootnoteReference"/>
          <w:lang w:eastAsia="zh-CN"/>
        </w:rPr>
        <w:footnoteReference w:id="9"/>
      </w:r>
    </w:p>
    <w:p w14:paraId="33FAA99B" w14:textId="5EF15A52" w:rsidR="00982113" w:rsidRPr="00AF648F" w:rsidRDefault="00982113" w:rsidP="00974704">
      <w:pPr>
        <w:pStyle w:val="SingleTxtG"/>
        <w:numPr>
          <w:ilvl w:val="0"/>
          <w:numId w:val="19"/>
        </w:numPr>
        <w:tabs>
          <w:tab w:val="left" w:pos="1701"/>
        </w:tabs>
        <w:ind w:left="1134" w:firstLine="0"/>
        <w:rPr>
          <w:lang w:eastAsia="zh-CN"/>
        </w:rPr>
      </w:pPr>
      <w:bookmarkStart w:id="1" w:name="_Ref74659815"/>
      <w:r w:rsidRPr="00AF648F">
        <w:rPr>
          <w:lang w:eastAsia="zh-CN"/>
        </w:rPr>
        <w:t xml:space="preserve">The Committee </w:t>
      </w:r>
      <w:proofErr w:type="gramStart"/>
      <w:r w:rsidRPr="00AF648F">
        <w:rPr>
          <w:lang w:eastAsia="zh-CN"/>
        </w:rPr>
        <w:t>examines below first,</w:t>
      </w:r>
      <w:proofErr w:type="gramEnd"/>
      <w:r w:rsidRPr="00AF648F">
        <w:rPr>
          <w:lang w:eastAsia="zh-CN"/>
        </w:rPr>
        <w:t xml:space="preserve"> whether the Party concerned has to date adopted a proper regulatory framework </w:t>
      </w:r>
      <w:r w:rsidR="00F25E09">
        <w:rPr>
          <w:lang w:eastAsia="zh-CN"/>
        </w:rPr>
        <w:t>or alternatively</w:t>
      </w:r>
      <w:r w:rsidRPr="00AF648F">
        <w:rPr>
          <w:lang w:eastAsia="zh-CN"/>
        </w:rPr>
        <w:t>, clear instructions, as required by paragraph 3 of decision V/9g.</w:t>
      </w:r>
    </w:p>
    <w:p w14:paraId="4560B381" w14:textId="241E2677" w:rsidR="00982113" w:rsidRPr="00AF648F" w:rsidRDefault="00982113" w:rsidP="00982113">
      <w:pPr>
        <w:pStyle w:val="SingleTxtG"/>
        <w:tabs>
          <w:tab w:val="left" w:pos="1701"/>
        </w:tabs>
        <w:rPr>
          <w:i/>
          <w:iCs/>
          <w:lang w:eastAsia="zh-CN"/>
        </w:rPr>
      </w:pPr>
      <w:r w:rsidRPr="00AF648F">
        <w:rPr>
          <w:i/>
          <w:iCs/>
          <w:lang w:eastAsia="zh-CN"/>
        </w:rPr>
        <w:t>Proper regulatory framework</w:t>
      </w:r>
    </w:p>
    <w:p w14:paraId="542EAE05" w14:textId="6EB5C262" w:rsidR="0071714E" w:rsidRPr="00AF648F" w:rsidRDefault="00982113" w:rsidP="0071714E">
      <w:pPr>
        <w:pStyle w:val="SingleTxtG"/>
        <w:numPr>
          <w:ilvl w:val="0"/>
          <w:numId w:val="19"/>
        </w:numPr>
        <w:tabs>
          <w:tab w:val="left" w:pos="1701"/>
        </w:tabs>
        <w:ind w:left="1134" w:firstLine="0"/>
        <w:rPr>
          <w:lang w:eastAsia="zh-CN"/>
        </w:rPr>
      </w:pPr>
      <w:r w:rsidRPr="00AF648F">
        <w:rPr>
          <w:lang w:eastAsia="zh-CN"/>
        </w:rPr>
        <w:t>In its final progress report, the Party concerned does not report that any amendments have been made to the Governance Regulation of relevance to paragraph 3 of decision V/9g.</w:t>
      </w:r>
    </w:p>
    <w:p w14:paraId="544338AA" w14:textId="6C22D9BF" w:rsidR="0071714E" w:rsidRPr="00AF648F" w:rsidRDefault="0071714E" w:rsidP="0071714E">
      <w:pPr>
        <w:pStyle w:val="SingleTxtG"/>
        <w:numPr>
          <w:ilvl w:val="0"/>
          <w:numId w:val="19"/>
        </w:numPr>
        <w:tabs>
          <w:tab w:val="left" w:pos="1701"/>
        </w:tabs>
        <w:ind w:left="1134" w:firstLine="0"/>
        <w:rPr>
          <w:lang w:eastAsia="zh-CN"/>
        </w:rPr>
      </w:pPr>
      <w:r w:rsidRPr="00AF648F">
        <w:t xml:space="preserve">In its comments on the Party </w:t>
      </w:r>
      <w:proofErr w:type="spellStart"/>
      <w:r w:rsidRPr="00AF648F">
        <w:t>concerned’s</w:t>
      </w:r>
      <w:proofErr w:type="spellEnd"/>
      <w:r w:rsidRPr="00AF648F">
        <w:t xml:space="preserve"> final progress report, the communicant of communication ACCC/C/2008/32 confirms that the Governance Regulation has not been </w:t>
      </w:r>
      <w:r w:rsidRPr="00AF648F">
        <w:lastRenderedPageBreak/>
        <w:t>amended by the Party concerned and states that no other regulatory or legislative measures have been adopted. It thus considers that the Committee’s conclusions from its second progress review are still valid.</w:t>
      </w:r>
      <w:r w:rsidRPr="00AF648F">
        <w:rPr>
          <w:rStyle w:val="FootnoteReference"/>
        </w:rPr>
        <w:footnoteReference w:id="10"/>
      </w:r>
    </w:p>
    <w:p w14:paraId="31E1AC92" w14:textId="7EDC4AC4" w:rsidR="0071714E" w:rsidRPr="00AF648F" w:rsidRDefault="00F25E09" w:rsidP="0071714E">
      <w:pPr>
        <w:pStyle w:val="SingleTxtG"/>
        <w:numPr>
          <w:ilvl w:val="0"/>
          <w:numId w:val="19"/>
        </w:numPr>
        <w:tabs>
          <w:tab w:val="left" w:pos="1701"/>
        </w:tabs>
        <w:ind w:left="1134" w:firstLine="0"/>
        <w:rPr>
          <w:lang w:eastAsia="zh-CN"/>
        </w:rPr>
      </w:pPr>
      <w:r>
        <w:rPr>
          <w:lang w:eastAsia="zh-CN"/>
        </w:rPr>
        <w:t>The</w:t>
      </w:r>
      <w:r w:rsidR="0071714E" w:rsidRPr="00AF648F">
        <w:rPr>
          <w:lang w:eastAsia="zh-CN"/>
        </w:rPr>
        <w:t xml:space="preserve"> </w:t>
      </w:r>
      <w:r w:rsidR="0071714E" w:rsidRPr="00AF648F">
        <w:t xml:space="preserve">communicant of communication ACCC/C/2008/32 submits </w:t>
      </w:r>
      <w:r>
        <w:t xml:space="preserve">furthermore </w:t>
      </w:r>
      <w:r w:rsidR="0071714E" w:rsidRPr="00AF648F">
        <w:t>that, since the first NECPs have now finally been adopted, in order to fulfil paragraph 3 of decision V/9g, the Party concerned will need to provide a proper regulatory framework or clear instructions with regards to the second NECPS in 2029</w:t>
      </w:r>
      <w:r>
        <w:t xml:space="preserve"> and </w:t>
      </w:r>
      <w:r w:rsidRPr="00AF648F">
        <w:t>possible amendments of the first NECPs</w:t>
      </w:r>
      <w:r>
        <w:t xml:space="preserve"> in the meantime</w:t>
      </w:r>
      <w:r w:rsidR="0071714E" w:rsidRPr="00AF648F">
        <w:t>. It notes that the Party’s final progress report does not mention any measures in this respect.</w:t>
      </w:r>
      <w:r w:rsidR="0071714E" w:rsidRPr="00AF648F">
        <w:rPr>
          <w:rStyle w:val="FootnoteReference"/>
        </w:rPr>
        <w:footnoteReference w:id="11"/>
      </w:r>
    </w:p>
    <w:p w14:paraId="66B9E87B" w14:textId="6EBA058B" w:rsidR="0071714E" w:rsidRPr="00AF648F" w:rsidRDefault="0071714E" w:rsidP="0071714E">
      <w:pPr>
        <w:pStyle w:val="SingleTxtG"/>
        <w:numPr>
          <w:ilvl w:val="0"/>
          <w:numId w:val="19"/>
        </w:numPr>
        <w:tabs>
          <w:tab w:val="left" w:pos="1701"/>
        </w:tabs>
        <w:ind w:left="1134" w:firstLine="0"/>
        <w:rPr>
          <w:lang w:eastAsia="zh-CN"/>
        </w:rPr>
      </w:pPr>
      <w:r w:rsidRPr="00AF648F">
        <w:rPr>
          <w:lang w:eastAsia="zh-CN"/>
        </w:rPr>
        <w:t xml:space="preserve">In its comments on the Party’s final progress report, the communicant of communication </w:t>
      </w:r>
      <w:r w:rsidRPr="00AF648F">
        <w:t>ACCC/C/2010/54 states that he cannot see any evidence that the Party concerned is making any effort to comply with its legal obligations under the Convention. In particular, the communicant refers to alleged repeated failures by the Party concerned, including in its final progress report, to provide the information requested by the Committee in its progress reviews.</w:t>
      </w:r>
      <w:r w:rsidRPr="00AF648F">
        <w:rPr>
          <w:rStyle w:val="FootnoteReference"/>
        </w:rPr>
        <w:footnoteReference w:id="12"/>
      </w:r>
    </w:p>
    <w:p w14:paraId="122F4886" w14:textId="7173A5B2" w:rsidR="00982113" w:rsidRPr="00AF648F" w:rsidRDefault="0071714E" w:rsidP="0071714E">
      <w:pPr>
        <w:pStyle w:val="SingleTxtG"/>
        <w:numPr>
          <w:ilvl w:val="0"/>
          <w:numId w:val="19"/>
        </w:numPr>
        <w:tabs>
          <w:tab w:val="left" w:pos="1701"/>
        </w:tabs>
        <w:ind w:left="1134" w:firstLine="0"/>
        <w:rPr>
          <w:lang w:eastAsia="zh-CN"/>
        </w:rPr>
      </w:pPr>
      <w:r w:rsidRPr="00AF648F">
        <w:rPr>
          <w:lang w:eastAsia="zh-CN"/>
        </w:rPr>
        <w:t>Based on the foregoing, th</w:t>
      </w:r>
      <w:r w:rsidR="00982113" w:rsidRPr="00AF648F">
        <w:rPr>
          <w:lang w:eastAsia="zh-CN"/>
        </w:rPr>
        <w:t>e Committee understands that the regulatory framework remains as examined by the Committee in its second progress review.</w:t>
      </w:r>
    </w:p>
    <w:p w14:paraId="1C3F2F0E" w14:textId="3A277DDC" w:rsidR="00982113" w:rsidRPr="00AF648F" w:rsidRDefault="003249BB" w:rsidP="00982113">
      <w:pPr>
        <w:pStyle w:val="SingleTxtG"/>
        <w:numPr>
          <w:ilvl w:val="0"/>
          <w:numId w:val="19"/>
        </w:numPr>
        <w:tabs>
          <w:tab w:val="left" w:pos="1701"/>
        </w:tabs>
        <w:suppressAutoHyphens w:val="0"/>
        <w:spacing w:line="240" w:lineRule="auto"/>
        <w:ind w:left="1134" w:firstLine="0"/>
      </w:pPr>
      <w:r w:rsidRPr="00AF648F">
        <w:t>To that end</w:t>
      </w:r>
      <w:r w:rsidR="00982113" w:rsidRPr="00AF648F">
        <w:t>, article 9(1) of the Governance Regulation requires each member State to submit its draft NECP for the 2021-2030 period to the Commission by 31 December 2018 and every ten years thereafter.</w:t>
      </w:r>
      <w:r w:rsidR="00982113" w:rsidRPr="00AF648F">
        <w:rPr>
          <w:rStyle w:val="FootnoteReference"/>
        </w:rPr>
        <w:footnoteReference w:id="13"/>
      </w:r>
      <w:r w:rsidR="00982113" w:rsidRPr="00AF648F">
        <w:t xml:space="preserve"> Article 3(1) of the Governance Regulation requires each member State to submit its final NECP for the 2021-2030 period by 31 December 2019, and its subsequent NECP by 1 January 2029 and every ten years thereafter.</w:t>
      </w:r>
      <w:r w:rsidR="00982113" w:rsidRPr="00AF648F">
        <w:rPr>
          <w:rStyle w:val="FootnoteReference"/>
        </w:rPr>
        <w:footnoteReference w:id="14"/>
      </w:r>
      <w:r w:rsidR="00982113" w:rsidRPr="00AF648F">
        <w:t xml:space="preserve"> </w:t>
      </w:r>
    </w:p>
    <w:p w14:paraId="3EFCE94E" w14:textId="77777777" w:rsidR="00982113" w:rsidRPr="00AF648F" w:rsidRDefault="00982113" w:rsidP="00982113">
      <w:pPr>
        <w:pStyle w:val="SingleTxtG"/>
        <w:numPr>
          <w:ilvl w:val="0"/>
          <w:numId w:val="19"/>
        </w:numPr>
        <w:tabs>
          <w:tab w:val="left" w:pos="1701"/>
        </w:tabs>
        <w:suppressAutoHyphens w:val="0"/>
        <w:spacing w:line="240" w:lineRule="auto"/>
        <w:ind w:left="1134" w:firstLine="0"/>
      </w:pPr>
      <w:bookmarkStart w:id="2" w:name="_Ref30432286"/>
      <w:r w:rsidRPr="00AF648F">
        <w:rPr>
          <w:szCs w:val="24"/>
        </w:rPr>
        <w:t>A</w:t>
      </w:r>
      <w:r w:rsidRPr="00AF648F">
        <w:t>rticle 10 of the Governance Regulation provides that:</w:t>
      </w:r>
    </w:p>
    <w:p w14:paraId="078F182D" w14:textId="3430A730" w:rsidR="00982113" w:rsidRPr="00AF648F" w:rsidRDefault="00982113" w:rsidP="00982113">
      <w:pPr>
        <w:pStyle w:val="SingleTxtG"/>
        <w:tabs>
          <w:tab w:val="left" w:pos="1701"/>
        </w:tabs>
        <w:ind w:left="1701"/>
      </w:pPr>
      <w:r w:rsidRPr="00AF648F">
        <w:t>…</w:t>
      </w:r>
      <w:bookmarkEnd w:id="2"/>
      <w:r w:rsidRPr="00AF648F">
        <w:t>each Member State shall ensure that the public is given early and effective opportunities to participate in the preparation of the draft integrated national energy and climate plan — as regards the plans for the 2021 to 2030 period, in the preparation of the final plan well before its adoption… Each Member State shall attach to the submission of such documents to the Commission a summary of the public</w:t>
      </w:r>
      <w:r w:rsidR="00F25E09">
        <w:t>’</w:t>
      </w:r>
      <w:r w:rsidRPr="00AF648F">
        <w:t>s views or provisional views…</w:t>
      </w:r>
    </w:p>
    <w:p w14:paraId="179F2ABA" w14:textId="498AB4B4" w:rsidR="00982113" w:rsidRPr="00AF648F" w:rsidRDefault="00982113" w:rsidP="00982113">
      <w:pPr>
        <w:pStyle w:val="SingleTxtG"/>
        <w:tabs>
          <w:tab w:val="left" w:pos="1701"/>
        </w:tabs>
        <w:ind w:left="1701"/>
      </w:pPr>
      <w:r w:rsidRPr="00AF648F">
        <w:t>Each Member State shall ensure that the public is informed. Each Member State shall set reasonable timeframes allowing sufficient time for the public to be informed, to participate and express its views.</w:t>
      </w:r>
      <w:r w:rsidRPr="00AF648F">
        <w:rPr>
          <w:rStyle w:val="FootnoteReference"/>
        </w:rPr>
        <w:t xml:space="preserve"> </w:t>
      </w:r>
      <w:r w:rsidRPr="00AF648F">
        <w:rPr>
          <w:rStyle w:val="FootnoteReference"/>
        </w:rPr>
        <w:footnoteReference w:id="15"/>
      </w:r>
    </w:p>
    <w:p w14:paraId="5036D3C6" w14:textId="77777777" w:rsidR="00982113" w:rsidRPr="00AF648F" w:rsidRDefault="00982113" w:rsidP="00982113">
      <w:pPr>
        <w:pStyle w:val="SingleTxtG"/>
        <w:numPr>
          <w:ilvl w:val="0"/>
          <w:numId w:val="19"/>
        </w:numPr>
        <w:tabs>
          <w:tab w:val="left" w:pos="1701"/>
        </w:tabs>
        <w:suppressAutoHyphens w:val="0"/>
        <w:spacing w:line="240" w:lineRule="auto"/>
        <w:ind w:left="1134" w:firstLine="0"/>
      </w:pPr>
      <w:bookmarkStart w:id="3" w:name="_Ref32047397"/>
      <w:r w:rsidRPr="00AF648F">
        <w:t>Recital 29 of the Governance Regulation provides that:</w:t>
      </w:r>
      <w:bookmarkEnd w:id="3"/>
    </w:p>
    <w:p w14:paraId="7ACFDEB7" w14:textId="528265EA" w:rsidR="005260A1" w:rsidRPr="00AF648F" w:rsidRDefault="00982113" w:rsidP="005260A1">
      <w:pPr>
        <w:pStyle w:val="SingleTxtG"/>
        <w:tabs>
          <w:tab w:val="left" w:pos="1701"/>
        </w:tabs>
        <w:ind w:left="1701"/>
      </w:pPr>
      <w:r w:rsidRPr="00AF648F">
        <w:t>When carrying out public consultations, and in line with the Aarhus Convention, Member States should aim to ensure equal participation, that the public is informed by public notices or other appropriate means such as electronic media, that the public is able to access all relevant documents, and that practical arrangements related to the public’s participation are put in place.</w:t>
      </w:r>
      <w:r w:rsidRPr="00AF648F">
        <w:rPr>
          <w:rStyle w:val="FootnoteReference"/>
        </w:rPr>
        <w:footnoteReference w:id="16"/>
      </w:r>
      <w:bookmarkStart w:id="4" w:name="_Ref30413883"/>
    </w:p>
    <w:p w14:paraId="2122D3CB" w14:textId="2F01DAE0" w:rsidR="00982113" w:rsidRPr="00AF648F" w:rsidRDefault="005260A1" w:rsidP="005260A1">
      <w:pPr>
        <w:pStyle w:val="SingleTxtG"/>
        <w:numPr>
          <w:ilvl w:val="0"/>
          <w:numId w:val="19"/>
        </w:numPr>
        <w:tabs>
          <w:tab w:val="left" w:pos="1701"/>
        </w:tabs>
        <w:suppressAutoHyphens w:val="0"/>
        <w:spacing w:line="240" w:lineRule="auto"/>
        <w:ind w:left="1134" w:firstLine="0"/>
        <w:rPr>
          <w:rStyle w:val="FootnoteReference"/>
          <w:sz w:val="20"/>
          <w:vertAlign w:val="baseline"/>
        </w:rPr>
      </w:pPr>
      <w:r w:rsidRPr="00AF648F">
        <w:lastRenderedPageBreak/>
        <w:t>A</w:t>
      </w:r>
      <w:r w:rsidR="00982113" w:rsidRPr="00AF648F">
        <w:t xml:space="preserve">nnex I of the Governance Regulation, which establishes the general framework for national plans, </w:t>
      </w:r>
      <w:r w:rsidRPr="00AF648F">
        <w:t>provides that</w:t>
      </w:r>
      <w:r w:rsidR="00982113" w:rsidRPr="00AF648F">
        <w:t xml:space="preserve"> section A.1.3 </w:t>
      </w:r>
      <w:r w:rsidRPr="00AF648F">
        <w:t xml:space="preserve">of each plan should address </w:t>
      </w:r>
      <w:r w:rsidR="00982113" w:rsidRPr="00AF648F">
        <w:t>“consultations with stakeholders, including social partners, and engagement of civil society and the general public”.</w:t>
      </w:r>
      <w:r w:rsidR="00982113" w:rsidRPr="00AF648F">
        <w:rPr>
          <w:rStyle w:val="FootnoteReference"/>
        </w:rPr>
        <w:footnoteReference w:id="17"/>
      </w:r>
    </w:p>
    <w:bookmarkEnd w:id="4"/>
    <w:p w14:paraId="139FFC0F" w14:textId="1BAC28E1" w:rsidR="005260A1" w:rsidRPr="00AF648F" w:rsidRDefault="00982113" w:rsidP="005260A1">
      <w:pPr>
        <w:pStyle w:val="SingleTxtG"/>
        <w:numPr>
          <w:ilvl w:val="0"/>
          <w:numId w:val="19"/>
        </w:numPr>
        <w:tabs>
          <w:tab w:val="left" w:pos="1701"/>
        </w:tabs>
        <w:suppressAutoHyphens w:val="0"/>
        <w:spacing w:line="240" w:lineRule="auto"/>
        <w:ind w:left="1134" w:firstLine="0"/>
      </w:pPr>
      <w:r w:rsidRPr="00AF648F">
        <w:rPr>
          <w:lang w:eastAsia="zh-CN"/>
        </w:rPr>
        <w:t xml:space="preserve"> </w:t>
      </w:r>
      <w:bookmarkStart w:id="5" w:name="_Ref30414463"/>
      <w:r w:rsidR="005260A1" w:rsidRPr="00AF648F">
        <w:rPr>
          <w:lang w:eastAsia="zh-CN"/>
        </w:rPr>
        <w:t>In its second progress report, t</w:t>
      </w:r>
      <w:r w:rsidR="005260A1" w:rsidRPr="00AF648F">
        <w:t xml:space="preserve">he Party concerned stressed that all the European Union environmental </w:t>
      </w:r>
      <w:r w:rsidR="005260A1" w:rsidRPr="00AF648F">
        <w:rPr>
          <w:i/>
          <w:iCs/>
        </w:rPr>
        <w:t xml:space="preserve">acquis </w:t>
      </w:r>
      <w:r w:rsidR="005260A1" w:rsidRPr="00AF648F">
        <w:t>continues to apply in combination with the Governance Regulation.</w:t>
      </w:r>
      <w:r w:rsidR="005260A1" w:rsidRPr="00AF648F">
        <w:rPr>
          <w:rStyle w:val="FootnoteReference"/>
        </w:rPr>
        <w:footnoteReference w:id="18"/>
      </w:r>
      <w:r w:rsidR="005260A1" w:rsidRPr="00AF648F">
        <w:t xml:space="preserve"> </w:t>
      </w:r>
    </w:p>
    <w:p w14:paraId="36A90F17" w14:textId="6E37E5CA" w:rsidR="005260A1" w:rsidRPr="00AF648F" w:rsidRDefault="005260A1" w:rsidP="005260A1">
      <w:pPr>
        <w:pStyle w:val="SingleTxtG"/>
        <w:numPr>
          <w:ilvl w:val="0"/>
          <w:numId w:val="19"/>
        </w:numPr>
        <w:tabs>
          <w:tab w:val="left" w:pos="1701"/>
        </w:tabs>
        <w:suppressAutoHyphens w:val="0"/>
        <w:spacing w:line="240" w:lineRule="auto"/>
        <w:ind w:left="1134" w:firstLine="0"/>
      </w:pPr>
      <w:r w:rsidRPr="00AF648F">
        <w:t xml:space="preserve">Since the Party concerned has made no amendments to the Governance Regulation since the Committee’s second progress review, the Committee’s analysis </w:t>
      </w:r>
      <w:r w:rsidR="007A5276" w:rsidRPr="00AF648F">
        <w:t>in that review remains fully applicable and is repeated below.</w:t>
      </w:r>
    </w:p>
    <w:p w14:paraId="30F1FCCC" w14:textId="77777777" w:rsidR="007A5276" w:rsidRPr="00AF648F" w:rsidRDefault="007A5276" w:rsidP="007A5276">
      <w:pPr>
        <w:pStyle w:val="SingleTxtG"/>
        <w:tabs>
          <w:tab w:val="left" w:pos="1701"/>
        </w:tabs>
      </w:pPr>
      <w:r w:rsidRPr="00AF648F">
        <w:rPr>
          <w:u w:val="single"/>
        </w:rPr>
        <w:t>Transparent and fair arrangements and necessary information</w:t>
      </w:r>
      <w:r w:rsidRPr="00AF648F">
        <w:t xml:space="preserve">  </w:t>
      </w:r>
    </w:p>
    <w:p w14:paraId="4E7BF327" w14:textId="5D3E1B64" w:rsidR="007A5276" w:rsidRPr="00AF648F" w:rsidRDefault="007A5276" w:rsidP="007A5276">
      <w:pPr>
        <w:pStyle w:val="SingleTxtG"/>
        <w:numPr>
          <w:ilvl w:val="0"/>
          <w:numId w:val="19"/>
        </w:numPr>
        <w:tabs>
          <w:tab w:val="left" w:pos="1701"/>
        </w:tabs>
        <w:suppressAutoHyphens w:val="0"/>
        <w:spacing w:line="240" w:lineRule="auto"/>
        <w:ind w:left="1134" w:firstLine="0"/>
      </w:pPr>
      <w:bookmarkStart w:id="6" w:name="_Ref32151987"/>
      <w:r w:rsidRPr="00AF648F">
        <w:t xml:space="preserve">The aspirational language that “member States </w:t>
      </w:r>
      <w:r w:rsidRPr="00AF648F">
        <w:rPr>
          <w:i/>
          <w:iCs/>
        </w:rPr>
        <w:t>should aim</w:t>
      </w:r>
      <w:r w:rsidRPr="00AF648F">
        <w:t xml:space="preserve">” in what was recital 20 bis of the proposed regulation remains unchanged in recital 29 of the Governance Regulation, as adopted (see para. </w:t>
      </w:r>
      <w:r w:rsidRPr="00AF648F">
        <w:fldChar w:fldCharType="begin"/>
      </w:r>
      <w:r w:rsidRPr="00AF648F">
        <w:instrText xml:space="preserve"> REF _Ref32047397 \r \h  \* MERGEFORMAT </w:instrText>
      </w:r>
      <w:r w:rsidRPr="00AF648F">
        <w:fldChar w:fldCharType="separate"/>
      </w:r>
      <w:r w:rsidR="001F1E82">
        <w:rPr>
          <w:cs/>
        </w:rPr>
        <w:t>‎</w:t>
      </w:r>
      <w:r w:rsidR="001F1E82">
        <w:t>65</w:t>
      </w:r>
      <w:r w:rsidRPr="00AF648F">
        <w:fldChar w:fldCharType="end"/>
      </w:r>
      <w:r w:rsidRPr="00AF648F">
        <w:t xml:space="preserve"> above). The Party concerned moreover has provided no explanation as to how it will ensure that the requirement in article 7 to provide the necessary information to the public is met, despite the Committee’s invitation for it to do so.</w:t>
      </w:r>
      <w:r w:rsidRPr="00AF648F">
        <w:rPr>
          <w:rStyle w:val="FootnoteReference"/>
        </w:rPr>
        <w:footnoteReference w:id="19"/>
      </w:r>
      <w:r w:rsidRPr="00AF648F">
        <w:t xml:space="preserve"> The Committee accordingly considers that the Party concerned has not yet demonstrated that it has put in place a clear requirement to ensure that the arrangements for public participation in the preparation of the member States’ NECPs are transparent and fair and that, within the arrangements, the necessary information is provided to the public.</w:t>
      </w:r>
      <w:bookmarkEnd w:id="6"/>
    </w:p>
    <w:p w14:paraId="042BFF3B" w14:textId="77777777" w:rsidR="007A5276" w:rsidRPr="00AF648F" w:rsidRDefault="007A5276" w:rsidP="007A5276">
      <w:pPr>
        <w:pStyle w:val="SingleTxtG"/>
        <w:tabs>
          <w:tab w:val="left" w:pos="1701"/>
        </w:tabs>
        <w:rPr>
          <w:u w:val="single"/>
        </w:rPr>
      </w:pPr>
      <w:r w:rsidRPr="00AF648F">
        <w:rPr>
          <w:u w:val="single"/>
        </w:rPr>
        <w:t>Article 6(3)</w:t>
      </w:r>
    </w:p>
    <w:p w14:paraId="26EB28AB" w14:textId="77777777" w:rsidR="007A5276" w:rsidRPr="00AF648F" w:rsidRDefault="007A5276" w:rsidP="007A5276">
      <w:pPr>
        <w:pStyle w:val="SingleTxtG"/>
        <w:numPr>
          <w:ilvl w:val="0"/>
          <w:numId w:val="19"/>
        </w:numPr>
        <w:tabs>
          <w:tab w:val="left" w:pos="1701"/>
        </w:tabs>
        <w:suppressAutoHyphens w:val="0"/>
        <w:spacing w:line="240" w:lineRule="auto"/>
        <w:ind w:left="1134" w:firstLine="0"/>
      </w:pPr>
      <w:r w:rsidRPr="00AF648F">
        <w:t>The Committee welcomes the requirement in article 10 of the Governance Regulation that “each Member State shall set reasonable timeframes allowing sufficient time for the public to be informed, to participate and to express its views”.</w:t>
      </w:r>
      <w:r w:rsidRPr="00AF648F" w:rsidDel="00A35082">
        <w:t xml:space="preserve"> </w:t>
      </w:r>
      <w:r w:rsidRPr="00AF648F">
        <w:t>The Committee considers that article 10 meets the requirements of article 6(3) of the Convention.</w:t>
      </w:r>
    </w:p>
    <w:p w14:paraId="2683DE5F" w14:textId="77777777" w:rsidR="007A5276" w:rsidRPr="00AF648F" w:rsidRDefault="007A5276" w:rsidP="007A5276">
      <w:pPr>
        <w:pStyle w:val="SingleTxtG"/>
        <w:tabs>
          <w:tab w:val="left" w:pos="1701"/>
        </w:tabs>
        <w:rPr>
          <w:u w:val="single"/>
        </w:rPr>
      </w:pPr>
      <w:r w:rsidRPr="00AF648F">
        <w:rPr>
          <w:u w:val="single"/>
        </w:rPr>
        <w:t>Article 6(4)</w:t>
      </w:r>
    </w:p>
    <w:p w14:paraId="2BF6A978" w14:textId="77777777" w:rsidR="007A5276" w:rsidRPr="00AF648F" w:rsidRDefault="007A5276" w:rsidP="007A5276">
      <w:pPr>
        <w:pStyle w:val="SingleTxtG"/>
        <w:numPr>
          <w:ilvl w:val="0"/>
          <w:numId w:val="19"/>
        </w:numPr>
        <w:tabs>
          <w:tab w:val="left" w:pos="1701"/>
        </w:tabs>
        <w:suppressAutoHyphens w:val="0"/>
        <w:spacing w:line="240" w:lineRule="auto"/>
        <w:ind w:left="1134" w:firstLine="0"/>
      </w:pPr>
      <w:r w:rsidRPr="00AF648F" w:rsidDel="006F03F0">
        <w:t xml:space="preserve"> </w:t>
      </w:r>
      <w:r w:rsidRPr="00AF648F">
        <w:t>The Committee also welcomes the requirement in article 10 of the Governance Regulation that member States “shall ensure that the public is given early and effective opportunities to participate” in the preparation of the draft plans. However, as the Committee already pointed out in its first progress review,</w:t>
      </w:r>
      <w:r w:rsidRPr="00AF648F">
        <w:rPr>
          <w:rStyle w:val="FootnoteReference"/>
        </w:rPr>
        <w:t xml:space="preserve"> </w:t>
      </w:r>
      <w:r w:rsidRPr="00AF648F">
        <w:rPr>
          <w:rStyle w:val="FootnoteReference"/>
        </w:rPr>
        <w:footnoteReference w:id="20"/>
      </w:r>
      <w:r w:rsidRPr="00AF648F">
        <w:t xml:space="preserve"> article 10 of the Governance Regulation fails to include an express requirement for the public to have opportunities to participate </w:t>
      </w:r>
      <w:r w:rsidRPr="00AF648F">
        <w:rPr>
          <w:iCs/>
        </w:rPr>
        <w:t>“when all options are open” as required by</w:t>
      </w:r>
      <w:r w:rsidRPr="00AF648F">
        <w:t xml:space="preserve"> article 6(4) of the Convention. The Committee emphasizes that the phrase “when all options are open” (or another equivalent formulation) is a fundamental component of the legal obligations in article 6(4) and imposes a requirement that goes beyond “early and effective” opportunities to participate. Accordingly, the Committee considers that the Party concerned has not yet demonstrated that it has put in place a clear requirement to ensure that the requirements of article 6(4) are met with respect to the member States’ post-2020 NECPs.</w:t>
      </w:r>
    </w:p>
    <w:p w14:paraId="30D03AF5" w14:textId="031804EB" w:rsidR="007A5276" w:rsidRPr="00AF648F" w:rsidRDefault="007A5276" w:rsidP="007A5276">
      <w:pPr>
        <w:pStyle w:val="SingleTxtG"/>
        <w:numPr>
          <w:ilvl w:val="0"/>
          <w:numId w:val="19"/>
        </w:numPr>
        <w:tabs>
          <w:tab w:val="left" w:pos="1701"/>
        </w:tabs>
        <w:suppressAutoHyphens w:val="0"/>
        <w:spacing w:line="240" w:lineRule="auto"/>
        <w:ind w:left="1134" w:firstLine="0"/>
      </w:pPr>
      <w:r w:rsidRPr="00AF648F">
        <w:t xml:space="preserve"> Moreover, with respect to the 2021-2030 NECPs, not only is article 10 of the Regulation silent as to any explicit requirement that public participation take place when all options are open, it requires public participation only on “the final plan well before its adoption”. This means that article 10 only requires public participation on the 2021-2030 NECPs at a time when all options </w:t>
      </w:r>
      <w:r w:rsidR="009A3DE3">
        <w:t>would</w:t>
      </w:r>
      <w:r w:rsidRPr="00AF648F">
        <w:t xml:space="preserve"> most likely no longer be open, not least because the draft plans </w:t>
      </w:r>
      <w:r w:rsidR="009A3DE3">
        <w:t>would</w:t>
      </w:r>
      <w:r w:rsidRPr="00AF648F">
        <w:t xml:space="preserve"> have already been provided to the Commission for comment. In the light of the above, the Committee considers that the Party concerned has failed to demonstrate that </w:t>
      </w:r>
      <w:r w:rsidRPr="00AF648F">
        <w:lastRenderedPageBreak/>
        <w:t>it has put in place a clear requirement to ensure that the requirements of article 6(4) are met with respect to the member States’ 2021-2030 NECPs in particular.</w:t>
      </w:r>
      <w:r w:rsidRPr="00AF648F" w:rsidDel="009919EC">
        <w:t xml:space="preserve"> </w:t>
      </w:r>
      <w:r w:rsidRPr="00AF648F">
        <w:t xml:space="preserve"> </w:t>
      </w:r>
    </w:p>
    <w:p w14:paraId="3F72A517" w14:textId="77777777" w:rsidR="007A5276" w:rsidRPr="00AF648F" w:rsidRDefault="007A5276" w:rsidP="007A5276">
      <w:pPr>
        <w:pStyle w:val="SingleTxtG"/>
        <w:tabs>
          <w:tab w:val="left" w:pos="1701"/>
        </w:tabs>
        <w:rPr>
          <w:u w:val="single"/>
        </w:rPr>
      </w:pPr>
      <w:r w:rsidRPr="00AF648F">
        <w:rPr>
          <w:u w:val="single"/>
        </w:rPr>
        <w:t>Article 6(8)</w:t>
      </w:r>
    </w:p>
    <w:p w14:paraId="2C344643" w14:textId="6754C5A1" w:rsidR="007A5276" w:rsidRPr="00AF648F" w:rsidRDefault="007A5276" w:rsidP="007A5276">
      <w:pPr>
        <w:pStyle w:val="SingleTxtG"/>
        <w:numPr>
          <w:ilvl w:val="0"/>
          <w:numId w:val="19"/>
        </w:numPr>
        <w:tabs>
          <w:tab w:val="left" w:pos="1701"/>
        </w:tabs>
        <w:suppressAutoHyphens w:val="0"/>
        <w:spacing w:line="240" w:lineRule="auto"/>
        <w:ind w:left="1134" w:firstLine="0"/>
      </w:pPr>
      <w:r w:rsidRPr="00AF648F">
        <w:t>Article 10 of the Governance Regulation as adopted lacks any requirement that the member State ensure that due account is taken of the outcomes of the public participation.</w:t>
      </w:r>
      <w:r w:rsidRPr="00AF648F">
        <w:rPr>
          <w:rStyle w:val="FootnoteReference"/>
        </w:rPr>
        <w:footnoteReference w:id="21"/>
      </w:r>
      <w:r w:rsidRPr="00AF648F">
        <w:t xml:space="preserve"> </w:t>
      </w:r>
      <w:r w:rsidR="009A3DE3">
        <w:t>N</w:t>
      </w:r>
      <w:r w:rsidRPr="00AF648F">
        <w:t>either the requirement in article 10 to provide with the NECPs “a summary of the public’s views or provisional views,” nor annex I of the Governance Regulation Section A.1.3 establish any obligation on the member States to actually take due account of the outcomes of public participation. Nor has the Party concerned pointed the Committee to any other provision of the Regulation imposing such an obligation.</w:t>
      </w:r>
    </w:p>
    <w:p w14:paraId="6C78492F" w14:textId="77777777" w:rsidR="007A5276" w:rsidRPr="00AF648F" w:rsidRDefault="007A5276" w:rsidP="007A5276">
      <w:pPr>
        <w:pStyle w:val="SingleTxtG"/>
        <w:numPr>
          <w:ilvl w:val="0"/>
          <w:numId w:val="19"/>
        </w:numPr>
        <w:tabs>
          <w:tab w:val="left" w:pos="1701"/>
        </w:tabs>
        <w:suppressAutoHyphens w:val="0"/>
        <w:spacing w:line="240" w:lineRule="auto"/>
        <w:ind w:left="1134" w:firstLine="0"/>
      </w:pPr>
      <w:bookmarkStart w:id="7" w:name="_Ref32151996"/>
      <w:r w:rsidRPr="00AF648F">
        <w:t>Accordingly, the Committee considers the Party concerned has not yet demonstrated that it has put in place a clear requirement to ensure that the requirements of article 6(8) are met with respect to the member States’ NECPs.</w:t>
      </w:r>
      <w:bookmarkEnd w:id="7"/>
    </w:p>
    <w:p w14:paraId="5D9C8FE7" w14:textId="7D8BC078" w:rsidR="007A5276" w:rsidRPr="00AF648F" w:rsidRDefault="007A5276" w:rsidP="007A5276">
      <w:pPr>
        <w:pStyle w:val="SingleTxtG"/>
        <w:numPr>
          <w:ilvl w:val="0"/>
          <w:numId w:val="19"/>
        </w:numPr>
        <w:tabs>
          <w:tab w:val="left" w:pos="1701"/>
        </w:tabs>
        <w:suppressAutoHyphens w:val="0"/>
        <w:spacing w:line="240" w:lineRule="auto"/>
        <w:ind w:left="1134" w:firstLine="0"/>
      </w:pPr>
      <w:bookmarkStart w:id="8" w:name="_Ref33183964"/>
      <w:r w:rsidRPr="00AF648F">
        <w:t xml:space="preserve">Based on the considerations in paragraphs </w:t>
      </w:r>
      <w:r w:rsidRPr="00AF648F">
        <w:fldChar w:fldCharType="begin"/>
      </w:r>
      <w:r w:rsidRPr="00AF648F">
        <w:instrText xml:space="preserve"> REF _Ref32151987 \r \h  \* MERGEFORMAT </w:instrText>
      </w:r>
      <w:r w:rsidRPr="00AF648F">
        <w:fldChar w:fldCharType="separate"/>
      </w:r>
      <w:r w:rsidR="001F1E82">
        <w:rPr>
          <w:cs/>
        </w:rPr>
        <w:t>‎</w:t>
      </w:r>
      <w:r w:rsidR="001F1E82">
        <w:t>69</w:t>
      </w:r>
      <w:r w:rsidRPr="00AF648F">
        <w:fldChar w:fldCharType="end"/>
      </w:r>
      <w:r w:rsidRPr="00AF648F">
        <w:t>-</w:t>
      </w:r>
      <w:r w:rsidRPr="00AF648F">
        <w:fldChar w:fldCharType="begin"/>
      </w:r>
      <w:r w:rsidRPr="00AF648F">
        <w:instrText xml:space="preserve"> REF _Ref32151996 \r \h  \* MERGEFORMAT </w:instrText>
      </w:r>
      <w:r w:rsidRPr="00AF648F">
        <w:fldChar w:fldCharType="separate"/>
      </w:r>
      <w:r w:rsidR="001F1E82">
        <w:rPr>
          <w:cs/>
        </w:rPr>
        <w:t>‎</w:t>
      </w:r>
      <w:r w:rsidR="001F1E82">
        <w:t>74</w:t>
      </w:r>
      <w:r w:rsidRPr="00AF648F">
        <w:fldChar w:fldCharType="end"/>
      </w:r>
      <w:r w:rsidRPr="00AF648F">
        <w:t xml:space="preserve">, the </w:t>
      </w:r>
      <w:r w:rsidR="002F6BC5" w:rsidRPr="00AF648F">
        <w:t>Committee considers that the Party concerned has put in place a regulatory framework that meets the requirements of article 6(3) of the Convention with respect to the adoption of the member States’ NECPs but has not yet demonstrated that it has put in place a proper regulatory framework to ensure that the other requirements of article 7 are met in that regard.</w:t>
      </w:r>
      <w:bookmarkEnd w:id="8"/>
      <w:r w:rsidRPr="00AF648F">
        <w:t xml:space="preserve"> The Committee accordingly examines whether the Party concerned has adopted clear instructions to this end below.</w:t>
      </w:r>
    </w:p>
    <w:bookmarkEnd w:id="5"/>
    <w:p w14:paraId="772318A9" w14:textId="136819A2" w:rsidR="00982113" w:rsidRPr="00AF648F" w:rsidRDefault="005260A1" w:rsidP="005260A1">
      <w:pPr>
        <w:pStyle w:val="SingleTxtG"/>
        <w:tabs>
          <w:tab w:val="left" w:pos="1701"/>
        </w:tabs>
        <w:rPr>
          <w:i/>
          <w:iCs/>
          <w:lang w:eastAsia="zh-CN"/>
        </w:rPr>
      </w:pPr>
      <w:r w:rsidRPr="00AF648F">
        <w:rPr>
          <w:i/>
          <w:iCs/>
          <w:lang w:eastAsia="zh-CN"/>
        </w:rPr>
        <w:t>Clear instructions</w:t>
      </w:r>
    </w:p>
    <w:p w14:paraId="7C52173F" w14:textId="3B33A95B" w:rsidR="00BA7A02" w:rsidRPr="00AF648F" w:rsidRDefault="00974704" w:rsidP="00974704">
      <w:pPr>
        <w:pStyle w:val="SingleTxtG"/>
        <w:numPr>
          <w:ilvl w:val="0"/>
          <w:numId w:val="19"/>
        </w:numPr>
        <w:tabs>
          <w:tab w:val="left" w:pos="1701"/>
        </w:tabs>
        <w:ind w:left="1134" w:firstLine="0"/>
        <w:rPr>
          <w:lang w:eastAsia="zh-CN"/>
        </w:rPr>
      </w:pPr>
      <w:r w:rsidRPr="00AF648F">
        <w:rPr>
          <w:lang w:eastAsia="zh-CN"/>
        </w:rPr>
        <w:t xml:space="preserve">As the Committee has repeatedly </w:t>
      </w:r>
      <w:r w:rsidR="002B5228" w:rsidRPr="00AF648F">
        <w:rPr>
          <w:lang w:eastAsia="zh-CN"/>
        </w:rPr>
        <w:t>made clear</w:t>
      </w:r>
      <w:r w:rsidRPr="00AF648F">
        <w:rPr>
          <w:lang w:eastAsia="zh-CN"/>
        </w:rPr>
        <w:t>, “a clear instruction would amount to a direction or order that has to be followed by the member States.”</w:t>
      </w:r>
      <w:r w:rsidRPr="00AF648F">
        <w:rPr>
          <w:rStyle w:val="FootnoteReference"/>
          <w:lang w:eastAsia="zh-CN"/>
        </w:rPr>
        <w:footnoteReference w:id="22"/>
      </w:r>
      <w:bookmarkEnd w:id="1"/>
    </w:p>
    <w:p w14:paraId="45F55787" w14:textId="0855E57D" w:rsidR="002B5228" w:rsidRPr="00AF648F" w:rsidRDefault="002B5228" w:rsidP="008F15A5">
      <w:pPr>
        <w:pStyle w:val="SingleTxtG"/>
        <w:numPr>
          <w:ilvl w:val="0"/>
          <w:numId w:val="19"/>
        </w:numPr>
        <w:tabs>
          <w:tab w:val="left" w:pos="1701"/>
        </w:tabs>
        <w:ind w:left="1134" w:firstLine="0"/>
        <w:rPr>
          <w:lang w:eastAsia="zh-CN"/>
        </w:rPr>
      </w:pPr>
      <w:bookmarkStart w:id="9" w:name="_Ref76116434"/>
      <w:r w:rsidRPr="00AF648F">
        <w:rPr>
          <w:lang w:eastAsia="zh-CN"/>
        </w:rPr>
        <w:t xml:space="preserve">In its final progress report, the Party concerned submits that </w:t>
      </w:r>
      <w:r w:rsidR="009A3DE3">
        <w:rPr>
          <w:lang w:eastAsia="zh-CN"/>
        </w:rPr>
        <w:t xml:space="preserve">in </w:t>
      </w:r>
      <w:r w:rsidRPr="00AF648F">
        <w:rPr>
          <w:lang w:eastAsia="zh-CN"/>
        </w:rPr>
        <w:t>its Communication “</w:t>
      </w:r>
      <w:r w:rsidRPr="00AF648F">
        <w:t>United in delivering the Energy Union and Climate Action – Setting the foundations for a successful clean energy transition” dated 18 June 2019, the European Commission recalled the obligation for the member States to enable early and effective public participation in preparing the final NECPs, including by summarising the public’s views, in accordance with the obligations of the Governance Regulation.</w:t>
      </w:r>
      <w:r w:rsidRPr="00AF648F">
        <w:rPr>
          <w:rStyle w:val="FootnoteReference"/>
        </w:rPr>
        <w:footnoteReference w:id="23"/>
      </w:r>
      <w:bookmarkEnd w:id="9"/>
      <w:r w:rsidRPr="00AF648F">
        <w:t xml:space="preserve"> </w:t>
      </w:r>
    </w:p>
    <w:p w14:paraId="025A2527" w14:textId="3AA2E96C" w:rsidR="002B5228" w:rsidRPr="00AF648F" w:rsidRDefault="002B5228" w:rsidP="008F15A5">
      <w:pPr>
        <w:pStyle w:val="SingleTxtG"/>
        <w:numPr>
          <w:ilvl w:val="0"/>
          <w:numId w:val="19"/>
        </w:numPr>
        <w:tabs>
          <w:tab w:val="left" w:pos="1701"/>
        </w:tabs>
        <w:ind w:left="1134" w:firstLine="0"/>
        <w:rPr>
          <w:lang w:eastAsia="zh-CN"/>
        </w:rPr>
      </w:pPr>
      <w:r w:rsidRPr="00AF648F">
        <w:rPr>
          <w:lang w:eastAsia="zh-CN"/>
        </w:rPr>
        <w:t>The Committee notes that the Communication of 18 June 2019 states:</w:t>
      </w:r>
    </w:p>
    <w:p w14:paraId="7D9AFFDA" w14:textId="77777777" w:rsidR="005F25ED" w:rsidRPr="00AF648F" w:rsidRDefault="005F25ED" w:rsidP="005F25ED">
      <w:pPr>
        <w:pStyle w:val="SingleTxtG"/>
        <w:tabs>
          <w:tab w:val="left" w:pos="1701"/>
        </w:tabs>
        <w:ind w:left="1701"/>
        <w:rPr>
          <w:lang w:eastAsia="zh-CN"/>
        </w:rPr>
      </w:pPr>
      <w:r w:rsidRPr="00AF648F">
        <w:t xml:space="preserve">Member States need to ensure that the public has early and effective opportunities to participate in preparing the final plans, which should then include a summary of the public’s views. </w:t>
      </w:r>
    </w:p>
    <w:p w14:paraId="16E19EF1" w14:textId="3E56469B" w:rsidR="005F25ED" w:rsidRPr="00AF648F" w:rsidRDefault="005F25ED" w:rsidP="005F25ED">
      <w:pPr>
        <w:pStyle w:val="SingleTxtG"/>
        <w:tabs>
          <w:tab w:val="left" w:pos="1701"/>
        </w:tabs>
        <w:ind w:left="1701"/>
        <w:rPr>
          <w:lang w:eastAsia="zh-CN"/>
        </w:rPr>
      </w:pPr>
      <w:r w:rsidRPr="00AF648F">
        <w:t xml:space="preserve">In parallel, the Commission will also continue to secure the participation of all levels of society in a systemic way, while enhancing stronger synergies between European, </w:t>
      </w:r>
      <w:proofErr w:type="gramStart"/>
      <w:r w:rsidRPr="00AF648F">
        <w:t>national</w:t>
      </w:r>
      <w:proofErr w:type="gramEnd"/>
      <w:r w:rsidRPr="00AF648F">
        <w:t xml:space="preserve"> and local efforts via the NECPs.</w:t>
      </w:r>
      <w:r w:rsidRPr="00AF648F">
        <w:rPr>
          <w:rStyle w:val="FootnoteReference"/>
        </w:rPr>
        <w:footnoteReference w:id="24"/>
      </w:r>
    </w:p>
    <w:p w14:paraId="41531945" w14:textId="2AAB095A" w:rsidR="005F25ED" w:rsidRPr="00AF648F" w:rsidRDefault="005F25ED" w:rsidP="008F15A5">
      <w:pPr>
        <w:pStyle w:val="SingleTxtG"/>
        <w:numPr>
          <w:ilvl w:val="0"/>
          <w:numId w:val="19"/>
        </w:numPr>
        <w:tabs>
          <w:tab w:val="left" w:pos="1701"/>
        </w:tabs>
        <w:ind w:left="1134" w:firstLine="0"/>
        <w:rPr>
          <w:lang w:eastAsia="zh-CN"/>
        </w:rPr>
      </w:pPr>
      <w:r w:rsidRPr="00AF648F">
        <w:rPr>
          <w:lang w:eastAsia="zh-CN"/>
        </w:rPr>
        <w:t>The Party concerned submits that, following up on this commitment, the Commission has ensured public access to all draft NECPs on its website, provided English translations of the draft NECPs, provided links to the national websites for the draft NECPs, and developed factsheets summarizing the Commission’s assessment of the draft NECPs individually.</w:t>
      </w:r>
      <w:r w:rsidRPr="00AF648F">
        <w:rPr>
          <w:rStyle w:val="FootnoteReference"/>
        </w:rPr>
        <w:t xml:space="preserve"> </w:t>
      </w:r>
      <w:r w:rsidRPr="00AF648F">
        <w:rPr>
          <w:rStyle w:val="FootnoteReference"/>
        </w:rPr>
        <w:footnoteReference w:id="25"/>
      </w:r>
    </w:p>
    <w:p w14:paraId="15B530D9" w14:textId="0781A16E" w:rsidR="008F15A5" w:rsidRPr="00AF648F" w:rsidRDefault="00082007" w:rsidP="008F15A5">
      <w:pPr>
        <w:pStyle w:val="SingleTxtG"/>
        <w:numPr>
          <w:ilvl w:val="0"/>
          <w:numId w:val="19"/>
        </w:numPr>
        <w:tabs>
          <w:tab w:val="left" w:pos="1701"/>
        </w:tabs>
        <w:ind w:left="1134" w:firstLine="0"/>
        <w:rPr>
          <w:lang w:eastAsia="zh-CN"/>
        </w:rPr>
      </w:pPr>
      <w:bookmarkStart w:id="10" w:name="_Ref76116421"/>
      <w:r w:rsidRPr="00AF648F">
        <w:rPr>
          <w:lang w:eastAsia="zh-CN"/>
        </w:rPr>
        <w:lastRenderedPageBreak/>
        <w:t xml:space="preserve">In addition, the Party concerned </w:t>
      </w:r>
      <w:r w:rsidR="005F25ED" w:rsidRPr="00AF648F">
        <w:rPr>
          <w:lang w:eastAsia="zh-CN"/>
        </w:rPr>
        <w:t>states that, to support public access to information about the NECPs, the Commission</w:t>
      </w:r>
      <w:r w:rsidRPr="00AF648F">
        <w:rPr>
          <w:lang w:eastAsia="zh-CN"/>
        </w:rPr>
        <w:t xml:space="preserve"> has published all of the final NECPs for the period 2021-2030 on its website, together with an English translation and, where available, </w:t>
      </w:r>
      <w:r w:rsidR="0011174D" w:rsidRPr="00AF648F">
        <w:rPr>
          <w:lang w:eastAsia="zh-CN"/>
        </w:rPr>
        <w:t xml:space="preserve">a summary of the plans. It states that on the same website, it has also provided guidance to member States on “how to adhere to the obligations for public participation”, </w:t>
      </w:r>
      <w:r w:rsidR="00BA3615" w:rsidRPr="00AF648F">
        <w:rPr>
          <w:lang w:eastAsia="zh-CN"/>
        </w:rPr>
        <w:t>including references</w:t>
      </w:r>
      <w:r w:rsidR="0011174D" w:rsidRPr="00AF648F">
        <w:rPr>
          <w:lang w:eastAsia="zh-CN"/>
        </w:rPr>
        <w:t xml:space="preserve"> to the Committee’s advice of 28 May 2019.</w:t>
      </w:r>
      <w:r w:rsidR="0011174D" w:rsidRPr="00AF648F">
        <w:rPr>
          <w:rStyle w:val="FootnoteReference"/>
          <w:lang w:eastAsia="zh-CN"/>
        </w:rPr>
        <w:footnoteReference w:id="26"/>
      </w:r>
      <w:bookmarkEnd w:id="10"/>
    </w:p>
    <w:p w14:paraId="56C739B3" w14:textId="39F3C4A6" w:rsidR="00B43DF3" w:rsidRPr="00AF648F" w:rsidRDefault="00D77D80" w:rsidP="006D03D1">
      <w:pPr>
        <w:pStyle w:val="SingleTxtG"/>
        <w:numPr>
          <w:ilvl w:val="0"/>
          <w:numId w:val="19"/>
        </w:numPr>
        <w:tabs>
          <w:tab w:val="left" w:pos="1701"/>
        </w:tabs>
        <w:ind w:left="1134" w:firstLine="0"/>
      </w:pPr>
      <w:r>
        <w:t>H</w:t>
      </w:r>
      <w:r w:rsidR="00B43DF3" w:rsidRPr="00AF648F">
        <w:t xml:space="preserve">aving examined each of the actions </w:t>
      </w:r>
      <w:r>
        <w:t xml:space="preserve">in paragraphs </w:t>
      </w:r>
      <w:r w:rsidR="009A3DE3">
        <w:fldChar w:fldCharType="begin"/>
      </w:r>
      <w:r w:rsidR="009A3DE3">
        <w:instrText xml:space="preserve"> REF _Ref76116434 \r \h </w:instrText>
      </w:r>
      <w:r w:rsidR="009A3DE3">
        <w:fldChar w:fldCharType="separate"/>
      </w:r>
      <w:r w:rsidR="001F1E82">
        <w:rPr>
          <w:cs/>
        </w:rPr>
        <w:t>‎</w:t>
      </w:r>
      <w:r w:rsidR="001F1E82">
        <w:t>77</w:t>
      </w:r>
      <w:r w:rsidR="009A3DE3">
        <w:fldChar w:fldCharType="end"/>
      </w:r>
      <w:r w:rsidR="009A3DE3">
        <w:t xml:space="preserve"> </w:t>
      </w:r>
      <w:r>
        <w:t xml:space="preserve">to </w:t>
      </w:r>
      <w:r w:rsidR="009A3DE3">
        <w:fldChar w:fldCharType="begin"/>
      </w:r>
      <w:r w:rsidR="009A3DE3">
        <w:instrText xml:space="preserve"> REF _Ref76116421 \r \h </w:instrText>
      </w:r>
      <w:r w:rsidR="009A3DE3">
        <w:fldChar w:fldCharType="separate"/>
      </w:r>
      <w:r w:rsidR="001F1E82">
        <w:rPr>
          <w:cs/>
        </w:rPr>
        <w:t>‎</w:t>
      </w:r>
      <w:r w:rsidR="001F1E82">
        <w:t>80</w:t>
      </w:r>
      <w:r w:rsidR="009A3DE3">
        <w:fldChar w:fldCharType="end"/>
      </w:r>
      <w:r w:rsidR="009A3DE3">
        <w:t xml:space="preserve"> </w:t>
      </w:r>
      <w:r>
        <w:t>above</w:t>
      </w:r>
      <w:r w:rsidR="009A3DE3">
        <w:t xml:space="preserve"> reported</w:t>
      </w:r>
      <w:r>
        <w:t xml:space="preserve"> </w:t>
      </w:r>
      <w:r w:rsidR="00B43DF3" w:rsidRPr="00AF648F">
        <w:t xml:space="preserve">by the Party concerned in its final progress report, the Committee considers that none of them amount to “clear instructions” that would amount to a direction or order that must be followed by the member States. The Committee accordingly concludes that the Party concerned has not demonstrated that it has adopted “clear instructions” </w:t>
      </w:r>
      <w:r w:rsidR="00B43DF3" w:rsidRPr="00AF648F">
        <w:rPr>
          <w:lang w:eastAsia="zh-CN"/>
        </w:rPr>
        <w:t xml:space="preserve">for implementing article 7 of the Convention with respect to the adoption of NECPs. </w:t>
      </w:r>
    </w:p>
    <w:p w14:paraId="4EEA19DC" w14:textId="6CA22997" w:rsidR="00B43DF3" w:rsidRPr="00AF648F" w:rsidRDefault="00B43DF3" w:rsidP="00B43DF3">
      <w:pPr>
        <w:pStyle w:val="SingleTxtG"/>
        <w:tabs>
          <w:tab w:val="left" w:pos="1701"/>
        </w:tabs>
        <w:rPr>
          <w:i/>
          <w:iCs/>
        </w:rPr>
      </w:pPr>
      <w:r w:rsidRPr="00AF648F">
        <w:rPr>
          <w:i/>
          <w:iCs/>
        </w:rPr>
        <w:t xml:space="preserve">Concluding remarks regarding the first three sentences of paragraph 3 </w:t>
      </w:r>
      <w:r w:rsidR="00547E14" w:rsidRPr="00AF648F">
        <w:rPr>
          <w:i/>
          <w:iCs/>
        </w:rPr>
        <w:t>of paragraph 7</w:t>
      </w:r>
    </w:p>
    <w:p w14:paraId="227CE67B" w14:textId="08D2A200" w:rsidR="006D03D1" w:rsidRPr="00AF648F" w:rsidRDefault="006D03D1" w:rsidP="006D03D1">
      <w:pPr>
        <w:pStyle w:val="SingleTxtG"/>
        <w:numPr>
          <w:ilvl w:val="0"/>
          <w:numId w:val="19"/>
        </w:numPr>
        <w:tabs>
          <w:tab w:val="left" w:pos="1701"/>
        </w:tabs>
        <w:ind w:left="1134" w:firstLine="0"/>
      </w:pPr>
      <w:r w:rsidRPr="00AF648F">
        <w:rPr>
          <w:lang w:eastAsia="zh-CN"/>
        </w:rPr>
        <w:t xml:space="preserve">In light of the foregoing, </w:t>
      </w:r>
      <w:r w:rsidR="00B43DF3" w:rsidRPr="00AF648F">
        <w:rPr>
          <w:lang w:eastAsia="zh-CN"/>
        </w:rPr>
        <w:t xml:space="preserve">the Committee finds that </w:t>
      </w:r>
      <w:r w:rsidR="00B52A09" w:rsidRPr="00AF648F">
        <w:t>the Party concerned has put in place a regulatory framework that meets the requirements of article 6(3) of the Convention with respect to the NECPs but has not yet demonstrated that it has adopted either a proper regulatory framework or clear instructions to ensure that the other requirements of article 7 are met in the adoption of the NECPs, as required by the first three sentences of paragraph 3 of decision V/9g</w:t>
      </w:r>
      <w:r w:rsidR="002F6BC5" w:rsidRPr="00AF648F">
        <w:t>.</w:t>
      </w:r>
    </w:p>
    <w:p w14:paraId="2A9FA454" w14:textId="77777777" w:rsidR="006D03D1" w:rsidRPr="00AF648F" w:rsidRDefault="006D03D1" w:rsidP="006D03D1">
      <w:pPr>
        <w:pStyle w:val="SingleTxtG"/>
        <w:tabs>
          <w:tab w:val="left" w:pos="1701"/>
        </w:tabs>
      </w:pPr>
    </w:p>
    <w:p w14:paraId="47C93514" w14:textId="149BE963" w:rsidR="00445C8E" w:rsidRPr="00AF648F" w:rsidRDefault="006D03D1" w:rsidP="006D03D1">
      <w:pPr>
        <w:pStyle w:val="SingleTxtG"/>
        <w:tabs>
          <w:tab w:val="left" w:pos="1701"/>
        </w:tabs>
        <w:rPr>
          <w:b/>
          <w:bCs/>
        </w:rPr>
      </w:pPr>
      <w:r w:rsidRPr="00AF648F">
        <w:rPr>
          <w:b/>
          <w:bCs/>
        </w:rPr>
        <w:t>Paragraph 3</w:t>
      </w:r>
      <w:r w:rsidR="00547E14" w:rsidRPr="00AF648F">
        <w:rPr>
          <w:b/>
          <w:bCs/>
        </w:rPr>
        <w:t>, final sentence,</w:t>
      </w:r>
      <w:r w:rsidRPr="00AF648F">
        <w:rPr>
          <w:b/>
          <w:bCs/>
        </w:rPr>
        <w:t xml:space="preserve"> of decision V/9g – Evaluation of NECPs</w:t>
      </w:r>
    </w:p>
    <w:p w14:paraId="65133F10" w14:textId="617A028D" w:rsidR="00D46D05" w:rsidRPr="00AF648F" w:rsidRDefault="00D46D05" w:rsidP="00D46D05">
      <w:pPr>
        <w:pStyle w:val="SingleTxtG"/>
        <w:numPr>
          <w:ilvl w:val="0"/>
          <w:numId w:val="19"/>
        </w:numPr>
        <w:tabs>
          <w:tab w:val="left" w:pos="1701"/>
        </w:tabs>
        <w:suppressAutoHyphens w:val="0"/>
        <w:spacing w:line="240" w:lineRule="auto"/>
        <w:ind w:left="1134" w:firstLine="0"/>
      </w:pPr>
      <w:r w:rsidRPr="00AF648F">
        <w:t xml:space="preserve">When reviewing the extent to which the Party concerned has fulfilled the final sentence of paragraph 3 of decision V/9g, which requires the Party concerned to adapt the manner in which it evaluates NREAPs, the Committee has examined the measures taken by the Party concerned </w:t>
      </w:r>
      <w:r w:rsidR="000944C7" w:rsidRPr="00AF648F">
        <w:t xml:space="preserve">during this intersessional period </w:t>
      </w:r>
      <w:r w:rsidRPr="00AF648F">
        <w:t xml:space="preserve">to adapt the manner in which it evaluates: </w:t>
      </w:r>
    </w:p>
    <w:p w14:paraId="2E674891" w14:textId="77777777" w:rsidR="00D46D05" w:rsidRPr="00AF648F" w:rsidRDefault="00D46D05" w:rsidP="00D46D05">
      <w:pPr>
        <w:pStyle w:val="SingleTxtG"/>
        <w:numPr>
          <w:ilvl w:val="0"/>
          <w:numId w:val="23"/>
        </w:numPr>
        <w:tabs>
          <w:tab w:val="left" w:pos="1701"/>
        </w:tabs>
        <w:suppressAutoHyphens w:val="0"/>
        <w:spacing w:line="240" w:lineRule="auto"/>
      </w:pPr>
      <w:r w:rsidRPr="00AF648F">
        <w:t xml:space="preserve">Member States’ 2010 </w:t>
      </w:r>
      <w:proofErr w:type="gramStart"/>
      <w:r w:rsidRPr="00AF648F">
        <w:t>NREAPs;</w:t>
      </w:r>
      <w:proofErr w:type="gramEnd"/>
    </w:p>
    <w:p w14:paraId="4B57B0E7" w14:textId="77777777" w:rsidR="00D46D05" w:rsidRPr="00AF648F" w:rsidRDefault="00D46D05" w:rsidP="00D46D05">
      <w:pPr>
        <w:pStyle w:val="SingleTxtG"/>
        <w:numPr>
          <w:ilvl w:val="0"/>
          <w:numId w:val="23"/>
        </w:numPr>
        <w:tabs>
          <w:tab w:val="left" w:pos="1701"/>
        </w:tabs>
        <w:suppressAutoHyphens w:val="0"/>
        <w:spacing w:line="240" w:lineRule="auto"/>
      </w:pPr>
      <w:r w:rsidRPr="00AF648F">
        <w:t>Member States’ post-2020 NECPs.</w:t>
      </w:r>
    </w:p>
    <w:p w14:paraId="25227691" w14:textId="62D2BAFA" w:rsidR="006D03D1" w:rsidRPr="00AF648F" w:rsidRDefault="006D03D1" w:rsidP="006D03D1">
      <w:pPr>
        <w:pStyle w:val="SingleTxtG"/>
        <w:tabs>
          <w:tab w:val="left" w:pos="1701"/>
        </w:tabs>
        <w:rPr>
          <w:i/>
        </w:rPr>
      </w:pPr>
      <w:r w:rsidRPr="00AF648F">
        <w:rPr>
          <w:i/>
          <w:iCs/>
        </w:rPr>
        <w:t>Member States’ 2010 NREAPs</w:t>
      </w:r>
    </w:p>
    <w:p w14:paraId="65CEF1FC" w14:textId="286AE27D" w:rsidR="006D03D1" w:rsidRPr="00AF648F" w:rsidRDefault="001E0BCE" w:rsidP="006D03D1">
      <w:pPr>
        <w:pStyle w:val="SingleTxtG"/>
        <w:numPr>
          <w:ilvl w:val="0"/>
          <w:numId w:val="19"/>
        </w:numPr>
        <w:tabs>
          <w:tab w:val="left" w:pos="1701"/>
        </w:tabs>
        <w:ind w:left="1134" w:firstLine="0"/>
        <w:rPr>
          <w:lang w:eastAsia="zh-CN"/>
        </w:rPr>
      </w:pPr>
      <w:r w:rsidRPr="00AF648F">
        <w:t xml:space="preserve">With respect to the Party </w:t>
      </w:r>
      <w:proofErr w:type="spellStart"/>
      <w:r w:rsidRPr="00AF648F">
        <w:t>concerned’s</w:t>
      </w:r>
      <w:proofErr w:type="spellEnd"/>
      <w:r w:rsidR="006D03D1" w:rsidRPr="00AF648F">
        <w:t xml:space="preserve"> evaluation of </w:t>
      </w:r>
      <w:r w:rsidRPr="00AF648F">
        <w:t xml:space="preserve">the </w:t>
      </w:r>
      <w:r w:rsidR="006D03D1" w:rsidRPr="00AF648F">
        <w:t>member States’ 2010 NREAPS, the Committee</w:t>
      </w:r>
      <w:r w:rsidR="00766F7F" w:rsidRPr="00AF648F">
        <w:t xml:space="preserve">, in its second progress review, reiterated its serious concern that </w:t>
      </w:r>
    </w:p>
    <w:p w14:paraId="2480DB4B" w14:textId="63317450" w:rsidR="00766F7F" w:rsidRPr="00AF648F" w:rsidRDefault="00766F7F" w:rsidP="00766F7F">
      <w:pPr>
        <w:pStyle w:val="SingleTxtG"/>
        <w:tabs>
          <w:tab w:val="left" w:pos="1701"/>
        </w:tabs>
        <w:ind w:left="1701"/>
        <w:rPr>
          <w:lang w:eastAsia="zh-CN"/>
        </w:rPr>
      </w:pPr>
      <w:r w:rsidRPr="00AF648F">
        <w:rPr>
          <w:lang w:eastAsia="zh-CN"/>
        </w:rPr>
        <w:tab/>
        <w:t>despite having been explicitly invited to do so in the Committee’s first progress review, the Party concerned in its second progress report has still not yet replied to the questions put to it in the Committee’s second progress review on decision V/9g in the last intersessional period.</w:t>
      </w:r>
      <w:r w:rsidRPr="00AF648F">
        <w:rPr>
          <w:rStyle w:val="FootnoteReference"/>
          <w:lang w:eastAsia="zh-CN"/>
        </w:rPr>
        <w:footnoteReference w:id="27"/>
      </w:r>
    </w:p>
    <w:p w14:paraId="363F5A13" w14:textId="0FC16893" w:rsidR="006D03D1" w:rsidRPr="00AF648F" w:rsidRDefault="00766F7F" w:rsidP="006D03D1">
      <w:pPr>
        <w:pStyle w:val="SingleTxtG"/>
        <w:numPr>
          <w:ilvl w:val="0"/>
          <w:numId w:val="19"/>
        </w:numPr>
        <w:tabs>
          <w:tab w:val="left" w:pos="1701"/>
        </w:tabs>
        <w:ind w:left="1134" w:firstLine="0"/>
        <w:rPr>
          <w:lang w:eastAsia="zh-CN"/>
        </w:rPr>
      </w:pPr>
      <w:r w:rsidRPr="00AF648F">
        <w:rPr>
          <w:lang w:eastAsia="zh-CN"/>
        </w:rPr>
        <w:t>While regretting the lack of engagement by the Party concerned on the issue, the Committee concluded that:</w:t>
      </w:r>
    </w:p>
    <w:p w14:paraId="07AD78B3" w14:textId="09D58F7C" w:rsidR="006D03D1" w:rsidRPr="00AF648F" w:rsidRDefault="00766F7F" w:rsidP="00766F7F">
      <w:pPr>
        <w:pStyle w:val="SingleTxtG"/>
        <w:tabs>
          <w:tab w:val="left" w:pos="1701"/>
        </w:tabs>
        <w:ind w:left="1701"/>
        <w:rPr>
          <w:lang w:eastAsia="zh-CN"/>
        </w:rPr>
      </w:pPr>
      <w:r w:rsidRPr="00AF648F">
        <w:rPr>
          <w:lang w:eastAsia="zh-CN"/>
        </w:rPr>
        <w:tab/>
        <w:t xml:space="preserve">Since a proper regulatory framework or clear instructions for implementing article 7 with respect to the NREAPs was never, and upon the NECPs’ supersession of the [NREAPs], now never will be, put in place by the Party concerned, there will remain no proper framework or clear instructions for any public participation on the NREAPs to be evaluated against. The Committee thus considers it would be futile for the Committee to spend further time on reviewing the manner in [which] the Party concerned evaluates NREAPs and more expedient to instead focus its review on the </w:t>
      </w:r>
      <w:r w:rsidRPr="00AF648F">
        <w:rPr>
          <w:lang w:eastAsia="zh-CN"/>
        </w:rPr>
        <w:lastRenderedPageBreak/>
        <w:t>evaluation of the Party concerned of the member States’ post-2020 NECPs. The Committee underlines that it expects considerably better engagement from the Party concerned moving forward than that it has provided with respect to the evaluation of member States’ 2010 NREAPs.</w:t>
      </w:r>
      <w:r w:rsidRPr="00AF648F">
        <w:rPr>
          <w:rStyle w:val="FootnoteReference"/>
          <w:lang w:eastAsia="zh-CN"/>
        </w:rPr>
        <w:footnoteReference w:id="28"/>
      </w:r>
    </w:p>
    <w:p w14:paraId="60EE37AA" w14:textId="169D8EA9" w:rsidR="001E0BCE" w:rsidRPr="00AF648F" w:rsidRDefault="001E0BCE" w:rsidP="001E0BCE">
      <w:pPr>
        <w:pStyle w:val="SingleTxtG"/>
        <w:numPr>
          <w:ilvl w:val="0"/>
          <w:numId w:val="19"/>
        </w:numPr>
        <w:tabs>
          <w:tab w:val="left" w:pos="1701"/>
        </w:tabs>
        <w:ind w:left="1134" w:firstLine="0"/>
        <w:rPr>
          <w:lang w:eastAsia="zh-CN"/>
        </w:rPr>
      </w:pPr>
      <w:r w:rsidRPr="00AF648F">
        <w:rPr>
          <w:lang w:eastAsia="zh-CN"/>
        </w:rPr>
        <w:t xml:space="preserve">The Committee thus examines below the </w:t>
      </w:r>
      <w:proofErr w:type="gramStart"/>
      <w:r w:rsidRPr="00AF648F">
        <w:rPr>
          <w:lang w:eastAsia="zh-CN"/>
        </w:rPr>
        <w:t>manner in which</w:t>
      </w:r>
      <w:proofErr w:type="gramEnd"/>
      <w:r w:rsidRPr="00AF648F">
        <w:rPr>
          <w:lang w:eastAsia="zh-CN"/>
        </w:rPr>
        <w:t xml:space="preserve"> the Party concerned has evaluated member States post-2020 NECPs.</w:t>
      </w:r>
    </w:p>
    <w:p w14:paraId="4C13705E" w14:textId="4D578766" w:rsidR="00766F7F" w:rsidRPr="00AF648F" w:rsidRDefault="00766F7F" w:rsidP="00766F7F">
      <w:pPr>
        <w:pStyle w:val="SingleTxtG"/>
        <w:tabs>
          <w:tab w:val="left" w:pos="1701"/>
        </w:tabs>
        <w:rPr>
          <w:i/>
          <w:iCs/>
        </w:rPr>
      </w:pPr>
      <w:r w:rsidRPr="00AF648F">
        <w:rPr>
          <w:i/>
          <w:iCs/>
        </w:rPr>
        <w:t>Member States post-2020 NECPs</w:t>
      </w:r>
    </w:p>
    <w:p w14:paraId="1B1163EC" w14:textId="23A8ED32" w:rsidR="00766F7F" w:rsidRPr="00AF648F" w:rsidRDefault="00F138BC" w:rsidP="00F138BC">
      <w:pPr>
        <w:pStyle w:val="SingleTxtG"/>
        <w:numPr>
          <w:ilvl w:val="0"/>
          <w:numId w:val="19"/>
        </w:numPr>
        <w:tabs>
          <w:tab w:val="left" w:pos="1701"/>
        </w:tabs>
        <w:ind w:left="1134" w:firstLine="0"/>
        <w:rPr>
          <w:lang w:eastAsia="zh-CN"/>
        </w:rPr>
      </w:pPr>
      <w:bookmarkStart w:id="11" w:name="_Ref74667180"/>
      <w:r w:rsidRPr="00AF648F">
        <w:t>In its second progress review, the Committee invited the Party concerned to provide, together with its final progress report:</w:t>
      </w:r>
      <w:bookmarkEnd w:id="11"/>
    </w:p>
    <w:p w14:paraId="686C73CF" w14:textId="3D05981C" w:rsidR="00F138BC" w:rsidRPr="00AF648F" w:rsidRDefault="00F138BC" w:rsidP="00F138BC">
      <w:pPr>
        <w:pStyle w:val="SingleTxtG"/>
        <w:tabs>
          <w:tab w:val="left" w:pos="1701"/>
        </w:tabs>
        <w:rPr>
          <w:lang w:eastAsia="zh-CN"/>
        </w:rPr>
      </w:pPr>
      <w:r w:rsidRPr="00AF648F">
        <w:rPr>
          <w:lang w:eastAsia="zh-CN"/>
        </w:rPr>
        <w:tab/>
        <w:t xml:space="preserve">(a) For each member State, the relevant sections of its final 2021-2030 NECP which address the public participation carried out </w:t>
      </w:r>
      <w:proofErr w:type="gramStart"/>
      <w:r w:rsidRPr="00AF648F">
        <w:rPr>
          <w:lang w:eastAsia="zh-CN"/>
        </w:rPr>
        <w:t>thereon;</w:t>
      </w:r>
      <w:proofErr w:type="gramEnd"/>
    </w:p>
    <w:p w14:paraId="23A3C5CF" w14:textId="1AA94D88" w:rsidR="00F138BC" w:rsidRPr="00AF648F" w:rsidRDefault="00F138BC" w:rsidP="00F138BC">
      <w:pPr>
        <w:pStyle w:val="SingleTxtG"/>
        <w:tabs>
          <w:tab w:val="left" w:pos="1701"/>
        </w:tabs>
        <w:rPr>
          <w:lang w:eastAsia="zh-CN"/>
        </w:rPr>
      </w:pPr>
      <w:r w:rsidRPr="00AF648F">
        <w:rPr>
          <w:lang w:eastAsia="zh-CN"/>
        </w:rPr>
        <w:tab/>
        <w:t xml:space="preserve">(b) For each member State, the evaluation carried out by the Commission regarding the public participation carried out with respect to the final 2021-2030 </w:t>
      </w:r>
      <w:proofErr w:type="gramStart"/>
      <w:r w:rsidRPr="00AF648F">
        <w:rPr>
          <w:lang w:eastAsia="zh-CN"/>
        </w:rPr>
        <w:t>NECP;</w:t>
      </w:r>
      <w:proofErr w:type="gramEnd"/>
    </w:p>
    <w:p w14:paraId="22A04F23" w14:textId="291AE1DC" w:rsidR="00F138BC" w:rsidRPr="00AF648F" w:rsidRDefault="00F138BC" w:rsidP="00F138BC">
      <w:pPr>
        <w:pStyle w:val="SingleTxtG"/>
        <w:tabs>
          <w:tab w:val="left" w:pos="1701"/>
        </w:tabs>
        <w:rPr>
          <w:lang w:eastAsia="zh-CN"/>
        </w:rPr>
      </w:pPr>
      <w:r w:rsidRPr="00AF648F">
        <w:rPr>
          <w:lang w:eastAsia="zh-CN"/>
        </w:rPr>
        <w:tab/>
        <w:t>(c) An explanation of the specific measures it ha</w:t>
      </w:r>
      <w:r w:rsidR="000F486A" w:rsidRPr="00AF648F">
        <w:rPr>
          <w:lang w:eastAsia="zh-CN"/>
        </w:rPr>
        <w:t>d</w:t>
      </w:r>
      <w:r w:rsidRPr="00AF648F">
        <w:rPr>
          <w:lang w:eastAsia="zh-CN"/>
        </w:rPr>
        <w:t xml:space="preserve"> by that date taken with respect to each member State whose information on the implementation of article 7 in its final 2021-2030 NECP was either (i) insufficient or (ii) reveals a possible failure to carry out public participation that fully met the requirements of article 7 of the Convention.</w:t>
      </w:r>
      <w:r w:rsidRPr="00AF648F">
        <w:rPr>
          <w:rStyle w:val="FootnoteReference"/>
          <w:lang w:eastAsia="zh-CN"/>
        </w:rPr>
        <w:footnoteReference w:id="29"/>
      </w:r>
    </w:p>
    <w:p w14:paraId="52D18CF8" w14:textId="48CB89DA" w:rsidR="00F138BC" w:rsidRPr="00AF648F" w:rsidRDefault="00F138BC" w:rsidP="00F138BC">
      <w:pPr>
        <w:pStyle w:val="SingleTxtG"/>
        <w:numPr>
          <w:ilvl w:val="0"/>
          <w:numId w:val="19"/>
        </w:numPr>
        <w:tabs>
          <w:tab w:val="left" w:pos="1701"/>
        </w:tabs>
        <w:ind w:left="1134" w:firstLine="0"/>
      </w:pPr>
      <w:r w:rsidRPr="00AF648F">
        <w:t xml:space="preserve">The Party concerned, in its final progress report, </w:t>
      </w:r>
      <w:r w:rsidR="009F7C04" w:rsidRPr="00AF648F">
        <w:t xml:space="preserve">reports that an assessment of the final NECPs “is being carried out by the Commission services” and is expected to be published </w:t>
      </w:r>
      <w:r w:rsidR="00547E14" w:rsidRPr="00AF648F">
        <w:t xml:space="preserve">in </w:t>
      </w:r>
      <w:r w:rsidR="009F7C04" w:rsidRPr="00AF648F">
        <w:t>mid</w:t>
      </w:r>
      <w:r w:rsidR="00547E14" w:rsidRPr="00AF648F">
        <w:t>-</w:t>
      </w:r>
      <w:r w:rsidR="009F7C04" w:rsidRPr="00AF648F">
        <w:t>October 2020. It submits that the assessment would contain “observations” on how the Governance Regulation has been applied by member States, on how they have taken into account the Party’s recommendations of June 2019 and “how the Member States report that the public has been involved in the preparation of the final NECPs, pursuant to the obligations of Member States as parties to the Aarhus Convention in their own right.”</w:t>
      </w:r>
      <w:r w:rsidR="009F7C04" w:rsidRPr="00AF648F">
        <w:rPr>
          <w:rStyle w:val="FootnoteReference"/>
        </w:rPr>
        <w:footnoteReference w:id="30"/>
      </w:r>
    </w:p>
    <w:p w14:paraId="2E5ED823" w14:textId="7F83012C" w:rsidR="009F7C04" w:rsidRPr="00AF648F" w:rsidRDefault="009F7C04" w:rsidP="00F138BC">
      <w:pPr>
        <w:pStyle w:val="SingleTxtG"/>
        <w:numPr>
          <w:ilvl w:val="0"/>
          <w:numId w:val="19"/>
        </w:numPr>
        <w:tabs>
          <w:tab w:val="left" w:pos="1701"/>
        </w:tabs>
        <w:ind w:left="1134" w:firstLine="0"/>
      </w:pPr>
      <w:r w:rsidRPr="00AF648F">
        <w:t>The Party concerned further states that</w:t>
      </w:r>
      <w:r w:rsidR="00824AB3" w:rsidRPr="00AF648F">
        <w:t>,</w:t>
      </w:r>
      <w:r w:rsidRPr="00AF648F">
        <w:t xml:space="preserve"> within its discretion as prescribed by the European Union treaties, it would “continue to pursue conformity and compliance of Member States with their EU legal obligations, including those under the Governance Regulation related to public participation where possible and necessary.”</w:t>
      </w:r>
      <w:r w:rsidRPr="00AF648F">
        <w:rPr>
          <w:rStyle w:val="FootnoteReference"/>
        </w:rPr>
        <w:footnoteReference w:id="31"/>
      </w:r>
    </w:p>
    <w:p w14:paraId="5FD0FB54" w14:textId="29B6447C" w:rsidR="00240463" w:rsidRPr="00AF648F" w:rsidRDefault="00695140" w:rsidP="00F138BC">
      <w:pPr>
        <w:pStyle w:val="SingleTxtG"/>
        <w:numPr>
          <w:ilvl w:val="0"/>
          <w:numId w:val="19"/>
        </w:numPr>
        <w:tabs>
          <w:tab w:val="left" w:pos="1701"/>
        </w:tabs>
        <w:ind w:left="1134" w:firstLine="0"/>
      </w:pPr>
      <w:bookmarkStart w:id="12" w:name="_Ref75767315"/>
      <w:r w:rsidRPr="00AF648F">
        <w:t xml:space="preserve">In its additional information sent on 25 June 2021, the Party concerned </w:t>
      </w:r>
      <w:r w:rsidR="0011543D" w:rsidRPr="00AF648F">
        <w:t>reports that on 17 September 2020,</w:t>
      </w:r>
      <w:r w:rsidR="00DB08EF" w:rsidRPr="00AF648F">
        <w:t xml:space="preserve"> following the submission of all the member States’ NECPs,</w:t>
      </w:r>
      <w:r w:rsidR="0011543D" w:rsidRPr="00AF648F">
        <w:t xml:space="preserve"> it published a Communication </w:t>
      </w:r>
      <w:r w:rsidR="001E577B" w:rsidRPr="00AF648F">
        <w:t xml:space="preserve">on “An EU-wide assessment of </w:t>
      </w:r>
      <w:r w:rsidR="00015462" w:rsidRPr="00AF648F">
        <w:t>N</w:t>
      </w:r>
      <w:r w:rsidR="001E577B" w:rsidRPr="00AF648F">
        <w:t>ational Energy and Climate Plans”</w:t>
      </w:r>
      <w:r w:rsidR="00F16471" w:rsidRPr="00AF648F">
        <w:t xml:space="preserve">. It </w:t>
      </w:r>
      <w:r w:rsidR="001E0BCE" w:rsidRPr="00AF648F">
        <w:t>also states</w:t>
      </w:r>
      <w:r w:rsidR="00F16471" w:rsidRPr="00AF648F">
        <w:t xml:space="preserve"> that</w:t>
      </w:r>
      <w:r w:rsidR="00BF721B" w:rsidRPr="00AF648F">
        <w:t xml:space="preserve"> “the plans have been subject </w:t>
      </w:r>
      <w:r w:rsidR="003648C4" w:rsidRPr="00AF648F">
        <w:t xml:space="preserve">to extensive consultation with stakeholders, civil society and citizens to ensure </w:t>
      </w:r>
      <w:r w:rsidR="00053A17" w:rsidRPr="00AF648F">
        <w:t>ownership and wide public support”.</w:t>
      </w:r>
      <w:r w:rsidR="00053A17" w:rsidRPr="00AF648F">
        <w:rPr>
          <w:rStyle w:val="FootnoteReference"/>
        </w:rPr>
        <w:footnoteReference w:id="32"/>
      </w:r>
      <w:bookmarkEnd w:id="12"/>
    </w:p>
    <w:p w14:paraId="67FBA94D" w14:textId="5585BCE7" w:rsidR="00BF1E49" w:rsidRPr="00AF648F" w:rsidRDefault="00BF1E49" w:rsidP="00F138BC">
      <w:pPr>
        <w:pStyle w:val="SingleTxtG"/>
        <w:numPr>
          <w:ilvl w:val="0"/>
          <w:numId w:val="19"/>
        </w:numPr>
        <w:tabs>
          <w:tab w:val="left" w:pos="1701"/>
        </w:tabs>
        <w:ind w:left="1134" w:firstLine="0"/>
      </w:pPr>
      <w:bookmarkStart w:id="13" w:name="_Ref75767326"/>
      <w:r w:rsidRPr="00AF648F">
        <w:t xml:space="preserve">The Party concerned </w:t>
      </w:r>
      <w:r w:rsidR="009C0FE8" w:rsidRPr="00AF648F">
        <w:t>further</w:t>
      </w:r>
      <w:r w:rsidR="00900FBD" w:rsidRPr="00AF648F">
        <w:t xml:space="preserve"> reports that</w:t>
      </w:r>
      <w:r w:rsidR="00345EE8" w:rsidRPr="00AF648F">
        <w:t xml:space="preserve"> on 14 October 2020,</w:t>
      </w:r>
      <w:r w:rsidR="00900FBD" w:rsidRPr="00AF648F">
        <w:t xml:space="preserve"> it</w:t>
      </w:r>
      <w:r w:rsidR="00BE4F5E" w:rsidRPr="00AF648F">
        <w:t xml:space="preserve"> published </w:t>
      </w:r>
      <w:r w:rsidR="00184AF5" w:rsidRPr="00AF648F">
        <w:t>twenty-seven</w:t>
      </w:r>
      <w:r w:rsidR="00BE4F5E" w:rsidRPr="00AF648F">
        <w:t xml:space="preserve"> </w:t>
      </w:r>
      <w:r w:rsidR="00547E14" w:rsidRPr="00AF648F">
        <w:t>individual assessments</w:t>
      </w:r>
      <w:r w:rsidR="006E347D" w:rsidRPr="00AF648F">
        <w:t xml:space="preserve">, in which it </w:t>
      </w:r>
      <w:r w:rsidR="00AF2C05" w:rsidRPr="00AF648F">
        <w:t>assessed</w:t>
      </w:r>
      <w:r w:rsidR="003B73C3" w:rsidRPr="00AF648F">
        <w:t>, inter alia,</w:t>
      </w:r>
      <w:r w:rsidR="00AF2C05" w:rsidRPr="00AF648F">
        <w:t xml:space="preserve"> for each member </w:t>
      </w:r>
      <w:r w:rsidR="001E0BCE" w:rsidRPr="00AF648F">
        <w:t>S</w:t>
      </w:r>
      <w:r w:rsidR="00AF2C05" w:rsidRPr="00AF648F">
        <w:t>tate “</w:t>
      </w:r>
      <w:r w:rsidR="00AF3FA4" w:rsidRPr="00AF648F">
        <w:t>whether or not public involvement has taken place at national level in the preparation of the final NECPs.” The aim o</w:t>
      </w:r>
      <w:r w:rsidR="00D969F2" w:rsidRPr="00AF648F">
        <w:t>f this assessment</w:t>
      </w:r>
      <w:r w:rsidR="003B73C3" w:rsidRPr="00AF648F">
        <w:t>, according to</w:t>
      </w:r>
      <w:r w:rsidR="00184AF5" w:rsidRPr="00AF648F">
        <w:t xml:space="preserve"> the </w:t>
      </w:r>
      <w:r w:rsidR="003B73C3" w:rsidRPr="00AF648F">
        <w:t xml:space="preserve">Party concerned, was to </w:t>
      </w:r>
      <w:r w:rsidR="002A6F97" w:rsidRPr="00AF648F">
        <w:t>“facilitate public scrutiny” regarding the member States’ obligations under the Convention.</w:t>
      </w:r>
      <w:r w:rsidR="00345EE8" w:rsidRPr="00AF648F">
        <w:rPr>
          <w:rStyle w:val="FootnoteReference"/>
        </w:rPr>
        <w:footnoteReference w:id="33"/>
      </w:r>
      <w:bookmarkEnd w:id="13"/>
    </w:p>
    <w:p w14:paraId="0116AC48" w14:textId="3AE09813" w:rsidR="001F6D94" w:rsidRPr="00AF648F" w:rsidRDefault="001F6D94" w:rsidP="00F138BC">
      <w:pPr>
        <w:pStyle w:val="SingleTxtG"/>
        <w:numPr>
          <w:ilvl w:val="0"/>
          <w:numId w:val="19"/>
        </w:numPr>
        <w:tabs>
          <w:tab w:val="left" w:pos="1701"/>
        </w:tabs>
        <w:ind w:left="1134" w:firstLine="0"/>
      </w:pPr>
      <w:r w:rsidRPr="00AF648F">
        <w:t xml:space="preserve">The communicant of communication ACCC/C/2008/32 </w:t>
      </w:r>
      <w:r w:rsidR="006E4770" w:rsidRPr="00AF648F">
        <w:t>claims that neither</w:t>
      </w:r>
      <w:r w:rsidR="00E776B7" w:rsidRPr="00AF648F">
        <w:t xml:space="preserve"> the “EU-wide assessment” nor the </w:t>
      </w:r>
      <w:r w:rsidR="00547E14" w:rsidRPr="00AF648F">
        <w:t>individual assessments</w:t>
      </w:r>
      <w:r w:rsidR="00446212" w:rsidRPr="00AF648F">
        <w:t xml:space="preserve"> published by the Commission (see paras. </w:t>
      </w:r>
      <w:r w:rsidR="00446212" w:rsidRPr="00AF648F">
        <w:fldChar w:fldCharType="begin"/>
      </w:r>
      <w:r w:rsidR="00446212" w:rsidRPr="00AF648F">
        <w:instrText xml:space="preserve"> REF _Ref75767315 \r \h  \* MERGEFORMAT </w:instrText>
      </w:r>
      <w:r w:rsidR="00446212" w:rsidRPr="00AF648F">
        <w:fldChar w:fldCharType="separate"/>
      </w:r>
      <w:r w:rsidR="001F1E82">
        <w:rPr>
          <w:cs/>
        </w:rPr>
        <w:t>‎</w:t>
      </w:r>
      <w:r w:rsidR="001F1E82">
        <w:t>90</w:t>
      </w:r>
      <w:r w:rsidR="00446212" w:rsidRPr="00AF648F">
        <w:fldChar w:fldCharType="end"/>
      </w:r>
      <w:r w:rsidR="00446212" w:rsidRPr="00AF648F">
        <w:t>-</w:t>
      </w:r>
      <w:r w:rsidR="00446212" w:rsidRPr="00AF648F">
        <w:fldChar w:fldCharType="begin"/>
      </w:r>
      <w:r w:rsidR="00446212" w:rsidRPr="00AF648F">
        <w:instrText xml:space="preserve"> REF _Ref75767326 \r \h  \* MERGEFORMAT </w:instrText>
      </w:r>
      <w:r w:rsidR="00446212" w:rsidRPr="00AF648F">
        <w:fldChar w:fldCharType="separate"/>
      </w:r>
      <w:r w:rsidR="001F1E82">
        <w:rPr>
          <w:cs/>
        </w:rPr>
        <w:t>‎</w:t>
      </w:r>
      <w:r w:rsidR="001F1E82">
        <w:t>91</w:t>
      </w:r>
      <w:r w:rsidR="00446212" w:rsidRPr="00AF648F">
        <w:fldChar w:fldCharType="end"/>
      </w:r>
      <w:r w:rsidR="00446212" w:rsidRPr="00AF648F">
        <w:t xml:space="preserve"> above)</w:t>
      </w:r>
      <w:r w:rsidR="006E4770" w:rsidRPr="00AF648F">
        <w:t xml:space="preserve"> constitute an adequate assessment that could form the basis for infringement </w:t>
      </w:r>
      <w:r w:rsidR="006E4770" w:rsidRPr="00AF648F">
        <w:lastRenderedPageBreak/>
        <w:t xml:space="preserve">proceedings against any member State whose information is insufficient or reveals a failure to carry out public participation that fully met the requirements of article 7, as the Committee </w:t>
      </w:r>
      <w:r w:rsidR="009C0FE8" w:rsidRPr="00AF648F">
        <w:t>has held</w:t>
      </w:r>
      <w:r w:rsidR="006E4770" w:rsidRPr="00AF648F">
        <w:t xml:space="preserve"> </w:t>
      </w:r>
      <w:r w:rsidR="009C0FE8" w:rsidRPr="00AF648F">
        <w:t>would be</w:t>
      </w:r>
      <w:r w:rsidR="006E4770" w:rsidRPr="00AF648F">
        <w:t xml:space="preserve"> necessary to fulfil the requirements of the last sentence of paragraph 3 of decision V/9g.</w:t>
      </w:r>
      <w:r w:rsidR="006E4770" w:rsidRPr="00AF648F">
        <w:rPr>
          <w:rStyle w:val="FootnoteReference"/>
        </w:rPr>
        <w:footnoteReference w:id="34"/>
      </w:r>
    </w:p>
    <w:p w14:paraId="59FDA38A" w14:textId="6EA2363E" w:rsidR="006E4770" w:rsidRPr="00AF648F" w:rsidRDefault="006E4770" w:rsidP="00F138BC">
      <w:pPr>
        <w:pStyle w:val="SingleTxtG"/>
        <w:numPr>
          <w:ilvl w:val="0"/>
          <w:numId w:val="19"/>
        </w:numPr>
        <w:tabs>
          <w:tab w:val="left" w:pos="1701"/>
        </w:tabs>
        <w:ind w:left="1134" w:firstLine="0"/>
      </w:pPr>
      <w:r w:rsidRPr="00AF648F">
        <w:t xml:space="preserve">The communicant of communication ACCC/C/2008/32 claims that the </w:t>
      </w:r>
      <w:r w:rsidR="000944C7">
        <w:t>“</w:t>
      </w:r>
      <w:r w:rsidRPr="00AF648F">
        <w:t>EU-wide assessment</w:t>
      </w:r>
      <w:r w:rsidR="000944C7">
        <w:t>”</w:t>
      </w:r>
      <w:r w:rsidRPr="00AF648F">
        <w:t xml:space="preserve"> merely states that “extensive consultation” and “wide consultation and participation and national and subnational level” on the NECPs took place and that there is no critical reflection on any shortcomings of this public participation procedure. </w:t>
      </w:r>
      <w:r w:rsidR="00EC44E1" w:rsidRPr="00AF648F">
        <w:t xml:space="preserve">It also submits that no specific section in the </w:t>
      </w:r>
      <w:r w:rsidR="00B30FAB" w:rsidRPr="00AF648F">
        <w:t>“</w:t>
      </w:r>
      <w:r w:rsidR="00EC44E1" w:rsidRPr="00AF648F">
        <w:t>EU-wide assessment</w:t>
      </w:r>
      <w:r w:rsidR="00B30FAB" w:rsidRPr="00AF648F">
        <w:t>”</w:t>
      </w:r>
      <w:r w:rsidR="00EC44E1" w:rsidRPr="00AF648F">
        <w:t xml:space="preserve"> is dedicated to how public participation obligations have been fulfilled by member States.</w:t>
      </w:r>
      <w:r w:rsidR="00EC44E1" w:rsidRPr="00AF648F">
        <w:rPr>
          <w:rStyle w:val="FootnoteReference"/>
        </w:rPr>
        <w:footnoteReference w:id="35"/>
      </w:r>
    </w:p>
    <w:p w14:paraId="59516244" w14:textId="79E12F0A" w:rsidR="00EC44E1" w:rsidRPr="00AF648F" w:rsidRDefault="00EC44E1" w:rsidP="00F138BC">
      <w:pPr>
        <w:pStyle w:val="SingleTxtG"/>
        <w:numPr>
          <w:ilvl w:val="0"/>
          <w:numId w:val="19"/>
        </w:numPr>
        <w:tabs>
          <w:tab w:val="left" w:pos="1701"/>
        </w:tabs>
        <w:ind w:left="1134" w:firstLine="0"/>
      </w:pPr>
      <w:r w:rsidRPr="00AF648F">
        <w:t>Regarding the individual assessments of NECPs published by the Party concerned, the communicant of communication ACCC/C/2008/32 claims that these contain only a very brief description of the public participation process in the respective member State and lack any evaluation or announcement of follow-up steps. Moreover, the reports seem to be exclusively based on what the</w:t>
      </w:r>
      <w:r w:rsidR="00824AB3" w:rsidRPr="00AF648F">
        <w:t xml:space="preserve"> </w:t>
      </w:r>
      <w:r w:rsidR="008052AD" w:rsidRPr="00AF648F">
        <w:t>respective</w:t>
      </w:r>
      <w:r w:rsidRPr="00AF648F">
        <w:t xml:space="preserve"> member State itself reported.</w:t>
      </w:r>
      <w:r w:rsidR="00E57573" w:rsidRPr="00AF648F">
        <w:t xml:space="preserve"> By way of example, the communicant comments on the individual assessments of Spain and Germany’s NECPs, while emphasising that these are mere examples and have not chosen for displaying the most egregious failures.</w:t>
      </w:r>
      <w:r w:rsidR="00E57573" w:rsidRPr="00AF648F">
        <w:rPr>
          <w:rStyle w:val="FootnoteReference"/>
        </w:rPr>
        <w:footnoteReference w:id="36"/>
      </w:r>
    </w:p>
    <w:p w14:paraId="1AD31A5E" w14:textId="750AAC0B" w:rsidR="00EC44E1" w:rsidRPr="00AF648F" w:rsidRDefault="00EC44E1" w:rsidP="00F138BC">
      <w:pPr>
        <w:pStyle w:val="SingleTxtG"/>
        <w:numPr>
          <w:ilvl w:val="0"/>
          <w:numId w:val="19"/>
        </w:numPr>
        <w:tabs>
          <w:tab w:val="left" w:pos="1701"/>
        </w:tabs>
        <w:ind w:left="1134" w:firstLine="0"/>
      </w:pPr>
      <w:r w:rsidRPr="00AF648F">
        <w:t xml:space="preserve">With respect to the individual assessment </w:t>
      </w:r>
      <w:r w:rsidR="00682B6C" w:rsidRPr="00AF648F">
        <w:t xml:space="preserve">by the Party concerned </w:t>
      </w:r>
      <w:r w:rsidRPr="00AF648F">
        <w:t xml:space="preserve">of </w:t>
      </w:r>
      <w:r w:rsidR="00E57573" w:rsidRPr="00AF648F">
        <w:t xml:space="preserve">Spain’s </w:t>
      </w:r>
      <w:r w:rsidRPr="00AF648F">
        <w:t xml:space="preserve">NECP, the communicant of communication ACCC/C/2008/32 </w:t>
      </w:r>
      <w:r w:rsidR="00682B6C" w:rsidRPr="00AF648F">
        <w:t xml:space="preserve">notes </w:t>
      </w:r>
      <w:r w:rsidRPr="00AF648F">
        <w:t xml:space="preserve">that this briefly mentions that the Spanish government had not submitted a summary of the </w:t>
      </w:r>
      <w:r w:rsidR="00041310" w:rsidRPr="00AF648F">
        <w:t>public’s view</w:t>
      </w:r>
      <w:r w:rsidR="00682B6C" w:rsidRPr="00AF648F">
        <w:t>s</w:t>
      </w:r>
      <w:r w:rsidR="00041310" w:rsidRPr="00AF648F">
        <w:t xml:space="preserve"> </w:t>
      </w:r>
      <w:r w:rsidR="00682B6C" w:rsidRPr="00AF648F">
        <w:t xml:space="preserve">or </w:t>
      </w:r>
      <w:r w:rsidR="00041310" w:rsidRPr="00AF648F">
        <w:t xml:space="preserve">how </w:t>
      </w:r>
      <w:r w:rsidR="00682B6C" w:rsidRPr="00AF648F">
        <w:t xml:space="preserve">they were </w:t>
      </w:r>
      <w:r w:rsidR="00041310" w:rsidRPr="00AF648F">
        <w:t xml:space="preserve">taken into account in the final NECP. </w:t>
      </w:r>
      <w:r w:rsidR="00682B6C" w:rsidRPr="00AF648F">
        <w:t>Rather, this fact</w:t>
      </w:r>
      <w:r w:rsidR="00041310" w:rsidRPr="00AF648F">
        <w:t xml:space="preserve"> is merely stated in the assessment, without any evaluation or specific request to Spain in this regard.</w:t>
      </w:r>
      <w:r w:rsidR="00041310" w:rsidRPr="00AF648F">
        <w:rPr>
          <w:rStyle w:val="FootnoteReference"/>
        </w:rPr>
        <w:footnoteReference w:id="37"/>
      </w:r>
      <w:r w:rsidR="00041310" w:rsidRPr="00AF648F">
        <w:t xml:space="preserve"> </w:t>
      </w:r>
      <w:r w:rsidR="00682B6C" w:rsidRPr="00AF648F">
        <w:t>The communicant</w:t>
      </w:r>
      <w:r w:rsidR="00041310" w:rsidRPr="00AF648F">
        <w:t xml:space="preserve"> also </w:t>
      </w:r>
      <w:r w:rsidR="00682B6C" w:rsidRPr="00AF648F">
        <w:t xml:space="preserve">points out </w:t>
      </w:r>
      <w:r w:rsidR="00041310" w:rsidRPr="00AF648F">
        <w:t xml:space="preserve">that the assessment does not mention the fact that there </w:t>
      </w:r>
      <w:r w:rsidR="00682B6C" w:rsidRPr="00AF648F">
        <w:t>was no</w:t>
      </w:r>
      <w:r w:rsidR="00041310" w:rsidRPr="00AF648F">
        <w:t xml:space="preserve"> public participation in the preparation of the draft NECP, with participation only having occurred on the final version of the plan.</w:t>
      </w:r>
      <w:r w:rsidR="00041310" w:rsidRPr="00AF648F">
        <w:rPr>
          <w:rStyle w:val="FootnoteReference"/>
        </w:rPr>
        <w:footnoteReference w:id="38"/>
      </w:r>
    </w:p>
    <w:p w14:paraId="6B8B0E6C" w14:textId="75EDFEAB" w:rsidR="00041310" w:rsidRPr="00AF648F" w:rsidRDefault="00041310" w:rsidP="00F138BC">
      <w:pPr>
        <w:pStyle w:val="SingleTxtG"/>
        <w:numPr>
          <w:ilvl w:val="0"/>
          <w:numId w:val="19"/>
        </w:numPr>
        <w:tabs>
          <w:tab w:val="left" w:pos="1701"/>
        </w:tabs>
        <w:ind w:left="1134" w:firstLine="0"/>
      </w:pPr>
      <w:r w:rsidRPr="00AF648F">
        <w:t xml:space="preserve">With respect to the individual assessment </w:t>
      </w:r>
      <w:r w:rsidR="00682B6C" w:rsidRPr="00AF648F">
        <w:t xml:space="preserve">by the Party concerned </w:t>
      </w:r>
      <w:r w:rsidRPr="00AF648F">
        <w:t xml:space="preserve">of </w:t>
      </w:r>
      <w:r w:rsidR="00682B6C" w:rsidRPr="00AF648F">
        <w:t xml:space="preserve">Germany’s </w:t>
      </w:r>
      <w:r w:rsidRPr="00AF648F">
        <w:t xml:space="preserve">NECP, the communicant of communication ACCC/C/2008/32 submits that </w:t>
      </w:r>
      <w:r w:rsidR="00682B6C" w:rsidRPr="00AF648F">
        <w:t>the assessment</w:t>
      </w:r>
      <w:r w:rsidRPr="00AF648F">
        <w:t xml:space="preserve"> states that it was unclear how </w:t>
      </w:r>
      <w:r w:rsidR="00682B6C" w:rsidRPr="00AF648F">
        <w:t xml:space="preserve">the public’s </w:t>
      </w:r>
      <w:r w:rsidRPr="00AF648F">
        <w:t xml:space="preserve">views were </w:t>
      </w:r>
      <w:proofErr w:type="gramStart"/>
      <w:r w:rsidRPr="00AF648F">
        <w:t>taken into account</w:t>
      </w:r>
      <w:proofErr w:type="gramEnd"/>
      <w:r w:rsidR="00682B6C" w:rsidRPr="00AF648F">
        <w:t xml:space="preserve">. The communicant notes that the assessment merely states this fact and does not indicate any </w:t>
      </w:r>
      <w:r w:rsidRPr="00AF648F">
        <w:t xml:space="preserve">follow-up on this </w:t>
      </w:r>
      <w:r w:rsidR="00682B6C" w:rsidRPr="00AF648F">
        <w:t>point</w:t>
      </w:r>
      <w:r w:rsidRPr="00AF648F">
        <w:t>.</w:t>
      </w:r>
      <w:r w:rsidRPr="00AF648F">
        <w:rPr>
          <w:rStyle w:val="FootnoteReference"/>
        </w:rPr>
        <w:footnoteReference w:id="39"/>
      </w:r>
      <w:r w:rsidRPr="00AF648F">
        <w:t xml:space="preserve">  </w:t>
      </w:r>
    </w:p>
    <w:p w14:paraId="741EF252" w14:textId="701D73DC" w:rsidR="00682B6C" w:rsidRPr="00AF648F" w:rsidRDefault="001E0BCE" w:rsidP="00682B6C">
      <w:pPr>
        <w:pStyle w:val="SingleTxtG"/>
        <w:numPr>
          <w:ilvl w:val="0"/>
          <w:numId w:val="19"/>
        </w:numPr>
        <w:tabs>
          <w:tab w:val="left" w:pos="1701"/>
        </w:tabs>
        <w:ind w:left="1134" w:firstLine="0"/>
      </w:pPr>
      <w:r w:rsidRPr="00AF648F">
        <w:t xml:space="preserve">The communicant </w:t>
      </w:r>
      <w:r w:rsidRPr="00AF648F">
        <w:rPr>
          <w:lang w:eastAsia="zh-CN"/>
        </w:rPr>
        <w:t xml:space="preserve">of communication </w:t>
      </w:r>
      <w:r w:rsidRPr="00AF648F">
        <w:t xml:space="preserve">ACCC/C/2010/54 </w:t>
      </w:r>
      <w:r w:rsidR="00682B6C" w:rsidRPr="00AF648F">
        <w:t>submits</w:t>
      </w:r>
      <w:r w:rsidRPr="00AF648F">
        <w:t xml:space="preserve"> that the Party concerned should be responsible for ensuring member States’ compliance with the Governance Regulation and the Convention, but the Party concerned has no documentation to demonstrate that the legally required public participation for the legally binding NECPs was completed before their adoption.</w:t>
      </w:r>
      <w:r w:rsidRPr="00AF648F">
        <w:rPr>
          <w:rStyle w:val="FootnoteReference"/>
        </w:rPr>
        <w:footnoteReference w:id="40"/>
      </w:r>
      <w:r w:rsidR="00682B6C" w:rsidRPr="00AF648F">
        <w:t xml:space="preserve"> For example, with regards to Ireland’s final NECP, </w:t>
      </w:r>
      <w:r w:rsidR="00682B6C" w:rsidRPr="00AF648F">
        <w:lastRenderedPageBreak/>
        <w:t>no summary report of the public participation on the NECP was published and only two out of the three public consultations mentioned by Ireland in its final NECP actually occurred.</w:t>
      </w:r>
      <w:r w:rsidR="00682B6C" w:rsidRPr="00AF648F">
        <w:rPr>
          <w:rStyle w:val="FootnoteReference"/>
        </w:rPr>
        <w:footnoteReference w:id="41"/>
      </w:r>
    </w:p>
    <w:p w14:paraId="0B56422E" w14:textId="77777777" w:rsidR="009C0FE8" w:rsidRPr="00AF648F" w:rsidRDefault="00BA1269" w:rsidP="00C51BDE">
      <w:pPr>
        <w:pStyle w:val="SingleTxtG"/>
        <w:numPr>
          <w:ilvl w:val="0"/>
          <w:numId w:val="19"/>
        </w:numPr>
        <w:tabs>
          <w:tab w:val="left" w:pos="1701"/>
        </w:tabs>
        <w:ind w:left="1134" w:firstLine="0"/>
      </w:pPr>
      <w:r w:rsidRPr="00AF648F">
        <w:t>The Committee</w:t>
      </w:r>
      <w:r w:rsidR="003B737E" w:rsidRPr="00AF648F">
        <w:t xml:space="preserve"> </w:t>
      </w:r>
      <w:r w:rsidR="00682B6C" w:rsidRPr="00AF648F">
        <w:t>takes note of</w:t>
      </w:r>
      <w:r w:rsidR="003B737E" w:rsidRPr="00AF648F">
        <w:t xml:space="preserve"> the </w:t>
      </w:r>
      <w:r w:rsidR="006440D1" w:rsidRPr="00AF648F">
        <w:t>“</w:t>
      </w:r>
      <w:r w:rsidR="000E32E6" w:rsidRPr="00AF648F">
        <w:t>EU-wide assessment</w:t>
      </w:r>
      <w:r w:rsidR="00B30FAB" w:rsidRPr="00AF648F">
        <w:t>”</w:t>
      </w:r>
      <w:r w:rsidR="000E32E6" w:rsidRPr="00AF648F">
        <w:t xml:space="preserve"> and the </w:t>
      </w:r>
      <w:r w:rsidR="00B30FAB" w:rsidRPr="00AF648F">
        <w:t>individual assessments</w:t>
      </w:r>
      <w:r w:rsidR="00C87153" w:rsidRPr="00AF648F">
        <w:t xml:space="preserve"> o</w:t>
      </w:r>
      <w:r w:rsidR="00B30FAB" w:rsidRPr="00AF648F">
        <w:t xml:space="preserve">f </w:t>
      </w:r>
      <w:r w:rsidR="00C10A9A" w:rsidRPr="00AF648F">
        <w:t xml:space="preserve">the member </w:t>
      </w:r>
      <w:r w:rsidR="00B30FAB" w:rsidRPr="00AF648F">
        <w:t>S</w:t>
      </w:r>
      <w:r w:rsidR="00C10A9A" w:rsidRPr="00AF648F">
        <w:t>tates</w:t>
      </w:r>
      <w:r w:rsidR="0024203A" w:rsidRPr="00AF648F">
        <w:t xml:space="preserve">’ NECPs </w:t>
      </w:r>
      <w:r w:rsidR="003B737E" w:rsidRPr="00AF648F">
        <w:t xml:space="preserve">provided by the Party concerned </w:t>
      </w:r>
      <w:r w:rsidR="00314B18" w:rsidRPr="00AF648F">
        <w:t xml:space="preserve">on </w:t>
      </w:r>
      <w:r w:rsidR="00C87153" w:rsidRPr="00AF648F">
        <w:t>25</w:t>
      </w:r>
      <w:r w:rsidR="00314B18" w:rsidRPr="00AF648F">
        <w:t xml:space="preserve"> June 2021</w:t>
      </w:r>
      <w:r w:rsidR="00D030B5" w:rsidRPr="00AF648F">
        <w:t xml:space="preserve">. </w:t>
      </w:r>
      <w:r w:rsidR="00B30FAB" w:rsidRPr="00AF648F">
        <w:t xml:space="preserve">However, given that the “EU-wide assessment” was published on 17 September 2020, before the 1 October 2020 deadline for submission of the Party </w:t>
      </w:r>
      <w:proofErr w:type="spellStart"/>
      <w:r w:rsidR="00B30FAB" w:rsidRPr="00AF648F">
        <w:t>concerned’s</w:t>
      </w:r>
      <w:proofErr w:type="spellEnd"/>
      <w:r w:rsidR="00B30FAB" w:rsidRPr="00AF648F">
        <w:t xml:space="preserve"> final progress report, the Committee queries why it </w:t>
      </w:r>
      <w:r w:rsidR="009C0FE8" w:rsidRPr="00AF648F">
        <w:t>was</w:t>
      </w:r>
      <w:r w:rsidR="00B30FAB" w:rsidRPr="00AF648F">
        <w:t xml:space="preserve"> only provided to the Committee nine months after that deadline. </w:t>
      </w:r>
    </w:p>
    <w:p w14:paraId="15E63279" w14:textId="28F6C086" w:rsidR="00FA2A97" w:rsidRPr="00AF648F" w:rsidRDefault="00B30FAB" w:rsidP="00C51BDE">
      <w:pPr>
        <w:pStyle w:val="SingleTxtG"/>
        <w:numPr>
          <w:ilvl w:val="0"/>
          <w:numId w:val="19"/>
        </w:numPr>
        <w:tabs>
          <w:tab w:val="left" w:pos="1701"/>
        </w:tabs>
        <w:ind w:left="1134" w:firstLine="0"/>
      </w:pPr>
      <w:r w:rsidRPr="00AF648F">
        <w:t>Likewise, the individual assessments were published on 14 October 2020</w:t>
      </w:r>
      <w:r w:rsidR="00A64CAB" w:rsidRPr="00AF648F">
        <w:t xml:space="preserve">. However, despite the Committee having explicitly requested the Party concerned to provide these </w:t>
      </w:r>
      <w:r w:rsidR="005F1B3D" w:rsidRPr="00AF648F">
        <w:t xml:space="preserve">individual </w:t>
      </w:r>
      <w:r w:rsidR="00A64CAB" w:rsidRPr="00AF648F">
        <w:t>assessments together with its final progress report</w:t>
      </w:r>
      <w:r w:rsidR="00A64CAB" w:rsidRPr="00AF648F">
        <w:rPr>
          <w:lang w:eastAsia="zh-CN"/>
        </w:rPr>
        <w:t>, the</w:t>
      </w:r>
      <w:r w:rsidR="00C51BDE" w:rsidRPr="00AF648F">
        <w:rPr>
          <w:lang w:eastAsia="zh-CN"/>
        </w:rPr>
        <w:t xml:space="preserve"> twenty-seven individual assessments </w:t>
      </w:r>
      <w:r w:rsidR="000944C7">
        <w:rPr>
          <w:lang w:eastAsia="zh-CN"/>
        </w:rPr>
        <w:t>were only</w:t>
      </w:r>
      <w:r w:rsidR="00A64CAB" w:rsidRPr="00AF648F">
        <w:rPr>
          <w:lang w:eastAsia="zh-CN"/>
        </w:rPr>
        <w:t xml:space="preserve"> provided to the Committee </w:t>
      </w:r>
      <w:r w:rsidRPr="00AF648F">
        <w:t xml:space="preserve">more than </w:t>
      </w:r>
      <w:r w:rsidRPr="00A63CEE">
        <w:t>eight months</w:t>
      </w:r>
      <w:r w:rsidRPr="00AF648F">
        <w:t xml:space="preserve"> </w:t>
      </w:r>
      <w:r w:rsidR="00A64CAB" w:rsidRPr="00AF648F">
        <w:t>after they were published</w:t>
      </w:r>
      <w:r w:rsidR="005F1B3D" w:rsidRPr="00AF648F">
        <w:t xml:space="preserve">. </w:t>
      </w:r>
      <w:r w:rsidR="00C51BDE" w:rsidRPr="00AF648F">
        <w:t xml:space="preserve"> </w:t>
      </w:r>
    </w:p>
    <w:p w14:paraId="1E66BACC" w14:textId="1D4499C4" w:rsidR="00A64CAB" w:rsidRPr="00AF648F" w:rsidRDefault="00FA2A97" w:rsidP="00C51BDE">
      <w:pPr>
        <w:pStyle w:val="SingleTxtG"/>
        <w:numPr>
          <w:ilvl w:val="0"/>
          <w:numId w:val="19"/>
        </w:numPr>
        <w:tabs>
          <w:tab w:val="left" w:pos="1701"/>
        </w:tabs>
        <w:ind w:left="1134" w:firstLine="0"/>
      </w:pPr>
      <w:r w:rsidRPr="00AF648F">
        <w:t xml:space="preserve">The Committee points out that the </w:t>
      </w:r>
      <w:r w:rsidR="00C51BDE" w:rsidRPr="00AF648F">
        <w:t xml:space="preserve">final sentence of paragraph 3 of decision V/9g is </w:t>
      </w:r>
      <w:r w:rsidR="005F1B3D" w:rsidRPr="00AF648F">
        <w:t xml:space="preserve">solely directed to </w:t>
      </w:r>
      <w:r w:rsidR="00C51BDE" w:rsidRPr="00AF648F">
        <w:t xml:space="preserve">how </w:t>
      </w:r>
      <w:r w:rsidR="004615DB" w:rsidRPr="00AF648F">
        <w:t xml:space="preserve">the Party concerned </w:t>
      </w:r>
      <w:r w:rsidR="005F1B3D" w:rsidRPr="00AF648F">
        <w:t>has</w:t>
      </w:r>
      <w:r w:rsidR="004615DB" w:rsidRPr="00AF648F">
        <w:t xml:space="preserve"> adapt</w:t>
      </w:r>
      <w:r w:rsidR="005F1B3D" w:rsidRPr="00AF648F">
        <w:t>ed</w:t>
      </w:r>
      <w:r w:rsidR="004615DB" w:rsidRPr="00AF648F">
        <w:t xml:space="preserve"> the </w:t>
      </w:r>
      <w:proofErr w:type="gramStart"/>
      <w:r w:rsidR="004615DB" w:rsidRPr="00AF648F">
        <w:t>manner in which</w:t>
      </w:r>
      <w:proofErr w:type="gramEnd"/>
      <w:r w:rsidR="004615DB" w:rsidRPr="00AF648F">
        <w:t xml:space="preserve"> it evaluates </w:t>
      </w:r>
      <w:r w:rsidR="005F1B3D" w:rsidRPr="00AF648F">
        <w:t xml:space="preserve">the </w:t>
      </w:r>
      <w:r w:rsidR="004615DB" w:rsidRPr="00AF648F">
        <w:t xml:space="preserve">NREAPs </w:t>
      </w:r>
      <w:r w:rsidR="005F1B3D" w:rsidRPr="00AF648F">
        <w:t>(</w:t>
      </w:r>
      <w:r w:rsidR="004615DB" w:rsidRPr="00AF648F">
        <w:t xml:space="preserve">and now </w:t>
      </w:r>
      <w:r w:rsidR="005F1B3D" w:rsidRPr="00AF648F">
        <w:t xml:space="preserve">the </w:t>
      </w:r>
      <w:r w:rsidR="004615DB" w:rsidRPr="00AF648F">
        <w:t>NECPs</w:t>
      </w:r>
      <w:r w:rsidRPr="00AF648F">
        <w:t xml:space="preserve">). Given that the </w:t>
      </w:r>
      <w:r w:rsidR="004615DB" w:rsidRPr="00AF648F">
        <w:t>Committee</w:t>
      </w:r>
      <w:r w:rsidRPr="00AF648F">
        <w:t>,</w:t>
      </w:r>
      <w:r w:rsidR="004615DB" w:rsidRPr="00AF648F">
        <w:t xml:space="preserve"> </w:t>
      </w:r>
      <w:r w:rsidR="005F1B3D" w:rsidRPr="00AF648F">
        <w:t>in its second progress review</w:t>
      </w:r>
      <w:r w:rsidRPr="00AF648F">
        <w:t>,</w:t>
      </w:r>
      <w:r w:rsidR="005F1B3D" w:rsidRPr="00AF648F">
        <w:t xml:space="preserve"> </w:t>
      </w:r>
      <w:r w:rsidRPr="00AF648F">
        <w:t xml:space="preserve">had </w:t>
      </w:r>
      <w:r w:rsidR="004615DB" w:rsidRPr="00AF648F">
        <w:t xml:space="preserve">explicitly requested </w:t>
      </w:r>
      <w:r w:rsidRPr="00AF648F">
        <w:t>the Party concerned</w:t>
      </w:r>
      <w:r w:rsidR="004615DB" w:rsidRPr="00AF648F">
        <w:t xml:space="preserve"> to provide </w:t>
      </w:r>
      <w:r w:rsidRPr="00AF648F">
        <w:t>these individual assessments together with</w:t>
      </w:r>
      <w:r w:rsidR="004615DB" w:rsidRPr="00AF648F">
        <w:t xml:space="preserve"> its final progress report, </w:t>
      </w:r>
      <w:r w:rsidRPr="00AF648F">
        <w:t xml:space="preserve">the Party </w:t>
      </w:r>
      <w:proofErr w:type="spellStart"/>
      <w:r w:rsidRPr="00AF648F">
        <w:t>concerned’s</w:t>
      </w:r>
      <w:proofErr w:type="spellEnd"/>
      <w:r w:rsidRPr="00AF648F">
        <w:t xml:space="preserve"> failure to provide the individual assessments to the Committee promptly after they were published in mid-October 2020 </w:t>
      </w:r>
      <w:r w:rsidR="004615DB" w:rsidRPr="00AF648F">
        <w:t xml:space="preserve">is </w:t>
      </w:r>
      <w:r w:rsidR="009C0FE8" w:rsidRPr="00AF648F">
        <w:t>very disappointing</w:t>
      </w:r>
      <w:r w:rsidR="004615DB" w:rsidRPr="00AF648F">
        <w:t>.</w:t>
      </w:r>
    </w:p>
    <w:p w14:paraId="5071BDE3" w14:textId="12E8C409" w:rsidR="00E96AD3" w:rsidRPr="00AF648F" w:rsidRDefault="007D2DF3" w:rsidP="00F138BC">
      <w:pPr>
        <w:pStyle w:val="SingleTxtG"/>
        <w:numPr>
          <w:ilvl w:val="0"/>
          <w:numId w:val="19"/>
        </w:numPr>
        <w:tabs>
          <w:tab w:val="left" w:pos="1701"/>
        </w:tabs>
        <w:ind w:left="1134" w:firstLine="0"/>
      </w:pPr>
      <w:r w:rsidRPr="00AF648F">
        <w:rPr>
          <w:lang w:eastAsia="zh-CN"/>
        </w:rPr>
        <w:t xml:space="preserve"> </w:t>
      </w:r>
      <w:r w:rsidR="00AF3FF2" w:rsidRPr="00AF648F">
        <w:rPr>
          <w:lang w:eastAsia="zh-CN"/>
        </w:rPr>
        <w:t xml:space="preserve">In addition, the Committee </w:t>
      </w:r>
      <w:r w:rsidR="00D77D80">
        <w:rPr>
          <w:lang w:eastAsia="zh-CN"/>
        </w:rPr>
        <w:t>regrets</w:t>
      </w:r>
      <w:r w:rsidR="004615DB" w:rsidRPr="00AF648F">
        <w:rPr>
          <w:lang w:eastAsia="zh-CN"/>
        </w:rPr>
        <w:t xml:space="preserve"> that the Party concerned has entirely failed, either together with its final progress report or </w:t>
      </w:r>
      <w:r w:rsidR="00E96AD3" w:rsidRPr="00AF648F">
        <w:rPr>
          <w:lang w:eastAsia="zh-CN"/>
        </w:rPr>
        <w:t>since</w:t>
      </w:r>
      <w:r w:rsidR="004615DB" w:rsidRPr="00AF648F">
        <w:rPr>
          <w:lang w:eastAsia="zh-CN"/>
        </w:rPr>
        <w:t xml:space="preserve">, to </w:t>
      </w:r>
      <w:r w:rsidR="009C0FE8" w:rsidRPr="00AF648F">
        <w:rPr>
          <w:lang w:eastAsia="zh-CN"/>
        </w:rPr>
        <w:t>respond</w:t>
      </w:r>
      <w:r w:rsidR="004615DB" w:rsidRPr="00AF648F">
        <w:rPr>
          <w:lang w:eastAsia="zh-CN"/>
        </w:rPr>
        <w:t xml:space="preserve"> to the </w:t>
      </w:r>
      <w:r w:rsidR="00E96AD3" w:rsidRPr="00AF648F">
        <w:rPr>
          <w:lang w:eastAsia="zh-CN"/>
        </w:rPr>
        <w:t xml:space="preserve">Committee’s invitation in </w:t>
      </w:r>
      <w:r w:rsidR="009C0FE8" w:rsidRPr="00AF648F">
        <w:rPr>
          <w:lang w:eastAsia="zh-CN"/>
        </w:rPr>
        <w:t xml:space="preserve">paragraphs 67 and 79 of </w:t>
      </w:r>
      <w:r w:rsidR="00E96AD3" w:rsidRPr="00AF648F">
        <w:rPr>
          <w:lang w:eastAsia="zh-CN"/>
        </w:rPr>
        <w:t>its second progress review for the Party concerned to provide, together with its final progress report:</w:t>
      </w:r>
    </w:p>
    <w:p w14:paraId="368E8E6C" w14:textId="3EC6C30E" w:rsidR="00E96AD3" w:rsidRPr="00AF648F" w:rsidRDefault="00E96AD3" w:rsidP="00E96AD3">
      <w:pPr>
        <w:pStyle w:val="SingleTxtG"/>
        <w:numPr>
          <w:ilvl w:val="0"/>
          <w:numId w:val="24"/>
        </w:numPr>
        <w:ind w:left="1701" w:firstLine="567"/>
        <w:rPr>
          <w:lang w:eastAsia="zh-CN"/>
        </w:rPr>
      </w:pPr>
      <w:r w:rsidRPr="00AF648F">
        <w:rPr>
          <w:lang w:eastAsia="zh-CN"/>
        </w:rPr>
        <w:t xml:space="preserve">For each member State, the relevant sections of its final 2021-2030 NECP which address the public participation carried out </w:t>
      </w:r>
      <w:proofErr w:type="gramStart"/>
      <w:r w:rsidRPr="00AF648F">
        <w:rPr>
          <w:lang w:eastAsia="zh-CN"/>
        </w:rPr>
        <w:t>thereon;</w:t>
      </w:r>
      <w:proofErr w:type="gramEnd"/>
    </w:p>
    <w:p w14:paraId="64021404" w14:textId="33710F8E" w:rsidR="00E96AD3" w:rsidRPr="00AF648F" w:rsidRDefault="00E96AD3" w:rsidP="00E96AD3">
      <w:pPr>
        <w:pStyle w:val="SingleTxtG"/>
        <w:ind w:left="2628"/>
        <w:rPr>
          <w:lang w:eastAsia="zh-CN"/>
        </w:rPr>
      </w:pPr>
      <w:r w:rsidRPr="00AF648F">
        <w:rPr>
          <w:lang w:eastAsia="zh-CN"/>
        </w:rPr>
        <w:t>…</w:t>
      </w:r>
    </w:p>
    <w:p w14:paraId="4AF4AABB" w14:textId="77777777" w:rsidR="00E96AD3" w:rsidRPr="00AF648F" w:rsidRDefault="00E96AD3" w:rsidP="00E96AD3">
      <w:pPr>
        <w:pStyle w:val="SingleTxtG"/>
        <w:ind w:left="1701" w:firstLine="567"/>
        <w:rPr>
          <w:lang w:eastAsia="zh-CN"/>
        </w:rPr>
      </w:pPr>
      <w:r w:rsidRPr="00AF648F">
        <w:rPr>
          <w:lang w:eastAsia="zh-CN"/>
        </w:rPr>
        <w:tab/>
        <w:t>(c) An explanation of the specific measures it had by that date taken with respect to each member State whose information on the implementation of article 7 in its final 2021-2030 NECP was either (i) insufficient or (ii) reveals a possible failure to carry out public participation that fully met the requirements of article 7 of the Convention.</w:t>
      </w:r>
      <w:r w:rsidRPr="00AF648F">
        <w:rPr>
          <w:rStyle w:val="FootnoteReference"/>
          <w:lang w:eastAsia="zh-CN"/>
        </w:rPr>
        <w:footnoteReference w:id="42"/>
      </w:r>
    </w:p>
    <w:p w14:paraId="74E230FE" w14:textId="06B54313" w:rsidR="00441B20" w:rsidRPr="00AF648F" w:rsidRDefault="00130B24" w:rsidP="004A654F">
      <w:pPr>
        <w:pStyle w:val="SingleTxtG"/>
        <w:numPr>
          <w:ilvl w:val="0"/>
          <w:numId w:val="19"/>
        </w:numPr>
        <w:tabs>
          <w:tab w:val="left" w:pos="1701"/>
        </w:tabs>
        <w:ind w:left="1134" w:firstLine="0"/>
      </w:pPr>
      <w:r w:rsidRPr="00AF648F">
        <w:t xml:space="preserve">Notwithstanding </w:t>
      </w:r>
      <w:r w:rsidR="00FA2A97" w:rsidRPr="00AF648F">
        <w:t xml:space="preserve">the Party </w:t>
      </w:r>
      <w:proofErr w:type="spellStart"/>
      <w:r w:rsidR="00FA2A97" w:rsidRPr="00AF648F">
        <w:t>concerned’s</w:t>
      </w:r>
      <w:proofErr w:type="spellEnd"/>
      <w:r w:rsidR="00FA2A97" w:rsidRPr="00AF648F">
        <w:t xml:space="preserve"> late submission of the twenty-seven individual assessments, the Committee has reviewed </w:t>
      </w:r>
      <w:r w:rsidR="009C0FE8" w:rsidRPr="00AF648F">
        <w:t>the contents thereof</w:t>
      </w:r>
      <w:r w:rsidRPr="00AF648F">
        <w:t>.</w:t>
      </w:r>
      <w:r w:rsidR="00FA2A97" w:rsidRPr="00AF648F">
        <w:t xml:space="preserve"> </w:t>
      </w:r>
      <w:r w:rsidR="009C0FE8" w:rsidRPr="00AF648F">
        <w:t>In this regard, t</w:t>
      </w:r>
      <w:r w:rsidRPr="00AF648F">
        <w:t xml:space="preserve">he Committee welcomes that the Party concerned has </w:t>
      </w:r>
      <w:r w:rsidR="00441B20" w:rsidRPr="00AF648F">
        <w:t xml:space="preserve">indeed assessed, albeit very much in brief, the extent to which public participation appears to have been carried out on each NECP. </w:t>
      </w:r>
    </w:p>
    <w:p w14:paraId="0370150D" w14:textId="50B27499" w:rsidR="00130B24" w:rsidRPr="00AF648F" w:rsidRDefault="0099551A" w:rsidP="004A654F">
      <w:pPr>
        <w:pStyle w:val="SingleTxtG"/>
        <w:numPr>
          <w:ilvl w:val="0"/>
          <w:numId w:val="19"/>
        </w:numPr>
        <w:tabs>
          <w:tab w:val="left" w:pos="1701"/>
        </w:tabs>
        <w:ind w:left="1134" w:firstLine="0"/>
      </w:pPr>
      <w:r w:rsidRPr="00AF648F">
        <w:t>On this point, the Committee notes</w:t>
      </w:r>
      <w:r w:rsidR="00FA2A97" w:rsidRPr="00AF648F">
        <w:t xml:space="preserve"> with concern that a significant number of the </w:t>
      </w:r>
      <w:r w:rsidRPr="00AF648F">
        <w:t xml:space="preserve">individual </w:t>
      </w:r>
      <w:r w:rsidR="00FA2A97" w:rsidRPr="00AF648F">
        <w:t xml:space="preserve">assessments </w:t>
      </w:r>
      <w:r w:rsidRPr="00AF648F">
        <w:t xml:space="preserve">find </w:t>
      </w:r>
      <w:r w:rsidR="00FA2A97" w:rsidRPr="00AF648F">
        <w:t>that the member State</w:t>
      </w:r>
      <w:r w:rsidR="00130B24" w:rsidRPr="00AF648F">
        <w:t xml:space="preserve">’s NECP contains neither </w:t>
      </w:r>
      <w:r w:rsidR="00130B24" w:rsidRPr="00AF648F">
        <w:rPr>
          <w:rFonts w:asciiTheme="majorBidi" w:hAnsiTheme="majorBidi" w:cstheme="majorBidi"/>
        </w:rPr>
        <w:t xml:space="preserve">a summary of the public’s views nor a summary of how those views were taken into account in its NECP. </w:t>
      </w:r>
    </w:p>
    <w:p w14:paraId="696E0F37" w14:textId="77777777" w:rsidR="0099551A" w:rsidRPr="00AF648F" w:rsidRDefault="0099551A" w:rsidP="0099551A">
      <w:pPr>
        <w:pStyle w:val="SingleTxtG"/>
        <w:numPr>
          <w:ilvl w:val="0"/>
          <w:numId w:val="19"/>
        </w:numPr>
        <w:tabs>
          <w:tab w:val="left" w:pos="1701"/>
        </w:tabs>
        <w:ind w:left="1134" w:firstLine="0"/>
      </w:pPr>
      <w:r w:rsidRPr="00AF648F">
        <w:t xml:space="preserve">As the Committee has repeatedly indicated, an assessment by the Party concerned of the information provided by member States on the public participation procedure carried out on their plans, coupled with a real possibility of infringement proceedings against any member State whose information is insufficient or reveals a failure to carry out public </w:t>
      </w:r>
      <w:r w:rsidRPr="00AF648F">
        <w:lastRenderedPageBreak/>
        <w:t>participation that fully met the requirements of article 7, may fulfil the final sentence of paragraph 3 of decision VI/8g.</w:t>
      </w:r>
      <w:r w:rsidRPr="00AF648F">
        <w:rPr>
          <w:rStyle w:val="FootnoteReference"/>
        </w:rPr>
        <w:footnoteReference w:id="43"/>
      </w:r>
    </w:p>
    <w:p w14:paraId="54793AE4" w14:textId="48A27023" w:rsidR="007A12D6" w:rsidRPr="00AF648F" w:rsidRDefault="00130B24" w:rsidP="004A654F">
      <w:pPr>
        <w:pStyle w:val="SingleTxtG"/>
        <w:numPr>
          <w:ilvl w:val="0"/>
          <w:numId w:val="19"/>
        </w:numPr>
        <w:tabs>
          <w:tab w:val="left" w:pos="1701"/>
        </w:tabs>
        <w:ind w:left="1134" w:firstLine="0"/>
      </w:pPr>
      <w:r w:rsidRPr="00AF648F">
        <w:t xml:space="preserve">However, despite the Committee’s clear invitation in paragraphs 67 and 69 of its second progress review, the Party concerned has not to date provided any </w:t>
      </w:r>
      <w:r w:rsidR="0099551A" w:rsidRPr="00AF648F">
        <w:rPr>
          <w:lang w:eastAsia="zh-CN"/>
        </w:rPr>
        <w:t>information to the Committee of</w:t>
      </w:r>
      <w:r w:rsidRPr="00AF648F">
        <w:rPr>
          <w:lang w:eastAsia="zh-CN"/>
        </w:rPr>
        <w:t xml:space="preserve"> the specific measures it has to date taken, or proposes to take, with respect to each </w:t>
      </w:r>
      <w:r w:rsidR="0099551A" w:rsidRPr="00AF648F">
        <w:rPr>
          <w:lang w:eastAsia="zh-CN"/>
        </w:rPr>
        <w:t xml:space="preserve">of these </w:t>
      </w:r>
      <w:r w:rsidRPr="00AF648F">
        <w:rPr>
          <w:lang w:eastAsia="zh-CN"/>
        </w:rPr>
        <w:t>member State</w:t>
      </w:r>
      <w:r w:rsidR="0099551A" w:rsidRPr="00AF648F">
        <w:rPr>
          <w:lang w:eastAsia="zh-CN"/>
        </w:rPr>
        <w:t>s</w:t>
      </w:r>
      <w:r w:rsidRPr="00AF648F">
        <w:rPr>
          <w:lang w:eastAsia="zh-CN"/>
        </w:rPr>
        <w:t xml:space="preserve"> whose information on the implementation of article 7 in its final 2021-2030 NECP </w:t>
      </w:r>
      <w:r w:rsidR="0099551A" w:rsidRPr="00AF648F">
        <w:rPr>
          <w:lang w:eastAsia="zh-CN"/>
        </w:rPr>
        <w:t>i</w:t>
      </w:r>
      <w:r w:rsidRPr="00AF648F">
        <w:rPr>
          <w:lang w:eastAsia="zh-CN"/>
        </w:rPr>
        <w:t>s either (i) insufficient or (ii) reveals a possible failure to carry out public participation that fully met the requirements of article 7 of the Convention.</w:t>
      </w:r>
    </w:p>
    <w:p w14:paraId="31321543" w14:textId="3A35050F" w:rsidR="008F66BB" w:rsidRPr="00AF648F" w:rsidRDefault="008F66BB" w:rsidP="00F138BC">
      <w:pPr>
        <w:pStyle w:val="SingleTxtG"/>
        <w:numPr>
          <w:ilvl w:val="0"/>
          <w:numId w:val="19"/>
        </w:numPr>
        <w:tabs>
          <w:tab w:val="left" w:pos="1701"/>
        </w:tabs>
        <w:ind w:left="1134" w:firstLine="0"/>
      </w:pPr>
      <w:r w:rsidRPr="00AF648F">
        <w:t>In light of the foregoing, the Committee</w:t>
      </w:r>
      <w:r w:rsidR="0099551A" w:rsidRPr="00AF648F">
        <w:t>, while welcoming that the Party concerned has carried out an assessment of public participation on each NECP, albeit in brief,</w:t>
      </w:r>
      <w:r w:rsidRPr="00AF648F">
        <w:t xml:space="preserve"> finds that</w:t>
      </w:r>
      <w:r w:rsidR="002874C1" w:rsidRPr="00AF648F">
        <w:t xml:space="preserve"> </w:t>
      </w:r>
      <w:r w:rsidRPr="00AF648F">
        <w:t>the Party concerned has not yet met the requirements of the final sentence of paragraph 3 of decision V/9g.</w:t>
      </w:r>
    </w:p>
    <w:p w14:paraId="6FBC15AA" w14:textId="1D98175E" w:rsidR="00024C30" w:rsidRPr="00AF648F" w:rsidRDefault="00024C30" w:rsidP="00024C30">
      <w:pPr>
        <w:pStyle w:val="SingleTxtG"/>
        <w:tabs>
          <w:tab w:val="left" w:pos="1701"/>
        </w:tabs>
      </w:pPr>
    </w:p>
    <w:p w14:paraId="6EC52752" w14:textId="4FEF52B6" w:rsidR="00024C30" w:rsidRPr="00AF648F" w:rsidRDefault="00024C30" w:rsidP="00024C30">
      <w:pPr>
        <w:pStyle w:val="SingleTxtG"/>
        <w:tabs>
          <w:tab w:val="left" w:pos="1701"/>
        </w:tabs>
        <w:rPr>
          <w:b/>
          <w:bCs/>
        </w:rPr>
      </w:pPr>
      <w:r w:rsidRPr="00AF648F">
        <w:rPr>
          <w:b/>
          <w:bCs/>
        </w:rPr>
        <w:t xml:space="preserve">Paragraph 123 of the Committee’s findings on communication ACCC/C/2008/32 (part II) </w:t>
      </w:r>
    </w:p>
    <w:p w14:paraId="1E3B1A16" w14:textId="722C5D26" w:rsidR="00694C6F" w:rsidRPr="00AF648F" w:rsidRDefault="00694C6F" w:rsidP="00F138BC">
      <w:pPr>
        <w:pStyle w:val="SingleTxtG"/>
        <w:numPr>
          <w:ilvl w:val="0"/>
          <w:numId w:val="19"/>
        </w:numPr>
        <w:tabs>
          <w:tab w:val="left" w:pos="1701"/>
        </w:tabs>
        <w:ind w:left="1134" w:firstLine="0"/>
      </w:pPr>
      <w:r w:rsidRPr="00AF648F">
        <w:t>On 14 October 2020, the Party concerned submitted the text of the legislative proposal to amend the Aarhus Regulation published on that date by the European Commission.</w:t>
      </w:r>
      <w:r w:rsidRPr="00AF648F">
        <w:rPr>
          <w:rStyle w:val="FootnoteReference"/>
        </w:rPr>
        <w:footnoteReference w:id="44"/>
      </w:r>
    </w:p>
    <w:p w14:paraId="4A8D1840" w14:textId="41E0EEF9" w:rsidR="00694C6F" w:rsidRPr="00AF648F" w:rsidRDefault="00694C6F" w:rsidP="00F138BC">
      <w:pPr>
        <w:pStyle w:val="SingleTxtG"/>
        <w:numPr>
          <w:ilvl w:val="0"/>
          <w:numId w:val="19"/>
        </w:numPr>
        <w:tabs>
          <w:tab w:val="left" w:pos="1701"/>
        </w:tabs>
        <w:ind w:left="1134" w:firstLine="0"/>
      </w:pPr>
      <w:r w:rsidRPr="00AF648F">
        <w:t>At the request of the Party concerned,</w:t>
      </w:r>
      <w:r w:rsidRPr="00AF648F">
        <w:rPr>
          <w:rStyle w:val="FootnoteReference"/>
        </w:rPr>
        <w:footnoteReference w:id="45"/>
      </w:r>
      <w:r w:rsidRPr="00AF648F">
        <w:t xml:space="preserve"> on 12 February 2021, the Committee provided advice to the Party concerned on the extent to which the legislative proposal would fulfil paragraph 123 of the Committee’s findings on communication ACCC/C/2008 (part II).</w:t>
      </w:r>
      <w:r w:rsidR="00F12A6F" w:rsidRPr="00AF648F">
        <w:rPr>
          <w:rStyle w:val="FootnoteReference"/>
        </w:rPr>
        <w:footnoteReference w:id="46"/>
      </w:r>
    </w:p>
    <w:p w14:paraId="31981DD3" w14:textId="4DF35A5E" w:rsidR="00F12A6F" w:rsidRPr="00AF648F" w:rsidRDefault="00F12A6F" w:rsidP="00F12A6F">
      <w:pPr>
        <w:pStyle w:val="SingleTxtG"/>
        <w:numPr>
          <w:ilvl w:val="0"/>
          <w:numId w:val="19"/>
        </w:numPr>
        <w:tabs>
          <w:tab w:val="left" w:pos="1701"/>
        </w:tabs>
        <w:ind w:left="1134" w:firstLine="0"/>
      </w:pPr>
      <w:r w:rsidRPr="00AF648F">
        <w:t>In its advice, the Committee concluded, inter alia, that:</w:t>
      </w:r>
    </w:p>
    <w:p w14:paraId="33BD08B0" w14:textId="77777777" w:rsidR="00F12A6F" w:rsidRPr="00AF648F" w:rsidRDefault="00F12A6F" w:rsidP="00F12A6F">
      <w:pPr>
        <w:pStyle w:val="SingleTxtG"/>
        <w:tabs>
          <w:tab w:val="left" w:pos="1701"/>
        </w:tabs>
        <w:ind w:left="1800"/>
      </w:pPr>
      <w:r w:rsidRPr="00AF648F">
        <w:t xml:space="preserve"> The Committee considers the proposal to amend the Aarhus Regulation to be a significant positive development and it welcomes the constructive approach taken by the Party concerned. In order, however, to address the concerns identified in part II of the Committee’s findings on communication ACCC/2008/32, the Party concerned should: </w:t>
      </w:r>
    </w:p>
    <w:p w14:paraId="76030407" w14:textId="77777777" w:rsidR="00F12A6F" w:rsidRPr="00AF648F" w:rsidRDefault="00F12A6F" w:rsidP="00F12A6F">
      <w:pPr>
        <w:pStyle w:val="SingleTxtG"/>
        <w:tabs>
          <w:tab w:val="left" w:pos="1701"/>
        </w:tabs>
        <w:ind w:left="1800"/>
      </w:pPr>
      <w:r w:rsidRPr="00AF648F">
        <w:tab/>
        <w:t>(a)</w:t>
      </w:r>
      <w:r w:rsidRPr="00AF648F">
        <w:tab/>
        <w:t xml:space="preserve">Ensure that access to review procedures to challenge acts and omissions by institutions and bodies of the European Union which contravene EU law relating to the environment is provided not only to NGOs, but also to other members of the public, even if subject to certain criteria in accordance with the Convention; </w:t>
      </w:r>
    </w:p>
    <w:p w14:paraId="6CBE744E" w14:textId="77777777" w:rsidR="00F12A6F" w:rsidRPr="00AF648F" w:rsidRDefault="00F12A6F" w:rsidP="00F12A6F">
      <w:pPr>
        <w:pStyle w:val="SingleTxtG"/>
        <w:tabs>
          <w:tab w:val="left" w:pos="1701"/>
        </w:tabs>
        <w:ind w:left="1800"/>
      </w:pPr>
      <w:r w:rsidRPr="00AF648F">
        <w:tab/>
        <w:t>(b)</w:t>
      </w:r>
      <w:r w:rsidRPr="00AF648F">
        <w:tab/>
        <w:t xml:space="preserve">Remove the word “binding” from the proposed amendment so the relevant wording would state “has legal and external effects” </w:t>
      </w:r>
      <w:proofErr w:type="gramStart"/>
      <w:r w:rsidRPr="00AF648F">
        <w:t>only;</w:t>
      </w:r>
      <w:proofErr w:type="gramEnd"/>
      <w:r w:rsidRPr="00AF648F">
        <w:t xml:space="preserve"> </w:t>
      </w:r>
    </w:p>
    <w:p w14:paraId="6180C69A" w14:textId="77777777" w:rsidR="00F12A6F" w:rsidRPr="00AF648F" w:rsidRDefault="00F12A6F" w:rsidP="00F12A6F">
      <w:pPr>
        <w:pStyle w:val="SingleTxtG"/>
        <w:tabs>
          <w:tab w:val="left" w:pos="1701"/>
        </w:tabs>
        <w:ind w:left="1800"/>
      </w:pPr>
      <w:r w:rsidRPr="00AF648F">
        <w:tab/>
        <w:t>(c)</w:t>
      </w:r>
      <w:r w:rsidRPr="00AF648F">
        <w:tab/>
        <w:t>Amend the proposed exception from the scope of review of those provisions of an act for which Union law explicitly requires implementing measures at Member State level so that such provisions are indeed immediately open to review (the Committee does not expect administrative review under the Aarhus Regulation to cover the implementing measures taken by Member States); and</w:t>
      </w:r>
    </w:p>
    <w:p w14:paraId="244FDBF0" w14:textId="77777777" w:rsidR="00F12A6F" w:rsidRPr="00AF648F" w:rsidRDefault="00F12A6F" w:rsidP="00F12A6F">
      <w:pPr>
        <w:pStyle w:val="SingleTxtG"/>
        <w:tabs>
          <w:tab w:val="left" w:pos="1701"/>
        </w:tabs>
        <w:ind w:left="1800"/>
      </w:pPr>
      <w:r w:rsidRPr="00AF648F">
        <w:lastRenderedPageBreak/>
        <w:tab/>
        <w:t>(d)</w:t>
      </w:r>
      <w:r w:rsidRPr="00AF648F">
        <w:tab/>
        <w:t>Also bear in mind the Committee’s findings and recommendations on communication ACCC/C/2015/128 in the context of the current legislative process to amend the Aarhus Regulation.</w:t>
      </w:r>
      <w:r w:rsidRPr="00AF648F">
        <w:rPr>
          <w:rStyle w:val="FootnoteReference"/>
        </w:rPr>
        <w:footnoteReference w:id="47"/>
      </w:r>
    </w:p>
    <w:p w14:paraId="17E38581" w14:textId="653B94C5" w:rsidR="00024C30" w:rsidRPr="00AF648F" w:rsidRDefault="00F12A6F" w:rsidP="00F138BC">
      <w:pPr>
        <w:pStyle w:val="SingleTxtG"/>
        <w:numPr>
          <w:ilvl w:val="0"/>
          <w:numId w:val="19"/>
        </w:numPr>
        <w:tabs>
          <w:tab w:val="left" w:pos="1701"/>
        </w:tabs>
        <w:ind w:left="1134" w:firstLine="0"/>
      </w:pPr>
      <w:r w:rsidRPr="00AF648F">
        <w:t xml:space="preserve">At the time of the present (draft) report, </w:t>
      </w:r>
      <w:r w:rsidR="00340D5D" w:rsidRPr="00AF648F">
        <w:t xml:space="preserve">the Party concerned </w:t>
      </w:r>
      <w:r w:rsidRPr="00AF648F">
        <w:t xml:space="preserve">states </w:t>
      </w:r>
      <w:r w:rsidR="00340D5D" w:rsidRPr="00AF648F">
        <w:t>that</w:t>
      </w:r>
      <w:r w:rsidRPr="00AF648F">
        <w:t>,</w:t>
      </w:r>
      <w:r w:rsidR="00340D5D" w:rsidRPr="00AF648F">
        <w:t xml:space="preserve"> </w:t>
      </w:r>
      <w:r w:rsidR="00BE79D9" w:rsidRPr="00AF648F">
        <w:t>following</w:t>
      </w:r>
      <w:r w:rsidR="00864913" w:rsidRPr="00AF648F">
        <w:t xml:space="preserve"> the </w:t>
      </w:r>
      <w:r w:rsidRPr="00AF648F">
        <w:t xml:space="preserve">adoption by the </w:t>
      </w:r>
      <w:r w:rsidR="00864913" w:rsidRPr="00AF648F">
        <w:t>Council</w:t>
      </w:r>
      <w:r w:rsidRPr="00AF648F">
        <w:t xml:space="preserve"> of the European Union of its </w:t>
      </w:r>
      <w:r w:rsidR="00864913" w:rsidRPr="00AF648F">
        <w:t xml:space="preserve">General Approach </w:t>
      </w:r>
      <w:r w:rsidR="00932A8C" w:rsidRPr="00AF648F">
        <w:t>on the legislative proposal published by the European Commission</w:t>
      </w:r>
      <w:r w:rsidRPr="00AF648F">
        <w:t xml:space="preserve"> and the adoption by</w:t>
      </w:r>
      <w:r w:rsidR="00932A8C" w:rsidRPr="00AF648F">
        <w:t xml:space="preserve"> </w:t>
      </w:r>
      <w:r w:rsidR="00B25274" w:rsidRPr="00AF648F">
        <w:t xml:space="preserve">the European Parliament </w:t>
      </w:r>
      <w:r w:rsidRPr="00AF648F">
        <w:t>of</w:t>
      </w:r>
      <w:r w:rsidR="00B25274" w:rsidRPr="00AF648F">
        <w:t xml:space="preserve"> its negotiating position on 21 May 2021</w:t>
      </w:r>
      <w:r w:rsidRPr="00AF648F">
        <w:t>, the legislative process to amend the Aarhus Regulation is still ongoing</w:t>
      </w:r>
      <w:r w:rsidR="00B25274" w:rsidRPr="00AF648F">
        <w:t>.</w:t>
      </w:r>
      <w:r w:rsidR="00750FA9" w:rsidRPr="00AF648F">
        <w:rPr>
          <w:rStyle w:val="FootnoteReference"/>
        </w:rPr>
        <w:footnoteReference w:id="48"/>
      </w:r>
    </w:p>
    <w:p w14:paraId="259820A0" w14:textId="0DD6A992" w:rsidR="002074A2" w:rsidRPr="00AF648F" w:rsidRDefault="002074A2" w:rsidP="002074A2">
      <w:pPr>
        <w:pStyle w:val="SingleTxtG"/>
        <w:numPr>
          <w:ilvl w:val="0"/>
          <w:numId w:val="19"/>
        </w:numPr>
        <w:tabs>
          <w:tab w:val="left" w:pos="1701"/>
        </w:tabs>
        <w:ind w:left="1134" w:firstLine="0"/>
      </w:pPr>
      <w:r w:rsidRPr="00AF648F">
        <w:t xml:space="preserve">In light of the above, </w:t>
      </w:r>
      <w:r w:rsidR="00F12A6F" w:rsidRPr="00AF648F">
        <w:t xml:space="preserve">since the legislative process is still ongoing, </w:t>
      </w:r>
      <w:r w:rsidRPr="00AF648F">
        <w:t>the Committee</w:t>
      </w:r>
      <w:r w:rsidR="00F12A6F" w:rsidRPr="00AF648F">
        <w:t xml:space="preserve">, while welcoming the steps taken so far in that direction, </w:t>
      </w:r>
      <w:r w:rsidRPr="00AF648F">
        <w:t xml:space="preserve">finds that the Party concerned </w:t>
      </w:r>
      <w:r w:rsidR="001A4337" w:rsidRPr="00AF648F">
        <w:t>has</w:t>
      </w:r>
      <w:r w:rsidRPr="00AF648F">
        <w:t xml:space="preserve"> not yet </w:t>
      </w:r>
      <w:r w:rsidR="001A4337" w:rsidRPr="00AF648F">
        <w:t xml:space="preserve">fulfilled the requirements of paragraph 123 of the Committee’s findings on communication ACCC/C/2008/32 (part II). </w:t>
      </w:r>
    </w:p>
    <w:p w14:paraId="67E56070" w14:textId="680F33C9" w:rsidR="00024C30" w:rsidRPr="00AF648F" w:rsidRDefault="00024C30" w:rsidP="00024C30">
      <w:pPr>
        <w:pStyle w:val="HChG"/>
        <w:rPr>
          <w:lang w:eastAsia="zh-CN"/>
        </w:rPr>
      </w:pPr>
      <w:r w:rsidRPr="00AF648F">
        <w:rPr>
          <w:lang w:eastAsia="zh-CN"/>
        </w:rPr>
        <w:tab/>
        <w:t>IV.</w:t>
      </w:r>
      <w:r w:rsidRPr="00AF648F">
        <w:rPr>
          <w:lang w:eastAsia="zh-CN"/>
        </w:rPr>
        <w:tab/>
        <w:t>Conclusions</w:t>
      </w:r>
    </w:p>
    <w:p w14:paraId="6E58DD6D" w14:textId="77777777" w:rsidR="009E77D3" w:rsidRPr="00AF648F" w:rsidRDefault="0052092B" w:rsidP="00F138BC">
      <w:pPr>
        <w:pStyle w:val="SingleTxtG"/>
        <w:numPr>
          <w:ilvl w:val="0"/>
          <w:numId w:val="19"/>
        </w:numPr>
        <w:tabs>
          <w:tab w:val="left" w:pos="1701"/>
        </w:tabs>
        <w:ind w:left="1134" w:firstLine="0"/>
      </w:pPr>
      <w:r w:rsidRPr="00AF648F">
        <w:rPr>
          <w:lang w:eastAsia="zh-CN"/>
        </w:rPr>
        <w:t>The Committee finds that</w:t>
      </w:r>
      <w:r w:rsidR="009E77D3" w:rsidRPr="00AF648F">
        <w:rPr>
          <w:lang w:eastAsia="zh-CN"/>
        </w:rPr>
        <w:t>:</w:t>
      </w:r>
    </w:p>
    <w:p w14:paraId="5D254DA5" w14:textId="5D097B5E" w:rsidR="00B52A09" w:rsidRPr="00AF648F" w:rsidRDefault="00694C6F" w:rsidP="00694C6F">
      <w:pPr>
        <w:pStyle w:val="SingleTxtG"/>
        <w:tabs>
          <w:tab w:val="left" w:pos="1701"/>
        </w:tabs>
      </w:pPr>
      <w:r w:rsidRPr="00AF648F">
        <w:rPr>
          <w:lang w:eastAsia="zh-CN"/>
        </w:rPr>
        <w:tab/>
        <w:t>(a)</w:t>
      </w:r>
      <w:r w:rsidRPr="00AF648F">
        <w:rPr>
          <w:lang w:eastAsia="zh-CN"/>
        </w:rPr>
        <w:tab/>
      </w:r>
      <w:r w:rsidR="00B52A09" w:rsidRPr="00AF648F">
        <w:t>The Party concerned has put in place a regulatory framework that meets the requirements of article 6(3) of the Convention with respect to the NECPs but has not yet demonstrated that it has adopted either a proper regulatory framework or clear instructions to ensure that the other requirements of article 7 are met in the adoption of the NECPs, as required by the first three sentences of paragraph 3 of decision V/9g;</w:t>
      </w:r>
    </w:p>
    <w:p w14:paraId="2385B3B7" w14:textId="5E9195A5" w:rsidR="00790143" w:rsidRPr="00AF648F" w:rsidRDefault="00B52A09" w:rsidP="00694C6F">
      <w:pPr>
        <w:pStyle w:val="SingleTxtG"/>
        <w:tabs>
          <w:tab w:val="left" w:pos="1701"/>
        </w:tabs>
      </w:pPr>
      <w:r w:rsidRPr="00AF648F">
        <w:tab/>
        <w:t>(b)</w:t>
      </w:r>
      <w:r w:rsidRPr="00AF648F">
        <w:tab/>
      </w:r>
      <w:r w:rsidR="002874C1" w:rsidRPr="00AF648F">
        <w:t>While welcoming that the Party concerned has carried out an assessment of public participation on each member State’s NECP, albeit in brief, the Party concerned has not yet met the requirements of the final sentence of paragraph 3 of decision V/</w:t>
      </w:r>
      <w:proofErr w:type="gramStart"/>
      <w:r w:rsidR="002874C1" w:rsidRPr="00AF648F">
        <w:t>9g</w:t>
      </w:r>
      <w:r w:rsidR="00694C6F" w:rsidRPr="00AF648F">
        <w:rPr>
          <w:lang w:eastAsia="zh-CN"/>
        </w:rPr>
        <w:t>;</w:t>
      </w:r>
      <w:proofErr w:type="gramEnd"/>
    </w:p>
    <w:p w14:paraId="102EB264" w14:textId="6F22FD60" w:rsidR="00024C30" w:rsidRPr="00AF648F" w:rsidRDefault="00694C6F" w:rsidP="00694C6F">
      <w:pPr>
        <w:pStyle w:val="SingleTxtG"/>
        <w:tabs>
          <w:tab w:val="left" w:pos="1701"/>
        </w:tabs>
      </w:pPr>
      <w:r w:rsidRPr="00AF648F">
        <w:rPr>
          <w:lang w:eastAsia="zh-CN"/>
        </w:rPr>
        <w:tab/>
        <w:t>(b)</w:t>
      </w:r>
      <w:r w:rsidRPr="00AF648F">
        <w:rPr>
          <w:lang w:eastAsia="zh-CN"/>
        </w:rPr>
        <w:tab/>
      </w:r>
      <w:r w:rsidR="0052092B" w:rsidRPr="00AF648F">
        <w:rPr>
          <w:lang w:eastAsia="zh-CN"/>
        </w:rPr>
        <w:t xml:space="preserve">While welcoming the </w:t>
      </w:r>
      <w:r w:rsidR="006D032A" w:rsidRPr="00AF648F">
        <w:rPr>
          <w:lang w:eastAsia="zh-CN"/>
        </w:rPr>
        <w:t xml:space="preserve">steps taken </w:t>
      </w:r>
      <w:r w:rsidR="00F12A6F" w:rsidRPr="00AF648F">
        <w:rPr>
          <w:lang w:eastAsia="zh-CN"/>
        </w:rPr>
        <w:t xml:space="preserve">so far </w:t>
      </w:r>
      <w:r w:rsidR="006D032A" w:rsidRPr="00AF648F">
        <w:rPr>
          <w:lang w:eastAsia="zh-CN"/>
        </w:rPr>
        <w:t>in that direction</w:t>
      </w:r>
      <w:r w:rsidR="00102BF2" w:rsidRPr="00AF648F">
        <w:rPr>
          <w:lang w:eastAsia="zh-CN"/>
        </w:rPr>
        <w:t xml:space="preserve">, the Party concerned has not yet fulfilled </w:t>
      </w:r>
      <w:r w:rsidR="0052092B" w:rsidRPr="00AF648F">
        <w:rPr>
          <w:lang w:eastAsia="zh-CN"/>
        </w:rPr>
        <w:t xml:space="preserve">the </w:t>
      </w:r>
      <w:r w:rsidR="00CC3531" w:rsidRPr="00AF648F">
        <w:rPr>
          <w:lang w:eastAsia="zh-CN"/>
        </w:rPr>
        <w:t>requirements of paragraph 123 of the Committee’s findings on communication ACCC/C/2008/32 (part II)</w:t>
      </w:r>
      <w:r w:rsidR="00754C7E" w:rsidRPr="00AF648F">
        <w:rPr>
          <w:lang w:eastAsia="zh-CN"/>
        </w:rPr>
        <w:t>.</w:t>
      </w:r>
    </w:p>
    <w:p w14:paraId="12EC9ADA" w14:textId="51288B36" w:rsidR="00024C30" w:rsidRPr="00AF648F" w:rsidRDefault="00024C30" w:rsidP="00F138BC">
      <w:pPr>
        <w:pStyle w:val="SingleTxtG"/>
        <w:numPr>
          <w:ilvl w:val="0"/>
          <w:numId w:val="19"/>
        </w:numPr>
        <w:tabs>
          <w:tab w:val="left" w:pos="1701"/>
        </w:tabs>
        <w:ind w:left="1134" w:firstLine="0"/>
      </w:pPr>
      <w:bookmarkStart w:id="14" w:name="_Ref75773518"/>
      <w:r w:rsidRPr="00AF648F">
        <w:rPr>
          <w:lang w:eastAsia="zh-CN"/>
        </w:rPr>
        <w:t>The Committee recommends to the Meeting of the Parties that it reaffirm its decision V/9g and</w:t>
      </w:r>
      <w:proofErr w:type="gramStart"/>
      <w:r w:rsidRPr="00AF648F">
        <w:rPr>
          <w:lang w:eastAsia="zh-CN"/>
        </w:rPr>
        <w:t>, in particular, request</w:t>
      </w:r>
      <w:proofErr w:type="gramEnd"/>
      <w:r w:rsidRPr="00AF648F">
        <w:rPr>
          <w:lang w:eastAsia="zh-CN"/>
        </w:rPr>
        <w:t xml:space="preserve"> the Party concerned, as a matter of urgency</w:t>
      </w:r>
      <w:bookmarkEnd w:id="14"/>
      <w:r w:rsidR="00694C6F" w:rsidRPr="00AF648F">
        <w:rPr>
          <w:lang w:eastAsia="zh-CN"/>
        </w:rPr>
        <w:t>:</w:t>
      </w:r>
    </w:p>
    <w:p w14:paraId="39970CD1" w14:textId="45E00C2E" w:rsidR="00024C30" w:rsidRPr="00AF648F" w:rsidRDefault="00024C30" w:rsidP="00024C30">
      <w:pPr>
        <w:pStyle w:val="SingleTxtG"/>
        <w:tabs>
          <w:tab w:val="left" w:pos="1701"/>
        </w:tabs>
      </w:pPr>
      <w:r w:rsidRPr="00AF648F">
        <w:tab/>
        <w:t>(a)</w:t>
      </w:r>
      <w:r w:rsidRPr="00AF648F">
        <w:tab/>
      </w:r>
      <w:r w:rsidR="00694C6F" w:rsidRPr="00AF648F">
        <w:t>T</w:t>
      </w:r>
      <w:r w:rsidRPr="00AF648F">
        <w:t>o provide the Committee with evidence that it has adopted a proper regulatory framework and/or clear instructions for implementing article 7 of the Convention with respect to the adoption of National Energy and Climate Plans (NECPs), and, in particular, to take the necessary legislative, regulatory or practical measures to</w:t>
      </w:r>
      <w:r w:rsidR="00694C6F" w:rsidRPr="00AF648F">
        <w:t>:</w:t>
      </w:r>
    </w:p>
    <w:p w14:paraId="72D38943" w14:textId="692FEBDE" w:rsidR="00024C30" w:rsidRPr="00AF648F" w:rsidRDefault="00024C30" w:rsidP="00024C30">
      <w:pPr>
        <w:pStyle w:val="SingleTxtG"/>
        <w:tabs>
          <w:tab w:val="left" w:pos="1701"/>
        </w:tabs>
        <w:ind w:left="1701" w:hanging="567"/>
      </w:pPr>
      <w:r w:rsidRPr="00AF648F">
        <w:tab/>
        <w:t>(i)</w:t>
      </w:r>
      <w:r w:rsidRPr="00AF648F">
        <w:tab/>
      </w:r>
      <w:r w:rsidR="00694C6F" w:rsidRPr="00AF648F">
        <w:t>E</w:t>
      </w:r>
      <w:r w:rsidRPr="00AF648F">
        <w:t xml:space="preserve">nsure that the arrangements for public participation in its member States are transparent and fair and that within those arrangements the necessary information is provided to the </w:t>
      </w:r>
      <w:proofErr w:type="gramStart"/>
      <w:r w:rsidRPr="00AF648F">
        <w:t>public</w:t>
      </w:r>
      <w:r w:rsidR="002D0691">
        <w:t>;</w:t>
      </w:r>
      <w:proofErr w:type="gramEnd"/>
      <w:r w:rsidRPr="00AF648F">
        <w:t xml:space="preserve"> </w:t>
      </w:r>
    </w:p>
    <w:p w14:paraId="3845B94A" w14:textId="6E789F21" w:rsidR="00024C30" w:rsidRPr="00AF648F" w:rsidRDefault="00024C30" w:rsidP="00024C30">
      <w:pPr>
        <w:pStyle w:val="SingleTxtG"/>
        <w:tabs>
          <w:tab w:val="left" w:pos="1701"/>
        </w:tabs>
        <w:ind w:left="1701" w:hanging="567"/>
      </w:pPr>
      <w:r w:rsidRPr="00AF648F">
        <w:tab/>
        <w:t>(ii)</w:t>
      </w:r>
      <w:r w:rsidRPr="00AF648F">
        <w:tab/>
      </w:r>
      <w:r w:rsidR="00694C6F" w:rsidRPr="00AF648F">
        <w:t>E</w:t>
      </w:r>
      <w:r w:rsidRPr="00AF648F">
        <w:t>nsure that the adopted regulatory framework and/or clear instructions ensures that the requirements of article 6(4) and (8) of the Convention are met, including allowing for early public participation when all options are open, and ensuring that due account is taken of the outcome of the public participation</w:t>
      </w:r>
      <w:r w:rsidR="002D0691">
        <w:t>;</w:t>
      </w:r>
      <w:r w:rsidRPr="00AF648F">
        <w:t xml:space="preserve"> </w:t>
      </w:r>
    </w:p>
    <w:p w14:paraId="126B2E10" w14:textId="69213D8B" w:rsidR="00F138BC" w:rsidRPr="00AF648F" w:rsidRDefault="00B71C07" w:rsidP="00024C30">
      <w:pPr>
        <w:pStyle w:val="SingleTxtG"/>
        <w:tabs>
          <w:tab w:val="left" w:pos="1701"/>
        </w:tabs>
      </w:pPr>
      <w:r w:rsidRPr="00AF648F">
        <w:tab/>
      </w:r>
      <w:r w:rsidR="00024C30" w:rsidRPr="00AF648F">
        <w:t>(b)</w:t>
      </w:r>
      <w:r w:rsidR="00024C30" w:rsidRPr="00AF648F">
        <w:tab/>
      </w:r>
      <w:r w:rsidR="00694C6F" w:rsidRPr="00AF648F">
        <w:t>T</w:t>
      </w:r>
      <w:r w:rsidR="00024C30" w:rsidRPr="00AF648F">
        <w:t xml:space="preserve">o adapt the </w:t>
      </w:r>
      <w:proofErr w:type="gramStart"/>
      <w:r w:rsidR="00024C30" w:rsidRPr="00AF648F">
        <w:t>manner in which</w:t>
      </w:r>
      <w:proofErr w:type="gramEnd"/>
      <w:r w:rsidR="00024C30" w:rsidRPr="00AF648F">
        <w:t xml:space="preserve"> it evaluates NECPs accordingly.</w:t>
      </w:r>
    </w:p>
    <w:p w14:paraId="31CD2A71" w14:textId="3B42FC5A" w:rsidR="003B328B" w:rsidRPr="00AF648F" w:rsidRDefault="00754C7E" w:rsidP="00754C7E">
      <w:pPr>
        <w:pStyle w:val="SingleTxtG"/>
        <w:numPr>
          <w:ilvl w:val="0"/>
          <w:numId w:val="19"/>
        </w:numPr>
        <w:tabs>
          <w:tab w:val="left" w:pos="1701"/>
        </w:tabs>
        <w:ind w:left="1134" w:firstLine="0"/>
      </w:pPr>
      <w:bookmarkStart w:id="15" w:name="_Ref75773532"/>
      <w:r w:rsidRPr="00AF648F">
        <w:rPr>
          <w:lang w:eastAsia="zh-CN"/>
        </w:rPr>
        <w:lastRenderedPageBreak/>
        <w:t xml:space="preserve">The Committee also recommends to the Meeting of the Parties that it </w:t>
      </w:r>
      <w:r w:rsidR="006D032A" w:rsidRPr="00AF648F">
        <w:rPr>
          <w:lang w:eastAsia="zh-CN"/>
        </w:rPr>
        <w:t xml:space="preserve">endorse </w:t>
      </w:r>
      <w:r w:rsidRPr="00AF648F">
        <w:rPr>
          <w:lang w:eastAsia="zh-CN"/>
        </w:rPr>
        <w:t>the Committee’s findings on communication ACCC/C/2008/32 (part II)</w:t>
      </w:r>
      <w:r w:rsidR="00FA1956" w:rsidRPr="00AF648F">
        <w:rPr>
          <w:lang w:eastAsia="zh-CN"/>
        </w:rPr>
        <w:t xml:space="preserve"> and request the </w:t>
      </w:r>
      <w:r w:rsidR="007E7E29" w:rsidRPr="00AF648F">
        <w:rPr>
          <w:lang w:eastAsia="zh-CN"/>
        </w:rPr>
        <w:t>P</w:t>
      </w:r>
      <w:r w:rsidR="00FA1956" w:rsidRPr="00AF648F">
        <w:rPr>
          <w:lang w:eastAsia="zh-CN"/>
        </w:rPr>
        <w:t>arty concerned, as a matter of urgency</w:t>
      </w:r>
      <w:r w:rsidR="00FA13BC" w:rsidRPr="00AF648F">
        <w:rPr>
          <w:lang w:eastAsia="zh-CN"/>
        </w:rPr>
        <w:t>,</w:t>
      </w:r>
      <w:r w:rsidR="00C0397A" w:rsidRPr="00AF648F">
        <w:rPr>
          <w:lang w:eastAsia="zh-CN"/>
        </w:rPr>
        <w:t xml:space="preserve"> to ensure that</w:t>
      </w:r>
      <w:bookmarkEnd w:id="15"/>
      <w:r w:rsidR="00694C6F" w:rsidRPr="00AF648F">
        <w:rPr>
          <w:lang w:eastAsia="zh-CN"/>
        </w:rPr>
        <w:t>:</w:t>
      </w:r>
      <w:r w:rsidR="00C0397A" w:rsidRPr="00AF648F">
        <w:rPr>
          <w:lang w:eastAsia="zh-CN"/>
        </w:rPr>
        <w:t xml:space="preserve"> </w:t>
      </w:r>
    </w:p>
    <w:p w14:paraId="397D595D" w14:textId="247D9C04" w:rsidR="00C0397A" w:rsidRPr="00AF648F" w:rsidRDefault="007E7E29" w:rsidP="007E7E29">
      <w:pPr>
        <w:pStyle w:val="SingleTxtG"/>
        <w:tabs>
          <w:tab w:val="left" w:pos="1701"/>
        </w:tabs>
      </w:pPr>
      <w:r w:rsidRPr="00AF648F">
        <w:tab/>
        <w:t>(a)</w:t>
      </w:r>
      <w:r w:rsidR="00C0397A" w:rsidRPr="00AF648F">
        <w:tab/>
      </w:r>
      <w:r w:rsidRPr="00AF648F">
        <w:t>All relevant European Union institutions within their competences take the steps necessary to provide the public concerned with access to justice in environmental matters in accordance with article 9</w:t>
      </w:r>
      <w:r w:rsidR="00F90E5F" w:rsidRPr="00AF648F">
        <w:t xml:space="preserve">(3) and (4) </w:t>
      </w:r>
      <w:r w:rsidRPr="00AF648F">
        <w:t xml:space="preserve">of the </w:t>
      </w:r>
      <w:proofErr w:type="gramStart"/>
      <w:r w:rsidRPr="00AF648F">
        <w:t>Convention</w:t>
      </w:r>
      <w:r w:rsidR="002D0691">
        <w:t>;</w:t>
      </w:r>
      <w:proofErr w:type="gramEnd"/>
      <w:r w:rsidRPr="00AF648F">
        <w:t xml:space="preserve"> </w:t>
      </w:r>
    </w:p>
    <w:p w14:paraId="5292F707" w14:textId="5A34D7AA" w:rsidR="00F90E5F" w:rsidRPr="00AF648F" w:rsidRDefault="00C0397A" w:rsidP="007E7E29">
      <w:pPr>
        <w:pStyle w:val="SingleTxtG"/>
        <w:tabs>
          <w:tab w:val="left" w:pos="1701"/>
        </w:tabs>
      </w:pPr>
      <w:r w:rsidRPr="00AF648F">
        <w:tab/>
      </w:r>
      <w:r w:rsidR="007E7E29" w:rsidRPr="00AF648F">
        <w:t>(b)</w:t>
      </w:r>
      <w:r w:rsidRPr="00AF648F">
        <w:tab/>
      </w:r>
      <w:r w:rsidR="007E7E29" w:rsidRPr="00AF648F">
        <w:t>If and to the extent that the Party concerned intends to rely on the Aarhus Regulation or other European Union legislation to implement article 9</w:t>
      </w:r>
      <w:r w:rsidR="00F90E5F" w:rsidRPr="00AF648F">
        <w:t>(3) and (4)</w:t>
      </w:r>
      <w:r w:rsidR="00540403" w:rsidRPr="00AF648F">
        <w:t xml:space="preserve"> of</w:t>
      </w:r>
      <w:r w:rsidR="007E7E29" w:rsidRPr="00AF648F">
        <w:t xml:space="preserve"> the Convention:</w:t>
      </w:r>
    </w:p>
    <w:p w14:paraId="6EB1AEF7" w14:textId="5112B70A" w:rsidR="00540403" w:rsidRPr="00AF648F" w:rsidRDefault="00F90E5F" w:rsidP="00F66368">
      <w:pPr>
        <w:pStyle w:val="SingleTxtG"/>
        <w:tabs>
          <w:tab w:val="left" w:pos="1701"/>
        </w:tabs>
        <w:ind w:left="1701" w:hanging="567"/>
      </w:pPr>
      <w:r w:rsidRPr="00AF648F">
        <w:tab/>
      </w:r>
      <w:r w:rsidR="007E7E29" w:rsidRPr="00AF648F">
        <w:t>(i)</w:t>
      </w:r>
      <w:r w:rsidR="00540403" w:rsidRPr="00AF648F">
        <w:tab/>
      </w:r>
      <w:r w:rsidR="007E7E29" w:rsidRPr="00AF648F">
        <w:t>The Aarhus Regulation be amended, or any new European Union legislation be drafted,</w:t>
      </w:r>
      <w:r w:rsidR="00540403" w:rsidRPr="00AF648F">
        <w:t xml:space="preserve"> </w:t>
      </w:r>
      <w:r w:rsidR="007E7E29" w:rsidRPr="00AF648F">
        <w:t>so that it is clear to the CJEU that that legislation is intended to implement article 9</w:t>
      </w:r>
      <w:r w:rsidR="00FB782E" w:rsidRPr="00AF648F">
        <w:t xml:space="preserve">(3) </w:t>
      </w:r>
      <w:r w:rsidR="007E7E29" w:rsidRPr="00AF648F">
        <w:t xml:space="preserve">of the </w:t>
      </w:r>
      <w:proofErr w:type="gramStart"/>
      <w:r w:rsidR="007E7E29" w:rsidRPr="00AF648F">
        <w:t>Convention;</w:t>
      </w:r>
      <w:proofErr w:type="gramEnd"/>
      <w:r w:rsidR="007E7E29" w:rsidRPr="00AF648F">
        <w:t xml:space="preserve"> </w:t>
      </w:r>
    </w:p>
    <w:p w14:paraId="43818880" w14:textId="01D71601" w:rsidR="007E7E29" w:rsidRPr="00AF648F" w:rsidRDefault="00F66368" w:rsidP="00F66368">
      <w:pPr>
        <w:pStyle w:val="SingleTxtG"/>
        <w:tabs>
          <w:tab w:val="left" w:pos="1701"/>
        </w:tabs>
        <w:ind w:left="1701" w:hanging="567"/>
      </w:pPr>
      <w:r w:rsidRPr="00AF648F">
        <w:tab/>
      </w:r>
      <w:r w:rsidR="007E7E29" w:rsidRPr="00AF648F">
        <w:t>(ii)</w:t>
      </w:r>
      <w:r w:rsidR="00540403" w:rsidRPr="00AF648F">
        <w:tab/>
      </w:r>
      <w:r w:rsidR="007E7E29" w:rsidRPr="00AF648F">
        <w:t>New or amended legislation implementing the Aarhus Convention use wording that clearly and fully transposes the relevant part of the Convention; in particular it is important to correct failures in implementation caused by the use of words or terms that do not fully correspond to the terms of the Convention</w:t>
      </w:r>
      <w:r w:rsidR="002D0691">
        <w:t>;</w:t>
      </w:r>
    </w:p>
    <w:p w14:paraId="20CC6F7D" w14:textId="48741AB5" w:rsidR="00F66368" w:rsidRPr="00AF648F" w:rsidRDefault="00F66368" w:rsidP="007E7E29">
      <w:pPr>
        <w:pStyle w:val="SingleTxtG"/>
        <w:tabs>
          <w:tab w:val="left" w:pos="1701"/>
        </w:tabs>
      </w:pPr>
      <w:r w:rsidRPr="00AF648F">
        <w:tab/>
        <w:t>(c)</w:t>
      </w:r>
      <w:r w:rsidRPr="00AF648F">
        <w:tab/>
        <w:t>If and to the extent that the Party concerned is going to rely on the jurisprudence of the CJEU to ensure that the obligations arising under article 9</w:t>
      </w:r>
      <w:r w:rsidR="00FB782E" w:rsidRPr="00AF648F">
        <w:t xml:space="preserve">(3) and (4) </w:t>
      </w:r>
      <w:r w:rsidRPr="00AF648F">
        <w:t>of the Convention are implemented, the CJEU:</w:t>
      </w:r>
    </w:p>
    <w:p w14:paraId="63A1389F" w14:textId="3D23600A" w:rsidR="00F66368" w:rsidRPr="00AF648F" w:rsidRDefault="00F66368" w:rsidP="00F66368">
      <w:pPr>
        <w:pStyle w:val="SingleTxtG"/>
        <w:tabs>
          <w:tab w:val="left" w:pos="1701"/>
        </w:tabs>
        <w:ind w:left="1701" w:hanging="567"/>
      </w:pPr>
      <w:r w:rsidRPr="00AF648F">
        <w:tab/>
        <w:t xml:space="preserve"> (i)</w:t>
      </w:r>
      <w:r w:rsidRPr="00AF648F">
        <w:tab/>
        <w:t xml:space="preserve">Assess the legality of the European Union’s implementing measures in the light of those obligations and act </w:t>
      </w:r>
      <w:proofErr w:type="gramStart"/>
      <w:r w:rsidRPr="00AF648F">
        <w:t>accordingly;</w:t>
      </w:r>
      <w:proofErr w:type="gramEnd"/>
      <w:r w:rsidRPr="00AF648F">
        <w:t xml:space="preserve"> </w:t>
      </w:r>
    </w:p>
    <w:p w14:paraId="492B3532" w14:textId="6DAB3658" w:rsidR="00FA1956" w:rsidRPr="00AF648F" w:rsidRDefault="00F66368" w:rsidP="00102BF2">
      <w:pPr>
        <w:pStyle w:val="SingleTxtG"/>
        <w:tabs>
          <w:tab w:val="left" w:pos="1701"/>
        </w:tabs>
        <w:ind w:left="1701" w:hanging="567"/>
      </w:pPr>
      <w:r w:rsidRPr="00AF648F">
        <w:tab/>
        <w:t>(ii)</w:t>
      </w:r>
      <w:r w:rsidRPr="00AF648F">
        <w:tab/>
        <w:t>Interpret European Union law in a way which, to the fullest extent possible, is consistent with the objectives of article 9</w:t>
      </w:r>
      <w:r w:rsidR="00FB782E" w:rsidRPr="00AF648F">
        <w:t xml:space="preserve">(3) and (4) </w:t>
      </w:r>
      <w:r w:rsidRPr="00AF648F">
        <w:t>of the Convention.</w:t>
      </w:r>
    </w:p>
    <w:p w14:paraId="3EE1D403" w14:textId="77777777" w:rsidR="00FB5698" w:rsidRPr="00AF648F" w:rsidRDefault="00CB4419" w:rsidP="00102BF2">
      <w:pPr>
        <w:pStyle w:val="SingleTxtG"/>
        <w:numPr>
          <w:ilvl w:val="0"/>
          <w:numId w:val="19"/>
        </w:numPr>
        <w:tabs>
          <w:tab w:val="left" w:pos="1701"/>
        </w:tabs>
        <w:ind w:left="1134" w:firstLine="0"/>
        <w:rPr>
          <w:rFonts w:eastAsia="Calibri"/>
          <w:lang w:eastAsia="zh-CN"/>
        </w:rPr>
      </w:pPr>
      <w:r w:rsidRPr="00AF648F">
        <w:rPr>
          <w:lang w:eastAsia="zh-CN"/>
        </w:rPr>
        <w:t>The Committee further</w:t>
      </w:r>
      <w:r w:rsidR="00FB5698" w:rsidRPr="00AF648F">
        <w:rPr>
          <w:lang w:eastAsia="zh-CN"/>
        </w:rPr>
        <w:t xml:space="preserve"> recommends to the Meeting of the Parties that it request the Party concerned </w:t>
      </w:r>
    </w:p>
    <w:p w14:paraId="3E5E18E5" w14:textId="1EBDF6C5" w:rsidR="00002DF2" w:rsidRPr="00AF648F" w:rsidRDefault="00002DF2" w:rsidP="00002DF2">
      <w:pPr>
        <w:pStyle w:val="SingleTxtG"/>
        <w:ind w:left="1179" w:firstLine="522"/>
      </w:pPr>
      <w:r w:rsidRPr="00AF648F">
        <w:t>(a)</w:t>
      </w:r>
      <w:r w:rsidRPr="00AF648F">
        <w:tab/>
      </w:r>
      <w:r w:rsidR="00FB5698" w:rsidRPr="00AF648F">
        <w:t>To provide a detailed plan of action</w:t>
      </w:r>
      <w:r w:rsidR="002D0691">
        <w:t xml:space="preserve">, including a time schedule, </w:t>
      </w:r>
      <w:r w:rsidRPr="00AF648F">
        <w:t>to the Committee</w:t>
      </w:r>
      <w:r w:rsidR="00D662C8" w:rsidRPr="00AF648F">
        <w:t xml:space="preserve"> by 1 July 2022</w:t>
      </w:r>
      <w:r w:rsidR="00FB5698" w:rsidRPr="00AF648F">
        <w:t>, including a time</w:t>
      </w:r>
      <w:r w:rsidRPr="00AF648F">
        <w:t xml:space="preserve"> </w:t>
      </w:r>
      <w:r w:rsidR="00FB5698" w:rsidRPr="00AF648F">
        <w:t>schedule</w:t>
      </w:r>
      <w:r w:rsidR="006D032A" w:rsidRPr="00AF648F">
        <w:t>,</w:t>
      </w:r>
      <w:r w:rsidR="00A10E08" w:rsidRPr="00AF648F">
        <w:t xml:space="preserve"> </w:t>
      </w:r>
      <w:r w:rsidR="002D0691">
        <w:t xml:space="preserve">regarding the </w:t>
      </w:r>
      <w:r w:rsidR="002D0691" w:rsidRPr="006F2FE0">
        <w:t xml:space="preserve">implementation of the </w:t>
      </w:r>
      <w:r w:rsidR="00694C6F" w:rsidRPr="00AF648F">
        <w:t>recommendations</w:t>
      </w:r>
      <w:r w:rsidR="00606612" w:rsidRPr="00AF648F">
        <w:t xml:space="preserve"> in para</w:t>
      </w:r>
      <w:r w:rsidR="00694C6F" w:rsidRPr="00AF648F">
        <w:t>graph</w:t>
      </w:r>
      <w:r w:rsidR="00606612" w:rsidRPr="00AF648F">
        <w:t xml:space="preserve">s </w:t>
      </w:r>
      <w:r w:rsidR="00606612" w:rsidRPr="00AF648F">
        <w:fldChar w:fldCharType="begin"/>
      </w:r>
      <w:r w:rsidR="00606612" w:rsidRPr="00AF648F">
        <w:instrText xml:space="preserve"> REF _Ref75773518 \r \h </w:instrText>
      </w:r>
      <w:r w:rsidR="00AF648F">
        <w:instrText xml:space="preserve"> \* MERGEFORMAT </w:instrText>
      </w:r>
      <w:r w:rsidR="00606612" w:rsidRPr="00AF648F">
        <w:fldChar w:fldCharType="separate"/>
      </w:r>
      <w:r w:rsidR="001F1E82">
        <w:rPr>
          <w:cs/>
        </w:rPr>
        <w:t>‎</w:t>
      </w:r>
      <w:r w:rsidR="001F1E82">
        <w:t>113</w:t>
      </w:r>
      <w:r w:rsidR="00606612" w:rsidRPr="00AF648F">
        <w:fldChar w:fldCharType="end"/>
      </w:r>
      <w:r w:rsidR="00606612" w:rsidRPr="00AF648F">
        <w:t>-</w:t>
      </w:r>
      <w:r w:rsidR="00606612" w:rsidRPr="00AF648F">
        <w:fldChar w:fldCharType="begin"/>
      </w:r>
      <w:r w:rsidR="00606612" w:rsidRPr="00AF648F">
        <w:instrText xml:space="preserve"> REF _Ref75773532 \r \h </w:instrText>
      </w:r>
      <w:r w:rsidR="00AF648F">
        <w:instrText xml:space="preserve"> \* MERGEFORMAT </w:instrText>
      </w:r>
      <w:r w:rsidR="00606612" w:rsidRPr="00AF648F">
        <w:fldChar w:fldCharType="separate"/>
      </w:r>
      <w:r w:rsidR="001F1E82">
        <w:rPr>
          <w:cs/>
        </w:rPr>
        <w:t>‎</w:t>
      </w:r>
      <w:r w:rsidR="001F1E82">
        <w:t>114</w:t>
      </w:r>
      <w:r w:rsidR="00606612" w:rsidRPr="00AF648F">
        <w:fldChar w:fldCharType="end"/>
      </w:r>
      <w:r w:rsidR="00606612" w:rsidRPr="00AF648F">
        <w:t xml:space="preserve"> above</w:t>
      </w:r>
      <w:r w:rsidR="0029490D" w:rsidRPr="00AF648F">
        <w:t>;</w:t>
      </w:r>
    </w:p>
    <w:p w14:paraId="6ACFBD83" w14:textId="05830E0E" w:rsidR="00FB5698" w:rsidRPr="00AF648F" w:rsidRDefault="00002DF2" w:rsidP="00002DF2">
      <w:pPr>
        <w:pStyle w:val="SingleTxtG"/>
        <w:ind w:firstLine="567"/>
      </w:pPr>
      <w:r w:rsidRPr="00AF648F">
        <w:t>(b)</w:t>
      </w:r>
      <w:r w:rsidRPr="00AF648F">
        <w:tab/>
        <w:t xml:space="preserve">To provide </w:t>
      </w:r>
      <w:r w:rsidR="00FB5698" w:rsidRPr="00AF648F">
        <w:t>progress reports to the Committee by 1 October 2023 and 1 October 2024 on the measures taken and the results achieved in the implementation of the above recommendations</w:t>
      </w:r>
      <w:r w:rsidR="0029490D" w:rsidRPr="00AF648F">
        <w:t xml:space="preserve"> as well as the steps set out in the plan of </w:t>
      </w:r>
      <w:proofErr w:type="gramStart"/>
      <w:r w:rsidR="0029490D" w:rsidRPr="00AF648F">
        <w:t>action</w:t>
      </w:r>
      <w:r w:rsidR="00FB5698" w:rsidRPr="00AF648F">
        <w:t>;</w:t>
      </w:r>
      <w:proofErr w:type="gramEnd"/>
    </w:p>
    <w:p w14:paraId="3EA62CBF" w14:textId="190E8F8B" w:rsidR="00FB5698" w:rsidRPr="00AF648F" w:rsidRDefault="00BD292E" w:rsidP="002237B0">
      <w:pPr>
        <w:pStyle w:val="SingleTxtG"/>
        <w:ind w:firstLine="567"/>
      </w:pPr>
      <w:r w:rsidRPr="00AF648F">
        <w:t>(c)</w:t>
      </w:r>
      <w:r w:rsidR="002237B0" w:rsidRPr="00AF648F">
        <w:tab/>
      </w:r>
      <w:r w:rsidR="00FB5698" w:rsidRPr="00AF648F">
        <w:t xml:space="preserve">To provide such additional information as the Committee may request in between the above reporting dates in order to assist the Committee to review the progress by the Party concerned in implementing the above </w:t>
      </w:r>
      <w:proofErr w:type="gramStart"/>
      <w:r w:rsidR="00FB5698" w:rsidRPr="00AF648F">
        <w:t>recommendations;</w:t>
      </w:r>
      <w:proofErr w:type="gramEnd"/>
      <w:r w:rsidR="002237B0" w:rsidRPr="00AF648F">
        <w:t xml:space="preserve"> </w:t>
      </w:r>
    </w:p>
    <w:p w14:paraId="080F736E" w14:textId="214F1D64" w:rsidR="00FB5698" w:rsidRDefault="002237B0" w:rsidP="002237B0">
      <w:pPr>
        <w:pStyle w:val="SingleTxtG"/>
        <w:ind w:firstLine="567"/>
      </w:pPr>
      <w:r w:rsidRPr="00AF648F">
        <w:t>(d)</w:t>
      </w:r>
      <w:r w:rsidRPr="00AF648F">
        <w:tab/>
      </w:r>
      <w:r w:rsidR="00FB5698" w:rsidRPr="00AF648F">
        <w:t>To participate (either in person or by virtual means) in the meetings of the</w:t>
      </w:r>
      <w:r w:rsidRPr="00AF648F">
        <w:t xml:space="preserve"> </w:t>
      </w:r>
      <w:r w:rsidR="00FB5698" w:rsidRPr="00AF648F">
        <w:t>Committee at which the progress of the Party concerned in implementing the above recommendations is to be considered.</w:t>
      </w:r>
      <w:r w:rsidR="00FB5698" w:rsidRPr="001B6388">
        <w:t xml:space="preserve"> </w:t>
      </w:r>
    </w:p>
    <w:p w14:paraId="5CA913E5" w14:textId="4BF73474" w:rsidR="00A36B2A" w:rsidRPr="002237B0" w:rsidRDefault="00CB4419" w:rsidP="002237B0">
      <w:pPr>
        <w:pStyle w:val="SingleTxtG"/>
        <w:tabs>
          <w:tab w:val="left" w:pos="1701"/>
        </w:tabs>
        <w:rPr>
          <w:rFonts w:eastAsia="Calibri"/>
          <w:lang w:eastAsia="zh-CN"/>
        </w:rPr>
      </w:pPr>
      <w:r>
        <w:rPr>
          <w:lang w:eastAsia="zh-CN"/>
        </w:rPr>
        <w:t xml:space="preserve"> </w:t>
      </w:r>
    </w:p>
    <w:p w14:paraId="315D4CD0" w14:textId="77777777" w:rsidR="001A33D6" w:rsidRPr="001A33D6" w:rsidRDefault="001A33D6" w:rsidP="001A33D6">
      <w:pPr>
        <w:pStyle w:val="SingleTxtG"/>
        <w:spacing w:before="240" w:after="0"/>
        <w:jc w:val="center"/>
        <w:rPr>
          <w:u w:val="single"/>
        </w:rPr>
      </w:pPr>
      <w:r>
        <w:rPr>
          <w:u w:val="single"/>
          <w:lang w:eastAsia="zh-CN"/>
        </w:rPr>
        <w:tab/>
      </w:r>
      <w:r>
        <w:rPr>
          <w:u w:val="single"/>
          <w:lang w:eastAsia="zh-CN"/>
        </w:rPr>
        <w:tab/>
      </w:r>
      <w:r>
        <w:rPr>
          <w:u w:val="single"/>
          <w:lang w:eastAsia="zh-CN"/>
        </w:rPr>
        <w:tab/>
      </w:r>
    </w:p>
    <w:sectPr w:rsidR="001A33D6" w:rsidRPr="001A33D6" w:rsidSect="0042121A">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8F5DC" w14:textId="77777777" w:rsidR="00943C4E" w:rsidRDefault="00943C4E"/>
  </w:endnote>
  <w:endnote w:type="continuationSeparator" w:id="0">
    <w:p w14:paraId="3BA9E48C" w14:textId="77777777" w:rsidR="00943C4E" w:rsidRDefault="00943C4E"/>
  </w:endnote>
  <w:endnote w:type="continuationNotice" w:id="1">
    <w:p w14:paraId="5F67D844" w14:textId="77777777" w:rsidR="00943C4E" w:rsidRDefault="00943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4CDB" w14:textId="77777777" w:rsidR="005F25ED" w:rsidRPr="0042121A" w:rsidRDefault="005F25ED" w:rsidP="0042121A">
    <w:pPr>
      <w:pStyle w:val="Footer"/>
      <w:tabs>
        <w:tab w:val="right" w:pos="9638"/>
      </w:tabs>
      <w:rPr>
        <w:sz w:val="18"/>
      </w:rPr>
    </w:pPr>
    <w:r w:rsidRPr="0042121A">
      <w:rPr>
        <w:b/>
        <w:sz w:val="18"/>
      </w:rPr>
      <w:fldChar w:fldCharType="begin"/>
    </w:r>
    <w:r w:rsidRPr="0042121A">
      <w:rPr>
        <w:b/>
        <w:sz w:val="18"/>
      </w:rPr>
      <w:instrText xml:space="preserve"> PAGE  \* MERGEFORMAT </w:instrText>
    </w:r>
    <w:r w:rsidRPr="0042121A">
      <w:rPr>
        <w:b/>
        <w:sz w:val="18"/>
      </w:rPr>
      <w:fldChar w:fldCharType="separate"/>
    </w:r>
    <w:r>
      <w:rPr>
        <w:b/>
        <w:noProof/>
        <w:sz w:val="18"/>
      </w:rPr>
      <w:t>2</w:t>
    </w:r>
    <w:r w:rsidRPr="0042121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4CDC" w14:textId="77777777" w:rsidR="005F25ED" w:rsidRPr="0042121A" w:rsidRDefault="005F25ED" w:rsidP="0042121A">
    <w:pPr>
      <w:pStyle w:val="Footer"/>
      <w:tabs>
        <w:tab w:val="right" w:pos="9638"/>
      </w:tabs>
      <w:rPr>
        <w:b/>
        <w:sz w:val="18"/>
      </w:rPr>
    </w:pPr>
    <w:r>
      <w:tab/>
    </w:r>
    <w:r w:rsidRPr="0042121A">
      <w:rPr>
        <w:b/>
        <w:sz w:val="18"/>
      </w:rPr>
      <w:fldChar w:fldCharType="begin"/>
    </w:r>
    <w:r w:rsidRPr="0042121A">
      <w:rPr>
        <w:b/>
        <w:sz w:val="18"/>
      </w:rPr>
      <w:instrText xml:space="preserve"> PAGE  \* MERGEFORMAT </w:instrText>
    </w:r>
    <w:r w:rsidRPr="0042121A">
      <w:rPr>
        <w:b/>
        <w:sz w:val="18"/>
      </w:rPr>
      <w:fldChar w:fldCharType="separate"/>
    </w:r>
    <w:r>
      <w:rPr>
        <w:b/>
        <w:noProof/>
        <w:sz w:val="18"/>
      </w:rPr>
      <w:t>9</w:t>
    </w:r>
    <w:r w:rsidRPr="0042121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901A3" w14:textId="77777777" w:rsidR="00943C4E" w:rsidRPr="000B175B" w:rsidRDefault="00943C4E" w:rsidP="000B175B">
      <w:pPr>
        <w:tabs>
          <w:tab w:val="right" w:pos="2155"/>
        </w:tabs>
        <w:spacing w:after="80"/>
        <w:ind w:left="680"/>
        <w:rPr>
          <w:u w:val="single"/>
        </w:rPr>
      </w:pPr>
      <w:r>
        <w:rPr>
          <w:u w:val="single"/>
        </w:rPr>
        <w:tab/>
      </w:r>
    </w:p>
  </w:footnote>
  <w:footnote w:type="continuationSeparator" w:id="0">
    <w:p w14:paraId="3661DD05" w14:textId="77777777" w:rsidR="00943C4E" w:rsidRPr="00FC68B7" w:rsidRDefault="00943C4E" w:rsidP="00FC68B7">
      <w:pPr>
        <w:tabs>
          <w:tab w:val="left" w:pos="2155"/>
        </w:tabs>
        <w:spacing w:after="80"/>
        <w:ind w:left="680"/>
        <w:rPr>
          <w:u w:val="single"/>
        </w:rPr>
      </w:pPr>
      <w:r>
        <w:rPr>
          <w:u w:val="single"/>
        </w:rPr>
        <w:tab/>
      </w:r>
    </w:p>
  </w:footnote>
  <w:footnote w:type="continuationNotice" w:id="1">
    <w:p w14:paraId="4A84106D" w14:textId="77777777" w:rsidR="00943C4E" w:rsidRDefault="00943C4E"/>
  </w:footnote>
  <w:footnote w:id="2">
    <w:p w14:paraId="315D4CDD" w14:textId="77777777" w:rsidR="005F25ED" w:rsidRPr="00DD0A49" w:rsidRDefault="005F25ED" w:rsidP="009D4F89">
      <w:pPr>
        <w:pStyle w:val="FootnoteText"/>
        <w:ind w:firstLine="0"/>
        <w:rPr>
          <w:szCs w:val="18"/>
          <w:lang w:val="en-US"/>
        </w:rPr>
      </w:pPr>
      <w:r w:rsidRPr="00DD0A49">
        <w:rPr>
          <w:rStyle w:val="FootnoteReference"/>
          <w:szCs w:val="18"/>
        </w:rPr>
        <w:tab/>
      </w:r>
      <w:r w:rsidRPr="00DD0A49">
        <w:rPr>
          <w:rStyle w:val="FootnoteReference"/>
          <w:szCs w:val="18"/>
          <w:vertAlign w:val="baseline"/>
        </w:rPr>
        <w:t>*</w:t>
      </w:r>
      <w:r w:rsidRPr="00DD0A49">
        <w:rPr>
          <w:rStyle w:val="FootnoteReference"/>
          <w:szCs w:val="18"/>
          <w:vertAlign w:val="baseline"/>
        </w:rPr>
        <w:tab/>
        <w:t>The</w:t>
      </w:r>
      <w:r w:rsidRPr="00DD0A49">
        <w:rPr>
          <w:szCs w:val="18"/>
        </w:rPr>
        <w:t xml:space="preserve"> present document is being issued without formal editing</w:t>
      </w:r>
      <w:r w:rsidRPr="00DD0A49">
        <w:rPr>
          <w:rStyle w:val="FootnoteReference"/>
          <w:szCs w:val="18"/>
          <w:vertAlign w:val="baseline"/>
        </w:rPr>
        <w:t>.</w:t>
      </w:r>
    </w:p>
  </w:footnote>
  <w:footnote w:id="3">
    <w:p w14:paraId="5EB21CF8" w14:textId="77777777" w:rsidR="005F25ED" w:rsidRPr="00DD0A49" w:rsidRDefault="005F25ED" w:rsidP="009D4F89">
      <w:pPr>
        <w:pStyle w:val="Default"/>
        <w:ind w:left="1134"/>
        <w:rPr>
          <w:sz w:val="18"/>
          <w:szCs w:val="18"/>
        </w:rPr>
      </w:pPr>
      <w:r w:rsidRPr="00DD0A49">
        <w:rPr>
          <w:rStyle w:val="FootnoteReference"/>
          <w:szCs w:val="18"/>
        </w:rPr>
        <w:footnoteRef/>
      </w:r>
      <w:r w:rsidRPr="00DD0A49">
        <w:rPr>
          <w:sz w:val="18"/>
          <w:szCs w:val="18"/>
        </w:rPr>
        <w:t xml:space="preserve"> Regulation (EC) No 1367/2006 of the European Parliament and of the Council of 6 September 2006 </w:t>
      </w:r>
    </w:p>
    <w:p w14:paraId="720E2CEF" w14:textId="77777777" w:rsidR="005F25ED" w:rsidRPr="00DD0A49" w:rsidRDefault="005F25ED" w:rsidP="009D4F89">
      <w:pPr>
        <w:pStyle w:val="Default"/>
        <w:ind w:left="1134"/>
        <w:rPr>
          <w:sz w:val="18"/>
          <w:szCs w:val="18"/>
        </w:rPr>
      </w:pPr>
      <w:r w:rsidRPr="00DD0A49">
        <w:rPr>
          <w:sz w:val="18"/>
          <w:szCs w:val="18"/>
        </w:rPr>
        <w:t xml:space="preserve">on the application of the provisions of the Aarhus Convention on Access to Information, Public </w:t>
      </w:r>
    </w:p>
    <w:p w14:paraId="105A141E" w14:textId="30E44D25" w:rsidR="005F25ED" w:rsidRPr="00DD0A49" w:rsidRDefault="005F25ED" w:rsidP="009D4F89">
      <w:pPr>
        <w:pStyle w:val="Default"/>
        <w:ind w:left="1134"/>
        <w:rPr>
          <w:sz w:val="18"/>
          <w:szCs w:val="18"/>
        </w:rPr>
      </w:pPr>
      <w:r w:rsidRPr="00DD0A49">
        <w:rPr>
          <w:sz w:val="18"/>
          <w:szCs w:val="18"/>
        </w:rPr>
        <w:t xml:space="preserve">Participation in Decision-making and Access to Justice in Environmental Matters to Community </w:t>
      </w:r>
      <w:r w:rsidRPr="00DD0A49">
        <w:rPr>
          <w:sz w:val="18"/>
          <w:szCs w:val="18"/>
        </w:rPr>
        <w:tab/>
      </w:r>
      <w:r w:rsidRPr="00DD0A49">
        <w:rPr>
          <w:sz w:val="18"/>
          <w:szCs w:val="18"/>
        </w:rPr>
        <w:tab/>
      </w:r>
      <w:r w:rsidRPr="00DD0A49">
        <w:rPr>
          <w:sz w:val="18"/>
          <w:szCs w:val="18"/>
        </w:rPr>
        <w:tab/>
        <w:t xml:space="preserve">institutions and bodies.  </w:t>
      </w:r>
    </w:p>
  </w:footnote>
  <w:footnote w:id="4">
    <w:p w14:paraId="17DFEA1E" w14:textId="1630E1FD"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 Regulation (EU) 2018/1999 of the European Parliament and of the Council of 11 December 2018 on </w:t>
      </w:r>
      <w:r w:rsidRPr="00DD0A49">
        <w:rPr>
          <w:szCs w:val="18"/>
        </w:rPr>
        <w:br/>
        <w:t xml:space="preserve">the Governance of the Energy Union and Climate Action, amending Regulations (EC) No 663/2009 </w:t>
      </w:r>
      <w:r w:rsidRPr="00DD0A49">
        <w:rPr>
          <w:szCs w:val="18"/>
        </w:rPr>
        <w:br/>
        <w:t>and (EC) No 715/2009 of the European Parliament and of the Council, Directives 94/22/EC, 98/70/EC,</w:t>
      </w:r>
      <w:r w:rsidR="009D4F89" w:rsidRPr="00DD0A49">
        <w:rPr>
          <w:szCs w:val="18"/>
        </w:rPr>
        <w:t xml:space="preserve"> </w:t>
      </w:r>
      <w:r w:rsidRPr="00DD0A49">
        <w:rPr>
          <w:szCs w:val="18"/>
        </w:rPr>
        <w:t>2009/31/EC, 2009/73/EC, 2010/31/EU, 2012/27/EU and 2013/30/EU of the European Parliament and of the Council, Council Directives 2009/119/EC and (EU) 2015/652 and repealing Regulation (EU) No 525/2013 of the European Parliament and of the Council.</w:t>
      </w:r>
    </w:p>
  </w:footnote>
  <w:footnote w:id="5">
    <w:p w14:paraId="04253AE6" w14:textId="77777777"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Additional information from the communicant of communication ACCC/C/2008/32, 5 March 2019, </w:t>
      </w:r>
      <w:r w:rsidRPr="00DD0A49">
        <w:rPr>
          <w:szCs w:val="18"/>
        </w:rPr>
        <w:br/>
        <w:t>para. 3.</w:t>
      </w:r>
    </w:p>
  </w:footnote>
  <w:footnote w:id="6">
    <w:p w14:paraId="23512D4C" w14:textId="77777777"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 Party’s second progress report (decision V/9g), 28 October 2019, para. 17.</w:t>
      </w:r>
    </w:p>
  </w:footnote>
  <w:footnote w:id="7">
    <w:p w14:paraId="70CF3C1D" w14:textId="0D99EBEC"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Committee’s first progress review, 22 February 2019, para. 20, Committee’s second progress review, 26 February 2020, paras. 26-28. </w:t>
      </w:r>
    </w:p>
  </w:footnote>
  <w:footnote w:id="8">
    <w:p w14:paraId="4BD4EFE9" w14:textId="64FC6651"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See Committee’s second progress review, 26 February 2020, para. 28. </w:t>
      </w:r>
    </w:p>
  </w:footnote>
  <w:footnote w:id="9">
    <w:p w14:paraId="02F3D2E1" w14:textId="41EE2A5C"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See Committee’s second progress review, 26 February 2020, para. 46.</w:t>
      </w:r>
    </w:p>
  </w:footnote>
  <w:footnote w:id="10">
    <w:p w14:paraId="39A63C93" w14:textId="68DBEBB4"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Comments provided by the communicant of communication ACCC/C/2008/32, 28 October 2020, para. 25.</w:t>
      </w:r>
    </w:p>
  </w:footnote>
  <w:footnote w:id="11">
    <w:p w14:paraId="396E9D95" w14:textId="0F4DDCCA"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Comments provided by the communicant of communication ACCC/C/2008/32, 28 October 2020, para. 26.</w:t>
      </w:r>
    </w:p>
  </w:footnote>
  <w:footnote w:id="12">
    <w:p w14:paraId="46C1E939" w14:textId="41706134"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Comments provided by the communicant of communication ACCC/C/2010/54, 26 October 2020, pp. 2-4.</w:t>
      </w:r>
    </w:p>
  </w:footnote>
  <w:footnote w:id="13">
    <w:p w14:paraId="5023DFB2" w14:textId="77777777"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 Party’s second progress report (decision V/9g), 28 October 2019, annex 1, p. 21.</w:t>
      </w:r>
    </w:p>
  </w:footnote>
  <w:footnote w:id="14">
    <w:p w14:paraId="0B499E69" w14:textId="77777777"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 Party’s second progress report (decision V/9g), 28 October 2019, annex 1, p. 16.</w:t>
      </w:r>
    </w:p>
  </w:footnote>
  <w:footnote w:id="15">
    <w:p w14:paraId="224EE775" w14:textId="77777777"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 Party’s second progress report (decision V/9g), 28 October 2019, annex 1, p. 22.</w:t>
      </w:r>
    </w:p>
  </w:footnote>
  <w:footnote w:id="16">
    <w:p w14:paraId="481227A7" w14:textId="77777777"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 Party’s second progress report (decision V/9g), 28 October 2019, annex 1, p. 5.</w:t>
      </w:r>
    </w:p>
  </w:footnote>
  <w:footnote w:id="17">
    <w:p w14:paraId="656270AD" w14:textId="77777777"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 Party’s second progress report (decision V/9g), 28 October 2019, annex 1, p. 47.</w:t>
      </w:r>
    </w:p>
  </w:footnote>
  <w:footnote w:id="18">
    <w:p w14:paraId="30D1602B" w14:textId="77777777"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 Party’s second progress report (decision V/9g), 28 October 2019, para. 20.</w:t>
      </w:r>
    </w:p>
  </w:footnote>
  <w:footnote w:id="19">
    <w:p w14:paraId="5A496643" w14:textId="77777777"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 Committee</w:t>
      </w:r>
      <w:r w:rsidRPr="00DD0A49">
        <w:rPr>
          <w:rFonts w:hint="eastAsia"/>
          <w:szCs w:val="18"/>
        </w:rPr>
        <w:t>’</w:t>
      </w:r>
      <w:r w:rsidRPr="00DD0A49">
        <w:rPr>
          <w:szCs w:val="18"/>
        </w:rPr>
        <w:t>s first progress review, 22 February 2019, para. 36.</w:t>
      </w:r>
    </w:p>
  </w:footnote>
  <w:footnote w:id="20">
    <w:p w14:paraId="4CE4EDE8" w14:textId="77777777"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 Committee</w:t>
      </w:r>
      <w:r w:rsidRPr="00DD0A49">
        <w:rPr>
          <w:rFonts w:hint="eastAsia"/>
          <w:szCs w:val="18"/>
        </w:rPr>
        <w:t>’</w:t>
      </w:r>
      <w:r w:rsidRPr="00DD0A49">
        <w:rPr>
          <w:szCs w:val="18"/>
        </w:rPr>
        <w:t>s first progress review, 22 February 2019, para. 34.</w:t>
      </w:r>
    </w:p>
  </w:footnote>
  <w:footnote w:id="21">
    <w:p w14:paraId="0587C7C2" w14:textId="77777777"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 Party’s second progress report (decision V/9g), 28 October 2019, annex 1, p. 22.</w:t>
      </w:r>
    </w:p>
  </w:footnote>
  <w:footnote w:id="22">
    <w:p w14:paraId="2494D9D8" w14:textId="391BDD24"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Committee’s first progress review on decision V/9g, 13 October 2015, para 12, Committee’s second progress review on decision V/9g, 23 February 2017, para. 55, ECE/</w:t>
      </w:r>
      <w:proofErr w:type="gramStart"/>
      <w:r w:rsidRPr="00DD0A49">
        <w:rPr>
          <w:szCs w:val="18"/>
        </w:rPr>
        <w:t>MP.PP</w:t>
      </w:r>
      <w:proofErr w:type="gramEnd"/>
      <w:r w:rsidRPr="00DD0A49">
        <w:rPr>
          <w:szCs w:val="18"/>
        </w:rPr>
        <w:t>/2017/39, para. 20, Committee’s first progress review, 22 February 2019, para. 15, Committee’s advice, 28 May 2019, para. 29, and Committee’s second progress review, 26 February 2020, para. 47.</w:t>
      </w:r>
    </w:p>
  </w:footnote>
  <w:footnote w:id="23">
    <w:p w14:paraId="0363BBA9" w14:textId="6D322E23" w:rsidR="005F25ED" w:rsidRPr="00DD0A49" w:rsidRDefault="005F25ED" w:rsidP="009D4F89">
      <w:pPr>
        <w:pStyle w:val="FootnoteText"/>
        <w:ind w:firstLine="0"/>
        <w:rPr>
          <w:b/>
          <w:bCs/>
          <w:szCs w:val="18"/>
          <w:lang w:val="en-US"/>
        </w:rPr>
      </w:pPr>
      <w:r w:rsidRPr="00DD0A49">
        <w:rPr>
          <w:rStyle w:val="FootnoteReference"/>
          <w:szCs w:val="18"/>
        </w:rPr>
        <w:footnoteRef/>
      </w:r>
      <w:r w:rsidRPr="00DD0A49">
        <w:rPr>
          <w:szCs w:val="18"/>
        </w:rPr>
        <w:t xml:space="preserve"> Party’s final progress report (decision V/9g), para. 34 and footnote 3.</w:t>
      </w:r>
    </w:p>
  </w:footnote>
  <w:footnote w:id="24">
    <w:p w14:paraId="0EDF7E41" w14:textId="2B258FD0" w:rsidR="005F25ED" w:rsidRPr="00DD0A49" w:rsidRDefault="005F25ED" w:rsidP="009D4F89">
      <w:pPr>
        <w:pStyle w:val="FootnoteText"/>
        <w:ind w:firstLine="0"/>
        <w:rPr>
          <w:szCs w:val="18"/>
          <w:lang w:val="en-US"/>
        </w:rPr>
      </w:pPr>
      <w:r w:rsidRPr="00DD0A49">
        <w:rPr>
          <w:rStyle w:val="FootnoteReference"/>
          <w:szCs w:val="18"/>
        </w:rPr>
        <w:footnoteRef/>
      </w:r>
      <w:r w:rsidRPr="00DD0A49">
        <w:rPr>
          <w:szCs w:val="18"/>
        </w:rPr>
        <w:t xml:space="preserve"> </w:t>
      </w:r>
      <w:r w:rsidRPr="00DD0A49">
        <w:rPr>
          <w:szCs w:val="18"/>
          <w:lang w:val="en-US"/>
        </w:rPr>
        <w:t>Communication, 18 June 2019, p. 21.</w:t>
      </w:r>
    </w:p>
  </w:footnote>
  <w:footnote w:id="25">
    <w:p w14:paraId="6660C9EF" w14:textId="77777777" w:rsidR="005F25ED" w:rsidRPr="00DD0A49" w:rsidRDefault="005F25ED" w:rsidP="009D4F89">
      <w:pPr>
        <w:pStyle w:val="FootnoteText"/>
        <w:ind w:firstLine="0"/>
        <w:rPr>
          <w:b/>
          <w:bCs/>
          <w:szCs w:val="18"/>
          <w:lang w:val="en-US"/>
        </w:rPr>
      </w:pPr>
      <w:r w:rsidRPr="00DD0A49">
        <w:rPr>
          <w:rStyle w:val="FootnoteReference"/>
          <w:szCs w:val="18"/>
        </w:rPr>
        <w:footnoteRef/>
      </w:r>
      <w:r w:rsidRPr="00DD0A49">
        <w:rPr>
          <w:szCs w:val="18"/>
        </w:rPr>
        <w:t xml:space="preserve"> Party’s final progress report (decision V/9g), para. 34 and footnote 3.</w:t>
      </w:r>
    </w:p>
  </w:footnote>
  <w:footnote w:id="26">
    <w:p w14:paraId="10004533" w14:textId="7CFF8AE9"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Party’s final progress report (decision V/9g), paras. 41-42.</w:t>
      </w:r>
    </w:p>
  </w:footnote>
  <w:footnote w:id="27">
    <w:p w14:paraId="7B48132D" w14:textId="743B17B4"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Committee’s second progress review, para. 62.</w:t>
      </w:r>
    </w:p>
  </w:footnote>
  <w:footnote w:id="28">
    <w:p w14:paraId="0B7F1FE8" w14:textId="1A094802"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Committee’s second progress review, para. 63.</w:t>
      </w:r>
    </w:p>
  </w:footnote>
  <w:footnote w:id="29">
    <w:p w14:paraId="6DF2B168" w14:textId="711C32B1"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Committee’s second progress review, paras. 67 and 79.</w:t>
      </w:r>
    </w:p>
  </w:footnote>
  <w:footnote w:id="30">
    <w:p w14:paraId="02527184" w14:textId="61D19275"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Party’s final progress report (decision V/9g), paras. 43-44.</w:t>
      </w:r>
    </w:p>
  </w:footnote>
  <w:footnote w:id="31">
    <w:p w14:paraId="138EEA89" w14:textId="72810EDE"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Party’s final progress report (decision V/9g), para. 45.</w:t>
      </w:r>
    </w:p>
  </w:footnote>
  <w:footnote w:id="32">
    <w:p w14:paraId="7736D890" w14:textId="77FDC31D"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Additional information provided by the Party concerned, 25 June 2021, p. 1.</w:t>
      </w:r>
    </w:p>
  </w:footnote>
  <w:footnote w:id="33">
    <w:p w14:paraId="74C1E4FC" w14:textId="0F50DC45" w:rsidR="005F25ED" w:rsidRPr="00DD0A49" w:rsidRDefault="005F25ED" w:rsidP="009D4F89">
      <w:pPr>
        <w:pStyle w:val="FootnoteText"/>
        <w:ind w:firstLine="0"/>
        <w:rPr>
          <w:szCs w:val="18"/>
        </w:rPr>
      </w:pPr>
      <w:r w:rsidRPr="00DD0A49">
        <w:rPr>
          <w:rStyle w:val="FootnoteReference"/>
          <w:szCs w:val="18"/>
        </w:rPr>
        <w:footnoteRef/>
      </w:r>
      <w:r w:rsidRPr="00DD0A49">
        <w:rPr>
          <w:szCs w:val="18"/>
        </w:rPr>
        <w:t xml:space="preserve"> Additional information provided by the Party concerned, 25 June 2021, p. 1.</w:t>
      </w:r>
    </w:p>
  </w:footnote>
  <w:footnote w:id="34">
    <w:p w14:paraId="57B9B01C" w14:textId="2C1F030F"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Comments provided by the communicant of communication ACCC/C/2008/32, 28 October 2020, paras. 30-31.</w:t>
      </w:r>
    </w:p>
  </w:footnote>
  <w:footnote w:id="35">
    <w:p w14:paraId="2069B9DD" w14:textId="3CC50E92"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Comments provided by the communicant of communication ACCC/C/2008/32, 28 October 2020, paras. 32-33.</w:t>
      </w:r>
    </w:p>
  </w:footnote>
  <w:footnote w:id="36">
    <w:p w14:paraId="4747703D" w14:textId="42BDF62D"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Comments provided by the communicant of communication ACCC/C/2008/32, 28 October 2020, paras. 34-35.</w:t>
      </w:r>
    </w:p>
  </w:footnote>
  <w:footnote w:id="37">
    <w:p w14:paraId="49BBCAD9" w14:textId="0C9A01E1"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Comments provided by the communicant of communication ACCC/C/2008/32, 28 October 2020, para. 36.</w:t>
      </w:r>
    </w:p>
  </w:footnote>
  <w:footnote w:id="38">
    <w:p w14:paraId="56171EE2" w14:textId="0B46CCF0"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Comments provided by the communicant of communication ACCC/C/2008/32, 28 October 2020, para. 37.</w:t>
      </w:r>
    </w:p>
  </w:footnote>
  <w:footnote w:id="39">
    <w:p w14:paraId="24D15CC5" w14:textId="09956A2C"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Comments provided by the communicant of communication ACCC/C/2008/32, 28 October 2020, para. 38.</w:t>
      </w:r>
    </w:p>
  </w:footnote>
  <w:footnote w:id="40">
    <w:p w14:paraId="2B643AAB" w14:textId="4416D973"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Comments provided by the communicant of communication ACCC/C/2010/54, 26 October 2020, p. 7.</w:t>
      </w:r>
    </w:p>
  </w:footnote>
  <w:footnote w:id="41">
    <w:p w14:paraId="45DB3848" w14:textId="3BA0E4D9"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Comments provided by the communicant of communication ACCC/C/2010/54, 26 October 2020, p. 5.</w:t>
      </w:r>
    </w:p>
  </w:footnote>
  <w:footnote w:id="42">
    <w:p w14:paraId="27469363" w14:textId="26782B08"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Committee’s second progress review, paras. 67 and 79.</w:t>
      </w:r>
    </w:p>
  </w:footnote>
  <w:footnote w:id="43">
    <w:p w14:paraId="3E4AAE56" w14:textId="6B178F58" w:rsidR="0099551A" w:rsidRPr="00DD0A49" w:rsidRDefault="0099551A"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Committee’s second progress review, para. 66, ECE/</w:t>
      </w:r>
      <w:proofErr w:type="gramStart"/>
      <w:r w:rsidRPr="00DD0A49">
        <w:rPr>
          <w:szCs w:val="18"/>
        </w:rPr>
        <w:t>MP.PP</w:t>
      </w:r>
      <w:proofErr w:type="gramEnd"/>
      <w:r w:rsidRPr="00DD0A49">
        <w:rPr>
          <w:szCs w:val="18"/>
        </w:rPr>
        <w:t xml:space="preserve">/2017/39, para. 38.  </w:t>
      </w:r>
    </w:p>
  </w:footnote>
  <w:footnote w:id="44">
    <w:p w14:paraId="2AFE5DC9" w14:textId="01E32114" w:rsidR="005F25ED" w:rsidRPr="00DD0A49" w:rsidRDefault="005F25ED" w:rsidP="009D4F89">
      <w:pPr>
        <w:pStyle w:val="FootnoteText"/>
        <w:ind w:firstLine="0"/>
        <w:rPr>
          <w:szCs w:val="18"/>
          <w:lang w:val="en-US"/>
        </w:rPr>
      </w:pPr>
      <w:r w:rsidRPr="00DD0A49">
        <w:rPr>
          <w:szCs w:val="18"/>
        </w:rPr>
        <w:tab/>
      </w:r>
      <w:r w:rsidRPr="00DD0A49">
        <w:rPr>
          <w:rStyle w:val="FootnoteReference"/>
          <w:szCs w:val="18"/>
        </w:rPr>
        <w:footnoteRef/>
      </w:r>
      <w:r w:rsidRPr="00DD0A49">
        <w:rPr>
          <w:szCs w:val="18"/>
        </w:rPr>
        <w:t xml:space="preserve"> Email from Party concerned, 14 October 2020, and annex 1.</w:t>
      </w:r>
    </w:p>
  </w:footnote>
  <w:footnote w:id="45">
    <w:p w14:paraId="31A2BC7F" w14:textId="0178A45B" w:rsidR="005F25ED" w:rsidRPr="00DD0A49" w:rsidRDefault="005F25ED" w:rsidP="009D4F89">
      <w:pPr>
        <w:pStyle w:val="FootnoteText"/>
        <w:ind w:firstLine="0"/>
        <w:rPr>
          <w:szCs w:val="18"/>
          <w:lang w:val="en-US"/>
        </w:rPr>
      </w:pPr>
      <w:r w:rsidRPr="00DD0A49">
        <w:rPr>
          <w:szCs w:val="18"/>
        </w:rPr>
        <w:tab/>
      </w:r>
      <w:r w:rsidRPr="00DD0A49">
        <w:rPr>
          <w:rStyle w:val="FootnoteReference"/>
          <w:szCs w:val="18"/>
        </w:rPr>
        <w:footnoteRef/>
      </w:r>
      <w:r w:rsidRPr="00DD0A49">
        <w:rPr>
          <w:szCs w:val="18"/>
        </w:rPr>
        <w:t xml:space="preserve"> Party’s request for advice, 5 November 2020.</w:t>
      </w:r>
    </w:p>
  </w:footnote>
  <w:footnote w:id="46">
    <w:p w14:paraId="0C8C480D" w14:textId="0C45F15C"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Advice by the Aarhus Convention Compliance Committee to the European Union concerning the implementation of request ACCC/M/2017/3, 12 February 2021, para. 71.</w:t>
      </w:r>
    </w:p>
  </w:footnote>
  <w:footnote w:id="47">
    <w:p w14:paraId="26B53F6F" w14:textId="724906AB"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Advice by the Aarhus Convention Compliance Committee to the European Union concerning the implementation of request ACCC/M/2017/3, 12 February 2021, para. 71.</w:t>
      </w:r>
    </w:p>
  </w:footnote>
  <w:footnote w:id="48">
    <w:p w14:paraId="796A4F08" w14:textId="7691BA4C" w:rsidR="005F25ED" w:rsidRPr="00DD0A49" w:rsidRDefault="005F25ED" w:rsidP="009D4F89">
      <w:pPr>
        <w:pStyle w:val="FootnoteText"/>
        <w:ind w:firstLine="0"/>
        <w:rPr>
          <w:szCs w:val="18"/>
        </w:rPr>
      </w:pPr>
      <w:r w:rsidRPr="00DD0A49">
        <w:rPr>
          <w:szCs w:val="18"/>
        </w:rPr>
        <w:tab/>
      </w:r>
      <w:r w:rsidRPr="00DD0A49">
        <w:rPr>
          <w:rStyle w:val="FootnoteReference"/>
          <w:szCs w:val="18"/>
        </w:rPr>
        <w:footnoteRef/>
      </w:r>
      <w:r w:rsidRPr="00DD0A49">
        <w:rPr>
          <w:szCs w:val="18"/>
        </w:rPr>
        <w:t xml:space="preserve"> Additional information provided by the Party concerned, 25 June 2021,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4CD9" w14:textId="1641B0C4" w:rsidR="005F25ED" w:rsidRPr="0042121A" w:rsidRDefault="005F25ED">
    <w:pPr>
      <w:pStyle w:val="Header"/>
    </w:pPr>
    <w:r>
      <w:t>ECE/</w:t>
    </w:r>
    <w:proofErr w:type="gramStart"/>
    <w:r>
      <w:t>MP.PP</w:t>
    </w:r>
    <w:proofErr w:type="gramEnd"/>
    <w:r>
      <w:t>/2021/XX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4CDA" w14:textId="391D06C0" w:rsidR="005F25ED" w:rsidRPr="0042121A" w:rsidRDefault="005F25ED" w:rsidP="0042121A">
    <w:pPr>
      <w:pStyle w:val="Header"/>
      <w:jc w:val="right"/>
    </w:pPr>
    <w:r>
      <w:t>ECE/</w:t>
    </w:r>
    <w:proofErr w:type="gramStart"/>
    <w:r>
      <w:t>MP.PP</w:t>
    </w:r>
    <w:proofErr w:type="gramEnd"/>
    <w:r>
      <w:t>/2021/XX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E483B"/>
    <w:multiLevelType w:val="hybridMultilevel"/>
    <w:tmpl w:val="C36A6F74"/>
    <w:lvl w:ilvl="0" w:tplc="9DCC349A">
      <w:start w:val="1"/>
      <w:numFmt w:val="decimal"/>
      <w:pStyle w:val="NumberedParas"/>
      <w:lvlText w:val="%1."/>
      <w:lvlJc w:val="left"/>
      <w:pPr>
        <w:ind w:left="720" w:hanging="360"/>
      </w:pPr>
    </w:lvl>
    <w:lvl w:ilvl="1" w:tplc="19E0E62C">
      <w:start w:val="1"/>
      <w:numFmt w:val="lowerLetter"/>
      <w:lvlText w:val="(%2)"/>
      <w:lvlJc w:val="left"/>
      <w:pPr>
        <w:ind w:left="1440" w:firstLine="261"/>
      </w:pPr>
      <w:rPr>
        <w:rFonts w:ascii="Times New Roman" w:eastAsia="Calibri" w:hAnsi="Times New Roman"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5A58B9"/>
    <w:multiLevelType w:val="hybridMultilevel"/>
    <w:tmpl w:val="D3089BE0"/>
    <w:lvl w:ilvl="0" w:tplc="6A84DE44">
      <w:start w:val="1"/>
      <w:numFmt w:val="decimal"/>
      <w:lvlText w:val="%1."/>
      <w:lvlJc w:val="left"/>
      <w:pPr>
        <w:ind w:left="1495" w:hanging="360"/>
      </w:pPr>
      <w:rPr>
        <w:rFonts w:hint="default"/>
        <w:i w:val="0"/>
        <w:iCs w:val="0"/>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7B28EE"/>
    <w:multiLevelType w:val="hybridMultilevel"/>
    <w:tmpl w:val="D2A6A91A"/>
    <w:lvl w:ilvl="0" w:tplc="13AAD506">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97228C9"/>
    <w:multiLevelType w:val="multilevel"/>
    <w:tmpl w:val="D2C2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E6502"/>
    <w:multiLevelType w:val="hybridMultilevel"/>
    <w:tmpl w:val="EC96ED94"/>
    <w:lvl w:ilvl="0" w:tplc="C45EEFB0">
      <w:start w:val="1"/>
      <w:numFmt w:val="lowerLetter"/>
      <w:lvlText w:val="(%1)"/>
      <w:lvlJc w:val="left"/>
      <w:pPr>
        <w:ind w:left="2054" w:hanging="360"/>
      </w:pPr>
      <w:rPr>
        <w:rFonts w:hint="default"/>
      </w:rPr>
    </w:lvl>
    <w:lvl w:ilvl="1" w:tplc="08090019" w:tentative="1">
      <w:start w:val="1"/>
      <w:numFmt w:val="lowerLetter"/>
      <w:lvlText w:val="%2."/>
      <w:lvlJc w:val="left"/>
      <w:pPr>
        <w:ind w:left="2774" w:hanging="360"/>
      </w:pPr>
    </w:lvl>
    <w:lvl w:ilvl="2" w:tplc="0809001B" w:tentative="1">
      <w:start w:val="1"/>
      <w:numFmt w:val="lowerRoman"/>
      <w:lvlText w:val="%3."/>
      <w:lvlJc w:val="right"/>
      <w:pPr>
        <w:ind w:left="3494" w:hanging="180"/>
      </w:pPr>
    </w:lvl>
    <w:lvl w:ilvl="3" w:tplc="0809000F" w:tentative="1">
      <w:start w:val="1"/>
      <w:numFmt w:val="decimal"/>
      <w:lvlText w:val="%4."/>
      <w:lvlJc w:val="left"/>
      <w:pPr>
        <w:ind w:left="4214" w:hanging="360"/>
      </w:pPr>
    </w:lvl>
    <w:lvl w:ilvl="4" w:tplc="08090019" w:tentative="1">
      <w:start w:val="1"/>
      <w:numFmt w:val="lowerLetter"/>
      <w:lvlText w:val="%5."/>
      <w:lvlJc w:val="left"/>
      <w:pPr>
        <w:ind w:left="4934" w:hanging="360"/>
      </w:pPr>
    </w:lvl>
    <w:lvl w:ilvl="5" w:tplc="0809001B" w:tentative="1">
      <w:start w:val="1"/>
      <w:numFmt w:val="lowerRoman"/>
      <w:lvlText w:val="%6."/>
      <w:lvlJc w:val="right"/>
      <w:pPr>
        <w:ind w:left="5654" w:hanging="180"/>
      </w:pPr>
    </w:lvl>
    <w:lvl w:ilvl="6" w:tplc="0809000F" w:tentative="1">
      <w:start w:val="1"/>
      <w:numFmt w:val="decimal"/>
      <w:lvlText w:val="%7."/>
      <w:lvlJc w:val="left"/>
      <w:pPr>
        <w:ind w:left="6374" w:hanging="360"/>
      </w:pPr>
    </w:lvl>
    <w:lvl w:ilvl="7" w:tplc="08090019" w:tentative="1">
      <w:start w:val="1"/>
      <w:numFmt w:val="lowerLetter"/>
      <w:lvlText w:val="%8."/>
      <w:lvlJc w:val="left"/>
      <w:pPr>
        <w:ind w:left="7094" w:hanging="360"/>
      </w:pPr>
    </w:lvl>
    <w:lvl w:ilvl="8" w:tplc="0809001B" w:tentative="1">
      <w:start w:val="1"/>
      <w:numFmt w:val="lowerRoman"/>
      <w:lvlText w:val="%9."/>
      <w:lvlJc w:val="right"/>
      <w:pPr>
        <w:ind w:left="781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52E50"/>
    <w:multiLevelType w:val="hybridMultilevel"/>
    <w:tmpl w:val="07DA8200"/>
    <w:lvl w:ilvl="0" w:tplc="E13C77B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3" w15:restartNumberingAfterBreak="0">
    <w:nsid w:val="745A6A66"/>
    <w:multiLevelType w:val="hybridMultilevel"/>
    <w:tmpl w:val="4920D2C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7F2D98"/>
    <w:multiLevelType w:val="multilevel"/>
    <w:tmpl w:val="DCE4C118"/>
    <w:lvl w:ilvl="0">
      <w:start w:val="1"/>
      <w:numFmt w:val="decimal"/>
      <w:lvlText w:val="%1."/>
      <w:lvlJc w:val="left"/>
      <w:pPr>
        <w:ind w:left="2697" w:hanging="570"/>
      </w:pPr>
      <w:rPr>
        <w:rFonts w:hint="default"/>
        <w:b w:val="0"/>
        <w:i w:val="0"/>
      </w:rPr>
    </w:lvl>
    <w:lvl w:ilvl="1">
      <w:start w:val="1"/>
      <w:numFmt w:val="lowerLetter"/>
      <w:lvlText w:val="%2."/>
      <w:lvlJc w:val="left"/>
      <w:pPr>
        <w:ind w:left="2781" w:hanging="360"/>
      </w:pPr>
    </w:lvl>
    <w:lvl w:ilvl="2">
      <w:start w:val="1"/>
      <w:numFmt w:val="lowerLetter"/>
      <w:lvlText w:val="(%3)"/>
      <w:lvlJc w:val="left"/>
      <w:pPr>
        <w:ind w:left="3681" w:hanging="360"/>
      </w:pPr>
      <w:rPr>
        <w:rFonts w:hint="default"/>
      </w:r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1"/>
  </w:num>
  <w:num w:numId="15">
    <w:abstractNumId w:val="17"/>
  </w:num>
  <w:num w:numId="16">
    <w:abstractNumId w:val="12"/>
  </w:num>
  <w:num w:numId="17">
    <w:abstractNumId w:val="21"/>
  </w:num>
  <w:num w:numId="18">
    <w:abstractNumId w:val="24"/>
  </w:num>
  <w:num w:numId="19">
    <w:abstractNumId w:val="15"/>
  </w:num>
  <w:num w:numId="20">
    <w:abstractNumId w:val="25"/>
  </w:num>
  <w:num w:numId="21">
    <w:abstractNumId w:val="18"/>
  </w:num>
  <w:num w:numId="22">
    <w:abstractNumId w:val="14"/>
  </w:num>
  <w:num w:numId="23">
    <w:abstractNumId w:val="20"/>
  </w:num>
  <w:num w:numId="24">
    <w:abstractNumId w:val="22"/>
  </w:num>
  <w:num w:numId="25">
    <w:abstractNumId w:val="19"/>
  </w:num>
  <w:num w:numId="2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ar-SA"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1A"/>
    <w:rsid w:val="00002A7D"/>
    <w:rsid w:val="00002DF2"/>
    <w:rsid w:val="00002FC4"/>
    <w:rsid w:val="000038A8"/>
    <w:rsid w:val="00006790"/>
    <w:rsid w:val="00015462"/>
    <w:rsid w:val="00024C30"/>
    <w:rsid w:val="00027624"/>
    <w:rsid w:val="00041310"/>
    <w:rsid w:val="00047B3C"/>
    <w:rsid w:val="00050F6B"/>
    <w:rsid w:val="00051533"/>
    <w:rsid w:val="00053A17"/>
    <w:rsid w:val="000557CA"/>
    <w:rsid w:val="000678CD"/>
    <w:rsid w:val="00072C8C"/>
    <w:rsid w:val="00076310"/>
    <w:rsid w:val="00080874"/>
    <w:rsid w:val="00081CE0"/>
    <w:rsid w:val="00082007"/>
    <w:rsid w:val="00084D30"/>
    <w:rsid w:val="00090320"/>
    <w:rsid w:val="000931C0"/>
    <w:rsid w:val="000944C7"/>
    <w:rsid w:val="00097161"/>
    <w:rsid w:val="000A2E09"/>
    <w:rsid w:val="000A4690"/>
    <w:rsid w:val="000B175B"/>
    <w:rsid w:val="000B3A0F"/>
    <w:rsid w:val="000D1C01"/>
    <w:rsid w:val="000D5177"/>
    <w:rsid w:val="000E0415"/>
    <w:rsid w:val="000E32E6"/>
    <w:rsid w:val="000E540E"/>
    <w:rsid w:val="000F486A"/>
    <w:rsid w:val="000F513C"/>
    <w:rsid w:val="000F7715"/>
    <w:rsid w:val="00102BF2"/>
    <w:rsid w:val="0011174D"/>
    <w:rsid w:val="0011543D"/>
    <w:rsid w:val="0012024A"/>
    <w:rsid w:val="00130B24"/>
    <w:rsid w:val="00134039"/>
    <w:rsid w:val="00146D8B"/>
    <w:rsid w:val="00156B99"/>
    <w:rsid w:val="001641FF"/>
    <w:rsid w:val="00166124"/>
    <w:rsid w:val="00171CBA"/>
    <w:rsid w:val="00173AD2"/>
    <w:rsid w:val="00184AF5"/>
    <w:rsid w:val="00184DDA"/>
    <w:rsid w:val="0018621D"/>
    <w:rsid w:val="001900CD"/>
    <w:rsid w:val="001A0452"/>
    <w:rsid w:val="001A33D6"/>
    <w:rsid w:val="001A4337"/>
    <w:rsid w:val="001A5FD9"/>
    <w:rsid w:val="001A6B47"/>
    <w:rsid w:val="001B4B04"/>
    <w:rsid w:val="001B5875"/>
    <w:rsid w:val="001C1C11"/>
    <w:rsid w:val="001C4972"/>
    <w:rsid w:val="001C4B9C"/>
    <w:rsid w:val="001C59A9"/>
    <w:rsid w:val="001C6663"/>
    <w:rsid w:val="001C7895"/>
    <w:rsid w:val="001D26DF"/>
    <w:rsid w:val="001E0BCE"/>
    <w:rsid w:val="001E577B"/>
    <w:rsid w:val="001F08A7"/>
    <w:rsid w:val="001F1599"/>
    <w:rsid w:val="001F19C4"/>
    <w:rsid w:val="001F1E82"/>
    <w:rsid w:val="001F6D94"/>
    <w:rsid w:val="001F78A3"/>
    <w:rsid w:val="0020072A"/>
    <w:rsid w:val="002013C9"/>
    <w:rsid w:val="002043F0"/>
    <w:rsid w:val="00207021"/>
    <w:rsid w:val="002074A2"/>
    <w:rsid w:val="00207919"/>
    <w:rsid w:val="00211E0B"/>
    <w:rsid w:val="0021373B"/>
    <w:rsid w:val="002237B0"/>
    <w:rsid w:val="00232575"/>
    <w:rsid w:val="00240463"/>
    <w:rsid w:val="0024203A"/>
    <w:rsid w:val="00247258"/>
    <w:rsid w:val="00247491"/>
    <w:rsid w:val="00257CAC"/>
    <w:rsid w:val="0026190A"/>
    <w:rsid w:val="0026309A"/>
    <w:rsid w:val="00264679"/>
    <w:rsid w:val="0027237A"/>
    <w:rsid w:val="002874C1"/>
    <w:rsid w:val="002923E0"/>
    <w:rsid w:val="0029490D"/>
    <w:rsid w:val="002974E9"/>
    <w:rsid w:val="002A6F97"/>
    <w:rsid w:val="002A7F94"/>
    <w:rsid w:val="002B109A"/>
    <w:rsid w:val="002B5228"/>
    <w:rsid w:val="002C6D45"/>
    <w:rsid w:val="002D0691"/>
    <w:rsid w:val="002D6E53"/>
    <w:rsid w:val="002F046D"/>
    <w:rsid w:val="002F23E6"/>
    <w:rsid w:val="002F37E6"/>
    <w:rsid w:val="002F453C"/>
    <w:rsid w:val="002F6BC5"/>
    <w:rsid w:val="00301764"/>
    <w:rsid w:val="0030263D"/>
    <w:rsid w:val="0030613A"/>
    <w:rsid w:val="003119F3"/>
    <w:rsid w:val="00314B18"/>
    <w:rsid w:val="00320347"/>
    <w:rsid w:val="00321C32"/>
    <w:rsid w:val="003229D8"/>
    <w:rsid w:val="003249BB"/>
    <w:rsid w:val="0032701E"/>
    <w:rsid w:val="00331610"/>
    <w:rsid w:val="00336C97"/>
    <w:rsid w:val="00337F88"/>
    <w:rsid w:val="00340D5D"/>
    <w:rsid w:val="00342432"/>
    <w:rsid w:val="00345EE8"/>
    <w:rsid w:val="0035223F"/>
    <w:rsid w:val="00352D4B"/>
    <w:rsid w:val="0035638C"/>
    <w:rsid w:val="003569A7"/>
    <w:rsid w:val="00360715"/>
    <w:rsid w:val="003648C4"/>
    <w:rsid w:val="00365611"/>
    <w:rsid w:val="003672C4"/>
    <w:rsid w:val="00371EA4"/>
    <w:rsid w:val="003A2E16"/>
    <w:rsid w:val="003A46BB"/>
    <w:rsid w:val="003A4EC7"/>
    <w:rsid w:val="003A7295"/>
    <w:rsid w:val="003B1F60"/>
    <w:rsid w:val="003B328B"/>
    <w:rsid w:val="003B737E"/>
    <w:rsid w:val="003B73C3"/>
    <w:rsid w:val="003C2CC4"/>
    <w:rsid w:val="003C35C4"/>
    <w:rsid w:val="003C4110"/>
    <w:rsid w:val="003D4B23"/>
    <w:rsid w:val="003E048A"/>
    <w:rsid w:val="003E278A"/>
    <w:rsid w:val="003E6E5F"/>
    <w:rsid w:val="00410444"/>
    <w:rsid w:val="00413520"/>
    <w:rsid w:val="00415C2E"/>
    <w:rsid w:val="0042121A"/>
    <w:rsid w:val="00421E2D"/>
    <w:rsid w:val="004325CB"/>
    <w:rsid w:val="00440A07"/>
    <w:rsid w:val="00441B20"/>
    <w:rsid w:val="00443C37"/>
    <w:rsid w:val="00445C68"/>
    <w:rsid w:val="00445C8E"/>
    <w:rsid w:val="00446212"/>
    <w:rsid w:val="004615DB"/>
    <w:rsid w:val="00462880"/>
    <w:rsid w:val="00476F24"/>
    <w:rsid w:val="00494CF4"/>
    <w:rsid w:val="004A654F"/>
    <w:rsid w:val="004B5CF8"/>
    <w:rsid w:val="004C34C0"/>
    <w:rsid w:val="004C3996"/>
    <w:rsid w:val="004C55B0"/>
    <w:rsid w:val="004E6D38"/>
    <w:rsid w:val="004F3168"/>
    <w:rsid w:val="004F6BA0"/>
    <w:rsid w:val="00503BEA"/>
    <w:rsid w:val="005060C9"/>
    <w:rsid w:val="005073D1"/>
    <w:rsid w:val="00511975"/>
    <w:rsid w:val="00511A68"/>
    <w:rsid w:val="00515CF1"/>
    <w:rsid w:val="005161BD"/>
    <w:rsid w:val="0052092B"/>
    <w:rsid w:val="005255FE"/>
    <w:rsid w:val="005260A1"/>
    <w:rsid w:val="00526CA5"/>
    <w:rsid w:val="0052796B"/>
    <w:rsid w:val="005324C6"/>
    <w:rsid w:val="00533616"/>
    <w:rsid w:val="00535ABA"/>
    <w:rsid w:val="00535D1C"/>
    <w:rsid w:val="005372DF"/>
    <w:rsid w:val="0053768B"/>
    <w:rsid w:val="00540403"/>
    <w:rsid w:val="005420F2"/>
    <w:rsid w:val="0054285C"/>
    <w:rsid w:val="00547E14"/>
    <w:rsid w:val="00561447"/>
    <w:rsid w:val="0056311E"/>
    <w:rsid w:val="00566C62"/>
    <w:rsid w:val="00584173"/>
    <w:rsid w:val="00595520"/>
    <w:rsid w:val="005A44B9"/>
    <w:rsid w:val="005A73DA"/>
    <w:rsid w:val="005B17FF"/>
    <w:rsid w:val="005B1BA0"/>
    <w:rsid w:val="005B3DB3"/>
    <w:rsid w:val="005C2B7E"/>
    <w:rsid w:val="005C3E71"/>
    <w:rsid w:val="005D15CA"/>
    <w:rsid w:val="005E79E7"/>
    <w:rsid w:val="005F1B3D"/>
    <w:rsid w:val="005F22C4"/>
    <w:rsid w:val="005F25ED"/>
    <w:rsid w:val="005F3066"/>
    <w:rsid w:val="005F30C7"/>
    <w:rsid w:val="005F3E61"/>
    <w:rsid w:val="00601899"/>
    <w:rsid w:val="00604DDD"/>
    <w:rsid w:val="00606612"/>
    <w:rsid w:val="006115CC"/>
    <w:rsid w:val="00611FC4"/>
    <w:rsid w:val="00615EBF"/>
    <w:rsid w:val="006176FB"/>
    <w:rsid w:val="00630FCB"/>
    <w:rsid w:val="00640B26"/>
    <w:rsid w:val="006440D1"/>
    <w:rsid w:val="0065276E"/>
    <w:rsid w:val="00666EB5"/>
    <w:rsid w:val="00674E72"/>
    <w:rsid w:val="006770B2"/>
    <w:rsid w:val="00682B6C"/>
    <w:rsid w:val="00691302"/>
    <w:rsid w:val="00692144"/>
    <w:rsid w:val="006940E1"/>
    <w:rsid w:val="00694C6F"/>
    <w:rsid w:val="00695140"/>
    <w:rsid w:val="006A3C72"/>
    <w:rsid w:val="006A3CEA"/>
    <w:rsid w:val="006A7392"/>
    <w:rsid w:val="006B03A1"/>
    <w:rsid w:val="006B67D9"/>
    <w:rsid w:val="006C5535"/>
    <w:rsid w:val="006D032A"/>
    <w:rsid w:val="006D03D1"/>
    <w:rsid w:val="006D0589"/>
    <w:rsid w:val="006D2444"/>
    <w:rsid w:val="006D2870"/>
    <w:rsid w:val="006D44AD"/>
    <w:rsid w:val="006E347D"/>
    <w:rsid w:val="006E389C"/>
    <w:rsid w:val="006E4770"/>
    <w:rsid w:val="006E564B"/>
    <w:rsid w:val="006E6C2C"/>
    <w:rsid w:val="006E7154"/>
    <w:rsid w:val="006F78F6"/>
    <w:rsid w:val="006F796A"/>
    <w:rsid w:val="007003CD"/>
    <w:rsid w:val="0070668E"/>
    <w:rsid w:val="0070701E"/>
    <w:rsid w:val="007113C1"/>
    <w:rsid w:val="0071714E"/>
    <w:rsid w:val="00721545"/>
    <w:rsid w:val="0072524B"/>
    <w:rsid w:val="0072632A"/>
    <w:rsid w:val="007358E8"/>
    <w:rsid w:val="00736ECE"/>
    <w:rsid w:val="00740499"/>
    <w:rsid w:val="0074533B"/>
    <w:rsid w:val="00746B54"/>
    <w:rsid w:val="00746E4B"/>
    <w:rsid w:val="00750FA9"/>
    <w:rsid w:val="00754C7E"/>
    <w:rsid w:val="007620A3"/>
    <w:rsid w:val="007643BC"/>
    <w:rsid w:val="00766F7F"/>
    <w:rsid w:val="0076704C"/>
    <w:rsid w:val="00790143"/>
    <w:rsid w:val="007959FE"/>
    <w:rsid w:val="007A0CF1"/>
    <w:rsid w:val="007A12D6"/>
    <w:rsid w:val="007A1BFD"/>
    <w:rsid w:val="007A2DB6"/>
    <w:rsid w:val="007A326F"/>
    <w:rsid w:val="007A5276"/>
    <w:rsid w:val="007B6BA5"/>
    <w:rsid w:val="007C3390"/>
    <w:rsid w:val="007C42D8"/>
    <w:rsid w:val="007C4F4B"/>
    <w:rsid w:val="007C7DCC"/>
    <w:rsid w:val="007D2AB8"/>
    <w:rsid w:val="007D2DF3"/>
    <w:rsid w:val="007D7362"/>
    <w:rsid w:val="007E6AD7"/>
    <w:rsid w:val="007E7E29"/>
    <w:rsid w:val="007F5CE2"/>
    <w:rsid w:val="007F6611"/>
    <w:rsid w:val="00800710"/>
    <w:rsid w:val="008052AD"/>
    <w:rsid w:val="00810BAC"/>
    <w:rsid w:val="00812AFF"/>
    <w:rsid w:val="008175E9"/>
    <w:rsid w:val="008242D7"/>
    <w:rsid w:val="00824AB3"/>
    <w:rsid w:val="0082577B"/>
    <w:rsid w:val="00830AFD"/>
    <w:rsid w:val="00835183"/>
    <w:rsid w:val="0083608A"/>
    <w:rsid w:val="008413E0"/>
    <w:rsid w:val="00864913"/>
    <w:rsid w:val="00866893"/>
    <w:rsid w:val="00866F02"/>
    <w:rsid w:val="00867D18"/>
    <w:rsid w:val="00870C7F"/>
    <w:rsid w:val="0087102C"/>
    <w:rsid w:val="00871F9A"/>
    <w:rsid w:val="00871FD5"/>
    <w:rsid w:val="00873825"/>
    <w:rsid w:val="00873DDD"/>
    <w:rsid w:val="00874A8F"/>
    <w:rsid w:val="00874B1E"/>
    <w:rsid w:val="0088172E"/>
    <w:rsid w:val="00881EFA"/>
    <w:rsid w:val="0088232B"/>
    <w:rsid w:val="00884196"/>
    <w:rsid w:val="008879CB"/>
    <w:rsid w:val="00892BD9"/>
    <w:rsid w:val="008979B1"/>
    <w:rsid w:val="008A6B25"/>
    <w:rsid w:val="008A6C4F"/>
    <w:rsid w:val="008B389E"/>
    <w:rsid w:val="008B3D42"/>
    <w:rsid w:val="008B4729"/>
    <w:rsid w:val="008C1A1F"/>
    <w:rsid w:val="008C2CF6"/>
    <w:rsid w:val="008D045E"/>
    <w:rsid w:val="008D3F25"/>
    <w:rsid w:val="008D46A1"/>
    <w:rsid w:val="008D4D82"/>
    <w:rsid w:val="008D61E5"/>
    <w:rsid w:val="008E0E46"/>
    <w:rsid w:val="008E3A86"/>
    <w:rsid w:val="008E7116"/>
    <w:rsid w:val="008F143B"/>
    <w:rsid w:val="008F15A5"/>
    <w:rsid w:val="008F3882"/>
    <w:rsid w:val="008F4B7C"/>
    <w:rsid w:val="008F66BB"/>
    <w:rsid w:val="00900FBD"/>
    <w:rsid w:val="00905B4B"/>
    <w:rsid w:val="0091457A"/>
    <w:rsid w:val="00917E1F"/>
    <w:rsid w:val="00925053"/>
    <w:rsid w:val="00926E47"/>
    <w:rsid w:val="00930294"/>
    <w:rsid w:val="00932A8C"/>
    <w:rsid w:val="00943C4E"/>
    <w:rsid w:val="0094612F"/>
    <w:rsid w:val="00947162"/>
    <w:rsid w:val="00957D32"/>
    <w:rsid w:val="009610D0"/>
    <w:rsid w:val="0096375C"/>
    <w:rsid w:val="009662E6"/>
    <w:rsid w:val="0097095E"/>
    <w:rsid w:val="00974704"/>
    <w:rsid w:val="00982113"/>
    <w:rsid w:val="00984B3C"/>
    <w:rsid w:val="0098592B"/>
    <w:rsid w:val="00985FC4"/>
    <w:rsid w:val="00990766"/>
    <w:rsid w:val="00991261"/>
    <w:rsid w:val="0099551A"/>
    <w:rsid w:val="00995988"/>
    <w:rsid w:val="009964C4"/>
    <w:rsid w:val="009A3DE3"/>
    <w:rsid w:val="009A73A7"/>
    <w:rsid w:val="009A7B81"/>
    <w:rsid w:val="009B0E1D"/>
    <w:rsid w:val="009C0FE8"/>
    <w:rsid w:val="009C2783"/>
    <w:rsid w:val="009D01C0"/>
    <w:rsid w:val="009D4F89"/>
    <w:rsid w:val="009D6A08"/>
    <w:rsid w:val="009E0A16"/>
    <w:rsid w:val="009E6CB7"/>
    <w:rsid w:val="009E77D3"/>
    <w:rsid w:val="009E7970"/>
    <w:rsid w:val="009F2EAC"/>
    <w:rsid w:val="009F57DD"/>
    <w:rsid w:val="009F57E3"/>
    <w:rsid w:val="009F5E85"/>
    <w:rsid w:val="009F7C04"/>
    <w:rsid w:val="00A10E08"/>
    <w:rsid w:val="00A10F4F"/>
    <w:rsid w:val="00A11067"/>
    <w:rsid w:val="00A12E66"/>
    <w:rsid w:val="00A14557"/>
    <w:rsid w:val="00A1565F"/>
    <w:rsid w:val="00A1704A"/>
    <w:rsid w:val="00A36B2A"/>
    <w:rsid w:val="00A425EB"/>
    <w:rsid w:val="00A53AA3"/>
    <w:rsid w:val="00A63CEE"/>
    <w:rsid w:val="00A64CAB"/>
    <w:rsid w:val="00A72F22"/>
    <w:rsid w:val="00A733BC"/>
    <w:rsid w:val="00A748A6"/>
    <w:rsid w:val="00A76A69"/>
    <w:rsid w:val="00A80198"/>
    <w:rsid w:val="00A879A4"/>
    <w:rsid w:val="00A911B4"/>
    <w:rsid w:val="00A9339A"/>
    <w:rsid w:val="00A964A8"/>
    <w:rsid w:val="00AA0FF8"/>
    <w:rsid w:val="00AA461C"/>
    <w:rsid w:val="00AC0F2C"/>
    <w:rsid w:val="00AC502A"/>
    <w:rsid w:val="00AC7A16"/>
    <w:rsid w:val="00AE090E"/>
    <w:rsid w:val="00AF2C05"/>
    <w:rsid w:val="00AF3FA4"/>
    <w:rsid w:val="00AF3FF2"/>
    <w:rsid w:val="00AF46F7"/>
    <w:rsid w:val="00AF58C1"/>
    <w:rsid w:val="00AF648F"/>
    <w:rsid w:val="00B04A3F"/>
    <w:rsid w:val="00B06643"/>
    <w:rsid w:val="00B11498"/>
    <w:rsid w:val="00B15055"/>
    <w:rsid w:val="00B25274"/>
    <w:rsid w:val="00B30179"/>
    <w:rsid w:val="00B30688"/>
    <w:rsid w:val="00B30FAB"/>
    <w:rsid w:val="00B37B15"/>
    <w:rsid w:val="00B43DF3"/>
    <w:rsid w:val="00B45C02"/>
    <w:rsid w:val="00B52A09"/>
    <w:rsid w:val="00B71C07"/>
    <w:rsid w:val="00B72A1E"/>
    <w:rsid w:val="00B77D4F"/>
    <w:rsid w:val="00B81E12"/>
    <w:rsid w:val="00B96BF8"/>
    <w:rsid w:val="00BA1269"/>
    <w:rsid w:val="00BA336E"/>
    <w:rsid w:val="00BA339B"/>
    <w:rsid w:val="00BA3615"/>
    <w:rsid w:val="00BA7A02"/>
    <w:rsid w:val="00BC1E7E"/>
    <w:rsid w:val="00BC2A65"/>
    <w:rsid w:val="00BC74E9"/>
    <w:rsid w:val="00BC7F91"/>
    <w:rsid w:val="00BD0627"/>
    <w:rsid w:val="00BD1091"/>
    <w:rsid w:val="00BD292E"/>
    <w:rsid w:val="00BE36A9"/>
    <w:rsid w:val="00BE4F5E"/>
    <w:rsid w:val="00BE618E"/>
    <w:rsid w:val="00BE79D9"/>
    <w:rsid w:val="00BE7BEC"/>
    <w:rsid w:val="00BF0A5A"/>
    <w:rsid w:val="00BF0E63"/>
    <w:rsid w:val="00BF12A3"/>
    <w:rsid w:val="00BF16D7"/>
    <w:rsid w:val="00BF1E49"/>
    <w:rsid w:val="00BF2373"/>
    <w:rsid w:val="00BF4C81"/>
    <w:rsid w:val="00BF721B"/>
    <w:rsid w:val="00C0397A"/>
    <w:rsid w:val="00C044E2"/>
    <w:rsid w:val="00C048CB"/>
    <w:rsid w:val="00C066F3"/>
    <w:rsid w:val="00C10A9A"/>
    <w:rsid w:val="00C17D98"/>
    <w:rsid w:val="00C21736"/>
    <w:rsid w:val="00C218E6"/>
    <w:rsid w:val="00C33F8F"/>
    <w:rsid w:val="00C36E8F"/>
    <w:rsid w:val="00C463DD"/>
    <w:rsid w:val="00C51BDE"/>
    <w:rsid w:val="00C535E2"/>
    <w:rsid w:val="00C57818"/>
    <w:rsid w:val="00C745C3"/>
    <w:rsid w:val="00C843BE"/>
    <w:rsid w:val="00C84B2E"/>
    <w:rsid w:val="00C87153"/>
    <w:rsid w:val="00C93AED"/>
    <w:rsid w:val="00CA03F7"/>
    <w:rsid w:val="00CA24A4"/>
    <w:rsid w:val="00CA77D2"/>
    <w:rsid w:val="00CB348D"/>
    <w:rsid w:val="00CB4419"/>
    <w:rsid w:val="00CC3531"/>
    <w:rsid w:val="00CD46F5"/>
    <w:rsid w:val="00CD65C8"/>
    <w:rsid w:val="00CE0C90"/>
    <w:rsid w:val="00CE4A8F"/>
    <w:rsid w:val="00CE70C5"/>
    <w:rsid w:val="00CF071D"/>
    <w:rsid w:val="00CF37F5"/>
    <w:rsid w:val="00CF7784"/>
    <w:rsid w:val="00D030B5"/>
    <w:rsid w:val="00D15B04"/>
    <w:rsid w:val="00D2031B"/>
    <w:rsid w:val="00D25FE2"/>
    <w:rsid w:val="00D31215"/>
    <w:rsid w:val="00D34EE1"/>
    <w:rsid w:val="00D37DA9"/>
    <w:rsid w:val="00D406A7"/>
    <w:rsid w:val="00D43252"/>
    <w:rsid w:val="00D44D86"/>
    <w:rsid w:val="00D4623B"/>
    <w:rsid w:val="00D46D05"/>
    <w:rsid w:val="00D50B7D"/>
    <w:rsid w:val="00D52012"/>
    <w:rsid w:val="00D5790F"/>
    <w:rsid w:val="00D662C8"/>
    <w:rsid w:val="00D704E5"/>
    <w:rsid w:val="00D72727"/>
    <w:rsid w:val="00D77D80"/>
    <w:rsid w:val="00D969F2"/>
    <w:rsid w:val="00D978C6"/>
    <w:rsid w:val="00D97AC8"/>
    <w:rsid w:val="00DA0956"/>
    <w:rsid w:val="00DA357F"/>
    <w:rsid w:val="00DA3E12"/>
    <w:rsid w:val="00DA79CE"/>
    <w:rsid w:val="00DB08EF"/>
    <w:rsid w:val="00DB2F2E"/>
    <w:rsid w:val="00DB4D8F"/>
    <w:rsid w:val="00DC18AD"/>
    <w:rsid w:val="00DC32F0"/>
    <w:rsid w:val="00DD0A49"/>
    <w:rsid w:val="00DE73E0"/>
    <w:rsid w:val="00DF016B"/>
    <w:rsid w:val="00DF7CAE"/>
    <w:rsid w:val="00E21866"/>
    <w:rsid w:val="00E23872"/>
    <w:rsid w:val="00E423C0"/>
    <w:rsid w:val="00E53D69"/>
    <w:rsid w:val="00E57573"/>
    <w:rsid w:val="00E6414C"/>
    <w:rsid w:val="00E7260F"/>
    <w:rsid w:val="00E76250"/>
    <w:rsid w:val="00E776B7"/>
    <w:rsid w:val="00E82A9A"/>
    <w:rsid w:val="00E8702D"/>
    <w:rsid w:val="00E916A9"/>
    <w:rsid w:val="00E916DE"/>
    <w:rsid w:val="00E925AD"/>
    <w:rsid w:val="00E96630"/>
    <w:rsid w:val="00E96AD3"/>
    <w:rsid w:val="00EB05ED"/>
    <w:rsid w:val="00EB4A1D"/>
    <w:rsid w:val="00EC44E1"/>
    <w:rsid w:val="00ED18DC"/>
    <w:rsid w:val="00ED2D82"/>
    <w:rsid w:val="00ED47FF"/>
    <w:rsid w:val="00ED4965"/>
    <w:rsid w:val="00ED6201"/>
    <w:rsid w:val="00ED7A2A"/>
    <w:rsid w:val="00EE483B"/>
    <w:rsid w:val="00EF1D7F"/>
    <w:rsid w:val="00EF57BE"/>
    <w:rsid w:val="00F0137E"/>
    <w:rsid w:val="00F03286"/>
    <w:rsid w:val="00F0552C"/>
    <w:rsid w:val="00F11972"/>
    <w:rsid w:val="00F12A6F"/>
    <w:rsid w:val="00F138BC"/>
    <w:rsid w:val="00F16471"/>
    <w:rsid w:val="00F16FF0"/>
    <w:rsid w:val="00F17F23"/>
    <w:rsid w:val="00F21786"/>
    <w:rsid w:val="00F25E09"/>
    <w:rsid w:val="00F326AA"/>
    <w:rsid w:val="00F35594"/>
    <w:rsid w:val="00F3742B"/>
    <w:rsid w:val="00F41FDB"/>
    <w:rsid w:val="00F507EC"/>
    <w:rsid w:val="00F56D63"/>
    <w:rsid w:val="00F609A9"/>
    <w:rsid w:val="00F6229A"/>
    <w:rsid w:val="00F66368"/>
    <w:rsid w:val="00F71D15"/>
    <w:rsid w:val="00F73646"/>
    <w:rsid w:val="00F80C99"/>
    <w:rsid w:val="00F867EC"/>
    <w:rsid w:val="00F90E5F"/>
    <w:rsid w:val="00F91B2B"/>
    <w:rsid w:val="00FA13BC"/>
    <w:rsid w:val="00FA1956"/>
    <w:rsid w:val="00FA2A97"/>
    <w:rsid w:val="00FA3F4E"/>
    <w:rsid w:val="00FA7248"/>
    <w:rsid w:val="00FB5698"/>
    <w:rsid w:val="00FB782E"/>
    <w:rsid w:val="00FC03CD"/>
    <w:rsid w:val="00FC0646"/>
    <w:rsid w:val="00FC68B7"/>
    <w:rsid w:val="00FD7FD2"/>
    <w:rsid w:val="00FE003C"/>
    <w:rsid w:val="00FE3D7C"/>
    <w:rsid w:val="00FE6985"/>
    <w:rsid w:val="00FF19F3"/>
    <w:rsid w:val="00FF24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D4C68"/>
  <w15:docId w15:val="{83AC2822-FE9D-4B86-A549-23FA59E4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Footnote Text Char3,Footnote Text Char1 Char1,Footnote Text Char2 Char Char,Footnote Text Char1 Char1 Char Char,Footnote Text Char2 Char Char Char Char,Footnote Text Char1 Char1 Char Char Char Char Char,-E 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Characters">
    <w:name w:val="Footnote Characters"/>
    <w:rsid w:val="00CF7784"/>
    <w:rPr>
      <w:rFonts w:ascii="Times New Roman" w:hAnsi="Times New Roman" w:cs="Times New Roman"/>
      <w:sz w:val="18"/>
      <w:vertAlign w:val="superscript"/>
    </w:rPr>
  </w:style>
  <w:style w:type="character" w:customStyle="1" w:styleId="SingleTxtGChar">
    <w:name w:val="_ Single Txt_G Char"/>
    <w:link w:val="SingleTxtG"/>
    <w:uiPriority w:val="99"/>
    <w:qFormat/>
    <w:rsid w:val="00873DDD"/>
    <w:rPr>
      <w:lang w:eastAsia="en-US"/>
    </w:rPr>
  </w:style>
  <w:style w:type="character" w:styleId="CommentReference">
    <w:name w:val="annotation reference"/>
    <w:basedOn w:val="DefaultParagraphFont"/>
    <w:semiHidden/>
    <w:unhideWhenUsed/>
    <w:rsid w:val="00002FC4"/>
    <w:rPr>
      <w:sz w:val="16"/>
      <w:szCs w:val="16"/>
    </w:rPr>
  </w:style>
  <w:style w:type="paragraph" w:styleId="CommentText">
    <w:name w:val="annotation text"/>
    <w:basedOn w:val="Normal"/>
    <w:link w:val="CommentTextChar"/>
    <w:semiHidden/>
    <w:unhideWhenUsed/>
    <w:rsid w:val="00002FC4"/>
    <w:pPr>
      <w:spacing w:line="240" w:lineRule="auto"/>
    </w:pPr>
  </w:style>
  <w:style w:type="character" w:customStyle="1" w:styleId="CommentTextChar">
    <w:name w:val="Comment Text Char"/>
    <w:basedOn w:val="DefaultParagraphFont"/>
    <w:link w:val="CommentText"/>
    <w:semiHidden/>
    <w:rsid w:val="00002FC4"/>
    <w:rPr>
      <w:lang w:eastAsia="en-US"/>
    </w:rPr>
  </w:style>
  <w:style w:type="paragraph" w:styleId="CommentSubject">
    <w:name w:val="annotation subject"/>
    <w:basedOn w:val="CommentText"/>
    <w:next w:val="CommentText"/>
    <w:link w:val="CommentSubjectChar"/>
    <w:semiHidden/>
    <w:unhideWhenUsed/>
    <w:rsid w:val="00002FC4"/>
    <w:rPr>
      <w:b/>
      <w:bCs/>
    </w:rPr>
  </w:style>
  <w:style w:type="character" w:customStyle="1" w:styleId="CommentSubjectChar">
    <w:name w:val="Comment Subject Char"/>
    <w:basedOn w:val="CommentTextChar"/>
    <w:link w:val="CommentSubject"/>
    <w:semiHidden/>
    <w:rsid w:val="00002FC4"/>
    <w:rPr>
      <w:b/>
      <w:bCs/>
      <w:lang w:eastAsia="en-US"/>
    </w:rPr>
  </w:style>
  <w:style w:type="paragraph" w:customStyle="1" w:styleId="Default">
    <w:name w:val="Default"/>
    <w:rsid w:val="0032701E"/>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A12E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12E66"/>
    <w:rPr>
      <w:rFonts w:ascii="Segoe UI" w:hAnsi="Segoe UI" w:cs="Segoe UI"/>
      <w:sz w:val="18"/>
      <w:szCs w:val="18"/>
      <w:lang w:eastAsia="en-US"/>
    </w:rPr>
  </w:style>
  <w:style w:type="paragraph" w:styleId="ListParagraph">
    <w:name w:val="List Paragraph"/>
    <w:basedOn w:val="Normal"/>
    <w:uiPriority w:val="34"/>
    <w:qFormat/>
    <w:rsid w:val="00790143"/>
    <w:pPr>
      <w:ind w:left="720"/>
      <w:contextualSpacing/>
    </w:pPr>
  </w:style>
  <w:style w:type="paragraph" w:customStyle="1" w:styleId="NumberedParas">
    <w:name w:val="Numbered Paras"/>
    <w:basedOn w:val="Normal"/>
    <w:link w:val="NumberedParasChar"/>
    <w:qFormat/>
    <w:rsid w:val="008B4729"/>
    <w:pPr>
      <w:numPr>
        <w:numId w:val="22"/>
      </w:numPr>
      <w:tabs>
        <w:tab w:val="left" w:pos="1701"/>
      </w:tabs>
      <w:adjustRightInd w:val="0"/>
      <w:snapToGrid w:val="0"/>
      <w:spacing w:after="120"/>
      <w:ind w:right="828"/>
      <w:jc w:val="lowKashida"/>
    </w:pPr>
    <w:rPr>
      <w:rFonts w:eastAsia="Calibri" w:cs="Arial"/>
      <w:color w:val="000000"/>
      <w:szCs w:val="22"/>
    </w:rPr>
  </w:style>
  <w:style w:type="character" w:customStyle="1" w:styleId="NumberedParasChar">
    <w:name w:val="Numbered Paras Char"/>
    <w:link w:val="NumberedParas"/>
    <w:rsid w:val="008B4729"/>
    <w:rPr>
      <w:rFonts w:eastAsia="Calibri" w:cs="Arial"/>
      <w:color w:val="000000"/>
      <w:szCs w:val="22"/>
      <w:lang w:eastAsia="en-US"/>
    </w:rPr>
  </w:style>
  <w:style w:type="character" w:customStyle="1" w:styleId="FootnoteTextChar">
    <w:name w:val="Footnote Text Char"/>
    <w:aliases w:val="5_G Char,Footnote Text Char3 Char,Footnote Text Char1 Char1 Char,Footnote Text Char2 Char Char Char,Footnote Text Char1 Char1 Char Char Char,Footnote Text Char2 Char Char Char Char Char,-E Fußnotentext Char"/>
    <w:basedOn w:val="DefaultParagraphFont"/>
    <w:link w:val="FootnoteText"/>
    <w:uiPriority w:val="99"/>
    <w:qFormat/>
    <w:locked/>
    <w:rsid w:val="001C1C11"/>
    <w:rPr>
      <w:sz w:val="18"/>
      <w:lang w:eastAsia="en-US"/>
    </w:rPr>
  </w:style>
  <w:style w:type="paragraph" w:styleId="NormalWeb">
    <w:name w:val="Normal (Web)"/>
    <w:basedOn w:val="Normal"/>
    <w:uiPriority w:val="99"/>
    <w:semiHidden/>
    <w:unhideWhenUsed/>
    <w:rsid w:val="00321C32"/>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1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5BAD6B90F990844849380189D456564" ma:contentTypeVersion="13" ma:contentTypeDescription="Ein neues Dokument erstellen." ma:contentTypeScope="" ma:versionID="09cafe8c3fac36cd82bf804533ced6ed">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b01625ff48285524926438a3305446bf"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8FEA5-37BB-4327-89FC-48502BC59392}">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D6E9DEDA-EE8A-415B-A8B2-98EE20A1229A}">
  <ds:schemaRefs>
    <ds:schemaRef ds:uri="http://schemas.openxmlformats.org/officeDocument/2006/bibliography"/>
  </ds:schemaRefs>
</ds:datastoreItem>
</file>

<file path=customXml/itemProps3.xml><?xml version="1.0" encoding="utf-8"?>
<ds:datastoreItem xmlns:ds="http://schemas.openxmlformats.org/officeDocument/2006/customXml" ds:itemID="{DBCC36AA-BDCC-48D9-8B8D-F75A751753F5}">
  <ds:schemaRefs>
    <ds:schemaRef ds:uri="http://schemas.microsoft.com/sharepoint/v3/contenttype/forms"/>
  </ds:schemaRefs>
</ds:datastoreItem>
</file>

<file path=customXml/itemProps4.xml><?xml version="1.0" encoding="utf-8"?>
<ds:datastoreItem xmlns:ds="http://schemas.openxmlformats.org/officeDocument/2006/customXml" ds:itemID="{8C2EF881-7ACA-401C-9EC9-A568D5010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ECE_E.dotm</Template>
  <TotalTime>4</TotalTime>
  <Pages>17</Pages>
  <Words>7513</Words>
  <Characters>42604</Characters>
  <Application>Microsoft Office Word</Application>
  <DocSecurity>0</DocSecurity>
  <Lines>1291</Lines>
  <Paragraphs>705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ECE/MP.PP/C.1/2015/3</dc:creator>
  <cp:lastModifiedBy>Fiona Marshall</cp:lastModifiedBy>
  <cp:revision>4</cp:revision>
  <cp:lastPrinted>2009-02-18T09:36:00Z</cp:lastPrinted>
  <dcterms:created xsi:type="dcterms:W3CDTF">2021-07-02T18:22:00Z</dcterms:created>
  <dcterms:modified xsi:type="dcterms:W3CDTF">2021-07-02T18:25:00Z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24334400</vt:r8>
  </property>
</Properties>
</file>