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41F2" w14:textId="472FB243" w:rsidR="00277F70" w:rsidRPr="005B7A17" w:rsidRDefault="00277F70" w:rsidP="00277F70">
      <w:pPr>
        <w:widowControl/>
        <w:overflowPunct/>
        <w:autoSpaceDE/>
        <w:autoSpaceDN/>
        <w:adjustRightInd/>
        <w:snapToGrid w:val="0"/>
        <w:ind w:left="5387" w:right="-286" w:firstLine="0"/>
        <w:jc w:val="left"/>
        <w:textAlignment w:val="auto"/>
        <w:outlineLvl w:val="0"/>
        <w:rPr>
          <w:rFonts w:ascii="Arial" w:eastAsia="Arial" w:hAnsi="Arial" w:cs="Arial"/>
          <w:bCs/>
          <w:szCs w:val="24"/>
          <w:lang w:eastAsia="de-DE" w:bidi="fr-FR"/>
        </w:rPr>
      </w:pPr>
      <w:r w:rsidRPr="005B7A17">
        <w:rPr>
          <w:rFonts w:ascii="Arial" w:eastAsia="Arial" w:hAnsi="Arial" w:cs="Arial"/>
          <w:bCs/>
          <w:noProof/>
          <w:szCs w:val="24"/>
          <w:lang w:eastAsia="de-DE"/>
        </w:rPr>
        <w:drawing>
          <wp:anchor distT="0" distB="0" distL="114300" distR="114300" simplePos="0" relativeHeight="251659264" behindDoc="0" locked="0" layoutInCell="1" allowOverlap="1" wp14:anchorId="5C559AF6" wp14:editId="5B26A3E3">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5B7A17">
        <w:rPr>
          <w:rFonts w:ascii="Arial" w:eastAsia="Arial" w:hAnsi="Arial" w:cs="Arial"/>
          <w:bCs/>
          <w:szCs w:val="24"/>
          <w:lang w:eastAsia="de-DE"/>
        </w:rPr>
        <w:t>CCNR-ZKR/ADN/WP.15/AC.2/202</w:t>
      </w:r>
      <w:r w:rsidR="00AE0AFB" w:rsidRPr="005B7A17">
        <w:rPr>
          <w:rFonts w:ascii="Arial" w:eastAsia="Arial" w:hAnsi="Arial" w:cs="Arial"/>
          <w:bCs/>
          <w:szCs w:val="24"/>
          <w:lang w:eastAsia="de-DE"/>
        </w:rPr>
        <w:t>1</w:t>
      </w:r>
      <w:r w:rsidRPr="005B7A17">
        <w:rPr>
          <w:rFonts w:ascii="Arial" w:eastAsia="Arial" w:hAnsi="Arial" w:cs="Arial"/>
          <w:bCs/>
          <w:szCs w:val="24"/>
          <w:lang w:eastAsia="de-DE"/>
        </w:rPr>
        <w:t>/</w:t>
      </w:r>
      <w:r w:rsidR="000646C7">
        <w:rPr>
          <w:rFonts w:ascii="Arial" w:eastAsia="Arial" w:hAnsi="Arial" w:cs="Arial"/>
          <w:bCs/>
          <w:szCs w:val="24"/>
          <w:lang w:eastAsia="de-DE"/>
        </w:rPr>
        <w:t>26</w:t>
      </w:r>
    </w:p>
    <w:p w14:paraId="20DAC2EC" w14:textId="77777777" w:rsidR="00277F70" w:rsidRPr="005B7A17" w:rsidRDefault="00277F70" w:rsidP="00277F70">
      <w:pPr>
        <w:widowControl/>
        <w:tabs>
          <w:tab w:val="left" w:pos="5670"/>
        </w:tabs>
        <w:overflowPunct/>
        <w:autoSpaceDE/>
        <w:autoSpaceDN/>
        <w:adjustRightInd/>
        <w:snapToGrid w:val="0"/>
        <w:ind w:left="5387" w:firstLine="0"/>
        <w:jc w:val="left"/>
        <w:textAlignment w:val="auto"/>
        <w:rPr>
          <w:rFonts w:ascii="Arial" w:hAnsi="Arial" w:cs="Arial"/>
          <w:sz w:val="16"/>
          <w:szCs w:val="24"/>
          <w:lang w:eastAsia="de-DE"/>
        </w:rPr>
      </w:pPr>
      <w:r w:rsidRPr="005B7A17">
        <w:rPr>
          <w:rFonts w:ascii="Arial" w:hAnsi="Arial" w:cs="Arial"/>
          <w:sz w:val="16"/>
          <w:szCs w:val="24"/>
          <w:lang w:eastAsia="de-DE"/>
        </w:rPr>
        <w:t>Allgemeine Verteilung</w:t>
      </w:r>
    </w:p>
    <w:p w14:paraId="0374A1B1" w14:textId="1973D8D7" w:rsidR="00277F70" w:rsidRPr="005B7A17" w:rsidRDefault="00DE6165" w:rsidP="00277F70">
      <w:pPr>
        <w:widowControl/>
        <w:tabs>
          <w:tab w:val="right" w:pos="3856"/>
          <w:tab w:val="left" w:pos="5670"/>
        </w:tabs>
        <w:overflowPunct/>
        <w:autoSpaceDE/>
        <w:autoSpaceDN/>
        <w:adjustRightInd/>
        <w:snapToGrid w:val="0"/>
        <w:ind w:left="5387" w:firstLine="0"/>
        <w:jc w:val="left"/>
        <w:textAlignment w:val="auto"/>
        <w:rPr>
          <w:rFonts w:ascii="Arial" w:hAnsi="Arial" w:cs="Arial"/>
          <w:szCs w:val="24"/>
          <w:lang w:eastAsia="de-DE"/>
        </w:rPr>
      </w:pPr>
      <w:r>
        <w:rPr>
          <w:rFonts w:ascii="Arial" w:eastAsia="Arial" w:hAnsi="Arial" w:cs="Arial"/>
          <w:szCs w:val="24"/>
          <w:lang w:eastAsia="de-DE"/>
        </w:rPr>
        <w:t>8. Juni</w:t>
      </w:r>
      <w:r w:rsidR="00277F70" w:rsidRPr="005B7A17">
        <w:rPr>
          <w:rFonts w:ascii="Arial" w:eastAsia="Arial" w:hAnsi="Arial" w:cs="Arial"/>
          <w:szCs w:val="24"/>
          <w:lang w:eastAsia="de-DE"/>
        </w:rPr>
        <w:t xml:space="preserve"> 20</w:t>
      </w:r>
      <w:r w:rsidR="003F5E68" w:rsidRPr="005B7A17">
        <w:rPr>
          <w:rFonts w:ascii="Arial" w:eastAsia="Arial" w:hAnsi="Arial" w:cs="Arial"/>
          <w:szCs w:val="24"/>
          <w:lang w:eastAsia="de-DE"/>
        </w:rPr>
        <w:t>2</w:t>
      </w:r>
      <w:r w:rsidR="000671E2" w:rsidRPr="005B7A17">
        <w:rPr>
          <w:rFonts w:ascii="Arial" w:eastAsia="Arial" w:hAnsi="Arial" w:cs="Arial"/>
          <w:szCs w:val="24"/>
          <w:lang w:eastAsia="de-DE"/>
        </w:rPr>
        <w:t>1</w:t>
      </w:r>
    </w:p>
    <w:p w14:paraId="2C6BC17E" w14:textId="188FAF8C" w:rsidR="00277F70" w:rsidRPr="005B7A17" w:rsidRDefault="00277F70" w:rsidP="00277F70">
      <w:pPr>
        <w:widowControl/>
        <w:tabs>
          <w:tab w:val="right" w:pos="3856"/>
          <w:tab w:val="left" w:pos="5670"/>
        </w:tabs>
        <w:overflowPunct/>
        <w:autoSpaceDE/>
        <w:autoSpaceDN/>
        <w:adjustRightInd/>
        <w:snapToGrid w:val="0"/>
        <w:ind w:left="5387" w:right="565" w:firstLine="0"/>
        <w:jc w:val="left"/>
        <w:textAlignment w:val="auto"/>
        <w:rPr>
          <w:rFonts w:ascii="Arial" w:eastAsia="Arial" w:hAnsi="Arial" w:cs="Arial"/>
          <w:sz w:val="16"/>
          <w:szCs w:val="24"/>
          <w:lang w:eastAsia="de-DE"/>
        </w:rPr>
      </w:pPr>
      <w:proofErr w:type="spellStart"/>
      <w:r w:rsidRPr="005B7A17">
        <w:rPr>
          <w:rFonts w:ascii="Arial" w:eastAsia="Arial" w:hAnsi="Arial" w:cs="Arial"/>
          <w:sz w:val="16"/>
          <w:szCs w:val="24"/>
          <w:lang w:eastAsia="de-DE"/>
        </w:rPr>
        <w:t>Or</w:t>
      </w:r>
      <w:proofErr w:type="spellEnd"/>
      <w:r w:rsidRPr="005B7A17">
        <w:rPr>
          <w:rFonts w:ascii="Arial" w:eastAsia="Arial" w:hAnsi="Arial" w:cs="Arial"/>
          <w:sz w:val="16"/>
          <w:szCs w:val="24"/>
          <w:lang w:eastAsia="de-DE"/>
        </w:rPr>
        <w:t xml:space="preserve">. </w:t>
      </w:r>
      <w:r w:rsidR="00DE6165">
        <w:rPr>
          <w:rFonts w:ascii="Arial" w:eastAsia="Arial" w:hAnsi="Arial" w:cs="Arial"/>
          <w:sz w:val="16"/>
          <w:szCs w:val="24"/>
          <w:lang w:eastAsia="de-DE"/>
        </w:rPr>
        <w:t>ENGLISCH</w:t>
      </w:r>
    </w:p>
    <w:p w14:paraId="3CEACF79" w14:textId="77777777" w:rsidR="00277F70" w:rsidRPr="005B7A17"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1726207D" w14:textId="77777777" w:rsidR="00277F70" w:rsidRPr="005B7A17" w:rsidRDefault="00277F70" w:rsidP="00277F70">
      <w:pPr>
        <w:widowControl/>
        <w:overflowPunct/>
        <w:autoSpaceDE/>
        <w:autoSpaceDN/>
        <w:adjustRightInd/>
        <w:snapToGrid w:val="0"/>
        <w:ind w:left="0" w:firstLine="0"/>
        <w:jc w:val="left"/>
        <w:textAlignment w:val="auto"/>
        <w:rPr>
          <w:rFonts w:ascii="Arial" w:hAnsi="Arial" w:cs="Arial"/>
          <w:sz w:val="16"/>
          <w:szCs w:val="24"/>
          <w:lang w:eastAsia="de-DE"/>
        </w:rPr>
      </w:pPr>
    </w:p>
    <w:p w14:paraId="6A2432CE" w14:textId="0775FE43" w:rsidR="009873A1" w:rsidRPr="005B7A17" w:rsidRDefault="009873A1" w:rsidP="009873A1">
      <w:pPr>
        <w:tabs>
          <w:tab w:val="left" w:pos="2977"/>
        </w:tabs>
        <w:ind w:left="3960"/>
        <w:rPr>
          <w:rFonts w:ascii="Arial" w:hAnsi="Arial" w:cs="Arial"/>
          <w:b/>
          <w:sz w:val="16"/>
          <w:szCs w:val="16"/>
          <w:lang w:eastAsia="en-US"/>
        </w:rPr>
      </w:pPr>
    </w:p>
    <w:p w14:paraId="666D5097" w14:textId="77777777" w:rsidR="009873A1" w:rsidRPr="005B7A17" w:rsidRDefault="009873A1" w:rsidP="009873A1">
      <w:pPr>
        <w:widowControl/>
        <w:tabs>
          <w:tab w:val="left" w:pos="2977"/>
        </w:tabs>
        <w:overflowPunct/>
        <w:autoSpaceDE/>
        <w:autoSpaceDN/>
        <w:adjustRightInd/>
        <w:snapToGrid w:val="0"/>
        <w:ind w:left="3958" w:firstLine="0"/>
        <w:jc w:val="left"/>
        <w:textAlignment w:val="auto"/>
        <w:rPr>
          <w:rFonts w:ascii="Arial" w:hAnsi="Arial"/>
          <w:noProof/>
          <w:sz w:val="16"/>
          <w:szCs w:val="24"/>
        </w:rPr>
      </w:pPr>
      <w:r w:rsidRPr="005B7A17">
        <w:rPr>
          <w:rFonts w:ascii="Arial" w:hAnsi="Arial"/>
          <w:noProof/>
          <w:sz w:val="16"/>
          <w:szCs w:val="24"/>
        </w:rPr>
        <w:t xml:space="preserve">GEMEINSAME EXPERTENTAGUNG FÜR DIE DEM ÜBEREINKOMMEN ÜBER DIE INTERNATIONALE BEFÖRDERUNG VON GEFÄHRLICHEN GÜTERN AUF </w:t>
      </w:r>
      <w:r w:rsidRPr="005B7A17">
        <w:rPr>
          <w:rFonts w:ascii="Arial" w:eastAsia="Calibri" w:hAnsi="Arial" w:cs="Arial"/>
          <w:sz w:val="16"/>
          <w:szCs w:val="16"/>
          <w:lang w:eastAsia="en-US"/>
        </w:rPr>
        <w:t xml:space="preserve">BINNENWASSERSTRAẞEN (ADN) </w:t>
      </w:r>
      <w:r w:rsidRPr="005B7A17">
        <w:rPr>
          <w:rFonts w:ascii="Arial" w:hAnsi="Arial"/>
          <w:noProof/>
          <w:sz w:val="16"/>
          <w:szCs w:val="24"/>
        </w:rPr>
        <w:t>BEIGEFÜGTE VERORDNUNG (SICHERHEITSAUSSCHUSS)</w:t>
      </w:r>
    </w:p>
    <w:p w14:paraId="0013FCAC" w14:textId="22493C0A" w:rsidR="00277F70" w:rsidRPr="005B7A17" w:rsidRDefault="00277F70" w:rsidP="009873A1">
      <w:pPr>
        <w:widowControl/>
        <w:tabs>
          <w:tab w:val="left" w:pos="2977"/>
        </w:tabs>
        <w:overflowPunct/>
        <w:autoSpaceDE/>
        <w:autoSpaceDN/>
        <w:adjustRightInd/>
        <w:snapToGrid w:val="0"/>
        <w:ind w:left="3960" w:firstLine="0"/>
        <w:jc w:val="left"/>
        <w:textAlignment w:val="auto"/>
        <w:rPr>
          <w:rFonts w:ascii="Arial" w:hAnsi="Arial"/>
          <w:sz w:val="16"/>
          <w:szCs w:val="24"/>
        </w:rPr>
      </w:pPr>
      <w:r w:rsidRPr="005B7A17">
        <w:rPr>
          <w:rFonts w:ascii="Arial" w:hAnsi="Arial"/>
          <w:sz w:val="16"/>
          <w:szCs w:val="24"/>
        </w:rPr>
        <w:t>(3</w:t>
      </w:r>
      <w:r w:rsidR="000671E2" w:rsidRPr="005B7A17">
        <w:rPr>
          <w:rFonts w:ascii="Arial" w:hAnsi="Arial"/>
          <w:sz w:val="16"/>
          <w:szCs w:val="24"/>
        </w:rPr>
        <w:t>8</w:t>
      </w:r>
      <w:r w:rsidRPr="005B7A17">
        <w:rPr>
          <w:rFonts w:ascii="Arial" w:hAnsi="Arial"/>
          <w:sz w:val="16"/>
          <w:szCs w:val="24"/>
        </w:rPr>
        <w:t>. Tagung, Genf, 2</w:t>
      </w:r>
      <w:r w:rsidR="000671E2" w:rsidRPr="005B7A17">
        <w:rPr>
          <w:rFonts w:ascii="Arial" w:hAnsi="Arial"/>
          <w:sz w:val="16"/>
          <w:szCs w:val="24"/>
        </w:rPr>
        <w:t>3</w:t>
      </w:r>
      <w:r w:rsidRPr="005B7A17">
        <w:rPr>
          <w:rFonts w:ascii="Arial" w:hAnsi="Arial"/>
          <w:sz w:val="16"/>
          <w:szCs w:val="24"/>
        </w:rPr>
        <w:t>.</w:t>
      </w:r>
      <w:r w:rsidR="000B2B01" w:rsidRPr="005B7A17">
        <w:rPr>
          <w:rFonts w:ascii="Arial" w:hAnsi="Arial"/>
          <w:sz w:val="16"/>
          <w:szCs w:val="24"/>
        </w:rPr>
        <w:t xml:space="preserve"> </w:t>
      </w:r>
      <w:r w:rsidR="00AE0AFB" w:rsidRPr="005B7A17">
        <w:rPr>
          <w:rFonts w:ascii="Arial" w:hAnsi="Arial"/>
          <w:sz w:val="16"/>
          <w:szCs w:val="24"/>
        </w:rPr>
        <w:t>–</w:t>
      </w:r>
      <w:r w:rsidR="000B2B01" w:rsidRPr="005B7A17">
        <w:rPr>
          <w:rFonts w:ascii="Arial" w:hAnsi="Arial"/>
          <w:sz w:val="16"/>
          <w:szCs w:val="24"/>
        </w:rPr>
        <w:t xml:space="preserve"> </w:t>
      </w:r>
      <w:r w:rsidR="00222245" w:rsidRPr="005B7A17">
        <w:rPr>
          <w:rFonts w:ascii="Arial" w:hAnsi="Arial"/>
          <w:sz w:val="16"/>
          <w:szCs w:val="24"/>
        </w:rPr>
        <w:t>2</w:t>
      </w:r>
      <w:r w:rsidR="000671E2" w:rsidRPr="005B7A17">
        <w:rPr>
          <w:rFonts w:ascii="Arial" w:hAnsi="Arial"/>
          <w:sz w:val="16"/>
          <w:szCs w:val="24"/>
        </w:rPr>
        <w:t>7</w:t>
      </w:r>
      <w:r w:rsidRPr="005B7A17">
        <w:rPr>
          <w:rFonts w:ascii="Arial" w:hAnsi="Arial"/>
          <w:sz w:val="16"/>
          <w:szCs w:val="24"/>
        </w:rPr>
        <w:t xml:space="preserve">. </w:t>
      </w:r>
      <w:r w:rsidR="000671E2" w:rsidRPr="005B7A17">
        <w:rPr>
          <w:rFonts w:ascii="Arial" w:hAnsi="Arial"/>
          <w:sz w:val="16"/>
          <w:szCs w:val="24"/>
        </w:rPr>
        <w:t>August</w:t>
      </w:r>
      <w:r w:rsidRPr="005B7A17">
        <w:rPr>
          <w:rFonts w:ascii="Arial" w:hAnsi="Arial"/>
          <w:sz w:val="16"/>
          <w:szCs w:val="24"/>
        </w:rPr>
        <w:t xml:space="preserve"> 202</w:t>
      </w:r>
      <w:r w:rsidR="00AE0AFB" w:rsidRPr="005B7A17">
        <w:rPr>
          <w:rFonts w:ascii="Arial" w:hAnsi="Arial"/>
          <w:sz w:val="16"/>
          <w:szCs w:val="24"/>
        </w:rPr>
        <w:t>1</w:t>
      </w:r>
      <w:r w:rsidRPr="005B7A17">
        <w:rPr>
          <w:rFonts w:ascii="Arial" w:hAnsi="Arial"/>
          <w:sz w:val="16"/>
          <w:szCs w:val="24"/>
        </w:rPr>
        <w:t>)</w:t>
      </w:r>
    </w:p>
    <w:p w14:paraId="19D0F3FB" w14:textId="0E5DE0BF" w:rsidR="00277F70" w:rsidRPr="005B7A17" w:rsidRDefault="00277F70" w:rsidP="00277F70">
      <w:pPr>
        <w:widowControl/>
        <w:tabs>
          <w:tab w:val="left" w:pos="2977"/>
        </w:tabs>
        <w:overflowPunct/>
        <w:autoSpaceDE/>
        <w:autoSpaceDN/>
        <w:adjustRightInd/>
        <w:snapToGrid w:val="0"/>
        <w:ind w:left="3960" w:firstLine="0"/>
        <w:jc w:val="left"/>
        <w:textAlignment w:val="auto"/>
        <w:rPr>
          <w:rFonts w:ascii="Arial" w:hAnsi="Arial" w:cs="Arial"/>
          <w:sz w:val="16"/>
          <w:szCs w:val="16"/>
          <w:lang w:eastAsia="en-US"/>
        </w:rPr>
      </w:pPr>
      <w:r w:rsidRPr="005B7A17">
        <w:rPr>
          <w:rFonts w:ascii="Arial" w:hAnsi="Arial" w:cs="Arial"/>
          <w:sz w:val="16"/>
          <w:szCs w:val="16"/>
          <w:lang w:eastAsia="en-US"/>
        </w:rPr>
        <w:t xml:space="preserve">Punkt </w:t>
      </w:r>
      <w:r w:rsidR="003D456D">
        <w:rPr>
          <w:rFonts w:ascii="Arial" w:hAnsi="Arial" w:cs="Arial"/>
          <w:sz w:val="16"/>
          <w:szCs w:val="16"/>
          <w:lang w:eastAsia="en-US"/>
        </w:rPr>
        <w:t>4</w:t>
      </w:r>
      <w:r w:rsidR="008A4F51" w:rsidRPr="005B7A17">
        <w:rPr>
          <w:rFonts w:ascii="Arial" w:hAnsi="Arial" w:cs="Arial"/>
          <w:sz w:val="16"/>
          <w:szCs w:val="16"/>
          <w:lang w:eastAsia="en-US"/>
        </w:rPr>
        <w:t xml:space="preserve"> </w:t>
      </w:r>
      <w:r w:rsidR="0082636A" w:rsidRPr="005B7A17">
        <w:rPr>
          <w:rFonts w:ascii="Arial" w:hAnsi="Arial" w:cs="Arial"/>
          <w:sz w:val="16"/>
          <w:szCs w:val="16"/>
          <w:lang w:eastAsia="en-US"/>
        </w:rPr>
        <w:t>b</w:t>
      </w:r>
      <w:r w:rsidR="00863D48" w:rsidRPr="005B7A17">
        <w:rPr>
          <w:rFonts w:ascii="Arial" w:hAnsi="Arial" w:cs="Arial"/>
          <w:sz w:val="16"/>
          <w:szCs w:val="16"/>
          <w:lang w:eastAsia="en-US"/>
        </w:rPr>
        <w:t>)</w:t>
      </w:r>
      <w:r w:rsidRPr="005B7A17">
        <w:rPr>
          <w:rFonts w:ascii="Arial" w:hAnsi="Arial" w:cs="Arial"/>
          <w:sz w:val="16"/>
          <w:szCs w:val="16"/>
          <w:lang w:eastAsia="en-US"/>
        </w:rPr>
        <w:t xml:space="preserve"> </w:t>
      </w:r>
      <w:r w:rsidR="00836F6E" w:rsidRPr="005B7A17">
        <w:rPr>
          <w:rFonts w:ascii="Arial" w:hAnsi="Arial" w:cs="Arial"/>
          <w:sz w:val="16"/>
          <w:szCs w:val="16"/>
          <w:lang w:eastAsia="en-US"/>
        </w:rPr>
        <w:t>der</w:t>
      </w:r>
      <w:r w:rsidRPr="005B7A17">
        <w:rPr>
          <w:rFonts w:ascii="Arial" w:hAnsi="Arial" w:cs="Arial"/>
          <w:sz w:val="16"/>
          <w:szCs w:val="16"/>
          <w:lang w:eastAsia="en-US"/>
        </w:rPr>
        <w:t xml:space="preserve"> vorläufigen Tagesordnung</w:t>
      </w:r>
    </w:p>
    <w:p w14:paraId="4114535C" w14:textId="5F312417" w:rsidR="000E12CF" w:rsidRPr="00F94A84" w:rsidRDefault="007A2689" w:rsidP="00277F70">
      <w:pPr>
        <w:widowControl/>
        <w:tabs>
          <w:tab w:val="left" w:pos="2977"/>
        </w:tabs>
        <w:overflowPunct/>
        <w:autoSpaceDE/>
        <w:autoSpaceDN/>
        <w:adjustRightInd/>
        <w:snapToGrid w:val="0"/>
        <w:ind w:left="3960" w:firstLine="0"/>
        <w:jc w:val="left"/>
        <w:textAlignment w:val="auto"/>
        <w:rPr>
          <w:rFonts w:ascii="Arial" w:hAnsi="Arial" w:cs="Arial"/>
          <w:b/>
          <w:sz w:val="16"/>
          <w:szCs w:val="16"/>
          <w:lang w:eastAsia="en-US"/>
        </w:rPr>
      </w:pPr>
      <w:r w:rsidRPr="007A2689">
        <w:rPr>
          <w:rFonts w:ascii="Arial" w:hAnsi="Arial" w:cs="Arial"/>
          <w:b/>
          <w:bCs/>
          <w:sz w:val="16"/>
          <w:szCs w:val="16"/>
          <w:lang w:eastAsia="en-US"/>
        </w:rPr>
        <w:t>Vorschläge für Änderungen der dem ADN beigefügten Verordnung: Weitere Änderungsvorschläge</w:t>
      </w:r>
    </w:p>
    <w:p w14:paraId="7D0D4CF3" w14:textId="1644FA54" w:rsidR="00DE6165" w:rsidRPr="000646C7" w:rsidRDefault="000646C7" w:rsidP="00DE6165">
      <w:pPr>
        <w:pStyle w:val="HChG"/>
        <w:ind w:firstLine="0"/>
        <w:rPr>
          <w:lang w:val="de-DE"/>
        </w:rPr>
      </w:pPr>
      <w:r w:rsidRPr="000646C7">
        <w:rPr>
          <w:lang w:val="de-DE"/>
        </w:rPr>
        <w:t>Instruktion für die Lade- und Löschraten</w:t>
      </w:r>
    </w:p>
    <w:p w14:paraId="4182DA61" w14:textId="3D57B061" w:rsidR="00277F70" w:rsidRPr="00DE6165" w:rsidRDefault="00277F70" w:rsidP="00E727CB">
      <w:pPr>
        <w:keepNext/>
        <w:keepLines/>
        <w:widowControl/>
        <w:suppressAutoHyphens/>
        <w:overflowPunct/>
        <w:autoSpaceDE/>
        <w:autoSpaceDN/>
        <w:adjustRightInd/>
        <w:snapToGrid w:val="0"/>
        <w:spacing w:before="360" w:after="240" w:line="270" w:lineRule="exact"/>
        <w:ind w:right="567" w:firstLine="0"/>
        <w:jc w:val="left"/>
        <w:textAlignment w:val="auto"/>
        <w:rPr>
          <w:b/>
          <w:sz w:val="24"/>
        </w:rPr>
      </w:pPr>
      <w:r w:rsidRPr="00DE6165">
        <w:rPr>
          <w:b/>
          <w:sz w:val="24"/>
        </w:rPr>
        <w:t xml:space="preserve">Vorgelegt von </w:t>
      </w:r>
      <w:r w:rsidR="00DE6165" w:rsidRPr="00DE6165">
        <w:rPr>
          <w:b/>
          <w:sz w:val="24"/>
        </w:rPr>
        <w:t>den Niederlanden</w:t>
      </w:r>
      <w:r w:rsidRPr="005B7A17">
        <w:rPr>
          <w:b/>
          <w:sz w:val="18"/>
          <w:vertAlign w:val="superscript"/>
        </w:rPr>
        <w:footnoteReference w:id="1"/>
      </w:r>
      <w:r w:rsidRPr="00DE6165">
        <w:rPr>
          <w:b/>
          <w:sz w:val="18"/>
          <w:vertAlign w:val="superscript"/>
        </w:rPr>
        <w:t>,</w:t>
      </w:r>
      <w:r w:rsidRPr="005B7A17">
        <w:rPr>
          <w:b/>
          <w:sz w:val="18"/>
          <w:vertAlign w:val="superscript"/>
        </w:rPr>
        <w:footnoteReference w:id="2"/>
      </w:r>
    </w:p>
    <w:tbl>
      <w:tblPr>
        <w:tblW w:w="850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2"/>
        <w:gridCol w:w="5953"/>
      </w:tblGrid>
      <w:tr w:rsidR="00E42A5B" w:rsidRPr="00E42A5B" w14:paraId="2AFE32C7" w14:textId="77777777" w:rsidTr="003F55B9">
        <w:trPr>
          <w:jc w:val="center"/>
        </w:trPr>
        <w:tc>
          <w:tcPr>
            <w:tcW w:w="2552" w:type="dxa"/>
          </w:tcPr>
          <w:p w14:paraId="1040F8E3" w14:textId="324E68CA" w:rsidR="00E42A5B" w:rsidRPr="000646C7" w:rsidRDefault="00E42A5B" w:rsidP="00E42A5B">
            <w:pPr>
              <w:widowControl/>
              <w:tabs>
                <w:tab w:val="left" w:pos="284"/>
              </w:tabs>
              <w:suppressAutoHyphens/>
              <w:overflowPunct/>
              <w:autoSpaceDE/>
              <w:autoSpaceDN/>
              <w:adjustRightInd/>
              <w:spacing w:before="120" w:after="120" w:line="240" w:lineRule="atLeast"/>
              <w:ind w:left="0" w:firstLine="0"/>
              <w:jc w:val="left"/>
              <w:textAlignment w:val="auto"/>
              <w:rPr>
                <w:lang w:val="en-GB"/>
              </w:rPr>
            </w:pPr>
            <w:bookmarkStart w:id="0" w:name="_Hlk33099984"/>
            <w:r w:rsidRPr="0041304A">
              <w:rPr>
                <w:b/>
              </w:rPr>
              <w:t>Analytische Zusammenfassung:</w:t>
            </w:r>
          </w:p>
        </w:tc>
        <w:tc>
          <w:tcPr>
            <w:tcW w:w="5953" w:type="dxa"/>
          </w:tcPr>
          <w:p w14:paraId="2798C65A" w14:textId="2FC55DA4" w:rsidR="00E42A5B" w:rsidRPr="00E42A5B" w:rsidRDefault="00E42A5B" w:rsidP="00E42A5B">
            <w:pPr>
              <w:widowControl/>
              <w:suppressAutoHyphens/>
              <w:overflowPunct/>
              <w:autoSpaceDE/>
              <w:autoSpaceDN/>
              <w:adjustRightInd/>
              <w:spacing w:before="120" w:after="120" w:line="240" w:lineRule="atLeast"/>
              <w:ind w:left="0" w:firstLine="0"/>
              <w:jc w:val="left"/>
              <w:textAlignment w:val="auto"/>
            </w:pPr>
            <w:r w:rsidRPr="00E42A5B">
              <w:rPr>
                <w:bCs/>
                <w:szCs w:val="24"/>
              </w:rPr>
              <w:t>Das vorliegende Dokument zielt darauf ab, Änderungen am ADN vorzunehmen, um ein einheitliches Format der Instruktion für die Lade- und Löschraten zu gewährleisten.</w:t>
            </w:r>
          </w:p>
        </w:tc>
      </w:tr>
      <w:tr w:rsidR="00E42A5B" w:rsidRPr="00E42A5B" w14:paraId="2DF45A39" w14:textId="77777777" w:rsidTr="003F55B9">
        <w:trPr>
          <w:trHeight w:val="509"/>
          <w:jc w:val="center"/>
        </w:trPr>
        <w:tc>
          <w:tcPr>
            <w:tcW w:w="2552" w:type="dxa"/>
          </w:tcPr>
          <w:p w14:paraId="74EECC17" w14:textId="562DBB5E" w:rsidR="00E42A5B" w:rsidRPr="000646C7" w:rsidRDefault="00E42A5B" w:rsidP="00E42A5B">
            <w:pPr>
              <w:widowControl/>
              <w:tabs>
                <w:tab w:val="left" w:pos="284"/>
              </w:tabs>
              <w:suppressAutoHyphens/>
              <w:overflowPunct/>
              <w:autoSpaceDE/>
              <w:autoSpaceDN/>
              <w:adjustRightInd/>
              <w:spacing w:before="120" w:after="120" w:line="240" w:lineRule="atLeast"/>
              <w:ind w:left="0" w:firstLine="0"/>
              <w:jc w:val="left"/>
              <w:textAlignment w:val="auto"/>
              <w:rPr>
                <w:b/>
                <w:lang w:val="en-GB"/>
              </w:rPr>
            </w:pPr>
            <w:bookmarkStart w:id="1" w:name="_Hlk74211111"/>
            <w:r w:rsidRPr="0041304A">
              <w:rPr>
                <w:b/>
              </w:rPr>
              <w:t>Zu ergreifende Maßnahme</w:t>
            </w:r>
            <w:bookmarkEnd w:id="1"/>
            <w:r w:rsidRPr="0041304A">
              <w:rPr>
                <w:b/>
              </w:rPr>
              <w:t>:</w:t>
            </w:r>
          </w:p>
        </w:tc>
        <w:tc>
          <w:tcPr>
            <w:tcW w:w="5953" w:type="dxa"/>
          </w:tcPr>
          <w:p w14:paraId="0818795B" w14:textId="2BABEDFA" w:rsidR="00E42A5B" w:rsidRPr="00E42A5B" w:rsidRDefault="00E42A5B" w:rsidP="00E42A5B">
            <w:pPr>
              <w:widowControl/>
              <w:suppressAutoHyphens/>
              <w:overflowPunct/>
              <w:autoSpaceDE/>
              <w:autoSpaceDN/>
              <w:adjustRightInd/>
              <w:spacing w:before="120" w:after="120" w:line="240" w:lineRule="atLeast"/>
              <w:ind w:left="0" w:firstLine="0"/>
              <w:jc w:val="left"/>
              <w:textAlignment w:val="auto"/>
            </w:pPr>
            <w:r w:rsidRPr="00E42A5B">
              <w:t xml:space="preserve">Der ADN-Sicherheitsausschuss wird in Absatz </w:t>
            </w:r>
            <w:r>
              <w:t>13</w:t>
            </w:r>
            <w:r w:rsidRPr="00E42A5B">
              <w:t xml:space="preserve"> gebeten, die Änderungsvorschläge anzunehmen.</w:t>
            </w:r>
          </w:p>
        </w:tc>
      </w:tr>
      <w:tr w:rsidR="000646C7" w:rsidRPr="003D456D" w14:paraId="4C1DD6E6" w14:textId="77777777" w:rsidTr="003F55B9">
        <w:trPr>
          <w:jc w:val="center"/>
        </w:trPr>
        <w:tc>
          <w:tcPr>
            <w:tcW w:w="2552" w:type="dxa"/>
            <w:tcBorders>
              <w:bottom w:val="single" w:sz="4" w:space="0" w:color="auto"/>
            </w:tcBorders>
          </w:tcPr>
          <w:p w14:paraId="1235FF19" w14:textId="3F0E9112" w:rsidR="000646C7" w:rsidRPr="000646C7" w:rsidRDefault="00E42A5B" w:rsidP="000646C7">
            <w:pPr>
              <w:widowControl/>
              <w:tabs>
                <w:tab w:val="left" w:pos="284"/>
              </w:tabs>
              <w:suppressAutoHyphens/>
              <w:overflowPunct/>
              <w:autoSpaceDE/>
              <w:autoSpaceDN/>
              <w:adjustRightInd/>
              <w:spacing w:before="120" w:after="120" w:line="240" w:lineRule="atLeast"/>
              <w:ind w:left="0" w:firstLine="0"/>
              <w:jc w:val="left"/>
              <w:textAlignment w:val="auto"/>
              <w:rPr>
                <w:b/>
                <w:lang w:val="en-GB"/>
              </w:rPr>
            </w:pPr>
            <w:proofErr w:type="spellStart"/>
            <w:r>
              <w:rPr>
                <w:b/>
                <w:lang w:val="en-GB"/>
              </w:rPr>
              <w:t>Verbundene</w:t>
            </w:r>
            <w:proofErr w:type="spellEnd"/>
            <w:r>
              <w:rPr>
                <w:b/>
                <w:lang w:val="en-GB"/>
              </w:rPr>
              <w:t xml:space="preserve"> </w:t>
            </w:r>
            <w:proofErr w:type="spellStart"/>
            <w:r>
              <w:rPr>
                <w:b/>
                <w:lang w:val="en-GB"/>
              </w:rPr>
              <w:t>Dokumente</w:t>
            </w:r>
            <w:proofErr w:type="spellEnd"/>
            <w:r w:rsidR="000646C7" w:rsidRPr="000646C7">
              <w:rPr>
                <w:b/>
                <w:lang w:val="en-GB"/>
              </w:rPr>
              <w:t>:</w:t>
            </w:r>
          </w:p>
        </w:tc>
        <w:tc>
          <w:tcPr>
            <w:tcW w:w="5953" w:type="dxa"/>
            <w:tcBorders>
              <w:bottom w:val="single" w:sz="4" w:space="0" w:color="auto"/>
            </w:tcBorders>
          </w:tcPr>
          <w:p w14:paraId="3C881303" w14:textId="02A6913F" w:rsidR="000646C7" w:rsidRPr="00E42A5B" w:rsidRDefault="00E42A5B" w:rsidP="000646C7">
            <w:pPr>
              <w:widowControl/>
              <w:suppressAutoHyphens/>
              <w:overflowPunct/>
              <w:autoSpaceDE/>
              <w:autoSpaceDN/>
              <w:adjustRightInd/>
              <w:spacing w:line="240" w:lineRule="atLeast"/>
              <w:ind w:left="0" w:firstLine="0"/>
              <w:jc w:val="left"/>
              <w:textAlignment w:val="auto"/>
            </w:pPr>
            <w:r w:rsidRPr="00E42A5B">
              <w:t>Informelles Dokument</w:t>
            </w:r>
            <w:r w:rsidR="000646C7" w:rsidRPr="00E42A5B">
              <w:t xml:space="preserve"> INF.12 </w:t>
            </w:r>
            <w:r w:rsidRPr="00E42A5B">
              <w:t xml:space="preserve">der 34. </w:t>
            </w:r>
            <w:r w:rsidR="007A3322">
              <w:t>Sitzung</w:t>
            </w:r>
          </w:p>
          <w:p w14:paraId="4B4E2505" w14:textId="1C45E7FE" w:rsidR="000646C7" w:rsidRPr="002E799A" w:rsidRDefault="000646C7" w:rsidP="000646C7">
            <w:pPr>
              <w:widowControl/>
              <w:suppressAutoHyphens/>
              <w:overflowPunct/>
              <w:autoSpaceDE/>
              <w:autoSpaceDN/>
              <w:adjustRightInd/>
              <w:spacing w:line="240" w:lineRule="atLeast"/>
              <w:ind w:left="0" w:firstLine="0"/>
              <w:jc w:val="left"/>
              <w:textAlignment w:val="auto"/>
              <w:rPr>
                <w:lang w:val="en-US"/>
              </w:rPr>
            </w:pPr>
            <w:r w:rsidRPr="002E799A">
              <w:rPr>
                <w:lang w:val="en-US"/>
              </w:rPr>
              <w:t>ECE/TRANS/WP.15/AC.2/70 (</w:t>
            </w:r>
            <w:proofErr w:type="spellStart"/>
            <w:r w:rsidR="007A3322" w:rsidRPr="002E799A">
              <w:rPr>
                <w:lang w:val="en-US"/>
              </w:rPr>
              <w:t>Nrn</w:t>
            </w:r>
            <w:proofErr w:type="spellEnd"/>
            <w:r w:rsidR="007A3322" w:rsidRPr="002E799A">
              <w:rPr>
                <w:lang w:val="en-US"/>
              </w:rPr>
              <w:t>.</w:t>
            </w:r>
            <w:r w:rsidRPr="002E799A">
              <w:rPr>
                <w:lang w:val="en-US"/>
              </w:rPr>
              <w:t xml:space="preserve"> 16-17)</w:t>
            </w:r>
          </w:p>
          <w:p w14:paraId="0FEEFCDF" w14:textId="49173615" w:rsidR="000646C7" w:rsidRPr="00E42A5B" w:rsidRDefault="00E42A5B" w:rsidP="000646C7">
            <w:pPr>
              <w:widowControl/>
              <w:suppressAutoHyphens/>
              <w:overflowPunct/>
              <w:autoSpaceDE/>
              <w:autoSpaceDN/>
              <w:adjustRightInd/>
              <w:spacing w:line="240" w:lineRule="atLeast"/>
              <w:ind w:left="0" w:firstLine="0"/>
              <w:jc w:val="left"/>
              <w:textAlignment w:val="auto"/>
            </w:pPr>
            <w:r w:rsidRPr="00E42A5B">
              <w:t>Informelles Dokument</w:t>
            </w:r>
            <w:r w:rsidR="000646C7" w:rsidRPr="00E42A5B">
              <w:t xml:space="preserve"> INF.9 </w:t>
            </w:r>
            <w:r w:rsidRPr="00E42A5B">
              <w:t xml:space="preserve">der 35. </w:t>
            </w:r>
            <w:r w:rsidR="007A3322">
              <w:t>Sitzung</w:t>
            </w:r>
          </w:p>
          <w:p w14:paraId="5E67B87F" w14:textId="632AAB73" w:rsidR="000646C7" w:rsidRPr="000646C7" w:rsidRDefault="000646C7" w:rsidP="000646C7">
            <w:pPr>
              <w:widowControl/>
              <w:suppressAutoHyphens/>
              <w:overflowPunct/>
              <w:autoSpaceDE/>
              <w:autoSpaceDN/>
              <w:adjustRightInd/>
              <w:spacing w:after="120" w:line="240" w:lineRule="atLeast"/>
              <w:ind w:left="0" w:firstLine="0"/>
              <w:jc w:val="left"/>
              <w:textAlignment w:val="auto"/>
              <w:rPr>
                <w:lang w:val="en-GB"/>
              </w:rPr>
            </w:pPr>
            <w:r w:rsidRPr="007A3322">
              <w:rPr>
                <w:lang w:val="en-US"/>
              </w:rPr>
              <w:t>ECE/TRANS/WP.15/AC.2/72 (</w:t>
            </w:r>
            <w:proofErr w:type="spellStart"/>
            <w:r w:rsidR="007A3322" w:rsidRPr="007A3322">
              <w:rPr>
                <w:lang w:val="en-US"/>
              </w:rPr>
              <w:t>Nrn</w:t>
            </w:r>
            <w:proofErr w:type="spellEnd"/>
            <w:r w:rsidR="007A3322" w:rsidRPr="007A3322">
              <w:rPr>
                <w:lang w:val="en-US"/>
              </w:rPr>
              <w:t>.</w:t>
            </w:r>
            <w:r w:rsidRPr="007A3322">
              <w:rPr>
                <w:lang w:val="en-US"/>
              </w:rPr>
              <w:t xml:space="preserve"> </w:t>
            </w:r>
            <w:r w:rsidRPr="000646C7">
              <w:rPr>
                <w:lang w:val="en-GB"/>
              </w:rPr>
              <w:t>14-16)</w:t>
            </w:r>
            <w:r w:rsidRPr="000646C7">
              <w:rPr>
                <w:lang w:val="en-GB"/>
              </w:rPr>
              <w:br/>
              <w:t>ECE/TRANS/WP.15/AC.2/2020/37</w:t>
            </w:r>
            <w:r w:rsidRPr="000646C7">
              <w:rPr>
                <w:lang w:val="en-GB"/>
              </w:rPr>
              <w:br/>
              <w:t>ECE/TRANS/WP.15/AC.2/76 (</w:t>
            </w:r>
            <w:proofErr w:type="spellStart"/>
            <w:r w:rsidR="007A3322" w:rsidRPr="007A3322">
              <w:rPr>
                <w:lang w:val="en-GB"/>
              </w:rPr>
              <w:t>Nrn</w:t>
            </w:r>
            <w:proofErr w:type="spellEnd"/>
            <w:r w:rsidR="007A3322" w:rsidRPr="007A3322">
              <w:rPr>
                <w:lang w:val="en-GB"/>
              </w:rPr>
              <w:t>.</w:t>
            </w:r>
            <w:r w:rsidRPr="000646C7">
              <w:rPr>
                <w:lang w:val="en-GB"/>
              </w:rPr>
              <w:t xml:space="preserve"> 71-72)</w:t>
            </w:r>
          </w:p>
        </w:tc>
      </w:tr>
    </w:tbl>
    <w:p w14:paraId="2FCA0B93" w14:textId="5116112E" w:rsidR="000646C7" w:rsidRPr="002E799A" w:rsidRDefault="000646C7" w:rsidP="000646C7">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0646C7">
        <w:rPr>
          <w:b/>
          <w:sz w:val="28"/>
          <w:lang w:val="en-GB"/>
        </w:rPr>
        <w:tab/>
      </w:r>
      <w:r w:rsidRPr="000646C7">
        <w:rPr>
          <w:b/>
          <w:sz w:val="28"/>
          <w:lang w:val="en-GB"/>
        </w:rPr>
        <w:tab/>
      </w:r>
      <w:r w:rsidRPr="002E799A">
        <w:rPr>
          <w:b/>
          <w:sz w:val="28"/>
        </w:rPr>
        <w:t>Einleitung</w:t>
      </w:r>
    </w:p>
    <w:p w14:paraId="1605716C" w14:textId="77777777"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rsidRPr="00760EB9">
        <w:t>1.</w:t>
      </w:r>
      <w:r w:rsidRPr="00760EB9">
        <w:tab/>
        <w:t xml:space="preserve">Die dem ADN beigefügte Verordnung enthält viele spezifische Vorschriften bezüglich der Lade- und Löschraten. Detaillierte Vorschriften bezüglich der maximal </w:t>
      </w:r>
      <w:bookmarkStart w:id="2" w:name="_Hlk43479184"/>
      <w:r w:rsidRPr="00760EB9">
        <w:t xml:space="preserve">zulässigen Lade- und Löschraten </w:t>
      </w:r>
      <w:bookmarkEnd w:id="2"/>
      <w:r w:rsidRPr="00760EB9">
        <w:t xml:space="preserve">tragen dazu bei, die elektrostatische Aufladung der Ladung, ein Auslaufen und die Implosion oder Explosion von Ladetanks zu verhindern. Die Vorschriften der beigefügten Verordnung sind jedoch unzureichend bezüglich der Instruktion für die Lade- und Löschraten. </w:t>
      </w:r>
    </w:p>
    <w:p w14:paraId="69DD0C7B" w14:textId="77777777" w:rsidR="007A3322" w:rsidRPr="00760EB9" w:rsidRDefault="007A3322" w:rsidP="007A3322">
      <w:pPr>
        <w:widowControl/>
        <w:overflowPunct/>
        <w:autoSpaceDE/>
        <w:autoSpaceDN/>
        <w:adjustRightInd/>
        <w:ind w:left="0" w:firstLine="0"/>
        <w:jc w:val="left"/>
        <w:textAlignment w:val="auto"/>
      </w:pPr>
      <w:r w:rsidRPr="00760EB9">
        <w:br w:type="page"/>
      </w:r>
    </w:p>
    <w:p w14:paraId="6034B920" w14:textId="0A76A051"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rsidRPr="00760EB9">
        <w:lastRenderedPageBreak/>
        <w:t>2.</w:t>
      </w:r>
      <w:r w:rsidRPr="00760EB9">
        <w:tab/>
        <w:t xml:space="preserve">Da die derzeitigen Vorschriften so allgemein formuliert sind, wurde in den letzten Jahrzehnten von der Abfüll- und Beförderungsindustrie eine Vielzahl von Formaten entwickelt, um die Vorschriften der dem ADN beigefügten Verordnung zu erfüllen. Sicheres Laden und Löschen erfordert grundlegende Informationen sowohl bezüglich des befördernden Schiffes als auch (der (Dampfdichte) des beförderten Stoffes. Leider werden diese Informationen nicht immer ordnungsgemäß mitgeteilt oder genutzt, wodurch beim Laden und Löschen potenziell gefährliche Situationen entstehen können. In der Praxis werden manchmal die falschen Dokumente, wie die (beim Bau des Schiffes durchgeführte) Druckabfallberechnung und das Entwurfsbewertungsdokument, als </w:t>
      </w:r>
      <w:bookmarkStart w:id="3" w:name="_Hlk43478414"/>
      <w:r w:rsidRPr="00760EB9">
        <w:t>Instruktion für die Lade- und Löschraten</w:t>
      </w:r>
      <w:bookmarkEnd w:id="3"/>
      <w:r w:rsidRPr="00760EB9">
        <w:t xml:space="preserve"> „verwendet“. </w:t>
      </w:r>
    </w:p>
    <w:p w14:paraId="35F94301" w14:textId="4FCC5B9D"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rsidRPr="00760EB9">
        <w:t>3.</w:t>
      </w:r>
      <w:r w:rsidRPr="00760EB9">
        <w:tab/>
        <w:t xml:space="preserve">Auf der vierunddreißigsten und fünfunddreißigsten Sitzung des </w:t>
      </w:r>
      <w:r>
        <w:t>ADN</w:t>
      </w:r>
      <w:r w:rsidR="008D7A69">
        <w:t>-</w:t>
      </w:r>
      <w:r w:rsidRPr="00760EB9">
        <w:t xml:space="preserve">Sicherheitsausschusses legten die Niederlande ein von den niederländischen Inspektionsstellen, der Abfüllindustrie und der Beförderungsindustrie im Jahr 2018 gemeinsam entwickeltes Muster für die Instruktion für die Lade- und Löschraten vor. Mit diesem Muster werden effiziente Abfüllabläufe gewährleistet und gleichzeitig die elektrostatische Aufladung der Ladung, ein Auslaufen und die Implosion oder Explosion von Ladetanks verhindert. Auf der fünfunddreißigsten Sitzung stellten EBU/ESO dieses Muster dem Sicherheitsausschuss vor. Der Sicherheitsausschuss begrüßte die </w:t>
      </w:r>
      <w:r>
        <w:t>I</w:t>
      </w:r>
      <w:r w:rsidRPr="00760EB9">
        <w:t>nitiative zur Entwicklung eines allgemeinen Musters für die Instruktion für die Lade- und Löschraten mit Angabe der zulässigen Lade- und Löschraten unter Berücksichtigung der spezifischen Schiffsbauweise sowie der Stoffeigenschaften.</w:t>
      </w:r>
    </w:p>
    <w:p w14:paraId="2ADE4281" w14:textId="77777777" w:rsidR="00A100ED" w:rsidRPr="00955824" w:rsidRDefault="00A100ED" w:rsidP="00A100ED">
      <w:pPr>
        <w:widowControl/>
        <w:tabs>
          <w:tab w:val="left" w:pos="1701"/>
        </w:tabs>
        <w:suppressAutoHyphens/>
        <w:overflowPunct/>
        <w:autoSpaceDE/>
        <w:autoSpaceDN/>
        <w:adjustRightInd/>
        <w:spacing w:after="120" w:line="240" w:lineRule="atLeast"/>
        <w:ind w:right="1134" w:firstLine="0"/>
        <w:textAlignment w:val="auto"/>
      </w:pPr>
      <w:r w:rsidRPr="00955824">
        <w:t>4.</w:t>
      </w:r>
      <w:r w:rsidRPr="00955824">
        <w:tab/>
        <w:t>Im informellen Dokument INF.2 sind zwei Beispiele für die einheitliche Instruktion für die Lade- und Löschraten zu finden.</w:t>
      </w:r>
    </w:p>
    <w:p w14:paraId="0A8DE111" w14:textId="2BAA08B6" w:rsidR="000646C7" w:rsidRPr="002E799A" w:rsidRDefault="00A100ED" w:rsidP="00A100ED">
      <w:pPr>
        <w:widowControl/>
        <w:tabs>
          <w:tab w:val="left" w:pos="1701"/>
        </w:tabs>
        <w:suppressAutoHyphens/>
        <w:overflowPunct/>
        <w:autoSpaceDE/>
        <w:autoSpaceDN/>
        <w:adjustRightInd/>
        <w:spacing w:after="120" w:line="240" w:lineRule="atLeast"/>
        <w:ind w:right="1134" w:firstLine="0"/>
        <w:textAlignment w:val="auto"/>
      </w:pPr>
      <w:r w:rsidRPr="00955824">
        <w:t>5.</w:t>
      </w:r>
      <w:r w:rsidRPr="00955824">
        <w:tab/>
        <w:t xml:space="preserve">Auf der siebenunddreißigsten Sitzung des ADN-Sicherheitsausschusses wurden einige Bedenken hinsichtlich der Verfügbarkeit der Dampfdichtedaten und der Vorgehensweise bei fehlenden Dampfdichtedaten geäußert. Sowohl die Vertreter der </w:t>
      </w:r>
      <w:proofErr w:type="spellStart"/>
      <w:r w:rsidRPr="00955824">
        <w:t>Befüller</w:t>
      </w:r>
      <w:proofErr w:type="spellEnd"/>
      <w:r w:rsidRPr="00955824">
        <w:t xml:space="preserve"> als auch die Inspektionsstellen haben erklärt, dass die Dampfdichtedaten ohne weiteres verfügbar seien. </w:t>
      </w:r>
      <w:bookmarkStart w:id="4" w:name="_Hlk73007392"/>
      <w:r w:rsidRPr="00955824">
        <w:t xml:space="preserve">Von </w:t>
      </w:r>
      <w:proofErr w:type="spellStart"/>
      <w:r w:rsidRPr="00955824">
        <w:t>Befüllern</w:t>
      </w:r>
      <w:proofErr w:type="spellEnd"/>
      <w:r w:rsidRPr="00955824">
        <w:t xml:space="preserve"> und Absendern seien Listen mit Dampfdichtedaten für Produktreihen erstellt worden. Für den Fall, dass keine Dampfdichtedaten verfügbar sind, werde ein Worst-Case-Szenario angewendet, um die Sicherheit aller Beteiligten zu gewährleisten. </w:t>
      </w:r>
      <w:bookmarkEnd w:id="4"/>
      <w:r w:rsidRPr="00955824">
        <w:t>Daraus ergäben sich maximal reduzierte Laderaten.</w:t>
      </w:r>
    </w:p>
    <w:p w14:paraId="0DBFD835" w14:textId="77777777" w:rsidR="007A3322" w:rsidRPr="00760EB9" w:rsidRDefault="000646C7" w:rsidP="007A3322">
      <w:pPr>
        <w:keepNext/>
        <w:keepLines/>
        <w:widowControl/>
        <w:tabs>
          <w:tab w:val="right" w:pos="851"/>
          <w:tab w:val="left" w:pos="1701"/>
        </w:tabs>
        <w:suppressAutoHyphens/>
        <w:overflowPunct/>
        <w:autoSpaceDE/>
        <w:autoSpaceDN/>
        <w:adjustRightInd/>
        <w:spacing w:before="360" w:after="240" w:line="300" w:lineRule="exact"/>
        <w:ind w:right="1134"/>
        <w:jc w:val="left"/>
        <w:textAlignment w:val="auto"/>
        <w:rPr>
          <w:b/>
          <w:sz w:val="28"/>
        </w:rPr>
      </w:pPr>
      <w:r w:rsidRPr="002E799A">
        <w:rPr>
          <w:b/>
          <w:sz w:val="28"/>
        </w:rPr>
        <w:tab/>
      </w:r>
      <w:r w:rsidRPr="002E799A">
        <w:rPr>
          <w:b/>
          <w:sz w:val="28"/>
        </w:rPr>
        <w:tab/>
      </w:r>
      <w:r w:rsidR="007A3322" w:rsidRPr="00760EB9">
        <w:rPr>
          <w:b/>
          <w:sz w:val="28"/>
        </w:rPr>
        <w:t>Erläuterung der vorgeschlagenen Änderungen</w:t>
      </w:r>
    </w:p>
    <w:p w14:paraId="13D62E44" w14:textId="4034EBDF"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t>6</w:t>
      </w:r>
      <w:r w:rsidRPr="00760EB9">
        <w:t>.</w:t>
      </w:r>
      <w:r w:rsidRPr="00760EB9">
        <w:tab/>
        <w:t xml:space="preserve">Auf der fünfunddreißigsten Sitzung des </w:t>
      </w:r>
      <w:r>
        <w:t>ADN</w:t>
      </w:r>
      <w:r w:rsidR="008D7A69">
        <w:t>-</w:t>
      </w:r>
      <w:r w:rsidRPr="00760EB9">
        <w:t xml:space="preserve">Sicherheitsausschusses stellte sich die Frage, wer für die Abfassung der </w:t>
      </w:r>
      <w:bookmarkStart w:id="5" w:name="_Hlk43709649"/>
      <w:r w:rsidRPr="00760EB9">
        <w:t xml:space="preserve">Instruktion für die Lade- und Löschraten </w:t>
      </w:r>
      <w:bookmarkEnd w:id="5"/>
      <w:r w:rsidRPr="00760EB9">
        <w:t>zuständig sein soll. Da die Instruktion für die Lade- und Löschraten eine wichtige Rolle für die Sicherheit aller Lade- und Löscharbeiten spielt, schlägt die niederländische Delegation vor, die das Schiff klassifizierende Klassifikations</w:t>
      </w:r>
      <w:r w:rsidR="008D7A69">
        <w:softHyphen/>
      </w:r>
      <w:r w:rsidRPr="00760EB9">
        <w:t xml:space="preserve">gesellschaft mit dem Entwurf und der Ausstellung der </w:t>
      </w:r>
      <w:bookmarkStart w:id="6" w:name="_Hlk43710213"/>
      <w:r w:rsidRPr="00760EB9">
        <w:t>Instruktion für die Lade- und Löschraten</w:t>
      </w:r>
      <w:bookmarkEnd w:id="6"/>
      <w:r w:rsidRPr="00760EB9">
        <w:t xml:space="preserve"> zu betrauen. Dies würde auch die einheitliche Gestaltung der Instruktion erleichtern.</w:t>
      </w:r>
    </w:p>
    <w:p w14:paraId="1AB9A559" w14:textId="494990F8"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t>7</w:t>
      </w:r>
      <w:r w:rsidRPr="00760EB9">
        <w:t>.</w:t>
      </w:r>
      <w:r w:rsidRPr="00760EB9">
        <w:tab/>
        <w:t xml:space="preserve">Die bestehenden Spezifikationen und Anforderungen bezüglich der Instruktion für die Lade- und Löschraten sind in den Absätzen 7.2.4.16.15 und 9.3.X.25.9 enthalten. Die Anforderungen an die Berechnungen, die für die Abfassung der Instruktion für die Lade- und Löschraten erforderlich sind, und die Anforderungen an die Verwendung der Instruktion sind miteinander verquickt. Die niederländische Delegation schlägt vor, die Anforderungen an die Berechnungen und die Abfassung der Instruktion für die Lade- und Löschraten an einer Stelle zusammenzuführen. Da die Berechnungen für die Abfassung der Instruktion für die Lade- und Löschraten von der spezifischen Schiffsbauweise abhängen, wird vorgeschlagen, die Anforderungen an die Berechnungen und die </w:t>
      </w:r>
      <w:bookmarkStart w:id="7" w:name="_Hlk43718786"/>
      <w:r w:rsidRPr="00760EB9">
        <w:t xml:space="preserve">Abfassung </w:t>
      </w:r>
      <w:bookmarkEnd w:id="7"/>
      <w:r w:rsidRPr="00760EB9">
        <w:t xml:space="preserve">der Instruktion für die Lade- und Löschraten in Kapitel 9 zu bündeln. </w:t>
      </w:r>
    </w:p>
    <w:p w14:paraId="5F08F51D" w14:textId="32F3E898" w:rsidR="007A3322" w:rsidRDefault="007A3322" w:rsidP="007A3322">
      <w:pPr>
        <w:widowControl/>
        <w:tabs>
          <w:tab w:val="left" w:pos="1701"/>
        </w:tabs>
        <w:suppressAutoHyphens/>
        <w:overflowPunct/>
        <w:autoSpaceDE/>
        <w:autoSpaceDN/>
        <w:adjustRightInd/>
        <w:spacing w:after="120" w:line="240" w:lineRule="atLeast"/>
        <w:ind w:right="1134" w:firstLine="0"/>
        <w:textAlignment w:val="auto"/>
      </w:pPr>
      <w:r>
        <w:lastRenderedPageBreak/>
        <w:t>8</w:t>
      </w:r>
      <w:r w:rsidRPr="00760EB9">
        <w:t>.</w:t>
      </w:r>
      <w:r w:rsidRPr="00760EB9">
        <w:tab/>
        <w:t xml:space="preserve">Die Anforderungen an die Anwendung der Instruktion für die Lade- und Löschraten werden in Kapitel 7 vorgeschlagen. Die maximale </w:t>
      </w:r>
      <w:bookmarkStart w:id="8" w:name="_Hlk43731512"/>
      <w:r w:rsidRPr="00760EB9">
        <w:t>Anfangs-, Mittel- und End</w:t>
      </w:r>
      <w:bookmarkEnd w:id="8"/>
      <w:r w:rsidRPr="00760EB9">
        <w:t xml:space="preserve">laderate sollte unter Anwendung der Instruktion für die Lade- und Löschraten festgelegt werden. Der Schiffsführer sollte jedoch die Möglichkeit haben, aufgrund örtlicher Gegebenheiten oder aus nautischen Gründen von den in der Instruktion für die Lade- und Löschraten angegebenen maximalen Laderaten abzuweichen. Die zu verwendenden Laderaten sollten, wie in Absatz 7.2.4.16.1 vorgeschlagen, zwischen dem Schiffsführer und dem Personal der Landanlage unter Berücksichtigung der maximalen Laderaten und anderer Gegebenheiten vereinbart werden. In Abschnitt 8.6.3 wird eine entsprechende </w:t>
      </w:r>
      <w:r>
        <w:t>Folgeä</w:t>
      </w:r>
      <w:r w:rsidRPr="00760EB9">
        <w:t xml:space="preserve">nderung der ADN-Prüfliste vorgeschlagen. </w:t>
      </w:r>
    </w:p>
    <w:p w14:paraId="074B2D17" w14:textId="684BC8AF" w:rsidR="002E799A" w:rsidRDefault="007A3322" w:rsidP="007A3322">
      <w:pPr>
        <w:widowControl/>
        <w:tabs>
          <w:tab w:val="left" w:pos="1701"/>
        </w:tabs>
        <w:suppressAutoHyphens/>
        <w:overflowPunct/>
        <w:autoSpaceDE/>
        <w:autoSpaceDN/>
        <w:adjustRightInd/>
        <w:spacing w:after="120" w:line="240" w:lineRule="atLeast"/>
        <w:ind w:right="1134" w:firstLine="0"/>
        <w:textAlignment w:val="auto"/>
      </w:pPr>
      <w:r>
        <w:t>9</w:t>
      </w:r>
      <w:r w:rsidRPr="00760EB9">
        <w:t>.</w:t>
      </w:r>
      <w:r w:rsidRPr="00760EB9">
        <w:tab/>
        <w:t xml:space="preserve">Der </w:t>
      </w:r>
      <w:proofErr w:type="spellStart"/>
      <w:r w:rsidRPr="00760EB9">
        <w:t>Befüller</w:t>
      </w:r>
      <w:proofErr w:type="spellEnd"/>
      <w:r w:rsidRPr="00760EB9">
        <w:t xml:space="preserve"> hat die besondere Pflicht, sicherzustellen dass die </w:t>
      </w:r>
      <w:proofErr w:type="spellStart"/>
      <w:r w:rsidRPr="00760EB9">
        <w:t>Laderate</w:t>
      </w:r>
      <w:proofErr w:type="spellEnd"/>
      <w:r w:rsidRPr="00760EB9">
        <w:t xml:space="preserve"> in Übereinstimmung mit der </w:t>
      </w:r>
      <w:bookmarkStart w:id="9" w:name="_Hlk43724810"/>
      <w:r w:rsidRPr="00760EB9">
        <w:t xml:space="preserve">Instruktion für die Lade- und Löschraten </w:t>
      </w:r>
      <w:bookmarkEnd w:id="9"/>
      <w:r w:rsidRPr="00760EB9">
        <w:t xml:space="preserve">ist (1.4.3.3 s)). Zu diesem Zweck muss der </w:t>
      </w:r>
      <w:proofErr w:type="spellStart"/>
      <w:r w:rsidRPr="00760EB9">
        <w:t>Befüller</w:t>
      </w:r>
      <w:proofErr w:type="spellEnd"/>
      <w:r w:rsidRPr="00760EB9">
        <w:t xml:space="preserve"> die relevanten Dampf</w:t>
      </w:r>
      <w:r w:rsidR="00A70344">
        <w:t>dichte</w:t>
      </w:r>
      <w:r w:rsidRPr="00760EB9">
        <w:t xml:space="preserve">daten des zu ladenden Stoffes angeben, damit die </w:t>
      </w:r>
      <w:bookmarkStart w:id="10" w:name="_Hlk43725956"/>
      <w:r w:rsidRPr="00760EB9">
        <w:t xml:space="preserve">Instruktion für die Lade- und Löschraten </w:t>
      </w:r>
      <w:bookmarkEnd w:id="10"/>
      <w:r w:rsidRPr="00760EB9">
        <w:t xml:space="preserve">ordnungsgemäß angewendet werden kann. </w:t>
      </w:r>
      <w:r w:rsidR="00025F73" w:rsidRPr="002E799A">
        <w:t xml:space="preserve">Der </w:t>
      </w:r>
      <w:proofErr w:type="spellStart"/>
      <w:r w:rsidR="00025F73" w:rsidRPr="002E799A">
        <w:t>Befüller</w:t>
      </w:r>
      <w:proofErr w:type="spellEnd"/>
      <w:r w:rsidR="00025F73" w:rsidRPr="002E799A">
        <w:t xml:space="preserve"> sollte</w:t>
      </w:r>
      <w:r w:rsidR="00025F73">
        <w:t xml:space="preserve"> sich</w:t>
      </w:r>
      <w:r w:rsidR="00025F73" w:rsidRPr="002E799A">
        <w:t xml:space="preserve"> jedoch auf die ihm </w:t>
      </w:r>
      <w:r w:rsidR="00025F73">
        <w:t>vom Absender</w:t>
      </w:r>
      <w:r w:rsidR="00025F73" w:rsidRPr="002E799A">
        <w:t xml:space="preserve"> zur Verfügung gestellten Informationen und Daten </w:t>
      </w:r>
      <w:r w:rsidR="00025F73">
        <w:t xml:space="preserve">verlassen können. </w:t>
      </w:r>
      <w:r w:rsidR="002E799A" w:rsidRPr="002E799A">
        <w:t>Änderungen, die dies widerspiegeln, werden ebenfalls vorgeschlagen</w:t>
      </w:r>
      <w:r w:rsidR="00025F73">
        <w:t>.</w:t>
      </w:r>
    </w:p>
    <w:p w14:paraId="019A8C65" w14:textId="3E5EE167"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r>
        <w:t>10</w:t>
      </w:r>
      <w:r w:rsidRPr="00760EB9">
        <w:t>.</w:t>
      </w:r>
      <w:r w:rsidRPr="00760EB9">
        <w:tab/>
        <w:t>Da die Instruktion in der Liste der Dokumente enthalten ist, die an Bord von Tankschiffen mitzuführen sind (8.1.2.3 i)), wird eine Änderung zur Angleichung des Wortlauts im gesamten ADN vorgeschlagen. Von der Aufnahme einer Begriffsbestimmung für die Instruktion für die Lade- und Löschraten in das ADN wird abgesehen, da Dokumente im ADN üblicherweise nicht definiert werden.</w:t>
      </w:r>
    </w:p>
    <w:p w14:paraId="1D5EBD82" w14:textId="77777777" w:rsidR="007A3322" w:rsidRPr="00760EB9" w:rsidRDefault="007A3322" w:rsidP="007A3322">
      <w:pPr>
        <w:widowControl/>
        <w:tabs>
          <w:tab w:val="left" w:pos="1701"/>
        </w:tabs>
        <w:suppressAutoHyphens/>
        <w:overflowPunct/>
        <w:autoSpaceDE/>
        <w:autoSpaceDN/>
        <w:adjustRightInd/>
        <w:spacing w:after="120" w:line="240" w:lineRule="atLeast"/>
        <w:ind w:right="1134" w:firstLine="0"/>
        <w:textAlignment w:val="auto"/>
      </w:pPr>
    </w:p>
    <w:p w14:paraId="5993F39A" w14:textId="45242363" w:rsidR="000646C7" w:rsidRPr="00FA3B25" w:rsidRDefault="000646C7" w:rsidP="000646C7">
      <w:pPr>
        <w:widowControl/>
        <w:suppressAutoHyphens/>
        <w:overflowPunct/>
        <w:autoSpaceDE/>
        <w:autoSpaceDN/>
        <w:adjustRightInd/>
        <w:spacing w:before="120" w:after="120" w:line="276" w:lineRule="auto"/>
        <w:ind w:right="1134" w:firstLine="0"/>
        <w:textAlignment w:val="auto"/>
        <w:rPr>
          <w:b/>
          <w:sz w:val="24"/>
          <w:szCs w:val="24"/>
        </w:rPr>
      </w:pPr>
      <w:r w:rsidRPr="00FA3B25">
        <w:rPr>
          <w:b/>
          <w:sz w:val="24"/>
          <w:szCs w:val="24"/>
        </w:rPr>
        <w:t>Änderungen</w:t>
      </w:r>
    </w:p>
    <w:p w14:paraId="59D5E5D5" w14:textId="58FA019C" w:rsidR="00FA3B25" w:rsidRDefault="00FA3B25" w:rsidP="00FA3B25">
      <w:pPr>
        <w:widowControl/>
        <w:tabs>
          <w:tab w:val="left" w:pos="1701"/>
        </w:tabs>
        <w:suppressAutoHyphens/>
        <w:overflowPunct/>
        <w:autoSpaceDE/>
        <w:autoSpaceDN/>
        <w:adjustRightInd/>
        <w:spacing w:after="120" w:line="240" w:lineRule="atLeast"/>
        <w:ind w:right="1134" w:firstLine="0"/>
        <w:textAlignment w:val="auto"/>
        <w:rPr>
          <w:strike/>
        </w:rPr>
      </w:pPr>
      <w:r>
        <w:t>11</w:t>
      </w:r>
      <w:r w:rsidRPr="00760EB9">
        <w:t>.</w:t>
      </w:r>
      <w:r w:rsidRPr="00760EB9">
        <w:tab/>
        <w:t xml:space="preserve">Die Änderungsvorschläge sind </w:t>
      </w:r>
      <w:r w:rsidRPr="00FA3B25">
        <w:rPr>
          <w:b/>
          <w:bCs/>
          <w:u w:val="single"/>
        </w:rPr>
        <w:t>fettgedruckt und unterstrichen</w:t>
      </w:r>
      <w:r w:rsidRPr="00760EB9">
        <w:t xml:space="preserve">, </w:t>
      </w:r>
      <w:r w:rsidRPr="00FA3B25">
        <w:rPr>
          <w:strike/>
        </w:rPr>
        <w:t>gestrichener Text ist durchgestrichen:</w:t>
      </w:r>
    </w:p>
    <w:p w14:paraId="207B8F30" w14:textId="1856C8C9" w:rsidR="00FA3B25" w:rsidRDefault="00FA3B25" w:rsidP="00FA3B25">
      <w:pPr>
        <w:widowControl/>
        <w:tabs>
          <w:tab w:val="left" w:pos="1701"/>
        </w:tabs>
        <w:suppressAutoHyphens/>
        <w:overflowPunct/>
        <w:autoSpaceDE/>
        <w:autoSpaceDN/>
        <w:adjustRightInd/>
        <w:spacing w:after="120" w:line="240" w:lineRule="atLeast"/>
        <w:ind w:right="1134" w:firstLine="0"/>
        <w:textAlignment w:val="auto"/>
      </w:pPr>
      <w:r w:rsidRPr="00FA3B25">
        <w:t xml:space="preserve">1.4.3.3 in 1.4.3.3.1 </w:t>
      </w:r>
      <w:proofErr w:type="spellStart"/>
      <w:r w:rsidRPr="00FA3B25">
        <w:t>umnummerieren</w:t>
      </w:r>
      <w:proofErr w:type="spellEnd"/>
      <w:r w:rsidRPr="00FA3B25">
        <w:t xml:space="preserve"> und wie folgt ändern:</w:t>
      </w:r>
    </w:p>
    <w:p w14:paraId="5755226B" w14:textId="781D9EB0" w:rsidR="00216409" w:rsidRPr="00535182" w:rsidRDefault="00216409" w:rsidP="00216409">
      <w:pPr>
        <w:widowControl/>
        <w:tabs>
          <w:tab w:val="left" w:pos="1701"/>
        </w:tabs>
        <w:suppressAutoHyphens/>
        <w:overflowPunct/>
        <w:autoSpaceDE/>
        <w:autoSpaceDN/>
        <w:adjustRightInd/>
        <w:spacing w:after="120" w:line="240" w:lineRule="atLeast"/>
        <w:ind w:right="1134" w:firstLine="0"/>
        <w:textAlignment w:val="auto"/>
        <w:rPr>
          <w:b/>
          <w:bCs/>
        </w:rPr>
      </w:pPr>
      <w:r>
        <w:t>„</w:t>
      </w:r>
      <w:r w:rsidRPr="00535182">
        <w:rPr>
          <w:b/>
          <w:bCs/>
        </w:rPr>
        <w:t>1.4.3.3</w:t>
      </w:r>
      <w:r>
        <w:rPr>
          <w:b/>
          <w:bCs/>
        </w:rPr>
        <w:tab/>
      </w:r>
      <w:proofErr w:type="spellStart"/>
      <w:r w:rsidRPr="00535182">
        <w:rPr>
          <w:b/>
          <w:bCs/>
          <w:i/>
          <w:iCs/>
        </w:rPr>
        <w:t>Befüller</w:t>
      </w:r>
      <w:proofErr w:type="spellEnd"/>
      <w:r w:rsidRPr="00535182">
        <w:rPr>
          <w:b/>
          <w:bCs/>
        </w:rPr>
        <w:t xml:space="preserve"> </w:t>
      </w:r>
    </w:p>
    <w:p w14:paraId="35B4A95A" w14:textId="77777777" w:rsidR="00054934" w:rsidRDefault="00216409" w:rsidP="00216409">
      <w:pPr>
        <w:widowControl/>
        <w:tabs>
          <w:tab w:val="left" w:pos="1701"/>
        </w:tabs>
        <w:suppressAutoHyphens/>
        <w:overflowPunct/>
        <w:autoSpaceDE/>
        <w:autoSpaceDN/>
        <w:adjustRightInd/>
        <w:spacing w:after="120" w:line="240" w:lineRule="atLeast"/>
        <w:ind w:right="1134" w:firstLine="0"/>
        <w:textAlignment w:val="auto"/>
      </w:pPr>
      <w:r w:rsidRPr="00E15E14">
        <w:rPr>
          <w:b/>
          <w:bCs/>
          <w:u w:val="single"/>
        </w:rPr>
        <w:t>1.4.3.3.1</w:t>
      </w:r>
      <w:r>
        <w:rPr>
          <w:b/>
          <w:bCs/>
          <w:u w:val="single"/>
        </w:rPr>
        <w:tab/>
      </w:r>
      <w:r>
        <w:t xml:space="preserve">Im Rahmen des Abschnitts 1.4.1 hat der </w:t>
      </w:r>
      <w:proofErr w:type="spellStart"/>
      <w:r>
        <w:t>Befüller</w:t>
      </w:r>
      <w:proofErr w:type="spellEnd"/>
      <w:r>
        <w:t xml:space="preserve"> insbesondere folgende Pflichten</w:t>
      </w:r>
      <w:r w:rsidR="00054934">
        <w:t>:</w:t>
      </w:r>
    </w:p>
    <w:p w14:paraId="5F30E8B4" w14:textId="3BEAC9ED" w:rsidR="00216409" w:rsidRPr="00760EB9" w:rsidRDefault="00216409" w:rsidP="00216409">
      <w:pPr>
        <w:widowControl/>
        <w:tabs>
          <w:tab w:val="left" w:pos="1701"/>
        </w:tabs>
        <w:suppressAutoHyphens/>
        <w:overflowPunct/>
        <w:autoSpaceDE/>
        <w:autoSpaceDN/>
        <w:adjustRightInd/>
        <w:spacing w:after="120" w:line="240" w:lineRule="atLeast"/>
        <w:ind w:right="1134" w:firstLine="0"/>
        <w:textAlignment w:val="auto"/>
      </w:pPr>
      <w:r w:rsidRPr="003A2C8B">
        <w:rPr>
          <w:u w:val="single"/>
        </w:rPr>
        <w:t>…</w:t>
      </w:r>
    </w:p>
    <w:p w14:paraId="7DDF0FFD" w14:textId="7D4E048D" w:rsidR="00FA3B25" w:rsidRPr="00760EB9"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
        </w:rPr>
      </w:pPr>
      <w:r w:rsidRPr="00760EB9">
        <w:rPr>
          <w:b/>
        </w:rPr>
        <w:tab/>
      </w:r>
      <w:r w:rsidRPr="00760EB9">
        <w:rPr>
          <w:b/>
        </w:rPr>
        <w:tab/>
      </w:r>
      <w:r w:rsidRPr="003D456D">
        <w:rPr>
          <w:bCs/>
        </w:rPr>
        <w:t>1.4.3.3</w:t>
      </w:r>
      <w:r w:rsidR="00216409" w:rsidRPr="003D456D">
        <w:rPr>
          <w:b/>
          <w:u w:val="single"/>
        </w:rPr>
        <w:t>.1</w:t>
      </w:r>
      <w:r w:rsidRPr="00760EB9">
        <w:rPr>
          <w:b/>
        </w:rPr>
        <w:t xml:space="preserve"> </w:t>
      </w:r>
      <w:r w:rsidRPr="003D456D">
        <w:rPr>
          <w:bCs/>
        </w:rPr>
        <w:t>s)</w:t>
      </w:r>
    </w:p>
    <w:p w14:paraId="71756786" w14:textId="0A1CABAC" w:rsidR="00FA3B25" w:rsidRDefault="00FA3B25" w:rsidP="00FA3B25">
      <w:pPr>
        <w:widowControl/>
        <w:suppressAutoHyphens/>
        <w:overflowPunct/>
        <w:autoSpaceDE/>
        <w:autoSpaceDN/>
        <w:adjustRightInd/>
        <w:spacing w:after="120" w:line="240" w:lineRule="atLeast"/>
        <w:ind w:right="1134" w:firstLine="0"/>
        <w:textAlignment w:val="auto"/>
      </w:pPr>
      <w:r w:rsidRPr="00760EB9">
        <w:t xml:space="preserve">hat </w:t>
      </w:r>
      <w:r w:rsidRPr="00760EB9">
        <w:rPr>
          <w:b/>
          <w:bCs/>
          <w:u w:val="single"/>
        </w:rPr>
        <w:t xml:space="preserve">die Dampfdichte des zu ladenden Stoffes </w:t>
      </w:r>
      <w:r w:rsidRPr="00B676F7">
        <w:rPr>
          <w:b/>
          <w:bCs/>
          <w:u w:val="single"/>
        </w:rPr>
        <w:t>anzugeben und</w:t>
      </w:r>
      <w:r w:rsidRPr="00760EB9">
        <w:t xml:space="preserve"> sicherzustellen</w:t>
      </w:r>
      <w:r w:rsidRPr="00760EB9">
        <w:rPr>
          <w:b/>
          <w:bCs/>
          <w:u w:val="single"/>
        </w:rPr>
        <w:t>,</w:t>
      </w:r>
      <w:r w:rsidRPr="00760EB9">
        <w:t xml:space="preserve"> dass die </w:t>
      </w:r>
      <w:proofErr w:type="spellStart"/>
      <w:r w:rsidRPr="00760EB9">
        <w:t>Laderate</w:t>
      </w:r>
      <w:proofErr w:type="spellEnd"/>
      <w:r w:rsidRPr="00760EB9">
        <w:t xml:space="preserve"> </w:t>
      </w:r>
      <w:r w:rsidRPr="00760EB9">
        <w:rPr>
          <w:b/>
          <w:bCs/>
          <w:u w:val="single"/>
        </w:rPr>
        <w:t>die maximalen Laderaten</w:t>
      </w:r>
      <w:r w:rsidRPr="00760EB9">
        <w:t xml:space="preserve"> </w:t>
      </w:r>
      <w:r w:rsidRPr="00760EB9">
        <w:rPr>
          <w:strike/>
        </w:rPr>
        <w:t>in Übereinstimmung mit</w:t>
      </w:r>
      <w:r w:rsidRPr="00760EB9">
        <w:t xml:space="preserve"> </w:t>
      </w:r>
      <w:r w:rsidRPr="00760EB9">
        <w:rPr>
          <w:b/>
          <w:bCs/>
          <w:u w:val="single"/>
        </w:rPr>
        <w:t>gemäß</w:t>
      </w:r>
      <w:r w:rsidRPr="00760EB9">
        <w:t xml:space="preserve"> der </w:t>
      </w:r>
      <w:bookmarkStart w:id="11" w:name="_Hlk43727754"/>
      <w:r w:rsidRPr="00760EB9">
        <w:t>Instruktion für die Lade- und Löschraten</w:t>
      </w:r>
      <w:bookmarkEnd w:id="11"/>
      <w:r w:rsidRPr="00760EB9">
        <w:t xml:space="preserve"> nach Absatz 9.3.2.25.9 oder 9.3.3.25.9 </w:t>
      </w:r>
      <w:r w:rsidRPr="00760EB9">
        <w:rPr>
          <w:strike/>
        </w:rPr>
        <w:t>ist</w:t>
      </w:r>
      <w:r w:rsidRPr="00760EB9">
        <w:t xml:space="preserve"> </w:t>
      </w:r>
      <w:r w:rsidRPr="00760EB9">
        <w:rPr>
          <w:b/>
          <w:bCs/>
          <w:u w:val="single"/>
        </w:rPr>
        <w:t>nicht überschreitet</w:t>
      </w:r>
      <w:r w:rsidRPr="00760EB9">
        <w:t xml:space="preserve"> und der Druck an der Übergabestelle der Gasabfuhr- und Gasrückfuhrleitung den Öffnungsdruck des Überdruck-/ Hochgeschwindigkeitsventils nicht übersteigt;“</w:t>
      </w:r>
    </w:p>
    <w:p w14:paraId="2F79D1CD" w14:textId="77777777" w:rsidR="00216409" w:rsidRPr="003A2C8B" w:rsidRDefault="00216409" w:rsidP="00216409">
      <w:pPr>
        <w:widowControl/>
        <w:tabs>
          <w:tab w:val="left" w:pos="1701"/>
        </w:tabs>
        <w:suppressAutoHyphens/>
        <w:overflowPunct/>
        <w:autoSpaceDE/>
        <w:autoSpaceDN/>
        <w:adjustRightInd/>
        <w:spacing w:after="120" w:line="240" w:lineRule="atLeast"/>
        <w:ind w:right="1134" w:firstLine="0"/>
        <w:textAlignment w:val="auto"/>
      </w:pPr>
      <w:r w:rsidRPr="003A2C8B">
        <w:t>Folgenden neuen Absatz 1.4.3.3.2 hinzufügen:</w:t>
      </w:r>
    </w:p>
    <w:p w14:paraId="3286CCE4" w14:textId="08F28B7A" w:rsidR="00216409" w:rsidRPr="003A2C8B" w:rsidRDefault="00054934" w:rsidP="00216409">
      <w:pPr>
        <w:widowControl/>
        <w:suppressAutoHyphens/>
        <w:overflowPunct/>
        <w:autoSpaceDE/>
        <w:autoSpaceDN/>
        <w:adjustRightInd/>
        <w:spacing w:after="120" w:line="240" w:lineRule="atLeast"/>
        <w:ind w:right="1134" w:firstLine="0"/>
        <w:textAlignment w:val="auto"/>
        <w:rPr>
          <w:b/>
          <w:bCs/>
          <w:u w:val="single"/>
        </w:rPr>
      </w:pPr>
      <w:r w:rsidRPr="00760EB9">
        <w:t>„</w:t>
      </w:r>
      <w:r w:rsidR="00216409" w:rsidRPr="003A2C8B">
        <w:rPr>
          <w:b/>
          <w:bCs/>
          <w:u w:val="single"/>
        </w:rPr>
        <w:t>1.4.3.3.2</w:t>
      </w:r>
    </w:p>
    <w:p w14:paraId="17D24392" w14:textId="53952D96" w:rsidR="002E799A" w:rsidRPr="002E799A" w:rsidRDefault="002E799A" w:rsidP="00216409">
      <w:pPr>
        <w:widowControl/>
        <w:suppressAutoHyphens/>
        <w:overflowPunct/>
        <w:autoSpaceDE/>
        <w:autoSpaceDN/>
        <w:adjustRightInd/>
        <w:spacing w:after="120" w:line="240" w:lineRule="atLeast"/>
        <w:ind w:right="1134" w:firstLine="0"/>
        <w:textAlignment w:val="auto"/>
        <w:rPr>
          <w:b/>
          <w:bCs/>
          <w:u w:val="single"/>
        </w:rPr>
      </w:pPr>
      <w:r w:rsidRPr="002E799A">
        <w:rPr>
          <w:b/>
          <w:bCs/>
          <w:u w:val="single"/>
        </w:rPr>
        <w:t xml:space="preserve">Der </w:t>
      </w:r>
      <w:proofErr w:type="spellStart"/>
      <w:r w:rsidRPr="002E799A">
        <w:rPr>
          <w:b/>
          <w:bCs/>
          <w:u w:val="single"/>
        </w:rPr>
        <w:t>Befüller</w:t>
      </w:r>
      <w:proofErr w:type="spellEnd"/>
      <w:r w:rsidRPr="002E799A">
        <w:rPr>
          <w:b/>
          <w:bCs/>
          <w:u w:val="single"/>
        </w:rPr>
        <w:t xml:space="preserve"> kann jedoch in den Fällen des Absatzes 1.4.3.3.1 </w:t>
      </w:r>
      <w:r w:rsidR="00B61C3D">
        <w:rPr>
          <w:b/>
          <w:bCs/>
          <w:u w:val="single"/>
        </w:rPr>
        <w:t xml:space="preserve">Buchstabe </w:t>
      </w:r>
      <w:r w:rsidRPr="002E799A">
        <w:rPr>
          <w:b/>
          <w:bCs/>
          <w:u w:val="single"/>
        </w:rPr>
        <w:t xml:space="preserve">s) </w:t>
      </w:r>
      <w:bookmarkStart w:id="12" w:name="_Hlk74646145"/>
      <w:r w:rsidRPr="002E799A">
        <w:rPr>
          <w:b/>
          <w:bCs/>
          <w:u w:val="single"/>
        </w:rPr>
        <w:t>auf die ihm von anderen Beteiligten zur Verfügung gestellten Informationen und Daten vertrauen</w:t>
      </w:r>
      <w:bookmarkEnd w:id="12"/>
      <w:r w:rsidR="00B61C3D">
        <w:rPr>
          <w:b/>
          <w:bCs/>
          <w:u w:val="single"/>
        </w:rPr>
        <w:t>.</w:t>
      </w:r>
      <w:r w:rsidRPr="003A2C8B">
        <w:t>“</w:t>
      </w:r>
    </w:p>
    <w:p w14:paraId="40118162" w14:textId="22F2BF7C"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rPr>
      </w:pPr>
      <w:r w:rsidRPr="00B56BE5">
        <w:rPr>
          <w:b/>
        </w:rPr>
        <w:tab/>
      </w:r>
      <w:r w:rsidRPr="00B56BE5">
        <w:rPr>
          <w:b/>
        </w:rPr>
        <w:tab/>
      </w:r>
      <w:r w:rsidRPr="003D456D">
        <w:rPr>
          <w:bCs/>
        </w:rPr>
        <w:t>1.4.3.7.1 j)</w:t>
      </w:r>
      <w:r w:rsidR="00216409" w:rsidRPr="003D456D">
        <w:rPr>
          <w:bCs/>
        </w:rPr>
        <w:t xml:space="preserve"> </w:t>
      </w:r>
      <w:bookmarkStart w:id="13" w:name="_Hlk74566934"/>
      <w:r w:rsidR="00216409" w:rsidRPr="003D456D">
        <w:rPr>
          <w:bCs/>
        </w:rPr>
        <w:t>erhält folgenden Wortlaut:</w:t>
      </w:r>
      <w:bookmarkEnd w:id="13"/>
    </w:p>
    <w:p w14:paraId="7A9D5042" w14:textId="77777777" w:rsidR="00FA3B25" w:rsidRPr="00760EB9" w:rsidRDefault="00FA3B25" w:rsidP="00FA3B25">
      <w:pPr>
        <w:widowControl/>
        <w:suppressAutoHyphens/>
        <w:overflowPunct/>
        <w:autoSpaceDE/>
        <w:autoSpaceDN/>
        <w:adjustRightInd/>
        <w:spacing w:after="120" w:line="240" w:lineRule="atLeast"/>
        <w:ind w:right="1134" w:firstLine="0"/>
        <w:textAlignment w:val="auto"/>
      </w:pPr>
      <w:bookmarkStart w:id="14" w:name="_Hlk75445324"/>
      <w:r w:rsidRPr="00760EB9">
        <w:t>„</w:t>
      </w:r>
      <w:bookmarkEnd w:id="14"/>
      <w:r w:rsidRPr="00760EB9">
        <w:t xml:space="preserve">hat sicherzustellen, dass die Löschrate </w:t>
      </w:r>
      <w:r w:rsidRPr="00760EB9">
        <w:rPr>
          <w:strike/>
        </w:rPr>
        <w:t>in Übereinstimmung mit der Instruktion für die Lade- und Löschraten</w:t>
      </w:r>
      <w:r w:rsidRPr="00760EB9">
        <w:t xml:space="preserve"> </w:t>
      </w:r>
      <w:r w:rsidRPr="00760EB9">
        <w:rPr>
          <w:b/>
          <w:u w:val="single"/>
        </w:rPr>
        <w:t xml:space="preserve">die maximalen Löschraten </w:t>
      </w:r>
      <w:bookmarkStart w:id="15" w:name="_Hlk43729201"/>
      <w:r w:rsidRPr="00760EB9">
        <w:rPr>
          <w:b/>
          <w:u w:val="single"/>
        </w:rPr>
        <w:t>gemäß der Instruktion für die Lade- und Löschraten</w:t>
      </w:r>
      <w:bookmarkEnd w:id="15"/>
      <w:r w:rsidRPr="00760EB9">
        <w:rPr>
          <w:b/>
          <w:u w:val="single"/>
        </w:rPr>
        <w:t xml:space="preserve"> </w:t>
      </w:r>
      <w:r w:rsidRPr="00760EB9">
        <w:t xml:space="preserve">nach Absatz 9.3.2.25.9 oder 9.3.3.25.9 </w:t>
      </w:r>
      <w:r w:rsidRPr="00760EB9">
        <w:rPr>
          <w:strike/>
        </w:rPr>
        <w:t>ist</w:t>
      </w:r>
      <w:r w:rsidRPr="00760EB9">
        <w:t xml:space="preserve"> </w:t>
      </w:r>
      <w:r w:rsidRPr="00760EB9">
        <w:rPr>
          <w:b/>
          <w:bCs/>
          <w:u w:val="single"/>
        </w:rPr>
        <w:t>nicht überschreitet</w:t>
      </w:r>
      <w:r w:rsidRPr="00760EB9">
        <w:t xml:space="preserve"> und der Druck an der Übergabestelle der Gasabfuhr- und Gasrückfuhrleitung den Öffnungsdruck des Überdruck-/ Hochgeschwindigkeitsventils nicht übersteigt;“</w:t>
      </w:r>
    </w:p>
    <w:p w14:paraId="71EFF91B" w14:textId="6B4AF4A1"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rPr>
      </w:pPr>
      <w:r w:rsidRPr="00760EB9">
        <w:rPr>
          <w:b/>
        </w:rPr>
        <w:lastRenderedPageBreak/>
        <w:tab/>
      </w:r>
      <w:r w:rsidRPr="00760EB9">
        <w:rPr>
          <w:b/>
        </w:rPr>
        <w:tab/>
      </w:r>
      <w:r w:rsidRPr="003D456D">
        <w:rPr>
          <w:bCs/>
        </w:rPr>
        <w:t>7.2.4.16.1</w:t>
      </w:r>
      <w:r w:rsidR="00216409" w:rsidRPr="003D456D">
        <w:rPr>
          <w:bCs/>
        </w:rPr>
        <w:t xml:space="preserve"> erhält folgenden Wortlaut:</w:t>
      </w:r>
    </w:p>
    <w:p w14:paraId="1E348789" w14:textId="77777777" w:rsidR="00FA3B25" w:rsidRPr="00760EB9" w:rsidRDefault="00FA3B25" w:rsidP="00FA3B25">
      <w:pPr>
        <w:widowControl/>
        <w:suppressAutoHyphens/>
        <w:overflowPunct/>
        <w:autoSpaceDE/>
        <w:autoSpaceDN/>
        <w:adjustRightInd/>
        <w:spacing w:after="120" w:line="240" w:lineRule="atLeast"/>
        <w:ind w:right="1134" w:firstLine="0"/>
        <w:textAlignment w:val="auto"/>
      </w:pPr>
      <w:r w:rsidRPr="00760EB9">
        <w:t xml:space="preserve">„Die </w:t>
      </w:r>
      <w:r w:rsidRPr="00760EB9">
        <w:rPr>
          <w:b/>
          <w:bCs/>
          <w:u w:val="single"/>
        </w:rPr>
        <w:t>maximale Anfangs-, Mittel- und Endladerate</w:t>
      </w:r>
      <w:r w:rsidRPr="00760EB9">
        <w:t xml:space="preserve"> </w:t>
      </w:r>
      <w:proofErr w:type="spellStart"/>
      <w:r w:rsidRPr="00760EB9">
        <w:rPr>
          <w:strike/>
        </w:rPr>
        <w:t>Laderate</w:t>
      </w:r>
      <w:proofErr w:type="spellEnd"/>
      <w:r w:rsidRPr="00760EB9">
        <w:t xml:space="preserve"> sowie der maximale Pumpendruck sind </w:t>
      </w:r>
      <w:r w:rsidRPr="00760EB9">
        <w:rPr>
          <w:b/>
          <w:bCs/>
          <w:u w:val="single"/>
        </w:rPr>
        <w:t>gemäß der Instruktion für die Lade- und Löschraten</w:t>
      </w:r>
      <w:r w:rsidRPr="00760EB9">
        <w:t xml:space="preserve"> </w:t>
      </w:r>
      <w:r w:rsidRPr="00760EB9">
        <w:rPr>
          <w:b/>
          <w:bCs/>
          <w:u w:val="single"/>
        </w:rPr>
        <w:t>zu bestimmen. Die zu verwendende Anfangs-, Mittel- und Endladerate darf die maximalen Laderaten nicht überschreiten und ist</w:t>
      </w:r>
      <w:r w:rsidRPr="00760EB9">
        <w:t xml:space="preserve"> mit dem Personal der Landanlage abzustimmen.“</w:t>
      </w:r>
    </w:p>
    <w:p w14:paraId="604044E5" w14:textId="31FAE800"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rPr>
      </w:pPr>
      <w:r w:rsidRPr="00760EB9">
        <w:rPr>
          <w:b/>
        </w:rPr>
        <w:tab/>
      </w:r>
      <w:r w:rsidRPr="003D456D">
        <w:rPr>
          <w:bCs/>
        </w:rPr>
        <w:tab/>
        <w:t>7.2.4.16.15</w:t>
      </w:r>
      <w:r w:rsidR="00216409" w:rsidRPr="003D456D">
        <w:rPr>
          <w:bCs/>
        </w:rPr>
        <w:t xml:space="preserve"> erhält folgenden Wortlaut:</w:t>
      </w:r>
    </w:p>
    <w:p w14:paraId="1C9FF2E4" w14:textId="77777777" w:rsidR="00FA3B25" w:rsidRPr="00760EB9" w:rsidRDefault="00FA3B25" w:rsidP="00FA3B25">
      <w:pPr>
        <w:widowControl/>
        <w:suppressAutoHyphens/>
        <w:overflowPunct/>
        <w:autoSpaceDE/>
        <w:autoSpaceDN/>
        <w:adjustRightInd/>
        <w:spacing w:after="120" w:line="240" w:lineRule="atLeast"/>
        <w:ind w:right="1134" w:firstLine="0"/>
        <w:textAlignment w:val="auto"/>
        <w:rPr>
          <w:strike/>
        </w:rPr>
      </w:pPr>
      <w:r w:rsidRPr="00760EB9">
        <w:t>„</w:t>
      </w:r>
      <w:r w:rsidRPr="00760EB9">
        <w:rPr>
          <w:strike/>
        </w:rPr>
        <w:t xml:space="preserve">In der Ladeinstruktion muss die </w:t>
      </w:r>
      <w:proofErr w:type="spellStart"/>
      <w:r w:rsidRPr="00760EB9">
        <w:rPr>
          <w:strike/>
        </w:rPr>
        <w:t>Laderate</w:t>
      </w:r>
      <w:proofErr w:type="spellEnd"/>
      <w:r w:rsidRPr="00760EB9">
        <w:rPr>
          <w:strike/>
        </w:rPr>
        <w:t xml:space="preserve"> beim Beginn des Ladevorgangs so sein, dass eine elektrostatische Aufladung am Beginn des Ladens ausgeschlossen ist. </w:t>
      </w:r>
      <w:r w:rsidRPr="00760EB9">
        <w:rPr>
          <w:b/>
          <w:bCs/>
          <w:u w:val="single"/>
        </w:rPr>
        <w:t>(gestrichen)</w:t>
      </w:r>
      <w:r w:rsidRPr="00760EB9">
        <w:t>“</w:t>
      </w:r>
    </w:p>
    <w:p w14:paraId="3F35C54F" w14:textId="6B391C8F"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rPr>
      </w:pPr>
      <w:r w:rsidRPr="003D456D">
        <w:rPr>
          <w:bCs/>
        </w:rPr>
        <w:tab/>
      </w:r>
      <w:r w:rsidRPr="003D456D">
        <w:rPr>
          <w:bCs/>
        </w:rPr>
        <w:tab/>
        <w:t>8.1.2.3 i)</w:t>
      </w:r>
      <w:r w:rsidR="00216409" w:rsidRPr="003D456D">
        <w:rPr>
          <w:bCs/>
        </w:rPr>
        <w:t xml:space="preserve"> erhält folgenden Wortlaut:</w:t>
      </w:r>
    </w:p>
    <w:p w14:paraId="0CDF2F2F" w14:textId="0258AD47" w:rsidR="00FA3B25" w:rsidRPr="00760EB9" w:rsidRDefault="00FA3B25" w:rsidP="00FA3B25">
      <w:pPr>
        <w:keepNext/>
        <w:keepLines/>
        <w:widowControl/>
        <w:tabs>
          <w:tab w:val="right" w:pos="851"/>
        </w:tabs>
        <w:suppressAutoHyphens/>
        <w:overflowPunct/>
        <w:autoSpaceDE/>
        <w:autoSpaceDN/>
        <w:adjustRightInd/>
        <w:spacing w:before="240" w:after="120" w:line="240" w:lineRule="exact"/>
        <w:ind w:right="1134"/>
        <w:textAlignment w:val="auto"/>
        <w:rPr>
          <w:bCs/>
        </w:rPr>
      </w:pPr>
      <w:r w:rsidRPr="00760EB9">
        <w:rPr>
          <w:b/>
        </w:rPr>
        <w:tab/>
      </w:r>
      <w:r w:rsidRPr="00760EB9">
        <w:rPr>
          <w:b/>
        </w:rPr>
        <w:tab/>
      </w:r>
      <w:r w:rsidRPr="00760EB9">
        <w:rPr>
          <w:bCs/>
        </w:rPr>
        <w:t>[Die Änderung in der französischen und englischen Fassung hat keine Auswirkung auf den deutschen Text</w:t>
      </w:r>
      <w:r w:rsidR="00B61C3D">
        <w:rPr>
          <w:bCs/>
        </w:rPr>
        <w:t>.</w:t>
      </w:r>
      <w:r w:rsidRPr="00760EB9">
        <w:rPr>
          <w:bCs/>
        </w:rPr>
        <w:t>]</w:t>
      </w:r>
    </w:p>
    <w:p w14:paraId="53148D03" w14:textId="58FD2292"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lang w:val="en-GB"/>
        </w:rPr>
      </w:pPr>
      <w:r w:rsidRPr="003D456D">
        <w:rPr>
          <w:bCs/>
        </w:rPr>
        <w:tab/>
      </w:r>
      <w:r w:rsidRPr="003D456D">
        <w:rPr>
          <w:bCs/>
        </w:rPr>
        <w:tab/>
      </w:r>
      <w:r w:rsidRPr="003D456D">
        <w:rPr>
          <w:bCs/>
          <w:lang w:val="en-GB"/>
        </w:rPr>
        <w:t>8.6.3</w:t>
      </w:r>
      <w:r w:rsidR="00216409" w:rsidRPr="003D456D">
        <w:rPr>
          <w:bCs/>
          <w:lang w:val="en-GB"/>
        </w:rPr>
        <w:t xml:space="preserve"> </w:t>
      </w:r>
      <w:r w:rsidR="00B676F7">
        <w:rPr>
          <w:bCs/>
        </w:rPr>
        <w:t>wie folgt ändern</w:t>
      </w:r>
      <w:r w:rsidR="00216409" w:rsidRPr="003D456D">
        <w:rPr>
          <w:bCs/>
        </w:rPr>
        <w:t>:</w:t>
      </w:r>
    </w:p>
    <w:p w14:paraId="5672919E" w14:textId="77777777" w:rsidR="00FA3B25" w:rsidRPr="00760EB9" w:rsidRDefault="00FA3B25" w:rsidP="00FA3B25">
      <w:pPr>
        <w:widowControl/>
        <w:suppressAutoHyphens/>
        <w:overflowPunct/>
        <w:autoSpaceDE/>
        <w:autoSpaceDN/>
        <w:adjustRightInd/>
        <w:spacing w:after="120" w:line="240" w:lineRule="atLeast"/>
        <w:ind w:right="1134" w:firstLine="0"/>
        <w:textAlignment w:val="auto"/>
        <w:rPr>
          <w:lang w:val="en-GB"/>
        </w:rPr>
      </w:pPr>
      <w:r w:rsidRPr="00760EB9">
        <w:t>„</w:t>
      </w:r>
    </w:p>
    <w:tbl>
      <w:tblPr>
        <w:tblW w:w="8506" w:type="dxa"/>
        <w:tblInd w:w="1119" w:type="dxa"/>
        <w:tblLayout w:type="fixed"/>
        <w:tblCellMar>
          <w:left w:w="70" w:type="dxa"/>
          <w:right w:w="70" w:type="dxa"/>
        </w:tblCellMar>
        <w:tblLook w:val="0000" w:firstRow="0" w:lastRow="0" w:firstColumn="0" w:lastColumn="0" w:noHBand="0" w:noVBand="0"/>
      </w:tblPr>
      <w:tblGrid>
        <w:gridCol w:w="2835"/>
        <w:gridCol w:w="907"/>
        <w:gridCol w:w="794"/>
        <w:gridCol w:w="794"/>
        <w:gridCol w:w="794"/>
        <w:gridCol w:w="794"/>
        <w:gridCol w:w="794"/>
        <w:gridCol w:w="794"/>
      </w:tblGrid>
      <w:tr w:rsidR="00FA3B25" w:rsidRPr="00760EB9" w14:paraId="0CB6A8E2" w14:textId="77777777" w:rsidTr="003F55B9">
        <w:trPr>
          <w:cantSplit/>
        </w:trPr>
        <w:tc>
          <w:tcPr>
            <w:tcW w:w="8506" w:type="dxa"/>
            <w:gridSpan w:val="8"/>
            <w:tcBorders>
              <w:top w:val="single" w:sz="12" w:space="0" w:color="auto"/>
              <w:left w:val="single" w:sz="12" w:space="0" w:color="auto"/>
              <w:bottom w:val="single" w:sz="12" w:space="0" w:color="auto"/>
              <w:right w:val="single" w:sz="12" w:space="0" w:color="auto"/>
            </w:tcBorders>
          </w:tcPr>
          <w:p w14:paraId="044938F6" w14:textId="77777777" w:rsidR="00FA3B25" w:rsidRPr="00760EB9" w:rsidRDefault="00FA3B25" w:rsidP="003F55B9">
            <w:pPr>
              <w:pStyle w:val="N3"/>
              <w:spacing w:after="120"/>
              <w:jc w:val="right"/>
              <w:rPr>
                <w:rFonts w:ascii="Times New Roman" w:hAnsi="Times New Roman"/>
                <w:sz w:val="20"/>
                <w:lang w:val="de-DE"/>
              </w:rPr>
            </w:pPr>
            <w:r w:rsidRPr="00760EB9">
              <w:rPr>
                <w:rFonts w:ascii="Times New Roman" w:hAnsi="Times New Roman"/>
                <w:sz w:val="20"/>
                <w:lang w:val="de-DE"/>
              </w:rPr>
              <w:tab/>
              <w:t>2</w:t>
            </w:r>
          </w:p>
          <w:p w14:paraId="081AF1B0" w14:textId="77777777" w:rsidR="00FA3B25" w:rsidRPr="00760EB9" w:rsidRDefault="00FA3B25" w:rsidP="003F55B9">
            <w:pPr>
              <w:pStyle w:val="N3"/>
              <w:spacing w:after="120"/>
              <w:rPr>
                <w:rFonts w:ascii="Times New Roman" w:hAnsi="Times New Roman"/>
                <w:sz w:val="20"/>
                <w:lang w:val="de-DE"/>
              </w:rPr>
            </w:pPr>
            <w:r w:rsidRPr="00760EB9">
              <w:rPr>
                <w:rFonts w:ascii="Times New Roman" w:hAnsi="Times New Roman"/>
                <w:sz w:val="20"/>
                <w:lang w:val="de-DE"/>
              </w:rPr>
              <w:tab/>
            </w:r>
            <w:r w:rsidRPr="00760EB9">
              <w:rPr>
                <w:rFonts w:ascii="Times New Roman" w:hAnsi="Times New Roman"/>
                <w:b/>
                <w:sz w:val="20"/>
                <w:lang w:val="de-DE"/>
              </w:rPr>
              <w:t xml:space="preserve">Lade-/Löschrate </w:t>
            </w:r>
            <w:r w:rsidRPr="00760EB9">
              <w:rPr>
                <w:rFonts w:ascii="Times New Roman" w:hAnsi="Times New Roman"/>
                <w:sz w:val="20"/>
                <w:lang w:val="de-DE"/>
              </w:rPr>
              <w:t>(nicht auszufüllen beim Laden und Löschen von Gasen)</w:t>
            </w:r>
          </w:p>
        </w:tc>
      </w:tr>
      <w:tr w:rsidR="00FA3B25" w:rsidRPr="00760EB9" w14:paraId="1B36FBF0" w14:textId="77777777" w:rsidTr="003F55B9">
        <w:trPr>
          <w:cantSplit/>
        </w:trPr>
        <w:tc>
          <w:tcPr>
            <w:tcW w:w="2835" w:type="dxa"/>
            <w:tcBorders>
              <w:left w:val="single" w:sz="12" w:space="0" w:color="auto"/>
              <w:right w:val="single" w:sz="6" w:space="0" w:color="auto"/>
            </w:tcBorders>
          </w:tcPr>
          <w:p w14:paraId="5679A591" w14:textId="77777777" w:rsidR="00FA3B25" w:rsidRPr="00760EB9" w:rsidRDefault="00FA3B25" w:rsidP="003F55B9">
            <w:pPr>
              <w:pStyle w:val="N3"/>
              <w:spacing w:before="120"/>
              <w:jc w:val="center"/>
              <w:rPr>
                <w:rFonts w:ascii="Times New Roman" w:hAnsi="Times New Roman"/>
                <w:sz w:val="20"/>
                <w:lang w:val="de-DE"/>
              </w:rPr>
            </w:pPr>
          </w:p>
        </w:tc>
        <w:tc>
          <w:tcPr>
            <w:tcW w:w="907" w:type="dxa"/>
            <w:tcBorders>
              <w:right w:val="single" w:sz="6" w:space="0" w:color="auto"/>
            </w:tcBorders>
          </w:tcPr>
          <w:p w14:paraId="13D17FC0" w14:textId="77777777" w:rsidR="00FA3B25" w:rsidRPr="00760EB9" w:rsidRDefault="00FA3B25" w:rsidP="003F55B9">
            <w:pPr>
              <w:pStyle w:val="N3"/>
              <w:spacing w:before="120"/>
              <w:rPr>
                <w:rFonts w:ascii="Times New Roman" w:hAnsi="Times New Roman"/>
                <w:sz w:val="20"/>
                <w:lang w:val="de-DE"/>
              </w:rPr>
            </w:pPr>
          </w:p>
        </w:tc>
        <w:tc>
          <w:tcPr>
            <w:tcW w:w="4764" w:type="dxa"/>
            <w:gridSpan w:val="6"/>
            <w:tcBorders>
              <w:bottom w:val="single" w:sz="6" w:space="0" w:color="auto"/>
              <w:right w:val="single" w:sz="12" w:space="0" w:color="auto"/>
            </w:tcBorders>
          </w:tcPr>
          <w:p w14:paraId="671E9495" w14:textId="77777777" w:rsidR="00FA3B25" w:rsidRPr="00760EB9" w:rsidRDefault="00FA3B25" w:rsidP="003F55B9">
            <w:pPr>
              <w:pStyle w:val="N3"/>
              <w:spacing w:before="120" w:after="120"/>
              <w:ind w:left="12" w:hanging="12"/>
              <w:jc w:val="center"/>
              <w:rPr>
                <w:rFonts w:ascii="Times New Roman" w:hAnsi="Times New Roman"/>
                <w:sz w:val="20"/>
                <w:lang w:val="de-DE"/>
              </w:rPr>
            </w:pPr>
            <w:r w:rsidRPr="00760EB9">
              <w:rPr>
                <w:rFonts w:ascii="Times New Roman" w:hAnsi="Times New Roman"/>
                <w:sz w:val="20"/>
                <w:lang w:val="de-DE"/>
              </w:rPr>
              <w:t xml:space="preserve">vereinbarte Lade-/Löschrate </w:t>
            </w:r>
            <w:r w:rsidRPr="00760EB9">
              <w:rPr>
                <w:rFonts w:ascii="Times New Roman" w:hAnsi="Times New Roman"/>
                <w:b/>
                <w:bCs/>
                <w:sz w:val="20"/>
                <w:u w:val="single"/>
                <w:lang w:val="de-DE"/>
              </w:rPr>
              <w:t xml:space="preserve">unter Berücksichtigung der maximalen Lade-/Löschraten gemäß der </w:t>
            </w:r>
            <w:bookmarkStart w:id="16" w:name="_Hlk43734454"/>
            <w:r w:rsidRPr="00760EB9">
              <w:rPr>
                <w:rFonts w:ascii="Times New Roman" w:hAnsi="Times New Roman"/>
                <w:b/>
                <w:bCs/>
                <w:sz w:val="20"/>
                <w:u w:val="single"/>
                <w:lang w:val="de-DE"/>
              </w:rPr>
              <w:t>Instruktion für die Lade- und Löschraten</w:t>
            </w:r>
            <w:bookmarkEnd w:id="16"/>
            <w:r w:rsidRPr="00760EB9">
              <w:rPr>
                <w:rFonts w:ascii="Times New Roman" w:hAnsi="Times New Roman"/>
                <w:b/>
                <w:bCs/>
                <w:sz w:val="20"/>
                <w:u w:val="single"/>
                <w:lang w:val="de-DE"/>
              </w:rPr>
              <w:t xml:space="preserve"> </w:t>
            </w:r>
          </w:p>
        </w:tc>
      </w:tr>
      <w:tr w:rsidR="00FA3B25" w:rsidRPr="00760EB9" w14:paraId="2EB067E6" w14:textId="77777777" w:rsidTr="003F55B9">
        <w:trPr>
          <w:cantSplit/>
        </w:trPr>
        <w:tc>
          <w:tcPr>
            <w:tcW w:w="2835" w:type="dxa"/>
            <w:tcBorders>
              <w:left w:val="single" w:sz="12" w:space="0" w:color="auto"/>
              <w:right w:val="single" w:sz="6" w:space="0" w:color="auto"/>
            </w:tcBorders>
          </w:tcPr>
          <w:p w14:paraId="276BD791" w14:textId="77777777" w:rsidR="00FA3B25" w:rsidRPr="00760EB9" w:rsidRDefault="00FA3B25" w:rsidP="003F55B9">
            <w:pPr>
              <w:pStyle w:val="N3"/>
              <w:spacing w:before="120" w:after="120"/>
              <w:jc w:val="center"/>
              <w:rPr>
                <w:rFonts w:ascii="Times New Roman" w:hAnsi="Times New Roman"/>
                <w:sz w:val="20"/>
                <w:lang w:val="de-DE"/>
              </w:rPr>
            </w:pPr>
            <w:r w:rsidRPr="00760EB9">
              <w:rPr>
                <w:rFonts w:ascii="Times New Roman" w:hAnsi="Times New Roman"/>
                <w:sz w:val="20"/>
                <w:lang w:val="de-DE"/>
              </w:rPr>
              <w:t>Offizielle Benennung</w:t>
            </w:r>
            <w:r w:rsidRPr="00760EB9">
              <w:rPr>
                <w:rFonts w:ascii="Times New Roman" w:hAnsi="Times New Roman"/>
                <w:sz w:val="20"/>
                <w:vertAlign w:val="superscript"/>
                <w:lang w:val="de-DE"/>
              </w:rPr>
              <w:t>***)</w:t>
            </w:r>
          </w:p>
        </w:tc>
        <w:tc>
          <w:tcPr>
            <w:tcW w:w="907" w:type="dxa"/>
            <w:tcBorders>
              <w:right w:val="single" w:sz="6" w:space="0" w:color="auto"/>
            </w:tcBorders>
          </w:tcPr>
          <w:p w14:paraId="6F39A40C" w14:textId="77777777" w:rsidR="00FA3B25" w:rsidRPr="00760EB9" w:rsidRDefault="00FA3B25" w:rsidP="003F55B9">
            <w:pPr>
              <w:pStyle w:val="N3"/>
              <w:spacing w:before="120"/>
              <w:ind w:left="0" w:firstLine="0"/>
              <w:jc w:val="center"/>
              <w:rPr>
                <w:rFonts w:ascii="Times New Roman" w:hAnsi="Times New Roman"/>
                <w:sz w:val="20"/>
                <w:lang w:val="de-DE"/>
              </w:rPr>
            </w:pPr>
            <w:proofErr w:type="spellStart"/>
            <w:r w:rsidRPr="00760EB9">
              <w:rPr>
                <w:rFonts w:ascii="Times New Roman" w:hAnsi="Times New Roman"/>
                <w:sz w:val="20"/>
                <w:lang w:val="de-DE"/>
              </w:rPr>
              <w:t>Ladetank</w:t>
            </w:r>
            <w:proofErr w:type="spellEnd"/>
            <w:r w:rsidRPr="00760EB9">
              <w:rPr>
                <w:rFonts w:ascii="Times New Roman" w:hAnsi="Times New Roman"/>
                <w:sz w:val="20"/>
                <w:lang w:val="de-DE"/>
              </w:rPr>
              <w:t xml:space="preserve"> Nr.</w:t>
            </w:r>
          </w:p>
        </w:tc>
        <w:tc>
          <w:tcPr>
            <w:tcW w:w="1588" w:type="dxa"/>
            <w:gridSpan w:val="2"/>
            <w:tcBorders>
              <w:bottom w:val="single" w:sz="6" w:space="0" w:color="auto"/>
              <w:right w:val="single" w:sz="6" w:space="0" w:color="auto"/>
            </w:tcBorders>
          </w:tcPr>
          <w:p w14:paraId="1157606A" w14:textId="77777777" w:rsidR="00FA3B25" w:rsidRPr="00760EB9" w:rsidRDefault="00FA3B25" w:rsidP="003F55B9">
            <w:pPr>
              <w:pStyle w:val="N3"/>
              <w:spacing w:before="120" w:after="120"/>
              <w:jc w:val="center"/>
              <w:rPr>
                <w:rFonts w:ascii="Times New Roman" w:hAnsi="Times New Roman"/>
                <w:sz w:val="20"/>
                <w:lang w:val="de-DE"/>
              </w:rPr>
            </w:pPr>
            <w:r w:rsidRPr="00760EB9">
              <w:rPr>
                <w:rFonts w:ascii="Times New Roman" w:hAnsi="Times New Roman"/>
                <w:sz w:val="20"/>
                <w:lang w:val="de-DE"/>
              </w:rPr>
              <w:t>Anfang</w:t>
            </w:r>
          </w:p>
        </w:tc>
        <w:tc>
          <w:tcPr>
            <w:tcW w:w="1588" w:type="dxa"/>
            <w:gridSpan w:val="2"/>
            <w:tcBorders>
              <w:bottom w:val="single" w:sz="6" w:space="0" w:color="auto"/>
              <w:right w:val="single" w:sz="6" w:space="0" w:color="auto"/>
            </w:tcBorders>
          </w:tcPr>
          <w:p w14:paraId="601A8651" w14:textId="77777777" w:rsidR="00FA3B25" w:rsidRPr="00B676F7" w:rsidRDefault="00FA3B25" w:rsidP="003F55B9">
            <w:pPr>
              <w:pStyle w:val="N3"/>
              <w:spacing w:before="120"/>
              <w:jc w:val="center"/>
              <w:rPr>
                <w:rFonts w:ascii="Times New Roman" w:hAnsi="Times New Roman"/>
                <w:sz w:val="20"/>
                <w:lang w:val="de-DE"/>
              </w:rPr>
            </w:pPr>
            <w:r w:rsidRPr="00B676F7">
              <w:rPr>
                <w:rFonts w:ascii="Times New Roman" w:hAnsi="Times New Roman"/>
                <w:sz w:val="20"/>
                <w:lang w:val="de-DE"/>
              </w:rPr>
              <w:t>Mitte</w:t>
            </w:r>
          </w:p>
        </w:tc>
        <w:tc>
          <w:tcPr>
            <w:tcW w:w="1588" w:type="dxa"/>
            <w:gridSpan w:val="2"/>
            <w:tcBorders>
              <w:bottom w:val="single" w:sz="6" w:space="0" w:color="auto"/>
              <w:right w:val="single" w:sz="12" w:space="0" w:color="auto"/>
            </w:tcBorders>
          </w:tcPr>
          <w:p w14:paraId="749FBA06" w14:textId="77777777" w:rsidR="00FA3B25" w:rsidRPr="00760EB9" w:rsidRDefault="00FA3B25" w:rsidP="003F55B9">
            <w:pPr>
              <w:pStyle w:val="N3"/>
              <w:spacing w:before="120"/>
              <w:jc w:val="center"/>
              <w:rPr>
                <w:rFonts w:ascii="Times New Roman" w:hAnsi="Times New Roman"/>
                <w:sz w:val="20"/>
                <w:lang w:val="de-DE"/>
              </w:rPr>
            </w:pPr>
            <w:r w:rsidRPr="00760EB9">
              <w:rPr>
                <w:rFonts w:ascii="Times New Roman" w:hAnsi="Times New Roman"/>
                <w:sz w:val="20"/>
                <w:lang w:val="de-DE"/>
              </w:rPr>
              <w:t>Ende</w:t>
            </w:r>
          </w:p>
        </w:tc>
      </w:tr>
      <w:tr w:rsidR="00FA3B25" w:rsidRPr="00760EB9" w14:paraId="5BF1B405" w14:textId="77777777" w:rsidTr="003F55B9">
        <w:trPr>
          <w:cantSplit/>
        </w:trPr>
        <w:tc>
          <w:tcPr>
            <w:tcW w:w="2835" w:type="dxa"/>
            <w:tcBorders>
              <w:left w:val="single" w:sz="12" w:space="0" w:color="auto"/>
              <w:bottom w:val="single" w:sz="6" w:space="0" w:color="auto"/>
              <w:right w:val="single" w:sz="6" w:space="0" w:color="auto"/>
            </w:tcBorders>
          </w:tcPr>
          <w:p w14:paraId="408EB5CD" w14:textId="77777777" w:rsidR="00FA3B25" w:rsidRPr="00760EB9" w:rsidRDefault="00FA3B25" w:rsidP="003F55B9">
            <w:pPr>
              <w:pStyle w:val="N3"/>
              <w:rPr>
                <w:rFonts w:ascii="Times New Roman" w:hAnsi="Times New Roman"/>
                <w:sz w:val="20"/>
                <w:lang w:val="de-DE"/>
              </w:rPr>
            </w:pPr>
          </w:p>
        </w:tc>
        <w:tc>
          <w:tcPr>
            <w:tcW w:w="907" w:type="dxa"/>
            <w:tcBorders>
              <w:bottom w:val="single" w:sz="6" w:space="0" w:color="auto"/>
              <w:right w:val="single" w:sz="6" w:space="0" w:color="auto"/>
            </w:tcBorders>
          </w:tcPr>
          <w:p w14:paraId="3DE14BBF" w14:textId="77777777" w:rsidR="00FA3B25" w:rsidRPr="00760EB9" w:rsidRDefault="00FA3B25" w:rsidP="003F55B9">
            <w:pPr>
              <w:pStyle w:val="N3"/>
              <w:rPr>
                <w:rFonts w:ascii="Times New Roman" w:hAnsi="Times New Roman"/>
                <w:sz w:val="20"/>
                <w:lang w:val="de-DE"/>
              </w:rPr>
            </w:pPr>
          </w:p>
        </w:tc>
        <w:tc>
          <w:tcPr>
            <w:tcW w:w="794" w:type="dxa"/>
            <w:tcBorders>
              <w:bottom w:val="single" w:sz="6" w:space="0" w:color="auto"/>
              <w:right w:val="single" w:sz="6" w:space="0" w:color="auto"/>
            </w:tcBorders>
          </w:tcPr>
          <w:p w14:paraId="0723A2CD"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Rate</w:t>
            </w:r>
          </w:p>
          <w:p w14:paraId="7D293FBA"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r w:rsidRPr="00760EB9">
              <w:rPr>
                <w:rFonts w:ascii="Times New Roman" w:hAnsi="Times New Roman"/>
                <w:sz w:val="20"/>
                <w:lang w:val="de-DE"/>
              </w:rPr>
              <w:t>/h</w:t>
            </w:r>
          </w:p>
        </w:tc>
        <w:tc>
          <w:tcPr>
            <w:tcW w:w="794" w:type="dxa"/>
            <w:tcBorders>
              <w:bottom w:val="single" w:sz="6" w:space="0" w:color="auto"/>
              <w:right w:val="single" w:sz="6" w:space="0" w:color="auto"/>
            </w:tcBorders>
          </w:tcPr>
          <w:p w14:paraId="327EB7AF"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Menge</w:t>
            </w:r>
          </w:p>
          <w:p w14:paraId="42598AD1"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p>
        </w:tc>
        <w:tc>
          <w:tcPr>
            <w:tcW w:w="794" w:type="dxa"/>
            <w:tcBorders>
              <w:bottom w:val="single" w:sz="6" w:space="0" w:color="auto"/>
              <w:right w:val="single" w:sz="6" w:space="0" w:color="auto"/>
            </w:tcBorders>
          </w:tcPr>
          <w:p w14:paraId="002F5064"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Rate</w:t>
            </w:r>
          </w:p>
          <w:p w14:paraId="322BC55A"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r w:rsidRPr="00760EB9">
              <w:rPr>
                <w:rFonts w:ascii="Times New Roman" w:hAnsi="Times New Roman"/>
                <w:sz w:val="20"/>
                <w:lang w:val="de-DE"/>
              </w:rPr>
              <w:t>/h</w:t>
            </w:r>
          </w:p>
        </w:tc>
        <w:tc>
          <w:tcPr>
            <w:tcW w:w="794" w:type="dxa"/>
            <w:tcBorders>
              <w:bottom w:val="single" w:sz="6" w:space="0" w:color="auto"/>
              <w:right w:val="single" w:sz="6" w:space="0" w:color="auto"/>
            </w:tcBorders>
          </w:tcPr>
          <w:p w14:paraId="543EC9F0"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Menge</w:t>
            </w:r>
          </w:p>
          <w:p w14:paraId="07D5E5EA"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p>
        </w:tc>
        <w:tc>
          <w:tcPr>
            <w:tcW w:w="794" w:type="dxa"/>
            <w:tcBorders>
              <w:bottom w:val="single" w:sz="6" w:space="0" w:color="auto"/>
              <w:right w:val="single" w:sz="6" w:space="0" w:color="auto"/>
            </w:tcBorders>
          </w:tcPr>
          <w:p w14:paraId="33E200CC"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Rate</w:t>
            </w:r>
          </w:p>
          <w:p w14:paraId="00457432"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r w:rsidRPr="00760EB9">
              <w:rPr>
                <w:rFonts w:ascii="Times New Roman" w:hAnsi="Times New Roman"/>
                <w:sz w:val="20"/>
                <w:lang w:val="de-DE"/>
              </w:rPr>
              <w:t>/h</w:t>
            </w:r>
          </w:p>
        </w:tc>
        <w:tc>
          <w:tcPr>
            <w:tcW w:w="794" w:type="dxa"/>
            <w:tcBorders>
              <w:bottom w:val="single" w:sz="6" w:space="0" w:color="auto"/>
              <w:right w:val="single" w:sz="12" w:space="0" w:color="auto"/>
            </w:tcBorders>
          </w:tcPr>
          <w:p w14:paraId="03874CBA"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Menge</w:t>
            </w:r>
          </w:p>
          <w:p w14:paraId="789735A3" w14:textId="77777777" w:rsidR="00FA3B25" w:rsidRPr="00760EB9" w:rsidRDefault="00FA3B25" w:rsidP="003F55B9">
            <w:pPr>
              <w:pStyle w:val="N3"/>
              <w:jc w:val="center"/>
              <w:rPr>
                <w:rFonts w:ascii="Times New Roman" w:hAnsi="Times New Roman"/>
                <w:sz w:val="20"/>
                <w:lang w:val="de-DE"/>
              </w:rPr>
            </w:pPr>
            <w:r w:rsidRPr="00760EB9">
              <w:rPr>
                <w:rFonts w:ascii="Times New Roman" w:hAnsi="Times New Roman"/>
                <w:sz w:val="20"/>
                <w:lang w:val="de-DE"/>
              </w:rPr>
              <w:t>m</w:t>
            </w:r>
            <w:r w:rsidRPr="00760EB9">
              <w:rPr>
                <w:rFonts w:ascii="Times New Roman" w:hAnsi="Times New Roman"/>
                <w:sz w:val="20"/>
                <w:vertAlign w:val="superscript"/>
                <w:lang w:val="de-DE"/>
              </w:rPr>
              <w:t>3</w:t>
            </w:r>
          </w:p>
        </w:tc>
      </w:tr>
      <w:tr w:rsidR="00FA3B25" w:rsidRPr="00760EB9" w14:paraId="4818CE6E" w14:textId="77777777" w:rsidTr="003F55B9">
        <w:trPr>
          <w:cantSplit/>
        </w:trPr>
        <w:tc>
          <w:tcPr>
            <w:tcW w:w="2835" w:type="dxa"/>
            <w:tcBorders>
              <w:left w:val="single" w:sz="12" w:space="0" w:color="auto"/>
              <w:right w:val="single" w:sz="6" w:space="0" w:color="auto"/>
            </w:tcBorders>
          </w:tcPr>
          <w:p w14:paraId="62941CF9" w14:textId="77777777" w:rsidR="00FA3B25" w:rsidRPr="00760EB9" w:rsidRDefault="00FA3B25" w:rsidP="003F55B9">
            <w:pPr>
              <w:pStyle w:val="N3"/>
              <w:tabs>
                <w:tab w:val="left" w:leader="dot" w:pos="2665"/>
              </w:tabs>
              <w:ind w:left="0" w:firstLine="0"/>
              <w:rPr>
                <w:rFonts w:ascii="Times New Roman" w:hAnsi="Times New Roman"/>
                <w:sz w:val="20"/>
                <w:lang w:val="de-DE"/>
              </w:rPr>
            </w:pPr>
          </w:p>
          <w:p w14:paraId="672871A5" w14:textId="77777777" w:rsidR="00FA3B25" w:rsidRPr="00760EB9" w:rsidRDefault="00FA3B25" w:rsidP="003F55B9">
            <w:pPr>
              <w:pStyle w:val="N3"/>
              <w:tabs>
                <w:tab w:val="clear" w:pos="170"/>
                <w:tab w:val="left" w:leader="dot" w:pos="2665"/>
              </w:tabs>
              <w:ind w:left="0" w:firstLine="0"/>
              <w:rPr>
                <w:rFonts w:ascii="Times New Roman" w:hAnsi="Times New Roman"/>
                <w:sz w:val="20"/>
                <w:lang w:val="de-DE"/>
              </w:rPr>
            </w:pPr>
            <w:r w:rsidRPr="00760EB9">
              <w:rPr>
                <w:rFonts w:ascii="Times New Roman" w:hAnsi="Times New Roman"/>
                <w:sz w:val="20"/>
                <w:lang w:val="de-DE"/>
              </w:rPr>
              <w:tab/>
            </w:r>
          </w:p>
        </w:tc>
        <w:tc>
          <w:tcPr>
            <w:tcW w:w="907" w:type="dxa"/>
            <w:tcBorders>
              <w:right w:val="single" w:sz="6" w:space="0" w:color="auto"/>
            </w:tcBorders>
          </w:tcPr>
          <w:p w14:paraId="159CA415" w14:textId="77777777" w:rsidR="00FA3B25" w:rsidRPr="00760EB9" w:rsidRDefault="00FA3B25" w:rsidP="003F55B9">
            <w:pPr>
              <w:pStyle w:val="N3"/>
              <w:tabs>
                <w:tab w:val="clear" w:pos="170"/>
                <w:tab w:val="left" w:leader="dot" w:pos="737"/>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354F64A4"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41D4A518"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15CE686E"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2A890E37"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66F32E0B"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12" w:space="0" w:color="auto"/>
            </w:tcBorders>
          </w:tcPr>
          <w:p w14:paraId="1A3A4293"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r>
      <w:tr w:rsidR="00FA3B25" w:rsidRPr="00760EB9" w14:paraId="67A8B737" w14:textId="77777777" w:rsidTr="003F55B9">
        <w:trPr>
          <w:cantSplit/>
        </w:trPr>
        <w:tc>
          <w:tcPr>
            <w:tcW w:w="2835" w:type="dxa"/>
            <w:tcBorders>
              <w:left w:val="single" w:sz="12" w:space="0" w:color="auto"/>
              <w:right w:val="single" w:sz="6" w:space="0" w:color="auto"/>
            </w:tcBorders>
          </w:tcPr>
          <w:p w14:paraId="7AB4214F" w14:textId="77777777" w:rsidR="00FA3B25" w:rsidRPr="00760EB9" w:rsidRDefault="00FA3B25" w:rsidP="003F55B9">
            <w:pPr>
              <w:pStyle w:val="N3"/>
              <w:tabs>
                <w:tab w:val="clear" w:pos="170"/>
                <w:tab w:val="left" w:leader="dot" w:pos="2665"/>
              </w:tabs>
              <w:ind w:left="0" w:firstLine="0"/>
              <w:rPr>
                <w:rFonts w:ascii="Times New Roman" w:hAnsi="Times New Roman"/>
                <w:sz w:val="20"/>
                <w:lang w:val="de-DE"/>
              </w:rPr>
            </w:pPr>
          </w:p>
          <w:p w14:paraId="6B6EBB3F" w14:textId="77777777" w:rsidR="00FA3B25" w:rsidRPr="00760EB9" w:rsidRDefault="00FA3B25" w:rsidP="003F55B9">
            <w:pPr>
              <w:pStyle w:val="N3"/>
              <w:tabs>
                <w:tab w:val="clear" w:pos="170"/>
                <w:tab w:val="left" w:leader="dot" w:pos="2665"/>
              </w:tabs>
              <w:ind w:left="0" w:firstLine="0"/>
              <w:rPr>
                <w:rFonts w:ascii="Times New Roman" w:hAnsi="Times New Roman"/>
                <w:sz w:val="20"/>
                <w:lang w:val="de-DE"/>
              </w:rPr>
            </w:pPr>
            <w:r w:rsidRPr="00760EB9">
              <w:rPr>
                <w:rFonts w:ascii="Times New Roman" w:hAnsi="Times New Roman"/>
                <w:sz w:val="20"/>
                <w:lang w:val="de-DE"/>
              </w:rPr>
              <w:tab/>
            </w:r>
          </w:p>
        </w:tc>
        <w:tc>
          <w:tcPr>
            <w:tcW w:w="907" w:type="dxa"/>
            <w:tcBorders>
              <w:right w:val="single" w:sz="6" w:space="0" w:color="auto"/>
            </w:tcBorders>
          </w:tcPr>
          <w:p w14:paraId="1212614A" w14:textId="77777777" w:rsidR="00FA3B25" w:rsidRPr="00760EB9" w:rsidRDefault="00FA3B25" w:rsidP="003F55B9">
            <w:pPr>
              <w:pStyle w:val="N3"/>
              <w:tabs>
                <w:tab w:val="clear" w:pos="170"/>
                <w:tab w:val="left" w:leader="dot" w:pos="737"/>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662B2208"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1FC5780E"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759B812E"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69B7C894"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6" w:space="0" w:color="auto"/>
            </w:tcBorders>
          </w:tcPr>
          <w:p w14:paraId="4A96D42B"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right w:val="single" w:sz="12" w:space="0" w:color="auto"/>
            </w:tcBorders>
          </w:tcPr>
          <w:p w14:paraId="17565FDF"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r>
      <w:tr w:rsidR="00FA3B25" w:rsidRPr="00760EB9" w14:paraId="177A01E4" w14:textId="77777777" w:rsidTr="003F55B9">
        <w:trPr>
          <w:cantSplit/>
        </w:trPr>
        <w:tc>
          <w:tcPr>
            <w:tcW w:w="2835" w:type="dxa"/>
            <w:tcBorders>
              <w:left w:val="single" w:sz="12" w:space="0" w:color="auto"/>
              <w:bottom w:val="single" w:sz="12" w:space="0" w:color="auto"/>
              <w:right w:val="single" w:sz="6" w:space="0" w:color="auto"/>
            </w:tcBorders>
          </w:tcPr>
          <w:p w14:paraId="4E89A494" w14:textId="77777777" w:rsidR="00FA3B25" w:rsidRPr="00760EB9" w:rsidRDefault="00FA3B25" w:rsidP="003F55B9">
            <w:pPr>
              <w:pStyle w:val="N3"/>
              <w:tabs>
                <w:tab w:val="left" w:leader="dot" w:pos="2665"/>
              </w:tabs>
              <w:ind w:left="0" w:firstLine="0"/>
              <w:rPr>
                <w:rFonts w:ascii="Times New Roman" w:hAnsi="Times New Roman"/>
                <w:sz w:val="20"/>
                <w:lang w:val="de-DE"/>
              </w:rPr>
            </w:pPr>
          </w:p>
          <w:p w14:paraId="117B9550" w14:textId="77777777" w:rsidR="00FA3B25" w:rsidRPr="00760EB9" w:rsidRDefault="00FA3B25" w:rsidP="003F55B9">
            <w:pPr>
              <w:pStyle w:val="N3"/>
              <w:tabs>
                <w:tab w:val="clear" w:pos="170"/>
                <w:tab w:val="left" w:leader="dot" w:pos="2665"/>
              </w:tabs>
              <w:spacing w:after="120"/>
              <w:ind w:left="0" w:firstLine="0"/>
              <w:rPr>
                <w:rFonts w:ascii="Times New Roman" w:hAnsi="Times New Roman"/>
                <w:sz w:val="20"/>
                <w:lang w:val="de-DE"/>
              </w:rPr>
            </w:pPr>
            <w:r w:rsidRPr="00760EB9">
              <w:rPr>
                <w:rFonts w:ascii="Times New Roman" w:hAnsi="Times New Roman"/>
                <w:sz w:val="20"/>
                <w:lang w:val="de-DE"/>
              </w:rPr>
              <w:tab/>
            </w:r>
          </w:p>
        </w:tc>
        <w:tc>
          <w:tcPr>
            <w:tcW w:w="907" w:type="dxa"/>
            <w:tcBorders>
              <w:bottom w:val="single" w:sz="12" w:space="0" w:color="auto"/>
              <w:right w:val="single" w:sz="6" w:space="0" w:color="auto"/>
            </w:tcBorders>
          </w:tcPr>
          <w:p w14:paraId="4D1BE5D8" w14:textId="77777777" w:rsidR="00FA3B25" w:rsidRPr="00760EB9" w:rsidRDefault="00FA3B25" w:rsidP="003F55B9">
            <w:pPr>
              <w:pStyle w:val="N3"/>
              <w:tabs>
                <w:tab w:val="clear" w:pos="170"/>
                <w:tab w:val="left" w:leader="dot" w:pos="737"/>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6" w:space="0" w:color="auto"/>
            </w:tcBorders>
          </w:tcPr>
          <w:p w14:paraId="424D69C2"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6" w:space="0" w:color="auto"/>
            </w:tcBorders>
          </w:tcPr>
          <w:p w14:paraId="2EDF0C99"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6" w:space="0" w:color="auto"/>
            </w:tcBorders>
          </w:tcPr>
          <w:p w14:paraId="3DF30A3F"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6" w:space="0" w:color="auto"/>
            </w:tcBorders>
          </w:tcPr>
          <w:p w14:paraId="2FDCE35C"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6" w:space="0" w:color="auto"/>
            </w:tcBorders>
          </w:tcPr>
          <w:p w14:paraId="480B1D68"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c>
          <w:tcPr>
            <w:tcW w:w="794" w:type="dxa"/>
            <w:tcBorders>
              <w:bottom w:val="single" w:sz="12" w:space="0" w:color="auto"/>
              <w:right w:val="single" w:sz="12" w:space="0" w:color="auto"/>
            </w:tcBorders>
          </w:tcPr>
          <w:p w14:paraId="6D740894" w14:textId="77777777" w:rsidR="00FA3B25" w:rsidRPr="00760EB9" w:rsidRDefault="00FA3B25" w:rsidP="003F55B9">
            <w:pPr>
              <w:pStyle w:val="N3"/>
              <w:tabs>
                <w:tab w:val="clear" w:pos="170"/>
                <w:tab w:val="left" w:leader="dot" w:pos="624"/>
              </w:tabs>
              <w:spacing w:before="240"/>
              <w:rPr>
                <w:rFonts w:ascii="Times New Roman" w:hAnsi="Times New Roman"/>
                <w:sz w:val="20"/>
                <w:lang w:val="de-DE"/>
              </w:rPr>
            </w:pPr>
            <w:r w:rsidRPr="00760EB9">
              <w:rPr>
                <w:rFonts w:ascii="Times New Roman" w:hAnsi="Times New Roman"/>
                <w:sz w:val="20"/>
                <w:lang w:val="de-DE"/>
              </w:rPr>
              <w:tab/>
            </w:r>
          </w:p>
        </w:tc>
      </w:tr>
    </w:tbl>
    <w:p w14:paraId="3EA73F80" w14:textId="77777777" w:rsidR="00FA3B25" w:rsidRPr="00760EB9" w:rsidRDefault="00FA3B25" w:rsidP="00FA3B25">
      <w:pPr>
        <w:widowControl/>
        <w:suppressAutoHyphens/>
        <w:overflowPunct/>
        <w:autoSpaceDE/>
        <w:autoSpaceDN/>
        <w:adjustRightInd/>
        <w:spacing w:after="120" w:line="240" w:lineRule="atLeast"/>
        <w:ind w:right="-426" w:firstLine="0"/>
        <w:jc w:val="right"/>
        <w:textAlignment w:val="auto"/>
        <w:rPr>
          <w:lang w:val="en-GB"/>
        </w:rPr>
      </w:pPr>
      <w:r w:rsidRPr="00760EB9">
        <w:rPr>
          <w:lang w:val="en-GB"/>
        </w:rPr>
        <w:t>“</w:t>
      </w:r>
    </w:p>
    <w:p w14:paraId="313BE9C4" w14:textId="286B3AAB" w:rsidR="00FA3B25" w:rsidRPr="00760EB9"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
        </w:rPr>
      </w:pPr>
      <w:r w:rsidRPr="00760EB9">
        <w:rPr>
          <w:b/>
          <w:lang w:val="en-GB"/>
        </w:rPr>
        <w:tab/>
      </w:r>
      <w:r w:rsidRPr="00760EB9">
        <w:rPr>
          <w:b/>
          <w:lang w:val="en-GB"/>
        </w:rPr>
        <w:tab/>
      </w:r>
      <w:r w:rsidRPr="00760EB9">
        <w:rPr>
          <w:b/>
        </w:rPr>
        <w:t>9.3.2.25.9/9.3.3.25.9</w:t>
      </w:r>
      <w:r w:rsidR="00216409">
        <w:rPr>
          <w:b/>
        </w:rPr>
        <w:t xml:space="preserve"> erhält folgenden Wortlaut:</w:t>
      </w:r>
    </w:p>
    <w:p w14:paraId="6283DCFE" w14:textId="77777777" w:rsidR="00FA3B25" w:rsidRPr="00760EB9" w:rsidRDefault="00FA3B25" w:rsidP="00FA3B25">
      <w:pPr>
        <w:spacing w:before="180" w:line="240" w:lineRule="atLeast"/>
        <w:ind w:right="1134" w:firstLine="0"/>
      </w:pPr>
      <w:r w:rsidRPr="00760EB9">
        <w:t>„Die zulässigen Lade- und Löschraten müssen berechnet werden.</w:t>
      </w:r>
    </w:p>
    <w:p w14:paraId="77C1DF7A" w14:textId="77777777" w:rsidR="00FA3B25" w:rsidRPr="00760EB9" w:rsidRDefault="00FA3B25" w:rsidP="00FA3B25">
      <w:pPr>
        <w:spacing w:before="180" w:line="240" w:lineRule="atLeast"/>
        <w:ind w:right="1134" w:firstLine="0"/>
      </w:pPr>
      <w:r w:rsidRPr="00760EB9">
        <w:t xml:space="preserve">Diese Berechnungen beziehen sich auf die maximal zulässigen </w:t>
      </w:r>
      <w:r w:rsidRPr="00760EB9">
        <w:rPr>
          <w:b/>
          <w:bCs/>
          <w:u w:val="single"/>
        </w:rPr>
        <w:t>Anfangs-, Mittel- und Endlade- und -löschraten</w:t>
      </w:r>
      <w:r w:rsidRPr="00760EB9">
        <w:rPr>
          <w:b/>
        </w:rPr>
        <w:t xml:space="preserve"> </w:t>
      </w:r>
      <w:r w:rsidRPr="00760EB9">
        <w:rPr>
          <w:strike/>
        </w:rPr>
        <w:t>Lade- und Löschraten</w:t>
      </w:r>
      <w:r w:rsidRPr="00760EB9">
        <w:t xml:space="preserve"> für jeden </w:t>
      </w:r>
      <w:proofErr w:type="spellStart"/>
      <w:r w:rsidRPr="00760EB9">
        <w:t>Ladetank</w:t>
      </w:r>
      <w:proofErr w:type="spellEnd"/>
      <w:r w:rsidRPr="00760EB9">
        <w:t xml:space="preserve"> </w:t>
      </w:r>
      <w:r w:rsidRPr="00760EB9">
        <w:rPr>
          <w:strike/>
        </w:rPr>
        <w:t>oder</w:t>
      </w:r>
      <w:r w:rsidRPr="00760EB9">
        <w:t xml:space="preserve"> </w:t>
      </w:r>
      <w:r w:rsidRPr="00760EB9">
        <w:rPr>
          <w:b/>
          <w:bCs/>
          <w:u w:val="single"/>
        </w:rPr>
        <w:t>und</w:t>
      </w:r>
      <w:r w:rsidRPr="00760EB9">
        <w:t xml:space="preserve"> für Ladetankgruppen unter Berücksichtigung der Auslegung </w:t>
      </w:r>
      <w:r w:rsidRPr="00760EB9">
        <w:rPr>
          <w:b/>
          <w:u w:val="single"/>
        </w:rPr>
        <w:t>der Lade- und Löschleitungen und der Auslegung</w:t>
      </w:r>
      <w:r w:rsidRPr="00760EB9">
        <w:rPr>
          <w:bCs/>
        </w:rPr>
        <w:t xml:space="preserve"> </w:t>
      </w:r>
      <w:r w:rsidRPr="00760EB9">
        <w:t>des Lüftungssystems. Bei diesen Berechnungen soll berücksichtigt werden, dass bei einem unerwarteten Verschluss der Gasrückfuhrleitung</w:t>
      </w:r>
      <w:r w:rsidRPr="00760EB9" w:rsidDel="00EB60A0">
        <w:t xml:space="preserve"> </w:t>
      </w:r>
      <w:r w:rsidRPr="00760EB9">
        <w:t>der Landanlage die Sicherheitseinrichtungen der Ladetanks verhindern, dass der Druck in den Ladetanks die nachstehend aufgeführten Werte überschreitet:</w:t>
      </w:r>
    </w:p>
    <w:p w14:paraId="63A7380A" w14:textId="77777777" w:rsidR="00FA3B25" w:rsidRPr="00760EB9" w:rsidRDefault="00FA3B25" w:rsidP="00FA3B25">
      <w:pPr>
        <w:spacing w:before="60" w:line="240" w:lineRule="atLeast"/>
        <w:ind w:left="2268" w:right="1134"/>
      </w:pPr>
      <w:r w:rsidRPr="00760EB9">
        <w:t>Überdruck:</w:t>
      </w:r>
      <w:r w:rsidRPr="00760EB9">
        <w:tab/>
        <w:t>das 1,15-fache des Öffnungsdrucks des Überdruck-/ Hochgeschwindigkeitsventils.</w:t>
      </w:r>
    </w:p>
    <w:p w14:paraId="211DC70E" w14:textId="77777777" w:rsidR="00FA3B25" w:rsidRPr="00760EB9" w:rsidRDefault="00FA3B25" w:rsidP="00FA3B25">
      <w:pPr>
        <w:spacing w:before="60" w:line="240" w:lineRule="atLeast"/>
        <w:ind w:left="2268" w:right="1134"/>
      </w:pPr>
      <w:r w:rsidRPr="00760EB9">
        <w:t>Unterdruck:</w:t>
      </w:r>
      <w:r w:rsidRPr="00760EB9">
        <w:tab/>
        <w:t>nicht mehr als der Auslegungsdruck, ohne jedoch einen Unterdruck von 5 kPa (0,05 bar) zu überschreiten.</w:t>
      </w:r>
    </w:p>
    <w:p w14:paraId="70FF29D3" w14:textId="77777777" w:rsidR="00955824" w:rsidRDefault="00955824">
      <w:pPr>
        <w:widowControl/>
        <w:overflowPunct/>
        <w:autoSpaceDE/>
        <w:autoSpaceDN/>
        <w:adjustRightInd/>
        <w:ind w:left="0" w:firstLine="0"/>
        <w:jc w:val="left"/>
        <w:textAlignment w:val="auto"/>
      </w:pPr>
      <w:r>
        <w:br w:type="page"/>
      </w:r>
    </w:p>
    <w:p w14:paraId="0E6A1B63" w14:textId="7B0103E4" w:rsidR="00FA3B25" w:rsidRPr="00760EB9" w:rsidRDefault="00FA3B25" w:rsidP="00FA3B25">
      <w:pPr>
        <w:spacing w:before="180" w:line="240" w:lineRule="atLeast"/>
        <w:ind w:right="1134" w:firstLine="0"/>
      </w:pPr>
      <w:r w:rsidRPr="00760EB9">
        <w:lastRenderedPageBreak/>
        <w:t>Die besonders zu berücksichtigenden Faktoren sind:</w:t>
      </w:r>
    </w:p>
    <w:p w14:paraId="17A95A64" w14:textId="77777777" w:rsidR="00FA3B25" w:rsidRPr="00760EB9" w:rsidRDefault="00FA3B25" w:rsidP="00FA3B25">
      <w:pPr>
        <w:pStyle w:val="ListParagraph"/>
        <w:numPr>
          <w:ilvl w:val="0"/>
          <w:numId w:val="5"/>
        </w:numPr>
        <w:spacing w:before="60" w:line="240" w:lineRule="atLeast"/>
        <w:ind w:left="1418" w:right="1134" w:hanging="284"/>
        <w:rPr>
          <w:b/>
          <w:u w:val="single"/>
        </w:rPr>
      </w:pPr>
      <w:r w:rsidRPr="00760EB9">
        <w:rPr>
          <w:b/>
          <w:u w:val="single"/>
        </w:rPr>
        <w:t>Auslegung der Lade- und Löschleitungen.</w:t>
      </w:r>
    </w:p>
    <w:p w14:paraId="56FD755C" w14:textId="77777777" w:rsidR="00FA3B25" w:rsidRPr="00760EB9" w:rsidRDefault="00FA3B25" w:rsidP="00FA3B25">
      <w:pPr>
        <w:spacing w:before="60" w:line="240" w:lineRule="atLeast"/>
        <w:ind w:left="1418" w:right="1134" w:hanging="284"/>
      </w:pPr>
      <w:r w:rsidRPr="00760EB9">
        <w:rPr>
          <w:b/>
          <w:bCs/>
        </w:rPr>
        <w:t>2</w:t>
      </w:r>
      <w:r w:rsidRPr="00760EB9">
        <w:rPr>
          <w:strike/>
        </w:rPr>
        <w:t>1</w:t>
      </w:r>
      <w:r w:rsidRPr="00760EB9">
        <w:t>.</w:t>
      </w:r>
      <w:r w:rsidRPr="00760EB9">
        <w:tab/>
      </w:r>
      <w:r w:rsidRPr="00760EB9">
        <w:rPr>
          <w:b/>
          <w:u w:val="single"/>
        </w:rPr>
        <w:t xml:space="preserve">Auslegung </w:t>
      </w:r>
      <w:r w:rsidRPr="00760EB9">
        <w:rPr>
          <w:strike/>
        </w:rPr>
        <w:t>Abmessungen</w:t>
      </w:r>
      <w:r w:rsidRPr="00760EB9">
        <w:t xml:space="preserve"> des Ladetanklüftungssystems</w:t>
      </w:r>
      <w:bookmarkStart w:id="17" w:name="_Hlk43732831"/>
      <w:r w:rsidRPr="00760EB9">
        <w:t>.</w:t>
      </w:r>
      <w:bookmarkEnd w:id="17"/>
    </w:p>
    <w:p w14:paraId="548C2BC1" w14:textId="77777777" w:rsidR="00FA3B25" w:rsidRPr="00760EB9" w:rsidRDefault="00FA3B25" w:rsidP="00FA3B25">
      <w:pPr>
        <w:spacing w:before="60" w:line="240" w:lineRule="atLeast"/>
        <w:ind w:left="1418" w:right="1134" w:hanging="284"/>
      </w:pPr>
      <w:r w:rsidRPr="00760EB9">
        <w:rPr>
          <w:b/>
          <w:bCs/>
        </w:rPr>
        <w:t>3</w:t>
      </w:r>
      <w:r w:rsidRPr="00760EB9">
        <w:rPr>
          <w:strike/>
        </w:rPr>
        <w:t>2</w:t>
      </w:r>
      <w:r w:rsidRPr="00760EB9">
        <w:t>.</w:t>
      </w:r>
      <w:r w:rsidRPr="00760EB9">
        <w:tab/>
        <w:t xml:space="preserve">Gasentwicklung während des Ladens: diese wird durch Multiplikation der höchsten </w:t>
      </w:r>
      <w:proofErr w:type="spellStart"/>
      <w:r w:rsidRPr="00760EB9">
        <w:t>Laderate</w:t>
      </w:r>
      <w:proofErr w:type="spellEnd"/>
      <w:r w:rsidRPr="00760EB9">
        <w:t xml:space="preserve"> mit einem Faktor von mindestens 1,25 berücksichtigt.</w:t>
      </w:r>
    </w:p>
    <w:p w14:paraId="20776315" w14:textId="77777777" w:rsidR="00FA3B25" w:rsidRPr="00760EB9" w:rsidRDefault="00FA3B25" w:rsidP="00FA3B25">
      <w:pPr>
        <w:spacing w:before="60" w:line="240" w:lineRule="atLeast"/>
        <w:ind w:left="1418" w:right="1134" w:hanging="284"/>
      </w:pPr>
      <w:r w:rsidRPr="00760EB9">
        <w:rPr>
          <w:b/>
          <w:bCs/>
        </w:rPr>
        <w:t>4</w:t>
      </w:r>
      <w:r w:rsidRPr="00760EB9">
        <w:rPr>
          <w:strike/>
        </w:rPr>
        <w:t>3</w:t>
      </w:r>
      <w:r w:rsidRPr="00760EB9">
        <w:t>.</w:t>
      </w:r>
      <w:r w:rsidRPr="00760EB9">
        <w:tab/>
      </w:r>
      <w:r w:rsidRPr="00760EB9">
        <w:rPr>
          <w:strike/>
        </w:rPr>
        <w:t>Dichte des Ladungsdampfgemisches</w:t>
      </w:r>
      <w:r w:rsidRPr="00760EB9">
        <w:t xml:space="preserve"> </w:t>
      </w:r>
      <w:r w:rsidRPr="00760EB9">
        <w:rPr>
          <w:b/>
          <w:u w:val="single"/>
        </w:rPr>
        <w:t xml:space="preserve">mehrere relevante Dampfdichten basierend </w:t>
      </w:r>
      <w:r w:rsidRPr="00760EB9">
        <w:rPr>
          <w:strike/>
        </w:rPr>
        <w:t>basiert</w:t>
      </w:r>
      <w:r w:rsidRPr="00760EB9">
        <w:t xml:space="preserve"> auf einem Gemisch von 50 Vol.-% Dampf und 50 </w:t>
      </w:r>
      <w:proofErr w:type="spellStart"/>
      <w:r w:rsidRPr="00760EB9">
        <w:t>Vol</w:t>
      </w:r>
      <w:proofErr w:type="spellEnd"/>
      <w:proofErr w:type="gramStart"/>
      <w:r w:rsidRPr="00760EB9">
        <w:t>-.%</w:t>
      </w:r>
      <w:proofErr w:type="gramEnd"/>
      <w:r w:rsidRPr="00760EB9">
        <w:t xml:space="preserve"> Luft.</w:t>
      </w:r>
    </w:p>
    <w:p w14:paraId="1F20D98C" w14:textId="77777777" w:rsidR="00FA3B25" w:rsidRPr="00760EB9" w:rsidRDefault="00FA3B25" w:rsidP="00FA3B25">
      <w:pPr>
        <w:spacing w:before="60" w:line="240" w:lineRule="atLeast"/>
        <w:ind w:left="1418" w:right="1134" w:hanging="284"/>
      </w:pPr>
      <w:r w:rsidRPr="00760EB9">
        <w:rPr>
          <w:b/>
          <w:bCs/>
        </w:rPr>
        <w:t>5</w:t>
      </w:r>
      <w:r w:rsidRPr="00760EB9">
        <w:rPr>
          <w:strike/>
        </w:rPr>
        <w:t>4</w:t>
      </w:r>
      <w:r w:rsidRPr="00760EB9">
        <w:t>.</w:t>
      </w:r>
      <w:r w:rsidRPr="00760EB9">
        <w:tab/>
        <w:t>Druckverlust in Lüftungsleitungen, durch Ventile und Armaturen. Hierbei ist mit einer Verschmutzung von 30 % der Flammendurchschlagsicherungen zu rechnen</w:t>
      </w:r>
      <w:bookmarkStart w:id="18" w:name="_Hlk43733713"/>
      <w:r w:rsidRPr="00760EB9">
        <w:t>.</w:t>
      </w:r>
      <w:bookmarkEnd w:id="18"/>
    </w:p>
    <w:p w14:paraId="4A469D2F" w14:textId="77777777" w:rsidR="00FA3B25" w:rsidRPr="00760EB9" w:rsidRDefault="00FA3B25" w:rsidP="00FA3B25">
      <w:pPr>
        <w:spacing w:before="60" w:line="240" w:lineRule="atLeast"/>
        <w:ind w:left="1418" w:right="1134" w:hanging="284"/>
      </w:pPr>
      <w:r w:rsidRPr="00760EB9">
        <w:rPr>
          <w:b/>
          <w:bCs/>
        </w:rPr>
        <w:t>6</w:t>
      </w:r>
      <w:r w:rsidRPr="00760EB9">
        <w:rPr>
          <w:strike/>
        </w:rPr>
        <w:t>5</w:t>
      </w:r>
      <w:r w:rsidRPr="00760EB9">
        <w:t>.</w:t>
      </w:r>
      <w:r w:rsidRPr="00760EB9">
        <w:tab/>
        <w:t>Druckeinstellung der Sicherheitsventile.</w:t>
      </w:r>
    </w:p>
    <w:p w14:paraId="1208FF4D" w14:textId="77777777" w:rsidR="00FA3B25" w:rsidRPr="00760EB9" w:rsidRDefault="00FA3B25" w:rsidP="00FA3B25">
      <w:pPr>
        <w:widowControl/>
        <w:suppressAutoHyphens/>
        <w:overflowPunct/>
        <w:autoSpaceDE/>
        <w:autoSpaceDN/>
        <w:adjustRightInd/>
        <w:spacing w:before="60" w:after="120" w:line="240" w:lineRule="atLeast"/>
        <w:ind w:left="1418" w:right="1134" w:hanging="284"/>
        <w:textAlignment w:val="auto"/>
        <w:rPr>
          <w:b/>
          <w:u w:val="single"/>
        </w:rPr>
      </w:pPr>
      <w:r w:rsidRPr="00760EB9">
        <w:rPr>
          <w:b/>
          <w:u w:val="single"/>
        </w:rPr>
        <w:t>7.</w:t>
      </w:r>
      <w:r w:rsidRPr="00760EB9">
        <w:rPr>
          <w:b/>
          <w:u w:val="single"/>
        </w:rPr>
        <w:tab/>
        <w:t>Verhinderung elektrostatischer Aufladung.</w:t>
      </w:r>
    </w:p>
    <w:p w14:paraId="7E36DDAC" w14:textId="77777777" w:rsidR="00FA3B25" w:rsidRPr="00760EB9" w:rsidRDefault="00FA3B25" w:rsidP="00FA3B25">
      <w:pPr>
        <w:spacing w:before="180" w:line="240" w:lineRule="atLeast"/>
        <w:ind w:right="1134" w:firstLine="0"/>
      </w:pPr>
      <w:r w:rsidRPr="00760EB9">
        <w:rPr>
          <w:strike/>
        </w:rPr>
        <w:t xml:space="preserve">Eine Instruktion über die maximal zulässige Lade- und Löschrate pro </w:t>
      </w:r>
      <w:proofErr w:type="spellStart"/>
      <w:r w:rsidRPr="00760EB9">
        <w:rPr>
          <w:strike/>
        </w:rPr>
        <w:t>Ladetank</w:t>
      </w:r>
      <w:proofErr w:type="spellEnd"/>
      <w:r w:rsidRPr="00760EB9">
        <w:rPr>
          <w:strike/>
        </w:rPr>
        <w:t xml:space="preserve"> oder pro Ladetankgruppe</w:t>
      </w:r>
      <w:r w:rsidRPr="00760EB9">
        <w:t xml:space="preserve"> </w:t>
      </w:r>
      <w:r w:rsidRPr="00760EB9">
        <w:rPr>
          <w:b/>
          <w:u w:val="single"/>
        </w:rPr>
        <w:t xml:space="preserve">Die </w:t>
      </w:r>
      <w:r w:rsidRPr="00760EB9">
        <w:rPr>
          <w:b/>
          <w:bCs/>
          <w:u w:val="single"/>
        </w:rPr>
        <w:t xml:space="preserve">Instruktion für die Lade- und Löschraten </w:t>
      </w:r>
      <w:r w:rsidRPr="00760EB9">
        <w:rPr>
          <w:b/>
          <w:u w:val="single"/>
        </w:rPr>
        <w:t xml:space="preserve">muss von der das Schiff klassifizierenden anerkannten Klassifikationsgesellschaft genehmigt werden. Die Instruktion für die Lade- und Löschraten </w:t>
      </w:r>
      <w:r w:rsidRPr="00760EB9">
        <w:t>muss sich an Bord befinden.“</w:t>
      </w:r>
    </w:p>
    <w:p w14:paraId="373F604A" w14:textId="77777777" w:rsidR="00FA3B25" w:rsidRPr="00760EB9" w:rsidRDefault="00FA3B25" w:rsidP="00FA3B25">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760EB9">
        <w:rPr>
          <w:b/>
          <w:sz w:val="28"/>
        </w:rPr>
        <w:tab/>
      </w:r>
      <w:r w:rsidRPr="00760EB9">
        <w:rPr>
          <w:b/>
          <w:sz w:val="28"/>
        </w:rPr>
        <w:tab/>
        <w:t>Folgeänderungen</w:t>
      </w:r>
    </w:p>
    <w:p w14:paraId="155DBE38" w14:textId="3597A3DF" w:rsidR="00FA3B25" w:rsidRPr="00760EB9" w:rsidRDefault="00216409" w:rsidP="003A2C8B">
      <w:pPr>
        <w:widowControl/>
        <w:tabs>
          <w:tab w:val="left" w:pos="1701"/>
        </w:tabs>
        <w:suppressAutoHyphens/>
        <w:overflowPunct/>
        <w:autoSpaceDE/>
        <w:autoSpaceDN/>
        <w:adjustRightInd/>
        <w:spacing w:after="120" w:line="240" w:lineRule="atLeast"/>
        <w:ind w:firstLine="0"/>
        <w:textAlignment w:val="auto"/>
      </w:pPr>
      <w:r>
        <w:t>12</w:t>
      </w:r>
      <w:r w:rsidR="00FA3B25" w:rsidRPr="00760EB9">
        <w:t>.</w:t>
      </w:r>
      <w:r w:rsidR="00FA3B25" w:rsidRPr="00760EB9">
        <w:tab/>
        <w:t>Die niederländische Delegation schlägt eine Folgeänderung vor: die Aufnahme einer Übergangsbestimmung für das neue Dokument.</w:t>
      </w:r>
    </w:p>
    <w:p w14:paraId="48571AD2" w14:textId="038AC5C1" w:rsidR="00FA3B25" w:rsidRPr="003D456D" w:rsidRDefault="00FA3B25" w:rsidP="00FA3B25">
      <w:pPr>
        <w:keepNext/>
        <w:keepLines/>
        <w:widowControl/>
        <w:tabs>
          <w:tab w:val="right" w:pos="851"/>
        </w:tabs>
        <w:suppressAutoHyphens/>
        <w:overflowPunct/>
        <w:autoSpaceDE/>
        <w:autoSpaceDN/>
        <w:adjustRightInd/>
        <w:spacing w:before="240" w:after="120" w:line="240" w:lineRule="exact"/>
        <w:ind w:right="1134"/>
        <w:jc w:val="left"/>
        <w:textAlignment w:val="auto"/>
        <w:rPr>
          <w:bCs/>
          <w:lang w:val="en-US"/>
        </w:rPr>
      </w:pPr>
      <w:r w:rsidRPr="00760EB9">
        <w:rPr>
          <w:b/>
        </w:rPr>
        <w:tab/>
      </w:r>
      <w:r w:rsidRPr="00760EB9">
        <w:rPr>
          <w:b/>
        </w:rPr>
        <w:tab/>
      </w:r>
      <w:r w:rsidR="00535182" w:rsidRPr="003D456D">
        <w:rPr>
          <w:bCs/>
        </w:rPr>
        <w:t xml:space="preserve">In </w:t>
      </w:r>
      <w:r w:rsidRPr="003D456D">
        <w:rPr>
          <w:bCs/>
          <w:lang w:val="en-US"/>
        </w:rPr>
        <w:t>1.6.7.2.2.2</w:t>
      </w:r>
      <w:r w:rsidR="00535182" w:rsidRPr="003D456D">
        <w:rPr>
          <w:bCs/>
          <w:lang w:val="en-US"/>
        </w:rPr>
        <w:t xml:space="preserve"> </w:t>
      </w:r>
      <w:proofErr w:type="spellStart"/>
      <w:r w:rsidR="00535182" w:rsidRPr="003D456D">
        <w:rPr>
          <w:bCs/>
          <w:lang w:val="en-US"/>
        </w:rPr>
        <w:t>wie</w:t>
      </w:r>
      <w:proofErr w:type="spellEnd"/>
      <w:r w:rsidR="00535182" w:rsidRPr="003D456D">
        <w:rPr>
          <w:bCs/>
          <w:lang w:val="en-US"/>
        </w:rPr>
        <w:t xml:space="preserve"> </w:t>
      </w:r>
      <w:proofErr w:type="spellStart"/>
      <w:r w:rsidR="00535182" w:rsidRPr="003D456D">
        <w:rPr>
          <w:bCs/>
          <w:lang w:val="en-US"/>
        </w:rPr>
        <w:t>folgt</w:t>
      </w:r>
      <w:proofErr w:type="spellEnd"/>
      <w:r w:rsidR="00535182" w:rsidRPr="003D456D">
        <w:rPr>
          <w:bCs/>
          <w:lang w:val="en-US"/>
        </w:rPr>
        <w:t xml:space="preserve"> </w:t>
      </w:r>
      <w:proofErr w:type="spellStart"/>
      <w:r w:rsidR="00535182" w:rsidRPr="003D456D">
        <w:rPr>
          <w:bCs/>
          <w:lang w:val="en-US"/>
        </w:rPr>
        <w:t>hinzufügen</w:t>
      </w:r>
      <w:proofErr w:type="spellEnd"/>
      <w:r w:rsidR="00535182" w:rsidRPr="003D456D">
        <w:rPr>
          <w:bCs/>
          <w:lang w:val="en-US"/>
        </w:rPr>
        <w:t>:</w:t>
      </w:r>
    </w:p>
    <w:p w14:paraId="50ACD822" w14:textId="77777777" w:rsidR="00FA3B25" w:rsidRPr="00760EB9" w:rsidRDefault="00FA3B25" w:rsidP="00FA3B25">
      <w:pPr>
        <w:widowControl/>
        <w:suppressAutoHyphens/>
        <w:overflowPunct/>
        <w:autoSpaceDE/>
        <w:autoSpaceDN/>
        <w:adjustRightInd/>
        <w:spacing w:after="120" w:line="240" w:lineRule="atLeast"/>
        <w:ind w:right="1134" w:firstLine="0"/>
        <w:textAlignment w:val="auto"/>
        <w:rPr>
          <w:lang w:val="en-US"/>
        </w:rPr>
      </w:pPr>
      <w:r w:rsidRPr="00760EB9">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187"/>
        <w:gridCol w:w="4652"/>
      </w:tblGrid>
      <w:tr w:rsidR="00FA3B25" w:rsidRPr="00760EB9" w14:paraId="7BD668B4" w14:textId="77777777" w:rsidTr="003F55B9">
        <w:tc>
          <w:tcPr>
            <w:tcW w:w="1089" w:type="dxa"/>
            <w:shd w:val="clear" w:color="auto" w:fill="auto"/>
          </w:tcPr>
          <w:p w14:paraId="11EC7522" w14:textId="77777777" w:rsidR="00FA3B25" w:rsidRPr="00760EB9" w:rsidRDefault="00FA3B25" w:rsidP="003F55B9">
            <w:pPr>
              <w:widowControl/>
              <w:suppressAutoHyphens/>
              <w:overflowPunct/>
              <w:autoSpaceDE/>
              <w:autoSpaceDN/>
              <w:adjustRightInd/>
              <w:spacing w:after="240" w:line="240" w:lineRule="atLeast"/>
              <w:ind w:left="0" w:firstLine="0"/>
              <w:textAlignment w:val="auto"/>
              <w:rPr>
                <w:b/>
                <w:color w:val="000000"/>
                <w:u w:val="single"/>
                <w:lang w:val="en-US"/>
              </w:rPr>
            </w:pPr>
            <w:r w:rsidRPr="00760EB9">
              <w:rPr>
                <w:b/>
                <w:color w:val="000000"/>
                <w:u w:val="single"/>
                <w:lang w:val="en-US"/>
              </w:rPr>
              <w:t>9.3.2.25.9</w:t>
            </w:r>
            <w:r w:rsidRPr="00760EB9">
              <w:rPr>
                <w:b/>
                <w:color w:val="000000"/>
                <w:u w:val="single"/>
                <w:lang w:val="en-US"/>
              </w:rPr>
              <w:br/>
              <w:t>9.3.3.25.9</w:t>
            </w:r>
          </w:p>
        </w:tc>
        <w:tc>
          <w:tcPr>
            <w:tcW w:w="2187" w:type="dxa"/>
            <w:shd w:val="clear" w:color="auto" w:fill="auto"/>
          </w:tcPr>
          <w:p w14:paraId="06917E63" w14:textId="00911435" w:rsidR="00FA3B25" w:rsidRPr="00760EB9" w:rsidRDefault="00FA3B25" w:rsidP="003D456D">
            <w:pPr>
              <w:widowControl/>
              <w:suppressAutoHyphens/>
              <w:overflowPunct/>
              <w:autoSpaceDE/>
              <w:autoSpaceDN/>
              <w:adjustRightInd/>
              <w:spacing w:after="240" w:line="240" w:lineRule="atLeast"/>
              <w:ind w:left="0" w:firstLine="0"/>
              <w:jc w:val="left"/>
              <w:textAlignment w:val="auto"/>
              <w:rPr>
                <w:color w:val="000000"/>
              </w:rPr>
            </w:pPr>
            <w:r w:rsidRPr="00760EB9">
              <w:rPr>
                <w:b/>
                <w:color w:val="000000"/>
                <w:u w:val="single"/>
              </w:rPr>
              <w:t>Instruktion für die Lade- und Löschraten</w:t>
            </w:r>
          </w:p>
        </w:tc>
        <w:tc>
          <w:tcPr>
            <w:tcW w:w="4652" w:type="dxa"/>
            <w:shd w:val="clear" w:color="auto" w:fill="auto"/>
          </w:tcPr>
          <w:p w14:paraId="16AA542A" w14:textId="77777777" w:rsidR="00FA3B25" w:rsidRPr="00760EB9" w:rsidRDefault="00FA3B25" w:rsidP="003F55B9">
            <w:pPr>
              <w:widowControl/>
              <w:suppressAutoHyphens/>
              <w:overflowPunct/>
              <w:autoSpaceDE/>
              <w:autoSpaceDN/>
              <w:adjustRightInd/>
              <w:spacing w:line="240" w:lineRule="atLeast"/>
              <w:ind w:left="0" w:firstLine="0"/>
              <w:jc w:val="center"/>
              <w:textAlignment w:val="auto"/>
              <w:rPr>
                <w:b/>
                <w:color w:val="000000"/>
                <w:u w:val="single"/>
              </w:rPr>
            </w:pPr>
            <w:r w:rsidRPr="00760EB9">
              <w:rPr>
                <w:b/>
                <w:color w:val="000000"/>
                <w:u w:val="single"/>
              </w:rPr>
              <w:t>N.E.U.,</w:t>
            </w:r>
          </w:p>
          <w:p w14:paraId="1F6B8B94" w14:textId="77777777" w:rsidR="00FA3B25" w:rsidRPr="00760EB9" w:rsidRDefault="00FA3B25" w:rsidP="003F55B9">
            <w:pPr>
              <w:widowControl/>
              <w:suppressAutoHyphens/>
              <w:overflowPunct/>
              <w:autoSpaceDE/>
              <w:autoSpaceDN/>
              <w:adjustRightInd/>
              <w:spacing w:after="240" w:line="240" w:lineRule="atLeast"/>
              <w:ind w:left="0" w:firstLine="0"/>
              <w:jc w:val="center"/>
              <w:textAlignment w:val="auto"/>
              <w:rPr>
                <w:b/>
                <w:color w:val="000000"/>
                <w:u w:val="single"/>
                <w:lang w:val="en-US"/>
              </w:rPr>
            </w:pPr>
            <w:r w:rsidRPr="00760EB9">
              <w:rPr>
                <w:b/>
                <w:color w:val="000000"/>
                <w:u w:val="single"/>
              </w:rPr>
              <w:t>Erneuerung des Zulassungszeugnisses nach dem 31. </w:t>
            </w:r>
            <w:proofErr w:type="spellStart"/>
            <w:r w:rsidRPr="00760EB9">
              <w:rPr>
                <w:b/>
                <w:color w:val="000000"/>
                <w:u w:val="single"/>
                <w:lang w:val="en-US"/>
              </w:rPr>
              <w:t>Dezember</w:t>
            </w:r>
            <w:proofErr w:type="spellEnd"/>
            <w:r w:rsidRPr="00760EB9">
              <w:rPr>
                <w:b/>
                <w:color w:val="000000"/>
                <w:u w:val="single"/>
                <w:lang w:val="en-US"/>
              </w:rPr>
              <w:t xml:space="preserve"> 2022</w:t>
            </w:r>
          </w:p>
        </w:tc>
      </w:tr>
    </w:tbl>
    <w:p w14:paraId="6B7BCD94" w14:textId="77777777" w:rsidR="00FA3B25" w:rsidRPr="0039551B" w:rsidRDefault="00FA3B25" w:rsidP="00FA3B25">
      <w:pPr>
        <w:widowControl/>
        <w:suppressAutoHyphens/>
        <w:overflowPunct/>
        <w:autoSpaceDE/>
        <w:autoSpaceDN/>
        <w:adjustRightInd/>
        <w:spacing w:after="120" w:line="240" w:lineRule="atLeast"/>
        <w:ind w:right="1134" w:firstLine="0"/>
        <w:jc w:val="right"/>
        <w:textAlignment w:val="auto"/>
      </w:pPr>
      <w:r w:rsidRPr="0039551B">
        <w:t>“</w:t>
      </w:r>
    </w:p>
    <w:p w14:paraId="078AA147" w14:textId="77777777" w:rsidR="00FA3B25" w:rsidRPr="00760EB9" w:rsidRDefault="00FA3B25" w:rsidP="00FA3B25">
      <w:pPr>
        <w:keepNext/>
        <w:keepLines/>
        <w:widowControl/>
        <w:tabs>
          <w:tab w:val="right" w:pos="851"/>
        </w:tabs>
        <w:suppressAutoHyphens/>
        <w:overflowPunct/>
        <w:autoSpaceDE/>
        <w:autoSpaceDN/>
        <w:adjustRightInd/>
        <w:spacing w:before="360" w:after="240" w:line="300" w:lineRule="exact"/>
        <w:ind w:right="1134"/>
        <w:jc w:val="left"/>
        <w:textAlignment w:val="auto"/>
        <w:rPr>
          <w:b/>
          <w:sz w:val="28"/>
        </w:rPr>
      </w:pPr>
      <w:r w:rsidRPr="0039551B">
        <w:rPr>
          <w:b/>
          <w:sz w:val="28"/>
        </w:rPr>
        <w:tab/>
      </w:r>
      <w:r w:rsidRPr="0039551B">
        <w:rPr>
          <w:b/>
          <w:sz w:val="28"/>
        </w:rPr>
        <w:tab/>
      </w:r>
      <w:r w:rsidRPr="00760EB9">
        <w:rPr>
          <w:b/>
          <w:sz w:val="28"/>
        </w:rPr>
        <w:t>Zu ergreifende Maßnahme</w:t>
      </w:r>
    </w:p>
    <w:p w14:paraId="6C59D3AB" w14:textId="27668C23" w:rsidR="00FA3B25" w:rsidRPr="00760EB9" w:rsidRDefault="00FA3B25" w:rsidP="00FA3B25">
      <w:pPr>
        <w:widowControl/>
        <w:tabs>
          <w:tab w:val="left" w:pos="1701"/>
        </w:tabs>
        <w:suppressAutoHyphens/>
        <w:overflowPunct/>
        <w:autoSpaceDE/>
        <w:autoSpaceDN/>
        <w:adjustRightInd/>
        <w:spacing w:after="120" w:line="240" w:lineRule="atLeast"/>
        <w:ind w:right="1134" w:firstLine="0"/>
        <w:textAlignment w:val="auto"/>
      </w:pPr>
      <w:r w:rsidRPr="00760EB9">
        <w:t>1</w:t>
      </w:r>
      <w:r w:rsidR="00535182">
        <w:t>3</w:t>
      </w:r>
      <w:r w:rsidRPr="00760EB9">
        <w:t>.</w:t>
      </w:r>
      <w:r w:rsidRPr="00760EB9">
        <w:tab/>
      </w:r>
      <w:r w:rsidRPr="00760EB9">
        <w:rPr>
          <w:color w:val="000000"/>
        </w:rPr>
        <w:t xml:space="preserve">Die niederländische Delegation bittet den ADN-Sicherheitsausschuss, die Änderungsvorschläge in den Absätzen </w:t>
      </w:r>
      <w:r w:rsidR="00535182">
        <w:rPr>
          <w:color w:val="000000"/>
        </w:rPr>
        <w:t>11</w:t>
      </w:r>
      <w:r w:rsidR="00535182" w:rsidRPr="00760EB9">
        <w:rPr>
          <w:color w:val="000000"/>
        </w:rPr>
        <w:t xml:space="preserve"> </w:t>
      </w:r>
      <w:r w:rsidRPr="00760EB9">
        <w:rPr>
          <w:color w:val="000000"/>
        </w:rPr>
        <w:t xml:space="preserve">und </w:t>
      </w:r>
      <w:r w:rsidR="00535182">
        <w:rPr>
          <w:color w:val="000000"/>
        </w:rPr>
        <w:t>12</w:t>
      </w:r>
      <w:r w:rsidR="00535182" w:rsidRPr="00760EB9">
        <w:rPr>
          <w:color w:val="000000"/>
        </w:rPr>
        <w:t xml:space="preserve"> </w:t>
      </w:r>
      <w:r w:rsidRPr="00760EB9">
        <w:rPr>
          <w:color w:val="000000"/>
        </w:rPr>
        <w:t>zu prüfen und die aus seiner Sicht notwendigen Maßnahmen zu ergreifen.</w:t>
      </w:r>
    </w:p>
    <w:p w14:paraId="303CD3BC" w14:textId="77777777" w:rsidR="00FA3B25" w:rsidRPr="00FA3B25" w:rsidRDefault="00FA3B25" w:rsidP="000646C7">
      <w:pPr>
        <w:widowControl/>
        <w:suppressAutoHyphens/>
        <w:overflowPunct/>
        <w:autoSpaceDE/>
        <w:autoSpaceDN/>
        <w:adjustRightInd/>
        <w:spacing w:after="120" w:line="240" w:lineRule="atLeast"/>
        <w:ind w:right="1134" w:firstLine="0"/>
        <w:textAlignment w:val="auto"/>
      </w:pPr>
    </w:p>
    <w:p w14:paraId="46C05A50" w14:textId="6276A26B" w:rsidR="0063076E" w:rsidRPr="00173DD7" w:rsidRDefault="0063076E" w:rsidP="00830501">
      <w:pPr>
        <w:tabs>
          <w:tab w:val="left" w:pos="1418"/>
        </w:tabs>
        <w:spacing w:line="240" w:lineRule="atLeast"/>
        <w:ind w:firstLine="0"/>
        <w:jc w:val="center"/>
      </w:pPr>
      <w:r w:rsidRPr="005B7A17">
        <w:t>***</w:t>
      </w:r>
      <w:bookmarkEnd w:id="0"/>
    </w:p>
    <w:sectPr w:rsidR="0063076E" w:rsidRPr="00173DD7" w:rsidSect="00D36741">
      <w:headerReference w:type="even" r:id="rId11"/>
      <w:headerReference w:type="default" r:id="rId12"/>
      <w:footerReference w:type="even" r:id="rId13"/>
      <w:footerReference w:type="defaul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00114" w14:textId="77777777" w:rsidR="00E24AF2" w:rsidRDefault="00E24AF2" w:rsidP="00277F70">
      <w:r>
        <w:separator/>
      </w:r>
    </w:p>
  </w:endnote>
  <w:endnote w:type="continuationSeparator" w:id="0">
    <w:p w14:paraId="1F549EC6" w14:textId="77777777" w:rsidR="00E24AF2" w:rsidRDefault="00E24AF2" w:rsidP="002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BE7E" w14:textId="77777777" w:rsidR="00535182" w:rsidRPr="000671E2" w:rsidRDefault="00535182" w:rsidP="00535182">
    <w:pPr>
      <w:widowControl/>
      <w:suppressAutoHyphens/>
      <w:overflowPunct/>
      <w:autoSpaceDE/>
      <w:autoSpaceDN/>
      <w:adjustRightInd/>
      <w:ind w:left="0" w:firstLine="0"/>
      <w:jc w:val="right"/>
      <w:textAlignment w:val="auto"/>
      <w:rPr>
        <w:lang w:val="fr-FR"/>
      </w:rPr>
    </w:pPr>
    <w:r w:rsidRPr="000671E2">
      <w:rPr>
        <w:rFonts w:ascii="Arial" w:hAnsi="Arial"/>
        <w:noProof/>
        <w:snapToGrid w:val="0"/>
        <w:sz w:val="12"/>
        <w:szCs w:val="24"/>
        <w:lang w:val="fr-FR"/>
      </w:rPr>
      <w:t>mm_ba/adn_wp15_ac2_2021_</w:t>
    </w:r>
    <w:r>
      <w:rPr>
        <w:rFonts w:ascii="Arial" w:hAnsi="Arial"/>
        <w:noProof/>
        <w:snapToGrid w:val="0"/>
        <w:sz w:val="12"/>
        <w:szCs w:val="24"/>
        <w:lang w:val="fr-FR"/>
      </w:rPr>
      <w:t>26</w:t>
    </w:r>
    <w:r w:rsidRPr="000671E2">
      <w:rPr>
        <w:rFonts w:ascii="Arial" w:hAnsi="Arial"/>
        <w:noProof/>
        <w:snapToGrid w:val="0"/>
        <w:sz w:val="12"/>
        <w:szCs w:val="24"/>
        <w:lang w:val="fr-FR"/>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2762" w14:textId="39DBFA7A" w:rsidR="00D36741" w:rsidRPr="000671E2" w:rsidRDefault="000671E2" w:rsidP="00D36741">
    <w:pPr>
      <w:widowControl/>
      <w:suppressAutoHyphens/>
      <w:overflowPunct/>
      <w:autoSpaceDE/>
      <w:autoSpaceDN/>
      <w:adjustRightInd/>
      <w:ind w:left="0" w:firstLine="0"/>
      <w:jc w:val="right"/>
      <w:textAlignment w:val="auto"/>
      <w:rPr>
        <w:lang w:val="fr-FR"/>
      </w:rPr>
    </w:pPr>
    <w:bookmarkStart w:id="21" w:name="_Hlk74567240"/>
    <w:bookmarkStart w:id="22" w:name="_Hlk74567241"/>
    <w:r w:rsidRPr="000671E2">
      <w:rPr>
        <w:rFonts w:ascii="Arial" w:hAnsi="Arial"/>
        <w:noProof/>
        <w:snapToGrid w:val="0"/>
        <w:sz w:val="12"/>
        <w:szCs w:val="24"/>
        <w:lang w:val="fr-FR"/>
      </w:rPr>
      <w:t>m</w:t>
    </w:r>
    <w:r w:rsidR="00D36741" w:rsidRPr="000671E2">
      <w:rPr>
        <w:rFonts w:ascii="Arial" w:hAnsi="Arial"/>
        <w:noProof/>
        <w:snapToGrid w:val="0"/>
        <w:sz w:val="12"/>
        <w:szCs w:val="24"/>
        <w:lang w:val="fr-FR"/>
      </w:rPr>
      <w:t>m</w:t>
    </w:r>
    <w:r w:rsidRPr="000671E2">
      <w:rPr>
        <w:rFonts w:ascii="Arial" w:hAnsi="Arial"/>
        <w:noProof/>
        <w:snapToGrid w:val="0"/>
        <w:sz w:val="12"/>
        <w:szCs w:val="24"/>
        <w:lang w:val="fr-FR"/>
      </w:rPr>
      <w:t>_ba</w:t>
    </w:r>
    <w:r w:rsidR="00D36741" w:rsidRPr="000671E2">
      <w:rPr>
        <w:rFonts w:ascii="Arial" w:hAnsi="Arial"/>
        <w:noProof/>
        <w:snapToGrid w:val="0"/>
        <w:sz w:val="12"/>
        <w:szCs w:val="24"/>
        <w:lang w:val="fr-FR"/>
      </w:rPr>
      <w:t>/adn_wp15_ac2_202</w:t>
    </w:r>
    <w:r w:rsidR="00830501" w:rsidRPr="000671E2">
      <w:rPr>
        <w:rFonts w:ascii="Arial" w:hAnsi="Arial"/>
        <w:noProof/>
        <w:snapToGrid w:val="0"/>
        <w:sz w:val="12"/>
        <w:szCs w:val="24"/>
        <w:lang w:val="fr-FR"/>
      </w:rPr>
      <w:t>1</w:t>
    </w:r>
    <w:r w:rsidR="00D36741" w:rsidRPr="000671E2">
      <w:rPr>
        <w:rFonts w:ascii="Arial" w:hAnsi="Arial"/>
        <w:noProof/>
        <w:snapToGrid w:val="0"/>
        <w:sz w:val="12"/>
        <w:szCs w:val="24"/>
        <w:lang w:val="fr-FR"/>
      </w:rPr>
      <w:t>_</w:t>
    </w:r>
    <w:r w:rsidR="000646C7">
      <w:rPr>
        <w:rFonts w:ascii="Arial" w:hAnsi="Arial"/>
        <w:noProof/>
        <w:snapToGrid w:val="0"/>
        <w:sz w:val="12"/>
        <w:szCs w:val="24"/>
        <w:lang w:val="fr-FR"/>
      </w:rPr>
      <w:t>26</w:t>
    </w:r>
    <w:r w:rsidR="00D36741" w:rsidRPr="000671E2">
      <w:rPr>
        <w:rFonts w:ascii="Arial" w:hAnsi="Arial"/>
        <w:noProof/>
        <w:snapToGrid w:val="0"/>
        <w:sz w:val="12"/>
        <w:szCs w:val="24"/>
        <w:lang w:val="fr-FR"/>
      </w:rPr>
      <w:t>de</w:t>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D4F6" w14:textId="18B28FB7" w:rsidR="003664FC" w:rsidRPr="003664FC" w:rsidRDefault="003664FC" w:rsidP="003664FC">
    <w:pPr>
      <w:widowControl/>
      <w:suppressAutoHyphens/>
      <w:overflowPunct/>
      <w:autoSpaceDE/>
      <w:autoSpaceDN/>
      <w:adjustRightInd/>
      <w:ind w:left="0" w:firstLine="0"/>
      <w:jc w:val="right"/>
      <w:textAlignment w:val="auto"/>
      <w:rPr>
        <w:lang w:val="fr-FR"/>
      </w:rPr>
    </w:pPr>
    <w:r>
      <w:rPr>
        <w:rFonts w:ascii="Arial" w:hAnsi="Arial"/>
        <w:noProof/>
        <w:snapToGrid w:val="0"/>
        <w:sz w:val="12"/>
        <w:szCs w:val="12"/>
        <w:lang w:val="fr-FR"/>
      </w:rPr>
      <w:t>m</w:t>
    </w:r>
    <w:r w:rsidRPr="003664FC">
      <w:rPr>
        <w:rFonts w:ascii="Arial" w:hAnsi="Arial"/>
        <w:noProof/>
        <w:snapToGrid w:val="0"/>
        <w:sz w:val="12"/>
        <w:szCs w:val="12"/>
        <w:lang w:val="fr-FR"/>
      </w:rPr>
      <w:t>m</w:t>
    </w:r>
    <w:r>
      <w:rPr>
        <w:rFonts w:ascii="Arial" w:hAnsi="Arial"/>
        <w:noProof/>
        <w:snapToGrid w:val="0"/>
        <w:sz w:val="12"/>
        <w:szCs w:val="12"/>
        <w:lang w:val="fr-FR"/>
      </w:rPr>
      <w:t>_ba</w:t>
    </w:r>
    <w:r w:rsidRPr="003664FC">
      <w:rPr>
        <w:rFonts w:ascii="Arial" w:hAnsi="Arial"/>
        <w:noProof/>
        <w:snapToGrid w:val="0"/>
        <w:sz w:val="12"/>
        <w:szCs w:val="12"/>
        <w:lang w:val="fr-FR"/>
      </w:rPr>
      <w:t>/adn_wp15_ac2_2021_</w:t>
    </w:r>
    <w:r>
      <w:rPr>
        <w:rFonts w:ascii="Arial" w:hAnsi="Arial"/>
        <w:noProof/>
        <w:snapToGrid w:val="0"/>
        <w:sz w:val="12"/>
        <w:szCs w:val="12"/>
        <w:lang w:val="fr-FR"/>
      </w:rPr>
      <w:t>2</w:t>
    </w:r>
    <w:r w:rsidR="000646C7">
      <w:rPr>
        <w:rFonts w:ascii="Arial" w:hAnsi="Arial"/>
        <w:noProof/>
        <w:snapToGrid w:val="0"/>
        <w:sz w:val="12"/>
        <w:szCs w:val="12"/>
        <w:lang w:val="fr-FR"/>
      </w:rPr>
      <w:t>6</w:t>
    </w:r>
    <w:r w:rsidRPr="003664FC">
      <w:rPr>
        <w:rFonts w:ascii="Arial" w:hAnsi="Arial"/>
        <w:noProof/>
        <w:snapToGrid w:val="0"/>
        <w:sz w:val="12"/>
        <w:szCs w:val="12"/>
        <w:lang w:val="fr-FR"/>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EF89B" w14:textId="77777777" w:rsidR="00E24AF2" w:rsidRDefault="00E24AF2" w:rsidP="00277F70">
      <w:r>
        <w:separator/>
      </w:r>
    </w:p>
  </w:footnote>
  <w:footnote w:type="continuationSeparator" w:id="0">
    <w:p w14:paraId="579D2FB3" w14:textId="77777777" w:rsidR="00E24AF2" w:rsidRDefault="00E24AF2" w:rsidP="00277F70">
      <w:r>
        <w:continuationSeparator/>
      </w:r>
    </w:p>
  </w:footnote>
  <w:footnote w:id="1">
    <w:p w14:paraId="0A16825C" w14:textId="2333735E" w:rsidR="00277F70" w:rsidRPr="005B7A17" w:rsidRDefault="00277F70" w:rsidP="00277F70">
      <w:pPr>
        <w:pStyle w:val="FootnoteText"/>
        <w:ind w:left="284" w:hanging="284"/>
        <w:rPr>
          <w:sz w:val="16"/>
          <w:szCs w:val="16"/>
        </w:rPr>
      </w:pPr>
      <w:r w:rsidRPr="005B7A17">
        <w:rPr>
          <w:rStyle w:val="FootnoteReference"/>
          <w:sz w:val="16"/>
          <w:szCs w:val="16"/>
        </w:rPr>
        <w:footnoteRef/>
      </w:r>
      <w:r w:rsidRPr="005B7A17">
        <w:rPr>
          <w:sz w:val="16"/>
          <w:szCs w:val="16"/>
        </w:rPr>
        <w:t xml:space="preserve"> </w:t>
      </w:r>
      <w:r w:rsidRPr="005B7A17">
        <w:rPr>
          <w:sz w:val="16"/>
          <w:szCs w:val="16"/>
        </w:rPr>
        <w:tab/>
        <w:t>Von der UNECE in Englisch, Französisch und Russisch unter dem Aktenzeichen ECE/TRANS/WP.15/AC.2/202</w:t>
      </w:r>
      <w:r w:rsidR="00AE0AFB" w:rsidRPr="005B7A17">
        <w:rPr>
          <w:sz w:val="16"/>
          <w:szCs w:val="16"/>
        </w:rPr>
        <w:t>1</w:t>
      </w:r>
      <w:r w:rsidRPr="005B7A17">
        <w:rPr>
          <w:sz w:val="16"/>
          <w:szCs w:val="16"/>
        </w:rPr>
        <w:t>/</w:t>
      </w:r>
      <w:r w:rsidR="00DE6165">
        <w:rPr>
          <w:sz w:val="16"/>
          <w:szCs w:val="16"/>
        </w:rPr>
        <w:t>2</w:t>
      </w:r>
      <w:r w:rsidR="000646C7">
        <w:rPr>
          <w:sz w:val="16"/>
          <w:szCs w:val="16"/>
        </w:rPr>
        <w:t>6</w:t>
      </w:r>
      <w:r w:rsidRPr="005B7A17">
        <w:rPr>
          <w:sz w:val="16"/>
          <w:szCs w:val="16"/>
        </w:rPr>
        <w:t xml:space="preserve"> verteilt.</w:t>
      </w:r>
    </w:p>
  </w:footnote>
  <w:footnote w:id="2">
    <w:p w14:paraId="1C93A7FD" w14:textId="03091D33" w:rsidR="00277F70" w:rsidRPr="00B041A6" w:rsidRDefault="00277F70" w:rsidP="009D5560">
      <w:pPr>
        <w:pStyle w:val="FootnoteText"/>
        <w:ind w:left="284" w:hanging="284"/>
        <w:rPr>
          <w:sz w:val="16"/>
          <w:szCs w:val="16"/>
        </w:rPr>
      </w:pPr>
      <w:r w:rsidRPr="005B7A17">
        <w:rPr>
          <w:rStyle w:val="FootnoteReference"/>
          <w:sz w:val="16"/>
          <w:szCs w:val="16"/>
        </w:rPr>
        <w:footnoteRef/>
      </w:r>
      <w:r w:rsidRPr="005B7A17">
        <w:rPr>
          <w:sz w:val="16"/>
          <w:szCs w:val="16"/>
        </w:rPr>
        <w:t xml:space="preserve"> </w:t>
      </w:r>
      <w:r w:rsidRPr="005B7A17">
        <w:rPr>
          <w:sz w:val="16"/>
          <w:szCs w:val="16"/>
        </w:rPr>
        <w:tab/>
      </w:r>
      <w:r w:rsidR="009D5560" w:rsidRPr="005B7A17">
        <w:rPr>
          <w:sz w:val="16"/>
          <w:szCs w:val="16"/>
        </w:rPr>
        <w:t xml:space="preserve">Entsprechend dem Arbeitsprogramm des Binnenverkehrsausschusses für </w:t>
      </w:r>
      <w:r w:rsidR="008B0942" w:rsidRPr="005B7A17">
        <w:rPr>
          <w:sz w:val="16"/>
          <w:szCs w:val="16"/>
        </w:rPr>
        <w:t>2021</w:t>
      </w:r>
      <w:r w:rsidR="009D5560" w:rsidRPr="005B7A17">
        <w:rPr>
          <w:sz w:val="16"/>
          <w:szCs w:val="16"/>
        </w:rPr>
        <w:t xml:space="preserve"> gemäß dem Entwurf des Programmhaushalts für </w:t>
      </w:r>
      <w:r w:rsidR="008B0942" w:rsidRPr="005B7A17">
        <w:rPr>
          <w:sz w:val="16"/>
          <w:szCs w:val="16"/>
        </w:rPr>
        <w:t>2021</w:t>
      </w:r>
      <w:r w:rsidR="009D5560" w:rsidRPr="005B7A17">
        <w:rPr>
          <w:sz w:val="16"/>
          <w:szCs w:val="16"/>
        </w:rPr>
        <w:t xml:space="preserve"> (A/7</w:t>
      </w:r>
      <w:r w:rsidR="008B0942" w:rsidRPr="005B7A17">
        <w:rPr>
          <w:sz w:val="16"/>
          <w:szCs w:val="16"/>
        </w:rPr>
        <w:t>5</w:t>
      </w:r>
      <w:r w:rsidR="009D5560" w:rsidRPr="005B7A17">
        <w:rPr>
          <w:sz w:val="16"/>
          <w:szCs w:val="16"/>
        </w:rPr>
        <w:t>/6 (</w:t>
      </w:r>
      <w:r w:rsidR="00493A40" w:rsidRPr="005B7A17">
        <w:rPr>
          <w:sz w:val="16"/>
          <w:szCs w:val="16"/>
        </w:rPr>
        <w:t xml:space="preserve">Kap. </w:t>
      </w:r>
      <w:r w:rsidR="008B0942" w:rsidRPr="005B7A17">
        <w:rPr>
          <w:sz w:val="16"/>
          <w:szCs w:val="16"/>
        </w:rPr>
        <w:t>.</w:t>
      </w:r>
      <w:r w:rsidR="009D5560" w:rsidRPr="005B7A17">
        <w:rPr>
          <w:sz w:val="16"/>
          <w:szCs w:val="16"/>
        </w:rPr>
        <w:t>20), Abs. 20.</w:t>
      </w:r>
      <w:r w:rsidR="008B0942" w:rsidRPr="005B7A17">
        <w:rPr>
          <w:sz w:val="16"/>
          <w:szCs w:val="16"/>
        </w:rPr>
        <w:t>51</w:t>
      </w:r>
      <w:r w:rsidR="009D5560" w:rsidRPr="005B7A1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395E" w14:textId="62CDE430" w:rsidR="00D36741" w:rsidRPr="00FF3208" w:rsidRDefault="00D36741" w:rsidP="00D36741">
    <w:pPr>
      <w:widowControl/>
      <w:suppressAutoHyphens/>
      <w:overflowPunct/>
      <w:autoSpaceDE/>
      <w:autoSpaceDN/>
      <w:adjustRightInd/>
      <w:ind w:left="0" w:firstLine="0"/>
      <w:jc w:val="left"/>
      <w:textAlignment w:val="auto"/>
      <w:rPr>
        <w:rFonts w:ascii="Arial" w:hAnsi="Arial"/>
        <w:snapToGrid w:val="0"/>
        <w:sz w:val="16"/>
        <w:szCs w:val="16"/>
        <w:lang w:val="en-US"/>
      </w:rPr>
    </w:pPr>
    <w:r w:rsidRPr="00FF3208">
      <w:rPr>
        <w:rFonts w:ascii="Arial" w:hAnsi="Arial"/>
        <w:snapToGrid w:val="0"/>
        <w:sz w:val="16"/>
        <w:szCs w:val="16"/>
        <w:lang w:val="en-US"/>
      </w:rPr>
      <w:t>CCNR-ZKR/ADN/WP.15/AC.2/20</w:t>
    </w:r>
    <w:r>
      <w:rPr>
        <w:rFonts w:ascii="Arial" w:hAnsi="Arial"/>
        <w:snapToGrid w:val="0"/>
        <w:sz w:val="16"/>
        <w:szCs w:val="16"/>
        <w:lang w:val="en-US"/>
      </w:rPr>
      <w:t>2</w:t>
    </w:r>
    <w:r w:rsidR="00830501">
      <w:rPr>
        <w:rFonts w:ascii="Arial" w:hAnsi="Arial"/>
        <w:snapToGrid w:val="0"/>
        <w:sz w:val="16"/>
        <w:szCs w:val="16"/>
        <w:lang w:val="en-US"/>
      </w:rPr>
      <w:t>1</w:t>
    </w:r>
    <w:r w:rsidRPr="00FF3208">
      <w:rPr>
        <w:rFonts w:ascii="Arial" w:hAnsi="Arial"/>
        <w:snapToGrid w:val="0"/>
        <w:sz w:val="16"/>
        <w:szCs w:val="16"/>
        <w:lang w:val="en-US"/>
      </w:rPr>
      <w:t>/</w:t>
    </w:r>
    <w:r w:rsidR="00473E92">
      <w:rPr>
        <w:rFonts w:ascii="Arial" w:hAnsi="Arial"/>
        <w:snapToGrid w:val="0"/>
        <w:sz w:val="16"/>
        <w:szCs w:val="16"/>
        <w:lang w:val="en-US"/>
      </w:rPr>
      <w:t>2</w:t>
    </w:r>
    <w:r w:rsidR="00535182">
      <w:rPr>
        <w:rFonts w:ascii="Arial" w:hAnsi="Arial"/>
        <w:snapToGrid w:val="0"/>
        <w:sz w:val="16"/>
        <w:szCs w:val="16"/>
        <w:lang w:val="en-US"/>
      </w:rPr>
      <w:t>6</w:t>
    </w:r>
  </w:p>
  <w:p w14:paraId="5014E70E" w14:textId="6C61F175" w:rsidR="00D36741" w:rsidRDefault="00D36741" w:rsidP="003F5E68">
    <w:pPr>
      <w:widowControl/>
      <w:suppressAutoHyphens/>
      <w:overflowPunct/>
      <w:autoSpaceDE/>
      <w:autoSpaceDN/>
      <w:adjustRightInd/>
      <w:ind w:left="0" w:firstLine="0"/>
      <w:jc w:val="lef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3</w:t>
    </w:r>
    <w:r w:rsidRPr="00FF3208">
      <w:rPr>
        <w:rFonts w:ascii="Arial" w:hAnsi="Arial"/>
        <w:snapToGrid w:val="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7E64" w14:textId="34A117C7" w:rsidR="00724E6F" w:rsidRPr="00FF3208" w:rsidRDefault="00724E6F" w:rsidP="00724E6F">
    <w:pPr>
      <w:widowControl/>
      <w:suppressAutoHyphens/>
      <w:overflowPunct/>
      <w:autoSpaceDE/>
      <w:autoSpaceDN/>
      <w:adjustRightInd/>
      <w:ind w:left="0" w:firstLine="0"/>
      <w:jc w:val="right"/>
      <w:textAlignment w:val="auto"/>
      <w:rPr>
        <w:rFonts w:ascii="Arial" w:hAnsi="Arial"/>
        <w:snapToGrid w:val="0"/>
        <w:sz w:val="16"/>
        <w:szCs w:val="16"/>
        <w:lang w:val="en-US"/>
      </w:rPr>
    </w:pPr>
    <w:bookmarkStart w:id="19" w:name="_Hlk19605293"/>
    <w:bookmarkStart w:id="20" w:name="_Hlk19605294"/>
    <w:r w:rsidRPr="00FF3208">
      <w:rPr>
        <w:rFonts w:ascii="Arial" w:hAnsi="Arial"/>
        <w:snapToGrid w:val="0"/>
        <w:sz w:val="16"/>
        <w:szCs w:val="16"/>
        <w:lang w:val="en-US"/>
      </w:rPr>
      <w:t>CCNR-ZKR/ADN/WP.15/AC.2/20</w:t>
    </w:r>
    <w:r>
      <w:rPr>
        <w:rFonts w:ascii="Arial" w:hAnsi="Arial"/>
        <w:snapToGrid w:val="0"/>
        <w:sz w:val="16"/>
        <w:szCs w:val="16"/>
        <w:lang w:val="en-US"/>
      </w:rPr>
      <w:t>2</w:t>
    </w:r>
    <w:r w:rsidR="00830501">
      <w:rPr>
        <w:rFonts w:ascii="Arial" w:hAnsi="Arial"/>
        <w:snapToGrid w:val="0"/>
        <w:sz w:val="16"/>
        <w:szCs w:val="16"/>
        <w:lang w:val="en-US"/>
      </w:rPr>
      <w:t>1</w:t>
    </w:r>
    <w:r w:rsidRPr="00FF3208">
      <w:rPr>
        <w:rFonts w:ascii="Arial" w:hAnsi="Arial"/>
        <w:snapToGrid w:val="0"/>
        <w:sz w:val="16"/>
        <w:szCs w:val="16"/>
        <w:lang w:val="en-US"/>
      </w:rPr>
      <w:t>/</w:t>
    </w:r>
    <w:r w:rsidR="000646C7">
      <w:rPr>
        <w:rFonts w:ascii="Arial" w:hAnsi="Arial"/>
        <w:snapToGrid w:val="0"/>
        <w:sz w:val="16"/>
        <w:szCs w:val="16"/>
        <w:lang w:val="en-US"/>
      </w:rPr>
      <w:t>26</w:t>
    </w:r>
  </w:p>
  <w:p w14:paraId="038C26D2" w14:textId="08D4F8AA" w:rsidR="00724E6F" w:rsidRDefault="00724E6F" w:rsidP="00724E6F">
    <w:pPr>
      <w:widowControl/>
      <w:suppressAutoHyphens/>
      <w:overflowPunct/>
      <w:autoSpaceDE/>
      <w:autoSpaceDN/>
      <w:adjustRightInd/>
      <w:ind w:left="0" w:firstLine="0"/>
      <w:jc w:val="right"/>
      <w:textAlignment w:val="auto"/>
    </w:pPr>
    <w:r w:rsidRPr="00FF3208">
      <w:rPr>
        <w:rFonts w:ascii="Arial" w:hAnsi="Arial"/>
        <w:snapToGrid w:val="0"/>
        <w:sz w:val="16"/>
        <w:szCs w:val="16"/>
      </w:rPr>
      <w:t xml:space="preserve">Seite </w:t>
    </w:r>
    <w:r w:rsidRPr="00FF3208">
      <w:rPr>
        <w:rFonts w:ascii="Arial" w:hAnsi="Arial"/>
        <w:snapToGrid w:val="0"/>
        <w:sz w:val="16"/>
        <w:szCs w:val="16"/>
      </w:rPr>
      <w:fldChar w:fldCharType="begin"/>
    </w:r>
    <w:r w:rsidRPr="00FF3208">
      <w:rPr>
        <w:rFonts w:ascii="Arial" w:hAnsi="Arial"/>
        <w:snapToGrid w:val="0"/>
        <w:sz w:val="16"/>
        <w:szCs w:val="16"/>
      </w:rPr>
      <w:instrText xml:space="preserve"> PAGE  \* MERGEFORMAT </w:instrText>
    </w:r>
    <w:r w:rsidRPr="00FF3208">
      <w:rPr>
        <w:rFonts w:ascii="Arial" w:hAnsi="Arial"/>
        <w:snapToGrid w:val="0"/>
        <w:sz w:val="16"/>
        <w:szCs w:val="16"/>
      </w:rPr>
      <w:fldChar w:fldCharType="separate"/>
    </w:r>
    <w:r>
      <w:rPr>
        <w:rFonts w:ascii="Arial" w:hAnsi="Arial"/>
        <w:snapToGrid w:val="0"/>
        <w:sz w:val="16"/>
        <w:szCs w:val="16"/>
      </w:rPr>
      <w:t>2</w:t>
    </w:r>
    <w:r w:rsidRPr="00FF3208">
      <w:rPr>
        <w:rFonts w:ascii="Arial" w:hAnsi="Arial"/>
        <w:snapToGrid w:val="0"/>
        <w:sz w:val="16"/>
        <w:szCs w:val="16"/>
      </w:rPr>
      <w:fldChar w:fldCharType="end"/>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8F3"/>
    <w:multiLevelType w:val="hybridMultilevel"/>
    <w:tmpl w:val="39AE2808"/>
    <w:lvl w:ilvl="0" w:tplc="BB8EB098">
      <w:numFmt w:val="bullet"/>
      <w:lvlText w:val="-"/>
      <w:lvlJc w:val="left"/>
      <w:pPr>
        <w:ind w:left="1494" w:hanging="360"/>
      </w:pPr>
      <w:rPr>
        <w:rFonts w:ascii="Times New Roman" w:eastAsia="Corbel"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36033CC0"/>
    <w:multiLevelType w:val="hybridMultilevel"/>
    <w:tmpl w:val="A28EB10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6BDC1FB8"/>
    <w:multiLevelType w:val="hybridMultilevel"/>
    <w:tmpl w:val="ECD8A2FC"/>
    <w:lvl w:ilvl="0" w:tplc="FD66BA8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75214344"/>
    <w:multiLevelType w:val="hybridMultilevel"/>
    <w:tmpl w:val="80A243BE"/>
    <w:lvl w:ilvl="0" w:tplc="869A303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15:restartNumberingAfterBreak="0">
    <w:nsid w:val="7675274C"/>
    <w:multiLevelType w:val="hybridMultilevel"/>
    <w:tmpl w:val="FF32D248"/>
    <w:lvl w:ilvl="0" w:tplc="586A581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6"/>
    <w:rsid w:val="00010B8A"/>
    <w:rsid w:val="00016D83"/>
    <w:rsid w:val="00025F73"/>
    <w:rsid w:val="00054934"/>
    <w:rsid w:val="000646C7"/>
    <w:rsid w:val="000671E2"/>
    <w:rsid w:val="00081764"/>
    <w:rsid w:val="0009215A"/>
    <w:rsid w:val="00094A98"/>
    <w:rsid w:val="000A563B"/>
    <w:rsid w:val="000B2B01"/>
    <w:rsid w:val="000C6E63"/>
    <w:rsid w:val="000D2922"/>
    <w:rsid w:val="000D45A5"/>
    <w:rsid w:val="000E12CF"/>
    <w:rsid w:val="00105090"/>
    <w:rsid w:val="001123B6"/>
    <w:rsid w:val="00114024"/>
    <w:rsid w:val="00124AC9"/>
    <w:rsid w:val="00131A8F"/>
    <w:rsid w:val="00133AF9"/>
    <w:rsid w:val="00155C7C"/>
    <w:rsid w:val="00160AF1"/>
    <w:rsid w:val="00173DD7"/>
    <w:rsid w:val="00174C3C"/>
    <w:rsid w:val="00194D43"/>
    <w:rsid w:val="00197A65"/>
    <w:rsid w:val="001C60D6"/>
    <w:rsid w:val="00216409"/>
    <w:rsid w:val="00222245"/>
    <w:rsid w:val="00225E1F"/>
    <w:rsid w:val="0023573E"/>
    <w:rsid w:val="00254551"/>
    <w:rsid w:val="00277F70"/>
    <w:rsid w:val="002B7A8C"/>
    <w:rsid w:val="002E6F67"/>
    <w:rsid w:val="002E759A"/>
    <w:rsid w:val="002E799A"/>
    <w:rsid w:val="00342E4B"/>
    <w:rsid w:val="003664FC"/>
    <w:rsid w:val="00386F46"/>
    <w:rsid w:val="00387BCB"/>
    <w:rsid w:val="003A2C8B"/>
    <w:rsid w:val="003B3B76"/>
    <w:rsid w:val="003C0141"/>
    <w:rsid w:val="003D456D"/>
    <w:rsid w:val="003E12AD"/>
    <w:rsid w:val="003E170E"/>
    <w:rsid w:val="003E6913"/>
    <w:rsid w:val="003F5E68"/>
    <w:rsid w:val="00405C20"/>
    <w:rsid w:val="004076CE"/>
    <w:rsid w:val="004448E3"/>
    <w:rsid w:val="00446B6D"/>
    <w:rsid w:val="00454F9B"/>
    <w:rsid w:val="00473E92"/>
    <w:rsid w:val="00483782"/>
    <w:rsid w:val="00493A40"/>
    <w:rsid w:val="004A7663"/>
    <w:rsid w:val="004B1F08"/>
    <w:rsid w:val="004C1F19"/>
    <w:rsid w:val="004C5A4B"/>
    <w:rsid w:val="004E2AEF"/>
    <w:rsid w:val="004E64FE"/>
    <w:rsid w:val="004F06F2"/>
    <w:rsid w:val="00510C03"/>
    <w:rsid w:val="00535182"/>
    <w:rsid w:val="00574349"/>
    <w:rsid w:val="00591A7D"/>
    <w:rsid w:val="005B7A17"/>
    <w:rsid w:val="005C2135"/>
    <w:rsid w:val="005D238A"/>
    <w:rsid w:val="005D56E2"/>
    <w:rsid w:val="005E13D8"/>
    <w:rsid w:val="005F4151"/>
    <w:rsid w:val="00605C9C"/>
    <w:rsid w:val="006257E8"/>
    <w:rsid w:val="0063076E"/>
    <w:rsid w:val="00635226"/>
    <w:rsid w:val="00643AEA"/>
    <w:rsid w:val="006672D7"/>
    <w:rsid w:val="00685194"/>
    <w:rsid w:val="0069704F"/>
    <w:rsid w:val="006B10A8"/>
    <w:rsid w:val="006B2794"/>
    <w:rsid w:val="006B4FAE"/>
    <w:rsid w:val="006E493E"/>
    <w:rsid w:val="00720516"/>
    <w:rsid w:val="00724A3F"/>
    <w:rsid w:val="00724E6F"/>
    <w:rsid w:val="00724FD7"/>
    <w:rsid w:val="00744FFD"/>
    <w:rsid w:val="00751575"/>
    <w:rsid w:val="0076310E"/>
    <w:rsid w:val="007939EA"/>
    <w:rsid w:val="007A2689"/>
    <w:rsid w:val="007A3322"/>
    <w:rsid w:val="007C4366"/>
    <w:rsid w:val="007C72B0"/>
    <w:rsid w:val="007D2C1E"/>
    <w:rsid w:val="007F7513"/>
    <w:rsid w:val="00816FB9"/>
    <w:rsid w:val="0082314C"/>
    <w:rsid w:val="0082636A"/>
    <w:rsid w:val="00827D8E"/>
    <w:rsid w:val="00830501"/>
    <w:rsid w:val="00836F6E"/>
    <w:rsid w:val="00857646"/>
    <w:rsid w:val="00863D48"/>
    <w:rsid w:val="008915C3"/>
    <w:rsid w:val="00895F87"/>
    <w:rsid w:val="008A4F51"/>
    <w:rsid w:val="008A7569"/>
    <w:rsid w:val="008B0942"/>
    <w:rsid w:val="008B1195"/>
    <w:rsid w:val="008B32C8"/>
    <w:rsid w:val="008C6675"/>
    <w:rsid w:val="008D7A69"/>
    <w:rsid w:val="008E0E25"/>
    <w:rsid w:val="008F4F6A"/>
    <w:rsid w:val="00935AFF"/>
    <w:rsid w:val="009545CD"/>
    <w:rsid w:val="00955824"/>
    <w:rsid w:val="009643C6"/>
    <w:rsid w:val="009873A1"/>
    <w:rsid w:val="009A5ADD"/>
    <w:rsid w:val="009B27C7"/>
    <w:rsid w:val="009C033F"/>
    <w:rsid w:val="009D5560"/>
    <w:rsid w:val="009E2B4D"/>
    <w:rsid w:val="00A0258A"/>
    <w:rsid w:val="00A02FB6"/>
    <w:rsid w:val="00A03B61"/>
    <w:rsid w:val="00A100ED"/>
    <w:rsid w:val="00A55BE0"/>
    <w:rsid w:val="00A61678"/>
    <w:rsid w:val="00A70344"/>
    <w:rsid w:val="00A857CC"/>
    <w:rsid w:val="00A97CEA"/>
    <w:rsid w:val="00AC15CE"/>
    <w:rsid w:val="00AC78AF"/>
    <w:rsid w:val="00AC7F3E"/>
    <w:rsid w:val="00AE0AFB"/>
    <w:rsid w:val="00AE5AF2"/>
    <w:rsid w:val="00AF3790"/>
    <w:rsid w:val="00B21DFB"/>
    <w:rsid w:val="00B302EA"/>
    <w:rsid w:val="00B313AB"/>
    <w:rsid w:val="00B33872"/>
    <w:rsid w:val="00B4424C"/>
    <w:rsid w:val="00B4533C"/>
    <w:rsid w:val="00B56BE5"/>
    <w:rsid w:val="00B57331"/>
    <w:rsid w:val="00B61C3D"/>
    <w:rsid w:val="00B676F7"/>
    <w:rsid w:val="00B72BC1"/>
    <w:rsid w:val="00B92D4C"/>
    <w:rsid w:val="00BB0DBC"/>
    <w:rsid w:val="00BB43A1"/>
    <w:rsid w:val="00BE25FE"/>
    <w:rsid w:val="00BF7A6A"/>
    <w:rsid w:val="00C125FE"/>
    <w:rsid w:val="00C52EB3"/>
    <w:rsid w:val="00C67DBE"/>
    <w:rsid w:val="00C94048"/>
    <w:rsid w:val="00CA03D5"/>
    <w:rsid w:val="00CD18A5"/>
    <w:rsid w:val="00CF1246"/>
    <w:rsid w:val="00CF33FD"/>
    <w:rsid w:val="00D12776"/>
    <w:rsid w:val="00D15348"/>
    <w:rsid w:val="00D25F16"/>
    <w:rsid w:val="00D36741"/>
    <w:rsid w:val="00D45DD4"/>
    <w:rsid w:val="00D4726C"/>
    <w:rsid w:val="00D63E14"/>
    <w:rsid w:val="00D813F2"/>
    <w:rsid w:val="00D82CDD"/>
    <w:rsid w:val="00D95D26"/>
    <w:rsid w:val="00DA42D3"/>
    <w:rsid w:val="00DB1DF7"/>
    <w:rsid w:val="00DB57E7"/>
    <w:rsid w:val="00DE53D4"/>
    <w:rsid w:val="00DE6165"/>
    <w:rsid w:val="00E03BF3"/>
    <w:rsid w:val="00E04049"/>
    <w:rsid w:val="00E063DA"/>
    <w:rsid w:val="00E20EDC"/>
    <w:rsid w:val="00E24AF2"/>
    <w:rsid w:val="00E27AF9"/>
    <w:rsid w:val="00E35306"/>
    <w:rsid w:val="00E37FFD"/>
    <w:rsid w:val="00E40988"/>
    <w:rsid w:val="00E41049"/>
    <w:rsid w:val="00E42A5B"/>
    <w:rsid w:val="00E565DE"/>
    <w:rsid w:val="00E569AC"/>
    <w:rsid w:val="00E727CB"/>
    <w:rsid w:val="00E83D57"/>
    <w:rsid w:val="00E87B9A"/>
    <w:rsid w:val="00EC3467"/>
    <w:rsid w:val="00ED557F"/>
    <w:rsid w:val="00EE0339"/>
    <w:rsid w:val="00EE66ED"/>
    <w:rsid w:val="00F11FC0"/>
    <w:rsid w:val="00F234B3"/>
    <w:rsid w:val="00F60DDF"/>
    <w:rsid w:val="00F70737"/>
    <w:rsid w:val="00F94A84"/>
    <w:rsid w:val="00FA20A1"/>
    <w:rsid w:val="00FA3B25"/>
    <w:rsid w:val="00FC1E27"/>
    <w:rsid w:val="00FD02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33325BE"/>
  <w15:docId w15:val="{337C479A-A2BD-4514-9AFC-B9FDA48B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BC1"/>
    <w:pPr>
      <w:widowControl w:val="0"/>
      <w:overflowPunct w:val="0"/>
      <w:autoSpaceDE w:val="0"/>
      <w:autoSpaceDN w:val="0"/>
      <w:adjustRightInd w:val="0"/>
      <w:ind w:left="1134" w:hanging="1134"/>
      <w:jc w:val="both"/>
      <w:textAlignment w:val="baseline"/>
    </w:pPr>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277F70"/>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lang w:val="fr-CH"/>
    </w:rPr>
  </w:style>
  <w:style w:type="paragraph" w:styleId="FootnoteText">
    <w:name w:val="footnote text"/>
    <w:aliases w:val="5_G"/>
    <w:basedOn w:val="Normal"/>
    <w:link w:val="FootnoteTextChar"/>
    <w:qFormat/>
    <w:rsid w:val="00277F70"/>
  </w:style>
  <w:style w:type="character" w:customStyle="1" w:styleId="FootnoteTextChar">
    <w:name w:val="Footnote Text Char"/>
    <w:aliases w:val="5_G Char"/>
    <w:basedOn w:val="DefaultParagraphFont"/>
    <w:link w:val="FootnoteText"/>
    <w:rsid w:val="00277F70"/>
    <w:rPr>
      <w:lang w:eastAsia="fr-FR"/>
    </w:rPr>
  </w:style>
  <w:style w:type="character" w:styleId="FootnoteReference">
    <w:name w:val="footnote reference"/>
    <w:aliases w:val="4_G,Footnote Reference/"/>
    <w:unhideWhenUsed/>
    <w:rsid w:val="00277F70"/>
    <w:rPr>
      <w:rFonts w:ascii="Times New Roman" w:hAnsi="Times New Roman" w:cs="Times New Roman" w:hint="default"/>
      <w:sz w:val="18"/>
      <w:vertAlign w:val="superscript"/>
    </w:rPr>
  </w:style>
  <w:style w:type="paragraph" w:customStyle="1" w:styleId="ADNParagraph">
    <w:name w:val="ADN Paragraph"/>
    <w:basedOn w:val="Normal"/>
    <w:qFormat/>
    <w:rsid w:val="00635226"/>
    <w:pPr>
      <w:widowControl/>
      <w:overflowPunct/>
      <w:autoSpaceDE/>
      <w:autoSpaceDN/>
      <w:adjustRightInd/>
      <w:spacing w:after="240"/>
      <w:ind w:left="1418" w:hanging="1418"/>
      <w:textAlignment w:val="auto"/>
    </w:pPr>
    <w:rPr>
      <w:sz w:val="22"/>
      <w:lang w:val="fr-FR" w:eastAsia="en-US"/>
    </w:rPr>
  </w:style>
  <w:style w:type="paragraph" w:customStyle="1" w:styleId="ADNSubaparagraphs">
    <w:name w:val="ADN Subaparagraphs"/>
    <w:basedOn w:val="Normal"/>
    <w:qFormat/>
    <w:rsid w:val="00635226"/>
    <w:pPr>
      <w:widowControl/>
      <w:overflowPunct/>
      <w:autoSpaceDE/>
      <w:autoSpaceDN/>
      <w:adjustRightInd/>
      <w:spacing w:after="240"/>
      <w:ind w:left="1985" w:hanging="581"/>
      <w:textAlignment w:val="auto"/>
    </w:pPr>
    <w:rPr>
      <w:sz w:val="22"/>
      <w:lang w:val="en-GB" w:eastAsia="en-US"/>
    </w:rPr>
  </w:style>
  <w:style w:type="paragraph" w:styleId="BodyText3">
    <w:name w:val="Body Text 3"/>
    <w:basedOn w:val="Normal"/>
    <w:link w:val="BodyText3Char"/>
    <w:rsid w:val="00635226"/>
    <w:pPr>
      <w:widowControl/>
      <w:tabs>
        <w:tab w:val="left" w:pos="-1"/>
        <w:tab w:val="left" w:pos="1132"/>
        <w:tab w:val="left" w:pos="1700"/>
        <w:tab w:val="left" w:pos="2266"/>
        <w:tab w:val="left" w:pos="2834"/>
        <w:tab w:val="left" w:pos="3400"/>
      </w:tabs>
      <w:overflowPunct/>
      <w:autoSpaceDE/>
      <w:autoSpaceDN/>
      <w:adjustRightInd/>
      <w:ind w:left="0" w:firstLine="0"/>
      <w:textAlignment w:val="auto"/>
    </w:pPr>
    <w:rPr>
      <w:sz w:val="22"/>
      <w:lang w:val="fr-FR" w:eastAsia="en-US"/>
    </w:rPr>
  </w:style>
  <w:style w:type="character" w:customStyle="1" w:styleId="BodyText3Char">
    <w:name w:val="Body Text 3 Char"/>
    <w:basedOn w:val="DefaultParagraphFont"/>
    <w:link w:val="BodyText3"/>
    <w:rsid w:val="00635226"/>
    <w:rPr>
      <w:sz w:val="22"/>
      <w:lang w:val="fr-FR" w:eastAsia="en-US"/>
    </w:rPr>
  </w:style>
  <w:style w:type="paragraph" w:styleId="BalloonText">
    <w:name w:val="Balloon Text"/>
    <w:basedOn w:val="Normal"/>
    <w:link w:val="BalloonTextChar"/>
    <w:rsid w:val="009873A1"/>
    <w:rPr>
      <w:rFonts w:ascii="Segoe UI" w:hAnsi="Segoe UI" w:cs="Segoe UI"/>
      <w:sz w:val="18"/>
      <w:szCs w:val="18"/>
    </w:rPr>
  </w:style>
  <w:style w:type="character" w:customStyle="1" w:styleId="BalloonTextChar">
    <w:name w:val="Balloon Text Char"/>
    <w:basedOn w:val="DefaultParagraphFont"/>
    <w:link w:val="BalloonText"/>
    <w:rsid w:val="009873A1"/>
    <w:rPr>
      <w:rFonts w:ascii="Segoe UI" w:hAnsi="Segoe UI" w:cs="Segoe UI"/>
      <w:sz w:val="18"/>
      <w:szCs w:val="18"/>
      <w:lang w:eastAsia="fr-FR"/>
    </w:rPr>
  </w:style>
  <w:style w:type="paragraph" w:styleId="Header">
    <w:name w:val="header"/>
    <w:basedOn w:val="Normal"/>
    <w:link w:val="HeaderChar"/>
    <w:unhideWhenUsed/>
    <w:rsid w:val="00724E6F"/>
    <w:pPr>
      <w:tabs>
        <w:tab w:val="center" w:pos="4536"/>
        <w:tab w:val="right" w:pos="9072"/>
      </w:tabs>
    </w:pPr>
  </w:style>
  <w:style w:type="character" w:customStyle="1" w:styleId="HeaderChar">
    <w:name w:val="Header Char"/>
    <w:basedOn w:val="DefaultParagraphFont"/>
    <w:link w:val="Header"/>
    <w:rsid w:val="00724E6F"/>
    <w:rPr>
      <w:lang w:eastAsia="fr-FR"/>
    </w:rPr>
  </w:style>
  <w:style w:type="paragraph" w:styleId="Footer">
    <w:name w:val="footer"/>
    <w:basedOn w:val="Normal"/>
    <w:link w:val="FooterChar"/>
    <w:unhideWhenUsed/>
    <w:rsid w:val="00724E6F"/>
    <w:pPr>
      <w:tabs>
        <w:tab w:val="center" w:pos="4536"/>
        <w:tab w:val="right" w:pos="9072"/>
      </w:tabs>
    </w:pPr>
  </w:style>
  <w:style w:type="character" w:customStyle="1" w:styleId="FooterChar">
    <w:name w:val="Footer Char"/>
    <w:basedOn w:val="DefaultParagraphFont"/>
    <w:link w:val="Footer"/>
    <w:rsid w:val="00724E6F"/>
    <w:rPr>
      <w:lang w:eastAsia="fr-FR"/>
    </w:rPr>
  </w:style>
  <w:style w:type="paragraph" w:styleId="ListParagraph">
    <w:name w:val="List Paragraph"/>
    <w:basedOn w:val="Normal"/>
    <w:uiPriority w:val="34"/>
    <w:qFormat/>
    <w:rsid w:val="003F5E68"/>
    <w:pPr>
      <w:ind w:left="720"/>
      <w:contextualSpacing/>
    </w:pPr>
  </w:style>
  <w:style w:type="table" w:styleId="TableGrid">
    <w:name w:val="Table Grid"/>
    <w:basedOn w:val="TableNormal"/>
    <w:uiPriority w:val="39"/>
    <w:rsid w:val="00830501"/>
    <w:pPr>
      <w:spacing w:line="264" w:lineRule="auto"/>
    </w:pPr>
    <w:rPr>
      <w:rFonts w:ascii="Corbel" w:eastAsia="Corbel" w:hAnsi="Corbel"/>
      <w:sz w:val="21"/>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Plattetekstinspringen31">
    <w:name w:val="Platte tekst inspringen 31"/>
    <w:basedOn w:val="Normal"/>
    <w:rsid w:val="007D2C1E"/>
    <w:pPr>
      <w:widowControl/>
      <w:tabs>
        <w:tab w:val="left" w:pos="284"/>
        <w:tab w:val="left" w:pos="1134"/>
        <w:tab w:val="left" w:pos="1418"/>
        <w:tab w:val="left" w:pos="1701"/>
        <w:tab w:val="left" w:pos="8222"/>
      </w:tabs>
      <w:spacing w:line="240" w:lineRule="atLeast"/>
      <w:ind w:left="1701" w:hanging="1417"/>
    </w:pPr>
    <w:rPr>
      <w:lang w:eastAsia="nl-NL"/>
    </w:rPr>
  </w:style>
  <w:style w:type="character" w:styleId="CommentReference">
    <w:name w:val="annotation reference"/>
    <w:basedOn w:val="DefaultParagraphFont"/>
    <w:semiHidden/>
    <w:unhideWhenUsed/>
    <w:rsid w:val="00173DD7"/>
    <w:rPr>
      <w:sz w:val="16"/>
      <w:szCs w:val="16"/>
    </w:rPr>
  </w:style>
  <w:style w:type="paragraph" w:styleId="CommentText">
    <w:name w:val="annotation text"/>
    <w:basedOn w:val="Normal"/>
    <w:link w:val="CommentTextChar"/>
    <w:semiHidden/>
    <w:unhideWhenUsed/>
    <w:rsid w:val="00173DD7"/>
  </w:style>
  <w:style w:type="character" w:customStyle="1" w:styleId="CommentTextChar">
    <w:name w:val="Comment Text Char"/>
    <w:basedOn w:val="DefaultParagraphFont"/>
    <w:link w:val="CommentText"/>
    <w:semiHidden/>
    <w:rsid w:val="00173DD7"/>
    <w:rPr>
      <w:lang w:eastAsia="fr-FR"/>
    </w:rPr>
  </w:style>
  <w:style w:type="paragraph" w:styleId="CommentSubject">
    <w:name w:val="annotation subject"/>
    <w:basedOn w:val="CommentText"/>
    <w:next w:val="CommentText"/>
    <w:link w:val="CommentSubjectChar"/>
    <w:semiHidden/>
    <w:unhideWhenUsed/>
    <w:rsid w:val="00173DD7"/>
    <w:rPr>
      <w:b/>
      <w:bCs/>
    </w:rPr>
  </w:style>
  <w:style w:type="character" w:customStyle="1" w:styleId="CommentSubjectChar">
    <w:name w:val="Comment Subject Char"/>
    <w:basedOn w:val="CommentTextChar"/>
    <w:link w:val="CommentSubject"/>
    <w:semiHidden/>
    <w:rsid w:val="00173DD7"/>
    <w:rPr>
      <w:b/>
      <w:bCs/>
      <w:lang w:eastAsia="fr-FR"/>
    </w:rPr>
  </w:style>
  <w:style w:type="paragraph" w:customStyle="1" w:styleId="N3">
    <w:name w:val="N3"/>
    <w:basedOn w:val="Normal"/>
    <w:rsid w:val="00FA3B25"/>
    <w:pPr>
      <w:widowControl/>
      <w:tabs>
        <w:tab w:val="left" w:pos="170"/>
      </w:tabs>
    </w:pPr>
    <w:rPr>
      <w:rFonts w:ascii="Tms Rmn" w:hAnsi="Tms Rmn"/>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32777">
      <w:bodyDiv w:val="1"/>
      <w:marLeft w:val="0"/>
      <w:marRight w:val="0"/>
      <w:marTop w:val="0"/>
      <w:marBottom w:val="0"/>
      <w:divBdr>
        <w:top w:val="none" w:sz="0" w:space="0" w:color="auto"/>
        <w:left w:val="none" w:sz="0" w:space="0" w:color="auto"/>
        <w:bottom w:val="none" w:sz="0" w:space="0" w:color="auto"/>
        <w:right w:val="none" w:sz="0" w:space="0" w:color="auto"/>
      </w:divBdr>
    </w:div>
    <w:div w:id="11934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BE46A-36DB-4B8E-93AF-9AE62EAB370B}">
  <ds:schemaRefs>
    <ds:schemaRef ds:uri="4b4a1c0d-4a69-4996-a84a-fc699b9f49de"/>
    <ds:schemaRef ds:uri="http://purl.org/dc/elements/1.1/"/>
    <ds:schemaRef ds:uri="acccb6d4-dbe5-46d2-b4d3-5733603d8cc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33DFF0-7559-46C7-B177-C55DE4E11278}">
  <ds:schemaRefs>
    <ds:schemaRef ds:uri="http://schemas.microsoft.com/sharepoint/v3/contenttype/forms"/>
  </ds:schemaRefs>
</ds:datastoreItem>
</file>

<file path=customXml/itemProps3.xml><?xml version="1.0" encoding="utf-8"?>
<ds:datastoreItem xmlns:ds="http://schemas.openxmlformats.org/officeDocument/2006/customXml" ds:itemID="{068521AB-FB3B-49A8-95BF-E8E41AC6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10288</Characters>
  <Application>Microsoft Office Word</Application>
  <DocSecurity>4</DocSecurity>
  <Lines>85</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MyCompany</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Manfred Leo</dc:creator>
  <cp:lastModifiedBy>Secretariat</cp:lastModifiedBy>
  <cp:revision>2</cp:revision>
  <cp:lastPrinted>2019-11-12T10:07:00Z</cp:lastPrinted>
  <dcterms:created xsi:type="dcterms:W3CDTF">2021-07-01T06:56:00Z</dcterms:created>
  <dcterms:modified xsi:type="dcterms:W3CDTF">2021-07-01T06:56:00Z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