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AABA217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27A476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DCF391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179046E" w14:textId="77777777" w:rsidR="001433FD" w:rsidRPr="00DB58B5" w:rsidRDefault="001336CB" w:rsidP="001336CB">
            <w:pPr>
              <w:jc w:val="right"/>
            </w:pPr>
            <w:r w:rsidRPr="001336CB">
              <w:rPr>
                <w:sz w:val="40"/>
              </w:rPr>
              <w:t>ECE</w:t>
            </w:r>
            <w:r>
              <w:t>/TRANS/WP.15/AC.1/2021/40</w:t>
            </w:r>
          </w:p>
        </w:tc>
      </w:tr>
      <w:tr w:rsidR="001433FD" w:rsidRPr="00DB58B5" w14:paraId="08F29D63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7613AF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1FC79E" wp14:editId="2839E1F9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DE1DC7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294923" w14:textId="77777777" w:rsidR="0001207F" w:rsidRDefault="001336CB" w:rsidP="001336CB">
            <w:pPr>
              <w:spacing w:before="240" w:line="240" w:lineRule="exact"/>
            </w:pPr>
            <w:r>
              <w:t>Distr. générale</w:t>
            </w:r>
          </w:p>
          <w:p w14:paraId="43E7A8A5" w14:textId="50577BAB" w:rsidR="001336CB" w:rsidRDefault="0012612E" w:rsidP="001336CB">
            <w:pPr>
              <w:spacing w:line="240" w:lineRule="exact"/>
            </w:pPr>
            <w:r>
              <w:t>6 juillet</w:t>
            </w:r>
            <w:r w:rsidR="001336CB">
              <w:t xml:space="preserve"> 2021</w:t>
            </w:r>
          </w:p>
          <w:p w14:paraId="293D8F1F" w14:textId="77777777" w:rsidR="001336CB" w:rsidRDefault="001336CB" w:rsidP="001336CB">
            <w:pPr>
              <w:spacing w:line="240" w:lineRule="exact"/>
            </w:pPr>
          </w:p>
          <w:p w14:paraId="39A84F2F" w14:textId="77777777" w:rsidR="001336CB" w:rsidRPr="00DB58B5" w:rsidRDefault="001336CB" w:rsidP="001336CB">
            <w:pPr>
              <w:spacing w:line="240" w:lineRule="exact"/>
            </w:pPr>
            <w:r>
              <w:t>Original : français</w:t>
            </w:r>
          </w:p>
        </w:tc>
      </w:tr>
    </w:tbl>
    <w:p w14:paraId="0977E9DE" w14:textId="77777777" w:rsidR="001336CB" w:rsidRDefault="001336CB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58539960" w14:textId="77777777" w:rsidR="001336CB" w:rsidRPr="008A7BD0" w:rsidRDefault="001336CB" w:rsidP="00FD1581">
      <w:pPr>
        <w:spacing w:before="120"/>
        <w:rPr>
          <w:sz w:val="28"/>
          <w:szCs w:val="28"/>
          <w:lang w:val="fr-CA"/>
        </w:rPr>
      </w:pPr>
      <w:r w:rsidRPr="008A7BD0">
        <w:rPr>
          <w:sz w:val="28"/>
          <w:szCs w:val="28"/>
          <w:lang w:val="fr-CA"/>
        </w:rPr>
        <w:t>Comité des transports intérieurs</w:t>
      </w:r>
    </w:p>
    <w:p w14:paraId="1A2FECC4" w14:textId="77777777" w:rsidR="001336CB" w:rsidRPr="008A7BD0" w:rsidRDefault="001336CB" w:rsidP="00FD1581">
      <w:pPr>
        <w:spacing w:before="120"/>
        <w:rPr>
          <w:b/>
          <w:sz w:val="24"/>
          <w:szCs w:val="24"/>
          <w:lang w:val="fr-CA"/>
        </w:rPr>
      </w:pPr>
      <w:r w:rsidRPr="008A7BD0">
        <w:rPr>
          <w:b/>
          <w:bCs/>
          <w:sz w:val="24"/>
          <w:szCs w:val="24"/>
          <w:lang w:val="fr-FR"/>
        </w:rPr>
        <w:t xml:space="preserve">Groupe de travail des transports </w:t>
      </w:r>
      <w:r w:rsidRPr="008A7BD0">
        <w:rPr>
          <w:b/>
          <w:bCs/>
          <w:sz w:val="24"/>
          <w:szCs w:val="24"/>
          <w:lang w:val="fr-FR"/>
        </w:rPr>
        <w:br/>
        <w:t>de marchandises dangereuses</w:t>
      </w:r>
    </w:p>
    <w:p w14:paraId="3B9ADC77" w14:textId="77777777" w:rsidR="001336CB" w:rsidRPr="008A7BD0" w:rsidRDefault="001336CB" w:rsidP="00FD1581">
      <w:pPr>
        <w:spacing w:before="120"/>
        <w:rPr>
          <w:b/>
          <w:lang w:val="fr-FR"/>
        </w:rPr>
      </w:pPr>
      <w:r w:rsidRPr="008A7BD0">
        <w:rPr>
          <w:b/>
          <w:lang w:val="fr-FR"/>
        </w:rPr>
        <w:t xml:space="preserve">Réunion commune de la Commission d’experts du RID </w:t>
      </w:r>
      <w:r w:rsidRPr="008A7BD0">
        <w:rPr>
          <w:b/>
          <w:lang w:val="fr-FR"/>
        </w:rPr>
        <w:br/>
        <w:t xml:space="preserve">et du Groupe de travail des transports </w:t>
      </w:r>
      <w:r w:rsidRPr="008A7BD0">
        <w:rPr>
          <w:b/>
          <w:lang w:val="fr-FR"/>
        </w:rPr>
        <w:br/>
        <w:t>de marchandises dangereuses</w:t>
      </w:r>
    </w:p>
    <w:p w14:paraId="638199FE" w14:textId="77777777" w:rsidR="00130E11" w:rsidRDefault="00130E11" w:rsidP="00130E11">
      <w:pPr>
        <w:rPr>
          <w:rFonts w:eastAsiaTheme="minorHAnsi"/>
          <w:lang w:val="fr-FR" w:eastAsia="en-US"/>
        </w:rPr>
      </w:pPr>
      <w:r>
        <w:rPr>
          <w:rFonts w:eastAsiaTheme="minorHAnsi"/>
          <w:lang w:val="fr-FR" w:eastAsia="en-US"/>
        </w:rPr>
        <w:t>Genève, 21 septembre-1</w:t>
      </w:r>
      <w:r>
        <w:rPr>
          <w:rFonts w:eastAsiaTheme="minorHAnsi"/>
          <w:vertAlign w:val="superscript"/>
          <w:lang w:val="fr-FR" w:eastAsia="en-US"/>
        </w:rPr>
        <w:t>er</w:t>
      </w:r>
      <w:r>
        <w:rPr>
          <w:rFonts w:eastAsiaTheme="minorHAnsi"/>
          <w:lang w:val="fr-FR" w:eastAsia="en-US"/>
        </w:rPr>
        <w:t> octobre 2021</w:t>
      </w:r>
    </w:p>
    <w:p w14:paraId="4965655F" w14:textId="65C0BFE3" w:rsidR="001336CB" w:rsidRPr="008A7BD0" w:rsidRDefault="00130E11" w:rsidP="00130E11">
      <w:pPr>
        <w:rPr>
          <w:lang w:val="fr-FR"/>
        </w:rPr>
      </w:pPr>
      <w:r w:rsidRPr="00002024">
        <w:t xml:space="preserve">Point </w:t>
      </w:r>
      <w:r>
        <w:t>5 a)</w:t>
      </w:r>
      <w:r>
        <w:rPr>
          <w:lang w:val="fr-FR"/>
        </w:rPr>
        <w:t xml:space="preserve"> de l’ordre du jour provisoire</w:t>
      </w:r>
      <w:r>
        <w:rPr>
          <w:lang w:val="fr-FR"/>
        </w:rPr>
        <w:br/>
      </w:r>
      <w:r>
        <w:rPr>
          <w:b/>
          <w:bCs/>
          <w:lang w:val="fr-FR"/>
        </w:rPr>
        <w:t>questions en suspens</w:t>
      </w:r>
    </w:p>
    <w:p w14:paraId="6B4A22CE" w14:textId="26882FAD" w:rsidR="004D55BC" w:rsidRPr="00761E0D" w:rsidRDefault="00130E11" w:rsidP="004D55BC">
      <w:pPr>
        <w:pStyle w:val="HChG"/>
      </w:pPr>
      <w:r>
        <w:tab/>
      </w:r>
      <w:r>
        <w:tab/>
      </w:r>
      <w:r w:rsidR="004D55BC" w:rsidRPr="00771714">
        <w:t>Signalisation orange des wagons et véhicules transportant des citernes ou des conteneurs de faible capacité</w:t>
      </w:r>
    </w:p>
    <w:p w14:paraId="16261F7E" w14:textId="1D1B1300" w:rsidR="004D55BC" w:rsidRPr="00771714" w:rsidRDefault="004D55BC" w:rsidP="004D55BC">
      <w:pPr>
        <w:suppressAutoHyphens w:val="0"/>
        <w:kinsoku/>
        <w:overflowPunct/>
        <w:autoSpaceDE/>
        <w:autoSpaceDN/>
        <w:adjustRightInd/>
        <w:snapToGrid/>
        <w:spacing w:after="240" w:line="240" w:lineRule="auto"/>
        <w:rPr>
          <w:b/>
        </w:rPr>
      </w:pPr>
      <w:r w:rsidRPr="00761E0D">
        <w:tab/>
      </w:r>
      <w:r w:rsidRPr="00761E0D">
        <w:tab/>
      </w:r>
      <w:r w:rsidRPr="00464AD7">
        <w:rPr>
          <w:rStyle w:val="H1GChar"/>
        </w:rPr>
        <w:t>Communication du Gouvernement suisse</w:t>
      </w:r>
      <w:r w:rsidR="002A3DD2" w:rsidRPr="00233B5D">
        <w:rPr>
          <w:rStyle w:val="FootnoteReference"/>
          <w:bCs/>
          <w:sz w:val="20"/>
        </w:rPr>
        <w:footnoteReference w:customMarkFollows="1" w:id="2"/>
        <w:t>*</w:t>
      </w:r>
      <w:r w:rsidR="002A3DD2" w:rsidRPr="00233B5D">
        <w:rPr>
          <w:bCs/>
          <w:vertAlign w:val="superscript"/>
        </w:rPr>
        <w:t xml:space="preserve">, </w:t>
      </w:r>
      <w:r w:rsidR="002A3DD2" w:rsidRPr="00233B5D">
        <w:rPr>
          <w:rStyle w:val="FootnoteReference"/>
          <w:bCs/>
          <w:sz w:val="20"/>
        </w:rPr>
        <w:footnoteReference w:customMarkFollows="1" w:id="3"/>
        <w:t>**</w:t>
      </w:r>
      <w:r w:rsidR="002A3DD2" w:rsidRPr="00233B5D">
        <w:rPr>
          <w:bCs/>
          <w:vertAlign w:val="superscript"/>
        </w:rPr>
        <w:t xml:space="preserve">, </w:t>
      </w:r>
      <w:r w:rsidR="002A3DD2" w:rsidRPr="00233B5D">
        <w:rPr>
          <w:rStyle w:val="FootnoteReference"/>
          <w:bCs/>
          <w:sz w:val="20"/>
        </w:rPr>
        <w:footnoteReference w:customMarkFollows="1" w:id="4"/>
        <w:sym w:font="Symbol" w:char="F02A"/>
      </w:r>
      <w:r w:rsidR="002A3DD2" w:rsidRPr="00233B5D">
        <w:rPr>
          <w:rStyle w:val="FootnoteReference"/>
          <w:bCs/>
          <w:sz w:val="20"/>
        </w:rPr>
        <w:sym w:font="Symbol" w:char="F02A"/>
      </w:r>
      <w:r w:rsidR="002A3DD2" w:rsidRPr="00233B5D">
        <w:rPr>
          <w:rStyle w:val="FootnoteReference"/>
          <w:bCs/>
          <w:sz w:val="20"/>
        </w:rPr>
        <w:sym w:font="Symbol" w:char="F02A"/>
      </w:r>
    </w:p>
    <w:p w14:paraId="4EA46AC0" w14:textId="77777777" w:rsidR="004D55BC" w:rsidRPr="00761E0D" w:rsidRDefault="004D55BC" w:rsidP="004D55BC">
      <w:pPr>
        <w:pStyle w:val="HChG"/>
        <w:ind w:right="567"/>
        <w:rPr>
          <w:b w:val="0"/>
        </w:rPr>
      </w:pPr>
      <w:r w:rsidRPr="00761E0D">
        <w:rPr>
          <w:b w:val="0"/>
          <w:lang w:eastAsia="en-US"/>
        </w:rPr>
        <w:tab/>
      </w:r>
      <w:r w:rsidRPr="00761E0D">
        <w:rPr>
          <w:b w:val="0"/>
          <w:lang w:eastAsia="en-US"/>
        </w:rPr>
        <w:tab/>
      </w:r>
      <w:r w:rsidRPr="00761E0D">
        <w:t>Introduction</w:t>
      </w:r>
    </w:p>
    <w:p w14:paraId="14A02770" w14:textId="39A457A8" w:rsidR="004D55BC" w:rsidRPr="00845D28" w:rsidRDefault="004D55BC" w:rsidP="004D55BC">
      <w:pPr>
        <w:pStyle w:val="SingleTxtG"/>
      </w:pPr>
      <w:r w:rsidRPr="00952855">
        <w:t>1.</w:t>
      </w:r>
      <w:r w:rsidRPr="00952855">
        <w:tab/>
      </w:r>
      <w:r w:rsidRPr="00845D28">
        <w:t>À sa session d</w:t>
      </w:r>
      <w:r>
        <w:t>e l</w:t>
      </w:r>
      <w:r w:rsidRPr="00845D28">
        <w:t>'automne</w:t>
      </w:r>
      <w:r>
        <w:t xml:space="preserve"> 2020, la Réunion c</w:t>
      </w:r>
      <w:r w:rsidRPr="00845D28">
        <w:t xml:space="preserve">ommune a adopté un amendement au nota du paragraphe 5.3.2.1.5 (voir annexe II </w:t>
      </w:r>
      <w:r>
        <w:t>du</w:t>
      </w:r>
      <w:r w:rsidRPr="00845D28">
        <w:t xml:space="preserve"> rapport ECE/TRANS/WP.15/AC.1/158). Le </w:t>
      </w:r>
      <w:r w:rsidR="00A41D8B">
        <w:t>n</w:t>
      </w:r>
      <w:r w:rsidRPr="00845D28">
        <w:t>ota tel que modifié est libellé ainsi :</w:t>
      </w:r>
    </w:p>
    <w:p w14:paraId="5F15A570" w14:textId="6A00C676" w:rsidR="004D55BC" w:rsidRDefault="004D55BC" w:rsidP="004D55BC">
      <w:pPr>
        <w:pStyle w:val="SingleTxtG"/>
      </w:pPr>
      <w:r w:rsidRPr="00845D28">
        <w:t>«</w:t>
      </w:r>
      <w:r w:rsidR="00405476">
        <w:t> </w:t>
      </w:r>
      <w:r w:rsidRPr="00845D28">
        <w:rPr>
          <w:b/>
        </w:rPr>
        <w:t>NOTA :</w:t>
      </w:r>
      <w:r w:rsidRPr="00845D28">
        <w:t xml:space="preserve"> Il n’est pas nécessaire d’appliquer ce paragraphe aux wagons/véhicules transportant des conteneurs pour vrac, citernes ou CGEM d’une capacité maximale de 3 000 litres. ».</w:t>
      </w:r>
    </w:p>
    <w:p w14:paraId="5C78AAE7" w14:textId="77777777" w:rsidR="004D55BC" w:rsidRDefault="004D55BC" w:rsidP="004D55BC">
      <w:pPr>
        <w:pStyle w:val="SingleTxtG"/>
      </w:pPr>
      <w:r>
        <w:t>2.</w:t>
      </w:r>
      <w:r>
        <w:tab/>
        <w:t xml:space="preserve">La décision d'étendre cette exemption de marquage à tous les types de wagons et de véhicules porteurs se basait sur le fait que </w:t>
      </w:r>
      <w:r w:rsidRPr="0052129B">
        <w:t xml:space="preserve">le transport </w:t>
      </w:r>
      <w:r>
        <w:t>en citernes ou en conteneurs de faible capacité pouvait être assimilé</w:t>
      </w:r>
      <w:r w:rsidRPr="0052129B">
        <w:t xml:space="preserve"> à un transport de marchandises dangereuses en </w:t>
      </w:r>
      <w:r>
        <w:t>colis.</w:t>
      </w:r>
    </w:p>
    <w:p w14:paraId="1C414B5E" w14:textId="363249B4" w:rsidR="004D55BC" w:rsidRDefault="004D55BC" w:rsidP="004D55BC">
      <w:pPr>
        <w:pStyle w:val="SingleTxtG"/>
      </w:pPr>
      <w:r>
        <w:t>3.</w:t>
      </w:r>
      <w:r>
        <w:tab/>
        <w:t>Sur proposition de la Suisse, les conteneurs pour vrac ont été pris en compte dans le nota (voir ECE/TRANS/WP.15/AC.1/2020/64). Selon la section 1.2.1 RID/ADR/ADN,</w:t>
      </w:r>
      <w:r w:rsidRPr="004616DB">
        <w:t xml:space="preserve"> </w:t>
      </w:r>
      <w:r>
        <w:t xml:space="preserve">la définition de "conteneur </w:t>
      </w:r>
      <w:r w:rsidRPr="00B546C5">
        <w:t>pour vrac</w:t>
      </w:r>
      <w:r>
        <w:t xml:space="preserve">" ne s'applique qu'aux conteneurs </w:t>
      </w:r>
      <w:r w:rsidRPr="00FF6A84">
        <w:t xml:space="preserve">répondant aux prescriptions </w:t>
      </w:r>
      <w:r>
        <w:t>du chapitre 6.11 (codes BK)</w:t>
      </w:r>
      <w:r w:rsidRPr="004616DB">
        <w:t>.</w:t>
      </w:r>
      <w:r>
        <w:t xml:space="preserve"> Le nota omet donc les </w:t>
      </w:r>
      <w:r w:rsidRPr="00B91F93">
        <w:t>conteneurs utilisés pour</w:t>
      </w:r>
      <w:r>
        <w:t xml:space="preserve"> le transport en vrac conformément au 7.3.1.1 b) (codes VC), ce qui n'était pas l'intention de la Suisse</w:t>
      </w:r>
      <w:r w:rsidRPr="00FF4AC0">
        <w:t xml:space="preserve">. </w:t>
      </w:r>
      <w:r w:rsidR="0014207C">
        <w:t>La Suisse propose</w:t>
      </w:r>
      <w:r w:rsidRPr="00FF4AC0">
        <w:t xml:space="preserve"> de combler</w:t>
      </w:r>
      <w:r>
        <w:t xml:space="preserve"> cette lacune par l'utilisation du terme général "</w:t>
      </w:r>
      <w:r w:rsidRPr="002A342F">
        <w:t>conteneurs pour le transport en vrac</w:t>
      </w:r>
      <w:r>
        <w:t>"</w:t>
      </w:r>
      <w:r w:rsidRPr="00FF4AC0">
        <w:t xml:space="preserve"> </w:t>
      </w:r>
      <w:r>
        <w:t>dans le nota.</w:t>
      </w:r>
    </w:p>
    <w:p w14:paraId="0FF51AC3" w14:textId="086A9FC4" w:rsidR="004D55BC" w:rsidRDefault="004D55BC" w:rsidP="004D55BC">
      <w:pPr>
        <w:pStyle w:val="SingleTxtG"/>
      </w:pPr>
      <w:r>
        <w:lastRenderedPageBreak/>
        <w:t>4.</w:t>
      </w:r>
      <w:r>
        <w:tab/>
      </w:r>
      <w:r w:rsidRPr="00B91F93">
        <w:t xml:space="preserve">D'autre part, la Suisse a identifié dans la version française du RID/ADR/ADN plusieurs paragraphes qui utilisent le terme "conteneurs </w:t>
      </w:r>
      <w:r w:rsidRPr="00FF4AC0">
        <w:t xml:space="preserve">pour vrac" là où le terme général </w:t>
      </w:r>
      <w:r w:rsidR="00986FE4">
        <w:t>"</w:t>
      </w:r>
      <w:r w:rsidRPr="00FF4AC0">
        <w:t xml:space="preserve">conteneurs pour le transport en vrac" devrait être utilisé. </w:t>
      </w:r>
      <w:r>
        <w:t>Des propositions de correction seront transmises dans un</w:t>
      </w:r>
      <w:r w:rsidRPr="00FF4AC0">
        <w:t xml:space="preserve"> document informel.</w:t>
      </w:r>
    </w:p>
    <w:p w14:paraId="49105480" w14:textId="77777777" w:rsidR="004D55BC" w:rsidRDefault="004D55BC" w:rsidP="004D55BC">
      <w:pPr>
        <w:pStyle w:val="HChG"/>
        <w:ind w:right="567"/>
      </w:pPr>
      <w:r w:rsidRPr="0052129B">
        <w:tab/>
      </w:r>
      <w:r w:rsidRPr="0052129B">
        <w:tab/>
      </w:r>
      <w:r>
        <w:t>Proposition</w:t>
      </w:r>
    </w:p>
    <w:p w14:paraId="4EB737CB" w14:textId="77777777" w:rsidR="004D55BC" w:rsidRPr="00173F3C" w:rsidRDefault="004D55BC" w:rsidP="004D55BC">
      <w:pPr>
        <w:pStyle w:val="SingleTxtG"/>
      </w:pPr>
      <w:r>
        <w:t>5.3.2.1.5</w:t>
      </w:r>
      <w:r>
        <w:tab/>
      </w:r>
      <w:r w:rsidRPr="00173F3C">
        <w:t>Modifier le nota comme suit (</w:t>
      </w:r>
      <w:r>
        <w:t>modification</w:t>
      </w:r>
      <w:r w:rsidRPr="00173F3C">
        <w:t xml:space="preserve"> par rapport à l'annexe II </w:t>
      </w:r>
      <w:r>
        <w:t>du</w:t>
      </w:r>
      <w:r w:rsidRPr="00173F3C">
        <w:t xml:space="preserve"> rapport ECE/TRANS/WP.15/AC.1/</w:t>
      </w:r>
      <w:r w:rsidRPr="00FF2D8E">
        <w:t>158, en gras et souligné</w:t>
      </w:r>
      <w:r>
        <w:t>e</w:t>
      </w:r>
      <w:r w:rsidRPr="00FF2D8E">
        <w:t>) :</w:t>
      </w:r>
    </w:p>
    <w:p w14:paraId="65E4509E" w14:textId="1599EBF6" w:rsidR="004D55BC" w:rsidRDefault="004D55BC" w:rsidP="004D55BC">
      <w:pPr>
        <w:pStyle w:val="SingleTxtG"/>
      </w:pPr>
      <w:r w:rsidRPr="00173F3C">
        <w:t>«</w:t>
      </w:r>
      <w:r w:rsidR="006772F3">
        <w:t> </w:t>
      </w:r>
      <w:r w:rsidRPr="00FF2D8E">
        <w:rPr>
          <w:b/>
        </w:rPr>
        <w:t>NOTA :</w:t>
      </w:r>
      <w:r w:rsidRPr="00173F3C">
        <w:t xml:space="preserve"> Il n’est pas nécessaire d’appliquer ce paragraphe aux wagons/véhicules transportant des conteneurs pour </w:t>
      </w:r>
      <w:r w:rsidRPr="00173F3C">
        <w:rPr>
          <w:b/>
          <w:u w:val="single"/>
        </w:rPr>
        <w:t>le transport en</w:t>
      </w:r>
      <w:r w:rsidRPr="00173F3C">
        <w:t xml:space="preserve"> vrac, citernes ou CGEM d’une capacité maximale de 3000 litres. ».</w:t>
      </w:r>
    </w:p>
    <w:p w14:paraId="02F5B07E" w14:textId="77777777" w:rsidR="004D55BC" w:rsidRPr="00952855" w:rsidRDefault="004D55BC" w:rsidP="004D55BC">
      <w:pPr>
        <w:spacing w:before="240"/>
        <w:ind w:right="850"/>
        <w:jc w:val="center"/>
        <w:rPr>
          <w:u w:val="single"/>
        </w:rPr>
      </w:pPr>
      <w:r w:rsidRPr="00952855">
        <w:rPr>
          <w:u w:val="single"/>
        </w:rPr>
        <w:tab/>
      </w:r>
      <w:r w:rsidRPr="00952855">
        <w:rPr>
          <w:u w:val="single"/>
        </w:rPr>
        <w:tab/>
      </w:r>
      <w:r w:rsidRPr="00952855">
        <w:rPr>
          <w:u w:val="single"/>
        </w:rPr>
        <w:tab/>
      </w:r>
    </w:p>
    <w:sectPr w:rsidR="004D55BC" w:rsidRPr="00952855" w:rsidSect="001336C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F11A" w14:textId="77777777" w:rsidR="001336CB" w:rsidRDefault="001336CB" w:rsidP="00F95C08">
      <w:pPr>
        <w:spacing w:line="240" w:lineRule="auto"/>
      </w:pPr>
    </w:p>
  </w:endnote>
  <w:endnote w:type="continuationSeparator" w:id="0">
    <w:p w14:paraId="350918B4" w14:textId="77777777" w:rsidR="001336CB" w:rsidRPr="00AC3823" w:rsidRDefault="001336CB" w:rsidP="00AC3823">
      <w:pPr>
        <w:pStyle w:val="Footer"/>
      </w:pPr>
    </w:p>
  </w:endnote>
  <w:endnote w:type="continuationNotice" w:id="1">
    <w:p w14:paraId="24C98776" w14:textId="77777777" w:rsidR="001336CB" w:rsidRDefault="001336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2EDC" w14:textId="693193CB" w:rsidR="001336CB" w:rsidRPr="001336CB" w:rsidRDefault="001336CB" w:rsidP="001336CB">
    <w:pPr>
      <w:pStyle w:val="Footer"/>
      <w:tabs>
        <w:tab w:val="right" w:pos="9638"/>
      </w:tabs>
      <w:rPr>
        <w:sz w:val="18"/>
      </w:rPr>
    </w:pPr>
    <w:r w:rsidRPr="001336CB">
      <w:rPr>
        <w:b/>
        <w:sz w:val="18"/>
      </w:rPr>
      <w:fldChar w:fldCharType="begin"/>
    </w:r>
    <w:r w:rsidRPr="001336CB">
      <w:rPr>
        <w:b/>
        <w:sz w:val="18"/>
      </w:rPr>
      <w:instrText xml:space="preserve"> PAGE  \* MERGEFORMAT </w:instrText>
    </w:r>
    <w:r w:rsidRPr="001336CB">
      <w:rPr>
        <w:b/>
        <w:sz w:val="18"/>
      </w:rPr>
      <w:fldChar w:fldCharType="separate"/>
    </w:r>
    <w:r w:rsidR="0014207C">
      <w:rPr>
        <w:b/>
        <w:noProof/>
        <w:sz w:val="18"/>
      </w:rPr>
      <w:t>2</w:t>
    </w:r>
    <w:r w:rsidRPr="001336C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36BC" w14:textId="77777777" w:rsidR="001336CB" w:rsidRPr="001336CB" w:rsidRDefault="001336CB" w:rsidP="001336CB">
    <w:pPr>
      <w:pStyle w:val="Footer"/>
      <w:tabs>
        <w:tab w:val="right" w:pos="9638"/>
      </w:tabs>
      <w:rPr>
        <w:b/>
        <w:sz w:val="18"/>
      </w:rPr>
    </w:pPr>
    <w:r>
      <w:tab/>
    </w:r>
    <w:r w:rsidRPr="001336CB">
      <w:rPr>
        <w:b/>
        <w:sz w:val="18"/>
      </w:rPr>
      <w:fldChar w:fldCharType="begin"/>
    </w:r>
    <w:r w:rsidRPr="001336CB">
      <w:rPr>
        <w:b/>
        <w:sz w:val="18"/>
      </w:rPr>
      <w:instrText xml:space="preserve"> PAGE  \* MERGEFORMAT </w:instrText>
    </w:r>
    <w:r w:rsidRPr="001336CB">
      <w:rPr>
        <w:b/>
        <w:sz w:val="18"/>
      </w:rPr>
      <w:fldChar w:fldCharType="separate"/>
    </w:r>
    <w:r w:rsidRPr="001336CB">
      <w:rPr>
        <w:b/>
        <w:noProof/>
        <w:sz w:val="18"/>
      </w:rPr>
      <w:t>3</w:t>
    </w:r>
    <w:r w:rsidRPr="001336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CAAA" w14:textId="3597186A" w:rsidR="000D3EE9" w:rsidRPr="001336CB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93E4" w14:textId="77777777" w:rsidR="001336CB" w:rsidRPr="00AC3823" w:rsidRDefault="001336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976AA9" w14:textId="77777777" w:rsidR="001336CB" w:rsidRPr="00AC3823" w:rsidRDefault="001336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BE4562" w14:textId="77777777" w:rsidR="001336CB" w:rsidRPr="00AC3823" w:rsidRDefault="001336CB">
      <w:pPr>
        <w:spacing w:line="240" w:lineRule="auto"/>
        <w:rPr>
          <w:sz w:val="2"/>
          <w:szCs w:val="2"/>
        </w:rPr>
      </w:pPr>
    </w:p>
  </w:footnote>
  <w:footnote w:id="2">
    <w:p w14:paraId="32B49708" w14:textId="77777777" w:rsidR="002A3DD2" w:rsidRDefault="002A3DD2" w:rsidP="002A3DD2">
      <w:pPr>
        <w:pStyle w:val="FootnoteText"/>
      </w:pPr>
      <w:r>
        <w:rPr>
          <w:rStyle w:val="FootnoteReference"/>
          <w:sz w:val="20"/>
        </w:rPr>
        <w:tab/>
      </w:r>
      <w:r w:rsidRPr="002974CE">
        <w:rPr>
          <w:rStyle w:val="FootnoteReference"/>
          <w:b/>
          <w:bCs/>
          <w:sz w:val="20"/>
        </w:rPr>
        <w:t>*</w:t>
      </w:r>
      <w:r>
        <w:rPr>
          <w:rStyle w:val="FootnoteReference"/>
        </w:rPr>
        <w:tab/>
      </w:r>
      <w:r>
        <w:t>A/75/6 (Sect.20), para 20.51.</w:t>
      </w:r>
    </w:p>
  </w:footnote>
  <w:footnote w:id="3">
    <w:p w14:paraId="5512D1F1" w14:textId="12E5CFE6" w:rsidR="002A3DD2" w:rsidRDefault="002A3DD2" w:rsidP="002A3DD2">
      <w:pPr>
        <w:pStyle w:val="FootnoteText"/>
      </w:pPr>
      <w:r>
        <w:rPr>
          <w:rStyle w:val="FootnoteReference"/>
        </w:rPr>
        <w:tab/>
      </w:r>
      <w:r w:rsidRPr="002974CE">
        <w:rPr>
          <w:rStyle w:val="FootnoteReference"/>
          <w:b/>
          <w:bCs/>
          <w:sz w:val="20"/>
        </w:rPr>
        <w:t>**</w:t>
      </w:r>
      <w:r>
        <w:rPr>
          <w:rStyle w:val="FootnoteReference"/>
        </w:rPr>
        <w:tab/>
      </w:r>
      <w:r>
        <w:t>Diffusée par l’Organisation intergouvernementale pour les transports internationaux ferroviaires (OTIF) sous la cote OTIF/RID/RC/2021/40.</w:t>
      </w:r>
    </w:p>
  </w:footnote>
  <w:footnote w:id="4">
    <w:p w14:paraId="4E0CE1B1" w14:textId="77777777" w:rsidR="002A3DD2" w:rsidRPr="00172AAB" w:rsidRDefault="002A3DD2" w:rsidP="002A3DD2">
      <w:pPr>
        <w:pStyle w:val="FootnoteText"/>
        <w:rPr>
          <w:sz w:val="20"/>
        </w:rPr>
      </w:pPr>
      <w:r>
        <w:rPr>
          <w:sz w:val="20"/>
        </w:rPr>
        <w:tab/>
      </w:r>
      <w:r w:rsidRPr="00172AAB">
        <w:rPr>
          <w:rStyle w:val="FootnoteReference"/>
          <w:sz w:val="20"/>
        </w:rPr>
        <w:sym w:font="Symbol" w:char="F02A"/>
      </w:r>
      <w:r w:rsidRPr="00172AAB">
        <w:rPr>
          <w:rStyle w:val="FootnoteReference"/>
          <w:sz w:val="20"/>
        </w:rPr>
        <w:sym w:font="Symbol" w:char="F02A"/>
      </w:r>
      <w:r w:rsidRPr="00172AAB">
        <w:rPr>
          <w:rStyle w:val="FootnoteReference"/>
          <w:sz w:val="20"/>
        </w:rPr>
        <w:sym w:font="Symbol" w:char="F02A"/>
      </w:r>
      <w:r>
        <w:rPr>
          <w:sz w:val="20"/>
        </w:rPr>
        <w:tab/>
      </w:r>
      <w:r>
        <w:rPr>
          <w:color w:val="000000"/>
        </w:rPr>
        <w:t>: 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9CC4" w14:textId="77777777" w:rsidR="001336CB" w:rsidRPr="001336CB" w:rsidRDefault="001261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336CB">
      <w:t>ECE/TRANS/WP.15/AC.1/2021/40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7D29" w14:textId="77777777" w:rsidR="001336CB" w:rsidRPr="001336CB" w:rsidRDefault="0012612E" w:rsidP="001336CB">
    <w:pPr>
      <w:pStyle w:val="Header"/>
      <w:jc w:val="right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1336CB">
      <w:t>ECE/TRANS/WP.15/AC.1/2021/40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2324AE-7E1B-46E0-BE39-6171A5137F5D}"/>
    <w:docVar w:name="dgnword-eventsink" w:val="646185176"/>
  </w:docVars>
  <w:rsids>
    <w:rsidRoot w:val="001336CB"/>
    <w:rsid w:val="0001207F"/>
    <w:rsid w:val="00017F94"/>
    <w:rsid w:val="00023842"/>
    <w:rsid w:val="000334F9"/>
    <w:rsid w:val="0004639C"/>
    <w:rsid w:val="0007796D"/>
    <w:rsid w:val="000942EE"/>
    <w:rsid w:val="00097A4D"/>
    <w:rsid w:val="000A52BF"/>
    <w:rsid w:val="000B7790"/>
    <w:rsid w:val="000D3EE9"/>
    <w:rsid w:val="000D62F3"/>
    <w:rsid w:val="00111F2F"/>
    <w:rsid w:val="0012612E"/>
    <w:rsid w:val="00130E11"/>
    <w:rsid w:val="001336CB"/>
    <w:rsid w:val="0014207C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832AC"/>
    <w:rsid w:val="002A3DD2"/>
    <w:rsid w:val="002D7C93"/>
    <w:rsid w:val="0037241C"/>
    <w:rsid w:val="003819FF"/>
    <w:rsid w:val="00405476"/>
    <w:rsid w:val="00441C3B"/>
    <w:rsid w:val="00446B0A"/>
    <w:rsid w:val="00446FE5"/>
    <w:rsid w:val="00452396"/>
    <w:rsid w:val="00471288"/>
    <w:rsid w:val="0049687C"/>
    <w:rsid w:val="004D55BC"/>
    <w:rsid w:val="004E468C"/>
    <w:rsid w:val="005316B0"/>
    <w:rsid w:val="005505B7"/>
    <w:rsid w:val="00573BE5"/>
    <w:rsid w:val="00586ED3"/>
    <w:rsid w:val="00596AA9"/>
    <w:rsid w:val="005B4D0F"/>
    <w:rsid w:val="006772F3"/>
    <w:rsid w:val="00697527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86FE4"/>
    <w:rsid w:val="009C1CF4"/>
    <w:rsid w:val="009F02C9"/>
    <w:rsid w:val="00A30353"/>
    <w:rsid w:val="00A41D8B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91988"/>
    <w:rsid w:val="00EF2E22"/>
    <w:rsid w:val="00F0592C"/>
    <w:rsid w:val="00F06ED4"/>
    <w:rsid w:val="00F111FD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230113"/>
  <w15:docId w15:val="{7D90D15F-6E8E-4906-A63C-A61735F7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uiPriority w:val="99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qFormat/>
    <w:rsid w:val="004D55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CDF62-87C3-4065-A8E0-4831B127D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B58C4-1E4D-47A1-8C4A-6AA9AC7A1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DD240-90E7-40EF-B5EC-2A5DF693CA51}">
  <ds:schemaRefs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ECE/TRANS/WP.15/AC.1/2021/40</dc:title>
  <dc:subject>FINAL</dc:subject>
  <dc:creator>Christine Barrio-Champeau</dc:creator>
  <cp:keywords/>
  <dc:description/>
  <cp:lastModifiedBy>Christine Barrio-Champeau</cp:lastModifiedBy>
  <cp:revision>3</cp:revision>
  <cp:lastPrinted>2014-05-14T10:59:00Z</cp:lastPrinted>
  <dcterms:created xsi:type="dcterms:W3CDTF">2021-07-06T11:30:00Z</dcterms:created>
  <dcterms:modified xsi:type="dcterms:W3CDTF">2021-07-06T11:30:00Z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