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0F6151E" w14:textId="77777777" w:rsidTr="00387CD4">
        <w:trPr>
          <w:trHeight w:hRule="exact" w:val="851"/>
        </w:trPr>
        <w:tc>
          <w:tcPr>
            <w:tcW w:w="142" w:type="dxa"/>
            <w:tcBorders>
              <w:bottom w:val="single" w:sz="4" w:space="0" w:color="auto"/>
            </w:tcBorders>
          </w:tcPr>
          <w:p w14:paraId="1E5DE1EF" w14:textId="77777777" w:rsidR="002D5AAC" w:rsidRDefault="002D5AAC" w:rsidP="006C25A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2B1625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A169F9D" w14:textId="772E954C" w:rsidR="002D5AAC" w:rsidRDefault="006C25AC" w:rsidP="006C25AC">
            <w:pPr>
              <w:jc w:val="right"/>
            </w:pPr>
            <w:r w:rsidRPr="006C25AC">
              <w:rPr>
                <w:sz w:val="40"/>
              </w:rPr>
              <w:t>ECE</w:t>
            </w:r>
            <w:r>
              <w:t>/TRANS/WP.15/AC.1/2021/25</w:t>
            </w:r>
          </w:p>
        </w:tc>
      </w:tr>
      <w:tr w:rsidR="002D5AAC" w14:paraId="53F0FCE1" w14:textId="77777777" w:rsidTr="00387CD4">
        <w:trPr>
          <w:trHeight w:hRule="exact" w:val="2835"/>
        </w:trPr>
        <w:tc>
          <w:tcPr>
            <w:tcW w:w="1280" w:type="dxa"/>
            <w:gridSpan w:val="2"/>
            <w:tcBorders>
              <w:top w:val="single" w:sz="4" w:space="0" w:color="auto"/>
              <w:bottom w:val="single" w:sz="12" w:space="0" w:color="auto"/>
            </w:tcBorders>
          </w:tcPr>
          <w:p w14:paraId="4B94D386" w14:textId="77777777" w:rsidR="002D5AAC" w:rsidRDefault="002E5067" w:rsidP="00387CD4">
            <w:pPr>
              <w:spacing w:before="120"/>
              <w:jc w:val="center"/>
            </w:pPr>
            <w:r>
              <w:rPr>
                <w:noProof/>
                <w:lang w:val="fr-CH" w:eastAsia="fr-CH"/>
              </w:rPr>
              <w:drawing>
                <wp:inline distT="0" distB="0" distL="0" distR="0" wp14:anchorId="1CB000B7" wp14:editId="27181E8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7839B4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DF519E7" w14:textId="77777777" w:rsidR="002D5AAC" w:rsidRDefault="006C25AC" w:rsidP="00387CD4">
            <w:pPr>
              <w:spacing w:before="240"/>
              <w:rPr>
                <w:lang w:val="en-US"/>
              </w:rPr>
            </w:pPr>
            <w:r>
              <w:rPr>
                <w:lang w:val="en-US"/>
              </w:rPr>
              <w:t>Distr.: General</w:t>
            </w:r>
          </w:p>
          <w:p w14:paraId="73622A92" w14:textId="77777777" w:rsidR="006C25AC" w:rsidRDefault="006C25AC" w:rsidP="006C25AC">
            <w:pPr>
              <w:spacing w:line="240" w:lineRule="exact"/>
              <w:rPr>
                <w:lang w:val="en-US"/>
              </w:rPr>
            </w:pPr>
            <w:r>
              <w:rPr>
                <w:lang w:val="en-US"/>
              </w:rPr>
              <w:t>22 June 2021</w:t>
            </w:r>
          </w:p>
          <w:p w14:paraId="47137663" w14:textId="77777777" w:rsidR="006C25AC" w:rsidRDefault="006C25AC" w:rsidP="006C25AC">
            <w:pPr>
              <w:spacing w:line="240" w:lineRule="exact"/>
              <w:rPr>
                <w:lang w:val="en-US"/>
              </w:rPr>
            </w:pPr>
            <w:r>
              <w:rPr>
                <w:lang w:val="en-US"/>
              </w:rPr>
              <w:t>Russian</w:t>
            </w:r>
          </w:p>
          <w:p w14:paraId="7EE93707" w14:textId="445543A2" w:rsidR="006C25AC" w:rsidRPr="008D53B6" w:rsidRDefault="006C25AC" w:rsidP="006C25AC">
            <w:pPr>
              <w:spacing w:line="240" w:lineRule="exact"/>
              <w:rPr>
                <w:lang w:val="en-US"/>
              </w:rPr>
            </w:pPr>
            <w:r>
              <w:rPr>
                <w:lang w:val="en-US"/>
              </w:rPr>
              <w:t>Original: English</w:t>
            </w:r>
          </w:p>
        </w:tc>
      </w:tr>
    </w:tbl>
    <w:p w14:paraId="5F222EF6"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F711E44" w14:textId="77777777" w:rsidR="006C25AC" w:rsidRPr="003B0335" w:rsidRDefault="006C25AC" w:rsidP="006C25AC">
      <w:pPr>
        <w:spacing w:before="120"/>
        <w:rPr>
          <w:sz w:val="28"/>
          <w:szCs w:val="28"/>
        </w:rPr>
      </w:pPr>
      <w:r w:rsidRPr="003B0335">
        <w:rPr>
          <w:sz w:val="28"/>
          <w:szCs w:val="28"/>
        </w:rPr>
        <w:t>Комитет по внутреннему транспорту</w:t>
      </w:r>
    </w:p>
    <w:p w14:paraId="31A319C1" w14:textId="77777777" w:rsidR="006C25AC" w:rsidRPr="003B0335" w:rsidRDefault="006C25AC" w:rsidP="006C25AC">
      <w:pPr>
        <w:spacing w:before="120" w:after="120"/>
        <w:rPr>
          <w:b/>
          <w:sz w:val="24"/>
          <w:szCs w:val="24"/>
        </w:rPr>
      </w:pPr>
      <w:r w:rsidRPr="003B0335">
        <w:rPr>
          <w:b/>
          <w:bCs/>
          <w:sz w:val="24"/>
          <w:szCs w:val="24"/>
        </w:rPr>
        <w:t>Рабочая группа по перевозкам опасных грузов</w:t>
      </w:r>
    </w:p>
    <w:p w14:paraId="345968BF" w14:textId="65BC5F2A" w:rsidR="006C25AC" w:rsidRPr="003B0335" w:rsidRDefault="006C25AC" w:rsidP="006C25AC">
      <w:pPr>
        <w:rPr>
          <w:b/>
          <w:bCs/>
        </w:rPr>
      </w:pPr>
      <w:r>
        <w:rPr>
          <w:b/>
          <w:bCs/>
        </w:rPr>
        <w:t xml:space="preserve">Совместное совещание Комиссии экспертов МПОГ </w:t>
      </w:r>
      <w:r>
        <w:rPr>
          <w:b/>
          <w:bCs/>
        </w:rPr>
        <w:br/>
        <w:t>и Рабочей группы по перевозкам опасных грузов</w:t>
      </w:r>
    </w:p>
    <w:p w14:paraId="65143FBA" w14:textId="77777777" w:rsidR="006C25AC" w:rsidRPr="003B0335" w:rsidRDefault="006C25AC" w:rsidP="006C25AC">
      <w:r>
        <w:t>Женева, 21 сентября — 1 октября 2021 года</w:t>
      </w:r>
    </w:p>
    <w:p w14:paraId="54DDA254" w14:textId="77777777" w:rsidR="006C25AC" w:rsidRPr="003B0335" w:rsidRDefault="006C25AC" w:rsidP="006C25AC">
      <w:r>
        <w:t>Пункт 5 b) предварительной повестки дня</w:t>
      </w:r>
    </w:p>
    <w:p w14:paraId="5B5F8DAD" w14:textId="20133026" w:rsidR="006C25AC" w:rsidRPr="003B0335" w:rsidRDefault="006C25AC" w:rsidP="006C25AC">
      <w:pPr>
        <w:rPr>
          <w:b/>
          <w:bCs/>
        </w:rPr>
      </w:pPr>
      <w:r>
        <w:rPr>
          <w:b/>
          <w:bCs/>
        </w:rPr>
        <w:t>Предложения о внесении поправок в МПОГ/ДОПОГ/ВОПОГ:</w:t>
      </w:r>
      <w:r>
        <w:rPr>
          <w:b/>
          <w:bCs/>
        </w:rPr>
        <w:br/>
        <w:t>новые предложения</w:t>
      </w:r>
    </w:p>
    <w:p w14:paraId="7BCB11AB" w14:textId="77777777" w:rsidR="006C25AC" w:rsidRPr="003B0335" w:rsidRDefault="006C25AC" w:rsidP="006C25AC">
      <w:pPr>
        <w:pStyle w:val="HChG"/>
      </w:pPr>
      <w:r>
        <w:tab/>
      </w:r>
      <w:r>
        <w:tab/>
      </w:r>
      <w:r>
        <w:rPr>
          <w:bCs/>
        </w:rPr>
        <w:t>Рефрижераторные установки и тепловые насосы</w:t>
      </w:r>
    </w:p>
    <w:p w14:paraId="3871B592" w14:textId="2B5E26F4" w:rsidR="006C25AC" w:rsidRPr="003B0335" w:rsidRDefault="006C25AC" w:rsidP="006C25AC">
      <w:pPr>
        <w:pStyle w:val="H1G"/>
      </w:pPr>
      <w:r>
        <w:tab/>
      </w:r>
      <w:r>
        <w:tab/>
      </w:r>
      <w:r>
        <w:rPr>
          <w:bCs/>
        </w:rPr>
        <w:t>Передано Международной ассоциацией консультантов по</w:t>
      </w:r>
      <w:r>
        <w:rPr>
          <w:bCs/>
          <w:lang w:val="en-US"/>
        </w:rPr>
        <w:t> </w:t>
      </w:r>
      <w:r>
        <w:rPr>
          <w:bCs/>
        </w:rPr>
        <w:t>безопасности перевозки опасных грузов (МАКБ)</w:t>
      </w:r>
      <w:r w:rsidRPr="006C25AC">
        <w:rPr>
          <w:rStyle w:val="FootnoteReference"/>
          <w:b w:val="0"/>
          <w:bCs/>
          <w:sz w:val="20"/>
          <w:vertAlign w:val="baseline"/>
        </w:rPr>
        <w:footnoteReference w:customMarkFollows="1" w:id="1"/>
        <w:t>*</w:t>
      </w:r>
      <w:r w:rsidRPr="006C25AC">
        <w:rPr>
          <w:b w:val="0"/>
          <w:bCs/>
          <w:sz w:val="20"/>
        </w:rPr>
        <w:t xml:space="preserve"> </w:t>
      </w:r>
      <w:r w:rsidRPr="006C25AC">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8"/>
      </w:tblGrid>
      <w:tr w:rsidR="006C25AC" w:rsidRPr="006C25AC" w14:paraId="01D36295" w14:textId="77777777" w:rsidTr="00850215">
        <w:trPr>
          <w:jc w:val="center"/>
        </w:trPr>
        <w:tc>
          <w:tcPr>
            <w:tcW w:w="9637" w:type="dxa"/>
            <w:tcBorders>
              <w:bottom w:val="nil"/>
            </w:tcBorders>
          </w:tcPr>
          <w:p w14:paraId="1A386DA7" w14:textId="77777777" w:rsidR="006C25AC" w:rsidRPr="006C25AC" w:rsidRDefault="006C25AC" w:rsidP="00850215">
            <w:pPr>
              <w:tabs>
                <w:tab w:val="left" w:pos="255"/>
              </w:tabs>
              <w:spacing w:before="240" w:after="120"/>
              <w:rPr>
                <w:rFonts w:cs="Times New Roman"/>
                <w:sz w:val="24"/>
              </w:rPr>
            </w:pPr>
            <w:r w:rsidRPr="006C25AC">
              <w:rPr>
                <w:rFonts w:cs="Times New Roman"/>
              </w:rPr>
              <w:tab/>
            </w:r>
            <w:r w:rsidRPr="006C25AC">
              <w:rPr>
                <w:rFonts w:cs="Times New Roman"/>
                <w:i/>
                <w:sz w:val="24"/>
              </w:rPr>
              <w:t>Резюме</w:t>
            </w:r>
          </w:p>
        </w:tc>
      </w:tr>
      <w:tr w:rsidR="006C25AC" w:rsidRPr="006C25AC" w14:paraId="0FF0B6C2" w14:textId="77777777" w:rsidTr="00850215">
        <w:trPr>
          <w:jc w:val="center"/>
        </w:trPr>
        <w:tc>
          <w:tcPr>
            <w:tcW w:w="9637" w:type="dxa"/>
            <w:tcBorders>
              <w:top w:val="nil"/>
              <w:bottom w:val="nil"/>
            </w:tcBorders>
            <w:shd w:val="clear" w:color="auto" w:fill="auto"/>
          </w:tcPr>
          <w:p w14:paraId="3A740500" w14:textId="2F102F4D" w:rsidR="006C25AC" w:rsidRPr="006C25AC" w:rsidRDefault="006C25AC" w:rsidP="006C25AC">
            <w:pPr>
              <w:pStyle w:val="SingleTxtG"/>
              <w:ind w:left="3402" w:hanging="2268"/>
            </w:pPr>
            <w:r w:rsidRPr="006C25AC">
              <w:rPr>
                <w:b/>
                <w:bCs/>
                <w:spacing w:val="-2"/>
              </w:rPr>
              <w:t>Существо предложения:</w:t>
            </w:r>
            <w:r>
              <w:tab/>
              <w:t>В соответствии со специальным положением 119, рефрижераторные установки или, в соответствии со специальным положением 291, до 12 кг газа освобождаются от действия других положений, касающихся опасных грузов, если они могут быть отнесены к № ООН 3358 или № ООН 2857. Тепловые насосы, по сути, также являются рефрижераторными установками, но имеют прямо противоположный принцип работы: вместо холода эти агрегаты вырабатывают тепло.</w:t>
            </w:r>
          </w:p>
        </w:tc>
      </w:tr>
      <w:tr w:rsidR="006C25AC" w:rsidRPr="006C25AC" w14:paraId="47675B67" w14:textId="77777777" w:rsidTr="00850215">
        <w:trPr>
          <w:jc w:val="center"/>
        </w:trPr>
        <w:tc>
          <w:tcPr>
            <w:tcW w:w="9637" w:type="dxa"/>
            <w:tcBorders>
              <w:top w:val="nil"/>
              <w:bottom w:val="nil"/>
            </w:tcBorders>
            <w:shd w:val="clear" w:color="auto" w:fill="auto"/>
          </w:tcPr>
          <w:p w14:paraId="2579A979" w14:textId="0945902D" w:rsidR="006C25AC" w:rsidRPr="006C25AC" w:rsidRDefault="006C25AC" w:rsidP="006C25AC">
            <w:pPr>
              <w:pStyle w:val="SingleTxtG"/>
              <w:ind w:left="3402" w:hanging="2268"/>
            </w:pPr>
            <w:r w:rsidRPr="006C25AC">
              <w:rPr>
                <w:b/>
                <w:bCs/>
                <w:spacing w:val="-2"/>
              </w:rPr>
              <w:t>Предлагаемое решение:</w:t>
            </w:r>
            <w:r>
              <w:tab/>
              <w:t>МАКБ просит Совместное совещание подтвердить, что тепловые насосы, содержащие до 12 кг газа, в соответствии со специальным положением 119 или 291 также могут быть обозначены как рефрижераторные установки для целей МПОГ/ДОПОГ и также могут быть освобождены от действия правил в соответствии с этими специальными положениями.</w:t>
            </w:r>
          </w:p>
        </w:tc>
      </w:tr>
      <w:tr w:rsidR="006C25AC" w:rsidRPr="006C25AC" w14:paraId="6C4ED936" w14:textId="77777777" w:rsidTr="00850215">
        <w:trPr>
          <w:jc w:val="center"/>
        </w:trPr>
        <w:tc>
          <w:tcPr>
            <w:tcW w:w="9637" w:type="dxa"/>
            <w:tcBorders>
              <w:top w:val="nil"/>
            </w:tcBorders>
          </w:tcPr>
          <w:p w14:paraId="632A6418" w14:textId="77777777" w:rsidR="006C25AC" w:rsidRPr="006C25AC" w:rsidRDefault="006C25AC" w:rsidP="00850215">
            <w:pPr>
              <w:rPr>
                <w:rFonts w:cs="Times New Roman"/>
              </w:rPr>
            </w:pPr>
          </w:p>
        </w:tc>
      </w:tr>
    </w:tbl>
    <w:p w14:paraId="5694AB31" w14:textId="77777777" w:rsidR="006C25AC" w:rsidRPr="003B0335" w:rsidRDefault="006C25AC" w:rsidP="006C25AC">
      <w:pPr>
        <w:pStyle w:val="HChG"/>
      </w:pPr>
      <w:r>
        <w:lastRenderedPageBreak/>
        <w:tab/>
      </w:r>
      <w:r>
        <w:tab/>
      </w:r>
      <w:r>
        <w:rPr>
          <w:bCs/>
        </w:rPr>
        <w:t>Введение</w:t>
      </w:r>
    </w:p>
    <w:p w14:paraId="20785DE8" w14:textId="5AA41D72" w:rsidR="006C25AC" w:rsidRPr="003B0335" w:rsidRDefault="006C25AC" w:rsidP="006C25AC">
      <w:pPr>
        <w:pStyle w:val="SingleTxtG"/>
      </w:pPr>
      <w:r>
        <w:t>1.</w:t>
      </w:r>
      <w:r>
        <w:tab/>
        <w:t>Рефрижераторные установки под № ООН 2857 и № ООН 3358, содержащие до 12 кг газа, могут быть полностью освобождены от действия правил перевозки опасных грузов, если они соответствуют требованиям специального положения 119 или 291. Тепловые насосы работают ровно по тому же принципу, что и рефрижераторные установки, за исключением того, что в их случае целью является не производство холода, а, как следует из названия, выработка тепла. МАКБ считает, что поэтому было бы логично классифицировать</w:t>
      </w:r>
      <w:r w:rsidRPr="001E6581">
        <w:t xml:space="preserve"> </w:t>
      </w:r>
      <w:r>
        <w:t xml:space="preserve">тепловые насосы также как рефрижераторные установки или адаптировать надлежащее отгрузочное наименование и текст специальных положений таким образом, чтобы тепловые насосы также могли быть освобождены от действия правил. Самый простой способ сделать это </w:t>
      </w:r>
      <w:r w:rsidRPr="00A532A8">
        <w:t>—</w:t>
      </w:r>
      <w:r>
        <w:t xml:space="preserve"> принять на Совместном совещании решение о том, что тепловые насосы также могут быть классифицированы как рефрижераторные установки. Если такой подход невозможен, то данный вопрос придется рассматривать на уровне Подкомитета экспертов ООН.</w:t>
      </w:r>
    </w:p>
    <w:p w14:paraId="44B73E5C" w14:textId="77777777" w:rsidR="006C25AC" w:rsidRPr="003B0335" w:rsidRDefault="006C25AC" w:rsidP="006C25AC">
      <w:pPr>
        <w:pStyle w:val="HChG"/>
        <w:rPr>
          <w:b w:val="0"/>
        </w:rPr>
      </w:pPr>
      <w:r>
        <w:tab/>
      </w:r>
      <w:r>
        <w:tab/>
      </w:r>
      <w:r>
        <w:rPr>
          <w:bCs/>
        </w:rPr>
        <w:t>Пояснения</w:t>
      </w:r>
    </w:p>
    <w:p w14:paraId="44E02849" w14:textId="0789C52F" w:rsidR="006C25AC" w:rsidRPr="003B0335" w:rsidRDefault="006C25AC" w:rsidP="006C25AC">
      <w:pPr>
        <w:pStyle w:val="SingleTxtG"/>
      </w:pPr>
      <w:r>
        <w:t>2.</w:t>
      </w:r>
      <w:r>
        <w:tab/>
        <w:t xml:space="preserve">Можно ли определить рефрижераторные установки как устройства, которые извлекают тепло из определенного объекта или среды, независимо от того, используется ли эта среда для производства тепла или холода? Сюда входят такие устройства, как рефрижераторные установки или тепловые насосы, которые функционируют по одинаковому принципу, за исключением того, что целью рефрижераторных установок является производство холода (текст согласно специальному положению 119: «...специально предназначенные для хранения продуктов питания или иных предметов при низкой температуре...»), в то время как тепловые насосы решают прямо противоположную задачу. Энергия извлекается из объекта или среды для производства тепла. Таким образом, каждый </w:t>
      </w:r>
      <w:bookmarkStart w:id="0" w:name="_Hlk75292718"/>
      <w:r>
        <w:t>рефрижератор</w:t>
      </w:r>
      <w:bookmarkEnd w:id="0"/>
      <w:r>
        <w:t xml:space="preserve"> является своего рода тепловым насосом, поскольку он отдает энергию, извлеченную из внутреннего пространства рефрижератор, на кухню и обогревает ее. Если тепловые насосы невозможно будет классифицировать как рефрижераторные установки, для них придется использовать </w:t>
      </w:r>
      <w:bookmarkStart w:id="1" w:name="_Hlk75292181"/>
      <w:r>
        <w:t>№ ООН</w:t>
      </w:r>
      <w:bookmarkEnd w:id="1"/>
      <w:r>
        <w:t xml:space="preserve"> 3363 или 3537/3538, в зависимости от количества и типа газа, что будет означать расхождение с № ООН 3358 или 2857.</w:t>
      </w:r>
    </w:p>
    <w:p w14:paraId="667662B1" w14:textId="77777777" w:rsidR="006C25AC" w:rsidRPr="003B0335" w:rsidRDefault="006C25AC" w:rsidP="006C25AC">
      <w:pPr>
        <w:pStyle w:val="HChG"/>
        <w:rPr>
          <w:b w:val="0"/>
        </w:rPr>
      </w:pPr>
      <w:r>
        <w:tab/>
      </w:r>
      <w:r>
        <w:tab/>
      </w:r>
      <w:r>
        <w:rPr>
          <w:bCs/>
        </w:rPr>
        <w:t>Предложения</w:t>
      </w:r>
    </w:p>
    <w:p w14:paraId="66B508E6" w14:textId="77777777" w:rsidR="006C25AC" w:rsidRPr="003B0335" w:rsidRDefault="006C25AC" w:rsidP="006C25AC">
      <w:pPr>
        <w:pStyle w:val="SingleTxtG"/>
      </w:pPr>
      <w:r>
        <w:t>3.</w:t>
      </w:r>
      <w:r>
        <w:tab/>
        <w:t>В конце специального положения 119 включить примечание следующего содержания:</w:t>
      </w:r>
    </w:p>
    <w:p w14:paraId="4A234F46" w14:textId="22CC43DF" w:rsidR="006C25AC" w:rsidRPr="003B0335" w:rsidRDefault="006C25AC" w:rsidP="006C25AC">
      <w:pPr>
        <w:pStyle w:val="SingleTxtG"/>
      </w:pPr>
      <w:r>
        <w:t>«</w:t>
      </w:r>
      <w:r>
        <w:rPr>
          <w:b/>
          <w:bCs/>
        </w:rPr>
        <w:t>ПРИМЕЧАНИЕ</w:t>
      </w:r>
      <w:proofErr w:type="gramStart"/>
      <w:r>
        <w:rPr>
          <w:b/>
          <w:bCs/>
        </w:rPr>
        <w:t>:</w:t>
      </w:r>
      <w:r w:rsidR="00A532A8" w:rsidRPr="00A532A8">
        <w:t xml:space="preserve"> </w:t>
      </w:r>
      <w:r>
        <w:t>Для</w:t>
      </w:r>
      <w:proofErr w:type="gramEnd"/>
      <w:r>
        <w:t xml:space="preserve"> целей перевозки тепловые насосы могут быть отнесены к №</w:t>
      </w:r>
      <w:r w:rsidR="00A532A8">
        <w:rPr>
          <w:lang w:val="en-US"/>
        </w:rPr>
        <w:t> </w:t>
      </w:r>
      <w:r>
        <w:t>ООН 2857.».</w:t>
      </w:r>
    </w:p>
    <w:p w14:paraId="47A5039A" w14:textId="77777777" w:rsidR="006C25AC" w:rsidRPr="003B0335" w:rsidRDefault="006C25AC" w:rsidP="006C25AC">
      <w:pPr>
        <w:pStyle w:val="SingleTxtG"/>
      </w:pPr>
      <w:r>
        <w:t>4.</w:t>
      </w:r>
      <w:r>
        <w:tab/>
        <w:t>В конце специального положения 291 включить примечание следующего содержания:</w:t>
      </w:r>
    </w:p>
    <w:p w14:paraId="2087F640" w14:textId="73148C95" w:rsidR="006C25AC" w:rsidRPr="003B0335" w:rsidRDefault="006C25AC" w:rsidP="00A532A8">
      <w:pPr>
        <w:pStyle w:val="SingleTxtG"/>
      </w:pPr>
      <w:r>
        <w:t>«</w:t>
      </w:r>
      <w:r>
        <w:rPr>
          <w:b/>
          <w:bCs/>
        </w:rPr>
        <w:t>ПРИМЕЧАНИЕ</w:t>
      </w:r>
      <w:proofErr w:type="gramStart"/>
      <w:r>
        <w:rPr>
          <w:b/>
          <w:bCs/>
        </w:rPr>
        <w:t>:</w:t>
      </w:r>
      <w:r w:rsidR="00A532A8" w:rsidRPr="00A532A8">
        <w:t xml:space="preserve"> </w:t>
      </w:r>
      <w:r>
        <w:t>Для</w:t>
      </w:r>
      <w:proofErr w:type="gramEnd"/>
      <w:r>
        <w:t xml:space="preserve"> целей перевозки тепловые насосы могут быть отнесены к №</w:t>
      </w:r>
      <w:r w:rsidR="00A532A8">
        <w:rPr>
          <w:lang w:val="en-US"/>
        </w:rPr>
        <w:t> </w:t>
      </w:r>
      <w:r>
        <w:t>ООН 3358.».</w:t>
      </w:r>
    </w:p>
    <w:p w14:paraId="1AFEBDC8" w14:textId="77777777" w:rsidR="006C25AC" w:rsidRPr="003B0335" w:rsidRDefault="006C25AC" w:rsidP="006C25AC">
      <w:pPr>
        <w:pStyle w:val="HChG"/>
        <w:rPr>
          <w:b w:val="0"/>
        </w:rPr>
      </w:pPr>
      <w:r>
        <w:tab/>
      </w:r>
      <w:r>
        <w:tab/>
      </w:r>
      <w:r>
        <w:rPr>
          <w:bCs/>
        </w:rPr>
        <w:t>Обоснование</w:t>
      </w:r>
    </w:p>
    <w:p w14:paraId="39C374E7" w14:textId="77777777" w:rsidR="006C25AC" w:rsidRPr="003B0335" w:rsidRDefault="006C25AC" w:rsidP="006C25AC">
      <w:pPr>
        <w:pStyle w:val="SingleTxtG"/>
      </w:pPr>
      <w:r>
        <w:t>5.</w:t>
      </w:r>
      <w:r>
        <w:tab/>
        <w:t>Обеспечение последовательности правил, применяемых к изделиям, представляющим одинаковую опасность.</w:t>
      </w:r>
    </w:p>
    <w:p w14:paraId="00DDB9A4" w14:textId="5A0B5C7C" w:rsidR="00E12C5F" w:rsidRPr="006C25AC" w:rsidRDefault="006C25AC" w:rsidP="006C25AC">
      <w:pPr>
        <w:pStyle w:val="SingleTxtG"/>
        <w:spacing w:before="240" w:after="0"/>
        <w:jc w:val="center"/>
        <w:rPr>
          <w:u w:val="single"/>
        </w:rPr>
      </w:pPr>
      <w:r>
        <w:rPr>
          <w:u w:val="single"/>
        </w:rPr>
        <w:tab/>
      </w:r>
      <w:r>
        <w:rPr>
          <w:u w:val="single"/>
        </w:rPr>
        <w:tab/>
      </w:r>
      <w:r>
        <w:rPr>
          <w:u w:val="single"/>
        </w:rPr>
        <w:tab/>
      </w:r>
    </w:p>
    <w:sectPr w:rsidR="00E12C5F" w:rsidRPr="006C25AC" w:rsidSect="006C25A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87F99" w14:textId="77777777" w:rsidR="00B0172E" w:rsidRPr="00A312BC" w:rsidRDefault="00B0172E" w:rsidP="00A312BC"/>
  </w:endnote>
  <w:endnote w:type="continuationSeparator" w:id="0">
    <w:p w14:paraId="261D91F7" w14:textId="77777777" w:rsidR="00B0172E" w:rsidRPr="00A312BC" w:rsidRDefault="00B0172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8F3FC" w14:textId="1D5A0199" w:rsidR="006C25AC" w:rsidRPr="006C25AC" w:rsidRDefault="006C25AC">
    <w:pPr>
      <w:pStyle w:val="Footer"/>
    </w:pPr>
    <w:r w:rsidRPr="006C25AC">
      <w:rPr>
        <w:b/>
        <w:sz w:val="18"/>
      </w:rPr>
      <w:fldChar w:fldCharType="begin"/>
    </w:r>
    <w:r w:rsidRPr="006C25AC">
      <w:rPr>
        <w:b/>
        <w:sz w:val="18"/>
      </w:rPr>
      <w:instrText xml:space="preserve"> PAGE  \* MERGEFORMAT </w:instrText>
    </w:r>
    <w:r w:rsidRPr="006C25AC">
      <w:rPr>
        <w:b/>
        <w:sz w:val="18"/>
      </w:rPr>
      <w:fldChar w:fldCharType="separate"/>
    </w:r>
    <w:r w:rsidRPr="006C25AC">
      <w:rPr>
        <w:b/>
        <w:noProof/>
        <w:sz w:val="18"/>
      </w:rPr>
      <w:t>2</w:t>
    </w:r>
    <w:r w:rsidRPr="006C25AC">
      <w:rPr>
        <w:b/>
        <w:sz w:val="18"/>
      </w:rPr>
      <w:fldChar w:fldCharType="end"/>
    </w:r>
    <w:r>
      <w:rPr>
        <w:b/>
        <w:sz w:val="18"/>
      </w:rPr>
      <w:tab/>
    </w:r>
    <w:r>
      <w:t>GE.21-08407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9D69F" w14:textId="74B76044" w:rsidR="006C25AC" w:rsidRPr="006C25AC" w:rsidRDefault="006C25AC" w:rsidP="006C25AC">
    <w:pPr>
      <w:pStyle w:val="Footer"/>
      <w:tabs>
        <w:tab w:val="clear" w:pos="9639"/>
        <w:tab w:val="right" w:pos="9638"/>
      </w:tabs>
      <w:rPr>
        <w:b/>
        <w:sz w:val="18"/>
      </w:rPr>
    </w:pPr>
    <w:r>
      <w:t>GE.21-08407</w:t>
    </w:r>
    <w:r>
      <w:tab/>
    </w:r>
    <w:r w:rsidRPr="006C25AC">
      <w:rPr>
        <w:b/>
        <w:sz w:val="18"/>
      </w:rPr>
      <w:fldChar w:fldCharType="begin"/>
    </w:r>
    <w:r w:rsidRPr="006C25AC">
      <w:rPr>
        <w:b/>
        <w:sz w:val="18"/>
      </w:rPr>
      <w:instrText xml:space="preserve"> PAGE  \* MERGEFORMAT </w:instrText>
    </w:r>
    <w:r w:rsidRPr="006C25AC">
      <w:rPr>
        <w:b/>
        <w:sz w:val="18"/>
      </w:rPr>
      <w:fldChar w:fldCharType="separate"/>
    </w:r>
    <w:r w:rsidRPr="006C25AC">
      <w:rPr>
        <w:b/>
        <w:noProof/>
        <w:sz w:val="18"/>
      </w:rPr>
      <w:t>3</w:t>
    </w:r>
    <w:r w:rsidRPr="006C25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63A45" w14:textId="4DA22B92" w:rsidR="00042B72" w:rsidRPr="006C25AC" w:rsidRDefault="006C25AC" w:rsidP="006C25A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047011B" wp14:editId="5A7AAFB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08407  (</w:t>
    </w:r>
    <w:proofErr w:type="gramEnd"/>
    <w:r>
      <w:t>R)</w:t>
    </w:r>
    <w:r>
      <w:rPr>
        <w:noProof/>
      </w:rPr>
      <w:drawing>
        <wp:anchor distT="0" distB="0" distL="114300" distR="114300" simplePos="0" relativeHeight="251659264" behindDoc="0" locked="0" layoutInCell="1" allowOverlap="1" wp14:anchorId="2E38BFE5" wp14:editId="2F53BC3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230621  240621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82E22" w14:textId="77777777" w:rsidR="00B0172E" w:rsidRPr="001075E9" w:rsidRDefault="00B0172E" w:rsidP="001075E9">
      <w:pPr>
        <w:tabs>
          <w:tab w:val="right" w:pos="2155"/>
        </w:tabs>
        <w:spacing w:after="80" w:line="240" w:lineRule="auto"/>
        <w:ind w:left="680"/>
        <w:rPr>
          <w:u w:val="single"/>
        </w:rPr>
      </w:pPr>
      <w:r>
        <w:rPr>
          <w:u w:val="single"/>
        </w:rPr>
        <w:tab/>
      </w:r>
    </w:p>
  </w:footnote>
  <w:footnote w:type="continuationSeparator" w:id="0">
    <w:p w14:paraId="06E24F89" w14:textId="77777777" w:rsidR="00B0172E" w:rsidRDefault="00B0172E" w:rsidP="00407B78">
      <w:pPr>
        <w:tabs>
          <w:tab w:val="right" w:pos="2155"/>
        </w:tabs>
        <w:spacing w:after="80"/>
        <w:ind w:left="680"/>
        <w:rPr>
          <w:u w:val="single"/>
        </w:rPr>
      </w:pPr>
      <w:r>
        <w:rPr>
          <w:u w:val="single"/>
        </w:rPr>
        <w:tab/>
      </w:r>
    </w:p>
  </w:footnote>
  <w:footnote w:id="1">
    <w:p w14:paraId="1A689431" w14:textId="60694231" w:rsidR="006C25AC" w:rsidRPr="006774FA" w:rsidRDefault="006C25AC" w:rsidP="006C25AC">
      <w:pPr>
        <w:pStyle w:val="FootnoteText"/>
      </w:pPr>
      <w:r>
        <w:tab/>
      </w:r>
      <w:r w:rsidRPr="006C25AC">
        <w:rPr>
          <w:sz w:val="20"/>
        </w:rPr>
        <w:t>*</w:t>
      </w:r>
      <w:r>
        <w:tab/>
        <w:t>A/75/6 (разд. 20), п. 20.51.</w:t>
      </w:r>
    </w:p>
  </w:footnote>
  <w:footnote w:id="2">
    <w:p w14:paraId="3909E036" w14:textId="77777777" w:rsidR="006C25AC" w:rsidRPr="003B0335" w:rsidRDefault="006C25AC" w:rsidP="006C25AC">
      <w:pPr>
        <w:pStyle w:val="FootnoteText"/>
      </w:pPr>
      <w:r>
        <w:tab/>
      </w:r>
      <w:r w:rsidRPr="006C25AC">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B8F0D" w14:textId="7F9EB010" w:rsidR="006C25AC" w:rsidRPr="006C25AC" w:rsidRDefault="00915017">
    <w:pPr>
      <w:pStyle w:val="Header"/>
    </w:pPr>
    <w:r>
      <w:fldChar w:fldCharType="begin"/>
    </w:r>
    <w:r>
      <w:instrText xml:space="preserve"> TITLE  \* MERGEFORMAT </w:instrText>
    </w:r>
    <w:r>
      <w:fldChar w:fldCharType="separate"/>
    </w:r>
    <w:r w:rsidR="002967F4">
      <w:t>ECE/TRANS/WP.15/AC.1/2021/25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5820" w14:textId="632F5656" w:rsidR="006C25AC" w:rsidRPr="006C25AC" w:rsidRDefault="00915017" w:rsidP="006C25AC">
    <w:pPr>
      <w:pStyle w:val="Header"/>
      <w:jc w:val="right"/>
    </w:pPr>
    <w:r>
      <w:fldChar w:fldCharType="begin"/>
    </w:r>
    <w:r>
      <w:instrText xml:space="preserve"> TITLE  \* MERGEFORMAT </w:instrText>
    </w:r>
    <w:r>
      <w:fldChar w:fldCharType="separate"/>
    </w:r>
    <w:r w:rsidR="002967F4">
      <w:t>ECE/TRANS/WP.15/AC.1/2021/25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5437" w14:textId="77777777" w:rsidR="006C25AC" w:rsidRDefault="006C25AC" w:rsidP="006C25A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2E"/>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967F4"/>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B5902"/>
    <w:rsid w:val="005D7914"/>
    <w:rsid w:val="005E2B41"/>
    <w:rsid w:val="005F0B42"/>
    <w:rsid w:val="00617A43"/>
    <w:rsid w:val="006345DB"/>
    <w:rsid w:val="00640F49"/>
    <w:rsid w:val="00680D03"/>
    <w:rsid w:val="00681A10"/>
    <w:rsid w:val="006A1ED8"/>
    <w:rsid w:val="006C2031"/>
    <w:rsid w:val="006C25AC"/>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15017"/>
    <w:rsid w:val="00951972"/>
    <w:rsid w:val="009608F3"/>
    <w:rsid w:val="009A24AC"/>
    <w:rsid w:val="009C59D7"/>
    <w:rsid w:val="009C6FE6"/>
    <w:rsid w:val="009D7E7D"/>
    <w:rsid w:val="00A14DA8"/>
    <w:rsid w:val="00A312BC"/>
    <w:rsid w:val="00A532A8"/>
    <w:rsid w:val="00A84021"/>
    <w:rsid w:val="00A84D35"/>
    <w:rsid w:val="00A917B3"/>
    <w:rsid w:val="00AB4B51"/>
    <w:rsid w:val="00B0172E"/>
    <w:rsid w:val="00B10CC7"/>
    <w:rsid w:val="00B36DF7"/>
    <w:rsid w:val="00B539E7"/>
    <w:rsid w:val="00B62458"/>
    <w:rsid w:val="00BB024A"/>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1EC47"/>
  <w15:docId w15:val="{9A1B595B-7D1D-4AD9-ACEB-F7A86831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6C25AC"/>
    <w:rPr>
      <w:lang w:val="ru-RU" w:eastAsia="en-US"/>
    </w:rPr>
  </w:style>
  <w:style w:type="paragraph" w:customStyle="1" w:styleId="ParNoG">
    <w:name w:val="_ParNo_G"/>
    <w:basedOn w:val="SingleTxtG"/>
    <w:qFormat/>
    <w:rsid w:val="006C25AC"/>
    <w:pPr>
      <w:numPr>
        <w:numId w:val="22"/>
      </w:numPr>
      <w:tabs>
        <w:tab w:val="clear" w:pos="2268"/>
        <w:tab w:val="clear" w:pos="2835"/>
      </w:tabs>
      <w:suppressAutoHyphens w:val="0"/>
    </w:pPr>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834FF-57FE-4703-91AF-DC9999B74C81}"/>
</file>

<file path=customXml/itemProps2.xml><?xml version="1.0" encoding="utf-8"?>
<ds:datastoreItem xmlns:ds="http://schemas.openxmlformats.org/officeDocument/2006/customXml" ds:itemID="{EE8C04CB-7F36-445D-B533-DB4B2B6A7377}"/>
</file>

<file path=customXml/itemProps3.xml><?xml version="1.0" encoding="utf-8"?>
<ds:datastoreItem xmlns:ds="http://schemas.openxmlformats.org/officeDocument/2006/customXml" ds:itemID="{4F55E97E-FA04-4031-A2E1-F3DB2081EB10}"/>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3473</Characters>
  <Application>Microsoft Office Word</Application>
  <DocSecurity>0</DocSecurity>
  <Lines>28</Lines>
  <Paragraphs>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ECE/TRANS/WP.15/AC.1/2021/25</vt:lpstr>
      <vt:lpstr>A/</vt:lpstr>
      <vt:lpstr>A/</vt:lpstr>
    </vt:vector>
  </TitlesOfParts>
  <Company>DCM</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ECE/TRANS/WP.15/AC.1/2021/25</dc:title>
  <dc:subject/>
  <dc:creator>Shuvalova NATALIA</dc:creator>
  <cp:keywords/>
  <cp:lastModifiedBy>Christine Barrio-Champeau</cp:lastModifiedBy>
  <cp:revision>2</cp:revision>
  <cp:lastPrinted>2021-06-24T11:26:00Z</cp:lastPrinted>
  <dcterms:created xsi:type="dcterms:W3CDTF">2021-07-07T08:48:00Z</dcterms:created>
  <dcterms:modified xsi:type="dcterms:W3CDTF">2021-07-07T08:48:00Z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