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03F4" w:rsidRPr="00440D92" w14:paraId="172FE7B4" w14:textId="77777777" w:rsidTr="00F6608F">
        <w:trPr>
          <w:cantSplit/>
          <w:trHeight w:hRule="exact" w:val="568"/>
        </w:trPr>
        <w:tc>
          <w:tcPr>
            <w:tcW w:w="1276" w:type="dxa"/>
            <w:tcBorders>
              <w:bottom w:val="single" w:sz="4" w:space="0" w:color="auto"/>
            </w:tcBorders>
            <w:shd w:val="clear" w:color="auto" w:fill="auto"/>
            <w:vAlign w:val="bottom"/>
          </w:tcPr>
          <w:p w14:paraId="0D5355C6" w14:textId="77777777" w:rsidR="00D11204" w:rsidRPr="000F03F4" w:rsidRDefault="00D11204" w:rsidP="003F185B">
            <w:pPr>
              <w:spacing w:after="80"/>
              <w:rPr>
                <w:rFonts w:ascii="Times New Roman" w:hAnsi="Times New Roman" w:cs="Times New Roman"/>
                <w:color w:val="000000" w:themeColor="text1"/>
                <w:lang w:val="en-GB"/>
              </w:rPr>
            </w:pPr>
          </w:p>
        </w:tc>
        <w:tc>
          <w:tcPr>
            <w:tcW w:w="2268" w:type="dxa"/>
            <w:tcBorders>
              <w:bottom w:val="single" w:sz="4" w:space="0" w:color="auto"/>
            </w:tcBorders>
            <w:shd w:val="clear" w:color="auto" w:fill="auto"/>
            <w:vAlign w:val="bottom"/>
          </w:tcPr>
          <w:p w14:paraId="510E3E3B" w14:textId="77777777" w:rsidR="00D11204" w:rsidRPr="00440D92" w:rsidRDefault="00D11204" w:rsidP="006E11CB">
            <w:pPr>
              <w:suppressAutoHyphens/>
              <w:spacing w:after="80" w:line="300" w:lineRule="exact"/>
              <w:rPr>
                <w:rFonts w:ascii="Times New Roman" w:hAnsi="Times New Roman" w:cs="Times New Roman"/>
                <w:b/>
                <w:color w:val="000000" w:themeColor="text1"/>
                <w:sz w:val="24"/>
                <w:szCs w:val="24"/>
                <w:lang w:val="en-GB"/>
              </w:rPr>
            </w:pPr>
            <w:r w:rsidRPr="00440D92">
              <w:rPr>
                <w:rFonts w:ascii="Times New Roman" w:eastAsia="Times New Roman" w:hAnsi="Times New Roman" w:cs="Times New Roman"/>
                <w:color w:val="000000" w:themeColor="text1"/>
                <w:sz w:val="28"/>
                <w:szCs w:val="28"/>
                <w:lang w:val="en-GB"/>
              </w:rPr>
              <w:t>United Nations</w:t>
            </w:r>
          </w:p>
        </w:tc>
        <w:tc>
          <w:tcPr>
            <w:tcW w:w="6095" w:type="dxa"/>
            <w:gridSpan w:val="2"/>
            <w:tcBorders>
              <w:bottom w:val="single" w:sz="4" w:space="0" w:color="auto"/>
            </w:tcBorders>
            <w:shd w:val="clear" w:color="auto" w:fill="auto"/>
            <w:vAlign w:val="bottom"/>
          </w:tcPr>
          <w:p w14:paraId="2A764B35" w14:textId="03BE588B" w:rsidR="00D11204" w:rsidRPr="00440D92" w:rsidRDefault="00D11204" w:rsidP="00EF4A58">
            <w:pPr>
              <w:suppressAutoHyphens/>
              <w:spacing w:after="0" w:line="240" w:lineRule="atLeast"/>
              <w:jc w:val="right"/>
              <w:rPr>
                <w:rFonts w:ascii="Times New Roman" w:eastAsia="Times New Roman" w:hAnsi="Times New Roman" w:cs="Times New Roman"/>
                <w:color w:val="000000" w:themeColor="text1"/>
                <w:sz w:val="40"/>
                <w:szCs w:val="20"/>
                <w:lang w:val="en-GB"/>
              </w:rPr>
            </w:pPr>
            <w:r w:rsidRPr="00440D92">
              <w:rPr>
                <w:rFonts w:ascii="Times New Roman" w:eastAsia="Times New Roman" w:hAnsi="Times New Roman" w:cs="Times New Roman"/>
                <w:color w:val="000000" w:themeColor="text1"/>
                <w:sz w:val="40"/>
                <w:szCs w:val="20"/>
                <w:lang w:val="en-GB"/>
              </w:rPr>
              <w:t>ECE</w:t>
            </w:r>
            <w:r w:rsidRPr="00440D92">
              <w:rPr>
                <w:rFonts w:ascii="Times New Roman" w:eastAsia="Times New Roman" w:hAnsi="Times New Roman" w:cs="Times New Roman"/>
                <w:color w:val="000000" w:themeColor="text1"/>
                <w:sz w:val="20"/>
                <w:szCs w:val="20"/>
                <w:lang w:val="en-GB"/>
              </w:rPr>
              <w:t>/TRANS/WP.29/GRBP/202</w:t>
            </w:r>
            <w:r w:rsidR="00250936" w:rsidRPr="00440D92">
              <w:rPr>
                <w:rFonts w:ascii="Times New Roman" w:eastAsia="Times New Roman" w:hAnsi="Times New Roman" w:cs="Times New Roman"/>
                <w:color w:val="000000" w:themeColor="text1"/>
                <w:sz w:val="20"/>
                <w:szCs w:val="20"/>
                <w:lang w:val="en-GB"/>
              </w:rPr>
              <w:t>1</w:t>
            </w:r>
            <w:r w:rsidRPr="00440D92">
              <w:rPr>
                <w:rFonts w:ascii="Times New Roman" w:eastAsia="Times New Roman" w:hAnsi="Times New Roman" w:cs="Times New Roman"/>
                <w:color w:val="000000" w:themeColor="text1"/>
                <w:sz w:val="20"/>
                <w:szCs w:val="20"/>
                <w:lang w:val="en-GB"/>
              </w:rPr>
              <w:t>/</w:t>
            </w:r>
            <w:r w:rsidR="004466F0">
              <w:rPr>
                <w:rFonts w:ascii="Times New Roman" w:eastAsia="Times New Roman" w:hAnsi="Times New Roman" w:cs="Times New Roman"/>
                <w:color w:val="000000" w:themeColor="text1"/>
                <w:sz w:val="20"/>
                <w:szCs w:val="20"/>
                <w:lang w:val="en-GB"/>
              </w:rPr>
              <w:t>24</w:t>
            </w:r>
          </w:p>
        </w:tc>
      </w:tr>
      <w:tr w:rsidR="000F03F4" w:rsidRPr="00F6608F" w14:paraId="62E35DAB" w14:textId="77777777" w:rsidTr="003F185B">
        <w:trPr>
          <w:cantSplit/>
          <w:trHeight w:hRule="exact" w:val="2835"/>
        </w:trPr>
        <w:tc>
          <w:tcPr>
            <w:tcW w:w="1276" w:type="dxa"/>
            <w:tcBorders>
              <w:top w:val="single" w:sz="4" w:space="0" w:color="auto"/>
              <w:bottom w:val="single" w:sz="12" w:space="0" w:color="auto"/>
            </w:tcBorders>
            <w:shd w:val="clear" w:color="auto" w:fill="auto"/>
          </w:tcPr>
          <w:p w14:paraId="23D8A7C1" w14:textId="77777777" w:rsidR="00D11204" w:rsidRPr="00440D92" w:rsidRDefault="00D11204" w:rsidP="003F185B">
            <w:pPr>
              <w:spacing w:before="120"/>
              <w:rPr>
                <w:rFonts w:ascii="Times New Roman" w:hAnsi="Times New Roman" w:cs="Times New Roman"/>
                <w:color w:val="000000" w:themeColor="text1"/>
                <w:lang w:val="en-GB"/>
              </w:rPr>
            </w:pPr>
            <w:r w:rsidRPr="00440D92">
              <w:rPr>
                <w:rFonts w:ascii="Times New Roman" w:hAnsi="Times New Roman" w:cs="Times New Roman"/>
                <w:noProof/>
                <w:color w:val="000000" w:themeColor="text1"/>
                <w:lang w:val="en-GB"/>
              </w:rPr>
              <w:drawing>
                <wp:inline distT="0" distB="0" distL="0" distR="0" wp14:anchorId="102C8352" wp14:editId="16B6922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A855E7" w14:textId="77777777" w:rsidR="00D11204" w:rsidRPr="00440D92" w:rsidRDefault="00D11204" w:rsidP="003F185B">
            <w:pPr>
              <w:spacing w:before="120" w:line="420" w:lineRule="exact"/>
              <w:rPr>
                <w:rFonts w:ascii="Times New Roman" w:hAnsi="Times New Roman" w:cs="Times New Roman"/>
                <w:color w:val="000000" w:themeColor="text1"/>
                <w:sz w:val="40"/>
                <w:szCs w:val="40"/>
                <w:lang w:val="en-GB"/>
              </w:rPr>
            </w:pPr>
            <w:r w:rsidRPr="00440D92">
              <w:rPr>
                <w:rFonts w:ascii="Times New Roman" w:hAnsi="Times New Roman" w:cs="Times New Roman"/>
                <w:b/>
                <w:color w:val="000000" w:themeColor="text1"/>
                <w:sz w:val="40"/>
                <w:szCs w:val="40"/>
                <w:lang w:val="en-GB"/>
              </w:rPr>
              <w:t>Economic and Social Council</w:t>
            </w:r>
          </w:p>
        </w:tc>
        <w:tc>
          <w:tcPr>
            <w:tcW w:w="2835" w:type="dxa"/>
            <w:tcBorders>
              <w:top w:val="single" w:sz="4" w:space="0" w:color="auto"/>
              <w:bottom w:val="single" w:sz="12" w:space="0" w:color="auto"/>
            </w:tcBorders>
            <w:shd w:val="clear" w:color="auto" w:fill="auto"/>
          </w:tcPr>
          <w:p w14:paraId="59F460FF" w14:textId="77777777" w:rsidR="00D11204" w:rsidRPr="00440D92" w:rsidRDefault="00D11204" w:rsidP="00F6608F">
            <w:pPr>
              <w:spacing w:before="240" w:after="0" w:line="240" w:lineRule="exact"/>
              <w:rPr>
                <w:rFonts w:ascii="Times New Roman" w:hAnsi="Times New Roman" w:cs="Times New Roman"/>
                <w:color w:val="000000" w:themeColor="text1"/>
                <w:sz w:val="20"/>
                <w:szCs w:val="20"/>
                <w:lang w:val="en-GB"/>
              </w:rPr>
            </w:pPr>
            <w:r w:rsidRPr="00440D92">
              <w:rPr>
                <w:rFonts w:ascii="Times New Roman" w:hAnsi="Times New Roman" w:cs="Times New Roman"/>
                <w:color w:val="000000" w:themeColor="text1"/>
                <w:sz w:val="20"/>
                <w:szCs w:val="20"/>
                <w:lang w:val="en-GB"/>
              </w:rPr>
              <w:t>Distr.: General</w:t>
            </w:r>
          </w:p>
          <w:p w14:paraId="4134F72B" w14:textId="06ECC1D5" w:rsidR="00D11204" w:rsidRPr="00440D92" w:rsidRDefault="004466F0" w:rsidP="003F185B">
            <w:pPr>
              <w:spacing w:line="240" w:lineRule="exact"/>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2 July </w:t>
            </w:r>
            <w:r w:rsidR="001F64F2" w:rsidRPr="00440D92">
              <w:rPr>
                <w:rFonts w:ascii="Times New Roman" w:hAnsi="Times New Roman" w:cs="Times New Roman"/>
                <w:color w:val="000000" w:themeColor="text1"/>
                <w:sz w:val="20"/>
                <w:szCs w:val="20"/>
                <w:lang w:val="en-GB"/>
              </w:rPr>
              <w:t>202</w:t>
            </w:r>
            <w:r w:rsidR="001E7E41" w:rsidRPr="00440D92">
              <w:rPr>
                <w:rFonts w:ascii="Times New Roman" w:hAnsi="Times New Roman" w:cs="Times New Roman"/>
                <w:color w:val="000000" w:themeColor="text1"/>
                <w:sz w:val="20"/>
                <w:szCs w:val="20"/>
                <w:lang w:val="en-GB"/>
              </w:rPr>
              <w:t>1</w:t>
            </w:r>
          </w:p>
          <w:p w14:paraId="27FAFDB2" w14:textId="77777777" w:rsidR="00D11204" w:rsidRPr="00440D92" w:rsidRDefault="00D11204" w:rsidP="003F185B">
            <w:pPr>
              <w:spacing w:line="240" w:lineRule="exact"/>
              <w:rPr>
                <w:rFonts w:ascii="Times New Roman" w:hAnsi="Times New Roman" w:cs="Times New Roman"/>
                <w:color w:val="000000" w:themeColor="text1"/>
                <w:lang w:val="en-GB"/>
              </w:rPr>
            </w:pPr>
            <w:r w:rsidRPr="00440D92">
              <w:rPr>
                <w:rFonts w:ascii="Times New Roman" w:hAnsi="Times New Roman" w:cs="Times New Roman"/>
                <w:color w:val="000000" w:themeColor="text1"/>
                <w:sz w:val="20"/>
                <w:szCs w:val="20"/>
                <w:lang w:val="en-GB"/>
              </w:rPr>
              <w:t>Original: English</w:t>
            </w:r>
          </w:p>
        </w:tc>
      </w:tr>
    </w:tbl>
    <w:p w14:paraId="478D5851" w14:textId="77777777" w:rsidR="00D11204" w:rsidRPr="00440D92" w:rsidRDefault="00D11204" w:rsidP="00D11204">
      <w:pPr>
        <w:suppressAutoHyphens/>
        <w:spacing w:before="120" w:after="0" w:line="240" w:lineRule="atLeast"/>
        <w:rPr>
          <w:rFonts w:ascii="Times New Roman" w:eastAsiaTheme="minorEastAsia" w:hAnsi="Times New Roman" w:cs="Times New Roman"/>
          <w:b/>
          <w:color w:val="000000" w:themeColor="text1"/>
          <w:sz w:val="28"/>
          <w:szCs w:val="28"/>
          <w:lang w:val="en-GB"/>
        </w:rPr>
      </w:pPr>
      <w:r w:rsidRPr="00440D92">
        <w:rPr>
          <w:rFonts w:ascii="Times New Roman" w:eastAsiaTheme="minorEastAsia" w:hAnsi="Times New Roman" w:cs="Times New Roman"/>
          <w:b/>
          <w:color w:val="000000" w:themeColor="text1"/>
          <w:sz w:val="28"/>
          <w:szCs w:val="28"/>
          <w:lang w:val="en-GB"/>
        </w:rPr>
        <w:t>Economic Commission for Europe</w:t>
      </w:r>
    </w:p>
    <w:p w14:paraId="1481E42F" w14:textId="77777777" w:rsidR="00D11204" w:rsidRPr="00440D92" w:rsidRDefault="00D11204" w:rsidP="00D11204">
      <w:pPr>
        <w:suppressAutoHyphens/>
        <w:spacing w:before="120" w:after="0" w:line="240" w:lineRule="atLeast"/>
        <w:rPr>
          <w:rFonts w:ascii="Times New Roman" w:eastAsiaTheme="minorEastAsia" w:hAnsi="Times New Roman" w:cs="Times New Roman"/>
          <w:color w:val="000000" w:themeColor="text1"/>
          <w:sz w:val="28"/>
          <w:szCs w:val="28"/>
          <w:lang w:val="en-GB"/>
        </w:rPr>
      </w:pPr>
      <w:r w:rsidRPr="00440D92">
        <w:rPr>
          <w:rFonts w:ascii="Times New Roman" w:eastAsiaTheme="minorEastAsia" w:hAnsi="Times New Roman" w:cs="Times New Roman"/>
          <w:color w:val="000000" w:themeColor="text1"/>
          <w:sz w:val="28"/>
          <w:szCs w:val="28"/>
          <w:lang w:val="en-GB"/>
        </w:rPr>
        <w:t>Inland Transport Committee</w:t>
      </w:r>
    </w:p>
    <w:p w14:paraId="561BA0DC" w14:textId="77777777" w:rsidR="00D11204" w:rsidRPr="00440D92" w:rsidRDefault="00D11204" w:rsidP="00D11204">
      <w:pPr>
        <w:suppressAutoHyphens/>
        <w:spacing w:before="120" w:after="0" w:line="240" w:lineRule="atLeast"/>
        <w:rPr>
          <w:rFonts w:ascii="Times New Roman" w:eastAsiaTheme="minorEastAsia" w:hAnsi="Times New Roman" w:cs="Times New Roman"/>
          <w:b/>
          <w:color w:val="000000" w:themeColor="text1"/>
          <w:sz w:val="24"/>
          <w:szCs w:val="24"/>
          <w:lang w:val="en-GB"/>
        </w:rPr>
      </w:pPr>
      <w:r w:rsidRPr="00440D92">
        <w:rPr>
          <w:rFonts w:ascii="Times New Roman" w:eastAsiaTheme="minorEastAsia" w:hAnsi="Times New Roman" w:cs="Times New Roman"/>
          <w:b/>
          <w:color w:val="000000" w:themeColor="text1"/>
          <w:sz w:val="24"/>
          <w:szCs w:val="24"/>
          <w:lang w:val="en-GB"/>
        </w:rPr>
        <w:t>World Forum for Harmonization of Vehicle Regulations</w:t>
      </w:r>
    </w:p>
    <w:p w14:paraId="7CF70431" w14:textId="22334F60" w:rsidR="00D11204" w:rsidRPr="00440D92" w:rsidRDefault="00D11204" w:rsidP="00D11204">
      <w:pPr>
        <w:suppressAutoHyphens/>
        <w:spacing w:before="120" w:after="0" w:line="240" w:lineRule="atLeast"/>
        <w:rPr>
          <w:rFonts w:ascii="Times New Roman" w:eastAsiaTheme="minorEastAsia" w:hAnsi="Times New Roman" w:cs="Times New Roman"/>
          <w:b/>
          <w:color w:val="000000" w:themeColor="text1"/>
          <w:sz w:val="20"/>
          <w:szCs w:val="20"/>
          <w:lang w:val="en-GB"/>
        </w:rPr>
      </w:pPr>
      <w:r w:rsidRPr="00440D92">
        <w:rPr>
          <w:rFonts w:ascii="Times New Roman" w:eastAsiaTheme="minorEastAsia" w:hAnsi="Times New Roman" w:cs="Times New Roman"/>
          <w:b/>
          <w:color w:val="000000" w:themeColor="text1"/>
          <w:sz w:val="20"/>
          <w:szCs w:val="20"/>
          <w:lang w:val="en-GB"/>
        </w:rPr>
        <w:t>Working Party on Noise</w:t>
      </w:r>
      <w:r w:rsidR="001F64F2" w:rsidRPr="00440D92">
        <w:rPr>
          <w:rFonts w:ascii="Times New Roman" w:eastAsiaTheme="minorEastAsia" w:hAnsi="Times New Roman" w:cs="Times New Roman"/>
          <w:b/>
          <w:color w:val="000000" w:themeColor="text1"/>
          <w:sz w:val="20"/>
          <w:szCs w:val="20"/>
          <w:lang w:val="en-GB"/>
        </w:rPr>
        <w:t xml:space="preserve"> and Tyres</w:t>
      </w:r>
    </w:p>
    <w:p w14:paraId="2B68B7B3" w14:textId="0025999F" w:rsidR="00D11204" w:rsidRPr="00440D92" w:rsidRDefault="00D11204" w:rsidP="00D11204">
      <w:pPr>
        <w:suppressAutoHyphens/>
        <w:spacing w:before="120" w:after="0" w:line="240" w:lineRule="atLeast"/>
        <w:rPr>
          <w:rFonts w:ascii="Times New Roman" w:eastAsia="Times New Roman" w:hAnsi="Times New Roman" w:cs="Times New Roman"/>
          <w:b/>
          <w:color w:val="000000" w:themeColor="text1"/>
          <w:sz w:val="20"/>
          <w:szCs w:val="20"/>
          <w:lang w:val="en-GB"/>
        </w:rPr>
      </w:pPr>
      <w:r w:rsidRPr="00440D92">
        <w:rPr>
          <w:rFonts w:ascii="Times New Roman" w:eastAsia="Times New Roman" w:hAnsi="Times New Roman" w:cs="Times New Roman"/>
          <w:b/>
          <w:color w:val="000000" w:themeColor="text1"/>
          <w:sz w:val="20"/>
          <w:szCs w:val="20"/>
          <w:lang w:val="en-GB"/>
        </w:rPr>
        <w:t>Seventy-</w:t>
      </w:r>
      <w:r w:rsidR="001E7E41" w:rsidRPr="00440D92">
        <w:rPr>
          <w:rFonts w:ascii="Times New Roman" w:eastAsia="Times New Roman" w:hAnsi="Times New Roman" w:cs="Times New Roman"/>
          <w:b/>
          <w:color w:val="000000" w:themeColor="text1"/>
          <w:sz w:val="20"/>
          <w:szCs w:val="20"/>
          <w:lang w:val="en-GB"/>
        </w:rPr>
        <w:t>fourth</w:t>
      </w:r>
      <w:r w:rsidR="001F64F2" w:rsidRPr="00440D92">
        <w:rPr>
          <w:rFonts w:ascii="Times New Roman" w:eastAsia="Times New Roman" w:hAnsi="Times New Roman" w:cs="Times New Roman"/>
          <w:b/>
          <w:color w:val="000000" w:themeColor="text1"/>
          <w:sz w:val="20"/>
          <w:szCs w:val="20"/>
          <w:lang w:val="en-GB"/>
        </w:rPr>
        <w:t xml:space="preserve"> </w:t>
      </w:r>
      <w:r w:rsidRPr="00440D92">
        <w:rPr>
          <w:rFonts w:ascii="Times New Roman" w:eastAsia="Times New Roman" w:hAnsi="Times New Roman" w:cs="Times New Roman"/>
          <w:b/>
          <w:color w:val="000000" w:themeColor="text1"/>
          <w:sz w:val="20"/>
          <w:szCs w:val="20"/>
          <w:lang w:val="en-GB"/>
        </w:rPr>
        <w:t>session</w:t>
      </w:r>
    </w:p>
    <w:p w14:paraId="6B5C1715" w14:textId="0A27A41C" w:rsidR="00D11204" w:rsidRPr="00440D92" w:rsidRDefault="00D11204" w:rsidP="00D11204">
      <w:pPr>
        <w:suppressAutoHyphens/>
        <w:spacing w:after="0" w:line="240" w:lineRule="atLeast"/>
        <w:rPr>
          <w:rFonts w:ascii="Times New Roman" w:eastAsiaTheme="minorEastAsia" w:hAnsi="Times New Roman" w:cs="Times New Roman"/>
          <w:color w:val="000000" w:themeColor="text1"/>
          <w:sz w:val="20"/>
          <w:szCs w:val="20"/>
          <w:lang w:val="en-GB"/>
        </w:rPr>
      </w:pPr>
      <w:r w:rsidRPr="00440D92">
        <w:rPr>
          <w:rFonts w:ascii="Times New Roman" w:eastAsiaTheme="minorEastAsia" w:hAnsi="Times New Roman" w:cs="Times New Roman"/>
          <w:color w:val="000000" w:themeColor="text1"/>
          <w:sz w:val="20"/>
          <w:szCs w:val="20"/>
          <w:lang w:val="en-GB"/>
        </w:rPr>
        <w:t xml:space="preserve">Geneva, </w:t>
      </w:r>
      <w:r w:rsidR="001E7E41" w:rsidRPr="00440D92">
        <w:rPr>
          <w:rFonts w:ascii="Times New Roman" w:eastAsiaTheme="minorEastAsia" w:hAnsi="Times New Roman" w:cs="Times New Roman"/>
          <w:color w:val="000000" w:themeColor="text1"/>
          <w:sz w:val="20"/>
          <w:szCs w:val="20"/>
          <w:lang w:val="en-GB"/>
        </w:rPr>
        <w:t>15</w:t>
      </w:r>
      <w:r w:rsidR="001F64F2" w:rsidRPr="00440D92">
        <w:rPr>
          <w:rFonts w:ascii="Times New Roman" w:eastAsiaTheme="minorEastAsia" w:hAnsi="Times New Roman" w:cs="Times New Roman"/>
          <w:color w:val="000000" w:themeColor="text1"/>
          <w:sz w:val="20"/>
          <w:szCs w:val="20"/>
          <w:lang w:val="en-GB"/>
        </w:rPr>
        <w:t>–</w:t>
      </w:r>
      <w:r w:rsidR="001E7E41" w:rsidRPr="00440D92">
        <w:rPr>
          <w:rFonts w:ascii="Times New Roman" w:eastAsiaTheme="minorEastAsia" w:hAnsi="Times New Roman" w:cs="Times New Roman"/>
          <w:color w:val="000000" w:themeColor="text1"/>
          <w:sz w:val="20"/>
          <w:szCs w:val="20"/>
          <w:lang w:val="en-GB"/>
        </w:rPr>
        <w:t>17</w:t>
      </w:r>
      <w:r w:rsidR="001F64F2" w:rsidRPr="00440D92">
        <w:rPr>
          <w:rFonts w:ascii="Times New Roman" w:eastAsiaTheme="minorEastAsia" w:hAnsi="Times New Roman" w:cs="Times New Roman"/>
          <w:color w:val="000000" w:themeColor="text1"/>
          <w:sz w:val="20"/>
          <w:szCs w:val="20"/>
          <w:lang w:val="en-GB"/>
        </w:rPr>
        <w:t xml:space="preserve"> </w:t>
      </w:r>
      <w:r w:rsidRPr="00440D92">
        <w:rPr>
          <w:rFonts w:ascii="Times New Roman" w:eastAsiaTheme="minorEastAsia" w:hAnsi="Times New Roman" w:cs="Times New Roman"/>
          <w:color w:val="000000" w:themeColor="text1"/>
          <w:sz w:val="20"/>
          <w:szCs w:val="20"/>
          <w:lang w:val="en-GB"/>
        </w:rPr>
        <w:t>September 202</w:t>
      </w:r>
      <w:r w:rsidR="001E7E41" w:rsidRPr="00440D92">
        <w:rPr>
          <w:rFonts w:ascii="Times New Roman" w:eastAsiaTheme="minorEastAsia" w:hAnsi="Times New Roman" w:cs="Times New Roman"/>
          <w:color w:val="000000" w:themeColor="text1"/>
          <w:sz w:val="20"/>
          <w:szCs w:val="20"/>
          <w:lang w:val="en-GB"/>
        </w:rPr>
        <w:t>1</w:t>
      </w:r>
    </w:p>
    <w:p w14:paraId="46EE5E4A" w14:textId="05CAA802" w:rsidR="00D11204" w:rsidRPr="00440D92" w:rsidRDefault="00D11204" w:rsidP="00D11204">
      <w:pPr>
        <w:suppressAutoHyphens/>
        <w:spacing w:after="0" w:line="240" w:lineRule="atLeast"/>
        <w:rPr>
          <w:rFonts w:ascii="Times New Roman" w:eastAsiaTheme="minorEastAsia" w:hAnsi="Times New Roman" w:cs="Times New Roman"/>
          <w:color w:val="000000" w:themeColor="text1"/>
          <w:sz w:val="20"/>
          <w:szCs w:val="20"/>
          <w:lang w:val="en-GB"/>
        </w:rPr>
      </w:pPr>
      <w:r w:rsidRPr="00440D92">
        <w:rPr>
          <w:rFonts w:ascii="Times New Roman" w:eastAsiaTheme="minorEastAsia" w:hAnsi="Times New Roman" w:cs="Times New Roman"/>
          <w:color w:val="000000" w:themeColor="text1"/>
          <w:sz w:val="20"/>
          <w:szCs w:val="20"/>
          <w:lang w:val="en-GB"/>
        </w:rPr>
        <w:t xml:space="preserve">Item </w:t>
      </w:r>
      <w:r w:rsidR="0007642D">
        <w:rPr>
          <w:rFonts w:ascii="Times New Roman" w:eastAsiaTheme="minorEastAsia" w:hAnsi="Times New Roman" w:cs="Times New Roman"/>
          <w:color w:val="000000" w:themeColor="text1"/>
          <w:sz w:val="20"/>
          <w:szCs w:val="20"/>
          <w:lang w:val="en-GB"/>
        </w:rPr>
        <w:t>4</w:t>
      </w:r>
      <w:r w:rsidR="001F64F2" w:rsidRPr="00440D92">
        <w:rPr>
          <w:rFonts w:ascii="Times New Roman" w:eastAsiaTheme="minorEastAsia" w:hAnsi="Times New Roman" w:cs="Times New Roman"/>
          <w:color w:val="000000" w:themeColor="text1"/>
          <w:sz w:val="20"/>
          <w:szCs w:val="20"/>
          <w:lang w:val="en-GB"/>
        </w:rPr>
        <w:t xml:space="preserve"> </w:t>
      </w:r>
      <w:r w:rsidRPr="00440D92">
        <w:rPr>
          <w:rFonts w:ascii="Times New Roman" w:eastAsiaTheme="minorEastAsia" w:hAnsi="Times New Roman" w:cs="Times New Roman"/>
          <w:color w:val="000000" w:themeColor="text1"/>
          <w:sz w:val="20"/>
          <w:szCs w:val="20"/>
          <w:lang w:val="en-GB"/>
        </w:rPr>
        <w:t>of the provisional agenda</w:t>
      </w:r>
    </w:p>
    <w:p w14:paraId="41A418D2" w14:textId="12F4802F" w:rsidR="00D11204" w:rsidRPr="00440D92" w:rsidRDefault="00D11204" w:rsidP="00D11204">
      <w:pPr>
        <w:suppressAutoHyphens/>
        <w:spacing w:after="0" w:line="240" w:lineRule="atLeast"/>
        <w:rPr>
          <w:rFonts w:ascii="Times New Roman" w:eastAsiaTheme="minorEastAsia" w:hAnsi="Times New Roman" w:cs="Times New Roman"/>
          <w:b/>
          <w:color w:val="000000" w:themeColor="text1"/>
          <w:sz w:val="20"/>
          <w:szCs w:val="20"/>
          <w:lang w:val="en-GB"/>
        </w:rPr>
      </w:pPr>
      <w:r w:rsidRPr="00440D92">
        <w:rPr>
          <w:rFonts w:ascii="Times New Roman" w:eastAsiaTheme="minorEastAsia" w:hAnsi="Times New Roman" w:cs="Times New Roman"/>
          <w:b/>
          <w:color w:val="000000" w:themeColor="text1"/>
          <w:sz w:val="20"/>
          <w:szCs w:val="20"/>
          <w:lang w:val="en-GB"/>
        </w:rPr>
        <w:t xml:space="preserve">UN Regulation No. </w:t>
      </w:r>
      <w:r w:rsidR="00E55B4C" w:rsidRPr="00440D92">
        <w:rPr>
          <w:rFonts w:ascii="Times New Roman" w:eastAsiaTheme="minorEastAsia" w:hAnsi="Times New Roman" w:cs="Times New Roman"/>
          <w:b/>
          <w:color w:val="000000" w:themeColor="text1"/>
          <w:sz w:val="20"/>
          <w:szCs w:val="20"/>
          <w:lang w:val="en-GB"/>
        </w:rPr>
        <w:t>63</w:t>
      </w:r>
      <w:r w:rsidRPr="00440D92">
        <w:rPr>
          <w:rFonts w:ascii="Times New Roman" w:eastAsiaTheme="minorEastAsia" w:hAnsi="Times New Roman" w:cs="Times New Roman"/>
          <w:b/>
          <w:color w:val="000000" w:themeColor="text1"/>
          <w:sz w:val="20"/>
          <w:szCs w:val="20"/>
          <w:lang w:val="en-GB"/>
        </w:rPr>
        <w:t xml:space="preserve"> (Noise </w:t>
      </w:r>
      <w:r w:rsidR="00122458" w:rsidRPr="00440D92">
        <w:rPr>
          <w:rFonts w:ascii="Times New Roman" w:eastAsiaTheme="minorEastAsia" w:hAnsi="Times New Roman" w:cs="Times New Roman"/>
          <w:b/>
          <w:color w:val="000000" w:themeColor="text1"/>
          <w:sz w:val="20"/>
          <w:szCs w:val="20"/>
          <w:lang w:val="en-GB"/>
        </w:rPr>
        <w:t>e</w:t>
      </w:r>
      <w:r w:rsidRPr="00440D92">
        <w:rPr>
          <w:rFonts w:ascii="Times New Roman" w:eastAsiaTheme="minorEastAsia" w:hAnsi="Times New Roman" w:cs="Times New Roman"/>
          <w:b/>
          <w:color w:val="000000" w:themeColor="text1"/>
          <w:sz w:val="20"/>
          <w:szCs w:val="20"/>
          <w:lang w:val="en-GB"/>
        </w:rPr>
        <w:t xml:space="preserve">missions of </w:t>
      </w:r>
      <w:r w:rsidR="00E55B4C" w:rsidRPr="00440D92">
        <w:rPr>
          <w:rFonts w:ascii="Times New Roman" w:eastAsiaTheme="minorEastAsia" w:hAnsi="Times New Roman" w:cs="Times New Roman"/>
          <w:b/>
          <w:color w:val="000000" w:themeColor="text1"/>
          <w:sz w:val="20"/>
          <w:szCs w:val="20"/>
          <w:lang w:val="en-GB"/>
        </w:rPr>
        <w:t>mopeds</w:t>
      </w:r>
      <w:r w:rsidRPr="00440D92">
        <w:rPr>
          <w:rFonts w:ascii="Times New Roman" w:eastAsiaTheme="minorEastAsia" w:hAnsi="Times New Roman" w:cs="Times New Roman"/>
          <w:b/>
          <w:color w:val="000000" w:themeColor="text1"/>
          <w:sz w:val="20"/>
          <w:szCs w:val="20"/>
          <w:lang w:val="en-GB"/>
        </w:rPr>
        <w:t xml:space="preserve">) </w:t>
      </w:r>
    </w:p>
    <w:p w14:paraId="4F590542" w14:textId="1867B6EA" w:rsidR="00D11204" w:rsidRPr="00440D92" w:rsidRDefault="00D11204" w:rsidP="00D11204">
      <w:pPr>
        <w:pStyle w:val="HChG"/>
        <w:rPr>
          <w:rFonts w:eastAsia="Times New Roman"/>
          <w:color w:val="000000" w:themeColor="text1"/>
        </w:rPr>
      </w:pPr>
      <w:r w:rsidRPr="00440D92">
        <w:rPr>
          <w:rFonts w:eastAsia="Times New Roman"/>
          <w:color w:val="000000" w:themeColor="text1"/>
        </w:rPr>
        <w:tab/>
      </w:r>
      <w:r w:rsidRPr="00440D92">
        <w:rPr>
          <w:rFonts w:eastAsia="Times New Roman"/>
          <w:color w:val="000000" w:themeColor="text1"/>
        </w:rPr>
        <w:tab/>
        <w:t xml:space="preserve">Proposal for </w:t>
      </w:r>
      <w:r w:rsidR="00D63E44" w:rsidRPr="00440D92">
        <w:rPr>
          <w:rFonts w:eastAsia="Times New Roman"/>
          <w:color w:val="000000" w:themeColor="text1"/>
        </w:rPr>
        <w:t>amendments to the 0</w:t>
      </w:r>
      <w:r w:rsidR="009B0EB4" w:rsidRPr="00440D92">
        <w:rPr>
          <w:rFonts w:eastAsia="Times New Roman"/>
          <w:color w:val="000000" w:themeColor="text1"/>
        </w:rPr>
        <w:t>2</w:t>
      </w:r>
      <w:r w:rsidRPr="00440D92">
        <w:rPr>
          <w:rFonts w:eastAsia="Times New Roman"/>
          <w:color w:val="000000" w:themeColor="text1"/>
        </w:rPr>
        <w:t xml:space="preserve"> series of amendments to UN Regulation No. </w:t>
      </w:r>
      <w:r w:rsidR="00E55B4C" w:rsidRPr="00440D92">
        <w:rPr>
          <w:rFonts w:eastAsia="Times New Roman"/>
          <w:color w:val="000000" w:themeColor="text1"/>
        </w:rPr>
        <w:t>63</w:t>
      </w:r>
    </w:p>
    <w:p w14:paraId="252B8E11" w14:textId="32773DD5" w:rsidR="00D11204" w:rsidRPr="00440D92" w:rsidRDefault="00D11204" w:rsidP="00D11204">
      <w:pPr>
        <w:pStyle w:val="H1G"/>
        <w:ind w:right="1467" w:firstLine="0"/>
        <w:rPr>
          <w:color w:val="000000" w:themeColor="text1"/>
        </w:rPr>
      </w:pPr>
      <w:r w:rsidRPr="00440D92">
        <w:rPr>
          <w:color w:val="000000" w:themeColor="text1"/>
        </w:rPr>
        <w:t xml:space="preserve">Submitted by the experts from the </w:t>
      </w:r>
      <w:r w:rsidR="001F64F2" w:rsidRPr="00440D92">
        <w:rPr>
          <w:color w:val="000000" w:themeColor="text1"/>
        </w:rPr>
        <w:t>International Motorcycle Manufacturers Association</w:t>
      </w:r>
      <w:r w:rsidR="00206BD1" w:rsidRPr="00EA370C">
        <w:rPr>
          <w:lang w:val="en-US"/>
        </w:rPr>
        <w:footnoteReference w:customMarkFollows="1" w:id="1"/>
        <w:t>*</w:t>
      </w:r>
    </w:p>
    <w:p w14:paraId="12F5FAE5" w14:textId="564B94EA" w:rsidR="00D11204" w:rsidRPr="00440D92" w:rsidRDefault="007C0B6A" w:rsidP="007C0B6A">
      <w:pPr>
        <w:pStyle w:val="SingleTxtG"/>
        <w:rPr>
          <w:color w:val="000000" w:themeColor="text1"/>
        </w:rPr>
      </w:pPr>
      <w:r>
        <w:rPr>
          <w:color w:val="000000" w:themeColor="text1"/>
        </w:rPr>
        <w:tab/>
      </w:r>
      <w:r>
        <w:rPr>
          <w:color w:val="000000" w:themeColor="text1"/>
        </w:rPr>
        <w:tab/>
      </w:r>
      <w:r w:rsidR="00D11204" w:rsidRPr="00440D92">
        <w:rPr>
          <w:color w:val="000000" w:themeColor="text1"/>
        </w:rPr>
        <w:t xml:space="preserve">The text reproduced below was prepared </w:t>
      </w:r>
      <w:r w:rsidR="00B30A35" w:rsidRPr="00440D92">
        <w:rPr>
          <w:color w:val="000000" w:themeColor="text1"/>
        </w:rPr>
        <w:t>by the expert from the International Motorcycle Manufacturers Association (IMMA),</w:t>
      </w:r>
      <w:r w:rsidR="00D11204" w:rsidRPr="00440D92">
        <w:rPr>
          <w:color w:val="000000" w:themeColor="text1"/>
        </w:rPr>
        <w:t xml:space="preserve"> </w:t>
      </w:r>
      <w:proofErr w:type="gramStart"/>
      <w:r w:rsidR="00D11204" w:rsidRPr="00440D92">
        <w:rPr>
          <w:color w:val="000000" w:themeColor="text1"/>
        </w:rPr>
        <w:t>in order to</w:t>
      </w:r>
      <w:proofErr w:type="gramEnd"/>
      <w:r w:rsidR="00D11204" w:rsidRPr="00440D92">
        <w:rPr>
          <w:color w:val="000000" w:themeColor="text1"/>
        </w:rPr>
        <w:t xml:space="preserve"> </w:t>
      </w:r>
      <w:r w:rsidR="00B30A35" w:rsidRPr="00440D92">
        <w:rPr>
          <w:color w:val="000000" w:themeColor="text1"/>
        </w:rPr>
        <w:t>align</w:t>
      </w:r>
      <w:r w:rsidR="001F64F2" w:rsidRPr="00440D92">
        <w:rPr>
          <w:color w:val="000000" w:themeColor="text1"/>
        </w:rPr>
        <w:t xml:space="preserve"> the 0</w:t>
      </w:r>
      <w:r w:rsidR="009B0EB4" w:rsidRPr="00440D92">
        <w:rPr>
          <w:color w:val="000000" w:themeColor="text1"/>
        </w:rPr>
        <w:t>2</w:t>
      </w:r>
      <w:r w:rsidR="001F64F2" w:rsidRPr="00440D92">
        <w:rPr>
          <w:color w:val="000000" w:themeColor="text1"/>
        </w:rPr>
        <w:t xml:space="preserve"> series of amendments to </w:t>
      </w:r>
      <w:r w:rsidR="00B30A35" w:rsidRPr="00440D92">
        <w:rPr>
          <w:color w:val="000000" w:themeColor="text1"/>
        </w:rPr>
        <w:t xml:space="preserve">UN Regulation No. </w:t>
      </w:r>
      <w:r w:rsidR="009B0EB4" w:rsidRPr="00440D92">
        <w:rPr>
          <w:color w:val="000000" w:themeColor="text1"/>
        </w:rPr>
        <w:t>63</w:t>
      </w:r>
      <w:r w:rsidR="00B30A35" w:rsidRPr="00440D92">
        <w:rPr>
          <w:color w:val="000000" w:themeColor="text1"/>
        </w:rPr>
        <w:t xml:space="preserve"> </w:t>
      </w:r>
      <w:r w:rsidR="001F64F2" w:rsidRPr="00440D92">
        <w:rPr>
          <w:color w:val="000000" w:themeColor="text1"/>
        </w:rPr>
        <w:t xml:space="preserve">with </w:t>
      </w:r>
      <w:r w:rsidRPr="007C0B6A">
        <w:rPr>
          <w:color w:val="000000" w:themeColor="text1"/>
        </w:rPr>
        <w:t>standard 10844:2014 of the International Organization of Standardization (ISO).</w:t>
      </w:r>
      <w:r w:rsidR="00D11204" w:rsidRPr="00440D92">
        <w:rPr>
          <w:color w:val="000000" w:themeColor="text1"/>
        </w:rPr>
        <w:t xml:space="preserve"> It is based upon UN Regulation No. </w:t>
      </w:r>
      <w:r w:rsidR="009B0EB4" w:rsidRPr="00440D92">
        <w:rPr>
          <w:color w:val="000000" w:themeColor="text1"/>
        </w:rPr>
        <w:t>63</w:t>
      </w:r>
      <w:r w:rsidR="00D11204" w:rsidRPr="00440D92">
        <w:rPr>
          <w:color w:val="000000" w:themeColor="text1"/>
        </w:rPr>
        <w:t xml:space="preserve"> up to Supplement </w:t>
      </w:r>
      <w:r w:rsidR="009B0EB4" w:rsidRPr="00440D92">
        <w:rPr>
          <w:color w:val="000000" w:themeColor="text1"/>
        </w:rPr>
        <w:t>4</w:t>
      </w:r>
      <w:r w:rsidR="00D11204" w:rsidRPr="00440D92">
        <w:rPr>
          <w:color w:val="000000" w:themeColor="text1"/>
        </w:rPr>
        <w:t xml:space="preserve">. The modifications </w:t>
      </w:r>
      <w:r w:rsidR="001F64F2" w:rsidRPr="00440D92">
        <w:rPr>
          <w:color w:val="000000" w:themeColor="text1"/>
        </w:rPr>
        <w:t xml:space="preserve">to the </w:t>
      </w:r>
      <w:r w:rsidR="00D11204" w:rsidRPr="00440D92">
        <w:rPr>
          <w:color w:val="000000" w:themeColor="text1"/>
        </w:rPr>
        <w:t>Regulation are marked in bold for new or strikethrough for deleted characters.</w:t>
      </w:r>
    </w:p>
    <w:p w14:paraId="01A6D912" w14:textId="77777777" w:rsidR="00D11204" w:rsidRPr="00440D92" w:rsidRDefault="00D11204" w:rsidP="00D11204">
      <w:pPr>
        <w:spacing w:before="120"/>
        <w:rPr>
          <w:rFonts w:ascii="Times New Roman" w:hAnsi="Times New Roman" w:cs="Times New Roman"/>
          <w:b/>
          <w:color w:val="000000" w:themeColor="text1"/>
          <w:lang w:val="en-GB"/>
        </w:rPr>
      </w:pPr>
    </w:p>
    <w:p w14:paraId="78E22BA7" w14:textId="77777777" w:rsidR="00D11204" w:rsidRPr="00440D92" w:rsidRDefault="00D11204" w:rsidP="00D11204">
      <w:pPr>
        <w:ind w:left="1134" w:right="1134" w:firstLine="567"/>
        <w:jc w:val="both"/>
        <w:rPr>
          <w:rFonts w:ascii="Times New Roman" w:hAnsi="Times New Roman" w:cs="Times New Roman"/>
          <w:color w:val="000000" w:themeColor="text1"/>
          <w:lang w:val="en-GB"/>
        </w:rPr>
      </w:pPr>
      <w:r w:rsidRPr="00440D92">
        <w:rPr>
          <w:rFonts w:ascii="Times New Roman" w:hAnsi="Times New Roman" w:cs="Times New Roman"/>
          <w:color w:val="000000" w:themeColor="text1"/>
          <w:lang w:val="en-GB"/>
        </w:rPr>
        <w:t xml:space="preserve">  </w:t>
      </w:r>
    </w:p>
    <w:p w14:paraId="17B194A4" w14:textId="77777777" w:rsidR="00D11204" w:rsidRPr="00440D92" w:rsidRDefault="00D11204" w:rsidP="00D11204">
      <w:pPr>
        <w:ind w:left="1134" w:right="1134" w:firstLine="567"/>
        <w:jc w:val="both"/>
        <w:rPr>
          <w:rFonts w:ascii="Times New Roman" w:hAnsi="Times New Roman" w:cs="Times New Roman"/>
          <w:color w:val="000000" w:themeColor="text1"/>
          <w:lang w:val="en-GB"/>
        </w:rPr>
      </w:pPr>
    </w:p>
    <w:p w14:paraId="12A0170C" w14:textId="77777777" w:rsidR="00D11204" w:rsidRPr="00440D92" w:rsidRDefault="00D11204" w:rsidP="00D11204">
      <w:pPr>
        <w:ind w:left="1134" w:right="1134" w:firstLine="567"/>
        <w:jc w:val="both"/>
        <w:rPr>
          <w:rFonts w:ascii="Times New Roman" w:hAnsi="Times New Roman" w:cs="Times New Roman"/>
          <w:color w:val="000000" w:themeColor="text1"/>
          <w:lang w:val="en-GB"/>
        </w:rPr>
      </w:pPr>
    </w:p>
    <w:p w14:paraId="22A0D511" w14:textId="77777777" w:rsidR="00D11204" w:rsidRPr="00440D92" w:rsidRDefault="00D11204" w:rsidP="00D11204">
      <w:pPr>
        <w:spacing w:line="240" w:lineRule="auto"/>
        <w:rPr>
          <w:rFonts w:ascii="Times New Roman" w:hAnsi="Times New Roman" w:cs="Times New Roman"/>
          <w:color w:val="000000" w:themeColor="text1"/>
          <w:lang w:val="en-GB"/>
        </w:rPr>
      </w:pPr>
      <w:r w:rsidRPr="00440D92">
        <w:rPr>
          <w:rFonts w:ascii="Times New Roman" w:hAnsi="Times New Roman" w:cs="Times New Roman"/>
          <w:color w:val="000000" w:themeColor="text1"/>
          <w:lang w:val="en-GB"/>
        </w:rPr>
        <w:br w:type="page"/>
      </w:r>
    </w:p>
    <w:p w14:paraId="56519199" w14:textId="347AC9B4" w:rsidR="00B4672B" w:rsidRPr="00440D92" w:rsidRDefault="007B5D64" w:rsidP="00334201">
      <w:pPr>
        <w:pStyle w:val="HChG"/>
        <w:ind w:hanging="567"/>
        <w:rPr>
          <w:color w:val="000000" w:themeColor="text1"/>
        </w:rPr>
      </w:pPr>
      <w:r w:rsidRPr="00440D92">
        <w:rPr>
          <w:color w:val="000000" w:themeColor="text1"/>
        </w:rPr>
        <w:lastRenderedPageBreak/>
        <w:tab/>
      </w:r>
      <w:r w:rsidR="00960A33" w:rsidRPr="00440D92">
        <w:rPr>
          <w:color w:val="000000" w:themeColor="text1"/>
        </w:rPr>
        <w:t xml:space="preserve">I. </w:t>
      </w:r>
      <w:r w:rsidR="00960A33" w:rsidRPr="00440D92">
        <w:rPr>
          <w:color w:val="000000" w:themeColor="text1"/>
        </w:rPr>
        <w:tab/>
        <w:t>Proposal</w:t>
      </w:r>
    </w:p>
    <w:p w14:paraId="6FCB6F10" w14:textId="1855076D" w:rsidR="006F4129" w:rsidRPr="00440D92" w:rsidRDefault="00334201" w:rsidP="007B5D64">
      <w:pPr>
        <w:pStyle w:val="SingleTxtG"/>
        <w:ind w:left="2268" w:right="1133" w:hanging="1134"/>
        <w:rPr>
          <w:i/>
          <w:color w:val="000000" w:themeColor="text1"/>
        </w:rPr>
      </w:pPr>
      <w:r w:rsidRPr="00440D92">
        <w:rPr>
          <w:rFonts w:eastAsia="Yu Mincho"/>
          <w:i/>
          <w:color w:val="000000" w:themeColor="text1"/>
          <w:lang w:eastAsia="ja-JP"/>
        </w:rPr>
        <w:t xml:space="preserve">Table of </w:t>
      </w:r>
      <w:r w:rsidR="00B4672B" w:rsidRPr="00440D92">
        <w:rPr>
          <w:rFonts w:eastAsia="Yu Mincho"/>
          <w:i/>
          <w:color w:val="000000" w:themeColor="text1"/>
          <w:lang w:eastAsia="ja-JP"/>
        </w:rPr>
        <w:t>Contents</w:t>
      </w:r>
      <w:r w:rsidR="00632415" w:rsidRPr="00440D92">
        <w:rPr>
          <w:rFonts w:eastAsia="Yu Mincho"/>
          <w:i/>
          <w:color w:val="000000" w:themeColor="text1"/>
          <w:lang w:eastAsia="ja-JP"/>
        </w:rPr>
        <w:t xml:space="preserve">, Annexes, </w:t>
      </w:r>
      <w:r w:rsidR="00B4672B" w:rsidRPr="00440D92">
        <w:rPr>
          <w:rFonts w:eastAsia="Yu Mincho"/>
          <w:iCs/>
          <w:color w:val="000000" w:themeColor="text1"/>
          <w:lang w:eastAsia="ja-JP"/>
        </w:rPr>
        <w:t>amend to read:</w:t>
      </w:r>
    </w:p>
    <w:p w14:paraId="6A70ABAD" w14:textId="2D59F750" w:rsidR="006F4129" w:rsidRPr="00440D92" w:rsidRDefault="007B5D64" w:rsidP="007B5D64">
      <w:pPr>
        <w:pStyle w:val="SingleTxtG"/>
        <w:ind w:left="1701" w:right="1133" w:hanging="567"/>
        <w:rPr>
          <w:b/>
          <w:color w:val="000000" w:themeColor="text1"/>
        </w:rPr>
      </w:pPr>
      <w:r w:rsidRPr="00440D92">
        <w:rPr>
          <w:color w:val="000000" w:themeColor="text1"/>
        </w:rPr>
        <w:t>"</w:t>
      </w:r>
      <w:r w:rsidR="001A529C" w:rsidRPr="00440D92">
        <w:rPr>
          <w:color w:val="000000" w:themeColor="text1"/>
        </w:rPr>
        <w:t>5</w:t>
      </w:r>
      <w:r w:rsidRPr="00440D92">
        <w:rPr>
          <w:color w:val="000000" w:themeColor="text1"/>
        </w:rPr>
        <w:tab/>
      </w:r>
      <w:r w:rsidR="006F4129" w:rsidRPr="00440D92">
        <w:rPr>
          <w:strike/>
          <w:color w:val="000000" w:themeColor="text1"/>
        </w:rPr>
        <w:t xml:space="preserve">Specifications for the test </w:t>
      </w:r>
      <w:proofErr w:type="spellStart"/>
      <w:r w:rsidR="006F4129" w:rsidRPr="00440D92">
        <w:rPr>
          <w:strike/>
          <w:color w:val="000000" w:themeColor="text1"/>
        </w:rPr>
        <w:t>site</w:t>
      </w:r>
      <w:r w:rsidR="006F4129" w:rsidRPr="00440D92">
        <w:rPr>
          <w:b/>
          <w:color w:val="000000" w:themeColor="text1"/>
        </w:rPr>
        <w:t>Test</w:t>
      </w:r>
      <w:proofErr w:type="spellEnd"/>
      <w:r w:rsidR="006F4129" w:rsidRPr="00440D92">
        <w:rPr>
          <w:b/>
          <w:color w:val="000000" w:themeColor="text1"/>
        </w:rPr>
        <w:t xml:space="preserve"> track layout</w:t>
      </w:r>
      <w:r w:rsidRPr="00440D92">
        <w:rPr>
          <w:b/>
          <w:color w:val="000000" w:themeColor="text1"/>
        </w:rPr>
        <w:t>"</w:t>
      </w:r>
    </w:p>
    <w:p w14:paraId="03BEEEB1" w14:textId="2AC7492C" w:rsidR="00960A33" w:rsidRPr="00440D92" w:rsidRDefault="00960A33" w:rsidP="007B5D64">
      <w:pPr>
        <w:pStyle w:val="SingleTxtG"/>
        <w:ind w:left="2268" w:right="1133" w:hanging="1134"/>
        <w:rPr>
          <w:rFonts w:eastAsia="Yu Mincho"/>
          <w:iCs/>
          <w:color w:val="000000" w:themeColor="text1"/>
          <w:lang w:eastAsia="ja-JP"/>
        </w:rPr>
      </w:pPr>
      <w:r w:rsidRPr="00440D92">
        <w:rPr>
          <w:rFonts w:eastAsia="Yu Mincho"/>
          <w:i/>
          <w:color w:val="000000" w:themeColor="text1"/>
          <w:lang w:eastAsia="ja-JP"/>
        </w:rPr>
        <w:t>Paragraph 1</w:t>
      </w:r>
      <w:r w:rsidR="009B0EB4" w:rsidRPr="00440D92">
        <w:rPr>
          <w:rFonts w:eastAsia="Yu Mincho"/>
          <w:i/>
          <w:color w:val="000000" w:themeColor="text1"/>
          <w:lang w:eastAsia="ja-JP"/>
        </w:rPr>
        <w:t>0</w:t>
      </w:r>
      <w:r w:rsidRPr="00440D92">
        <w:rPr>
          <w:rFonts w:eastAsia="Yu Mincho"/>
          <w:i/>
          <w:color w:val="000000" w:themeColor="text1"/>
          <w:lang w:eastAsia="ja-JP"/>
        </w:rPr>
        <w:t xml:space="preserve">.3., </w:t>
      </w:r>
      <w:r w:rsidRPr="00440D92">
        <w:rPr>
          <w:rFonts w:eastAsia="Yu Mincho"/>
          <w:iCs/>
          <w:color w:val="000000" w:themeColor="text1"/>
          <w:lang w:eastAsia="ja-JP"/>
        </w:rPr>
        <w:t>amend to read:</w:t>
      </w:r>
    </w:p>
    <w:p w14:paraId="434EFC75" w14:textId="4D979DDE" w:rsidR="004E4149" w:rsidRPr="00440D92" w:rsidRDefault="00B74C9D" w:rsidP="009B0EB4">
      <w:pPr>
        <w:pStyle w:val="SingleTxtG"/>
        <w:ind w:left="2268" w:right="1133" w:hanging="1134"/>
        <w:rPr>
          <w:color w:val="000000" w:themeColor="text1"/>
        </w:rPr>
      </w:pPr>
      <w:r w:rsidRPr="00440D92">
        <w:rPr>
          <w:rFonts w:eastAsia="Yu Mincho"/>
          <w:iCs/>
          <w:color w:val="000000" w:themeColor="text1"/>
          <w:lang w:eastAsia="ja-JP"/>
        </w:rPr>
        <w:t>"</w:t>
      </w:r>
      <w:r w:rsidR="00960A33" w:rsidRPr="00440D92">
        <w:rPr>
          <w:rFonts w:eastAsia="Yu Mincho"/>
          <w:iCs/>
          <w:color w:val="000000" w:themeColor="text1"/>
          <w:lang w:eastAsia="ja-JP"/>
        </w:rPr>
        <w:t>1</w:t>
      </w:r>
      <w:r w:rsidR="009B0EB4" w:rsidRPr="00440D92">
        <w:rPr>
          <w:rFonts w:eastAsia="Yu Mincho"/>
          <w:iCs/>
          <w:color w:val="000000" w:themeColor="text1"/>
          <w:lang w:eastAsia="ja-JP"/>
        </w:rPr>
        <w:t>0</w:t>
      </w:r>
      <w:r w:rsidR="00960A33" w:rsidRPr="00440D92">
        <w:rPr>
          <w:rFonts w:eastAsia="Yu Mincho"/>
          <w:iCs/>
          <w:color w:val="000000" w:themeColor="text1"/>
          <w:lang w:eastAsia="ja-JP"/>
        </w:rPr>
        <w:t>.3.</w:t>
      </w:r>
      <w:r w:rsidR="00960A33" w:rsidRPr="00440D92">
        <w:rPr>
          <w:rFonts w:eastAsia="Yu Mincho"/>
          <w:iCs/>
          <w:color w:val="000000" w:themeColor="text1"/>
          <w:lang w:eastAsia="ja-JP"/>
        </w:rPr>
        <w:tab/>
      </w:r>
      <w:r w:rsidR="00E01531" w:rsidRPr="00440D92">
        <w:rPr>
          <w:rFonts w:eastAsia="Yu Mincho"/>
          <w:b/>
          <w:bCs/>
          <w:iCs/>
          <w:color w:val="000000" w:themeColor="text1"/>
          <w:lang w:eastAsia="ja-JP"/>
        </w:rPr>
        <w:t>Notwithstanding the transitional provisions above,</w:t>
      </w:r>
      <w:r w:rsidR="00E01531" w:rsidRPr="00440D92">
        <w:rPr>
          <w:rFonts w:eastAsia="Yu Mincho"/>
          <w:iCs/>
          <w:color w:val="000000" w:themeColor="text1"/>
          <w:lang w:eastAsia="ja-JP"/>
        </w:rPr>
        <w:t xml:space="preserve"> </w:t>
      </w:r>
      <w:r w:rsidR="00EE7A1E" w:rsidRPr="00440D92">
        <w:rPr>
          <w:iCs/>
          <w:color w:val="000000" w:themeColor="text1"/>
        </w:rPr>
        <w:t>C</w:t>
      </w:r>
      <w:r w:rsidR="009B0EB4" w:rsidRPr="00440D92">
        <w:rPr>
          <w:iCs/>
          <w:color w:val="000000" w:themeColor="text1"/>
        </w:rPr>
        <w:t xml:space="preserve">ontracting Parties applying this Regulation </w:t>
      </w:r>
      <w:r w:rsidR="009B0EB4" w:rsidRPr="00440D92">
        <w:rPr>
          <w:iCs/>
          <w:strike/>
          <w:color w:val="000000" w:themeColor="text1"/>
        </w:rPr>
        <w:t>shall not refuse to</w:t>
      </w:r>
      <w:r w:rsidR="009B0EB4" w:rsidRPr="00440D92">
        <w:rPr>
          <w:iCs/>
          <w:color w:val="000000" w:themeColor="text1"/>
        </w:rPr>
        <w:t xml:space="preserve"> </w:t>
      </w:r>
      <w:r w:rsidR="004E4149" w:rsidRPr="00440D92">
        <w:rPr>
          <w:b/>
          <w:bCs/>
          <w:iCs/>
          <w:color w:val="000000" w:themeColor="text1"/>
        </w:rPr>
        <w:t>may</w:t>
      </w:r>
      <w:r w:rsidR="004E4149" w:rsidRPr="00440D92">
        <w:rPr>
          <w:iCs/>
          <w:color w:val="000000" w:themeColor="text1"/>
        </w:rPr>
        <w:t xml:space="preserve"> </w:t>
      </w:r>
      <w:r w:rsidR="009B0EB4" w:rsidRPr="00440D92">
        <w:rPr>
          <w:iCs/>
          <w:color w:val="000000" w:themeColor="text1"/>
        </w:rPr>
        <w:t xml:space="preserve">grant </w:t>
      </w:r>
      <w:r w:rsidR="004E4149" w:rsidRPr="00440D92">
        <w:rPr>
          <w:strike/>
          <w:color w:val="000000" w:themeColor="text1"/>
        </w:rPr>
        <w:t xml:space="preserve">extensions of </w:t>
      </w:r>
      <w:r w:rsidR="004E4149" w:rsidRPr="00440D92">
        <w:rPr>
          <w:color w:val="000000" w:themeColor="text1"/>
        </w:rPr>
        <w:t xml:space="preserve">type approvals </w:t>
      </w:r>
      <w:r w:rsidR="004E4149" w:rsidRPr="00440D92">
        <w:rPr>
          <w:strike/>
          <w:color w:val="000000" w:themeColor="text1"/>
        </w:rPr>
        <w:t xml:space="preserve">for existing types which have been granted </w:t>
      </w:r>
      <w:r w:rsidR="004E4149" w:rsidRPr="00440D92">
        <w:rPr>
          <w:color w:val="000000" w:themeColor="text1"/>
        </w:rPr>
        <w:t xml:space="preserve">according to </w:t>
      </w:r>
      <w:r w:rsidR="004E4149" w:rsidRPr="00440D92">
        <w:rPr>
          <w:strike/>
          <w:color w:val="000000" w:themeColor="text1"/>
        </w:rPr>
        <w:t>the</w:t>
      </w:r>
      <w:r w:rsidR="004E4149" w:rsidRPr="00440D92">
        <w:rPr>
          <w:color w:val="000000" w:themeColor="text1"/>
        </w:rPr>
        <w:t xml:space="preserve"> </w:t>
      </w:r>
      <w:r w:rsidR="004E4149" w:rsidRPr="00440D92">
        <w:rPr>
          <w:b/>
          <w:bCs/>
          <w:color w:val="000000" w:themeColor="text1"/>
        </w:rPr>
        <w:t>any</w:t>
      </w:r>
      <w:r w:rsidR="004E4149" w:rsidRPr="00440D92">
        <w:rPr>
          <w:color w:val="000000" w:themeColor="text1"/>
        </w:rPr>
        <w:t xml:space="preserve"> preceding series of amendments to this Regulation. </w:t>
      </w:r>
      <w:r w:rsidR="004E4149" w:rsidRPr="00440D92">
        <w:rPr>
          <w:b/>
          <w:bCs/>
          <w:color w:val="000000" w:themeColor="text1"/>
        </w:rPr>
        <w:t>However, the specification of the test track may conform to ISO</w:t>
      </w:r>
      <w:r w:rsidR="0067797D">
        <w:rPr>
          <w:b/>
          <w:bCs/>
          <w:color w:val="000000" w:themeColor="text1"/>
        </w:rPr>
        <w:t xml:space="preserve"> </w:t>
      </w:r>
      <w:r w:rsidR="004E4149" w:rsidRPr="00440D92">
        <w:rPr>
          <w:b/>
          <w:bCs/>
          <w:color w:val="000000" w:themeColor="text1"/>
        </w:rPr>
        <w:t>10844:2014.</w:t>
      </w:r>
      <w:r w:rsidR="004E4149" w:rsidRPr="00440D92">
        <w:rPr>
          <w:color w:val="000000" w:themeColor="text1"/>
        </w:rPr>
        <w:t>"</w:t>
      </w:r>
    </w:p>
    <w:p w14:paraId="546D0E3E" w14:textId="4A340FF7" w:rsidR="009B0EB4" w:rsidRPr="00440D92" w:rsidRDefault="00B74C9D" w:rsidP="007B5D64">
      <w:pPr>
        <w:pStyle w:val="SingleTxtG"/>
        <w:ind w:left="2268" w:right="1133" w:hanging="1134"/>
        <w:rPr>
          <w:i/>
          <w:iCs/>
          <w:color w:val="000000" w:themeColor="text1"/>
        </w:rPr>
      </w:pPr>
      <w:bookmarkStart w:id="0" w:name="_Hlk72160006"/>
      <w:r w:rsidRPr="00440D92">
        <w:rPr>
          <w:i/>
          <w:iCs/>
          <w:color w:val="000000" w:themeColor="text1"/>
        </w:rPr>
        <w:t>Insert a new paragraph 1</w:t>
      </w:r>
      <w:r w:rsidR="004E4149" w:rsidRPr="00440D92">
        <w:rPr>
          <w:i/>
          <w:iCs/>
          <w:color w:val="000000" w:themeColor="text1"/>
        </w:rPr>
        <w:t>0</w:t>
      </w:r>
      <w:r w:rsidRPr="00440D92">
        <w:rPr>
          <w:i/>
          <w:iCs/>
          <w:color w:val="000000" w:themeColor="text1"/>
        </w:rPr>
        <w:t>.4. to read:</w:t>
      </w:r>
    </w:p>
    <w:p w14:paraId="6EADE4E3" w14:textId="086A8DD8" w:rsidR="00B74C9D" w:rsidRPr="00440D92" w:rsidRDefault="00B74C9D" w:rsidP="007B5D64">
      <w:pPr>
        <w:pStyle w:val="SingleTxtG"/>
        <w:ind w:left="2268" w:right="1133" w:hanging="1134"/>
        <w:rPr>
          <w:color w:val="000000" w:themeColor="text1"/>
        </w:rPr>
      </w:pPr>
      <w:r w:rsidRPr="00440D92">
        <w:rPr>
          <w:color w:val="000000" w:themeColor="text1"/>
        </w:rPr>
        <w:t>"</w:t>
      </w:r>
      <w:r w:rsidRPr="00440D92">
        <w:rPr>
          <w:b/>
          <w:bCs/>
          <w:color w:val="000000" w:themeColor="text1"/>
        </w:rPr>
        <w:t>10.4</w:t>
      </w:r>
      <w:r w:rsidR="00376408">
        <w:rPr>
          <w:b/>
          <w:bCs/>
          <w:color w:val="000000" w:themeColor="text1"/>
        </w:rPr>
        <w:t>.</w:t>
      </w:r>
      <w:r w:rsidRPr="00440D92">
        <w:rPr>
          <w:b/>
          <w:bCs/>
          <w:color w:val="000000" w:themeColor="text1"/>
        </w:rPr>
        <w:tab/>
        <w:t>Contracting Parties applying this Regulation shall continue to grant extensions of existing approvals to any preceding series of amendments to this Regulation. However, the specification of the test track may conform to ISO</w:t>
      </w:r>
      <w:r w:rsidR="0067797D">
        <w:rPr>
          <w:b/>
          <w:bCs/>
          <w:color w:val="000000" w:themeColor="text1"/>
        </w:rPr>
        <w:t xml:space="preserve"> </w:t>
      </w:r>
      <w:r w:rsidRPr="00440D92">
        <w:rPr>
          <w:b/>
          <w:bCs/>
          <w:color w:val="000000" w:themeColor="text1"/>
        </w:rPr>
        <w:t>10844:2014."</w:t>
      </w:r>
    </w:p>
    <w:bookmarkEnd w:id="0"/>
    <w:p w14:paraId="1B7300EF" w14:textId="7A38C63A" w:rsidR="00B74C9D" w:rsidRPr="00440D92" w:rsidRDefault="00B74C9D" w:rsidP="00B74C9D">
      <w:pPr>
        <w:pStyle w:val="SingleTxtG"/>
        <w:ind w:left="2268" w:right="1133" w:hanging="1134"/>
        <w:rPr>
          <w:i/>
          <w:color w:val="000000" w:themeColor="text1"/>
        </w:rPr>
      </w:pPr>
      <w:r w:rsidRPr="00440D92">
        <w:rPr>
          <w:i/>
          <w:color w:val="000000" w:themeColor="text1"/>
        </w:rPr>
        <w:t>Paragraphs 10.4. (former) to 1</w:t>
      </w:r>
      <w:r w:rsidR="004E4149" w:rsidRPr="00440D92">
        <w:rPr>
          <w:i/>
          <w:color w:val="000000" w:themeColor="text1"/>
        </w:rPr>
        <w:t>0</w:t>
      </w:r>
      <w:r w:rsidRPr="00440D92">
        <w:rPr>
          <w:i/>
          <w:color w:val="000000" w:themeColor="text1"/>
        </w:rPr>
        <w:t>.</w:t>
      </w:r>
      <w:r w:rsidR="00D6447B" w:rsidRPr="00440D92">
        <w:rPr>
          <w:rFonts w:ascii="Yu Mincho" w:eastAsia="Yu Mincho" w:hAnsi="Yu Mincho"/>
          <w:i/>
          <w:color w:val="000000" w:themeColor="text1"/>
          <w:lang w:eastAsia="ja-JP"/>
        </w:rPr>
        <w:t>6</w:t>
      </w:r>
      <w:r w:rsidRPr="00440D92">
        <w:rPr>
          <w:i/>
          <w:color w:val="000000" w:themeColor="text1"/>
        </w:rPr>
        <w:t>., renumber as 1</w:t>
      </w:r>
      <w:r w:rsidR="000873D5" w:rsidRPr="00440D92">
        <w:rPr>
          <w:i/>
          <w:color w:val="000000" w:themeColor="text1"/>
        </w:rPr>
        <w:t>0</w:t>
      </w:r>
      <w:r w:rsidRPr="00440D92">
        <w:rPr>
          <w:i/>
          <w:color w:val="000000" w:themeColor="text1"/>
        </w:rPr>
        <w:t>.5. to 1</w:t>
      </w:r>
      <w:r w:rsidR="004E4149" w:rsidRPr="00440D92">
        <w:rPr>
          <w:i/>
          <w:color w:val="000000" w:themeColor="text1"/>
        </w:rPr>
        <w:t>0</w:t>
      </w:r>
      <w:r w:rsidRPr="00440D92">
        <w:rPr>
          <w:i/>
          <w:color w:val="000000" w:themeColor="text1"/>
        </w:rPr>
        <w:t>.</w:t>
      </w:r>
      <w:r w:rsidR="00D6447B" w:rsidRPr="00440D92">
        <w:rPr>
          <w:rFonts w:ascii="Yu Mincho" w:eastAsia="Yu Mincho" w:hAnsi="Yu Mincho"/>
          <w:i/>
          <w:color w:val="000000" w:themeColor="text1"/>
          <w:lang w:eastAsia="ja-JP"/>
        </w:rPr>
        <w:t>7</w:t>
      </w:r>
      <w:r w:rsidRPr="00440D92">
        <w:rPr>
          <w:i/>
          <w:color w:val="000000" w:themeColor="text1"/>
        </w:rPr>
        <w:t>., respectively.</w:t>
      </w:r>
    </w:p>
    <w:p w14:paraId="667E31D3" w14:textId="54A296CB" w:rsidR="00D6447B" w:rsidRPr="00440D92" w:rsidRDefault="00D6447B" w:rsidP="00B74C9D">
      <w:pPr>
        <w:pStyle w:val="SingleTxtG"/>
        <w:ind w:left="2268" w:right="1133" w:hanging="1134"/>
        <w:rPr>
          <w:i/>
          <w:color w:val="000000" w:themeColor="text1"/>
        </w:rPr>
      </w:pPr>
      <w:r w:rsidRPr="00440D92">
        <w:rPr>
          <w:rFonts w:eastAsia="Yu Mincho"/>
          <w:i/>
          <w:color w:val="000000" w:themeColor="text1"/>
          <w:lang w:eastAsia="ja-JP"/>
        </w:rPr>
        <w:t>Paragraphs</w:t>
      </w:r>
      <w:r w:rsidRPr="00440D92">
        <w:rPr>
          <w:i/>
          <w:color w:val="000000" w:themeColor="text1"/>
        </w:rPr>
        <w:t xml:space="preserve"> 10.7. (former) and 10.8., to be deleted</w:t>
      </w:r>
      <w:r w:rsidR="00332084" w:rsidRPr="00440D92">
        <w:rPr>
          <w:i/>
          <w:color w:val="000000" w:themeColor="text1"/>
        </w:rPr>
        <w:t>.</w:t>
      </w:r>
    </w:p>
    <w:p w14:paraId="419F2C90" w14:textId="36033BAD" w:rsidR="00960A33" w:rsidRPr="00440D92" w:rsidRDefault="00960A33" w:rsidP="007B5D64">
      <w:pPr>
        <w:pStyle w:val="SingleTxtG"/>
        <w:ind w:left="2268" w:right="1133" w:hanging="1134"/>
        <w:rPr>
          <w:i/>
          <w:color w:val="000000" w:themeColor="text1"/>
        </w:rPr>
      </w:pPr>
      <w:r w:rsidRPr="00440D92">
        <w:rPr>
          <w:i/>
          <w:color w:val="000000" w:themeColor="text1"/>
        </w:rPr>
        <w:t>Annex 3,</w:t>
      </w:r>
      <w:r w:rsidR="007B5D64" w:rsidRPr="00440D92">
        <w:rPr>
          <w:i/>
          <w:color w:val="000000" w:themeColor="text1"/>
        </w:rPr>
        <w:t xml:space="preserve"> </w:t>
      </w:r>
    </w:p>
    <w:p w14:paraId="127D6762" w14:textId="6F199528" w:rsidR="00960A33" w:rsidRPr="00440D92" w:rsidRDefault="00960A33" w:rsidP="0067797D">
      <w:pPr>
        <w:pStyle w:val="SingleTxtG"/>
        <w:ind w:left="2268" w:right="1133" w:hanging="1134"/>
        <w:rPr>
          <w:rFonts w:eastAsia="Yu Mincho"/>
          <w:iCs/>
          <w:color w:val="000000" w:themeColor="text1"/>
          <w:lang w:eastAsia="ja-JP"/>
        </w:rPr>
      </w:pPr>
      <w:r w:rsidRPr="00440D92">
        <w:rPr>
          <w:rFonts w:eastAsia="Yu Mincho"/>
          <w:i/>
          <w:color w:val="000000" w:themeColor="text1"/>
          <w:lang w:eastAsia="ja-JP"/>
        </w:rPr>
        <w:t xml:space="preserve">Paragraph </w:t>
      </w:r>
      <w:r w:rsidR="00332084" w:rsidRPr="00440D92">
        <w:rPr>
          <w:rFonts w:eastAsia="Yu Mincho"/>
          <w:i/>
          <w:color w:val="000000" w:themeColor="text1"/>
          <w:lang w:eastAsia="ja-JP"/>
        </w:rPr>
        <w:t>2.1.1.</w:t>
      </w:r>
      <w:r w:rsidRPr="00440D92">
        <w:rPr>
          <w:rFonts w:eastAsia="Yu Mincho"/>
          <w:iCs/>
          <w:color w:val="000000" w:themeColor="text1"/>
          <w:lang w:eastAsia="ja-JP"/>
        </w:rPr>
        <w:t>, amend to read:</w:t>
      </w:r>
    </w:p>
    <w:p w14:paraId="6FF3D09F" w14:textId="3228643B" w:rsidR="00960A33" w:rsidRPr="00440D92" w:rsidRDefault="00960A33" w:rsidP="0067797D">
      <w:pPr>
        <w:pStyle w:val="SingleTxtG"/>
        <w:ind w:left="2268" w:right="1133" w:hanging="1134"/>
        <w:rPr>
          <w:rFonts w:eastAsia="Yu Mincho"/>
          <w:iCs/>
          <w:color w:val="000000" w:themeColor="text1"/>
          <w:lang w:eastAsia="ja-JP"/>
        </w:rPr>
      </w:pPr>
      <w:r w:rsidRPr="00440D92">
        <w:rPr>
          <w:rFonts w:eastAsia="Yu Mincho"/>
          <w:iCs/>
          <w:color w:val="000000" w:themeColor="text1"/>
          <w:lang w:eastAsia="ja-JP"/>
        </w:rPr>
        <w:t xml:space="preserve"> "</w:t>
      </w:r>
      <w:r w:rsidR="001A529C" w:rsidRPr="00440D92">
        <w:rPr>
          <w:rFonts w:eastAsia="Yu Mincho"/>
          <w:iCs/>
          <w:color w:val="000000" w:themeColor="text1"/>
          <w:lang w:eastAsia="ja-JP"/>
        </w:rPr>
        <w:t>2</w:t>
      </w:r>
      <w:r w:rsidRPr="00440D92">
        <w:rPr>
          <w:rFonts w:eastAsia="Yu Mincho"/>
          <w:iCs/>
          <w:color w:val="000000" w:themeColor="text1"/>
          <w:lang w:eastAsia="ja-JP"/>
        </w:rPr>
        <w:t>.</w:t>
      </w:r>
      <w:r w:rsidR="001A529C" w:rsidRPr="00440D92">
        <w:rPr>
          <w:rFonts w:eastAsia="Yu Mincho"/>
          <w:iCs/>
          <w:color w:val="000000" w:themeColor="text1"/>
          <w:lang w:eastAsia="ja-JP"/>
        </w:rPr>
        <w:t>1</w:t>
      </w:r>
      <w:r w:rsidRPr="00440D92">
        <w:rPr>
          <w:rFonts w:eastAsia="Yu Mincho"/>
          <w:iCs/>
          <w:color w:val="000000" w:themeColor="text1"/>
          <w:lang w:eastAsia="ja-JP"/>
        </w:rPr>
        <w:t xml:space="preserve">.1. </w:t>
      </w:r>
      <w:r w:rsidRPr="00440D92">
        <w:rPr>
          <w:rFonts w:eastAsia="Yu Mincho"/>
          <w:iCs/>
          <w:color w:val="000000" w:themeColor="text1"/>
          <w:lang w:eastAsia="ja-JP"/>
        </w:rPr>
        <w:tab/>
        <w:t xml:space="preserve">Test site </w:t>
      </w:r>
    </w:p>
    <w:p w14:paraId="709BB61D" w14:textId="77777777" w:rsidR="009B0EB4" w:rsidRPr="00440D92" w:rsidRDefault="009B0EB4" w:rsidP="0067797D">
      <w:pPr>
        <w:autoSpaceDE w:val="0"/>
        <w:autoSpaceDN w:val="0"/>
        <w:adjustRightInd w:val="0"/>
        <w:spacing w:after="120" w:line="240" w:lineRule="atLeast"/>
        <w:ind w:left="2268" w:right="1133"/>
        <w:jc w:val="both"/>
        <w:rPr>
          <w:rFonts w:ascii="Times New Roman" w:eastAsiaTheme="minorHAnsi" w:hAnsi="Times New Roman" w:cs="Times New Roman"/>
          <w:color w:val="000000" w:themeColor="text1"/>
          <w:sz w:val="20"/>
          <w:szCs w:val="20"/>
          <w:lang w:val="en-GB"/>
        </w:rPr>
      </w:pPr>
      <w:r w:rsidRPr="00440D92">
        <w:rPr>
          <w:rFonts w:ascii="Times New Roman" w:eastAsiaTheme="minorHAnsi" w:hAnsi="Times New Roman" w:cs="Times New Roman"/>
          <w:color w:val="000000" w:themeColor="text1"/>
          <w:sz w:val="20"/>
          <w:szCs w:val="20"/>
          <w:lang w:val="en-GB"/>
        </w:rPr>
        <w:t xml:space="preserve">The test site shall consist of a central acceleration track surrounded by a substantially level test area. The test track shall be level; the track surface shall be dry and so designed that rolling sound remains low. </w:t>
      </w:r>
    </w:p>
    <w:p w14:paraId="20A67BD6" w14:textId="77777777" w:rsidR="009B0EB4" w:rsidRPr="00440D92" w:rsidRDefault="009B0EB4" w:rsidP="0067797D">
      <w:pPr>
        <w:autoSpaceDE w:val="0"/>
        <w:autoSpaceDN w:val="0"/>
        <w:adjustRightInd w:val="0"/>
        <w:spacing w:after="120" w:line="240" w:lineRule="atLeast"/>
        <w:ind w:left="2268" w:right="1133"/>
        <w:jc w:val="both"/>
        <w:rPr>
          <w:rFonts w:ascii="Times New Roman" w:eastAsiaTheme="minorHAnsi" w:hAnsi="Times New Roman" w:cs="Times New Roman"/>
          <w:color w:val="000000" w:themeColor="text1"/>
          <w:sz w:val="20"/>
          <w:szCs w:val="20"/>
          <w:lang w:val="en-GB"/>
        </w:rPr>
      </w:pPr>
      <w:r w:rsidRPr="00440D92">
        <w:rPr>
          <w:rFonts w:ascii="Times New Roman" w:eastAsiaTheme="minorHAnsi" w:hAnsi="Times New Roman" w:cs="Times New Roman"/>
          <w:color w:val="000000" w:themeColor="text1"/>
          <w:sz w:val="20"/>
          <w:szCs w:val="20"/>
          <w:lang w:val="en-GB"/>
        </w:rPr>
        <w:t xml:space="preserve">On the test site, free sound field conditions shall be maintained to within </w:t>
      </w:r>
      <w:r w:rsidRPr="00440D92">
        <w:rPr>
          <w:rFonts w:ascii="Times New Roman" w:eastAsiaTheme="minorHAnsi" w:hAnsi="Times New Roman" w:cs="Times New Roman"/>
          <w:b/>
          <w:bCs/>
          <w:color w:val="000000" w:themeColor="text1"/>
          <w:sz w:val="20"/>
          <w:szCs w:val="20"/>
          <w:lang w:val="en-GB"/>
        </w:rPr>
        <w:t>±</w:t>
      </w:r>
      <w:r w:rsidRPr="00440D92">
        <w:rPr>
          <w:rFonts w:ascii="Times New Roman" w:eastAsiaTheme="minorHAnsi" w:hAnsi="Times New Roman" w:cs="Times New Roman"/>
          <w:color w:val="000000" w:themeColor="text1"/>
          <w:sz w:val="20"/>
          <w:szCs w:val="20"/>
          <w:lang w:val="en-GB"/>
        </w:rPr>
        <w:t xml:space="preserve">1 dB between the sound source placed in the middle of the acceleration section and the microphone. This condition shall be deemed to be met if there are no large sound reflecting objects such as hedges, rocks, </w:t>
      </w:r>
      <w:proofErr w:type="gramStart"/>
      <w:r w:rsidRPr="00440D92">
        <w:rPr>
          <w:rFonts w:ascii="Times New Roman" w:eastAsiaTheme="minorHAnsi" w:hAnsi="Times New Roman" w:cs="Times New Roman"/>
          <w:color w:val="000000" w:themeColor="text1"/>
          <w:sz w:val="20"/>
          <w:szCs w:val="20"/>
          <w:lang w:val="en-GB"/>
        </w:rPr>
        <w:t>bridges</w:t>
      </w:r>
      <w:proofErr w:type="gramEnd"/>
      <w:r w:rsidRPr="00440D92">
        <w:rPr>
          <w:rFonts w:ascii="Times New Roman" w:eastAsiaTheme="minorHAnsi" w:hAnsi="Times New Roman" w:cs="Times New Roman"/>
          <w:color w:val="000000" w:themeColor="text1"/>
          <w:sz w:val="20"/>
          <w:szCs w:val="20"/>
          <w:lang w:val="en-GB"/>
        </w:rPr>
        <w:t xml:space="preserve"> or buildings within 50 m of the centre of the acceleration section.</w:t>
      </w:r>
    </w:p>
    <w:p w14:paraId="2DE9799D" w14:textId="77777777" w:rsidR="009B0EB4" w:rsidRPr="00440D92" w:rsidRDefault="009B0EB4" w:rsidP="0067797D">
      <w:pPr>
        <w:autoSpaceDE w:val="0"/>
        <w:autoSpaceDN w:val="0"/>
        <w:adjustRightInd w:val="0"/>
        <w:spacing w:after="120" w:line="240" w:lineRule="atLeast"/>
        <w:ind w:left="2268" w:right="1133"/>
        <w:jc w:val="both"/>
        <w:rPr>
          <w:rFonts w:ascii="Times New Roman" w:eastAsiaTheme="minorHAnsi" w:hAnsi="Times New Roman" w:cs="Times New Roman"/>
          <w:color w:val="000000" w:themeColor="text1"/>
          <w:sz w:val="20"/>
          <w:szCs w:val="20"/>
          <w:lang w:val="en-GB"/>
        </w:rPr>
      </w:pPr>
      <w:r w:rsidRPr="00440D92">
        <w:rPr>
          <w:rFonts w:ascii="Times New Roman" w:eastAsiaTheme="minorHAnsi" w:hAnsi="Times New Roman" w:cs="Times New Roman"/>
          <w:color w:val="000000" w:themeColor="text1"/>
          <w:sz w:val="20"/>
          <w:szCs w:val="20"/>
          <w:lang w:val="en-GB"/>
        </w:rPr>
        <w:t xml:space="preserve">No obstacle likely to affect the sound field shall be close to the microphone and no one shall come between the microphone and the sound source. The observer taking the measurements shall take up position </w:t>
      </w:r>
      <w:proofErr w:type="gramStart"/>
      <w:r w:rsidRPr="00440D92">
        <w:rPr>
          <w:rFonts w:ascii="Times New Roman" w:eastAsiaTheme="minorHAnsi" w:hAnsi="Times New Roman" w:cs="Times New Roman"/>
          <w:color w:val="000000" w:themeColor="text1"/>
          <w:sz w:val="20"/>
          <w:szCs w:val="20"/>
          <w:lang w:val="en-GB"/>
        </w:rPr>
        <w:t>so as to</w:t>
      </w:r>
      <w:proofErr w:type="gramEnd"/>
      <w:r w:rsidRPr="00440D92">
        <w:rPr>
          <w:rFonts w:ascii="Times New Roman" w:eastAsiaTheme="minorHAnsi" w:hAnsi="Times New Roman" w:cs="Times New Roman"/>
          <w:color w:val="000000" w:themeColor="text1"/>
          <w:sz w:val="20"/>
          <w:szCs w:val="20"/>
          <w:lang w:val="en-GB"/>
        </w:rPr>
        <w:t xml:space="preserve"> avoid influencing the metre readings.</w:t>
      </w:r>
    </w:p>
    <w:p w14:paraId="1CA06DE6" w14:textId="34BE5AE8" w:rsidR="009B0EB4" w:rsidRPr="00F6608F" w:rsidRDefault="009B0EB4" w:rsidP="0067797D">
      <w:pPr>
        <w:autoSpaceDE w:val="0"/>
        <w:autoSpaceDN w:val="0"/>
        <w:adjustRightInd w:val="0"/>
        <w:spacing w:after="120" w:line="240" w:lineRule="atLeast"/>
        <w:ind w:left="2268" w:right="1133"/>
        <w:jc w:val="both"/>
        <w:rPr>
          <w:rFonts w:eastAsia="Yu Mincho"/>
          <w:iCs/>
          <w:color w:val="000000" w:themeColor="text1"/>
          <w:lang w:val="en-GB" w:eastAsia="ja-JP"/>
        </w:rPr>
      </w:pPr>
      <w:r w:rsidRPr="00440D92">
        <w:rPr>
          <w:rFonts w:ascii="Times New Roman" w:eastAsiaTheme="minorHAnsi" w:hAnsi="Times New Roman" w:cs="Times New Roman"/>
          <w:color w:val="000000" w:themeColor="text1"/>
          <w:sz w:val="20"/>
          <w:szCs w:val="20"/>
          <w:lang w:val="en-GB"/>
        </w:rPr>
        <w:t xml:space="preserve">The surface of the test track shall conform to </w:t>
      </w:r>
      <w:r w:rsidRPr="00440D92">
        <w:rPr>
          <w:rFonts w:ascii="Times New Roman" w:eastAsiaTheme="minorHAnsi" w:hAnsi="Times New Roman" w:cs="Times New Roman"/>
          <w:strike/>
          <w:color w:val="000000" w:themeColor="text1"/>
          <w:sz w:val="20"/>
          <w:szCs w:val="20"/>
          <w:lang w:val="en-GB"/>
        </w:rPr>
        <w:t xml:space="preserve">the requirements of Annex 5 to this Regulation or be in accordance to </w:t>
      </w:r>
      <w:r w:rsidRPr="00440D92">
        <w:rPr>
          <w:rFonts w:ascii="Times New Roman" w:eastAsiaTheme="minorHAnsi" w:hAnsi="Times New Roman" w:cs="Times New Roman"/>
          <w:color w:val="000000" w:themeColor="text1"/>
          <w:sz w:val="20"/>
          <w:szCs w:val="20"/>
          <w:lang w:val="en-GB"/>
        </w:rPr>
        <w:t xml:space="preserve">ISO 10844:2014. </w:t>
      </w:r>
      <w:r w:rsidRPr="00440D92">
        <w:rPr>
          <w:rFonts w:ascii="Times New Roman" w:eastAsiaTheme="minorHAnsi" w:hAnsi="Times New Roman" w:cs="Times New Roman"/>
          <w:strike/>
          <w:color w:val="000000" w:themeColor="text1"/>
          <w:sz w:val="20"/>
          <w:szCs w:val="20"/>
          <w:lang w:val="en-GB"/>
        </w:rPr>
        <w:t>After the end of the period indicated in paragraph 10.8 of this Regulation only ISO 10844:2014 shall be used as reference.</w:t>
      </w:r>
    </w:p>
    <w:p w14:paraId="2C291372" w14:textId="6DD835A0" w:rsidR="00960A33" w:rsidRPr="00440D92" w:rsidRDefault="00960A33" w:rsidP="007B5D64">
      <w:pPr>
        <w:pStyle w:val="SingleTxtG"/>
        <w:ind w:left="2268" w:right="1133" w:hanging="1134"/>
        <w:rPr>
          <w:i/>
          <w:color w:val="000000" w:themeColor="text1"/>
        </w:rPr>
      </w:pPr>
      <w:r w:rsidRPr="00440D92">
        <w:rPr>
          <w:i/>
          <w:color w:val="000000" w:themeColor="text1"/>
        </w:rPr>
        <w:t xml:space="preserve">Annex </w:t>
      </w:r>
      <w:r w:rsidR="007F2EF6" w:rsidRPr="00440D92">
        <w:rPr>
          <w:i/>
          <w:color w:val="000000" w:themeColor="text1"/>
        </w:rPr>
        <w:t>5</w:t>
      </w:r>
      <w:r w:rsidRPr="00440D92">
        <w:rPr>
          <w:i/>
          <w:color w:val="000000" w:themeColor="text1"/>
        </w:rPr>
        <w:t>,</w:t>
      </w:r>
    </w:p>
    <w:p w14:paraId="3EDBBA3B" w14:textId="31F35D8B" w:rsidR="00960A33" w:rsidRPr="00440D92" w:rsidRDefault="00960A33" w:rsidP="007B5D64">
      <w:pPr>
        <w:pStyle w:val="SingleTxtG"/>
        <w:ind w:left="2268" w:right="1133" w:hanging="1134"/>
        <w:rPr>
          <w:i/>
          <w:color w:val="000000" w:themeColor="text1"/>
        </w:rPr>
      </w:pPr>
      <w:r w:rsidRPr="00440D92">
        <w:rPr>
          <w:i/>
          <w:color w:val="000000" w:themeColor="text1"/>
        </w:rPr>
        <w:t>Title,</w:t>
      </w:r>
      <w:r w:rsidRPr="00440D92">
        <w:rPr>
          <w:iCs/>
          <w:color w:val="000000" w:themeColor="text1"/>
        </w:rPr>
        <w:t xml:space="preserve"> amend to read:</w:t>
      </w:r>
    </w:p>
    <w:p w14:paraId="0E843DA8" w14:textId="19CA9983" w:rsidR="00960A33" w:rsidRPr="00440D92" w:rsidRDefault="00960A33" w:rsidP="007B5D64">
      <w:pPr>
        <w:pStyle w:val="SingleTxtG"/>
        <w:ind w:left="2268" w:right="1133" w:hanging="1134"/>
        <w:rPr>
          <w:color w:val="000000" w:themeColor="text1"/>
        </w:rPr>
      </w:pPr>
      <w:r w:rsidRPr="00440D92">
        <w:rPr>
          <w:color w:val="000000" w:themeColor="text1"/>
        </w:rPr>
        <w:t>“</w:t>
      </w:r>
      <w:r w:rsidRPr="00440D92">
        <w:rPr>
          <w:strike/>
          <w:color w:val="000000" w:themeColor="text1"/>
        </w:rPr>
        <w:t>Specifications for the test site</w:t>
      </w:r>
      <w:r w:rsidR="007B5D64" w:rsidRPr="00440D92">
        <w:rPr>
          <w:strike/>
          <w:color w:val="000000" w:themeColor="text1"/>
          <w:vertAlign w:val="superscript"/>
        </w:rPr>
        <w:t>1</w:t>
      </w:r>
      <w:r w:rsidRPr="00440D92">
        <w:rPr>
          <w:color w:val="000000" w:themeColor="text1"/>
        </w:rPr>
        <w:t xml:space="preserve"> </w:t>
      </w:r>
      <w:r w:rsidRPr="00440D92">
        <w:rPr>
          <w:b/>
          <w:color w:val="000000" w:themeColor="text1"/>
        </w:rPr>
        <w:t>Test track layout</w:t>
      </w:r>
      <w:r w:rsidRPr="00440D92">
        <w:rPr>
          <w:color w:val="000000" w:themeColor="text1"/>
        </w:rPr>
        <w:t>”</w:t>
      </w:r>
    </w:p>
    <w:p w14:paraId="023E0FCE" w14:textId="77777777" w:rsidR="00960A33" w:rsidRPr="00440D9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F</w:t>
      </w:r>
      <w:r w:rsidRPr="00440D92">
        <w:rPr>
          <w:rFonts w:ascii="Times New Roman" w:hAnsi="Times New Roman" w:cs="Times New Roman"/>
          <w:i/>
          <w:iCs/>
          <w:color w:val="000000" w:themeColor="text1"/>
          <w:sz w:val="20"/>
          <w:szCs w:val="20"/>
          <w:lang w:val="en-GB"/>
        </w:rPr>
        <w:t xml:space="preserve">ootnote 1 to the title, </w:t>
      </w:r>
      <w:r w:rsidRPr="00440D92">
        <w:rPr>
          <w:rFonts w:ascii="Times New Roman" w:eastAsia="Times New Roman" w:hAnsi="Times New Roman" w:cs="Times New Roman"/>
          <w:color w:val="000000" w:themeColor="text1"/>
          <w:sz w:val="20"/>
          <w:szCs w:val="20"/>
          <w:lang w:val="en-GB"/>
        </w:rPr>
        <w:t>to be deleted.</w:t>
      </w:r>
    </w:p>
    <w:p w14:paraId="21F1070A" w14:textId="77777777" w:rsidR="00960A33" w:rsidRPr="00440D9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F</w:t>
      </w:r>
      <w:r w:rsidRPr="00440D92">
        <w:rPr>
          <w:rFonts w:ascii="Times New Roman" w:hAnsi="Times New Roman" w:cs="Times New Roman"/>
          <w:i/>
          <w:iCs/>
          <w:color w:val="000000" w:themeColor="text1"/>
          <w:sz w:val="20"/>
          <w:szCs w:val="20"/>
          <w:lang w:val="en-GB"/>
        </w:rPr>
        <w:t xml:space="preserve">ootnote 2 to paragraph 1., </w:t>
      </w:r>
      <w:r w:rsidRPr="00440D92">
        <w:rPr>
          <w:rFonts w:ascii="Times New Roman" w:eastAsia="Times New Roman" w:hAnsi="Times New Roman" w:cs="Times New Roman"/>
          <w:color w:val="000000" w:themeColor="text1"/>
          <w:sz w:val="20"/>
          <w:szCs w:val="20"/>
          <w:lang w:val="en-GB"/>
        </w:rPr>
        <w:t>to be deleted.</w:t>
      </w:r>
    </w:p>
    <w:p w14:paraId="5C01632C" w14:textId="77777777" w:rsidR="00960A33" w:rsidRPr="00440D9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 xml:space="preserve">Paragraph 1., 2., and 2.1. to 2.5., </w:t>
      </w:r>
      <w:r w:rsidRPr="00440D92">
        <w:rPr>
          <w:rFonts w:ascii="Times New Roman" w:eastAsia="Times New Roman" w:hAnsi="Times New Roman" w:cs="Times New Roman"/>
          <w:color w:val="000000" w:themeColor="text1"/>
          <w:sz w:val="20"/>
          <w:szCs w:val="20"/>
          <w:lang w:val="en-GB"/>
        </w:rPr>
        <w:t>to be deleted.</w:t>
      </w:r>
    </w:p>
    <w:p w14:paraId="3C468320" w14:textId="4611B1FE" w:rsidR="00960A33" w:rsidRPr="00440D9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Paragraph</w:t>
      </w:r>
      <w:r w:rsidR="007B5D64" w:rsidRPr="00440D92">
        <w:rPr>
          <w:rFonts w:ascii="Times New Roman" w:eastAsia="Times New Roman" w:hAnsi="Times New Roman" w:cs="Times New Roman"/>
          <w:i/>
          <w:iCs/>
          <w:color w:val="000000" w:themeColor="text1"/>
          <w:sz w:val="20"/>
          <w:szCs w:val="20"/>
          <w:lang w:val="en-GB"/>
        </w:rPr>
        <w:t>s</w:t>
      </w:r>
      <w:r w:rsidRPr="00440D92">
        <w:rPr>
          <w:rFonts w:ascii="Times New Roman" w:eastAsia="Times New Roman" w:hAnsi="Times New Roman" w:cs="Times New Roman"/>
          <w:i/>
          <w:iCs/>
          <w:color w:val="000000" w:themeColor="text1"/>
          <w:sz w:val="20"/>
          <w:szCs w:val="20"/>
          <w:lang w:val="en-GB"/>
        </w:rPr>
        <w:t xml:space="preserve"> 3., 3.1., 3.2., 3.2.1., 3.2.1.1. to 3.2.1.4., and 3.2.2., </w:t>
      </w:r>
      <w:r w:rsidRPr="00440D92">
        <w:rPr>
          <w:rFonts w:ascii="Times New Roman" w:eastAsia="Times New Roman" w:hAnsi="Times New Roman" w:cs="Times New Roman"/>
          <w:color w:val="000000" w:themeColor="text1"/>
          <w:sz w:val="20"/>
          <w:szCs w:val="20"/>
          <w:lang w:val="en-GB"/>
        </w:rPr>
        <w:t>to be deleted.</w:t>
      </w:r>
    </w:p>
    <w:p w14:paraId="78212AED" w14:textId="2447CCB6" w:rsidR="00960A33" w:rsidRPr="00440D92" w:rsidRDefault="00960A33" w:rsidP="007B5D64">
      <w:pPr>
        <w:keepNext/>
        <w:keepLines/>
        <w:suppressAutoHyphens/>
        <w:spacing w:after="120" w:line="240" w:lineRule="atLeast"/>
        <w:ind w:left="1134" w:right="1133"/>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Figure 1</w:t>
      </w:r>
      <w:r w:rsidRPr="00440D92">
        <w:rPr>
          <w:rFonts w:ascii="Times New Roman" w:eastAsia="Times New Roman" w:hAnsi="Times New Roman" w:cs="Times New Roman"/>
          <w:color w:val="000000" w:themeColor="text1"/>
          <w:sz w:val="20"/>
          <w:szCs w:val="20"/>
          <w:lang w:val="en-GB"/>
        </w:rPr>
        <w:t>, amend to read:</w:t>
      </w:r>
    </w:p>
    <w:p w14:paraId="25FDE4E9" w14:textId="77777777" w:rsidR="00EF4A58" w:rsidRPr="00440D92" w:rsidRDefault="00EF4A58">
      <w:pPr>
        <w:rPr>
          <w:rFonts w:ascii="Times New Roman" w:eastAsia="Times New Roman" w:hAnsi="Times New Roman" w:cs="Times New Roman"/>
          <w:bCs/>
          <w:color w:val="000000" w:themeColor="text1"/>
          <w:sz w:val="20"/>
          <w:szCs w:val="20"/>
          <w:lang w:val="en-GB"/>
        </w:rPr>
      </w:pPr>
      <w:r w:rsidRPr="00440D92">
        <w:rPr>
          <w:bCs/>
          <w:color w:val="000000" w:themeColor="text1"/>
          <w:lang w:val="en-US"/>
        </w:rPr>
        <w:br w:type="page"/>
      </w:r>
    </w:p>
    <w:p w14:paraId="474234AC" w14:textId="1256ABDB" w:rsidR="007B5D64" w:rsidRPr="00440D92" w:rsidRDefault="001C60E2" w:rsidP="007B5D64">
      <w:pPr>
        <w:pStyle w:val="SingleTxtG"/>
        <w:spacing w:after="0"/>
        <w:ind w:left="2268" w:hanging="1134"/>
        <w:rPr>
          <w:bCs/>
          <w:color w:val="000000" w:themeColor="text1"/>
        </w:rPr>
      </w:pPr>
      <w:r w:rsidRPr="00440D92">
        <w:rPr>
          <w:bCs/>
          <w:color w:val="000000" w:themeColor="text1"/>
        </w:rPr>
        <w:lastRenderedPageBreak/>
        <w:t>“</w:t>
      </w:r>
      <w:r w:rsidR="00AE271E" w:rsidRPr="00440D92">
        <w:rPr>
          <w:bCs/>
          <w:color w:val="000000" w:themeColor="text1"/>
        </w:rPr>
        <w:t xml:space="preserve">Figure 1 </w:t>
      </w:r>
    </w:p>
    <w:p w14:paraId="02761D8B" w14:textId="1262A3DE" w:rsidR="00AE271E" w:rsidRPr="00440D92" w:rsidRDefault="00AE271E" w:rsidP="007B5D64">
      <w:pPr>
        <w:pStyle w:val="SingleTxtG"/>
        <w:ind w:left="2268" w:right="1133" w:hanging="1134"/>
        <w:rPr>
          <w:b/>
          <w:color w:val="000000" w:themeColor="text1"/>
        </w:rPr>
      </w:pPr>
      <w:r w:rsidRPr="00440D92">
        <w:rPr>
          <w:b/>
          <w:color w:val="000000" w:themeColor="text1"/>
        </w:rPr>
        <w:t>Test track layout</w:t>
      </w:r>
      <w:r w:rsidR="00592D54" w:rsidRPr="00440D92">
        <w:rPr>
          <w:b/>
          <w:color w:val="000000" w:themeColor="text1"/>
        </w:rPr>
        <w:t xml:space="preserve"> with dimensions in meters</w:t>
      </w:r>
    </w:p>
    <w:p w14:paraId="2F1BF2B1" w14:textId="77777777" w:rsidR="00592D54" w:rsidRPr="00440D92" w:rsidRDefault="00592D54" w:rsidP="00592D54">
      <w:pPr>
        <w:ind w:left="284"/>
        <w:rPr>
          <w:rFonts w:ascii="Times New Roman" w:hAnsi="Times New Roman" w:cs="Times New Roman"/>
          <w:color w:val="000000" w:themeColor="text1"/>
          <w:lang w:val="en-GB"/>
        </w:rPr>
      </w:pPr>
      <w:r w:rsidRPr="00440D92">
        <w:rPr>
          <w:rFonts w:ascii="Times New Roman" w:hAnsi="Times New Roman" w:cs="Times New Roman"/>
          <w:noProof/>
          <w:color w:val="000000" w:themeColor="text1"/>
          <w:lang w:val="en-GB"/>
        </w:rPr>
        <w:drawing>
          <wp:inline distT="0" distB="0" distL="0" distR="0" wp14:anchorId="6CEF50EB" wp14:editId="340025C8">
            <wp:extent cx="5940425" cy="3378200"/>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3A2A1C" w14:textId="77777777" w:rsidR="00592D54" w:rsidRPr="00440D92" w:rsidRDefault="00592D54" w:rsidP="00592D54">
      <w:pPr>
        <w:keepNext/>
        <w:keepLines/>
        <w:suppressAutoHyphens/>
        <w:spacing w:before="240" w:after="0" w:line="240" w:lineRule="auto"/>
        <w:ind w:left="1134" w:right="850"/>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color w:val="000000" w:themeColor="text1"/>
          <w:sz w:val="20"/>
          <w:szCs w:val="20"/>
          <w:lang w:val="en-GB"/>
        </w:rPr>
        <w:t>Key</w:t>
      </w:r>
    </w:p>
    <w:tbl>
      <w:tblPr>
        <w:tblStyle w:val="TableGrid"/>
        <w:tblW w:w="0" w:type="auto"/>
        <w:tblInd w:w="1134" w:type="dxa"/>
        <w:tblLayout w:type="fixed"/>
        <w:tblLook w:val="04A0" w:firstRow="1" w:lastRow="0" w:firstColumn="1" w:lastColumn="0" w:noHBand="0" w:noVBand="1"/>
      </w:tblPr>
      <w:tblGrid>
        <w:gridCol w:w="1129"/>
        <w:gridCol w:w="7082"/>
      </w:tblGrid>
      <w:tr w:rsidR="000F03F4" w:rsidRPr="00F6608F" w14:paraId="60315DE9" w14:textId="77777777" w:rsidTr="00F409F4">
        <w:trPr>
          <w:trHeight w:val="567"/>
        </w:trPr>
        <w:tc>
          <w:tcPr>
            <w:tcW w:w="1129" w:type="dxa"/>
            <w:vAlign w:val="center"/>
          </w:tcPr>
          <w:p w14:paraId="786E4B89" w14:textId="77777777" w:rsidR="00592D54" w:rsidRPr="00440D92" w:rsidRDefault="00592D54" w:rsidP="00F409F4">
            <w:pPr>
              <w:keepNext/>
              <w:keepLines/>
              <w:suppressAutoHyphens/>
              <w:spacing w:before="240"/>
              <w:ind w:right="850"/>
              <w:jc w:val="center"/>
              <w:outlineLvl w:val="0"/>
              <w:rPr>
                <w:rFonts w:ascii="Times New Roman" w:eastAsia="Times New Roman" w:hAnsi="Times New Roman" w:cs="Times New Roman"/>
                <w:color w:val="000000" w:themeColor="text1"/>
                <w:sz w:val="20"/>
                <w:szCs w:val="20"/>
                <w:lang w:val="en-GB"/>
              </w:rPr>
            </w:pPr>
            <w:r w:rsidRPr="00440D92">
              <w:rPr>
                <w:noProof/>
                <w:color w:val="000000" w:themeColor="text1"/>
              </w:rPr>
              <w:drawing>
                <wp:anchor distT="0" distB="0" distL="114300" distR="114300" simplePos="0" relativeHeight="251659264" behindDoc="1" locked="0" layoutInCell="1" allowOverlap="1" wp14:anchorId="04B63E67" wp14:editId="5E84B99A">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D92">
              <w:rPr>
                <w:noProof/>
                <w:color w:val="000000" w:themeColor="text1"/>
              </w:rPr>
              <w:drawing>
                <wp:inline distT="0" distB="0" distL="0" distR="0" wp14:anchorId="24D12E07" wp14:editId="07DF774C">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789" cy="334045"/>
                          </a:xfrm>
                          <a:prstGeom prst="rect">
                            <a:avLst/>
                          </a:prstGeom>
                        </pic:spPr>
                      </pic:pic>
                    </a:graphicData>
                  </a:graphic>
                </wp:inline>
              </w:drawing>
            </w:r>
          </w:p>
        </w:tc>
        <w:tc>
          <w:tcPr>
            <w:tcW w:w="7082" w:type="dxa"/>
            <w:vAlign w:val="center"/>
          </w:tcPr>
          <w:p w14:paraId="3A54BF08" w14:textId="77777777" w:rsidR="00592D54" w:rsidRPr="00440D92" w:rsidRDefault="00592D54" w:rsidP="00F409F4">
            <w:pPr>
              <w:keepNext/>
              <w:keepLines/>
              <w:suppressAutoHyphens/>
              <w:spacing w:before="240"/>
              <w:ind w:right="850"/>
              <w:outlineLvl w:val="0"/>
              <w:rPr>
                <w:rFonts w:ascii="Times New Roman" w:eastAsia="Times New Roman" w:hAnsi="Times New Roman" w:cs="Times New Roman"/>
                <w:color w:val="000000" w:themeColor="text1"/>
                <w:sz w:val="20"/>
                <w:szCs w:val="20"/>
                <w:lang w:val="en-US"/>
              </w:rPr>
            </w:pPr>
            <w:r w:rsidRPr="00440D92">
              <w:rPr>
                <w:rFonts w:ascii="Times New Roman" w:eastAsia="Times New Roman" w:hAnsi="Times New Roman" w:cs="Times New Roman"/>
                <w:color w:val="000000" w:themeColor="text1"/>
                <w:sz w:val="20"/>
                <w:szCs w:val="20"/>
                <w:lang w:val="en-GB"/>
              </w:rPr>
              <w:t>Minimum area covered with test road surface, i.e. test area</w:t>
            </w:r>
          </w:p>
        </w:tc>
      </w:tr>
      <w:tr w:rsidR="000F03F4" w:rsidRPr="00440D92" w14:paraId="227E28F6" w14:textId="77777777" w:rsidTr="00F409F4">
        <w:trPr>
          <w:trHeight w:val="663"/>
        </w:trPr>
        <w:tc>
          <w:tcPr>
            <w:tcW w:w="1129" w:type="dxa"/>
            <w:vAlign w:val="center"/>
          </w:tcPr>
          <w:p w14:paraId="60ECA2D6" w14:textId="77777777" w:rsidR="00592D54" w:rsidRPr="00440D92" w:rsidRDefault="00592D54" w:rsidP="00F409F4">
            <w:pPr>
              <w:keepNext/>
              <w:keepLines/>
              <w:suppressAutoHyphens/>
              <w:spacing w:before="100" w:beforeAutospacing="1"/>
              <w:ind w:right="33"/>
              <w:outlineLvl w:val="0"/>
              <w:rPr>
                <w:rFonts w:ascii="Times New Roman" w:eastAsia="Times New Roman" w:hAnsi="Times New Roman" w:cs="Times New Roman"/>
                <w:color w:val="000000" w:themeColor="text1"/>
                <w:sz w:val="20"/>
                <w:szCs w:val="20"/>
                <w:lang w:val="en-GB"/>
              </w:rPr>
            </w:pPr>
          </w:p>
        </w:tc>
        <w:tc>
          <w:tcPr>
            <w:tcW w:w="7082" w:type="dxa"/>
          </w:tcPr>
          <w:p w14:paraId="712FDADC" w14:textId="77777777" w:rsidR="00592D54" w:rsidRPr="00440D92" w:rsidRDefault="00592D54" w:rsidP="00F409F4">
            <w:pPr>
              <w:keepNext/>
              <w:keepLines/>
              <w:suppressAutoHyphens/>
              <w:outlineLvl w:val="0"/>
              <w:rPr>
                <w:rFonts w:ascii="Times New Roman" w:eastAsia="Times New Roman" w:hAnsi="Times New Roman" w:cs="Times New Roman"/>
                <w:color w:val="000000" w:themeColor="text1"/>
                <w:sz w:val="20"/>
                <w:szCs w:val="20"/>
                <w:lang w:val="en-GB"/>
              </w:rPr>
            </w:pPr>
          </w:p>
          <w:p w14:paraId="53EC1212" w14:textId="77777777" w:rsidR="00592D54" w:rsidRPr="00440D92" w:rsidRDefault="00592D54" w:rsidP="00F409F4">
            <w:pPr>
              <w:keepNext/>
              <w:keepLines/>
              <w:suppressAutoHyphens/>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color w:val="000000" w:themeColor="text1"/>
                <w:sz w:val="20"/>
                <w:szCs w:val="20"/>
                <w:lang w:val="en-GB"/>
              </w:rPr>
              <w:t>Microphone positions (height 1,2m)</w:t>
            </w:r>
          </w:p>
        </w:tc>
      </w:tr>
    </w:tbl>
    <w:p w14:paraId="2BFD4954" w14:textId="4E707849" w:rsidR="00362AE0" w:rsidRPr="00440D92" w:rsidRDefault="00EB3FE4" w:rsidP="00592D54">
      <w:pPr>
        <w:keepNext/>
        <w:keepLines/>
        <w:suppressAutoHyphens/>
        <w:spacing w:before="120" w:after="120" w:line="240" w:lineRule="atLeast"/>
        <w:ind w:left="1134" w:right="851"/>
        <w:outlineLvl w:val="0"/>
        <w:rPr>
          <w:rFonts w:ascii="Times New Roman" w:eastAsia="Times New Roman" w:hAnsi="Times New Roman" w:cs="Times New Roman"/>
          <w:b/>
          <w:bCs/>
          <w:i/>
          <w:iCs/>
          <w:color w:val="000000" w:themeColor="text1"/>
          <w:sz w:val="20"/>
          <w:szCs w:val="20"/>
          <w:lang w:val="en-GB"/>
        </w:rPr>
      </w:pPr>
      <w:r w:rsidRPr="00440D92">
        <w:rPr>
          <w:rFonts w:ascii="Times New Roman" w:eastAsia="Times New Roman" w:hAnsi="Times New Roman" w:cs="Times New Roman"/>
          <w:b/>
          <w:bCs/>
          <w:i/>
          <w:iCs/>
          <w:sz w:val="20"/>
          <w:szCs w:val="20"/>
          <w:lang w:val="en-GB"/>
        </w:rPr>
        <w:t>Source: ISO 10844</w:t>
      </w:r>
      <w:r w:rsidR="001C60E2" w:rsidRPr="00440D92">
        <w:rPr>
          <w:rFonts w:ascii="Times New Roman" w:eastAsia="Times New Roman" w:hAnsi="Times New Roman" w:cs="Times New Roman"/>
          <w:b/>
          <w:bCs/>
          <w:i/>
          <w:iCs/>
          <w:color w:val="000000" w:themeColor="text1"/>
          <w:sz w:val="20"/>
          <w:szCs w:val="20"/>
          <w:lang w:val="en-GB"/>
        </w:rPr>
        <w:t>:1994, with modifications.</w:t>
      </w:r>
      <w:r w:rsidR="001C60E2" w:rsidRPr="00440D92">
        <w:rPr>
          <w:rFonts w:ascii="Times New Roman" w:eastAsia="Times New Roman" w:hAnsi="Times New Roman" w:cs="Times New Roman"/>
          <w:i/>
          <w:iCs/>
          <w:color w:val="000000" w:themeColor="text1"/>
          <w:sz w:val="20"/>
          <w:szCs w:val="20"/>
          <w:lang w:val="en-GB"/>
        </w:rPr>
        <w:t>”</w:t>
      </w:r>
    </w:p>
    <w:p w14:paraId="54FD16E4" w14:textId="4442E841" w:rsidR="00960A33" w:rsidRPr="00440D92" w:rsidRDefault="00960A33" w:rsidP="00592D54">
      <w:pPr>
        <w:keepNext/>
        <w:keepLines/>
        <w:suppressAutoHyphens/>
        <w:spacing w:before="120" w:after="120" w:line="240" w:lineRule="atLeast"/>
        <w:ind w:left="1134" w:right="851"/>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 xml:space="preserve">Figure 2 and Table 1, </w:t>
      </w:r>
      <w:r w:rsidRPr="00440D92">
        <w:rPr>
          <w:rFonts w:ascii="Times New Roman" w:eastAsia="Times New Roman" w:hAnsi="Times New Roman" w:cs="Times New Roman"/>
          <w:color w:val="000000" w:themeColor="text1"/>
          <w:sz w:val="20"/>
          <w:szCs w:val="20"/>
          <w:lang w:val="en-GB"/>
        </w:rPr>
        <w:t>to be deleted.</w:t>
      </w:r>
    </w:p>
    <w:p w14:paraId="0C64127B" w14:textId="77777777" w:rsidR="00960A33" w:rsidRPr="00440D92" w:rsidRDefault="00960A33" w:rsidP="007B5D64">
      <w:pPr>
        <w:keepNext/>
        <w:keepLines/>
        <w:suppressAutoHyphens/>
        <w:spacing w:after="120" w:line="240" w:lineRule="atLeast"/>
        <w:ind w:left="1134" w:right="851"/>
        <w:outlineLvl w:val="0"/>
        <w:rPr>
          <w:rFonts w:ascii="Times New Roman" w:eastAsia="Times New Roman" w:hAnsi="Times New Roman" w:cs="Times New Roman"/>
          <w:color w:val="000000" w:themeColor="text1"/>
          <w:sz w:val="20"/>
          <w:szCs w:val="20"/>
          <w:lang w:val="en-GB"/>
        </w:rPr>
      </w:pPr>
      <w:r w:rsidRPr="00440D92">
        <w:rPr>
          <w:rFonts w:ascii="Times New Roman" w:eastAsia="Times New Roman" w:hAnsi="Times New Roman" w:cs="Times New Roman"/>
          <w:i/>
          <w:iCs/>
          <w:color w:val="000000" w:themeColor="text1"/>
          <w:sz w:val="20"/>
          <w:szCs w:val="20"/>
          <w:lang w:val="en-GB"/>
        </w:rPr>
        <w:t xml:space="preserve">Paragraph 4., 4.1. to 4.3., 5. and 5.1. to 5.3., </w:t>
      </w:r>
      <w:r w:rsidRPr="00440D92">
        <w:rPr>
          <w:rFonts w:ascii="Times New Roman" w:eastAsia="Times New Roman" w:hAnsi="Times New Roman" w:cs="Times New Roman"/>
          <w:color w:val="000000" w:themeColor="text1"/>
          <w:sz w:val="20"/>
          <w:szCs w:val="20"/>
          <w:lang w:val="en-GB"/>
        </w:rPr>
        <w:t>to be deleted.</w:t>
      </w:r>
    </w:p>
    <w:p w14:paraId="2F6B2693" w14:textId="3D63B09A" w:rsidR="00960A33" w:rsidRPr="00440D92" w:rsidRDefault="00960A33" w:rsidP="007B5D64">
      <w:pPr>
        <w:keepNext/>
        <w:keepLines/>
        <w:suppressAutoHyphens/>
        <w:spacing w:after="120" w:line="240" w:lineRule="atLeast"/>
        <w:ind w:left="1134" w:right="851"/>
        <w:outlineLvl w:val="0"/>
        <w:rPr>
          <w:color w:val="000000" w:themeColor="text1"/>
          <w:lang w:val="en-US"/>
        </w:rPr>
      </w:pPr>
      <w:r w:rsidRPr="00440D92">
        <w:rPr>
          <w:rFonts w:ascii="Times New Roman" w:eastAsia="Times New Roman" w:hAnsi="Times New Roman" w:cs="Times New Roman"/>
          <w:i/>
          <w:iCs/>
          <w:color w:val="000000" w:themeColor="text1"/>
          <w:sz w:val="20"/>
          <w:szCs w:val="20"/>
          <w:lang w:val="en-GB"/>
        </w:rPr>
        <w:t xml:space="preserve">Paragraph 6., 6.1., 6.1.1. to 6.1.6., 6.1.6.1. to 6.1.6.7. and 6.2., </w:t>
      </w:r>
      <w:r w:rsidRPr="00440D92">
        <w:rPr>
          <w:rFonts w:ascii="Times New Roman" w:eastAsia="Times New Roman" w:hAnsi="Times New Roman" w:cs="Times New Roman"/>
          <w:color w:val="000000" w:themeColor="text1"/>
          <w:sz w:val="20"/>
          <w:szCs w:val="20"/>
          <w:lang w:val="en-GB"/>
        </w:rPr>
        <w:t>to be deleted.</w:t>
      </w:r>
    </w:p>
    <w:p w14:paraId="3CB39B89" w14:textId="77777777" w:rsidR="00960A33" w:rsidRPr="00440D92" w:rsidRDefault="00960A33" w:rsidP="007B5D64">
      <w:pPr>
        <w:pStyle w:val="HChG"/>
        <w:ind w:hanging="567"/>
        <w:rPr>
          <w:color w:val="000000" w:themeColor="text1"/>
        </w:rPr>
      </w:pPr>
      <w:r w:rsidRPr="00440D92">
        <w:rPr>
          <w:color w:val="000000" w:themeColor="text1"/>
        </w:rPr>
        <w:t xml:space="preserve">II. </w:t>
      </w:r>
      <w:r w:rsidRPr="00440D92">
        <w:rPr>
          <w:color w:val="000000" w:themeColor="text1"/>
        </w:rPr>
        <w:tab/>
        <w:t>Justification</w:t>
      </w:r>
    </w:p>
    <w:p w14:paraId="7A4E33EE" w14:textId="214E0B60" w:rsidR="00D94A6D" w:rsidRPr="00440D92" w:rsidRDefault="00D94A6D" w:rsidP="00FC02A6">
      <w:pPr>
        <w:pStyle w:val="CommentText"/>
        <w:numPr>
          <w:ilvl w:val="0"/>
          <w:numId w:val="1"/>
        </w:numPr>
        <w:spacing w:after="120"/>
        <w:ind w:left="1134" w:right="1134" w:firstLine="0"/>
        <w:jc w:val="both"/>
        <w:rPr>
          <w:color w:val="000000" w:themeColor="text1"/>
        </w:rPr>
      </w:pPr>
      <w:r w:rsidRPr="00440D92">
        <w:rPr>
          <w:color w:val="000000" w:themeColor="text1"/>
        </w:rPr>
        <w:t>This proposal aims to align the 02 series of amendments to UN Regulation No. 63 with ISO 10844:2014, eliminating provisions which are carried over from ISO 10844:199</w:t>
      </w:r>
      <w:r w:rsidR="00440D92">
        <w:rPr>
          <w:color w:val="000000" w:themeColor="text1"/>
        </w:rPr>
        <w:t>4</w:t>
      </w:r>
      <w:r w:rsidRPr="00440D92">
        <w:rPr>
          <w:color w:val="000000" w:themeColor="text1"/>
        </w:rPr>
        <w:t xml:space="preserve">, except for Figure 1 of Annex 5 which is referred to as explanations of the test track layout. </w:t>
      </w:r>
    </w:p>
    <w:p w14:paraId="19552434" w14:textId="5F115920" w:rsidR="00D94A6D" w:rsidRPr="00440D92" w:rsidRDefault="00D94A6D" w:rsidP="00FC02A6">
      <w:pPr>
        <w:pStyle w:val="CommentText"/>
        <w:numPr>
          <w:ilvl w:val="1"/>
          <w:numId w:val="1"/>
        </w:numPr>
        <w:spacing w:after="120"/>
        <w:ind w:left="1134" w:right="1134" w:firstLine="0"/>
        <w:jc w:val="both"/>
        <w:rPr>
          <w:color w:val="000000" w:themeColor="text1"/>
        </w:rPr>
      </w:pPr>
      <w:r w:rsidRPr="00440D92">
        <w:rPr>
          <w:color w:val="000000" w:themeColor="text1"/>
        </w:rPr>
        <w:t>As from 20 January 2021, the specifications for the test site reproduced in Annex 5 will not be valid anymore but will be substituted by the provisions of ISO</w:t>
      </w:r>
      <w:r w:rsidR="005C6C4C">
        <w:rPr>
          <w:color w:val="000000" w:themeColor="text1"/>
        </w:rPr>
        <w:t xml:space="preserve"> </w:t>
      </w:r>
      <w:r w:rsidRPr="00440D92">
        <w:rPr>
          <w:color w:val="000000" w:themeColor="text1"/>
        </w:rPr>
        <w:t>10844:2014.</w:t>
      </w:r>
    </w:p>
    <w:p w14:paraId="00FA4837" w14:textId="437C0390" w:rsidR="00647E25" w:rsidRPr="00440D92" w:rsidRDefault="00647E25" w:rsidP="00FC02A6">
      <w:pPr>
        <w:pStyle w:val="CommentText"/>
        <w:numPr>
          <w:ilvl w:val="1"/>
          <w:numId w:val="1"/>
        </w:numPr>
        <w:spacing w:after="120"/>
        <w:ind w:left="1134" w:right="1134" w:firstLine="0"/>
        <w:jc w:val="both"/>
        <w:rPr>
          <w:color w:val="000000" w:themeColor="text1"/>
        </w:rPr>
      </w:pPr>
      <w:r w:rsidRPr="00440D92">
        <w:rPr>
          <w:color w:val="000000" w:themeColor="text1"/>
        </w:rPr>
        <w:t xml:space="preserve">The date of 20 January 2021 derives from 60 months after the entry into force of Supplement </w:t>
      </w:r>
      <w:r w:rsidR="00A44D76" w:rsidRPr="00440D92">
        <w:rPr>
          <w:color w:val="000000" w:themeColor="text1"/>
        </w:rPr>
        <w:t>1</w:t>
      </w:r>
      <w:r w:rsidRPr="00440D92">
        <w:rPr>
          <w:color w:val="000000" w:themeColor="text1"/>
        </w:rPr>
        <w:t xml:space="preserve"> to the 0</w:t>
      </w:r>
      <w:r w:rsidR="008E6A2F" w:rsidRPr="00440D92">
        <w:rPr>
          <w:color w:val="000000" w:themeColor="text1"/>
        </w:rPr>
        <w:t>2</w:t>
      </w:r>
      <w:r w:rsidRPr="00440D92">
        <w:rPr>
          <w:color w:val="000000" w:themeColor="text1"/>
        </w:rPr>
        <w:t xml:space="preserve"> series of amendments</w:t>
      </w:r>
      <w:r w:rsidR="001376F4" w:rsidRPr="00440D92">
        <w:rPr>
          <w:color w:val="000000" w:themeColor="text1"/>
        </w:rPr>
        <w:t>, according to</w:t>
      </w:r>
      <w:r w:rsidRPr="00440D92">
        <w:rPr>
          <w:color w:val="000000" w:themeColor="text1"/>
        </w:rPr>
        <w:t xml:space="preserve"> paragraph 1</w:t>
      </w:r>
      <w:r w:rsidR="00AB7D7E" w:rsidRPr="00440D92">
        <w:rPr>
          <w:color w:val="000000" w:themeColor="text1"/>
        </w:rPr>
        <w:t>0</w:t>
      </w:r>
      <w:r w:rsidRPr="00440D92">
        <w:rPr>
          <w:color w:val="000000" w:themeColor="text1"/>
        </w:rPr>
        <w:t>.</w:t>
      </w:r>
      <w:r w:rsidR="00A44D76" w:rsidRPr="00440D92">
        <w:rPr>
          <w:color w:val="000000" w:themeColor="text1"/>
        </w:rPr>
        <w:t>8</w:t>
      </w:r>
      <w:r w:rsidRPr="00440D92">
        <w:rPr>
          <w:color w:val="000000" w:themeColor="text1"/>
        </w:rPr>
        <w:t>. below</w:t>
      </w:r>
      <w:r w:rsidR="001376F4" w:rsidRPr="00440D92">
        <w:rPr>
          <w:color w:val="000000" w:themeColor="text1"/>
        </w:rPr>
        <w:t>:</w:t>
      </w:r>
    </w:p>
    <w:p w14:paraId="66160969" w14:textId="3D00A4F3" w:rsidR="005B1946" w:rsidRPr="00440D92" w:rsidRDefault="001376F4" w:rsidP="005C6C4C">
      <w:pPr>
        <w:pStyle w:val="CommentText"/>
        <w:spacing w:after="120"/>
        <w:ind w:left="2268" w:right="1134" w:hanging="1134"/>
        <w:jc w:val="both"/>
        <w:rPr>
          <w:i/>
          <w:iCs/>
          <w:color w:val="000000" w:themeColor="text1"/>
        </w:rPr>
      </w:pPr>
      <w:r w:rsidRPr="00440D92">
        <w:rPr>
          <w:i/>
          <w:iCs/>
          <w:color w:val="000000" w:themeColor="text1"/>
        </w:rPr>
        <w:t>"</w:t>
      </w:r>
      <w:r w:rsidR="00C80F8B" w:rsidRPr="00440D92">
        <w:rPr>
          <w:i/>
          <w:iCs/>
          <w:color w:val="000000" w:themeColor="text1"/>
        </w:rPr>
        <w:t>1</w:t>
      </w:r>
      <w:r w:rsidR="00AB7D7E" w:rsidRPr="00440D92">
        <w:rPr>
          <w:i/>
          <w:iCs/>
          <w:color w:val="000000" w:themeColor="text1"/>
        </w:rPr>
        <w:t>0</w:t>
      </w:r>
      <w:r w:rsidR="00C80F8B" w:rsidRPr="00440D92">
        <w:rPr>
          <w:i/>
          <w:iCs/>
          <w:color w:val="000000" w:themeColor="text1"/>
        </w:rPr>
        <w:t>.</w:t>
      </w:r>
      <w:r w:rsidR="00A44D76" w:rsidRPr="00440D92">
        <w:rPr>
          <w:i/>
          <w:iCs/>
          <w:color w:val="000000" w:themeColor="text1"/>
        </w:rPr>
        <w:t>8</w:t>
      </w:r>
      <w:r w:rsidRPr="00440D92">
        <w:rPr>
          <w:i/>
          <w:iCs/>
          <w:color w:val="000000" w:themeColor="text1"/>
        </w:rPr>
        <w:t>.</w:t>
      </w:r>
      <w:r w:rsidR="00C80F8B" w:rsidRPr="00440D92">
        <w:rPr>
          <w:i/>
          <w:iCs/>
          <w:color w:val="000000" w:themeColor="text1"/>
        </w:rPr>
        <w:t xml:space="preserve"> </w:t>
      </w:r>
      <w:r w:rsidR="00C80F8B" w:rsidRPr="00440D92">
        <w:rPr>
          <w:i/>
          <w:iCs/>
          <w:color w:val="000000" w:themeColor="text1"/>
        </w:rPr>
        <w:tab/>
        <w:t xml:space="preserve">As from 60 months after the date of entry into force of Supplement </w:t>
      </w:r>
      <w:r w:rsidR="00A44D76" w:rsidRPr="00440D92">
        <w:rPr>
          <w:i/>
          <w:iCs/>
          <w:color w:val="000000" w:themeColor="text1"/>
        </w:rPr>
        <w:t>1</w:t>
      </w:r>
      <w:r w:rsidR="00C80F8B" w:rsidRPr="00440D92">
        <w:rPr>
          <w:i/>
          <w:iCs/>
          <w:color w:val="000000" w:themeColor="text1"/>
        </w:rPr>
        <w:t xml:space="preserve"> to the 0</w:t>
      </w:r>
      <w:r w:rsidR="00AB7D7E" w:rsidRPr="00440D92">
        <w:rPr>
          <w:i/>
          <w:iCs/>
          <w:color w:val="000000" w:themeColor="text1"/>
        </w:rPr>
        <w:t>2</w:t>
      </w:r>
      <w:r w:rsidR="00C80F8B" w:rsidRPr="00440D92">
        <w:rPr>
          <w:i/>
          <w:iCs/>
          <w:color w:val="000000" w:themeColor="text1"/>
        </w:rPr>
        <w:t xml:space="preserve"> series of amendments to this Regulation, Contracting Parties applying this Regulation shall grant type approvals only if the vehicles type to be approved meets the requirements of this Regulation as amended by Supplement </w:t>
      </w:r>
      <w:r w:rsidR="00A44D76" w:rsidRPr="00440D92">
        <w:rPr>
          <w:i/>
          <w:iCs/>
          <w:color w:val="000000" w:themeColor="text1"/>
        </w:rPr>
        <w:t>1</w:t>
      </w:r>
      <w:r w:rsidR="00C80F8B" w:rsidRPr="00440D92">
        <w:rPr>
          <w:i/>
          <w:iCs/>
          <w:color w:val="000000" w:themeColor="text1"/>
        </w:rPr>
        <w:t xml:space="preserve"> to the 0</w:t>
      </w:r>
      <w:r w:rsidR="00AB7D7E" w:rsidRPr="00440D92">
        <w:rPr>
          <w:i/>
          <w:iCs/>
          <w:color w:val="000000" w:themeColor="text1"/>
        </w:rPr>
        <w:t>2</w:t>
      </w:r>
      <w:r w:rsidR="00C80F8B" w:rsidRPr="00440D92">
        <w:rPr>
          <w:i/>
          <w:iCs/>
          <w:color w:val="000000" w:themeColor="text1"/>
        </w:rPr>
        <w:t xml:space="preserve"> series of amendments to this Regulation.</w:t>
      </w:r>
      <w:r w:rsidRPr="00440D92">
        <w:rPr>
          <w:i/>
          <w:iCs/>
          <w:color w:val="000000" w:themeColor="text1"/>
        </w:rPr>
        <w:t>"</w:t>
      </w:r>
    </w:p>
    <w:p w14:paraId="5895CD5D" w14:textId="26EBF39B" w:rsidR="00362AE0" w:rsidRPr="00440D92" w:rsidRDefault="00787417" w:rsidP="005C6C4C">
      <w:pPr>
        <w:pStyle w:val="CommentText"/>
        <w:numPr>
          <w:ilvl w:val="0"/>
          <w:numId w:val="1"/>
        </w:numPr>
        <w:spacing w:after="120"/>
        <w:ind w:left="1134" w:right="1134" w:firstLine="0"/>
        <w:jc w:val="both"/>
        <w:rPr>
          <w:color w:val="000000" w:themeColor="text1"/>
        </w:rPr>
      </w:pPr>
      <w:r w:rsidRPr="00440D92">
        <w:rPr>
          <w:color w:val="000000" w:themeColor="text1"/>
        </w:rPr>
        <w:t>IMMA would like to replace the current Figure 1 of Annex</w:t>
      </w:r>
      <w:r w:rsidR="003A1D36" w:rsidRPr="00440D92">
        <w:rPr>
          <w:color w:val="000000" w:themeColor="text1"/>
        </w:rPr>
        <w:t xml:space="preserve"> 5</w:t>
      </w:r>
      <w:r w:rsidRPr="00440D92">
        <w:rPr>
          <w:color w:val="000000" w:themeColor="text1"/>
        </w:rPr>
        <w:t xml:space="preserve"> with the one</w:t>
      </w:r>
      <w:r w:rsidR="00362AE0" w:rsidRPr="00440D92">
        <w:rPr>
          <w:color w:val="000000" w:themeColor="text1"/>
        </w:rPr>
        <w:t xml:space="preserve"> above</w:t>
      </w:r>
      <w:r w:rsidRPr="00440D92">
        <w:rPr>
          <w:color w:val="000000" w:themeColor="text1"/>
        </w:rPr>
        <w:t xml:space="preserve"> in </w:t>
      </w:r>
      <w:r w:rsidR="00000115">
        <w:rPr>
          <w:color w:val="000000" w:themeColor="text1"/>
        </w:rPr>
        <w:t xml:space="preserve">a </w:t>
      </w:r>
      <w:r w:rsidRPr="00440D92">
        <w:rPr>
          <w:color w:val="000000" w:themeColor="text1"/>
        </w:rPr>
        <w:t>higher resolution.</w:t>
      </w:r>
      <w:r w:rsidR="00362AE0" w:rsidRPr="00440D92">
        <w:rPr>
          <w:color w:val="000000" w:themeColor="text1"/>
        </w:rPr>
        <w:t xml:space="preserve"> Such figure derives from an older version of ISO 10844; it was then </w:t>
      </w:r>
      <w:r w:rsidR="00362AE0" w:rsidRPr="00440D92">
        <w:rPr>
          <w:color w:val="000000" w:themeColor="text1"/>
        </w:rPr>
        <w:lastRenderedPageBreak/>
        <w:t xml:space="preserve">modified to include a picture of a motorcycle that was not in 10844. </w:t>
      </w:r>
      <w:r w:rsidR="001C60E2" w:rsidRPr="00440D92">
        <w:rPr>
          <w:color w:val="000000" w:themeColor="text1"/>
        </w:rPr>
        <w:t>ISO has confirmed permission</w:t>
      </w:r>
      <w:r w:rsidR="00362AE0" w:rsidRPr="00440D92">
        <w:rPr>
          <w:color w:val="000000" w:themeColor="text1"/>
        </w:rPr>
        <w:t xml:space="preserve"> to use such </w:t>
      </w:r>
      <w:r w:rsidR="00000115">
        <w:rPr>
          <w:color w:val="000000" w:themeColor="text1"/>
        </w:rPr>
        <w:t xml:space="preserve">a </w:t>
      </w:r>
      <w:r w:rsidR="00362AE0" w:rsidRPr="00440D92">
        <w:rPr>
          <w:color w:val="000000" w:themeColor="text1"/>
        </w:rPr>
        <w:t>figure.</w:t>
      </w:r>
    </w:p>
    <w:p w14:paraId="572FA850" w14:textId="18C21A83" w:rsidR="00D94A6D" w:rsidRPr="00440D92" w:rsidRDefault="000569F8" w:rsidP="000569F8">
      <w:pPr>
        <w:pStyle w:val="CommentText"/>
        <w:numPr>
          <w:ilvl w:val="0"/>
          <w:numId w:val="1"/>
        </w:numPr>
        <w:spacing w:after="120"/>
        <w:ind w:left="1134" w:right="1134" w:firstLine="0"/>
        <w:jc w:val="both"/>
        <w:rPr>
          <w:color w:val="000000" w:themeColor="text1"/>
        </w:rPr>
      </w:pPr>
      <w:r w:rsidRPr="000569F8">
        <w:rPr>
          <w:color w:val="000000" w:themeColor="text1"/>
        </w:rPr>
        <w:t xml:space="preserve">This proposal aims to apply the same changes to UN Regulation No. </w:t>
      </w:r>
      <w:r>
        <w:rPr>
          <w:color w:val="000000" w:themeColor="text1"/>
        </w:rPr>
        <w:t>63</w:t>
      </w:r>
      <w:r w:rsidRPr="000569F8">
        <w:rPr>
          <w:color w:val="000000" w:themeColor="text1"/>
        </w:rPr>
        <w:t xml:space="preserve"> as adopted at the seventy-second session of </w:t>
      </w:r>
      <w:r w:rsidR="00E829FC">
        <w:rPr>
          <w:color w:val="000000" w:themeColor="text1"/>
        </w:rPr>
        <w:t xml:space="preserve">the </w:t>
      </w:r>
      <w:r w:rsidRPr="000569F8">
        <w:rPr>
          <w:color w:val="000000" w:themeColor="text1"/>
        </w:rPr>
        <w:t>Working Party on Noise and Tyres (GRBP) (ECE/TRANS/WP.29/GRBP/2020/18) for UN Regulation No. 41, in addition to changing the transitional provisions.</w:t>
      </w:r>
      <w:r>
        <w:rPr>
          <w:color w:val="000000" w:themeColor="text1"/>
        </w:rPr>
        <w:t xml:space="preserve"> </w:t>
      </w:r>
    </w:p>
    <w:p w14:paraId="37D10AE2" w14:textId="1FEC0535" w:rsidR="00D94A6D" w:rsidRPr="00440D92" w:rsidRDefault="006140B6" w:rsidP="00D94A6D">
      <w:pPr>
        <w:pStyle w:val="CommentText"/>
        <w:numPr>
          <w:ilvl w:val="0"/>
          <w:numId w:val="1"/>
        </w:numPr>
        <w:tabs>
          <w:tab w:val="left" w:pos="1418"/>
        </w:tabs>
        <w:spacing w:after="120"/>
        <w:ind w:left="1494" w:right="1134"/>
        <w:jc w:val="both"/>
        <w:rPr>
          <w:color w:val="000000" w:themeColor="text1"/>
        </w:rPr>
      </w:pPr>
      <w:r>
        <w:rPr>
          <w:color w:val="000000" w:themeColor="text1"/>
        </w:rPr>
        <w:tab/>
      </w:r>
      <w:r>
        <w:rPr>
          <w:color w:val="000000" w:themeColor="text1"/>
        </w:rPr>
        <w:tab/>
      </w:r>
      <w:r w:rsidR="00D94A6D" w:rsidRPr="00440D92">
        <w:rPr>
          <w:color w:val="000000" w:themeColor="text1"/>
        </w:rPr>
        <w:t>Transitional Provisions</w:t>
      </w:r>
    </w:p>
    <w:p w14:paraId="13132343" w14:textId="2E2C2F18" w:rsidR="00FC0FAA" w:rsidRPr="00440D92" w:rsidRDefault="008E6A2F" w:rsidP="00EF0B3C">
      <w:pPr>
        <w:pStyle w:val="CommentText"/>
        <w:numPr>
          <w:ilvl w:val="1"/>
          <w:numId w:val="1"/>
        </w:numPr>
        <w:spacing w:after="120"/>
        <w:ind w:left="1134" w:right="1134" w:firstLine="0"/>
        <w:jc w:val="both"/>
        <w:rPr>
          <w:color w:val="000000" w:themeColor="text1"/>
        </w:rPr>
      </w:pPr>
      <w:r w:rsidRPr="00440D92">
        <w:rPr>
          <w:color w:val="000000" w:themeColor="text1"/>
        </w:rPr>
        <w:t>Because paragraph 2.1.1</w:t>
      </w:r>
      <w:r w:rsidR="00F6608F">
        <w:rPr>
          <w:color w:val="000000" w:themeColor="text1"/>
        </w:rPr>
        <w:t>.</w:t>
      </w:r>
      <w:r w:rsidRPr="00440D92">
        <w:rPr>
          <w:color w:val="000000" w:themeColor="text1"/>
        </w:rPr>
        <w:t xml:space="preserve"> of Annex 3 has been replaced by the content of </w:t>
      </w:r>
      <w:r w:rsidR="00F95E39" w:rsidRPr="00440D92">
        <w:rPr>
          <w:color w:val="000000" w:themeColor="text1"/>
        </w:rPr>
        <w:t>this amendment proposal</w:t>
      </w:r>
      <w:r w:rsidRPr="00440D92">
        <w:rPr>
          <w:color w:val="000000" w:themeColor="text1"/>
        </w:rPr>
        <w:t>, paragraphs 10.7</w:t>
      </w:r>
      <w:r w:rsidR="00F6608F">
        <w:rPr>
          <w:color w:val="000000" w:themeColor="text1"/>
        </w:rPr>
        <w:t>.</w:t>
      </w:r>
      <w:r w:rsidRPr="00440D92">
        <w:rPr>
          <w:color w:val="000000" w:themeColor="text1"/>
        </w:rPr>
        <w:t xml:space="preserve"> and 10.8</w:t>
      </w:r>
      <w:r w:rsidR="00F6608F">
        <w:rPr>
          <w:color w:val="000000" w:themeColor="text1"/>
        </w:rPr>
        <w:t>.</w:t>
      </w:r>
      <w:r w:rsidRPr="00440D92">
        <w:rPr>
          <w:color w:val="000000" w:themeColor="text1"/>
        </w:rPr>
        <w:t xml:space="preserve"> are no longer necessary.</w:t>
      </w:r>
    </w:p>
    <w:p w14:paraId="3946FBD0" w14:textId="50F2D60D" w:rsidR="00B6116D" w:rsidRPr="00440D92" w:rsidRDefault="00EB4671" w:rsidP="00EF0B3C">
      <w:pPr>
        <w:pStyle w:val="CommentText"/>
        <w:numPr>
          <w:ilvl w:val="1"/>
          <w:numId w:val="1"/>
        </w:numPr>
        <w:spacing w:after="120"/>
        <w:ind w:left="1134" w:right="1134" w:firstLine="0"/>
        <w:jc w:val="both"/>
        <w:rPr>
          <w:color w:val="000000" w:themeColor="text1"/>
        </w:rPr>
      </w:pPr>
      <w:bookmarkStart w:id="1" w:name="_Hlk75767591"/>
      <w:r w:rsidRPr="00EB4671">
        <w:rPr>
          <w:color w:val="000000" w:themeColor="text1"/>
        </w:rPr>
        <w:t>The transitional provisions have been aligned to the latest Transitional Guidelines, notably for paras. 1</w:t>
      </w:r>
      <w:r>
        <w:rPr>
          <w:color w:val="000000" w:themeColor="text1"/>
        </w:rPr>
        <w:t>0</w:t>
      </w:r>
      <w:r w:rsidRPr="00EB4671">
        <w:rPr>
          <w:color w:val="000000" w:themeColor="text1"/>
        </w:rPr>
        <w:t>.3</w:t>
      </w:r>
      <w:r w:rsidR="00F6608F">
        <w:rPr>
          <w:color w:val="000000" w:themeColor="text1"/>
        </w:rPr>
        <w:t>.</w:t>
      </w:r>
      <w:r w:rsidRPr="00EB4671">
        <w:rPr>
          <w:color w:val="000000" w:themeColor="text1"/>
        </w:rPr>
        <w:t xml:space="preserve"> and 1</w:t>
      </w:r>
      <w:r>
        <w:rPr>
          <w:color w:val="000000" w:themeColor="text1"/>
        </w:rPr>
        <w:t>0</w:t>
      </w:r>
      <w:r w:rsidRPr="00EB4671">
        <w:rPr>
          <w:color w:val="000000" w:themeColor="text1"/>
        </w:rPr>
        <w:t>.4</w:t>
      </w:r>
      <w:r w:rsidR="00F6608F">
        <w:rPr>
          <w:color w:val="000000" w:themeColor="text1"/>
        </w:rPr>
        <w:t>.</w:t>
      </w:r>
      <w:r w:rsidRPr="00EB4671">
        <w:rPr>
          <w:color w:val="000000" w:themeColor="text1"/>
        </w:rPr>
        <w:t xml:space="preserve"> which were respectively aligned to paras. V.9 and V.9bis. of the Transitional Guidelines (ECE/TRANS/WP.29/1044/Rev.3).</w:t>
      </w:r>
    </w:p>
    <w:bookmarkEnd w:id="1"/>
    <w:p w14:paraId="7EF810D5" w14:textId="266AE56E" w:rsidR="009825CE" w:rsidRPr="000F03F4" w:rsidRDefault="006E11CB" w:rsidP="006E11CB">
      <w:pPr>
        <w:spacing w:before="240" w:after="0" w:line="240" w:lineRule="atLeast"/>
        <w:jc w:val="center"/>
        <w:rPr>
          <w:color w:val="000000" w:themeColor="text1"/>
          <w:u w:val="single"/>
          <w:lang w:val="en-GB"/>
        </w:rPr>
      </w:pPr>
      <w:r w:rsidRPr="000F03F4">
        <w:rPr>
          <w:color w:val="000000" w:themeColor="text1"/>
          <w:u w:val="single"/>
          <w:lang w:val="en-GB"/>
        </w:rPr>
        <w:tab/>
      </w:r>
      <w:r w:rsidRPr="000F03F4">
        <w:rPr>
          <w:color w:val="000000" w:themeColor="text1"/>
          <w:u w:val="single"/>
          <w:lang w:val="en-GB"/>
        </w:rPr>
        <w:tab/>
      </w:r>
      <w:r w:rsidRPr="000F03F4">
        <w:rPr>
          <w:color w:val="000000" w:themeColor="text1"/>
          <w:u w:val="single"/>
          <w:lang w:val="en-GB"/>
        </w:rPr>
        <w:tab/>
      </w:r>
    </w:p>
    <w:sectPr w:rsidR="009825CE" w:rsidRPr="000F03F4" w:rsidSect="006E11CB">
      <w:headerReference w:type="even" r:id="rId16"/>
      <w:headerReference w:type="default" r:id="rId17"/>
      <w:footerReference w:type="even" r:id="rId18"/>
      <w:footerReference w:type="default" r:id="rId19"/>
      <w:footerReference w:type="first" r:id="rId2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1CF8" w14:textId="77777777" w:rsidR="00E4419A" w:rsidRDefault="00E4419A" w:rsidP="00960A33">
      <w:pPr>
        <w:spacing w:after="0" w:line="240" w:lineRule="auto"/>
      </w:pPr>
      <w:r>
        <w:separator/>
      </w:r>
    </w:p>
  </w:endnote>
  <w:endnote w:type="continuationSeparator" w:id="0">
    <w:p w14:paraId="6466F6AD" w14:textId="77777777" w:rsidR="00E4419A" w:rsidRDefault="00E4419A" w:rsidP="009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512A" w14:textId="0D5E4AEF" w:rsidR="00EF4A58" w:rsidRDefault="00EF4A58" w:rsidP="00EF4A5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B9F6" w14:textId="5F977FC9" w:rsidR="00EF4A58" w:rsidRDefault="00EF4A58" w:rsidP="00EF4A5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91D8" w14:textId="4CEB7D58" w:rsidR="00F35B3D" w:rsidRDefault="00F35B3D" w:rsidP="00F35B3D">
    <w:pPr>
      <w:pStyle w:val="Footer"/>
    </w:pPr>
    <w:r w:rsidRPr="0027112F">
      <w:rPr>
        <w:noProof/>
        <w:lang w:val="en-US"/>
      </w:rPr>
      <w:drawing>
        <wp:anchor distT="0" distB="0" distL="114300" distR="114300" simplePos="0" relativeHeight="251659264" behindDoc="0" locked="1" layoutInCell="1" allowOverlap="1" wp14:anchorId="70E0B232" wp14:editId="77212092">
          <wp:simplePos x="0" y="0"/>
          <wp:positionH relativeFrom="column">
            <wp:posOffset>4558030</wp:posOffset>
          </wp:positionH>
          <wp:positionV relativeFrom="page">
            <wp:posOffset>10128250</wp:posOffset>
          </wp:positionV>
          <wp:extent cx="932400" cy="230400"/>
          <wp:effectExtent l="0" t="0" r="1270" b="0"/>
          <wp:wrapNone/>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348000" w14:textId="68829EFF" w:rsidR="00F35B3D" w:rsidRPr="00F35B3D" w:rsidRDefault="00F35B3D" w:rsidP="00F35B3D">
    <w:pPr>
      <w:pStyle w:val="Footer"/>
      <w:ind w:right="1134"/>
      <w:rPr>
        <w:sz w:val="20"/>
      </w:rPr>
    </w:pPr>
    <w:r>
      <w:rPr>
        <w:sz w:val="20"/>
      </w:rPr>
      <w:t>GE.21-09071(E)</w:t>
    </w:r>
    <w:r>
      <w:rPr>
        <w:noProof/>
        <w:sz w:val="20"/>
      </w:rPr>
      <w:drawing>
        <wp:anchor distT="0" distB="0" distL="114300" distR="114300" simplePos="0" relativeHeight="251660288" behindDoc="0" locked="0" layoutInCell="1" allowOverlap="1" wp14:anchorId="43DA0742" wp14:editId="71746E86">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BF20" w14:textId="77777777" w:rsidR="00E4419A" w:rsidRDefault="00E4419A" w:rsidP="00960A33">
      <w:pPr>
        <w:spacing w:after="0" w:line="240" w:lineRule="auto"/>
      </w:pPr>
      <w:r>
        <w:separator/>
      </w:r>
    </w:p>
  </w:footnote>
  <w:footnote w:type="continuationSeparator" w:id="0">
    <w:p w14:paraId="42A56127" w14:textId="77777777" w:rsidR="00E4419A" w:rsidRDefault="00E4419A" w:rsidP="00960A33">
      <w:pPr>
        <w:spacing w:after="0" w:line="240" w:lineRule="auto"/>
      </w:pPr>
      <w:r>
        <w:continuationSeparator/>
      </w:r>
    </w:p>
  </w:footnote>
  <w:footnote w:id="1">
    <w:p w14:paraId="45F77D4A" w14:textId="16ED8B69" w:rsidR="00206BD1" w:rsidRPr="00EA370C" w:rsidRDefault="00206BD1" w:rsidP="00F6608F">
      <w:pPr>
        <w:pStyle w:val="FootnoteText"/>
        <w:rPr>
          <w:lang w:val="en-US"/>
        </w:rPr>
      </w:pPr>
      <w:r>
        <w:tab/>
      </w:r>
      <w:r w:rsidRPr="00EA370C">
        <w:rPr>
          <w:rStyle w:val="FootnoteReference"/>
          <w:sz w:val="20"/>
          <w:lang w:val="en-US"/>
        </w:rPr>
        <w:t>*</w:t>
      </w:r>
      <w:r w:rsidRPr="00EA370C">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28B3" w14:textId="72AFFDE6" w:rsidR="001F64F2" w:rsidRPr="001F64F2" w:rsidRDefault="001F64F2" w:rsidP="001F64F2">
    <w:pPr>
      <w:pBdr>
        <w:bottom w:val="single" w:sz="4" w:space="4" w:color="auto"/>
      </w:pBdr>
      <w:suppressAutoHyphens/>
      <w:spacing w:after="0" w:line="240" w:lineRule="auto"/>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w:t>
    </w:r>
    <w:r w:rsidRPr="008120DB">
      <w:rPr>
        <w:rFonts w:ascii="Times New Roman" w:eastAsia="Times New Roman" w:hAnsi="Times New Roman" w:cs="Times New Roman"/>
        <w:b/>
        <w:sz w:val="18"/>
        <w:szCs w:val="20"/>
        <w:lang w:val="en-GB"/>
      </w:rPr>
      <w:t>GRBP/202</w:t>
    </w:r>
    <w:r w:rsidR="001E7E41" w:rsidRPr="008120DB">
      <w:rPr>
        <w:rFonts w:ascii="Times New Roman" w:eastAsia="Times New Roman" w:hAnsi="Times New Roman" w:cs="Times New Roman"/>
        <w:b/>
        <w:sz w:val="18"/>
        <w:szCs w:val="20"/>
        <w:lang w:val="en-GB"/>
      </w:rPr>
      <w:t>1</w:t>
    </w:r>
    <w:r w:rsidR="007C0B6A">
      <w:rPr>
        <w:rFonts w:ascii="Times New Roman" w:eastAsia="Times New Roman" w:hAnsi="Times New Roman" w:cs="Times New Roman"/>
        <w:b/>
        <w:sz w:val="18"/>
        <w:szCs w:val="20"/>
        <w:lang w:val="en-GB"/>
      </w:rPr>
      <w:t>/24</w:t>
    </w:r>
  </w:p>
  <w:p w14:paraId="3DFFF0EF" w14:textId="77777777" w:rsidR="001F64F2" w:rsidRDefault="001F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1ADC" w14:textId="17D035AF" w:rsidR="00EF4A58" w:rsidRPr="00EF4A58" w:rsidRDefault="00EF4A58" w:rsidP="00EF4A58">
    <w:pPr>
      <w:pBdr>
        <w:bottom w:val="single" w:sz="4" w:space="4" w:color="auto"/>
      </w:pBdr>
      <w:suppressAutoHyphens/>
      <w:spacing w:after="0" w:line="240" w:lineRule="auto"/>
      <w:jc w:val="right"/>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ECE/TRANS/WP.29/GRBP/202</w:t>
    </w:r>
    <w:r w:rsidR="007C0B6A">
      <w:rPr>
        <w:rFonts w:ascii="Times New Roman" w:eastAsia="Times New Roman" w:hAnsi="Times New Roman" w:cs="Times New Roman"/>
        <w:b/>
        <w:sz w:val="18"/>
        <w:szCs w:val="20"/>
        <w:lang w:val="en-GB"/>
      </w:rPr>
      <w:t>1</w:t>
    </w:r>
    <w:r w:rsidRPr="001F64F2">
      <w:rPr>
        <w:rFonts w:ascii="Times New Roman" w:eastAsia="Times New Roman" w:hAnsi="Times New Roman" w:cs="Times New Roman"/>
        <w:b/>
        <w:sz w:val="18"/>
        <w:szCs w:val="20"/>
        <w:lang w:val="en-GB"/>
      </w:rPr>
      <w:t>/</w:t>
    </w:r>
    <w:r w:rsidR="007C0B6A">
      <w:rPr>
        <w:rFonts w:ascii="Times New Roman" w:eastAsia="Times New Roman" w:hAnsi="Times New Roman" w:cs="Times New Roman"/>
        <w:b/>
        <w:sz w:val="18"/>
        <w:szCs w:val="20"/>
        <w:lang w:val="en-GB"/>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466AB"/>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67"/>
  <w:evenAndOddHeaders/>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33"/>
    <w:rsid w:val="00000115"/>
    <w:rsid w:val="0003751B"/>
    <w:rsid w:val="00047858"/>
    <w:rsid w:val="000569F8"/>
    <w:rsid w:val="0007642D"/>
    <w:rsid w:val="000873D5"/>
    <w:rsid w:val="000F03F4"/>
    <w:rsid w:val="000F1D0F"/>
    <w:rsid w:val="00101856"/>
    <w:rsid w:val="00122458"/>
    <w:rsid w:val="001376F4"/>
    <w:rsid w:val="001A529C"/>
    <w:rsid w:val="001C60E2"/>
    <w:rsid w:val="001D16E6"/>
    <w:rsid w:val="001D4F3C"/>
    <w:rsid w:val="001E7E41"/>
    <w:rsid w:val="001F64F2"/>
    <w:rsid w:val="00206BD1"/>
    <w:rsid w:val="00207569"/>
    <w:rsid w:val="0021037C"/>
    <w:rsid w:val="00224459"/>
    <w:rsid w:val="00250936"/>
    <w:rsid w:val="0028078F"/>
    <w:rsid w:val="002A5E14"/>
    <w:rsid w:val="002E4DC4"/>
    <w:rsid w:val="00332084"/>
    <w:rsid w:val="00334201"/>
    <w:rsid w:val="00334926"/>
    <w:rsid w:val="00362AE0"/>
    <w:rsid w:val="00376408"/>
    <w:rsid w:val="00382DF3"/>
    <w:rsid w:val="00392747"/>
    <w:rsid w:val="003A1D36"/>
    <w:rsid w:val="003B6F1B"/>
    <w:rsid w:val="003E4DDF"/>
    <w:rsid w:val="00440D92"/>
    <w:rsid w:val="004466F0"/>
    <w:rsid w:val="004B6C11"/>
    <w:rsid w:val="004E4149"/>
    <w:rsid w:val="00585D7A"/>
    <w:rsid w:val="00590A98"/>
    <w:rsid w:val="00592D54"/>
    <w:rsid w:val="005B1946"/>
    <w:rsid w:val="005C6C4C"/>
    <w:rsid w:val="006140B6"/>
    <w:rsid w:val="00632415"/>
    <w:rsid w:val="00647E25"/>
    <w:rsid w:val="0067797D"/>
    <w:rsid w:val="006B3F2C"/>
    <w:rsid w:val="006C7810"/>
    <w:rsid w:val="006E11CB"/>
    <w:rsid w:val="006E53CD"/>
    <w:rsid w:val="006F4129"/>
    <w:rsid w:val="00713262"/>
    <w:rsid w:val="007153E3"/>
    <w:rsid w:val="00763AD5"/>
    <w:rsid w:val="007702EA"/>
    <w:rsid w:val="00787417"/>
    <w:rsid w:val="007B5D64"/>
    <w:rsid w:val="007C0B6A"/>
    <w:rsid w:val="007D74DB"/>
    <w:rsid w:val="007F2EF6"/>
    <w:rsid w:val="008120DB"/>
    <w:rsid w:val="008A72E4"/>
    <w:rsid w:val="008E101B"/>
    <w:rsid w:val="008E6A2F"/>
    <w:rsid w:val="0093178C"/>
    <w:rsid w:val="00960A33"/>
    <w:rsid w:val="009825CE"/>
    <w:rsid w:val="009B0EB4"/>
    <w:rsid w:val="00A221CA"/>
    <w:rsid w:val="00A44D76"/>
    <w:rsid w:val="00A81927"/>
    <w:rsid w:val="00AB7D7E"/>
    <w:rsid w:val="00AC0CAF"/>
    <w:rsid w:val="00AE271E"/>
    <w:rsid w:val="00B216F3"/>
    <w:rsid w:val="00B30A35"/>
    <w:rsid w:val="00B329C7"/>
    <w:rsid w:val="00B4672B"/>
    <w:rsid w:val="00B6116D"/>
    <w:rsid w:val="00B74C9D"/>
    <w:rsid w:val="00B74D00"/>
    <w:rsid w:val="00C57BED"/>
    <w:rsid w:val="00C80F8B"/>
    <w:rsid w:val="00CC1937"/>
    <w:rsid w:val="00CC6DA2"/>
    <w:rsid w:val="00CE160A"/>
    <w:rsid w:val="00CE2D17"/>
    <w:rsid w:val="00D11204"/>
    <w:rsid w:val="00D36101"/>
    <w:rsid w:val="00D53404"/>
    <w:rsid w:val="00D63E44"/>
    <w:rsid w:val="00D6447B"/>
    <w:rsid w:val="00D94A6D"/>
    <w:rsid w:val="00DE6104"/>
    <w:rsid w:val="00E01531"/>
    <w:rsid w:val="00E33B75"/>
    <w:rsid w:val="00E4419A"/>
    <w:rsid w:val="00E55B4C"/>
    <w:rsid w:val="00E829FC"/>
    <w:rsid w:val="00EB3FE4"/>
    <w:rsid w:val="00EB4671"/>
    <w:rsid w:val="00EE7A1E"/>
    <w:rsid w:val="00EF0B3C"/>
    <w:rsid w:val="00EF4A58"/>
    <w:rsid w:val="00F30EF9"/>
    <w:rsid w:val="00F35B3D"/>
    <w:rsid w:val="00F6608F"/>
    <w:rsid w:val="00F7283B"/>
    <w:rsid w:val="00F84229"/>
    <w:rsid w:val="00F95E39"/>
    <w:rsid w:val="00FB0CC0"/>
    <w:rsid w:val="00FC02A6"/>
    <w:rsid w:val="00FC0FAA"/>
    <w:rsid w:val="00FE4CC1"/>
    <w:rsid w:val="00FE71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6A07D395"/>
  <w15:chartTrackingRefBased/>
  <w15:docId w15:val="{31F4FCEE-C744-4F63-952E-D7EBC70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33"/>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A33"/>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960A33"/>
    <w:rPr>
      <w:rFonts w:ascii="Segoe UI" w:hAnsi="Segoe UI" w:cs="Segoe UI"/>
      <w:sz w:val="18"/>
      <w:szCs w:val="18"/>
    </w:rPr>
  </w:style>
  <w:style w:type="paragraph" w:customStyle="1" w:styleId="SingleTxtG">
    <w:name w:val="_ Single Txt_G"/>
    <w:basedOn w:val="Normal"/>
    <w:link w:val="SingleTxtGChar"/>
    <w:qFormat/>
    <w:rsid w:val="00960A3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Fußnotenzeichen"/>
    <w:uiPriority w:val="99"/>
    <w:qFormat/>
    <w:rsid w:val="00960A33"/>
    <w:rPr>
      <w:rFonts w:ascii="Times New Roman" w:hAnsi="Times New Roman"/>
      <w:sz w:val="18"/>
      <w:vertAlign w:val="superscript"/>
    </w:rPr>
  </w:style>
  <w:style w:type="paragraph" w:styleId="FootnoteText">
    <w:name w:val="footnote text"/>
    <w:aliases w:val="5_G,PP,5_G_6,Fußnotentext"/>
    <w:basedOn w:val="Normal"/>
    <w:link w:val="FootnoteTextChar1"/>
    <w:qFormat/>
    <w:rsid w:val="00960A3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_6 Char"/>
    <w:basedOn w:val="DefaultParagraphFont"/>
    <w:uiPriority w:val="99"/>
    <w:rsid w:val="00960A33"/>
    <w:rPr>
      <w:rFonts w:eastAsia="MS Mincho"/>
      <w:sz w:val="20"/>
      <w:szCs w:val="20"/>
      <w:lang w:val="de-AT"/>
    </w:rPr>
  </w:style>
  <w:style w:type="character" w:customStyle="1" w:styleId="FootnoteTextChar1">
    <w:name w:val="Footnote Text Char1"/>
    <w:aliases w:val="5_G Char,PP Char,5_G_6 Char1,Fußnotentext Char"/>
    <w:basedOn w:val="DefaultParagraphFont"/>
    <w:link w:val="FootnoteText"/>
    <w:rsid w:val="00960A33"/>
    <w:rPr>
      <w:rFonts w:ascii="Times New Roman" w:eastAsia="Times New Roman" w:hAnsi="Times New Roman" w:cs="Times New Roman"/>
      <w:sz w:val="18"/>
      <w:szCs w:val="20"/>
    </w:rPr>
  </w:style>
  <w:style w:type="character" w:customStyle="1" w:styleId="SingleTxtGChar">
    <w:name w:val="_ Single Txt_G Char"/>
    <w:link w:val="SingleTxtG"/>
    <w:qFormat/>
    <w:rsid w:val="00960A33"/>
    <w:rPr>
      <w:rFonts w:ascii="Times New Roman" w:eastAsia="Times New Roman" w:hAnsi="Times New Roman" w:cs="Times New Roman"/>
      <w:sz w:val="20"/>
      <w:szCs w:val="20"/>
    </w:rPr>
  </w:style>
  <w:style w:type="character" w:styleId="CommentReference">
    <w:name w:val="annotation reference"/>
    <w:semiHidden/>
    <w:rsid w:val="00960A33"/>
    <w:rPr>
      <w:sz w:val="6"/>
    </w:rPr>
  </w:style>
  <w:style w:type="paragraph" w:styleId="CommentText">
    <w:name w:val="annotation text"/>
    <w:basedOn w:val="Normal"/>
    <w:link w:val="CommentTextChar"/>
    <w:semiHidden/>
    <w:rsid w:val="00960A33"/>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60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4DB"/>
    <w:pPr>
      <w:suppressAutoHyphens w:val="0"/>
      <w:spacing w:after="160" w:line="240" w:lineRule="auto"/>
    </w:pPr>
    <w:rPr>
      <w:rFonts w:asciiTheme="minorHAnsi" w:eastAsia="MS Mincho" w:hAnsiTheme="minorHAnsi" w:cstheme="minorBidi"/>
      <w:b/>
      <w:bCs/>
      <w:lang w:val="de-AT"/>
    </w:rPr>
  </w:style>
  <w:style w:type="character" w:customStyle="1" w:styleId="CommentSubjectChar">
    <w:name w:val="Comment Subject Char"/>
    <w:basedOn w:val="CommentTextChar"/>
    <w:link w:val="CommentSubject"/>
    <w:uiPriority w:val="99"/>
    <w:semiHidden/>
    <w:rsid w:val="007D74DB"/>
    <w:rPr>
      <w:rFonts w:ascii="Times New Roman" w:eastAsia="MS Mincho" w:hAnsi="Times New Roman" w:cs="Times New Roman"/>
      <w:b/>
      <w:bCs/>
      <w:sz w:val="20"/>
      <w:szCs w:val="20"/>
      <w:lang w:val="de-AT"/>
    </w:rPr>
  </w:style>
  <w:style w:type="paragraph" w:customStyle="1" w:styleId="HChG">
    <w:name w:val="_ H _Ch_G"/>
    <w:basedOn w:val="Normal"/>
    <w:next w:val="Normal"/>
    <w:link w:val="HChGChar"/>
    <w:qFormat/>
    <w:rsid w:val="00D11204"/>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sz w:val="28"/>
      <w:szCs w:val="20"/>
      <w:lang w:val="en-GB"/>
    </w:rPr>
  </w:style>
  <w:style w:type="paragraph" w:customStyle="1" w:styleId="H1G">
    <w:name w:val="_ H_1_G"/>
    <w:basedOn w:val="Normal"/>
    <w:next w:val="Normal"/>
    <w:link w:val="H1GChar"/>
    <w:qFormat/>
    <w:rsid w:val="00D11204"/>
    <w:pPr>
      <w:keepNext/>
      <w:keepLines/>
      <w:tabs>
        <w:tab w:val="right" w:pos="851"/>
      </w:tabs>
      <w:suppressAutoHyphens/>
      <w:spacing w:before="360" w:after="240" w:line="270" w:lineRule="exact"/>
      <w:ind w:left="1134" w:right="1134" w:hanging="1134"/>
    </w:pPr>
    <w:rPr>
      <w:rFonts w:ascii="Times New Roman" w:eastAsiaTheme="minorEastAsia" w:hAnsi="Times New Roman" w:cs="Times New Roman"/>
      <w:b/>
      <w:sz w:val="24"/>
      <w:szCs w:val="20"/>
      <w:lang w:val="en-GB"/>
    </w:rPr>
  </w:style>
  <w:style w:type="character" w:customStyle="1" w:styleId="HChGChar">
    <w:name w:val="_ H _Ch_G Char"/>
    <w:link w:val="HChG"/>
    <w:rsid w:val="00D11204"/>
    <w:rPr>
      <w:rFonts w:ascii="Times New Roman" w:eastAsiaTheme="minorEastAsia" w:hAnsi="Times New Roman" w:cs="Times New Roman"/>
      <w:b/>
      <w:sz w:val="28"/>
      <w:szCs w:val="20"/>
    </w:rPr>
  </w:style>
  <w:style w:type="character" w:customStyle="1" w:styleId="H1GChar">
    <w:name w:val="_ H_1_G Char"/>
    <w:link w:val="H1G"/>
    <w:rsid w:val="00D11204"/>
    <w:rPr>
      <w:rFonts w:ascii="Times New Roman" w:eastAsiaTheme="minorEastAsia" w:hAnsi="Times New Roman" w:cs="Times New Roman"/>
      <w:b/>
      <w:sz w:val="24"/>
      <w:szCs w:val="20"/>
    </w:rPr>
  </w:style>
  <w:style w:type="paragraph" w:styleId="Header">
    <w:name w:val="header"/>
    <w:basedOn w:val="Normal"/>
    <w:link w:val="HeaderChar"/>
    <w:uiPriority w:val="99"/>
    <w:unhideWhenUsed/>
    <w:rsid w:val="001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58"/>
    <w:rPr>
      <w:rFonts w:eastAsia="MS Mincho"/>
      <w:lang w:val="de-AT"/>
    </w:rPr>
  </w:style>
  <w:style w:type="paragraph" w:styleId="Footer">
    <w:name w:val="footer"/>
    <w:aliases w:val="3_G"/>
    <w:basedOn w:val="Normal"/>
    <w:link w:val="FooterChar"/>
    <w:unhideWhenUsed/>
    <w:rsid w:val="00122458"/>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122458"/>
    <w:rPr>
      <w:rFonts w:eastAsia="MS Mincho"/>
      <w:lang w:val="de-AT"/>
    </w:rPr>
  </w:style>
  <w:style w:type="table" w:styleId="TableGrid">
    <w:name w:val="Table Grid"/>
    <w:basedOn w:val="TableNormal"/>
    <w:uiPriority w:val="39"/>
    <w:rsid w:val="005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EF4A58"/>
    <w:rPr>
      <w:rFonts w:ascii="Times New Roman" w:hAnsi="Times New Roman"/>
      <w:b/>
      <w:sz w:val="18"/>
      <w:lang w:val="fr-CH"/>
    </w:rPr>
  </w:style>
  <w:style w:type="character" w:styleId="Hyperlink">
    <w:name w:val="Hyperlink"/>
    <w:basedOn w:val="DefaultParagraphFont"/>
    <w:uiPriority w:val="99"/>
    <w:semiHidden/>
    <w:unhideWhenUsed/>
    <w:rsid w:val="00B61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OTM2NzViNi0wMWEyLTQ4NDktYTE4OS0yZjY2MTU3NzJlMTMiIG9yaWdpbj0idXNlclNlbGVjdGVkIj48ZWxlbWVudCB1aWQ9ImlkX2NsYXNzaWZpY2F0aW9uX2NvbmZpZGVudGlhbCIgdmFsdWU9IiIgeG1sbnM9Imh0dHA6Ly93d3cuYm9sZG9uamFtZXMuY29tLzIwMDgvMDEvc2llL2ludGVybmFsL2xhYmVsIiAvPjwvc2lzbD48VXNlck5hbWU+RVVVXGViNG1hZDwvVXNlck5hbWU+PERhdGVUaW1lPjcvMDUvMjAyMSAxMDoyNjowNTwvRGF0ZVRpbWU+PExhYmVsU3RyaW5nPlNlY3JlY3lCPC9MYWJlbFN0cmluZz48L2l0ZW0+PC9sYWJlbEhpc3Rvcnk+</Value>
</WrappedLabelHistor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f93675b6-01a2-4849-a189-2f6615772e13" origin="userSelected">
  <element uid="id_classification_confidenti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398FF-158D-400C-AEAE-A9613C8615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E4D6978-CB1D-4883-8A5A-F016ADEC1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5A7A4-4771-45C2-9BCE-8D67AF47D9D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ADFD1CA-715D-47C7-833F-32D9C454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1B617F-9D8F-484E-8434-1617F1477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4812</Characters>
  <Application>Microsoft Office Word</Application>
  <DocSecurity>0</DocSecurity>
  <Lines>116</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ECE/TRANS/WP.29/GRBP/2020/18</vt:lpstr>
      <vt:lpstr>ECE/TRANS/WP.29/GRBP/2020/18</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ECE/TRANS/WP.29/GRBP/2021/24</dc:title>
  <dc:subject>2109071</dc:subject>
  <dc:creator>Alex Desplenter</dc:creator>
  <cp:keywords/>
  <dc:description/>
  <cp:lastModifiedBy>Don MARTIN</cp:lastModifiedBy>
  <cp:revision>2</cp:revision>
  <dcterms:created xsi:type="dcterms:W3CDTF">2021-07-02T12:01:00Z</dcterms:created>
  <dcterms:modified xsi:type="dcterms:W3CDTF">2021-07-02T12:01:00Z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docIndexRef">
    <vt:lpwstr>f1931d0f-e858-4ad9-bc04-1792e2549886</vt:lpwstr>
  </property>
  <property fmtid="{D5CDD505-2E9C-101B-9397-08002B2CF9AE}" pid="4" name="bjSaver">
    <vt:lpwstr>Wr/Ax3ShNa7vU+bPvvWmNYShVw6dA7av</vt:lpwstr>
  </property>
  <property fmtid="{D5CDD505-2E9C-101B-9397-08002B2CF9AE}" pid="5" name="bjDocumentLabelXML">
    <vt:lpwstr>&lt;?xml version="1.0" encoding="us-ascii"?&gt;&lt;sisl xmlns:xsi="http://www.w3.org/2001/XMLSchema-instance" xmlns:xsd="http://www.w3.org/2001/XMLSchema" sislVersion="0" policy="f93675b6-01a2-4849-a189-2f6615772e13"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SecrecyB</vt:lpwstr>
  </property>
  <property fmtid="{D5CDD505-2E9C-101B-9397-08002B2CF9AE}" pid="8" name="bjLabelHistoryID">
    <vt:lpwstr>{206398FF-158D-400C-AEAE-A9613C861558}</vt:lpwstr>
  </property>
</Properties>
</file>