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F70881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425EC5F" w14:textId="77777777" w:rsidR="00F35BAF" w:rsidRPr="00DB58B5" w:rsidRDefault="00F35BAF" w:rsidP="00F1022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E9D35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E5CF6B0" w14:textId="0FC92F73" w:rsidR="00F35BAF" w:rsidRPr="00DB58B5" w:rsidRDefault="00F10229" w:rsidP="00F10229">
            <w:pPr>
              <w:jc w:val="right"/>
            </w:pPr>
            <w:r w:rsidRPr="00F10229">
              <w:rPr>
                <w:sz w:val="40"/>
              </w:rPr>
              <w:t>ECE</w:t>
            </w:r>
            <w:r>
              <w:t>/TRANS/WP.29/GRBP/2021/21</w:t>
            </w:r>
          </w:p>
        </w:tc>
      </w:tr>
      <w:tr w:rsidR="00F35BAF" w:rsidRPr="00DB58B5" w14:paraId="5361750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B22B9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4184D4" wp14:editId="6591A97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462FF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C871C8" w14:textId="77777777" w:rsidR="00F35BAF" w:rsidRDefault="00F10229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6ADA36F" w14:textId="77777777" w:rsidR="00F10229" w:rsidRDefault="00F10229" w:rsidP="00F10229">
            <w:pPr>
              <w:spacing w:line="240" w:lineRule="exact"/>
            </w:pPr>
            <w:r>
              <w:t>30 juin 2021</w:t>
            </w:r>
          </w:p>
          <w:p w14:paraId="7C6D72AA" w14:textId="77777777" w:rsidR="00F10229" w:rsidRDefault="00F10229" w:rsidP="00F10229">
            <w:pPr>
              <w:spacing w:line="240" w:lineRule="exact"/>
            </w:pPr>
            <w:r>
              <w:t>Français</w:t>
            </w:r>
          </w:p>
          <w:p w14:paraId="45AB301C" w14:textId="3C0BFC99" w:rsidR="00F10229" w:rsidRPr="00DB58B5" w:rsidRDefault="00F10229" w:rsidP="00F10229">
            <w:pPr>
              <w:spacing w:line="240" w:lineRule="exact"/>
            </w:pPr>
            <w:r>
              <w:t>Original : anglais</w:t>
            </w:r>
          </w:p>
        </w:tc>
      </w:tr>
    </w:tbl>
    <w:p w14:paraId="5CD3FCCA" w14:textId="0AC0B341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1022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4B95AA6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ECFFC7A" w14:textId="5BA470A1" w:rsidR="00F10229" w:rsidRPr="00280F67" w:rsidRDefault="00F10229" w:rsidP="00F10229">
      <w:pPr>
        <w:spacing w:before="120"/>
        <w:ind w:right="4394"/>
        <w:rPr>
          <w:sz w:val="28"/>
          <w:szCs w:val="28"/>
        </w:rPr>
      </w:pPr>
      <w:r w:rsidRPr="00D528C2">
        <w:rPr>
          <w:b/>
          <w:bCs/>
          <w:sz w:val="24"/>
          <w:szCs w:val="24"/>
          <w:lang w:val="fr-FR"/>
        </w:rPr>
        <w:t>Forum mondial de l</w:t>
      </w:r>
      <w:r>
        <w:rPr>
          <w:b/>
          <w:bCs/>
          <w:sz w:val="24"/>
          <w:szCs w:val="24"/>
          <w:lang w:val="fr-FR"/>
        </w:rPr>
        <w:t>’</w:t>
      </w:r>
      <w:r w:rsidRPr="00D528C2">
        <w:rPr>
          <w:b/>
          <w:bCs/>
          <w:sz w:val="24"/>
          <w:szCs w:val="24"/>
          <w:lang w:val="fr-FR"/>
        </w:rPr>
        <w:t xml:space="preserve">harmonisation </w:t>
      </w:r>
      <w:r>
        <w:rPr>
          <w:b/>
          <w:bCs/>
          <w:sz w:val="24"/>
          <w:szCs w:val="24"/>
          <w:lang w:val="fr-FR"/>
        </w:rPr>
        <w:br/>
      </w:r>
      <w:r w:rsidRPr="00D528C2">
        <w:rPr>
          <w:b/>
          <w:bCs/>
          <w:sz w:val="24"/>
          <w:szCs w:val="24"/>
          <w:lang w:val="fr-FR"/>
        </w:rPr>
        <w:t>des Règlements concernant les véhicu</w:t>
      </w:r>
      <w:r w:rsidRPr="00280F67">
        <w:rPr>
          <w:b/>
          <w:bCs/>
          <w:sz w:val="24"/>
          <w:szCs w:val="24"/>
          <w:lang w:val="fr-FR"/>
        </w:rPr>
        <w:t>les</w:t>
      </w:r>
    </w:p>
    <w:p w14:paraId="0C15CC82" w14:textId="77777777" w:rsidR="00F10229" w:rsidRPr="00E03A64" w:rsidRDefault="00F10229" w:rsidP="00F10229">
      <w:pPr>
        <w:spacing w:before="120" w:after="120"/>
        <w:ind w:right="4394"/>
        <w:rPr>
          <w:b/>
          <w:bCs/>
        </w:rPr>
      </w:pPr>
      <w:r>
        <w:rPr>
          <w:b/>
          <w:bCs/>
          <w:lang w:val="fr-FR"/>
        </w:rPr>
        <w:t>Groupe de travail du bruit et des pneumatiques</w:t>
      </w:r>
    </w:p>
    <w:p w14:paraId="3B535831" w14:textId="6E69BAC5" w:rsidR="00F10229" w:rsidRPr="00E03A64" w:rsidRDefault="00F10229" w:rsidP="00F10229">
      <w:pPr>
        <w:ind w:right="4394"/>
        <w:rPr>
          <w:b/>
        </w:rPr>
      </w:pPr>
      <w:r>
        <w:rPr>
          <w:b/>
          <w:bCs/>
          <w:lang w:val="fr-FR"/>
        </w:rPr>
        <w:t>Soixante-quatorzième session</w:t>
      </w:r>
    </w:p>
    <w:p w14:paraId="076B15CA" w14:textId="77777777" w:rsidR="00F10229" w:rsidRPr="00E03A64" w:rsidRDefault="00F10229" w:rsidP="00F10229">
      <w:pPr>
        <w:ind w:right="4394"/>
        <w:rPr>
          <w:bCs/>
        </w:rPr>
      </w:pPr>
      <w:r>
        <w:rPr>
          <w:lang w:val="fr-FR"/>
        </w:rPr>
        <w:t>Genève, 15-17 septembre 2021</w:t>
      </w:r>
    </w:p>
    <w:p w14:paraId="322F8C86" w14:textId="0E85260B" w:rsidR="00F10229" w:rsidRPr="00E03A64" w:rsidRDefault="00F10229" w:rsidP="00F10229">
      <w:pPr>
        <w:ind w:right="4394"/>
        <w:rPr>
          <w:bCs/>
        </w:rPr>
      </w:pPr>
      <w:r>
        <w:rPr>
          <w:lang w:val="fr-FR"/>
        </w:rPr>
        <w:t>Point 7 g) 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652EB59D" w14:textId="0C5F4C40" w:rsidR="00F10229" w:rsidRPr="00E100A0" w:rsidRDefault="00F10229" w:rsidP="00F10229">
      <w:pPr>
        <w:ind w:right="4252"/>
        <w:rPr>
          <w:b/>
          <w:bCs/>
        </w:rPr>
      </w:pPr>
      <w:r>
        <w:rPr>
          <w:b/>
          <w:bCs/>
          <w:lang w:val="fr-FR"/>
        </w:rPr>
        <w:t xml:space="preserve">Pneumatiques : Règlement ONU </w:t>
      </w:r>
      <w:r w:rsidRPr="00F10229">
        <w:rPr>
          <w:rFonts w:eastAsia="MS Mincho"/>
          <w:b/>
          <w:bCs/>
          <w:szCs w:val="22"/>
          <w:lang w:val="fr-FR"/>
        </w:rPr>
        <w:t>n</w:t>
      </w:r>
      <w:r w:rsidRPr="00F10229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142 </w:t>
      </w:r>
      <w:r w:rsidR="000937A3">
        <w:rPr>
          <w:b/>
          <w:bCs/>
          <w:lang w:val="fr-FR"/>
        </w:rPr>
        <w:br/>
      </w:r>
      <w:r>
        <w:rPr>
          <w:b/>
          <w:bCs/>
          <w:lang w:val="fr-FR"/>
        </w:rPr>
        <w:t>(Montage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des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pneumatiques)</w:t>
      </w:r>
    </w:p>
    <w:p w14:paraId="4BFA2612" w14:textId="20578549" w:rsidR="00F10229" w:rsidRPr="00280F67" w:rsidRDefault="00F10229" w:rsidP="00F10229">
      <w:pPr>
        <w:pStyle w:val="HChG"/>
      </w:pPr>
      <w:r w:rsidRPr="00280F67">
        <w:rPr>
          <w:lang w:val="fr-FR"/>
        </w:rPr>
        <w:tab/>
      </w:r>
      <w:r w:rsidRPr="00280F67">
        <w:rPr>
          <w:lang w:val="fr-FR"/>
        </w:rPr>
        <w:tab/>
        <w:t>Proposition de complément 1 à la série 1 d</w:t>
      </w:r>
      <w:r>
        <w:rPr>
          <w:lang w:val="fr-FR"/>
        </w:rPr>
        <w:t>’</w:t>
      </w:r>
      <w:r w:rsidRPr="00280F67">
        <w:rPr>
          <w:lang w:val="fr-FR"/>
        </w:rPr>
        <w:t>amendements au</w:t>
      </w:r>
      <w:r>
        <w:rPr>
          <w:lang w:val="fr-FR"/>
        </w:rPr>
        <w:t> </w:t>
      </w:r>
      <w:r w:rsidRPr="00280F67">
        <w:rPr>
          <w:lang w:val="fr-FR"/>
        </w:rPr>
        <w:t xml:space="preserve">Règlement ONU </w:t>
      </w:r>
      <w:r w:rsidRPr="00F10229">
        <w:rPr>
          <w:rFonts w:eastAsia="MS Mincho"/>
          <w:szCs w:val="22"/>
          <w:lang w:val="fr-FR"/>
        </w:rPr>
        <w:t>n</w:t>
      </w:r>
      <w:r w:rsidRPr="00F1022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280F67">
        <w:rPr>
          <w:lang w:val="fr-FR"/>
        </w:rPr>
        <w:t>142</w:t>
      </w:r>
    </w:p>
    <w:p w14:paraId="569358CE" w14:textId="3181F0B5" w:rsidR="00F10229" w:rsidRPr="00280F67" w:rsidRDefault="00F10229" w:rsidP="00F10229">
      <w:pPr>
        <w:pStyle w:val="H1G"/>
      </w:pPr>
      <w:r w:rsidRPr="00280F67">
        <w:rPr>
          <w:lang w:val="fr-FR"/>
        </w:rPr>
        <w:tab/>
      </w:r>
      <w:r w:rsidRPr="00280F67">
        <w:rPr>
          <w:lang w:val="fr-FR"/>
        </w:rPr>
        <w:tab/>
        <w:t>Communication de l</w:t>
      </w:r>
      <w:r>
        <w:rPr>
          <w:lang w:val="fr-FR"/>
        </w:rPr>
        <w:t>’</w:t>
      </w:r>
      <w:r w:rsidRPr="00280F67">
        <w:rPr>
          <w:lang w:val="fr-FR"/>
        </w:rPr>
        <w:t>équipe spéciale des systèmes de surveillance de</w:t>
      </w:r>
      <w:r>
        <w:rPr>
          <w:lang w:val="fr-FR"/>
        </w:rPr>
        <w:t> </w:t>
      </w:r>
      <w:r w:rsidRPr="00280F67">
        <w:rPr>
          <w:lang w:val="fr-FR"/>
        </w:rPr>
        <w:t>la</w:t>
      </w:r>
      <w:r>
        <w:rPr>
          <w:lang w:val="fr-FR"/>
        </w:rPr>
        <w:t> </w:t>
      </w:r>
      <w:r w:rsidRPr="00280F67">
        <w:rPr>
          <w:lang w:val="fr-FR"/>
        </w:rPr>
        <w:t>pression des</w:t>
      </w:r>
      <w:r>
        <w:rPr>
          <w:lang w:val="fr-FR"/>
        </w:rPr>
        <w:t xml:space="preserve"> </w:t>
      </w:r>
      <w:r w:rsidRPr="00280F67">
        <w:rPr>
          <w:lang w:val="fr-FR"/>
        </w:rPr>
        <w:t>pneumatiques</w:t>
      </w:r>
      <w:r>
        <w:rPr>
          <w:lang w:val="fr-FR"/>
        </w:rPr>
        <w:t xml:space="preserve"> </w:t>
      </w:r>
      <w:r w:rsidRPr="00280F67">
        <w:rPr>
          <w:lang w:val="fr-FR"/>
        </w:rPr>
        <w:t>et du montage des pneumatiques</w:t>
      </w:r>
      <w:r w:rsidRPr="00F10229">
        <w:rPr>
          <w:b w:val="0"/>
          <w:bCs/>
          <w:sz w:val="20"/>
          <w:lang w:val="fr-FR"/>
        </w:rPr>
        <w:footnoteReference w:customMarkFollows="1" w:id="2"/>
        <w:t>*</w:t>
      </w:r>
    </w:p>
    <w:p w14:paraId="3DF5BBFE" w14:textId="50313506" w:rsidR="00F10229" w:rsidRDefault="00F10229" w:rsidP="00F10229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établi par les experts de l</w:t>
      </w:r>
      <w:r>
        <w:rPr>
          <w:lang w:val="fr-FR"/>
        </w:rPr>
        <w:t>’</w:t>
      </w:r>
      <w:r>
        <w:rPr>
          <w:lang w:val="fr-FR"/>
        </w:rPr>
        <w:t>équipe spéciale des systèmes de surveillance de la pression des pneumatiques et du montage des pneumatiques dans l</w:t>
      </w:r>
      <w:r>
        <w:rPr>
          <w:lang w:val="fr-FR"/>
        </w:rPr>
        <w:t>’</w:t>
      </w:r>
      <w:r>
        <w:rPr>
          <w:lang w:val="fr-FR"/>
        </w:rPr>
        <w:t>objectif d</w:t>
      </w:r>
      <w:r>
        <w:rPr>
          <w:lang w:val="fr-FR"/>
        </w:rPr>
        <w:t>’</w:t>
      </w:r>
      <w:r>
        <w:rPr>
          <w:lang w:val="fr-FR"/>
        </w:rPr>
        <w:t xml:space="preserve">harmoniser le Règlement ONU </w:t>
      </w:r>
      <w:r w:rsidRPr="00F10229">
        <w:rPr>
          <w:rFonts w:eastAsia="MS Mincho"/>
          <w:szCs w:val="22"/>
          <w:lang w:val="fr-FR"/>
        </w:rPr>
        <w:t>n</w:t>
      </w:r>
      <w:r w:rsidRPr="00F10229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142 avec les dispositions transitoires du règlement (UE) 2019/2144 de l</w:t>
      </w:r>
      <w:r>
        <w:rPr>
          <w:lang w:val="fr-FR"/>
        </w:rPr>
        <w:t>’</w:t>
      </w:r>
      <w:r>
        <w:rPr>
          <w:lang w:val="fr-FR"/>
        </w:rPr>
        <w:t>Union européenne. Les modifications proposées sont indiquées en caractères gras pour les ajouts et biffés pour les suppressions.</w:t>
      </w:r>
    </w:p>
    <w:p w14:paraId="42E6A6BD" w14:textId="77777777" w:rsidR="00F10229" w:rsidRDefault="00F10229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093F80CB" w14:textId="5E05D351" w:rsidR="00F10229" w:rsidRPr="00F10229" w:rsidRDefault="00F10229" w:rsidP="00F10229">
      <w:pPr>
        <w:pStyle w:val="HChG"/>
        <w:rPr>
          <w:szCs w:val="28"/>
        </w:rPr>
      </w:pPr>
      <w:r w:rsidRPr="00B90BF3">
        <w:rPr>
          <w:lang w:val="fr-FR"/>
        </w:rPr>
        <w:lastRenderedPageBreak/>
        <w:tab/>
        <w:t>I.</w:t>
      </w:r>
      <w:r w:rsidRPr="00B90BF3">
        <w:rPr>
          <w:lang w:val="fr-FR"/>
        </w:rPr>
        <w:tab/>
        <w:t>Proposition</w:t>
      </w:r>
    </w:p>
    <w:p w14:paraId="643C9F85" w14:textId="77777777" w:rsidR="00F10229" w:rsidRPr="00F10229" w:rsidRDefault="00F10229" w:rsidP="00F10229">
      <w:pPr>
        <w:pStyle w:val="HChG"/>
        <w:spacing w:before="0" w:after="120" w:line="240" w:lineRule="atLeast"/>
        <w:ind w:firstLine="0"/>
        <w:rPr>
          <w:b w:val="0"/>
          <w:bCs/>
          <w:sz w:val="20"/>
        </w:rPr>
      </w:pPr>
      <w:r w:rsidRPr="00B90BF3">
        <w:rPr>
          <w:b w:val="0"/>
          <w:bCs/>
          <w:i/>
          <w:iCs/>
          <w:sz w:val="20"/>
          <w:szCs w:val="14"/>
          <w:lang w:val="fr-FR"/>
        </w:rPr>
        <w:t>Paragraphe 10</w:t>
      </w:r>
      <w:r w:rsidRPr="00B90BF3">
        <w:rPr>
          <w:b w:val="0"/>
          <w:bCs/>
          <w:sz w:val="20"/>
          <w:szCs w:val="14"/>
          <w:lang w:val="fr-FR"/>
        </w:rPr>
        <w:t>, lire :</w:t>
      </w:r>
    </w:p>
    <w:p w14:paraId="04C09EDE" w14:textId="1006F374" w:rsidR="00F10229" w:rsidRPr="00B90BF3" w:rsidRDefault="00F10229" w:rsidP="00F10229">
      <w:pPr>
        <w:pStyle w:val="HChG"/>
        <w:spacing w:before="0" w:after="120" w:line="240" w:lineRule="atLeast"/>
        <w:ind w:left="2268"/>
        <w:rPr>
          <w:b w:val="0"/>
          <w:bCs/>
          <w:sz w:val="20"/>
        </w:rPr>
      </w:pPr>
      <w:r w:rsidRPr="00B90BF3">
        <w:rPr>
          <w:b w:val="0"/>
          <w:bCs/>
          <w:sz w:val="20"/>
          <w:lang w:val="fr-FR"/>
        </w:rPr>
        <w:t>« 10.</w:t>
      </w:r>
      <w:r w:rsidRPr="00B90BF3">
        <w:rPr>
          <w:b w:val="0"/>
          <w:bCs/>
          <w:sz w:val="20"/>
          <w:lang w:val="fr-FR"/>
        </w:rPr>
        <w:tab/>
        <w:t>Dispositions transitoires</w:t>
      </w:r>
    </w:p>
    <w:p w14:paraId="6C9B4D30" w14:textId="3E0993B9" w:rsidR="00F10229" w:rsidRPr="00AF7506" w:rsidRDefault="00F10229" w:rsidP="00F10229">
      <w:pPr>
        <w:spacing w:after="120"/>
        <w:ind w:left="2268" w:right="1134" w:hanging="1134"/>
        <w:jc w:val="both"/>
        <w:rPr>
          <w:iCs/>
          <w:lang w:val="fr-FR"/>
        </w:rPr>
      </w:pPr>
      <w:r w:rsidRPr="00AF7506">
        <w:rPr>
          <w:iCs/>
          <w:lang w:val="fr-FR"/>
        </w:rPr>
        <w:t>10.1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À compter de la date officielle d</w:t>
      </w:r>
      <w:r>
        <w:rPr>
          <w:lang w:val="fr-FR"/>
        </w:rPr>
        <w:t>’</w:t>
      </w:r>
      <w:r w:rsidRPr="00AF7506">
        <w:rPr>
          <w:lang w:val="fr-FR"/>
        </w:rPr>
        <w:t>entrée en vigueur de la série 01 d</w:t>
      </w:r>
      <w:r>
        <w:rPr>
          <w:lang w:val="fr-FR"/>
        </w:rPr>
        <w:t>’</w:t>
      </w:r>
      <w:r w:rsidRPr="00AF7506">
        <w:rPr>
          <w:lang w:val="fr-FR"/>
        </w:rPr>
        <w:t>amendements, aucune Partie contractante appliquant le présent Règlement ne pourra refuser d</w:t>
      </w:r>
      <w:r>
        <w:rPr>
          <w:lang w:val="fr-FR"/>
        </w:rPr>
        <w:t>’</w:t>
      </w:r>
      <w:r w:rsidRPr="00AF7506">
        <w:rPr>
          <w:lang w:val="fr-FR"/>
        </w:rPr>
        <w:t>accorder ou d</w:t>
      </w:r>
      <w:r>
        <w:rPr>
          <w:lang w:val="fr-FR"/>
        </w:rPr>
        <w:t>’</w:t>
      </w:r>
      <w:r w:rsidRPr="00AF7506">
        <w:rPr>
          <w:lang w:val="fr-FR"/>
        </w:rPr>
        <w:t>accepter une homologation de type en vertu dudit Règlement tel que modifié par la série 01 d</w:t>
      </w:r>
      <w:r>
        <w:rPr>
          <w:lang w:val="fr-FR"/>
        </w:rPr>
        <w:t>’</w:t>
      </w:r>
      <w:r w:rsidRPr="00AF7506">
        <w:rPr>
          <w:lang w:val="fr-FR"/>
        </w:rPr>
        <w:t>amendements.</w:t>
      </w:r>
    </w:p>
    <w:p w14:paraId="1CED2087" w14:textId="15393B84" w:rsidR="00F10229" w:rsidRPr="00B90BF3" w:rsidRDefault="00F10229" w:rsidP="00F10229">
      <w:pPr>
        <w:spacing w:after="120"/>
        <w:ind w:left="2268" w:right="1134" w:hanging="1134"/>
        <w:jc w:val="both"/>
        <w:rPr>
          <w:iCs/>
          <w:strike/>
          <w:lang w:val="fr-FR"/>
        </w:rPr>
      </w:pPr>
      <w:r w:rsidRPr="00B90BF3">
        <w:rPr>
          <w:iCs/>
          <w:strike/>
          <w:lang w:val="fr-FR"/>
        </w:rPr>
        <w:t>10.2</w:t>
      </w:r>
      <w:r w:rsidRPr="00B90BF3">
        <w:rPr>
          <w:iCs/>
          <w:strike/>
          <w:lang w:val="fr-FR"/>
        </w:rPr>
        <w:tab/>
      </w:r>
      <w:r w:rsidRPr="00B90BF3">
        <w:rPr>
          <w:strike/>
          <w:lang w:val="fr-FR"/>
        </w:rPr>
        <w:t xml:space="preserve">À compter du </w:t>
      </w:r>
      <w:r w:rsidRPr="00B90BF3">
        <w:rPr>
          <w:iCs/>
          <w:strike/>
          <w:lang w:val="fr-FR"/>
        </w:rPr>
        <w:t>6 juillet 2022,</w:t>
      </w:r>
      <w:r w:rsidRPr="00B90BF3">
        <w:rPr>
          <w:strike/>
        </w:rPr>
        <w:t xml:space="preserve"> les Parties contractantes appliquant le présent Règlement ne seront plus tenues d</w:t>
      </w:r>
      <w:r>
        <w:rPr>
          <w:strike/>
        </w:rPr>
        <w:t>’</w:t>
      </w:r>
      <w:r w:rsidRPr="00B90BF3">
        <w:rPr>
          <w:strike/>
        </w:rPr>
        <w:t>accepter les homologations de type établies conformément aux précédentes séries d</w:t>
      </w:r>
      <w:r>
        <w:rPr>
          <w:strike/>
        </w:rPr>
        <w:t>’</w:t>
      </w:r>
      <w:r w:rsidRPr="00B90BF3">
        <w:rPr>
          <w:strike/>
        </w:rPr>
        <w:t>amendements, délivrées pour la première fois après le</w:t>
      </w:r>
      <w:r w:rsidRPr="00B90BF3">
        <w:rPr>
          <w:iCs/>
          <w:strike/>
          <w:lang w:val="fr-FR"/>
        </w:rPr>
        <w:t xml:space="preserve"> 6 juillet 2022.</w:t>
      </w:r>
    </w:p>
    <w:p w14:paraId="500598B5" w14:textId="0DA9C9F9" w:rsidR="00F10229" w:rsidRPr="00AF7506" w:rsidRDefault="00F10229" w:rsidP="00F10229">
      <w:pPr>
        <w:spacing w:after="120"/>
        <w:ind w:left="2268" w:right="1134" w:hanging="1134"/>
        <w:jc w:val="both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b/>
          <w:bCs/>
          <w:iCs/>
          <w:lang w:val="fr-FR"/>
        </w:rPr>
        <w:t>2</w:t>
      </w:r>
      <w:r w:rsidRPr="00B90BF3">
        <w:rPr>
          <w:iCs/>
          <w:strike/>
          <w:lang w:val="fr-FR"/>
        </w:rPr>
        <w:t>3</w:t>
      </w:r>
      <w:r w:rsidRPr="00AF7506">
        <w:rPr>
          <w:iCs/>
          <w:lang w:val="fr-FR"/>
        </w:rPr>
        <w:tab/>
        <w:t>Jusqu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au 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 xml:space="preserve">juillet 2022, </w:t>
      </w:r>
      <w:r w:rsidRPr="00AF7506">
        <w:t>les Parties contractantes appliquant le présent Règlement seront tenues d</w:t>
      </w:r>
      <w:r>
        <w:t>’</w:t>
      </w:r>
      <w:r w:rsidRPr="00AF7506">
        <w:t>accepter les homologations de type établies conformément aux précédentes séries d</w:t>
      </w:r>
      <w:r>
        <w:t>’</w:t>
      </w:r>
      <w:r w:rsidRPr="00AF7506">
        <w:t>amendements, délivrées pour la première fois avant le</w:t>
      </w:r>
      <w:r w:rsidRPr="00AF7506">
        <w:rPr>
          <w:rStyle w:val="Marquedecommentaire"/>
          <w:lang w:val="fr-FR"/>
        </w:rPr>
        <w:t xml:space="preserve"> </w:t>
      </w:r>
      <w:r w:rsidRPr="00AF7506">
        <w:rPr>
          <w:iCs/>
          <w:lang w:val="fr-FR"/>
        </w:rPr>
        <w:t>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>juillet 2022.</w:t>
      </w:r>
    </w:p>
    <w:p w14:paraId="01C04467" w14:textId="7A87E7AD" w:rsidR="00F10229" w:rsidRPr="00AF7506" w:rsidRDefault="00F10229" w:rsidP="00F10229">
      <w:pPr>
        <w:spacing w:after="120"/>
        <w:ind w:left="2268" w:right="1134" w:hanging="1134"/>
        <w:jc w:val="both"/>
        <w:rPr>
          <w:iCs/>
          <w:lang w:val="fr-FR"/>
        </w:rPr>
      </w:pPr>
      <w:r w:rsidRPr="00AF7506">
        <w:rPr>
          <w:iCs/>
          <w:lang w:val="fr-FR"/>
        </w:rPr>
        <w:t>10</w:t>
      </w:r>
      <w:r>
        <w:rPr>
          <w:iCs/>
          <w:lang w:val="fr-FR"/>
        </w:rPr>
        <w:t>.</w:t>
      </w:r>
      <w:r>
        <w:rPr>
          <w:b/>
          <w:bCs/>
          <w:iCs/>
          <w:lang w:val="fr-FR"/>
        </w:rPr>
        <w:t>3</w:t>
      </w:r>
      <w:r w:rsidRPr="00B90BF3">
        <w:rPr>
          <w:iCs/>
          <w:strike/>
          <w:lang w:val="fr-FR"/>
        </w:rPr>
        <w:t>4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 xml:space="preserve">À compter du </w:t>
      </w:r>
      <w:r w:rsidRPr="00AF7506">
        <w:rPr>
          <w:iCs/>
          <w:lang w:val="fr-FR"/>
        </w:rPr>
        <w:t>6</w:t>
      </w:r>
      <w:r>
        <w:rPr>
          <w:iCs/>
          <w:lang w:val="fr-FR"/>
        </w:rPr>
        <w:t> </w:t>
      </w:r>
      <w:r w:rsidRPr="00AF7506">
        <w:rPr>
          <w:iCs/>
          <w:lang w:val="fr-FR"/>
        </w:rPr>
        <w:t xml:space="preserve">juillet 2022, </w:t>
      </w:r>
      <w:r w:rsidRPr="00AF7506">
        <w:t>les Parties contractantes appliquant le présent Règlement ne seront plus tenues d</w:t>
      </w:r>
      <w:r>
        <w:t>’</w:t>
      </w:r>
      <w:r w:rsidRPr="00AF7506">
        <w:t>accepter les homologations de type délivrées en vertu des précédentes séries d</w:t>
      </w:r>
      <w:r>
        <w:t>’</w:t>
      </w:r>
      <w:r w:rsidRPr="00AF7506">
        <w:t>amendements audit Règlement</w:t>
      </w:r>
      <w:r>
        <w:rPr>
          <w:rStyle w:val="Marquedecommentaire"/>
          <w:lang w:val="fr-FR"/>
        </w:rPr>
        <w:t>.</w:t>
      </w:r>
    </w:p>
    <w:p w14:paraId="480CE56E" w14:textId="71819BEA" w:rsidR="00F10229" w:rsidRPr="00AF7506" w:rsidRDefault="00F10229" w:rsidP="00F10229">
      <w:pPr>
        <w:spacing w:after="120"/>
        <w:ind w:left="2268" w:right="1134" w:hanging="1134"/>
        <w:jc w:val="both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b/>
          <w:bCs/>
          <w:iCs/>
          <w:lang w:val="fr-FR"/>
        </w:rPr>
        <w:t>4</w:t>
      </w:r>
      <w:r w:rsidRPr="00B90BF3">
        <w:rPr>
          <w:iCs/>
          <w:strike/>
          <w:lang w:val="fr-FR"/>
        </w:rPr>
        <w:t>5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Nonobstant les dispositions transitoires énoncées ci-dessus, les Parties contractantes qui commenceront à appliquer le présent Règlement après la date d</w:t>
      </w:r>
      <w:r>
        <w:rPr>
          <w:lang w:val="fr-FR"/>
        </w:rPr>
        <w:t>’</w:t>
      </w:r>
      <w:r w:rsidRPr="00AF7506">
        <w:rPr>
          <w:lang w:val="fr-FR"/>
        </w:rPr>
        <w:t>entrée en vigueur de la série d</w:t>
      </w:r>
      <w:r>
        <w:rPr>
          <w:lang w:val="fr-FR"/>
        </w:rPr>
        <w:t>’</w:t>
      </w:r>
      <w:r w:rsidRPr="00AF7506">
        <w:rPr>
          <w:lang w:val="fr-FR"/>
        </w:rPr>
        <w:t>amendements la plus récente ne seront pas tenues de reconnaître les homologations de type délivrées au titre de l</w:t>
      </w:r>
      <w:r>
        <w:rPr>
          <w:lang w:val="fr-FR"/>
        </w:rPr>
        <w:t>’</w:t>
      </w:r>
      <w:r w:rsidRPr="00AF7506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Règlement, leur seule obligation étant de reconnaître les homologations de type délivrées au titre de la série</w:t>
      </w:r>
      <w:r w:rsidRPr="00AF7506">
        <w:rPr>
          <w:iCs/>
          <w:lang w:val="fr-FR"/>
        </w:rPr>
        <w:t xml:space="preserve"> 01 d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amendements.</w:t>
      </w:r>
    </w:p>
    <w:p w14:paraId="31CA87C7" w14:textId="753482A2" w:rsidR="00F10229" w:rsidRPr="00AF7506" w:rsidRDefault="00F10229" w:rsidP="00F10229">
      <w:pPr>
        <w:spacing w:after="120"/>
        <w:ind w:left="2268" w:right="1134" w:hanging="1134"/>
        <w:jc w:val="both"/>
        <w:rPr>
          <w:iCs/>
          <w:lang w:val="fr-FR"/>
        </w:rPr>
      </w:pPr>
      <w:r w:rsidRPr="00AF7506">
        <w:rPr>
          <w:iCs/>
          <w:lang w:val="fr-FR"/>
        </w:rPr>
        <w:t>10.</w:t>
      </w:r>
      <w:r>
        <w:rPr>
          <w:b/>
          <w:bCs/>
          <w:iCs/>
          <w:lang w:val="fr-FR"/>
        </w:rPr>
        <w:t>5</w:t>
      </w:r>
      <w:r w:rsidRPr="002B3113">
        <w:rPr>
          <w:iCs/>
          <w:strike/>
          <w:lang w:val="fr-FR"/>
        </w:rPr>
        <w:t>6</w:t>
      </w:r>
      <w:r w:rsidRPr="00AF7506">
        <w:rPr>
          <w:iCs/>
          <w:lang w:val="fr-FR"/>
        </w:rPr>
        <w:tab/>
        <w:t>Nonobstant les dispositions du paragraphe 10.</w:t>
      </w:r>
      <w:r>
        <w:rPr>
          <w:b/>
          <w:bCs/>
          <w:iCs/>
          <w:lang w:val="fr-FR"/>
        </w:rPr>
        <w:t>3</w:t>
      </w:r>
      <w:r w:rsidRPr="002B3113">
        <w:rPr>
          <w:iCs/>
          <w:strike/>
          <w:lang w:val="fr-FR"/>
        </w:rPr>
        <w:t>4</w:t>
      </w:r>
      <w:r w:rsidRPr="00AF7506">
        <w:rPr>
          <w:iCs/>
          <w:lang w:val="fr-FR"/>
        </w:rPr>
        <w:t xml:space="preserve">, </w:t>
      </w:r>
      <w:r w:rsidRPr="00AF7506">
        <w:rPr>
          <w:lang w:val="fr-FR"/>
        </w:rPr>
        <w:t>les Parties contractantes appliquant le présent Règlement continueront de reconnaître les homologations de type délivrées au titre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 pour les véhicules ou les systèmes pour véhicules non concernés par les modifications apportées par la série</w:t>
      </w:r>
      <w:r w:rsidRPr="00AF7506">
        <w:rPr>
          <w:iCs/>
          <w:lang w:val="fr-FR"/>
        </w:rPr>
        <w:t xml:space="preserve"> 01 d</w:t>
      </w:r>
      <w:r>
        <w:rPr>
          <w:iCs/>
          <w:lang w:val="fr-FR"/>
        </w:rPr>
        <w:t>’</w:t>
      </w:r>
      <w:r w:rsidRPr="00AF7506">
        <w:rPr>
          <w:iCs/>
          <w:lang w:val="fr-FR"/>
        </w:rPr>
        <w:t>amendements.</w:t>
      </w:r>
    </w:p>
    <w:p w14:paraId="41C7AD77" w14:textId="36E66F8C" w:rsidR="00F10229" w:rsidRDefault="00F10229" w:rsidP="00F10229">
      <w:pPr>
        <w:spacing w:after="120"/>
        <w:ind w:left="2268" w:right="1134" w:hanging="1134"/>
        <w:jc w:val="both"/>
        <w:rPr>
          <w:lang w:val="fr-FR"/>
        </w:rPr>
      </w:pPr>
      <w:r w:rsidRPr="00AF7506">
        <w:rPr>
          <w:iCs/>
          <w:lang w:val="fr-FR"/>
        </w:rPr>
        <w:t>10.</w:t>
      </w:r>
      <w:r>
        <w:rPr>
          <w:b/>
          <w:bCs/>
          <w:iCs/>
          <w:lang w:val="fr-FR"/>
        </w:rPr>
        <w:t>6</w:t>
      </w:r>
      <w:r w:rsidRPr="002B3113">
        <w:rPr>
          <w:iCs/>
          <w:strike/>
          <w:lang w:val="fr-FR"/>
        </w:rPr>
        <w:t>7</w:t>
      </w:r>
      <w:r w:rsidRPr="00AF7506">
        <w:rPr>
          <w:iCs/>
          <w:lang w:val="fr-FR"/>
        </w:rPr>
        <w:tab/>
      </w:r>
      <w:r w:rsidRPr="00AF7506">
        <w:rPr>
          <w:lang w:val="fr-FR"/>
        </w:rPr>
        <w:t>Les Parties contractantes appliquant le présent Règlement pourront accorder des homologations de type en vertu de l</w:t>
      </w:r>
      <w:r>
        <w:rPr>
          <w:lang w:val="fr-FR"/>
        </w:rPr>
        <w:t>’</w:t>
      </w:r>
      <w:r w:rsidRPr="00AF7506">
        <w:rPr>
          <w:lang w:val="fr-FR"/>
        </w:rPr>
        <w:t>une quelconque des précédentes séries d</w:t>
      </w:r>
      <w:r>
        <w:rPr>
          <w:lang w:val="fr-FR"/>
        </w:rPr>
        <w:t>’</w:t>
      </w:r>
      <w:r w:rsidRPr="00AF7506">
        <w:rPr>
          <w:lang w:val="fr-FR"/>
        </w:rPr>
        <w:t>amendements audit Règlement</w:t>
      </w:r>
      <w:r>
        <w:rPr>
          <w:lang w:val="fr-FR"/>
        </w:rPr>
        <w:t>.</w:t>
      </w:r>
    </w:p>
    <w:p w14:paraId="245695B5" w14:textId="2648A424" w:rsidR="00F10229" w:rsidRPr="00B90BF3" w:rsidRDefault="00F10229" w:rsidP="00F10229">
      <w:pPr>
        <w:spacing w:after="120"/>
        <w:ind w:left="2268" w:right="1134" w:hanging="1134"/>
        <w:jc w:val="both"/>
        <w:rPr>
          <w:bCs/>
          <w:iCs/>
          <w:lang w:val="fr-FR"/>
        </w:rPr>
      </w:pPr>
      <w:r>
        <w:rPr>
          <w:lang w:val="fr-FR"/>
        </w:rPr>
        <w:t>10.</w:t>
      </w:r>
      <w:r>
        <w:rPr>
          <w:b/>
          <w:bCs/>
          <w:lang w:val="fr-FR"/>
        </w:rPr>
        <w:t>7</w:t>
      </w:r>
      <w:r w:rsidRPr="002B3113">
        <w:rPr>
          <w:strike/>
          <w:lang w:val="fr-FR"/>
        </w:rPr>
        <w:t>8</w:t>
      </w:r>
      <w:r>
        <w:rPr>
          <w:lang w:val="fr-FR"/>
        </w:rPr>
        <w:tab/>
        <w:t>L</w:t>
      </w:r>
      <w:r w:rsidRPr="002808DF">
        <w:rPr>
          <w:lang w:val="fr-FR"/>
        </w:rPr>
        <w:t>es Parties contractantes appliquant le présent Règlement continueront d</w:t>
      </w:r>
      <w:r>
        <w:rPr>
          <w:lang w:val="fr-FR"/>
        </w:rPr>
        <w:t>’</w:t>
      </w:r>
      <w:r>
        <w:rPr>
          <w:lang w:val="fr-FR"/>
        </w:rPr>
        <w:t>accorder des extensions pour les homologations établies conformément à l</w:t>
      </w:r>
      <w:r>
        <w:rPr>
          <w:lang w:val="fr-FR"/>
        </w:rPr>
        <w:t>’</w:t>
      </w:r>
      <w:r>
        <w:rPr>
          <w:lang w:val="fr-FR"/>
        </w:rPr>
        <w:t>une quelconque des précédentes séries d</w:t>
      </w:r>
      <w:r>
        <w:rPr>
          <w:lang w:val="fr-FR"/>
        </w:rPr>
        <w:t>’</w:t>
      </w:r>
      <w:r>
        <w:rPr>
          <w:lang w:val="fr-FR"/>
        </w:rPr>
        <w:t>amendements audit Règlement. ».</w:t>
      </w:r>
    </w:p>
    <w:p w14:paraId="28BA14AD" w14:textId="77777777" w:rsidR="00F10229" w:rsidRPr="00F10229" w:rsidRDefault="00F10229" w:rsidP="00F10229">
      <w:pPr>
        <w:pStyle w:val="HChG"/>
        <w:rPr>
          <w:szCs w:val="28"/>
        </w:rPr>
      </w:pPr>
      <w:r>
        <w:rPr>
          <w:lang w:val="fr-FR"/>
        </w:rPr>
        <w:tab/>
      </w:r>
      <w:r w:rsidRPr="00B90BF3">
        <w:rPr>
          <w:lang w:val="fr-FR"/>
        </w:rPr>
        <w:t>II.</w:t>
      </w:r>
      <w:r w:rsidRPr="00B90BF3">
        <w:rPr>
          <w:lang w:val="fr-FR"/>
        </w:rPr>
        <w:tab/>
        <w:t>Justification</w:t>
      </w:r>
    </w:p>
    <w:p w14:paraId="109F02B2" w14:textId="173EA6F1" w:rsidR="00F9573C" w:rsidRDefault="00F10229" w:rsidP="00F10229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Le paragraphe 10.4 est redondant avec le paragraphe 10.2 du document ECE/TRANS/WP.29/2021/11. Par conséquent, le paragraphe 10.2 n</w:t>
      </w:r>
      <w:r>
        <w:rPr>
          <w:lang w:val="fr-FR"/>
        </w:rPr>
        <w:t>’</w:t>
      </w:r>
      <w:r>
        <w:rPr>
          <w:lang w:val="fr-FR"/>
        </w:rPr>
        <w:t>est pas nécessaire. Les paragraphes suivants des dispositions transitoires, du paragraphe 10.3 au paragraphe 10.8 sont renumérotés de 10.2 à 10.7 et les références qui y figurent sont renumérotées en conséquence. Le texte de cette proposition est basé exclusivement sur le document ECE/TRANS/WP.29/2021/11.</w:t>
      </w:r>
    </w:p>
    <w:p w14:paraId="403D540E" w14:textId="15791C4B" w:rsidR="00F10229" w:rsidRPr="00F10229" w:rsidRDefault="00F10229" w:rsidP="00F102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229" w:rsidRPr="00F10229" w:rsidSect="00F102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96D8E" w14:textId="77777777" w:rsidR="00E115CC" w:rsidRDefault="00E115CC" w:rsidP="00F95C08">
      <w:pPr>
        <w:spacing w:line="240" w:lineRule="auto"/>
      </w:pPr>
    </w:p>
  </w:endnote>
  <w:endnote w:type="continuationSeparator" w:id="0">
    <w:p w14:paraId="4A25CEFF" w14:textId="77777777" w:rsidR="00E115CC" w:rsidRPr="00AC3823" w:rsidRDefault="00E115CC" w:rsidP="00AC3823">
      <w:pPr>
        <w:pStyle w:val="Pieddepage"/>
      </w:pPr>
    </w:p>
  </w:endnote>
  <w:endnote w:type="continuationNotice" w:id="1">
    <w:p w14:paraId="64047120" w14:textId="77777777" w:rsidR="00E115CC" w:rsidRDefault="00E115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E316" w14:textId="26397BFE" w:rsidR="00F10229" w:rsidRPr="00F10229" w:rsidRDefault="00F10229" w:rsidP="00F10229">
    <w:pPr>
      <w:pStyle w:val="Pieddepage"/>
      <w:tabs>
        <w:tab w:val="right" w:pos="9638"/>
      </w:tabs>
    </w:pPr>
    <w:r w:rsidRPr="00F10229">
      <w:rPr>
        <w:b/>
        <w:sz w:val="18"/>
      </w:rPr>
      <w:fldChar w:fldCharType="begin"/>
    </w:r>
    <w:r w:rsidRPr="00F10229">
      <w:rPr>
        <w:b/>
        <w:sz w:val="18"/>
      </w:rPr>
      <w:instrText xml:space="preserve"> PAGE  \* MERGEFORMAT </w:instrText>
    </w:r>
    <w:r w:rsidRPr="00F10229">
      <w:rPr>
        <w:b/>
        <w:sz w:val="18"/>
      </w:rPr>
      <w:fldChar w:fldCharType="separate"/>
    </w:r>
    <w:r w:rsidRPr="00F10229">
      <w:rPr>
        <w:b/>
        <w:noProof/>
        <w:sz w:val="18"/>
      </w:rPr>
      <w:t>2</w:t>
    </w:r>
    <w:r w:rsidRPr="00F10229">
      <w:rPr>
        <w:b/>
        <w:sz w:val="18"/>
      </w:rPr>
      <w:fldChar w:fldCharType="end"/>
    </w:r>
    <w:r>
      <w:rPr>
        <w:b/>
        <w:sz w:val="18"/>
      </w:rPr>
      <w:tab/>
    </w:r>
    <w:r>
      <w:t>GE.21-08896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A8856" w14:textId="2989A92D" w:rsidR="00F10229" w:rsidRPr="00F10229" w:rsidRDefault="00F10229" w:rsidP="00F10229">
    <w:pPr>
      <w:pStyle w:val="Pieddepage"/>
      <w:tabs>
        <w:tab w:val="right" w:pos="9638"/>
      </w:tabs>
      <w:rPr>
        <w:b/>
        <w:sz w:val="18"/>
      </w:rPr>
    </w:pPr>
    <w:r>
      <w:t>GE.21-08896</w:t>
    </w:r>
    <w:r>
      <w:tab/>
    </w:r>
    <w:r w:rsidRPr="00F10229">
      <w:rPr>
        <w:b/>
        <w:sz w:val="18"/>
      </w:rPr>
      <w:fldChar w:fldCharType="begin"/>
    </w:r>
    <w:r w:rsidRPr="00F10229">
      <w:rPr>
        <w:b/>
        <w:sz w:val="18"/>
      </w:rPr>
      <w:instrText xml:space="preserve"> PAGE  \* MERGEFORMAT </w:instrText>
    </w:r>
    <w:r w:rsidRPr="00F10229">
      <w:rPr>
        <w:b/>
        <w:sz w:val="18"/>
      </w:rPr>
      <w:fldChar w:fldCharType="separate"/>
    </w:r>
    <w:r w:rsidRPr="00F10229">
      <w:rPr>
        <w:b/>
        <w:noProof/>
        <w:sz w:val="18"/>
      </w:rPr>
      <w:t>3</w:t>
    </w:r>
    <w:r w:rsidRPr="00F102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F8E8" w14:textId="48E0FAAD" w:rsidR="007F20FA" w:rsidRPr="00F10229" w:rsidRDefault="00F10229" w:rsidP="00F10229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4D429B3" wp14:editId="73D8728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21-08896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32B3169" wp14:editId="214BAE76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D7A">
      <w:rPr>
        <w:sz w:val="20"/>
      </w:rPr>
      <w:t xml:space="preserve">    150721    150721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C62D" w14:textId="77777777" w:rsidR="00E115CC" w:rsidRPr="00AC3823" w:rsidRDefault="00E115C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47CF1D" w14:textId="77777777" w:rsidR="00E115CC" w:rsidRPr="00AC3823" w:rsidRDefault="00E115C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7C6B3D" w14:textId="77777777" w:rsidR="00E115CC" w:rsidRPr="00AC3823" w:rsidRDefault="00E115CC">
      <w:pPr>
        <w:spacing w:line="240" w:lineRule="auto"/>
        <w:rPr>
          <w:sz w:val="2"/>
          <w:szCs w:val="2"/>
        </w:rPr>
      </w:pPr>
    </w:p>
  </w:footnote>
  <w:footnote w:id="2">
    <w:p w14:paraId="6A5A333C" w14:textId="086BB770" w:rsidR="00F10229" w:rsidRPr="00F10229" w:rsidRDefault="00F10229" w:rsidP="00F10229">
      <w:pPr>
        <w:pStyle w:val="Notedebasdepage"/>
      </w:pPr>
      <w:r>
        <w:rPr>
          <w:lang w:val="fr-FR"/>
        </w:rPr>
        <w:tab/>
      </w:r>
      <w:r w:rsidRPr="00F10229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2021 tel qu</w:t>
      </w:r>
      <w:r w:rsidR="00C37D7A">
        <w:rPr>
          <w:lang w:val="fr-FR"/>
        </w:rPr>
        <w:t>’</w:t>
      </w:r>
      <w:r>
        <w:rPr>
          <w:lang w:val="fr-FR"/>
        </w:rPr>
        <w:t>il figure dans le projet de budget-programme pour 2021 (A/75/6 (Sect. 20), par. 20.51), le Forum mondial a pour mission d</w:t>
      </w:r>
      <w:r w:rsidR="00C37D7A">
        <w:rPr>
          <w:lang w:val="fr-FR"/>
        </w:rPr>
        <w:t>’</w:t>
      </w:r>
      <w:r>
        <w:rPr>
          <w:lang w:val="fr-FR"/>
        </w:rPr>
        <w:t>élaborer, d</w:t>
      </w:r>
      <w:r w:rsidR="00C37D7A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C37D7A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050B5" w14:textId="781E834D" w:rsidR="00F10229" w:rsidRPr="00F10229" w:rsidRDefault="00F10229">
    <w:pPr>
      <w:pStyle w:val="En-tte"/>
    </w:pPr>
    <w:fldSimple w:instr=" TITLE  \* MERGEFORMAT ">
      <w:r w:rsidR="000937A3">
        <w:t>ECE/TRANS/WP.29/GRBP/2021/21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A1DE" w14:textId="2B172DD1" w:rsidR="00F10229" w:rsidRPr="00F10229" w:rsidRDefault="00F10229" w:rsidP="00F10229">
    <w:pPr>
      <w:pStyle w:val="En-tte"/>
      <w:jc w:val="right"/>
    </w:pPr>
    <w:fldSimple w:instr=" TITLE  \* MERGEFORMAT ">
      <w:r w:rsidR="000937A3">
        <w:t>ECE/TRANS/WP.29/GRBP/2021/21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CC"/>
    <w:rsid w:val="00017F94"/>
    <w:rsid w:val="00023842"/>
    <w:rsid w:val="000334F9"/>
    <w:rsid w:val="00045FEB"/>
    <w:rsid w:val="0007796D"/>
    <w:rsid w:val="000937A3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C7BB6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37D7A"/>
    <w:rsid w:val="00C97039"/>
    <w:rsid w:val="00D3439C"/>
    <w:rsid w:val="00D7177C"/>
    <w:rsid w:val="00D7622E"/>
    <w:rsid w:val="00DB1831"/>
    <w:rsid w:val="00DD3BFD"/>
    <w:rsid w:val="00DF6678"/>
    <w:rsid w:val="00E0299A"/>
    <w:rsid w:val="00E115CC"/>
    <w:rsid w:val="00E85C74"/>
    <w:rsid w:val="00E930D5"/>
    <w:rsid w:val="00EA6547"/>
    <w:rsid w:val="00ED7237"/>
    <w:rsid w:val="00EF2E22"/>
    <w:rsid w:val="00F10229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E55613"/>
  <w15:docId w15:val="{0B96A3DD-6FEF-4C00-83A5-B77CF94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ußnotentext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ußnotentext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semiHidden/>
    <w:rsid w:val="00F10229"/>
    <w:rPr>
      <w:sz w:val="16"/>
      <w:szCs w:val="16"/>
    </w:rPr>
  </w:style>
  <w:style w:type="character" w:customStyle="1" w:styleId="HChGChar">
    <w:name w:val="_ H _Ch_G Char"/>
    <w:link w:val="HChG"/>
    <w:rsid w:val="00F1022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9CA9D-A231-4E36-998B-25971B882493}"/>
</file>

<file path=customXml/itemProps2.xml><?xml version="1.0" encoding="utf-8"?>
<ds:datastoreItem xmlns:ds="http://schemas.openxmlformats.org/officeDocument/2006/customXml" ds:itemID="{0CB9D40A-EE37-4A5A-9385-C18911AE1BA9}"/>
</file>

<file path=customXml/itemProps3.xml><?xml version="1.0" encoding="utf-8"?>
<ds:datastoreItem xmlns:ds="http://schemas.openxmlformats.org/officeDocument/2006/customXml" ds:itemID="{B19303E7-8202-450C-9161-86B70E1C0060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494</Words>
  <Characters>3458</Characters>
  <Application>Microsoft Office Word</Application>
  <DocSecurity>0</DocSecurity>
  <Lines>288</Lines>
  <Paragraphs>158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ECE/TRANS/WP.29/GRBP/2021/21</vt:lpstr>
      <vt:lpstr>    Proposition de complément 1 à la série 1 d’amendements au Règlement ONU no 142</vt:lpstr>
      <vt:lpstr>        Communication de l’équipe spéciale des systèmes de surveillance de la pression</vt:lpstr>
      <vt:lpstr>    I.	Proposition</vt:lpstr>
      <vt:lpstr>    Paragraphe 10, lire :</vt:lpstr>
      <vt:lpstr>    « 10.	Dispositions transitoires</vt:lpstr>
      <vt:lpstr>    II.	Justification</vt:lpstr>
    </vt:vector>
  </TitlesOfParts>
  <Company>DCM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ECE/TRANS/WP.29/GRBP/2021/21</dc:title>
  <dc:subject/>
  <dc:creator>Corinne ROBERT</dc:creator>
  <cp:keywords/>
  <cp:lastModifiedBy>Corinne ROBERT</cp:lastModifiedBy>
  <cp:revision>2</cp:revision>
  <cp:lastPrinted>2021-07-15T07:24:00Z</cp:lastPrinted>
  <dcterms:created xsi:type="dcterms:W3CDTF">2021-07-15T07:26:00Z</dcterms:created>
  <dcterms:modified xsi:type="dcterms:W3CDTF">2021-07-15T07:26:00Z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