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D2303E" w14:textId="77777777" w:rsidTr="00C97039">
        <w:trPr>
          <w:trHeight w:hRule="exact" w:val="851"/>
        </w:trPr>
        <w:tc>
          <w:tcPr>
            <w:tcW w:w="1276" w:type="dxa"/>
            <w:tcBorders>
              <w:bottom w:val="single" w:sz="4" w:space="0" w:color="auto"/>
            </w:tcBorders>
          </w:tcPr>
          <w:p w14:paraId="2884BDF9" w14:textId="77777777" w:rsidR="00F35BAF" w:rsidRPr="00DB58B5" w:rsidRDefault="00F35BAF" w:rsidP="00C97039"/>
        </w:tc>
        <w:tc>
          <w:tcPr>
            <w:tcW w:w="2268" w:type="dxa"/>
            <w:tcBorders>
              <w:bottom w:val="single" w:sz="4" w:space="0" w:color="auto"/>
            </w:tcBorders>
            <w:vAlign w:val="bottom"/>
          </w:tcPr>
          <w:p w14:paraId="0778AF2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E55A9E" w14:textId="3FA53B0E" w:rsidR="00F35BAF" w:rsidRPr="00DB58B5" w:rsidRDefault="00613BD4" w:rsidP="00613BD4">
            <w:pPr>
              <w:jc w:val="right"/>
            </w:pPr>
            <w:r w:rsidRPr="00613BD4">
              <w:rPr>
                <w:sz w:val="40"/>
              </w:rPr>
              <w:t>ECE</w:t>
            </w:r>
            <w:r>
              <w:t>/TRANS/WP.29/GRBP/2021/20</w:t>
            </w:r>
          </w:p>
        </w:tc>
      </w:tr>
      <w:tr w:rsidR="00F35BAF" w:rsidRPr="00DB58B5" w14:paraId="2BB7A038" w14:textId="77777777" w:rsidTr="00C97039">
        <w:trPr>
          <w:trHeight w:hRule="exact" w:val="2835"/>
        </w:trPr>
        <w:tc>
          <w:tcPr>
            <w:tcW w:w="1276" w:type="dxa"/>
            <w:tcBorders>
              <w:top w:val="single" w:sz="4" w:space="0" w:color="auto"/>
              <w:bottom w:val="single" w:sz="12" w:space="0" w:color="auto"/>
            </w:tcBorders>
          </w:tcPr>
          <w:p w14:paraId="6291BA59" w14:textId="77777777" w:rsidR="00F35BAF" w:rsidRPr="00DB58B5" w:rsidRDefault="00F35BAF" w:rsidP="00C97039">
            <w:pPr>
              <w:spacing w:before="120"/>
              <w:jc w:val="center"/>
            </w:pPr>
            <w:r>
              <w:rPr>
                <w:noProof/>
                <w:lang w:eastAsia="fr-CH"/>
              </w:rPr>
              <w:drawing>
                <wp:inline distT="0" distB="0" distL="0" distR="0" wp14:anchorId="1835840D" wp14:editId="5817A66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A6E3E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AC453B8" w14:textId="77777777" w:rsidR="00F35BAF" w:rsidRDefault="00613BD4" w:rsidP="00C97039">
            <w:pPr>
              <w:spacing w:before="240"/>
            </w:pPr>
            <w:r>
              <w:t>Distr. générale</w:t>
            </w:r>
          </w:p>
          <w:p w14:paraId="1F252D7C" w14:textId="27C5CEA8" w:rsidR="00613BD4" w:rsidRDefault="00613BD4" w:rsidP="00613BD4">
            <w:pPr>
              <w:spacing w:line="240" w:lineRule="exact"/>
            </w:pPr>
            <w:r>
              <w:t>2 juillet 2021</w:t>
            </w:r>
          </w:p>
          <w:p w14:paraId="276F0D18" w14:textId="77777777" w:rsidR="00613BD4" w:rsidRDefault="00613BD4" w:rsidP="00613BD4">
            <w:pPr>
              <w:spacing w:line="240" w:lineRule="exact"/>
            </w:pPr>
            <w:r>
              <w:t>Français</w:t>
            </w:r>
          </w:p>
          <w:p w14:paraId="1C816976" w14:textId="0FFFA2F1" w:rsidR="00613BD4" w:rsidRPr="00DB58B5" w:rsidRDefault="00613BD4" w:rsidP="00613BD4">
            <w:pPr>
              <w:spacing w:line="240" w:lineRule="exact"/>
            </w:pPr>
            <w:r>
              <w:t>Original : anglais</w:t>
            </w:r>
          </w:p>
        </w:tc>
      </w:tr>
    </w:tbl>
    <w:p w14:paraId="3E8A61B4" w14:textId="77777777" w:rsidR="007F20FA" w:rsidRPr="000312C0" w:rsidRDefault="007F20FA" w:rsidP="007F20FA">
      <w:pPr>
        <w:spacing w:before="120"/>
        <w:rPr>
          <w:b/>
          <w:sz w:val="28"/>
          <w:szCs w:val="28"/>
        </w:rPr>
      </w:pPr>
      <w:r w:rsidRPr="000312C0">
        <w:rPr>
          <w:b/>
          <w:sz w:val="28"/>
          <w:szCs w:val="28"/>
        </w:rPr>
        <w:t>Commission économique pour l’Europe</w:t>
      </w:r>
    </w:p>
    <w:p w14:paraId="5DD31CAB" w14:textId="77777777" w:rsidR="007F20FA" w:rsidRDefault="007F20FA" w:rsidP="007F20FA">
      <w:pPr>
        <w:spacing w:before="120"/>
        <w:rPr>
          <w:sz w:val="28"/>
          <w:szCs w:val="28"/>
        </w:rPr>
      </w:pPr>
      <w:r w:rsidRPr="00685843">
        <w:rPr>
          <w:sz w:val="28"/>
          <w:szCs w:val="28"/>
        </w:rPr>
        <w:t>Comité des transports intérieurs</w:t>
      </w:r>
    </w:p>
    <w:p w14:paraId="61EE6C55" w14:textId="6EE39101" w:rsidR="00613BD4" w:rsidRDefault="00613BD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2BEEC1F" w14:textId="2F2FC1C5" w:rsidR="00613BD4" w:rsidRDefault="00613BD4" w:rsidP="00F9573C">
      <w:pPr>
        <w:spacing w:before="120" w:after="120" w:line="240" w:lineRule="exact"/>
        <w:rPr>
          <w:b/>
        </w:rPr>
      </w:pPr>
      <w:bookmarkStart w:id="0" w:name="_GoBack"/>
      <w:bookmarkEnd w:id="0"/>
      <w:r>
        <w:rPr>
          <w:b/>
        </w:rPr>
        <w:t>Groupe de travail du bruit et des pneumatiques</w:t>
      </w:r>
    </w:p>
    <w:p w14:paraId="417522AD" w14:textId="664DDFEF" w:rsidR="00613BD4" w:rsidRDefault="00613BD4" w:rsidP="00F9573C">
      <w:pPr>
        <w:spacing w:before="120" w:line="240" w:lineRule="exact"/>
        <w:rPr>
          <w:b/>
        </w:rPr>
      </w:pPr>
      <w:r>
        <w:rPr>
          <w:b/>
        </w:rPr>
        <w:t>Soixante-quatorzième session</w:t>
      </w:r>
    </w:p>
    <w:p w14:paraId="45C01047" w14:textId="5F48BB9E" w:rsidR="00613BD4" w:rsidRDefault="00613BD4" w:rsidP="00F9573C">
      <w:pPr>
        <w:spacing w:line="240" w:lineRule="exact"/>
      </w:pPr>
      <w:r>
        <w:t>Genève, 15-17 septembre 2021</w:t>
      </w:r>
    </w:p>
    <w:p w14:paraId="743D4DEE" w14:textId="7D6D9623" w:rsidR="00613BD4" w:rsidRDefault="00613BD4" w:rsidP="00F9573C">
      <w:pPr>
        <w:spacing w:line="240" w:lineRule="exact"/>
      </w:pPr>
      <w:r>
        <w:t>Point 7 f) de l’ordre du jour provisoire</w:t>
      </w:r>
    </w:p>
    <w:p w14:paraId="02189CEB" w14:textId="4CCFAD03" w:rsidR="00613BD4" w:rsidRPr="00A511B3" w:rsidRDefault="00613BD4" w:rsidP="00613BD4">
      <w:pPr>
        <w:rPr>
          <w:b/>
          <w:bCs/>
        </w:rPr>
      </w:pPr>
      <w:r w:rsidRPr="00A511B3">
        <w:rPr>
          <w:b/>
          <w:bCs/>
        </w:rPr>
        <w:t>Pneumatiques</w:t>
      </w:r>
      <w:r>
        <w:rPr>
          <w:b/>
          <w:bCs/>
        </w:rPr>
        <w:t> :</w:t>
      </w:r>
      <w:r w:rsidRPr="00A511B3">
        <w:rPr>
          <w:b/>
          <w:bCs/>
        </w:rPr>
        <w:t xml:space="preserve"> Règlement ONU </w:t>
      </w:r>
      <w:r>
        <w:rPr>
          <w:b/>
          <w:bCs/>
        </w:rPr>
        <w:t>n</w:t>
      </w:r>
      <w:r w:rsidRPr="00613BD4">
        <w:rPr>
          <w:b/>
          <w:bCs/>
          <w:vertAlign w:val="superscript"/>
        </w:rPr>
        <w:t>o</w:t>
      </w:r>
      <w:r>
        <w:rPr>
          <w:b/>
          <w:bCs/>
        </w:rPr>
        <w:t> </w:t>
      </w:r>
      <w:r w:rsidRPr="00A511B3">
        <w:rPr>
          <w:b/>
          <w:bCs/>
        </w:rPr>
        <w:t xml:space="preserve">141 </w:t>
      </w:r>
      <w:r>
        <w:rPr>
          <w:b/>
          <w:bCs/>
        </w:rPr>
        <w:br/>
      </w:r>
      <w:r w:rsidRPr="00A511B3">
        <w:rPr>
          <w:b/>
          <w:bCs/>
        </w:rPr>
        <w:t>(Systèmes de surveillance de la pression des pneumatiques)</w:t>
      </w:r>
    </w:p>
    <w:p w14:paraId="0548A277" w14:textId="0BBAD083" w:rsidR="00613BD4" w:rsidRPr="00613BD4" w:rsidRDefault="00613BD4" w:rsidP="00613BD4">
      <w:pPr>
        <w:pStyle w:val="HChG"/>
        <w:rPr>
          <w:sz w:val="24"/>
          <w:szCs w:val="24"/>
        </w:rPr>
      </w:pPr>
      <w:r w:rsidRPr="00A511B3">
        <w:tab/>
      </w:r>
      <w:r w:rsidRPr="00A511B3">
        <w:tab/>
        <w:t>Proposition de complément</w:t>
      </w:r>
      <w:r>
        <w:t> </w:t>
      </w:r>
      <w:r w:rsidRPr="00A511B3">
        <w:t>2 à la série</w:t>
      </w:r>
      <w:r>
        <w:t> </w:t>
      </w:r>
      <w:r w:rsidRPr="00A511B3">
        <w:t>01 d</w:t>
      </w:r>
      <w:r>
        <w:t>’</w:t>
      </w:r>
      <w:r w:rsidRPr="00A511B3">
        <w:t>amendements au</w:t>
      </w:r>
      <w:r>
        <w:t> </w:t>
      </w:r>
      <w:r w:rsidRPr="00A511B3">
        <w:t>Règlement ONU n</w:t>
      </w:r>
      <w:r w:rsidRPr="00A511B3">
        <w:rPr>
          <w:vertAlign w:val="superscript"/>
        </w:rPr>
        <w:t>o</w:t>
      </w:r>
      <w:r w:rsidRPr="00A511B3">
        <w:t> 141</w:t>
      </w:r>
    </w:p>
    <w:p w14:paraId="4E8D6076" w14:textId="4DF19097" w:rsidR="00613BD4" w:rsidRPr="00613BD4" w:rsidRDefault="00613BD4" w:rsidP="00613BD4">
      <w:pPr>
        <w:pStyle w:val="H1G"/>
      </w:pPr>
      <w:r w:rsidRPr="00A511B3">
        <w:tab/>
      </w:r>
      <w:r w:rsidRPr="00A511B3">
        <w:tab/>
        <w:t>Communication de l</w:t>
      </w:r>
      <w:r>
        <w:t>’</w:t>
      </w:r>
      <w:r w:rsidRPr="00A511B3">
        <w:t>équipe spéciale des systèmes de surveillance de la</w:t>
      </w:r>
      <w:r>
        <w:t> </w:t>
      </w:r>
      <w:r w:rsidRPr="00A511B3">
        <w:t>pression des pneumatiques et du montage des pneumatiques</w:t>
      </w:r>
      <w:r w:rsidRPr="00613BD4">
        <w:rPr>
          <w:rStyle w:val="Appelnotedebasdep"/>
          <w:b w:val="0"/>
          <w:bCs/>
          <w:sz w:val="20"/>
          <w:vertAlign w:val="baseline"/>
        </w:rPr>
        <w:footnoteReference w:customMarkFollows="1" w:id="2"/>
        <w:t>*</w:t>
      </w:r>
    </w:p>
    <w:p w14:paraId="77FA4E40" w14:textId="6487270F" w:rsidR="00F9573C" w:rsidRDefault="00613BD4" w:rsidP="00613BD4">
      <w:pPr>
        <w:pStyle w:val="SingleTxtG"/>
        <w:ind w:firstLine="567"/>
      </w:pPr>
      <w:r w:rsidRPr="00A511B3">
        <w:t>Le texte ci-dessous, élaboré par les experts de l</w:t>
      </w:r>
      <w:r>
        <w:t>’</w:t>
      </w:r>
      <w:r w:rsidRPr="00A511B3">
        <w:t>équipe spéciale des systèmes de surveillance de la pression des pneumatiques et du montage des pneumatiques, vise à ajouter dans le Règlement ONU n</w:t>
      </w:r>
      <w:r w:rsidRPr="00A511B3">
        <w:rPr>
          <w:vertAlign w:val="superscript"/>
        </w:rPr>
        <w:t>o</w:t>
      </w:r>
      <w:r w:rsidRPr="00A511B3">
        <w:t> 141 une procédure de remplacement pour l</w:t>
      </w:r>
      <w:r>
        <w:t>’</w:t>
      </w:r>
      <w:r w:rsidRPr="00A511B3">
        <w:t>homologation de type des remorques (véhicules des catégories O</w:t>
      </w:r>
      <w:r w:rsidRPr="00A511B3">
        <w:rPr>
          <w:vertAlign w:val="subscript"/>
        </w:rPr>
        <w:t>3</w:t>
      </w:r>
      <w:r w:rsidRPr="00A511B3">
        <w:t xml:space="preserve"> et O</w:t>
      </w:r>
      <w:r w:rsidRPr="00A511B3">
        <w:rPr>
          <w:vertAlign w:val="subscript"/>
        </w:rPr>
        <w:t>4</w:t>
      </w:r>
      <w:r w:rsidRPr="00A511B3">
        <w:t>) en ce qui concerne leur système de surveillance de la pression des pneumatiques (TPMS), leur système de regonflage des pneumatiques (TPRS) ou leur système central de gonflage des pneumatiques (CTIS). Les</w:t>
      </w:r>
      <w:r>
        <w:t> </w:t>
      </w:r>
      <w:r w:rsidRPr="00A511B3">
        <w:t>modifications qu</w:t>
      </w:r>
      <w:r>
        <w:t>’</w:t>
      </w:r>
      <w:r w:rsidRPr="00A511B3">
        <w:t>il est proposé d</w:t>
      </w:r>
      <w:r>
        <w:t>’</w:t>
      </w:r>
      <w:r w:rsidRPr="00A511B3">
        <w:t xml:space="preserve">apporter au texte actuel du Règlement </w:t>
      </w:r>
      <w:r>
        <w:t xml:space="preserve">ONU </w:t>
      </w:r>
      <w:r w:rsidRPr="00A511B3">
        <w:t>figurent en caractères gras pour les ajouts et biffés pour les suppressions.</w:t>
      </w:r>
    </w:p>
    <w:p w14:paraId="2FF25560" w14:textId="2E36B57F" w:rsidR="00613BD4" w:rsidRDefault="00613BD4" w:rsidP="00613BD4">
      <w:pPr>
        <w:pStyle w:val="SingleTxtG"/>
        <w:ind w:firstLine="567"/>
      </w:pPr>
      <w:r>
        <w:br w:type="page"/>
      </w:r>
    </w:p>
    <w:p w14:paraId="228C15D0" w14:textId="3CF820FC" w:rsidR="00613BD4" w:rsidRPr="00A511B3" w:rsidRDefault="00613BD4" w:rsidP="00613BD4">
      <w:pPr>
        <w:pStyle w:val="HChG"/>
        <w:rPr>
          <w:sz w:val="48"/>
          <w:szCs w:val="36"/>
        </w:rPr>
      </w:pPr>
      <w:r>
        <w:lastRenderedPageBreak/>
        <w:tab/>
      </w:r>
      <w:r w:rsidRPr="00433737">
        <w:t>I.</w:t>
      </w:r>
      <w:r w:rsidRPr="00A511B3">
        <w:tab/>
        <w:t>Proposition</w:t>
      </w:r>
    </w:p>
    <w:p w14:paraId="732D9265" w14:textId="7525C5B0" w:rsidR="00613BD4" w:rsidRPr="00A511B3" w:rsidRDefault="00613BD4" w:rsidP="00613BD4">
      <w:pPr>
        <w:pStyle w:val="SingleTxtG"/>
      </w:pPr>
      <w:r w:rsidRPr="00613BD4">
        <w:rPr>
          <w:i/>
          <w:iCs/>
        </w:rPr>
        <w:t>Ajouter les nouvelles annexes 7 et 8</w:t>
      </w:r>
      <w:r w:rsidRPr="00A511B3">
        <w:t>, libellées comme suit</w:t>
      </w:r>
      <w:r>
        <w:t> :</w:t>
      </w:r>
    </w:p>
    <w:p w14:paraId="3656119F" w14:textId="3802D9DD" w:rsidR="00613BD4" w:rsidRPr="00A511B3" w:rsidRDefault="00613BD4" w:rsidP="00613BD4">
      <w:pPr>
        <w:pStyle w:val="HChG"/>
        <w:rPr>
          <w:szCs w:val="28"/>
        </w:rPr>
      </w:pPr>
      <w:r w:rsidRPr="00613BD4">
        <w:rPr>
          <w:sz w:val="20"/>
        </w:rPr>
        <w:t>« </w:t>
      </w:r>
      <w:r w:rsidRPr="00A511B3">
        <w:t>Annexe</w:t>
      </w:r>
      <w:r w:rsidR="001A6F53">
        <w:t> </w:t>
      </w:r>
      <w:r w:rsidRPr="00A511B3">
        <w:t>7</w:t>
      </w:r>
    </w:p>
    <w:p w14:paraId="1EEECE04" w14:textId="52A8C92C" w:rsidR="00613BD4" w:rsidRPr="00A511B3" w:rsidRDefault="00613BD4" w:rsidP="00613BD4">
      <w:pPr>
        <w:pStyle w:val="HChG"/>
        <w:rPr>
          <w:szCs w:val="28"/>
        </w:rPr>
      </w:pPr>
      <w:r w:rsidRPr="00613BD4">
        <w:rPr>
          <w:rFonts w:ascii="Times New Roman Gras" w:hAnsi="Times New Roman Gras"/>
          <w:spacing w:val="2"/>
        </w:rPr>
        <w:tab/>
      </w:r>
      <w:r w:rsidRPr="00613BD4">
        <w:rPr>
          <w:rFonts w:ascii="Times New Roman Gras" w:hAnsi="Times New Roman Gras"/>
          <w:spacing w:val="2"/>
        </w:rPr>
        <w:tab/>
        <w:t>Essai de fonctionnement du système de surveillance de</w:t>
      </w:r>
      <w:r w:rsidRPr="00A511B3">
        <w:t xml:space="preserve"> la</w:t>
      </w:r>
      <w:r>
        <w:t> </w:t>
      </w:r>
      <w:r w:rsidRPr="00A511B3">
        <w:t>pression des pneumatiques, du système de regonflage des</w:t>
      </w:r>
      <w:r>
        <w:t> </w:t>
      </w:r>
      <w:r w:rsidRPr="00A511B3">
        <w:t>pneumatiques ou du système central de gonflage des</w:t>
      </w:r>
      <w:r>
        <w:t> </w:t>
      </w:r>
      <w:r w:rsidRPr="00A511B3">
        <w:t>pneumatiques</w:t>
      </w:r>
    </w:p>
    <w:p w14:paraId="4A622D58" w14:textId="252DF213" w:rsidR="00613BD4" w:rsidRPr="00613BD4" w:rsidRDefault="00613BD4" w:rsidP="00613BD4">
      <w:pPr>
        <w:pStyle w:val="SingleTxtG"/>
        <w:ind w:left="2268" w:hanging="1134"/>
        <w:rPr>
          <w:b/>
          <w:bCs/>
        </w:rPr>
      </w:pPr>
      <w:r w:rsidRPr="00613BD4">
        <w:rPr>
          <w:b/>
          <w:bCs/>
        </w:rPr>
        <w:t>1.</w:t>
      </w:r>
      <w:r w:rsidRPr="00613BD4">
        <w:rPr>
          <w:b/>
          <w:bCs/>
        </w:rPr>
        <w:tab/>
        <w:t>Généralités</w:t>
      </w:r>
    </w:p>
    <w:p w14:paraId="33726428" w14:textId="77777777" w:rsidR="00613BD4" w:rsidRPr="00613BD4" w:rsidRDefault="00613BD4" w:rsidP="00613BD4">
      <w:pPr>
        <w:pStyle w:val="SingleTxtG"/>
        <w:ind w:left="2268" w:hanging="1134"/>
        <w:rPr>
          <w:b/>
          <w:bCs/>
        </w:rPr>
      </w:pPr>
      <w:r w:rsidRPr="00613BD4">
        <w:rPr>
          <w:b/>
          <w:bCs/>
        </w:rPr>
        <w:t>1.1</w:t>
      </w:r>
      <w:r w:rsidRPr="00613BD4">
        <w:rPr>
          <w:b/>
          <w:bCs/>
        </w:rPr>
        <w:tab/>
        <w:t>La présente annexe définit la procédure à suivre pour évaluer le fonctionnement d’un système de surveillance de la pression des pneumatiques (TPMS), d’un système de regonflage des pneumatiques (TPRS) ou d’un système central de gonflage des pneumatiques (CTIS) destiné à être installé sur un véhicule de la catégorie O</w:t>
      </w:r>
      <w:r w:rsidRPr="00613BD4">
        <w:rPr>
          <w:b/>
          <w:bCs/>
          <w:vertAlign w:val="subscript"/>
        </w:rPr>
        <w:t>3</w:t>
      </w:r>
      <w:r w:rsidRPr="00613BD4">
        <w:rPr>
          <w:b/>
          <w:bCs/>
        </w:rPr>
        <w:t xml:space="preserve"> ou O</w:t>
      </w:r>
      <w:r w:rsidRPr="00613BD4">
        <w:rPr>
          <w:b/>
          <w:bCs/>
          <w:vertAlign w:val="subscript"/>
        </w:rPr>
        <w:t>4</w:t>
      </w:r>
      <w:r w:rsidRPr="00613BD4">
        <w:rPr>
          <w:b/>
          <w:bCs/>
        </w:rPr>
        <w:t>.</w:t>
      </w:r>
    </w:p>
    <w:p w14:paraId="46792E8B" w14:textId="4A67A664" w:rsidR="00613BD4" w:rsidRPr="00613BD4" w:rsidRDefault="00613BD4" w:rsidP="00613BD4">
      <w:pPr>
        <w:pStyle w:val="SingleTxtG"/>
        <w:ind w:left="2268" w:hanging="1134"/>
        <w:rPr>
          <w:b/>
          <w:bCs/>
        </w:rPr>
      </w:pPr>
      <w:r w:rsidRPr="00613BD4">
        <w:rPr>
          <w:b/>
          <w:bCs/>
        </w:rPr>
        <w:t>1.2</w:t>
      </w:r>
      <w:r w:rsidRPr="00613BD4">
        <w:rPr>
          <w:b/>
          <w:bCs/>
        </w:rPr>
        <w:tab/>
        <w:t>Les prescriptions découlant des essais effectués sur des remorques de la catégorie</w:t>
      </w:r>
      <w:r w:rsidR="001A6F53">
        <w:rPr>
          <w:b/>
          <w:bCs/>
        </w:rPr>
        <w:t> </w:t>
      </w:r>
      <w:r w:rsidRPr="00613BD4">
        <w:rPr>
          <w:b/>
          <w:bCs/>
        </w:rPr>
        <w:t>O</w:t>
      </w:r>
      <w:r w:rsidRPr="00613BD4">
        <w:rPr>
          <w:b/>
          <w:bCs/>
          <w:vertAlign w:val="subscript"/>
        </w:rPr>
        <w:t>4</w:t>
      </w:r>
      <w:r w:rsidRPr="00613BD4">
        <w:rPr>
          <w:b/>
          <w:bCs/>
        </w:rPr>
        <w:t xml:space="preserve"> valent aussi pour les remorques de la catégorie O</w:t>
      </w:r>
      <w:r w:rsidRPr="00613BD4">
        <w:rPr>
          <w:b/>
          <w:bCs/>
          <w:vertAlign w:val="subscript"/>
        </w:rPr>
        <w:t>3</w:t>
      </w:r>
      <w:r w:rsidRPr="00613BD4">
        <w:rPr>
          <w:b/>
          <w:bCs/>
        </w:rPr>
        <w:t>.</w:t>
      </w:r>
    </w:p>
    <w:p w14:paraId="31FB666F" w14:textId="77777777" w:rsidR="00613BD4" w:rsidRPr="00613BD4" w:rsidRDefault="00613BD4" w:rsidP="00613BD4">
      <w:pPr>
        <w:pStyle w:val="SingleTxtG"/>
        <w:ind w:left="2268" w:hanging="1134"/>
        <w:rPr>
          <w:b/>
          <w:bCs/>
        </w:rPr>
      </w:pPr>
      <w:r w:rsidRPr="00613BD4">
        <w:rPr>
          <w:b/>
          <w:bCs/>
        </w:rPr>
        <w:t>2.</w:t>
      </w:r>
      <w:r w:rsidRPr="00613BD4">
        <w:rPr>
          <w:b/>
          <w:bCs/>
        </w:rPr>
        <w:tab/>
        <w:t>Fiche de renseignements</w:t>
      </w:r>
    </w:p>
    <w:p w14:paraId="1495854C" w14:textId="7195B978" w:rsidR="00613BD4" w:rsidRPr="00613BD4" w:rsidRDefault="00613BD4" w:rsidP="00613BD4">
      <w:pPr>
        <w:pStyle w:val="SingleTxtG"/>
        <w:ind w:left="2268" w:hanging="1134"/>
        <w:rPr>
          <w:b/>
          <w:bCs/>
        </w:rPr>
      </w:pPr>
      <w:r w:rsidRPr="00613BD4">
        <w:rPr>
          <w:b/>
          <w:bCs/>
        </w:rPr>
        <w:t>2.1</w:t>
      </w:r>
      <w:r w:rsidRPr="00613BD4">
        <w:rPr>
          <w:b/>
          <w:bCs/>
        </w:rPr>
        <w:tab/>
        <w:t>Le fabricant du TPMS/TPRS/CTIS doit fournir au service technique une fiche de renseignements sur le ou les systèmes dont le fonctionnement doit être vérifié, dans laquelle doivent figurer au moins les informations</w:t>
      </w:r>
      <w:r w:rsidR="002741AD">
        <w:rPr>
          <w:b/>
          <w:bCs/>
        </w:rPr>
        <w:t xml:space="preserve"> </w:t>
      </w:r>
      <w:r w:rsidRPr="00613BD4">
        <w:rPr>
          <w:b/>
          <w:bCs/>
        </w:rPr>
        <w:t>visées à l’appendice</w:t>
      </w:r>
      <w:r>
        <w:rPr>
          <w:b/>
          <w:bCs/>
        </w:rPr>
        <w:t> </w:t>
      </w:r>
      <w:r w:rsidRPr="00613BD4">
        <w:rPr>
          <w:b/>
          <w:bCs/>
        </w:rPr>
        <w:t>1 et, le cas échéant, l’appendice</w:t>
      </w:r>
      <w:r>
        <w:rPr>
          <w:b/>
          <w:bCs/>
        </w:rPr>
        <w:t> </w:t>
      </w:r>
      <w:r w:rsidRPr="00613BD4">
        <w:rPr>
          <w:b/>
          <w:bCs/>
        </w:rPr>
        <w:t>2 de la présente annexe.</w:t>
      </w:r>
    </w:p>
    <w:p w14:paraId="47276756" w14:textId="600689D1" w:rsidR="00613BD4" w:rsidRPr="00613BD4" w:rsidRDefault="00613BD4" w:rsidP="00613BD4">
      <w:pPr>
        <w:pStyle w:val="SingleTxtG"/>
        <w:ind w:left="2268" w:hanging="1134"/>
        <w:rPr>
          <w:b/>
          <w:bCs/>
        </w:rPr>
      </w:pPr>
      <w:r w:rsidRPr="00613BD4">
        <w:rPr>
          <w:b/>
          <w:bCs/>
        </w:rPr>
        <w:t>2.2</w:t>
      </w:r>
      <w:r w:rsidRPr="00613BD4">
        <w:rPr>
          <w:b/>
          <w:bCs/>
        </w:rPr>
        <w:tab/>
        <w:t>Le cas échéant, le fabricant du module de gestion électronique conforme à la norme ISO 11992-2 installé sur le véhicule tracté (module passerelle) doit fournir au fabricant du TPMS/TPRS/CTIS une fiche de renseignements sur le ou les systèmes dont le fonctionnement doit être vérifié, que le fabricant doit transmettre au service technique, et dans laquelle doivent figurer au moins les informations visées à l’appendice 2 de la présente annexe.</w:t>
      </w:r>
    </w:p>
    <w:p w14:paraId="4DB426F5" w14:textId="77777777" w:rsidR="00613BD4" w:rsidRPr="00613BD4" w:rsidRDefault="00613BD4" w:rsidP="00613BD4">
      <w:pPr>
        <w:pStyle w:val="SingleTxtG"/>
        <w:ind w:left="2268" w:hanging="1134"/>
        <w:rPr>
          <w:b/>
          <w:bCs/>
        </w:rPr>
      </w:pPr>
      <w:r w:rsidRPr="00613BD4">
        <w:rPr>
          <w:b/>
          <w:bCs/>
        </w:rPr>
        <w:t>3.</w:t>
      </w:r>
      <w:r w:rsidRPr="00613BD4">
        <w:rPr>
          <w:b/>
          <w:bCs/>
        </w:rPr>
        <w:tab/>
        <w:t>Définition des véhicules d’essai</w:t>
      </w:r>
    </w:p>
    <w:p w14:paraId="1347613E" w14:textId="2363818B" w:rsidR="00613BD4" w:rsidRPr="00613BD4" w:rsidRDefault="00613BD4" w:rsidP="00613BD4">
      <w:pPr>
        <w:pStyle w:val="SingleTxtG"/>
        <w:ind w:left="2268" w:hanging="1134"/>
        <w:rPr>
          <w:b/>
          <w:bCs/>
        </w:rPr>
      </w:pPr>
      <w:r w:rsidRPr="00613BD4">
        <w:rPr>
          <w:b/>
          <w:bCs/>
        </w:rPr>
        <w:t>3.1</w:t>
      </w:r>
      <w:r w:rsidRPr="00613BD4">
        <w:rPr>
          <w:b/>
          <w:bCs/>
        </w:rPr>
        <w:tab/>
        <w:t>Sur la base des informations figurant dans la fiche de renseignements, concernant, en particulier, les applications définies au paragraphe</w:t>
      </w:r>
      <w:r>
        <w:rPr>
          <w:b/>
          <w:bCs/>
        </w:rPr>
        <w:t> </w:t>
      </w:r>
      <w:r w:rsidRPr="00613BD4">
        <w:rPr>
          <w:b/>
          <w:bCs/>
        </w:rPr>
        <w:t>2 de l’appendice 1, le service technique doit mettre à l’essai une ou plusieurs remorques représentatives munies d’un nombre d’essieux ne dépassant pas le nombre maximal défini dans la fiche de renseignements et équipées de la configuration du TPMS/TPRS/CTIS correspondante. En outre, lors de la sélection de la ou des remorques à évaluer, on doit également tenir compte des paramètres définis dans les paragraphes suivants.</w:t>
      </w:r>
    </w:p>
    <w:p w14:paraId="346A5201" w14:textId="77777777" w:rsidR="00613BD4" w:rsidRPr="00613BD4" w:rsidRDefault="00613BD4" w:rsidP="00613BD4">
      <w:pPr>
        <w:pStyle w:val="SingleTxtG"/>
        <w:ind w:left="2268" w:hanging="1134"/>
        <w:rPr>
          <w:b/>
          <w:bCs/>
        </w:rPr>
      </w:pPr>
      <w:r w:rsidRPr="00613BD4">
        <w:rPr>
          <w:b/>
          <w:bCs/>
        </w:rPr>
        <w:t>3.1.1</w:t>
      </w:r>
      <w:r w:rsidRPr="00613BD4">
        <w:rPr>
          <w:b/>
          <w:bCs/>
        </w:rPr>
        <w:tab/>
        <w:t>Nombre d’essieux</w:t>
      </w:r>
    </w:p>
    <w:p w14:paraId="6DD8B8F7" w14:textId="77777777" w:rsidR="00613BD4" w:rsidRPr="00613BD4" w:rsidRDefault="00613BD4" w:rsidP="00613BD4">
      <w:pPr>
        <w:pStyle w:val="SingleTxtG"/>
        <w:ind w:left="2268" w:hanging="1134"/>
        <w:rPr>
          <w:b/>
          <w:bCs/>
        </w:rPr>
      </w:pPr>
      <w:r w:rsidRPr="00613BD4">
        <w:rPr>
          <w:b/>
          <w:bCs/>
        </w:rPr>
        <w:t>3.1.2</w:t>
      </w:r>
      <w:r w:rsidRPr="00613BD4">
        <w:rPr>
          <w:b/>
          <w:bCs/>
        </w:rPr>
        <w:tab/>
        <w:t>Nombre et type de jantes et dimensions des pneumatiques pour chaque essieu</w:t>
      </w:r>
    </w:p>
    <w:p w14:paraId="2E3CDC4F" w14:textId="77777777" w:rsidR="00613BD4" w:rsidRPr="00613BD4" w:rsidRDefault="00613BD4" w:rsidP="00613BD4">
      <w:pPr>
        <w:pStyle w:val="SingleTxtG"/>
        <w:ind w:left="2268" w:hanging="1134"/>
        <w:rPr>
          <w:b/>
          <w:bCs/>
        </w:rPr>
      </w:pPr>
      <w:r w:rsidRPr="00613BD4">
        <w:rPr>
          <w:b/>
          <w:bCs/>
        </w:rPr>
        <w:t>3.1.3</w:t>
      </w:r>
      <w:r w:rsidRPr="00613BD4">
        <w:rPr>
          <w:b/>
          <w:bCs/>
        </w:rPr>
        <w:tab/>
        <w:t>Nombre et position des essieux relevables</w:t>
      </w:r>
    </w:p>
    <w:p w14:paraId="6FDC90D9" w14:textId="77777777" w:rsidR="00613BD4" w:rsidRPr="00613BD4" w:rsidRDefault="00613BD4" w:rsidP="00613BD4">
      <w:pPr>
        <w:pStyle w:val="SingleTxtG"/>
        <w:ind w:left="2268" w:hanging="1134"/>
        <w:rPr>
          <w:b/>
          <w:bCs/>
        </w:rPr>
      </w:pPr>
      <w:r w:rsidRPr="00613BD4">
        <w:rPr>
          <w:b/>
          <w:bCs/>
        </w:rPr>
        <w:t>3.1.4</w:t>
      </w:r>
      <w:r w:rsidRPr="00613BD4">
        <w:rPr>
          <w:b/>
          <w:bCs/>
        </w:rPr>
        <w:tab/>
        <w:t>Distance entre les roues et le récepteur/l’antenne</w:t>
      </w:r>
    </w:p>
    <w:p w14:paraId="7BADBFFA" w14:textId="77777777" w:rsidR="00613BD4" w:rsidRPr="00613BD4" w:rsidRDefault="00613BD4" w:rsidP="00613BD4">
      <w:pPr>
        <w:pStyle w:val="SingleTxtG"/>
        <w:ind w:left="2268" w:hanging="1134"/>
        <w:rPr>
          <w:b/>
          <w:bCs/>
        </w:rPr>
      </w:pPr>
      <w:r w:rsidRPr="00613BD4">
        <w:rPr>
          <w:b/>
          <w:bCs/>
        </w:rPr>
        <w:t>3.1.5</w:t>
      </w:r>
      <w:r w:rsidRPr="00613BD4">
        <w:rPr>
          <w:b/>
          <w:bCs/>
        </w:rPr>
        <w:tab/>
        <w:t>Plage de pression de référence/pression nominale prise en charge</w:t>
      </w:r>
    </w:p>
    <w:p w14:paraId="53AAD06E" w14:textId="77777777" w:rsidR="00613BD4" w:rsidRPr="00613BD4" w:rsidRDefault="00613BD4" w:rsidP="00613BD4">
      <w:pPr>
        <w:pStyle w:val="SingleTxtG"/>
        <w:ind w:left="2268" w:hanging="1134"/>
        <w:rPr>
          <w:b/>
          <w:bCs/>
        </w:rPr>
      </w:pPr>
      <w:r w:rsidRPr="00613BD4">
        <w:rPr>
          <w:b/>
          <w:bCs/>
        </w:rPr>
        <w:t>3.2</w:t>
      </w:r>
      <w:r w:rsidRPr="00613BD4">
        <w:rPr>
          <w:b/>
          <w:bCs/>
        </w:rPr>
        <w:tab/>
        <w:t>Aux fins d’homologation, les semi-remorques, les remorques, les diabolos et les remorques à essieux médians sont considérés comme un même type de véhicule.</w:t>
      </w:r>
    </w:p>
    <w:p w14:paraId="5B0AFA7B" w14:textId="77777777" w:rsidR="00613BD4" w:rsidRPr="00613BD4" w:rsidRDefault="00613BD4" w:rsidP="00613BD4">
      <w:pPr>
        <w:pStyle w:val="SingleTxtG"/>
        <w:keepNext/>
        <w:keepLines/>
        <w:ind w:left="2268" w:hanging="1134"/>
        <w:rPr>
          <w:b/>
          <w:bCs/>
          <w:spacing w:val="-1"/>
        </w:rPr>
      </w:pPr>
      <w:r w:rsidRPr="00613BD4">
        <w:rPr>
          <w:b/>
          <w:bCs/>
          <w:spacing w:val="-1"/>
        </w:rPr>
        <w:t>4.</w:t>
      </w:r>
      <w:r w:rsidRPr="00613BD4">
        <w:rPr>
          <w:b/>
          <w:bCs/>
          <w:spacing w:val="-1"/>
        </w:rPr>
        <w:tab/>
      </w:r>
      <w:r w:rsidRPr="00613BD4">
        <w:rPr>
          <w:b/>
          <w:bCs/>
        </w:rPr>
        <w:t>Programme d’essai pour la remorque de référence</w:t>
      </w:r>
    </w:p>
    <w:p w14:paraId="4F381773" w14:textId="7E3A3302" w:rsidR="00613BD4" w:rsidRPr="00613BD4" w:rsidRDefault="00613BD4" w:rsidP="00613BD4">
      <w:pPr>
        <w:pStyle w:val="SingleTxtG"/>
        <w:ind w:left="2268" w:hanging="1134"/>
        <w:rPr>
          <w:b/>
          <w:bCs/>
        </w:rPr>
      </w:pPr>
      <w:r w:rsidRPr="00613BD4">
        <w:rPr>
          <w:b/>
          <w:bCs/>
        </w:rPr>
        <w:t>4.1</w:t>
      </w:r>
      <w:r w:rsidRPr="00613BD4">
        <w:rPr>
          <w:b/>
          <w:bCs/>
        </w:rPr>
        <w:tab/>
        <w:t>Les essais suivants doivent être effectués par le service technique sur le ou les véhicules définis au paragraphe</w:t>
      </w:r>
      <w:r>
        <w:rPr>
          <w:b/>
          <w:bCs/>
        </w:rPr>
        <w:t> </w:t>
      </w:r>
      <w:r w:rsidRPr="00613BD4">
        <w:rPr>
          <w:b/>
          <w:bCs/>
        </w:rPr>
        <w:t>3 de la présente annexe pour chaque configuration du TPMS/TPRS/CTIS, compte tenu de la liste des applications définies au paragraphe</w:t>
      </w:r>
      <w:r>
        <w:rPr>
          <w:b/>
          <w:bCs/>
        </w:rPr>
        <w:t> </w:t>
      </w:r>
      <w:r w:rsidRPr="00613BD4">
        <w:rPr>
          <w:b/>
          <w:bCs/>
        </w:rPr>
        <w:t>1.4 de l’appendice</w:t>
      </w:r>
      <w:r>
        <w:rPr>
          <w:b/>
          <w:bCs/>
        </w:rPr>
        <w:t> </w:t>
      </w:r>
      <w:r w:rsidRPr="00613BD4">
        <w:rPr>
          <w:b/>
          <w:bCs/>
        </w:rPr>
        <w:t>1 et, le cas échéant, de l’appendice</w:t>
      </w:r>
      <w:r>
        <w:rPr>
          <w:b/>
          <w:bCs/>
        </w:rPr>
        <w:t> </w:t>
      </w:r>
      <w:r w:rsidRPr="00613BD4">
        <w:rPr>
          <w:b/>
          <w:bCs/>
        </w:rPr>
        <w:t>2 de la présente annexe.</w:t>
      </w:r>
    </w:p>
    <w:p w14:paraId="35E87DA8" w14:textId="4D40E4A8" w:rsidR="00613BD4" w:rsidRPr="00613BD4" w:rsidRDefault="00613BD4" w:rsidP="00613BD4">
      <w:pPr>
        <w:pStyle w:val="SingleTxtG"/>
        <w:ind w:left="2268" w:hanging="1134"/>
        <w:rPr>
          <w:b/>
          <w:bCs/>
        </w:rPr>
      </w:pPr>
      <w:r w:rsidRPr="00613BD4">
        <w:rPr>
          <w:b/>
          <w:bCs/>
        </w:rPr>
        <w:t>4.1.1</w:t>
      </w:r>
      <w:r w:rsidRPr="00613BD4">
        <w:rPr>
          <w:b/>
          <w:bCs/>
        </w:rPr>
        <w:tab/>
        <w:t>Dans le cas d’un TPMS</w:t>
      </w:r>
      <w:r>
        <w:rPr>
          <w:b/>
          <w:bCs/>
        </w:rPr>
        <w:t> </w:t>
      </w:r>
      <w:r w:rsidRPr="00613BD4">
        <w:rPr>
          <w:b/>
          <w:bCs/>
        </w:rPr>
        <w:t>: Essai de crevaison</w:t>
      </w:r>
      <w:r>
        <w:rPr>
          <w:b/>
          <w:bCs/>
        </w:rPr>
        <w:t> </w:t>
      </w:r>
      <w:r w:rsidRPr="00613BD4">
        <w:rPr>
          <w:b/>
          <w:bCs/>
        </w:rPr>
        <w:t>: Effectuer un essai conformément à l’annexe</w:t>
      </w:r>
      <w:r>
        <w:rPr>
          <w:b/>
          <w:bCs/>
        </w:rPr>
        <w:t> </w:t>
      </w:r>
      <w:r w:rsidRPr="00613BD4">
        <w:rPr>
          <w:b/>
          <w:bCs/>
        </w:rPr>
        <w:t>3 du présent Règlement.</w:t>
      </w:r>
    </w:p>
    <w:p w14:paraId="33295892" w14:textId="4ACA3BEE" w:rsidR="00613BD4" w:rsidRPr="00613BD4" w:rsidRDefault="00613BD4" w:rsidP="00613BD4">
      <w:pPr>
        <w:pStyle w:val="SingleTxtG"/>
        <w:ind w:left="2268" w:hanging="1134"/>
        <w:rPr>
          <w:b/>
          <w:bCs/>
        </w:rPr>
      </w:pPr>
      <w:r w:rsidRPr="00613BD4">
        <w:rPr>
          <w:b/>
          <w:bCs/>
        </w:rPr>
        <w:t>4.1.2</w:t>
      </w:r>
      <w:r w:rsidRPr="00613BD4">
        <w:rPr>
          <w:b/>
          <w:bCs/>
        </w:rPr>
        <w:tab/>
        <w:t>Dans le cas d’un TPMS</w:t>
      </w:r>
      <w:r>
        <w:rPr>
          <w:b/>
          <w:bCs/>
        </w:rPr>
        <w:t> </w:t>
      </w:r>
      <w:r w:rsidRPr="00613BD4">
        <w:rPr>
          <w:b/>
          <w:bCs/>
        </w:rPr>
        <w:t>: Essai de défaut d’étanchéité</w:t>
      </w:r>
      <w:r>
        <w:rPr>
          <w:b/>
          <w:bCs/>
        </w:rPr>
        <w:t> </w:t>
      </w:r>
      <w:r w:rsidRPr="00613BD4">
        <w:rPr>
          <w:b/>
          <w:bCs/>
        </w:rPr>
        <w:t>: Effectuer un essai conformément à l’annexe</w:t>
      </w:r>
      <w:r>
        <w:rPr>
          <w:b/>
          <w:bCs/>
        </w:rPr>
        <w:t> </w:t>
      </w:r>
      <w:r w:rsidRPr="00613BD4">
        <w:rPr>
          <w:b/>
          <w:bCs/>
        </w:rPr>
        <w:t>3 du présent Règlement.</w:t>
      </w:r>
    </w:p>
    <w:p w14:paraId="543797E7" w14:textId="3D06275B" w:rsidR="00613BD4" w:rsidRPr="00613BD4" w:rsidRDefault="00613BD4" w:rsidP="00613BD4">
      <w:pPr>
        <w:pStyle w:val="SingleTxtG"/>
        <w:ind w:left="2268" w:hanging="1134"/>
        <w:rPr>
          <w:b/>
          <w:bCs/>
        </w:rPr>
      </w:pPr>
      <w:r w:rsidRPr="00613BD4">
        <w:rPr>
          <w:b/>
          <w:bCs/>
        </w:rPr>
        <w:t>4.1.3</w:t>
      </w:r>
      <w:r w:rsidRPr="00613BD4">
        <w:rPr>
          <w:b/>
          <w:bCs/>
        </w:rPr>
        <w:tab/>
        <w:t>Dans le cas d’un TPRS/CTIS</w:t>
      </w:r>
      <w:r>
        <w:rPr>
          <w:b/>
          <w:bCs/>
        </w:rPr>
        <w:t> </w:t>
      </w:r>
      <w:r w:rsidRPr="00613BD4">
        <w:rPr>
          <w:b/>
          <w:bCs/>
        </w:rPr>
        <w:t>: Essai de regonflage</w:t>
      </w:r>
      <w:r>
        <w:rPr>
          <w:b/>
          <w:bCs/>
        </w:rPr>
        <w:t> </w:t>
      </w:r>
      <w:r w:rsidRPr="00613BD4">
        <w:rPr>
          <w:b/>
          <w:bCs/>
        </w:rPr>
        <w:t>: Effectuer un essai conformément à l’annexe 4 du présent Règlement.</w:t>
      </w:r>
    </w:p>
    <w:p w14:paraId="73CB61F7" w14:textId="14BDE4B4" w:rsidR="00613BD4" w:rsidRPr="00613BD4" w:rsidRDefault="00613BD4" w:rsidP="00613BD4">
      <w:pPr>
        <w:pStyle w:val="SingleTxtG"/>
        <w:ind w:left="2268" w:hanging="1134"/>
        <w:rPr>
          <w:b/>
          <w:bCs/>
        </w:rPr>
      </w:pPr>
      <w:r w:rsidRPr="00613BD4">
        <w:rPr>
          <w:b/>
          <w:bCs/>
        </w:rPr>
        <w:t>4.1.4</w:t>
      </w:r>
      <w:r w:rsidRPr="00613BD4">
        <w:rPr>
          <w:b/>
          <w:bCs/>
        </w:rPr>
        <w:tab/>
        <w:t>Dans le cas d’un TPMS</w:t>
      </w:r>
      <w:r>
        <w:rPr>
          <w:b/>
          <w:bCs/>
        </w:rPr>
        <w:t> </w:t>
      </w:r>
      <w:r w:rsidRPr="00613BD4">
        <w:rPr>
          <w:b/>
          <w:bCs/>
        </w:rPr>
        <w:t>: Essai de dysfonctionnement</w:t>
      </w:r>
      <w:r>
        <w:rPr>
          <w:b/>
          <w:bCs/>
        </w:rPr>
        <w:t> </w:t>
      </w:r>
      <w:r w:rsidRPr="00613BD4">
        <w:rPr>
          <w:b/>
          <w:bCs/>
        </w:rPr>
        <w:t>: Effectuer un essai conformément à l’annexe 3 du présent Règlement.</w:t>
      </w:r>
    </w:p>
    <w:p w14:paraId="5C7A33E5" w14:textId="7CCCCFE5" w:rsidR="00613BD4" w:rsidRPr="00613BD4" w:rsidRDefault="00613BD4" w:rsidP="00613BD4">
      <w:pPr>
        <w:pStyle w:val="SingleTxtG"/>
        <w:ind w:left="2268" w:hanging="1134"/>
        <w:rPr>
          <w:b/>
          <w:bCs/>
        </w:rPr>
      </w:pPr>
      <w:r w:rsidRPr="00613BD4">
        <w:rPr>
          <w:b/>
          <w:bCs/>
        </w:rPr>
        <w:t>4.1.5</w:t>
      </w:r>
      <w:r w:rsidRPr="00613BD4">
        <w:rPr>
          <w:b/>
          <w:bCs/>
        </w:rPr>
        <w:tab/>
        <w:t>Dans le cas d’un TPRS/CTIS</w:t>
      </w:r>
      <w:r>
        <w:rPr>
          <w:b/>
          <w:bCs/>
        </w:rPr>
        <w:t> </w:t>
      </w:r>
      <w:r w:rsidRPr="00613BD4">
        <w:rPr>
          <w:b/>
          <w:bCs/>
        </w:rPr>
        <w:t>: Essai de dysfonctionnement</w:t>
      </w:r>
      <w:r>
        <w:rPr>
          <w:b/>
          <w:bCs/>
        </w:rPr>
        <w:t> </w:t>
      </w:r>
      <w:r w:rsidRPr="00613BD4">
        <w:rPr>
          <w:b/>
          <w:bCs/>
        </w:rPr>
        <w:t>: Effectuer un essai conformément à l’annexe</w:t>
      </w:r>
      <w:r>
        <w:rPr>
          <w:b/>
          <w:bCs/>
        </w:rPr>
        <w:t> </w:t>
      </w:r>
      <w:r w:rsidRPr="00613BD4">
        <w:rPr>
          <w:b/>
          <w:bCs/>
        </w:rPr>
        <w:t>4 du présent Règlement</w:t>
      </w:r>
      <w:r w:rsidR="0067723A">
        <w:rPr>
          <w:b/>
          <w:bCs/>
        </w:rPr>
        <w:t>.</w:t>
      </w:r>
    </w:p>
    <w:p w14:paraId="5725B913" w14:textId="5850873D" w:rsidR="00613BD4" w:rsidRDefault="00613BD4" w:rsidP="00613BD4">
      <w:pPr>
        <w:pStyle w:val="SingleTxtG"/>
        <w:ind w:left="2268" w:hanging="1134"/>
        <w:rPr>
          <w:b/>
          <w:bCs/>
        </w:rPr>
      </w:pPr>
      <w:r w:rsidRPr="00613BD4">
        <w:rPr>
          <w:b/>
          <w:bCs/>
        </w:rPr>
        <w:t>4.1.6</w:t>
      </w:r>
      <w:r w:rsidRPr="00613BD4">
        <w:rPr>
          <w:b/>
          <w:bCs/>
        </w:rPr>
        <w:tab/>
        <w:t>Communication de données</w:t>
      </w:r>
      <w:r>
        <w:rPr>
          <w:b/>
          <w:bCs/>
        </w:rPr>
        <w:t> </w:t>
      </w:r>
      <w:r w:rsidRPr="00613BD4">
        <w:rPr>
          <w:b/>
          <w:bCs/>
        </w:rPr>
        <w:t>: En cas d’utilisation d’un module de gestion électronique passerelle conforme à la norme ISO 11992</w:t>
      </w:r>
      <w:r>
        <w:rPr>
          <w:b/>
          <w:bCs/>
        </w:rPr>
        <w:t> </w:t>
      </w:r>
      <w:r w:rsidRPr="00613BD4">
        <w:rPr>
          <w:b/>
          <w:bCs/>
        </w:rPr>
        <w:t>: Essai de communication</w:t>
      </w:r>
      <w:r>
        <w:rPr>
          <w:b/>
          <w:bCs/>
        </w:rPr>
        <w:t> </w:t>
      </w:r>
      <w:r w:rsidRPr="00613BD4">
        <w:rPr>
          <w:b/>
          <w:bCs/>
        </w:rPr>
        <w:t>: Effectuer un essai conformément à l’annexe</w:t>
      </w:r>
      <w:r>
        <w:rPr>
          <w:b/>
          <w:bCs/>
        </w:rPr>
        <w:t> </w:t>
      </w:r>
      <w:r w:rsidRPr="00613BD4">
        <w:rPr>
          <w:b/>
          <w:bCs/>
        </w:rPr>
        <w:t>6 du présent Règlement</w:t>
      </w:r>
      <w:r w:rsidR="0067723A">
        <w:rPr>
          <w:b/>
          <w:bCs/>
        </w:rPr>
        <w:t>.</w:t>
      </w:r>
    </w:p>
    <w:p w14:paraId="350E5802" w14:textId="488680D5" w:rsidR="00613BD4" w:rsidRDefault="00613BD4" w:rsidP="00613BD4">
      <w:pPr>
        <w:pStyle w:val="SingleTxtG"/>
        <w:ind w:left="2268" w:hanging="1134"/>
      </w:pPr>
      <w:r>
        <w:br w:type="page"/>
      </w:r>
    </w:p>
    <w:p w14:paraId="5D39E26C" w14:textId="082E96F9" w:rsidR="00613BD4" w:rsidRPr="00A511B3" w:rsidRDefault="00613BD4" w:rsidP="00613BD4">
      <w:pPr>
        <w:pStyle w:val="HChG"/>
        <w:rPr>
          <w:sz w:val="36"/>
          <w:szCs w:val="36"/>
        </w:rPr>
      </w:pPr>
      <w:r w:rsidRPr="00A511B3">
        <w:t>Annexe</w:t>
      </w:r>
      <w:r>
        <w:t> </w:t>
      </w:r>
      <w:r w:rsidRPr="00A511B3">
        <w:t>7 − Appendice</w:t>
      </w:r>
      <w:r>
        <w:t> </w:t>
      </w:r>
      <w:r w:rsidRPr="00A511B3">
        <w:t>1</w:t>
      </w:r>
    </w:p>
    <w:p w14:paraId="10B01EE1" w14:textId="6B19B1ED" w:rsidR="00613BD4" w:rsidRDefault="00613BD4" w:rsidP="00613BD4">
      <w:pPr>
        <w:pStyle w:val="HChG"/>
      </w:pPr>
      <w:r w:rsidRPr="00613BD4">
        <w:rPr>
          <w:rFonts w:ascii="Times New Roman Gras" w:hAnsi="Times New Roman Gras"/>
          <w:spacing w:val="-2"/>
        </w:rPr>
        <w:tab/>
      </w:r>
      <w:r w:rsidRPr="00613BD4">
        <w:rPr>
          <w:rFonts w:ascii="Times New Roman Gras" w:hAnsi="Times New Roman Gras"/>
          <w:spacing w:val="-2"/>
        </w:rPr>
        <w:tab/>
        <w:t>Fiche de renseignements concernant le système de surveillance</w:t>
      </w:r>
      <w:r w:rsidRPr="003241D2">
        <w:t xml:space="preserve"> de la pression des pneumatiques/système de regonflage des pneumatiques/système de gonflage central des pneumatiques pour la remorque de référence</w:t>
      </w:r>
    </w:p>
    <w:p w14:paraId="64CAF3EA" w14:textId="3446033E" w:rsidR="00613BD4" w:rsidRPr="00613BD4" w:rsidRDefault="00613BD4" w:rsidP="00613BD4">
      <w:pPr>
        <w:pStyle w:val="SingleTxtG"/>
        <w:ind w:left="2268" w:hanging="1134"/>
        <w:rPr>
          <w:b/>
          <w:bCs/>
          <w:color w:val="000000"/>
        </w:rPr>
      </w:pPr>
      <w:r w:rsidRPr="00613BD4">
        <w:rPr>
          <w:b/>
          <w:bCs/>
        </w:rPr>
        <w:t>1.</w:t>
      </w:r>
      <w:r w:rsidRPr="00613BD4">
        <w:rPr>
          <w:b/>
          <w:bCs/>
        </w:rPr>
        <w:tab/>
        <w:t>Généralités</w:t>
      </w:r>
    </w:p>
    <w:p w14:paraId="58FC379D" w14:textId="77777777" w:rsidR="00613BD4" w:rsidRPr="00613BD4" w:rsidRDefault="00613BD4" w:rsidP="00613BD4">
      <w:pPr>
        <w:pStyle w:val="SingleTxtG"/>
        <w:ind w:left="2268" w:hanging="1134"/>
        <w:rPr>
          <w:b/>
          <w:bCs/>
          <w:color w:val="000000"/>
        </w:rPr>
      </w:pPr>
      <w:r w:rsidRPr="00613BD4">
        <w:rPr>
          <w:b/>
          <w:bCs/>
        </w:rPr>
        <w:t>1.1</w:t>
      </w:r>
      <w:r w:rsidRPr="00613BD4">
        <w:rPr>
          <w:b/>
          <w:bCs/>
        </w:rPr>
        <w:tab/>
        <w:t>Nom et adresse du fabricant</w:t>
      </w:r>
    </w:p>
    <w:p w14:paraId="5EEE798B" w14:textId="01A2DE70" w:rsidR="00613BD4" w:rsidRPr="00613BD4" w:rsidRDefault="00613BD4" w:rsidP="00613BD4">
      <w:pPr>
        <w:pStyle w:val="SingleTxtG"/>
        <w:ind w:left="2268" w:hanging="1134"/>
        <w:rPr>
          <w:b/>
          <w:bCs/>
          <w:color w:val="000000"/>
        </w:rPr>
      </w:pPr>
      <w:r w:rsidRPr="00613BD4">
        <w:rPr>
          <w:b/>
          <w:bCs/>
        </w:rPr>
        <w:t>1.2</w:t>
      </w:r>
      <w:r w:rsidRPr="00613BD4">
        <w:rPr>
          <w:b/>
          <w:bCs/>
        </w:rPr>
        <w:tab/>
        <w:t>Nom du système</w:t>
      </w:r>
    </w:p>
    <w:p w14:paraId="7DB9BED5" w14:textId="603C216A" w:rsidR="00613BD4" w:rsidRPr="00613BD4" w:rsidRDefault="00613BD4" w:rsidP="00613BD4">
      <w:pPr>
        <w:pStyle w:val="SingleTxtG"/>
        <w:ind w:left="2268" w:hanging="1134"/>
        <w:rPr>
          <w:b/>
          <w:bCs/>
          <w:color w:val="000000"/>
        </w:rPr>
      </w:pPr>
      <w:r w:rsidRPr="00613BD4">
        <w:rPr>
          <w:b/>
          <w:bCs/>
        </w:rPr>
        <w:t>1.3</w:t>
      </w:r>
      <w:r w:rsidRPr="00613BD4">
        <w:rPr>
          <w:b/>
          <w:bCs/>
        </w:rPr>
        <w:tab/>
        <w:t>Variantes du système</w:t>
      </w:r>
    </w:p>
    <w:p w14:paraId="59DADC73" w14:textId="7DDAB838" w:rsidR="00613BD4" w:rsidRPr="00613BD4" w:rsidRDefault="00613BD4" w:rsidP="00613BD4">
      <w:pPr>
        <w:pStyle w:val="SingleTxtG"/>
        <w:ind w:left="2268" w:hanging="1134"/>
        <w:rPr>
          <w:b/>
          <w:bCs/>
          <w:color w:val="000000"/>
        </w:rPr>
      </w:pPr>
      <w:r w:rsidRPr="00613BD4">
        <w:rPr>
          <w:b/>
          <w:bCs/>
        </w:rPr>
        <w:t>1.4</w:t>
      </w:r>
      <w:r w:rsidRPr="00613BD4">
        <w:rPr>
          <w:b/>
          <w:bCs/>
        </w:rPr>
        <w:tab/>
        <w:t>Configurations du système (par exemple, nombre d’essieux, nombre de pneumatiques, etc.)</w:t>
      </w:r>
    </w:p>
    <w:p w14:paraId="3C481759" w14:textId="77777777" w:rsidR="00613BD4" w:rsidRPr="00613BD4" w:rsidRDefault="00613BD4" w:rsidP="00613BD4">
      <w:pPr>
        <w:pStyle w:val="SingleTxtG"/>
        <w:ind w:left="2268" w:hanging="1134"/>
        <w:rPr>
          <w:b/>
          <w:bCs/>
          <w:color w:val="000000"/>
        </w:rPr>
      </w:pPr>
      <w:r w:rsidRPr="00613BD4">
        <w:rPr>
          <w:b/>
          <w:bCs/>
        </w:rPr>
        <w:t>1.5</w:t>
      </w:r>
      <w:r w:rsidRPr="00613BD4">
        <w:rPr>
          <w:b/>
          <w:bCs/>
        </w:rPr>
        <w:tab/>
        <w:t>Explication de la fonction de base ou du principe du système</w:t>
      </w:r>
    </w:p>
    <w:p w14:paraId="34B47691" w14:textId="77777777" w:rsidR="00613BD4" w:rsidRPr="00613BD4" w:rsidRDefault="00613BD4" w:rsidP="00613BD4">
      <w:pPr>
        <w:pStyle w:val="SingleTxtG"/>
        <w:ind w:left="2268" w:hanging="1134"/>
        <w:rPr>
          <w:b/>
          <w:bCs/>
          <w:color w:val="000000"/>
        </w:rPr>
      </w:pPr>
      <w:r w:rsidRPr="00613BD4">
        <w:rPr>
          <w:b/>
          <w:bCs/>
        </w:rPr>
        <w:t>2.</w:t>
      </w:r>
      <w:r w:rsidRPr="00613BD4">
        <w:rPr>
          <w:b/>
          <w:bCs/>
        </w:rPr>
        <w:tab/>
        <w:t>Applications</w:t>
      </w:r>
    </w:p>
    <w:p w14:paraId="0A356C39" w14:textId="5F45792D" w:rsidR="00613BD4" w:rsidRPr="00613BD4" w:rsidRDefault="00613BD4" w:rsidP="00613BD4">
      <w:pPr>
        <w:pStyle w:val="SingleTxtG"/>
        <w:ind w:left="2268" w:hanging="1134"/>
        <w:rPr>
          <w:b/>
          <w:bCs/>
          <w:color w:val="000000"/>
        </w:rPr>
      </w:pPr>
      <w:r w:rsidRPr="00613BD4">
        <w:rPr>
          <w:b/>
          <w:bCs/>
        </w:rPr>
        <w:t>2.1</w:t>
      </w:r>
      <w:r w:rsidRPr="00613BD4">
        <w:rPr>
          <w:b/>
          <w:bCs/>
        </w:rPr>
        <w:tab/>
        <w:t>Liste des types de remorque et des configurations de TPMS/TPRS/CTIS</w:t>
      </w:r>
      <w:r>
        <w:rPr>
          <w:rStyle w:val="Appelnotedebasdep"/>
          <w:b/>
          <w:bCs/>
        </w:rPr>
        <w:footnoteReference w:id="3"/>
      </w:r>
      <w:r w:rsidRPr="00613BD4">
        <w:rPr>
          <w:b/>
          <w:bCs/>
        </w:rPr>
        <w:t xml:space="preserve"> présentés à l’homologation</w:t>
      </w:r>
    </w:p>
    <w:p w14:paraId="3E858E7D" w14:textId="5337F891" w:rsidR="00613BD4" w:rsidRPr="00613BD4" w:rsidRDefault="00613BD4" w:rsidP="00613BD4">
      <w:pPr>
        <w:pStyle w:val="SingleTxtG"/>
        <w:ind w:left="2268" w:hanging="1134"/>
        <w:rPr>
          <w:b/>
          <w:bCs/>
          <w:color w:val="000000"/>
        </w:rPr>
      </w:pPr>
      <w:r w:rsidRPr="00613BD4">
        <w:rPr>
          <w:b/>
          <w:bCs/>
        </w:rPr>
        <w:t>2.2</w:t>
      </w:r>
      <w:r w:rsidRPr="00613BD4">
        <w:rPr>
          <w:b/>
          <w:bCs/>
        </w:rPr>
        <w:tab/>
        <w:t>Schémas des configurations installées sur les remorques, telles que définies au point</w:t>
      </w:r>
      <w:r>
        <w:rPr>
          <w:b/>
          <w:bCs/>
        </w:rPr>
        <w:t> </w:t>
      </w:r>
      <w:r w:rsidRPr="00613BD4">
        <w:rPr>
          <w:b/>
          <w:bCs/>
        </w:rPr>
        <w:t>2.1 ci-dessus, compte tenu des critères suivants</w:t>
      </w:r>
      <w:r>
        <w:rPr>
          <w:b/>
          <w:bCs/>
        </w:rPr>
        <w:t> </w:t>
      </w:r>
      <w:r w:rsidRPr="00613BD4">
        <w:rPr>
          <w:b/>
          <w:bCs/>
        </w:rPr>
        <w:t>:</w:t>
      </w:r>
    </w:p>
    <w:p w14:paraId="24B82BB3" w14:textId="4C140504" w:rsidR="00613BD4" w:rsidRPr="00613BD4" w:rsidRDefault="00613BD4" w:rsidP="00613BD4">
      <w:pPr>
        <w:pStyle w:val="SingleTxtG"/>
        <w:ind w:left="2835" w:hanging="567"/>
        <w:rPr>
          <w:b/>
          <w:bCs/>
        </w:rPr>
      </w:pPr>
      <w:r w:rsidRPr="00613BD4">
        <w:rPr>
          <w:b/>
          <w:bCs/>
        </w:rPr>
        <w:t>-</w:t>
      </w:r>
      <w:r w:rsidRPr="00613BD4">
        <w:rPr>
          <w:b/>
          <w:bCs/>
        </w:rPr>
        <w:tab/>
        <w:t>Nombre d’essieux ;</w:t>
      </w:r>
    </w:p>
    <w:p w14:paraId="48714725" w14:textId="3C088363" w:rsidR="00613BD4" w:rsidRPr="00613BD4" w:rsidRDefault="00613BD4" w:rsidP="00613BD4">
      <w:pPr>
        <w:pStyle w:val="SingleTxtG"/>
        <w:ind w:left="2835" w:hanging="567"/>
        <w:rPr>
          <w:b/>
          <w:bCs/>
        </w:rPr>
      </w:pPr>
      <w:r w:rsidRPr="00613BD4">
        <w:rPr>
          <w:b/>
          <w:bCs/>
        </w:rPr>
        <w:t>-</w:t>
      </w:r>
      <w:r w:rsidRPr="00613BD4">
        <w:rPr>
          <w:b/>
          <w:bCs/>
        </w:rPr>
        <w:tab/>
        <w:t>Emplacements des roues</w:t>
      </w:r>
      <w:r>
        <w:rPr>
          <w:b/>
          <w:bCs/>
        </w:rPr>
        <w:t> </w:t>
      </w:r>
      <w:r w:rsidRPr="00613BD4">
        <w:rPr>
          <w:b/>
          <w:bCs/>
        </w:rPr>
        <w:t>;</w:t>
      </w:r>
    </w:p>
    <w:p w14:paraId="3CC33D78" w14:textId="2DA546BB" w:rsidR="00613BD4" w:rsidRPr="00613BD4" w:rsidRDefault="00613BD4" w:rsidP="00613BD4">
      <w:pPr>
        <w:pStyle w:val="SingleTxtG"/>
        <w:ind w:left="2835" w:hanging="567"/>
        <w:rPr>
          <w:b/>
          <w:bCs/>
        </w:rPr>
      </w:pPr>
      <w:r w:rsidRPr="00613BD4">
        <w:rPr>
          <w:b/>
          <w:bCs/>
        </w:rPr>
        <w:t>-</w:t>
      </w:r>
      <w:r w:rsidRPr="00613BD4">
        <w:rPr>
          <w:b/>
          <w:bCs/>
        </w:rPr>
        <w:tab/>
        <w:t>Position des essieux relevables</w:t>
      </w:r>
      <w:r>
        <w:rPr>
          <w:b/>
          <w:bCs/>
        </w:rPr>
        <w:t> </w:t>
      </w:r>
      <w:r w:rsidRPr="00613BD4">
        <w:rPr>
          <w:b/>
          <w:bCs/>
        </w:rPr>
        <w:t>;</w:t>
      </w:r>
    </w:p>
    <w:p w14:paraId="2919F512" w14:textId="38973EA3" w:rsidR="00613BD4" w:rsidRPr="00613BD4" w:rsidRDefault="00613BD4" w:rsidP="00613BD4">
      <w:pPr>
        <w:pStyle w:val="SingleTxtG"/>
        <w:ind w:left="2835" w:hanging="567"/>
        <w:rPr>
          <w:b/>
          <w:bCs/>
        </w:rPr>
      </w:pPr>
      <w:r w:rsidRPr="00613BD4">
        <w:rPr>
          <w:b/>
          <w:bCs/>
        </w:rPr>
        <w:t>-</w:t>
      </w:r>
      <w:r w:rsidRPr="00613BD4">
        <w:rPr>
          <w:b/>
          <w:bCs/>
        </w:rPr>
        <w:tab/>
        <w:t>Position du récepteur/emplacements des antennes</w:t>
      </w:r>
      <w:r>
        <w:rPr>
          <w:b/>
          <w:bCs/>
        </w:rPr>
        <w:t> </w:t>
      </w:r>
      <w:r w:rsidRPr="00613BD4">
        <w:rPr>
          <w:b/>
          <w:bCs/>
        </w:rPr>
        <w:t>;</w:t>
      </w:r>
    </w:p>
    <w:p w14:paraId="63DB6A29" w14:textId="0FF4C3CF" w:rsidR="00613BD4" w:rsidRPr="00613BD4" w:rsidRDefault="00613BD4" w:rsidP="00613BD4">
      <w:pPr>
        <w:pStyle w:val="SingleTxtG"/>
        <w:ind w:left="2835" w:hanging="567"/>
        <w:rPr>
          <w:b/>
          <w:bCs/>
        </w:rPr>
      </w:pPr>
      <w:r w:rsidRPr="00613BD4">
        <w:rPr>
          <w:b/>
          <w:bCs/>
        </w:rPr>
        <w:t>-</w:t>
      </w:r>
      <w:r w:rsidRPr="00613BD4">
        <w:rPr>
          <w:b/>
          <w:bCs/>
        </w:rPr>
        <w:tab/>
        <w:t>Position des capteurs.</w:t>
      </w:r>
    </w:p>
    <w:p w14:paraId="738490B1" w14:textId="23605DD8" w:rsidR="00613BD4" w:rsidRPr="00613BD4" w:rsidRDefault="00613BD4" w:rsidP="00613BD4">
      <w:pPr>
        <w:pStyle w:val="SingleTxtG"/>
        <w:ind w:left="2268" w:hanging="1134"/>
        <w:rPr>
          <w:b/>
          <w:bCs/>
        </w:rPr>
      </w:pPr>
      <w:r w:rsidRPr="00613BD4">
        <w:rPr>
          <w:b/>
          <w:bCs/>
        </w:rPr>
        <w:t>2.3</w:t>
      </w:r>
      <w:r w:rsidRPr="00613BD4">
        <w:rPr>
          <w:b/>
          <w:bCs/>
        </w:rPr>
        <w:tab/>
        <w:t>Limites d’installation/d’intégration (par exemple, distance entre le récepteur/l’antenne et la roue ou la jante, messages et signaux d’entrée requis par le TPMS pour que le véhicule satisfasse aux prescriptions de fonctionnement énoncées aux paragraphes</w:t>
      </w:r>
      <w:r>
        <w:rPr>
          <w:b/>
          <w:bCs/>
        </w:rPr>
        <w:t> </w:t>
      </w:r>
      <w:r w:rsidRPr="00613BD4">
        <w:rPr>
          <w:b/>
          <w:bCs/>
        </w:rPr>
        <w:t>5.1.2 à 5.6 du présent Règlement ainsi qu’aux prescriptions d’essai (crevaison, défaut d’étanchéité et défaut de fonctionnement) énoncées dans l’annexe</w:t>
      </w:r>
      <w:r>
        <w:rPr>
          <w:b/>
          <w:bCs/>
        </w:rPr>
        <w:t> </w:t>
      </w:r>
      <w:r w:rsidRPr="00613BD4">
        <w:rPr>
          <w:b/>
          <w:bCs/>
        </w:rPr>
        <w:t>3 de ce Règlement en ce qui concerne, par exemple, la vitesse du véhicule)</w:t>
      </w:r>
    </w:p>
    <w:p w14:paraId="3FAFC26C" w14:textId="77777777" w:rsidR="00613BD4" w:rsidRPr="00613BD4" w:rsidRDefault="00613BD4" w:rsidP="00613BD4">
      <w:pPr>
        <w:pStyle w:val="SingleTxtG"/>
        <w:ind w:left="2268" w:hanging="1134"/>
        <w:rPr>
          <w:b/>
          <w:bCs/>
        </w:rPr>
      </w:pPr>
      <w:r w:rsidRPr="00613BD4">
        <w:rPr>
          <w:b/>
          <w:bCs/>
        </w:rPr>
        <w:t>2.4</w:t>
      </w:r>
      <w:r w:rsidRPr="00613BD4">
        <w:rPr>
          <w:b/>
          <w:bCs/>
        </w:rPr>
        <w:tab/>
        <w:t>Renseignements complémentaires (le cas échéant) aux données concernant l’application prévue pour le TPMS/TPRS/CTIS</w:t>
      </w:r>
    </w:p>
    <w:p w14:paraId="54C28745" w14:textId="77777777" w:rsidR="00613BD4" w:rsidRPr="00613BD4" w:rsidRDefault="00613BD4" w:rsidP="00613BD4">
      <w:pPr>
        <w:pStyle w:val="SingleTxtG"/>
        <w:ind w:left="2268" w:hanging="1134"/>
        <w:rPr>
          <w:b/>
          <w:bCs/>
          <w:color w:val="000000"/>
        </w:rPr>
      </w:pPr>
      <w:r w:rsidRPr="00613BD4">
        <w:rPr>
          <w:b/>
          <w:bCs/>
        </w:rPr>
        <w:t>3.</w:t>
      </w:r>
      <w:r w:rsidRPr="00613BD4">
        <w:rPr>
          <w:b/>
          <w:bCs/>
        </w:rPr>
        <w:tab/>
        <w:t>Description des composants</w:t>
      </w:r>
    </w:p>
    <w:p w14:paraId="45CC3A55" w14:textId="77777777" w:rsidR="00613BD4" w:rsidRPr="00613BD4" w:rsidRDefault="00613BD4" w:rsidP="00613BD4">
      <w:pPr>
        <w:pStyle w:val="SingleTxtG"/>
        <w:ind w:left="2268" w:hanging="1134"/>
        <w:rPr>
          <w:b/>
          <w:bCs/>
        </w:rPr>
      </w:pPr>
      <w:r w:rsidRPr="00613BD4">
        <w:rPr>
          <w:b/>
          <w:bCs/>
        </w:rPr>
        <w:t>3.1</w:t>
      </w:r>
      <w:r w:rsidRPr="00613BD4">
        <w:rPr>
          <w:b/>
          <w:bCs/>
        </w:rPr>
        <w:tab/>
        <w:t>Capteur(s)</w:t>
      </w:r>
    </w:p>
    <w:p w14:paraId="46E6A7AB" w14:textId="07469129" w:rsidR="00613BD4" w:rsidRPr="00613BD4" w:rsidRDefault="00613BD4" w:rsidP="00613BD4">
      <w:pPr>
        <w:pStyle w:val="SingleTxtG"/>
        <w:ind w:left="2835" w:hanging="567"/>
        <w:rPr>
          <w:b/>
          <w:bCs/>
        </w:rPr>
      </w:pPr>
      <w:r w:rsidRPr="00613BD4">
        <w:rPr>
          <w:b/>
          <w:bCs/>
        </w:rPr>
        <w:t>-</w:t>
      </w:r>
      <w:r w:rsidRPr="00613BD4">
        <w:rPr>
          <w:b/>
          <w:bCs/>
        </w:rPr>
        <w:tab/>
        <w:t>Fonction</w:t>
      </w:r>
    </w:p>
    <w:p w14:paraId="19BB2E54" w14:textId="24612387" w:rsidR="00613BD4" w:rsidRPr="00613BD4" w:rsidRDefault="00613BD4" w:rsidP="00613BD4">
      <w:pPr>
        <w:pStyle w:val="SingleTxtG"/>
        <w:ind w:left="2835" w:hanging="567"/>
        <w:rPr>
          <w:b/>
          <w:bCs/>
        </w:rPr>
      </w:pPr>
      <w:r w:rsidRPr="00613BD4">
        <w:rPr>
          <w:b/>
          <w:bCs/>
        </w:rPr>
        <w:t>-</w:t>
      </w:r>
      <w:r w:rsidRPr="00613BD4">
        <w:rPr>
          <w:b/>
          <w:bCs/>
        </w:rPr>
        <w:tab/>
        <w:t>Identification (par exemple</w:t>
      </w:r>
      <w:r w:rsidR="0067723A">
        <w:rPr>
          <w:b/>
          <w:bCs/>
        </w:rPr>
        <w:t>,</w:t>
      </w:r>
      <w:r w:rsidRPr="00613BD4">
        <w:rPr>
          <w:b/>
          <w:bCs/>
        </w:rPr>
        <w:t xml:space="preserve"> numéro(s) de pièce)</w:t>
      </w:r>
    </w:p>
    <w:p w14:paraId="3CED12E0" w14:textId="77777777" w:rsidR="00613BD4" w:rsidRPr="00613BD4" w:rsidRDefault="00613BD4" w:rsidP="00613BD4">
      <w:pPr>
        <w:pStyle w:val="SingleTxtG"/>
        <w:ind w:left="2268" w:hanging="1134"/>
        <w:rPr>
          <w:b/>
          <w:bCs/>
        </w:rPr>
      </w:pPr>
      <w:r w:rsidRPr="00613BD4">
        <w:rPr>
          <w:b/>
          <w:bCs/>
        </w:rPr>
        <w:t>3.2</w:t>
      </w:r>
      <w:r w:rsidRPr="00613BD4">
        <w:rPr>
          <w:b/>
          <w:bCs/>
        </w:rPr>
        <w:tab/>
        <w:t>Récepteur(s)/antenne(s)</w:t>
      </w:r>
    </w:p>
    <w:p w14:paraId="6DF9E45A" w14:textId="0D27C47D" w:rsidR="00613BD4" w:rsidRPr="00613BD4" w:rsidRDefault="00613BD4" w:rsidP="00613BD4">
      <w:pPr>
        <w:pStyle w:val="SingleTxtG"/>
        <w:ind w:left="2835" w:hanging="567"/>
        <w:rPr>
          <w:b/>
          <w:bCs/>
        </w:rPr>
      </w:pPr>
      <w:r w:rsidRPr="00613BD4">
        <w:rPr>
          <w:b/>
          <w:bCs/>
        </w:rPr>
        <w:t>-</w:t>
      </w:r>
      <w:r w:rsidRPr="00613BD4">
        <w:rPr>
          <w:b/>
          <w:bCs/>
        </w:rPr>
        <w:tab/>
        <w:t>Description générale et fonction</w:t>
      </w:r>
    </w:p>
    <w:p w14:paraId="26BA4DC1" w14:textId="3D9CA8E4" w:rsidR="00613BD4" w:rsidRPr="00613BD4" w:rsidRDefault="00613BD4" w:rsidP="00613BD4">
      <w:pPr>
        <w:pStyle w:val="SingleTxtG"/>
        <w:ind w:left="2835" w:hanging="567"/>
        <w:rPr>
          <w:b/>
          <w:bCs/>
        </w:rPr>
      </w:pPr>
      <w:r w:rsidRPr="00613BD4">
        <w:rPr>
          <w:b/>
          <w:bCs/>
        </w:rPr>
        <w:t>-</w:t>
      </w:r>
      <w:r w:rsidRPr="00613BD4">
        <w:rPr>
          <w:b/>
          <w:bCs/>
        </w:rPr>
        <w:tab/>
        <w:t>Identification (par exemple</w:t>
      </w:r>
      <w:r w:rsidR="0067723A">
        <w:rPr>
          <w:b/>
          <w:bCs/>
        </w:rPr>
        <w:t>,</w:t>
      </w:r>
      <w:r w:rsidRPr="00613BD4">
        <w:rPr>
          <w:b/>
          <w:bCs/>
        </w:rPr>
        <w:t xml:space="preserve"> numéro(s) de pièce)</w:t>
      </w:r>
    </w:p>
    <w:p w14:paraId="54459EBB" w14:textId="11087972" w:rsidR="00613BD4" w:rsidRPr="00613BD4" w:rsidRDefault="00613BD4" w:rsidP="00613BD4">
      <w:pPr>
        <w:pStyle w:val="SingleTxtG"/>
        <w:ind w:left="2835" w:hanging="567"/>
        <w:rPr>
          <w:b/>
          <w:bCs/>
          <w:color w:val="000000"/>
        </w:rPr>
      </w:pPr>
      <w:r w:rsidRPr="00613BD4">
        <w:rPr>
          <w:b/>
          <w:bCs/>
        </w:rPr>
        <w:t>-</w:t>
      </w:r>
      <w:r w:rsidRPr="00613BD4">
        <w:rPr>
          <w:b/>
          <w:bCs/>
        </w:rPr>
        <w:tab/>
        <w:t>Fonctions supplémentaires (par exemple, configuration automatique, paramètres variables, diagnostic)</w:t>
      </w:r>
    </w:p>
    <w:p w14:paraId="0DE75FED" w14:textId="6406BB59" w:rsidR="00613BD4" w:rsidRPr="00613BD4" w:rsidRDefault="00613BD4" w:rsidP="00613BD4">
      <w:pPr>
        <w:pStyle w:val="SingleTxtG"/>
        <w:ind w:left="2835" w:hanging="567"/>
        <w:rPr>
          <w:b/>
          <w:bCs/>
        </w:rPr>
      </w:pPr>
      <w:r w:rsidRPr="00613BD4">
        <w:rPr>
          <w:b/>
          <w:bCs/>
        </w:rPr>
        <w:t>-</w:t>
      </w:r>
      <w:r w:rsidRPr="00613BD4">
        <w:rPr>
          <w:b/>
          <w:bCs/>
        </w:rPr>
        <w:tab/>
        <w:t>Modes de défaillance</w:t>
      </w:r>
    </w:p>
    <w:p w14:paraId="0057C179" w14:textId="77777777" w:rsidR="00613BD4" w:rsidRPr="00613BD4" w:rsidRDefault="00613BD4" w:rsidP="00613BD4">
      <w:pPr>
        <w:pStyle w:val="SingleTxtG"/>
        <w:ind w:left="2268" w:hanging="1134"/>
        <w:rPr>
          <w:b/>
          <w:bCs/>
        </w:rPr>
      </w:pPr>
      <w:r w:rsidRPr="00613BD4">
        <w:rPr>
          <w:b/>
          <w:bCs/>
        </w:rPr>
        <w:t>3.3</w:t>
      </w:r>
      <w:r w:rsidRPr="00613BD4">
        <w:rPr>
          <w:b/>
          <w:bCs/>
        </w:rPr>
        <w:tab/>
        <w:t>Équipement électrique</w:t>
      </w:r>
    </w:p>
    <w:p w14:paraId="41A5DF2D" w14:textId="714E3C17" w:rsidR="00613BD4" w:rsidRPr="00613BD4" w:rsidRDefault="00613BD4" w:rsidP="00613BD4">
      <w:pPr>
        <w:pStyle w:val="SingleTxtG"/>
        <w:ind w:left="2835" w:hanging="567"/>
        <w:rPr>
          <w:b/>
          <w:bCs/>
        </w:rPr>
      </w:pPr>
      <w:r w:rsidRPr="00613BD4">
        <w:rPr>
          <w:b/>
          <w:bCs/>
        </w:rPr>
        <w:t>-</w:t>
      </w:r>
      <w:r w:rsidRPr="00613BD4">
        <w:rPr>
          <w:b/>
          <w:bCs/>
        </w:rPr>
        <w:tab/>
        <w:t>Diagramme(s) du circuit</w:t>
      </w:r>
    </w:p>
    <w:p w14:paraId="136F9F3D" w14:textId="61643ABC" w:rsidR="00613BD4" w:rsidRPr="00613BD4" w:rsidRDefault="00613BD4" w:rsidP="00613BD4">
      <w:pPr>
        <w:pStyle w:val="SingleTxtG"/>
        <w:ind w:left="2835" w:hanging="567"/>
        <w:rPr>
          <w:b/>
          <w:bCs/>
        </w:rPr>
      </w:pPr>
      <w:r w:rsidRPr="00613BD4">
        <w:rPr>
          <w:b/>
          <w:bCs/>
        </w:rPr>
        <w:t>-</w:t>
      </w:r>
      <w:r w:rsidRPr="00613BD4">
        <w:rPr>
          <w:b/>
          <w:bCs/>
        </w:rPr>
        <w:tab/>
        <w:t>Méthodes d’alimentation</w:t>
      </w:r>
    </w:p>
    <w:p w14:paraId="3C3C9983" w14:textId="5D2E2C37" w:rsidR="00613BD4" w:rsidRPr="00613BD4" w:rsidRDefault="00613BD4" w:rsidP="00613BD4">
      <w:pPr>
        <w:pStyle w:val="SingleTxtG"/>
        <w:ind w:left="2268" w:hanging="1134"/>
        <w:rPr>
          <w:b/>
          <w:bCs/>
        </w:rPr>
      </w:pPr>
      <w:r w:rsidRPr="00613BD4">
        <w:rPr>
          <w:b/>
          <w:bCs/>
        </w:rPr>
        <w:t>3.4</w:t>
      </w:r>
      <w:r w:rsidRPr="00613BD4">
        <w:rPr>
          <w:b/>
          <w:bCs/>
        </w:rPr>
        <w:tab/>
        <w:t>S’il y a lieu, compatibilité électromagnétique au sens du Règlement ONU n</w:t>
      </w:r>
      <w:r w:rsidRPr="00613BD4">
        <w:rPr>
          <w:b/>
          <w:bCs/>
          <w:vertAlign w:val="superscript"/>
        </w:rPr>
        <w:t>o</w:t>
      </w:r>
      <w:r w:rsidRPr="00613BD4">
        <w:rPr>
          <w:b/>
          <w:bCs/>
        </w:rPr>
        <w:t> 10 tel que modifié par</w:t>
      </w:r>
      <w:r>
        <w:rPr>
          <w:b/>
          <w:bCs/>
        </w:rPr>
        <w:t> </w:t>
      </w:r>
      <w:r w:rsidRPr="00613BD4">
        <w:rPr>
          <w:b/>
          <w:bCs/>
        </w:rPr>
        <w:t>:</w:t>
      </w:r>
    </w:p>
    <w:p w14:paraId="6A062E3B" w14:textId="77777777" w:rsidR="00613BD4" w:rsidRPr="0067723A" w:rsidRDefault="00613BD4" w:rsidP="00613BD4">
      <w:pPr>
        <w:pStyle w:val="SingleTxtG"/>
        <w:ind w:left="2835" w:hanging="567"/>
        <w:rPr>
          <w:rFonts w:ascii="Times New Roman Gras" w:hAnsi="Times New Roman Gras"/>
          <w:b/>
          <w:bCs/>
          <w:spacing w:val="-1"/>
        </w:rPr>
      </w:pPr>
      <w:r w:rsidRPr="0067723A">
        <w:rPr>
          <w:rFonts w:ascii="Times New Roman Gras" w:hAnsi="Times New Roman Gras"/>
          <w:b/>
          <w:bCs/>
          <w:spacing w:val="-1"/>
        </w:rPr>
        <w:t>a)</w:t>
      </w:r>
      <w:r w:rsidRPr="0067723A">
        <w:rPr>
          <w:rFonts w:ascii="Times New Roman Gras" w:hAnsi="Times New Roman Gras"/>
          <w:b/>
          <w:bCs/>
          <w:spacing w:val="-1"/>
        </w:rPr>
        <w:tab/>
        <w:t xml:space="preserve">La série 03 d’amendements pour les véhicules dépourvus de système de raccordement pour la recharge du système rechargeable </w:t>
      </w:r>
      <w:r w:rsidRPr="0067723A">
        <w:rPr>
          <w:rFonts w:ascii="Times New Roman Gras" w:hAnsi="Times New Roman Gras"/>
          <w:b/>
          <w:bCs/>
        </w:rPr>
        <w:t>de stockage de l’énergie électrique (batteries de traction) ;</w:t>
      </w:r>
    </w:p>
    <w:p w14:paraId="7811197E" w14:textId="19A1AA12" w:rsidR="00613BD4" w:rsidRPr="00613BD4" w:rsidRDefault="00613BD4" w:rsidP="00613BD4">
      <w:pPr>
        <w:pStyle w:val="SingleTxtG"/>
        <w:ind w:left="2835" w:hanging="567"/>
        <w:rPr>
          <w:b/>
          <w:bCs/>
        </w:rPr>
      </w:pPr>
      <w:r w:rsidRPr="00613BD4">
        <w:rPr>
          <w:b/>
          <w:bCs/>
        </w:rPr>
        <w:t>b)</w:t>
      </w:r>
      <w:r w:rsidRPr="00613BD4">
        <w:rPr>
          <w:b/>
          <w:bCs/>
        </w:rPr>
        <w:tab/>
        <w:t>La série</w:t>
      </w:r>
      <w:r>
        <w:rPr>
          <w:b/>
          <w:bCs/>
        </w:rPr>
        <w:t> </w:t>
      </w:r>
      <w:r w:rsidRPr="00613BD4">
        <w:rPr>
          <w:b/>
          <w:bCs/>
        </w:rPr>
        <w:t>06 d’amendements pour les véhicules équipés d’un système de raccordement pour la recharge du système rechargeable de stockage de l’énergie électrique (batteries de traction).</w:t>
      </w:r>
    </w:p>
    <w:p w14:paraId="430BE5E4" w14:textId="0A288865" w:rsidR="00613BD4" w:rsidRDefault="00613BD4" w:rsidP="00613BD4">
      <w:pPr>
        <w:pStyle w:val="SingleTxtG"/>
        <w:ind w:left="2268" w:hanging="1134"/>
        <w:rPr>
          <w:b/>
          <w:bCs/>
        </w:rPr>
      </w:pPr>
      <w:r w:rsidRPr="00613BD4">
        <w:rPr>
          <w:b/>
          <w:bCs/>
        </w:rPr>
        <w:t>3.5</w:t>
      </w:r>
      <w:r w:rsidRPr="00613BD4">
        <w:rPr>
          <w:b/>
          <w:bCs/>
        </w:rPr>
        <w:tab/>
        <w:t>Renseignements complémentaires (le cas échéant) à la description des composants du TPMS/TPRS/CTIS</w:t>
      </w:r>
    </w:p>
    <w:p w14:paraId="500540F0" w14:textId="321A6997" w:rsidR="00613BD4" w:rsidRDefault="00613BD4" w:rsidP="00613BD4">
      <w:pPr>
        <w:pStyle w:val="SingleTxtG"/>
        <w:ind w:left="2268" w:hanging="1134"/>
        <w:rPr>
          <w:b/>
          <w:bCs/>
        </w:rPr>
      </w:pPr>
      <w:r>
        <w:rPr>
          <w:b/>
          <w:bCs/>
        </w:rPr>
        <w:br w:type="page"/>
      </w:r>
    </w:p>
    <w:p w14:paraId="3A7F440E" w14:textId="492C53E4" w:rsidR="00613BD4" w:rsidRPr="00A511B3" w:rsidRDefault="00613BD4" w:rsidP="00613BD4">
      <w:pPr>
        <w:pStyle w:val="HChG"/>
        <w:rPr>
          <w:sz w:val="36"/>
          <w:szCs w:val="36"/>
        </w:rPr>
      </w:pPr>
      <w:r w:rsidRPr="00A511B3">
        <w:t>Annexe</w:t>
      </w:r>
      <w:r>
        <w:t> </w:t>
      </w:r>
      <w:r w:rsidRPr="00A511B3">
        <w:t>7 − Appendice</w:t>
      </w:r>
      <w:r>
        <w:t> </w:t>
      </w:r>
      <w:r w:rsidRPr="00A511B3">
        <w:t>2</w:t>
      </w:r>
    </w:p>
    <w:p w14:paraId="3F6299F6" w14:textId="7C6AD281" w:rsidR="00613BD4" w:rsidRDefault="00066415" w:rsidP="00066415">
      <w:pPr>
        <w:pStyle w:val="HChG"/>
      </w:pPr>
      <w:r>
        <w:tab/>
      </w:r>
      <w:r>
        <w:tab/>
      </w:r>
      <w:r w:rsidR="00613BD4" w:rsidRPr="009D1C4A">
        <w:t>Fiche de renseignements concernant le module de gestion électronique passerelle conforme à la norme ISO 11992-2 pour la remorque de référence</w:t>
      </w:r>
    </w:p>
    <w:p w14:paraId="15C406E0" w14:textId="291A96D3" w:rsidR="00613BD4" w:rsidRPr="00066415" w:rsidRDefault="00613BD4" w:rsidP="00066415">
      <w:pPr>
        <w:pStyle w:val="SingleTxtG"/>
        <w:ind w:left="2268" w:hanging="1134"/>
        <w:rPr>
          <w:b/>
          <w:bCs/>
        </w:rPr>
      </w:pPr>
      <w:r w:rsidRPr="00066415">
        <w:rPr>
          <w:b/>
          <w:bCs/>
        </w:rPr>
        <w:t>1.</w:t>
      </w:r>
      <w:r w:rsidRPr="00066415">
        <w:rPr>
          <w:b/>
          <w:bCs/>
        </w:rPr>
        <w:tab/>
        <w:t>Généralités</w:t>
      </w:r>
    </w:p>
    <w:p w14:paraId="1C487327" w14:textId="77777777" w:rsidR="00613BD4" w:rsidRPr="00066415" w:rsidRDefault="00613BD4" w:rsidP="00066415">
      <w:pPr>
        <w:pStyle w:val="SingleTxtG"/>
        <w:ind w:left="2268" w:hanging="1134"/>
        <w:rPr>
          <w:b/>
          <w:bCs/>
        </w:rPr>
      </w:pPr>
      <w:r w:rsidRPr="00066415">
        <w:rPr>
          <w:b/>
          <w:bCs/>
        </w:rPr>
        <w:t>1.1</w:t>
      </w:r>
      <w:r w:rsidRPr="00066415">
        <w:rPr>
          <w:b/>
          <w:bCs/>
        </w:rPr>
        <w:tab/>
        <w:t>Nom et adresse du fabricant du module passerelle</w:t>
      </w:r>
    </w:p>
    <w:p w14:paraId="2276665A" w14:textId="77777777" w:rsidR="00613BD4" w:rsidRPr="00066415" w:rsidRDefault="00613BD4" w:rsidP="00066415">
      <w:pPr>
        <w:pStyle w:val="SingleTxtG"/>
        <w:ind w:left="2268" w:hanging="1134"/>
        <w:rPr>
          <w:b/>
          <w:bCs/>
        </w:rPr>
      </w:pPr>
      <w:r w:rsidRPr="00066415">
        <w:rPr>
          <w:b/>
          <w:bCs/>
        </w:rPr>
        <w:t>1.2</w:t>
      </w:r>
      <w:r w:rsidRPr="00066415">
        <w:rPr>
          <w:b/>
          <w:bCs/>
        </w:rPr>
        <w:tab/>
        <w:t>Nom du système</w:t>
      </w:r>
    </w:p>
    <w:p w14:paraId="3341539A" w14:textId="77777777" w:rsidR="00613BD4" w:rsidRPr="00066415" w:rsidRDefault="00613BD4" w:rsidP="00066415">
      <w:pPr>
        <w:pStyle w:val="SingleTxtG"/>
        <w:ind w:left="2268" w:hanging="1134"/>
        <w:rPr>
          <w:b/>
          <w:bCs/>
        </w:rPr>
      </w:pPr>
      <w:r w:rsidRPr="00066415">
        <w:rPr>
          <w:b/>
          <w:bCs/>
        </w:rPr>
        <w:t>1.3</w:t>
      </w:r>
      <w:r w:rsidRPr="00066415">
        <w:rPr>
          <w:b/>
          <w:bCs/>
        </w:rPr>
        <w:tab/>
        <w:t>Variantes du système</w:t>
      </w:r>
    </w:p>
    <w:p w14:paraId="6C310AAB" w14:textId="77777777" w:rsidR="00613BD4" w:rsidRPr="00066415" w:rsidRDefault="00613BD4" w:rsidP="00066415">
      <w:pPr>
        <w:pStyle w:val="SingleTxtG"/>
        <w:ind w:left="2268" w:hanging="1134"/>
        <w:rPr>
          <w:b/>
          <w:bCs/>
        </w:rPr>
      </w:pPr>
      <w:r w:rsidRPr="00066415">
        <w:rPr>
          <w:b/>
          <w:bCs/>
        </w:rPr>
        <w:t>1.4</w:t>
      </w:r>
      <w:r w:rsidRPr="00066415">
        <w:rPr>
          <w:b/>
          <w:bCs/>
        </w:rPr>
        <w:tab/>
        <w:t>Configurations du système (par exemple, nombre d’essieux, nombre de pneumatiques, etc.)</w:t>
      </w:r>
    </w:p>
    <w:p w14:paraId="30732627" w14:textId="77777777" w:rsidR="00613BD4" w:rsidRPr="00066415" w:rsidRDefault="00613BD4" w:rsidP="00066415">
      <w:pPr>
        <w:pStyle w:val="SingleTxtG"/>
        <w:ind w:left="2268" w:hanging="1134"/>
        <w:rPr>
          <w:b/>
          <w:bCs/>
        </w:rPr>
      </w:pPr>
      <w:r w:rsidRPr="00066415">
        <w:rPr>
          <w:b/>
          <w:bCs/>
        </w:rPr>
        <w:t>1.5</w:t>
      </w:r>
      <w:r w:rsidRPr="00066415">
        <w:rPr>
          <w:b/>
          <w:bCs/>
        </w:rPr>
        <w:tab/>
        <w:t>Explication de la fonction de base ou du principe du système</w:t>
      </w:r>
    </w:p>
    <w:p w14:paraId="4C8B6C86" w14:textId="510FCB67" w:rsidR="00613BD4" w:rsidRPr="00066415" w:rsidRDefault="00613BD4" w:rsidP="00066415">
      <w:pPr>
        <w:pStyle w:val="SingleTxtG"/>
        <w:ind w:left="2268" w:hanging="1134"/>
        <w:rPr>
          <w:b/>
          <w:bCs/>
        </w:rPr>
      </w:pPr>
      <w:r w:rsidRPr="00066415">
        <w:rPr>
          <w:b/>
          <w:bCs/>
        </w:rPr>
        <w:t>2.</w:t>
      </w:r>
      <w:r w:rsidRPr="00066415">
        <w:rPr>
          <w:b/>
          <w:bCs/>
        </w:rPr>
        <w:tab/>
        <w:t>Applications</w:t>
      </w:r>
    </w:p>
    <w:p w14:paraId="1BCF4007" w14:textId="77777777" w:rsidR="00613BD4" w:rsidRPr="00066415" w:rsidRDefault="00613BD4" w:rsidP="00066415">
      <w:pPr>
        <w:pStyle w:val="SingleTxtG"/>
        <w:ind w:left="2268" w:hanging="1134"/>
        <w:rPr>
          <w:rFonts w:ascii="Times New Roman Gras" w:hAnsi="Times New Roman Gras"/>
          <w:b/>
          <w:bCs/>
          <w:spacing w:val="-3"/>
        </w:rPr>
      </w:pPr>
      <w:r w:rsidRPr="00066415">
        <w:rPr>
          <w:rFonts w:ascii="Times New Roman Gras" w:hAnsi="Times New Roman Gras"/>
          <w:b/>
          <w:bCs/>
          <w:spacing w:val="-3"/>
        </w:rPr>
        <w:t>2.1</w:t>
      </w:r>
      <w:r w:rsidRPr="00066415">
        <w:rPr>
          <w:rFonts w:ascii="Times New Roman Gras" w:hAnsi="Times New Roman Gras"/>
          <w:b/>
          <w:bCs/>
          <w:spacing w:val="-3"/>
        </w:rPr>
        <w:tab/>
        <w:t>Liste des types de remorque et des configurations présentés à l’homologation</w:t>
      </w:r>
    </w:p>
    <w:p w14:paraId="78D7FCDE" w14:textId="3F6C949C" w:rsidR="00613BD4" w:rsidRPr="00066415" w:rsidRDefault="00613BD4" w:rsidP="00066415">
      <w:pPr>
        <w:pStyle w:val="SingleTxtG"/>
        <w:ind w:left="2268" w:hanging="1134"/>
        <w:rPr>
          <w:b/>
          <w:bCs/>
        </w:rPr>
      </w:pPr>
      <w:r w:rsidRPr="00066415">
        <w:rPr>
          <w:b/>
          <w:bCs/>
        </w:rPr>
        <w:t>2.2</w:t>
      </w:r>
      <w:r w:rsidRPr="00066415">
        <w:rPr>
          <w:b/>
          <w:bCs/>
        </w:rPr>
        <w:tab/>
        <w:t>Schémas des configurations installées sur les remorques, telles que définies au point</w:t>
      </w:r>
      <w:r w:rsidR="00066415" w:rsidRPr="00066415">
        <w:rPr>
          <w:b/>
          <w:bCs/>
        </w:rPr>
        <w:t> </w:t>
      </w:r>
      <w:r w:rsidRPr="00066415">
        <w:rPr>
          <w:b/>
          <w:bCs/>
        </w:rPr>
        <w:t>2.1 ci-dessus, compte tenu des critères suivants</w:t>
      </w:r>
      <w:r w:rsidR="00066415">
        <w:rPr>
          <w:b/>
          <w:bCs/>
        </w:rPr>
        <w:t> </w:t>
      </w:r>
      <w:r w:rsidRPr="00066415">
        <w:rPr>
          <w:b/>
          <w:bCs/>
        </w:rPr>
        <w:t>:</w:t>
      </w:r>
    </w:p>
    <w:p w14:paraId="110CD6EC" w14:textId="3C0008FD" w:rsidR="00613BD4" w:rsidRPr="00066415" w:rsidRDefault="00613BD4" w:rsidP="00066415">
      <w:pPr>
        <w:pStyle w:val="SingleTxtG"/>
        <w:ind w:left="2835" w:hanging="567"/>
        <w:rPr>
          <w:b/>
          <w:bCs/>
        </w:rPr>
      </w:pPr>
      <w:r w:rsidRPr="00066415">
        <w:rPr>
          <w:b/>
          <w:bCs/>
        </w:rPr>
        <w:t>-</w:t>
      </w:r>
      <w:r w:rsidRPr="00066415">
        <w:rPr>
          <w:b/>
          <w:bCs/>
        </w:rPr>
        <w:tab/>
        <w:t>Activation de la fonction de passerelle du TPMS</w:t>
      </w:r>
    </w:p>
    <w:p w14:paraId="349DE265" w14:textId="77777777" w:rsidR="00613BD4" w:rsidRPr="00066415" w:rsidRDefault="00613BD4" w:rsidP="00066415">
      <w:pPr>
        <w:pStyle w:val="SingleTxtG"/>
        <w:ind w:left="2268" w:hanging="1134"/>
        <w:rPr>
          <w:b/>
          <w:bCs/>
        </w:rPr>
      </w:pPr>
      <w:r w:rsidRPr="00066415">
        <w:rPr>
          <w:b/>
          <w:bCs/>
        </w:rPr>
        <w:t>2.3</w:t>
      </w:r>
      <w:r w:rsidRPr="00066415">
        <w:rPr>
          <w:b/>
          <w:bCs/>
        </w:rPr>
        <w:tab/>
        <w:t>Limites d’installation</w:t>
      </w:r>
    </w:p>
    <w:p w14:paraId="2802FB2F" w14:textId="77777777" w:rsidR="00613BD4" w:rsidRPr="00066415" w:rsidRDefault="00613BD4" w:rsidP="00066415">
      <w:pPr>
        <w:pStyle w:val="SingleTxtG"/>
        <w:ind w:left="2268" w:hanging="1134"/>
        <w:rPr>
          <w:b/>
          <w:bCs/>
        </w:rPr>
      </w:pPr>
      <w:r w:rsidRPr="00066415">
        <w:rPr>
          <w:b/>
          <w:bCs/>
        </w:rPr>
        <w:t>2.4</w:t>
      </w:r>
      <w:r w:rsidRPr="00066415">
        <w:rPr>
          <w:b/>
          <w:bCs/>
        </w:rPr>
        <w:tab/>
        <w:t>Renseignements complémentaires (le cas échéant) aux données concernant l’application prévue pour le TPMS/TPRS/CTIS</w:t>
      </w:r>
    </w:p>
    <w:p w14:paraId="156B0049" w14:textId="4C546799" w:rsidR="00613BD4" w:rsidRPr="00066415" w:rsidRDefault="00613BD4" w:rsidP="00066415">
      <w:pPr>
        <w:pStyle w:val="SingleTxtG"/>
        <w:ind w:left="2268" w:hanging="1134"/>
        <w:rPr>
          <w:b/>
          <w:bCs/>
        </w:rPr>
      </w:pPr>
      <w:r w:rsidRPr="00066415">
        <w:rPr>
          <w:b/>
          <w:bCs/>
        </w:rPr>
        <w:t>3.</w:t>
      </w:r>
      <w:r w:rsidRPr="00066415">
        <w:rPr>
          <w:b/>
          <w:bCs/>
        </w:rPr>
        <w:tab/>
        <w:t>Description des composants</w:t>
      </w:r>
    </w:p>
    <w:p w14:paraId="44F6AB90" w14:textId="77777777" w:rsidR="00613BD4" w:rsidRPr="00066415" w:rsidRDefault="00613BD4" w:rsidP="00066415">
      <w:pPr>
        <w:pStyle w:val="SingleTxtG"/>
        <w:ind w:left="2268" w:hanging="1134"/>
        <w:rPr>
          <w:b/>
          <w:bCs/>
        </w:rPr>
      </w:pPr>
      <w:r w:rsidRPr="00066415">
        <w:rPr>
          <w:b/>
          <w:bCs/>
        </w:rPr>
        <w:t>3.1</w:t>
      </w:r>
      <w:r w:rsidRPr="00066415">
        <w:rPr>
          <w:b/>
          <w:bCs/>
        </w:rPr>
        <w:tab/>
        <w:t>Module passerelle conforme à l’annexe 5 du présent Règlement</w:t>
      </w:r>
    </w:p>
    <w:p w14:paraId="4620923F" w14:textId="10FEB6BA" w:rsidR="00613BD4" w:rsidRPr="00066415" w:rsidRDefault="00613BD4" w:rsidP="00066415">
      <w:pPr>
        <w:pStyle w:val="SingleTxtG"/>
        <w:ind w:left="2835" w:hanging="567"/>
        <w:rPr>
          <w:b/>
          <w:bCs/>
        </w:rPr>
      </w:pPr>
      <w:r w:rsidRPr="00066415">
        <w:rPr>
          <w:b/>
          <w:bCs/>
        </w:rPr>
        <w:t>-</w:t>
      </w:r>
      <w:r w:rsidRPr="00066415">
        <w:rPr>
          <w:b/>
          <w:bCs/>
        </w:rPr>
        <w:tab/>
        <w:t>Description générale et fonction</w:t>
      </w:r>
      <w:r w:rsidR="00066415">
        <w:rPr>
          <w:b/>
          <w:bCs/>
        </w:rPr>
        <w:t> </w:t>
      </w:r>
      <w:r w:rsidRPr="00066415">
        <w:rPr>
          <w:b/>
          <w:bCs/>
        </w:rPr>
        <w:t>;</w:t>
      </w:r>
    </w:p>
    <w:p w14:paraId="6A975A0B" w14:textId="4D88E3CB" w:rsidR="00613BD4" w:rsidRPr="00066415" w:rsidRDefault="00613BD4" w:rsidP="00066415">
      <w:pPr>
        <w:pStyle w:val="SingleTxtG"/>
        <w:ind w:left="2835" w:hanging="567"/>
        <w:rPr>
          <w:b/>
          <w:bCs/>
        </w:rPr>
      </w:pPr>
      <w:r w:rsidRPr="00066415">
        <w:rPr>
          <w:b/>
          <w:bCs/>
        </w:rPr>
        <w:t>-</w:t>
      </w:r>
      <w:r w:rsidRPr="00066415">
        <w:rPr>
          <w:b/>
          <w:bCs/>
        </w:rPr>
        <w:tab/>
        <w:t>Identification (par exemple</w:t>
      </w:r>
      <w:r w:rsidR="001F47CD">
        <w:rPr>
          <w:b/>
          <w:bCs/>
        </w:rPr>
        <w:t>,</w:t>
      </w:r>
      <w:r w:rsidRPr="00066415">
        <w:rPr>
          <w:b/>
          <w:bCs/>
        </w:rPr>
        <w:t xml:space="preserve"> numéro(s) de pièce)</w:t>
      </w:r>
      <w:r w:rsidR="00066415">
        <w:rPr>
          <w:b/>
          <w:bCs/>
        </w:rPr>
        <w:t> </w:t>
      </w:r>
      <w:r w:rsidRPr="00066415">
        <w:rPr>
          <w:b/>
          <w:bCs/>
        </w:rPr>
        <w:t>;</w:t>
      </w:r>
    </w:p>
    <w:p w14:paraId="4B664C0F" w14:textId="069804D9" w:rsidR="00613BD4" w:rsidRPr="00066415" w:rsidRDefault="00613BD4" w:rsidP="00066415">
      <w:pPr>
        <w:pStyle w:val="SingleTxtG"/>
        <w:ind w:left="2835" w:hanging="567"/>
        <w:rPr>
          <w:rFonts w:ascii="Times New Roman Gras" w:hAnsi="Times New Roman Gras"/>
          <w:b/>
          <w:bCs/>
          <w:spacing w:val="-4"/>
        </w:rPr>
      </w:pPr>
      <w:r w:rsidRPr="00066415">
        <w:rPr>
          <w:rFonts w:ascii="Times New Roman Gras" w:hAnsi="Times New Roman Gras"/>
          <w:b/>
          <w:bCs/>
          <w:spacing w:val="-4"/>
        </w:rPr>
        <w:t>-</w:t>
      </w:r>
      <w:r w:rsidRPr="00066415">
        <w:rPr>
          <w:rFonts w:ascii="Times New Roman Gras" w:hAnsi="Times New Roman Gras"/>
          <w:b/>
          <w:bCs/>
          <w:spacing w:val="-4"/>
        </w:rPr>
        <w:tab/>
        <w:t>Limitations (par exemple, compatibilité avec les autres systèmes connectés au bus CAN, messages et signaux de sortie requis par le TPMS pour que le véhicule satisfasse aux prescriptions de fonctionnement énoncées aux paragraphes</w:t>
      </w:r>
      <w:r w:rsidR="00066415" w:rsidRPr="00066415">
        <w:rPr>
          <w:rFonts w:ascii="Times New Roman Gras" w:hAnsi="Times New Roman Gras"/>
          <w:b/>
          <w:bCs/>
          <w:spacing w:val="-4"/>
        </w:rPr>
        <w:t> </w:t>
      </w:r>
      <w:r w:rsidRPr="00066415">
        <w:rPr>
          <w:rFonts w:ascii="Times New Roman Gras" w:hAnsi="Times New Roman Gras"/>
          <w:b/>
          <w:bCs/>
          <w:spacing w:val="-4"/>
        </w:rPr>
        <w:t>5.1.2 à 5.6 du présent Règlement ainsi qu’aux prescriptions d’essai (crevaison, défaut d’étanchéité et défaut de fonctionnement) énoncées dans l’annexe 3 de ce Règlement en ce qui concerne, par exemple, la vitesse du véhicule)</w:t>
      </w:r>
      <w:r w:rsidR="00066415" w:rsidRPr="00066415">
        <w:rPr>
          <w:rFonts w:ascii="Times New Roman Gras" w:hAnsi="Times New Roman Gras"/>
          <w:b/>
          <w:bCs/>
          <w:spacing w:val="-4"/>
        </w:rPr>
        <w:t> </w:t>
      </w:r>
      <w:r w:rsidRPr="00066415">
        <w:rPr>
          <w:rFonts w:ascii="Times New Roman Gras" w:hAnsi="Times New Roman Gras"/>
          <w:b/>
          <w:bCs/>
          <w:spacing w:val="-4"/>
        </w:rPr>
        <w:t>;</w:t>
      </w:r>
    </w:p>
    <w:p w14:paraId="2E80C327" w14:textId="4B25B2A3" w:rsidR="00613BD4" w:rsidRPr="00066415" w:rsidRDefault="00613BD4" w:rsidP="00066415">
      <w:pPr>
        <w:pStyle w:val="SingleTxtG"/>
        <w:ind w:left="2835" w:hanging="567"/>
        <w:rPr>
          <w:b/>
          <w:bCs/>
        </w:rPr>
      </w:pPr>
      <w:r w:rsidRPr="00066415">
        <w:rPr>
          <w:b/>
          <w:bCs/>
        </w:rPr>
        <w:t>-</w:t>
      </w:r>
      <w:r w:rsidRPr="00066415">
        <w:rPr>
          <w:b/>
          <w:bCs/>
        </w:rPr>
        <w:tab/>
        <w:t>Cet élément peut</w:t>
      </w:r>
      <w:r w:rsidR="002741AD">
        <w:rPr>
          <w:b/>
          <w:bCs/>
        </w:rPr>
        <w:t xml:space="preserve"> </w:t>
      </w:r>
      <w:r w:rsidRPr="00066415">
        <w:rPr>
          <w:b/>
          <w:bCs/>
        </w:rPr>
        <w:t>faire l’objet d’un procès-verbal d’essai distinct.</w:t>
      </w:r>
    </w:p>
    <w:p w14:paraId="1CCB71A2" w14:textId="77777777" w:rsidR="00613BD4" w:rsidRPr="00066415" w:rsidRDefault="00613BD4" w:rsidP="00066415">
      <w:pPr>
        <w:pStyle w:val="SingleTxtG"/>
        <w:ind w:left="2268" w:hanging="1134"/>
        <w:rPr>
          <w:b/>
          <w:bCs/>
        </w:rPr>
      </w:pPr>
      <w:r w:rsidRPr="00066415">
        <w:rPr>
          <w:b/>
          <w:bCs/>
        </w:rPr>
        <w:t>3.2</w:t>
      </w:r>
      <w:r w:rsidRPr="00066415">
        <w:rPr>
          <w:b/>
          <w:bCs/>
        </w:rPr>
        <w:tab/>
        <w:t>Équipement électrique</w:t>
      </w:r>
    </w:p>
    <w:p w14:paraId="43D30BC0" w14:textId="1BE3D224" w:rsidR="00613BD4" w:rsidRPr="00066415" w:rsidRDefault="00613BD4" w:rsidP="00066415">
      <w:pPr>
        <w:pStyle w:val="SingleTxtG"/>
        <w:ind w:left="2835" w:hanging="567"/>
        <w:rPr>
          <w:b/>
          <w:bCs/>
        </w:rPr>
      </w:pPr>
      <w:r w:rsidRPr="00066415">
        <w:rPr>
          <w:b/>
          <w:bCs/>
        </w:rPr>
        <w:t>-</w:t>
      </w:r>
      <w:r w:rsidRPr="00066415">
        <w:rPr>
          <w:b/>
          <w:bCs/>
        </w:rPr>
        <w:tab/>
        <w:t>Diagramme(s) du circuit</w:t>
      </w:r>
      <w:r w:rsidR="00066415">
        <w:rPr>
          <w:b/>
          <w:bCs/>
        </w:rPr>
        <w:t> </w:t>
      </w:r>
      <w:r w:rsidRPr="00066415">
        <w:rPr>
          <w:b/>
          <w:bCs/>
        </w:rPr>
        <w:t>;</w:t>
      </w:r>
    </w:p>
    <w:p w14:paraId="12768B8F" w14:textId="2A47B47C" w:rsidR="00613BD4" w:rsidRPr="00066415" w:rsidRDefault="00613BD4" w:rsidP="00066415">
      <w:pPr>
        <w:pStyle w:val="SingleTxtG"/>
        <w:ind w:left="2835" w:hanging="567"/>
        <w:rPr>
          <w:b/>
          <w:bCs/>
        </w:rPr>
      </w:pPr>
      <w:r w:rsidRPr="00066415">
        <w:rPr>
          <w:b/>
          <w:bCs/>
        </w:rPr>
        <w:t>-</w:t>
      </w:r>
      <w:r w:rsidRPr="00066415">
        <w:rPr>
          <w:b/>
          <w:bCs/>
        </w:rPr>
        <w:tab/>
        <w:t>Méthodes d’alimentation</w:t>
      </w:r>
    </w:p>
    <w:p w14:paraId="68D4B960" w14:textId="0E01616F" w:rsidR="00613BD4" w:rsidRPr="00066415" w:rsidRDefault="00613BD4" w:rsidP="00066415">
      <w:pPr>
        <w:pStyle w:val="SingleTxtG"/>
        <w:ind w:left="2268" w:hanging="1134"/>
        <w:rPr>
          <w:b/>
          <w:bCs/>
        </w:rPr>
      </w:pPr>
      <w:r w:rsidRPr="00066415">
        <w:rPr>
          <w:b/>
          <w:bCs/>
        </w:rPr>
        <w:t>3.3</w:t>
      </w:r>
      <w:r w:rsidRPr="00066415">
        <w:rPr>
          <w:b/>
          <w:bCs/>
        </w:rPr>
        <w:tab/>
        <w:t>S’il y a lieu, compatibilité électromagnétique au sens du Règlement ONU n</w:t>
      </w:r>
      <w:r w:rsidRPr="00066415">
        <w:rPr>
          <w:b/>
          <w:bCs/>
          <w:vertAlign w:val="superscript"/>
        </w:rPr>
        <w:t>o</w:t>
      </w:r>
      <w:r w:rsidRPr="00066415">
        <w:rPr>
          <w:b/>
          <w:bCs/>
        </w:rPr>
        <w:t> 10 tel que modifié par</w:t>
      </w:r>
      <w:r w:rsidR="00066415">
        <w:rPr>
          <w:b/>
          <w:bCs/>
        </w:rPr>
        <w:t> </w:t>
      </w:r>
      <w:r w:rsidRPr="00066415">
        <w:rPr>
          <w:b/>
          <w:bCs/>
        </w:rPr>
        <w:t>:</w:t>
      </w:r>
    </w:p>
    <w:p w14:paraId="43D87C34" w14:textId="62C46555" w:rsidR="00613BD4" w:rsidRPr="00066415" w:rsidRDefault="00613BD4" w:rsidP="00066415">
      <w:pPr>
        <w:pStyle w:val="SingleTxtG"/>
        <w:ind w:left="2835" w:hanging="567"/>
        <w:rPr>
          <w:rFonts w:ascii="Times New Roman Gras" w:hAnsi="Times New Roman Gras"/>
          <w:b/>
          <w:bCs/>
          <w:spacing w:val="-1"/>
        </w:rPr>
      </w:pPr>
      <w:r w:rsidRPr="00066415">
        <w:rPr>
          <w:rFonts w:ascii="Times New Roman Gras" w:hAnsi="Times New Roman Gras"/>
          <w:b/>
          <w:bCs/>
          <w:spacing w:val="-1"/>
        </w:rPr>
        <w:t>a)</w:t>
      </w:r>
      <w:r w:rsidRPr="00066415">
        <w:rPr>
          <w:rFonts w:ascii="Times New Roman Gras" w:hAnsi="Times New Roman Gras"/>
          <w:b/>
          <w:bCs/>
          <w:spacing w:val="-1"/>
        </w:rPr>
        <w:tab/>
        <w:t>La série</w:t>
      </w:r>
      <w:r w:rsidR="00066415" w:rsidRPr="00066415">
        <w:rPr>
          <w:rFonts w:ascii="Times New Roman Gras" w:hAnsi="Times New Roman Gras"/>
          <w:b/>
          <w:bCs/>
          <w:spacing w:val="-1"/>
        </w:rPr>
        <w:t> </w:t>
      </w:r>
      <w:r w:rsidRPr="00066415">
        <w:rPr>
          <w:rFonts w:ascii="Times New Roman Gras" w:hAnsi="Times New Roman Gras"/>
          <w:b/>
          <w:bCs/>
          <w:spacing w:val="-1"/>
        </w:rPr>
        <w:t xml:space="preserve">03 d’amendements pour les véhicules dépourvus de système de raccordement pour la recharge du système rechargeable de </w:t>
      </w:r>
      <w:r w:rsidRPr="00066415">
        <w:rPr>
          <w:rFonts w:ascii="Times New Roman Gras" w:hAnsi="Times New Roman Gras"/>
          <w:b/>
          <w:bCs/>
        </w:rPr>
        <w:t>stockage de l’énergie électrique (batteries de traction)</w:t>
      </w:r>
      <w:r w:rsidR="00066415" w:rsidRPr="00066415">
        <w:rPr>
          <w:rFonts w:ascii="Times New Roman Gras" w:hAnsi="Times New Roman Gras"/>
          <w:b/>
          <w:bCs/>
        </w:rPr>
        <w:t> </w:t>
      </w:r>
      <w:r w:rsidRPr="00066415">
        <w:rPr>
          <w:rFonts w:ascii="Times New Roman Gras" w:hAnsi="Times New Roman Gras"/>
          <w:b/>
          <w:bCs/>
        </w:rPr>
        <w:t>;</w:t>
      </w:r>
    </w:p>
    <w:p w14:paraId="6321B90B" w14:textId="258A8EDF" w:rsidR="00613BD4" w:rsidRPr="00066415" w:rsidRDefault="00613BD4" w:rsidP="00066415">
      <w:pPr>
        <w:pStyle w:val="SingleTxtG"/>
        <w:ind w:left="2835" w:hanging="567"/>
        <w:rPr>
          <w:b/>
          <w:bCs/>
        </w:rPr>
      </w:pPr>
      <w:r w:rsidRPr="00066415">
        <w:rPr>
          <w:b/>
          <w:bCs/>
        </w:rPr>
        <w:t>b)</w:t>
      </w:r>
      <w:r w:rsidRPr="00066415">
        <w:rPr>
          <w:b/>
          <w:bCs/>
        </w:rPr>
        <w:tab/>
        <w:t>La série</w:t>
      </w:r>
      <w:r w:rsidR="00066415">
        <w:rPr>
          <w:b/>
          <w:bCs/>
        </w:rPr>
        <w:t> </w:t>
      </w:r>
      <w:r w:rsidRPr="00066415">
        <w:rPr>
          <w:b/>
          <w:bCs/>
        </w:rPr>
        <w:t>06 d’amendements pour les véhicules équipés d’un système de raccordement pour la recharge du système rechargeable de stockage de l’énergie électrique (batteries de traction).</w:t>
      </w:r>
    </w:p>
    <w:p w14:paraId="2ABAA0B0" w14:textId="566F1A20" w:rsidR="00066415" w:rsidRDefault="00613BD4" w:rsidP="00066415">
      <w:pPr>
        <w:pStyle w:val="SingleTxtG"/>
        <w:ind w:left="2268" w:hanging="1134"/>
        <w:rPr>
          <w:b/>
          <w:bCs/>
        </w:rPr>
      </w:pPr>
      <w:r w:rsidRPr="00066415">
        <w:rPr>
          <w:b/>
          <w:bCs/>
        </w:rPr>
        <w:t>3.4</w:t>
      </w:r>
      <w:r w:rsidRPr="00066415">
        <w:rPr>
          <w:b/>
          <w:bCs/>
        </w:rPr>
        <w:tab/>
        <w:t>Renseignements complémentaires (le cas échéant) à la description des composants du TPMS/TPRS/CTIS</w:t>
      </w:r>
      <w:r w:rsidR="00066415">
        <w:rPr>
          <w:b/>
          <w:bCs/>
        </w:rPr>
        <w:br w:type="page"/>
      </w:r>
    </w:p>
    <w:p w14:paraId="5DCF488F" w14:textId="2926AF55" w:rsidR="00613BD4" w:rsidRPr="00A511B3" w:rsidRDefault="00613BD4" w:rsidP="00066415">
      <w:pPr>
        <w:pStyle w:val="HChG"/>
        <w:rPr>
          <w:szCs w:val="28"/>
        </w:rPr>
      </w:pPr>
      <w:r w:rsidRPr="00A511B3">
        <w:t>Annexe</w:t>
      </w:r>
      <w:r w:rsidR="00066415">
        <w:t> </w:t>
      </w:r>
      <w:r w:rsidRPr="00A511B3">
        <w:t>7 − Appendice</w:t>
      </w:r>
      <w:r w:rsidR="00066415">
        <w:t> </w:t>
      </w:r>
      <w:r w:rsidRPr="00A511B3">
        <w:t>3</w:t>
      </w:r>
    </w:p>
    <w:p w14:paraId="741F8DC2" w14:textId="274CE75B" w:rsidR="00613BD4" w:rsidRDefault="00066415" w:rsidP="00066415">
      <w:pPr>
        <w:pStyle w:val="HChG"/>
      </w:pPr>
      <w:r w:rsidRPr="00066415">
        <w:rPr>
          <w:rFonts w:ascii="Times New Roman Gras" w:hAnsi="Times New Roman Gras"/>
          <w:spacing w:val="2"/>
        </w:rPr>
        <w:tab/>
      </w:r>
      <w:r w:rsidRPr="00066415">
        <w:rPr>
          <w:rFonts w:ascii="Times New Roman Gras" w:hAnsi="Times New Roman Gras"/>
          <w:spacing w:val="2"/>
        </w:rPr>
        <w:tab/>
      </w:r>
      <w:r w:rsidR="00613BD4" w:rsidRPr="00066415">
        <w:rPr>
          <w:rFonts w:ascii="Times New Roman Gras" w:hAnsi="Times New Roman Gras"/>
          <w:spacing w:val="2"/>
        </w:rPr>
        <w:t>Procès-verbal d’essai concernant le système de surveillance de la pression des pneumatiques/système de regonflage des</w:t>
      </w:r>
      <w:r w:rsidR="00613BD4" w:rsidRPr="00D91472">
        <w:t xml:space="preserve"> </w:t>
      </w:r>
      <w:r w:rsidR="00613BD4" w:rsidRPr="00066415">
        <w:rPr>
          <w:rFonts w:ascii="Times New Roman Gras" w:hAnsi="Times New Roman Gras"/>
          <w:spacing w:val="-2"/>
        </w:rPr>
        <w:t>pneumatiques/système de gonflage central des pneumatiques</w:t>
      </w:r>
      <w:r w:rsidR="00613BD4" w:rsidRPr="00D91472">
        <w:t xml:space="preserve"> pour la remorque de référence</w:t>
      </w:r>
    </w:p>
    <w:p w14:paraId="798E3652" w14:textId="77777777" w:rsidR="00613BD4" w:rsidRPr="00066415" w:rsidRDefault="00613BD4" w:rsidP="00066415">
      <w:pPr>
        <w:pStyle w:val="SingleTxtG"/>
        <w:ind w:left="2268" w:hanging="1134"/>
        <w:rPr>
          <w:b/>
          <w:bCs/>
        </w:rPr>
      </w:pPr>
      <w:r w:rsidRPr="00066415">
        <w:rPr>
          <w:b/>
          <w:bCs/>
        </w:rPr>
        <w:t>1.</w:t>
      </w:r>
      <w:r w:rsidRPr="00066415">
        <w:rPr>
          <w:b/>
          <w:bCs/>
        </w:rPr>
        <w:tab/>
        <w:t>Identification</w:t>
      </w:r>
    </w:p>
    <w:p w14:paraId="5FC6E8E4" w14:textId="77777777" w:rsidR="00613BD4" w:rsidRPr="00066415" w:rsidRDefault="00613BD4" w:rsidP="00066415">
      <w:pPr>
        <w:pStyle w:val="SingleTxtG"/>
        <w:ind w:left="2268" w:hanging="1134"/>
        <w:rPr>
          <w:b/>
          <w:bCs/>
        </w:rPr>
      </w:pPr>
      <w:r w:rsidRPr="00066415">
        <w:rPr>
          <w:b/>
          <w:bCs/>
        </w:rPr>
        <w:t>1.1</w:t>
      </w:r>
      <w:r w:rsidRPr="00066415">
        <w:rPr>
          <w:b/>
          <w:bCs/>
        </w:rPr>
        <w:tab/>
        <w:t>Nom et adresse du fabricant du système de surveillance de la pression des pneumatiques (TPMS)/système de regonflage des pneumatiques (TPRS)/système central de gonflage des pneumatiques (CTIS)</w:t>
      </w:r>
      <w:r w:rsidRPr="00FD257B">
        <w:rPr>
          <w:rStyle w:val="Appelnotedebasdep"/>
        </w:rPr>
        <w:footnoteReference w:id="4"/>
      </w:r>
    </w:p>
    <w:p w14:paraId="6CE14B77" w14:textId="77777777" w:rsidR="00613BD4" w:rsidRPr="00066415" w:rsidRDefault="00613BD4" w:rsidP="00066415">
      <w:pPr>
        <w:pStyle w:val="SingleTxtG"/>
        <w:ind w:left="2268" w:hanging="1134"/>
        <w:rPr>
          <w:b/>
          <w:bCs/>
        </w:rPr>
      </w:pPr>
      <w:r w:rsidRPr="00066415">
        <w:rPr>
          <w:b/>
          <w:bCs/>
        </w:rPr>
        <w:t>1.2</w:t>
      </w:r>
      <w:r w:rsidRPr="00066415">
        <w:rPr>
          <w:b/>
          <w:bCs/>
        </w:rPr>
        <w:tab/>
        <w:t>Nom du système et modèle</w:t>
      </w:r>
    </w:p>
    <w:p w14:paraId="1A190FDD" w14:textId="77777777" w:rsidR="00613BD4" w:rsidRPr="00066415" w:rsidRDefault="00613BD4" w:rsidP="00066415">
      <w:pPr>
        <w:pStyle w:val="SingleTxtG"/>
        <w:ind w:left="2268" w:hanging="1134"/>
        <w:rPr>
          <w:b/>
          <w:bCs/>
        </w:rPr>
      </w:pPr>
      <w:r w:rsidRPr="00066415">
        <w:rPr>
          <w:b/>
          <w:bCs/>
        </w:rPr>
        <w:t>1.3</w:t>
      </w:r>
      <w:r w:rsidRPr="00066415">
        <w:rPr>
          <w:b/>
          <w:bCs/>
        </w:rPr>
        <w:tab/>
        <w:t>Fonction de surveillance pour le TPMS</w:t>
      </w:r>
    </w:p>
    <w:p w14:paraId="4E826009" w14:textId="77777777" w:rsidR="00613BD4" w:rsidRPr="00066415" w:rsidRDefault="00613BD4" w:rsidP="00066415">
      <w:pPr>
        <w:pStyle w:val="SingleTxtG"/>
        <w:ind w:left="2268" w:hanging="1134"/>
        <w:rPr>
          <w:b/>
          <w:bCs/>
        </w:rPr>
      </w:pPr>
      <w:r w:rsidRPr="00066415">
        <w:rPr>
          <w:b/>
          <w:bCs/>
        </w:rPr>
        <w:t>1.4</w:t>
      </w:r>
      <w:r w:rsidRPr="00066415">
        <w:rPr>
          <w:b/>
          <w:bCs/>
        </w:rPr>
        <w:tab/>
        <w:t>Fonction de commande et de contrôle pour le TPRS/CTIS</w:t>
      </w:r>
    </w:p>
    <w:p w14:paraId="7AAB0F6F" w14:textId="6373D243" w:rsidR="00613BD4" w:rsidRPr="00066415" w:rsidRDefault="00613BD4" w:rsidP="00066415">
      <w:pPr>
        <w:pStyle w:val="SingleTxtG"/>
        <w:ind w:left="2268" w:hanging="1134"/>
        <w:rPr>
          <w:b/>
          <w:bCs/>
        </w:rPr>
      </w:pPr>
      <w:r w:rsidRPr="00066415">
        <w:rPr>
          <w:b/>
          <w:bCs/>
        </w:rPr>
        <w:t>2.</w:t>
      </w:r>
      <w:r w:rsidRPr="00066415">
        <w:rPr>
          <w:b/>
          <w:bCs/>
        </w:rPr>
        <w:tab/>
        <w:t>Systèmes et installations homologués</w:t>
      </w:r>
      <w:r w:rsidR="00066415">
        <w:rPr>
          <w:b/>
          <w:bCs/>
        </w:rPr>
        <w:t> </w:t>
      </w:r>
      <w:r w:rsidRPr="00066415">
        <w:rPr>
          <w:b/>
          <w:bCs/>
        </w:rPr>
        <w:t>:</w:t>
      </w:r>
    </w:p>
    <w:p w14:paraId="0F7C112F" w14:textId="2033D90F" w:rsidR="00613BD4" w:rsidRPr="00066415" w:rsidRDefault="00613BD4" w:rsidP="00066415">
      <w:pPr>
        <w:pStyle w:val="SingleTxtG"/>
        <w:ind w:left="2268" w:hanging="1134"/>
        <w:rPr>
          <w:b/>
          <w:bCs/>
        </w:rPr>
      </w:pPr>
      <w:r w:rsidRPr="00066415">
        <w:rPr>
          <w:b/>
          <w:bCs/>
        </w:rPr>
        <w:t>2.1</w:t>
      </w:r>
      <w:r w:rsidRPr="00066415">
        <w:rPr>
          <w:b/>
          <w:bCs/>
        </w:rPr>
        <w:tab/>
        <w:t>Configurations du TPMS/TPRS/CTIS (s’il y a lieu)</w:t>
      </w:r>
      <w:r w:rsidR="002741AD">
        <w:rPr>
          <w:b/>
          <w:bCs/>
        </w:rPr>
        <w:t> </w:t>
      </w:r>
      <w:r w:rsidRPr="00066415">
        <w:rPr>
          <w:b/>
          <w:bCs/>
        </w:rPr>
        <w:t>: définition des paramètres qui ont une incidence sur le fonctionnement du TPMS/TPRS/CTIS. Toutes les sous-configurations autorisées doivent être prises en charge sous réserve que la marque adéquate soit bien indiquée, par exemple si seul un sous-ensemble d’essieux est équipé.</w:t>
      </w:r>
    </w:p>
    <w:tbl>
      <w:tblPr>
        <w:tblW w:w="6222" w:type="dxa"/>
        <w:tblInd w:w="2282" w:type="dxa"/>
        <w:tblLayout w:type="fixed"/>
        <w:tblCellMar>
          <w:left w:w="0" w:type="dxa"/>
          <w:right w:w="0" w:type="dxa"/>
        </w:tblCellMar>
        <w:tblLook w:val="04A0" w:firstRow="1" w:lastRow="0" w:firstColumn="1" w:lastColumn="0" w:noHBand="0" w:noVBand="1"/>
      </w:tblPr>
      <w:tblGrid>
        <w:gridCol w:w="2626"/>
        <w:gridCol w:w="599"/>
        <w:gridCol w:w="599"/>
        <w:gridCol w:w="599"/>
        <w:gridCol w:w="599"/>
        <w:gridCol w:w="599"/>
        <w:gridCol w:w="601"/>
      </w:tblGrid>
      <w:tr w:rsidR="00066415" w:rsidRPr="00066415" w14:paraId="55AC5D5E" w14:textId="77777777" w:rsidTr="00066415">
        <w:trPr>
          <w:tblHeader/>
        </w:trPr>
        <w:tc>
          <w:tcPr>
            <w:tcW w:w="2626" w:type="dxa"/>
            <w:tcBorders>
              <w:top w:val="single" w:sz="4" w:space="0" w:color="auto"/>
              <w:bottom w:val="single" w:sz="4" w:space="0" w:color="auto"/>
            </w:tcBorders>
            <w:shd w:val="clear" w:color="auto" w:fill="auto"/>
            <w:vAlign w:val="bottom"/>
          </w:tcPr>
          <w:p w14:paraId="25ABF54B" w14:textId="77777777" w:rsidR="00613BD4" w:rsidRPr="00066415" w:rsidRDefault="00613BD4" w:rsidP="00066415">
            <w:pPr>
              <w:suppressAutoHyphens w:val="0"/>
              <w:spacing w:before="80" w:after="80" w:line="200" w:lineRule="exact"/>
              <w:rPr>
                <w:b/>
                <w:bCs/>
                <w:i/>
                <w:sz w:val="16"/>
              </w:rPr>
            </w:pPr>
          </w:p>
        </w:tc>
        <w:tc>
          <w:tcPr>
            <w:tcW w:w="3596" w:type="dxa"/>
            <w:gridSpan w:val="6"/>
            <w:tcBorders>
              <w:top w:val="single" w:sz="4" w:space="0" w:color="auto"/>
              <w:bottom w:val="single" w:sz="4" w:space="0" w:color="auto"/>
            </w:tcBorders>
            <w:shd w:val="clear" w:color="auto" w:fill="auto"/>
            <w:vAlign w:val="bottom"/>
          </w:tcPr>
          <w:p w14:paraId="50EE0115" w14:textId="77777777" w:rsidR="00613BD4" w:rsidRPr="00066415" w:rsidRDefault="00613BD4" w:rsidP="00066415">
            <w:pPr>
              <w:suppressAutoHyphens w:val="0"/>
              <w:spacing w:before="80" w:after="80" w:line="200" w:lineRule="exact"/>
              <w:jc w:val="center"/>
              <w:rPr>
                <w:b/>
                <w:bCs/>
                <w:i/>
                <w:sz w:val="16"/>
              </w:rPr>
            </w:pPr>
            <w:r w:rsidRPr="00066415">
              <w:rPr>
                <w:b/>
                <w:bCs/>
                <w:i/>
                <w:sz w:val="16"/>
              </w:rPr>
              <w:t>Nombre d’essieux</w:t>
            </w:r>
          </w:p>
        </w:tc>
      </w:tr>
      <w:tr w:rsidR="00066415" w:rsidRPr="00066415" w14:paraId="0F8BD157" w14:textId="77777777" w:rsidTr="00066415">
        <w:tc>
          <w:tcPr>
            <w:tcW w:w="2626" w:type="dxa"/>
            <w:tcBorders>
              <w:top w:val="single" w:sz="4" w:space="0" w:color="auto"/>
              <w:bottom w:val="single" w:sz="12" w:space="0" w:color="auto"/>
            </w:tcBorders>
            <w:shd w:val="clear" w:color="auto" w:fill="auto"/>
          </w:tcPr>
          <w:p w14:paraId="5086B7B7" w14:textId="77777777" w:rsidR="00613BD4" w:rsidRPr="00066415" w:rsidRDefault="00613BD4" w:rsidP="00066415">
            <w:pPr>
              <w:suppressAutoHyphens w:val="0"/>
              <w:spacing w:before="80" w:after="80" w:line="200" w:lineRule="exact"/>
              <w:rPr>
                <w:b/>
                <w:i/>
                <w:spacing w:val="4"/>
                <w:w w:val="103"/>
                <w:kern w:val="14"/>
                <w:sz w:val="16"/>
              </w:rPr>
            </w:pPr>
          </w:p>
        </w:tc>
        <w:tc>
          <w:tcPr>
            <w:tcW w:w="599" w:type="dxa"/>
            <w:tcBorders>
              <w:top w:val="single" w:sz="4" w:space="0" w:color="auto"/>
              <w:bottom w:val="single" w:sz="12" w:space="0" w:color="auto"/>
            </w:tcBorders>
            <w:shd w:val="clear" w:color="auto" w:fill="auto"/>
            <w:vAlign w:val="bottom"/>
          </w:tcPr>
          <w:p w14:paraId="5B42B5C7"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1</w:t>
            </w:r>
          </w:p>
        </w:tc>
        <w:tc>
          <w:tcPr>
            <w:tcW w:w="599" w:type="dxa"/>
            <w:tcBorders>
              <w:top w:val="single" w:sz="4" w:space="0" w:color="auto"/>
              <w:bottom w:val="single" w:sz="12" w:space="0" w:color="auto"/>
            </w:tcBorders>
            <w:shd w:val="clear" w:color="auto" w:fill="auto"/>
            <w:vAlign w:val="bottom"/>
          </w:tcPr>
          <w:p w14:paraId="29448C61"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2</w:t>
            </w:r>
          </w:p>
        </w:tc>
        <w:tc>
          <w:tcPr>
            <w:tcW w:w="599" w:type="dxa"/>
            <w:tcBorders>
              <w:top w:val="single" w:sz="4" w:space="0" w:color="auto"/>
              <w:bottom w:val="single" w:sz="12" w:space="0" w:color="auto"/>
            </w:tcBorders>
            <w:shd w:val="clear" w:color="auto" w:fill="auto"/>
            <w:vAlign w:val="bottom"/>
          </w:tcPr>
          <w:p w14:paraId="45CA2D18"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3</w:t>
            </w:r>
          </w:p>
        </w:tc>
        <w:tc>
          <w:tcPr>
            <w:tcW w:w="599" w:type="dxa"/>
            <w:tcBorders>
              <w:top w:val="single" w:sz="4" w:space="0" w:color="auto"/>
              <w:bottom w:val="single" w:sz="12" w:space="0" w:color="auto"/>
            </w:tcBorders>
            <w:shd w:val="clear" w:color="auto" w:fill="auto"/>
            <w:vAlign w:val="bottom"/>
          </w:tcPr>
          <w:p w14:paraId="7830D2F9"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4</w:t>
            </w:r>
          </w:p>
        </w:tc>
        <w:tc>
          <w:tcPr>
            <w:tcW w:w="599" w:type="dxa"/>
            <w:tcBorders>
              <w:top w:val="single" w:sz="4" w:space="0" w:color="auto"/>
              <w:bottom w:val="single" w:sz="12" w:space="0" w:color="auto"/>
            </w:tcBorders>
            <w:shd w:val="clear" w:color="auto" w:fill="auto"/>
            <w:vAlign w:val="bottom"/>
          </w:tcPr>
          <w:p w14:paraId="041A91D2"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5</w:t>
            </w:r>
          </w:p>
        </w:tc>
        <w:tc>
          <w:tcPr>
            <w:tcW w:w="599" w:type="dxa"/>
            <w:tcBorders>
              <w:top w:val="single" w:sz="4" w:space="0" w:color="auto"/>
              <w:bottom w:val="single" w:sz="12" w:space="0" w:color="auto"/>
            </w:tcBorders>
            <w:shd w:val="clear" w:color="auto" w:fill="auto"/>
            <w:vAlign w:val="bottom"/>
          </w:tcPr>
          <w:p w14:paraId="0A58E668" w14:textId="77777777" w:rsidR="00613BD4" w:rsidRPr="00066415" w:rsidRDefault="00613BD4" w:rsidP="00066415">
            <w:pPr>
              <w:suppressAutoHyphens w:val="0"/>
              <w:spacing w:before="80" w:after="80" w:line="200" w:lineRule="exact"/>
              <w:jc w:val="center"/>
              <w:rPr>
                <w:b/>
                <w:i/>
                <w:spacing w:val="4"/>
                <w:w w:val="103"/>
                <w:kern w:val="14"/>
                <w:sz w:val="16"/>
              </w:rPr>
            </w:pPr>
            <w:r w:rsidRPr="00066415">
              <w:rPr>
                <w:b/>
                <w:i/>
                <w:spacing w:val="4"/>
                <w:w w:val="103"/>
                <w:kern w:val="14"/>
                <w:sz w:val="16"/>
              </w:rPr>
              <w:t>6</w:t>
            </w:r>
          </w:p>
        </w:tc>
      </w:tr>
      <w:tr w:rsidR="00066415" w:rsidRPr="00066415" w14:paraId="74C6312F" w14:textId="77777777" w:rsidTr="00066415">
        <w:tc>
          <w:tcPr>
            <w:tcW w:w="2626" w:type="dxa"/>
            <w:tcBorders>
              <w:top w:val="single" w:sz="12" w:space="0" w:color="auto"/>
            </w:tcBorders>
            <w:shd w:val="clear" w:color="auto" w:fill="auto"/>
          </w:tcPr>
          <w:p w14:paraId="01EABADF" w14:textId="77777777" w:rsidR="00613BD4" w:rsidRPr="00066415" w:rsidRDefault="00613BD4" w:rsidP="00066415">
            <w:pPr>
              <w:suppressAutoHyphens w:val="0"/>
              <w:spacing w:before="40" w:after="40" w:line="220" w:lineRule="exact"/>
              <w:rPr>
                <w:b/>
                <w:bCs/>
                <w:sz w:val="18"/>
                <w:szCs w:val="18"/>
              </w:rPr>
            </w:pPr>
            <w:r w:rsidRPr="00066415">
              <w:rPr>
                <w:b/>
                <w:bCs/>
                <w:sz w:val="18"/>
                <w:szCs w:val="18"/>
              </w:rPr>
              <w:t>Pneumatique simple</w:t>
            </w:r>
          </w:p>
        </w:tc>
        <w:tc>
          <w:tcPr>
            <w:tcW w:w="599" w:type="dxa"/>
            <w:tcBorders>
              <w:top w:val="single" w:sz="12" w:space="0" w:color="auto"/>
            </w:tcBorders>
            <w:shd w:val="clear" w:color="auto" w:fill="auto"/>
            <w:vAlign w:val="bottom"/>
          </w:tcPr>
          <w:p w14:paraId="250F9C55"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top w:val="single" w:sz="12" w:space="0" w:color="auto"/>
            </w:tcBorders>
            <w:shd w:val="clear" w:color="auto" w:fill="auto"/>
            <w:vAlign w:val="bottom"/>
          </w:tcPr>
          <w:p w14:paraId="62ED3FDF"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top w:val="single" w:sz="12" w:space="0" w:color="auto"/>
            </w:tcBorders>
            <w:shd w:val="clear" w:color="auto" w:fill="auto"/>
            <w:vAlign w:val="bottom"/>
          </w:tcPr>
          <w:p w14:paraId="42B83A6F"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top w:val="single" w:sz="12" w:space="0" w:color="auto"/>
            </w:tcBorders>
            <w:shd w:val="clear" w:color="auto" w:fill="auto"/>
            <w:vAlign w:val="bottom"/>
          </w:tcPr>
          <w:p w14:paraId="30A687CC"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top w:val="single" w:sz="12" w:space="0" w:color="auto"/>
            </w:tcBorders>
            <w:shd w:val="clear" w:color="auto" w:fill="auto"/>
            <w:vAlign w:val="bottom"/>
          </w:tcPr>
          <w:p w14:paraId="7FB45DEB"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top w:val="single" w:sz="12" w:space="0" w:color="auto"/>
            </w:tcBorders>
            <w:shd w:val="clear" w:color="auto" w:fill="auto"/>
            <w:vAlign w:val="bottom"/>
          </w:tcPr>
          <w:p w14:paraId="45840525" w14:textId="77777777" w:rsidR="00613BD4" w:rsidRPr="00066415" w:rsidRDefault="00613BD4" w:rsidP="00066415">
            <w:pPr>
              <w:suppressAutoHyphens w:val="0"/>
              <w:spacing w:before="40" w:after="40" w:line="220" w:lineRule="exact"/>
              <w:jc w:val="right"/>
              <w:rPr>
                <w:b/>
                <w:bCs/>
                <w:sz w:val="18"/>
                <w:szCs w:val="18"/>
              </w:rPr>
            </w:pPr>
          </w:p>
        </w:tc>
      </w:tr>
      <w:tr w:rsidR="00066415" w:rsidRPr="00066415" w14:paraId="5C9AEBB1" w14:textId="77777777" w:rsidTr="00066415">
        <w:tc>
          <w:tcPr>
            <w:tcW w:w="2626" w:type="dxa"/>
            <w:shd w:val="clear" w:color="auto" w:fill="auto"/>
          </w:tcPr>
          <w:p w14:paraId="7259C29F" w14:textId="77777777" w:rsidR="00613BD4" w:rsidRPr="00066415" w:rsidRDefault="00613BD4" w:rsidP="00066415">
            <w:pPr>
              <w:suppressAutoHyphens w:val="0"/>
              <w:spacing w:before="40" w:after="40" w:line="220" w:lineRule="exact"/>
              <w:rPr>
                <w:b/>
                <w:bCs/>
                <w:sz w:val="18"/>
                <w:szCs w:val="18"/>
              </w:rPr>
            </w:pPr>
            <w:r w:rsidRPr="00066415">
              <w:rPr>
                <w:b/>
                <w:bCs/>
                <w:sz w:val="18"/>
                <w:szCs w:val="18"/>
              </w:rPr>
              <w:t>Pneumatiques jumelés</w:t>
            </w:r>
          </w:p>
        </w:tc>
        <w:tc>
          <w:tcPr>
            <w:tcW w:w="599" w:type="dxa"/>
            <w:shd w:val="clear" w:color="auto" w:fill="auto"/>
            <w:vAlign w:val="bottom"/>
          </w:tcPr>
          <w:p w14:paraId="788C32FD" w14:textId="77777777" w:rsidR="00613BD4" w:rsidRPr="00066415" w:rsidRDefault="00613BD4" w:rsidP="00066415">
            <w:pPr>
              <w:suppressAutoHyphens w:val="0"/>
              <w:spacing w:before="40" w:after="40" w:line="220" w:lineRule="exact"/>
              <w:jc w:val="right"/>
              <w:rPr>
                <w:b/>
                <w:bCs/>
                <w:sz w:val="18"/>
                <w:szCs w:val="18"/>
              </w:rPr>
            </w:pPr>
          </w:p>
        </w:tc>
        <w:tc>
          <w:tcPr>
            <w:tcW w:w="599" w:type="dxa"/>
            <w:shd w:val="clear" w:color="auto" w:fill="auto"/>
            <w:vAlign w:val="bottom"/>
          </w:tcPr>
          <w:p w14:paraId="358CFD09" w14:textId="77777777" w:rsidR="00613BD4" w:rsidRPr="00066415" w:rsidRDefault="00613BD4" w:rsidP="00066415">
            <w:pPr>
              <w:suppressAutoHyphens w:val="0"/>
              <w:spacing w:before="40" w:after="40" w:line="220" w:lineRule="exact"/>
              <w:jc w:val="right"/>
              <w:rPr>
                <w:b/>
                <w:bCs/>
                <w:sz w:val="18"/>
                <w:szCs w:val="18"/>
              </w:rPr>
            </w:pPr>
          </w:p>
        </w:tc>
        <w:tc>
          <w:tcPr>
            <w:tcW w:w="599" w:type="dxa"/>
            <w:shd w:val="clear" w:color="auto" w:fill="auto"/>
            <w:vAlign w:val="bottom"/>
          </w:tcPr>
          <w:p w14:paraId="7CD4161C" w14:textId="77777777" w:rsidR="00613BD4" w:rsidRPr="00066415" w:rsidRDefault="00613BD4" w:rsidP="00066415">
            <w:pPr>
              <w:suppressAutoHyphens w:val="0"/>
              <w:spacing w:before="40" w:after="40" w:line="220" w:lineRule="exact"/>
              <w:jc w:val="right"/>
              <w:rPr>
                <w:b/>
                <w:bCs/>
                <w:sz w:val="18"/>
                <w:szCs w:val="18"/>
              </w:rPr>
            </w:pPr>
          </w:p>
        </w:tc>
        <w:tc>
          <w:tcPr>
            <w:tcW w:w="599" w:type="dxa"/>
            <w:shd w:val="clear" w:color="auto" w:fill="auto"/>
            <w:vAlign w:val="bottom"/>
          </w:tcPr>
          <w:p w14:paraId="6F613A30" w14:textId="77777777" w:rsidR="00613BD4" w:rsidRPr="00066415" w:rsidRDefault="00613BD4" w:rsidP="00066415">
            <w:pPr>
              <w:suppressAutoHyphens w:val="0"/>
              <w:spacing w:before="40" w:after="40" w:line="220" w:lineRule="exact"/>
              <w:jc w:val="right"/>
              <w:rPr>
                <w:b/>
                <w:bCs/>
                <w:sz w:val="18"/>
                <w:szCs w:val="18"/>
              </w:rPr>
            </w:pPr>
          </w:p>
        </w:tc>
        <w:tc>
          <w:tcPr>
            <w:tcW w:w="599" w:type="dxa"/>
            <w:shd w:val="clear" w:color="auto" w:fill="auto"/>
            <w:vAlign w:val="bottom"/>
          </w:tcPr>
          <w:p w14:paraId="000233C2" w14:textId="77777777" w:rsidR="00613BD4" w:rsidRPr="00066415" w:rsidRDefault="00613BD4" w:rsidP="00066415">
            <w:pPr>
              <w:suppressAutoHyphens w:val="0"/>
              <w:spacing w:before="40" w:after="40" w:line="220" w:lineRule="exact"/>
              <w:jc w:val="right"/>
              <w:rPr>
                <w:b/>
                <w:bCs/>
                <w:sz w:val="18"/>
                <w:szCs w:val="18"/>
              </w:rPr>
            </w:pPr>
          </w:p>
        </w:tc>
        <w:tc>
          <w:tcPr>
            <w:tcW w:w="599" w:type="dxa"/>
            <w:shd w:val="clear" w:color="auto" w:fill="auto"/>
            <w:vAlign w:val="bottom"/>
          </w:tcPr>
          <w:p w14:paraId="6F8857BD" w14:textId="77777777" w:rsidR="00613BD4" w:rsidRPr="00066415" w:rsidRDefault="00613BD4" w:rsidP="00066415">
            <w:pPr>
              <w:suppressAutoHyphens w:val="0"/>
              <w:spacing w:before="40" w:after="40" w:line="220" w:lineRule="exact"/>
              <w:jc w:val="right"/>
              <w:rPr>
                <w:b/>
                <w:bCs/>
                <w:sz w:val="18"/>
                <w:szCs w:val="18"/>
              </w:rPr>
            </w:pPr>
          </w:p>
        </w:tc>
      </w:tr>
      <w:tr w:rsidR="00066415" w:rsidRPr="00066415" w14:paraId="1FDF700D" w14:textId="77777777" w:rsidTr="00066415">
        <w:tc>
          <w:tcPr>
            <w:tcW w:w="2626" w:type="dxa"/>
            <w:tcBorders>
              <w:bottom w:val="single" w:sz="12" w:space="0" w:color="auto"/>
            </w:tcBorders>
            <w:shd w:val="clear" w:color="auto" w:fill="auto"/>
          </w:tcPr>
          <w:p w14:paraId="3E50BAA5" w14:textId="77777777" w:rsidR="00613BD4" w:rsidRPr="00066415" w:rsidRDefault="00613BD4" w:rsidP="00066415">
            <w:pPr>
              <w:suppressAutoHyphens w:val="0"/>
              <w:spacing w:before="40" w:after="40" w:line="220" w:lineRule="exact"/>
              <w:rPr>
                <w:b/>
                <w:bCs/>
                <w:sz w:val="18"/>
                <w:szCs w:val="18"/>
              </w:rPr>
            </w:pPr>
            <w:r w:rsidRPr="00066415">
              <w:rPr>
                <w:b/>
                <w:bCs/>
                <w:sz w:val="18"/>
                <w:szCs w:val="18"/>
              </w:rPr>
              <w:t>Plage de pression nominale (kPa)</w:t>
            </w:r>
          </w:p>
        </w:tc>
        <w:tc>
          <w:tcPr>
            <w:tcW w:w="599" w:type="dxa"/>
            <w:tcBorders>
              <w:bottom w:val="single" w:sz="12" w:space="0" w:color="auto"/>
            </w:tcBorders>
            <w:shd w:val="clear" w:color="auto" w:fill="auto"/>
            <w:vAlign w:val="bottom"/>
          </w:tcPr>
          <w:p w14:paraId="3A152183"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bottom w:val="single" w:sz="12" w:space="0" w:color="auto"/>
            </w:tcBorders>
            <w:shd w:val="clear" w:color="auto" w:fill="auto"/>
            <w:vAlign w:val="bottom"/>
          </w:tcPr>
          <w:p w14:paraId="57B362B3"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bottom w:val="single" w:sz="12" w:space="0" w:color="auto"/>
            </w:tcBorders>
            <w:shd w:val="clear" w:color="auto" w:fill="auto"/>
            <w:vAlign w:val="bottom"/>
          </w:tcPr>
          <w:p w14:paraId="17DE4B24"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bottom w:val="single" w:sz="12" w:space="0" w:color="auto"/>
            </w:tcBorders>
            <w:shd w:val="clear" w:color="auto" w:fill="auto"/>
            <w:vAlign w:val="bottom"/>
          </w:tcPr>
          <w:p w14:paraId="45F55CF3"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bottom w:val="single" w:sz="12" w:space="0" w:color="auto"/>
            </w:tcBorders>
            <w:shd w:val="clear" w:color="auto" w:fill="auto"/>
            <w:vAlign w:val="bottom"/>
          </w:tcPr>
          <w:p w14:paraId="70FBAAF2" w14:textId="77777777" w:rsidR="00613BD4" w:rsidRPr="00066415" w:rsidRDefault="00613BD4" w:rsidP="00066415">
            <w:pPr>
              <w:suppressAutoHyphens w:val="0"/>
              <w:spacing w:before="40" w:after="40" w:line="220" w:lineRule="exact"/>
              <w:jc w:val="right"/>
              <w:rPr>
                <w:b/>
                <w:bCs/>
                <w:sz w:val="18"/>
                <w:szCs w:val="18"/>
              </w:rPr>
            </w:pPr>
          </w:p>
        </w:tc>
        <w:tc>
          <w:tcPr>
            <w:tcW w:w="599" w:type="dxa"/>
            <w:tcBorders>
              <w:bottom w:val="single" w:sz="12" w:space="0" w:color="auto"/>
            </w:tcBorders>
            <w:shd w:val="clear" w:color="auto" w:fill="auto"/>
            <w:vAlign w:val="bottom"/>
          </w:tcPr>
          <w:p w14:paraId="01D9E97F" w14:textId="77777777" w:rsidR="00613BD4" w:rsidRPr="00066415" w:rsidRDefault="00613BD4" w:rsidP="00066415">
            <w:pPr>
              <w:suppressAutoHyphens w:val="0"/>
              <w:spacing w:before="40" w:after="40" w:line="220" w:lineRule="exact"/>
              <w:jc w:val="right"/>
              <w:rPr>
                <w:b/>
                <w:bCs/>
                <w:sz w:val="18"/>
                <w:szCs w:val="18"/>
              </w:rPr>
            </w:pPr>
          </w:p>
        </w:tc>
      </w:tr>
    </w:tbl>
    <w:p w14:paraId="59DA5E11" w14:textId="7F17F7ED" w:rsidR="00613BD4" w:rsidRPr="00066415" w:rsidRDefault="00613BD4" w:rsidP="005F3903">
      <w:pPr>
        <w:pStyle w:val="Bullet1G"/>
        <w:spacing w:before="120"/>
        <w:ind w:left="2835" w:hanging="567"/>
        <w:rPr>
          <w:b/>
          <w:bCs/>
        </w:rPr>
      </w:pPr>
      <w:r w:rsidRPr="00066415">
        <w:tab/>
      </w:r>
      <w:r w:rsidRPr="00066415">
        <w:rPr>
          <w:b/>
          <w:bCs/>
        </w:rPr>
        <w:t>Type ou spécification d’autres facteurs, tels que le type et les dimensions des jantes</w:t>
      </w:r>
      <w:r w:rsidR="00066415" w:rsidRPr="00066415">
        <w:rPr>
          <w:b/>
          <w:bCs/>
        </w:rPr>
        <w:t> </w:t>
      </w:r>
      <w:r w:rsidRPr="00066415">
        <w:rPr>
          <w:b/>
          <w:bCs/>
        </w:rPr>
        <w:t>;</w:t>
      </w:r>
    </w:p>
    <w:p w14:paraId="29579DA0" w14:textId="558F2B25" w:rsidR="00613BD4" w:rsidRPr="00066415" w:rsidRDefault="00613BD4" w:rsidP="005F3903">
      <w:pPr>
        <w:pStyle w:val="Bullet1G"/>
        <w:spacing w:before="120"/>
        <w:ind w:left="2835" w:hanging="567"/>
        <w:rPr>
          <w:b/>
          <w:bCs/>
        </w:rPr>
      </w:pPr>
      <w:r w:rsidRPr="00066415">
        <w:rPr>
          <w:b/>
          <w:bCs/>
        </w:rPr>
        <w:tab/>
        <w:t>Nombre et position des essieux relevables</w:t>
      </w:r>
      <w:r w:rsidR="00066415">
        <w:rPr>
          <w:b/>
          <w:bCs/>
        </w:rPr>
        <w:t> </w:t>
      </w:r>
      <w:r w:rsidRPr="00066415">
        <w:rPr>
          <w:b/>
          <w:bCs/>
        </w:rPr>
        <w:t>;</w:t>
      </w:r>
    </w:p>
    <w:p w14:paraId="2146C8BC" w14:textId="2084947C" w:rsidR="00613BD4" w:rsidRPr="00066415" w:rsidRDefault="00613BD4" w:rsidP="005F3903">
      <w:pPr>
        <w:pStyle w:val="Bullet1G"/>
        <w:spacing w:before="120"/>
        <w:ind w:left="2835" w:hanging="567"/>
        <w:rPr>
          <w:b/>
          <w:bCs/>
        </w:rPr>
      </w:pPr>
      <w:r w:rsidRPr="00066415">
        <w:rPr>
          <w:b/>
          <w:bCs/>
        </w:rPr>
        <w:tab/>
        <w:t>Emplacement et configuration du récepteur et/ou des antennes, y</w:t>
      </w:r>
      <w:r w:rsidR="00066415">
        <w:rPr>
          <w:b/>
          <w:bCs/>
        </w:rPr>
        <w:t> </w:t>
      </w:r>
      <w:r w:rsidRPr="00066415">
        <w:rPr>
          <w:b/>
          <w:bCs/>
        </w:rPr>
        <w:t>compris la zone de montage autorisée.</w:t>
      </w:r>
    </w:p>
    <w:p w14:paraId="338FA452" w14:textId="7D6DFE3F" w:rsidR="00613BD4" w:rsidRPr="00066415" w:rsidRDefault="00613BD4" w:rsidP="00066415">
      <w:pPr>
        <w:pStyle w:val="SingleTxtG"/>
        <w:ind w:left="2268" w:hanging="1134"/>
        <w:rPr>
          <w:b/>
          <w:bCs/>
        </w:rPr>
      </w:pPr>
      <w:r w:rsidRPr="00066415">
        <w:rPr>
          <w:b/>
          <w:bCs/>
        </w:rPr>
        <w:t>2.2</w:t>
      </w:r>
      <w:r w:rsidRPr="00066415">
        <w:rPr>
          <w:b/>
          <w:bCs/>
        </w:rPr>
        <w:tab/>
        <w:t>Autres limitations définies par le fabricant (domaine d’application (type de remorque et nombre d’essieux, messages et signaux d’entrée requis par le TPMS pour que le véhicule satisfasse aux prescriptions de fonctionnement énoncées aux paragraphes 5.1.2 à 5.6 du présent Règlement ainsi qu’aux prescriptions d’essai (crevaison, défaut d’étanchéité et défaut de fonctionnement) énoncées dans l’annexe</w:t>
      </w:r>
      <w:r w:rsidR="005F3903">
        <w:rPr>
          <w:b/>
          <w:bCs/>
        </w:rPr>
        <w:t> </w:t>
      </w:r>
      <w:r w:rsidRPr="00066415">
        <w:rPr>
          <w:b/>
          <w:bCs/>
        </w:rPr>
        <w:t>3 de ce Règlement en ce qui concerne, par exemple, la vitesse du véhicule)</w:t>
      </w:r>
    </w:p>
    <w:p w14:paraId="289FB755" w14:textId="77777777" w:rsidR="00613BD4" w:rsidRPr="00066415" w:rsidRDefault="00613BD4" w:rsidP="00066415">
      <w:pPr>
        <w:pStyle w:val="SingleTxtG"/>
        <w:ind w:left="2268" w:hanging="1134"/>
        <w:rPr>
          <w:b/>
          <w:bCs/>
        </w:rPr>
      </w:pPr>
      <w:r w:rsidRPr="00066415">
        <w:rPr>
          <w:b/>
          <w:bCs/>
        </w:rPr>
        <w:t>2.3</w:t>
      </w:r>
      <w:r w:rsidRPr="00066415">
        <w:rPr>
          <w:b/>
          <w:bCs/>
        </w:rPr>
        <w:tab/>
        <w:t>Fonctions supplémentaires (le cas échéant)</w:t>
      </w:r>
    </w:p>
    <w:p w14:paraId="1248EDAE" w14:textId="77777777" w:rsidR="00613BD4" w:rsidRPr="00066415" w:rsidRDefault="00613BD4" w:rsidP="00066415">
      <w:pPr>
        <w:pStyle w:val="SingleTxtG"/>
        <w:ind w:left="2268" w:hanging="1134"/>
        <w:rPr>
          <w:b/>
          <w:bCs/>
        </w:rPr>
      </w:pPr>
      <w:r w:rsidRPr="00066415">
        <w:rPr>
          <w:b/>
          <w:bCs/>
        </w:rPr>
        <w:t>3.</w:t>
      </w:r>
      <w:r w:rsidRPr="00066415">
        <w:rPr>
          <w:b/>
          <w:bCs/>
        </w:rPr>
        <w:tab/>
        <w:t>Résultats des essais</w:t>
      </w:r>
    </w:p>
    <w:p w14:paraId="12D2EFB9" w14:textId="77777777" w:rsidR="00613BD4" w:rsidRPr="005F3903" w:rsidRDefault="00613BD4" w:rsidP="005F3903">
      <w:pPr>
        <w:pStyle w:val="SingleTxtG"/>
        <w:ind w:left="2268" w:hanging="1134"/>
        <w:rPr>
          <w:b/>
          <w:bCs/>
        </w:rPr>
      </w:pPr>
      <w:r w:rsidRPr="005F3903">
        <w:rPr>
          <w:b/>
          <w:bCs/>
        </w:rPr>
        <w:t>3.1</w:t>
      </w:r>
      <w:r w:rsidRPr="005F3903">
        <w:rPr>
          <w:b/>
          <w:bCs/>
        </w:rPr>
        <w:tab/>
        <w:t>Classe de pneumatiques, marques et dimensions des roues de l’équipement standard</w:t>
      </w:r>
    </w:p>
    <w:p w14:paraId="414358EF" w14:textId="2616B511" w:rsidR="00613BD4" w:rsidRPr="00FD257B" w:rsidRDefault="00613BD4" w:rsidP="005F3903">
      <w:pPr>
        <w:pStyle w:val="SingleTxtG"/>
        <w:ind w:left="2268" w:hanging="1134"/>
        <w:rPr>
          <w:rFonts w:ascii="Times New Roman Gras" w:hAnsi="Times New Roman Gras"/>
          <w:b/>
          <w:bCs/>
        </w:rPr>
      </w:pPr>
      <w:r w:rsidRPr="00FD257B">
        <w:rPr>
          <w:rFonts w:ascii="Times New Roman Gras" w:hAnsi="Times New Roman Gras"/>
          <w:b/>
          <w:bCs/>
        </w:rPr>
        <w:t>3.2</w:t>
      </w:r>
      <w:r w:rsidRPr="00FD257B">
        <w:rPr>
          <w:rFonts w:ascii="Times New Roman Gras" w:hAnsi="Times New Roman Gras"/>
          <w:b/>
          <w:bCs/>
        </w:rPr>
        <w:tab/>
        <w:t>Description succincte du système de surveillance de la pression des pneumatiques (TPMS)/système de regonflage des pneumatiques (TPRS)/système central de gonflage des pneumatiques (CTIS), y</w:t>
      </w:r>
      <w:r w:rsidR="00FD257B" w:rsidRPr="00FD257B">
        <w:rPr>
          <w:rFonts w:ascii="Times New Roman Gras" w:hAnsi="Times New Roman Gras"/>
          <w:b/>
          <w:bCs/>
        </w:rPr>
        <w:t> </w:t>
      </w:r>
      <w:r w:rsidRPr="00FD257B">
        <w:rPr>
          <w:rFonts w:ascii="Times New Roman Gras" w:hAnsi="Times New Roman Gras"/>
          <w:b/>
          <w:bCs/>
        </w:rPr>
        <w:t>compris les mesures mises en œuvre pour éviter l’activation de la fonction de réinitialisation, conformément au paragraphe</w:t>
      </w:r>
      <w:r w:rsidR="00FD257B" w:rsidRPr="00FD257B">
        <w:rPr>
          <w:rFonts w:ascii="Times New Roman Gras" w:hAnsi="Times New Roman Gras"/>
          <w:b/>
          <w:bCs/>
        </w:rPr>
        <w:t> </w:t>
      </w:r>
      <w:r w:rsidRPr="00FD257B">
        <w:rPr>
          <w:rFonts w:ascii="Times New Roman Gras" w:hAnsi="Times New Roman Gras"/>
          <w:b/>
          <w:bCs/>
        </w:rPr>
        <w:t>5.16 du présent Règlement, le cas échéant</w:t>
      </w:r>
    </w:p>
    <w:p w14:paraId="4FB7A2AA" w14:textId="77777777" w:rsidR="00613BD4" w:rsidRPr="005F3903" w:rsidRDefault="00613BD4" w:rsidP="005F3903">
      <w:pPr>
        <w:pStyle w:val="SingleTxtG"/>
        <w:ind w:left="2268" w:hanging="1134"/>
        <w:rPr>
          <w:b/>
          <w:bCs/>
        </w:rPr>
      </w:pPr>
      <w:r w:rsidRPr="005F3903">
        <w:rPr>
          <w:b/>
          <w:bCs/>
        </w:rPr>
        <w:t>3.3</w:t>
      </w:r>
      <w:r w:rsidRPr="005F3903">
        <w:rPr>
          <w:b/>
          <w:bCs/>
        </w:rPr>
        <w:tab/>
        <w:t>Résultat des essais</w:t>
      </w:r>
    </w:p>
    <w:p w14:paraId="2EF0C65A" w14:textId="0F74854B" w:rsidR="00613BD4" w:rsidRPr="005F3903" w:rsidRDefault="00613BD4" w:rsidP="005F3903">
      <w:pPr>
        <w:pStyle w:val="SingleTxtG"/>
        <w:ind w:left="2268" w:hanging="1134"/>
        <w:rPr>
          <w:b/>
          <w:bCs/>
        </w:rPr>
      </w:pPr>
      <w:r w:rsidRPr="005F3903">
        <w:rPr>
          <w:b/>
          <w:bCs/>
        </w:rPr>
        <w:t>3.4</w:t>
      </w:r>
      <w:r w:rsidRPr="005F3903">
        <w:rPr>
          <w:b/>
          <w:bCs/>
        </w:rPr>
        <w:tab/>
        <w:t>Conformément à l’annexe</w:t>
      </w:r>
      <w:r w:rsidR="005F3903">
        <w:rPr>
          <w:b/>
          <w:bCs/>
        </w:rPr>
        <w:t> </w:t>
      </w:r>
      <w:r w:rsidRPr="005F3903">
        <w:rPr>
          <w:b/>
          <w:bCs/>
        </w:rPr>
        <w:t>3 (TPMS) du présent Règlement, selon le cas</w:t>
      </w:r>
      <w:r w:rsidR="005F3903">
        <w:rPr>
          <w:b/>
          <w:bCs/>
        </w:rPr>
        <w:t> </w:t>
      </w:r>
      <w:r w:rsidRPr="005F3903">
        <w:rPr>
          <w:b/>
          <w:bCs/>
        </w:rPr>
        <w:t>:</w:t>
      </w:r>
    </w:p>
    <w:tbl>
      <w:tblPr>
        <w:tblW w:w="6236" w:type="dxa"/>
        <w:tblInd w:w="2268" w:type="dxa"/>
        <w:tblLayout w:type="fixed"/>
        <w:tblCellMar>
          <w:left w:w="0" w:type="dxa"/>
          <w:right w:w="0" w:type="dxa"/>
        </w:tblCellMar>
        <w:tblLook w:val="04A0" w:firstRow="1" w:lastRow="0" w:firstColumn="1" w:lastColumn="0" w:noHBand="0" w:noVBand="1"/>
      </w:tblPr>
      <w:tblGrid>
        <w:gridCol w:w="1889"/>
        <w:gridCol w:w="4347"/>
      </w:tblGrid>
      <w:tr w:rsidR="00613BD4" w:rsidRPr="005F3903" w14:paraId="3F5E6463" w14:textId="77777777" w:rsidTr="005F3903">
        <w:trPr>
          <w:tblHeader/>
        </w:trPr>
        <w:tc>
          <w:tcPr>
            <w:tcW w:w="1889" w:type="dxa"/>
            <w:tcBorders>
              <w:top w:val="single" w:sz="4" w:space="0" w:color="auto"/>
              <w:bottom w:val="single" w:sz="12" w:space="0" w:color="auto"/>
            </w:tcBorders>
            <w:shd w:val="clear" w:color="auto" w:fill="auto"/>
            <w:vAlign w:val="bottom"/>
          </w:tcPr>
          <w:p w14:paraId="65F638EB" w14:textId="77777777" w:rsidR="00613BD4" w:rsidRPr="005F3903" w:rsidRDefault="00613BD4" w:rsidP="005F3903">
            <w:pPr>
              <w:suppressAutoHyphens w:val="0"/>
              <w:spacing w:before="80" w:after="80" w:line="200" w:lineRule="exact"/>
              <w:rPr>
                <w:rFonts w:eastAsia="Tahoma"/>
                <w:b/>
                <w:bCs/>
                <w:i/>
                <w:sz w:val="16"/>
              </w:rPr>
            </w:pPr>
            <w:r w:rsidRPr="005F3903">
              <w:rPr>
                <w:b/>
                <w:bCs/>
                <w:i/>
                <w:sz w:val="16"/>
              </w:rPr>
              <w:t>Essai</w:t>
            </w:r>
          </w:p>
        </w:tc>
        <w:tc>
          <w:tcPr>
            <w:tcW w:w="4347" w:type="dxa"/>
            <w:tcBorders>
              <w:top w:val="single" w:sz="4" w:space="0" w:color="auto"/>
              <w:bottom w:val="single" w:sz="12" w:space="0" w:color="auto"/>
            </w:tcBorders>
            <w:shd w:val="clear" w:color="auto" w:fill="auto"/>
            <w:vAlign w:val="bottom"/>
          </w:tcPr>
          <w:p w14:paraId="31F2817D" w14:textId="77777777" w:rsidR="00613BD4" w:rsidRPr="005F3903" w:rsidRDefault="00613BD4" w:rsidP="005F3903">
            <w:pPr>
              <w:suppressAutoHyphens w:val="0"/>
              <w:spacing w:before="80" w:after="80" w:line="200" w:lineRule="exact"/>
              <w:jc w:val="center"/>
              <w:rPr>
                <w:rFonts w:eastAsia="Tahoma"/>
                <w:b/>
                <w:bCs/>
                <w:i/>
                <w:sz w:val="16"/>
              </w:rPr>
            </w:pPr>
            <w:r w:rsidRPr="005F3903">
              <w:rPr>
                <w:b/>
                <w:bCs/>
                <w:i/>
                <w:sz w:val="16"/>
              </w:rPr>
              <w:t>Temps mesuré jusqu’à l’avertissement (min, s)</w:t>
            </w:r>
          </w:p>
        </w:tc>
      </w:tr>
      <w:tr w:rsidR="00613BD4" w:rsidRPr="005F3903" w14:paraId="24E18157" w14:textId="77777777" w:rsidTr="005F3903">
        <w:tc>
          <w:tcPr>
            <w:tcW w:w="1889" w:type="dxa"/>
            <w:tcBorders>
              <w:top w:val="single" w:sz="12" w:space="0" w:color="auto"/>
            </w:tcBorders>
            <w:shd w:val="clear" w:color="auto" w:fill="auto"/>
          </w:tcPr>
          <w:p w14:paraId="233E0AD9" w14:textId="77777777" w:rsidR="00613BD4" w:rsidRPr="005F3903" w:rsidRDefault="00613BD4" w:rsidP="005F3903">
            <w:pPr>
              <w:suppressAutoHyphens w:val="0"/>
              <w:spacing w:before="40" w:after="40" w:line="220" w:lineRule="exact"/>
              <w:rPr>
                <w:rFonts w:eastAsia="Tahoma"/>
                <w:b/>
                <w:bCs/>
                <w:sz w:val="18"/>
                <w:szCs w:val="18"/>
              </w:rPr>
            </w:pPr>
            <w:r w:rsidRPr="005F3903">
              <w:rPr>
                <w:b/>
                <w:bCs/>
                <w:sz w:val="18"/>
                <w:szCs w:val="18"/>
              </w:rPr>
              <w:t>Essai de crevaison</w:t>
            </w:r>
          </w:p>
        </w:tc>
        <w:tc>
          <w:tcPr>
            <w:tcW w:w="4347" w:type="dxa"/>
            <w:tcBorders>
              <w:top w:val="single" w:sz="12" w:space="0" w:color="auto"/>
            </w:tcBorders>
            <w:shd w:val="clear" w:color="auto" w:fill="auto"/>
            <w:vAlign w:val="bottom"/>
          </w:tcPr>
          <w:p w14:paraId="1E32FB5B" w14:textId="77777777" w:rsidR="00613BD4" w:rsidRPr="005F3903" w:rsidRDefault="00613BD4" w:rsidP="005F3903">
            <w:pPr>
              <w:suppressAutoHyphens w:val="0"/>
              <w:spacing w:before="40" w:after="40" w:line="220" w:lineRule="exact"/>
              <w:jc w:val="right"/>
              <w:rPr>
                <w:rFonts w:eastAsia="Tahoma"/>
                <w:b/>
                <w:bCs/>
                <w:sz w:val="18"/>
                <w:szCs w:val="18"/>
              </w:rPr>
            </w:pPr>
          </w:p>
        </w:tc>
      </w:tr>
      <w:tr w:rsidR="00613BD4" w:rsidRPr="005F3903" w14:paraId="53A035D4" w14:textId="77777777" w:rsidTr="005F3903">
        <w:tc>
          <w:tcPr>
            <w:tcW w:w="1889" w:type="dxa"/>
            <w:shd w:val="clear" w:color="auto" w:fill="auto"/>
          </w:tcPr>
          <w:p w14:paraId="794C608F" w14:textId="4B392F97" w:rsidR="00613BD4" w:rsidRPr="005F3903" w:rsidRDefault="00613BD4" w:rsidP="005F3903">
            <w:pPr>
              <w:suppressAutoHyphens w:val="0"/>
              <w:spacing w:before="40" w:after="40" w:line="220" w:lineRule="exact"/>
              <w:rPr>
                <w:b/>
                <w:bCs/>
                <w:sz w:val="18"/>
                <w:szCs w:val="18"/>
              </w:rPr>
            </w:pPr>
            <w:r w:rsidRPr="005F3903">
              <w:rPr>
                <w:b/>
                <w:bCs/>
                <w:sz w:val="18"/>
                <w:szCs w:val="18"/>
              </w:rPr>
              <w:t>Essai de défaut</w:t>
            </w:r>
            <w:r w:rsidR="00FD257B">
              <w:rPr>
                <w:b/>
                <w:bCs/>
                <w:sz w:val="18"/>
                <w:szCs w:val="18"/>
              </w:rPr>
              <w:t xml:space="preserve"> </w:t>
            </w:r>
            <w:r w:rsidRPr="005F3903">
              <w:rPr>
                <w:b/>
                <w:bCs/>
                <w:sz w:val="18"/>
                <w:szCs w:val="18"/>
              </w:rPr>
              <w:t>d’étanchéité</w:t>
            </w:r>
          </w:p>
        </w:tc>
        <w:tc>
          <w:tcPr>
            <w:tcW w:w="4347" w:type="dxa"/>
            <w:shd w:val="clear" w:color="auto" w:fill="auto"/>
            <w:vAlign w:val="bottom"/>
          </w:tcPr>
          <w:p w14:paraId="02215400" w14:textId="77777777" w:rsidR="00613BD4" w:rsidRPr="005F3903" w:rsidRDefault="00613BD4" w:rsidP="005F3903">
            <w:pPr>
              <w:suppressAutoHyphens w:val="0"/>
              <w:spacing w:before="40" w:after="40" w:line="220" w:lineRule="exact"/>
              <w:jc w:val="right"/>
              <w:rPr>
                <w:rFonts w:eastAsia="Tahoma"/>
                <w:b/>
                <w:bCs/>
                <w:sz w:val="18"/>
                <w:szCs w:val="18"/>
              </w:rPr>
            </w:pPr>
          </w:p>
        </w:tc>
      </w:tr>
      <w:tr w:rsidR="00613BD4" w:rsidRPr="005F3903" w14:paraId="2552299E" w14:textId="77777777" w:rsidTr="005F3903">
        <w:tc>
          <w:tcPr>
            <w:tcW w:w="1889" w:type="dxa"/>
            <w:tcBorders>
              <w:bottom w:val="single" w:sz="12" w:space="0" w:color="auto"/>
            </w:tcBorders>
            <w:shd w:val="clear" w:color="auto" w:fill="auto"/>
          </w:tcPr>
          <w:p w14:paraId="138E2B13" w14:textId="5CCB55E7" w:rsidR="00613BD4" w:rsidRPr="005F3903" w:rsidRDefault="00613BD4" w:rsidP="005F3903">
            <w:pPr>
              <w:suppressAutoHyphens w:val="0"/>
              <w:spacing w:before="40" w:after="40" w:line="220" w:lineRule="exact"/>
              <w:rPr>
                <w:b/>
                <w:bCs/>
                <w:sz w:val="18"/>
                <w:szCs w:val="18"/>
              </w:rPr>
            </w:pPr>
            <w:r w:rsidRPr="005F3903">
              <w:rPr>
                <w:b/>
                <w:bCs/>
                <w:sz w:val="18"/>
                <w:szCs w:val="18"/>
              </w:rPr>
              <w:t>Essai de défaut de</w:t>
            </w:r>
            <w:r w:rsidR="005F3903">
              <w:rPr>
                <w:b/>
                <w:bCs/>
                <w:sz w:val="18"/>
                <w:szCs w:val="18"/>
              </w:rPr>
              <w:t> </w:t>
            </w:r>
            <w:r w:rsidRPr="005F3903">
              <w:rPr>
                <w:b/>
                <w:bCs/>
                <w:sz w:val="18"/>
                <w:szCs w:val="18"/>
              </w:rPr>
              <w:t>fonctionnement</w:t>
            </w:r>
          </w:p>
        </w:tc>
        <w:tc>
          <w:tcPr>
            <w:tcW w:w="4347" w:type="dxa"/>
            <w:tcBorders>
              <w:bottom w:val="single" w:sz="12" w:space="0" w:color="auto"/>
            </w:tcBorders>
            <w:shd w:val="clear" w:color="auto" w:fill="auto"/>
            <w:vAlign w:val="bottom"/>
          </w:tcPr>
          <w:p w14:paraId="501734D2" w14:textId="77777777" w:rsidR="00613BD4" w:rsidRPr="005F3903" w:rsidRDefault="00613BD4" w:rsidP="005F3903">
            <w:pPr>
              <w:suppressAutoHyphens w:val="0"/>
              <w:spacing w:before="40" w:after="40" w:line="220" w:lineRule="exact"/>
              <w:jc w:val="right"/>
              <w:rPr>
                <w:rFonts w:eastAsia="Tahoma"/>
                <w:b/>
                <w:bCs/>
                <w:sz w:val="18"/>
                <w:szCs w:val="18"/>
              </w:rPr>
            </w:pPr>
          </w:p>
        </w:tc>
      </w:tr>
    </w:tbl>
    <w:p w14:paraId="5C135742" w14:textId="14638FF8" w:rsidR="00613BD4" w:rsidRPr="005F3903" w:rsidRDefault="00613BD4" w:rsidP="005F3903">
      <w:pPr>
        <w:pStyle w:val="SingleTxtG"/>
        <w:spacing w:before="120"/>
        <w:ind w:left="2268" w:hanging="1134"/>
        <w:rPr>
          <w:b/>
          <w:bCs/>
        </w:rPr>
      </w:pPr>
      <w:r w:rsidRPr="005F3903">
        <w:rPr>
          <w:b/>
          <w:bCs/>
        </w:rPr>
        <w:t>3.5</w:t>
      </w:r>
      <w:r w:rsidRPr="005F3903">
        <w:rPr>
          <w:b/>
          <w:bCs/>
        </w:rPr>
        <w:tab/>
        <w:t>Conformément à l’annexe</w:t>
      </w:r>
      <w:r w:rsidR="005F3903">
        <w:rPr>
          <w:b/>
          <w:bCs/>
        </w:rPr>
        <w:t> </w:t>
      </w:r>
      <w:r w:rsidRPr="005F3903">
        <w:rPr>
          <w:b/>
          <w:bCs/>
        </w:rPr>
        <w:t>4 (TPRS/CTIS) du présent Règlement, selon le</w:t>
      </w:r>
      <w:r w:rsidR="00FD257B">
        <w:rPr>
          <w:b/>
          <w:bCs/>
        </w:rPr>
        <w:t> </w:t>
      </w:r>
      <w:r w:rsidRPr="005F3903">
        <w:rPr>
          <w:b/>
          <w:bCs/>
        </w:rPr>
        <w:t>cas</w:t>
      </w:r>
      <w:r w:rsidR="005F3903">
        <w:rPr>
          <w:b/>
          <w:bCs/>
        </w:rPr>
        <w:t> </w:t>
      </w:r>
      <w:r w:rsidRPr="005F3903">
        <w:rPr>
          <w:b/>
          <w:bCs/>
        </w:rPr>
        <w:t>:</w:t>
      </w:r>
    </w:p>
    <w:tbl>
      <w:tblPr>
        <w:tblW w:w="6236" w:type="dxa"/>
        <w:tblInd w:w="2268" w:type="dxa"/>
        <w:tblLayout w:type="fixed"/>
        <w:tblCellMar>
          <w:left w:w="0" w:type="dxa"/>
          <w:right w:w="0" w:type="dxa"/>
        </w:tblCellMar>
        <w:tblLook w:val="04A0" w:firstRow="1" w:lastRow="0" w:firstColumn="1" w:lastColumn="0" w:noHBand="0" w:noVBand="1"/>
      </w:tblPr>
      <w:tblGrid>
        <w:gridCol w:w="1915"/>
        <w:gridCol w:w="4321"/>
      </w:tblGrid>
      <w:tr w:rsidR="00613BD4" w:rsidRPr="005F3903" w14:paraId="45ED4818" w14:textId="77777777" w:rsidTr="005F3903">
        <w:trPr>
          <w:tblHeader/>
        </w:trPr>
        <w:tc>
          <w:tcPr>
            <w:tcW w:w="1915" w:type="dxa"/>
            <w:tcBorders>
              <w:top w:val="single" w:sz="4" w:space="0" w:color="auto"/>
              <w:bottom w:val="single" w:sz="12" w:space="0" w:color="auto"/>
            </w:tcBorders>
            <w:shd w:val="clear" w:color="auto" w:fill="auto"/>
            <w:vAlign w:val="bottom"/>
          </w:tcPr>
          <w:p w14:paraId="6D07560A" w14:textId="77777777" w:rsidR="00613BD4" w:rsidRPr="005F3903" w:rsidRDefault="00613BD4" w:rsidP="005F3903">
            <w:pPr>
              <w:suppressAutoHyphens w:val="0"/>
              <w:spacing w:before="80" w:after="80" w:line="200" w:lineRule="exact"/>
              <w:rPr>
                <w:rFonts w:eastAsia="Tahoma"/>
                <w:b/>
                <w:bCs/>
                <w:i/>
                <w:sz w:val="16"/>
              </w:rPr>
            </w:pPr>
            <w:r w:rsidRPr="005F3903">
              <w:rPr>
                <w:b/>
                <w:bCs/>
                <w:i/>
                <w:sz w:val="16"/>
              </w:rPr>
              <w:t>Essai</w:t>
            </w:r>
          </w:p>
        </w:tc>
        <w:tc>
          <w:tcPr>
            <w:tcW w:w="4321" w:type="dxa"/>
            <w:tcBorders>
              <w:top w:val="single" w:sz="4" w:space="0" w:color="auto"/>
              <w:bottom w:val="single" w:sz="12" w:space="0" w:color="auto"/>
            </w:tcBorders>
            <w:shd w:val="clear" w:color="auto" w:fill="auto"/>
            <w:vAlign w:val="bottom"/>
          </w:tcPr>
          <w:p w14:paraId="4D7CC062" w14:textId="77777777" w:rsidR="00613BD4" w:rsidRPr="005F3903" w:rsidRDefault="00613BD4" w:rsidP="005F3903">
            <w:pPr>
              <w:suppressAutoHyphens w:val="0"/>
              <w:spacing w:before="80" w:after="80" w:line="200" w:lineRule="exact"/>
              <w:jc w:val="center"/>
              <w:rPr>
                <w:rFonts w:eastAsia="Tahoma"/>
                <w:b/>
                <w:bCs/>
                <w:i/>
                <w:sz w:val="16"/>
              </w:rPr>
            </w:pPr>
            <w:r w:rsidRPr="005F3903">
              <w:rPr>
                <w:b/>
                <w:bCs/>
                <w:i/>
                <w:sz w:val="16"/>
              </w:rPr>
              <w:t>Temps mesuré jusqu’à l’avertissement (min, s)</w:t>
            </w:r>
          </w:p>
        </w:tc>
      </w:tr>
      <w:tr w:rsidR="00613BD4" w:rsidRPr="005F3903" w14:paraId="2DF54F29" w14:textId="77777777" w:rsidTr="005F3903">
        <w:tc>
          <w:tcPr>
            <w:tcW w:w="1915" w:type="dxa"/>
            <w:tcBorders>
              <w:top w:val="single" w:sz="12" w:space="0" w:color="auto"/>
            </w:tcBorders>
            <w:shd w:val="clear" w:color="auto" w:fill="auto"/>
          </w:tcPr>
          <w:p w14:paraId="3AF3880D" w14:textId="77777777" w:rsidR="00613BD4" w:rsidRPr="005F3903" w:rsidRDefault="00613BD4" w:rsidP="005F3903">
            <w:pPr>
              <w:suppressAutoHyphens w:val="0"/>
              <w:spacing w:before="40" w:after="40" w:line="220" w:lineRule="exact"/>
              <w:rPr>
                <w:rFonts w:eastAsia="Tahoma"/>
                <w:b/>
                <w:bCs/>
                <w:sz w:val="18"/>
                <w:szCs w:val="18"/>
              </w:rPr>
            </w:pPr>
            <w:r w:rsidRPr="005F3903">
              <w:rPr>
                <w:b/>
                <w:bCs/>
                <w:sz w:val="18"/>
                <w:szCs w:val="18"/>
              </w:rPr>
              <w:t>Essai de regonflage</w:t>
            </w:r>
          </w:p>
        </w:tc>
        <w:tc>
          <w:tcPr>
            <w:tcW w:w="4321" w:type="dxa"/>
            <w:tcBorders>
              <w:top w:val="single" w:sz="12" w:space="0" w:color="auto"/>
            </w:tcBorders>
            <w:shd w:val="clear" w:color="auto" w:fill="auto"/>
            <w:vAlign w:val="bottom"/>
          </w:tcPr>
          <w:p w14:paraId="2BB73191" w14:textId="77777777" w:rsidR="00613BD4" w:rsidRPr="005F3903" w:rsidRDefault="00613BD4" w:rsidP="005F3903">
            <w:pPr>
              <w:suppressAutoHyphens w:val="0"/>
              <w:spacing w:before="40" w:after="40" w:line="220" w:lineRule="exact"/>
              <w:jc w:val="right"/>
              <w:rPr>
                <w:rFonts w:eastAsia="Tahoma"/>
                <w:b/>
                <w:bCs/>
                <w:sz w:val="18"/>
                <w:szCs w:val="18"/>
              </w:rPr>
            </w:pPr>
          </w:p>
        </w:tc>
      </w:tr>
      <w:tr w:rsidR="00613BD4" w:rsidRPr="005F3903" w14:paraId="5A76EA0F" w14:textId="77777777" w:rsidTr="005F3903">
        <w:tc>
          <w:tcPr>
            <w:tcW w:w="1915" w:type="dxa"/>
            <w:tcBorders>
              <w:bottom w:val="single" w:sz="12" w:space="0" w:color="auto"/>
            </w:tcBorders>
            <w:shd w:val="clear" w:color="auto" w:fill="auto"/>
          </w:tcPr>
          <w:p w14:paraId="60953A4D" w14:textId="712B15C8" w:rsidR="00613BD4" w:rsidRPr="005F3903" w:rsidRDefault="00613BD4" w:rsidP="005F3903">
            <w:pPr>
              <w:suppressAutoHyphens w:val="0"/>
              <w:spacing w:before="40" w:after="40" w:line="220" w:lineRule="exact"/>
              <w:rPr>
                <w:b/>
                <w:bCs/>
                <w:sz w:val="18"/>
                <w:szCs w:val="18"/>
              </w:rPr>
            </w:pPr>
            <w:r w:rsidRPr="005F3903">
              <w:rPr>
                <w:b/>
                <w:bCs/>
                <w:sz w:val="18"/>
                <w:szCs w:val="18"/>
              </w:rPr>
              <w:t>Essai de défaut de</w:t>
            </w:r>
            <w:r w:rsidR="005F3903">
              <w:rPr>
                <w:b/>
                <w:bCs/>
                <w:sz w:val="18"/>
                <w:szCs w:val="18"/>
              </w:rPr>
              <w:t> </w:t>
            </w:r>
            <w:r w:rsidRPr="005F3903">
              <w:rPr>
                <w:b/>
                <w:bCs/>
                <w:sz w:val="18"/>
                <w:szCs w:val="18"/>
              </w:rPr>
              <w:t>fonctionnement</w:t>
            </w:r>
          </w:p>
        </w:tc>
        <w:tc>
          <w:tcPr>
            <w:tcW w:w="4321" w:type="dxa"/>
            <w:tcBorders>
              <w:bottom w:val="single" w:sz="12" w:space="0" w:color="auto"/>
            </w:tcBorders>
            <w:shd w:val="clear" w:color="auto" w:fill="auto"/>
            <w:vAlign w:val="bottom"/>
          </w:tcPr>
          <w:p w14:paraId="57EA8180" w14:textId="77777777" w:rsidR="00613BD4" w:rsidRPr="005F3903" w:rsidRDefault="00613BD4" w:rsidP="005F3903">
            <w:pPr>
              <w:suppressAutoHyphens w:val="0"/>
              <w:spacing w:before="40" w:after="40" w:line="220" w:lineRule="exact"/>
              <w:jc w:val="right"/>
              <w:rPr>
                <w:rFonts w:eastAsia="Tahoma"/>
                <w:b/>
                <w:bCs/>
                <w:sz w:val="18"/>
                <w:szCs w:val="18"/>
              </w:rPr>
            </w:pPr>
          </w:p>
        </w:tc>
      </w:tr>
    </w:tbl>
    <w:p w14:paraId="1EFE2422" w14:textId="77777777" w:rsidR="00613BD4" w:rsidRPr="005F3903" w:rsidRDefault="00613BD4" w:rsidP="005F3903">
      <w:pPr>
        <w:pStyle w:val="SingleTxtG"/>
        <w:spacing w:before="120"/>
        <w:ind w:left="2268" w:hanging="1134"/>
        <w:rPr>
          <w:b/>
          <w:bCs/>
        </w:rPr>
      </w:pPr>
      <w:r w:rsidRPr="005F3903">
        <w:rPr>
          <w:b/>
          <w:bCs/>
        </w:rPr>
        <w:t>4.</w:t>
      </w:r>
      <w:r w:rsidRPr="005F3903">
        <w:rPr>
          <w:b/>
          <w:bCs/>
        </w:rPr>
        <w:tab/>
        <w:t>Limites d’installation</w:t>
      </w:r>
    </w:p>
    <w:p w14:paraId="16BCE84C" w14:textId="77777777" w:rsidR="00613BD4" w:rsidRPr="005F3903" w:rsidRDefault="00613BD4" w:rsidP="005F3903">
      <w:pPr>
        <w:pStyle w:val="SingleTxtG"/>
        <w:ind w:left="2268" w:hanging="1134"/>
        <w:rPr>
          <w:b/>
          <w:bCs/>
        </w:rPr>
      </w:pPr>
      <w:r w:rsidRPr="005F3903">
        <w:rPr>
          <w:b/>
          <w:bCs/>
        </w:rPr>
        <w:t>5.</w:t>
      </w:r>
      <w:r w:rsidRPr="005F3903">
        <w:rPr>
          <w:b/>
          <w:bCs/>
        </w:rPr>
        <w:tab/>
        <w:t>Date des essais</w:t>
      </w:r>
    </w:p>
    <w:p w14:paraId="68286B12" w14:textId="228840FC" w:rsidR="00613BD4" w:rsidRPr="005F3903" w:rsidRDefault="00613BD4" w:rsidP="005F3903">
      <w:pPr>
        <w:pStyle w:val="SingleTxtG"/>
        <w:ind w:left="2268" w:hanging="1134"/>
        <w:rPr>
          <w:b/>
          <w:bCs/>
        </w:rPr>
      </w:pPr>
      <w:r w:rsidRPr="005F3903">
        <w:rPr>
          <w:b/>
          <w:bCs/>
        </w:rPr>
        <w:t>6.</w:t>
      </w:r>
      <w:r w:rsidRPr="005F3903">
        <w:rPr>
          <w:b/>
          <w:bCs/>
        </w:rPr>
        <w:tab/>
        <w:t>Ces essais ont été effectués et leurs résultats ont été consignés conformément aux dispositions de l’annexe</w:t>
      </w:r>
      <w:r w:rsidR="005F3903">
        <w:rPr>
          <w:b/>
          <w:bCs/>
        </w:rPr>
        <w:t> </w:t>
      </w:r>
      <w:r w:rsidRPr="005F3903">
        <w:rPr>
          <w:b/>
          <w:bCs/>
        </w:rPr>
        <w:t>3 ou 4 du Règlement ONU n</w:t>
      </w:r>
      <w:r w:rsidRPr="005F3903">
        <w:rPr>
          <w:b/>
          <w:bCs/>
          <w:vertAlign w:val="superscript"/>
        </w:rPr>
        <w:t>o</w:t>
      </w:r>
      <w:r w:rsidRPr="005F3903">
        <w:rPr>
          <w:b/>
          <w:bCs/>
        </w:rPr>
        <w:t> 141 tel que modifié par la série 01 d’amendements.</w:t>
      </w:r>
    </w:p>
    <w:p w14:paraId="71A08BF8" w14:textId="77777777" w:rsidR="00613BD4" w:rsidRPr="005F3903" w:rsidRDefault="00613BD4" w:rsidP="005F3903">
      <w:pPr>
        <w:pStyle w:val="SingleTxtG"/>
        <w:ind w:left="2268" w:hanging="1134"/>
        <w:rPr>
          <w:b/>
          <w:bCs/>
        </w:rPr>
      </w:pPr>
      <w:r w:rsidRPr="005F3903">
        <w:rPr>
          <w:b/>
          <w:bCs/>
        </w:rPr>
        <w:t>7.</w:t>
      </w:r>
      <w:r w:rsidRPr="005F3903">
        <w:rPr>
          <w:b/>
          <w:bCs/>
        </w:rPr>
        <w:tab/>
        <w:t>Service technique chargé des essais</w:t>
      </w:r>
    </w:p>
    <w:p w14:paraId="3726A1A7" w14:textId="001AD2D5" w:rsidR="00613BD4" w:rsidRDefault="00613BD4" w:rsidP="005F3903">
      <w:pPr>
        <w:pStyle w:val="SingleTxtG"/>
        <w:ind w:left="3402" w:hanging="1134"/>
        <w:rPr>
          <w:b/>
          <w:bCs/>
        </w:rPr>
      </w:pPr>
      <w:r w:rsidRPr="005F3903">
        <w:rPr>
          <w:b/>
          <w:bCs/>
        </w:rPr>
        <w:t>Signature</w:t>
      </w:r>
      <w:r w:rsidR="005F3903">
        <w:rPr>
          <w:b/>
          <w:bCs/>
        </w:rPr>
        <w:t> </w:t>
      </w:r>
      <w:r w:rsidRPr="005F3903">
        <w:rPr>
          <w:b/>
          <w:bCs/>
        </w:rPr>
        <w:t>: ................................... Date</w:t>
      </w:r>
      <w:r w:rsidR="002741AD">
        <w:rPr>
          <w:b/>
          <w:bCs/>
        </w:rPr>
        <w:t> </w:t>
      </w:r>
      <w:r w:rsidRPr="005F3903">
        <w:rPr>
          <w:b/>
          <w:bCs/>
        </w:rPr>
        <w:t>: ................................</w:t>
      </w:r>
    </w:p>
    <w:p w14:paraId="332FB149" w14:textId="6D7E5140" w:rsidR="005F3903" w:rsidRDefault="005F3903" w:rsidP="005F3903">
      <w:pPr>
        <w:pStyle w:val="SingleTxtG"/>
        <w:ind w:left="3402" w:hanging="1134"/>
        <w:rPr>
          <w:b/>
          <w:bCs/>
        </w:rPr>
      </w:pPr>
      <w:r>
        <w:rPr>
          <w:b/>
          <w:bCs/>
        </w:rPr>
        <w:br w:type="page"/>
      </w:r>
    </w:p>
    <w:p w14:paraId="6014678C" w14:textId="7E2210A9" w:rsidR="00613BD4" w:rsidRPr="00A511B3" w:rsidRDefault="00613BD4" w:rsidP="005F3903">
      <w:pPr>
        <w:pStyle w:val="HChG"/>
        <w:rPr>
          <w:sz w:val="36"/>
          <w:szCs w:val="36"/>
        </w:rPr>
      </w:pPr>
      <w:r w:rsidRPr="00A511B3">
        <w:t>Annexe</w:t>
      </w:r>
      <w:r w:rsidR="00FD257B">
        <w:t> </w:t>
      </w:r>
      <w:r w:rsidRPr="00A511B3">
        <w:t>7 − Appendice</w:t>
      </w:r>
      <w:r w:rsidR="00FD257B">
        <w:t> </w:t>
      </w:r>
      <w:r w:rsidRPr="00A511B3">
        <w:t>4</w:t>
      </w:r>
    </w:p>
    <w:p w14:paraId="09D54493" w14:textId="7DF55809" w:rsidR="00613BD4" w:rsidRPr="00A511B3" w:rsidRDefault="005F3903" w:rsidP="005F3903">
      <w:pPr>
        <w:pStyle w:val="HChG"/>
        <w:rPr>
          <w:szCs w:val="28"/>
        </w:rPr>
      </w:pPr>
      <w:r w:rsidRPr="00FD257B">
        <w:rPr>
          <w:rFonts w:ascii="Times New Roman Gras" w:hAnsi="Times New Roman Gras"/>
          <w:spacing w:val="4"/>
        </w:rPr>
        <w:tab/>
      </w:r>
      <w:r w:rsidRPr="00FD257B">
        <w:rPr>
          <w:rFonts w:ascii="Times New Roman Gras" w:hAnsi="Times New Roman Gras"/>
          <w:spacing w:val="4"/>
        </w:rPr>
        <w:tab/>
      </w:r>
      <w:r w:rsidR="00613BD4" w:rsidRPr="00FD257B">
        <w:rPr>
          <w:rFonts w:ascii="Times New Roman Gras" w:hAnsi="Times New Roman Gras"/>
          <w:spacing w:val="4"/>
        </w:rPr>
        <w:t>Procès-verbal d’essai concernant le module de gestion</w:t>
      </w:r>
      <w:r w:rsidR="00613BD4" w:rsidRPr="00674F84">
        <w:t xml:space="preserve"> </w:t>
      </w:r>
      <w:r w:rsidR="00613BD4" w:rsidRPr="005F3903">
        <w:rPr>
          <w:rFonts w:ascii="Times New Roman Gras" w:hAnsi="Times New Roman Gras"/>
          <w:spacing w:val="-2"/>
        </w:rPr>
        <w:t>électronique passerelle conforme à la norme</w:t>
      </w:r>
      <w:r w:rsidRPr="005F3903">
        <w:rPr>
          <w:rFonts w:ascii="Times New Roman Gras" w:hAnsi="Times New Roman Gras"/>
          <w:spacing w:val="-2"/>
        </w:rPr>
        <w:t> </w:t>
      </w:r>
      <w:r w:rsidR="00613BD4" w:rsidRPr="005F3903">
        <w:rPr>
          <w:rFonts w:ascii="Times New Roman Gras" w:hAnsi="Times New Roman Gras"/>
          <w:spacing w:val="-2"/>
        </w:rPr>
        <w:t>ISO</w:t>
      </w:r>
      <w:r w:rsidRPr="005F3903">
        <w:rPr>
          <w:rFonts w:ascii="Times New Roman Gras" w:hAnsi="Times New Roman Gras"/>
          <w:spacing w:val="-2"/>
        </w:rPr>
        <w:t> </w:t>
      </w:r>
      <w:r w:rsidR="00613BD4" w:rsidRPr="005F3903">
        <w:rPr>
          <w:rFonts w:ascii="Times New Roman Gras" w:hAnsi="Times New Roman Gras"/>
          <w:spacing w:val="-2"/>
        </w:rPr>
        <w:t>11992-2</w:t>
      </w:r>
      <w:r w:rsidR="00613BD4" w:rsidRPr="00674F84">
        <w:t xml:space="preserve"> pour</w:t>
      </w:r>
      <w:r>
        <w:t> </w:t>
      </w:r>
      <w:r w:rsidR="00613BD4" w:rsidRPr="00674F84">
        <w:t>la remorque de référence</w:t>
      </w:r>
    </w:p>
    <w:p w14:paraId="55B45F4B" w14:textId="77777777" w:rsidR="00613BD4" w:rsidRPr="005F3903" w:rsidRDefault="00613BD4" w:rsidP="005F3903">
      <w:pPr>
        <w:pStyle w:val="SingleTxtG"/>
        <w:ind w:left="2268" w:hanging="1134"/>
        <w:rPr>
          <w:b/>
          <w:bCs/>
        </w:rPr>
      </w:pPr>
      <w:r w:rsidRPr="005F3903">
        <w:rPr>
          <w:b/>
          <w:bCs/>
        </w:rPr>
        <w:t>1.</w:t>
      </w:r>
      <w:r w:rsidRPr="005F3903">
        <w:rPr>
          <w:b/>
          <w:bCs/>
        </w:rPr>
        <w:tab/>
        <w:t>Identification</w:t>
      </w:r>
    </w:p>
    <w:p w14:paraId="03B89A50" w14:textId="3E341727" w:rsidR="00613BD4" w:rsidRPr="005F3903" w:rsidRDefault="00613BD4" w:rsidP="005F3903">
      <w:pPr>
        <w:pStyle w:val="SingleTxtG"/>
        <w:ind w:left="2268" w:hanging="1134"/>
        <w:rPr>
          <w:b/>
          <w:bCs/>
        </w:rPr>
      </w:pPr>
      <w:r w:rsidRPr="005F3903">
        <w:rPr>
          <w:b/>
          <w:bCs/>
        </w:rPr>
        <w:t>1.1</w:t>
      </w:r>
      <w:r w:rsidRPr="005F3903">
        <w:rPr>
          <w:b/>
          <w:bCs/>
        </w:rPr>
        <w:tab/>
        <w:t>Fabricant du module passerelle conforme à la norme ISO</w:t>
      </w:r>
      <w:r w:rsidR="005F3903" w:rsidRPr="005F3903">
        <w:rPr>
          <w:b/>
          <w:bCs/>
        </w:rPr>
        <w:t> </w:t>
      </w:r>
      <w:r w:rsidRPr="005F3903">
        <w:rPr>
          <w:b/>
          <w:bCs/>
        </w:rPr>
        <w:t>11992-2 (nom et adresse)</w:t>
      </w:r>
    </w:p>
    <w:p w14:paraId="5C04AF46" w14:textId="77777777" w:rsidR="00613BD4" w:rsidRPr="005F3903" w:rsidRDefault="00613BD4" w:rsidP="005F3903">
      <w:pPr>
        <w:pStyle w:val="SingleTxtG"/>
        <w:ind w:left="2268" w:hanging="1134"/>
        <w:rPr>
          <w:b/>
          <w:bCs/>
        </w:rPr>
      </w:pPr>
      <w:r w:rsidRPr="005F3903">
        <w:rPr>
          <w:b/>
          <w:bCs/>
        </w:rPr>
        <w:t>1.2</w:t>
      </w:r>
      <w:r w:rsidRPr="005F3903">
        <w:rPr>
          <w:b/>
          <w:bCs/>
        </w:rPr>
        <w:tab/>
        <w:t>Nom du système et modèle</w:t>
      </w:r>
    </w:p>
    <w:p w14:paraId="3AC503D2" w14:textId="0DBC0515" w:rsidR="00613BD4" w:rsidRPr="005F3903" w:rsidRDefault="00613BD4" w:rsidP="005F3903">
      <w:pPr>
        <w:pStyle w:val="SingleTxtG"/>
        <w:ind w:left="2268" w:hanging="1134"/>
        <w:rPr>
          <w:b/>
          <w:bCs/>
        </w:rPr>
      </w:pPr>
      <w:r w:rsidRPr="005F3903">
        <w:rPr>
          <w:b/>
          <w:bCs/>
        </w:rPr>
        <w:t>2.</w:t>
      </w:r>
      <w:r w:rsidRPr="005F3903">
        <w:rPr>
          <w:b/>
          <w:bCs/>
        </w:rPr>
        <w:tab/>
        <w:t>Systèmes et installations homologués</w:t>
      </w:r>
      <w:r w:rsidR="002741AD">
        <w:rPr>
          <w:b/>
          <w:bCs/>
        </w:rPr>
        <w:t> </w:t>
      </w:r>
      <w:r w:rsidRPr="005F3903">
        <w:rPr>
          <w:b/>
          <w:bCs/>
        </w:rPr>
        <w:t>:</w:t>
      </w:r>
    </w:p>
    <w:p w14:paraId="33305EA4" w14:textId="77777777" w:rsidR="00613BD4" w:rsidRPr="005F3903" w:rsidRDefault="00613BD4" w:rsidP="005F3903">
      <w:pPr>
        <w:pStyle w:val="SingleTxtG"/>
        <w:ind w:left="2268" w:hanging="1134"/>
        <w:rPr>
          <w:b/>
          <w:bCs/>
        </w:rPr>
      </w:pPr>
      <w:r w:rsidRPr="005F3903">
        <w:rPr>
          <w:b/>
          <w:bCs/>
        </w:rPr>
        <w:t>2.1</w:t>
      </w:r>
      <w:r w:rsidRPr="005F3903">
        <w:rPr>
          <w:b/>
          <w:bCs/>
        </w:rPr>
        <w:tab/>
        <w:t>Domaine d’application (types de remorque et nombre d’essieux)</w:t>
      </w:r>
    </w:p>
    <w:p w14:paraId="61AB7AC4" w14:textId="77777777" w:rsidR="00613BD4" w:rsidRPr="005F3903" w:rsidRDefault="00613BD4" w:rsidP="005F3903">
      <w:pPr>
        <w:pStyle w:val="SingleTxtG"/>
        <w:ind w:left="2268" w:hanging="1134"/>
        <w:rPr>
          <w:b/>
          <w:bCs/>
        </w:rPr>
      </w:pPr>
      <w:r w:rsidRPr="005F3903">
        <w:rPr>
          <w:b/>
          <w:bCs/>
        </w:rPr>
        <w:t>2.2</w:t>
      </w:r>
      <w:r w:rsidRPr="005F3903">
        <w:rPr>
          <w:b/>
          <w:bCs/>
        </w:rPr>
        <w:tab/>
        <w:t>Identification du système de freinage électronique pour remorques (TEBS) destiné à assurer la fonction de passerelle au sens de la norme ISO 11992</w:t>
      </w:r>
    </w:p>
    <w:p w14:paraId="0A918C18" w14:textId="77777777" w:rsidR="00613BD4" w:rsidRPr="005F3903" w:rsidRDefault="00613BD4" w:rsidP="005F3903">
      <w:pPr>
        <w:pStyle w:val="SingleTxtG"/>
        <w:ind w:left="2268" w:hanging="1134"/>
        <w:rPr>
          <w:b/>
          <w:bCs/>
        </w:rPr>
      </w:pPr>
      <w:r w:rsidRPr="005F3903">
        <w:rPr>
          <w:b/>
          <w:bCs/>
        </w:rPr>
        <w:t>3.</w:t>
      </w:r>
      <w:r w:rsidRPr="005F3903">
        <w:rPr>
          <w:b/>
          <w:bCs/>
        </w:rPr>
        <w:tab/>
        <w:t>Résultats des essais</w:t>
      </w:r>
    </w:p>
    <w:p w14:paraId="0CB834DC" w14:textId="77777777" w:rsidR="00613BD4" w:rsidRPr="005F3903" w:rsidRDefault="00613BD4" w:rsidP="005F3903">
      <w:pPr>
        <w:pStyle w:val="SingleTxtG"/>
        <w:ind w:left="2268" w:hanging="1134"/>
        <w:rPr>
          <w:b/>
          <w:bCs/>
        </w:rPr>
      </w:pPr>
      <w:r w:rsidRPr="005F3903">
        <w:rPr>
          <w:b/>
          <w:bCs/>
        </w:rPr>
        <w:t>3.1</w:t>
      </w:r>
      <w:r w:rsidRPr="005F3903">
        <w:rPr>
          <w:b/>
          <w:bCs/>
        </w:rPr>
        <w:tab/>
        <w:t>Description succincte du module passerelle</w:t>
      </w:r>
    </w:p>
    <w:p w14:paraId="11D0A1FC" w14:textId="77777777" w:rsidR="00613BD4" w:rsidRPr="005F3903" w:rsidRDefault="00613BD4" w:rsidP="005F3903">
      <w:pPr>
        <w:pStyle w:val="SingleTxtG"/>
        <w:ind w:left="2268" w:hanging="1134"/>
        <w:rPr>
          <w:b/>
          <w:bCs/>
        </w:rPr>
      </w:pPr>
      <w:r w:rsidRPr="005F3903">
        <w:rPr>
          <w:b/>
          <w:bCs/>
        </w:rPr>
        <w:t>3.2</w:t>
      </w:r>
      <w:r w:rsidRPr="005F3903">
        <w:rPr>
          <w:b/>
          <w:bCs/>
        </w:rPr>
        <w:tab/>
        <w:t>Résultats des essais</w:t>
      </w:r>
    </w:p>
    <w:p w14:paraId="0BE2EDA8" w14:textId="402F13B6" w:rsidR="00613BD4" w:rsidRPr="005F3903" w:rsidRDefault="00613BD4" w:rsidP="005F3903">
      <w:pPr>
        <w:pStyle w:val="SingleTxtG"/>
        <w:ind w:left="2268" w:hanging="1134"/>
        <w:rPr>
          <w:b/>
          <w:bCs/>
        </w:rPr>
      </w:pPr>
      <w:r w:rsidRPr="005F3903">
        <w:rPr>
          <w:b/>
          <w:bCs/>
        </w:rPr>
        <w:t>3.3</w:t>
      </w:r>
      <w:r w:rsidRPr="005F3903">
        <w:rPr>
          <w:b/>
          <w:bCs/>
        </w:rPr>
        <w:tab/>
        <w:t>Conformément à l’annexe</w:t>
      </w:r>
      <w:r w:rsidR="005F3903">
        <w:rPr>
          <w:b/>
          <w:bCs/>
        </w:rPr>
        <w:t> </w:t>
      </w:r>
      <w:r w:rsidRPr="005F3903">
        <w:rPr>
          <w:b/>
          <w:bCs/>
        </w:rPr>
        <w:t>6 (fonction de passerelle) du présent Règlement</w:t>
      </w:r>
      <w:r w:rsidR="005F3903">
        <w:rPr>
          <w:b/>
          <w:bCs/>
        </w:rPr>
        <w:t> </w:t>
      </w:r>
      <w:r w:rsidRPr="005F3903">
        <w:rPr>
          <w:b/>
          <w:bCs/>
        </w:rPr>
        <w:t>:</w:t>
      </w:r>
    </w:p>
    <w:tbl>
      <w:tblPr>
        <w:tblW w:w="6236" w:type="dxa"/>
        <w:tblInd w:w="2268" w:type="dxa"/>
        <w:tblLayout w:type="fixed"/>
        <w:tblCellMar>
          <w:left w:w="0" w:type="dxa"/>
          <w:right w:w="0" w:type="dxa"/>
        </w:tblCellMar>
        <w:tblLook w:val="04A0" w:firstRow="1" w:lastRow="0" w:firstColumn="1" w:lastColumn="0" w:noHBand="0" w:noVBand="1"/>
      </w:tblPr>
      <w:tblGrid>
        <w:gridCol w:w="3529"/>
        <w:gridCol w:w="2707"/>
      </w:tblGrid>
      <w:tr w:rsidR="00613BD4" w:rsidRPr="005F3903" w14:paraId="30DC0E7C" w14:textId="77777777" w:rsidTr="005F3903">
        <w:trPr>
          <w:tblHeader/>
        </w:trPr>
        <w:tc>
          <w:tcPr>
            <w:tcW w:w="3529" w:type="dxa"/>
            <w:tcBorders>
              <w:top w:val="single" w:sz="4" w:space="0" w:color="auto"/>
              <w:bottom w:val="single" w:sz="12" w:space="0" w:color="auto"/>
            </w:tcBorders>
            <w:shd w:val="clear" w:color="auto" w:fill="auto"/>
            <w:vAlign w:val="bottom"/>
          </w:tcPr>
          <w:p w14:paraId="1BC406D9" w14:textId="77777777" w:rsidR="00613BD4" w:rsidRPr="005F3903" w:rsidRDefault="00613BD4" w:rsidP="005F3903">
            <w:pPr>
              <w:suppressAutoHyphens w:val="0"/>
              <w:spacing w:before="80" w:after="80" w:line="200" w:lineRule="exact"/>
              <w:jc w:val="center"/>
              <w:rPr>
                <w:rFonts w:eastAsia="Tahoma"/>
                <w:b/>
                <w:bCs/>
                <w:i/>
                <w:sz w:val="16"/>
              </w:rPr>
            </w:pPr>
            <w:r w:rsidRPr="005F3903">
              <w:rPr>
                <w:b/>
                <w:bCs/>
                <w:i/>
                <w:sz w:val="16"/>
              </w:rPr>
              <w:t>Essai</w:t>
            </w:r>
          </w:p>
        </w:tc>
        <w:tc>
          <w:tcPr>
            <w:tcW w:w="2707" w:type="dxa"/>
            <w:tcBorders>
              <w:top w:val="single" w:sz="4" w:space="0" w:color="auto"/>
              <w:bottom w:val="single" w:sz="12" w:space="0" w:color="auto"/>
            </w:tcBorders>
            <w:shd w:val="clear" w:color="auto" w:fill="auto"/>
            <w:vAlign w:val="bottom"/>
          </w:tcPr>
          <w:p w14:paraId="4A476AE1" w14:textId="77777777" w:rsidR="00613BD4" w:rsidRPr="005F3903" w:rsidRDefault="00613BD4" w:rsidP="005F3903">
            <w:pPr>
              <w:suppressAutoHyphens w:val="0"/>
              <w:spacing w:before="80" w:after="80" w:line="200" w:lineRule="exact"/>
              <w:jc w:val="center"/>
              <w:rPr>
                <w:rFonts w:eastAsia="Tahoma"/>
                <w:b/>
                <w:bCs/>
                <w:i/>
                <w:sz w:val="16"/>
              </w:rPr>
            </w:pPr>
            <w:r w:rsidRPr="005F3903">
              <w:rPr>
                <w:b/>
                <w:bCs/>
                <w:i/>
                <w:sz w:val="16"/>
              </w:rPr>
              <w:t>Temps mesuré jusqu’à l’avertissement (min, s)</w:t>
            </w:r>
          </w:p>
        </w:tc>
      </w:tr>
      <w:tr w:rsidR="00613BD4" w:rsidRPr="005F3903" w14:paraId="6C7BEFB3" w14:textId="77777777" w:rsidTr="005F3903">
        <w:tc>
          <w:tcPr>
            <w:tcW w:w="3529" w:type="dxa"/>
            <w:tcBorders>
              <w:top w:val="single" w:sz="12" w:space="0" w:color="auto"/>
            </w:tcBorders>
            <w:shd w:val="clear" w:color="auto" w:fill="auto"/>
          </w:tcPr>
          <w:p w14:paraId="05246F3C" w14:textId="77777777" w:rsidR="00613BD4" w:rsidRPr="005F3903" w:rsidRDefault="00613BD4" w:rsidP="005F3903">
            <w:pPr>
              <w:suppressAutoHyphens w:val="0"/>
              <w:spacing w:before="40" w:after="40" w:line="220" w:lineRule="exact"/>
              <w:rPr>
                <w:rFonts w:eastAsia="Tahoma"/>
                <w:b/>
                <w:bCs/>
                <w:sz w:val="18"/>
                <w:szCs w:val="18"/>
              </w:rPr>
            </w:pPr>
            <w:r w:rsidRPr="005F3903">
              <w:rPr>
                <w:b/>
                <w:bCs/>
                <w:sz w:val="18"/>
                <w:szCs w:val="18"/>
              </w:rPr>
              <w:t>Essai de sous-gonflage</w:t>
            </w:r>
          </w:p>
        </w:tc>
        <w:tc>
          <w:tcPr>
            <w:tcW w:w="2707" w:type="dxa"/>
            <w:tcBorders>
              <w:top w:val="single" w:sz="12" w:space="0" w:color="auto"/>
            </w:tcBorders>
            <w:shd w:val="clear" w:color="auto" w:fill="auto"/>
            <w:vAlign w:val="bottom"/>
          </w:tcPr>
          <w:p w14:paraId="61CC0F83" w14:textId="77777777" w:rsidR="00613BD4" w:rsidRPr="005F3903" w:rsidRDefault="00613BD4" w:rsidP="005F3903">
            <w:pPr>
              <w:suppressAutoHyphens w:val="0"/>
              <w:spacing w:before="40" w:after="40" w:line="220" w:lineRule="exact"/>
              <w:jc w:val="right"/>
              <w:rPr>
                <w:rFonts w:eastAsia="Tahoma"/>
                <w:b/>
                <w:bCs/>
                <w:sz w:val="18"/>
              </w:rPr>
            </w:pPr>
          </w:p>
        </w:tc>
      </w:tr>
      <w:tr w:rsidR="00613BD4" w:rsidRPr="005F3903" w14:paraId="2B9D0711" w14:textId="77777777" w:rsidTr="005F3903">
        <w:tc>
          <w:tcPr>
            <w:tcW w:w="3529" w:type="dxa"/>
            <w:tcBorders>
              <w:bottom w:val="single" w:sz="12" w:space="0" w:color="auto"/>
            </w:tcBorders>
            <w:shd w:val="clear" w:color="auto" w:fill="auto"/>
          </w:tcPr>
          <w:p w14:paraId="69A7A16F" w14:textId="77777777" w:rsidR="00613BD4" w:rsidRPr="005F3903" w:rsidRDefault="00613BD4" w:rsidP="005F3903">
            <w:pPr>
              <w:suppressAutoHyphens w:val="0"/>
              <w:spacing w:before="40" w:after="40" w:line="220" w:lineRule="exact"/>
              <w:rPr>
                <w:rFonts w:eastAsia="Tahoma"/>
                <w:b/>
                <w:bCs/>
                <w:sz w:val="18"/>
                <w:szCs w:val="18"/>
              </w:rPr>
            </w:pPr>
            <w:r w:rsidRPr="005F3903">
              <w:rPr>
                <w:b/>
                <w:bCs/>
                <w:sz w:val="18"/>
                <w:szCs w:val="18"/>
              </w:rPr>
              <w:t>Essai de défaut de fonctionnement</w:t>
            </w:r>
          </w:p>
        </w:tc>
        <w:tc>
          <w:tcPr>
            <w:tcW w:w="2707" w:type="dxa"/>
            <w:tcBorders>
              <w:bottom w:val="single" w:sz="12" w:space="0" w:color="auto"/>
            </w:tcBorders>
            <w:shd w:val="clear" w:color="auto" w:fill="auto"/>
            <w:vAlign w:val="bottom"/>
          </w:tcPr>
          <w:p w14:paraId="5EE8FF75" w14:textId="77777777" w:rsidR="00613BD4" w:rsidRPr="005F3903" w:rsidRDefault="00613BD4" w:rsidP="005F3903">
            <w:pPr>
              <w:suppressAutoHyphens w:val="0"/>
              <w:spacing w:before="40" w:after="40" w:line="220" w:lineRule="exact"/>
              <w:jc w:val="right"/>
              <w:rPr>
                <w:rFonts w:eastAsia="Tahoma"/>
                <w:b/>
                <w:bCs/>
                <w:sz w:val="18"/>
              </w:rPr>
            </w:pPr>
          </w:p>
        </w:tc>
      </w:tr>
    </w:tbl>
    <w:p w14:paraId="4224EFAB" w14:textId="77777777" w:rsidR="00613BD4" w:rsidRPr="005F3903" w:rsidRDefault="00613BD4" w:rsidP="005F3903">
      <w:pPr>
        <w:pStyle w:val="SingleTxtG"/>
        <w:spacing w:before="120"/>
        <w:ind w:left="2268" w:hanging="1134"/>
        <w:rPr>
          <w:b/>
          <w:bCs/>
        </w:rPr>
      </w:pPr>
      <w:r w:rsidRPr="005F3903">
        <w:rPr>
          <w:b/>
          <w:bCs/>
        </w:rPr>
        <w:t>4.</w:t>
      </w:r>
      <w:r w:rsidRPr="005F3903">
        <w:rPr>
          <w:b/>
          <w:bCs/>
        </w:rPr>
        <w:tab/>
        <w:t>Limites d’installation</w:t>
      </w:r>
    </w:p>
    <w:p w14:paraId="1E0B3A75" w14:textId="2BCBB260" w:rsidR="00613BD4" w:rsidRPr="005F3903" w:rsidRDefault="00613BD4" w:rsidP="005F3903">
      <w:pPr>
        <w:pStyle w:val="SingleTxtG"/>
        <w:ind w:left="2268" w:hanging="1134"/>
        <w:rPr>
          <w:b/>
          <w:bCs/>
        </w:rPr>
      </w:pPr>
      <w:r w:rsidRPr="005F3903">
        <w:rPr>
          <w:b/>
          <w:bCs/>
        </w:rPr>
        <w:t>4.1</w:t>
      </w:r>
      <w:r w:rsidRPr="005F3903">
        <w:rPr>
          <w:b/>
          <w:bCs/>
        </w:rPr>
        <w:tab/>
        <w:t>Autres recommandations/limitations (messages et signaux de sortie requis par le TPMS pour que le véhicule satisfasse aux prescriptions de fonctionnement énoncées aux paragraphes</w:t>
      </w:r>
      <w:r w:rsidR="005F3903">
        <w:rPr>
          <w:b/>
          <w:bCs/>
        </w:rPr>
        <w:t> </w:t>
      </w:r>
      <w:r w:rsidRPr="005F3903">
        <w:rPr>
          <w:b/>
          <w:bCs/>
        </w:rPr>
        <w:t>5.1.2 à 5.6 du présent Règlement ainsi qu’aux prescriptions d’essai (crevaison, défaut d’étanchéité et défaut de fonctionnement) énoncées dans l’annexe</w:t>
      </w:r>
      <w:r w:rsidR="00FD257B">
        <w:rPr>
          <w:b/>
          <w:bCs/>
        </w:rPr>
        <w:t> </w:t>
      </w:r>
      <w:r w:rsidRPr="005F3903">
        <w:rPr>
          <w:b/>
          <w:bCs/>
        </w:rPr>
        <w:t>3 de ce Règlement en ce qui concerne, par exemple, la vitesse du véhicule)</w:t>
      </w:r>
    </w:p>
    <w:p w14:paraId="2FCE4AFC" w14:textId="7BB6316C" w:rsidR="00613BD4" w:rsidRPr="005F3903" w:rsidRDefault="00613BD4" w:rsidP="005F3903">
      <w:pPr>
        <w:pStyle w:val="SingleTxtG"/>
        <w:ind w:left="2268" w:hanging="1134"/>
        <w:rPr>
          <w:b/>
          <w:bCs/>
        </w:rPr>
      </w:pPr>
      <w:r w:rsidRPr="005F3903">
        <w:rPr>
          <w:b/>
          <w:bCs/>
        </w:rPr>
        <w:t>4.2</w:t>
      </w:r>
      <w:r w:rsidRPr="005F3903">
        <w:rPr>
          <w:b/>
          <w:bCs/>
        </w:rPr>
        <w:tab/>
        <w:t>Autres recommandations/limitations (messages et signaux de sortie requis par le TPRS/CTIS pour que le véhicule satisfasse aux prescriptions de fonctionnement énoncées aux paragraphes</w:t>
      </w:r>
      <w:r w:rsidR="005F3903">
        <w:rPr>
          <w:b/>
          <w:bCs/>
        </w:rPr>
        <w:t> </w:t>
      </w:r>
      <w:r w:rsidRPr="005F3903">
        <w:rPr>
          <w:b/>
          <w:bCs/>
        </w:rPr>
        <w:t>5.1.2 à 5.6 du présent Règlement ainsi qu’aux prescriptions d’essai (crevaison, défaut d’étanchéité et défaut de fonctionnement) énoncées dans l’annexe</w:t>
      </w:r>
      <w:r w:rsidR="005F3903">
        <w:rPr>
          <w:b/>
          <w:bCs/>
        </w:rPr>
        <w:t> </w:t>
      </w:r>
      <w:r w:rsidRPr="005F3903">
        <w:rPr>
          <w:b/>
          <w:bCs/>
        </w:rPr>
        <w:t>4 de ce Règlement en ce qui concerne, par exemple, la vitesse du véhicule)</w:t>
      </w:r>
    </w:p>
    <w:p w14:paraId="181F6D08" w14:textId="77777777" w:rsidR="00613BD4" w:rsidRPr="005F3903" w:rsidRDefault="00613BD4" w:rsidP="005F3903">
      <w:pPr>
        <w:pStyle w:val="SingleTxtG"/>
        <w:ind w:left="2268" w:hanging="1134"/>
        <w:rPr>
          <w:b/>
          <w:bCs/>
        </w:rPr>
      </w:pPr>
      <w:r w:rsidRPr="005F3903">
        <w:rPr>
          <w:b/>
          <w:bCs/>
        </w:rPr>
        <w:t>5.</w:t>
      </w:r>
      <w:r w:rsidRPr="005F3903">
        <w:rPr>
          <w:b/>
          <w:bCs/>
        </w:rPr>
        <w:tab/>
        <w:t>Date des essais</w:t>
      </w:r>
    </w:p>
    <w:p w14:paraId="08A68A53" w14:textId="70FC4778" w:rsidR="00613BD4" w:rsidRPr="005F3903" w:rsidRDefault="00613BD4" w:rsidP="005F3903">
      <w:pPr>
        <w:pStyle w:val="SingleTxtG"/>
        <w:ind w:left="2268" w:hanging="1134"/>
        <w:rPr>
          <w:b/>
          <w:bCs/>
        </w:rPr>
      </w:pPr>
      <w:r w:rsidRPr="005F3903">
        <w:rPr>
          <w:b/>
          <w:bCs/>
        </w:rPr>
        <w:t>6.</w:t>
      </w:r>
      <w:r w:rsidRPr="005F3903">
        <w:rPr>
          <w:b/>
          <w:bCs/>
        </w:rPr>
        <w:tab/>
        <w:t>Ces essais ont été effectués et leurs résultats ont été consignés conformément aux dispositions de l’annexe</w:t>
      </w:r>
      <w:r w:rsidR="005F3903">
        <w:rPr>
          <w:b/>
          <w:bCs/>
        </w:rPr>
        <w:t> </w:t>
      </w:r>
      <w:r w:rsidRPr="005F3903">
        <w:rPr>
          <w:b/>
          <w:bCs/>
        </w:rPr>
        <w:t>6 du Règlement ONU n</w:t>
      </w:r>
      <w:r w:rsidRPr="005F3903">
        <w:rPr>
          <w:b/>
          <w:bCs/>
          <w:vertAlign w:val="superscript"/>
        </w:rPr>
        <w:t>o</w:t>
      </w:r>
      <w:r w:rsidRPr="005F3903">
        <w:rPr>
          <w:b/>
          <w:bCs/>
        </w:rPr>
        <w:t> 141 tel que modifié par la série</w:t>
      </w:r>
      <w:r w:rsidR="005F3903">
        <w:rPr>
          <w:b/>
          <w:bCs/>
        </w:rPr>
        <w:t> </w:t>
      </w:r>
      <w:r w:rsidRPr="005F3903">
        <w:rPr>
          <w:b/>
          <w:bCs/>
        </w:rPr>
        <w:t>01 d’amendements.</w:t>
      </w:r>
    </w:p>
    <w:p w14:paraId="78155164" w14:textId="77777777" w:rsidR="00613BD4" w:rsidRPr="005F3903" w:rsidRDefault="00613BD4" w:rsidP="005F3903">
      <w:pPr>
        <w:pStyle w:val="SingleTxtG"/>
        <w:ind w:left="2268" w:hanging="1134"/>
        <w:rPr>
          <w:b/>
          <w:bCs/>
        </w:rPr>
      </w:pPr>
      <w:r w:rsidRPr="005F3903">
        <w:rPr>
          <w:b/>
          <w:bCs/>
        </w:rPr>
        <w:t>7.</w:t>
      </w:r>
      <w:r w:rsidRPr="005F3903">
        <w:rPr>
          <w:b/>
          <w:bCs/>
        </w:rPr>
        <w:tab/>
        <w:t>Service technique chargé des essais</w:t>
      </w:r>
    </w:p>
    <w:p w14:paraId="64E04EDB" w14:textId="011BA4A4" w:rsidR="00613BD4" w:rsidRDefault="00613BD4" w:rsidP="005F3903">
      <w:pPr>
        <w:pStyle w:val="SingleTxtG"/>
        <w:ind w:left="3402" w:hanging="1134"/>
        <w:rPr>
          <w:b/>
          <w:bCs/>
        </w:rPr>
      </w:pPr>
      <w:r w:rsidRPr="005F3903">
        <w:rPr>
          <w:b/>
          <w:bCs/>
        </w:rPr>
        <w:t>Signature</w:t>
      </w:r>
      <w:r w:rsidR="005F3903">
        <w:rPr>
          <w:b/>
          <w:bCs/>
        </w:rPr>
        <w:t> </w:t>
      </w:r>
      <w:r w:rsidRPr="005F3903">
        <w:rPr>
          <w:b/>
          <w:bCs/>
        </w:rPr>
        <w:t>: ................................... Date</w:t>
      </w:r>
      <w:r w:rsidR="002741AD">
        <w:rPr>
          <w:b/>
          <w:bCs/>
        </w:rPr>
        <w:t> </w:t>
      </w:r>
      <w:r w:rsidRPr="005F3903">
        <w:rPr>
          <w:b/>
          <w:bCs/>
        </w:rPr>
        <w:t>: ................................</w:t>
      </w:r>
    </w:p>
    <w:p w14:paraId="31924EE8" w14:textId="2DDF9F97" w:rsidR="00E90EA6" w:rsidRDefault="00E90EA6" w:rsidP="005F3903">
      <w:pPr>
        <w:pStyle w:val="SingleTxtG"/>
        <w:ind w:left="3402" w:hanging="1134"/>
        <w:rPr>
          <w:b/>
          <w:bCs/>
        </w:rPr>
      </w:pPr>
      <w:r>
        <w:rPr>
          <w:b/>
          <w:bCs/>
        </w:rPr>
        <w:br w:type="page"/>
      </w:r>
    </w:p>
    <w:p w14:paraId="0C3E0632" w14:textId="0EE9C199" w:rsidR="00613BD4" w:rsidRPr="00A511B3" w:rsidRDefault="00613BD4" w:rsidP="00E90EA6">
      <w:pPr>
        <w:pStyle w:val="HChG"/>
        <w:rPr>
          <w:sz w:val="36"/>
          <w:szCs w:val="36"/>
        </w:rPr>
      </w:pPr>
      <w:r w:rsidRPr="00A511B3">
        <w:t>Annexe</w:t>
      </w:r>
      <w:r w:rsidR="00FD257B">
        <w:t> </w:t>
      </w:r>
      <w:r w:rsidRPr="00A511B3">
        <w:t>8</w:t>
      </w:r>
    </w:p>
    <w:p w14:paraId="42806F73" w14:textId="413A4AE4" w:rsidR="00613BD4" w:rsidRPr="00A511B3" w:rsidRDefault="00E90EA6" w:rsidP="00E90EA6">
      <w:pPr>
        <w:pStyle w:val="HChG"/>
        <w:rPr>
          <w:spacing w:val="-1"/>
        </w:rPr>
      </w:pPr>
      <w:r>
        <w:tab/>
      </w:r>
      <w:r>
        <w:tab/>
      </w:r>
      <w:r w:rsidR="00613BD4" w:rsidRPr="00353B52">
        <w:t>Procédure de remplacement pour l</w:t>
      </w:r>
      <w:r w:rsidR="00613BD4">
        <w:t>’</w:t>
      </w:r>
      <w:r w:rsidR="00613BD4" w:rsidRPr="00353B52">
        <w:t>homologation d</w:t>
      </w:r>
      <w:r w:rsidR="00613BD4">
        <w:t>e</w:t>
      </w:r>
      <w:r w:rsidR="00613BD4" w:rsidRPr="00353B52">
        <w:t xml:space="preserve"> type d</w:t>
      </w:r>
      <w:r w:rsidR="00613BD4">
        <w:t>’une</w:t>
      </w:r>
      <w:r w:rsidR="00613BD4" w:rsidRPr="00353B52">
        <w:t xml:space="preserve"> remorque considérée</w:t>
      </w:r>
    </w:p>
    <w:p w14:paraId="54406CF6" w14:textId="77777777" w:rsidR="00613BD4" w:rsidRPr="00E90EA6" w:rsidRDefault="00613BD4" w:rsidP="00E90EA6">
      <w:pPr>
        <w:pStyle w:val="SingleTxtG"/>
        <w:ind w:left="2268" w:hanging="1134"/>
        <w:rPr>
          <w:b/>
          <w:bCs/>
        </w:rPr>
      </w:pPr>
      <w:r w:rsidRPr="00E90EA6">
        <w:rPr>
          <w:b/>
          <w:bCs/>
        </w:rPr>
        <w:t>1.</w:t>
      </w:r>
      <w:r w:rsidRPr="00E90EA6">
        <w:rPr>
          <w:b/>
          <w:bCs/>
        </w:rPr>
        <w:tab/>
        <w:t>Généralités</w:t>
      </w:r>
    </w:p>
    <w:p w14:paraId="46A0FF92" w14:textId="0AAC82F3" w:rsidR="00613BD4" w:rsidRPr="00E90EA6" w:rsidRDefault="00613BD4" w:rsidP="00E90EA6">
      <w:pPr>
        <w:pStyle w:val="SingleTxtG"/>
        <w:ind w:left="2268" w:hanging="1134"/>
        <w:rPr>
          <w:b/>
          <w:bCs/>
        </w:rPr>
      </w:pPr>
      <w:r w:rsidRPr="00E90EA6">
        <w:rPr>
          <w:b/>
          <w:bCs/>
        </w:rPr>
        <w:t>1.1</w:t>
      </w:r>
      <w:r w:rsidRPr="00E90EA6">
        <w:rPr>
          <w:b/>
          <w:bCs/>
        </w:rPr>
        <w:tab/>
        <w:t>La présente annexe définit une procédure de remplacement pour l’homologation de type des remorques en ce qui concerne leur système de surveillance de la pression des pneumatiques (TPMS)/système de regonflage des pneumatiques (TPRS)/système central de gonflage des pneumatiques (CTIS), sur la base des informations issues des procès</w:t>
      </w:r>
      <w:r w:rsidR="00FD257B">
        <w:rPr>
          <w:b/>
          <w:bCs/>
        </w:rPr>
        <w:noBreakHyphen/>
      </w:r>
      <w:r w:rsidRPr="00E90EA6">
        <w:rPr>
          <w:b/>
          <w:bCs/>
        </w:rPr>
        <w:t>verbaux d’essai délivrés en application de l’appendice</w:t>
      </w:r>
      <w:r w:rsidR="00E90EA6">
        <w:rPr>
          <w:b/>
          <w:bCs/>
        </w:rPr>
        <w:t> </w:t>
      </w:r>
      <w:r w:rsidRPr="00E90EA6">
        <w:rPr>
          <w:b/>
          <w:bCs/>
        </w:rPr>
        <w:t>3 ou 4 de l’annexe 7 du présent Règlement.</w:t>
      </w:r>
    </w:p>
    <w:p w14:paraId="29795497" w14:textId="030E8987" w:rsidR="00613BD4" w:rsidRPr="00E90EA6" w:rsidRDefault="00613BD4" w:rsidP="00E90EA6">
      <w:pPr>
        <w:pStyle w:val="SingleTxtG"/>
        <w:ind w:left="2268" w:hanging="1134"/>
        <w:rPr>
          <w:b/>
          <w:bCs/>
        </w:rPr>
      </w:pPr>
      <w:r w:rsidRPr="00E90EA6">
        <w:rPr>
          <w:b/>
          <w:bCs/>
        </w:rPr>
        <w:t>1.2</w:t>
      </w:r>
      <w:r w:rsidRPr="00E90EA6">
        <w:rPr>
          <w:b/>
          <w:bCs/>
        </w:rPr>
        <w:tab/>
        <w:t>À l’achèvement des procédures de contrôle décrites dans l’annexe 3, l’autorité d’homologation de type doit délivrer un certificat d’homologation de type ONU conforme au modèle de l’annexe</w:t>
      </w:r>
      <w:r w:rsidR="00FD257B">
        <w:rPr>
          <w:b/>
          <w:bCs/>
        </w:rPr>
        <w:t> </w:t>
      </w:r>
      <w:r w:rsidRPr="00E90EA6">
        <w:rPr>
          <w:b/>
          <w:bCs/>
        </w:rPr>
        <w:t>1 du présent Règlement.</w:t>
      </w:r>
    </w:p>
    <w:p w14:paraId="2EAEE273" w14:textId="77777777" w:rsidR="00613BD4" w:rsidRPr="00E90EA6" w:rsidRDefault="00613BD4" w:rsidP="00E90EA6">
      <w:pPr>
        <w:pStyle w:val="SingleTxtG"/>
        <w:ind w:left="2268" w:hanging="1134"/>
        <w:rPr>
          <w:b/>
          <w:bCs/>
        </w:rPr>
      </w:pPr>
      <w:r w:rsidRPr="00E90EA6">
        <w:rPr>
          <w:b/>
          <w:bCs/>
        </w:rPr>
        <w:t>2.</w:t>
      </w:r>
      <w:r w:rsidRPr="00E90EA6">
        <w:rPr>
          <w:b/>
          <w:bCs/>
        </w:rPr>
        <w:tab/>
        <w:t>Demande d’homologation de type</w:t>
      </w:r>
    </w:p>
    <w:p w14:paraId="06321518" w14:textId="1C87C8EC" w:rsidR="00613BD4" w:rsidRPr="00E90EA6" w:rsidRDefault="00613BD4" w:rsidP="00E90EA6">
      <w:pPr>
        <w:pStyle w:val="SingleTxtG"/>
        <w:ind w:left="2268" w:hanging="1134"/>
        <w:rPr>
          <w:b/>
          <w:bCs/>
        </w:rPr>
      </w:pPr>
      <w:r w:rsidRPr="00E90EA6">
        <w:rPr>
          <w:b/>
          <w:bCs/>
        </w:rPr>
        <w:t>2.1</w:t>
      </w:r>
      <w:r w:rsidRPr="00E90EA6">
        <w:rPr>
          <w:b/>
          <w:bCs/>
        </w:rPr>
        <w:tab/>
        <w:t xml:space="preserve">La demande </w:t>
      </w:r>
      <w:r w:rsidRPr="000E6515">
        <w:rPr>
          <w:b/>
          <w:bCs/>
        </w:rPr>
        <w:t>d’homologation</w:t>
      </w:r>
      <w:r w:rsidRPr="00E90EA6">
        <w:rPr>
          <w:b/>
          <w:bCs/>
        </w:rPr>
        <w:t xml:space="preserve"> d’un type de remorque en ce qui concerne son TPMS/TPRS/CTIS doit être présentée par le fabricant de la remorque. Aux fins de l’homologation de type, le fabricant de la remorque doit fournir au minimum</w:t>
      </w:r>
      <w:r w:rsidR="002741AD">
        <w:rPr>
          <w:b/>
          <w:bCs/>
        </w:rPr>
        <w:t> </w:t>
      </w:r>
      <w:r w:rsidRPr="00E90EA6">
        <w:rPr>
          <w:b/>
          <w:bCs/>
        </w:rPr>
        <w:t>:</w:t>
      </w:r>
    </w:p>
    <w:p w14:paraId="4A5FFFDA" w14:textId="04303403" w:rsidR="00613BD4" w:rsidRPr="00E90EA6" w:rsidRDefault="00613BD4" w:rsidP="00E90EA6">
      <w:pPr>
        <w:pStyle w:val="SingleTxtG"/>
        <w:ind w:left="2268" w:hanging="1134"/>
        <w:rPr>
          <w:b/>
          <w:bCs/>
        </w:rPr>
      </w:pPr>
      <w:r w:rsidRPr="00E90EA6">
        <w:rPr>
          <w:b/>
          <w:bCs/>
        </w:rPr>
        <w:t>2.2</w:t>
      </w:r>
      <w:r w:rsidRPr="00E90EA6">
        <w:rPr>
          <w:b/>
          <w:bCs/>
        </w:rPr>
        <w:tab/>
        <w:t>Les procès-verbaux d’essai établis conformément à l’appendice</w:t>
      </w:r>
      <w:r w:rsidR="00E90EA6">
        <w:rPr>
          <w:b/>
          <w:bCs/>
        </w:rPr>
        <w:t> </w:t>
      </w:r>
      <w:r w:rsidRPr="00E90EA6">
        <w:rPr>
          <w:b/>
          <w:bCs/>
        </w:rPr>
        <w:t>3 ou 4 de l’annexe</w:t>
      </w:r>
      <w:r w:rsidR="00E90EA6">
        <w:rPr>
          <w:b/>
          <w:bCs/>
        </w:rPr>
        <w:t> </w:t>
      </w:r>
      <w:r w:rsidRPr="00E90EA6">
        <w:rPr>
          <w:b/>
          <w:bCs/>
        </w:rPr>
        <w:t>7 du présent Règlement par le fabricant du TPMS/TPRS/CTIS ou du module passerelle, qui confirment le fonctionnement des systèmes montés sur une remorque de référence et peuvent également servir à l’homologation d’une remorque considérée ;</w:t>
      </w:r>
    </w:p>
    <w:p w14:paraId="5FE728A2" w14:textId="33EC01E5" w:rsidR="00613BD4" w:rsidRPr="00E90EA6" w:rsidRDefault="00613BD4" w:rsidP="00E90EA6">
      <w:pPr>
        <w:pStyle w:val="SingleTxtG"/>
        <w:ind w:left="2268" w:hanging="1134"/>
        <w:rPr>
          <w:b/>
          <w:bCs/>
        </w:rPr>
      </w:pPr>
      <w:r w:rsidRPr="00E90EA6">
        <w:rPr>
          <w:b/>
          <w:bCs/>
        </w:rPr>
        <w:t>2.2.1</w:t>
      </w:r>
      <w:r w:rsidRPr="00E90EA6">
        <w:rPr>
          <w:b/>
          <w:bCs/>
        </w:rPr>
        <w:tab/>
        <w:t>Les fiches de renseignements relatives au type d’une remorque, ci-après désignée «</w:t>
      </w:r>
      <w:r w:rsidR="00E90EA6">
        <w:rPr>
          <w:b/>
          <w:bCs/>
        </w:rPr>
        <w:t> </w:t>
      </w:r>
      <w:r w:rsidRPr="00E90EA6">
        <w:rPr>
          <w:b/>
          <w:bCs/>
        </w:rPr>
        <w:t>remorque de référence</w:t>
      </w:r>
      <w:r w:rsidR="00E90EA6">
        <w:rPr>
          <w:b/>
          <w:bCs/>
        </w:rPr>
        <w:t> </w:t>
      </w:r>
      <w:r w:rsidRPr="00E90EA6">
        <w:rPr>
          <w:b/>
          <w:bCs/>
        </w:rPr>
        <w:t>»</w:t>
      </w:r>
      <w:r w:rsidRPr="00E90EA6">
        <w:rPr>
          <w:rStyle w:val="Appelnotedebasdep"/>
        </w:rPr>
        <w:footnoteReference w:id="5"/>
      </w:r>
      <w:r w:rsidRPr="00E90EA6">
        <w:rPr>
          <w:b/>
          <w:bCs/>
        </w:rPr>
        <w:t xml:space="preserve"> au sens de l’annexe 7 du présent Règlement, à laquelle le TPMS/TPRS/CTIS doit être conforme. Cette remorque doit avoir été soumise aux essais définis à l’annexe</w:t>
      </w:r>
      <w:r w:rsidR="00E90EA6">
        <w:rPr>
          <w:b/>
          <w:bCs/>
        </w:rPr>
        <w:t> </w:t>
      </w:r>
      <w:r w:rsidRPr="00E90EA6">
        <w:rPr>
          <w:b/>
          <w:bCs/>
        </w:rPr>
        <w:t>3, 4 ou 6 du présent Règlement selon le type de remorque. Une remorque homologuée en application de la procédure de remplacement définie dans la présente annexe ne peut pas être utilisée comme remorque de référence</w:t>
      </w:r>
      <w:r w:rsidR="00E90EA6">
        <w:rPr>
          <w:b/>
          <w:bCs/>
        </w:rPr>
        <w:t> </w:t>
      </w:r>
      <w:r w:rsidRPr="00E90EA6">
        <w:rPr>
          <w:b/>
          <w:bCs/>
        </w:rPr>
        <w:t>;</w:t>
      </w:r>
    </w:p>
    <w:p w14:paraId="420EB1E8" w14:textId="3AC1F668" w:rsidR="00613BD4" w:rsidRPr="00E90EA6" w:rsidRDefault="00613BD4" w:rsidP="00E90EA6">
      <w:pPr>
        <w:pStyle w:val="SingleTxtG"/>
        <w:ind w:left="2268" w:hanging="1134"/>
        <w:rPr>
          <w:b/>
          <w:bCs/>
        </w:rPr>
      </w:pPr>
      <w:r w:rsidRPr="00E90EA6">
        <w:rPr>
          <w:b/>
          <w:bCs/>
        </w:rPr>
        <w:t>2.2.2</w:t>
      </w:r>
      <w:r w:rsidRPr="00E90EA6">
        <w:rPr>
          <w:b/>
          <w:bCs/>
        </w:rPr>
        <w:tab/>
        <w:t>Une remorque, représentative du type à homologuer, ci-après désignée «</w:t>
      </w:r>
      <w:r w:rsidR="00E90EA6">
        <w:rPr>
          <w:b/>
          <w:bCs/>
        </w:rPr>
        <w:t> </w:t>
      </w:r>
      <w:r w:rsidRPr="00E90EA6">
        <w:rPr>
          <w:b/>
          <w:bCs/>
        </w:rPr>
        <w:t>remorque considérée</w:t>
      </w:r>
      <w:r w:rsidR="00E90EA6">
        <w:rPr>
          <w:b/>
          <w:bCs/>
        </w:rPr>
        <w:t> </w:t>
      </w:r>
      <w:r w:rsidRPr="00E90EA6">
        <w:rPr>
          <w:b/>
          <w:bCs/>
        </w:rPr>
        <w:t>».</w:t>
      </w:r>
    </w:p>
    <w:p w14:paraId="48CBF011" w14:textId="77777777" w:rsidR="00613BD4" w:rsidRPr="00E90EA6" w:rsidRDefault="00613BD4" w:rsidP="00E90EA6">
      <w:pPr>
        <w:pStyle w:val="SingleTxtG"/>
        <w:ind w:left="2268" w:hanging="1134"/>
        <w:rPr>
          <w:b/>
          <w:bCs/>
        </w:rPr>
      </w:pPr>
      <w:r w:rsidRPr="00E90EA6">
        <w:rPr>
          <w:b/>
          <w:bCs/>
        </w:rPr>
        <w:t>3.</w:t>
      </w:r>
      <w:r w:rsidRPr="00E90EA6">
        <w:rPr>
          <w:b/>
          <w:bCs/>
        </w:rPr>
        <w:tab/>
        <w:t>Vérification</w:t>
      </w:r>
    </w:p>
    <w:p w14:paraId="52C58D66" w14:textId="21A26938" w:rsidR="00613BD4" w:rsidRPr="00E90EA6" w:rsidRDefault="00613BD4" w:rsidP="00E90EA6">
      <w:pPr>
        <w:pStyle w:val="SingleTxtG"/>
        <w:ind w:left="2268" w:hanging="1134"/>
        <w:rPr>
          <w:b/>
          <w:bCs/>
        </w:rPr>
      </w:pPr>
      <w:r w:rsidRPr="00E90EA6">
        <w:rPr>
          <w:b/>
          <w:bCs/>
        </w:rPr>
        <w:t>3.1</w:t>
      </w:r>
      <w:r w:rsidRPr="00E90EA6">
        <w:rPr>
          <w:b/>
          <w:bCs/>
        </w:rPr>
        <w:tab/>
        <w:t>Les prescriptions de l’annexe</w:t>
      </w:r>
      <w:r w:rsidR="00E90EA6">
        <w:rPr>
          <w:b/>
          <w:bCs/>
        </w:rPr>
        <w:t> </w:t>
      </w:r>
      <w:r w:rsidRPr="00E90EA6">
        <w:rPr>
          <w:b/>
          <w:bCs/>
        </w:rPr>
        <w:t>3, 4 ou 6 sont réputées satisfaites lorsque la configuration de la remorque considérée</w:t>
      </w:r>
      <w:r w:rsidR="002741AD">
        <w:rPr>
          <w:b/>
          <w:bCs/>
        </w:rPr>
        <w:t xml:space="preserve"> </w:t>
      </w:r>
      <w:r w:rsidRPr="00E90EA6">
        <w:rPr>
          <w:b/>
          <w:bCs/>
        </w:rPr>
        <w:t>répond aux critères suivants</w:t>
      </w:r>
      <w:r w:rsidR="00E90EA6">
        <w:rPr>
          <w:b/>
          <w:bCs/>
        </w:rPr>
        <w:t> </w:t>
      </w:r>
      <w:r w:rsidRPr="00E90EA6">
        <w:rPr>
          <w:b/>
          <w:bCs/>
        </w:rPr>
        <w:t>:</w:t>
      </w:r>
    </w:p>
    <w:p w14:paraId="7FCE57FE" w14:textId="464FCA31" w:rsidR="00613BD4" w:rsidRPr="00E90EA6" w:rsidRDefault="00613BD4" w:rsidP="00E90EA6">
      <w:pPr>
        <w:pStyle w:val="SingleTxtG"/>
        <w:ind w:left="2268" w:hanging="1134"/>
        <w:rPr>
          <w:b/>
          <w:bCs/>
        </w:rPr>
      </w:pPr>
      <w:r w:rsidRPr="00E90EA6">
        <w:rPr>
          <w:b/>
          <w:bCs/>
        </w:rPr>
        <w:t>3.1.1</w:t>
      </w:r>
      <w:r w:rsidRPr="00E90EA6">
        <w:rPr>
          <w:b/>
          <w:bCs/>
        </w:rPr>
        <w:tab/>
        <w:t>La configuration de la remorque considérée est conforme à l’une des configurations visées dans le procès-verbal d’essai en ce qui concerne le nombre d’essieux, le nombre de pneumatiques et la position des essieux relevables</w:t>
      </w:r>
      <w:r w:rsidR="00E90EA6">
        <w:rPr>
          <w:b/>
          <w:bCs/>
        </w:rPr>
        <w:t> </w:t>
      </w:r>
      <w:r w:rsidRPr="00E90EA6">
        <w:rPr>
          <w:b/>
          <w:bCs/>
        </w:rPr>
        <w:t>;</w:t>
      </w:r>
    </w:p>
    <w:p w14:paraId="2A12B897" w14:textId="7E0C950F" w:rsidR="00613BD4" w:rsidRPr="00E90EA6" w:rsidRDefault="00613BD4" w:rsidP="00E90EA6">
      <w:pPr>
        <w:pStyle w:val="SingleTxtG"/>
        <w:ind w:left="2268" w:hanging="1134"/>
        <w:rPr>
          <w:b/>
          <w:bCs/>
        </w:rPr>
      </w:pPr>
      <w:r w:rsidRPr="00E90EA6">
        <w:rPr>
          <w:b/>
          <w:bCs/>
        </w:rPr>
        <w:t>3.1.2</w:t>
      </w:r>
      <w:r w:rsidRPr="00E90EA6">
        <w:rPr>
          <w:b/>
          <w:bCs/>
        </w:rPr>
        <w:tab/>
        <w:t>La plage de pression nominale autorisée est comprise dans la plage de la remorque de référence</w:t>
      </w:r>
      <w:r w:rsidR="00E90EA6">
        <w:rPr>
          <w:b/>
          <w:bCs/>
        </w:rPr>
        <w:t> </w:t>
      </w:r>
      <w:r w:rsidRPr="00E90EA6">
        <w:rPr>
          <w:b/>
          <w:bCs/>
        </w:rPr>
        <w:t>;</w:t>
      </w:r>
    </w:p>
    <w:p w14:paraId="2B404283" w14:textId="30C4697A" w:rsidR="00613BD4" w:rsidRPr="00FD257B" w:rsidRDefault="00613BD4" w:rsidP="00E90EA6">
      <w:pPr>
        <w:pStyle w:val="SingleTxtG"/>
        <w:ind w:left="2268" w:hanging="1134"/>
        <w:rPr>
          <w:rFonts w:ascii="Times New Roman Gras" w:hAnsi="Times New Roman Gras"/>
          <w:b/>
          <w:bCs/>
          <w:spacing w:val="-1"/>
        </w:rPr>
      </w:pPr>
      <w:r w:rsidRPr="00FD257B">
        <w:rPr>
          <w:rFonts w:ascii="Times New Roman Gras" w:hAnsi="Times New Roman Gras"/>
          <w:b/>
          <w:bCs/>
          <w:spacing w:val="-1"/>
        </w:rPr>
        <w:t>3.1.3</w:t>
      </w:r>
      <w:r w:rsidRPr="00FD257B">
        <w:rPr>
          <w:rFonts w:ascii="Times New Roman Gras" w:hAnsi="Times New Roman Gras"/>
          <w:b/>
          <w:bCs/>
          <w:spacing w:val="-1"/>
        </w:rPr>
        <w:tab/>
        <w:t>L’installation ou l’intégration et le</w:t>
      </w:r>
      <w:r w:rsidR="002741AD" w:rsidRPr="00FD257B">
        <w:rPr>
          <w:rFonts w:ascii="Times New Roman Gras" w:hAnsi="Times New Roman Gras"/>
          <w:b/>
          <w:bCs/>
          <w:spacing w:val="-1"/>
        </w:rPr>
        <w:t xml:space="preserve"> </w:t>
      </w:r>
      <w:r w:rsidRPr="00FD257B">
        <w:rPr>
          <w:rFonts w:ascii="Times New Roman Gras" w:hAnsi="Times New Roman Gras"/>
          <w:b/>
          <w:bCs/>
          <w:spacing w:val="-1"/>
        </w:rPr>
        <w:t>paramétrage du TPMS/TPRS/CTIS et du module passerelle conforme à la norme ISO 11992-2 (le cas échéant) sur la remorque considérée sont conformes aux limites d’installation ou d’intégration et de</w:t>
      </w:r>
      <w:r w:rsidR="002741AD" w:rsidRPr="00FD257B">
        <w:rPr>
          <w:rFonts w:ascii="Times New Roman Gras" w:hAnsi="Times New Roman Gras"/>
          <w:b/>
          <w:bCs/>
          <w:spacing w:val="-1"/>
        </w:rPr>
        <w:t xml:space="preserve"> </w:t>
      </w:r>
      <w:r w:rsidRPr="00FD257B">
        <w:rPr>
          <w:rFonts w:ascii="Times New Roman Gras" w:hAnsi="Times New Roman Gras"/>
          <w:b/>
          <w:bCs/>
          <w:spacing w:val="-1"/>
        </w:rPr>
        <w:t>paramétrage spécifiées pour la remorque de référence ;</w:t>
      </w:r>
    </w:p>
    <w:p w14:paraId="5B446445" w14:textId="36761612" w:rsidR="00613BD4" w:rsidRPr="00E90EA6" w:rsidRDefault="00613BD4" w:rsidP="00E90EA6">
      <w:pPr>
        <w:pStyle w:val="SingleTxtG"/>
        <w:ind w:left="2268" w:hanging="1134"/>
        <w:rPr>
          <w:b/>
          <w:bCs/>
        </w:rPr>
      </w:pPr>
      <w:r w:rsidRPr="00E90EA6">
        <w:rPr>
          <w:b/>
          <w:bCs/>
        </w:rPr>
        <w:t>3.1.4</w:t>
      </w:r>
      <w:r w:rsidRPr="00E90EA6">
        <w:rPr>
          <w:b/>
          <w:bCs/>
        </w:rPr>
        <w:tab/>
        <w:t>Des fiches de renseignements concernant la remorque considérée, établies conformément aux appendices</w:t>
      </w:r>
      <w:r w:rsidR="00FD257B">
        <w:rPr>
          <w:b/>
          <w:bCs/>
        </w:rPr>
        <w:t> </w:t>
      </w:r>
      <w:r w:rsidRPr="00E90EA6">
        <w:rPr>
          <w:b/>
          <w:bCs/>
        </w:rPr>
        <w:t>1 et 2 de la présente annexe, ont été versées au dossier.</w:t>
      </w:r>
    </w:p>
    <w:p w14:paraId="69C78C3F" w14:textId="77777777" w:rsidR="00613BD4" w:rsidRPr="00E90EA6" w:rsidRDefault="00613BD4" w:rsidP="00E90EA6">
      <w:pPr>
        <w:pStyle w:val="SingleTxtG"/>
        <w:ind w:left="2268" w:hanging="1134"/>
        <w:rPr>
          <w:b/>
          <w:bCs/>
        </w:rPr>
      </w:pPr>
      <w:r w:rsidRPr="00E90EA6">
        <w:rPr>
          <w:b/>
          <w:bCs/>
        </w:rPr>
        <w:t>4.</w:t>
      </w:r>
      <w:r w:rsidRPr="00E90EA6">
        <w:rPr>
          <w:b/>
          <w:bCs/>
        </w:rPr>
        <w:tab/>
        <w:t>Généralités</w:t>
      </w:r>
    </w:p>
    <w:p w14:paraId="275C3D48" w14:textId="618336C3" w:rsidR="00613BD4" w:rsidRPr="00E90EA6" w:rsidRDefault="00613BD4" w:rsidP="00E90EA6">
      <w:pPr>
        <w:pStyle w:val="SingleTxtG"/>
        <w:ind w:left="2268" w:hanging="1134"/>
        <w:rPr>
          <w:b/>
          <w:bCs/>
        </w:rPr>
      </w:pPr>
      <w:r w:rsidRPr="00E90EA6">
        <w:rPr>
          <w:b/>
          <w:bCs/>
        </w:rPr>
        <w:t>4.1</w:t>
      </w:r>
      <w:r w:rsidRPr="00E90EA6">
        <w:rPr>
          <w:b/>
          <w:bCs/>
        </w:rPr>
        <w:tab/>
        <w:t>Au moment de l’homologation de type, l’autorité d’homologation de type peut renoncer à mettre une remorque à l’essai en application de l’annexe</w:t>
      </w:r>
      <w:r w:rsidR="00E90EA6">
        <w:rPr>
          <w:b/>
          <w:bCs/>
        </w:rPr>
        <w:t> </w:t>
      </w:r>
      <w:r w:rsidRPr="00E90EA6">
        <w:rPr>
          <w:b/>
          <w:bCs/>
        </w:rPr>
        <w:t>3 ou 4 du présent Règlement à condition que le système de surveillance de la pression des pneumatiques (TPMS) soit conforme aux prescriptions de l’annexe</w:t>
      </w:r>
      <w:r w:rsidR="00E90EA6">
        <w:rPr>
          <w:b/>
          <w:bCs/>
        </w:rPr>
        <w:t> </w:t>
      </w:r>
      <w:r w:rsidRPr="00E90EA6">
        <w:rPr>
          <w:b/>
          <w:bCs/>
        </w:rPr>
        <w:t>3 ou que le système de regonflage des pneumatiques (TPRS) ou le système central de gonflage des pneumatiques (CTIS) soit conforme aux prescriptions de l’annexe</w:t>
      </w:r>
      <w:r w:rsidR="00E90EA6">
        <w:rPr>
          <w:b/>
          <w:bCs/>
        </w:rPr>
        <w:t> </w:t>
      </w:r>
      <w:r w:rsidRPr="00E90EA6">
        <w:rPr>
          <w:b/>
          <w:bCs/>
        </w:rPr>
        <w:t>4 et, le cas échéant, que le module passerelle soit conforme aux prescriptions de l’annexe</w:t>
      </w:r>
      <w:r w:rsidR="00E90EA6">
        <w:rPr>
          <w:b/>
          <w:bCs/>
        </w:rPr>
        <w:t> </w:t>
      </w:r>
      <w:r w:rsidRPr="00E90EA6">
        <w:rPr>
          <w:b/>
          <w:bCs/>
        </w:rPr>
        <w:t>6.</w:t>
      </w:r>
    </w:p>
    <w:p w14:paraId="18A7B851" w14:textId="1AB7CED1" w:rsidR="00613BD4" w:rsidRDefault="00613BD4" w:rsidP="00E90EA6">
      <w:pPr>
        <w:pStyle w:val="SingleTxtG"/>
        <w:ind w:left="2268" w:hanging="1134"/>
        <w:rPr>
          <w:b/>
          <w:bCs/>
        </w:rPr>
      </w:pPr>
      <w:r w:rsidRPr="00E90EA6">
        <w:rPr>
          <w:b/>
          <w:bCs/>
        </w:rPr>
        <w:t>5.</w:t>
      </w:r>
      <w:r w:rsidRPr="00E90EA6">
        <w:rPr>
          <w:b/>
          <w:bCs/>
        </w:rPr>
        <w:tab/>
        <w:t>Contrôle des limites d’installation (conformément au paragraphe</w:t>
      </w:r>
      <w:r w:rsidR="00E90EA6">
        <w:rPr>
          <w:b/>
          <w:bCs/>
        </w:rPr>
        <w:t> </w:t>
      </w:r>
      <w:r w:rsidRPr="00E90EA6">
        <w:rPr>
          <w:b/>
          <w:bCs/>
        </w:rPr>
        <w:t>2.3 de l’appendice</w:t>
      </w:r>
      <w:r w:rsidR="00E90EA6">
        <w:rPr>
          <w:b/>
          <w:bCs/>
        </w:rPr>
        <w:t> </w:t>
      </w:r>
      <w:r w:rsidRPr="00E90EA6">
        <w:rPr>
          <w:b/>
          <w:bCs/>
        </w:rPr>
        <w:t>1 et de l’appendice</w:t>
      </w:r>
      <w:r w:rsidR="00E90EA6">
        <w:rPr>
          <w:b/>
          <w:bCs/>
        </w:rPr>
        <w:t> </w:t>
      </w:r>
      <w:r w:rsidRPr="00E90EA6">
        <w:rPr>
          <w:b/>
          <w:bCs/>
        </w:rPr>
        <w:t>2 de l’annexe</w:t>
      </w:r>
      <w:r w:rsidR="00E90EA6">
        <w:rPr>
          <w:b/>
          <w:bCs/>
        </w:rPr>
        <w:t> </w:t>
      </w:r>
      <w:r w:rsidRPr="00E90EA6">
        <w:rPr>
          <w:b/>
          <w:bCs/>
        </w:rPr>
        <w:t>7 du présent Règlement, le</w:t>
      </w:r>
      <w:r w:rsidR="00FD257B">
        <w:rPr>
          <w:b/>
          <w:bCs/>
        </w:rPr>
        <w:t> </w:t>
      </w:r>
      <w:r w:rsidRPr="00E90EA6">
        <w:rPr>
          <w:b/>
          <w:bCs/>
        </w:rPr>
        <w:t>cas échéant).</w:t>
      </w:r>
    </w:p>
    <w:p w14:paraId="026FF131" w14:textId="47379FF6" w:rsidR="00E90EA6" w:rsidRDefault="00E90EA6" w:rsidP="00E90EA6">
      <w:pPr>
        <w:pStyle w:val="SingleTxtG"/>
        <w:ind w:left="2268" w:hanging="1134"/>
        <w:rPr>
          <w:b/>
          <w:bCs/>
        </w:rPr>
      </w:pPr>
      <w:r>
        <w:rPr>
          <w:b/>
          <w:bCs/>
        </w:rPr>
        <w:br w:type="page"/>
      </w:r>
    </w:p>
    <w:p w14:paraId="7556C800" w14:textId="12A7A317" w:rsidR="00613BD4" w:rsidRPr="00A511B3" w:rsidRDefault="00613BD4" w:rsidP="00E90EA6">
      <w:pPr>
        <w:pStyle w:val="HChG"/>
        <w:rPr>
          <w:sz w:val="36"/>
          <w:szCs w:val="36"/>
        </w:rPr>
      </w:pPr>
      <w:r w:rsidRPr="00A511B3">
        <w:t>Annexe</w:t>
      </w:r>
      <w:r w:rsidR="00E90EA6">
        <w:t> </w:t>
      </w:r>
      <w:r w:rsidRPr="00A511B3">
        <w:t>8 − Appendice</w:t>
      </w:r>
      <w:r w:rsidR="00E90EA6">
        <w:t> </w:t>
      </w:r>
      <w:r w:rsidRPr="00A511B3">
        <w:t>1</w:t>
      </w:r>
    </w:p>
    <w:p w14:paraId="1D439A45" w14:textId="5D75326B" w:rsidR="00613BD4" w:rsidRPr="00A511B3" w:rsidRDefault="00E90EA6" w:rsidP="00E90EA6">
      <w:pPr>
        <w:pStyle w:val="HChG"/>
        <w:rPr>
          <w:szCs w:val="28"/>
        </w:rPr>
      </w:pPr>
      <w:r>
        <w:tab/>
      </w:r>
      <w:r>
        <w:tab/>
      </w:r>
      <w:r w:rsidR="00613BD4" w:rsidRPr="00A511B3">
        <w:t>Fiche de renseignements concernant le système de surveillance de la pression des pneumatiques/système de regonflage des pneumatiques/système de gonflage central des</w:t>
      </w:r>
      <w:r>
        <w:t> </w:t>
      </w:r>
      <w:r w:rsidR="00613BD4" w:rsidRPr="00A511B3">
        <w:t xml:space="preserve">pneumatiques pour </w:t>
      </w:r>
      <w:r w:rsidR="00613BD4">
        <w:t>une</w:t>
      </w:r>
      <w:r w:rsidR="00613BD4" w:rsidRPr="00A511B3">
        <w:t xml:space="preserve"> remorque considérée</w:t>
      </w:r>
    </w:p>
    <w:p w14:paraId="4581FCB1" w14:textId="77777777" w:rsidR="00613BD4" w:rsidRPr="00E90EA6" w:rsidRDefault="00613BD4" w:rsidP="00E90EA6">
      <w:pPr>
        <w:pStyle w:val="SingleTxtG"/>
        <w:ind w:left="2268" w:hanging="1134"/>
        <w:rPr>
          <w:b/>
          <w:bCs/>
        </w:rPr>
      </w:pPr>
      <w:r w:rsidRPr="00E90EA6">
        <w:rPr>
          <w:b/>
          <w:bCs/>
        </w:rPr>
        <w:t>1.</w:t>
      </w:r>
      <w:r w:rsidRPr="00E90EA6">
        <w:rPr>
          <w:b/>
          <w:bCs/>
        </w:rPr>
        <w:tab/>
        <w:t>Généralités</w:t>
      </w:r>
    </w:p>
    <w:p w14:paraId="26C7F1E9" w14:textId="77777777" w:rsidR="00613BD4" w:rsidRPr="00E90EA6" w:rsidRDefault="00613BD4" w:rsidP="00E90EA6">
      <w:pPr>
        <w:pStyle w:val="SingleTxtG"/>
        <w:ind w:left="2268" w:hanging="1134"/>
        <w:rPr>
          <w:b/>
          <w:bCs/>
        </w:rPr>
      </w:pPr>
      <w:r w:rsidRPr="00E90EA6">
        <w:rPr>
          <w:b/>
          <w:bCs/>
        </w:rPr>
        <w:t>1.1</w:t>
      </w:r>
      <w:r w:rsidRPr="00E90EA6">
        <w:rPr>
          <w:b/>
          <w:bCs/>
        </w:rPr>
        <w:tab/>
        <w:t>Nom et adresse du fabricant</w:t>
      </w:r>
    </w:p>
    <w:p w14:paraId="5F9848CA" w14:textId="77777777" w:rsidR="00613BD4" w:rsidRPr="00E90EA6" w:rsidRDefault="00613BD4" w:rsidP="00E90EA6">
      <w:pPr>
        <w:pStyle w:val="SingleTxtG"/>
        <w:ind w:left="2268" w:hanging="1134"/>
        <w:rPr>
          <w:b/>
          <w:bCs/>
        </w:rPr>
      </w:pPr>
      <w:r w:rsidRPr="00E90EA6">
        <w:rPr>
          <w:b/>
          <w:bCs/>
        </w:rPr>
        <w:t>1.2</w:t>
      </w:r>
      <w:r w:rsidRPr="00E90EA6">
        <w:rPr>
          <w:b/>
          <w:bCs/>
        </w:rPr>
        <w:tab/>
        <w:t>Nom du système</w:t>
      </w:r>
    </w:p>
    <w:p w14:paraId="702D62B8" w14:textId="77777777" w:rsidR="00613BD4" w:rsidRPr="00E90EA6" w:rsidRDefault="00613BD4" w:rsidP="00E90EA6">
      <w:pPr>
        <w:pStyle w:val="SingleTxtG"/>
        <w:ind w:left="2268" w:hanging="1134"/>
        <w:rPr>
          <w:b/>
          <w:bCs/>
        </w:rPr>
      </w:pPr>
      <w:r w:rsidRPr="00E90EA6">
        <w:rPr>
          <w:b/>
          <w:bCs/>
        </w:rPr>
        <w:t>1.3</w:t>
      </w:r>
      <w:r w:rsidRPr="00E90EA6">
        <w:rPr>
          <w:b/>
          <w:bCs/>
        </w:rPr>
        <w:tab/>
        <w:t>Configuration du TPMS/TPRS/CTIS</w:t>
      </w:r>
      <w:r w:rsidRPr="00E90EA6">
        <w:rPr>
          <w:rStyle w:val="Appelnotedebasdep"/>
        </w:rPr>
        <w:footnoteReference w:id="6"/>
      </w:r>
      <w:r w:rsidRPr="00E90EA6">
        <w:rPr>
          <w:b/>
          <w:bCs/>
        </w:rPr>
        <w:t xml:space="preserve"> (par exemple la liste des composants intégrés)</w:t>
      </w:r>
    </w:p>
    <w:p w14:paraId="183117EB" w14:textId="77777777" w:rsidR="00613BD4" w:rsidRPr="00E90EA6" w:rsidRDefault="00613BD4" w:rsidP="00E90EA6">
      <w:pPr>
        <w:pStyle w:val="SingleTxtG"/>
        <w:ind w:left="2268" w:hanging="1134"/>
        <w:rPr>
          <w:b/>
          <w:bCs/>
        </w:rPr>
      </w:pPr>
      <w:r w:rsidRPr="00E90EA6">
        <w:rPr>
          <w:b/>
          <w:bCs/>
        </w:rPr>
        <w:t>2.</w:t>
      </w:r>
      <w:r w:rsidRPr="00E90EA6">
        <w:rPr>
          <w:b/>
          <w:bCs/>
        </w:rPr>
        <w:tab/>
        <w:t>Application</w:t>
      </w:r>
    </w:p>
    <w:p w14:paraId="2E6F5B94" w14:textId="337AEBFD" w:rsidR="00613BD4" w:rsidRPr="00E90EA6" w:rsidRDefault="00613BD4" w:rsidP="00E90EA6">
      <w:pPr>
        <w:pStyle w:val="SingleTxtG"/>
        <w:ind w:left="2268" w:hanging="1134"/>
        <w:rPr>
          <w:b/>
          <w:bCs/>
        </w:rPr>
      </w:pPr>
      <w:r w:rsidRPr="00E90EA6">
        <w:rPr>
          <w:b/>
          <w:bCs/>
        </w:rPr>
        <w:t>2.1</w:t>
      </w:r>
      <w:r w:rsidRPr="00E90EA6">
        <w:rPr>
          <w:b/>
          <w:bCs/>
        </w:rPr>
        <w:tab/>
        <w:t>Configuration du système</w:t>
      </w:r>
      <w:r w:rsidR="002741AD">
        <w:rPr>
          <w:b/>
          <w:bCs/>
        </w:rPr>
        <w:t xml:space="preserve"> </w:t>
      </w:r>
      <w:r w:rsidRPr="00E90EA6">
        <w:rPr>
          <w:b/>
          <w:bCs/>
        </w:rPr>
        <w:t>pour la remorque considérée</w:t>
      </w:r>
      <w:r w:rsidR="00E90EA6">
        <w:rPr>
          <w:b/>
          <w:bCs/>
        </w:rPr>
        <w:t> </w:t>
      </w:r>
      <w:r w:rsidRPr="00E90EA6">
        <w:rPr>
          <w:b/>
          <w:bCs/>
        </w:rPr>
        <w:t>:</w:t>
      </w:r>
    </w:p>
    <w:p w14:paraId="01190201" w14:textId="36D4540B" w:rsidR="00613BD4" w:rsidRPr="00E90EA6" w:rsidRDefault="00613BD4" w:rsidP="00E90EA6">
      <w:pPr>
        <w:pStyle w:val="SingleTxtG"/>
        <w:ind w:left="2835" w:hanging="567"/>
        <w:rPr>
          <w:b/>
          <w:bCs/>
        </w:rPr>
      </w:pPr>
      <w:r w:rsidRPr="00E90EA6">
        <w:rPr>
          <w:b/>
          <w:bCs/>
        </w:rPr>
        <w:t>-</w:t>
      </w:r>
      <w:r w:rsidRPr="00E90EA6">
        <w:rPr>
          <w:b/>
          <w:bCs/>
        </w:rPr>
        <w:tab/>
        <w:t>Nombre d’essieux</w:t>
      </w:r>
      <w:r w:rsidR="00E90EA6">
        <w:rPr>
          <w:b/>
          <w:bCs/>
        </w:rPr>
        <w:t> ;</w:t>
      </w:r>
    </w:p>
    <w:p w14:paraId="376E8D8C" w14:textId="7A1FA264" w:rsidR="00613BD4" w:rsidRPr="00E90EA6" w:rsidRDefault="00613BD4" w:rsidP="00E90EA6">
      <w:pPr>
        <w:pStyle w:val="SingleTxtG"/>
        <w:ind w:left="2835" w:hanging="567"/>
        <w:rPr>
          <w:b/>
          <w:bCs/>
        </w:rPr>
      </w:pPr>
      <w:r w:rsidRPr="00E90EA6">
        <w:rPr>
          <w:b/>
          <w:bCs/>
        </w:rPr>
        <w:t>-</w:t>
      </w:r>
      <w:r w:rsidRPr="00E90EA6">
        <w:rPr>
          <w:b/>
          <w:bCs/>
        </w:rPr>
        <w:tab/>
        <w:t>Emplacements des roues</w:t>
      </w:r>
      <w:r w:rsidR="00E90EA6">
        <w:rPr>
          <w:b/>
          <w:bCs/>
        </w:rPr>
        <w:t> ;</w:t>
      </w:r>
    </w:p>
    <w:p w14:paraId="2738FBA5" w14:textId="74B0609D" w:rsidR="00613BD4" w:rsidRPr="00E90EA6" w:rsidRDefault="00613BD4" w:rsidP="00E90EA6">
      <w:pPr>
        <w:pStyle w:val="SingleTxtG"/>
        <w:ind w:left="2835" w:hanging="567"/>
        <w:rPr>
          <w:b/>
          <w:bCs/>
        </w:rPr>
      </w:pPr>
      <w:r w:rsidRPr="00E90EA6">
        <w:rPr>
          <w:b/>
          <w:bCs/>
        </w:rPr>
        <w:t>-</w:t>
      </w:r>
      <w:r w:rsidRPr="00E90EA6">
        <w:rPr>
          <w:b/>
          <w:bCs/>
        </w:rPr>
        <w:tab/>
        <w:t>Position des essieux relevables</w:t>
      </w:r>
      <w:r w:rsidR="00E90EA6">
        <w:rPr>
          <w:b/>
          <w:bCs/>
        </w:rPr>
        <w:t> ;</w:t>
      </w:r>
    </w:p>
    <w:p w14:paraId="501AA855" w14:textId="25A92B05" w:rsidR="00613BD4" w:rsidRPr="00E90EA6" w:rsidRDefault="00613BD4" w:rsidP="00E90EA6">
      <w:pPr>
        <w:pStyle w:val="SingleTxtG"/>
        <w:ind w:left="2835" w:hanging="567"/>
        <w:rPr>
          <w:b/>
          <w:bCs/>
        </w:rPr>
      </w:pPr>
      <w:r w:rsidRPr="00E90EA6">
        <w:rPr>
          <w:b/>
          <w:bCs/>
        </w:rPr>
        <w:t>-</w:t>
      </w:r>
      <w:r w:rsidRPr="00E90EA6">
        <w:rPr>
          <w:b/>
          <w:bCs/>
        </w:rPr>
        <w:tab/>
        <w:t>Position du récepteur/emplacements des antennes</w:t>
      </w:r>
      <w:r w:rsidR="00E90EA6">
        <w:rPr>
          <w:b/>
          <w:bCs/>
        </w:rPr>
        <w:t> ;</w:t>
      </w:r>
    </w:p>
    <w:p w14:paraId="29B891FB" w14:textId="583BEA67" w:rsidR="00613BD4" w:rsidRPr="00E90EA6" w:rsidRDefault="00613BD4" w:rsidP="00E90EA6">
      <w:pPr>
        <w:pStyle w:val="SingleTxtG"/>
        <w:ind w:left="2835" w:hanging="567"/>
        <w:rPr>
          <w:b/>
          <w:bCs/>
        </w:rPr>
      </w:pPr>
      <w:r w:rsidRPr="00E90EA6">
        <w:rPr>
          <w:b/>
          <w:bCs/>
        </w:rPr>
        <w:t>-</w:t>
      </w:r>
      <w:r w:rsidRPr="00E90EA6">
        <w:rPr>
          <w:b/>
          <w:bCs/>
        </w:rPr>
        <w:tab/>
        <w:t>Position des capteurs</w:t>
      </w:r>
      <w:r w:rsidR="00E90EA6">
        <w:rPr>
          <w:b/>
          <w:bCs/>
        </w:rPr>
        <w:t> ;</w:t>
      </w:r>
    </w:p>
    <w:p w14:paraId="28C52081" w14:textId="7E1B80BB" w:rsidR="00613BD4" w:rsidRPr="00E90EA6" w:rsidRDefault="00613BD4" w:rsidP="00E90EA6">
      <w:pPr>
        <w:pStyle w:val="SingleTxtG"/>
        <w:ind w:left="2835" w:hanging="567"/>
        <w:rPr>
          <w:b/>
          <w:bCs/>
        </w:rPr>
      </w:pPr>
      <w:r w:rsidRPr="00E90EA6">
        <w:rPr>
          <w:b/>
          <w:bCs/>
        </w:rPr>
        <w:t>-</w:t>
      </w:r>
      <w:r w:rsidRPr="00E90EA6">
        <w:rPr>
          <w:b/>
          <w:bCs/>
        </w:rPr>
        <w:tab/>
        <w:t>Plage de pression nominale (kPa).</w:t>
      </w:r>
    </w:p>
    <w:p w14:paraId="2D7CB1EE" w14:textId="428C774B" w:rsidR="00613BD4" w:rsidRPr="00E90EA6" w:rsidRDefault="00613BD4" w:rsidP="00E90EA6">
      <w:pPr>
        <w:pStyle w:val="SingleTxtG"/>
        <w:ind w:left="2268" w:hanging="1134"/>
        <w:rPr>
          <w:b/>
          <w:bCs/>
        </w:rPr>
      </w:pPr>
      <w:r w:rsidRPr="00E90EA6">
        <w:rPr>
          <w:b/>
          <w:bCs/>
        </w:rPr>
        <w:t>2.2</w:t>
      </w:r>
      <w:r w:rsidRPr="00E90EA6">
        <w:rPr>
          <w:b/>
          <w:bCs/>
        </w:rPr>
        <w:tab/>
        <w:t>Schémas de la configuration du système installée sur la remorque, telle que définie au point</w:t>
      </w:r>
      <w:r w:rsidR="00E90EA6">
        <w:rPr>
          <w:b/>
          <w:bCs/>
        </w:rPr>
        <w:t> </w:t>
      </w:r>
      <w:r w:rsidRPr="00E90EA6">
        <w:rPr>
          <w:b/>
          <w:bCs/>
        </w:rPr>
        <w:t>2.1</w:t>
      </w:r>
    </w:p>
    <w:p w14:paraId="23C2D2BA" w14:textId="411761EB" w:rsidR="00613BD4" w:rsidRPr="00E90EA6" w:rsidRDefault="00613BD4" w:rsidP="00E90EA6">
      <w:pPr>
        <w:pStyle w:val="SingleTxtG"/>
        <w:ind w:left="2268" w:hanging="1134"/>
        <w:rPr>
          <w:b/>
          <w:bCs/>
        </w:rPr>
      </w:pPr>
      <w:r w:rsidRPr="00E90EA6">
        <w:rPr>
          <w:b/>
          <w:bCs/>
        </w:rPr>
        <w:t>2.3</w:t>
      </w:r>
      <w:r w:rsidRPr="00E90EA6">
        <w:rPr>
          <w:b/>
          <w:bCs/>
        </w:rPr>
        <w:tab/>
        <w:t>Limites d’installation/d’intégration (par exemple, messages et signaux d’entrée requis par le TPMS pour que le véhicule satisfasse aux prescriptions de fonctionnement énoncées aux paragraphes</w:t>
      </w:r>
      <w:r w:rsidR="00E90EA6">
        <w:rPr>
          <w:b/>
          <w:bCs/>
        </w:rPr>
        <w:t> </w:t>
      </w:r>
      <w:r w:rsidRPr="00E90EA6">
        <w:rPr>
          <w:b/>
          <w:bCs/>
        </w:rPr>
        <w:t>5.1.2 à 5.6 du présent Règlement ainsi qu’aux prescriptions d’essai (crevaison, défaut d’étanchéité et défaut de fonctionnement) énoncées dans l’annexe 3 de ce Règlement en ce qui concerne, par exemple, la vitesse du véhicule)</w:t>
      </w:r>
      <w:bookmarkStart w:id="1" w:name="_Hlk71120419"/>
    </w:p>
    <w:p w14:paraId="041AE631" w14:textId="77777777" w:rsidR="00613BD4" w:rsidRPr="00E90EA6" w:rsidRDefault="00613BD4" w:rsidP="00E90EA6">
      <w:pPr>
        <w:pStyle w:val="SingleTxtG"/>
        <w:ind w:left="2268" w:hanging="1134"/>
        <w:rPr>
          <w:b/>
          <w:bCs/>
        </w:rPr>
      </w:pPr>
      <w:r w:rsidRPr="00E90EA6">
        <w:rPr>
          <w:b/>
          <w:bCs/>
        </w:rPr>
        <w:t>2.4</w:t>
      </w:r>
      <w:r w:rsidRPr="00E90EA6">
        <w:rPr>
          <w:b/>
          <w:bCs/>
        </w:rPr>
        <w:tab/>
        <w:t>Renseignements complémentaires (le cas échéant) aux données concernant l’application prévue pour le TPMS/TPRS/CTIS</w:t>
      </w:r>
    </w:p>
    <w:bookmarkEnd w:id="1"/>
    <w:p w14:paraId="16FD9742" w14:textId="77777777" w:rsidR="00613BD4" w:rsidRPr="00E90EA6" w:rsidRDefault="00613BD4" w:rsidP="00E90EA6">
      <w:pPr>
        <w:pStyle w:val="SingleTxtG"/>
        <w:ind w:left="2268" w:hanging="1134"/>
        <w:rPr>
          <w:b/>
          <w:bCs/>
        </w:rPr>
      </w:pPr>
      <w:r w:rsidRPr="00E90EA6">
        <w:rPr>
          <w:b/>
          <w:bCs/>
        </w:rPr>
        <w:t>3.</w:t>
      </w:r>
      <w:r w:rsidRPr="00E90EA6">
        <w:rPr>
          <w:b/>
          <w:bCs/>
        </w:rPr>
        <w:tab/>
        <w:t>Description des composants</w:t>
      </w:r>
    </w:p>
    <w:p w14:paraId="19A06DF6" w14:textId="77777777" w:rsidR="00613BD4" w:rsidRPr="00E90EA6" w:rsidRDefault="00613BD4" w:rsidP="00E90EA6">
      <w:pPr>
        <w:pStyle w:val="SingleTxtG"/>
        <w:ind w:left="2268" w:hanging="1134"/>
        <w:rPr>
          <w:b/>
          <w:bCs/>
        </w:rPr>
      </w:pPr>
      <w:r w:rsidRPr="00E90EA6">
        <w:rPr>
          <w:b/>
          <w:bCs/>
        </w:rPr>
        <w:t>3.1</w:t>
      </w:r>
      <w:r w:rsidRPr="00E90EA6">
        <w:rPr>
          <w:b/>
          <w:bCs/>
        </w:rPr>
        <w:tab/>
        <w:t>Capteur(s)</w:t>
      </w:r>
    </w:p>
    <w:p w14:paraId="3AA72593" w14:textId="03BC03ED" w:rsidR="00613BD4" w:rsidRPr="00E90EA6" w:rsidRDefault="00613BD4" w:rsidP="00E90EA6">
      <w:pPr>
        <w:pStyle w:val="SingleTxtG"/>
        <w:ind w:left="2835" w:hanging="567"/>
        <w:rPr>
          <w:b/>
          <w:bCs/>
        </w:rPr>
      </w:pPr>
      <w:r w:rsidRPr="00E90EA6">
        <w:rPr>
          <w:b/>
          <w:bCs/>
        </w:rPr>
        <w:t>-</w:t>
      </w:r>
      <w:r w:rsidRPr="00E90EA6">
        <w:rPr>
          <w:b/>
          <w:bCs/>
        </w:rPr>
        <w:tab/>
        <w:t>Identification (par exemple</w:t>
      </w:r>
      <w:r w:rsidR="005D6904">
        <w:rPr>
          <w:b/>
          <w:bCs/>
        </w:rPr>
        <w:t>,</w:t>
      </w:r>
      <w:r w:rsidRPr="00E90EA6">
        <w:rPr>
          <w:b/>
          <w:bCs/>
        </w:rPr>
        <w:t xml:space="preserve"> numéro(s) de pièce).</w:t>
      </w:r>
    </w:p>
    <w:p w14:paraId="39593C83" w14:textId="77777777" w:rsidR="00613BD4" w:rsidRPr="00E90EA6" w:rsidRDefault="00613BD4" w:rsidP="00E90EA6">
      <w:pPr>
        <w:pStyle w:val="SingleTxtG"/>
        <w:ind w:left="2268" w:hanging="1134"/>
        <w:rPr>
          <w:b/>
          <w:bCs/>
        </w:rPr>
      </w:pPr>
      <w:r w:rsidRPr="00E90EA6">
        <w:rPr>
          <w:b/>
          <w:bCs/>
        </w:rPr>
        <w:t>3.2</w:t>
      </w:r>
      <w:r w:rsidRPr="00E90EA6">
        <w:rPr>
          <w:b/>
          <w:bCs/>
        </w:rPr>
        <w:tab/>
        <w:t>Récepteur(s)/Antenne(s)</w:t>
      </w:r>
    </w:p>
    <w:p w14:paraId="2F734BB3" w14:textId="5EEF59E3" w:rsidR="00613BD4" w:rsidRPr="00E90EA6" w:rsidRDefault="00613BD4" w:rsidP="00E90EA6">
      <w:pPr>
        <w:pStyle w:val="SingleTxtG"/>
        <w:ind w:left="2835" w:hanging="567"/>
        <w:rPr>
          <w:b/>
          <w:bCs/>
        </w:rPr>
      </w:pPr>
      <w:r w:rsidRPr="00E90EA6">
        <w:rPr>
          <w:b/>
          <w:bCs/>
        </w:rPr>
        <w:t>-</w:t>
      </w:r>
      <w:r w:rsidRPr="00E90EA6">
        <w:rPr>
          <w:b/>
          <w:bCs/>
        </w:rPr>
        <w:tab/>
        <w:t>Identification (par exemple</w:t>
      </w:r>
      <w:r w:rsidR="005D6904">
        <w:rPr>
          <w:b/>
          <w:bCs/>
        </w:rPr>
        <w:t>,</w:t>
      </w:r>
      <w:r w:rsidRPr="00E90EA6">
        <w:rPr>
          <w:b/>
          <w:bCs/>
        </w:rPr>
        <w:t xml:space="preserve"> numéro(s) de pièce).</w:t>
      </w:r>
    </w:p>
    <w:p w14:paraId="752BF142" w14:textId="1F583B8C" w:rsidR="00613BD4" w:rsidRPr="00E90EA6" w:rsidRDefault="00613BD4" w:rsidP="00E90EA6">
      <w:pPr>
        <w:pStyle w:val="SingleTxtG"/>
        <w:ind w:left="2268" w:hanging="1134"/>
        <w:rPr>
          <w:b/>
          <w:bCs/>
        </w:rPr>
      </w:pPr>
      <w:r w:rsidRPr="00E90EA6">
        <w:rPr>
          <w:b/>
          <w:bCs/>
        </w:rPr>
        <w:t>3.3</w:t>
      </w:r>
      <w:r w:rsidRPr="00E90EA6">
        <w:rPr>
          <w:b/>
          <w:bCs/>
        </w:rPr>
        <w:tab/>
        <w:t>Équipement électrique</w:t>
      </w:r>
    </w:p>
    <w:p w14:paraId="31D36C03" w14:textId="7E6845BB" w:rsidR="00613BD4" w:rsidRPr="00E90EA6" w:rsidRDefault="00613BD4" w:rsidP="00E90EA6">
      <w:pPr>
        <w:pStyle w:val="SingleTxtG"/>
        <w:ind w:left="2835" w:hanging="567"/>
        <w:rPr>
          <w:b/>
          <w:bCs/>
        </w:rPr>
      </w:pPr>
      <w:r w:rsidRPr="00E90EA6">
        <w:rPr>
          <w:b/>
          <w:bCs/>
        </w:rPr>
        <w:t>-</w:t>
      </w:r>
      <w:r w:rsidRPr="00E90EA6">
        <w:rPr>
          <w:b/>
          <w:bCs/>
        </w:rPr>
        <w:tab/>
        <w:t>Diagramme(s) du circuit</w:t>
      </w:r>
    </w:p>
    <w:p w14:paraId="16E36C75" w14:textId="4475F96E" w:rsidR="00613BD4" w:rsidRPr="00E90EA6" w:rsidRDefault="00613BD4" w:rsidP="00E90EA6">
      <w:pPr>
        <w:pStyle w:val="SingleTxtG"/>
        <w:ind w:left="2835" w:hanging="567"/>
        <w:rPr>
          <w:b/>
          <w:bCs/>
        </w:rPr>
      </w:pPr>
      <w:r w:rsidRPr="00E90EA6">
        <w:rPr>
          <w:b/>
          <w:bCs/>
        </w:rPr>
        <w:t>-</w:t>
      </w:r>
      <w:r w:rsidRPr="00E90EA6">
        <w:rPr>
          <w:b/>
          <w:bCs/>
        </w:rPr>
        <w:tab/>
        <w:t>Méthodes d’alimentation.</w:t>
      </w:r>
    </w:p>
    <w:p w14:paraId="2DC49547" w14:textId="7CEEC208" w:rsidR="00613BD4" w:rsidRPr="00E90EA6" w:rsidRDefault="00613BD4" w:rsidP="00E90EA6">
      <w:pPr>
        <w:pStyle w:val="SingleTxtG"/>
        <w:ind w:left="2268" w:hanging="1134"/>
        <w:rPr>
          <w:b/>
          <w:bCs/>
        </w:rPr>
      </w:pPr>
      <w:r w:rsidRPr="00E90EA6">
        <w:rPr>
          <w:b/>
          <w:bCs/>
        </w:rPr>
        <w:t>3.4</w:t>
      </w:r>
      <w:r w:rsidRPr="00E90EA6">
        <w:rPr>
          <w:b/>
          <w:bCs/>
        </w:rPr>
        <w:tab/>
        <w:t>S’il y a lieu, compatibilité électromagnétique au sens du Règlement ONU n</w:t>
      </w:r>
      <w:r w:rsidRPr="00E90EA6">
        <w:rPr>
          <w:b/>
          <w:bCs/>
          <w:vertAlign w:val="superscript"/>
        </w:rPr>
        <w:t>o</w:t>
      </w:r>
      <w:r w:rsidRPr="00E90EA6">
        <w:rPr>
          <w:b/>
          <w:bCs/>
        </w:rPr>
        <w:t> 10 tel que modifié par</w:t>
      </w:r>
      <w:r w:rsidR="00E90EA6">
        <w:rPr>
          <w:b/>
          <w:bCs/>
        </w:rPr>
        <w:t> </w:t>
      </w:r>
      <w:r w:rsidRPr="00E90EA6">
        <w:rPr>
          <w:b/>
          <w:bCs/>
        </w:rPr>
        <w:t>:</w:t>
      </w:r>
    </w:p>
    <w:p w14:paraId="699F9749" w14:textId="7946067B" w:rsidR="00613BD4" w:rsidRPr="005D6904" w:rsidRDefault="00613BD4" w:rsidP="00E90EA6">
      <w:pPr>
        <w:pStyle w:val="SingleTxtG"/>
        <w:ind w:left="2835" w:hanging="567"/>
        <w:rPr>
          <w:rFonts w:ascii="Times New Roman Gras" w:hAnsi="Times New Roman Gras"/>
          <w:b/>
          <w:bCs/>
          <w:spacing w:val="-1"/>
        </w:rPr>
      </w:pPr>
      <w:r w:rsidRPr="005D6904">
        <w:rPr>
          <w:rFonts w:ascii="Times New Roman Gras" w:hAnsi="Times New Roman Gras"/>
          <w:b/>
          <w:bCs/>
          <w:spacing w:val="-1"/>
        </w:rPr>
        <w:t>a)</w:t>
      </w:r>
      <w:r w:rsidRPr="005D6904">
        <w:rPr>
          <w:rFonts w:ascii="Times New Roman Gras" w:hAnsi="Times New Roman Gras"/>
          <w:b/>
          <w:bCs/>
          <w:spacing w:val="-1"/>
        </w:rPr>
        <w:tab/>
        <w:t>La série</w:t>
      </w:r>
      <w:r w:rsidR="00E90EA6" w:rsidRPr="005D6904">
        <w:rPr>
          <w:rFonts w:ascii="Times New Roman Gras" w:hAnsi="Times New Roman Gras"/>
          <w:b/>
          <w:bCs/>
          <w:spacing w:val="-1"/>
        </w:rPr>
        <w:t> </w:t>
      </w:r>
      <w:r w:rsidRPr="005D6904">
        <w:rPr>
          <w:rFonts w:ascii="Times New Roman Gras" w:hAnsi="Times New Roman Gras"/>
          <w:b/>
          <w:bCs/>
          <w:spacing w:val="-1"/>
        </w:rPr>
        <w:t xml:space="preserve">03 d’amendements pour les véhicules dépourvus de système </w:t>
      </w:r>
      <w:r w:rsidRPr="005D6904">
        <w:rPr>
          <w:rFonts w:ascii="Times New Roman Gras" w:hAnsi="Times New Roman Gras"/>
          <w:b/>
          <w:bCs/>
        </w:rPr>
        <w:t>de</w:t>
      </w:r>
      <w:r w:rsidRPr="005D6904">
        <w:rPr>
          <w:rFonts w:ascii="Times New Roman Gras" w:hAnsi="Times New Roman Gras"/>
        </w:rPr>
        <w:t xml:space="preserve"> </w:t>
      </w:r>
      <w:r w:rsidRPr="005D6904">
        <w:rPr>
          <w:rFonts w:ascii="Times New Roman Gras" w:hAnsi="Times New Roman Gras"/>
          <w:b/>
          <w:bCs/>
        </w:rPr>
        <w:t>raccordement</w:t>
      </w:r>
      <w:r w:rsidRPr="005D6904">
        <w:rPr>
          <w:rFonts w:ascii="Times New Roman Gras" w:hAnsi="Times New Roman Gras"/>
        </w:rPr>
        <w:t xml:space="preserve"> </w:t>
      </w:r>
      <w:r w:rsidRPr="005D6904">
        <w:rPr>
          <w:rFonts w:ascii="Times New Roman Gras" w:hAnsi="Times New Roman Gras"/>
          <w:b/>
          <w:bCs/>
        </w:rPr>
        <w:t>pour la recharge du système rechargeable de stockage de l’énergie électrique (batteries de traction)</w:t>
      </w:r>
      <w:r w:rsidR="00E90EA6" w:rsidRPr="005D6904">
        <w:rPr>
          <w:rFonts w:ascii="Times New Roman Gras" w:hAnsi="Times New Roman Gras"/>
          <w:b/>
          <w:bCs/>
        </w:rPr>
        <w:t> </w:t>
      </w:r>
      <w:r w:rsidRPr="005D6904">
        <w:rPr>
          <w:rFonts w:ascii="Times New Roman Gras" w:hAnsi="Times New Roman Gras"/>
          <w:b/>
          <w:bCs/>
        </w:rPr>
        <w:t>;</w:t>
      </w:r>
    </w:p>
    <w:p w14:paraId="2A7BCB33" w14:textId="2C125833" w:rsidR="00613BD4" w:rsidRPr="00E90EA6" w:rsidRDefault="00613BD4" w:rsidP="00E90EA6">
      <w:pPr>
        <w:pStyle w:val="SingleTxtG"/>
        <w:ind w:left="2835" w:hanging="567"/>
        <w:rPr>
          <w:b/>
          <w:bCs/>
        </w:rPr>
      </w:pPr>
      <w:r w:rsidRPr="00E90EA6">
        <w:rPr>
          <w:b/>
          <w:bCs/>
        </w:rPr>
        <w:t>b)</w:t>
      </w:r>
      <w:r w:rsidRPr="00E90EA6">
        <w:rPr>
          <w:b/>
          <w:bCs/>
        </w:rPr>
        <w:tab/>
        <w:t>La série</w:t>
      </w:r>
      <w:r w:rsidR="00E90EA6">
        <w:rPr>
          <w:b/>
          <w:bCs/>
        </w:rPr>
        <w:t> </w:t>
      </w:r>
      <w:r w:rsidRPr="00E90EA6">
        <w:rPr>
          <w:b/>
          <w:bCs/>
        </w:rPr>
        <w:t>06 d’amendements pour les véhicules équipés d’un système de raccordement pour la recharge du système rechargeable de stockage de l’énergie électrique (batteries de traction).</w:t>
      </w:r>
    </w:p>
    <w:p w14:paraId="6A2F2AC8" w14:textId="56CE589E" w:rsidR="00613BD4" w:rsidRDefault="00613BD4" w:rsidP="00E90EA6">
      <w:pPr>
        <w:pStyle w:val="SingleTxtG"/>
        <w:ind w:left="2268" w:hanging="1134"/>
        <w:rPr>
          <w:b/>
          <w:bCs/>
        </w:rPr>
      </w:pPr>
      <w:r w:rsidRPr="00E90EA6">
        <w:rPr>
          <w:b/>
          <w:bCs/>
        </w:rPr>
        <w:t>3.5</w:t>
      </w:r>
      <w:r w:rsidRPr="00E90EA6">
        <w:rPr>
          <w:b/>
          <w:bCs/>
        </w:rPr>
        <w:tab/>
        <w:t>Renseignements complémentaires (le cas échéant) à la description des composants du TPMS/TPRS/CTIS</w:t>
      </w:r>
    </w:p>
    <w:p w14:paraId="452A992A" w14:textId="2ED09AF0" w:rsidR="00E90EA6" w:rsidRDefault="00E90EA6" w:rsidP="00E90EA6">
      <w:pPr>
        <w:pStyle w:val="SingleTxtG"/>
        <w:ind w:left="2268" w:hanging="1134"/>
        <w:rPr>
          <w:b/>
          <w:bCs/>
        </w:rPr>
      </w:pPr>
      <w:r>
        <w:rPr>
          <w:b/>
          <w:bCs/>
        </w:rPr>
        <w:br w:type="page"/>
      </w:r>
    </w:p>
    <w:p w14:paraId="2E8930E5" w14:textId="036D40DD" w:rsidR="00613BD4" w:rsidRPr="00A511B3" w:rsidRDefault="00613BD4" w:rsidP="00E90EA6">
      <w:pPr>
        <w:pStyle w:val="HChG"/>
        <w:rPr>
          <w:sz w:val="36"/>
          <w:szCs w:val="36"/>
        </w:rPr>
      </w:pPr>
      <w:r w:rsidRPr="00A511B3">
        <w:t>Annexe</w:t>
      </w:r>
      <w:r w:rsidR="00E90EA6">
        <w:t> </w:t>
      </w:r>
      <w:r w:rsidRPr="00A511B3">
        <w:t>8 − Appendice</w:t>
      </w:r>
      <w:r w:rsidR="00E90EA6">
        <w:t> </w:t>
      </w:r>
      <w:r w:rsidRPr="00A511B3">
        <w:t>2</w:t>
      </w:r>
    </w:p>
    <w:p w14:paraId="60258CCB" w14:textId="7D45D600" w:rsidR="00613BD4" w:rsidRDefault="00E90EA6" w:rsidP="00E90EA6">
      <w:pPr>
        <w:pStyle w:val="HChG"/>
      </w:pPr>
      <w:r>
        <w:tab/>
      </w:r>
      <w:r>
        <w:tab/>
      </w:r>
      <w:r w:rsidR="00613BD4" w:rsidRPr="00A511B3">
        <w:t>Fiche de renseignements concernant le module de gestion électronique passerelle conforme à la norme</w:t>
      </w:r>
      <w:r>
        <w:t> </w:t>
      </w:r>
      <w:r w:rsidR="00613BD4" w:rsidRPr="00A511B3">
        <w:t>ISO</w:t>
      </w:r>
      <w:r>
        <w:t> </w:t>
      </w:r>
      <w:r w:rsidR="00613BD4" w:rsidRPr="00A511B3">
        <w:t xml:space="preserve">11992-2 pour </w:t>
      </w:r>
      <w:r w:rsidR="00613BD4">
        <w:t>une</w:t>
      </w:r>
      <w:r w:rsidR="00613BD4" w:rsidRPr="00A511B3">
        <w:t xml:space="preserve"> remorque considérée</w:t>
      </w:r>
    </w:p>
    <w:p w14:paraId="118596EF" w14:textId="051E4B3D" w:rsidR="00613BD4" w:rsidRPr="00E90EA6" w:rsidRDefault="00613BD4" w:rsidP="00E90EA6">
      <w:pPr>
        <w:pStyle w:val="SingleTxtG"/>
        <w:ind w:left="2268" w:hanging="1134"/>
        <w:rPr>
          <w:b/>
          <w:bCs/>
        </w:rPr>
      </w:pPr>
      <w:r w:rsidRPr="00E90EA6">
        <w:rPr>
          <w:b/>
          <w:bCs/>
        </w:rPr>
        <w:t>1.</w:t>
      </w:r>
      <w:r w:rsidRPr="00E90EA6">
        <w:rPr>
          <w:b/>
          <w:bCs/>
        </w:rPr>
        <w:tab/>
        <w:t>Généralités</w:t>
      </w:r>
    </w:p>
    <w:p w14:paraId="4CFBFC3B" w14:textId="77777777" w:rsidR="00613BD4" w:rsidRPr="00E90EA6" w:rsidRDefault="00613BD4" w:rsidP="00E90EA6">
      <w:pPr>
        <w:pStyle w:val="SingleTxtG"/>
        <w:ind w:left="2268" w:hanging="1134"/>
        <w:rPr>
          <w:b/>
          <w:bCs/>
        </w:rPr>
      </w:pPr>
      <w:r w:rsidRPr="00E90EA6">
        <w:rPr>
          <w:b/>
          <w:bCs/>
        </w:rPr>
        <w:t>1.1</w:t>
      </w:r>
      <w:r w:rsidRPr="00E90EA6">
        <w:rPr>
          <w:b/>
          <w:bCs/>
        </w:rPr>
        <w:tab/>
        <w:t>Nom et adresse du fabricant</w:t>
      </w:r>
    </w:p>
    <w:p w14:paraId="7A08401E" w14:textId="77777777" w:rsidR="00613BD4" w:rsidRPr="00E90EA6" w:rsidRDefault="00613BD4" w:rsidP="00E90EA6">
      <w:pPr>
        <w:pStyle w:val="SingleTxtG"/>
        <w:ind w:left="2268" w:hanging="1134"/>
        <w:rPr>
          <w:b/>
          <w:bCs/>
        </w:rPr>
      </w:pPr>
      <w:r w:rsidRPr="00E90EA6">
        <w:rPr>
          <w:b/>
          <w:bCs/>
        </w:rPr>
        <w:t>1.2</w:t>
      </w:r>
      <w:r w:rsidRPr="00E90EA6">
        <w:rPr>
          <w:b/>
          <w:bCs/>
        </w:rPr>
        <w:tab/>
        <w:t>Nom du système</w:t>
      </w:r>
    </w:p>
    <w:p w14:paraId="2990B330" w14:textId="77777777" w:rsidR="00613BD4" w:rsidRPr="00E90EA6" w:rsidRDefault="00613BD4" w:rsidP="00E90EA6">
      <w:pPr>
        <w:pStyle w:val="SingleTxtG"/>
        <w:ind w:left="2268" w:hanging="1134"/>
        <w:rPr>
          <w:b/>
          <w:bCs/>
        </w:rPr>
      </w:pPr>
      <w:r w:rsidRPr="00E90EA6">
        <w:rPr>
          <w:b/>
          <w:bCs/>
        </w:rPr>
        <w:t>1.3</w:t>
      </w:r>
      <w:r w:rsidRPr="00E90EA6">
        <w:rPr>
          <w:b/>
          <w:bCs/>
        </w:rPr>
        <w:tab/>
        <w:t>Configuration du TPMS/TPRS/CTIS</w:t>
      </w:r>
      <w:r w:rsidRPr="00E90EA6">
        <w:rPr>
          <w:rStyle w:val="Appelnotedebasdep"/>
        </w:rPr>
        <w:footnoteReference w:id="7"/>
      </w:r>
    </w:p>
    <w:p w14:paraId="2F370EAE" w14:textId="76391D87" w:rsidR="00613BD4" w:rsidRPr="00E90EA6" w:rsidRDefault="00613BD4" w:rsidP="00E90EA6">
      <w:pPr>
        <w:pStyle w:val="SingleTxtG"/>
        <w:ind w:left="2268" w:hanging="1134"/>
        <w:rPr>
          <w:b/>
          <w:bCs/>
        </w:rPr>
      </w:pPr>
      <w:r w:rsidRPr="00E90EA6">
        <w:rPr>
          <w:b/>
          <w:bCs/>
        </w:rPr>
        <w:t>2.</w:t>
      </w:r>
      <w:r w:rsidRPr="00E90EA6">
        <w:rPr>
          <w:b/>
          <w:bCs/>
        </w:rPr>
        <w:tab/>
        <w:t>Applications</w:t>
      </w:r>
    </w:p>
    <w:p w14:paraId="6E3B05AC" w14:textId="4E053260" w:rsidR="00613BD4" w:rsidRPr="00E90EA6" w:rsidRDefault="00613BD4" w:rsidP="00E90EA6">
      <w:pPr>
        <w:pStyle w:val="SingleTxtG"/>
        <w:ind w:left="2268" w:hanging="1134"/>
        <w:rPr>
          <w:b/>
          <w:bCs/>
        </w:rPr>
      </w:pPr>
      <w:r w:rsidRPr="00E90EA6">
        <w:rPr>
          <w:b/>
          <w:bCs/>
        </w:rPr>
        <w:t>2.1</w:t>
      </w:r>
      <w:r w:rsidRPr="00E90EA6">
        <w:rPr>
          <w:b/>
          <w:bCs/>
        </w:rPr>
        <w:tab/>
        <w:t>Configurations appliquées</w:t>
      </w:r>
      <w:r w:rsidR="00E90EA6">
        <w:rPr>
          <w:b/>
          <w:bCs/>
        </w:rPr>
        <w:t> </w:t>
      </w:r>
      <w:r w:rsidRPr="00E90EA6">
        <w:rPr>
          <w:b/>
          <w:bCs/>
        </w:rPr>
        <w:t>; par exemple, autres modules de gestion électronique connectés au même bus CAN que le module de gestion électronique du TPMS/TPRS/CTIS</w:t>
      </w:r>
    </w:p>
    <w:p w14:paraId="695576DE" w14:textId="77777777" w:rsidR="00613BD4" w:rsidRPr="00E90EA6" w:rsidRDefault="00613BD4" w:rsidP="00E90EA6">
      <w:pPr>
        <w:pStyle w:val="SingleTxtG"/>
        <w:ind w:left="2268" w:hanging="1134"/>
        <w:rPr>
          <w:b/>
          <w:bCs/>
        </w:rPr>
      </w:pPr>
      <w:r w:rsidRPr="00E90EA6">
        <w:rPr>
          <w:b/>
          <w:bCs/>
        </w:rPr>
        <w:t>2.2</w:t>
      </w:r>
      <w:r w:rsidRPr="00E90EA6">
        <w:rPr>
          <w:b/>
          <w:bCs/>
        </w:rPr>
        <w:tab/>
        <w:t>Schémas des configurations installées sur les remorques considérées</w:t>
      </w:r>
    </w:p>
    <w:p w14:paraId="0EBE0555" w14:textId="55A344A4" w:rsidR="00613BD4" w:rsidRPr="00E90EA6" w:rsidRDefault="00613BD4" w:rsidP="00E90EA6">
      <w:pPr>
        <w:pStyle w:val="SingleTxtG"/>
        <w:ind w:left="2268" w:hanging="1134"/>
        <w:rPr>
          <w:b/>
          <w:bCs/>
        </w:rPr>
      </w:pPr>
      <w:r w:rsidRPr="00E90EA6">
        <w:rPr>
          <w:b/>
          <w:bCs/>
        </w:rPr>
        <w:t>2.3</w:t>
      </w:r>
      <w:r w:rsidRPr="00E90EA6">
        <w:rPr>
          <w:b/>
          <w:bCs/>
        </w:rPr>
        <w:tab/>
        <w:t>Limitations (par exemple, compatibilité avec les autres systèmes connectés au bus CAN, messages et signaux de sortie requis par le TPMS pour que le véhicule satisfasse aux prescriptions de fonctionnement énoncées aux paragraphes</w:t>
      </w:r>
      <w:r w:rsidR="00E90EA6">
        <w:rPr>
          <w:b/>
          <w:bCs/>
        </w:rPr>
        <w:t> </w:t>
      </w:r>
      <w:r w:rsidRPr="00E90EA6">
        <w:rPr>
          <w:b/>
          <w:bCs/>
        </w:rPr>
        <w:t>5.1.2 à 5.6 du présent Règlement ainsi qu’aux prescriptions d’essai (crevaison, défaut d’étanchéité et défaut de fonctionnement) énoncées dans l’annexe</w:t>
      </w:r>
      <w:r w:rsidR="00E90EA6">
        <w:rPr>
          <w:b/>
          <w:bCs/>
        </w:rPr>
        <w:t> </w:t>
      </w:r>
      <w:r w:rsidRPr="00E90EA6">
        <w:rPr>
          <w:b/>
          <w:bCs/>
        </w:rPr>
        <w:t>3 de ce Règlement en ce qui concerne, par exemple, la vitesse du véhicule)</w:t>
      </w:r>
    </w:p>
    <w:p w14:paraId="2ADF49D3" w14:textId="77777777" w:rsidR="00613BD4" w:rsidRPr="00E90EA6" w:rsidRDefault="00613BD4" w:rsidP="00E90EA6">
      <w:pPr>
        <w:pStyle w:val="SingleTxtG"/>
        <w:ind w:left="2268" w:hanging="1134"/>
        <w:rPr>
          <w:b/>
          <w:bCs/>
        </w:rPr>
      </w:pPr>
      <w:r w:rsidRPr="00E90EA6">
        <w:rPr>
          <w:b/>
          <w:bCs/>
        </w:rPr>
        <w:t>2.4</w:t>
      </w:r>
      <w:r w:rsidRPr="00E90EA6">
        <w:rPr>
          <w:b/>
          <w:bCs/>
        </w:rPr>
        <w:tab/>
        <w:t>Renseignements complémentaires (le cas échéant) aux données concernant l’application prévue pour le TPMS/TPRS/CTIS</w:t>
      </w:r>
    </w:p>
    <w:p w14:paraId="531FE31E" w14:textId="77777777" w:rsidR="00613BD4" w:rsidRPr="00E90EA6" w:rsidRDefault="00613BD4" w:rsidP="00E90EA6">
      <w:pPr>
        <w:pStyle w:val="SingleTxtG"/>
        <w:ind w:left="2268" w:hanging="1134"/>
        <w:rPr>
          <w:b/>
          <w:bCs/>
        </w:rPr>
      </w:pPr>
      <w:r w:rsidRPr="00E90EA6">
        <w:rPr>
          <w:b/>
          <w:bCs/>
        </w:rPr>
        <w:t>3.</w:t>
      </w:r>
      <w:r w:rsidRPr="00E90EA6">
        <w:rPr>
          <w:b/>
          <w:bCs/>
        </w:rPr>
        <w:tab/>
        <w:t>Description des composants</w:t>
      </w:r>
    </w:p>
    <w:p w14:paraId="0958C9F9" w14:textId="77777777" w:rsidR="00613BD4" w:rsidRPr="00E90EA6" w:rsidRDefault="00613BD4" w:rsidP="00E90EA6">
      <w:pPr>
        <w:pStyle w:val="SingleTxtG"/>
        <w:ind w:left="2268" w:hanging="1134"/>
        <w:rPr>
          <w:b/>
          <w:bCs/>
        </w:rPr>
      </w:pPr>
      <w:r w:rsidRPr="00E90EA6">
        <w:rPr>
          <w:b/>
          <w:bCs/>
        </w:rPr>
        <w:t>3.1</w:t>
      </w:r>
      <w:r w:rsidRPr="00E90EA6">
        <w:rPr>
          <w:b/>
          <w:bCs/>
        </w:rPr>
        <w:tab/>
        <w:t>Module passerelle conforme à l’annexe 5 du présent Règlement</w:t>
      </w:r>
    </w:p>
    <w:p w14:paraId="2E49014B" w14:textId="5F190BD6" w:rsidR="00613BD4" w:rsidRPr="00E90EA6" w:rsidRDefault="00613BD4" w:rsidP="00E90EA6">
      <w:pPr>
        <w:pStyle w:val="SingleTxtG"/>
        <w:ind w:left="2835" w:hanging="567"/>
        <w:rPr>
          <w:b/>
          <w:bCs/>
        </w:rPr>
      </w:pPr>
      <w:r w:rsidRPr="00E90EA6">
        <w:rPr>
          <w:b/>
          <w:bCs/>
        </w:rPr>
        <w:t>-</w:t>
      </w:r>
      <w:r w:rsidRPr="00E90EA6">
        <w:rPr>
          <w:b/>
          <w:bCs/>
        </w:rPr>
        <w:tab/>
        <w:t>Identification (par exemple</w:t>
      </w:r>
      <w:r w:rsidR="005D6904">
        <w:rPr>
          <w:b/>
          <w:bCs/>
        </w:rPr>
        <w:t>,</w:t>
      </w:r>
      <w:r w:rsidRPr="00E90EA6">
        <w:rPr>
          <w:b/>
          <w:bCs/>
        </w:rPr>
        <w:t xml:space="preserve"> numéro(s) de pièce)</w:t>
      </w:r>
    </w:p>
    <w:p w14:paraId="41C357B0" w14:textId="5EE7EDCD" w:rsidR="00613BD4" w:rsidRPr="00E90EA6" w:rsidRDefault="00613BD4" w:rsidP="00E90EA6">
      <w:pPr>
        <w:pStyle w:val="SingleTxtG"/>
        <w:ind w:left="2835" w:hanging="567"/>
        <w:rPr>
          <w:b/>
          <w:bCs/>
        </w:rPr>
      </w:pPr>
      <w:r w:rsidRPr="00E90EA6">
        <w:rPr>
          <w:b/>
          <w:bCs/>
        </w:rPr>
        <w:t>-</w:t>
      </w:r>
      <w:r w:rsidRPr="00E90EA6">
        <w:rPr>
          <w:b/>
          <w:bCs/>
        </w:rPr>
        <w:tab/>
        <w:t>Description des autres composants connectés (par exemple</w:t>
      </w:r>
      <w:r w:rsidR="005D6904">
        <w:rPr>
          <w:b/>
          <w:bCs/>
        </w:rPr>
        <w:t>,</w:t>
      </w:r>
      <w:r w:rsidRPr="00E90EA6">
        <w:rPr>
          <w:b/>
          <w:bCs/>
        </w:rPr>
        <w:t xml:space="preserve"> sur le bus CAN)</w:t>
      </w:r>
    </w:p>
    <w:p w14:paraId="7E07D2AD" w14:textId="029AC23E" w:rsidR="00613BD4" w:rsidRPr="00E90EA6" w:rsidRDefault="00613BD4" w:rsidP="00E90EA6">
      <w:pPr>
        <w:pStyle w:val="SingleTxtG"/>
        <w:ind w:left="2268" w:hanging="1134"/>
        <w:rPr>
          <w:b/>
          <w:bCs/>
        </w:rPr>
      </w:pPr>
      <w:r w:rsidRPr="00E90EA6">
        <w:rPr>
          <w:b/>
          <w:bCs/>
        </w:rPr>
        <w:t>3.2</w:t>
      </w:r>
      <w:r w:rsidRPr="00E90EA6">
        <w:rPr>
          <w:b/>
          <w:bCs/>
        </w:rPr>
        <w:tab/>
        <w:t>Équipement électrique</w:t>
      </w:r>
    </w:p>
    <w:p w14:paraId="0D2A2B97" w14:textId="0FCCD987" w:rsidR="00613BD4" w:rsidRPr="00E90EA6" w:rsidRDefault="00613BD4" w:rsidP="00E90EA6">
      <w:pPr>
        <w:pStyle w:val="SingleTxtG"/>
        <w:ind w:left="2835" w:hanging="567"/>
        <w:rPr>
          <w:b/>
          <w:bCs/>
        </w:rPr>
      </w:pPr>
      <w:r w:rsidRPr="00E90EA6">
        <w:rPr>
          <w:b/>
          <w:bCs/>
        </w:rPr>
        <w:t>-</w:t>
      </w:r>
      <w:r w:rsidRPr="00E90EA6">
        <w:rPr>
          <w:b/>
          <w:bCs/>
        </w:rPr>
        <w:tab/>
        <w:t>Diagramme(s) du circuit</w:t>
      </w:r>
    </w:p>
    <w:p w14:paraId="25D6F355" w14:textId="40C1DBCC" w:rsidR="00613BD4" w:rsidRPr="00E90EA6" w:rsidRDefault="00613BD4" w:rsidP="00E90EA6">
      <w:pPr>
        <w:pStyle w:val="SingleTxtG"/>
        <w:ind w:left="2835" w:hanging="567"/>
        <w:rPr>
          <w:b/>
          <w:bCs/>
        </w:rPr>
      </w:pPr>
      <w:r w:rsidRPr="00E90EA6">
        <w:rPr>
          <w:b/>
          <w:bCs/>
        </w:rPr>
        <w:t>-</w:t>
      </w:r>
      <w:r w:rsidRPr="00E90EA6">
        <w:rPr>
          <w:b/>
          <w:bCs/>
        </w:rPr>
        <w:tab/>
        <w:t>Méthodes d’alimentation</w:t>
      </w:r>
    </w:p>
    <w:p w14:paraId="4241D58D" w14:textId="45A945E0" w:rsidR="00613BD4" w:rsidRPr="00E90EA6" w:rsidRDefault="00613BD4" w:rsidP="00E90EA6">
      <w:pPr>
        <w:pStyle w:val="SingleTxtG"/>
        <w:ind w:left="2268" w:hanging="1134"/>
        <w:rPr>
          <w:b/>
          <w:bCs/>
        </w:rPr>
      </w:pPr>
      <w:r w:rsidRPr="00E90EA6">
        <w:rPr>
          <w:b/>
          <w:bCs/>
        </w:rPr>
        <w:t>3.3</w:t>
      </w:r>
      <w:r w:rsidRPr="00E90EA6">
        <w:rPr>
          <w:b/>
          <w:bCs/>
        </w:rPr>
        <w:tab/>
        <w:t>S’il y a lieu, compatibilité électromagnétique au sens du Règlement ONU n</w:t>
      </w:r>
      <w:r w:rsidRPr="00E90EA6">
        <w:rPr>
          <w:b/>
          <w:bCs/>
          <w:vertAlign w:val="superscript"/>
        </w:rPr>
        <w:t>o</w:t>
      </w:r>
      <w:r w:rsidRPr="00E90EA6">
        <w:rPr>
          <w:b/>
          <w:bCs/>
        </w:rPr>
        <w:t> 10 tel que modifié par</w:t>
      </w:r>
      <w:r w:rsidR="00E90EA6">
        <w:rPr>
          <w:b/>
          <w:bCs/>
        </w:rPr>
        <w:t> </w:t>
      </w:r>
      <w:r w:rsidRPr="00E90EA6">
        <w:rPr>
          <w:b/>
          <w:bCs/>
        </w:rPr>
        <w:t>:</w:t>
      </w:r>
    </w:p>
    <w:p w14:paraId="72AA5B9C" w14:textId="4F1DB089" w:rsidR="00613BD4" w:rsidRPr="00E90EA6" w:rsidRDefault="00613BD4" w:rsidP="00E90EA6">
      <w:pPr>
        <w:pStyle w:val="SingleTxtG"/>
        <w:ind w:left="2835" w:hanging="567"/>
        <w:rPr>
          <w:b/>
          <w:bCs/>
        </w:rPr>
      </w:pPr>
      <w:r w:rsidRPr="00E90EA6">
        <w:rPr>
          <w:b/>
          <w:bCs/>
        </w:rPr>
        <w:t>a)</w:t>
      </w:r>
      <w:r w:rsidRPr="00E90EA6">
        <w:rPr>
          <w:b/>
          <w:bCs/>
        </w:rPr>
        <w:tab/>
        <w:t>La série</w:t>
      </w:r>
      <w:r w:rsidR="00E90EA6">
        <w:rPr>
          <w:b/>
          <w:bCs/>
        </w:rPr>
        <w:t> </w:t>
      </w:r>
      <w:r w:rsidRPr="00E90EA6">
        <w:rPr>
          <w:b/>
          <w:bCs/>
        </w:rPr>
        <w:t>03 d’amendements pour les véhicules dépourvus de système de raccordement pour la recharge du système rechargeable de stockage de l’énergie électrique (batteries de traction)</w:t>
      </w:r>
      <w:r w:rsidR="00E90EA6">
        <w:rPr>
          <w:b/>
          <w:bCs/>
        </w:rPr>
        <w:t> </w:t>
      </w:r>
      <w:r w:rsidRPr="00E90EA6">
        <w:rPr>
          <w:b/>
          <w:bCs/>
        </w:rPr>
        <w:t>;</w:t>
      </w:r>
    </w:p>
    <w:p w14:paraId="0C896444" w14:textId="461A2620" w:rsidR="00613BD4" w:rsidRPr="00E90EA6" w:rsidRDefault="00613BD4" w:rsidP="00E90EA6">
      <w:pPr>
        <w:pStyle w:val="SingleTxtG"/>
        <w:ind w:left="2835" w:hanging="567"/>
        <w:rPr>
          <w:b/>
          <w:bCs/>
        </w:rPr>
      </w:pPr>
      <w:r w:rsidRPr="00E90EA6">
        <w:rPr>
          <w:b/>
          <w:bCs/>
        </w:rPr>
        <w:t>b)</w:t>
      </w:r>
      <w:r w:rsidRPr="00E90EA6">
        <w:rPr>
          <w:b/>
          <w:bCs/>
        </w:rPr>
        <w:tab/>
        <w:t>La série</w:t>
      </w:r>
      <w:r w:rsidR="00E90EA6">
        <w:rPr>
          <w:b/>
          <w:bCs/>
        </w:rPr>
        <w:t> </w:t>
      </w:r>
      <w:r w:rsidRPr="00E90EA6">
        <w:rPr>
          <w:b/>
          <w:bCs/>
        </w:rPr>
        <w:t>06 d’amendements pour les véhicules équipés d’un système de raccordement pour la recharge du système rechargeable de stockage de l’énergie électrique (batteries de traction).</w:t>
      </w:r>
    </w:p>
    <w:p w14:paraId="0DD82A19" w14:textId="74357509" w:rsidR="00613BD4" w:rsidRPr="00E90EA6" w:rsidRDefault="00613BD4" w:rsidP="00E90EA6">
      <w:pPr>
        <w:pStyle w:val="SingleTxtG"/>
        <w:ind w:left="2268" w:hanging="1134"/>
        <w:rPr>
          <w:b/>
          <w:bCs/>
        </w:rPr>
      </w:pPr>
      <w:r w:rsidRPr="00E90EA6">
        <w:rPr>
          <w:b/>
          <w:bCs/>
        </w:rPr>
        <w:t>3.4</w:t>
      </w:r>
      <w:r w:rsidRPr="00E90EA6">
        <w:rPr>
          <w:b/>
          <w:bCs/>
        </w:rPr>
        <w:tab/>
        <w:t>Renseignements complémentaires (le cas échéant) à la description des composants du TPMS/TPRS/CTIS.</w:t>
      </w:r>
      <w:r w:rsidR="00E90EA6">
        <w:rPr>
          <w:b/>
          <w:bCs/>
        </w:rPr>
        <w:t> </w:t>
      </w:r>
      <w:r w:rsidRPr="00E90EA6">
        <w:rPr>
          <w:b/>
          <w:bCs/>
        </w:rPr>
        <w:t>».</w:t>
      </w:r>
    </w:p>
    <w:p w14:paraId="38D3A6B2" w14:textId="68B2C54D" w:rsidR="00613BD4" w:rsidRPr="00A511B3" w:rsidRDefault="00613BD4" w:rsidP="00E90EA6">
      <w:pPr>
        <w:pStyle w:val="HChG"/>
        <w:rPr>
          <w:sz w:val="36"/>
          <w:szCs w:val="36"/>
        </w:rPr>
      </w:pPr>
      <w:r w:rsidRPr="00A511B3">
        <w:tab/>
        <w:t>II.</w:t>
      </w:r>
      <w:r w:rsidRPr="00A511B3">
        <w:tab/>
        <w:t>Justification</w:t>
      </w:r>
    </w:p>
    <w:p w14:paraId="2AAEDB8C" w14:textId="7D3AE634" w:rsidR="00613BD4" w:rsidRPr="00A511B3" w:rsidRDefault="00613BD4" w:rsidP="00613BD4">
      <w:pPr>
        <w:pStyle w:val="SingleTxtG"/>
      </w:pPr>
      <w:r w:rsidRPr="00A511B3">
        <w:t>1.</w:t>
      </w:r>
      <w:r w:rsidRPr="00A511B3">
        <w:tab/>
        <w:t>Afin d</w:t>
      </w:r>
      <w:r>
        <w:t>’</w:t>
      </w:r>
      <w:r w:rsidRPr="00A511B3">
        <w:t>alléger la charge de travail pour les constructeurs de véhicules des catégories</w:t>
      </w:r>
      <w:r w:rsidR="005D6904">
        <w:t> </w:t>
      </w:r>
      <w:r w:rsidRPr="00A511B3">
        <w:t>O</w:t>
      </w:r>
      <w:r w:rsidRPr="00A511B3">
        <w:rPr>
          <w:vertAlign w:val="subscript"/>
        </w:rPr>
        <w:t>3</w:t>
      </w:r>
      <w:r w:rsidRPr="00A511B3">
        <w:t xml:space="preserve"> et O</w:t>
      </w:r>
      <w:r w:rsidRPr="00A511B3">
        <w:rPr>
          <w:vertAlign w:val="subscript"/>
        </w:rPr>
        <w:t>4</w:t>
      </w:r>
      <w:r w:rsidRPr="00A511B3">
        <w:t>, une procédure de remplacement pour l</w:t>
      </w:r>
      <w:r>
        <w:t>’</w:t>
      </w:r>
      <w:r w:rsidRPr="00A511B3">
        <w:t>homologation de type des</w:t>
      </w:r>
      <w:r>
        <w:t>dits véhicules</w:t>
      </w:r>
      <w:r w:rsidRPr="00A511B3">
        <w:t xml:space="preserve"> </w:t>
      </w:r>
      <w:r>
        <w:t>(</w:t>
      </w:r>
      <w:r w:rsidRPr="00A511B3">
        <w:t>remorques</w:t>
      </w:r>
      <w:r>
        <w:t>)</w:t>
      </w:r>
      <w:r w:rsidRPr="00A511B3">
        <w:t xml:space="preserve"> en ce qui concerne leur TPMS, leur TPRS ou leur CTIS est introduite dans la série</w:t>
      </w:r>
      <w:r w:rsidR="005D6904">
        <w:t> </w:t>
      </w:r>
      <w:r w:rsidRPr="00A511B3">
        <w:t>01 d</w:t>
      </w:r>
      <w:r>
        <w:t>’</w:t>
      </w:r>
      <w:r w:rsidRPr="00A511B3">
        <w:t>amendements au Règlement ONU n</w:t>
      </w:r>
      <w:r w:rsidRPr="00A511B3">
        <w:rPr>
          <w:vertAlign w:val="superscript"/>
        </w:rPr>
        <w:t>o</w:t>
      </w:r>
      <w:r w:rsidRPr="00A511B3">
        <w:t> 141. La procédure de remplacement proposée pour l</w:t>
      </w:r>
      <w:r>
        <w:t>’</w:t>
      </w:r>
      <w:r w:rsidRPr="00A511B3">
        <w:t>homologation de type s</w:t>
      </w:r>
      <w:r>
        <w:t>’</w:t>
      </w:r>
      <w:r w:rsidRPr="00A511B3">
        <w:t>inspire du Règlement ONU n</w:t>
      </w:r>
      <w:r w:rsidRPr="00A511B3">
        <w:rPr>
          <w:vertAlign w:val="superscript"/>
        </w:rPr>
        <w:t>o</w:t>
      </w:r>
      <w:r w:rsidRPr="00A511B3">
        <w:t> 13.</w:t>
      </w:r>
    </w:p>
    <w:p w14:paraId="11295E62" w14:textId="4D44887D" w:rsidR="00613BD4" w:rsidRPr="00A511B3" w:rsidRDefault="00613BD4" w:rsidP="00613BD4">
      <w:pPr>
        <w:pStyle w:val="SingleTxtG"/>
      </w:pPr>
      <w:r w:rsidRPr="00A511B3">
        <w:t>2.</w:t>
      </w:r>
      <w:r w:rsidRPr="00A511B3">
        <w:tab/>
        <w:t>L</w:t>
      </w:r>
      <w:r>
        <w:t>’</w:t>
      </w:r>
      <w:r w:rsidRPr="00A511B3">
        <w:t>annexe</w:t>
      </w:r>
      <w:r w:rsidR="00E90EA6">
        <w:t> </w:t>
      </w:r>
      <w:r w:rsidRPr="00A511B3">
        <w:t>8 définit une procédure de remplacement pour l</w:t>
      </w:r>
      <w:r>
        <w:t>’</w:t>
      </w:r>
      <w:r w:rsidRPr="00A511B3">
        <w:t>homologation de type des remorques (remorques considérées) en ce qui concerne leur TPMS, leur TPRS ou leur CTIS, sur la base des informations issues des procès-verbaux d</w:t>
      </w:r>
      <w:r>
        <w:t>’</w:t>
      </w:r>
      <w:r w:rsidRPr="00A511B3">
        <w:t>essai délivrés en application de l</w:t>
      </w:r>
      <w:r>
        <w:t>’</w:t>
      </w:r>
      <w:r w:rsidRPr="00A511B3">
        <w:t>annexe</w:t>
      </w:r>
      <w:r w:rsidR="00E90EA6">
        <w:t> </w:t>
      </w:r>
      <w:r w:rsidRPr="00A511B3">
        <w:t>7 pour une remorque de référence ayant été soumise à l</w:t>
      </w:r>
      <w:r>
        <w:t>’</w:t>
      </w:r>
      <w:r w:rsidRPr="00A511B3">
        <w:t>ensemble des essais prévus par le Règlement ONU n</w:t>
      </w:r>
      <w:r w:rsidRPr="00A511B3">
        <w:rPr>
          <w:vertAlign w:val="superscript"/>
        </w:rPr>
        <w:t>o</w:t>
      </w:r>
      <w:r w:rsidRPr="00A511B3">
        <w:t xml:space="preserve"> 141. Le service technique compétent a le droit de demander </w:t>
      </w:r>
      <w:r>
        <w:t>qu’</w:t>
      </w:r>
      <w:r w:rsidRPr="00A511B3">
        <w:t xml:space="preserve">une remorque considérée </w:t>
      </w:r>
      <w:r>
        <w:t>fasse l’objet d’</w:t>
      </w:r>
      <w:r w:rsidRPr="00A511B3">
        <w:t>une procédure de remplacement.</w:t>
      </w:r>
    </w:p>
    <w:p w14:paraId="03DD9CE9" w14:textId="59350B69" w:rsidR="00613BD4" w:rsidRDefault="00613BD4" w:rsidP="00613BD4">
      <w:pPr>
        <w:pStyle w:val="SingleTxtG"/>
      </w:pPr>
      <w:r w:rsidRPr="00A511B3">
        <w:t>3.</w:t>
      </w:r>
      <w:r w:rsidRPr="00A511B3">
        <w:tab/>
        <w:t>Le texte de la présente proposition a été établi dans son ensemble par l</w:t>
      </w:r>
      <w:r>
        <w:t>’</w:t>
      </w:r>
      <w:r w:rsidRPr="00A511B3">
        <w:t>équipe spéciale des systèmes de surveillance de la pression des pneumatiques et du montage des pneumatiques, sur la base du document ECE/TRANS/WP.29/2021/10/Rev.1.</w:t>
      </w:r>
    </w:p>
    <w:p w14:paraId="6303997A" w14:textId="2527642D" w:rsidR="00E90EA6" w:rsidRPr="00E90EA6" w:rsidRDefault="00E90EA6" w:rsidP="00E90EA6">
      <w:pPr>
        <w:pStyle w:val="SingleTxtG"/>
        <w:spacing w:before="240" w:after="0"/>
        <w:jc w:val="center"/>
        <w:rPr>
          <w:u w:val="single"/>
        </w:rPr>
      </w:pPr>
      <w:r>
        <w:rPr>
          <w:u w:val="single"/>
        </w:rPr>
        <w:tab/>
      </w:r>
      <w:r>
        <w:rPr>
          <w:u w:val="single"/>
        </w:rPr>
        <w:tab/>
      </w:r>
      <w:r>
        <w:rPr>
          <w:u w:val="single"/>
        </w:rPr>
        <w:tab/>
      </w:r>
      <w:r>
        <w:rPr>
          <w:u w:val="single"/>
        </w:rPr>
        <w:tab/>
      </w:r>
    </w:p>
    <w:sectPr w:rsidR="00E90EA6" w:rsidRPr="00E90EA6" w:rsidSect="00613B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8AEC" w14:textId="77777777" w:rsidR="00066415" w:rsidRDefault="00066415" w:rsidP="00F95C08">
      <w:pPr>
        <w:spacing w:line="240" w:lineRule="auto"/>
      </w:pPr>
    </w:p>
  </w:endnote>
  <w:endnote w:type="continuationSeparator" w:id="0">
    <w:p w14:paraId="2EE36959" w14:textId="77777777" w:rsidR="00066415" w:rsidRPr="00AC3823" w:rsidRDefault="00066415" w:rsidP="00AC3823">
      <w:pPr>
        <w:pStyle w:val="Pieddepage"/>
      </w:pPr>
    </w:p>
  </w:endnote>
  <w:endnote w:type="continuationNotice" w:id="1">
    <w:p w14:paraId="62EBC91A" w14:textId="77777777" w:rsidR="00066415" w:rsidRDefault="000664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C488" w14:textId="46227B3B" w:rsidR="00066415" w:rsidRPr="00613BD4" w:rsidRDefault="00066415" w:rsidP="00613BD4">
    <w:pPr>
      <w:pStyle w:val="Pieddepage"/>
      <w:tabs>
        <w:tab w:val="right" w:pos="9638"/>
      </w:tabs>
    </w:pPr>
    <w:r w:rsidRPr="00613BD4">
      <w:rPr>
        <w:b/>
        <w:sz w:val="18"/>
      </w:rPr>
      <w:fldChar w:fldCharType="begin"/>
    </w:r>
    <w:r w:rsidRPr="00613BD4">
      <w:rPr>
        <w:b/>
        <w:sz w:val="18"/>
      </w:rPr>
      <w:instrText xml:space="preserve"> PAGE  \* MERGEFORMAT </w:instrText>
    </w:r>
    <w:r w:rsidRPr="00613BD4">
      <w:rPr>
        <w:b/>
        <w:sz w:val="18"/>
      </w:rPr>
      <w:fldChar w:fldCharType="separate"/>
    </w:r>
    <w:r w:rsidRPr="00613BD4">
      <w:rPr>
        <w:b/>
        <w:noProof/>
        <w:sz w:val="18"/>
      </w:rPr>
      <w:t>2</w:t>
    </w:r>
    <w:r w:rsidRPr="00613BD4">
      <w:rPr>
        <w:b/>
        <w:sz w:val="18"/>
      </w:rPr>
      <w:fldChar w:fldCharType="end"/>
    </w:r>
    <w:r>
      <w:rPr>
        <w:b/>
        <w:sz w:val="18"/>
      </w:rPr>
      <w:tab/>
    </w:r>
    <w:r>
      <w:t>GE.21-08991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6313" w14:textId="3751F15D" w:rsidR="00066415" w:rsidRPr="00613BD4" w:rsidRDefault="00066415" w:rsidP="00613BD4">
    <w:pPr>
      <w:pStyle w:val="Pieddepage"/>
      <w:tabs>
        <w:tab w:val="right" w:pos="9638"/>
      </w:tabs>
      <w:rPr>
        <w:b/>
        <w:sz w:val="18"/>
      </w:rPr>
    </w:pPr>
    <w:r>
      <w:t>GE.21-08991</w:t>
    </w:r>
    <w:r>
      <w:tab/>
    </w:r>
    <w:r w:rsidRPr="00613BD4">
      <w:rPr>
        <w:b/>
        <w:sz w:val="18"/>
      </w:rPr>
      <w:fldChar w:fldCharType="begin"/>
    </w:r>
    <w:r w:rsidRPr="00613BD4">
      <w:rPr>
        <w:b/>
        <w:sz w:val="18"/>
      </w:rPr>
      <w:instrText xml:space="preserve"> PAGE  \* MERGEFORMAT </w:instrText>
    </w:r>
    <w:r w:rsidRPr="00613BD4">
      <w:rPr>
        <w:b/>
        <w:sz w:val="18"/>
      </w:rPr>
      <w:fldChar w:fldCharType="separate"/>
    </w:r>
    <w:r w:rsidRPr="00613BD4">
      <w:rPr>
        <w:b/>
        <w:noProof/>
        <w:sz w:val="18"/>
      </w:rPr>
      <w:t>3</w:t>
    </w:r>
    <w:r w:rsidRPr="00613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07E5" w14:textId="712F7109" w:rsidR="00066415" w:rsidRPr="00613BD4" w:rsidRDefault="00066415" w:rsidP="00613BD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A691B65" wp14:editId="7A346C6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21-08991  (F)</w:t>
    </w:r>
    <w:r>
      <w:rPr>
        <w:noProof/>
        <w:sz w:val="20"/>
      </w:rPr>
      <w:drawing>
        <wp:anchor distT="0" distB="0" distL="114300" distR="114300" simplePos="0" relativeHeight="251660288" behindDoc="0" locked="0" layoutInCell="1" allowOverlap="1" wp14:anchorId="00E8790E" wp14:editId="1DE9DFD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150721    150721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F31F" w14:textId="77777777" w:rsidR="00066415" w:rsidRPr="00AC3823" w:rsidRDefault="00066415" w:rsidP="00AC3823">
      <w:pPr>
        <w:pStyle w:val="Pieddepage"/>
        <w:tabs>
          <w:tab w:val="right" w:pos="2155"/>
        </w:tabs>
        <w:spacing w:after="80" w:line="240" w:lineRule="atLeast"/>
        <w:ind w:left="680"/>
        <w:rPr>
          <w:u w:val="single"/>
        </w:rPr>
      </w:pPr>
      <w:r>
        <w:rPr>
          <w:u w:val="single"/>
        </w:rPr>
        <w:tab/>
      </w:r>
    </w:p>
  </w:footnote>
  <w:footnote w:type="continuationSeparator" w:id="0">
    <w:p w14:paraId="14BB27A6" w14:textId="77777777" w:rsidR="00066415" w:rsidRPr="00AC3823" w:rsidRDefault="00066415" w:rsidP="00AC3823">
      <w:pPr>
        <w:pStyle w:val="Pieddepage"/>
        <w:tabs>
          <w:tab w:val="right" w:pos="2155"/>
        </w:tabs>
        <w:spacing w:after="80" w:line="240" w:lineRule="atLeast"/>
        <w:ind w:left="680"/>
        <w:rPr>
          <w:u w:val="single"/>
        </w:rPr>
      </w:pPr>
      <w:r>
        <w:rPr>
          <w:u w:val="single"/>
        </w:rPr>
        <w:tab/>
      </w:r>
    </w:p>
  </w:footnote>
  <w:footnote w:type="continuationNotice" w:id="1">
    <w:p w14:paraId="1B39C3F9" w14:textId="77777777" w:rsidR="00066415" w:rsidRPr="00AC3823" w:rsidRDefault="00066415">
      <w:pPr>
        <w:spacing w:line="240" w:lineRule="auto"/>
        <w:rPr>
          <w:sz w:val="2"/>
          <w:szCs w:val="2"/>
        </w:rPr>
      </w:pPr>
    </w:p>
  </w:footnote>
  <w:footnote w:id="2">
    <w:p w14:paraId="6060B3CC" w14:textId="0FA93DFB" w:rsidR="00066415" w:rsidRPr="00613BD4" w:rsidRDefault="00066415">
      <w:pPr>
        <w:pStyle w:val="Notedebasdepage"/>
      </w:pPr>
      <w:r>
        <w:rPr>
          <w:rStyle w:val="Appelnotedebasdep"/>
        </w:rPr>
        <w:tab/>
      </w:r>
      <w:r w:rsidRPr="00613BD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w:t>
      </w:r>
      <w:r w:rsidR="001A6F53">
        <w:rPr>
          <w:lang w:val="fr-FR"/>
        </w:rPr>
        <w:t> </w:t>
      </w:r>
      <w:r>
        <w:rPr>
          <w:lang w:val="fr-FR"/>
        </w:rPr>
        <w:t>20), par.</w:t>
      </w:r>
      <w:r w:rsidR="001A6F53">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 w:id="3">
    <w:p w14:paraId="21A48907" w14:textId="58DE3288" w:rsidR="00066415" w:rsidRDefault="00066415">
      <w:pPr>
        <w:pStyle w:val="Notedebasdepage"/>
      </w:pPr>
      <w:r>
        <w:tab/>
      </w:r>
      <w:r>
        <w:rPr>
          <w:rStyle w:val="Appelnotedebasdep"/>
        </w:rPr>
        <w:footnoteRef/>
      </w:r>
      <w:r>
        <w:tab/>
      </w:r>
      <w:r>
        <w:rPr>
          <w:lang w:val="fr-FR"/>
        </w:rPr>
        <w:t>Biffer les mentions inutiles.</w:t>
      </w:r>
    </w:p>
  </w:footnote>
  <w:footnote w:id="4">
    <w:p w14:paraId="283EC7DA" w14:textId="258C892C" w:rsidR="00066415" w:rsidRPr="004C1BF6" w:rsidRDefault="00066415" w:rsidP="005F3903">
      <w:pPr>
        <w:pStyle w:val="Notedebasdepage"/>
      </w:pPr>
      <w:r>
        <w:rPr>
          <w:lang w:val="fr-FR"/>
        </w:rPr>
        <w:tab/>
      </w:r>
      <w:r w:rsidRPr="00DB2968">
        <w:rPr>
          <w:rStyle w:val="Appelnotedebasdep"/>
        </w:rPr>
        <w:footnoteRef/>
      </w:r>
      <w:r w:rsidR="005F3903">
        <w:rPr>
          <w:lang w:val="fr-FR"/>
        </w:rPr>
        <w:tab/>
      </w:r>
      <w:r>
        <w:rPr>
          <w:lang w:val="fr-FR"/>
        </w:rPr>
        <w:t>Biffer les mentions inutiles.</w:t>
      </w:r>
    </w:p>
  </w:footnote>
  <w:footnote w:id="5">
    <w:p w14:paraId="0B85BD61" w14:textId="3E9D1187" w:rsidR="00066415" w:rsidRPr="004C1BF6" w:rsidRDefault="00066415" w:rsidP="00E90EA6">
      <w:pPr>
        <w:pStyle w:val="Notedebasdepage"/>
      </w:pPr>
      <w:r>
        <w:rPr>
          <w:lang w:val="fr-FR"/>
        </w:rPr>
        <w:tab/>
      </w:r>
      <w:r w:rsidRPr="00DB2968">
        <w:rPr>
          <w:rStyle w:val="Appelnotedebasdep"/>
        </w:rPr>
        <w:footnoteRef/>
      </w:r>
      <w:r w:rsidR="00E90EA6">
        <w:rPr>
          <w:lang w:val="fr-FR"/>
        </w:rPr>
        <w:tab/>
      </w:r>
      <w:r w:rsidRPr="00E90EA6">
        <w:rPr>
          <w:lang w:val="fr-FR"/>
        </w:rPr>
        <w:t>La remorque de référence peut provenir d’un autre fabricant.</w:t>
      </w:r>
    </w:p>
  </w:footnote>
  <w:footnote w:id="6">
    <w:p w14:paraId="24BEFB25" w14:textId="52F6FC1C" w:rsidR="00066415" w:rsidRPr="004C1BF6" w:rsidRDefault="00066415" w:rsidP="00E90EA6">
      <w:pPr>
        <w:pStyle w:val="Notedebasdepage"/>
      </w:pPr>
      <w:r>
        <w:rPr>
          <w:lang w:val="fr-FR"/>
        </w:rPr>
        <w:tab/>
      </w:r>
      <w:r w:rsidRPr="00DB2968">
        <w:rPr>
          <w:rStyle w:val="Appelnotedebasdep"/>
        </w:rPr>
        <w:footnoteRef/>
      </w:r>
      <w:r w:rsidR="00E90EA6">
        <w:rPr>
          <w:lang w:val="fr-FR"/>
        </w:rPr>
        <w:tab/>
      </w:r>
      <w:r>
        <w:rPr>
          <w:lang w:val="fr-FR"/>
        </w:rPr>
        <w:t>Biffer les mentions inutiles.</w:t>
      </w:r>
    </w:p>
  </w:footnote>
  <w:footnote w:id="7">
    <w:p w14:paraId="4DB58A2A" w14:textId="3485CF0A" w:rsidR="00066415" w:rsidRPr="004C1BF6" w:rsidRDefault="00066415" w:rsidP="00E90EA6">
      <w:pPr>
        <w:pStyle w:val="Notedebasdepage"/>
      </w:pPr>
      <w:r>
        <w:rPr>
          <w:lang w:val="fr-FR"/>
        </w:rPr>
        <w:tab/>
      </w:r>
      <w:r w:rsidRPr="00DB2968">
        <w:rPr>
          <w:rStyle w:val="Appelnotedebasdep"/>
        </w:rPr>
        <w:footnoteRef/>
      </w:r>
      <w:r w:rsidR="00E90EA6">
        <w:rPr>
          <w:lang w:val="fr-FR"/>
        </w:rPr>
        <w:tab/>
      </w:r>
      <w:r>
        <w:rPr>
          <w:lang w:val="fr-FR"/>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44CE" w14:textId="7F8C563B" w:rsidR="00066415" w:rsidRPr="00613BD4" w:rsidRDefault="00066415">
    <w:pPr>
      <w:pStyle w:val="En-tte"/>
    </w:pPr>
    <w:fldSimple w:instr=" TITLE  \* MERGEFORMAT ">
      <w:r w:rsidR="00A302F3">
        <w:t>ECE/TRANS/WP.29/GRBP/2021/20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608B" w14:textId="1A3EA4E1" w:rsidR="00066415" w:rsidRPr="00613BD4" w:rsidRDefault="00066415" w:rsidP="00613BD4">
    <w:pPr>
      <w:pStyle w:val="En-tte"/>
      <w:jc w:val="right"/>
    </w:pPr>
    <w:fldSimple w:instr=" TITLE  \* MERGEFORMAT ">
      <w:r w:rsidR="00A302F3">
        <w:t>ECE/TRANS/WP.29/GRBP/2021/20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79F5"/>
    <w:multiLevelType w:val="multilevel"/>
    <w:tmpl w:val="DDFCC6EE"/>
    <w:lvl w:ilvl="0">
      <w:start w:val="4"/>
      <w:numFmt w:val="decimal"/>
      <w:lvlText w:val="%1.1."/>
      <w:lvlJc w:val="left"/>
      <w:pPr>
        <w:ind w:left="3130" w:hanging="360"/>
      </w:pPr>
      <w:rPr>
        <w:rFonts w:hint="default"/>
      </w:rPr>
    </w:lvl>
    <w:lvl w:ilvl="1">
      <w:start w:val="1"/>
      <w:numFmt w:val="decimal"/>
      <w:lvlText w:val="%2."/>
      <w:lvlJc w:val="left"/>
      <w:pPr>
        <w:ind w:left="3850" w:hanging="360"/>
      </w:pPr>
      <w:rPr>
        <w:rFonts w:hint="default"/>
      </w:rPr>
    </w:lvl>
    <w:lvl w:ilvl="2">
      <w:start w:val="2"/>
      <w:numFmt w:val="decimal"/>
      <w:lvlText w:val="%3."/>
      <w:lvlJc w:val="right"/>
      <w:pPr>
        <w:ind w:left="4570" w:hanging="180"/>
      </w:pPr>
      <w:rPr>
        <w:rFonts w:hint="default"/>
      </w:rPr>
    </w:lvl>
    <w:lvl w:ilvl="3">
      <w:start w:val="1"/>
      <w:numFmt w:val="decimal"/>
      <w:lvlText w:val="%4."/>
      <w:lvlJc w:val="left"/>
      <w:pPr>
        <w:ind w:left="5290" w:hanging="360"/>
      </w:pPr>
      <w:rPr>
        <w:rFonts w:hint="default"/>
      </w:rPr>
    </w:lvl>
    <w:lvl w:ilvl="4">
      <w:start w:val="1"/>
      <w:numFmt w:val="lowerLetter"/>
      <w:lvlText w:val="%5."/>
      <w:lvlJc w:val="left"/>
      <w:pPr>
        <w:ind w:left="6010" w:hanging="360"/>
      </w:pPr>
      <w:rPr>
        <w:rFonts w:hint="default"/>
      </w:rPr>
    </w:lvl>
    <w:lvl w:ilvl="5">
      <w:start w:val="1"/>
      <w:numFmt w:val="lowerRoman"/>
      <w:lvlText w:val="%6."/>
      <w:lvlJc w:val="right"/>
      <w:pPr>
        <w:ind w:left="6730" w:hanging="180"/>
      </w:pPr>
      <w:rPr>
        <w:rFonts w:hint="default"/>
      </w:rPr>
    </w:lvl>
    <w:lvl w:ilvl="6">
      <w:start w:val="1"/>
      <w:numFmt w:val="decimal"/>
      <w:lvlText w:val="%7."/>
      <w:lvlJc w:val="left"/>
      <w:pPr>
        <w:ind w:left="7450" w:hanging="360"/>
      </w:pPr>
      <w:rPr>
        <w:rFonts w:hint="default"/>
      </w:rPr>
    </w:lvl>
    <w:lvl w:ilvl="7">
      <w:start w:val="1"/>
      <w:numFmt w:val="lowerLetter"/>
      <w:lvlText w:val="%8."/>
      <w:lvlJc w:val="left"/>
      <w:pPr>
        <w:ind w:left="8170" w:hanging="360"/>
      </w:pPr>
      <w:rPr>
        <w:rFonts w:hint="default"/>
      </w:rPr>
    </w:lvl>
    <w:lvl w:ilvl="8">
      <w:start w:val="1"/>
      <w:numFmt w:val="lowerRoman"/>
      <w:lvlText w:val="%9."/>
      <w:lvlJc w:val="right"/>
      <w:pPr>
        <w:ind w:left="8890" w:hanging="180"/>
      </w:pPr>
      <w:rPr>
        <w:rFonts w:hint="default"/>
      </w:rPr>
    </w:lvl>
  </w:abstractNum>
  <w:abstractNum w:abstractNumId="11" w15:restartNumberingAfterBreak="0">
    <w:nsid w:val="03A622F9"/>
    <w:multiLevelType w:val="multilevel"/>
    <w:tmpl w:val="BCB0654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271" w:hanging="1136"/>
      </w:pPr>
      <w:rPr>
        <w:rFonts w:ascii="Times New Roman" w:eastAsia="Times New Roman" w:hAnsi="Times New Roman" w:hint="default"/>
        <w:color w:val="auto"/>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12" w15:restartNumberingAfterBreak="0">
    <w:nsid w:val="0B3D5461"/>
    <w:multiLevelType w:val="multilevel"/>
    <w:tmpl w:val="704A23B0"/>
    <w:lvl w:ilvl="0">
      <w:start w:val="2"/>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13" w15:restartNumberingAfterBreak="0">
    <w:nsid w:val="0D4E1D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3761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4E6FEF"/>
    <w:multiLevelType w:val="hybridMultilevel"/>
    <w:tmpl w:val="0A3A93AA"/>
    <w:lvl w:ilvl="0" w:tplc="2D6CDC74">
      <w:start w:val="1"/>
      <w:numFmt w:val="lowerLetter"/>
      <w:lvlText w:val="%1)"/>
      <w:lvlJc w:val="left"/>
      <w:pPr>
        <w:ind w:left="1440" w:hanging="360"/>
      </w:pPr>
      <w:rPr>
        <w:rFonts w:ascii="TimesNewRomanPSMT" w:hAnsi="TimesNewRomanPSMT" w:hint="default"/>
        <w:color w:val="000000"/>
        <w:sz w:val="2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296D7B93"/>
    <w:multiLevelType w:val="multilevel"/>
    <w:tmpl w:val="35F2FD7E"/>
    <w:lvl w:ilvl="0">
      <w:start w:val="1"/>
      <w:numFmt w:val="bullet"/>
      <w:lvlText w:val=""/>
      <w:lvlJc w:val="left"/>
      <w:pPr>
        <w:ind w:left="3260" w:hanging="1136"/>
      </w:pPr>
      <w:rPr>
        <w:rFonts w:ascii="Symbol" w:hAnsi="Symbol" w:hint="default"/>
        <w:sz w:val="20"/>
        <w:szCs w:val="20"/>
      </w:rPr>
    </w:lvl>
    <w:lvl w:ilvl="1">
      <w:start w:val="1"/>
      <w:numFmt w:val="decimal"/>
      <w:lvlText w:val="%1.%2."/>
      <w:lvlJc w:val="left"/>
      <w:pPr>
        <w:ind w:left="3395" w:hanging="1136"/>
      </w:pPr>
      <w:rPr>
        <w:rFonts w:ascii="Times New Roman" w:eastAsia="Times New Roman" w:hAnsi="Times New Roman" w:hint="default"/>
        <w:sz w:val="20"/>
        <w:szCs w:val="20"/>
      </w:rPr>
    </w:lvl>
    <w:lvl w:ilvl="2">
      <w:start w:val="1"/>
      <w:numFmt w:val="bullet"/>
      <w:lvlText w:val="•"/>
      <w:lvlJc w:val="left"/>
      <w:pPr>
        <w:ind w:left="3260" w:hanging="1136"/>
      </w:pPr>
      <w:rPr>
        <w:rFonts w:hint="default"/>
      </w:rPr>
    </w:lvl>
    <w:lvl w:ilvl="3">
      <w:start w:val="1"/>
      <w:numFmt w:val="bullet"/>
      <w:lvlText w:val="•"/>
      <w:lvlJc w:val="left"/>
      <w:pPr>
        <w:ind w:left="3260" w:hanging="1136"/>
      </w:pPr>
      <w:rPr>
        <w:rFonts w:hint="default"/>
      </w:rPr>
    </w:lvl>
    <w:lvl w:ilvl="4">
      <w:start w:val="1"/>
      <w:numFmt w:val="bullet"/>
      <w:lvlText w:val="•"/>
      <w:lvlJc w:val="left"/>
      <w:pPr>
        <w:ind w:left="4334" w:hanging="1136"/>
      </w:pPr>
      <w:rPr>
        <w:rFonts w:hint="default"/>
      </w:rPr>
    </w:lvl>
    <w:lvl w:ilvl="5">
      <w:start w:val="1"/>
      <w:numFmt w:val="bullet"/>
      <w:lvlText w:val="•"/>
      <w:lvlJc w:val="left"/>
      <w:pPr>
        <w:ind w:left="5409" w:hanging="1136"/>
      </w:pPr>
      <w:rPr>
        <w:rFonts w:hint="default"/>
      </w:rPr>
    </w:lvl>
    <w:lvl w:ilvl="6">
      <w:start w:val="1"/>
      <w:numFmt w:val="bullet"/>
      <w:lvlText w:val="•"/>
      <w:lvlJc w:val="left"/>
      <w:pPr>
        <w:ind w:left="6483" w:hanging="1136"/>
      </w:pPr>
      <w:rPr>
        <w:rFonts w:hint="default"/>
      </w:rPr>
    </w:lvl>
    <w:lvl w:ilvl="7">
      <w:start w:val="1"/>
      <w:numFmt w:val="bullet"/>
      <w:lvlText w:val="•"/>
      <w:lvlJc w:val="left"/>
      <w:pPr>
        <w:ind w:left="7557" w:hanging="1136"/>
      </w:pPr>
      <w:rPr>
        <w:rFonts w:hint="default"/>
      </w:rPr>
    </w:lvl>
    <w:lvl w:ilvl="8">
      <w:start w:val="1"/>
      <w:numFmt w:val="bullet"/>
      <w:lvlText w:val="•"/>
      <w:lvlJc w:val="left"/>
      <w:pPr>
        <w:ind w:left="8631" w:hanging="1136"/>
      </w:pPr>
      <w:rPr>
        <w:rFonts w:hint="default"/>
      </w:rPr>
    </w:lvl>
  </w:abstractNum>
  <w:abstractNum w:abstractNumId="18" w15:restartNumberingAfterBreak="0">
    <w:nsid w:val="2F5E6C0E"/>
    <w:multiLevelType w:val="multilevel"/>
    <w:tmpl w:val="09F07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32568"/>
    <w:multiLevelType w:val="hybridMultilevel"/>
    <w:tmpl w:val="0A3A93AA"/>
    <w:lvl w:ilvl="0" w:tplc="2D6CDC74">
      <w:start w:val="1"/>
      <w:numFmt w:val="lowerLetter"/>
      <w:lvlText w:val="%1)"/>
      <w:lvlJc w:val="left"/>
      <w:pPr>
        <w:ind w:left="720" w:hanging="360"/>
      </w:pPr>
      <w:rPr>
        <w:rFonts w:ascii="TimesNewRomanPSMT" w:hAnsi="TimesNewRomanPSMT" w:hint="default"/>
        <w:color w:val="00000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8A97AC3"/>
    <w:multiLevelType w:val="multilevel"/>
    <w:tmpl w:val="0AC21502"/>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555" w:hanging="1136"/>
      </w:pPr>
      <w:rPr>
        <w:rFonts w:ascii="Times New Roman" w:eastAsia="Times New Roman" w:hAnsi="Times New Roman" w:hint="default"/>
        <w:sz w:val="20"/>
        <w:szCs w:val="20"/>
      </w:rPr>
    </w:lvl>
    <w:lvl w:ilvl="2">
      <w:start w:val="1"/>
      <w:numFmt w:val="bullet"/>
      <w:lvlText w:val="•"/>
      <w:lvlJc w:val="left"/>
      <w:pPr>
        <w:ind w:left="2420" w:hanging="1136"/>
      </w:pPr>
      <w:rPr>
        <w:rFonts w:hint="default"/>
      </w:rPr>
    </w:lvl>
    <w:lvl w:ilvl="3">
      <w:start w:val="1"/>
      <w:numFmt w:val="bullet"/>
      <w:lvlText w:val="•"/>
      <w:lvlJc w:val="left"/>
      <w:pPr>
        <w:ind w:left="2420" w:hanging="1136"/>
      </w:pPr>
      <w:rPr>
        <w:rFonts w:hint="default"/>
      </w:rPr>
    </w:lvl>
    <w:lvl w:ilvl="4">
      <w:start w:val="1"/>
      <w:numFmt w:val="bullet"/>
      <w:lvlText w:val="•"/>
      <w:lvlJc w:val="left"/>
      <w:pPr>
        <w:ind w:left="3494" w:hanging="1136"/>
      </w:pPr>
      <w:rPr>
        <w:rFonts w:hint="default"/>
      </w:rPr>
    </w:lvl>
    <w:lvl w:ilvl="5">
      <w:start w:val="1"/>
      <w:numFmt w:val="bullet"/>
      <w:lvlText w:val="•"/>
      <w:lvlJc w:val="left"/>
      <w:pPr>
        <w:ind w:left="4569" w:hanging="1136"/>
      </w:pPr>
      <w:rPr>
        <w:rFonts w:hint="default"/>
      </w:rPr>
    </w:lvl>
    <w:lvl w:ilvl="6">
      <w:start w:val="1"/>
      <w:numFmt w:val="bullet"/>
      <w:lvlText w:val="•"/>
      <w:lvlJc w:val="left"/>
      <w:pPr>
        <w:ind w:left="5643" w:hanging="1136"/>
      </w:pPr>
      <w:rPr>
        <w:rFonts w:hint="default"/>
      </w:rPr>
    </w:lvl>
    <w:lvl w:ilvl="7">
      <w:start w:val="1"/>
      <w:numFmt w:val="bullet"/>
      <w:lvlText w:val="•"/>
      <w:lvlJc w:val="left"/>
      <w:pPr>
        <w:ind w:left="6717" w:hanging="1136"/>
      </w:pPr>
      <w:rPr>
        <w:rFonts w:hint="default"/>
      </w:rPr>
    </w:lvl>
    <w:lvl w:ilvl="8">
      <w:start w:val="1"/>
      <w:numFmt w:val="bullet"/>
      <w:lvlText w:val="•"/>
      <w:lvlJc w:val="left"/>
      <w:pPr>
        <w:ind w:left="7791" w:hanging="1136"/>
      </w:pPr>
      <w:rPr>
        <w:rFonts w:hint="default"/>
      </w:r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F206180"/>
    <w:multiLevelType w:val="multilevel"/>
    <w:tmpl w:val="4D0AE6A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BF0C29"/>
    <w:multiLevelType w:val="multilevel"/>
    <w:tmpl w:val="408A7800"/>
    <w:lvl w:ilvl="0">
      <w:start w:val="1"/>
      <w:numFmt w:val="decimal"/>
      <w:lvlText w:val="%1."/>
      <w:lvlJc w:val="left"/>
      <w:pPr>
        <w:ind w:left="2420" w:hanging="1136"/>
      </w:pPr>
      <w:rPr>
        <w:rFonts w:ascii="Times New Roman" w:eastAsia="Times New Roman" w:hAnsi="Times New Roman" w:hint="default"/>
        <w:sz w:val="20"/>
        <w:szCs w:val="20"/>
      </w:rPr>
    </w:lvl>
    <w:lvl w:ilvl="1">
      <w:start w:val="1"/>
      <w:numFmt w:val="decimal"/>
      <w:lvlText w:val="%1.%2."/>
      <w:lvlJc w:val="left"/>
      <w:pPr>
        <w:ind w:left="2420" w:hanging="1136"/>
      </w:pPr>
      <w:rPr>
        <w:rFonts w:ascii="Times New Roman" w:eastAsia="Times New Roman" w:hAnsi="Times New Roman" w:hint="default"/>
        <w:sz w:val="20"/>
        <w:szCs w:val="20"/>
      </w:rPr>
    </w:lvl>
    <w:lvl w:ilvl="2">
      <w:start w:val="1"/>
      <w:numFmt w:val="decimal"/>
      <w:lvlText w:val="%1.%2.%3."/>
      <w:lvlJc w:val="left"/>
      <w:pPr>
        <w:ind w:left="2420" w:hanging="1136"/>
      </w:pPr>
      <w:rPr>
        <w:rFonts w:ascii="Times New Roman" w:eastAsia="Times New Roman" w:hAnsi="Times New Roman" w:hint="default"/>
        <w:sz w:val="20"/>
        <w:szCs w:val="20"/>
      </w:rPr>
    </w:lvl>
    <w:lvl w:ilvl="3">
      <w:start w:val="1"/>
      <w:numFmt w:val="decimal"/>
      <w:lvlText w:val="%1.%2.%3.%4."/>
      <w:lvlJc w:val="left"/>
      <w:pPr>
        <w:ind w:left="2420" w:hanging="1136"/>
      </w:pPr>
      <w:rPr>
        <w:rFonts w:ascii="Times New Roman" w:eastAsia="Times New Roman" w:hAnsi="Times New Roman" w:hint="default"/>
        <w:sz w:val="20"/>
        <w:szCs w:val="20"/>
      </w:rPr>
    </w:lvl>
    <w:lvl w:ilvl="4">
      <w:start w:val="1"/>
      <w:numFmt w:val="decimal"/>
      <w:lvlText w:val="%1.%2.%3.%4.%5."/>
      <w:lvlJc w:val="left"/>
      <w:pPr>
        <w:ind w:left="2420" w:hanging="1136"/>
      </w:pPr>
      <w:rPr>
        <w:rFonts w:ascii="Times New Roman" w:eastAsia="Times New Roman" w:hAnsi="Times New Roman" w:hint="default"/>
        <w:sz w:val="20"/>
        <w:szCs w:val="20"/>
      </w:rPr>
    </w:lvl>
    <w:lvl w:ilvl="5">
      <w:start w:val="1"/>
      <w:numFmt w:val="bullet"/>
      <w:lvlText w:val="•"/>
      <w:lvlJc w:val="left"/>
      <w:pPr>
        <w:ind w:left="2420" w:hanging="1136"/>
      </w:pPr>
      <w:rPr>
        <w:rFonts w:hint="default"/>
      </w:rPr>
    </w:lvl>
    <w:lvl w:ilvl="6">
      <w:start w:val="1"/>
      <w:numFmt w:val="bullet"/>
      <w:lvlText w:val="•"/>
      <w:lvlJc w:val="left"/>
      <w:pPr>
        <w:ind w:left="2420" w:hanging="1136"/>
      </w:pPr>
      <w:rPr>
        <w:rFonts w:hint="default"/>
      </w:rPr>
    </w:lvl>
    <w:lvl w:ilvl="7">
      <w:start w:val="1"/>
      <w:numFmt w:val="bullet"/>
      <w:lvlText w:val="•"/>
      <w:lvlJc w:val="left"/>
      <w:pPr>
        <w:ind w:left="2420" w:hanging="1136"/>
      </w:pPr>
      <w:rPr>
        <w:rFonts w:hint="default"/>
      </w:rPr>
    </w:lvl>
    <w:lvl w:ilvl="8">
      <w:start w:val="1"/>
      <w:numFmt w:val="bullet"/>
      <w:lvlText w:val="•"/>
      <w:lvlJc w:val="left"/>
      <w:pPr>
        <w:ind w:left="2420" w:hanging="1136"/>
      </w:pPr>
      <w:rPr>
        <w:rFonts w:hint="default"/>
      </w:rPr>
    </w:lvl>
  </w:abstractNum>
  <w:abstractNum w:abstractNumId="24" w15:restartNumberingAfterBreak="0">
    <w:nsid w:val="4CA64E05"/>
    <w:multiLevelType w:val="multilevel"/>
    <w:tmpl w:val="0E3A45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10164F"/>
    <w:multiLevelType w:val="multilevel"/>
    <w:tmpl w:val="1D6635A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lvlText w:val="%1.%2.%3."/>
      <w:lvlJc w:val="left"/>
      <w:pPr>
        <w:ind w:left="2784" w:hanging="504"/>
      </w:pPr>
      <w:rPr>
        <w:rFonts w:hint="default"/>
      </w:rPr>
    </w:lvl>
    <w:lvl w:ilvl="3">
      <w:start w:val="1"/>
      <w:numFmt w:val="decimal"/>
      <w:lvlText w:val="%1.%2.%3.%4."/>
      <w:lvlJc w:val="left"/>
      <w:pPr>
        <w:ind w:left="3288" w:hanging="648"/>
      </w:pPr>
      <w:rPr>
        <w:rFonts w:hint="default"/>
      </w:rPr>
    </w:lvl>
    <w:lvl w:ilvl="4">
      <w:start w:val="1"/>
      <w:numFmt w:val="decimal"/>
      <w:lvlText w:val="%1.%2.%3.%4.%5."/>
      <w:lvlJc w:val="left"/>
      <w:pPr>
        <w:ind w:left="3792" w:hanging="792"/>
      </w:pPr>
      <w:rPr>
        <w:rFonts w:hint="default"/>
      </w:rPr>
    </w:lvl>
    <w:lvl w:ilvl="5">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26" w15:restartNumberingAfterBreak="0">
    <w:nsid w:val="5D781C8D"/>
    <w:multiLevelType w:val="hybridMultilevel"/>
    <w:tmpl w:val="FD568974"/>
    <w:lvl w:ilvl="0" w:tplc="4B8463E4">
      <w:start w:val="1"/>
      <w:numFmt w:val="lowerLetter"/>
      <w:lvlText w:val="%1)"/>
      <w:lvlJc w:val="left"/>
      <w:pPr>
        <w:ind w:left="1440" w:hanging="360"/>
      </w:pPr>
      <w:rPr>
        <w:rFonts w:ascii="TimesNewRomanPSMT" w:hAnsi="TimesNewRomanPSMT" w:hint="default"/>
        <w:color w:val="00000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6749E5"/>
    <w:multiLevelType w:val="multilevel"/>
    <w:tmpl w:val="0E3A45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EFB7080"/>
    <w:multiLevelType w:val="hybridMultilevel"/>
    <w:tmpl w:val="6494FCFE"/>
    <w:lvl w:ilvl="0" w:tplc="E3641034">
      <w:start w:val="1"/>
      <w:numFmt w:val="lowerLetter"/>
      <w:lvlText w:val="%1)"/>
      <w:lvlJc w:val="left"/>
      <w:pPr>
        <w:ind w:left="1440" w:hanging="360"/>
      </w:pPr>
      <w:rPr>
        <w:rFonts w:ascii="TimesNewRomanPSMT" w:hAnsi="TimesNewRomanPSMT" w:hint="default"/>
        <w:color w:val="00000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3006A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8"/>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1"/>
  </w:num>
  <w:num w:numId="16">
    <w:abstractNumId w:val="14"/>
  </w:num>
  <w:num w:numId="17">
    <w:abstractNumId w:val="13"/>
  </w:num>
  <w:num w:numId="18">
    <w:abstractNumId w:val="15"/>
  </w:num>
  <w:num w:numId="19">
    <w:abstractNumId w:val="31"/>
  </w:num>
  <w:num w:numId="20">
    <w:abstractNumId w:val="30"/>
  </w:num>
  <w:num w:numId="21">
    <w:abstractNumId w:val="25"/>
    <w:lvlOverride w:ilvl="0">
      <w:lvl w:ilvl="0">
        <w:start w:val="1"/>
        <w:numFmt w:val="decimal"/>
        <w:lvlText w:val="%1."/>
        <w:lvlJc w:val="left"/>
        <w:pPr>
          <w:ind w:left="1920" w:hanging="360"/>
        </w:pPr>
        <w:rPr>
          <w:rFonts w:hint="default"/>
        </w:rPr>
      </w:lvl>
    </w:lvlOverride>
  </w:num>
  <w:num w:numId="22">
    <w:abstractNumId w:val="24"/>
  </w:num>
  <w:num w:numId="23">
    <w:abstractNumId w:val="12"/>
  </w:num>
  <w:num w:numId="24">
    <w:abstractNumId w:val="18"/>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25">
    <w:abstractNumId w:val="11"/>
    <w:lvlOverride w:ilvl="0">
      <w:lvl w:ilvl="0">
        <w:start w:val="1"/>
        <w:numFmt w:val="decimal"/>
        <w:lvlText w:val="%1."/>
        <w:lvlJc w:val="left"/>
        <w:pPr>
          <w:ind w:left="2420" w:hanging="1136"/>
        </w:pPr>
        <w:rPr>
          <w:rFonts w:ascii="Times New Roman" w:eastAsia="Times New Roman" w:hAnsi="Times New Roman" w:hint="default"/>
          <w:sz w:val="20"/>
          <w:szCs w:val="20"/>
        </w:rPr>
      </w:lvl>
    </w:lvlOverride>
    <w:lvlOverride w:ilvl="1">
      <w:lvl w:ilvl="1">
        <w:start w:val="1"/>
        <w:numFmt w:val="decimal"/>
        <w:lvlText w:val="%1.%2."/>
        <w:lvlJc w:val="left"/>
        <w:pPr>
          <w:ind w:left="2271" w:hanging="1136"/>
        </w:pPr>
        <w:rPr>
          <w:rFonts w:ascii="Times New Roman" w:eastAsia="Times New Roman" w:hAnsi="Times New Roman" w:hint="default"/>
          <w:color w:val="auto"/>
          <w:sz w:val="20"/>
          <w:szCs w:val="20"/>
        </w:rPr>
      </w:lvl>
    </w:lvlOverride>
  </w:num>
  <w:num w:numId="26">
    <w:abstractNumId w:val="17"/>
    <w:lvlOverride w:ilvl="0">
      <w:lvl w:ilvl="0">
        <w:start w:val="1"/>
        <w:numFmt w:val="bullet"/>
        <w:lvlText w:val=""/>
        <w:lvlJc w:val="left"/>
        <w:pPr>
          <w:ind w:left="3260" w:hanging="1136"/>
        </w:pPr>
        <w:rPr>
          <w:rFonts w:ascii="Symbol" w:hAnsi="Symbol" w:hint="default"/>
          <w:sz w:val="20"/>
          <w:szCs w:val="20"/>
        </w:rPr>
      </w:lvl>
    </w:lvlOverride>
  </w:num>
  <w:num w:numId="27">
    <w:abstractNumId w:val="23"/>
    <w:lvlOverride w:ilvl="0">
      <w:lvl w:ilvl="0">
        <w:start w:val="1"/>
        <w:numFmt w:val="decimal"/>
        <w:lvlText w:val="%1."/>
        <w:lvlJc w:val="left"/>
        <w:pPr>
          <w:ind w:left="2420" w:hanging="1136"/>
        </w:pPr>
        <w:rPr>
          <w:rFonts w:ascii="Times New Roman" w:eastAsia="Times New Roman" w:hAnsi="Times New Roman" w:hint="default"/>
          <w:sz w:val="20"/>
          <w:szCs w:val="20"/>
        </w:rPr>
      </w:lvl>
    </w:lvlOverride>
    <w:lvlOverride w:ilvl="1">
      <w:lvl w:ilvl="1">
        <w:start w:val="1"/>
        <w:numFmt w:val="decimal"/>
        <w:lvlText w:val="%1.%2."/>
        <w:lvlJc w:val="left"/>
        <w:pPr>
          <w:ind w:left="2420" w:hanging="1136"/>
        </w:pPr>
        <w:rPr>
          <w:rFonts w:ascii="Times New Roman" w:eastAsia="Times New Roman" w:hAnsi="Times New Roman" w:hint="default"/>
          <w:sz w:val="20"/>
          <w:szCs w:val="20"/>
        </w:rPr>
      </w:lvl>
    </w:lvlOverride>
    <w:lvlOverride w:ilvl="2">
      <w:lvl w:ilvl="2">
        <w:start w:val="1"/>
        <w:numFmt w:val="decimal"/>
        <w:lvlText w:val="%1.%2.%3."/>
        <w:lvlJc w:val="left"/>
        <w:pPr>
          <w:ind w:left="2420" w:hanging="1136"/>
        </w:pPr>
        <w:rPr>
          <w:rFonts w:ascii="Times New Roman" w:eastAsia="Times New Roman" w:hAnsi="Times New Roman" w:hint="default"/>
          <w:sz w:val="20"/>
          <w:szCs w:val="20"/>
        </w:rPr>
      </w:lvl>
    </w:lvlOverride>
  </w:num>
  <w:num w:numId="28">
    <w:abstractNumId w:val="20"/>
    <w:lvlOverride w:ilvl="0">
      <w:lvl w:ilvl="0">
        <w:start w:val="1"/>
        <w:numFmt w:val="decimal"/>
        <w:lvlText w:val="%1."/>
        <w:lvlJc w:val="left"/>
        <w:pPr>
          <w:ind w:left="2420" w:hanging="1136"/>
        </w:pPr>
        <w:rPr>
          <w:rFonts w:ascii="Times New Roman" w:eastAsia="Times New Roman" w:hAnsi="Times New Roman" w:hint="default"/>
          <w:sz w:val="20"/>
          <w:szCs w:val="20"/>
        </w:rPr>
      </w:lvl>
    </w:lvlOverride>
    <w:lvlOverride w:ilvl="1">
      <w:lvl w:ilvl="1">
        <w:start w:val="1"/>
        <w:numFmt w:val="decimal"/>
        <w:lvlText w:val="%1.%2."/>
        <w:lvlJc w:val="left"/>
        <w:pPr>
          <w:ind w:left="2555" w:hanging="1136"/>
        </w:pPr>
        <w:rPr>
          <w:rFonts w:ascii="Times New Roman" w:eastAsia="Times New Roman" w:hAnsi="Times New Roman" w:hint="default"/>
          <w:sz w:val="20"/>
          <w:szCs w:val="20"/>
        </w:rPr>
      </w:lvl>
    </w:lvlOverride>
  </w:num>
  <w:num w:numId="29">
    <w:abstractNumId w:val="27"/>
  </w:num>
  <w:num w:numId="30">
    <w:abstractNumId w:val="22"/>
  </w:num>
  <w:num w:numId="31">
    <w:abstractNumId w:val="10"/>
    <w:lvlOverride w:ilvl="0">
      <w:lvl w:ilvl="0">
        <w:start w:val="4"/>
        <w:numFmt w:val="decimal"/>
        <w:lvlText w:val="%1.1."/>
        <w:lvlJc w:val="left"/>
        <w:pPr>
          <w:ind w:left="3130" w:hanging="360"/>
        </w:pPr>
        <w:rPr>
          <w:rFonts w:hint="default"/>
        </w:rPr>
      </w:lvl>
    </w:lvlOverride>
  </w:num>
  <w:num w:numId="32">
    <w:abstractNumId w:val="16"/>
  </w:num>
  <w:num w:numId="33">
    <w:abstractNumId w:val="19"/>
  </w:num>
  <w:num w:numId="34">
    <w:abstractNumId w:val="29"/>
  </w:num>
  <w:num w:numId="35">
    <w:abstractNumId w:val="2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startOverride w:val="1"/>
    </w:lvlOverride>
  </w:num>
  <w:num w:numId="37">
    <w:abstractNumId w:val="28"/>
  </w:num>
  <w:num w:numId="38">
    <w:abstractNumId w:val="28"/>
  </w:num>
  <w:num w:numId="39">
    <w:abstractNumId w:val="2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74"/>
    <w:rsid w:val="00017F94"/>
    <w:rsid w:val="00023842"/>
    <w:rsid w:val="000334F9"/>
    <w:rsid w:val="00045FEB"/>
    <w:rsid w:val="00066415"/>
    <w:rsid w:val="0007796D"/>
    <w:rsid w:val="000B7790"/>
    <w:rsid w:val="000E6515"/>
    <w:rsid w:val="00111F2F"/>
    <w:rsid w:val="0014365E"/>
    <w:rsid w:val="00143C66"/>
    <w:rsid w:val="00176178"/>
    <w:rsid w:val="001A6F53"/>
    <w:rsid w:val="001F47CD"/>
    <w:rsid w:val="001F525A"/>
    <w:rsid w:val="00201148"/>
    <w:rsid w:val="00223272"/>
    <w:rsid w:val="0024779E"/>
    <w:rsid w:val="00257168"/>
    <w:rsid w:val="002741AD"/>
    <w:rsid w:val="002744B8"/>
    <w:rsid w:val="002832AC"/>
    <w:rsid w:val="002D7C93"/>
    <w:rsid w:val="00305801"/>
    <w:rsid w:val="003916DE"/>
    <w:rsid w:val="00421996"/>
    <w:rsid w:val="00441C3B"/>
    <w:rsid w:val="00446FE5"/>
    <w:rsid w:val="00452396"/>
    <w:rsid w:val="00477EB2"/>
    <w:rsid w:val="004837D8"/>
    <w:rsid w:val="004E2EED"/>
    <w:rsid w:val="004E468C"/>
    <w:rsid w:val="00545004"/>
    <w:rsid w:val="005505B7"/>
    <w:rsid w:val="00573BE5"/>
    <w:rsid w:val="00586ED3"/>
    <w:rsid w:val="00596AA9"/>
    <w:rsid w:val="005D6904"/>
    <w:rsid w:val="005F3903"/>
    <w:rsid w:val="00613BD4"/>
    <w:rsid w:val="0067723A"/>
    <w:rsid w:val="0071601D"/>
    <w:rsid w:val="007A62E6"/>
    <w:rsid w:val="007F20FA"/>
    <w:rsid w:val="0080684C"/>
    <w:rsid w:val="00827B94"/>
    <w:rsid w:val="00871C75"/>
    <w:rsid w:val="008776DC"/>
    <w:rsid w:val="008D5EF9"/>
    <w:rsid w:val="009446C0"/>
    <w:rsid w:val="009705C8"/>
    <w:rsid w:val="009C1CF4"/>
    <w:rsid w:val="009F6B74"/>
    <w:rsid w:val="00A3029F"/>
    <w:rsid w:val="00A302F3"/>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90EA6"/>
    <w:rsid w:val="00EA2F74"/>
    <w:rsid w:val="00EA6547"/>
    <w:rsid w:val="00ED7237"/>
    <w:rsid w:val="00EF2E22"/>
    <w:rsid w:val="00F35BAF"/>
    <w:rsid w:val="00F660DF"/>
    <w:rsid w:val="00F94664"/>
    <w:rsid w:val="00F9573C"/>
    <w:rsid w:val="00F95C08"/>
    <w:rsid w:val="00FD25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4A0DE"/>
  <w15:docId w15:val="{DC95A820-6841-49C5-A948-AEA8388C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57FDB-CB2D-4E61-B809-A90569321A7D}"/>
</file>

<file path=customXml/itemProps2.xml><?xml version="1.0" encoding="utf-8"?>
<ds:datastoreItem xmlns:ds="http://schemas.openxmlformats.org/officeDocument/2006/customXml" ds:itemID="{19A9A925-3861-4569-9FBC-9423DE48CBAE}"/>
</file>

<file path=customXml/itemProps3.xml><?xml version="1.0" encoding="utf-8"?>
<ds:datastoreItem xmlns:ds="http://schemas.openxmlformats.org/officeDocument/2006/customXml" ds:itemID="{70CE7DA7-C6E0-4B88-B2C0-5024CC209AE8}"/>
</file>

<file path=docProps/app.xml><?xml version="1.0" encoding="utf-8"?>
<Properties xmlns="http://schemas.openxmlformats.org/officeDocument/2006/extended-properties" xmlns:vt="http://schemas.openxmlformats.org/officeDocument/2006/docPropsVTypes">
  <Template>ECE_TRANS.dotm</Template>
  <TotalTime>0</TotalTime>
  <Pages>15</Pages>
  <Words>3587</Words>
  <Characters>20449</Characters>
  <Application>Microsoft Office Word</Application>
  <DocSecurity>0</DocSecurity>
  <Lines>511</Lines>
  <Paragraphs>289</Paragraphs>
  <ScaleCrop>false</ScaleCrop>
  <HeadingPairs>
    <vt:vector size="2" baseType="variant">
      <vt:variant>
        <vt:lpstr>Titre</vt:lpstr>
      </vt:variant>
      <vt:variant>
        <vt:i4>1</vt:i4>
      </vt:variant>
    </vt:vector>
  </HeadingPairs>
  <TitlesOfParts>
    <vt:vector size="1" baseType="lpstr">
      <vt:lpstr>ECE/TRANS/WP.29/GRBP/2021/20</vt:lpstr>
    </vt:vector>
  </TitlesOfParts>
  <Company>DCM</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ECE/TRANS/WP.29/GRBP/2021/20</dc:title>
  <dc:subject/>
  <dc:creator>Marie DESCHAMPS</dc:creator>
  <cp:keywords/>
  <cp:lastModifiedBy>Marie DESCHAMPS</cp:lastModifiedBy>
  <cp:revision>2</cp:revision>
  <cp:lastPrinted>2014-05-14T10:59:00Z</cp:lastPrinted>
  <dcterms:created xsi:type="dcterms:W3CDTF">2021-07-15T09:08:00Z</dcterms:created>
  <dcterms:modified xsi:type="dcterms:W3CDTF">2021-07-15T09:08:00Z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