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6E67A67" w14:textId="77777777" w:rsidTr="00C97039">
        <w:trPr>
          <w:trHeight w:hRule="exact" w:val="851"/>
        </w:trPr>
        <w:tc>
          <w:tcPr>
            <w:tcW w:w="1276" w:type="dxa"/>
            <w:tcBorders>
              <w:bottom w:val="single" w:sz="4" w:space="0" w:color="auto"/>
            </w:tcBorders>
          </w:tcPr>
          <w:p w14:paraId="24AFCFFB" w14:textId="77777777" w:rsidR="00F35BAF" w:rsidRPr="00DB58B5" w:rsidRDefault="00F35BAF" w:rsidP="008D06DE"/>
        </w:tc>
        <w:tc>
          <w:tcPr>
            <w:tcW w:w="2268" w:type="dxa"/>
            <w:tcBorders>
              <w:bottom w:val="single" w:sz="4" w:space="0" w:color="auto"/>
            </w:tcBorders>
            <w:vAlign w:val="bottom"/>
          </w:tcPr>
          <w:p w14:paraId="07CAA57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3A2D3F" w14:textId="1C19A80D" w:rsidR="00F35BAF" w:rsidRPr="00DB58B5" w:rsidRDefault="008D06DE" w:rsidP="008D06DE">
            <w:pPr>
              <w:jc w:val="right"/>
            </w:pPr>
            <w:r w:rsidRPr="008D06DE">
              <w:rPr>
                <w:sz w:val="40"/>
              </w:rPr>
              <w:t>ECE</w:t>
            </w:r>
            <w:r>
              <w:t>/TRANS/WP.29/GRBP/2021/14</w:t>
            </w:r>
          </w:p>
        </w:tc>
      </w:tr>
      <w:tr w:rsidR="00F35BAF" w:rsidRPr="00DB58B5" w14:paraId="02630C80" w14:textId="77777777" w:rsidTr="00C97039">
        <w:trPr>
          <w:trHeight w:hRule="exact" w:val="2835"/>
        </w:trPr>
        <w:tc>
          <w:tcPr>
            <w:tcW w:w="1276" w:type="dxa"/>
            <w:tcBorders>
              <w:top w:val="single" w:sz="4" w:space="0" w:color="auto"/>
              <w:bottom w:val="single" w:sz="12" w:space="0" w:color="auto"/>
            </w:tcBorders>
          </w:tcPr>
          <w:p w14:paraId="12F29F92" w14:textId="77777777" w:rsidR="00F35BAF" w:rsidRPr="00DB58B5" w:rsidRDefault="00F35BAF" w:rsidP="00C97039">
            <w:pPr>
              <w:spacing w:before="120"/>
              <w:jc w:val="center"/>
            </w:pPr>
            <w:r>
              <w:rPr>
                <w:noProof/>
                <w:lang w:eastAsia="fr-CH"/>
              </w:rPr>
              <w:drawing>
                <wp:inline distT="0" distB="0" distL="0" distR="0" wp14:anchorId="4E5E664C" wp14:editId="168740A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E04D4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5CA4EFC" w14:textId="77777777" w:rsidR="00F35BAF" w:rsidRDefault="008D06DE" w:rsidP="00C97039">
            <w:pPr>
              <w:spacing w:before="240"/>
            </w:pPr>
            <w:r>
              <w:t>Distr. générale</w:t>
            </w:r>
          </w:p>
          <w:p w14:paraId="7AF2735A" w14:textId="77777777" w:rsidR="008D06DE" w:rsidRDefault="008D06DE" w:rsidP="008D06DE">
            <w:pPr>
              <w:spacing w:line="240" w:lineRule="exact"/>
            </w:pPr>
            <w:r>
              <w:t>29 juin 2021</w:t>
            </w:r>
          </w:p>
          <w:p w14:paraId="7F47CE96" w14:textId="77777777" w:rsidR="008D06DE" w:rsidRDefault="008D06DE" w:rsidP="008D06DE">
            <w:pPr>
              <w:spacing w:line="240" w:lineRule="exact"/>
            </w:pPr>
            <w:r>
              <w:t>Français</w:t>
            </w:r>
          </w:p>
          <w:p w14:paraId="38006658" w14:textId="61B4365B" w:rsidR="008D06DE" w:rsidRPr="00DB58B5" w:rsidRDefault="008D06DE" w:rsidP="008D06DE">
            <w:pPr>
              <w:spacing w:line="240" w:lineRule="exact"/>
            </w:pPr>
            <w:r>
              <w:t>Original : anglais</w:t>
            </w:r>
          </w:p>
        </w:tc>
      </w:tr>
    </w:tbl>
    <w:p w14:paraId="2CE330DD" w14:textId="77777777" w:rsidR="007F20FA" w:rsidRPr="000312C0" w:rsidRDefault="007F20FA" w:rsidP="007F20FA">
      <w:pPr>
        <w:spacing w:before="120"/>
        <w:rPr>
          <w:b/>
          <w:sz w:val="28"/>
          <w:szCs w:val="28"/>
        </w:rPr>
      </w:pPr>
      <w:r w:rsidRPr="000312C0">
        <w:rPr>
          <w:b/>
          <w:sz w:val="28"/>
          <w:szCs w:val="28"/>
        </w:rPr>
        <w:t>Commission économique pour l’Europe</w:t>
      </w:r>
    </w:p>
    <w:p w14:paraId="22D66821" w14:textId="77777777" w:rsidR="007F20FA" w:rsidRDefault="007F20FA" w:rsidP="007F20FA">
      <w:pPr>
        <w:spacing w:before="120"/>
        <w:rPr>
          <w:sz w:val="28"/>
          <w:szCs w:val="28"/>
        </w:rPr>
      </w:pPr>
      <w:r w:rsidRPr="00685843">
        <w:rPr>
          <w:sz w:val="28"/>
          <w:szCs w:val="28"/>
        </w:rPr>
        <w:t>Comité des transports intérieurs</w:t>
      </w:r>
    </w:p>
    <w:p w14:paraId="6A572539" w14:textId="77777777" w:rsidR="008D06DE" w:rsidRPr="005A49AF" w:rsidRDefault="008D06DE" w:rsidP="005A49AF">
      <w:pPr>
        <w:spacing w:before="120" w:after="120"/>
        <w:rPr>
          <w:b/>
          <w:bCs/>
          <w:sz w:val="24"/>
          <w:szCs w:val="24"/>
        </w:rPr>
      </w:pPr>
      <w:r w:rsidRPr="005A49AF">
        <w:rPr>
          <w:b/>
          <w:bCs/>
          <w:sz w:val="24"/>
          <w:szCs w:val="24"/>
          <w:lang w:val="fr-FR"/>
        </w:rPr>
        <w:t xml:space="preserve">Forum mondial de l’harmonisation des Règlements concernant les véhicules </w:t>
      </w:r>
    </w:p>
    <w:p w14:paraId="2C3BF8D7" w14:textId="77777777" w:rsidR="008D06DE" w:rsidRPr="005A49AF" w:rsidRDefault="008D06DE" w:rsidP="005A49AF">
      <w:pPr>
        <w:spacing w:after="120"/>
        <w:rPr>
          <w:b/>
          <w:bCs/>
        </w:rPr>
      </w:pPr>
      <w:r w:rsidRPr="005A49AF">
        <w:rPr>
          <w:b/>
          <w:bCs/>
          <w:lang w:val="fr-FR"/>
        </w:rPr>
        <w:t xml:space="preserve">Groupe de travail du bruit et des pneumatiques </w:t>
      </w:r>
    </w:p>
    <w:p w14:paraId="13C6109F" w14:textId="77777777" w:rsidR="008D06DE" w:rsidRPr="005A49AF" w:rsidRDefault="008D06DE" w:rsidP="008D06DE">
      <w:pPr>
        <w:rPr>
          <w:b/>
          <w:bCs/>
        </w:rPr>
      </w:pPr>
      <w:r w:rsidRPr="005A49AF">
        <w:rPr>
          <w:b/>
          <w:bCs/>
          <w:lang w:val="fr-FR"/>
        </w:rPr>
        <w:t xml:space="preserve">Soixante-quatorzième session </w:t>
      </w:r>
    </w:p>
    <w:p w14:paraId="3078664D" w14:textId="77777777" w:rsidR="008D06DE" w:rsidRPr="00731830" w:rsidRDefault="008D06DE" w:rsidP="008D06DE">
      <w:r>
        <w:rPr>
          <w:lang w:val="fr-FR"/>
        </w:rPr>
        <w:t xml:space="preserve">Genève, 15-17 septembre 2021 </w:t>
      </w:r>
    </w:p>
    <w:p w14:paraId="15F956D7" w14:textId="77777777" w:rsidR="008D06DE" w:rsidRPr="00E03A64" w:rsidRDefault="008D06DE" w:rsidP="008D06DE">
      <w:r>
        <w:rPr>
          <w:lang w:val="fr-FR"/>
        </w:rPr>
        <w:t>Point 6 de l’ordre du jour provisoire</w:t>
      </w:r>
    </w:p>
    <w:p w14:paraId="198538CB" w14:textId="2FC0C90F" w:rsidR="008D06DE" w:rsidRPr="005A49AF" w:rsidRDefault="008D06DE" w:rsidP="008D06DE">
      <w:pPr>
        <w:rPr>
          <w:b/>
          <w:bCs/>
        </w:rPr>
      </w:pPr>
      <w:r w:rsidRPr="005A49AF">
        <w:rPr>
          <w:b/>
          <w:bCs/>
          <w:lang w:val="fr-FR"/>
        </w:rPr>
        <w:t xml:space="preserve">Règlement ONU </w:t>
      </w:r>
      <w:r w:rsidR="00985CEF">
        <w:rPr>
          <w:rFonts w:eastAsia="MS Mincho"/>
          <w:b/>
          <w:bCs/>
          <w:szCs w:val="22"/>
          <w:lang w:val="fr-FR"/>
        </w:rPr>
        <w:t>No </w:t>
      </w:r>
      <w:r w:rsidR="005A49AF">
        <w:rPr>
          <w:b/>
          <w:bCs/>
          <w:lang w:val="fr-FR"/>
        </w:rPr>
        <w:t>1</w:t>
      </w:r>
      <w:r w:rsidRPr="005A49AF">
        <w:rPr>
          <w:b/>
          <w:bCs/>
          <w:lang w:val="fr-FR"/>
        </w:rPr>
        <w:t>38 (Véhicules à moteur silencieux)</w:t>
      </w:r>
    </w:p>
    <w:p w14:paraId="26E0908D" w14:textId="72F70FB0" w:rsidR="008D06DE" w:rsidRPr="005A49AF" w:rsidRDefault="008D06DE" w:rsidP="005A49AF">
      <w:pPr>
        <w:pStyle w:val="HChG"/>
        <w:rPr>
          <w:sz w:val="36"/>
          <w:szCs w:val="24"/>
        </w:rPr>
      </w:pPr>
      <w:r w:rsidRPr="00DD63FF">
        <w:rPr>
          <w:lang w:val="fr-FR"/>
        </w:rPr>
        <w:tab/>
      </w:r>
      <w:r w:rsidRPr="00DD63FF">
        <w:rPr>
          <w:lang w:val="fr-FR"/>
        </w:rPr>
        <w:tab/>
        <w:t>Proposition de complément 3 à la série 01 d</w:t>
      </w:r>
      <w:r>
        <w:rPr>
          <w:lang w:val="fr-FR"/>
        </w:rPr>
        <w:t>’</w:t>
      </w:r>
      <w:r w:rsidRPr="00DD63FF">
        <w:rPr>
          <w:lang w:val="fr-FR"/>
        </w:rPr>
        <w:t xml:space="preserve">amendements </w:t>
      </w:r>
      <w:r w:rsidR="005A49AF">
        <w:rPr>
          <w:lang w:val="fr-FR"/>
        </w:rPr>
        <w:br/>
      </w:r>
      <w:r w:rsidRPr="00DD63FF">
        <w:rPr>
          <w:lang w:val="fr-FR"/>
        </w:rPr>
        <w:t xml:space="preserve">au Règlement ONU </w:t>
      </w:r>
      <w:r w:rsidR="00985CEF">
        <w:rPr>
          <w:rFonts w:eastAsia="MS Mincho"/>
          <w:szCs w:val="22"/>
          <w:lang w:val="fr-FR"/>
        </w:rPr>
        <w:t>No</w:t>
      </w:r>
      <w:r w:rsidR="005A49AF">
        <w:rPr>
          <w:lang w:val="fr-FR"/>
        </w:rPr>
        <w:t> </w:t>
      </w:r>
      <w:r w:rsidRPr="00DD63FF">
        <w:rPr>
          <w:lang w:val="fr-FR"/>
        </w:rPr>
        <w:t xml:space="preserve">138 </w:t>
      </w:r>
    </w:p>
    <w:p w14:paraId="10162BAC" w14:textId="422218DD" w:rsidR="008D06DE" w:rsidRDefault="008D06DE" w:rsidP="005A49AF">
      <w:pPr>
        <w:pStyle w:val="H1G"/>
      </w:pPr>
      <w:r>
        <w:rPr>
          <w:lang w:val="fr-FR"/>
        </w:rPr>
        <w:tab/>
      </w:r>
      <w:r>
        <w:rPr>
          <w:lang w:val="fr-FR"/>
        </w:rPr>
        <w:tab/>
        <w:t>Communication des experts de la France</w:t>
      </w:r>
      <w:r w:rsidR="005A49AF" w:rsidRPr="005A49AF">
        <w:rPr>
          <w:rStyle w:val="Appelnotedebasdep"/>
          <w:b w:val="0"/>
          <w:bCs/>
          <w:sz w:val="20"/>
          <w:vertAlign w:val="baseline"/>
        </w:rPr>
        <w:footnoteReference w:customMarkFollows="1" w:id="2"/>
        <w:t>*</w:t>
      </w:r>
    </w:p>
    <w:p w14:paraId="4070FC40" w14:textId="77E38483" w:rsidR="008D06DE" w:rsidRPr="005A49AF" w:rsidRDefault="008D06DE" w:rsidP="005A49AF">
      <w:pPr>
        <w:pStyle w:val="SingleTxtG"/>
        <w:ind w:firstLine="567"/>
        <w:rPr>
          <w:sz w:val="24"/>
        </w:rPr>
      </w:pPr>
      <w:r>
        <w:rPr>
          <w:lang w:val="fr-FR"/>
        </w:rPr>
        <w:tab/>
        <w:t xml:space="preserve">Le texte ci-après a été établi par l’expert de la France. Il s’agit de préciser l’interprétation des exigences concernant la variation du bruit émis proportionnellement à la vitesse du véhicule. Les modifications qu’il est proposé d’apporter au texte actuel du Règlement figurent en caractères </w:t>
      </w:r>
      <w:r w:rsidRPr="00DD63FF">
        <w:rPr>
          <w:lang w:val="fr-FR"/>
        </w:rPr>
        <w:t>gras</w:t>
      </w:r>
      <w:r>
        <w:rPr>
          <w:lang w:val="fr-FR"/>
        </w:rPr>
        <w:t xml:space="preserve"> pour les ajouts et </w:t>
      </w:r>
      <w:r w:rsidRPr="00DD63FF">
        <w:rPr>
          <w:strike/>
          <w:lang w:val="fr-FR"/>
        </w:rPr>
        <w:t>biffés</w:t>
      </w:r>
      <w:r>
        <w:rPr>
          <w:lang w:val="fr-FR"/>
        </w:rPr>
        <w:t xml:space="preserve"> pour les suppressions.</w:t>
      </w:r>
    </w:p>
    <w:p w14:paraId="4989EDF4" w14:textId="77777777" w:rsidR="008D06DE" w:rsidRDefault="008D06DE" w:rsidP="008D06DE">
      <w:pPr>
        <w:rPr>
          <w:lang w:val="fr-FR"/>
        </w:rPr>
      </w:pPr>
      <w:r>
        <w:rPr>
          <w:lang w:val="fr-FR"/>
        </w:rPr>
        <w:br w:type="page"/>
      </w:r>
    </w:p>
    <w:p w14:paraId="4B7A8727" w14:textId="45FD2EC3" w:rsidR="008D06DE" w:rsidRPr="005A49AF" w:rsidRDefault="008D06DE" w:rsidP="005A49AF">
      <w:pPr>
        <w:pStyle w:val="HChG"/>
        <w:rPr>
          <w:sz w:val="40"/>
        </w:rPr>
      </w:pPr>
      <w:r w:rsidRPr="00DD63FF">
        <w:rPr>
          <w:lang w:val="fr-FR"/>
        </w:rPr>
        <w:lastRenderedPageBreak/>
        <w:tab/>
        <w:t>I.</w:t>
      </w:r>
      <w:r w:rsidRPr="00DD63FF">
        <w:rPr>
          <w:lang w:val="fr-FR"/>
        </w:rPr>
        <w:tab/>
        <w:t>Proposition</w:t>
      </w:r>
    </w:p>
    <w:p w14:paraId="369FB105" w14:textId="690E4A8D" w:rsidR="008D06DE" w:rsidRDefault="008D06DE" w:rsidP="005A49AF">
      <w:pPr>
        <w:pStyle w:val="SingleTxtG"/>
        <w:rPr>
          <w:iCs/>
        </w:rPr>
      </w:pPr>
      <w:r>
        <w:rPr>
          <w:i/>
          <w:iCs/>
          <w:lang w:val="fr-FR"/>
        </w:rPr>
        <w:t>Paragraphe 6.2.3.2</w:t>
      </w:r>
      <w:r>
        <w:rPr>
          <w:lang w:val="fr-FR"/>
        </w:rPr>
        <w:t>, modifier comme suit</w:t>
      </w:r>
      <w:r w:rsidR="005A49AF">
        <w:rPr>
          <w:lang w:val="fr-FR"/>
        </w:rPr>
        <w:t> </w:t>
      </w:r>
      <w:r>
        <w:rPr>
          <w:lang w:val="fr-FR"/>
        </w:rPr>
        <w:t xml:space="preserve">: </w:t>
      </w:r>
    </w:p>
    <w:p w14:paraId="2756DC18" w14:textId="5FD6F759" w:rsidR="008D06DE" w:rsidRDefault="005A49AF" w:rsidP="005A49AF">
      <w:pPr>
        <w:pStyle w:val="SingleTxtG"/>
        <w:ind w:left="2268" w:hanging="1134"/>
      </w:pPr>
      <w:r>
        <w:rPr>
          <w:lang w:val="fr-FR"/>
        </w:rPr>
        <w:t>« </w:t>
      </w:r>
      <w:r w:rsidR="008D06DE">
        <w:rPr>
          <w:lang w:val="fr-FR"/>
        </w:rPr>
        <w:t>6.2.3.2</w:t>
      </w:r>
      <w:r w:rsidR="008D06DE">
        <w:rPr>
          <w:lang w:val="fr-FR"/>
        </w:rPr>
        <w:tab/>
        <w:t>Lorsque l’essai est effectué dans les conditions énoncées au paragraphe</w:t>
      </w:r>
      <w:r>
        <w:rPr>
          <w:lang w:val="fr-FR"/>
        </w:rPr>
        <w:t> </w:t>
      </w:r>
      <w:r w:rsidR="008D06DE">
        <w:rPr>
          <w:lang w:val="fr-FR"/>
        </w:rPr>
        <w:t xml:space="preserve">4 de l’annexe 3, un ton au moins dans la bande des fréquences émises par le véhicule, spécifiée au paragraphe 6.2.8, doit varier en fonction de la vitesse, dans chaque rapport, d’au moins </w:t>
      </w:r>
      <w:r w:rsidR="008D06DE">
        <w:rPr>
          <w:strike/>
          <w:lang w:val="fr-FR"/>
        </w:rPr>
        <w:t xml:space="preserve">0,8 % </w:t>
      </w:r>
      <w:r w:rsidR="008D06DE" w:rsidRPr="005A49AF">
        <w:rPr>
          <w:b/>
          <w:bCs/>
          <w:lang w:val="fr-FR"/>
        </w:rPr>
        <w:t>0,80 %</w:t>
      </w:r>
      <w:r w:rsidR="008D06DE">
        <w:rPr>
          <w:lang w:val="fr-FR"/>
        </w:rPr>
        <w:t xml:space="preserve"> en moyenne pour 1 km/h dans la plage de vitesses allant de 5 km/h à 20 km/h, y compris en marche avant. Si plus d’une fréquence change, seul un changement doit être conforme aux prescriptions ci-dessus.</w:t>
      </w:r>
      <w:r>
        <w:rPr>
          <w:lang w:val="fr-FR"/>
        </w:rPr>
        <w:t> »</w:t>
      </w:r>
      <w:r w:rsidR="008D06DE">
        <w:rPr>
          <w:lang w:val="fr-FR"/>
        </w:rPr>
        <w:t>.</w:t>
      </w:r>
    </w:p>
    <w:p w14:paraId="4A463EF0" w14:textId="4693BAA6" w:rsidR="008D06DE" w:rsidRDefault="008D06DE" w:rsidP="005A49AF">
      <w:pPr>
        <w:pStyle w:val="SingleTxtG"/>
      </w:pPr>
      <w:r>
        <w:rPr>
          <w:i/>
          <w:iCs/>
          <w:lang w:val="fr-FR"/>
        </w:rPr>
        <w:t>Annexe 3, paragraphe 4.5.1</w:t>
      </w:r>
      <w:r>
        <w:rPr>
          <w:lang w:val="fr-FR"/>
        </w:rPr>
        <w:t>, modifier comme suit</w:t>
      </w:r>
      <w:r w:rsidR="005A49AF">
        <w:rPr>
          <w:lang w:val="fr-FR"/>
        </w:rPr>
        <w:t> </w:t>
      </w:r>
      <w:r>
        <w:rPr>
          <w:lang w:val="fr-FR"/>
        </w:rPr>
        <w:t>:</w:t>
      </w:r>
    </w:p>
    <w:p w14:paraId="03E95C33" w14:textId="2757CE42" w:rsidR="008D06DE" w:rsidRPr="00DD63FF" w:rsidRDefault="005A49AF" w:rsidP="005A49AF">
      <w:pPr>
        <w:pStyle w:val="SingleTxtG"/>
        <w:ind w:left="2268" w:hanging="1134"/>
        <w:rPr>
          <w:sz w:val="16"/>
        </w:rPr>
      </w:pPr>
      <w:r>
        <w:rPr>
          <w:sz w:val="21"/>
          <w:lang w:val="fr-FR"/>
        </w:rPr>
        <w:t>« </w:t>
      </w:r>
      <w:r w:rsidR="008D06DE" w:rsidRPr="00DD63FF">
        <w:rPr>
          <w:sz w:val="21"/>
          <w:lang w:val="fr-FR"/>
        </w:rPr>
        <w:t>4.5.1</w:t>
      </w:r>
      <w:r w:rsidR="008D06DE">
        <w:rPr>
          <w:sz w:val="21"/>
          <w:lang w:val="fr-FR"/>
        </w:rPr>
        <w:tab/>
      </w:r>
      <w:r w:rsidR="008D06DE" w:rsidRPr="005A49AF">
        <w:rPr>
          <w:lang w:val="fr-FR"/>
        </w:rPr>
        <w:t>Compilation des données et communication des résultats</w:t>
      </w:r>
    </w:p>
    <w:p w14:paraId="2A82D04B" w14:textId="77777777" w:rsidR="008D06DE" w:rsidRPr="00DD63FF" w:rsidRDefault="008D06DE" w:rsidP="005A49AF">
      <w:pPr>
        <w:pStyle w:val="SingleTxtG"/>
        <w:ind w:left="2268"/>
        <w:rPr>
          <w:sz w:val="16"/>
        </w:rPr>
      </w:pPr>
      <w:r w:rsidRPr="00DD63FF">
        <w:rPr>
          <w:lang w:val="fr-FR"/>
        </w:rPr>
        <w:t>La fréquence censée changer doit être utilisée pour le calcul suivant. La fréquence correspondant à la vitesse d</w:t>
      </w:r>
      <w:r>
        <w:rPr>
          <w:lang w:val="fr-FR"/>
        </w:rPr>
        <w:t>’</w:t>
      </w:r>
      <w:r w:rsidRPr="00DD63FF">
        <w:rPr>
          <w:lang w:val="fr-FR"/>
        </w:rPr>
        <w:t>essai la plus faible déclarée arrondie à l</w:t>
      </w:r>
      <w:r>
        <w:rPr>
          <w:lang w:val="fr-FR"/>
        </w:rPr>
        <w:t>’</w:t>
      </w:r>
      <w:r w:rsidRPr="00DD63FF">
        <w:rPr>
          <w:lang w:val="fr-FR"/>
        </w:rPr>
        <w:t xml:space="preserve">entier le plus proche est retenue comme fréquence de référence, </w:t>
      </w:r>
      <w:r w:rsidRPr="00DD63FF">
        <w:rPr>
          <w:i/>
          <w:lang w:val="fr-FR"/>
        </w:rPr>
        <w:t>f</w:t>
      </w:r>
      <w:r w:rsidRPr="00DD63FF">
        <w:rPr>
          <w:vertAlign w:val="subscript"/>
          <w:lang w:val="fr-FR"/>
        </w:rPr>
        <w:t>ref</w:t>
      </w:r>
      <w:r w:rsidRPr="00DD63FF">
        <w:rPr>
          <w:lang w:val="fr-FR"/>
        </w:rPr>
        <w:t xml:space="preserve">. </w:t>
      </w:r>
    </w:p>
    <w:p w14:paraId="777D96D3" w14:textId="2F1D3C85" w:rsidR="008D06DE" w:rsidRPr="005A49AF" w:rsidRDefault="008D06DE" w:rsidP="005A49AF">
      <w:pPr>
        <w:pStyle w:val="SingleTxtG"/>
        <w:ind w:left="2268"/>
      </w:pPr>
      <w:r w:rsidRPr="005A49AF">
        <w:rPr>
          <w:lang w:val="fr-FR"/>
        </w:rPr>
        <w:t xml:space="preserve">Pour les autres vitesses du véhicule, les fréquences </w:t>
      </w:r>
      <w:r w:rsidRPr="005A49AF">
        <w:rPr>
          <w:i/>
          <w:lang w:val="fr-FR"/>
        </w:rPr>
        <w:t>f</w:t>
      </w:r>
      <w:r w:rsidRPr="005A49AF">
        <w:rPr>
          <w:vertAlign w:val="subscript"/>
          <w:lang w:val="fr-FR"/>
        </w:rPr>
        <w:t>speed</w:t>
      </w:r>
      <w:r w:rsidRPr="005A49AF">
        <w:rPr>
          <w:lang w:val="fr-FR"/>
        </w:rPr>
        <w:t xml:space="preserve"> correspondantes arrondies à l’entier le plus proche doivent être extraites de l’analyse du spectre. On calcule </w:t>
      </w:r>
      <w:r w:rsidRPr="005A49AF">
        <w:rPr>
          <w:i/>
          <w:iCs/>
          <w:lang w:val="fr-FR"/>
        </w:rPr>
        <w:t>del f</w:t>
      </w:r>
      <w:r w:rsidRPr="005A49AF">
        <w:rPr>
          <w:lang w:val="fr-FR"/>
        </w:rPr>
        <w:t>, soit le changement de fréquence du signal, selon l’équation suivante (1)</w:t>
      </w:r>
      <w:r w:rsidR="005A49AF">
        <w:rPr>
          <w:lang w:val="fr-FR"/>
        </w:rPr>
        <w:t> </w:t>
      </w:r>
      <w:r w:rsidRPr="005A49AF">
        <w:rPr>
          <w:lang w:val="fr-FR"/>
        </w:rPr>
        <w:t>:</w:t>
      </w:r>
    </w:p>
    <w:p w14:paraId="281004BB" w14:textId="615471DD" w:rsidR="008D06DE" w:rsidRPr="005A49AF" w:rsidRDefault="008D06DE" w:rsidP="005A49AF">
      <w:pPr>
        <w:pStyle w:val="SingleTxtG"/>
        <w:ind w:left="2268"/>
        <w:rPr>
          <w:lang w:val="en-US"/>
        </w:rPr>
      </w:pPr>
      <w:r w:rsidRPr="005A49AF">
        <w:rPr>
          <w:i/>
          <w:iCs/>
          <w:lang w:val="en-US"/>
        </w:rPr>
        <w:t>del f</w:t>
      </w:r>
      <w:r w:rsidRPr="005A49AF">
        <w:rPr>
          <w:lang w:val="en-US"/>
        </w:rPr>
        <w:t xml:space="preserve"> = {[(</w:t>
      </w:r>
      <w:r w:rsidRPr="005A49AF">
        <w:rPr>
          <w:i/>
          <w:iCs/>
          <w:lang w:val="en-US"/>
        </w:rPr>
        <w:t>f</w:t>
      </w:r>
      <w:r w:rsidRPr="005A49AF">
        <w:rPr>
          <w:vertAlign w:val="subscript"/>
          <w:lang w:val="en-US"/>
        </w:rPr>
        <w:t>speed</w:t>
      </w:r>
      <w:r w:rsidRPr="005A49AF">
        <w:rPr>
          <w:lang w:val="en-US"/>
        </w:rPr>
        <w:t xml:space="preserve"> – </w:t>
      </w:r>
      <w:r w:rsidRPr="005A49AF">
        <w:rPr>
          <w:i/>
          <w:iCs/>
          <w:lang w:val="en-US"/>
        </w:rPr>
        <w:t>f</w:t>
      </w:r>
      <w:r w:rsidRPr="005A49AF">
        <w:rPr>
          <w:vertAlign w:val="subscript"/>
          <w:lang w:val="en-US"/>
        </w:rPr>
        <w:t>ref</w:t>
      </w:r>
      <w:r w:rsidRPr="005A49AF">
        <w:rPr>
          <w:lang w:val="en-US"/>
        </w:rPr>
        <w:t>)/(v</w:t>
      </w:r>
      <w:r w:rsidRPr="005A49AF">
        <w:rPr>
          <w:vertAlign w:val="subscript"/>
          <w:lang w:val="en-US"/>
        </w:rPr>
        <w:t>test</w:t>
      </w:r>
      <w:r w:rsidRPr="005A49AF">
        <w:rPr>
          <w:lang w:val="en-US"/>
        </w:rPr>
        <w:t xml:space="preserve"> – v</w:t>
      </w:r>
      <w:r w:rsidRPr="005A49AF">
        <w:rPr>
          <w:vertAlign w:val="subscript"/>
          <w:lang w:val="en-US"/>
        </w:rPr>
        <w:t>ref</w:t>
      </w:r>
      <w:r w:rsidRPr="005A49AF">
        <w:rPr>
          <w:lang w:val="en-US"/>
        </w:rPr>
        <w:t>)]/</w:t>
      </w:r>
      <w:r w:rsidRPr="005A49AF">
        <w:rPr>
          <w:i/>
          <w:iCs/>
          <w:lang w:val="en-US"/>
        </w:rPr>
        <w:t>f</w:t>
      </w:r>
      <w:r w:rsidRPr="005A49AF">
        <w:rPr>
          <w:i/>
          <w:iCs/>
          <w:vertAlign w:val="subscript"/>
          <w:lang w:val="en-US"/>
        </w:rPr>
        <w:t>ref</w:t>
      </w:r>
      <w:r w:rsidRPr="005A49AF">
        <w:rPr>
          <w:lang w:val="en-US"/>
        </w:rPr>
        <w:t xml:space="preserve">} · 100 </w:t>
      </w:r>
      <w:r w:rsidRPr="005A49AF">
        <w:rPr>
          <w:lang w:val="en-US"/>
        </w:rPr>
        <w:tab/>
      </w:r>
      <w:r w:rsidR="005A49AF">
        <w:rPr>
          <w:lang w:val="en-US"/>
        </w:rPr>
        <w:tab/>
      </w:r>
      <w:r w:rsidR="005A49AF">
        <w:rPr>
          <w:lang w:val="en-US"/>
        </w:rPr>
        <w:tab/>
        <w:t xml:space="preserve">   </w:t>
      </w:r>
      <w:r w:rsidRPr="005A49AF">
        <w:rPr>
          <w:lang w:val="en-US"/>
        </w:rPr>
        <w:t>équation (1)</w:t>
      </w:r>
    </w:p>
    <w:p w14:paraId="099238F4" w14:textId="7FA12664" w:rsidR="008D06DE" w:rsidRPr="005A49AF" w:rsidRDefault="008D06DE" w:rsidP="005A49AF">
      <w:pPr>
        <w:pStyle w:val="SingleTxtG"/>
        <w:ind w:left="2268"/>
      </w:pPr>
      <w:r w:rsidRPr="005A49AF">
        <w:rPr>
          <w:lang w:val="fr-FR"/>
        </w:rPr>
        <w:t>où</w:t>
      </w:r>
    </w:p>
    <w:p w14:paraId="499F92E6" w14:textId="2109DA9B" w:rsidR="008D06DE" w:rsidRPr="005A49AF" w:rsidRDefault="008D06DE" w:rsidP="005A49AF">
      <w:pPr>
        <w:pStyle w:val="SingleTxtG"/>
        <w:ind w:left="2268"/>
      </w:pPr>
      <w:r w:rsidRPr="005A49AF">
        <w:rPr>
          <w:i/>
          <w:iCs/>
          <w:lang w:val="fr-FR"/>
        </w:rPr>
        <w:t>f</w:t>
      </w:r>
      <w:r w:rsidRPr="005A49AF">
        <w:rPr>
          <w:vertAlign w:val="subscript"/>
          <w:lang w:val="fr-FR"/>
        </w:rPr>
        <w:t>speed</w:t>
      </w:r>
      <w:r w:rsidRPr="005A49AF">
        <w:rPr>
          <w:lang w:val="fr-FR"/>
        </w:rPr>
        <w:t xml:space="preserve"> </w:t>
      </w:r>
      <w:r w:rsidRPr="005A49AF">
        <w:rPr>
          <w:lang w:val="fr-FR"/>
        </w:rPr>
        <w:tab/>
        <w:t>est la fréquence à une vitesse donnée</w:t>
      </w:r>
      <w:r w:rsidR="005A49AF">
        <w:rPr>
          <w:lang w:val="fr-FR"/>
        </w:rPr>
        <w:t> </w:t>
      </w:r>
      <w:r w:rsidRPr="005A49AF">
        <w:rPr>
          <w:lang w:val="fr-FR"/>
        </w:rPr>
        <w:t xml:space="preserve">; </w:t>
      </w:r>
    </w:p>
    <w:p w14:paraId="09D36C7B" w14:textId="78E5DE7E" w:rsidR="008D06DE" w:rsidRPr="005A49AF" w:rsidRDefault="008D06DE" w:rsidP="005A49AF">
      <w:pPr>
        <w:pStyle w:val="SingleTxtG"/>
        <w:ind w:left="2268"/>
      </w:pPr>
      <w:r w:rsidRPr="005A49AF">
        <w:rPr>
          <w:i/>
          <w:iCs/>
          <w:lang w:val="fr-FR"/>
        </w:rPr>
        <w:t>f</w:t>
      </w:r>
      <w:r w:rsidRPr="005A49AF">
        <w:rPr>
          <w:vertAlign w:val="subscript"/>
          <w:lang w:val="fr-FR"/>
        </w:rPr>
        <w:t>ref</w:t>
      </w:r>
      <w:r w:rsidRPr="005A49AF">
        <w:rPr>
          <w:lang w:val="fr-FR"/>
        </w:rPr>
        <w:tab/>
        <w:t>est la fréquence à la vitesse de référence de 5 km/h ou à la vitesse la plus faible déclarée</w:t>
      </w:r>
      <w:r w:rsidR="005A49AF">
        <w:rPr>
          <w:lang w:val="fr-FR"/>
        </w:rPr>
        <w:t> </w:t>
      </w:r>
      <w:r w:rsidRPr="005A49AF">
        <w:rPr>
          <w:lang w:val="fr-FR"/>
        </w:rPr>
        <w:t xml:space="preserve">; </w:t>
      </w:r>
    </w:p>
    <w:p w14:paraId="0EF565E1" w14:textId="6E0CEBF6" w:rsidR="008D06DE" w:rsidRPr="005A49AF" w:rsidRDefault="008D06DE" w:rsidP="005A49AF">
      <w:pPr>
        <w:pStyle w:val="SingleTxtG"/>
        <w:ind w:left="2268"/>
      </w:pPr>
      <w:r w:rsidRPr="005A49AF">
        <w:rPr>
          <w:lang w:val="fr-FR"/>
        </w:rPr>
        <w:t>v</w:t>
      </w:r>
      <w:r w:rsidRPr="005A49AF">
        <w:rPr>
          <w:vertAlign w:val="subscript"/>
          <w:lang w:val="fr-FR"/>
        </w:rPr>
        <w:t>test</w:t>
      </w:r>
      <w:r w:rsidRPr="005A49AF">
        <w:rPr>
          <w:lang w:val="fr-FR"/>
        </w:rPr>
        <w:tab/>
        <w:t xml:space="preserve">est la vitesse du véhicule, réelle ou simulée, correspondant à la fréquence </w:t>
      </w:r>
      <w:r w:rsidRPr="005A49AF">
        <w:rPr>
          <w:i/>
          <w:iCs/>
          <w:lang w:val="fr-FR"/>
        </w:rPr>
        <w:t>f</w:t>
      </w:r>
      <w:r w:rsidRPr="005A49AF">
        <w:rPr>
          <w:vertAlign w:val="subscript"/>
          <w:lang w:val="fr-FR"/>
        </w:rPr>
        <w:t>speed</w:t>
      </w:r>
      <w:r w:rsidR="005A49AF">
        <w:rPr>
          <w:lang w:val="fr-FR"/>
        </w:rPr>
        <w:t> </w:t>
      </w:r>
      <w:r w:rsidRPr="005A49AF">
        <w:rPr>
          <w:lang w:val="fr-FR"/>
        </w:rPr>
        <w:t xml:space="preserve">; </w:t>
      </w:r>
    </w:p>
    <w:p w14:paraId="77522F3E" w14:textId="00C53C46" w:rsidR="008D06DE" w:rsidRPr="005A49AF" w:rsidRDefault="008D06DE" w:rsidP="005A49AF">
      <w:pPr>
        <w:pStyle w:val="SingleTxtG"/>
        <w:ind w:left="2268"/>
      </w:pPr>
      <w:r w:rsidRPr="005A49AF">
        <w:rPr>
          <w:lang w:val="fr-FR"/>
        </w:rPr>
        <w:t>v</w:t>
      </w:r>
      <w:r w:rsidRPr="005A49AF">
        <w:rPr>
          <w:vertAlign w:val="subscript"/>
          <w:lang w:val="fr-FR"/>
        </w:rPr>
        <w:t>ref</w:t>
      </w:r>
      <w:r w:rsidRPr="005A49AF">
        <w:rPr>
          <w:lang w:val="fr-FR"/>
        </w:rPr>
        <w:tab/>
        <w:t xml:space="preserve">est la vitesse du véhicule, réelle ou simulée, correspondant à la fréquence </w:t>
      </w:r>
      <w:r w:rsidRPr="005A49AF">
        <w:rPr>
          <w:i/>
          <w:iCs/>
          <w:lang w:val="fr-FR"/>
        </w:rPr>
        <w:t>f</w:t>
      </w:r>
      <w:r w:rsidRPr="005A49AF">
        <w:rPr>
          <w:vertAlign w:val="subscript"/>
          <w:lang w:val="fr-FR"/>
        </w:rPr>
        <w:t>ref</w:t>
      </w:r>
      <w:r w:rsidRPr="005A49AF">
        <w:rPr>
          <w:lang w:val="fr-FR"/>
        </w:rPr>
        <w:t>.</w:t>
      </w:r>
    </w:p>
    <w:p w14:paraId="26EB5ACE" w14:textId="3B01C8C6" w:rsidR="008D06DE" w:rsidRPr="005A49AF" w:rsidRDefault="008D06DE" w:rsidP="005A49AF">
      <w:pPr>
        <w:pStyle w:val="SingleTxtG"/>
        <w:ind w:left="2268"/>
      </w:pPr>
      <w:r w:rsidRPr="005A49AF">
        <w:rPr>
          <w:b/>
          <w:bCs/>
          <w:lang w:val="fr-FR"/>
        </w:rPr>
        <w:tab/>
      </w:r>
      <w:r w:rsidRPr="005A49AF">
        <w:rPr>
          <w:b/>
          <w:bCs/>
          <w:i/>
          <w:iCs/>
          <w:lang w:val="fr-FR"/>
        </w:rPr>
        <w:t>del f</w:t>
      </w:r>
      <w:r w:rsidRPr="005A49AF">
        <w:rPr>
          <w:b/>
          <w:bCs/>
          <w:lang w:val="fr-FR"/>
        </w:rPr>
        <w:t xml:space="preserve"> </w:t>
      </w:r>
      <w:r w:rsidRPr="005A49AF">
        <w:rPr>
          <w:b/>
          <w:bCs/>
          <w:lang w:val="fr-FR"/>
        </w:rPr>
        <w:tab/>
        <w:t>doit être arrondi à la deuxième décimale</w:t>
      </w:r>
      <w:r w:rsidR="000F5957">
        <w:rPr>
          <w:lang w:val="fr-FR"/>
        </w:rPr>
        <w:t> </w:t>
      </w:r>
      <w:r w:rsidRPr="005A49AF">
        <w:rPr>
          <w:lang w:val="fr-FR"/>
        </w:rPr>
        <w:t>;</w:t>
      </w:r>
    </w:p>
    <w:p w14:paraId="2E075F4A" w14:textId="695D57D2" w:rsidR="008D06DE" w:rsidRPr="005A49AF" w:rsidRDefault="008D06DE" w:rsidP="005A49AF">
      <w:pPr>
        <w:pStyle w:val="SingleTxtG"/>
        <w:ind w:left="2268"/>
        <w:rPr>
          <w:b/>
          <w:bCs/>
          <w:i/>
        </w:rPr>
      </w:pPr>
      <w:r w:rsidRPr="005A49AF">
        <w:rPr>
          <w:lang w:val="fr-FR"/>
        </w:rPr>
        <w:tab/>
      </w:r>
      <w:r w:rsidRPr="005A49AF">
        <w:rPr>
          <w:b/>
          <w:bCs/>
          <w:lang w:val="fr-FR"/>
        </w:rPr>
        <w:t>...</w:t>
      </w:r>
      <w:r w:rsidR="000F5957">
        <w:rPr>
          <w:b/>
          <w:bCs/>
          <w:lang w:val="fr-FR"/>
        </w:rPr>
        <w:t> »</w:t>
      </w:r>
      <w:r w:rsidRPr="005A49AF">
        <w:rPr>
          <w:b/>
          <w:bCs/>
          <w:lang w:val="fr-FR"/>
        </w:rPr>
        <w:t>.</w:t>
      </w:r>
    </w:p>
    <w:p w14:paraId="6BDF542D" w14:textId="143DA558" w:rsidR="008D06DE" w:rsidRPr="00DD63FF" w:rsidRDefault="005A49AF" w:rsidP="005A49AF">
      <w:pPr>
        <w:pStyle w:val="HChG"/>
        <w:rPr>
          <w:lang w:val="fr-FR"/>
        </w:rPr>
      </w:pPr>
      <w:r>
        <w:rPr>
          <w:lang w:val="fr-FR"/>
        </w:rPr>
        <w:tab/>
      </w:r>
      <w:r w:rsidR="008D06DE" w:rsidRPr="00DD63FF">
        <w:rPr>
          <w:lang w:val="fr-FR"/>
        </w:rPr>
        <w:t>II.</w:t>
      </w:r>
      <w:r w:rsidR="008D06DE" w:rsidRPr="00DD63FF">
        <w:rPr>
          <w:lang w:val="fr-FR"/>
        </w:rPr>
        <w:tab/>
        <w:t>Justification</w:t>
      </w:r>
    </w:p>
    <w:p w14:paraId="355206CF" w14:textId="62034164" w:rsidR="00F9573C" w:rsidRDefault="008D06DE" w:rsidP="000F5957">
      <w:pPr>
        <w:pStyle w:val="SingleTxtG"/>
        <w:ind w:firstLine="567"/>
        <w:rPr>
          <w:lang w:val="fr-FR"/>
        </w:rPr>
      </w:pPr>
      <w:r>
        <w:rPr>
          <w:lang w:val="fr-FR"/>
        </w:rPr>
        <w:tab/>
        <w:t xml:space="preserve">Le but de cette modification est de clarifier le calcul du changement de fréquence du signal, </w:t>
      </w:r>
      <w:r>
        <w:rPr>
          <w:i/>
          <w:iCs/>
          <w:lang w:val="fr-FR"/>
        </w:rPr>
        <w:t>del f</w:t>
      </w:r>
      <w:r>
        <w:rPr>
          <w:lang w:val="fr-FR"/>
        </w:rPr>
        <w:t xml:space="preserve">, pour éviter des divergences d’interprétation. Il est proposé de préciser que le résultat du calcul de </w:t>
      </w:r>
      <w:r>
        <w:rPr>
          <w:i/>
          <w:iCs/>
          <w:lang w:val="fr-FR"/>
        </w:rPr>
        <w:t>del f</w:t>
      </w:r>
      <w:r>
        <w:rPr>
          <w:lang w:val="fr-FR"/>
        </w:rPr>
        <w:t xml:space="preserve">, au paragraphe 4.5.1, doit être arrondi pour la comparaison avec l’exigence décrite au paragraphe 6.2.3.2. En ce qui concerne cette exigence, il est également proposé de remplacer la formulation </w:t>
      </w:r>
      <w:r w:rsidR="000F5957">
        <w:rPr>
          <w:lang w:val="fr-FR"/>
        </w:rPr>
        <w:t>« </w:t>
      </w:r>
      <w:r>
        <w:rPr>
          <w:lang w:val="fr-FR"/>
        </w:rPr>
        <w:t>at least</w:t>
      </w:r>
      <w:r w:rsidR="000F5957">
        <w:rPr>
          <w:lang w:val="fr-FR"/>
        </w:rPr>
        <w:t> »</w:t>
      </w:r>
      <w:r>
        <w:rPr>
          <w:lang w:val="fr-FR"/>
        </w:rPr>
        <w:t xml:space="preserve"> par le symbole</w:t>
      </w:r>
      <w:r w:rsidR="000F5957">
        <w:rPr>
          <w:lang w:val="fr-FR"/>
        </w:rPr>
        <w:t xml:space="preserve"> « </w:t>
      </w:r>
      <w:r>
        <w:rPr>
          <w:lang w:val="fr-FR"/>
        </w:rPr>
        <w:t>≥</w:t>
      </w:r>
      <w:r w:rsidR="000F5957">
        <w:rPr>
          <w:lang w:val="fr-FR"/>
        </w:rPr>
        <w:t> »</w:t>
      </w:r>
      <w:r>
        <w:rPr>
          <w:lang w:val="fr-FR"/>
        </w:rPr>
        <w:t xml:space="preserve"> dans la version anglaise, pour plus de clarté.</w:t>
      </w:r>
    </w:p>
    <w:p w14:paraId="34040992" w14:textId="251EA499" w:rsidR="008D06DE" w:rsidRPr="008D06DE" w:rsidRDefault="008D06DE" w:rsidP="008D06DE">
      <w:pPr>
        <w:pStyle w:val="SingleTxtG"/>
        <w:spacing w:before="240" w:after="0"/>
        <w:jc w:val="center"/>
        <w:rPr>
          <w:u w:val="single"/>
        </w:rPr>
      </w:pPr>
      <w:r>
        <w:rPr>
          <w:u w:val="single"/>
        </w:rPr>
        <w:tab/>
      </w:r>
      <w:r>
        <w:rPr>
          <w:u w:val="single"/>
        </w:rPr>
        <w:tab/>
      </w:r>
      <w:r>
        <w:rPr>
          <w:u w:val="single"/>
        </w:rPr>
        <w:tab/>
      </w:r>
      <w:r>
        <w:rPr>
          <w:u w:val="single"/>
        </w:rPr>
        <w:tab/>
      </w:r>
    </w:p>
    <w:sectPr w:rsidR="008D06DE" w:rsidRPr="008D06DE" w:rsidSect="008D06D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095E9" w14:textId="77777777" w:rsidR="00D77A63" w:rsidRDefault="00D77A63" w:rsidP="00F95C08">
      <w:pPr>
        <w:spacing w:line="240" w:lineRule="auto"/>
      </w:pPr>
    </w:p>
  </w:endnote>
  <w:endnote w:type="continuationSeparator" w:id="0">
    <w:p w14:paraId="46886F5E" w14:textId="77777777" w:rsidR="00D77A63" w:rsidRPr="00AC3823" w:rsidRDefault="00D77A63" w:rsidP="00AC3823">
      <w:pPr>
        <w:pStyle w:val="Pieddepage"/>
      </w:pPr>
    </w:p>
  </w:endnote>
  <w:endnote w:type="continuationNotice" w:id="1">
    <w:p w14:paraId="623F5649" w14:textId="77777777" w:rsidR="00D77A63" w:rsidRDefault="00D77A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F284" w14:textId="02C5595E" w:rsidR="008D06DE" w:rsidRPr="008D06DE" w:rsidRDefault="008D06DE" w:rsidP="008D06DE">
    <w:pPr>
      <w:pStyle w:val="Pieddepage"/>
      <w:tabs>
        <w:tab w:val="right" w:pos="9638"/>
      </w:tabs>
    </w:pPr>
    <w:r w:rsidRPr="008D06DE">
      <w:rPr>
        <w:b/>
        <w:sz w:val="18"/>
      </w:rPr>
      <w:fldChar w:fldCharType="begin"/>
    </w:r>
    <w:r w:rsidRPr="008D06DE">
      <w:rPr>
        <w:b/>
        <w:sz w:val="18"/>
      </w:rPr>
      <w:instrText xml:space="preserve"> PAGE  \* MERGEFORMAT </w:instrText>
    </w:r>
    <w:r w:rsidRPr="008D06DE">
      <w:rPr>
        <w:b/>
        <w:sz w:val="18"/>
      </w:rPr>
      <w:fldChar w:fldCharType="separate"/>
    </w:r>
    <w:r w:rsidRPr="008D06DE">
      <w:rPr>
        <w:b/>
        <w:noProof/>
        <w:sz w:val="18"/>
      </w:rPr>
      <w:t>2</w:t>
    </w:r>
    <w:r w:rsidRPr="008D06DE">
      <w:rPr>
        <w:b/>
        <w:sz w:val="18"/>
      </w:rPr>
      <w:fldChar w:fldCharType="end"/>
    </w:r>
    <w:r>
      <w:rPr>
        <w:b/>
        <w:sz w:val="18"/>
      </w:rPr>
      <w:tab/>
    </w:r>
    <w:r>
      <w:t>GE.21-08793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CAF37" w14:textId="1CC37CC6" w:rsidR="008D06DE" w:rsidRPr="008D06DE" w:rsidRDefault="008D06DE" w:rsidP="008D06DE">
    <w:pPr>
      <w:pStyle w:val="Pieddepage"/>
      <w:tabs>
        <w:tab w:val="right" w:pos="9638"/>
      </w:tabs>
      <w:rPr>
        <w:b/>
        <w:sz w:val="18"/>
      </w:rPr>
    </w:pPr>
    <w:r>
      <w:t>GE.21-08793</w:t>
    </w:r>
    <w:r>
      <w:tab/>
    </w:r>
    <w:r w:rsidRPr="008D06DE">
      <w:rPr>
        <w:b/>
        <w:sz w:val="18"/>
      </w:rPr>
      <w:fldChar w:fldCharType="begin"/>
    </w:r>
    <w:r w:rsidRPr="008D06DE">
      <w:rPr>
        <w:b/>
        <w:sz w:val="18"/>
      </w:rPr>
      <w:instrText xml:space="preserve"> PAGE  \* MERGEFORMAT </w:instrText>
    </w:r>
    <w:r w:rsidRPr="008D06DE">
      <w:rPr>
        <w:b/>
        <w:sz w:val="18"/>
      </w:rPr>
      <w:fldChar w:fldCharType="separate"/>
    </w:r>
    <w:r w:rsidRPr="008D06DE">
      <w:rPr>
        <w:b/>
        <w:noProof/>
        <w:sz w:val="18"/>
      </w:rPr>
      <w:t>3</w:t>
    </w:r>
    <w:r w:rsidRPr="008D06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8039D" w14:textId="51B07839" w:rsidR="007F20FA" w:rsidRPr="008D06DE" w:rsidRDefault="008D06DE" w:rsidP="008D06D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BF2C856" wp14:editId="128B9B3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21-08793  (F)</w:t>
    </w:r>
    <w:r>
      <w:rPr>
        <w:noProof/>
        <w:sz w:val="20"/>
      </w:rPr>
      <w:drawing>
        <wp:anchor distT="0" distB="0" distL="114300" distR="114300" simplePos="0" relativeHeight="251660288" behindDoc="0" locked="0" layoutInCell="1" allowOverlap="1" wp14:anchorId="0B1A696F" wp14:editId="1445D14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9AF">
      <w:rPr>
        <w:sz w:val="20"/>
      </w:rPr>
      <w:t xml:space="preserve">    020721    050721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85F12" w14:textId="77777777" w:rsidR="00D77A63" w:rsidRPr="00AC3823" w:rsidRDefault="00D77A63" w:rsidP="00AC3823">
      <w:pPr>
        <w:pStyle w:val="Pieddepage"/>
        <w:tabs>
          <w:tab w:val="right" w:pos="2155"/>
        </w:tabs>
        <w:spacing w:after="80" w:line="240" w:lineRule="atLeast"/>
        <w:ind w:left="680"/>
        <w:rPr>
          <w:u w:val="single"/>
        </w:rPr>
      </w:pPr>
      <w:r>
        <w:rPr>
          <w:u w:val="single"/>
        </w:rPr>
        <w:tab/>
      </w:r>
    </w:p>
  </w:footnote>
  <w:footnote w:type="continuationSeparator" w:id="0">
    <w:p w14:paraId="329F6FA6" w14:textId="77777777" w:rsidR="00D77A63" w:rsidRPr="00AC3823" w:rsidRDefault="00D77A63" w:rsidP="00AC3823">
      <w:pPr>
        <w:pStyle w:val="Pieddepage"/>
        <w:tabs>
          <w:tab w:val="right" w:pos="2155"/>
        </w:tabs>
        <w:spacing w:after="80" w:line="240" w:lineRule="atLeast"/>
        <w:ind w:left="680"/>
        <w:rPr>
          <w:u w:val="single"/>
        </w:rPr>
      </w:pPr>
      <w:r>
        <w:rPr>
          <w:u w:val="single"/>
        </w:rPr>
        <w:tab/>
      </w:r>
    </w:p>
  </w:footnote>
  <w:footnote w:type="continuationNotice" w:id="1">
    <w:p w14:paraId="55A99FF1" w14:textId="77777777" w:rsidR="00D77A63" w:rsidRPr="00AC3823" w:rsidRDefault="00D77A63">
      <w:pPr>
        <w:spacing w:line="240" w:lineRule="auto"/>
        <w:rPr>
          <w:sz w:val="2"/>
          <w:szCs w:val="2"/>
        </w:rPr>
      </w:pPr>
    </w:p>
  </w:footnote>
  <w:footnote w:id="2">
    <w:p w14:paraId="3120BC6A" w14:textId="610954B3" w:rsidR="005A49AF" w:rsidRPr="005A49AF" w:rsidRDefault="005A49AF">
      <w:pPr>
        <w:pStyle w:val="Notedebasdepage"/>
      </w:pPr>
      <w:r>
        <w:rPr>
          <w:rStyle w:val="Appelnotedebasdep"/>
        </w:rPr>
        <w:tab/>
      </w:r>
      <w:r w:rsidRPr="005A49AF">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925C" w14:textId="245943E1" w:rsidR="008D06DE" w:rsidRPr="008D06DE" w:rsidRDefault="008D06DE">
    <w:pPr>
      <w:pStyle w:val="En-tte"/>
    </w:pPr>
    <w:fldSimple w:instr=" TITLE  \* MERGEFORMAT ">
      <w:r w:rsidR="00BD0EC2">
        <w:t>ECE/TRANS/WP.29/GRBP/2021/14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DEE41" w14:textId="4F5A4761" w:rsidR="008D06DE" w:rsidRPr="008D06DE" w:rsidRDefault="008D06DE" w:rsidP="008D06DE">
    <w:pPr>
      <w:pStyle w:val="En-tte"/>
      <w:jc w:val="right"/>
    </w:pPr>
    <w:fldSimple w:instr=" TITLE  \* MERGEFORMAT ">
      <w:r w:rsidR="00BD0EC2">
        <w:t>ECE/TRANS/WP.29/GRBP/2021/14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63"/>
    <w:rsid w:val="00017F94"/>
    <w:rsid w:val="00023842"/>
    <w:rsid w:val="000334F9"/>
    <w:rsid w:val="00045FEB"/>
    <w:rsid w:val="0007796D"/>
    <w:rsid w:val="000B7790"/>
    <w:rsid w:val="000F5957"/>
    <w:rsid w:val="00111F2F"/>
    <w:rsid w:val="0014365E"/>
    <w:rsid w:val="00143C66"/>
    <w:rsid w:val="00176178"/>
    <w:rsid w:val="001F525A"/>
    <w:rsid w:val="00201148"/>
    <w:rsid w:val="00223272"/>
    <w:rsid w:val="0024779E"/>
    <w:rsid w:val="00251897"/>
    <w:rsid w:val="00257168"/>
    <w:rsid w:val="002744B8"/>
    <w:rsid w:val="002832AC"/>
    <w:rsid w:val="002D7C93"/>
    <w:rsid w:val="00305801"/>
    <w:rsid w:val="003121C0"/>
    <w:rsid w:val="003916DE"/>
    <w:rsid w:val="00421996"/>
    <w:rsid w:val="00441C3B"/>
    <w:rsid w:val="00446FE5"/>
    <w:rsid w:val="00452396"/>
    <w:rsid w:val="00477EB2"/>
    <w:rsid w:val="004837D8"/>
    <w:rsid w:val="004E2EED"/>
    <w:rsid w:val="004E468C"/>
    <w:rsid w:val="005505B7"/>
    <w:rsid w:val="00573BE5"/>
    <w:rsid w:val="00586ED3"/>
    <w:rsid w:val="00596AA9"/>
    <w:rsid w:val="005A49AF"/>
    <w:rsid w:val="0071601D"/>
    <w:rsid w:val="007A62E6"/>
    <w:rsid w:val="007F20FA"/>
    <w:rsid w:val="0080684C"/>
    <w:rsid w:val="00871C75"/>
    <w:rsid w:val="008776DC"/>
    <w:rsid w:val="008879C6"/>
    <w:rsid w:val="008D06DE"/>
    <w:rsid w:val="008D5EF9"/>
    <w:rsid w:val="009446C0"/>
    <w:rsid w:val="009705C8"/>
    <w:rsid w:val="00985CEF"/>
    <w:rsid w:val="009C1CF4"/>
    <w:rsid w:val="009F6B74"/>
    <w:rsid w:val="00A3029F"/>
    <w:rsid w:val="00A30353"/>
    <w:rsid w:val="00AC3823"/>
    <w:rsid w:val="00AE323C"/>
    <w:rsid w:val="00AF0CB5"/>
    <w:rsid w:val="00B00181"/>
    <w:rsid w:val="00B00B0D"/>
    <w:rsid w:val="00B45F2E"/>
    <w:rsid w:val="00B765F7"/>
    <w:rsid w:val="00B77993"/>
    <w:rsid w:val="00BA0CA9"/>
    <w:rsid w:val="00BD0EC2"/>
    <w:rsid w:val="00BD72D0"/>
    <w:rsid w:val="00C02897"/>
    <w:rsid w:val="00C97039"/>
    <w:rsid w:val="00CE52F6"/>
    <w:rsid w:val="00D3439C"/>
    <w:rsid w:val="00D7622E"/>
    <w:rsid w:val="00D77A63"/>
    <w:rsid w:val="00DB1831"/>
    <w:rsid w:val="00DD3BFD"/>
    <w:rsid w:val="00DF6678"/>
    <w:rsid w:val="00E0299A"/>
    <w:rsid w:val="00E6135A"/>
    <w:rsid w:val="00E64963"/>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ED89B3"/>
  <w15:docId w15:val="{0F883BC1-8B88-481A-B50F-C6189625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D0704-39C9-4C35-9FA9-E81BDD1DF726}"/>
</file>

<file path=customXml/itemProps2.xml><?xml version="1.0" encoding="utf-8"?>
<ds:datastoreItem xmlns:ds="http://schemas.openxmlformats.org/officeDocument/2006/customXml" ds:itemID="{DD200C37-D997-4E9E-9185-D10ECA9D24B4}"/>
</file>

<file path=customXml/itemProps3.xml><?xml version="1.0" encoding="utf-8"?>
<ds:datastoreItem xmlns:ds="http://schemas.openxmlformats.org/officeDocument/2006/customXml" ds:itemID="{C7674D20-5951-4A21-A7A4-C8DF8791385D}"/>
</file>

<file path=docProps/app.xml><?xml version="1.0" encoding="utf-8"?>
<Properties xmlns="http://schemas.openxmlformats.org/officeDocument/2006/extended-properties" xmlns:vt="http://schemas.openxmlformats.org/officeDocument/2006/docPropsVTypes">
  <Template>ECE_TRANS.dotm</Template>
  <TotalTime>1</TotalTime>
  <Pages>2</Pages>
  <Words>383</Words>
  <Characters>2685</Characters>
  <Application>Microsoft Office Word</Application>
  <DocSecurity>0</DocSecurity>
  <Lines>223</Lines>
  <Paragraphs>122</Paragraphs>
  <ScaleCrop>false</ScaleCrop>
  <HeadingPairs>
    <vt:vector size="2" baseType="variant">
      <vt:variant>
        <vt:lpstr>Titre</vt:lpstr>
      </vt:variant>
      <vt:variant>
        <vt:i4>1</vt:i4>
      </vt:variant>
    </vt:vector>
  </HeadingPairs>
  <TitlesOfParts>
    <vt:vector size="1" baseType="lpstr">
      <vt:lpstr>ECE/TRANS/WP.29/GRBP/2021/14</vt:lpstr>
    </vt:vector>
  </TitlesOfParts>
  <Company>DCM</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ECE/TRANS/WP.29/GRBP/2021/14</dc:title>
  <dc:subject/>
  <dc:creator>Valerie BERTIN</dc:creator>
  <cp:keywords/>
  <cp:lastModifiedBy>Valerie Bertin</cp:lastModifiedBy>
  <cp:revision>3</cp:revision>
  <cp:lastPrinted>2021-07-05T07:30:00Z</cp:lastPrinted>
  <dcterms:created xsi:type="dcterms:W3CDTF">2021-07-05T07:30:00Z</dcterms:created>
  <dcterms:modified xsi:type="dcterms:W3CDTF">2021-07-05T07:31:00Z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