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EE6BD49" w14:textId="77777777" w:rsidTr="00C97039">
        <w:trPr>
          <w:trHeight w:hRule="exact" w:val="851"/>
        </w:trPr>
        <w:tc>
          <w:tcPr>
            <w:tcW w:w="1276" w:type="dxa"/>
            <w:tcBorders>
              <w:bottom w:val="single" w:sz="4" w:space="0" w:color="auto"/>
            </w:tcBorders>
          </w:tcPr>
          <w:p w14:paraId="2832881B" w14:textId="77777777" w:rsidR="00F35BAF" w:rsidRPr="00DB58B5" w:rsidRDefault="00F35BAF" w:rsidP="00A34CBC"/>
        </w:tc>
        <w:tc>
          <w:tcPr>
            <w:tcW w:w="2268" w:type="dxa"/>
            <w:tcBorders>
              <w:bottom w:val="single" w:sz="4" w:space="0" w:color="auto"/>
            </w:tcBorders>
            <w:vAlign w:val="bottom"/>
          </w:tcPr>
          <w:p w14:paraId="359C476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6D15B6" w14:textId="1082A2C1" w:rsidR="00F35BAF" w:rsidRPr="00DB58B5" w:rsidRDefault="00A34CBC" w:rsidP="00A34CBC">
            <w:pPr>
              <w:jc w:val="right"/>
            </w:pPr>
            <w:r w:rsidRPr="00A34CBC">
              <w:rPr>
                <w:sz w:val="40"/>
              </w:rPr>
              <w:t>ECE</w:t>
            </w:r>
            <w:r>
              <w:t>/TRANS/WP.29/GRBP/2021/11</w:t>
            </w:r>
          </w:p>
        </w:tc>
      </w:tr>
      <w:tr w:rsidR="00F35BAF" w:rsidRPr="00DB58B5" w14:paraId="1EB130A4" w14:textId="77777777" w:rsidTr="00C97039">
        <w:trPr>
          <w:trHeight w:hRule="exact" w:val="2835"/>
        </w:trPr>
        <w:tc>
          <w:tcPr>
            <w:tcW w:w="1276" w:type="dxa"/>
            <w:tcBorders>
              <w:top w:val="single" w:sz="4" w:space="0" w:color="auto"/>
              <w:bottom w:val="single" w:sz="12" w:space="0" w:color="auto"/>
            </w:tcBorders>
          </w:tcPr>
          <w:p w14:paraId="34F86F04" w14:textId="77777777" w:rsidR="00F35BAF" w:rsidRPr="00DB58B5" w:rsidRDefault="00F35BAF" w:rsidP="00C97039">
            <w:pPr>
              <w:spacing w:before="120"/>
              <w:jc w:val="center"/>
            </w:pPr>
            <w:r>
              <w:rPr>
                <w:noProof/>
                <w:lang w:eastAsia="fr-CH"/>
              </w:rPr>
              <w:drawing>
                <wp:inline distT="0" distB="0" distL="0" distR="0" wp14:anchorId="465DDA6A" wp14:editId="1990E1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C7A99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8C9EF0" w14:textId="77777777" w:rsidR="00F35BAF" w:rsidRDefault="00A34CBC" w:rsidP="00C97039">
            <w:pPr>
              <w:spacing w:before="240"/>
            </w:pPr>
            <w:r>
              <w:t>Distr. générale</w:t>
            </w:r>
          </w:p>
          <w:p w14:paraId="05C4182F" w14:textId="77777777" w:rsidR="00A34CBC" w:rsidRDefault="00A34CBC" w:rsidP="00A34CBC">
            <w:pPr>
              <w:spacing w:line="240" w:lineRule="exact"/>
            </w:pPr>
            <w:r>
              <w:t>29 juin 2021</w:t>
            </w:r>
          </w:p>
          <w:p w14:paraId="080D51D0" w14:textId="77777777" w:rsidR="00A34CBC" w:rsidRDefault="00A34CBC" w:rsidP="00A34CBC">
            <w:pPr>
              <w:spacing w:line="240" w:lineRule="exact"/>
            </w:pPr>
            <w:r>
              <w:t>Français</w:t>
            </w:r>
          </w:p>
          <w:p w14:paraId="3BC20E73" w14:textId="056DEDE4" w:rsidR="00A34CBC" w:rsidRPr="00DB58B5" w:rsidRDefault="00A34CBC" w:rsidP="00A34CBC">
            <w:pPr>
              <w:spacing w:line="240" w:lineRule="exact"/>
            </w:pPr>
            <w:r>
              <w:t>Original</w:t>
            </w:r>
            <w:r w:rsidR="00D50749">
              <w:t> :</w:t>
            </w:r>
            <w:r>
              <w:t xml:space="preserve"> anglais</w:t>
            </w:r>
          </w:p>
        </w:tc>
      </w:tr>
    </w:tbl>
    <w:p w14:paraId="0EA3B569" w14:textId="77777777" w:rsidR="007F20FA" w:rsidRPr="000312C0" w:rsidRDefault="007F20FA" w:rsidP="007F20FA">
      <w:pPr>
        <w:spacing w:before="120"/>
        <w:rPr>
          <w:b/>
          <w:sz w:val="28"/>
          <w:szCs w:val="28"/>
        </w:rPr>
      </w:pPr>
      <w:r w:rsidRPr="000312C0">
        <w:rPr>
          <w:b/>
          <w:sz w:val="28"/>
          <w:szCs w:val="28"/>
        </w:rPr>
        <w:t>Commission économique pour l’Europe</w:t>
      </w:r>
    </w:p>
    <w:p w14:paraId="3973289B" w14:textId="77777777" w:rsidR="007F20FA" w:rsidRDefault="007F20FA" w:rsidP="007F20FA">
      <w:pPr>
        <w:spacing w:before="120"/>
        <w:rPr>
          <w:sz w:val="28"/>
          <w:szCs w:val="28"/>
        </w:rPr>
      </w:pPr>
      <w:r w:rsidRPr="00685843">
        <w:rPr>
          <w:sz w:val="28"/>
          <w:szCs w:val="28"/>
        </w:rPr>
        <w:t>Comité des transports intérieurs</w:t>
      </w:r>
    </w:p>
    <w:p w14:paraId="62BAFDF8" w14:textId="3B965661" w:rsidR="00D50749" w:rsidRPr="00733EC6" w:rsidRDefault="00D50749" w:rsidP="00D50749">
      <w:pPr>
        <w:spacing w:before="120"/>
        <w:rPr>
          <w:color w:val="000000" w:themeColor="text1"/>
          <w:sz w:val="24"/>
          <w:szCs w:val="24"/>
        </w:rPr>
      </w:pPr>
      <w:r w:rsidRPr="00733EC6">
        <w:rPr>
          <w:b/>
          <w:bCs/>
          <w:color w:val="000000" w:themeColor="text1"/>
          <w:sz w:val="24"/>
          <w:szCs w:val="24"/>
        </w:rPr>
        <w:t xml:space="preserve">Forum mondial de l’harmonisation </w:t>
      </w:r>
      <w:r w:rsidR="00733EC6">
        <w:rPr>
          <w:b/>
          <w:bCs/>
          <w:color w:val="000000" w:themeColor="text1"/>
          <w:sz w:val="24"/>
          <w:szCs w:val="24"/>
        </w:rPr>
        <w:br/>
      </w:r>
      <w:r w:rsidRPr="00733EC6">
        <w:rPr>
          <w:b/>
          <w:bCs/>
          <w:color w:val="000000" w:themeColor="text1"/>
          <w:sz w:val="24"/>
          <w:szCs w:val="24"/>
        </w:rPr>
        <w:t>des Règlements concernant les véhicules</w:t>
      </w:r>
    </w:p>
    <w:p w14:paraId="3AAE049C" w14:textId="77777777" w:rsidR="00D50749" w:rsidRPr="00B06D58" w:rsidRDefault="00D50749" w:rsidP="00D50749">
      <w:pPr>
        <w:spacing w:before="120" w:after="120"/>
        <w:rPr>
          <w:b/>
          <w:bCs/>
          <w:color w:val="000000" w:themeColor="text1"/>
        </w:rPr>
      </w:pPr>
      <w:r w:rsidRPr="00B06D58">
        <w:rPr>
          <w:b/>
          <w:bCs/>
          <w:color w:val="000000" w:themeColor="text1"/>
        </w:rPr>
        <w:t>Groupe de travail du bruit et des pneumatiques</w:t>
      </w:r>
    </w:p>
    <w:p w14:paraId="40F3B5A1" w14:textId="77777777" w:rsidR="00D50749" w:rsidRPr="00B06D58" w:rsidRDefault="00D50749" w:rsidP="00D50749">
      <w:pPr>
        <w:rPr>
          <w:color w:val="000000" w:themeColor="text1"/>
        </w:rPr>
      </w:pPr>
      <w:r w:rsidRPr="00B06D58">
        <w:rPr>
          <w:b/>
          <w:bCs/>
          <w:color w:val="000000" w:themeColor="text1"/>
        </w:rPr>
        <w:t>Soixante-quatorzième session</w:t>
      </w:r>
    </w:p>
    <w:p w14:paraId="608BBCF9" w14:textId="77777777" w:rsidR="00D50749" w:rsidRPr="00B06D58" w:rsidRDefault="00D50749" w:rsidP="00D50749">
      <w:pPr>
        <w:rPr>
          <w:bCs/>
          <w:color w:val="000000" w:themeColor="text1"/>
        </w:rPr>
      </w:pPr>
      <w:r w:rsidRPr="00B06D58">
        <w:rPr>
          <w:color w:val="000000" w:themeColor="text1"/>
        </w:rPr>
        <w:t>Genève, 15-17 septembre 2021</w:t>
      </w:r>
    </w:p>
    <w:p w14:paraId="6BDD9457" w14:textId="77777777" w:rsidR="00D50749" w:rsidRPr="00B06D58" w:rsidRDefault="00D50749" w:rsidP="00D50749">
      <w:pPr>
        <w:rPr>
          <w:bCs/>
          <w:color w:val="000000" w:themeColor="text1"/>
        </w:rPr>
      </w:pPr>
      <w:r w:rsidRPr="00B06D58">
        <w:rPr>
          <w:color w:val="000000" w:themeColor="text1"/>
        </w:rPr>
        <w:t>Point 5 de l’ordre du jour provisoire</w:t>
      </w:r>
    </w:p>
    <w:p w14:paraId="2E90BF6C" w14:textId="117C9F48" w:rsidR="00D50749" w:rsidRPr="00B06D58" w:rsidRDefault="00D50749" w:rsidP="00D50749">
      <w:pPr>
        <w:rPr>
          <w:color w:val="000000" w:themeColor="text1"/>
        </w:rPr>
      </w:pPr>
      <w:r w:rsidRPr="00B06D58">
        <w:rPr>
          <w:b/>
          <w:bCs/>
          <w:color w:val="000000" w:themeColor="text1"/>
        </w:rPr>
        <w:t>Règlement ONU n</w:t>
      </w:r>
      <w:r w:rsidRPr="00B06D58">
        <w:rPr>
          <w:b/>
          <w:bCs/>
          <w:color w:val="000000" w:themeColor="text1"/>
          <w:vertAlign w:val="superscript"/>
        </w:rPr>
        <w:t>o</w:t>
      </w:r>
      <w:r w:rsidRPr="00B06D58">
        <w:rPr>
          <w:b/>
          <w:bCs/>
          <w:color w:val="000000" w:themeColor="text1"/>
        </w:rPr>
        <w:t xml:space="preserve"> 92 (Dispositifs silencieux d’échappement </w:t>
      </w:r>
      <w:r w:rsidR="00733EC6">
        <w:rPr>
          <w:b/>
          <w:bCs/>
          <w:color w:val="000000" w:themeColor="text1"/>
        </w:rPr>
        <w:br/>
      </w:r>
      <w:r w:rsidRPr="00B06D58">
        <w:rPr>
          <w:b/>
          <w:bCs/>
          <w:color w:val="000000" w:themeColor="text1"/>
        </w:rPr>
        <w:t>de remplacement pour motocycles)</w:t>
      </w:r>
    </w:p>
    <w:p w14:paraId="020C68C8" w14:textId="77777777" w:rsidR="00D50749" w:rsidRPr="00B06D58" w:rsidRDefault="00D50749" w:rsidP="00733EC6">
      <w:pPr>
        <w:pStyle w:val="HChG"/>
      </w:pPr>
      <w:r w:rsidRPr="00B06D58">
        <w:tab/>
      </w:r>
      <w:r w:rsidRPr="00B06D58">
        <w:tab/>
        <w:t>Proposition d’amendement au Règlement ONU n</w:t>
      </w:r>
      <w:r w:rsidRPr="00B06D58">
        <w:rPr>
          <w:vertAlign w:val="superscript"/>
        </w:rPr>
        <w:t>o</w:t>
      </w:r>
      <w:r w:rsidRPr="00B06D58">
        <w:t> 92</w:t>
      </w:r>
    </w:p>
    <w:p w14:paraId="311C6C44" w14:textId="77777777" w:rsidR="00D50749" w:rsidRPr="00B06D58" w:rsidRDefault="00D50749" w:rsidP="00733EC6">
      <w:pPr>
        <w:pStyle w:val="H1G"/>
      </w:pPr>
      <w:r w:rsidRPr="00B06D58">
        <w:tab/>
      </w:r>
      <w:r w:rsidRPr="00B06D58">
        <w:tab/>
        <w:t>Communication de l’expert de l’Italie</w:t>
      </w:r>
      <w:r w:rsidRPr="00733EC6">
        <w:rPr>
          <w:b w:val="0"/>
          <w:bCs/>
          <w:sz w:val="20"/>
        </w:rPr>
        <w:footnoteReference w:customMarkFollows="1" w:id="2"/>
        <w:t>*</w:t>
      </w:r>
    </w:p>
    <w:p w14:paraId="2A723B9B" w14:textId="66BAE5EA" w:rsidR="00D50749" w:rsidRPr="00B06D58" w:rsidRDefault="00D50749" w:rsidP="00733EC6">
      <w:pPr>
        <w:pStyle w:val="SingleTxtG"/>
        <w:ind w:firstLine="567"/>
      </w:pPr>
      <w:r w:rsidRPr="00B06D58">
        <w:t>Le texte ci-après, établi par l’expert de l’Italie, a pour objet une proposition d’amendement au Règlement ONU n</w:t>
      </w:r>
      <w:r w:rsidRPr="00B06D58">
        <w:rPr>
          <w:vertAlign w:val="superscript"/>
        </w:rPr>
        <w:t>o</w:t>
      </w:r>
      <w:r w:rsidRPr="00B06D58">
        <w:t> 92. Les modifications qu’il est proposé d’apporter au texte actuel du Règlement ONU figurent en caractères gras pour les ajouts et biffés pour les</w:t>
      </w:r>
      <w:r w:rsidR="00733EC6">
        <w:t> </w:t>
      </w:r>
      <w:r w:rsidRPr="00B06D58">
        <w:t>suppressions.</w:t>
      </w:r>
    </w:p>
    <w:p w14:paraId="2CD05FDF" w14:textId="77777777" w:rsidR="00733EC6" w:rsidRDefault="00733EC6" w:rsidP="00733EC6">
      <w:pPr>
        <w:pStyle w:val="SingleTxtG"/>
        <w:rPr>
          <w:sz w:val="28"/>
        </w:rPr>
      </w:pPr>
      <w:r>
        <w:br w:type="page"/>
      </w:r>
    </w:p>
    <w:p w14:paraId="7B657E0D" w14:textId="29152F9D" w:rsidR="00D50749" w:rsidRPr="00B06D58" w:rsidRDefault="00D50749" w:rsidP="00733EC6">
      <w:pPr>
        <w:pStyle w:val="HChG"/>
        <w:rPr>
          <w:sz w:val="40"/>
          <w:szCs w:val="40"/>
        </w:rPr>
      </w:pPr>
      <w:r w:rsidRPr="00B06D58">
        <w:lastRenderedPageBreak/>
        <w:tab/>
        <w:t>I.</w:t>
      </w:r>
      <w:r w:rsidRPr="00B06D58">
        <w:tab/>
        <w:t>Proposition</w:t>
      </w:r>
    </w:p>
    <w:p w14:paraId="7FA1A344" w14:textId="2F3B72EC" w:rsidR="00D50749" w:rsidRPr="00B06D58" w:rsidRDefault="00D50749" w:rsidP="00733EC6">
      <w:pPr>
        <w:pStyle w:val="SingleTxtG"/>
        <w:keepNext/>
        <w:rPr>
          <w:b/>
          <w:sz w:val="14"/>
        </w:rPr>
      </w:pPr>
      <w:r w:rsidRPr="00733EC6">
        <w:rPr>
          <w:i/>
          <w:iCs/>
        </w:rPr>
        <w:t>Paragraphe 2.3</w:t>
      </w:r>
      <w:r w:rsidRPr="00B06D58">
        <w:t>, lire</w:t>
      </w:r>
      <w:r>
        <w:rPr>
          <w:b/>
        </w:rPr>
        <w:t> :</w:t>
      </w:r>
    </w:p>
    <w:p w14:paraId="7701734B" w14:textId="28686FF1" w:rsidR="00D50749" w:rsidRPr="00B06D58" w:rsidRDefault="00D50749" w:rsidP="00733EC6">
      <w:pPr>
        <w:pStyle w:val="SingleTxtG"/>
        <w:ind w:left="2268" w:hanging="1134"/>
        <w:rPr>
          <w:color w:val="000000" w:themeColor="text1"/>
        </w:rPr>
      </w:pPr>
      <w:r w:rsidRPr="00B06D58">
        <w:rPr>
          <w:color w:val="000000" w:themeColor="text1"/>
        </w:rPr>
        <w:t>« 2.3</w:t>
      </w:r>
      <w:r w:rsidRPr="00B06D58">
        <w:rPr>
          <w:color w:val="000000" w:themeColor="text1"/>
        </w:rPr>
        <w:tab/>
        <w:t>“</w:t>
      </w:r>
      <w:r w:rsidRPr="00B06D58">
        <w:rPr>
          <w:i/>
          <w:iCs/>
          <w:color w:val="000000" w:themeColor="text1"/>
        </w:rPr>
        <w:t xml:space="preserve">Dispositifs silencieux d’échappement de remplacement non d’origine de </w:t>
      </w:r>
      <w:r w:rsidRPr="00B06D58">
        <w:rPr>
          <w:i/>
          <w:iCs/>
          <w:strike/>
          <w:color w:val="000000" w:themeColor="text1"/>
        </w:rPr>
        <w:t>types différents</w:t>
      </w:r>
      <w:r w:rsidRPr="00B06D58">
        <w:rPr>
          <w:b/>
          <w:bCs/>
          <w:i/>
          <w:iCs/>
          <w:color w:val="000000" w:themeColor="text1"/>
        </w:rPr>
        <w:t xml:space="preserve"> configurations différentes</w:t>
      </w:r>
      <w:r w:rsidRPr="00B06D58">
        <w:rPr>
          <w:color w:val="000000" w:themeColor="text1"/>
        </w:rPr>
        <w:t xml:space="preserve">”, des dispositifs </w:t>
      </w:r>
      <w:r w:rsidRPr="00B06D58">
        <w:rPr>
          <w:b/>
          <w:bCs/>
          <w:color w:val="000000" w:themeColor="text1"/>
        </w:rPr>
        <w:t>appartenant au même type, mais présentant entre eux des différences sur un ou plusieurs des points essentiels suivants</w:t>
      </w:r>
      <w:r>
        <w:rPr>
          <w:color w:val="000000" w:themeColor="text1"/>
        </w:rPr>
        <w:t> :</w:t>
      </w:r>
    </w:p>
    <w:p w14:paraId="0DB0ED60" w14:textId="36427FF4" w:rsidR="00D50749" w:rsidRPr="00733EC6" w:rsidRDefault="00D50749" w:rsidP="00733EC6">
      <w:pPr>
        <w:pStyle w:val="SingleTxtG"/>
        <w:ind w:left="2835" w:hanging="567"/>
        <w:rPr>
          <w:b/>
          <w:bCs/>
        </w:rPr>
      </w:pPr>
      <w:r w:rsidRPr="00733EC6">
        <w:rPr>
          <w:b/>
          <w:bCs/>
        </w:rPr>
        <w:t>a)</w:t>
      </w:r>
      <w:r w:rsidRPr="00733EC6">
        <w:rPr>
          <w:b/>
          <w:bCs/>
        </w:rPr>
        <w:tab/>
        <w:t>Dispositifs dont les éléments portent des marques de fabrique ou de commerce différentes</w:t>
      </w:r>
      <w:r w:rsidRPr="00733EC6">
        <w:rPr>
          <w:b/>
          <w:bCs/>
        </w:rPr>
        <w:t> ;</w:t>
      </w:r>
    </w:p>
    <w:p w14:paraId="578F295B" w14:textId="12FFC125" w:rsidR="00D50749" w:rsidRPr="00B06D58" w:rsidRDefault="00D50749" w:rsidP="00733EC6">
      <w:pPr>
        <w:pStyle w:val="SingleTxtG"/>
        <w:ind w:left="2835" w:hanging="567"/>
        <w:rPr>
          <w:b/>
          <w:color w:val="000000" w:themeColor="text1"/>
        </w:rPr>
      </w:pPr>
      <w:r w:rsidRPr="00B06D58">
        <w:rPr>
          <w:b/>
          <w:bCs/>
          <w:color w:val="000000" w:themeColor="text1"/>
        </w:rPr>
        <w:t>b)</w:t>
      </w:r>
      <w:r w:rsidRPr="00B06D58">
        <w:rPr>
          <w:color w:val="000000" w:themeColor="text1"/>
        </w:rPr>
        <w:tab/>
      </w:r>
      <w:r w:rsidRPr="00B06D58">
        <w:rPr>
          <w:b/>
          <w:bCs/>
          <w:color w:val="000000" w:themeColor="text1"/>
        </w:rPr>
        <w:t>Dispositifs comprenant des éléments faits de matériaux ayant des caractéristiques différentes ou comprenant des éléments de formes ou de dimensions différentes</w:t>
      </w:r>
      <w:r>
        <w:rPr>
          <w:b/>
          <w:bCs/>
          <w:color w:val="000000" w:themeColor="text1"/>
        </w:rPr>
        <w:t> ;</w:t>
      </w:r>
      <w:r w:rsidRPr="00B06D58">
        <w:rPr>
          <w:color w:val="000000" w:themeColor="text1"/>
        </w:rPr>
        <w:t xml:space="preserve"> </w:t>
      </w:r>
      <w:r w:rsidRPr="00B06D58">
        <w:rPr>
          <w:b/>
          <w:bCs/>
          <w:color w:val="000000" w:themeColor="text1"/>
        </w:rPr>
        <w:t>une modification du procédé de revêtement (zingage, aluminisation, etc.) n’est pas considérée comme affectant la configuration</w:t>
      </w:r>
      <w:r>
        <w:rPr>
          <w:b/>
          <w:bCs/>
          <w:color w:val="000000" w:themeColor="text1"/>
        </w:rPr>
        <w:t> ;</w:t>
      </w:r>
    </w:p>
    <w:p w14:paraId="2A326BB7" w14:textId="618F5532" w:rsidR="00D50749" w:rsidRPr="00B06D58" w:rsidRDefault="00D50749" w:rsidP="00733EC6">
      <w:pPr>
        <w:pStyle w:val="SingleTxtG"/>
        <w:ind w:left="2835" w:hanging="567"/>
        <w:rPr>
          <w:b/>
          <w:color w:val="000000" w:themeColor="text1"/>
        </w:rPr>
      </w:pPr>
      <w:r w:rsidRPr="00B06D58">
        <w:rPr>
          <w:b/>
          <w:bCs/>
          <w:color w:val="000000" w:themeColor="text1"/>
        </w:rPr>
        <w:t>c)</w:t>
      </w:r>
      <w:r w:rsidRPr="00B06D58">
        <w:rPr>
          <w:color w:val="000000" w:themeColor="text1"/>
        </w:rPr>
        <w:tab/>
      </w:r>
      <w:r w:rsidRPr="00B06D58">
        <w:rPr>
          <w:b/>
          <w:bCs/>
          <w:color w:val="000000" w:themeColor="text1"/>
        </w:rPr>
        <w:t>Dispositifs dans lesquels les principes de fonctionnement d’au moins un élément sont différents</w:t>
      </w:r>
      <w:r>
        <w:rPr>
          <w:b/>
          <w:bCs/>
          <w:color w:val="000000" w:themeColor="text1"/>
        </w:rPr>
        <w:t> ;</w:t>
      </w:r>
    </w:p>
    <w:p w14:paraId="6B5B1548" w14:textId="506383A6" w:rsidR="00D50749" w:rsidRPr="00B06D58" w:rsidRDefault="00D50749" w:rsidP="00733EC6">
      <w:pPr>
        <w:pStyle w:val="SingleTxtG"/>
        <w:ind w:left="2835" w:hanging="567"/>
        <w:rPr>
          <w:b/>
          <w:color w:val="000000" w:themeColor="text1"/>
        </w:rPr>
      </w:pPr>
      <w:r w:rsidRPr="00B06D58">
        <w:rPr>
          <w:b/>
          <w:bCs/>
          <w:color w:val="000000" w:themeColor="text1"/>
        </w:rPr>
        <w:t>d)</w:t>
      </w:r>
      <w:r w:rsidRPr="00B06D58">
        <w:rPr>
          <w:color w:val="000000" w:themeColor="text1"/>
        </w:rPr>
        <w:tab/>
      </w:r>
      <w:r w:rsidRPr="00B06D58">
        <w:rPr>
          <w:b/>
          <w:bCs/>
          <w:color w:val="000000" w:themeColor="text1"/>
        </w:rPr>
        <w:t>Dispositifs dont les éléments sont combinés différemment</w:t>
      </w:r>
      <w:r>
        <w:rPr>
          <w:b/>
          <w:bCs/>
          <w:color w:val="000000" w:themeColor="text1"/>
        </w:rPr>
        <w:t> ;</w:t>
      </w:r>
    </w:p>
    <w:p w14:paraId="204C6824" w14:textId="217734AB" w:rsidR="00D50749" w:rsidRPr="00B06D58" w:rsidRDefault="00D50749" w:rsidP="00733EC6">
      <w:pPr>
        <w:pStyle w:val="SingleTxtG"/>
        <w:ind w:left="2835" w:hanging="567"/>
        <w:rPr>
          <w:color w:val="000000" w:themeColor="text1"/>
        </w:rPr>
      </w:pPr>
      <w:r w:rsidRPr="00B06D58">
        <w:rPr>
          <w:b/>
          <w:bCs/>
          <w:color w:val="000000" w:themeColor="text1"/>
        </w:rPr>
        <w:t>e)</w:t>
      </w:r>
      <w:r w:rsidRPr="00B06D58">
        <w:rPr>
          <w:color w:val="000000" w:themeColor="text1"/>
        </w:rPr>
        <w:tab/>
      </w:r>
      <w:r w:rsidRPr="00B06D58">
        <w:rPr>
          <w:b/>
          <w:bCs/>
          <w:color w:val="000000" w:themeColor="text1"/>
        </w:rPr>
        <w:t>La liste des différences autorisées entre les configurations des dispositifs silencieux d’échappement de remplacement non d’origine appartenant au même type figure à l’annexe</w:t>
      </w:r>
      <w:r w:rsidR="00B5677F">
        <w:rPr>
          <w:b/>
          <w:bCs/>
          <w:color w:val="000000" w:themeColor="text1"/>
        </w:rPr>
        <w:t xml:space="preserve"> </w:t>
      </w:r>
      <w:r w:rsidRPr="00B06D58">
        <w:rPr>
          <w:b/>
          <w:bCs/>
          <w:color w:val="000000" w:themeColor="text1"/>
        </w:rPr>
        <w:t>5 du présent Règlement</w:t>
      </w:r>
      <w:r w:rsidRPr="00B5677F">
        <w:rPr>
          <w:color w:val="000000" w:themeColor="text1"/>
        </w:rPr>
        <w:t>.</w:t>
      </w:r>
      <w:r w:rsidRPr="00B06D58">
        <w:rPr>
          <w:color w:val="000000" w:themeColor="text1"/>
        </w:rPr>
        <w:t> ».</w:t>
      </w:r>
    </w:p>
    <w:p w14:paraId="2E43DFA8" w14:textId="627992EB" w:rsidR="00D50749" w:rsidRPr="00B06D58" w:rsidRDefault="00D50749" w:rsidP="00733EC6">
      <w:pPr>
        <w:pStyle w:val="SingleTxtG"/>
        <w:keepNext/>
      </w:pPr>
      <w:r w:rsidRPr="00733EC6">
        <w:rPr>
          <w:i/>
          <w:iCs/>
        </w:rPr>
        <w:t>Paragraphe 2.4</w:t>
      </w:r>
      <w:r w:rsidRPr="00B06D58">
        <w:t>, lire</w:t>
      </w:r>
      <w:r>
        <w:t> :</w:t>
      </w:r>
    </w:p>
    <w:p w14:paraId="7CE7FACE" w14:textId="3E0CE6DB" w:rsidR="00D50749" w:rsidRPr="00B06D58" w:rsidRDefault="00D50749" w:rsidP="00733EC6">
      <w:pPr>
        <w:pStyle w:val="SingleTxtG"/>
        <w:ind w:left="2268" w:hanging="1134"/>
        <w:rPr>
          <w:color w:val="000000" w:themeColor="text1"/>
        </w:rPr>
      </w:pPr>
      <w:r w:rsidRPr="00B06D58">
        <w:rPr>
          <w:color w:val="000000" w:themeColor="text1"/>
        </w:rPr>
        <w:t>« 2.4</w:t>
      </w:r>
      <w:r w:rsidRPr="00B06D58">
        <w:rPr>
          <w:color w:val="000000" w:themeColor="text1"/>
        </w:rPr>
        <w:tab/>
        <w:t>“</w:t>
      </w:r>
      <w:r w:rsidRPr="00B06D58">
        <w:rPr>
          <w:i/>
          <w:iCs/>
          <w:color w:val="000000" w:themeColor="text1"/>
        </w:rPr>
        <w:t>Dispositif silencieux d’échappement de remplacement non d’origine ou élément d’un tel dispositif</w:t>
      </w:r>
      <w:r w:rsidRPr="00B06D58">
        <w:rPr>
          <w:color w:val="000000" w:themeColor="text1"/>
        </w:rPr>
        <w:t>”, tout composant du dispositif silencieux d’échappement défini au paragraphe</w:t>
      </w:r>
      <w:r w:rsidR="00B5677F">
        <w:rPr>
          <w:color w:val="000000" w:themeColor="text1"/>
        </w:rPr>
        <w:t xml:space="preserve"> </w:t>
      </w:r>
      <w:r w:rsidRPr="00B06D58">
        <w:rPr>
          <w:color w:val="000000" w:themeColor="text1"/>
        </w:rPr>
        <w:t xml:space="preserve">2.1 destiné à être utilisé sur un véhicule, autre qu’un composant du type </w:t>
      </w:r>
      <w:r w:rsidRPr="00B06D58">
        <w:rPr>
          <w:b/>
          <w:bCs/>
          <w:color w:val="000000" w:themeColor="text1"/>
        </w:rPr>
        <w:t xml:space="preserve">ou de la configuration </w:t>
      </w:r>
      <w:r w:rsidRPr="00B06D58">
        <w:rPr>
          <w:color w:val="000000" w:themeColor="text1"/>
        </w:rPr>
        <w:t>équipant ce véhicule lors de son homologation de type selon les Règlements ONU n</w:t>
      </w:r>
      <w:r w:rsidRPr="00B06D58">
        <w:rPr>
          <w:color w:val="000000" w:themeColor="text1"/>
          <w:vertAlign w:val="superscript"/>
        </w:rPr>
        <w:t>os</w:t>
      </w:r>
      <w:r w:rsidR="00733EC6">
        <w:rPr>
          <w:color w:val="000000" w:themeColor="text1"/>
        </w:rPr>
        <w:t> </w:t>
      </w:r>
      <w:r w:rsidRPr="00B06D58">
        <w:rPr>
          <w:color w:val="000000" w:themeColor="text1"/>
        </w:rPr>
        <w:t>9, 41 ou 63</w:t>
      </w:r>
      <w:r>
        <w:rPr>
          <w:color w:val="000000" w:themeColor="text1"/>
        </w:rPr>
        <w:t> ;</w:t>
      </w:r>
      <w:r w:rsidRPr="00B06D58">
        <w:rPr>
          <w:color w:val="000000" w:themeColor="text1"/>
        </w:rPr>
        <w:t> ».</w:t>
      </w:r>
    </w:p>
    <w:p w14:paraId="6A8DBBAD" w14:textId="1E4338CF" w:rsidR="00D50749" w:rsidRPr="00B06D58" w:rsidRDefault="00D50749" w:rsidP="00733EC6">
      <w:pPr>
        <w:pStyle w:val="SingleTxtG"/>
        <w:keepNext/>
      </w:pPr>
      <w:r w:rsidRPr="00733EC6">
        <w:rPr>
          <w:i/>
          <w:iCs/>
        </w:rPr>
        <w:t>Paragraphe 2.6</w:t>
      </w:r>
      <w:r w:rsidRPr="00B06D58">
        <w:t>, lire</w:t>
      </w:r>
      <w:r>
        <w:t> :</w:t>
      </w:r>
    </w:p>
    <w:p w14:paraId="5A65CC04" w14:textId="24E47296" w:rsidR="00D50749" w:rsidRPr="00B06D58" w:rsidRDefault="00D50749" w:rsidP="00733EC6">
      <w:pPr>
        <w:pStyle w:val="SingleTxtG"/>
        <w:ind w:left="2268" w:hanging="1134"/>
        <w:rPr>
          <w:color w:val="000000" w:themeColor="text1"/>
        </w:rPr>
      </w:pPr>
      <w:r w:rsidRPr="00B06D58">
        <w:rPr>
          <w:color w:val="000000" w:themeColor="text1"/>
        </w:rPr>
        <w:t>« 2.6</w:t>
      </w:r>
      <w:r w:rsidRPr="00B06D58">
        <w:rPr>
          <w:color w:val="000000" w:themeColor="text1"/>
        </w:rPr>
        <w:tab/>
      </w:r>
      <w:r w:rsidRPr="00B06D58">
        <w:rPr>
          <w:color w:val="000000" w:themeColor="text1"/>
        </w:rPr>
        <w:tab/>
        <w:t>“</w:t>
      </w:r>
      <w:r w:rsidRPr="00B06D58">
        <w:rPr>
          <w:i/>
          <w:iCs/>
          <w:color w:val="000000" w:themeColor="text1"/>
        </w:rPr>
        <w:t>Type de véhicule</w:t>
      </w:r>
      <w:r w:rsidRPr="00B06D58">
        <w:rPr>
          <w:color w:val="000000" w:themeColor="text1"/>
        </w:rPr>
        <w:t>”, les véhicules relevant du présent Règlement ONU et ne présentant pas entre eux de différences essentielles, notamment en ce qui concerne les éléments ci-après</w:t>
      </w:r>
      <w:r>
        <w:rPr>
          <w:color w:val="000000" w:themeColor="text1"/>
        </w:rPr>
        <w:t> :</w:t>
      </w:r>
    </w:p>
    <w:p w14:paraId="0E508C13" w14:textId="77777777" w:rsidR="00D50749" w:rsidRPr="00B06D58" w:rsidRDefault="00D50749" w:rsidP="00733EC6">
      <w:pPr>
        <w:pStyle w:val="SingleTxtG"/>
        <w:ind w:left="2835" w:hanging="567"/>
        <w:rPr>
          <w:color w:val="000000" w:themeColor="text1"/>
        </w:rPr>
      </w:pPr>
      <w:r w:rsidRPr="00B06D58">
        <w:rPr>
          <w:color w:val="000000" w:themeColor="text1"/>
        </w:rPr>
        <w:t>…</w:t>
      </w:r>
    </w:p>
    <w:p w14:paraId="431A677B" w14:textId="77777777" w:rsidR="00D50749" w:rsidRPr="00B06D58" w:rsidRDefault="00D50749" w:rsidP="00733EC6">
      <w:pPr>
        <w:pStyle w:val="SingleTxtG"/>
        <w:ind w:left="2835" w:hanging="567"/>
        <w:rPr>
          <w:color w:val="000000" w:themeColor="text1"/>
        </w:rPr>
      </w:pPr>
      <w:r w:rsidRPr="00B06D58">
        <w:rPr>
          <w:color w:val="000000" w:themeColor="text1"/>
        </w:rPr>
        <w:t>c)</w:t>
      </w:r>
      <w:r w:rsidRPr="00B06D58">
        <w:rPr>
          <w:color w:val="000000" w:themeColor="text1"/>
        </w:rPr>
        <w:tab/>
        <w:t>Nombre, type</w:t>
      </w:r>
      <w:r w:rsidRPr="00B06D58">
        <w:rPr>
          <w:b/>
          <w:bCs/>
          <w:color w:val="000000" w:themeColor="text1"/>
        </w:rPr>
        <w:t>/configurations</w:t>
      </w:r>
      <w:r w:rsidRPr="00B06D58">
        <w:rPr>
          <w:color w:val="000000" w:themeColor="text1"/>
        </w:rPr>
        <w:t xml:space="preserve"> et agencement des dispositifs silencieux d’échappement.</w:t>
      </w:r>
    </w:p>
    <w:p w14:paraId="6700A476" w14:textId="77777777" w:rsidR="00D50749" w:rsidRPr="00B06D58" w:rsidRDefault="00D50749" w:rsidP="00733EC6">
      <w:pPr>
        <w:pStyle w:val="SingleTxtG"/>
        <w:ind w:left="2835" w:hanging="567"/>
        <w:rPr>
          <w:color w:val="000000" w:themeColor="text1"/>
        </w:rPr>
      </w:pPr>
      <w:r w:rsidRPr="00B06D58">
        <w:rPr>
          <w:color w:val="000000" w:themeColor="text1"/>
        </w:rPr>
        <w:t>… ».</w:t>
      </w:r>
    </w:p>
    <w:p w14:paraId="1EB22759" w14:textId="61B262C6" w:rsidR="00D50749" w:rsidRPr="00B06D58" w:rsidRDefault="00D50749" w:rsidP="00733EC6">
      <w:pPr>
        <w:pStyle w:val="SingleTxtG"/>
        <w:keepNext/>
      </w:pPr>
      <w:r w:rsidRPr="00733EC6">
        <w:rPr>
          <w:i/>
          <w:iCs/>
        </w:rPr>
        <w:t>Paragraphe 3.2</w:t>
      </w:r>
      <w:r w:rsidRPr="00B06D58">
        <w:t>, lire</w:t>
      </w:r>
      <w:r>
        <w:t> :</w:t>
      </w:r>
    </w:p>
    <w:p w14:paraId="339C4B10" w14:textId="5363E4F5" w:rsidR="00D50749" w:rsidRPr="00B06D58" w:rsidRDefault="00D50749" w:rsidP="00733EC6">
      <w:pPr>
        <w:pStyle w:val="SingleTxtG"/>
        <w:ind w:left="2268" w:hanging="1134"/>
        <w:rPr>
          <w:color w:val="000000" w:themeColor="text1"/>
          <w:szCs w:val="24"/>
        </w:rPr>
      </w:pPr>
      <w:r w:rsidRPr="00B06D58">
        <w:rPr>
          <w:color w:val="000000" w:themeColor="text1"/>
        </w:rPr>
        <w:t>« 3.2</w:t>
      </w:r>
      <w:r w:rsidRPr="00B06D58">
        <w:rPr>
          <w:color w:val="000000" w:themeColor="text1"/>
        </w:rPr>
        <w:tab/>
        <w:t>Elle doit être accompagnée des documents mentionnés ci-après et des informations suivantes</w:t>
      </w:r>
      <w:r>
        <w:rPr>
          <w:color w:val="000000" w:themeColor="text1"/>
        </w:rPr>
        <w:t> :</w:t>
      </w:r>
    </w:p>
    <w:p w14:paraId="0DF87477" w14:textId="77777777" w:rsidR="00D50749" w:rsidRPr="00B06D58" w:rsidRDefault="00D50749" w:rsidP="00733EC6">
      <w:pPr>
        <w:pStyle w:val="SingleTxtG"/>
        <w:ind w:left="2835" w:hanging="567"/>
        <w:rPr>
          <w:color w:val="000000" w:themeColor="text1"/>
          <w:szCs w:val="24"/>
        </w:rPr>
      </w:pPr>
      <w:r w:rsidRPr="00B06D58">
        <w:rPr>
          <w:color w:val="000000" w:themeColor="text1"/>
        </w:rPr>
        <w:t>…</w:t>
      </w:r>
    </w:p>
    <w:p w14:paraId="0F98AFEE" w14:textId="166318FF" w:rsidR="00D50749" w:rsidRPr="00B06D58" w:rsidRDefault="00D50749" w:rsidP="00733EC6">
      <w:pPr>
        <w:pStyle w:val="SingleTxtG"/>
        <w:ind w:left="2835" w:hanging="567"/>
        <w:rPr>
          <w:b/>
          <w:color w:val="000000" w:themeColor="text1"/>
        </w:rPr>
      </w:pPr>
      <w:r w:rsidRPr="00B06D58">
        <w:rPr>
          <w:color w:val="000000" w:themeColor="text1"/>
        </w:rPr>
        <w:t>c)</w:t>
      </w:r>
      <w:r w:rsidRPr="00B06D58">
        <w:rPr>
          <w:color w:val="000000" w:themeColor="text1"/>
        </w:rPr>
        <w:tab/>
        <w:t xml:space="preserve">Dessins détaillés de chaque élément afin de le localiser et de l’identifier facilement, et spécification des matériaux employés. Ces dessins doivent également indiquer l’emplacement prévu pour l’apposition obligatoire du numéro d’homologation. </w:t>
      </w:r>
      <w:r w:rsidRPr="00B06D58">
        <w:rPr>
          <w:b/>
          <w:bCs/>
          <w:color w:val="000000" w:themeColor="text1"/>
        </w:rPr>
        <w:t>Les différences pour chaque configuration de dispositif silencieux d’échappement de remplacement peuvent être décrites sur les dessins des dispositifs</w:t>
      </w:r>
      <w:r w:rsidRPr="00B5677F">
        <w:rPr>
          <w:color w:val="000000" w:themeColor="text1"/>
        </w:rPr>
        <w:t> ;</w:t>
      </w:r>
    </w:p>
    <w:p w14:paraId="6FA207DD" w14:textId="77777777" w:rsidR="00D50749" w:rsidRPr="00B06D58" w:rsidRDefault="00D50749" w:rsidP="00733EC6">
      <w:pPr>
        <w:pStyle w:val="SingleTxtG"/>
        <w:ind w:left="2835" w:hanging="567"/>
        <w:rPr>
          <w:bCs/>
          <w:color w:val="000000" w:themeColor="text1"/>
        </w:rPr>
      </w:pPr>
      <w:r w:rsidRPr="00B06D58">
        <w:rPr>
          <w:color w:val="000000" w:themeColor="text1"/>
        </w:rPr>
        <w:t>… ».</w:t>
      </w:r>
    </w:p>
    <w:p w14:paraId="36149149" w14:textId="2AC3D5FD" w:rsidR="00D50749" w:rsidRPr="00B06D58" w:rsidRDefault="00D50749" w:rsidP="00733EC6">
      <w:pPr>
        <w:pStyle w:val="SingleTxtG"/>
        <w:keepNext/>
      </w:pPr>
      <w:r w:rsidRPr="00733EC6">
        <w:rPr>
          <w:i/>
          <w:iCs/>
        </w:rPr>
        <w:lastRenderedPageBreak/>
        <w:t>Paragraphe 3.3</w:t>
      </w:r>
      <w:r w:rsidRPr="00B06D58">
        <w:t>, lire</w:t>
      </w:r>
      <w:r>
        <w:t> :</w:t>
      </w:r>
    </w:p>
    <w:p w14:paraId="4E167BDB" w14:textId="177BB7D7" w:rsidR="00D50749" w:rsidRPr="00B06D58" w:rsidRDefault="00D50749" w:rsidP="00733EC6">
      <w:pPr>
        <w:pStyle w:val="SingleTxtG"/>
        <w:ind w:left="2268" w:hanging="1134"/>
        <w:rPr>
          <w:color w:val="000000" w:themeColor="text1"/>
          <w:szCs w:val="24"/>
        </w:rPr>
      </w:pPr>
      <w:r w:rsidRPr="00B06D58">
        <w:rPr>
          <w:color w:val="000000" w:themeColor="text1"/>
        </w:rPr>
        <w:t>« 3.3</w:t>
      </w:r>
      <w:r w:rsidRPr="00B06D58">
        <w:rPr>
          <w:color w:val="000000" w:themeColor="text1"/>
        </w:rPr>
        <w:tab/>
      </w:r>
      <w:r w:rsidRPr="00B06D58">
        <w:rPr>
          <w:color w:val="000000" w:themeColor="text1"/>
        </w:rPr>
        <w:tab/>
        <w:t>Le fabricant du dispositif silencieux d’échappement de remplacement doit présenter, à la demande du service technique chargé des essais d’homologation</w:t>
      </w:r>
      <w:r>
        <w:rPr>
          <w:color w:val="000000" w:themeColor="text1"/>
        </w:rPr>
        <w:t> :</w:t>
      </w:r>
    </w:p>
    <w:p w14:paraId="4F9A4E55" w14:textId="59515A4B" w:rsidR="00D50749" w:rsidRPr="00B06D58" w:rsidRDefault="00D50749" w:rsidP="00733EC6">
      <w:pPr>
        <w:pStyle w:val="SingleTxtG"/>
        <w:ind w:left="2835" w:hanging="567"/>
        <w:rPr>
          <w:color w:val="000000" w:themeColor="text1"/>
        </w:rPr>
      </w:pPr>
      <w:r w:rsidRPr="00B06D58">
        <w:rPr>
          <w:color w:val="000000" w:themeColor="text1"/>
        </w:rPr>
        <w:t>a)</w:t>
      </w:r>
      <w:r w:rsidRPr="00B06D58">
        <w:rPr>
          <w:color w:val="000000" w:themeColor="text1"/>
        </w:rPr>
        <w:tab/>
        <w:t>Deux échantillons du dispositif ou des éléments d’un dispositif pour lesquels l’homologation est demandée</w:t>
      </w:r>
      <w:r>
        <w:rPr>
          <w:color w:val="000000" w:themeColor="text1"/>
        </w:rPr>
        <w:t> ;</w:t>
      </w:r>
      <w:r w:rsidRPr="00B06D58">
        <w:rPr>
          <w:color w:val="000000" w:themeColor="text1"/>
        </w:rPr>
        <w:t xml:space="preserve"> </w:t>
      </w:r>
      <w:r w:rsidRPr="00B06D58">
        <w:rPr>
          <w:b/>
          <w:bCs/>
          <w:color w:val="000000" w:themeColor="text1"/>
        </w:rPr>
        <w:t>en accord avec le service technique, les essais ne sont effectués que sur une seule configuration du dispositif</w:t>
      </w:r>
      <w:r>
        <w:rPr>
          <w:b/>
          <w:bCs/>
          <w:color w:val="000000" w:themeColor="text1"/>
        </w:rPr>
        <w:t> ;</w:t>
      </w:r>
    </w:p>
    <w:p w14:paraId="6DBC018C" w14:textId="77777777" w:rsidR="00D50749" w:rsidRPr="00B06D58" w:rsidRDefault="00D50749" w:rsidP="00733EC6">
      <w:pPr>
        <w:pStyle w:val="SingleTxtG"/>
        <w:ind w:left="2835" w:hanging="567"/>
        <w:rPr>
          <w:color w:val="000000" w:themeColor="text1"/>
        </w:rPr>
      </w:pPr>
      <w:r w:rsidRPr="00B06D58">
        <w:rPr>
          <w:color w:val="000000" w:themeColor="text1"/>
        </w:rPr>
        <w:t>… ».</w:t>
      </w:r>
    </w:p>
    <w:p w14:paraId="60943C90" w14:textId="764EDFE2" w:rsidR="00D50749" w:rsidRPr="00B06D58" w:rsidRDefault="00D50749" w:rsidP="00733EC6">
      <w:pPr>
        <w:pStyle w:val="SingleTxtG"/>
        <w:keepNext/>
      </w:pPr>
      <w:r w:rsidRPr="00733EC6">
        <w:rPr>
          <w:i/>
          <w:iCs/>
        </w:rPr>
        <w:t>Paragraphe 4.3</w:t>
      </w:r>
      <w:r w:rsidRPr="00B06D58">
        <w:t>, lire</w:t>
      </w:r>
      <w:r>
        <w:t> :</w:t>
      </w:r>
    </w:p>
    <w:p w14:paraId="31E43EF3" w14:textId="77777777" w:rsidR="00D50749" w:rsidRPr="00B06D58" w:rsidRDefault="00D50749" w:rsidP="00733EC6">
      <w:pPr>
        <w:pStyle w:val="SingleTxtG"/>
        <w:ind w:left="2268" w:hanging="1134"/>
        <w:rPr>
          <w:color w:val="000000" w:themeColor="text1"/>
        </w:rPr>
      </w:pPr>
      <w:r w:rsidRPr="00B06D58">
        <w:rPr>
          <w:color w:val="000000" w:themeColor="text1"/>
        </w:rPr>
        <w:t>« 4.3</w:t>
      </w:r>
      <w:r w:rsidRPr="00B06D58">
        <w:rPr>
          <w:color w:val="000000" w:themeColor="text1"/>
        </w:rPr>
        <w:tab/>
        <w:t xml:space="preserve">Le dispositif silencieux d’échappement de remplacement doit être étiqueté par le fabricant, qui indique le ou les types du ou des véhicules pour lequel ou lesquels une homologation a été accordée. </w:t>
      </w:r>
      <w:r w:rsidRPr="00B06D58">
        <w:rPr>
          <w:b/>
          <w:bCs/>
          <w:color w:val="000000" w:themeColor="text1"/>
        </w:rPr>
        <w:t>Le ou les types de motocycles peuvent être indiqués sur une fiche de synthèse distincte ou à l’aide d’un code QR, au lieu de l’étiquette susmentionnée.</w:t>
      </w:r>
      <w:r w:rsidRPr="00B06D58">
        <w:rPr>
          <w:color w:val="000000" w:themeColor="text1"/>
        </w:rPr>
        <w:t> ».</w:t>
      </w:r>
    </w:p>
    <w:p w14:paraId="1C4FB391" w14:textId="6C72F232" w:rsidR="00D50749" w:rsidRPr="00B06D58" w:rsidRDefault="00D50749" w:rsidP="00733EC6">
      <w:pPr>
        <w:pStyle w:val="SingleTxtG"/>
        <w:keepNext/>
      </w:pPr>
      <w:r w:rsidRPr="00733EC6">
        <w:rPr>
          <w:i/>
          <w:iCs/>
        </w:rPr>
        <w:t>Paragraphe 5.1</w:t>
      </w:r>
      <w:r w:rsidRPr="00B06D58">
        <w:t>, lire</w:t>
      </w:r>
      <w:r>
        <w:t> :</w:t>
      </w:r>
    </w:p>
    <w:p w14:paraId="38A87980" w14:textId="77777777" w:rsidR="00D50749" w:rsidRPr="00733EC6" w:rsidRDefault="00D50749" w:rsidP="00733EC6">
      <w:pPr>
        <w:pStyle w:val="SingleTxtG"/>
        <w:ind w:left="2268" w:hanging="1134"/>
        <w:rPr>
          <w:b/>
          <w:spacing w:val="-2"/>
        </w:rPr>
      </w:pPr>
      <w:r w:rsidRPr="00733EC6">
        <w:rPr>
          <w:spacing w:val="-2"/>
        </w:rPr>
        <w:t>« 5.1</w:t>
      </w:r>
      <w:r w:rsidRPr="00733EC6">
        <w:rPr>
          <w:spacing w:val="-2"/>
        </w:rPr>
        <w:tab/>
        <w:t>Si le dispositif silencieux d’échappement de remplacement ou un de ses éléments présenté à l’homologation en application du présent Règlement ONU satisfait aux prescriptions du paragraphe 6 ci-après, l’homologation pour ce type est accordée</w:t>
      </w:r>
      <w:r w:rsidRPr="00733EC6">
        <w:rPr>
          <w:b/>
          <w:bCs/>
          <w:spacing w:val="-2"/>
        </w:rPr>
        <w:t>, y compris pour toutes les configurations appartenant au type</w:t>
      </w:r>
      <w:r w:rsidRPr="00733EC6">
        <w:rPr>
          <w:spacing w:val="-2"/>
        </w:rPr>
        <w:t>. ».</w:t>
      </w:r>
    </w:p>
    <w:p w14:paraId="3249E357" w14:textId="3F2FB6EF" w:rsidR="00D50749" w:rsidRPr="00B06D58" w:rsidRDefault="00D50749" w:rsidP="00733EC6">
      <w:pPr>
        <w:pStyle w:val="SingleTxtG"/>
        <w:keepNext/>
      </w:pPr>
      <w:r w:rsidRPr="00B06D58">
        <w:rPr>
          <w:i/>
          <w:iCs/>
        </w:rPr>
        <w:t>Annexe</w:t>
      </w:r>
      <w:r w:rsidR="00733EC6">
        <w:rPr>
          <w:i/>
          <w:iCs/>
        </w:rPr>
        <w:t xml:space="preserve"> </w:t>
      </w:r>
      <w:r w:rsidRPr="00B06D58">
        <w:rPr>
          <w:i/>
          <w:iCs/>
        </w:rPr>
        <w:t>1</w:t>
      </w:r>
      <w:r w:rsidRPr="00B06D58">
        <w:t>, lire</w:t>
      </w:r>
      <w:r>
        <w:t> :</w:t>
      </w:r>
    </w:p>
    <w:p w14:paraId="57A35127" w14:textId="77777777" w:rsidR="00D50749" w:rsidRPr="00B06D58" w:rsidRDefault="00D50749" w:rsidP="00083C3D">
      <w:pPr>
        <w:pStyle w:val="HChG"/>
        <w:rPr>
          <w:bCs/>
        </w:rPr>
      </w:pPr>
      <w:r w:rsidRPr="00083C3D">
        <w:rPr>
          <w:b w:val="0"/>
          <w:sz w:val="22"/>
          <w:szCs w:val="22"/>
        </w:rPr>
        <w:t>« </w:t>
      </w:r>
      <w:r w:rsidRPr="00B06D58">
        <w:t>Annexe 1</w:t>
      </w:r>
    </w:p>
    <w:p w14:paraId="2F6D2920" w14:textId="506D9EF2" w:rsidR="00D50749" w:rsidRPr="00B06D58" w:rsidRDefault="00D50749" w:rsidP="00083C3D">
      <w:pPr>
        <w:pStyle w:val="HChG"/>
      </w:pPr>
      <w:r w:rsidRPr="00B06D58">
        <w:rPr>
          <w:sz w:val="24"/>
          <w:szCs w:val="24"/>
        </w:rPr>
        <w:tab/>
      </w:r>
      <w:r w:rsidRPr="00B06D58">
        <w:rPr>
          <w:sz w:val="24"/>
          <w:szCs w:val="24"/>
        </w:rPr>
        <w:tab/>
      </w:r>
      <w:r w:rsidRPr="00B06D58">
        <w:t>Communication</w:t>
      </w:r>
    </w:p>
    <w:p w14:paraId="09CF6FF1" w14:textId="6E69F6C9" w:rsidR="00D50749" w:rsidRDefault="00D50749" w:rsidP="00083C3D">
      <w:pPr>
        <w:pStyle w:val="HChG"/>
      </w:pPr>
      <w:r w:rsidRPr="00B06D58">
        <w:tab/>
      </w:r>
      <w:r w:rsidRPr="00B06D58">
        <w:tab/>
        <w:t>Partie A. Dispositif silencieux d’échappement de</w:t>
      </w:r>
      <w:r w:rsidR="00083C3D">
        <w:t> </w:t>
      </w:r>
      <w:r w:rsidRPr="00B06D58">
        <w:t>remplacement non d’origine pour les types de véhicules homologués en application de la série 04 d’amendements au</w:t>
      </w:r>
      <w:r w:rsidR="00083C3D">
        <w:t> </w:t>
      </w:r>
      <w:r w:rsidRPr="00B06D58">
        <w:t>Règlement ONU n</w:t>
      </w:r>
      <w:r w:rsidRPr="00B06D58">
        <w:rPr>
          <w:vertAlign w:val="superscript"/>
        </w:rPr>
        <w:t>o</w:t>
      </w:r>
      <w:r w:rsidRPr="00B06D58">
        <w:t> 41</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4793"/>
      </w:tblGrid>
      <w:tr w:rsidR="00083C3D" w14:paraId="7CB903AE" w14:textId="77777777" w:rsidTr="00DE4C33">
        <w:tc>
          <w:tcPr>
            <w:tcW w:w="2694" w:type="dxa"/>
          </w:tcPr>
          <w:p w14:paraId="5BE0916A" w14:textId="33295F8C" w:rsidR="00083C3D" w:rsidRDefault="00083C3D" w:rsidP="00DE4C33">
            <w:pPr>
              <w:pStyle w:val="SingleTxtG"/>
              <w:ind w:left="0" w:right="0"/>
            </w:pPr>
            <w:r w:rsidRPr="00B06D58">
              <w:rPr>
                <w:noProof/>
                <w:color w:val="000000" w:themeColor="text1"/>
                <w:lang w:eastAsia="it-IT"/>
              </w:rPr>
              <w:drawing>
                <wp:inline distT="0" distB="0" distL="0" distR="0" wp14:anchorId="60CF120F" wp14:editId="02F4C05D">
                  <wp:extent cx="902970" cy="9029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B5677F">
              <w:rPr>
                <w:rStyle w:val="Appelnotedebasdep"/>
                <w:color w:val="FFFFFF" w:themeColor="background1"/>
              </w:rPr>
              <w:footnoteReference w:id="3"/>
            </w:r>
          </w:p>
        </w:tc>
        <w:tc>
          <w:tcPr>
            <w:tcW w:w="4824" w:type="dxa"/>
          </w:tcPr>
          <w:p w14:paraId="51377808" w14:textId="77777777" w:rsidR="00083C3D" w:rsidRPr="00AD5476" w:rsidRDefault="00083C3D" w:rsidP="00DE4C33">
            <w:pPr>
              <w:ind w:left="1701" w:hanging="1701"/>
            </w:pPr>
            <w:r>
              <w:rPr>
                <w:lang w:val="fr-FR"/>
              </w:rPr>
              <w:t>Émanant de :</w:t>
            </w:r>
            <w:r>
              <w:rPr>
                <w:lang w:val="fr-FR"/>
              </w:rPr>
              <w:tab/>
              <w:t>Nom de l’administration :</w:t>
            </w:r>
          </w:p>
          <w:p w14:paraId="5804B3A8" w14:textId="77777777" w:rsidR="00083C3D" w:rsidRPr="00AD5476" w:rsidRDefault="00083C3D" w:rsidP="00DE4C33">
            <w:pPr>
              <w:tabs>
                <w:tab w:val="right" w:leader="dot" w:pos="4478"/>
              </w:tabs>
              <w:ind w:left="1701"/>
            </w:pPr>
            <w:r>
              <w:rPr>
                <w:lang w:val="fr-FR"/>
              </w:rPr>
              <w:tab/>
            </w:r>
          </w:p>
          <w:p w14:paraId="476D0B53" w14:textId="77777777" w:rsidR="00083C3D" w:rsidRPr="00AD5476" w:rsidRDefault="00083C3D" w:rsidP="00DE4C33">
            <w:pPr>
              <w:tabs>
                <w:tab w:val="right" w:leader="dot" w:pos="4478"/>
              </w:tabs>
              <w:ind w:left="1701"/>
            </w:pPr>
            <w:r>
              <w:tab/>
            </w:r>
          </w:p>
          <w:p w14:paraId="3D583A15" w14:textId="77777777" w:rsidR="00083C3D" w:rsidRDefault="00083C3D" w:rsidP="00DE4C33">
            <w:pPr>
              <w:tabs>
                <w:tab w:val="right" w:leader="dot" w:pos="4478"/>
              </w:tabs>
              <w:ind w:left="1701"/>
            </w:pPr>
            <w:r>
              <w:tab/>
            </w:r>
          </w:p>
        </w:tc>
      </w:tr>
    </w:tbl>
    <w:p w14:paraId="6B4D779B" w14:textId="29BC9801" w:rsidR="00083C3D" w:rsidRPr="00B06D58" w:rsidRDefault="00083C3D" w:rsidP="00083C3D">
      <w:pPr>
        <w:pStyle w:val="SingleTxtG"/>
        <w:spacing w:before="120"/>
        <w:ind w:left="2835" w:hanging="1701"/>
      </w:pPr>
      <w:r w:rsidRPr="00B06D58">
        <w:t>concernant</w:t>
      </w:r>
      <w:r>
        <w:rPr>
          <w:rStyle w:val="Appelnotedebasdep"/>
          <w:color w:val="000000" w:themeColor="text1"/>
        </w:rPr>
        <w:footnoteReference w:id="4"/>
      </w:r>
      <w:r>
        <w:t> :</w:t>
      </w:r>
      <w:r w:rsidRPr="00B06D58">
        <w:tab/>
        <w:t>Délivrance d’une homologation</w:t>
      </w:r>
    </w:p>
    <w:p w14:paraId="15F26E52" w14:textId="77777777" w:rsidR="00083C3D" w:rsidRPr="00B06D58" w:rsidRDefault="00083C3D" w:rsidP="00083C3D">
      <w:pPr>
        <w:spacing w:after="120"/>
        <w:ind w:left="2835"/>
        <w:jc w:val="both"/>
        <w:outlineLvl w:val="0"/>
        <w:rPr>
          <w:color w:val="000000" w:themeColor="text1"/>
        </w:rPr>
      </w:pPr>
      <w:r w:rsidRPr="00B06D58">
        <w:rPr>
          <w:color w:val="000000" w:themeColor="text1"/>
        </w:rPr>
        <w:t>Extension d’homologation</w:t>
      </w:r>
    </w:p>
    <w:p w14:paraId="107F00C1" w14:textId="77777777" w:rsidR="00083C3D" w:rsidRPr="00B06D58" w:rsidRDefault="00083C3D" w:rsidP="00083C3D">
      <w:pPr>
        <w:spacing w:after="120"/>
        <w:ind w:left="2835"/>
        <w:jc w:val="both"/>
        <w:outlineLvl w:val="0"/>
        <w:rPr>
          <w:color w:val="000000" w:themeColor="text1"/>
        </w:rPr>
      </w:pPr>
      <w:r w:rsidRPr="00B06D58">
        <w:rPr>
          <w:color w:val="000000" w:themeColor="text1"/>
        </w:rPr>
        <w:t>Refus d’homologation</w:t>
      </w:r>
    </w:p>
    <w:p w14:paraId="734CB218" w14:textId="77777777" w:rsidR="00083C3D" w:rsidRPr="00B06D58" w:rsidRDefault="00083C3D" w:rsidP="00083C3D">
      <w:pPr>
        <w:spacing w:after="120"/>
        <w:ind w:left="2835"/>
        <w:jc w:val="both"/>
        <w:rPr>
          <w:color w:val="000000" w:themeColor="text1"/>
        </w:rPr>
      </w:pPr>
      <w:r w:rsidRPr="00B06D58">
        <w:rPr>
          <w:color w:val="000000" w:themeColor="text1"/>
        </w:rPr>
        <w:t>Retrait d’homologation</w:t>
      </w:r>
    </w:p>
    <w:p w14:paraId="60593595" w14:textId="77777777" w:rsidR="00083C3D" w:rsidRPr="00B06D58" w:rsidRDefault="00083C3D" w:rsidP="00083C3D">
      <w:pPr>
        <w:pStyle w:val="SingleTxtG"/>
        <w:ind w:left="2835"/>
      </w:pPr>
      <w:r w:rsidRPr="00B06D58">
        <w:t>Arrêt définitif de la production</w:t>
      </w:r>
    </w:p>
    <w:p w14:paraId="64E464DA" w14:textId="77777777" w:rsidR="00D50749" w:rsidRPr="00083C3D" w:rsidRDefault="00D50749" w:rsidP="00083C3D">
      <w:pPr>
        <w:pStyle w:val="SingleTxtG"/>
        <w:rPr>
          <w:b/>
          <w:bCs/>
        </w:rPr>
      </w:pPr>
      <w:r w:rsidRPr="00083C3D">
        <w:rPr>
          <w:b/>
          <w:bCs/>
        </w:rPr>
        <w:lastRenderedPageBreak/>
        <w:t>d’un type ou d’une configuration de dispositif silencieux d’échappement de remplacement non d’origine ou d’élément d’un tel dispositif, destiné à être monté sur les types de véhicules ci-dessous, en application du Règlement ONU n</w:t>
      </w:r>
      <w:r w:rsidRPr="00083C3D">
        <w:rPr>
          <w:b/>
          <w:bCs/>
          <w:vertAlign w:val="superscript"/>
        </w:rPr>
        <w:t>o</w:t>
      </w:r>
      <w:r w:rsidRPr="00083C3D">
        <w:rPr>
          <w:b/>
          <w:bCs/>
        </w:rPr>
        <w:t> 92.</w:t>
      </w:r>
    </w:p>
    <w:p w14:paraId="28FDECAB" w14:textId="77777777" w:rsidR="00D50749" w:rsidRPr="00B06D58" w:rsidRDefault="00D50749" w:rsidP="00083C3D">
      <w:pPr>
        <w:pStyle w:val="SingleTxtG"/>
      </w:pPr>
      <w:r w:rsidRPr="00B06D58">
        <w:t>…</w:t>
      </w:r>
    </w:p>
    <w:p w14:paraId="306D1E0F" w14:textId="77777777" w:rsidR="00D50749" w:rsidRPr="00B06D58" w:rsidRDefault="00D50749" w:rsidP="00083C3D">
      <w:pPr>
        <w:pStyle w:val="SingleTxtG"/>
        <w:ind w:left="1985" w:hanging="851"/>
        <w:rPr>
          <w:iCs/>
          <w:strike/>
          <w:color w:val="000000" w:themeColor="text1"/>
        </w:rPr>
      </w:pPr>
      <w:r w:rsidRPr="00B06D58">
        <w:rPr>
          <w:strike/>
          <w:color w:val="000000" w:themeColor="text1"/>
        </w:rPr>
        <w:t>7.</w:t>
      </w:r>
      <w:r w:rsidRPr="00B06D58">
        <w:rPr>
          <w:strike/>
          <w:color w:val="000000" w:themeColor="text1"/>
        </w:rPr>
        <w:tab/>
        <w:t>Équipement</w:t>
      </w:r>
    </w:p>
    <w:p w14:paraId="6526F94B" w14:textId="77777777" w:rsidR="00D50749" w:rsidRPr="00B06D58" w:rsidRDefault="00D50749" w:rsidP="00083C3D">
      <w:pPr>
        <w:pStyle w:val="SingleTxtG"/>
        <w:ind w:left="1985" w:hanging="851"/>
        <w:rPr>
          <w:iCs/>
          <w:strike/>
          <w:color w:val="000000" w:themeColor="text1"/>
        </w:rPr>
      </w:pPr>
      <w:r w:rsidRPr="00B06D58">
        <w:rPr>
          <w:strike/>
          <w:color w:val="000000" w:themeColor="text1"/>
        </w:rPr>
        <w:t>7.1</w:t>
      </w:r>
      <w:r w:rsidRPr="00B06D58">
        <w:rPr>
          <w:strike/>
          <w:color w:val="000000" w:themeColor="text1"/>
        </w:rPr>
        <w:tab/>
        <w:t>Silencieux d’échappement</w:t>
      </w:r>
    </w:p>
    <w:p w14:paraId="233695E7" w14:textId="3DA77131" w:rsidR="00D50749" w:rsidRPr="00B06D58" w:rsidRDefault="00D50749" w:rsidP="00083C3D">
      <w:pPr>
        <w:pStyle w:val="SingleTxtG"/>
        <w:tabs>
          <w:tab w:val="right" w:leader="dot" w:pos="8505"/>
        </w:tabs>
        <w:ind w:left="1985" w:hanging="851"/>
        <w:rPr>
          <w:iCs/>
          <w:strike/>
          <w:color w:val="000000" w:themeColor="text1"/>
        </w:rPr>
      </w:pPr>
      <w:r w:rsidRPr="00B06D58">
        <w:rPr>
          <w:strike/>
          <w:color w:val="000000" w:themeColor="text1"/>
        </w:rPr>
        <w:t>7.1.1</w:t>
      </w:r>
      <w:r w:rsidRPr="00B06D58">
        <w:rPr>
          <w:strike/>
          <w:color w:val="000000" w:themeColor="text1"/>
        </w:rPr>
        <w:tab/>
        <w:t>Fabricant ou représentant agréé (le cas échéant)</w:t>
      </w:r>
      <w:r>
        <w:rPr>
          <w:strike/>
          <w:color w:val="000000" w:themeColor="text1"/>
        </w:rPr>
        <w:t> :</w:t>
      </w:r>
      <w:r w:rsidRPr="00B06D58">
        <w:rPr>
          <w:strike/>
          <w:color w:val="000000" w:themeColor="text1"/>
        </w:rPr>
        <w:tab/>
      </w:r>
    </w:p>
    <w:p w14:paraId="002188BA" w14:textId="463B9009" w:rsidR="00D50749" w:rsidRPr="00B06D58" w:rsidRDefault="00D50749" w:rsidP="00083C3D">
      <w:pPr>
        <w:pStyle w:val="SingleTxtG"/>
        <w:tabs>
          <w:tab w:val="right" w:leader="dot" w:pos="8505"/>
        </w:tabs>
        <w:ind w:left="1985" w:hanging="851"/>
        <w:rPr>
          <w:iCs/>
          <w:strike/>
          <w:color w:val="000000" w:themeColor="text1"/>
        </w:rPr>
      </w:pPr>
      <w:r w:rsidRPr="00B06D58">
        <w:rPr>
          <w:strike/>
          <w:color w:val="000000" w:themeColor="text1"/>
        </w:rPr>
        <w:t>7.1.2</w:t>
      </w:r>
      <w:r w:rsidRPr="00B06D58">
        <w:rPr>
          <w:strike/>
          <w:color w:val="000000" w:themeColor="text1"/>
        </w:rPr>
        <w:tab/>
        <w:t>Modèle</w:t>
      </w:r>
      <w:r>
        <w:rPr>
          <w:strike/>
          <w:color w:val="000000" w:themeColor="text1"/>
        </w:rPr>
        <w:t> :</w:t>
      </w:r>
      <w:r w:rsidRPr="00B06D58">
        <w:rPr>
          <w:strike/>
          <w:color w:val="000000" w:themeColor="text1"/>
        </w:rPr>
        <w:tab/>
      </w:r>
    </w:p>
    <w:p w14:paraId="2186F7D4" w14:textId="010AC519" w:rsidR="00D50749" w:rsidRPr="00B06D58" w:rsidRDefault="00D50749" w:rsidP="00083C3D">
      <w:pPr>
        <w:pStyle w:val="SingleTxtG"/>
        <w:tabs>
          <w:tab w:val="left" w:leader="dot" w:pos="3969"/>
          <w:tab w:val="right" w:leader="dot" w:pos="8505"/>
        </w:tabs>
        <w:ind w:left="1985" w:hanging="851"/>
        <w:rPr>
          <w:iCs/>
          <w:strike/>
          <w:color w:val="000000" w:themeColor="text1"/>
        </w:rPr>
      </w:pPr>
      <w:r w:rsidRPr="00B06D58">
        <w:rPr>
          <w:strike/>
          <w:color w:val="000000" w:themeColor="text1"/>
        </w:rPr>
        <w:t>7.1.3</w:t>
      </w:r>
      <w:r w:rsidRPr="00B06D58">
        <w:rPr>
          <w:strike/>
          <w:color w:val="000000" w:themeColor="text1"/>
        </w:rPr>
        <w:tab/>
        <w:t>Type</w:t>
      </w:r>
      <w:r>
        <w:rPr>
          <w:strike/>
          <w:color w:val="000000" w:themeColor="text1"/>
        </w:rPr>
        <w:t> :</w:t>
      </w:r>
      <w:r w:rsidRPr="00B06D58">
        <w:rPr>
          <w:strike/>
          <w:color w:val="000000" w:themeColor="text1"/>
        </w:rPr>
        <w:tab/>
      </w:r>
      <w:r w:rsidR="00B5677F">
        <w:rPr>
          <w:strike/>
          <w:color w:val="000000" w:themeColor="text1"/>
        </w:rPr>
        <w:t xml:space="preserve"> </w:t>
      </w:r>
      <w:r w:rsidRPr="00B06D58">
        <w:rPr>
          <w:strike/>
          <w:color w:val="000000" w:themeColor="text1"/>
        </w:rPr>
        <w:t>conformément au dessin n</w:t>
      </w:r>
      <w:r w:rsidRPr="00B06D58">
        <w:rPr>
          <w:strike/>
          <w:color w:val="000000" w:themeColor="text1"/>
          <w:vertAlign w:val="superscript"/>
        </w:rPr>
        <w:t>o</w:t>
      </w:r>
      <w:r w:rsidRPr="00B06D58">
        <w:rPr>
          <w:strike/>
          <w:color w:val="000000" w:themeColor="text1"/>
        </w:rPr>
        <w:tab/>
      </w:r>
    </w:p>
    <w:p w14:paraId="51DE3298" w14:textId="77777777" w:rsidR="00D50749" w:rsidRPr="00B06D58" w:rsidRDefault="00D50749" w:rsidP="00083C3D">
      <w:pPr>
        <w:pStyle w:val="SingleTxtG"/>
        <w:ind w:left="1985" w:hanging="851"/>
        <w:rPr>
          <w:iCs/>
          <w:strike/>
          <w:color w:val="000000" w:themeColor="text1"/>
        </w:rPr>
      </w:pPr>
      <w:r w:rsidRPr="00B06D58">
        <w:rPr>
          <w:strike/>
          <w:color w:val="000000" w:themeColor="text1"/>
        </w:rPr>
        <w:t>7.2</w:t>
      </w:r>
      <w:r w:rsidRPr="00B06D58">
        <w:rPr>
          <w:strike/>
          <w:color w:val="000000" w:themeColor="text1"/>
        </w:rPr>
        <w:tab/>
        <w:t>Silencieux d’admission</w:t>
      </w:r>
    </w:p>
    <w:p w14:paraId="5447CA62" w14:textId="745F972A" w:rsidR="00D50749" w:rsidRPr="00B06D58" w:rsidRDefault="00D50749" w:rsidP="00083C3D">
      <w:pPr>
        <w:pStyle w:val="SingleTxtG"/>
        <w:tabs>
          <w:tab w:val="right" w:leader="dot" w:pos="8505"/>
        </w:tabs>
        <w:ind w:left="1985" w:hanging="851"/>
        <w:rPr>
          <w:iCs/>
          <w:strike/>
          <w:color w:val="000000" w:themeColor="text1"/>
        </w:rPr>
      </w:pPr>
      <w:r w:rsidRPr="00B06D58">
        <w:rPr>
          <w:strike/>
          <w:color w:val="000000" w:themeColor="text1"/>
        </w:rPr>
        <w:t>7.2.1</w:t>
      </w:r>
      <w:r w:rsidRPr="00B06D58">
        <w:rPr>
          <w:strike/>
          <w:color w:val="000000" w:themeColor="text1"/>
        </w:rPr>
        <w:tab/>
        <w:t>Fabricant ou représentant agréé (le cas échéant)</w:t>
      </w:r>
      <w:r>
        <w:rPr>
          <w:strike/>
          <w:color w:val="000000" w:themeColor="text1"/>
        </w:rPr>
        <w:t> :</w:t>
      </w:r>
      <w:r w:rsidRPr="00B06D58">
        <w:rPr>
          <w:strike/>
          <w:color w:val="000000" w:themeColor="text1"/>
        </w:rPr>
        <w:tab/>
      </w:r>
    </w:p>
    <w:p w14:paraId="612BF149" w14:textId="64983EFB" w:rsidR="00D50749" w:rsidRPr="00B06D58" w:rsidRDefault="00D50749" w:rsidP="00083C3D">
      <w:pPr>
        <w:pStyle w:val="SingleTxtG"/>
        <w:tabs>
          <w:tab w:val="right" w:leader="dot" w:pos="8505"/>
        </w:tabs>
        <w:ind w:left="1985" w:hanging="851"/>
        <w:rPr>
          <w:iCs/>
          <w:strike/>
          <w:color w:val="000000" w:themeColor="text1"/>
        </w:rPr>
      </w:pPr>
      <w:r w:rsidRPr="00B06D58">
        <w:rPr>
          <w:strike/>
          <w:color w:val="000000" w:themeColor="text1"/>
        </w:rPr>
        <w:t>7.2.2</w:t>
      </w:r>
      <w:r w:rsidRPr="00B06D58">
        <w:rPr>
          <w:strike/>
          <w:color w:val="000000" w:themeColor="text1"/>
        </w:rPr>
        <w:tab/>
        <w:t>Modèle</w:t>
      </w:r>
      <w:r>
        <w:rPr>
          <w:strike/>
          <w:color w:val="000000" w:themeColor="text1"/>
        </w:rPr>
        <w:t> :</w:t>
      </w:r>
      <w:r w:rsidRPr="00B06D58">
        <w:rPr>
          <w:strike/>
          <w:color w:val="000000" w:themeColor="text1"/>
        </w:rPr>
        <w:tab/>
      </w:r>
    </w:p>
    <w:p w14:paraId="6DD455A2" w14:textId="6EA31287" w:rsidR="00D50749" w:rsidRPr="00B06D58" w:rsidRDefault="00D50749" w:rsidP="00083C3D">
      <w:pPr>
        <w:pStyle w:val="SingleTxtG"/>
        <w:tabs>
          <w:tab w:val="left" w:leader="dot" w:pos="3969"/>
          <w:tab w:val="right" w:leader="dot" w:pos="8505"/>
        </w:tabs>
        <w:ind w:left="1985" w:hanging="851"/>
        <w:rPr>
          <w:iCs/>
          <w:strike/>
          <w:color w:val="000000" w:themeColor="text1"/>
        </w:rPr>
      </w:pPr>
      <w:r w:rsidRPr="00B06D58">
        <w:rPr>
          <w:strike/>
          <w:color w:val="000000" w:themeColor="text1"/>
        </w:rPr>
        <w:t>7.2.3</w:t>
      </w:r>
      <w:r w:rsidRPr="00B06D58">
        <w:rPr>
          <w:strike/>
          <w:color w:val="000000" w:themeColor="text1"/>
        </w:rPr>
        <w:tab/>
        <w:t>Type</w:t>
      </w:r>
      <w:r>
        <w:rPr>
          <w:strike/>
          <w:color w:val="000000" w:themeColor="text1"/>
        </w:rPr>
        <w:t> :</w:t>
      </w:r>
      <w:r w:rsidRPr="00B06D58">
        <w:rPr>
          <w:strike/>
          <w:color w:val="000000" w:themeColor="text1"/>
        </w:rPr>
        <w:tab/>
      </w:r>
      <w:r w:rsidR="00B5677F">
        <w:rPr>
          <w:strike/>
          <w:color w:val="000000" w:themeColor="text1"/>
        </w:rPr>
        <w:t xml:space="preserve"> </w:t>
      </w:r>
      <w:r w:rsidRPr="00B06D58">
        <w:rPr>
          <w:strike/>
          <w:color w:val="000000" w:themeColor="text1"/>
        </w:rPr>
        <w:t>conformément au dessin n</w:t>
      </w:r>
      <w:r w:rsidRPr="00B06D58">
        <w:rPr>
          <w:strike/>
          <w:color w:val="000000" w:themeColor="text1"/>
          <w:vertAlign w:val="superscript"/>
        </w:rPr>
        <w:t>o</w:t>
      </w:r>
      <w:r w:rsidRPr="00B06D58">
        <w:rPr>
          <w:strike/>
          <w:color w:val="000000" w:themeColor="text1"/>
        </w:rPr>
        <w:tab/>
      </w:r>
    </w:p>
    <w:p w14:paraId="05E61912" w14:textId="77777777" w:rsidR="00D50749" w:rsidRPr="00B06D58" w:rsidRDefault="00D50749" w:rsidP="00D50749">
      <w:pPr>
        <w:tabs>
          <w:tab w:val="right" w:leader="dot" w:pos="6600"/>
          <w:tab w:val="left" w:leader="dot" w:pos="8505"/>
        </w:tabs>
        <w:spacing w:after="120"/>
        <w:ind w:left="2268" w:right="1134" w:hanging="1134"/>
        <w:jc w:val="both"/>
        <w:rPr>
          <w:color w:val="000000" w:themeColor="text1"/>
        </w:rPr>
      </w:pPr>
      <w:r w:rsidRPr="00B06D58">
        <w:rPr>
          <w:color w:val="000000" w:themeColor="text1"/>
        </w:rPr>
        <w:t>…</w:t>
      </w:r>
    </w:p>
    <w:p w14:paraId="675C8CB2" w14:textId="5B639812" w:rsidR="00D50749" w:rsidRDefault="00083C3D" w:rsidP="00083C3D">
      <w:pPr>
        <w:pStyle w:val="HChG"/>
      </w:pPr>
      <w:r>
        <w:tab/>
      </w:r>
      <w:r>
        <w:tab/>
      </w:r>
      <w:r w:rsidR="00D50749" w:rsidRPr="00083C3D">
        <w:t>Partie B. Dispositif silencieux d’échappement de</w:t>
      </w:r>
      <w:r w:rsidR="00B5677F">
        <w:t> </w:t>
      </w:r>
      <w:r w:rsidR="00D50749" w:rsidRPr="00083C3D">
        <w:t>remplacement non d’origine pour les types de véhicules homologués en application des Règlements ONU n</w:t>
      </w:r>
      <w:r w:rsidR="00D50749" w:rsidRPr="00083C3D">
        <w:rPr>
          <w:vertAlign w:val="superscript"/>
        </w:rPr>
        <w:t>os</w:t>
      </w:r>
      <w:r>
        <w:t> </w:t>
      </w:r>
      <w:r w:rsidR="00D50749" w:rsidRPr="00083C3D">
        <w:t>9 ou 63</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4793"/>
      </w:tblGrid>
      <w:tr w:rsidR="00083C3D" w14:paraId="3C0B6649" w14:textId="77777777" w:rsidTr="00083C3D">
        <w:tc>
          <w:tcPr>
            <w:tcW w:w="2694" w:type="dxa"/>
          </w:tcPr>
          <w:p w14:paraId="2BBCB14C" w14:textId="0417A54A" w:rsidR="00083C3D" w:rsidRDefault="00083C3D" w:rsidP="00083C3D">
            <w:pPr>
              <w:pStyle w:val="SingleTxtG"/>
              <w:ind w:left="0" w:right="0"/>
            </w:pPr>
            <w:r w:rsidRPr="00B06D58">
              <w:rPr>
                <w:noProof/>
                <w:color w:val="000000" w:themeColor="text1"/>
                <w:lang w:eastAsia="it-IT"/>
              </w:rPr>
              <w:drawing>
                <wp:inline distT="0" distB="0" distL="0" distR="0" wp14:anchorId="046E5A6F" wp14:editId="18900A93">
                  <wp:extent cx="902970" cy="9029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tc>
        <w:tc>
          <w:tcPr>
            <w:tcW w:w="4824" w:type="dxa"/>
          </w:tcPr>
          <w:p w14:paraId="5AB2AA52" w14:textId="77777777" w:rsidR="00083C3D" w:rsidRPr="00AD5476" w:rsidRDefault="00083C3D" w:rsidP="00083C3D">
            <w:pPr>
              <w:ind w:left="1701" w:hanging="1701"/>
            </w:pPr>
            <w:r>
              <w:rPr>
                <w:lang w:val="fr-FR"/>
              </w:rPr>
              <w:t>Émanant de :</w:t>
            </w:r>
            <w:r>
              <w:rPr>
                <w:lang w:val="fr-FR"/>
              </w:rPr>
              <w:tab/>
              <w:t>Nom de l’administration :</w:t>
            </w:r>
          </w:p>
          <w:p w14:paraId="133CFE48" w14:textId="77777777" w:rsidR="00083C3D" w:rsidRPr="00AD5476" w:rsidRDefault="00083C3D" w:rsidP="00083C3D">
            <w:pPr>
              <w:tabs>
                <w:tab w:val="right" w:leader="dot" w:pos="4478"/>
              </w:tabs>
              <w:ind w:left="1701"/>
            </w:pPr>
            <w:r>
              <w:rPr>
                <w:lang w:val="fr-FR"/>
              </w:rPr>
              <w:tab/>
            </w:r>
          </w:p>
          <w:p w14:paraId="25F3D89D" w14:textId="77777777" w:rsidR="00083C3D" w:rsidRPr="00AD5476" w:rsidRDefault="00083C3D" w:rsidP="00083C3D">
            <w:pPr>
              <w:tabs>
                <w:tab w:val="right" w:leader="dot" w:pos="4478"/>
              </w:tabs>
              <w:ind w:left="1701"/>
            </w:pPr>
            <w:r>
              <w:tab/>
            </w:r>
          </w:p>
          <w:p w14:paraId="00EA6AAF" w14:textId="56899274" w:rsidR="00083C3D" w:rsidRDefault="00083C3D" w:rsidP="00083C3D">
            <w:pPr>
              <w:tabs>
                <w:tab w:val="right" w:leader="dot" w:pos="4478"/>
              </w:tabs>
              <w:ind w:left="1701"/>
            </w:pPr>
            <w:r>
              <w:tab/>
            </w:r>
          </w:p>
        </w:tc>
      </w:tr>
    </w:tbl>
    <w:p w14:paraId="39BCB288" w14:textId="3EFF4300" w:rsidR="00D50749" w:rsidRPr="00B06D58" w:rsidRDefault="00D50749" w:rsidP="00083C3D">
      <w:pPr>
        <w:pStyle w:val="SingleTxtG"/>
        <w:spacing w:before="120"/>
        <w:ind w:left="2835" w:hanging="1701"/>
      </w:pPr>
      <w:r w:rsidRPr="00B06D58">
        <w:t>concernant</w:t>
      </w:r>
      <w:r w:rsidR="00733EC6">
        <w:rPr>
          <w:rStyle w:val="Appelnotedebasdep"/>
        </w:rPr>
        <w:footnoteReference w:customMarkFollows="1" w:id="5"/>
        <w:t>2</w:t>
      </w:r>
      <w:r>
        <w:t> :</w:t>
      </w:r>
      <w:r w:rsidRPr="00B06D58">
        <w:tab/>
        <w:t>Délivrance d’une homologation</w:t>
      </w:r>
    </w:p>
    <w:p w14:paraId="1719E40D" w14:textId="77777777" w:rsidR="00D50749" w:rsidRPr="00B06D58" w:rsidRDefault="00D50749" w:rsidP="00083C3D">
      <w:pPr>
        <w:spacing w:after="120"/>
        <w:ind w:left="2835"/>
        <w:jc w:val="both"/>
        <w:outlineLvl w:val="0"/>
        <w:rPr>
          <w:color w:val="000000" w:themeColor="text1"/>
        </w:rPr>
      </w:pPr>
      <w:r w:rsidRPr="00B06D58">
        <w:rPr>
          <w:color w:val="000000" w:themeColor="text1"/>
        </w:rPr>
        <w:t>Extension d’homologation</w:t>
      </w:r>
    </w:p>
    <w:p w14:paraId="574E75A0" w14:textId="77777777" w:rsidR="00D50749" w:rsidRPr="00B06D58" w:rsidRDefault="00D50749" w:rsidP="00083C3D">
      <w:pPr>
        <w:spacing w:after="120"/>
        <w:ind w:left="2835"/>
        <w:jc w:val="both"/>
        <w:outlineLvl w:val="0"/>
        <w:rPr>
          <w:color w:val="000000" w:themeColor="text1"/>
        </w:rPr>
      </w:pPr>
      <w:r w:rsidRPr="00B06D58">
        <w:rPr>
          <w:color w:val="000000" w:themeColor="text1"/>
        </w:rPr>
        <w:t>Refus d’homologation</w:t>
      </w:r>
    </w:p>
    <w:p w14:paraId="78037016" w14:textId="77777777" w:rsidR="00D50749" w:rsidRPr="00B06D58" w:rsidRDefault="00D50749" w:rsidP="00083C3D">
      <w:pPr>
        <w:spacing w:after="120"/>
        <w:ind w:left="2835"/>
        <w:jc w:val="both"/>
        <w:rPr>
          <w:color w:val="000000" w:themeColor="text1"/>
        </w:rPr>
      </w:pPr>
      <w:r w:rsidRPr="00B06D58">
        <w:rPr>
          <w:color w:val="000000" w:themeColor="text1"/>
        </w:rPr>
        <w:t>Retrait d’homologation</w:t>
      </w:r>
    </w:p>
    <w:p w14:paraId="36EFEA96" w14:textId="77777777" w:rsidR="00D50749" w:rsidRPr="00B06D58" w:rsidRDefault="00D50749" w:rsidP="00D50749">
      <w:pPr>
        <w:pStyle w:val="SingleTxtG"/>
        <w:ind w:left="2835"/>
      </w:pPr>
      <w:r w:rsidRPr="00B06D58">
        <w:t>Arrêt définitif de la production</w:t>
      </w:r>
    </w:p>
    <w:p w14:paraId="2D075A3B" w14:textId="0155E197" w:rsidR="00D50749" w:rsidRPr="00D50749" w:rsidRDefault="00D50749" w:rsidP="00D50749">
      <w:pPr>
        <w:pStyle w:val="SingleTxtG"/>
        <w:rPr>
          <w:b/>
          <w:bCs/>
        </w:rPr>
      </w:pPr>
      <w:r w:rsidRPr="00D50749">
        <w:rPr>
          <w:b/>
          <w:bCs/>
        </w:rPr>
        <w:t>d’un type ou d’une configuration de dispositif silencieux d’échappement de remplacement non d’origine ou d’élément d’un tel dispositif, destiné à être monté sur les types de véhicules ci-dessous, en application du Règlement ONU n</w:t>
      </w:r>
      <w:r w:rsidRPr="00D50749">
        <w:rPr>
          <w:b/>
          <w:bCs/>
          <w:vertAlign w:val="superscript"/>
        </w:rPr>
        <w:t>o</w:t>
      </w:r>
      <w:r w:rsidR="00733EC6">
        <w:rPr>
          <w:b/>
          <w:bCs/>
        </w:rPr>
        <w:t> </w:t>
      </w:r>
      <w:r w:rsidRPr="00D50749">
        <w:rPr>
          <w:b/>
          <w:bCs/>
        </w:rPr>
        <w:t>92.</w:t>
      </w:r>
    </w:p>
    <w:p w14:paraId="0E1D45D4" w14:textId="77777777" w:rsidR="00D50749" w:rsidRPr="00B06D58" w:rsidRDefault="00D50749" w:rsidP="00D50749">
      <w:pPr>
        <w:pStyle w:val="SingleTxtG"/>
      </w:pPr>
      <w:r w:rsidRPr="00B06D58">
        <w:t>…</w:t>
      </w:r>
    </w:p>
    <w:p w14:paraId="140C98EE" w14:textId="77777777" w:rsidR="00D50749" w:rsidRPr="00B06D58" w:rsidRDefault="00D50749" w:rsidP="00083C3D">
      <w:pPr>
        <w:pStyle w:val="SingleTxtG"/>
        <w:ind w:left="1985" w:hanging="851"/>
        <w:rPr>
          <w:iCs/>
          <w:strike/>
          <w:color w:val="000000" w:themeColor="text1"/>
        </w:rPr>
      </w:pPr>
      <w:r w:rsidRPr="00B06D58">
        <w:rPr>
          <w:strike/>
          <w:color w:val="000000" w:themeColor="text1"/>
        </w:rPr>
        <w:t>7.</w:t>
      </w:r>
      <w:r w:rsidRPr="00B06D58">
        <w:rPr>
          <w:strike/>
          <w:color w:val="000000" w:themeColor="text1"/>
        </w:rPr>
        <w:tab/>
        <w:t>Équipement</w:t>
      </w:r>
    </w:p>
    <w:p w14:paraId="42539DCE" w14:textId="77777777" w:rsidR="00D50749" w:rsidRPr="00B06D58" w:rsidRDefault="00D50749" w:rsidP="00083C3D">
      <w:pPr>
        <w:pStyle w:val="SingleTxtG"/>
        <w:ind w:left="1985" w:hanging="851"/>
        <w:rPr>
          <w:iCs/>
          <w:strike/>
          <w:color w:val="000000" w:themeColor="text1"/>
        </w:rPr>
      </w:pPr>
      <w:r w:rsidRPr="00B06D58">
        <w:rPr>
          <w:strike/>
          <w:color w:val="000000" w:themeColor="text1"/>
        </w:rPr>
        <w:t>7.1</w:t>
      </w:r>
      <w:r w:rsidRPr="00B06D58">
        <w:rPr>
          <w:strike/>
          <w:color w:val="000000" w:themeColor="text1"/>
        </w:rPr>
        <w:tab/>
        <w:t>Silencieux d’échappement</w:t>
      </w:r>
    </w:p>
    <w:p w14:paraId="1CD9BC48" w14:textId="5082DE00" w:rsidR="00D50749" w:rsidRPr="00B06D58" w:rsidRDefault="00D50749" w:rsidP="00D50749">
      <w:pPr>
        <w:pStyle w:val="SingleTxtG"/>
        <w:tabs>
          <w:tab w:val="right" w:leader="dot" w:pos="8505"/>
        </w:tabs>
        <w:ind w:left="1985" w:hanging="851"/>
        <w:rPr>
          <w:iCs/>
          <w:strike/>
          <w:color w:val="000000" w:themeColor="text1"/>
        </w:rPr>
      </w:pPr>
      <w:r w:rsidRPr="00B06D58">
        <w:rPr>
          <w:strike/>
          <w:color w:val="000000" w:themeColor="text1"/>
        </w:rPr>
        <w:t>7.1.1</w:t>
      </w:r>
      <w:r w:rsidRPr="00B06D58">
        <w:rPr>
          <w:strike/>
          <w:color w:val="000000" w:themeColor="text1"/>
        </w:rPr>
        <w:tab/>
        <w:t>Fabricant ou représentant agréé (le cas échéant)</w:t>
      </w:r>
      <w:r>
        <w:rPr>
          <w:strike/>
          <w:color w:val="000000" w:themeColor="text1"/>
        </w:rPr>
        <w:t> :</w:t>
      </w:r>
      <w:r w:rsidRPr="00B06D58">
        <w:rPr>
          <w:strike/>
          <w:color w:val="000000" w:themeColor="text1"/>
        </w:rPr>
        <w:tab/>
      </w:r>
    </w:p>
    <w:p w14:paraId="6818E4D4" w14:textId="4CB45849" w:rsidR="00D50749" w:rsidRPr="00B06D58" w:rsidRDefault="00D50749" w:rsidP="00D50749">
      <w:pPr>
        <w:pStyle w:val="SingleTxtG"/>
        <w:tabs>
          <w:tab w:val="right" w:leader="dot" w:pos="8505"/>
        </w:tabs>
        <w:ind w:left="1985" w:hanging="851"/>
        <w:rPr>
          <w:iCs/>
          <w:strike/>
          <w:color w:val="000000" w:themeColor="text1"/>
        </w:rPr>
      </w:pPr>
      <w:r w:rsidRPr="00B06D58">
        <w:rPr>
          <w:strike/>
          <w:color w:val="000000" w:themeColor="text1"/>
        </w:rPr>
        <w:t>7.1.2</w:t>
      </w:r>
      <w:r w:rsidRPr="00B06D58">
        <w:rPr>
          <w:strike/>
          <w:color w:val="000000" w:themeColor="text1"/>
        </w:rPr>
        <w:tab/>
        <w:t>Modèle</w:t>
      </w:r>
      <w:r>
        <w:rPr>
          <w:strike/>
          <w:color w:val="000000" w:themeColor="text1"/>
        </w:rPr>
        <w:t> :</w:t>
      </w:r>
      <w:r w:rsidRPr="00B06D58">
        <w:rPr>
          <w:strike/>
          <w:color w:val="000000" w:themeColor="text1"/>
        </w:rPr>
        <w:tab/>
      </w:r>
    </w:p>
    <w:p w14:paraId="1E0F8E95" w14:textId="16CDC248" w:rsidR="00D50749" w:rsidRPr="00B06D58" w:rsidRDefault="00D50749" w:rsidP="00D50749">
      <w:pPr>
        <w:pStyle w:val="SingleTxtG"/>
        <w:tabs>
          <w:tab w:val="left" w:leader="dot" w:pos="3969"/>
          <w:tab w:val="right" w:leader="dot" w:pos="8505"/>
        </w:tabs>
        <w:ind w:left="1985" w:hanging="851"/>
        <w:rPr>
          <w:iCs/>
          <w:strike/>
          <w:color w:val="000000" w:themeColor="text1"/>
        </w:rPr>
      </w:pPr>
      <w:r w:rsidRPr="00B06D58">
        <w:rPr>
          <w:strike/>
          <w:color w:val="000000" w:themeColor="text1"/>
        </w:rPr>
        <w:t>7.1.3</w:t>
      </w:r>
      <w:r w:rsidRPr="00B06D58">
        <w:rPr>
          <w:strike/>
          <w:color w:val="000000" w:themeColor="text1"/>
        </w:rPr>
        <w:tab/>
        <w:t>Type</w:t>
      </w:r>
      <w:r>
        <w:rPr>
          <w:strike/>
          <w:color w:val="000000" w:themeColor="text1"/>
        </w:rPr>
        <w:t> :</w:t>
      </w:r>
      <w:r w:rsidRPr="00B06D58">
        <w:rPr>
          <w:strike/>
          <w:color w:val="000000" w:themeColor="text1"/>
        </w:rPr>
        <w:tab/>
      </w:r>
      <w:r w:rsidR="00B5677F">
        <w:rPr>
          <w:strike/>
          <w:color w:val="000000" w:themeColor="text1"/>
        </w:rPr>
        <w:t xml:space="preserve"> </w:t>
      </w:r>
      <w:r w:rsidRPr="00B06D58">
        <w:rPr>
          <w:strike/>
          <w:color w:val="000000" w:themeColor="text1"/>
        </w:rPr>
        <w:t>conformément au dessin n</w:t>
      </w:r>
      <w:r w:rsidRPr="00B06D58">
        <w:rPr>
          <w:strike/>
          <w:color w:val="000000" w:themeColor="text1"/>
          <w:vertAlign w:val="superscript"/>
        </w:rPr>
        <w:t>o</w:t>
      </w:r>
      <w:r w:rsidRPr="00B06D58">
        <w:rPr>
          <w:strike/>
          <w:color w:val="000000" w:themeColor="text1"/>
        </w:rPr>
        <w:tab/>
      </w:r>
    </w:p>
    <w:p w14:paraId="55DD9D61" w14:textId="77777777" w:rsidR="00D50749" w:rsidRPr="00B06D58" w:rsidRDefault="00D50749" w:rsidP="00083C3D">
      <w:pPr>
        <w:pStyle w:val="SingleTxtG"/>
        <w:ind w:left="1985" w:hanging="851"/>
        <w:rPr>
          <w:iCs/>
          <w:strike/>
          <w:color w:val="000000" w:themeColor="text1"/>
        </w:rPr>
      </w:pPr>
      <w:r w:rsidRPr="00B06D58">
        <w:rPr>
          <w:strike/>
          <w:color w:val="000000" w:themeColor="text1"/>
        </w:rPr>
        <w:t>7.2</w:t>
      </w:r>
      <w:r w:rsidRPr="00B06D58">
        <w:rPr>
          <w:strike/>
          <w:color w:val="000000" w:themeColor="text1"/>
        </w:rPr>
        <w:tab/>
        <w:t>Silencieux d’admission</w:t>
      </w:r>
    </w:p>
    <w:p w14:paraId="31EB755F" w14:textId="5AF7F060" w:rsidR="00D50749" w:rsidRPr="00B06D58" w:rsidRDefault="00D50749" w:rsidP="00D50749">
      <w:pPr>
        <w:pStyle w:val="SingleTxtG"/>
        <w:tabs>
          <w:tab w:val="right" w:leader="dot" w:pos="8505"/>
        </w:tabs>
        <w:ind w:left="1985" w:hanging="851"/>
        <w:rPr>
          <w:iCs/>
          <w:strike/>
          <w:color w:val="000000" w:themeColor="text1"/>
        </w:rPr>
      </w:pPr>
      <w:r w:rsidRPr="00B06D58">
        <w:rPr>
          <w:strike/>
          <w:color w:val="000000" w:themeColor="text1"/>
        </w:rPr>
        <w:t>7.2.1</w:t>
      </w:r>
      <w:r w:rsidRPr="00B06D58">
        <w:rPr>
          <w:strike/>
          <w:color w:val="000000" w:themeColor="text1"/>
        </w:rPr>
        <w:tab/>
        <w:t>Fabricant ou représentant agréé (le cas échéant)</w:t>
      </w:r>
      <w:r>
        <w:rPr>
          <w:strike/>
          <w:color w:val="000000" w:themeColor="text1"/>
        </w:rPr>
        <w:t> :</w:t>
      </w:r>
      <w:r w:rsidRPr="00B06D58">
        <w:rPr>
          <w:strike/>
          <w:color w:val="000000" w:themeColor="text1"/>
        </w:rPr>
        <w:tab/>
      </w:r>
    </w:p>
    <w:p w14:paraId="31027CE7" w14:textId="06E1E4E4" w:rsidR="00D50749" w:rsidRPr="00B06D58" w:rsidRDefault="00D50749" w:rsidP="00D50749">
      <w:pPr>
        <w:pStyle w:val="SingleTxtG"/>
        <w:tabs>
          <w:tab w:val="right" w:leader="dot" w:pos="8505"/>
        </w:tabs>
        <w:ind w:left="1985" w:hanging="851"/>
        <w:rPr>
          <w:iCs/>
          <w:strike/>
          <w:color w:val="000000" w:themeColor="text1"/>
        </w:rPr>
      </w:pPr>
      <w:r w:rsidRPr="00B06D58">
        <w:rPr>
          <w:strike/>
          <w:color w:val="000000" w:themeColor="text1"/>
        </w:rPr>
        <w:lastRenderedPageBreak/>
        <w:t>7.2.2</w:t>
      </w:r>
      <w:r w:rsidRPr="00B06D58">
        <w:rPr>
          <w:strike/>
          <w:color w:val="000000" w:themeColor="text1"/>
        </w:rPr>
        <w:tab/>
        <w:t>Modèle</w:t>
      </w:r>
      <w:r>
        <w:rPr>
          <w:strike/>
          <w:color w:val="000000" w:themeColor="text1"/>
        </w:rPr>
        <w:t> :</w:t>
      </w:r>
      <w:r w:rsidRPr="00B06D58">
        <w:rPr>
          <w:strike/>
          <w:color w:val="000000" w:themeColor="text1"/>
        </w:rPr>
        <w:tab/>
      </w:r>
    </w:p>
    <w:p w14:paraId="477E7705" w14:textId="2FEBF772" w:rsidR="00D50749" w:rsidRPr="00B06D58" w:rsidRDefault="00D50749" w:rsidP="00D50749">
      <w:pPr>
        <w:pStyle w:val="SingleTxtG"/>
        <w:tabs>
          <w:tab w:val="left" w:leader="dot" w:pos="3969"/>
          <w:tab w:val="right" w:leader="dot" w:pos="8505"/>
        </w:tabs>
        <w:ind w:left="1985" w:hanging="851"/>
        <w:rPr>
          <w:iCs/>
          <w:strike/>
          <w:color w:val="000000" w:themeColor="text1"/>
        </w:rPr>
      </w:pPr>
      <w:r w:rsidRPr="00B06D58">
        <w:rPr>
          <w:strike/>
          <w:color w:val="000000" w:themeColor="text1"/>
        </w:rPr>
        <w:t>7.2.3</w:t>
      </w:r>
      <w:r w:rsidRPr="00B06D58">
        <w:rPr>
          <w:strike/>
          <w:color w:val="000000" w:themeColor="text1"/>
        </w:rPr>
        <w:tab/>
        <w:t>Type</w:t>
      </w:r>
      <w:r>
        <w:rPr>
          <w:strike/>
          <w:color w:val="000000" w:themeColor="text1"/>
        </w:rPr>
        <w:t> :</w:t>
      </w:r>
      <w:r w:rsidRPr="00B06D58">
        <w:rPr>
          <w:strike/>
          <w:color w:val="000000" w:themeColor="text1"/>
        </w:rPr>
        <w:tab/>
      </w:r>
      <w:r>
        <w:rPr>
          <w:strike/>
          <w:color w:val="000000" w:themeColor="text1"/>
        </w:rPr>
        <w:t xml:space="preserve"> </w:t>
      </w:r>
      <w:r w:rsidRPr="00B06D58">
        <w:rPr>
          <w:strike/>
          <w:color w:val="000000" w:themeColor="text1"/>
        </w:rPr>
        <w:t>conformément au dessin n</w:t>
      </w:r>
      <w:r w:rsidRPr="00B06D58">
        <w:rPr>
          <w:strike/>
          <w:color w:val="000000" w:themeColor="text1"/>
          <w:vertAlign w:val="superscript"/>
        </w:rPr>
        <w:t>o</w:t>
      </w:r>
      <w:r w:rsidRPr="00B06D58">
        <w:rPr>
          <w:strike/>
          <w:color w:val="000000" w:themeColor="text1"/>
        </w:rPr>
        <w:tab/>
      </w:r>
    </w:p>
    <w:p w14:paraId="59A8D122" w14:textId="77777777" w:rsidR="00D50749" w:rsidRPr="00B06D58" w:rsidRDefault="00D50749" w:rsidP="00D50749">
      <w:pPr>
        <w:pStyle w:val="SingleTxtG"/>
        <w:rPr>
          <w:iCs/>
          <w:color w:val="000000" w:themeColor="text1"/>
        </w:rPr>
      </w:pPr>
      <w:r w:rsidRPr="00B06D58">
        <w:rPr>
          <w:color w:val="000000" w:themeColor="text1"/>
        </w:rPr>
        <w:t>… ».</w:t>
      </w:r>
    </w:p>
    <w:p w14:paraId="3C6BE8C8" w14:textId="36F636BD" w:rsidR="00D50749" w:rsidRPr="00B06D58" w:rsidRDefault="00D50749" w:rsidP="00D50749">
      <w:pPr>
        <w:pStyle w:val="SingleTxtG"/>
        <w:keepNext/>
      </w:pPr>
      <w:r w:rsidRPr="00D50749">
        <w:rPr>
          <w:i/>
          <w:iCs/>
        </w:rPr>
        <w:t>Ajouter la nouvelle annexe 5</w:t>
      </w:r>
      <w:r w:rsidRPr="00B06D58">
        <w:t>, libellée comme suit</w:t>
      </w:r>
      <w:r>
        <w:t> :</w:t>
      </w:r>
    </w:p>
    <w:p w14:paraId="12CE1BEC" w14:textId="77777777" w:rsidR="00D50749" w:rsidRPr="00B06D58" w:rsidRDefault="00D50749" w:rsidP="00D50749">
      <w:pPr>
        <w:pStyle w:val="HChG"/>
      </w:pPr>
      <w:r w:rsidRPr="00D50749">
        <w:rPr>
          <w:b w:val="0"/>
          <w:bCs/>
        </w:rPr>
        <w:tab/>
      </w:r>
      <w:r w:rsidRPr="00D50749">
        <w:rPr>
          <w:b w:val="0"/>
          <w:bCs/>
          <w:sz w:val="20"/>
          <w:szCs w:val="14"/>
        </w:rPr>
        <w:t>«</w:t>
      </w:r>
      <w:r w:rsidRPr="00B06D58">
        <w:rPr>
          <w:sz w:val="20"/>
          <w:szCs w:val="14"/>
        </w:rPr>
        <w:t> </w:t>
      </w:r>
      <w:r w:rsidRPr="00B06D58">
        <w:t>Annexe 5</w:t>
      </w:r>
    </w:p>
    <w:p w14:paraId="0811E95B" w14:textId="5206DABA" w:rsidR="00D50749" w:rsidRPr="00B06D58" w:rsidRDefault="00D50749" w:rsidP="00D50749">
      <w:pPr>
        <w:pStyle w:val="HChG"/>
      </w:pPr>
      <w:r w:rsidRPr="00B06D58">
        <w:tab/>
      </w:r>
      <w:r w:rsidRPr="00B06D58">
        <w:tab/>
        <w:t>Liste des différences autorisées entre les configurations de</w:t>
      </w:r>
      <w:r>
        <w:t> </w:t>
      </w:r>
      <w:r w:rsidRPr="00B06D58">
        <w:t>dispositifs silencieux d’échappement de remplacement non</w:t>
      </w:r>
      <w:r>
        <w:t> </w:t>
      </w:r>
      <w:r w:rsidRPr="00B06D58">
        <w:t>d’origine appartenant au même type</w:t>
      </w:r>
    </w:p>
    <w:p w14:paraId="3231F983" w14:textId="4A13C178" w:rsidR="00D50749" w:rsidRPr="00D50749" w:rsidRDefault="00D50749" w:rsidP="00D50749">
      <w:pPr>
        <w:pStyle w:val="SingleTxtG"/>
        <w:ind w:firstLine="567"/>
        <w:rPr>
          <w:b/>
          <w:bCs/>
        </w:rPr>
      </w:pPr>
      <w:r w:rsidRPr="00D50749">
        <w:rPr>
          <w:b/>
          <w:bCs/>
        </w:rPr>
        <w:t>Les configurations appartenant au même type de dispositif silencieux d’échappement de remplacement non d’origine peuvent présenter des différences en ce qui concerne une ou plusieurs des caractéristiques suivantes</w:t>
      </w:r>
      <w:r>
        <w:rPr>
          <w:b/>
          <w:bCs/>
        </w:rPr>
        <w:t> :</w:t>
      </w:r>
    </w:p>
    <w:p w14:paraId="423DEBEF" w14:textId="012B1AC5" w:rsidR="00D50749" w:rsidRPr="00D50749" w:rsidRDefault="00D50749" w:rsidP="00D50749">
      <w:pPr>
        <w:pStyle w:val="SingleTxtG"/>
        <w:ind w:left="2268" w:hanging="567"/>
        <w:rPr>
          <w:b/>
          <w:bCs/>
        </w:rPr>
      </w:pPr>
      <w:r w:rsidRPr="00D50749">
        <w:rPr>
          <w:b/>
          <w:bCs/>
        </w:rPr>
        <w:t>a)</w:t>
      </w:r>
      <w:r w:rsidRPr="00D50749">
        <w:rPr>
          <w:b/>
          <w:bCs/>
        </w:rPr>
        <w:tab/>
        <w:t>Forme du ou des silencieux, à condition que la différence de volume ne dépasse pas 15 %</w:t>
      </w:r>
      <w:r>
        <w:rPr>
          <w:b/>
          <w:bCs/>
        </w:rPr>
        <w:t> ;</w:t>
      </w:r>
    </w:p>
    <w:p w14:paraId="5C910564" w14:textId="5ED68E56" w:rsidR="00D50749" w:rsidRPr="00D50749" w:rsidRDefault="00D50749" w:rsidP="00D50749">
      <w:pPr>
        <w:pStyle w:val="SingleTxtG"/>
        <w:ind w:left="2268" w:hanging="567"/>
        <w:rPr>
          <w:b/>
          <w:bCs/>
        </w:rPr>
      </w:pPr>
      <w:r w:rsidRPr="00D50749">
        <w:rPr>
          <w:b/>
          <w:bCs/>
        </w:rPr>
        <w:t>b)</w:t>
      </w:r>
      <w:r w:rsidRPr="00D50749">
        <w:rPr>
          <w:b/>
          <w:bCs/>
        </w:rPr>
        <w:tab/>
        <w:t>Longueur du ou des silencieux, à condition que la différence de volume ne dépasse pas 15 %</w:t>
      </w:r>
      <w:r>
        <w:rPr>
          <w:b/>
          <w:bCs/>
        </w:rPr>
        <w:t> ;</w:t>
      </w:r>
    </w:p>
    <w:p w14:paraId="4288B7CD" w14:textId="147861AB" w:rsidR="00D50749" w:rsidRPr="00D50749" w:rsidRDefault="00D50749" w:rsidP="00D50749">
      <w:pPr>
        <w:pStyle w:val="SingleTxtG"/>
        <w:ind w:left="2268" w:hanging="567"/>
        <w:rPr>
          <w:b/>
          <w:bCs/>
        </w:rPr>
      </w:pPr>
      <w:r w:rsidRPr="00D50749">
        <w:rPr>
          <w:b/>
          <w:bCs/>
        </w:rPr>
        <w:t>c)</w:t>
      </w:r>
      <w:r w:rsidRPr="00D50749">
        <w:rPr>
          <w:b/>
          <w:bCs/>
        </w:rPr>
        <w:tab/>
        <w:t>Conception de la structure interne (par exemple, tube perforé intérieur) en ce qui concerne les dimensions (longueur, diamètre avant/arrière), à condition que celles-ci ne soient pas modifiées de plus de 20 %</w:t>
      </w:r>
      <w:r>
        <w:rPr>
          <w:b/>
          <w:bCs/>
        </w:rPr>
        <w:t> ;</w:t>
      </w:r>
    </w:p>
    <w:p w14:paraId="12001196" w14:textId="77777777" w:rsidR="00D50749" w:rsidRPr="00B06D58" w:rsidRDefault="00D50749" w:rsidP="00D50749">
      <w:pPr>
        <w:pStyle w:val="SingleTxtG"/>
        <w:ind w:left="2268" w:hanging="567"/>
      </w:pPr>
      <w:r w:rsidRPr="00D50749">
        <w:rPr>
          <w:b/>
          <w:bCs/>
        </w:rPr>
        <w:t>d)</w:t>
      </w:r>
      <w:r w:rsidRPr="00D50749">
        <w:rPr>
          <w:b/>
          <w:bCs/>
        </w:rPr>
        <w:tab/>
        <w:t>Conception des éléments utilisés sur le ou les silencieux (par exemple, chicanes intérieures), à condition que ladite conception n’entraîne pas de dépassement des valeurs limites d’émission acoustique spécifiées pour le véhicule auquel est destinée la configuration de dispositif silencieux d’échappement de remplacement non d’origine. </w:t>
      </w:r>
      <w:r w:rsidRPr="00B06D58">
        <w:t>».</w:t>
      </w:r>
    </w:p>
    <w:p w14:paraId="27AF605D" w14:textId="77777777" w:rsidR="00D50749" w:rsidRPr="00B06D58" w:rsidRDefault="00D50749" w:rsidP="00D50749">
      <w:pPr>
        <w:pStyle w:val="HChG"/>
        <w:rPr>
          <w:sz w:val="40"/>
          <w:szCs w:val="40"/>
        </w:rPr>
      </w:pPr>
      <w:r w:rsidRPr="00B06D58">
        <w:tab/>
        <w:t>II.</w:t>
      </w:r>
      <w:r w:rsidRPr="00B06D58">
        <w:tab/>
        <w:t>Justification</w:t>
      </w:r>
    </w:p>
    <w:p w14:paraId="0E10A475" w14:textId="46D75F08" w:rsidR="00D50749" w:rsidRPr="00B06D58" w:rsidRDefault="00D50749" w:rsidP="00733EC6">
      <w:pPr>
        <w:pStyle w:val="SingleTxtG"/>
        <w:keepNext/>
      </w:pPr>
      <w:r w:rsidRPr="00B06D58">
        <w:t>1.</w:t>
      </w:r>
      <w:r w:rsidRPr="00B06D58">
        <w:tab/>
        <w:t>Les amendements proposés répondent aux objectifs suivants</w:t>
      </w:r>
      <w:r>
        <w:t> :</w:t>
      </w:r>
    </w:p>
    <w:p w14:paraId="2F81D9B9" w14:textId="78411DBC" w:rsidR="00D50749" w:rsidRPr="00B06D58" w:rsidRDefault="00D50749" w:rsidP="00D50749">
      <w:pPr>
        <w:pStyle w:val="Bullet1G"/>
      </w:pPr>
      <w:r w:rsidRPr="00B06D58">
        <w:t>Aligner le Règlement ONU n</w:t>
      </w:r>
      <w:r w:rsidRPr="00B06D58">
        <w:rPr>
          <w:vertAlign w:val="superscript"/>
        </w:rPr>
        <w:t>o</w:t>
      </w:r>
      <w:r w:rsidRPr="00B06D58">
        <w:t> 92 sur les dernières modifications apportées au Règlement ONU n</w:t>
      </w:r>
      <w:r w:rsidRPr="00B06D58">
        <w:rPr>
          <w:vertAlign w:val="superscript"/>
        </w:rPr>
        <w:t>o</w:t>
      </w:r>
      <w:r w:rsidRPr="00B06D58">
        <w:t> 41</w:t>
      </w:r>
      <w:r>
        <w:t> ;</w:t>
      </w:r>
    </w:p>
    <w:p w14:paraId="238A510C" w14:textId="77777777" w:rsidR="00D50749" w:rsidRPr="00B06D58" w:rsidRDefault="00D50749" w:rsidP="00D50749">
      <w:pPr>
        <w:pStyle w:val="Bullet1G"/>
      </w:pPr>
      <w:r w:rsidRPr="00B06D58">
        <w:t>Réduire le nombre de types d’échappement différents à faire homologuer par les fabricants de dispositifs silencieux d’échappement de remplacement non d’origine (diminution estimée de 20 % en moyenne). En effet, selon les prescriptions actuelles du Règlement ONU n</w:t>
      </w:r>
      <w:r w:rsidRPr="00B06D58">
        <w:rPr>
          <w:vertAlign w:val="superscript"/>
        </w:rPr>
        <w:t>o</w:t>
      </w:r>
      <w:r w:rsidRPr="00B06D58">
        <w:t> 92, un type d’échappement doit être associé à un seul dessin précis. Ainsi, même pour apporter une modification mineure à un élément à des fins de performance ou de réduction du bruit, il est nécessaire de créer un nouveau type d’échappement. Les amendements proposés visent à permettre l’utilisation de différentes configurations du même type d’échappement sur différents véhicules, afin de limiter la multiplication des types d’échappement, et donc de réduire les investissements et les coûts (directs et indirects) des homologations pour les fabricants de dispositifs silencieux d’échappement de remplacement non d’origine. La diminution du nombre de types d’échappement et de marques d’homologation de type contribuera également à faire progresser la normalisation des éléments.</w:t>
      </w:r>
    </w:p>
    <w:p w14:paraId="0C53EDBD" w14:textId="07876057" w:rsidR="00D50749" w:rsidRPr="00B06D58" w:rsidRDefault="00D50749" w:rsidP="00D50749">
      <w:pPr>
        <w:pStyle w:val="SingleTxtG"/>
      </w:pPr>
      <w:r w:rsidRPr="00B06D58">
        <w:t>2.</w:t>
      </w:r>
      <w:r w:rsidRPr="00B06D58">
        <w:tab/>
        <w:t>Les critères relatifs aux modifications autorisées énumérés à l’annexe</w:t>
      </w:r>
      <w:r w:rsidR="00733EC6">
        <w:t xml:space="preserve"> </w:t>
      </w:r>
      <w:r w:rsidRPr="00B06D58">
        <w:t xml:space="preserve">5 ont été définis en s’appuyant sur les approches déjà adoptées dans certaines régions (à savoir, l’Union européenne), où la législation permet d’inclure, dans le cadre de la même homologation de type, des dessins d’échappements dont un ou plusieurs éléments sont légèrement différents, sous la supervision du service technique et en accord avec celui-ci. Les plages de 15 % et 20 % indiquées dans les critères concernant la forme, la longueur et les dimensions </w:t>
      </w:r>
      <w:r w:rsidRPr="00B06D58">
        <w:lastRenderedPageBreak/>
        <w:t>intérieures garantissent que les configurations d’échappement comprises dans ces plages présentent des caractéristiques similaires en ce qui concerne la conformité aux dispositions législatives relatives au bruit.</w:t>
      </w:r>
    </w:p>
    <w:p w14:paraId="24DEA256" w14:textId="6F87A71E" w:rsidR="00F9573C" w:rsidRPr="00D50749" w:rsidRDefault="00733EC6" w:rsidP="00D50749">
      <w:pPr>
        <w:pStyle w:val="SingleTxtG"/>
        <w:spacing w:before="240" w:after="0"/>
        <w:jc w:val="center"/>
        <w:rPr>
          <w:u w:val="single"/>
        </w:rPr>
      </w:pPr>
      <w:r>
        <w:rPr>
          <w:u w:val="single"/>
        </w:rPr>
        <w:tab/>
      </w:r>
      <w:r w:rsidR="00D50749">
        <w:rPr>
          <w:u w:val="single"/>
        </w:rPr>
        <w:tab/>
      </w:r>
      <w:r w:rsidR="00D50749">
        <w:rPr>
          <w:u w:val="single"/>
        </w:rPr>
        <w:tab/>
      </w:r>
      <w:r w:rsidR="00D50749">
        <w:rPr>
          <w:u w:val="single"/>
        </w:rPr>
        <w:tab/>
      </w:r>
    </w:p>
    <w:sectPr w:rsidR="00F9573C" w:rsidRPr="00D50749" w:rsidSect="00A34CB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AF564" w14:textId="77777777" w:rsidR="00036486" w:rsidRDefault="00036486" w:rsidP="00F95C08">
      <w:pPr>
        <w:spacing w:line="240" w:lineRule="auto"/>
      </w:pPr>
    </w:p>
  </w:endnote>
  <w:endnote w:type="continuationSeparator" w:id="0">
    <w:p w14:paraId="1A266183" w14:textId="77777777" w:rsidR="00036486" w:rsidRPr="00AC3823" w:rsidRDefault="00036486" w:rsidP="00AC3823">
      <w:pPr>
        <w:pStyle w:val="Pieddepage"/>
      </w:pPr>
    </w:p>
  </w:endnote>
  <w:endnote w:type="continuationNotice" w:id="1">
    <w:p w14:paraId="020B46BF" w14:textId="77777777" w:rsidR="00036486" w:rsidRDefault="000364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76E7" w14:textId="43DF33E7" w:rsidR="00A34CBC" w:rsidRPr="00A34CBC" w:rsidRDefault="00A34CBC" w:rsidP="00A34CBC">
    <w:pPr>
      <w:pStyle w:val="Pieddepage"/>
      <w:tabs>
        <w:tab w:val="right" w:pos="9638"/>
      </w:tabs>
    </w:pPr>
    <w:r w:rsidRPr="00A34CBC">
      <w:rPr>
        <w:b/>
        <w:sz w:val="18"/>
      </w:rPr>
      <w:fldChar w:fldCharType="begin"/>
    </w:r>
    <w:r w:rsidRPr="00A34CBC">
      <w:rPr>
        <w:b/>
        <w:sz w:val="18"/>
      </w:rPr>
      <w:instrText xml:space="preserve"> PAGE  \* MERGEFORMAT </w:instrText>
    </w:r>
    <w:r w:rsidRPr="00A34CBC">
      <w:rPr>
        <w:b/>
        <w:sz w:val="18"/>
      </w:rPr>
      <w:fldChar w:fldCharType="separate"/>
    </w:r>
    <w:r w:rsidRPr="00A34CBC">
      <w:rPr>
        <w:b/>
        <w:noProof/>
        <w:sz w:val="18"/>
      </w:rPr>
      <w:t>2</w:t>
    </w:r>
    <w:r w:rsidRPr="00A34CBC">
      <w:rPr>
        <w:b/>
        <w:sz w:val="18"/>
      </w:rPr>
      <w:fldChar w:fldCharType="end"/>
    </w:r>
    <w:r>
      <w:rPr>
        <w:b/>
        <w:sz w:val="18"/>
      </w:rPr>
      <w:tab/>
    </w:r>
    <w:r>
      <w:t>GE.21-08789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50F1" w14:textId="09E2F33E" w:rsidR="00A34CBC" w:rsidRPr="00A34CBC" w:rsidRDefault="00A34CBC" w:rsidP="00A34CBC">
    <w:pPr>
      <w:pStyle w:val="Pieddepage"/>
      <w:tabs>
        <w:tab w:val="right" w:pos="9638"/>
      </w:tabs>
      <w:rPr>
        <w:b/>
        <w:sz w:val="18"/>
      </w:rPr>
    </w:pPr>
    <w:r>
      <w:t>GE.21-08789</w:t>
    </w:r>
    <w:r>
      <w:tab/>
    </w:r>
    <w:r w:rsidRPr="00A34CBC">
      <w:rPr>
        <w:b/>
        <w:sz w:val="18"/>
      </w:rPr>
      <w:fldChar w:fldCharType="begin"/>
    </w:r>
    <w:r w:rsidRPr="00A34CBC">
      <w:rPr>
        <w:b/>
        <w:sz w:val="18"/>
      </w:rPr>
      <w:instrText xml:space="preserve"> PAGE  \* MERGEFORMAT </w:instrText>
    </w:r>
    <w:r w:rsidRPr="00A34CBC">
      <w:rPr>
        <w:b/>
        <w:sz w:val="18"/>
      </w:rPr>
      <w:fldChar w:fldCharType="separate"/>
    </w:r>
    <w:r w:rsidRPr="00A34CBC">
      <w:rPr>
        <w:b/>
        <w:noProof/>
        <w:sz w:val="18"/>
      </w:rPr>
      <w:t>3</w:t>
    </w:r>
    <w:r w:rsidRPr="00A34C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91D8" w14:textId="7E9FFA5A" w:rsidR="007F20FA" w:rsidRPr="00A34CBC" w:rsidRDefault="00A34CBC" w:rsidP="00A34CB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6A5EC5" wp14:editId="08B5046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21-08789  (F)</w:t>
    </w:r>
    <w:r>
      <w:rPr>
        <w:noProof/>
        <w:sz w:val="20"/>
      </w:rPr>
      <w:drawing>
        <wp:anchor distT="0" distB="0" distL="114300" distR="114300" simplePos="0" relativeHeight="251660288" behindDoc="0" locked="0" layoutInCell="1" allowOverlap="1" wp14:anchorId="3A3FEED3" wp14:editId="77C02F3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070721    070721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F506" w14:textId="77777777" w:rsidR="00036486" w:rsidRPr="00AC3823" w:rsidRDefault="00036486" w:rsidP="00AC3823">
      <w:pPr>
        <w:pStyle w:val="Pieddepage"/>
        <w:tabs>
          <w:tab w:val="right" w:pos="2155"/>
        </w:tabs>
        <w:spacing w:after="80" w:line="240" w:lineRule="atLeast"/>
        <w:ind w:left="680"/>
        <w:rPr>
          <w:u w:val="single"/>
        </w:rPr>
      </w:pPr>
      <w:r>
        <w:rPr>
          <w:u w:val="single"/>
        </w:rPr>
        <w:tab/>
      </w:r>
    </w:p>
  </w:footnote>
  <w:footnote w:type="continuationSeparator" w:id="0">
    <w:p w14:paraId="6482A73E" w14:textId="77777777" w:rsidR="00036486" w:rsidRPr="00AC3823" w:rsidRDefault="00036486" w:rsidP="00AC3823">
      <w:pPr>
        <w:pStyle w:val="Pieddepage"/>
        <w:tabs>
          <w:tab w:val="right" w:pos="2155"/>
        </w:tabs>
        <w:spacing w:after="80" w:line="240" w:lineRule="atLeast"/>
        <w:ind w:left="680"/>
        <w:rPr>
          <w:u w:val="single"/>
        </w:rPr>
      </w:pPr>
      <w:r>
        <w:rPr>
          <w:u w:val="single"/>
        </w:rPr>
        <w:tab/>
      </w:r>
    </w:p>
  </w:footnote>
  <w:footnote w:type="continuationNotice" w:id="1">
    <w:p w14:paraId="39F5740E" w14:textId="77777777" w:rsidR="00036486" w:rsidRPr="00AC3823" w:rsidRDefault="00036486">
      <w:pPr>
        <w:spacing w:line="240" w:lineRule="auto"/>
        <w:rPr>
          <w:sz w:val="2"/>
          <w:szCs w:val="2"/>
        </w:rPr>
      </w:pPr>
    </w:p>
  </w:footnote>
  <w:footnote w:id="2">
    <w:p w14:paraId="04599C8F" w14:textId="670D3562" w:rsidR="00D50749" w:rsidRPr="008E3753" w:rsidRDefault="00D50749" w:rsidP="00D50749">
      <w:pPr>
        <w:pStyle w:val="Notedebasdepage"/>
        <w:rPr>
          <w:lang w:val="fr-FR"/>
        </w:rPr>
      </w:pPr>
      <w:r w:rsidRPr="00733EC6">
        <w:rPr>
          <w:sz w:val="20"/>
          <w:lang w:val="fr-FR"/>
        </w:rPr>
        <w:tab/>
        <w:t>*</w:t>
      </w:r>
      <w:r w:rsidRPr="00733EC6">
        <w:rPr>
          <w:sz w:val="20"/>
          <w:lang w:val="fr-FR"/>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122DE1B8" w14:textId="57FA29FB" w:rsidR="00083C3D" w:rsidRDefault="00083C3D">
      <w:pPr>
        <w:pStyle w:val="Notedebasdepage"/>
      </w:pPr>
      <w:r>
        <w:tab/>
      </w:r>
      <w:r>
        <w:rPr>
          <w:rStyle w:val="Appelnotedebasdep"/>
        </w:rPr>
        <w:footnoteRef/>
      </w:r>
      <w:r>
        <w:tab/>
      </w:r>
      <w:r w:rsidRPr="000A44FA">
        <w:t>Numéro distinctif du pays qui a accordé/étendu/refusé/retiré l</w:t>
      </w:r>
      <w:r>
        <w:t>’</w:t>
      </w:r>
      <w:r w:rsidRPr="000A44FA">
        <w:t>homologation (voir dispositions relatives à l</w:t>
      </w:r>
      <w:r>
        <w:t>’</w:t>
      </w:r>
      <w:r w:rsidRPr="000A44FA">
        <w:t>homologation du présent Règlement).</w:t>
      </w:r>
    </w:p>
  </w:footnote>
  <w:footnote w:id="4">
    <w:p w14:paraId="432023D2" w14:textId="77777777" w:rsidR="00083C3D" w:rsidRDefault="00083C3D" w:rsidP="00083C3D">
      <w:pPr>
        <w:pStyle w:val="Notedebasdepage"/>
      </w:pPr>
      <w:r>
        <w:tab/>
      </w:r>
      <w:r>
        <w:rPr>
          <w:rStyle w:val="Appelnotedebasdep"/>
        </w:rPr>
        <w:footnoteRef/>
      </w:r>
      <w:r>
        <w:tab/>
      </w:r>
      <w:r w:rsidRPr="00FE4A79">
        <w:rPr>
          <w:lang w:val="fr-FR"/>
        </w:rPr>
        <w:t>Rayer les mentions inutiles.</w:t>
      </w:r>
    </w:p>
  </w:footnote>
  <w:footnote w:id="5">
    <w:p w14:paraId="3ECC69E8" w14:textId="62465387" w:rsidR="00733EC6" w:rsidRDefault="00733EC6">
      <w:pPr>
        <w:pStyle w:val="Notedebasdepage"/>
      </w:pPr>
      <w:r>
        <w:rPr>
          <w:rStyle w:val="Appelnotedebasdep"/>
        </w:rPr>
        <w:tab/>
        <w:t>2</w:t>
      </w:r>
      <w:r>
        <w:tab/>
      </w:r>
      <w:r w:rsidRPr="000A44FA">
        <w:t>Numéro distinctif du pays qui a accordé/étendu/refusé/retiré l</w:t>
      </w:r>
      <w:r>
        <w:t>’</w:t>
      </w:r>
      <w:r w:rsidRPr="000A44FA">
        <w:t>homologation (voir dispositions relatives à l</w:t>
      </w:r>
      <w:r>
        <w:t>’</w:t>
      </w:r>
      <w:r w:rsidRPr="000A44FA">
        <w:t>homologation du présent Règlement).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0A4F" w14:textId="68F980CE" w:rsidR="00A34CBC" w:rsidRPr="00A34CBC" w:rsidRDefault="00A34CBC">
    <w:pPr>
      <w:pStyle w:val="En-tte"/>
    </w:pPr>
    <w:fldSimple w:instr=" TITLE  \* MERGEFORMAT ">
      <w:r>
        <w:t>ECE/TRANS/WP.29/GRBP/2021/11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2F78" w14:textId="4B1130E0" w:rsidR="00A34CBC" w:rsidRPr="00A34CBC" w:rsidRDefault="00A34CBC" w:rsidP="00A34CBC">
    <w:pPr>
      <w:pStyle w:val="En-tte"/>
      <w:jc w:val="right"/>
    </w:pPr>
    <w:fldSimple w:instr=" TITLE  \* MERGEFORMAT ">
      <w:r>
        <w:t>ECE/TRANS/WP.29/GRBP/2021/11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9F63420"/>
    <w:multiLevelType w:val="hybridMultilevel"/>
    <w:tmpl w:val="C9AA0150"/>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04090001">
        <w:start w:val="1"/>
        <w:numFmt w:val="bullet"/>
        <w:lvlText w:val=""/>
        <w:lvlJc w:val="left"/>
        <w:pPr>
          <w:ind w:left="3555"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86"/>
    <w:rsid w:val="00017F94"/>
    <w:rsid w:val="00023842"/>
    <w:rsid w:val="000334F9"/>
    <w:rsid w:val="00036486"/>
    <w:rsid w:val="00045FEB"/>
    <w:rsid w:val="0007796D"/>
    <w:rsid w:val="00083C3D"/>
    <w:rsid w:val="000B7790"/>
    <w:rsid w:val="00111F2F"/>
    <w:rsid w:val="0014365E"/>
    <w:rsid w:val="00143C66"/>
    <w:rsid w:val="00176178"/>
    <w:rsid w:val="001B07AF"/>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F0525"/>
    <w:rsid w:val="0071601D"/>
    <w:rsid w:val="00733EC6"/>
    <w:rsid w:val="007A62E6"/>
    <w:rsid w:val="007F20FA"/>
    <w:rsid w:val="0080684C"/>
    <w:rsid w:val="00871C75"/>
    <w:rsid w:val="008776DC"/>
    <w:rsid w:val="008D5EF9"/>
    <w:rsid w:val="009446C0"/>
    <w:rsid w:val="009705C8"/>
    <w:rsid w:val="009C1CF4"/>
    <w:rsid w:val="009F6B74"/>
    <w:rsid w:val="00A3029F"/>
    <w:rsid w:val="00A30353"/>
    <w:rsid w:val="00A34CBC"/>
    <w:rsid w:val="00AC3823"/>
    <w:rsid w:val="00AE323C"/>
    <w:rsid w:val="00AF0CB5"/>
    <w:rsid w:val="00B00181"/>
    <w:rsid w:val="00B00B0D"/>
    <w:rsid w:val="00B45F2E"/>
    <w:rsid w:val="00B5677F"/>
    <w:rsid w:val="00B765F7"/>
    <w:rsid w:val="00B77993"/>
    <w:rsid w:val="00BA0CA9"/>
    <w:rsid w:val="00C02897"/>
    <w:rsid w:val="00C97039"/>
    <w:rsid w:val="00D3439C"/>
    <w:rsid w:val="00D50749"/>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7AC0A"/>
  <w15:docId w15:val="{9E9C6A19-8D73-4B9E-A2AC-73B5A9EE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Default">
    <w:name w:val="Default"/>
    <w:rsid w:val="00D50749"/>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character" w:customStyle="1" w:styleId="SingleTxtGChar">
    <w:name w:val="_ Single Txt_G Char"/>
    <w:link w:val="SingleTxtG"/>
    <w:qFormat/>
    <w:rsid w:val="00D50749"/>
    <w:rPr>
      <w:rFonts w:ascii="Times New Roman" w:eastAsiaTheme="minorHAnsi" w:hAnsi="Times New Roman" w:cs="Times New Roman"/>
      <w:sz w:val="20"/>
      <w:szCs w:val="20"/>
      <w:lang w:eastAsia="en-US"/>
    </w:rPr>
  </w:style>
  <w:style w:type="character" w:customStyle="1" w:styleId="HChGChar">
    <w:name w:val="_ H _Ch_G Char"/>
    <w:link w:val="HChG"/>
    <w:rsid w:val="00D50749"/>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D50749"/>
    <w:pPr>
      <w:ind w:left="708"/>
    </w:pPr>
    <w:rPr>
      <w:lang w:val="en-GB"/>
    </w:rPr>
  </w:style>
  <w:style w:type="paragraph" w:customStyle="1" w:styleId="2">
    <w:name w:val="Стиль2"/>
    <w:basedOn w:val="Normal"/>
    <w:rsid w:val="00D50749"/>
    <w:pPr>
      <w:widowControl w:val="0"/>
      <w:tabs>
        <w:tab w:val="right" w:pos="2268"/>
      </w:tabs>
      <w:suppressAutoHyphens w:val="0"/>
      <w:spacing w:line="360" w:lineRule="auto"/>
      <w:ind w:left="2268" w:hanging="1134"/>
    </w:pPr>
    <w:rPr>
      <w:b/>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EE5F3-E0C6-472E-AA9B-0DF616EB08EF}">
  <ds:schemaRefs>
    <ds:schemaRef ds:uri="http://schemas.openxmlformats.org/officeDocument/2006/bibliography"/>
  </ds:schemaRefs>
</ds:datastoreItem>
</file>

<file path=customXml/itemProps2.xml><?xml version="1.0" encoding="utf-8"?>
<ds:datastoreItem xmlns:ds="http://schemas.openxmlformats.org/officeDocument/2006/customXml" ds:itemID="{CEF33797-6FBE-4476-8285-D2E59CCE234C}"/>
</file>

<file path=customXml/itemProps3.xml><?xml version="1.0" encoding="utf-8"?>
<ds:datastoreItem xmlns:ds="http://schemas.openxmlformats.org/officeDocument/2006/customXml" ds:itemID="{BF64CCA0-6AC8-44CE-80D7-8FC5FF4BB35A}"/>
</file>

<file path=customXml/itemProps4.xml><?xml version="1.0" encoding="utf-8"?>
<ds:datastoreItem xmlns:ds="http://schemas.openxmlformats.org/officeDocument/2006/customXml" ds:itemID="{20C26F46-45B9-481D-9BAE-D3CBCAA57831}"/>
</file>

<file path=docProps/app.xml><?xml version="1.0" encoding="utf-8"?>
<Properties xmlns="http://schemas.openxmlformats.org/officeDocument/2006/extended-properties" xmlns:vt="http://schemas.openxmlformats.org/officeDocument/2006/docPropsVTypes">
  <Template>ECE_TRANS.dotm</Template>
  <TotalTime>0</TotalTime>
  <Pages>6</Pages>
  <Words>1165</Words>
  <Characters>8159</Characters>
  <Application>Microsoft Office Word</Application>
  <DocSecurity>0</DocSecurity>
  <Lines>679</Lines>
  <Paragraphs>372</Paragraphs>
  <ScaleCrop>false</ScaleCrop>
  <HeadingPairs>
    <vt:vector size="2" baseType="variant">
      <vt:variant>
        <vt:lpstr>Titre</vt:lpstr>
      </vt:variant>
      <vt:variant>
        <vt:i4>1</vt:i4>
      </vt:variant>
    </vt:vector>
  </HeadingPairs>
  <TitlesOfParts>
    <vt:vector size="1" baseType="lpstr">
      <vt:lpstr>ECE/TRANS/WP.29/GRBP/2021/11</vt:lpstr>
    </vt:vector>
  </TitlesOfParts>
  <Company>DCM</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ECE/TRANS/WP.29/GRBP/2021/11</dc:title>
  <dc:subject/>
  <dc:creator>Nicolas MORIN</dc:creator>
  <cp:keywords/>
  <cp:lastModifiedBy>Nicolas Morin</cp:lastModifiedBy>
  <cp:revision>2</cp:revision>
  <cp:lastPrinted>2014-05-14T10:59:00Z</cp:lastPrinted>
  <dcterms:created xsi:type="dcterms:W3CDTF">2021-07-07T13:50:00Z</dcterms:created>
  <dcterms:modified xsi:type="dcterms:W3CDTF">2021-07-07T13:50:00Z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