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816E7" w:rsidRPr="00E73B39" w14:paraId="2CCFDA56" w14:textId="77777777" w:rsidTr="00FD1CAA">
        <w:trPr>
          <w:cantSplit/>
          <w:trHeight w:hRule="exact" w:val="851"/>
        </w:trPr>
        <w:tc>
          <w:tcPr>
            <w:tcW w:w="1276" w:type="dxa"/>
            <w:tcBorders>
              <w:bottom w:val="single" w:sz="4" w:space="0" w:color="auto"/>
            </w:tcBorders>
            <w:vAlign w:val="bottom"/>
          </w:tcPr>
          <w:p w14:paraId="66288967" w14:textId="77777777" w:rsidR="001816E7" w:rsidRDefault="001816E7" w:rsidP="0053023E">
            <w:pPr>
              <w:spacing w:after="80"/>
              <w:ind w:left="851" w:right="1134"/>
            </w:pPr>
          </w:p>
        </w:tc>
        <w:tc>
          <w:tcPr>
            <w:tcW w:w="2268" w:type="dxa"/>
            <w:tcBorders>
              <w:bottom w:val="single" w:sz="4" w:space="0" w:color="auto"/>
            </w:tcBorders>
            <w:vAlign w:val="bottom"/>
          </w:tcPr>
          <w:p w14:paraId="3C2C2E07" w14:textId="77777777" w:rsidR="001816E7" w:rsidRPr="00E73B39" w:rsidRDefault="001816E7" w:rsidP="0053023E">
            <w:pPr>
              <w:spacing w:after="80" w:line="300" w:lineRule="exact"/>
              <w:ind w:right="287"/>
              <w:rPr>
                <w:b/>
                <w:sz w:val="24"/>
                <w:szCs w:val="24"/>
              </w:rPr>
            </w:pPr>
            <w:r w:rsidRPr="00E73B39">
              <w:rPr>
                <w:sz w:val="28"/>
                <w:szCs w:val="28"/>
              </w:rPr>
              <w:t>United Nations</w:t>
            </w:r>
          </w:p>
        </w:tc>
        <w:tc>
          <w:tcPr>
            <w:tcW w:w="6095" w:type="dxa"/>
            <w:gridSpan w:val="2"/>
            <w:tcBorders>
              <w:bottom w:val="single" w:sz="4" w:space="0" w:color="auto"/>
            </w:tcBorders>
            <w:vAlign w:val="bottom"/>
          </w:tcPr>
          <w:p w14:paraId="05EE94D1" w14:textId="69E562CD" w:rsidR="001816E7" w:rsidRPr="00E73B39" w:rsidRDefault="001816E7" w:rsidP="0053023E">
            <w:pPr>
              <w:ind w:left="851" w:right="1134"/>
              <w:jc w:val="right"/>
            </w:pPr>
            <w:r w:rsidRPr="00E73B39">
              <w:rPr>
                <w:sz w:val="40"/>
              </w:rPr>
              <w:t>ECE</w:t>
            </w:r>
            <w:r w:rsidRPr="00E73B39">
              <w:t>/MP.PP/20</w:t>
            </w:r>
            <w:r w:rsidR="00E73B39" w:rsidRPr="00E73B39">
              <w:t>21</w:t>
            </w:r>
            <w:r w:rsidRPr="00E73B39">
              <w:t>/</w:t>
            </w:r>
            <w:r w:rsidR="00E73B39" w:rsidRPr="00E73B39">
              <w:t>XX</w:t>
            </w:r>
          </w:p>
        </w:tc>
      </w:tr>
      <w:tr w:rsidR="001816E7" w:rsidRPr="00E73B39" w14:paraId="1C79247B" w14:textId="77777777" w:rsidTr="00FD1CAA">
        <w:trPr>
          <w:cantSplit/>
          <w:trHeight w:hRule="exact" w:val="2835"/>
        </w:trPr>
        <w:tc>
          <w:tcPr>
            <w:tcW w:w="1276" w:type="dxa"/>
            <w:tcBorders>
              <w:top w:val="single" w:sz="4" w:space="0" w:color="auto"/>
              <w:bottom w:val="single" w:sz="12" w:space="0" w:color="auto"/>
            </w:tcBorders>
          </w:tcPr>
          <w:p w14:paraId="3CF7E8DD" w14:textId="0F0D9302" w:rsidR="001816E7" w:rsidRPr="00E73B39" w:rsidRDefault="001816E7" w:rsidP="0053023E">
            <w:pPr>
              <w:spacing w:before="120"/>
              <w:ind w:left="851" w:right="1134"/>
            </w:pPr>
            <w:r w:rsidRPr="00E73B39">
              <w:rPr>
                <w:noProof/>
                <w:lang w:val="en-US"/>
              </w:rPr>
              <w:drawing>
                <wp:anchor distT="0" distB="0" distL="114300" distR="114300" simplePos="0" relativeHeight="251658240" behindDoc="0" locked="0" layoutInCell="1" allowOverlap="1" wp14:anchorId="2EAB13E4" wp14:editId="3236430B">
                  <wp:simplePos x="0" y="0"/>
                  <wp:positionH relativeFrom="column">
                    <wp:posOffset>86702</wp:posOffset>
                  </wp:positionH>
                  <wp:positionV relativeFrom="paragraph">
                    <wp:posOffset>76776</wp:posOffset>
                  </wp:positionV>
                  <wp:extent cx="714375" cy="590550"/>
                  <wp:effectExtent l="0" t="0" r="9525" b="0"/>
                  <wp:wrapThrough wrapText="bothSides">
                    <wp:wrapPolygon edited="0">
                      <wp:start x="6336" y="0"/>
                      <wp:lineTo x="0" y="1394"/>
                      <wp:lineTo x="0" y="14632"/>
                      <wp:lineTo x="4608" y="20206"/>
                      <wp:lineTo x="6912" y="20903"/>
                      <wp:lineTo x="14400" y="20903"/>
                      <wp:lineTo x="16128" y="20206"/>
                      <wp:lineTo x="21312" y="13935"/>
                      <wp:lineTo x="21312" y="4877"/>
                      <wp:lineTo x="19008" y="1394"/>
                      <wp:lineTo x="14400" y="0"/>
                      <wp:lineTo x="6336" y="0"/>
                    </wp:wrapPolygon>
                  </wp:wrapThrough>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anchor>
              </w:drawing>
            </w:r>
          </w:p>
        </w:tc>
        <w:tc>
          <w:tcPr>
            <w:tcW w:w="5528" w:type="dxa"/>
            <w:gridSpan w:val="2"/>
            <w:tcBorders>
              <w:top w:val="single" w:sz="4" w:space="0" w:color="auto"/>
              <w:bottom w:val="single" w:sz="12" w:space="0" w:color="auto"/>
            </w:tcBorders>
          </w:tcPr>
          <w:p w14:paraId="0DAD350A" w14:textId="77777777" w:rsidR="001816E7" w:rsidRPr="00E73B39" w:rsidRDefault="001816E7" w:rsidP="007761E1">
            <w:pPr>
              <w:spacing w:before="120" w:line="420" w:lineRule="exact"/>
              <w:ind w:right="1134"/>
              <w:rPr>
                <w:sz w:val="40"/>
                <w:szCs w:val="40"/>
              </w:rPr>
            </w:pPr>
            <w:r w:rsidRPr="00E73B39">
              <w:rPr>
                <w:b/>
                <w:sz w:val="40"/>
                <w:szCs w:val="40"/>
              </w:rPr>
              <w:t>Economic and Social Council</w:t>
            </w:r>
          </w:p>
        </w:tc>
        <w:tc>
          <w:tcPr>
            <w:tcW w:w="2835" w:type="dxa"/>
            <w:tcBorders>
              <w:top w:val="single" w:sz="4" w:space="0" w:color="auto"/>
              <w:bottom w:val="single" w:sz="12" w:space="0" w:color="auto"/>
            </w:tcBorders>
          </w:tcPr>
          <w:p w14:paraId="48D87070" w14:textId="77777777" w:rsidR="001816E7" w:rsidRPr="00E73B39" w:rsidRDefault="001816E7" w:rsidP="007761E1">
            <w:pPr>
              <w:spacing w:before="240" w:line="240" w:lineRule="exact"/>
              <w:ind w:left="138" w:right="1134"/>
            </w:pPr>
            <w:r w:rsidRPr="00E73B39">
              <w:t>Distr.: General</w:t>
            </w:r>
          </w:p>
          <w:p w14:paraId="325E4E2F" w14:textId="77777777" w:rsidR="001816E7" w:rsidRPr="00E73B39" w:rsidRDefault="001816E7" w:rsidP="007761E1">
            <w:pPr>
              <w:spacing w:line="240" w:lineRule="exact"/>
              <w:ind w:left="138" w:right="1134"/>
            </w:pPr>
            <w:r w:rsidRPr="00E73B39">
              <w:t>xx July 2021</w:t>
            </w:r>
          </w:p>
          <w:p w14:paraId="66EA1E37" w14:textId="77777777" w:rsidR="001816E7" w:rsidRPr="00E73B39" w:rsidRDefault="001816E7" w:rsidP="007761E1">
            <w:pPr>
              <w:spacing w:line="240" w:lineRule="exact"/>
              <w:ind w:left="138" w:right="1134"/>
            </w:pPr>
          </w:p>
          <w:p w14:paraId="3E960636" w14:textId="77777777" w:rsidR="001816E7" w:rsidRPr="00E73B39" w:rsidRDefault="001816E7" w:rsidP="007761E1">
            <w:pPr>
              <w:spacing w:line="240" w:lineRule="exact"/>
              <w:ind w:left="138" w:right="1134"/>
            </w:pPr>
            <w:r w:rsidRPr="00E73B39">
              <w:t>Original: English</w:t>
            </w:r>
          </w:p>
        </w:tc>
      </w:tr>
    </w:tbl>
    <w:p w14:paraId="6E793482" w14:textId="77777777" w:rsidR="001816E7" w:rsidRPr="00E73B39" w:rsidRDefault="001816E7" w:rsidP="0053023E">
      <w:pPr>
        <w:spacing w:before="120"/>
        <w:ind w:left="851" w:right="1134"/>
        <w:rPr>
          <w:b/>
          <w:sz w:val="28"/>
          <w:szCs w:val="28"/>
        </w:rPr>
      </w:pPr>
      <w:r w:rsidRPr="00E73B39">
        <w:rPr>
          <w:b/>
          <w:sz w:val="28"/>
          <w:szCs w:val="28"/>
        </w:rPr>
        <w:t>Economic Commission for Europe</w:t>
      </w:r>
    </w:p>
    <w:p w14:paraId="3AE0576A" w14:textId="77777777" w:rsidR="001816E7" w:rsidRPr="00E73B39" w:rsidRDefault="001816E7" w:rsidP="0053023E">
      <w:pPr>
        <w:spacing w:before="120"/>
        <w:ind w:left="851" w:right="1134"/>
        <w:rPr>
          <w:b/>
          <w:sz w:val="24"/>
          <w:szCs w:val="24"/>
        </w:rPr>
      </w:pPr>
      <w:r w:rsidRPr="00E73B39">
        <w:rPr>
          <w:sz w:val="28"/>
          <w:szCs w:val="28"/>
        </w:rPr>
        <w:t xml:space="preserve">Meeting of the Parties to the Convention on </w:t>
      </w:r>
      <w:r w:rsidRPr="00E73B39">
        <w:rPr>
          <w:sz w:val="28"/>
          <w:szCs w:val="28"/>
        </w:rPr>
        <w:br/>
        <w:t xml:space="preserve">Access to Information, Public Participation </w:t>
      </w:r>
      <w:r w:rsidRPr="00E73B39">
        <w:rPr>
          <w:sz w:val="28"/>
          <w:szCs w:val="28"/>
        </w:rPr>
        <w:br/>
        <w:t xml:space="preserve">in Decision-making and Access to Justice </w:t>
      </w:r>
      <w:r w:rsidRPr="00E73B39">
        <w:rPr>
          <w:sz w:val="28"/>
          <w:szCs w:val="28"/>
        </w:rPr>
        <w:br/>
        <w:t>in Environmental Matters</w:t>
      </w:r>
    </w:p>
    <w:p w14:paraId="4B863E78" w14:textId="77777777" w:rsidR="001816E7" w:rsidRPr="00E73B39" w:rsidRDefault="001816E7" w:rsidP="0053023E">
      <w:pPr>
        <w:spacing w:before="120" w:after="0"/>
        <w:ind w:left="851" w:right="1134"/>
        <w:rPr>
          <w:b/>
          <w:bCs/>
        </w:rPr>
      </w:pPr>
      <w:r w:rsidRPr="00E73B39">
        <w:rPr>
          <w:b/>
          <w:bCs/>
        </w:rPr>
        <w:t>Seventh session</w:t>
      </w:r>
    </w:p>
    <w:p w14:paraId="78176DF0" w14:textId="79E131E6" w:rsidR="001816E7" w:rsidRPr="00E73B39" w:rsidRDefault="001816E7" w:rsidP="0053023E">
      <w:pPr>
        <w:spacing w:after="0"/>
        <w:ind w:left="851" w:right="1134"/>
      </w:pPr>
      <w:r w:rsidRPr="00E73B39">
        <w:t>Geneva, 18 – 2</w:t>
      </w:r>
      <w:r w:rsidR="007576B2">
        <w:t>0</w:t>
      </w:r>
      <w:r w:rsidRPr="00E73B39">
        <w:t xml:space="preserve"> October 2021</w:t>
      </w:r>
    </w:p>
    <w:p w14:paraId="35E1830E" w14:textId="4F442B22" w:rsidR="001816E7" w:rsidRPr="00E73B39" w:rsidRDefault="001816E7" w:rsidP="0053023E">
      <w:pPr>
        <w:spacing w:after="0"/>
        <w:ind w:left="851" w:right="1134"/>
      </w:pPr>
      <w:r w:rsidRPr="00E73B39">
        <w:t xml:space="preserve">Item </w:t>
      </w:r>
      <w:r w:rsidR="007576B2">
        <w:t>x</w:t>
      </w:r>
      <w:r w:rsidRPr="00E73B39">
        <w:t xml:space="preserve"> (</w:t>
      </w:r>
      <w:r w:rsidR="007576B2">
        <w:t>x</w:t>
      </w:r>
      <w:r w:rsidRPr="00E73B39">
        <w:t>) of the provisional agenda</w:t>
      </w:r>
    </w:p>
    <w:p w14:paraId="276D7519" w14:textId="77777777" w:rsidR="001816E7" w:rsidRPr="00E73B39" w:rsidRDefault="001816E7" w:rsidP="0053023E">
      <w:pPr>
        <w:spacing w:after="0"/>
        <w:ind w:left="851" w:right="1134"/>
        <w:rPr>
          <w:b/>
        </w:rPr>
      </w:pPr>
      <w:r w:rsidRPr="00E73B39">
        <w:rPr>
          <w:b/>
        </w:rPr>
        <w:t xml:space="preserve">Procedures and mechanisms facilitating the implementation of the Convention: </w:t>
      </w:r>
    </w:p>
    <w:p w14:paraId="2D31FEB9" w14:textId="77777777" w:rsidR="001816E7" w:rsidRPr="00E73B39" w:rsidRDefault="001816E7" w:rsidP="0053023E">
      <w:pPr>
        <w:spacing w:after="0"/>
        <w:ind w:left="851" w:right="1134"/>
        <w:rPr>
          <w:b/>
        </w:rPr>
      </w:pPr>
      <w:r w:rsidRPr="00E73B39">
        <w:rPr>
          <w:b/>
        </w:rPr>
        <w:t>Compliance mechanism</w:t>
      </w:r>
    </w:p>
    <w:p w14:paraId="7205D359" w14:textId="55E3C4F0" w:rsidR="001816E7" w:rsidRPr="00E73B39" w:rsidRDefault="007576B2" w:rsidP="0053023E">
      <w:pPr>
        <w:pStyle w:val="HChG"/>
        <w:ind w:left="851" w:firstLine="0"/>
        <w:rPr>
          <w:lang w:eastAsia="zh-CN"/>
        </w:rPr>
      </w:pPr>
      <w:r>
        <w:rPr>
          <w:lang w:eastAsia="zh-CN"/>
        </w:rPr>
        <w:tab/>
      </w:r>
      <w:r w:rsidR="00E73B39" w:rsidRPr="00E73B39">
        <w:rPr>
          <w:lang w:eastAsia="zh-CN"/>
        </w:rPr>
        <w:t>Draft r</w:t>
      </w:r>
      <w:r w:rsidR="001816E7" w:rsidRPr="00E73B39">
        <w:rPr>
          <w:lang w:eastAsia="zh-CN"/>
        </w:rPr>
        <w:t>eport of the Compliance Committee</w:t>
      </w:r>
      <w:r w:rsidR="001816E7" w:rsidRPr="00E73B39">
        <w:rPr>
          <w:rStyle w:val="FootnoteReference"/>
          <w:sz w:val="20"/>
          <w:lang w:eastAsia="zh-CN"/>
        </w:rPr>
        <w:footnoteReference w:customMarkFollows="1" w:id="2"/>
        <w:t>*</w:t>
      </w:r>
    </w:p>
    <w:p w14:paraId="6489FCDC" w14:textId="250F4556" w:rsidR="001816E7" w:rsidRDefault="001816E7" w:rsidP="0053023E">
      <w:pPr>
        <w:pStyle w:val="H1G"/>
        <w:ind w:left="1440" w:firstLine="0"/>
        <w:rPr>
          <w:lang w:eastAsia="zh-CN"/>
        </w:rPr>
      </w:pPr>
      <w:r w:rsidRPr="00E73B39">
        <w:rPr>
          <w:lang w:eastAsia="zh-CN"/>
        </w:rPr>
        <w:t xml:space="preserve">Compliance by </w:t>
      </w:r>
      <w:r w:rsidR="004348E3" w:rsidRPr="00E73B39">
        <w:rPr>
          <w:lang w:eastAsia="zh-CN"/>
        </w:rPr>
        <w:t>Ireland</w:t>
      </w:r>
      <w:r w:rsidRPr="00E73B39">
        <w:rPr>
          <w:lang w:eastAsia="zh-CN"/>
        </w:rPr>
        <w:t xml:space="preserve"> with its obligations under the Convention</w:t>
      </w:r>
      <w:r w:rsidR="007576B2">
        <w:rPr>
          <w:lang w:eastAsia="zh-CN"/>
        </w:rPr>
        <w:t xml:space="preserve"> </w:t>
      </w:r>
    </w:p>
    <w:p w14:paraId="11CCF5D5" w14:textId="77777777" w:rsidR="007576B2" w:rsidRPr="007576B2" w:rsidRDefault="007576B2" w:rsidP="0053023E">
      <w:pPr>
        <w:ind w:right="1134"/>
        <w:rPr>
          <w:lang w:eastAsia="zh-CN"/>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816E7" w14:paraId="1C1DC92B" w14:textId="77777777" w:rsidTr="00FD1CAA">
        <w:trPr>
          <w:jc w:val="center"/>
        </w:trPr>
        <w:tc>
          <w:tcPr>
            <w:tcW w:w="9637" w:type="dxa"/>
            <w:shd w:val="clear" w:color="auto" w:fill="auto"/>
          </w:tcPr>
          <w:p w14:paraId="1CB663C2" w14:textId="77777777" w:rsidR="001816E7" w:rsidRPr="002774A8" w:rsidRDefault="001816E7" w:rsidP="0053023E">
            <w:pPr>
              <w:spacing w:before="240"/>
              <w:ind w:left="851" w:right="1134"/>
              <w:rPr>
                <w:i/>
                <w:sz w:val="24"/>
                <w:lang w:eastAsia="zh-CN"/>
              </w:rPr>
            </w:pPr>
            <w:r w:rsidRPr="002774A8">
              <w:rPr>
                <w:i/>
                <w:sz w:val="24"/>
                <w:lang w:eastAsia="zh-CN"/>
              </w:rPr>
              <w:t>Summary</w:t>
            </w:r>
          </w:p>
        </w:tc>
      </w:tr>
      <w:tr w:rsidR="001816E7" w14:paraId="528F78A1" w14:textId="77777777" w:rsidTr="00FD1CAA">
        <w:trPr>
          <w:jc w:val="center"/>
        </w:trPr>
        <w:tc>
          <w:tcPr>
            <w:tcW w:w="9637" w:type="dxa"/>
            <w:shd w:val="clear" w:color="auto" w:fill="auto"/>
          </w:tcPr>
          <w:p w14:paraId="3DBB393C" w14:textId="74EEBCDD" w:rsidR="001816E7" w:rsidRDefault="001816E7" w:rsidP="0053023E">
            <w:pPr>
              <w:pStyle w:val="SingleTxtG"/>
              <w:ind w:left="851"/>
              <w:rPr>
                <w:lang w:eastAsia="zh-CN"/>
              </w:rPr>
            </w:pPr>
            <w:r w:rsidRPr="001A658F">
              <w:t>This document is prepared by the Compliance Committee</w:t>
            </w:r>
            <w:r w:rsidR="00B66B11">
              <w:t xml:space="preserve"> </w:t>
            </w:r>
            <w:r w:rsidRPr="001A658F">
              <w:t>in accordance with the Committee’s mandate set out in paragraph 35 of the annex to decision I/7 of the Meeting of the Parties on review of compliance (ECE/MP.PP/2/Add.8</w:t>
            </w:r>
            <w:r w:rsidRPr="002774A8">
              <w:rPr>
                <w:lang w:eastAsia="zh-CN"/>
              </w:rPr>
              <w:t>)</w:t>
            </w:r>
            <w:r w:rsidR="00B66B11">
              <w:rPr>
                <w:lang w:eastAsia="zh-CN"/>
              </w:rPr>
              <w:t xml:space="preserve"> </w:t>
            </w:r>
            <w:r w:rsidR="00B66B11">
              <w:t>and reviews</w:t>
            </w:r>
            <w:r w:rsidR="00B66B11" w:rsidRPr="001A658F">
              <w:t xml:space="preserve"> </w:t>
            </w:r>
            <w:r w:rsidR="00B66B11" w:rsidRPr="007576B2">
              <w:t xml:space="preserve">the progress by the Party concerned to implement </w:t>
            </w:r>
            <w:r w:rsidR="00B66B11">
              <w:t xml:space="preserve">the Committee’s findings and recommendations </w:t>
            </w:r>
            <w:r w:rsidR="00B66B11" w:rsidRPr="00173573">
              <w:t xml:space="preserve">on communication </w:t>
            </w:r>
            <w:r w:rsidR="00B66B11" w:rsidRPr="007F65D3">
              <w:t>ACCC/C/2016/141</w:t>
            </w:r>
            <w:r w:rsidR="00B66B11">
              <w:t xml:space="preserve"> </w:t>
            </w:r>
            <w:r w:rsidR="00CE2A26">
              <w:t>concerning the compliance of Ireland</w:t>
            </w:r>
            <w:r w:rsidR="00B66B11">
              <w:t>.</w:t>
            </w:r>
          </w:p>
        </w:tc>
      </w:tr>
      <w:tr w:rsidR="001816E7" w14:paraId="3C8ADF0C" w14:textId="77777777" w:rsidTr="00FD1CAA">
        <w:trPr>
          <w:trHeight w:val="264"/>
          <w:jc w:val="center"/>
        </w:trPr>
        <w:tc>
          <w:tcPr>
            <w:tcW w:w="9637" w:type="dxa"/>
            <w:shd w:val="clear" w:color="auto" w:fill="auto"/>
          </w:tcPr>
          <w:p w14:paraId="65139D6A" w14:textId="77777777" w:rsidR="001816E7" w:rsidRDefault="001816E7" w:rsidP="0053023E">
            <w:pPr>
              <w:ind w:left="851" w:right="1134"/>
              <w:rPr>
                <w:lang w:eastAsia="zh-CN"/>
              </w:rPr>
            </w:pPr>
          </w:p>
        </w:tc>
      </w:tr>
    </w:tbl>
    <w:p w14:paraId="369BACA5" w14:textId="77777777" w:rsidR="001816E7" w:rsidRDefault="001816E7" w:rsidP="0053023E">
      <w:pPr>
        <w:ind w:left="851" w:right="1134"/>
        <w:rPr>
          <w:lang w:eastAsia="zh-CN"/>
        </w:rPr>
      </w:pPr>
    </w:p>
    <w:p w14:paraId="2CFDAB2C" w14:textId="03A56866" w:rsidR="00732ACE" w:rsidRPr="00173573" w:rsidRDefault="001816E7" w:rsidP="0053023E">
      <w:pPr>
        <w:ind w:left="851" w:right="1134"/>
        <w:rPr>
          <w:lang w:eastAsia="zh-CN"/>
        </w:rPr>
      </w:pPr>
      <w:r>
        <w:rPr>
          <w:lang w:eastAsia="zh-CN"/>
        </w:rPr>
        <w:br w:type="page"/>
      </w:r>
    </w:p>
    <w:p w14:paraId="15AB64CD" w14:textId="5478FAD8" w:rsidR="00732ACE" w:rsidRPr="00173573" w:rsidRDefault="00FC294E" w:rsidP="0053023E">
      <w:pPr>
        <w:pStyle w:val="Heading1"/>
        <w:ind w:left="851" w:right="1134" w:firstLine="0"/>
      </w:pPr>
      <w:r w:rsidRPr="00173573">
        <w:lastRenderedPageBreak/>
        <w:tab/>
      </w:r>
      <w:r w:rsidR="007576B2">
        <w:t xml:space="preserve"> </w:t>
      </w:r>
      <w:r w:rsidR="00C8627B">
        <w:t xml:space="preserve"> </w:t>
      </w:r>
      <w:r w:rsidRPr="00173573">
        <w:t xml:space="preserve">Introduction </w:t>
      </w:r>
    </w:p>
    <w:p w14:paraId="6B46BFA5" w14:textId="3199451D" w:rsidR="00732ACE" w:rsidRPr="00173573" w:rsidRDefault="004216FB" w:rsidP="0053023E">
      <w:pPr>
        <w:pStyle w:val="NumberedParas"/>
        <w:ind w:left="851" w:right="1134" w:firstLine="0"/>
      </w:pPr>
      <w:r w:rsidRPr="00173573">
        <w:t xml:space="preserve">On </w:t>
      </w:r>
      <w:r w:rsidR="007F65D3">
        <w:t xml:space="preserve">9 November </w:t>
      </w:r>
      <w:r w:rsidR="00DB523F">
        <w:t>20</w:t>
      </w:r>
      <w:r w:rsidR="007F65D3">
        <w:t>20</w:t>
      </w:r>
      <w:r w:rsidRPr="00173573">
        <w:t xml:space="preserve">, the Committee adopted its findings </w:t>
      </w:r>
      <w:r w:rsidR="004E7D63" w:rsidRPr="00173573">
        <w:t xml:space="preserve">and recommendations </w:t>
      </w:r>
      <w:r w:rsidRPr="00173573">
        <w:t xml:space="preserve">on communication </w:t>
      </w:r>
      <w:r w:rsidR="007F65D3" w:rsidRPr="007F65D3">
        <w:t>ACCC/C/2016/141</w:t>
      </w:r>
      <w:r w:rsidR="004E7D63" w:rsidRPr="00173573">
        <w:t xml:space="preserve"> concerning the compliance of</w:t>
      </w:r>
      <w:r w:rsidR="007F65D3">
        <w:t xml:space="preserve"> </w:t>
      </w:r>
      <w:r w:rsidR="00DB523F">
        <w:t>Ireland</w:t>
      </w:r>
      <w:r w:rsidR="004E7D63" w:rsidRPr="00173573">
        <w:t xml:space="preserve"> </w:t>
      </w:r>
      <w:r w:rsidR="00FC294E" w:rsidRPr="00173573">
        <w:t xml:space="preserve">(see </w:t>
      </w:r>
      <w:r w:rsidR="007F65D3" w:rsidRPr="007F65D3">
        <w:t>ECE/MP.PP/C.1/2021/8</w:t>
      </w:r>
      <w:r w:rsidR="004E7D63" w:rsidRPr="00173573">
        <w:t>)</w:t>
      </w:r>
      <w:r w:rsidR="00FC294E" w:rsidRPr="00173573">
        <w:t>.</w:t>
      </w:r>
      <w:r w:rsidR="007F65D3">
        <w:t xml:space="preserve"> </w:t>
      </w:r>
    </w:p>
    <w:p w14:paraId="32F7AD35" w14:textId="6ED622EC" w:rsidR="004E7D63" w:rsidRPr="00173573" w:rsidRDefault="004E7D63" w:rsidP="0053023E">
      <w:pPr>
        <w:pStyle w:val="NumberedParas"/>
        <w:ind w:left="851" w:right="1134" w:firstLine="0"/>
      </w:pPr>
      <w:r w:rsidRPr="00173573">
        <w:t>In accordance with paragraph 36(b) of the annex to decision I/7</w:t>
      </w:r>
      <w:r w:rsidR="00D9186C" w:rsidRPr="00173573">
        <w:t xml:space="preserve"> of the Meeting of the Parties</w:t>
      </w:r>
      <w:r w:rsidRPr="00173573">
        <w:t>, the Party concerned agreed that the Committee might make its recommendations to it directly, in order to address compliance matters without delay pending the seventh session of the Meeting of the Parties.</w:t>
      </w:r>
    </w:p>
    <w:p w14:paraId="084B0242" w14:textId="74E89C93" w:rsidR="00732ACE" w:rsidRPr="00173573" w:rsidRDefault="007576B2" w:rsidP="0053023E">
      <w:pPr>
        <w:pStyle w:val="Heading1"/>
        <w:ind w:left="851" w:right="1134" w:firstLine="0"/>
      </w:pPr>
      <w:r>
        <w:t xml:space="preserve">  </w:t>
      </w:r>
      <w:r w:rsidR="00FC294E" w:rsidRPr="00173573">
        <w:t xml:space="preserve">Summary of follow-up </w:t>
      </w:r>
    </w:p>
    <w:p w14:paraId="4507BB76" w14:textId="3BB8FD04" w:rsidR="00732ACE" w:rsidRPr="00173573" w:rsidRDefault="00FC294E" w:rsidP="0053023E">
      <w:pPr>
        <w:pStyle w:val="NumberedParas"/>
        <w:ind w:left="851" w:right="1134" w:firstLine="0"/>
      </w:pPr>
      <w:r w:rsidRPr="00173573">
        <w:t xml:space="preserve">On </w:t>
      </w:r>
      <w:r w:rsidR="007F65D3">
        <w:t xml:space="preserve">21 May 2020, the </w:t>
      </w:r>
      <w:r w:rsidR="00E73B39">
        <w:t>P</w:t>
      </w:r>
      <w:r w:rsidR="007F65D3">
        <w:t xml:space="preserve">arty concerned provided an update on measures taken to address the Committee’s findings and recommendations on </w:t>
      </w:r>
      <w:r w:rsidR="007F65D3" w:rsidRPr="00173573">
        <w:t xml:space="preserve">communication </w:t>
      </w:r>
      <w:r w:rsidR="007F65D3" w:rsidRPr="007F65D3">
        <w:t>ACCC/C/2016/14</w:t>
      </w:r>
      <w:r w:rsidR="007F65D3">
        <w:t>1.</w:t>
      </w:r>
    </w:p>
    <w:p w14:paraId="54AF6D5D" w14:textId="62028BED" w:rsidR="00732ACE" w:rsidRDefault="00FC294E" w:rsidP="0053023E">
      <w:pPr>
        <w:pStyle w:val="NumberedParas"/>
        <w:ind w:left="851" w:right="1134" w:firstLine="0"/>
      </w:pPr>
      <w:r w:rsidRPr="00173573">
        <w:t xml:space="preserve">On </w:t>
      </w:r>
      <w:r w:rsidR="007F65D3">
        <w:t>27 May 2021</w:t>
      </w:r>
      <w:r w:rsidR="004E7D63" w:rsidRPr="00173573">
        <w:t xml:space="preserve">, the communicant of communication </w:t>
      </w:r>
      <w:r w:rsidR="007F65D3" w:rsidRPr="007F65D3">
        <w:t>ACCC/C/2016/14</w:t>
      </w:r>
      <w:r w:rsidR="007F65D3">
        <w:t>1</w:t>
      </w:r>
      <w:r w:rsidR="004E7D63" w:rsidRPr="00173573">
        <w:t xml:space="preserve"> provided its comments on the Party concerned’s </w:t>
      </w:r>
      <w:r w:rsidR="007F65D3">
        <w:t>update.</w:t>
      </w:r>
      <w:r w:rsidR="004E7D63" w:rsidRPr="00173573">
        <w:t xml:space="preserve"> </w:t>
      </w:r>
    </w:p>
    <w:p w14:paraId="33655267" w14:textId="420CF010" w:rsidR="007576B2" w:rsidRPr="0053023E" w:rsidRDefault="007576B2" w:rsidP="0053023E">
      <w:pPr>
        <w:pStyle w:val="NumberedParas"/>
        <w:tabs>
          <w:tab w:val="num" w:pos="851"/>
        </w:tabs>
        <w:ind w:left="851" w:right="1134" w:firstLine="0"/>
      </w:pPr>
      <w:r w:rsidRPr="0053023E">
        <w:t xml:space="preserve">The Committee completed its draft report to the seventh session of the Meeting of the Parties on the progress by the Party concerned to implement the Committee’s findings and recommendations on communication ACCC/C/2016/141 through its electronic decision-making procedure on </w:t>
      </w:r>
      <w:r w:rsidR="0053023E">
        <w:t>4 July</w:t>
      </w:r>
      <w:r w:rsidRPr="0053023E">
        <w:t xml:space="preserve"> 2021. In accordance with paragraph 34 of the annex to decision I/7, the draft report was then forwarded on </w:t>
      </w:r>
      <w:r w:rsidR="00667B14">
        <w:t>that date</w:t>
      </w:r>
      <w:r w:rsidRPr="0053023E">
        <w:t xml:space="preserve"> to the Party concerned and communicant with an invitation to provide comments by </w:t>
      </w:r>
      <w:r w:rsidR="0053023E">
        <w:t>19</w:t>
      </w:r>
      <w:r w:rsidRPr="0053023E">
        <w:t xml:space="preserve"> July 2021.</w:t>
      </w:r>
    </w:p>
    <w:p w14:paraId="5117113C" w14:textId="2FC180A5" w:rsidR="007576B2" w:rsidRPr="00B66B11" w:rsidRDefault="007576B2" w:rsidP="0053023E">
      <w:pPr>
        <w:pStyle w:val="NumberedParas"/>
        <w:tabs>
          <w:tab w:val="num" w:pos="851"/>
        </w:tabs>
        <w:ind w:left="851" w:right="1134" w:firstLine="0"/>
        <w:rPr>
          <w:i/>
          <w:iCs/>
        </w:rPr>
      </w:pPr>
      <w:r w:rsidRPr="00B66B11">
        <w:rPr>
          <w:i/>
          <w:iCs/>
        </w:rPr>
        <w:t xml:space="preserve">At its seventy-first meeting (Geneva online, 7-9 July 2021), the Committee reviewed the implementation of </w:t>
      </w:r>
      <w:r w:rsidR="00B66B11" w:rsidRPr="00B66B11">
        <w:rPr>
          <w:i/>
          <w:iCs/>
        </w:rPr>
        <w:t>its findings and recommendations on communication ACCC/C/2016/141 </w:t>
      </w:r>
      <w:r w:rsidRPr="00B66B11">
        <w:rPr>
          <w:i/>
          <w:iCs/>
        </w:rPr>
        <w:t>in open session with the participation via virtual means of XX.</w:t>
      </w:r>
    </w:p>
    <w:p w14:paraId="7CFD0023" w14:textId="617BE617" w:rsidR="007576B2" w:rsidRPr="00B66B11" w:rsidRDefault="007576B2" w:rsidP="0053023E">
      <w:pPr>
        <w:pStyle w:val="NumberedParas"/>
        <w:tabs>
          <w:tab w:val="num" w:pos="851"/>
        </w:tabs>
        <w:ind w:left="851" w:right="1134" w:firstLine="0"/>
        <w:rPr>
          <w:i/>
          <w:iCs/>
        </w:rPr>
      </w:pPr>
      <w:r w:rsidRPr="00B66B11">
        <w:rPr>
          <w:i/>
          <w:iCs/>
        </w:rPr>
        <w:t>Comments on the Committee’s draft report was received from XX</w:t>
      </w:r>
      <w:r w:rsidR="00B66B11" w:rsidRPr="00B66B11">
        <w:rPr>
          <w:i/>
          <w:iCs/>
        </w:rPr>
        <w:t>.</w:t>
      </w:r>
    </w:p>
    <w:p w14:paraId="10FB3AA6" w14:textId="329F07F8" w:rsidR="007576B2" w:rsidRPr="00B66B11" w:rsidRDefault="007576B2" w:rsidP="0053023E">
      <w:pPr>
        <w:pStyle w:val="NumberedParas"/>
        <w:tabs>
          <w:tab w:val="num" w:pos="851"/>
        </w:tabs>
        <w:ind w:left="851" w:right="1134" w:firstLine="0"/>
        <w:rPr>
          <w:i/>
          <w:iCs/>
        </w:rPr>
      </w:pPr>
      <w:r w:rsidRPr="00B66B11">
        <w:rPr>
          <w:i/>
          <w:iCs/>
        </w:rPr>
        <w:t>After taking into account the information received, the Committee finalized and adopted its report to the seventh session of the Meeting of the Parties on the implementation of the findings and recommendations on communication ACCC/C/2016/141 through its electronic decision-making procedure on xx July 2021 and thereafter requested the secretariat to send it to the Party concerned and the communicant.</w:t>
      </w:r>
    </w:p>
    <w:p w14:paraId="69037E45" w14:textId="59F70F49" w:rsidR="00732ACE" w:rsidRPr="00173573" w:rsidRDefault="00C8627B" w:rsidP="0053023E">
      <w:pPr>
        <w:pStyle w:val="Heading1"/>
        <w:ind w:left="851" w:right="1134" w:firstLine="0"/>
      </w:pPr>
      <w:r>
        <w:t xml:space="preserve">  </w:t>
      </w:r>
      <w:r w:rsidR="00FC294E" w:rsidRPr="00173573">
        <w:t>Consideration and evaluation by the Committee</w:t>
      </w:r>
    </w:p>
    <w:p w14:paraId="4E689810" w14:textId="332814EB" w:rsidR="001F78C5" w:rsidRDefault="004216FB" w:rsidP="0053023E">
      <w:pPr>
        <w:pStyle w:val="NumberedParas"/>
        <w:ind w:left="851" w:right="1134" w:firstLine="0"/>
      </w:pPr>
      <w:r w:rsidRPr="00173573">
        <w:t xml:space="preserve">In order to fulfil paragraph </w:t>
      </w:r>
      <w:r w:rsidR="007F65D3">
        <w:t>134</w:t>
      </w:r>
      <w:r w:rsidRPr="00173573">
        <w:t xml:space="preserve"> of the Committee’s findings </w:t>
      </w:r>
      <w:r w:rsidR="004E7D63" w:rsidRPr="00173573">
        <w:t xml:space="preserve">and recommendations </w:t>
      </w:r>
      <w:r w:rsidRPr="00173573">
        <w:t xml:space="preserve">on communication </w:t>
      </w:r>
      <w:r w:rsidR="007F65D3" w:rsidRPr="007F65D3">
        <w:t>ACCC/C/2016/14</w:t>
      </w:r>
      <w:r w:rsidR="007F65D3">
        <w:t>1</w:t>
      </w:r>
      <w:r w:rsidRPr="00173573">
        <w:t xml:space="preserve">, the Party concerned would need to </w:t>
      </w:r>
      <w:r w:rsidR="004E7D63" w:rsidRPr="00173573">
        <w:t>demonstrate to the Committee that</w:t>
      </w:r>
      <w:r w:rsidR="007F65D3">
        <w:t xml:space="preserve"> it has taken the necessary legislative or regulatory measures to ensure that</w:t>
      </w:r>
      <w:r w:rsidR="00D5459C">
        <w:t>:</w:t>
      </w:r>
      <w:r w:rsidRPr="00173573">
        <w:t xml:space="preserve"> </w:t>
      </w:r>
    </w:p>
    <w:p w14:paraId="7A6F9C78" w14:textId="2698B3C6" w:rsidR="007F65D3" w:rsidRDefault="007B2521" w:rsidP="0053023E">
      <w:pPr>
        <w:pStyle w:val="NumberedParas"/>
        <w:numPr>
          <w:ilvl w:val="0"/>
          <w:numId w:val="0"/>
        </w:numPr>
        <w:ind w:left="851" w:right="1134"/>
      </w:pPr>
      <w:r>
        <w:tab/>
      </w:r>
      <w:r w:rsidR="007F65D3">
        <w:t>(a) Appeals under the</w:t>
      </w:r>
      <w:r>
        <w:t xml:space="preserve"> European Communities (Access to Information on the Environment) Regulations (</w:t>
      </w:r>
      <w:r w:rsidR="007F65D3">
        <w:t>AIE Regulations</w:t>
      </w:r>
      <w:r>
        <w:t>)</w:t>
      </w:r>
      <w:r w:rsidR="007F65D3">
        <w:t xml:space="preserve"> to the</w:t>
      </w:r>
      <w:r>
        <w:t xml:space="preserve"> Office of the Commissioner for Environmental Information</w:t>
      </w:r>
      <w:r w:rsidR="007F65D3">
        <w:t xml:space="preserve"> </w:t>
      </w:r>
      <w:r>
        <w:t>(</w:t>
      </w:r>
      <w:r w:rsidR="007F65D3">
        <w:t>OCEI</w:t>
      </w:r>
      <w:r>
        <w:t>)</w:t>
      </w:r>
      <w:r w:rsidR="007F65D3">
        <w:t xml:space="preserve"> or the courts, whether commenced by the applicant or any other person, are required to be decided in a timely manner, for instance by setting a specified deadline;</w:t>
      </w:r>
    </w:p>
    <w:p w14:paraId="1E6BF203" w14:textId="09F1D172" w:rsidR="007B2521" w:rsidRDefault="007B2521" w:rsidP="0053023E">
      <w:pPr>
        <w:pStyle w:val="NumberedParas"/>
        <w:numPr>
          <w:ilvl w:val="0"/>
          <w:numId w:val="0"/>
        </w:numPr>
        <w:ind w:left="851" w:right="1134"/>
      </w:pPr>
      <w:r>
        <w:tab/>
      </w:r>
      <w:r w:rsidR="007F65D3">
        <w:t>(b) There are mandatory directions in place to ensure that, should a court rule that a public authority or an information request falls within the scope of the AIE Regulations, the underlying information request is thereafter resolved in an adequate and effective manner.</w:t>
      </w:r>
      <w:r>
        <w:t xml:space="preserve"> </w:t>
      </w:r>
    </w:p>
    <w:p w14:paraId="248CB60F" w14:textId="77777777" w:rsidR="004453FF" w:rsidRDefault="004453FF" w:rsidP="0053023E">
      <w:pPr>
        <w:pStyle w:val="NumberedParas"/>
        <w:numPr>
          <w:ilvl w:val="0"/>
          <w:numId w:val="0"/>
        </w:numPr>
        <w:spacing w:after="0"/>
        <w:ind w:left="851" w:right="1134"/>
        <w:jc w:val="numTab"/>
        <w:rPr>
          <w:b/>
        </w:rPr>
      </w:pPr>
    </w:p>
    <w:p w14:paraId="2553A395" w14:textId="20F2FAD0" w:rsidR="004453FF" w:rsidRPr="007B2521" w:rsidRDefault="004453FF" w:rsidP="0053023E">
      <w:pPr>
        <w:pStyle w:val="NumberedParas"/>
        <w:numPr>
          <w:ilvl w:val="0"/>
          <w:numId w:val="0"/>
        </w:numPr>
        <w:ind w:left="851" w:right="1134"/>
        <w:rPr>
          <w:b/>
        </w:rPr>
      </w:pPr>
      <w:r>
        <w:rPr>
          <w:b/>
        </w:rPr>
        <w:t xml:space="preserve">Scope of review </w:t>
      </w:r>
    </w:p>
    <w:p w14:paraId="6AEEC440" w14:textId="1C6DBD24" w:rsidR="004453FF" w:rsidRPr="00E01858" w:rsidRDefault="00336D50" w:rsidP="0053023E">
      <w:pPr>
        <w:pStyle w:val="NumberedParas"/>
        <w:ind w:left="851" w:right="1134" w:firstLine="0"/>
      </w:pPr>
      <w:r>
        <w:t xml:space="preserve">The communicant </w:t>
      </w:r>
      <w:r w:rsidRPr="00173573">
        <w:t xml:space="preserve">of communication </w:t>
      </w:r>
      <w:r w:rsidRPr="007F65D3">
        <w:t>ACCC/C/2016/14</w:t>
      </w:r>
      <w:r>
        <w:t xml:space="preserve">1 expresses its disappointment that, following the adoption of the Committee’s findings on communication </w:t>
      </w:r>
      <w:r w:rsidRPr="007F65D3">
        <w:t>ACCC/C/2016/14</w:t>
      </w:r>
      <w:r>
        <w:t xml:space="preserve">1, the Irish authorities did not engage with it in an exchange of views to bring </w:t>
      </w:r>
      <w:r w:rsidR="00E73B39">
        <w:lastRenderedPageBreak/>
        <w:t xml:space="preserve">the Party concerned </w:t>
      </w:r>
      <w:r>
        <w:t>into compliance with the Convention as quickly as possible.</w:t>
      </w:r>
      <w:bookmarkStart w:id="0" w:name="_Hlk75256017"/>
      <w:r>
        <w:rPr>
          <w:rStyle w:val="FootnoteReference"/>
        </w:rPr>
        <w:footnoteReference w:id="3"/>
      </w:r>
      <w:r>
        <w:t xml:space="preserve"> I</w:t>
      </w:r>
      <w:r>
        <w:rPr>
          <w:szCs w:val="20"/>
        </w:rPr>
        <w:t>t</w:t>
      </w:r>
      <w:r w:rsidR="004453FF">
        <w:t xml:space="preserve"> </w:t>
      </w:r>
      <w:bookmarkEnd w:id="0"/>
      <w:r>
        <w:t xml:space="preserve">expresses </w:t>
      </w:r>
      <w:r w:rsidR="004453FF">
        <w:rPr>
          <w:szCs w:val="20"/>
        </w:rPr>
        <w:t xml:space="preserve">its dissatisfaction with the consultation </w:t>
      </w:r>
      <w:r>
        <w:rPr>
          <w:szCs w:val="20"/>
        </w:rPr>
        <w:t xml:space="preserve">process </w:t>
      </w:r>
      <w:r w:rsidR="00E73B39">
        <w:rPr>
          <w:szCs w:val="20"/>
        </w:rPr>
        <w:t>carried out</w:t>
      </w:r>
      <w:r w:rsidR="004453FF">
        <w:rPr>
          <w:szCs w:val="20"/>
        </w:rPr>
        <w:t xml:space="preserve"> by the Party concerned on the planned amendments to the AIE Regulations. It considers that the published consultation document </w:t>
      </w:r>
      <w:r>
        <w:rPr>
          <w:szCs w:val="20"/>
        </w:rPr>
        <w:t>contained</w:t>
      </w:r>
      <w:r w:rsidR="004453FF">
        <w:rPr>
          <w:szCs w:val="20"/>
        </w:rPr>
        <w:t xml:space="preserve"> insufficient background information on the AIE Regulations and did not reference the Committee’s findings. It </w:t>
      </w:r>
      <w:r>
        <w:rPr>
          <w:szCs w:val="20"/>
        </w:rPr>
        <w:t xml:space="preserve">also </w:t>
      </w:r>
      <w:r w:rsidR="004453FF">
        <w:rPr>
          <w:szCs w:val="20"/>
        </w:rPr>
        <w:t>claims that no proper access to the current legislation was provided, that the timeframes for access to the consultation documents were insufficient and that consultation responses, six weeks after the consultation had closed, had not yet been published.</w:t>
      </w:r>
      <w:r w:rsidR="004453FF">
        <w:rPr>
          <w:rStyle w:val="FootnoteReference"/>
          <w:szCs w:val="20"/>
        </w:rPr>
        <w:footnoteReference w:id="4"/>
      </w:r>
    </w:p>
    <w:p w14:paraId="64EBB5B9" w14:textId="1F64B46C" w:rsidR="004453FF" w:rsidRDefault="004453FF" w:rsidP="0053023E">
      <w:pPr>
        <w:pStyle w:val="NumberedParas"/>
        <w:ind w:left="851" w:right="1134" w:firstLine="0"/>
      </w:pPr>
      <w:r>
        <w:t>The communicant moreover expresses its concern about the fact that the AIE Regulations are intended to be reformed using secondary legislation, which it claims is adopted by the executive without detailed parliamentary scrutiny and debate.</w:t>
      </w:r>
      <w:r>
        <w:rPr>
          <w:rStyle w:val="FootnoteReference"/>
        </w:rPr>
        <w:footnoteReference w:id="5"/>
      </w:r>
    </w:p>
    <w:p w14:paraId="3472AC91" w14:textId="0F2E1483" w:rsidR="004453FF" w:rsidRPr="00805EEC" w:rsidRDefault="006B5657" w:rsidP="0053023E">
      <w:pPr>
        <w:pStyle w:val="NumberedParas"/>
        <w:ind w:left="851" w:right="1134" w:firstLine="0"/>
      </w:pPr>
      <w:r>
        <w:t xml:space="preserve">While taking note of the communicant’s concern regarding the consultation procedure to amend the AIE Regulations, the Committee cannot see how those concerns themselves fall </w:t>
      </w:r>
      <w:r w:rsidR="004453FF" w:rsidRPr="00805EEC">
        <w:t xml:space="preserve">within the scope of the Committee’s recommendations in paragraph </w:t>
      </w:r>
      <w:r w:rsidR="004453FF">
        <w:t>13</w:t>
      </w:r>
      <w:r w:rsidR="00336D50">
        <w:t>4</w:t>
      </w:r>
      <w:r w:rsidR="004453FF" w:rsidRPr="00805EEC">
        <w:t xml:space="preserve"> of </w:t>
      </w:r>
      <w:r>
        <w:t>the</w:t>
      </w:r>
      <w:r w:rsidR="004453FF" w:rsidRPr="00805EEC">
        <w:t xml:space="preserve"> findings on communication </w:t>
      </w:r>
      <w:r w:rsidR="00336D50" w:rsidRPr="007F65D3">
        <w:t>ACCC/C/2016/14</w:t>
      </w:r>
      <w:r w:rsidR="00336D50">
        <w:t>1</w:t>
      </w:r>
      <w:r w:rsidR="004453FF" w:rsidRPr="00805EEC">
        <w:t xml:space="preserve">. </w:t>
      </w:r>
      <w:r>
        <w:t>While not</w:t>
      </w:r>
      <w:r w:rsidR="004453FF" w:rsidRPr="00805EEC">
        <w:t xml:space="preserve"> preclud</w:t>
      </w:r>
      <w:r>
        <w:t>ing</w:t>
      </w:r>
      <w:r w:rsidR="004453FF" w:rsidRPr="00805EEC">
        <w:t xml:space="preserve"> the possibility of examining any allegations falling within the scope of the Convention if put before it in a future </w:t>
      </w:r>
      <w:r>
        <w:t xml:space="preserve">communication, the Committee will not examine these matters in the context of its follow-up on its findings on communication </w:t>
      </w:r>
      <w:r w:rsidRPr="007F65D3">
        <w:t>ACCC/C/2016/14</w:t>
      </w:r>
      <w:r>
        <w:t>1</w:t>
      </w:r>
      <w:r w:rsidR="004453FF" w:rsidRPr="00805EEC">
        <w:t>.</w:t>
      </w:r>
    </w:p>
    <w:p w14:paraId="756A6188" w14:textId="51C967A1" w:rsidR="004453FF" w:rsidRDefault="004453FF" w:rsidP="0053023E">
      <w:pPr>
        <w:pStyle w:val="NumberedParas"/>
        <w:numPr>
          <w:ilvl w:val="0"/>
          <w:numId w:val="0"/>
        </w:numPr>
        <w:ind w:left="851" w:right="1134"/>
      </w:pPr>
    </w:p>
    <w:p w14:paraId="55202F86" w14:textId="0A00D5EE" w:rsidR="004453FF" w:rsidRPr="00336D50" w:rsidRDefault="00336D50" w:rsidP="0053023E">
      <w:pPr>
        <w:pStyle w:val="NumberedParas"/>
        <w:numPr>
          <w:ilvl w:val="0"/>
          <w:numId w:val="0"/>
        </w:numPr>
        <w:ind w:left="851" w:right="1134"/>
        <w:jc w:val="both"/>
        <w:rPr>
          <w:b/>
          <w:bCs/>
        </w:rPr>
      </w:pPr>
      <w:r>
        <w:rPr>
          <w:b/>
          <w:bCs/>
        </w:rPr>
        <w:t>Paragraph 134 of the Committee’s findings and recommendation</w:t>
      </w:r>
      <w:r w:rsidR="007D4E82">
        <w:rPr>
          <w:b/>
          <w:bCs/>
        </w:rPr>
        <w:t>s</w:t>
      </w:r>
      <w:r>
        <w:rPr>
          <w:b/>
          <w:bCs/>
        </w:rPr>
        <w:t xml:space="preserve"> on communication </w:t>
      </w:r>
      <w:r w:rsidRPr="00336D50">
        <w:rPr>
          <w:b/>
          <w:bCs/>
        </w:rPr>
        <w:t>ACCC/C/2016/141</w:t>
      </w:r>
    </w:p>
    <w:p w14:paraId="7BDF1C02" w14:textId="75D5AECB" w:rsidR="00CC16FA" w:rsidRDefault="007B2521" w:rsidP="0053023E">
      <w:pPr>
        <w:pStyle w:val="NumberedParas"/>
        <w:ind w:left="851" w:right="1134" w:firstLine="0"/>
      </w:pPr>
      <w:r>
        <w:t xml:space="preserve">The Party concerned reports that a decision </w:t>
      </w:r>
      <w:r w:rsidR="000701D8">
        <w:t>was</w:t>
      </w:r>
      <w:r>
        <w:t xml:space="preserve"> taken to review and consolidate the current version of the AIE Regulations, and that this review commenced with a public consultation in March and April 2021. It submits that the Department of Environment, Communications and Climate Action is currently reviewing the submissions from the public and preparing amending legislation</w:t>
      </w:r>
      <w:r w:rsidR="00CC16FA">
        <w:t xml:space="preserve">. The Party concerned states that it is proposed that this amending legislation should also respond to the Committee’s findings and recommendations on communication </w:t>
      </w:r>
      <w:r w:rsidR="00CC16FA" w:rsidRPr="00CC16FA">
        <w:t>ACCC/C/2016/141</w:t>
      </w:r>
      <w:r w:rsidR="00CC16FA">
        <w:t>.</w:t>
      </w:r>
      <w:r w:rsidR="00CC16FA">
        <w:rPr>
          <w:rStyle w:val="FootnoteReference"/>
        </w:rPr>
        <w:footnoteReference w:id="6"/>
      </w:r>
      <w:r w:rsidR="005251D1">
        <w:t xml:space="preserve"> In particular, it submits that the amendment </w:t>
      </w:r>
      <w:r w:rsidR="00D4042D">
        <w:t>is</w:t>
      </w:r>
      <w:r w:rsidR="005251D1">
        <w:t xml:space="preserve"> meant “</w:t>
      </w:r>
      <w:r w:rsidR="005251D1" w:rsidRPr="005251D1">
        <w:t>to introduce a requirement which will bring Ireland into conformity with the draft findings in respect of decisions of the OCEI and to introduce a requirement that Courts hearing an appeal brought pursuant to Article 13 of the AIE Regulations act ‘as expeditiously as possible’</w:t>
      </w:r>
      <w:r w:rsidR="005251D1">
        <w:t>”.</w:t>
      </w:r>
      <w:r w:rsidR="005251D1">
        <w:rPr>
          <w:rStyle w:val="FootnoteReference"/>
        </w:rPr>
        <w:footnoteReference w:id="7"/>
      </w:r>
    </w:p>
    <w:p w14:paraId="624E47E8" w14:textId="5B82A2A8" w:rsidR="007B2521" w:rsidRDefault="00CC16FA" w:rsidP="0053023E">
      <w:pPr>
        <w:pStyle w:val="NumberedParas"/>
        <w:ind w:left="851" w:right="1134" w:firstLine="0"/>
      </w:pPr>
      <w:r>
        <w:t>The Party concerned provides that it is not currently possible to give an accurate indication as to when the amending regulations would be adopted but that a draft would be prepared as soon as possible. It welcomes the Committee’s offer to consider the draft text and announces that it would revert to the Committee once the amending regulations are at a more advanced stage.</w:t>
      </w:r>
      <w:r>
        <w:rPr>
          <w:rStyle w:val="FootnoteReference"/>
        </w:rPr>
        <w:footnoteReference w:id="8"/>
      </w:r>
    </w:p>
    <w:p w14:paraId="70016CE8" w14:textId="151CBA55" w:rsidR="005251D1" w:rsidRDefault="005251D1" w:rsidP="0053023E">
      <w:pPr>
        <w:pStyle w:val="NumberedParas"/>
        <w:ind w:left="851" w:right="1134" w:firstLine="0"/>
      </w:pPr>
      <w:r>
        <w:t xml:space="preserve">The communicant </w:t>
      </w:r>
      <w:r w:rsidR="00336D50" w:rsidRPr="00173573">
        <w:t xml:space="preserve">of communication </w:t>
      </w:r>
      <w:r w:rsidR="00336D50" w:rsidRPr="007F65D3">
        <w:t>ACCC/C/2016/14</w:t>
      </w:r>
      <w:r w:rsidR="00336D50">
        <w:t xml:space="preserve">1 </w:t>
      </w:r>
      <w:r>
        <w:t>submits that it appears that the legislative review carried out by the Party concerned is aimed only at the OCEI. It states that this is a missed opportunity, since the most effective way of achieving timely access to information would be to ensure that public authorities fulfil their obligations in relation to “active and re-active” access to environmental information to the greatest possible extent, and thus to avoid administrative and judicial review entirely.</w:t>
      </w:r>
      <w:r w:rsidR="00336D50">
        <w:rPr>
          <w:rStyle w:val="FootnoteReference"/>
        </w:rPr>
        <w:footnoteReference w:id="9"/>
      </w:r>
    </w:p>
    <w:p w14:paraId="6FC14F06" w14:textId="219F8D58" w:rsidR="005251D1" w:rsidRPr="00E37B3B" w:rsidRDefault="00E37B3B" w:rsidP="0053023E">
      <w:pPr>
        <w:pStyle w:val="NumberedParas"/>
        <w:ind w:left="851" w:right="1134" w:firstLine="0"/>
      </w:pPr>
      <w:r>
        <w:t xml:space="preserve">The communicant further contends that it appears that </w:t>
      </w:r>
      <w:r w:rsidR="000701D8">
        <w:t>the Party concerned</w:t>
      </w:r>
      <w:r>
        <w:t xml:space="preserve"> </w:t>
      </w:r>
      <w:r w:rsidR="000701D8">
        <w:t>is</w:t>
      </w:r>
      <w:r>
        <w:t xml:space="preserve"> only planning to introduce a requirement that courts act as expeditiously as possible, which would fall short of ensuring timely dispute resolution and timely access to information since a key aspect of timeliness is a</w:t>
      </w:r>
      <w:r w:rsidRPr="00E37B3B">
        <w:rPr>
          <w:szCs w:val="20"/>
        </w:rPr>
        <w:t xml:space="preserve"> </w:t>
      </w:r>
      <w:r>
        <w:rPr>
          <w:szCs w:val="20"/>
        </w:rPr>
        <w:t>requirement to take into account the time frame specified by the requestor.</w:t>
      </w:r>
      <w:r w:rsidR="00336D50">
        <w:rPr>
          <w:szCs w:val="20"/>
        </w:rPr>
        <w:t xml:space="preserve"> In </w:t>
      </w:r>
      <w:r w:rsidR="00336D50">
        <w:rPr>
          <w:szCs w:val="20"/>
        </w:rPr>
        <w:lastRenderedPageBreak/>
        <w:t xml:space="preserve">addition, it considers that the Party concerned fails to address the second part of the Committee’s findings in relation to directions </w:t>
      </w:r>
      <w:r w:rsidR="000C2486">
        <w:rPr>
          <w:szCs w:val="20"/>
        </w:rPr>
        <w:t>following a</w:t>
      </w:r>
      <w:r w:rsidR="00336D50">
        <w:rPr>
          <w:szCs w:val="20"/>
        </w:rPr>
        <w:t xml:space="preserve"> determination that a request falls within the scope of the AIE Regulations</w:t>
      </w:r>
      <w:r w:rsidR="000C2486">
        <w:rPr>
          <w:szCs w:val="20"/>
        </w:rPr>
        <w:t>.</w:t>
      </w:r>
      <w:r w:rsidR="00336D50">
        <w:rPr>
          <w:rStyle w:val="FootnoteReference"/>
          <w:szCs w:val="20"/>
        </w:rPr>
        <w:footnoteReference w:id="10"/>
      </w:r>
      <w:r w:rsidR="000C2486">
        <w:rPr>
          <w:szCs w:val="20"/>
        </w:rPr>
        <w:t xml:space="preserve"> </w:t>
      </w:r>
    </w:p>
    <w:p w14:paraId="5E936830" w14:textId="09201597" w:rsidR="00E37B3B" w:rsidRPr="00E01858" w:rsidRDefault="00E37B3B" w:rsidP="0053023E">
      <w:pPr>
        <w:pStyle w:val="NumberedParas"/>
        <w:ind w:left="851" w:right="1134" w:firstLine="0"/>
      </w:pPr>
      <w:r>
        <w:rPr>
          <w:szCs w:val="20"/>
        </w:rPr>
        <w:t>The communicant expresses its concern that the Party</w:t>
      </w:r>
      <w:r w:rsidR="00D937E9">
        <w:rPr>
          <w:szCs w:val="20"/>
        </w:rPr>
        <w:t xml:space="preserve"> concerned</w:t>
      </w:r>
      <w:r>
        <w:rPr>
          <w:szCs w:val="20"/>
        </w:rPr>
        <w:t>’s response in relation to judicial remedies (a) has already been decided without waiting for the results of the consultation; and (b) is inadequate. It considers that for the Party to be compliant in relation to judicial remedies, court procedure also needs to be reformed.</w:t>
      </w:r>
      <w:r w:rsidR="000C2486">
        <w:rPr>
          <w:rStyle w:val="FootnoteReference"/>
          <w:szCs w:val="20"/>
        </w:rPr>
        <w:footnoteReference w:id="11"/>
      </w:r>
    </w:p>
    <w:p w14:paraId="6FD64D59" w14:textId="628A7BEB" w:rsidR="00E01858" w:rsidRPr="00336D50" w:rsidRDefault="00E01858" w:rsidP="0053023E">
      <w:pPr>
        <w:pStyle w:val="NumberedParas"/>
        <w:ind w:left="851" w:right="1134" w:firstLine="0"/>
      </w:pPr>
      <w:r>
        <w:rPr>
          <w:szCs w:val="20"/>
        </w:rPr>
        <w:t xml:space="preserve">Lastly, the communicant expresses its disappointment that the Party concerned has not provided a timeframe for legislative reform, which </w:t>
      </w:r>
      <w:r w:rsidR="004453FF">
        <w:rPr>
          <w:szCs w:val="20"/>
        </w:rPr>
        <w:t>it submits is “unacceptable” given that the Committee’s findings were concerned with timely remedies.</w:t>
      </w:r>
      <w:r w:rsidR="000C2486">
        <w:rPr>
          <w:rStyle w:val="FootnoteReference"/>
          <w:szCs w:val="20"/>
        </w:rPr>
        <w:footnoteReference w:id="12"/>
      </w:r>
    </w:p>
    <w:p w14:paraId="144209EE" w14:textId="13C89B69" w:rsidR="00336D50" w:rsidRDefault="000C2486" w:rsidP="0053023E">
      <w:pPr>
        <w:pStyle w:val="NumberedParas"/>
        <w:ind w:left="851" w:right="1134" w:firstLine="0"/>
      </w:pPr>
      <w:r>
        <w:t>The Committee welcomes the Party’s</w:t>
      </w:r>
      <w:r w:rsidR="00D4042D">
        <w:t xml:space="preserve"> swift steps for legislative reform. It also welcomes the Party’s</w:t>
      </w:r>
      <w:r>
        <w:t xml:space="preserve"> willingness to engage with the Committee and to provide a draft text of its planned amendments once this </w:t>
      </w:r>
      <w:r w:rsidR="00D4042D">
        <w:t>is</w:t>
      </w:r>
      <w:r>
        <w:t xml:space="preserve"> available. It encourages the Party concerned to provide such a draft at an early stage, to ensure that the final amendment will fully meet the requirements of paragraph </w:t>
      </w:r>
      <w:r w:rsidRPr="000C2486">
        <w:t>134 of the Committee’s recommendation on communication ACCC/C/2016/141</w:t>
      </w:r>
      <w:r>
        <w:t xml:space="preserve">. The Committee also encourages the Party concerned to provide the Committee, as soon as possible, with an indicative timeframe on its process for legislative amendment. </w:t>
      </w:r>
    </w:p>
    <w:p w14:paraId="786690C3" w14:textId="3B1CB3D9" w:rsidR="006F7E33" w:rsidRDefault="000C2486" w:rsidP="0053023E">
      <w:pPr>
        <w:pStyle w:val="NumberedParas"/>
        <w:ind w:left="851" w:right="1134" w:firstLine="0"/>
      </w:pPr>
      <w:r>
        <w:t xml:space="preserve">Not having been </w:t>
      </w:r>
      <w:r w:rsidR="00D4042D">
        <w:t xml:space="preserve">provided the draft text of any amendments yet, the Committee is not in a position to assess whether the planned legislative amendments will meet the requirements of paragraph </w:t>
      </w:r>
      <w:r w:rsidR="00D4042D" w:rsidRPr="000C2486">
        <w:t>134 of the Committee’s recommendation on communication ACCC/C/2016/141</w:t>
      </w:r>
      <w:r w:rsidR="00D4042D">
        <w:t>.</w:t>
      </w:r>
      <w:r w:rsidR="006F7E33">
        <w:t xml:space="preserve"> However, it stresses that any legislative or regulatory measures taken to meet the requirements of paragraph 134(a) must address appeals to both the OCEI and the courts. To ensure that appeals to the OCEI are decided in a timely manner would be a</w:t>
      </w:r>
      <w:r w:rsidR="007539F5">
        <w:t>n</w:t>
      </w:r>
      <w:r w:rsidR="006F7E33">
        <w:t xml:space="preserve"> </w:t>
      </w:r>
      <w:r w:rsidR="00D937E9">
        <w:t>important</w:t>
      </w:r>
      <w:r w:rsidR="006F7E33">
        <w:t xml:space="preserve"> first step but would not be in itself enough to fulfil the requirements of paragraph 134(a). </w:t>
      </w:r>
      <w:r w:rsidR="00D937E9">
        <w:t>The</w:t>
      </w:r>
      <w:r w:rsidR="006F7E33">
        <w:t xml:space="preserve"> Committee is </w:t>
      </w:r>
      <w:r w:rsidR="00D937E9">
        <w:t xml:space="preserve">also </w:t>
      </w:r>
      <w:r w:rsidR="006F7E33">
        <w:t>concerned that a requirement that appeals are decided “</w:t>
      </w:r>
      <w:r w:rsidR="006F7E33" w:rsidRPr="005251D1">
        <w:t>as expeditiously as possible</w:t>
      </w:r>
      <w:r w:rsidR="006F7E33">
        <w:t>” may not be enough to fulfil the requirement that appeals be decided in a timely manner.</w:t>
      </w:r>
    </w:p>
    <w:p w14:paraId="794C4863" w14:textId="54F1F32F" w:rsidR="000C2486" w:rsidRDefault="006F7E33" w:rsidP="0053023E">
      <w:pPr>
        <w:pStyle w:val="NumberedParas"/>
        <w:ind w:left="851" w:right="1134" w:firstLine="0"/>
      </w:pPr>
      <w:r>
        <w:t xml:space="preserve">In addition, the Committee emphasizes that to </w:t>
      </w:r>
      <w:r w:rsidR="007D4E82">
        <w:t>fulfil</w:t>
      </w:r>
      <w:r>
        <w:t xml:space="preserve"> the requirements of paragraph </w:t>
      </w:r>
      <w:r w:rsidRPr="000C2486">
        <w:t>134</w:t>
      </w:r>
      <w:r>
        <w:t>, the Party concerned will equally need to meet</w:t>
      </w:r>
      <w:r w:rsidR="007D4E82">
        <w:t xml:space="preserve"> the requirements of</w:t>
      </w:r>
      <w:r>
        <w:t xml:space="preserve"> paragraph 134(b)</w:t>
      </w:r>
      <w:r w:rsidR="007D4E82">
        <w:t>, i.e. that there are mandatory directions in place to ensure that, should a court rule that a public authority or an information request falls within the scope of the AIE Regulations, the underlying information request is thereafter resolved in an adequate and effective manner.</w:t>
      </w:r>
    </w:p>
    <w:p w14:paraId="610B452A" w14:textId="5BEDC892" w:rsidR="007D4E82" w:rsidRPr="00E37B3B" w:rsidRDefault="007D4E82" w:rsidP="0053023E">
      <w:pPr>
        <w:pStyle w:val="NumberedParas"/>
        <w:ind w:left="851" w:right="1134" w:firstLine="0"/>
      </w:pPr>
      <w:r>
        <w:t>In light of the foregoing, the Committee</w:t>
      </w:r>
      <w:r w:rsidR="00D937E9">
        <w:t>, while welcoming the swift efforts taken to date in that direction,</w:t>
      </w:r>
      <w:r>
        <w:t xml:space="preserve"> finds that the Party concerned has not yet fulfilled the requirements of paragraph 134 </w:t>
      </w:r>
      <w:r w:rsidRPr="007D4E82">
        <w:t xml:space="preserve">of </w:t>
      </w:r>
      <w:r>
        <w:t>its</w:t>
      </w:r>
      <w:r w:rsidRPr="007D4E82">
        <w:t xml:space="preserve"> findings and recommendation</w:t>
      </w:r>
      <w:r>
        <w:t>s</w:t>
      </w:r>
      <w:r w:rsidRPr="007D4E82">
        <w:t xml:space="preserve"> on communication ACCC/C/2016/141</w:t>
      </w:r>
      <w:r>
        <w:t>.</w:t>
      </w:r>
    </w:p>
    <w:p w14:paraId="43837C51" w14:textId="3E2D872B" w:rsidR="004216FB" w:rsidRPr="00173573" w:rsidRDefault="004216FB" w:rsidP="0053023E">
      <w:pPr>
        <w:pStyle w:val="Heading1"/>
        <w:ind w:left="851" w:right="1134" w:firstLine="0"/>
      </w:pPr>
      <w:r w:rsidRPr="00173573">
        <w:tab/>
        <w:t xml:space="preserve">Conclusions </w:t>
      </w:r>
    </w:p>
    <w:p w14:paraId="70EECD49" w14:textId="4C347F0D" w:rsidR="007D4E82" w:rsidRDefault="007D4E82" w:rsidP="0053023E">
      <w:pPr>
        <w:pStyle w:val="NumberedParas"/>
        <w:ind w:left="851" w:right="1134" w:firstLine="0"/>
      </w:pPr>
      <w:r>
        <w:t xml:space="preserve">The Committee welcomes the constructive engagement of the Party concerned </w:t>
      </w:r>
      <w:r w:rsidRPr="00805EEC">
        <w:t xml:space="preserve">in the Committee’s follow-up on the findings on communication </w:t>
      </w:r>
      <w:r w:rsidRPr="000C2486">
        <w:t>ACCC/C/2016/141</w:t>
      </w:r>
      <w:r w:rsidRPr="00805EEC">
        <w:t>.</w:t>
      </w:r>
    </w:p>
    <w:p w14:paraId="039B07FE" w14:textId="76154FE9" w:rsidR="00F94223" w:rsidRDefault="00D937E9" w:rsidP="0053023E">
      <w:pPr>
        <w:pStyle w:val="NumberedParas"/>
        <w:ind w:left="851" w:right="1134" w:firstLine="0"/>
      </w:pPr>
      <w:r>
        <w:t xml:space="preserve">The Committee, while welcoming the swift efforts taken to date in that direction, finds that the Party concerned has not yet fulfilled the requirements of paragraph 134 </w:t>
      </w:r>
      <w:r w:rsidRPr="007D4E82">
        <w:t xml:space="preserve">of </w:t>
      </w:r>
      <w:r>
        <w:t>its</w:t>
      </w:r>
      <w:r w:rsidRPr="007D4E82">
        <w:t xml:space="preserve"> findings and recommendation</w:t>
      </w:r>
      <w:r>
        <w:t>s</w:t>
      </w:r>
      <w:r w:rsidRPr="007D4E82">
        <w:t xml:space="preserve"> on communication ACCC/C/2016/141</w:t>
      </w:r>
      <w:r w:rsidR="00CD7D90" w:rsidRPr="00173573">
        <w:t xml:space="preserve">. </w:t>
      </w:r>
    </w:p>
    <w:p w14:paraId="6676F347" w14:textId="2AA7875F" w:rsidR="00D937E9" w:rsidRDefault="00ED39E1" w:rsidP="0053023E">
      <w:pPr>
        <w:pStyle w:val="NumberedParas"/>
        <w:ind w:left="851" w:right="1134" w:firstLine="0"/>
      </w:pPr>
      <w:r w:rsidRPr="0042638A">
        <w:t>The Committee</w:t>
      </w:r>
      <w:r w:rsidR="001B1D22">
        <w:t xml:space="preserve"> therefore</w:t>
      </w:r>
      <w:r w:rsidRPr="0042638A">
        <w:t xml:space="preserve"> recommends to the Meeting of the Parties that </w:t>
      </w:r>
      <w:r w:rsidR="001B1D22">
        <w:t xml:space="preserve">it </w:t>
      </w:r>
      <w:r w:rsidR="00D937E9">
        <w:t xml:space="preserve">endorse the Committee’s findings and recommendations </w:t>
      </w:r>
      <w:r w:rsidR="00026CA1">
        <w:t xml:space="preserve">on </w:t>
      </w:r>
      <w:r w:rsidR="00D937E9" w:rsidRPr="007D4E82">
        <w:t>communication ACCC/C/2016/141</w:t>
      </w:r>
      <w:r w:rsidR="00D937E9">
        <w:t xml:space="preserve"> and recommend</w:t>
      </w:r>
      <w:r w:rsidRPr="0042638A">
        <w:t xml:space="preserve"> </w:t>
      </w:r>
      <w:r w:rsidR="00D937E9">
        <w:t xml:space="preserve">that the Party concerned take the necessary legislative or regulatory measures to ensure that: </w:t>
      </w:r>
    </w:p>
    <w:p w14:paraId="0E5DE760" w14:textId="7578460C" w:rsidR="00D937E9" w:rsidRDefault="00D937E9" w:rsidP="0053023E">
      <w:pPr>
        <w:pStyle w:val="NumberedParas"/>
        <w:numPr>
          <w:ilvl w:val="0"/>
          <w:numId w:val="0"/>
        </w:numPr>
        <w:ind w:left="851" w:right="1134"/>
      </w:pPr>
      <w:r>
        <w:lastRenderedPageBreak/>
        <w:tab/>
        <w:t xml:space="preserve">(a) </w:t>
      </w:r>
      <w:r>
        <w:tab/>
        <w:t xml:space="preserve">Appeals under the AIE Regulations to the OCEI or the courts, whether commenced by the applicant or any other person, are required to be decided in a timely manner, for instance by setting a specified deadline; </w:t>
      </w:r>
    </w:p>
    <w:p w14:paraId="2065E910" w14:textId="706EA95A" w:rsidR="00ED39E1" w:rsidRDefault="00D937E9" w:rsidP="0053023E">
      <w:pPr>
        <w:pStyle w:val="NumberedParas"/>
        <w:numPr>
          <w:ilvl w:val="0"/>
          <w:numId w:val="0"/>
        </w:numPr>
        <w:ind w:left="851" w:right="1134"/>
      </w:pPr>
      <w:r>
        <w:tab/>
        <w:t xml:space="preserve">(b) </w:t>
      </w:r>
      <w:r>
        <w:tab/>
        <w:t>There are mandatory directions in place to ensure that, should a court rule that a public authority or an information request falls within the scope of the AIE Regulations, the underlying information request is thereafter resolved in an adequate and effective manner</w:t>
      </w:r>
      <w:r w:rsidR="00ED39E1">
        <w:t xml:space="preserve">. </w:t>
      </w:r>
    </w:p>
    <w:p w14:paraId="430508F2" w14:textId="77777777" w:rsidR="00ED39E1" w:rsidRPr="001A658F" w:rsidRDefault="00ED39E1" w:rsidP="0053023E">
      <w:pPr>
        <w:pStyle w:val="NumberedParas"/>
        <w:ind w:left="851" w:right="1134" w:firstLine="0"/>
      </w:pPr>
      <w:r w:rsidRPr="001A658F">
        <w:t>The Committee further recommends to the Meeting of the Parties that</w:t>
      </w:r>
      <w:r>
        <w:t xml:space="preserve"> it request the Party concerned</w:t>
      </w:r>
      <w:r w:rsidRPr="001A658F">
        <w:t>:</w:t>
      </w:r>
    </w:p>
    <w:p w14:paraId="004A0302" w14:textId="6049B644" w:rsidR="00D937E9" w:rsidRDefault="00D937E9" w:rsidP="0053023E">
      <w:pPr>
        <w:pStyle w:val="NumberedParas"/>
        <w:numPr>
          <w:ilvl w:val="1"/>
          <w:numId w:val="18"/>
        </w:numPr>
        <w:ind w:left="1276" w:right="1134" w:firstLine="425"/>
      </w:pPr>
      <w:r>
        <w:t>To</w:t>
      </w:r>
      <w:r w:rsidRPr="007A4394">
        <w:t xml:space="preserve"> </w:t>
      </w:r>
      <w:r>
        <w:t xml:space="preserve">submit a plan of action, including a time schedule, to the Committee by 1 July 2022 regarding the </w:t>
      </w:r>
      <w:r w:rsidRPr="006F2FE0">
        <w:t xml:space="preserve">implementation of the </w:t>
      </w:r>
      <w:r>
        <w:t>above recommendations;</w:t>
      </w:r>
    </w:p>
    <w:p w14:paraId="3262012D" w14:textId="19F6B5DB" w:rsidR="00D937E9" w:rsidRDefault="00D937E9" w:rsidP="0053023E">
      <w:pPr>
        <w:pStyle w:val="NumberedParas"/>
        <w:numPr>
          <w:ilvl w:val="1"/>
          <w:numId w:val="18"/>
        </w:numPr>
        <w:ind w:left="1276" w:right="1134" w:firstLine="425"/>
      </w:pPr>
      <w:r>
        <w:t>To provide detailed progress reports to the Committee by 1 October 2023 and 1 October 2024 on the measures taken and the results achieved in the implementation of the above recommendation</w:t>
      </w:r>
      <w:r w:rsidR="006221A8">
        <w:t>s</w:t>
      </w:r>
      <w:r>
        <w:t>;</w:t>
      </w:r>
    </w:p>
    <w:p w14:paraId="74D3DD95" w14:textId="1091966C" w:rsidR="00D937E9" w:rsidRDefault="00D937E9" w:rsidP="0053023E">
      <w:pPr>
        <w:pStyle w:val="NumberedParas"/>
        <w:numPr>
          <w:ilvl w:val="1"/>
          <w:numId w:val="18"/>
        </w:numPr>
        <w:ind w:left="1276" w:right="1134" w:firstLine="425"/>
      </w:pPr>
      <w:r>
        <w:t>To provide such further information as the Committee may request in order to assist it to review the progress by the Party concerned in implementing the above recommendation</w:t>
      </w:r>
      <w:r w:rsidR="006221A8">
        <w:t>s</w:t>
      </w:r>
      <w:r>
        <w:t xml:space="preserve">; </w:t>
      </w:r>
    </w:p>
    <w:p w14:paraId="7EE89B3B" w14:textId="0EF2B093" w:rsidR="00D937E9" w:rsidRPr="00AB652B" w:rsidRDefault="00D937E9" w:rsidP="0053023E">
      <w:pPr>
        <w:pStyle w:val="NumberedParas"/>
        <w:numPr>
          <w:ilvl w:val="1"/>
          <w:numId w:val="18"/>
        </w:numPr>
        <w:ind w:left="1276" w:right="1134" w:firstLine="425"/>
      </w:pPr>
      <w:r>
        <w:t>To participate (either in person or by virtual means) in the meetings of the Committee at which the progress of the Party concerned in implementing the above recommendation</w:t>
      </w:r>
      <w:r w:rsidR="006221A8">
        <w:t>s</w:t>
      </w:r>
      <w:r>
        <w:t xml:space="preserve"> is to be considered.</w:t>
      </w:r>
    </w:p>
    <w:p w14:paraId="64CDB77C" w14:textId="3C981B3F" w:rsidR="00ED39E1" w:rsidRPr="00173573" w:rsidRDefault="00ED39E1" w:rsidP="0053023E">
      <w:pPr>
        <w:pStyle w:val="SingleTxtG"/>
        <w:ind w:left="851"/>
      </w:pPr>
    </w:p>
    <w:p w14:paraId="25349435" w14:textId="77777777" w:rsidR="004216FB" w:rsidRPr="00193DA5" w:rsidRDefault="004216FB" w:rsidP="0053023E">
      <w:pPr>
        <w:pStyle w:val="SingleTxtG"/>
        <w:tabs>
          <w:tab w:val="left" w:pos="1701"/>
        </w:tabs>
        <w:ind w:left="851"/>
        <w:jc w:val="center"/>
        <w:rPr>
          <w:rFonts w:eastAsia="Calibri"/>
        </w:rPr>
      </w:pPr>
      <w:r w:rsidRPr="00173573">
        <w:rPr>
          <w:rFonts w:eastAsia="Calibri"/>
        </w:rPr>
        <w:t>________________________________</w:t>
      </w:r>
    </w:p>
    <w:p w14:paraId="2A661751" w14:textId="287A6B7C" w:rsidR="00732ACE" w:rsidRDefault="00732ACE" w:rsidP="0053023E">
      <w:pPr>
        <w:pStyle w:val="SingleTxtG"/>
        <w:tabs>
          <w:tab w:val="left" w:pos="1701"/>
        </w:tabs>
        <w:ind w:left="851"/>
      </w:pPr>
    </w:p>
    <w:sectPr w:rsidR="00732ACE" w:rsidSect="001816E7">
      <w:headerReference w:type="default" r:id="rId12"/>
      <w:footerReference w:type="default" r:id="rId13"/>
      <w:pgSz w:w="11906" w:h="16838"/>
      <w:pgMar w:top="1440" w:right="1133" w:bottom="1440" w:left="1134"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65445" w14:textId="77777777" w:rsidR="00BC680D" w:rsidRDefault="00BC680D">
      <w:r>
        <w:separator/>
      </w:r>
    </w:p>
  </w:endnote>
  <w:endnote w:type="continuationSeparator" w:id="0">
    <w:p w14:paraId="7DCE5107" w14:textId="77777777" w:rsidR="00BC680D" w:rsidRDefault="00BC680D">
      <w:r>
        <w:continuationSeparator/>
      </w:r>
    </w:p>
  </w:endnote>
  <w:endnote w:type="continuationNotice" w:id="1">
    <w:p w14:paraId="0A66A247" w14:textId="77777777" w:rsidR="00BC680D" w:rsidRDefault="00BC6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5100"/>
      <w:docPartObj>
        <w:docPartGallery w:val="Page Numbers (Bottom of Page)"/>
        <w:docPartUnique/>
      </w:docPartObj>
    </w:sdtPr>
    <w:sdtEndPr/>
    <w:sdtContent>
      <w:p w14:paraId="309AF4B2" w14:textId="77777777" w:rsidR="007E4E59" w:rsidRDefault="007E4E59">
        <w:pPr>
          <w:pStyle w:val="Footer"/>
          <w:jc w:val="right"/>
        </w:pPr>
        <w:r>
          <w:fldChar w:fldCharType="begin"/>
        </w:r>
        <w:r>
          <w:instrText>PAGE</w:instrText>
        </w:r>
        <w:r>
          <w:fldChar w:fldCharType="separate"/>
        </w:r>
        <w:r>
          <w:rPr>
            <w:noProof/>
          </w:rPr>
          <w:t>3</w:t>
        </w:r>
        <w:r>
          <w:fldChar w:fldCharType="end"/>
        </w:r>
      </w:p>
    </w:sdtContent>
  </w:sdt>
  <w:p w14:paraId="43AA111A" w14:textId="77777777" w:rsidR="007E4E59" w:rsidRDefault="007E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4DCA" w14:textId="77777777" w:rsidR="00BC680D" w:rsidRDefault="00BC680D">
      <w:r>
        <w:separator/>
      </w:r>
    </w:p>
  </w:footnote>
  <w:footnote w:type="continuationSeparator" w:id="0">
    <w:p w14:paraId="777BA9C6" w14:textId="77777777" w:rsidR="00BC680D" w:rsidRDefault="00BC680D">
      <w:r>
        <w:continuationSeparator/>
      </w:r>
    </w:p>
  </w:footnote>
  <w:footnote w:type="continuationNotice" w:id="1">
    <w:p w14:paraId="005C0985" w14:textId="77777777" w:rsidR="00BC680D" w:rsidRDefault="00BC680D"/>
  </w:footnote>
  <w:footnote w:id="2">
    <w:p w14:paraId="0F43A950" w14:textId="77777777" w:rsidR="001816E7" w:rsidRPr="002E1E79" w:rsidRDefault="001816E7" w:rsidP="001816E7">
      <w:pPr>
        <w:pStyle w:val="FootnoteText"/>
        <w:rPr>
          <w:lang w:val="en-US"/>
        </w:rPr>
      </w:pPr>
      <w:r>
        <w:rPr>
          <w:rStyle w:val="FootnoteReference"/>
        </w:rPr>
        <w:tab/>
      </w:r>
      <w:r w:rsidRPr="002E1E79">
        <w:rPr>
          <w:rStyle w:val="FootnoteReference"/>
        </w:rPr>
        <w:t>*</w:t>
      </w:r>
      <w:r>
        <w:rPr>
          <w:rStyle w:val="FootnoteReference"/>
        </w:rPr>
        <w:tab/>
      </w:r>
      <w:r w:rsidRPr="002E1E79">
        <w:t>The present document is being issued without formal editing</w:t>
      </w:r>
      <w:r w:rsidRPr="002E1E79">
        <w:rPr>
          <w:rStyle w:val="FootnoteReference"/>
        </w:rPr>
        <w:t>.</w:t>
      </w:r>
    </w:p>
  </w:footnote>
  <w:footnote w:id="3">
    <w:p w14:paraId="73B2D772" w14:textId="238FFE04" w:rsidR="00336D50" w:rsidRPr="00336D50" w:rsidRDefault="00336D50" w:rsidP="006221A8">
      <w:pPr>
        <w:pStyle w:val="FootnoteText"/>
        <w:spacing w:after="0"/>
        <w:ind w:left="720"/>
        <w:rPr>
          <w:lang w:val="en-US"/>
        </w:rPr>
      </w:pPr>
      <w:r>
        <w:rPr>
          <w:rStyle w:val="FootnoteReference"/>
        </w:rPr>
        <w:footnoteRef/>
      </w:r>
      <w:r>
        <w:t xml:space="preserve"> </w:t>
      </w:r>
      <w:r w:rsidRPr="00336D50">
        <w:rPr>
          <w:sz w:val="18"/>
          <w:szCs w:val="18"/>
          <w:lang w:val="en-US"/>
        </w:rPr>
        <w:t>Communicant’s comments on Party’s update, 27 May 2021, p. 1.</w:t>
      </w:r>
    </w:p>
  </w:footnote>
  <w:footnote w:id="4">
    <w:p w14:paraId="0F633A6A" w14:textId="11CE5A76" w:rsidR="004453FF" w:rsidRPr="004453FF" w:rsidRDefault="004453FF" w:rsidP="004453FF">
      <w:pPr>
        <w:pStyle w:val="FootnoteText"/>
        <w:spacing w:after="0"/>
        <w:ind w:firstLine="720"/>
      </w:pPr>
      <w:r>
        <w:rPr>
          <w:rStyle w:val="FootnoteReference"/>
        </w:rPr>
        <w:footnoteRef/>
      </w:r>
      <w:r>
        <w:t xml:space="preserve"> </w:t>
      </w:r>
      <w:r w:rsidRPr="004453FF">
        <w:rPr>
          <w:sz w:val="18"/>
          <w:szCs w:val="18"/>
        </w:rPr>
        <w:t>Communicant’s comments on Party’s update, 27 May 2021, p. 2.</w:t>
      </w:r>
    </w:p>
  </w:footnote>
  <w:footnote w:id="5">
    <w:p w14:paraId="324B2E95" w14:textId="3D5C7797" w:rsidR="004453FF" w:rsidRPr="004453FF" w:rsidRDefault="004453FF" w:rsidP="004453FF">
      <w:pPr>
        <w:pStyle w:val="FootnoteText"/>
        <w:spacing w:after="0"/>
        <w:ind w:firstLine="720"/>
        <w:rPr>
          <w:sz w:val="18"/>
          <w:szCs w:val="18"/>
        </w:rPr>
      </w:pPr>
      <w:r>
        <w:rPr>
          <w:rStyle w:val="FootnoteReference"/>
        </w:rPr>
        <w:footnoteRef/>
      </w:r>
      <w:r>
        <w:t xml:space="preserve"> </w:t>
      </w:r>
      <w:r w:rsidRPr="004453FF">
        <w:rPr>
          <w:sz w:val="18"/>
          <w:szCs w:val="18"/>
        </w:rPr>
        <w:t xml:space="preserve">Communicant’s comments on Party’s update, 27 May 2021, p. </w:t>
      </w:r>
      <w:r>
        <w:rPr>
          <w:sz w:val="18"/>
          <w:szCs w:val="18"/>
        </w:rPr>
        <w:t>3</w:t>
      </w:r>
      <w:r w:rsidRPr="004453FF">
        <w:rPr>
          <w:sz w:val="18"/>
          <w:szCs w:val="18"/>
        </w:rPr>
        <w:t>.</w:t>
      </w:r>
    </w:p>
  </w:footnote>
  <w:footnote w:id="6">
    <w:p w14:paraId="15B65AA4" w14:textId="55D57668" w:rsidR="00CC16FA" w:rsidRPr="00CC16FA" w:rsidRDefault="00CC16FA" w:rsidP="00CC16FA">
      <w:pPr>
        <w:pStyle w:val="FootnoteText"/>
        <w:spacing w:after="0"/>
        <w:ind w:left="414" w:firstLine="306"/>
        <w:rPr>
          <w:sz w:val="18"/>
          <w:szCs w:val="18"/>
        </w:rPr>
      </w:pPr>
      <w:r>
        <w:rPr>
          <w:rStyle w:val="FootnoteReference"/>
        </w:rPr>
        <w:footnoteRef/>
      </w:r>
      <w:r>
        <w:t xml:space="preserve"> </w:t>
      </w:r>
      <w:r>
        <w:rPr>
          <w:sz w:val="18"/>
          <w:szCs w:val="18"/>
        </w:rPr>
        <w:t>Party concerned’s update, 21 May 2021, p. 2.</w:t>
      </w:r>
    </w:p>
  </w:footnote>
  <w:footnote w:id="7">
    <w:p w14:paraId="489A6C22" w14:textId="359F008E" w:rsidR="005251D1" w:rsidRPr="005251D1" w:rsidRDefault="005251D1" w:rsidP="005251D1">
      <w:pPr>
        <w:pStyle w:val="FootnoteText"/>
        <w:spacing w:after="0"/>
        <w:ind w:left="414" w:firstLine="306"/>
        <w:rPr>
          <w:sz w:val="18"/>
          <w:szCs w:val="18"/>
        </w:rPr>
      </w:pPr>
      <w:r>
        <w:rPr>
          <w:rStyle w:val="FootnoteReference"/>
        </w:rPr>
        <w:footnoteRef/>
      </w:r>
      <w:r>
        <w:t xml:space="preserve"> </w:t>
      </w:r>
      <w:r>
        <w:rPr>
          <w:sz w:val="18"/>
          <w:szCs w:val="18"/>
        </w:rPr>
        <w:t>Party concerned’s update, 21 May 2021, p. 1.</w:t>
      </w:r>
    </w:p>
  </w:footnote>
  <w:footnote w:id="8">
    <w:p w14:paraId="3FE56D92" w14:textId="42F626C2" w:rsidR="00CC16FA" w:rsidRPr="00CC16FA" w:rsidRDefault="00CC16FA" w:rsidP="00CC16FA">
      <w:pPr>
        <w:pStyle w:val="FootnoteText"/>
        <w:spacing w:after="0"/>
        <w:ind w:firstLine="720"/>
      </w:pPr>
      <w:r>
        <w:rPr>
          <w:rStyle w:val="FootnoteReference"/>
        </w:rPr>
        <w:footnoteRef/>
      </w:r>
      <w:r>
        <w:t xml:space="preserve"> </w:t>
      </w:r>
      <w:r>
        <w:rPr>
          <w:sz w:val="18"/>
          <w:szCs w:val="18"/>
        </w:rPr>
        <w:t>Party concerned’s update, 21 May 2021, p. 2.</w:t>
      </w:r>
    </w:p>
  </w:footnote>
  <w:footnote w:id="9">
    <w:p w14:paraId="0A251205" w14:textId="3FB096B2" w:rsidR="00336D50" w:rsidRPr="006221A8" w:rsidRDefault="00336D50" w:rsidP="00336D50">
      <w:pPr>
        <w:pStyle w:val="FootnoteText"/>
        <w:spacing w:after="0"/>
        <w:ind w:firstLine="720"/>
      </w:pPr>
      <w:r>
        <w:rPr>
          <w:rStyle w:val="FootnoteReference"/>
        </w:rPr>
        <w:footnoteRef/>
      </w:r>
      <w:r>
        <w:t xml:space="preserve"> </w:t>
      </w:r>
      <w:r w:rsidRPr="004453FF">
        <w:rPr>
          <w:sz w:val="18"/>
          <w:szCs w:val="18"/>
        </w:rPr>
        <w:t>Communicant’s comments on Party’s update, 27 May 2021, p. 2.</w:t>
      </w:r>
    </w:p>
  </w:footnote>
  <w:footnote w:id="10">
    <w:p w14:paraId="43C8A37A" w14:textId="698E5936" w:rsidR="00336D50" w:rsidRPr="006221A8" w:rsidRDefault="00336D50" w:rsidP="000C2486">
      <w:pPr>
        <w:pStyle w:val="FootnoteText"/>
        <w:spacing w:after="0"/>
        <w:ind w:firstLine="720"/>
      </w:pPr>
      <w:r>
        <w:rPr>
          <w:rStyle w:val="FootnoteReference"/>
        </w:rPr>
        <w:footnoteRef/>
      </w:r>
      <w:r>
        <w:t xml:space="preserve"> </w:t>
      </w:r>
      <w:r w:rsidR="000C2486" w:rsidRPr="004453FF">
        <w:rPr>
          <w:sz w:val="18"/>
          <w:szCs w:val="18"/>
        </w:rPr>
        <w:t xml:space="preserve">Communicant’s comments on Party’s update, 27 May 2021, p. </w:t>
      </w:r>
      <w:r w:rsidR="000C2486">
        <w:rPr>
          <w:sz w:val="18"/>
          <w:szCs w:val="18"/>
        </w:rPr>
        <w:t>2.</w:t>
      </w:r>
    </w:p>
  </w:footnote>
  <w:footnote w:id="11">
    <w:p w14:paraId="709C1E46" w14:textId="678132E5" w:rsidR="000C2486" w:rsidRPr="006221A8" w:rsidRDefault="000C2486" w:rsidP="000C2486">
      <w:pPr>
        <w:pStyle w:val="FootnoteText"/>
        <w:spacing w:after="0"/>
        <w:ind w:firstLine="720"/>
      </w:pPr>
      <w:r>
        <w:rPr>
          <w:rStyle w:val="FootnoteReference"/>
        </w:rPr>
        <w:footnoteRef/>
      </w:r>
      <w:r>
        <w:t xml:space="preserve"> </w:t>
      </w:r>
      <w:r w:rsidRPr="004453FF">
        <w:rPr>
          <w:sz w:val="18"/>
          <w:szCs w:val="18"/>
        </w:rPr>
        <w:t xml:space="preserve">Communicant’s comments on Party’s update, 27 May 2021, p. </w:t>
      </w:r>
      <w:r>
        <w:rPr>
          <w:sz w:val="18"/>
          <w:szCs w:val="18"/>
        </w:rPr>
        <w:t>2.</w:t>
      </w:r>
    </w:p>
  </w:footnote>
  <w:footnote w:id="12">
    <w:p w14:paraId="75C0C274" w14:textId="076B385F" w:rsidR="000C2486" w:rsidRPr="000C2486" w:rsidRDefault="000C2486" w:rsidP="000C2486">
      <w:pPr>
        <w:pStyle w:val="FootnoteText"/>
        <w:spacing w:after="0"/>
        <w:ind w:firstLine="720"/>
        <w:rPr>
          <w:lang w:val="de-DE"/>
        </w:rPr>
      </w:pPr>
      <w:r>
        <w:rPr>
          <w:rStyle w:val="FootnoteReference"/>
        </w:rPr>
        <w:footnoteRef/>
      </w:r>
      <w:r>
        <w:t xml:space="preserve"> </w:t>
      </w:r>
      <w:r w:rsidRPr="004453FF">
        <w:rPr>
          <w:sz w:val="18"/>
          <w:szCs w:val="18"/>
        </w:rPr>
        <w:t xml:space="preserve">Communicant’s comments on Party’s update, 27 May 2021, p. </w:t>
      </w:r>
      <w:r>
        <w:rPr>
          <w:sz w:val="18"/>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6975" w14:textId="77777777" w:rsidR="001816E7" w:rsidRDefault="001816E7">
    <w:pPr>
      <w:pStyle w:val="Header"/>
    </w:pPr>
  </w:p>
  <w:p w14:paraId="65E7D39F" w14:textId="77777777" w:rsidR="001816E7" w:rsidRDefault="001816E7">
    <w:pPr>
      <w:pStyle w:val="Header"/>
    </w:pPr>
  </w:p>
  <w:p w14:paraId="3975E83A" w14:textId="44601AFF" w:rsidR="001816E7" w:rsidRDefault="00181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9BB"/>
    <w:multiLevelType w:val="multilevel"/>
    <w:tmpl w:val="04046220"/>
    <w:lvl w:ilvl="0">
      <w:start w:val="1"/>
      <w:numFmt w:val="upperRoman"/>
      <w:lvlText w:val="%1."/>
      <w:lvlJc w:val="left"/>
      <w:pPr>
        <w:ind w:left="2274" w:hanging="720"/>
      </w:p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1" w15:restartNumberingAfterBreak="0">
    <w:nsid w:val="05D15848"/>
    <w:multiLevelType w:val="hybridMultilevel"/>
    <w:tmpl w:val="2AFC69E8"/>
    <w:lvl w:ilvl="0" w:tplc="872C20B4">
      <w:start w:val="1"/>
      <w:numFmt w:val="upp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15:restartNumberingAfterBreak="0">
    <w:nsid w:val="087F3369"/>
    <w:multiLevelType w:val="hybridMultilevel"/>
    <w:tmpl w:val="B6823C5C"/>
    <w:lvl w:ilvl="0" w:tplc="2E7840F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61D26"/>
    <w:multiLevelType w:val="multilevel"/>
    <w:tmpl w:val="F73E9F1C"/>
    <w:lvl w:ilvl="0">
      <w:start w:val="1"/>
      <w:numFmt w:val="none"/>
      <w:suff w:val="nothing"/>
      <w:lvlText w:val="."/>
      <w:lvlJc w:val="left"/>
      <w:pPr>
        <w:ind w:left="0" w:firstLine="0"/>
      </w:pPr>
    </w:lvl>
    <w:lvl w:ilvl="1">
      <w:start w:val="1"/>
      <w:numFmt w:val="upperRoman"/>
      <w:lvlText w:val="%2."/>
      <w:lvlJc w:val="left"/>
      <w:pPr>
        <w:ind w:left="1134" w:hanging="454"/>
      </w:pPr>
    </w:lvl>
    <w:lvl w:ilvl="2">
      <w:start w:val="1"/>
      <w:numFmt w:val="upperLetter"/>
      <w:lvlText w:val="%3."/>
      <w:lvlJc w:val="left"/>
      <w:pPr>
        <w:tabs>
          <w:tab w:val="num" w:pos="2268"/>
        </w:tabs>
        <w:ind w:left="1134" w:hanging="41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6D5A01"/>
    <w:multiLevelType w:val="multilevel"/>
    <w:tmpl w:val="CD3894A8"/>
    <w:lvl w:ilvl="0">
      <w:start w:val="1"/>
      <w:numFmt w:val="decimal"/>
      <w:lvlText w:val="%1."/>
      <w:lvlJc w:val="left"/>
      <w:pPr>
        <w:tabs>
          <w:tab w:val="num" w:pos="720"/>
        </w:tabs>
        <w:ind w:left="828" w:firstLine="0"/>
      </w:pPr>
      <w:rPr>
        <w:rFonts w:hint="default"/>
      </w:rPr>
    </w:lvl>
    <w:lvl w:ilvl="1">
      <w:start w:val="1"/>
      <w:numFmt w:val="lowerLetter"/>
      <w:lvlText w:val="%2."/>
      <w:lvlJc w:val="left"/>
      <w:pPr>
        <w:tabs>
          <w:tab w:val="num" w:pos="1548"/>
        </w:tabs>
        <w:ind w:left="1656" w:firstLine="0"/>
      </w:pPr>
      <w:rPr>
        <w:rFonts w:hint="default"/>
      </w:rPr>
    </w:lvl>
    <w:lvl w:ilvl="2">
      <w:start w:val="1"/>
      <w:numFmt w:val="lowerRoman"/>
      <w:lvlText w:val="%3."/>
      <w:lvlJc w:val="left"/>
      <w:pPr>
        <w:tabs>
          <w:tab w:val="num" w:pos="2376"/>
        </w:tabs>
        <w:ind w:left="2484" w:firstLine="0"/>
      </w:pPr>
      <w:rPr>
        <w:rFonts w:hint="default"/>
      </w:rPr>
    </w:lvl>
    <w:lvl w:ilvl="3">
      <w:start w:val="1"/>
      <w:numFmt w:val="decimal"/>
      <w:lvlText w:val="%4."/>
      <w:lvlJc w:val="left"/>
      <w:pPr>
        <w:tabs>
          <w:tab w:val="num" w:pos="3204"/>
        </w:tabs>
        <w:ind w:left="3312" w:firstLine="0"/>
      </w:pPr>
      <w:rPr>
        <w:rFonts w:hint="default"/>
      </w:rPr>
    </w:lvl>
    <w:lvl w:ilvl="4">
      <w:start w:val="1"/>
      <w:numFmt w:val="decimal"/>
      <w:lvlText w:val="%5."/>
      <w:lvlJc w:val="left"/>
      <w:pPr>
        <w:tabs>
          <w:tab w:val="num" w:pos="4032"/>
        </w:tabs>
        <w:ind w:left="4140" w:firstLine="0"/>
      </w:pPr>
      <w:rPr>
        <w:rFonts w:hint="default"/>
      </w:rPr>
    </w:lvl>
    <w:lvl w:ilvl="5">
      <w:start w:val="1"/>
      <w:numFmt w:val="decimal"/>
      <w:lvlText w:val="%6."/>
      <w:lvlJc w:val="left"/>
      <w:pPr>
        <w:tabs>
          <w:tab w:val="num" w:pos="4860"/>
        </w:tabs>
        <w:ind w:left="4968" w:firstLine="0"/>
      </w:pPr>
      <w:rPr>
        <w:rFonts w:hint="default"/>
      </w:rPr>
    </w:lvl>
    <w:lvl w:ilvl="6">
      <w:start w:val="1"/>
      <w:numFmt w:val="decimal"/>
      <w:lvlText w:val="%7."/>
      <w:lvlJc w:val="left"/>
      <w:pPr>
        <w:tabs>
          <w:tab w:val="num" w:pos="5688"/>
        </w:tabs>
        <w:ind w:left="5796" w:firstLine="0"/>
      </w:pPr>
      <w:rPr>
        <w:rFonts w:hint="default"/>
      </w:rPr>
    </w:lvl>
    <w:lvl w:ilvl="7">
      <w:start w:val="1"/>
      <w:numFmt w:val="decimal"/>
      <w:lvlText w:val="%8."/>
      <w:lvlJc w:val="left"/>
      <w:pPr>
        <w:tabs>
          <w:tab w:val="num" w:pos="6516"/>
        </w:tabs>
        <w:ind w:left="6624" w:firstLine="0"/>
      </w:pPr>
      <w:rPr>
        <w:rFonts w:hint="default"/>
      </w:rPr>
    </w:lvl>
    <w:lvl w:ilvl="8">
      <w:start w:val="1"/>
      <w:numFmt w:val="decimal"/>
      <w:lvlText w:val="%9."/>
      <w:lvlJc w:val="left"/>
      <w:pPr>
        <w:tabs>
          <w:tab w:val="num" w:pos="7344"/>
        </w:tabs>
        <w:ind w:left="7452" w:firstLine="0"/>
      </w:pPr>
      <w:rPr>
        <w:rFonts w:hint="default"/>
      </w:rPr>
    </w:lvl>
  </w:abstractNum>
  <w:abstractNum w:abstractNumId="5" w15:restartNumberingAfterBreak="0">
    <w:nsid w:val="10E41FEE"/>
    <w:multiLevelType w:val="multilevel"/>
    <w:tmpl w:val="57BC3020"/>
    <w:lvl w:ilvl="0">
      <w:start w:val="1"/>
      <w:numFmt w:val="upperRoman"/>
      <w:lvlText w:val="%1."/>
      <w:lvlJc w:val="left"/>
      <w:pPr>
        <w:ind w:left="2274" w:hanging="720"/>
      </w:p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6" w15:restartNumberingAfterBreak="0">
    <w:nsid w:val="19FB5C2D"/>
    <w:multiLevelType w:val="hybridMultilevel"/>
    <w:tmpl w:val="1A4A0500"/>
    <w:lvl w:ilvl="0" w:tplc="C4B628DE">
      <w:start w:val="3"/>
      <w:numFmt w:val="bullet"/>
      <w:lvlText w:val="-"/>
      <w:lvlJc w:val="left"/>
      <w:pPr>
        <w:ind w:left="2049" w:hanging="360"/>
      </w:pPr>
      <w:rPr>
        <w:rFonts w:ascii="Times New Roman" w:eastAsia="Calibri"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7" w15:restartNumberingAfterBreak="0">
    <w:nsid w:val="20797CFD"/>
    <w:multiLevelType w:val="hybridMultilevel"/>
    <w:tmpl w:val="8416D0AE"/>
    <w:lvl w:ilvl="0" w:tplc="147ADC84">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8" w15:restartNumberingAfterBreak="0">
    <w:nsid w:val="277626EC"/>
    <w:multiLevelType w:val="multilevel"/>
    <w:tmpl w:val="5900C0DC"/>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29EE483B"/>
    <w:multiLevelType w:val="hybridMultilevel"/>
    <w:tmpl w:val="7B4485B8"/>
    <w:lvl w:ilvl="0" w:tplc="9DCC349A">
      <w:start w:val="1"/>
      <w:numFmt w:val="decimal"/>
      <w:pStyle w:val="NumberedParas"/>
      <w:lvlText w:val="%1."/>
      <w:lvlJc w:val="left"/>
      <w:pPr>
        <w:ind w:left="720" w:hanging="360"/>
      </w:pPr>
    </w:lvl>
    <w:lvl w:ilvl="1" w:tplc="19262370">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A58B9"/>
    <w:multiLevelType w:val="hybridMultilevel"/>
    <w:tmpl w:val="89A020AA"/>
    <w:lvl w:ilvl="0" w:tplc="0809000F">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4805BFA"/>
    <w:multiLevelType w:val="multilevel"/>
    <w:tmpl w:val="8D1C07EC"/>
    <w:lvl w:ilvl="0">
      <w:start w:val="1"/>
      <w:numFmt w:val="none"/>
      <w:suff w:val="nothing"/>
      <w:lvlText w:val="."/>
      <w:lvlJc w:val="left"/>
      <w:pPr>
        <w:ind w:left="0" w:firstLine="0"/>
      </w:pPr>
    </w:lvl>
    <w:lvl w:ilvl="1">
      <w:start w:val="1"/>
      <w:numFmt w:val="upperRoman"/>
      <w:lvlText w:val="%2."/>
      <w:lvlJc w:val="left"/>
      <w:pPr>
        <w:ind w:left="1134" w:hanging="454"/>
      </w:pPr>
    </w:lvl>
    <w:lvl w:ilvl="2">
      <w:start w:val="1"/>
      <w:numFmt w:val="upperLetter"/>
      <w:lvlText w:val="%3."/>
      <w:lvlJc w:val="left"/>
      <w:pPr>
        <w:tabs>
          <w:tab w:val="num" w:pos="2268"/>
        </w:tabs>
        <w:ind w:left="1134" w:hanging="41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394394A"/>
    <w:multiLevelType w:val="hybridMultilevel"/>
    <w:tmpl w:val="F62ECF04"/>
    <w:lvl w:ilvl="0" w:tplc="0CAC731A">
      <w:start w:val="1"/>
      <w:numFmt w:val="upperRoman"/>
      <w:lvlText w:val="%1."/>
      <w:lvlJc w:val="right"/>
      <w:pPr>
        <w:ind w:left="1395" w:hanging="51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4" w15:restartNumberingAfterBreak="0">
    <w:nsid w:val="4D561A20"/>
    <w:multiLevelType w:val="multilevel"/>
    <w:tmpl w:val="DDBAAE6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4DD41207"/>
    <w:multiLevelType w:val="hybridMultilevel"/>
    <w:tmpl w:val="6C8E1EE4"/>
    <w:lvl w:ilvl="0" w:tplc="83083C52">
      <w:start w:val="1"/>
      <w:numFmt w:val="lowerLetter"/>
      <w:lvlText w:val="(%1)"/>
      <w:lvlJc w:val="left"/>
      <w:pPr>
        <w:ind w:left="2166" w:hanging="465"/>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57885649"/>
    <w:multiLevelType w:val="multilevel"/>
    <w:tmpl w:val="CAF4AB68"/>
    <w:lvl w:ilvl="0">
      <w:start w:val="1"/>
      <w:numFmt w:val="decimal"/>
      <w:lvlText w:val="%1."/>
      <w:lvlJc w:val="left"/>
      <w:pPr>
        <w:tabs>
          <w:tab w:val="num" w:pos="720"/>
        </w:tabs>
        <w:ind w:left="828"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287"/>
        </w:tabs>
        <w:ind w:left="1395" w:firstLine="0"/>
      </w:pPr>
      <w:rPr>
        <w:rFonts w:hint="default"/>
      </w:rPr>
    </w:lvl>
    <w:lvl w:ilvl="2">
      <w:start w:val="1"/>
      <w:numFmt w:val="decimal"/>
      <w:lvlText w:val="%3."/>
      <w:lvlJc w:val="left"/>
      <w:pPr>
        <w:tabs>
          <w:tab w:val="num" w:pos="1854"/>
        </w:tabs>
        <w:ind w:left="1962" w:firstLine="0"/>
      </w:pPr>
      <w:rPr>
        <w:rFonts w:hint="default"/>
      </w:rPr>
    </w:lvl>
    <w:lvl w:ilvl="3">
      <w:start w:val="1"/>
      <w:numFmt w:val="decimal"/>
      <w:lvlText w:val="%4."/>
      <w:lvlJc w:val="left"/>
      <w:pPr>
        <w:tabs>
          <w:tab w:val="num" w:pos="2421"/>
        </w:tabs>
        <w:ind w:left="2529" w:firstLine="0"/>
      </w:pPr>
      <w:rPr>
        <w:rFonts w:hint="default"/>
      </w:rPr>
    </w:lvl>
    <w:lvl w:ilvl="4">
      <w:start w:val="1"/>
      <w:numFmt w:val="decimal"/>
      <w:lvlText w:val="%5."/>
      <w:lvlJc w:val="left"/>
      <w:pPr>
        <w:tabs>
          <w:tab w:val="num" w:pos="2988"/>
        </w:tabs>
        <w:ind w:left="3096" w:firstLine="0"/>
      </w:pPr>
      <w:rPr>
        <w:rFonts w:hint="default"/>
      </w:rPr>
    </w:lvl>
    <w:lvl w:ilvl="5">
      <w:start w:val="1"/>
      <w:numFmt w:val="decimal"/>
      <w:lvlText w:val="%6."/>
      <w:lvlJc w:val="left"/>
      <w:pPr>
        <w:tabs>
          <w:tab w:val="num" w:pos="3555"/>
        </w:tabs>
        <w:ind w:left="3663" w:firstLine="0"/>
      </w:pPr>
      <w:rPr>
        <w:rFonts w:hint="default"/>
      </w:rPr>
    </w:lvl>
    <w:lvl w:ilvl="6">
      <w:start w:val="1"/>
      <w:numFmt w:val="decimal"/>
      <w:lvlText w:val="%7."/>
      <w:lvlJc w:val="left"/>
      <w:pPr>
        <w:tabs>
          <w:tab w:val="num" w:pos="4122"/>
        </w:tabs>
        <w:ind w:left="4230" w:firstLine="0"/>
      </w:pPr>
      <w:rPr>
        <w:rFonts w:hint="default"/>
      </w:rPr>
    </w:lvl>
    <w:lvl w:ilvl="7">
      <w:start w:val="1"/>
      <w:numFmt w:val="decimal"/>
      <w:lvlText w:val="%8."/>
      <w:lvlJc w:val="left"/>
      <w:pPr>
        <w:tabs>
          <w:tab w:val="num" w:pos="4689"/>
        </w:tabs>
        <w:ind w:left="4797" w:firstLine="0"/>
      </w:pPr>
      <w:rPr>
        <w:rFonts w:hint="default"/>
      </w:rPr>
    </w:lvl>
    <w:lvl w:ilvl="8">
      <w:start w:val="1"/>
      <w:numFmt w:val="decimal"/>
      <w:lvlText w:val="%9."/>
      <w:lvlJc w:val="left"/>
      <w:pPr>
        <w:tabs>
          <w:tab w:val="num" w:pos="5256"/>
        </w:tabs>
        <w:ind w:left="5364" w:firstLine="0"/>
      </w:pPr>
      <w:rPr>
        <w:rFonts w:hint="default"/>
      </w:rPr>
    </w:lvl>
  </w:abstractNum>
  <w:abstractNum w:abstractNumId="17"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8" w15:restartNumberingAfterBreak="0">
    <w:nsid w:val="610306A2"/>
    <w:multiLevelType w:val="hybridMultilevel"/>
    <w:tmpl w:val="62DC2D58"/>
    <w:lvl w:ilvl="0" w:tplc="81D06764">
      <w:start w:val="1"/>
      <w:numFmt w:val="upperRoman"/>
      <w:pStyle w:val="Heading1"/>
      <w:lvlText w:val="%1."/>
      <w:lvlJc w:val="righ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61F671B7"/>
    <w:multiLevelType w:val="hybridMultilevel"/>
    <w:tmpl w:val="6EC04BA8"/>
    <w:lvl w:ilvl="0" w:tplc="C70EFA1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21" w15:restartNumberingAfterBreak="0">
    <w:nsid w:val="6C8736E5"/>
    <w:multiLevelType w:val="hybridMultilevel"/>
    <w:tmpl w:val="11C03770"/>
    <w:lvl w:ilvl="0" w:tplc="024EC8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EB146C3"/>
    <w:multiLevelType w:val="multilevel"/>
    <w:tmpl w:val="66B46DDA"/>
    <w:lvl w:ilvl="0">
      <w:start w:val="1"/>
      <w:numFmt w:val="upperRoman"/>
      <w:lvlText w:val="%1."/>
      <w:lvlJc w:val="right"/>
      <w:pPr>
        <w:ind w:left="196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8948B0"/>
    <w:multiLevelType w:val="hybridMultilevel"/>
    <w:tmpl w:val="6C8E1EE4"/>
    <w:lvl w:ilvl="0" w:tplc="83083C52">
      <w:start w:val="1"/>
      <w:numFmt w:val="lowerLetter"/>
      <w:lvlText w:val="(%1)"/>
      <w:lvlJc w:val="left"/>
      <w:pPr>
        <w:ind w:left="2166" w:hanging="465"/>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3C923DE"/>
    <w:multiLevelType w:val="hybridMultilevel"/>
    <w:tmpl w:val="6D862736"/>
    <w:lvl w:ilvl="0" w:tplc="12D8309A">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5" w15:restartNumberingAfterBreak="0">
    <w:nsid w:val="756044C4"/>
    <w:multiLevelType w:val="hybridMultilevel"/>
    <w:tmpl w:val="C2DAD320"/>
    <w:lvl w:ilvl="0" w:tplc="94F2829A">
      <w:start w:val="3"/>
      <w:numFmt w:val="upperRoman"/>
      <w:lvlText w:val="%1."/>
      <w:lvlJc w:val="left"/>
      <w:pPr>
        <w:ind w:left="2466" w:hanging="720"/>
      </w:pPr>
      <w:rPr>
        <w:rFonts w:eastAsia="Calibri" w:hint="default"/>
        <w:b/>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26" w15:restartNumberingAfterBreak="0">
    <w:nsid w:val="7A641F75"/>
    <w:multiLevelType w:val="multilevel"/>
    <w:tmpl w:val="3C66A004"/>
    <w:lvl w:ilvl="0">
      <w:start w:val="1"/>
      <w:numFmt w:val="upperRoman"/>
      <w:lvlText w:val="%1."/>
      <w:lvlJc w:val="left"/>
      <w:pPr>
        <w:ind w:left="1965"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42687E"/>
    <w:multiLevelType w:val="hybridMultilevel"/>
    <w:tmpl w:val="112E6214"/>
    <w:lvl w:ilvl="0" w:tplc="E5D0FFE0">
      <w:start w:val="1"/>
      <w:numFmt w:val="upperRoman"/>
      <w:lvlText w:val="%1."/>
      <w:lvlJc w:val="righ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28" w15:restartNumberingAfterBreak="0">
    <w:nsid w:val="7FE97325"/>
    <w:multiLevelType w:val="hybridMultilevel"/>
    <w:tmpl w:val="B3FC555E"/>
    <w:lvl w:ilvl="0" w:tplc="57FE2AEA">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8"/>
  </w:num>
  <w:num w:numId="3">
    <w:abstractNumId w:val="0"/>
  </w:num>
  <w:num w:numId="4">
    <w:abstractNumId w:val="24"/>
  </w:num>
  <w:num w:numId="5">
    <w:abstractNumId w:val="25"/>
  </w:num>
  <w:num w:numId="6">
    <w:abstractNumId w:val="3"/>
  </w:num>
  <w:num w:numId="7">
    <w:abstractNumId w:val="14"/>
  </w:num>
  <w:num w:numId="8">
    <w:abstractNumId w:val="5"/>
  </w:num>
  <w:num w:numId="9">
    <w:abstractNumId w:val="10"/>
  </w:num>
  <w:num w:numId="10">
    <w:abstractNumId w:val="15"/>
  </w:num>
  <w:num w:numId="11">
    <w:abstractNumId w:val="23"/>
  </w:num>
  <w:num w:numId="12">
    <w:abstractNumId w:val="28"/>
  </w:num>
  <w:num w:numId="13">
    <w:abstractNumId w:val="6"/>
  </w:num>
  <w:num w:numId="14">
    <w:abstractNumId w:val="21"/>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7"/>
  </w:num>
  <w:num w:numId="24">
    <w:abstractNumId w:val="4"/>
  </w:num>
  <w:num w:numId="25">
    <w:abstractNumId w:val="7"/>
  </w:num>
  <w:num w:numId="26">
    <w:abstractNumId w:val="1"/>
  </w:num>
  <w:num w:numId="27">
    <w:abstractNumId w:val="27"/>
  </w:num>
  <w:num w:numId="28">
    <w:abstractNumId w:val="22"/>
  </w:num>
  <w:num w:numId="29">
    <w:abstractNumId w:val="26"/>
  </w:num>
  <w:num w:numId="30">
    <w:abstractNumId w:val="20"/>
  </w:num>
  <w:num w:numId="31">
    <w:abstractNumId w:val="18"/>
  </w:num>
  <w:num w:numId="32">
    <w:abstractNumId w:val="2"/>
  </w:num>
  <w:num w:numId="33">
    <w:abstractNumId w:val="9"/>
    <w:lvlOverride w:ilvl="0">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CE"/>
    <w:rsid w:val="00003EF2"/>
    <w:rsid w:val="0000433A"/>
    <w:rsid w:val="00021A7E"/>
    <w:rsid w:val="00022BE5"/>
    <w:rsid w:val="0002438D"/>
    <w:rsid w:val="00025AE4"/>
    <w:rsid w:val="00025D6D"/>
    <w:rsid w:val="00026CA1"/>
    <w:rsid w:val="00032746"/>
    <w:rsid w:val="00036002"/>
    <w:rsid w:val="000364BF"/>
    <w:rsid w:val="0004191E"/>
    <w:rsid w:val="00042ED3"/>
    <w:rsid w:val="00052430"/>
    <w:rsid w:val="00052782"/>
    <w:rsid w:val="00054291"/>
    <w:rsid w:val="0005542C"/>
    <w:rsid w:val="00056291"/>
    <w:rsid w:val="00060D3D"/>
    <w:rsid w:val="0006341F"/>
    <w:rsid w:val="00070057"/>
    <w:rsid w:val="000701D8"/>
    <w:rsid w:val="00075017"/>
    <w:rsid w:val="00080DCF"/>
    <w:rsid w:val="0008250F"/>
    <w:rsid w:val="000872E0"/>
    <w:rsid w:val="00090CF6"/>
    <w:rsid w:val="000976B2"/>
    <w:rsid w:val="000A11A9"/>
    <w:rsid w:val="000A4088"/>
    <w:rsid w:val="000A63F1"/>
    <w:rsid w:val="000C0DCA"/>
    <w:rsid w:val="000C2486"/>
    <w:rsid w:val="000C2BF6"/>
    <w:rsid w:val="000C2CEE"/>
    <w:rsid w:val="000C342E"/>
    <w:rsid w:val="000C670F"/>
    <w:rsid w:val="000C75BA"/>
    <w:rsid w:val="000D29FD"/>
    <w:rsid w:val="000D5F01"/>
    <w:rsid w:val="000E00BB"/>
    <w:rsid w:val="000E21A3"/>
    <w:rsid w:val="000E4796"/>
    <w:rsid w:val="000F373B"/>
    <w:rsid w:val="001023D5"/>
    <w:rsid w:val="00104C42"/>
    <w:rsid w:val="00107C6C"/>
    <w:rsid w:val="00111E79"/>
    <w:rsid w:val="00115423"/>
    <w:rsid w:val="00125B22"/>
    <w:rsid w:val="0013525C"/>
    <w:rsid w:val="00142284"/>
    <w:rsid w:val="0015436B"/>
    <w:rsid w:val="00155F7C"/>
    <w:rsid w:val="00160786"/>
    <w:rsid w:val="00166BF4"/>
    <w:rsid w:val="00167751"/>
    <w:rsid w:val="00167FAF"/>
    <w:rsid w:val="0017152E"/>
    <w:rsid w:val="0017190A"/>
    <w:rsid w:val="00173573"/>
    <w:rsid w:val="00174B51"/>
    <w:rsid w:val="00175FD6"/>
    <w:rsid w:val="0017798E"/>
    <w:rsid w:val="001816E7"/>
    <w:rsid w:val="00187270"/>
    <w:rsid w:val="001A1751"/>
    <w:rsid w:val="001A2B07"/>
    <w:rsid w:val="001A593E"/>
    <w:rsid w:val="001B1D22"/>
    <w:rsid w:val="001B233B"/>
    <w:rsid w:val="001B291F"/>
    <w:rsid w:val="001B508E"/>
    <w:rsid w:val="001B74C1"/>
    <w:rsid w:val="001C0333"/>
    <w:rsid w:val="001C5625"/>
    <w:rsid w:val="001C5B79"/>
    <w:rsid w:val="001D0B22"/>
    <w:rsid w:val="001D0C47"/>
    <w:rsid w:val="001D1411"/>
    <w:rsid w:val="001D407D"/>
    <w:rsid w:val="001D5489"/>
    <w:rsid w:val="001D6036"/>
    <w:rsid w:val="001E1901"/>
    <w:rsid w:val="001E2384"/>
    <w:rsid w:val="001F1ABD"/>
    <w:rsid w:val="001F21ED"/>
    <w:rsid w:val="001F3A27"/>
    <w:rsid w:val="001F78C5"/>
    <w:rsid w:val="002052DA"/>
    <w:rsid w:val="0020795C"/>
    <w:rsid w:val="002114D7"/>
    <w:rsid w:val="00212A40"/>
    <w:rsid w:val="00215FED"/>
    <w:rsid w:val="00220514"/>
    <w:rsid w:val="00222F4D"/>
    <w:rsid w:val="00230B53"/>
    <w:rsid w:val="00234B88"/>
    <w:rsid w:val="00237FE2"/>
    <w:rsid w:val="002415A6"/>
    <w:rsid w:val="00242BA0"/>
    <w:rsid w:val="00243427"/>
    <w:rsid w:val="00245A71"/>
    <w:rsid w:val="00245D93"/>
    <w:rsid w:val="00251E1A"/>
    <w:rsid w:val="00253929"/>
    <w:rsid w:val="00255D13"/>
    <w:rsid w:val="00255EFF"/>
    <w:rsid w:val="00257C5A"/>
    <w:rsid w:val="00271B99"/>
    <w:rsid w:val="0027699E"/>
    <w:rsid w:val="00280A93"/>
    <w:rsid w:val="00286945"/>
    <w:rsid w:val="00286D2C"/>
    <w:rsid w:val="00287F7D"/>
    <w:rsid w:val="00291F51"/>
    <w:rsid w:val="002A4607"/>
    <w:rsid w:val="002A4FF3"/>
    <w:rsid w:val="002A636D"/>
    <w:rsid w:val="002A63BA"/>
    <w:rsid w:val="002A709C"/>
    <w:rsid w:val="002C3541"/>
    <w:rsid w:val="002C5197"/>
    <w:rsid w:val="002D5328"/>
    <w:rsid w:val="002E168F"/>
    <w:rsid w:val="002E4014"/>
    <w:rsid w:val="002E5712"/>
    <w:rsid w:val="002F06FA"/>
    <w:rsid w:val="002F1857"/>
    <w:rsid w:val="002F2DA5"/>
    <w:rsid w:val="002F358E"/>
    <w:rsid w:val="002F68F3"/>
    <w:rsid w:val="003056E8"/>
    <w:rsid w:val="003166B2"/>
    <w:rsid w:val="00323A16"/>
    <w:rsid w:val="00330865"/>
    <w:rsid w:val="00330994"/>
    <w:rsid w:val="003309E2"/>
    <w:rsid w:val="00336D50"/>
    <w:rsid w:val="00340FA0"/>
    <w:rsid w:val="003417F0"/>
    <w:rsid w:val="00345439"/>
    <w:rsid w:val="00346FBF"/>
    <w:rsid w:val="003479ED"/>
    <w:rsid w:val="00352339"/>
    <w:rsid w:val="00354F77"/>
    <w:rsid w:val="00357FC7"/>
    <w:rsid w:val="00360C7A"/>
    <w:rsid w:val="0036176A"/>
    <w:rsid w:val="0036367A"/>
    <w:rsid w:val="00377859"/>
    <w:rsid w:val="00384250"/>
    <w:rsid w:val="00384EA5"/>
    <w:rsid w:val="00385E28"/>
    <w:rsid w:val="00386ED0"/>
    <w:rsid w:val="003A150D"/>
    <w:rsid w:val="003A32FB"/>
    <w:rsid w:val="003A42D4"/>
    <w:rsid w:val="003A5A16"/>
    <w:rsid w:val="003A63AF"/>
    <w:rsid w:val="003B5141"/>
    <w:rsid w:val="003C7BFE"/>
    <w:rsid w:val="003D2F98"/>
    <w:rsid w:val="003D3794"/>
    <w:rsid w:val="003D3882"/>
    <w:rsid w:val="003D4894"/>
    <w:rsid w:val="003F1B1F"/>
    <w:rsid w:val="003F4F77"/>
    <w:rsid w:val="003F733C"/>
    <w:rsid w:val="00400CA6"/>
    <w:rsid w:val="00403867"/>
    <w:rsid w:val="00404C14"/>
    <w:rsid w:val="004216A1"/>
    <w:rsid w:val="004216FB"/>
    <w:rsid w:val="00422776"/>
    <w:rsid w:val="004240D8"/>
    <w:rsid w:val="0042478E"/>
    <w:rsid w:val="004316EE"/>
    <w:rsid w:val="004345F0"/>
    <w:rsid w:val="004348E3"/>
    <w:rsid w:val="00437E32"/>
    <w:rsid w:val="00441DBD"/>
    <w:rsid w:val="004438CA"/>
    <w:rsid w:val="00443F4F"/>
    <w:rsid w:val="004453FF"/>
    <w:rsid w:val="00450D27"/>
    <w:rsid w:val="00451B42"/>
    <w:rsid w:val="0046481A"/>
    <w:rsid w:val="00467E90"/>
    <w:rsid w:val="00471400"/>
    <w:rsid w:val="00483893"/>
    <w:rsid w:val="00487991"/>
    <w:rsid w:val="004A001F"/>
    <w:rsid w:val="004B0BDE"/>
    <w:rsid w:val="004B1956"/>
    <w:rsid w:val="004B301C"/>
    <w:rsid w:val="004C40AF"/>
    <w:rsid w:val="004C4E9D"/>
    <w:rsid w:val="004C708E"/>
    <w:rsid w:val="004D7B0C"/>
    <w:rsid w:val="004D7EF2"/>
    <w:rsid w:val="004E3141"/>
    <w:rsid w:val="004E5BCB"/>
    <w:rsid w:val="004E6F5B"/>
    <w:rsid w:val="004E7D63"/>
    <w:rsid w:val="004F2A16"/>
    <w:rsid w:val="004F5303"/>
    <w:rsid w:val="004F5B46"/>
    <w:rsid w:val="004F60E1"/>
    <w:rsid w:val="00500844"/>
    <w:rsid w:val="0050452B"/>
    <w:rsid w:val="005112AD"/>
    <w:rsid w:val="005170BE"/>
    <w:rsid w:val="0052313F"/>
    <w:rsid w:val="005251D1"/>
    <w:rsid w:val="0053023E"/>
    <w:rsid w:val="0053741C"/>
    <w:rsid w:val="00540DF0"/>
    <w:rsid w:val="005411C2"/>
    <w:rsid w:val="00541E34"/>
    <w:rsid w:val="0054216C"/>
    <w:rsid w:val="00543205"/>
    <w:rsid w:val="00545633"/>
    <w:rsid w:val="00547CD8"/>
    <w:rsid w:val="00553D7D"/>
    <w:rsid w:val="005542BE"/>
    <w:rsid w:val="00554A21"/>
    <w:rsid w:val="005564E4"/>
    <w:rsid w:val="00556E9A"/>
    <w:rsid w:val="00556FDE"/>
    <w:rsid w:val="005630D0"/>
    <w:rsid w:val="005648F9"/>
    <w:rsid w:val="005655BC"/>
    <w:rsid w:val="005657C1"/>
    <w:rsid w:val="005721E4"/>
    <w:rsid w:val="00574B96"/>
    <w:rsid w:val="005810B7"/>
    <w:rsid w:val="00581A04"/>
    <w:rsid w:val="00582103"/>
    <w:rsid w:val="0058258F"/>
    <w:rsid w:val="00582955"/>
    <w:rsid w:val="005856B5"/>
    <w:rsid w:val="00585F3B"/>
    <w:rsid w:val="0059196B"/>
    <w:rsid w:val="00591DC6"/>
    <w:rsid w:val="005921C1"/>
    <w:rsid w:val="005A1F5E"/>
    <w:rsid w:val="005A4B88"/>
    <w:rsid w:val="005A5B33"/>
    <w:rsid w:val="005B27CA"/>
    <w:rsid w:val="005B5B01"/>
    <w:rsid w:val="005B67F0"/>
    <w:rsid w:val="005B7CB2"/>
    <w:rsid w:val="005B7F85"/>
    <w:rsid w:val="005C0B45"/>
    <w:rsid w:val="005C21DC"/>
    <w:rsid w:val="005D6191"/>
    <w:rsid w:val="005E11C9"/>
    <w:rsid w:val="005E3238"/>
    <w:rsid w:val="005E399C"/>
    <w:rsid w:val="005E4214"/>
    <w:rsid w:val="005E7C7B"/>
    <w:rsid w:val="005F18CF"/>
    <w:rsid w:val="005F768B"/>
    <w:rsid w:val="00600C65"/>
    <w:rsid w:val="006016FA"/>
    <w:rsid w:val="0060196C"/>
    <w:rsid w:val="00616577"/>
    <w:rsid w:val="006221A8"/>
    <w:rsid w:val="006243F6"/>
    <w:rsid w:val="00626134"/>
    <w:rsid w:val="00632F40"/>
    <w:rsid w:val="00636775"/>
    <w:rsid w:val="0064036E"/>
    <w:rsid w:val="006413D2"/>
    <w:rsid w:val="00643C6F"/>
    <w:rsid w:val="00644226"/>
    <w:rsid w:val="00645E89"/>
    <w:rsid w:val="00652571"/>
    <w:rsid w:val="006534EC"/>
    <w:rsid w:val="006619C3"/>
    <w:rsid w:val="00661B70"/>
    <w:rsid w:val="006633D1"/>
    <w:rsid w:val="0066653A"/>
    <w:rsid w:val="00667B14"/>
    <w:rsid w:val="00667FB6"/>
    <w:rsid w:val="00670C2B"/>
    <w:rsid w:val="00672E40"/>
    <w:rsid w:val="00674F8C"/>
    <w:rsid w:val="00675E61"/>
    <w:rsid w:val="006766D2"/>
    <w:rsid w:val="0067700B"/>
    <w:rsid w:val="00677D43"/>
    <w:rsid w:val="006839B1"/>
    <w:rsid w:val="006908E9"/>
    <w:rsid w:val="006948ED"/>
    <w:rsid w:val="00695643"/>
    <w:rsid w:val="0069717D"/>
    <w:rsid w:val="006A4883"/>
    <w:rsid w:val="006A63BF"/>
    <w:rsid w:val="006B5657"/>
    <w:rsid w:val="006D56E5"/>
    <w:rsid w:val="006E11A1"/>
    <w:rsid w:val="006E5626"/>
    <w:rsid w:val="006E65A3"/>
    <w:rsid w:val="006F7E33"/>
    <w:rsid w:val="00732ACE"/>
    <w:rsid w:val="00741C01"/>
    <w:rsid w:val="00743178"/>
    <w:rsid w:val="00751958"/>
    <w:rsid w:val="007520FA"/>
    <w:rsid w:val="007539F5"/>
    <w:rsid w:val="0075478A"/>
    <w:rsid w:val="007549F8"/>
    <w:rsid w:val="007576B2"/>
    <w:rsid w:val="00761E2F"/>
    <w:rsid w:val="00762FAB"/>
    <w:rsid w:val="00773231"/>
    <w:rsid w:val="007761E1"/>
    <w:rsid w:val="007766CC"/>
    <w:rsid w:val="007778EB"/>
    <w:rsid w:val="00781880"/>
    <w:rsid w:val="0078398C"/>
    <w:rsid w:val="00786218"/>
    <w:rsid w:val="0078696E"/>
    <w:rsid w:val="00793B88"/>
    <w:rsid w:val="007A4194"/>
    <w:rsid w:val="007A6705"/>
    <w:rsid w:val="007B24B2"/>
    <w:rsid w:val="007B2521"/>
    <w:rsid w:val="007B5D2A"/>
    <w:rsid w:val="007C0110"/>
    <w:rsid w:val="007C0461"/>
    <w:rsid w:val="007C261E"/>
    <w:rsid w:val="007C3C68"/>
    <w:rsid w:val="007C415C"/>
    <w:rsid w:val="007C45BD"/>
    <w:rsid w:val="007C4A8D"/>
    <w:rsid w:val="007C51DF"/>
    <w:rsid w:val="007C67F1"/>
    <w:rsid w:val="007D1807"/>
    <w:rsid w:val="007D4E82"/>
    <w:rsid w:val="007E018B"/>
    <w:rsid w:val="007E42E6"/>
    <w:rsid w:val="007E4E59"/>
    <w:rsid w:val="007E5750"/>
    <w:rsid w:val="007F282E"/>
    <w:rsid w:val="007F65D3"/>
    <w:rsid w:val="00803718"/>
    <w:rsid w:val="008062E1"/>
    <w:rsid w:val="0081118D"/>
    <w:rsid w:val="0081199B"/>
    <w:rsid w:val="00814159"/>
    <w:rsid w:val="0081433F"/>
    <w:rsid w:val="00816F6B"/>
    <w:rsid w:val="008176C0"/>
    <w:rsid w:val="00821C70"/>
    <w:rsid w:val="0082283B"/>
    <w:rsid w:val="00847B70"/>
    <w:rsid w:val="00850786"/>
    <w:rsid w:val="00853515"/>
    <w:rsid w:val="00854AC6"/>
    <w:rsid w:val="00857CD9"/>
    <w:rsid w:val="00857EF6"/>
    <w:rsid w:val="00860390"/>
    <w:rsid w:val="00860D70"/>
    <w:rsid w:val="00862A20"/>
    <w:rsid w:val="00862D3D"/>
    <w:rsid w:val="00866681"/>
    <w:rsid w:val="00866AB1"/>
    <w:rsid w:val="00876556"/>
    <w:rsid w:val="00877C81"/>
    <w:rsid w:val="0088511F"/>
    <w:rsid w:val="00891BC1"/>
    <w:rsid w:val="00892B09"/>
    <w:rsid w:val="00895502"/>
    <w:rsid w:val="008A0156"/>
    <w:rsid w:val="008A514F"/>
    <w:rsid w:val="008A5B89"/>
    <w:rsid w:val="008A6EE0"/>
    <w:rsid w:val="008B292C"/>
    <w:rsid w:val="008B618C"/>
    <w:rsid w:val="008C3E40"/>
    <w:rsid w:val="008D6036"/>
    <w:rsid w:val="008D7D67"/>
    <w:rsid w:val="008F1178"/>
    <w:rsid w:val="008F38EB"/>
    <w:rsid w:val="008F5DD2"/>
    <w:rsid w:val="0090157F"/>
    <w:rsid w:val="00905A6B"/>
    <w:rsid w:val="009111FC"/>
    <w:rsid w:val="00911BC2"/>
    <w:rsid w:val="0091281D"/>
    <w:rsid w:val="00920454"/>
    <w:rsid w:val="00922AB6"/>
    <w:rsid w:val="00924556"/>
    <w:rsid w:val="009271B5"/>
    <w:rsid w:val="00945D1B"/>
    <w:rsid w:val="00947A23"/>
    <w:rsid w:val="00954F64"/>
    <w:rsid w:val="00960C12"/>
    <w:rsid w:val="009617E3"/>
    <w:rsid w:val="0096219B"/>
    <w:rsid w:val="00973FCC"/>
    <w:rsid w:val="00974119"/>
    <w:rsid w:val="00981F79"/>
    <w:rsid w:val="0098310E"/>
    <w:rsid w:val="0098378A"/>
    <w:rsid w:val="00984EAB"/>
    <w:rsid w:val="00990C82"/>
    <w:rsid w:val="009A23B1"/>
    <w:rsid w:val="009B5E15"/>
    <w:rsid w:val="009B666D"/>
    <w:rsid w:val="009C0D50"/>
    <w:rsid w:val="009C27AC"/>
    <w:rsid w:val="009C67B2"/>
    <w:rsid w:val="009D0C33"/>
    <w:rsid w:val="009D507D"/>
    <w:rsid w:val="009E099B"/>
    <w:rsid w:val="009E0D02"/>
    <w:rsid w:val="009E2370"/>
    <w:rsid w:val="009E4B30"/>
    <w:rsid w:val="009E5913"/>
    <w:rsid w:val="009E6E26"/>
    <w:rsid w:val="009F48F9"/>
    <w:rsid w:val="009F658F"/>
    <w:rsid w:val="00A07B0E"/>
    <w:rsid w:val="00A10287"/>
    <w:rsid w:val="00A10E9D"/>
    <w:rsid w:val="00A11159"/>
    <w:rsid w:val="00A1314D"/>
    <w:rsid w:val="00A21A6C"/>
    <w:rsid w:val="00A23593"/>
    <w:rsid w:val="00A270B9"/>
    <w:rsid w:val="00A274C0"/>
    <w:rsid w:val="00A30290"/>
    <w:rsid w:val="00A31CC2"/>
    <w:rsid w:val="00A35E7E"/>
    <w:rsid w:val="00A363C0"/>
    <w:rsid w:val="00A366FF"/>
    <w:rsid w:val="00A4180C"/>
    <w:rsid w:val="00A42865"/>
    <w:rsid w:val="00A45BD1"/>
    <w:rsid w:val="00A53235"/>
    <w:rsid w:val="00A5439A"/>
    <w:rsid w:val="00A564F4"/>
    <w:rsid w:val="00A60736"/>
    <w:rsid w:val="00A60FE7"/>
    <w:rsid w:val="00A67422"/>
    <w:rsid w:val="00A67D58"/>
    <w:rsid w:val="00A71860"/>
    <w:rsid w:val="00A72715"/>
    <w:rsid w:val="00A74EE1"/>
    <w:rsid w:val="00A7739A"/>
    <w:rsid w:val="00A77BB4"/>
    <w:rsid w:val="00A821C5"/>
    <w:rsid w:val="00A90567"/>
    <w:rsid w:val="00A92289"/>
    <w:rsid w:val="00A9383A"/>
    <w:rsid w:val="00A960A6"/>
    <w:rsid w:val="00A96D13"/>
    <w:rsid w:val="00AA1BE5"/>
    <w:rsid w:val="00AA3066"/>
    <w:rsid w:val="00AA6BA3"/>
    <w:rsid w:val="00AB7B81"/>
    <w:rsid w:val="00AC4C27"/>
    <w:rsid w:val="00AC5CFD"/>
    <w:rsid w:val="00AC6FF6"/>
    <w:rsid w:val="00AC7F34"/>
    <w:rsid w:val="00AE1582"/>
    <w:rsid w:val="00AE1761"/>
    <w:rsid w:val="00AE22EE"/>
    <w:rsid w:val="00AE4076"/>
    <w:rsid w:val="00AE4D0F"/>
    <w:rsid w:val="00AE5F29"/>
    <w:rsid w:val="00AE6F0D"/>
    <w:rsid w:val="00AE6F77"/>
    <w:rsid w:val="00AE7096"/>
    <w:rsid w:val="00AE7909"/>
    <w:rsid w:val="00AF1B3B"/>
    <w:rsid w:val="00AF5C5B"/>
    <w:rsid w:val="00AF64A0"/>
    <w:rsid w:val="00AF7E65"/>
    <w:rsid w:val="00B03B3A"/>
    <w:rsid w:val="00B03C8A"/>
    <w:rsid w:val="00B05969"/>
    <w:rsid w:val="00B11FDD"/>
    <w:rsid w:val="00B12C9F"/>
    <w:rsid w:val="00B15106"/>
    <w:rsid w:val="00B17BC5"/>
    <w:rsid w:val="00B25C65"/>
    <w:rsid w:val="00B25DF4"/>
    <w:rsid w:val="00B25F9D"/>
    <w:rsid w:val="00B273C0"/>
    <w:rsid w:val="00B3281B"/>
    <w:rsid w:val="00B344C4"/>
    <w:rsid w:val="00B40229"/>
    <w:rsid w:val="00B43E0D"/>
    <w:rsid w:val="00B45E2D"/>
    <w:rsid w:val="00B503C5"/>
    <w:rsid w:val="00B57C8A"/>
    <w:rsid w:val="00B608CE"/>
    <w:rsid w:val="00B64517"/>
    <w:rsid w:val="00B646DB"/>
    <w:rsid w:val="00B6611A"/>
    <w:rsid w:val="00B66B11"/>
    <w:rsid w:val="00B74750"/>
    <w:rsid w:val="00B81F32"/>
    <w:rsid w:val="00B86B6F"/>
    <w:rsid w:val="00B86DDE"/>
    <w:rsid w:val="00B95A47"/>
    <w:rsid w:val="00BA6A95"/>
    <w:rsid w:val="00BB1325"/>
    <w:rsid w:val="00BB54E1"/>
    <w:rsid w:val="00BC0C14"/>
    <w:rsid w:val="00BC3327"/>
    <w:rsid w:val="00BC65B8"/>
    <w:rsid w:val="00BC680D"/>
    <w:rsid w:val="00BC712E"/>
    <w:rsid w:val="00BD5D97"/>
    <w:rsid w:val="00BD73B0"/>
    <w:rsid w:val="00BF3775"/>
    <w:rsid w:val="00C02E9D"/>
    <w:rsid w:val="00C10696"/>
    <w:rsid w:val="00C212C1"/>
    <w:rsid w:val="00C248EF"/>
    <w:rsid w:val="00C25C47"/>
    <w:rsid w:val="00C4676F"/>
    <w:rsid w:val="00C624CD"/>
    <w:rsid w:val="00C66F06"/>
    <w:rsid w:val="00C81178"/>
    <w:rsid w:val="00C8627B"/>
    <w:rsid w:val="00C90A28"/>
    <w:rsid w:val="00C9241A"/>
    <w:rsid w:val="00C9340E"/>
    <w:rsid w:val="00C943A2"/>
    <w:rsid w:val="00CA52C7"/>
    <w:rsid w:val="00CA5DBD"/>
    <w:rsid w:val="00CB3686"/>
    <w:rsid w:val="00CC16FA"/>
    <w:rsid w:val="00CC2A6B"/>
    <w:rsid w:val="00CD0A31"/>
    <w:rsid w:val="00CD491C"/>
    <w:rsid w:val="00CD6DA7"/>
    <w:rsid w:val="00CD7833"/>
    <w:rsid w:val="00CD7D90"/>
    <w:rsid w:val="00CE1164"/>
    <w:rsid w:val="00CE2A26"/>
    <w:rsid w:val="00CE49BA"/>
    <w:rsid w:val="00CE4DBA"/>
    <w:rsid w:val="00CF2E89"/>
    <w:rsid w:val="00CF32E3"/>
    <w:rsid w:val="00D04907"/>
    <w:rsid w:val="00D07EC6"/>
    <w:rsid w:val="00D13F35"/>
    <w:rsid w:val="00D266F6"/>
    <w:rsid w:val="00D313D6"/>
    <w:rsid w:val="00D3240B"/>
    <w:rsid w:val="00D352F3"/>
    <w:rsid w:val="00D358D8"/>
    <w:rsid w:val="00D35E5F"/>
    <w:rsid w:val="00D4042D"/>
    <w:rsid w:val="00D526E4"/>
    <w:rsid w:val="00D5459C"/>
    <w:rsid w:val="00D601D0"/>
    <w:rsid w:val="00D70517"/>
    <w:rsid w:val="00D706FC"/>
    <w:rsid w:val="00D7083C"/>
    <w:rsid w:val="00D72FEF"/>
    <w:rsid w:val="00D73A62"/>
    <w:rsid w:val="00D775D4"/>
    <w:rsid w:val="00D82BC5"/>
    <w:rsid w:val="00D9080B"/>
    <w:rsid w:val="00D9186C"/>
    <w:rsid w:val="00D937E9"/>
    <w:rsid w:val="00D93A11"/>
    <w:rsid w:val="00DA0C1A"/>
    <w:rsid w:val="00DA0C5B"/>
    <w:rsid w:val="00DA1014"/>
    <w:rsid w:val="00DA3111"/>
    <w:rsid w:val="00DA4D73"/>
    <w:rsid w:val="00DA6161"/>
    <w:rsid w:val="00DB20F4"/>
    <w:rsid w:val="00DB523F"/>
    <w:rsid w:val="00DB576B"/>
    <w:rsid w:val="00DB75B5"/>
    <w:rsid w:val="00DC0AD4"/>
    <w:rsid w:val="00DC67F4"/>
    <w:rsid w:val="00DC7AE4"/>
    <w:rsid w:val="00DD6601"/>
    <w:rsid w:val="00DE118D"/>
    <w:rsid w:val="00DE2312"/>
    <w:rsid w:val="00DE3FB4"/>
    <w:rsid w:val="00DE4AAF"/>
    <w:rsid w:val="00DF12A3"/>
    <w:rsid w:val="00E01858"/>
    <w:rsid w:val="00E0358C"/>
    <w:rsid w:val="00E0501A"/>
    <w:rsid w:val="00E108A0"/>
    <w:rsid w:val="00E11C09"/>
    <w:rsid w:val="00E129A0"/>
    <w:rsid w:val="00E164BE"/>
    <w:rsid w:val="00E23165"/>
    <w:rsid w:val="00E253F5"/>
    <w:rsid w:val="00E26FFD"/>
    <w:rsid w:val="00E305D6"/>
    <w:rsid w:val="00E30BF7"/>
    <w:rsid w:val="00E37B3B"/>
    <w:rsid w:val="00E40C78"/>
    <w:rsid w:val="00E44717"/>
    <w:rsid w:val="00E459BE"/>
    <w:rsid w:val="00E47B46"/>
    <w:rsid w:val="00E501F2"/>
    <w:rsid w:val="00E532A1"/>
    <w:rsid w:val="00E5542E"/>
    <w:rsid w:val="00E56BE5"/>
    <w:rsid w:val="00E63871"/>
    <w:rsid w:val="00E64163"/>
    <w:rsid w:val="00E67D3D"/>
    <w:rsid w:val="00E72F42"/>
    <w:rsid w:val="00E73B39"/>
    <w:rsid w:val="00E81FC4"/>
    <w:rsid w:val="00E861C6"/>
    <w:rsid w:val="00E9117E"/>
    <w:rsid w:val="00E915FA"/>
    <w:rsid w:val="00E9165D"/>
    <w:rsid w:val="00E94E19"/>
    <w:rsid w:val="00E95037"/>
    <w:rsid w:val="00EA5E24"/>
    <w:rsid w:val="00EB03FF"/>
    <w:rsid w:val="00EC1AD1"/>
    <w:rsid w:val="00EC597B"/>
    <w:rsid w:val="00EC5BD3"/>
    <w:rsid w:val="00EC7310"/>
    <w:rsid w:val="00ED0462"/>
    <w:rsid w:val="00ED39E1"/>
    <w:rsid w:val="00EE0C9D"/>
    <w:rsid w:val="00EE1572"/>
    <w:rsid w:val="00EE5478"/>
    <w:rsid w:val="00EE5498"/>
    <w:rsid w:val="00EF3D9E"/>
    <w:rsid w:val="00EF5749"/>
    <w:rsid w:val="00EF5762"/>
    <w:rsid w:val="00F01EC7"/>
    <w:rsid w:val="00F045BC"/>
    <w:rsid w:val="00F04D90"/>
    <w:rsid w:val="00F07094"/>
    <w:rsid w:val="00F07526"/>
    <w:rsid w:val="00F127ED"/>
    <w:rsid w:val="00F14880"/>
    <w:rsid w:val="00F16A47"/>
    <w:rsid w:val="00F16C7D"/>
    <w:rsid w:val="00F16D87"/>
    <w:rsid w:val="00F17147"/>
    <w:rsid w:val="00F21630"/>
    <w:rsid w:val="00F245F2"/>
    <w:rsid w:val="00F25849"/>
    <w:rsid w:val="00F306B0"/>
    <w:rsid w:val="00F31741"/>
    <w:rsid w:val="00F31900"/>
    <w:rsid w:val="00F34EA0"/>
    <w:rsid w:val="00F36D06"/>
    <w:rsid w:val="00F438CB"/>
    <w:rsid w:val="00F439C4"/>
    <w:rsid w:val="00F44476"/>
    <w:rsid w:val="00F511D6"/>
    <w:rsid w:val="00F52103"/>
    <w:rsid w:val="00F521B9"/>
    <w:rsid w:val="00F52CD1"/>
    <w:rsid w:val="00F52F37"/>
    <w:rsid w:val="00F576D1"/>
    <w:rsid w:val="00F6500B"/>
    <w:rsid w:val="00F74B81"/>
    <w:rsid w:val="00F91093"/>
    <w:rsid w:val="00F920A2"/>
    <w:rsid w:val="00F93B74"/>
    <w:rsid w:val="00F94223"/>
    <w:rsid w:val="00F9574C"/>
    <w:rsid w:val="00F95978"/>
    <w:rsid w:val="00FA7221"/>
    <w:rsid w:val="00FB10AC"/>
    <w:rsid w:val="00FB155D"/>
    <w:rsid w:val="00FB5B06"/>
    <w:rsid w:val="00FC294E"/>
    <w:rsid w:val="00FC2B32"/>
    <w:rsid w:val="00FC3771"/>
    <w:rsid w:val="00FD15C6"/>
    <w:rsid w:val="00FE062E"/>
    <w:rsid w:val="00FE0C95"/>
    <w:rsid w:val="00FE0D6C"/>
    <w:rsid w:val="00FE195E"/>
    <w:rsid w:val="00FE6691"/>
    <w:rsid w:val="00FE7386"/>
    <w:rsid w:val="00FF0921"/>
    <w:rsid w:val="00FF20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76AB"/>
  <w15:docId w15:val="{5B4BDE7F-BA72-40E5-9F4E-E27183D8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42"/>
    <w:pPr>
      <w:spacing w:after="120"/>
    </w:pPr>
    <w:rPr>
      <w:rFonts w:ascii="Times New Roman" w:hAnsi="Times New Roman" w:cs="Arial"/>
    </w:rPr>
  </w:style>
  <w:style w:type="paragraph" w:styleId="Heading1">
    <w:name w:val="heading 1"/>
    <w:next w:val="NumberedParas"/>
    <w:link w:val="Heading1Char"/>
    <w:uiPriority w:val="11"/>
    <w:qFormat/>
    <w:rsid w:val="006016FA"/>
    <w:pPr>
      <w:keepNext/>
      <w:keepLines/>
      <w:numPr>
        <w:numId w:val="31"/>
      </w:numPr>
      <w:tabs>
        <w:tab w:val="right" w:pos="1134"/>
        <w:tab w:val="left" w:pos="1701"/>
      </w:tabs>
      <w:suppressAutoHyphens/>
      <w:spacing w:before="360" w:after="240" w:line="300" w:lineRule="exact"/>
      <w:ind w:left="1962" w:right="873" w:hanging="357"/>
      <w:outlineLvl w:val="0"/>
    </w:pPr>
    <w:rPr>
      <w:rFonts w:asciiTheme="majorBidi" w:hAnsiTheme="majorBidi" w:cs="Arial"/>
      <w:b/>
      <w:sz w:val="28"/>
    </w:rPr>
  </w:style>
  <w:style w:type="paragraph" w:styleId="Heading2">
    <w:name w:val="heading 2"/>
    <w:next w:val="NumberedParas"/>
    <w:link w:val="Heading2Char"/>
    <w:uiPriority w:val="10"/>
    <w:unhideWhenUsed/>
    <w:qFormat/>
    <w:rsid w:val="00104C42"/>
    <w:pPr>
      <w:keepNext/>
      <w:keepLines/>
      <w:numPr>
        <w:numId w:val="23"/>
      </w:numPr>
      <w:tabs>
        <w:tab w:val="right" w:pos="851"/>
        <w:tab w:val="left" w:pos="1701"/>
      </w:tabs>
      <w:suppressAutoHyphens/>
      <w:spacing w:before="360" w:after="240" w:line="270" w:lineRule="exact"/>
      <w:ind w:right="1134"/>
      <w:outlineLvl w:val="1"/>
    </w:pPr>
    <w:rPr>
      <w:rFonts w:asciiTheme="majorBidi" w:eastAsia="Calibri" w:hAnsiTheme="majorBidi" w:cs="Arial"/>
      <w:b/>
      <w:sz w:val="24"/>
    </w:rPr>
  </w:style>
  <w:style w:type="paragraph" w:styleId="Heading3">
    <w:name w:val="heading 3"/>
    <w:next w:val="NumberedParas"/>
    <w:link w:val="Heading3Char"/>
    <w:uiPriority w:val="9"/>
    <w:unhideWhenUsed/>
    <w:qFormat/>
    <w:rsid w:val="00104C42"/>
    <w:pPr>
      <w:keepNext/>
      <w:tabs>
        <w:tab w:val="left" w:pos="1701"/>
      </w:tabs>
      <w:suppressAutoHyphens/>
      <w:spacing w:after="120" w:line="240" w:lineRule="atLeast"/>
      <w:ind w:left="828" w:right="828"/>
      <w:jc w:val="both"/>
      <w:outlineLvl w:val="2"/>
    </w:pPr>
    <w:rPr>
      <w:rFonts w:asciiTheme="majorBidi" w:eastAsia="Calibri" w:hAnsiTheme="majorBidi" w:cs="Arial"/>
      <w:b/>
    </w:rPr>
  </w:style>
  <w:style w:type="paragraph" w:styleId="Heading4">
    <w:name w:val="heading 4"/>
    <w:next w:val="NumberedParas"/>
    <w:link w:val="Heading4Char"/>
    <w:uiPriority w:val="9"/>
    <w:unhideWhenUsed/>
    <w:qFormat/>
    <w:rsid w:val="00104C42"/>
    <w:pPr>
      <w:keepNext/>
      <w:tabs>
        <w:tab w:val="left" w:pos="1701"/>
      </w:tabs>
      <w:suppressAutoHyphens/>
      <w:spacing w:after="120" w:line="240" w:lineRule="atLeast"/>
      <w:ind w:left="828" w:right="828"/>
      <w:jc w:val="both"/>
      <w:outlineLvl w:val="3"/>
    </w:pPr>
    <w:rPr>
      <w:rFonts w:asciiTheme="majorBidi" w:eastAsia="Calibri" w:hAnsiTheme="majorBidi" w:cs="Arial"/>
      <w:bCs/>
      <w:i/>
      <w:iCs/>
    </w:rPr>
  </w:style>
  <w:style w:type="paragraph" w:styleId="Heading5">
    <w:name w:val="heading 5"/>
    <w:basedOn w:val="Heading4"/>
    <w:next w:val="NumberedParas"/>
    <w:link w:val="Heading5Char"/>
    <w:uiPriority w:val="9"/>
    <w:unhideWhenUsed/>
    <w:qFormat/>
    <w:rsid w:val="00104C42"/>
    <w:pPr>
      <w:outlineLvl w:val="4"/>
    </w:pPr>
    <w:rPr>
      <w:i w:val="0"/>
      <w:iCs w:val="0"/>
      <w:u w:val="single"/>
    </w:rPr>
  </w:style>
  <w:style w:type="paragraph" w:styleId="Heading6">
    <w:name w:val="heading 6"/>
    <w:basedOn w:val="Normal"/>
    <w:next w:val="Normal"/>
    <w:link w:val="Heading6Char"/>
    <w:autoRedefine/>
    <w:uiPriority w:val="9"/>
    <w:semiHidden/>
    <w:unhideWhenUsed/>
    <w:rsid w:val="00104C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rsid w:val="00104C42"/>
    <w:rPr>
      <w:rFonts w:ascii="Times New Roman" w:eastAsiaTheme="minorEastAsia" w:hAnsi="Times New Roman" w:cs="Times New Roman"/>
      <w:szCs w:val="20"/>
      <w:lang w:eastAsia="zh-CN"/>
    </w:rPr>
  </w:style>
  <w:style w:type="character" w:customStyle="1" w:styleId="Heading1Char">
    <w:name w:val="Heading 1 Char"/>
    <w:basedOn w:val="DefaultParagraphFont"/>
    <w:link w:val="Heading1"/>
    <w:uiPriority w:val="11"/>
    <w:rsid w:val="006016FA"/>
    <w:rPr>
      <w:rFonts w:asciiTheme="majorBidi" w:hAnsiTheme="majorBidi" w:cs="Arial"/>
      <w:b/>
      <w:sz w:val="28"/>
    </w:rPr>
  </w:style>
  <w:style w:type="character" w:customStyle="1" w:styleId="Heading2Char">
    <w:name w:val="Heading 2 Char"/>
    <w:basedOn w:val="DefaultParagraphFont"/>
    <w:link w:val="Heading2"/>
    <w:uiPriority w:val="10"/>
    <w:rsid w:val="00104C42"/>
    <w:rPr>
      <w:rFonts w:asciiTheme="majorBidi" w:eastAsia="Calibri" w:hAnsiTheme="majorBidi" w:cs="Arial"/>
      <w:b/>
      <w:sz w:val="24"/>
    </w:rPr>
  </w:style>
  <w:style w:type="character" w:customStyle="1" w:styleId="Heading3Char">
    <w:name w:val="Heading 3 Char"/>
    <w:basedOn w:val="DefaultParagraphFont"/>
    <w:link w:val="Heading3"/>
    <w:uiPriority w:val="9"/>
    <w:rsid w:val="00104C42"/>
    <w:rPr>
      <w:rFonts w:asciiTheme="majorBidi" w:eastAsia="Calibri" w:hAnsiTheme="majorBidi" w:cs="Arial"/>
      <w:b/>
    </w:rPr>
  </w:style>
  <w:style w:type="character" w:customStyle="1" w:styleId="Heading4Char">
    <w:name w:val="Heading 4 Char"/>
    <w:basedOn w:val="DefaultParagraphFont"/>
    <w:link w:val="Heading4"/>
    <w:uiPriority w:val="9"/>
    <w:rsid w:val="00104C42"/>
    <w:rPr>
      <w:rFonts w:asciiTheme="majorBidi" w:eastAsia="Calibri" w:hAnsiTheme="majorBidi" w:cs="Arial"/>
      <w:bCs/>
      <w:i/>
      <w:iCs/>
    </w:rPr>
  </w:style>
  <w:style w:type="character" w:customStyle="1" w:styleId="Heading5Char">
    <w:name w:val="Heading 5 Char"/>
    <w:basedOn w:val="DefaultParagraphFont"/>
    <w:link w:val="Heading5"/>
    <w:uiPriority w:val="9"/>
    <w:rsid w:val="00104C42"/>
    <w:rPr>
      <w:rFonts w:asciiTheme="majorBidi" w:eastAsia="Calibri" w:hAnsiTheme="majorBidi" w:cs="Arial"/>
      <w:bCs/>
      <w:u w:val="single"/>
    </w:rPr>
  </w:style>
  <w:style w:type="character" w:customStyle="1" w:styleId="SingleTxtGChar">
    <w:name w:val="_ Single Txt_G Char"/>
    <w:link w:val="SingleTxtG"/>
    <w:qFormat/>
    <w:rsid w:val="003C3FB7"/>
    <w:rPr>
      <w:rFonts w:ascii="Times New Roman" w:eastAsia="Times New Roman" w:hAnsi="Times New Roman" w:cs="Times New Roman"/>
      <w:color w:val="00000A"/>
      <w:szCs w:val="20"/>
    </w:rPr>
  </w:style>
  <w:style w:type="character" w:styleId="CommentReference">
    <w:name w:val="annotation reference"/>
    <w:basedOn w:val="DefaultParagraphFont"/>
    <w:uiPriority w:val="99"/>
    <w:unhideWhenUsed/>
    <w:rsid w:val="00104C42"/>
    <w:rPr>
      <w:sz w:val="16"/>
      <w:szCs w:val="16"/>
    </w:rPr>
  </w:style>
  <w:style w:type="character" w:customStyle="1" w:styleId="CommentTextChar">
    <w:name w:val="Comment Text Char"/>
    <w:basedOn w:val="DefaultParagraphFont"/>
    <w:link w:val="CommentText"/>
    <w:uiPriority w:val="99"/>
    <w:rsid w:val="00104C42"/>
    <w:rPr>
      <w:rFonts w:ascii="Times New Roman" w:hAnsi="Times New Roman" w:cs="Arial"/>
      <w:szCs w:val="20"/>
    </w:rPr>
  </w:style>
  <w:style w:type="character" w:customStyle="1" w:styleId="CommentSubjectChar">
    <w:name w:val="Comment Subject Char"/>
    <w:basedOn w:val="CommentTextChar"/>
    <w:link w:val="CommentSubject"/>
    <w:uiPriority w:val="99"/>
    <w:semiHidden/>
    <w:rsid w:val="00104C42"/>
    <w:rPr>
      <w:rFonts w:ascii="Times New Roman" w:hAnsi="Times New Roman" w:cs="Arial"/>
      <w:b/>
      <w:bCs/>
      <w:szCs w:val="20"/>
    </w:rPr>
  </w:style>
  <w:style w:type="character" w:customStyle="1" w:styleId="BalloonTextChar">
    <w:name w:val="Balloon Text Char"/>
    <w:basedOn w:val="DefaultParagraphFont"/>
    <w:link w:val="BalloonText"/>
    <w:uiPriority w:val="99"/>
    <w:semiHidden/>
    <w:rsid w:val="00104C42"/>
    <w:rPr>
      <w:rFonts w:ascii="Segoe UI" w:hAnsi="Segoe UI" w:cs="Segoe UI"/>
      <w:sz w:val="18"/>
      <w:szCs w:val="18"/>
    </w:rPr>
  </w:style>
  <w:style w:type="character" w:customStyle="1" w:styleId="Internet-hivatkozs">
    <w:name w:val="Internet-hivatkozás"/>
    <w:basedOn w:val="DefaultParagraphFont"/>
    <w:uiPriority w:val="99"/>
    <w:unhideWhenUsed/>
    <w:rsid w:val="00AC26F6"/>
    <w:rPr>
      <w:color w:val="0563C1" w:themeColor="hyperlink"/>
      <w:u w:val="single"/>
    </w:rPr>
  </w:style>
  <w:style w:type="character" w:styleId="FootnoteReference">
    <w:name w:val="footnote reference"/>
    <w:aliases w:val="4_G"/>
    <w:basedOn w:val="DefaultParagraphFont"/>
    <w:unhideWhenUsed/>
    <w:rsid w:val="00104C42"/>
    <w:rPr>
      <w:vertAlign w:val="superscript"/>
    </w:rPr>
  </w:style>
  <w:style w:type="character" w:customStyle="1" w:styleId="HeaderChar">
    <w:name w:val="Header Char"/>
    <w:basedOn w:val="DefaultParagraphFont"/>
    <w:link w:val="Header"/>
    <w:uiPriority w:val="99"/>
    <w:rsid w:val="00104C42"/>
    <w:rPr>
      <w:rFonts w:asciiTheme="majorBidi" w:hAnsiTheme="majorBidi" w:cstheme="majorBidi"/>
      <w:szCs w:val="20"/>
    </w:rPr>
  </w:style>
  <w:style w:type="character" w:customStyle="1" w:styleId="FooterChar">
    <w:name w:val="Footer Char"/>
    <w:basedOn w:val="DefaultParagraphFont"/>
    <w:link w:val="Footer"/>
    <w:uiPriority w:val="99"/>
    <w:rsid w:val="00104C42"/>
    <w:rPr>
      <w:rFonts w:ascii="Times New Roman" w:hAnsi="Times New Roman" w:cs="Arial"/>
    </w:rPr>
  </w:style>
  <w:style w:type="character" w:customStyle="1" w:styleId="ListLabel1">
    <w:name w:val="ListLabel 1"/>
    <w:rPr>
      <w:b w:val="0"/>
      <w:sz w:val="20"/>
    </w:rPr>
  </w:style>
  <w:style w:type="character" w:customStyle="1" w:styleId="ListLabel2">
    <w:name w:val="ListLabel 2"/>
    <w:rPr>
      <w:b w:val="0"/>
      <w:sz w:val="20"/>
    </w:rPr>
  </w:style>
  <w:style w:type="character" w:customStyle="1" w:styleId="ListLabel3">
    <w:name w:val="ListLabel 3"/>
    <w:rPr>
      <w:b w:val="0"/>
      <w:sz w:val="20"/>
    </w:rPr>
  </w:style>
  <w:style w:type="character" w:customStyle="1" w:styleId="ListLabel4">
    <w:name w:val="ListLabel 4"/>
    <w:rPr>
      <w:b w:val="0"/>
      <w:sz w:val="20"/>
    </w:rPr>
  </w:style>
  <w:style w:type="character" w:customStyle="1" w:styleId="ListLabel5">
    <w:name w:val="ListLabel 5"/>
    <w:rPr>
      <w:rFonts w:eastAsia="Times New Roman" w:cs="Times New Roman"/>
    </w:rPr>
  </w:style>
  <w:style w:type="character" w:customStyle="1" w:styleId="ListLabel6">
    <w:name w:val="ListLabel 6"/>
    <w:rPr>
      <w:rFonts w:eastAsia="Times New Roman" w:cs="Times New Roman"/>
    </w:rPr>
  </w:style>
  <w:style w:type="character" w:customStyle="1" w:styleId="ListLabel7">
    <w:name w:val="ListLabel 7"/>
    <w:rPr>
      <w:rFonts w:eastAsia="Times New Roman" w:cs="Times New Roman"/>
    </w:rPr>
  </w:style>
  <w:style w:type="character" w:customStyle="1" w:styleId="ListLabel8">
    <w:name w:val="ListLabel 8"/>
    <w:rPr>
      <w:rFonts w:eastAsia="Times New Roman" w:cs="Times New Roman"/>
    </w:rPr>
  </w:style>
  <w:style w:type="character" w:customStyle="1" w:styleId="ListLabel9">
    <w:name w:val="ListLabel 9"/>
    <w:rPr>
      <w:rFonts w:eastAsia="Calibri"/>
    </w:rPr>
  </w:style>
  <w:style w:type="character" w:customStyle="1" w:styleId="ListLabel10">
    <w:name w:val="ListLabel 10"/>
    <w:rPr>
      <w:rFonts w:eastAsia="Calibri"/>
    </w:rPr>
  </w:style>
  <w:style w:type="character" w:customStyle="1" w:styleId="ListLabel11">
    <w:name w:val="ListLabel 11"/>
    <w:rPr>
      <w:rFonts w:eastAsia="Calibri"/>
    </w:rPr>
  </w:style>
  <w:style w:type="character" w:customStyle="1" w:styleId="ListLabel12">
    <w:name w:val="ListLabel 12"/>
    <w:rPr>
      <w:rFonts w:eastAsia="Calibri"/>
    </w:rPr>
  </w:style>
  <w:style w:type="paragraph" w:customStyle="1" w:styleId="Cmsor">
    <w:name w:val="Címsor"/>
    <w:basedOn w:val="Normal"/>
    <w:next w:val="BodyText"/>
    <w:pPr>
      <w:keepNext/>
      <w:spacing w:before="240"/>
    </w:pPr>
    <w:rPr>
      <w:rFonts w:ascii="Liberation Sans" w:eastAsia="Microsoft YaHei" w:hAnsi="Liberation Sans" w:cs="Lucida Sans"/>
      <w:sz w:val="28"/>
      <w:szCs w:val="28"/>
    </w:rPr>
  </w:style>
  <w:style w:type="paragraph" w:styleId="BodyText">
    <w:name w:val="Body Text"/>
    <w:basedOn w:val="Normal"/>
    <w:rsid w:val="00DA0C5B"/>
    <w:pPr>
      <w:spacing w:after="140" w:line="288" w:lineRule="auto"/>
    </w:pPr>
  </w:style>
  <w:style w:type="paragraph" w:styleId="List">
    <w:name w:val="List"/>
    <w:basedOn w:val="BodyText"/>
    <w:rPr>
      <w:rFonts w:cs="Lucida Sans"/>
    </w:rPr>
  </w:style>
  <w:style w:type="paragraph" w:styleId="Caption">
    <w:name w:val="caption"/>
    <w:basedOn w:val="Normal"/>
    <w:pPr>
      <w:suppressLineNumbers/>
      <w:spacing w:before="120"/>
    </w:pPr>
    <w:rPr>
      <w:rFonts w:cs="Lucida Sans"/>
      <w:i/>
      <w:iCs/>
      <w:sz w:val="24"/>
      <w:szCs w:val="24"/>
    </w:rPr>
  </w:style>
  <w:style w:type="paragraph" w:customStyle="1" w:styleId="Trgymutat">
    <w:name w:val="Tárgymutató"/>
    <w:basedOn w:val="Normal"/>
    <w:pPr>
      <w:suppressLineNumbers/>
    </w:pPr>
    <w:rPr>
      <w:rFonts w:cs="Lucida Sans"/>
    </w:rPr>
  </w:style>
  <w:style w:type="paragraph" w:styleId="FootnoteText">
    <w:name w:val="footnote text"/>
    <w:aliases w:val="5_G"/>
    <w:basedOn w:val="Normal"/>
    <w:link w:val="FootnoteTextChar"/>
    <w:unhideWhenUsed/>
    <w:qFormat/>
    <w:rsid w:val="00104C42"/>
    <w:rPr>
      <w:rFonts w:eastAsiaTheme="minorEastAsia" w:cs="Times New Roman"/>
      <w:szCs w:val="20"/>
      <w:lang w:eastAsia="zh-CN"/>
    </w:rPr>
  </w:style>
  <w:style w:type="paragraph" w:styleId="ListParagraph">
    <w:name w:val="List Paragraph"/>
    <w:basedOn w:val="Normal"/>
    <w:uiPriority w:val="34"/>
    <w:qFormat/>
    <w:rsid w:val="00104C42"/>
    <w:pPr>
      <w:ind w:left="720"/>
      <w:contextualSpacing/>
    </w:pPr>
  </w:style>
  <w:style w:type="paragraph" w:customStyle="1" w:styleId="HChG">
    <w:name w:val="_ H _Ch_G"/>
    <w:basedOn w:val="Normal"/>
    <w:next w:val="Normal"/>
    <w:rsid w:val="003C3FB7"/>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A0C5B"/>
    <w:pPr>
      <w:ind w:left="1134" w:right="1134"/>
      <w:jc w:val="both"/>
    </w:pPr>
  </w:style>
  <w:style w:type="paragraph" w:styleId="CommentText">
    <w:name w:val="annotation text"/>
    <w:basedOn w:val="Normal"/>
    <w:link w:val="CommentTextChar"/>
    <w:uiPriority w:val="99"/>
    <w:unhideWhenUsed/>
    <w:rsid w:val="00104C42"/>
    <w:rPr>
      <w:szCs w:val="20"/>
    </w:rPr>
  </w:style>
  <w:style w:type="paragraph" w:styleId="CommentSubject">
    <w:name w:val="annotation subject"/>
    <w:basedOn w:val="CommentText"/>
    <w:next w:val="CommentText"/>
    <w:link w:val="CommentSubjectChar"/>
    <w:uiPriority w:val="99"/>
    <w:semiHidden/>
    <w:unhideWhenUsed/>
    <w:rsid w:val="00104C42"/>
    <w:rPr>
      <w:b/>
      <w:bCs/>
    </w:rPr>
  </w:style>
  <w:style w:type="paragraph" w:styleId="BalloonText">
    <w:name w:val="Balloon Text"/>
    <w:basedOn w:val="Normal"/>
    <w:link w:val="BalloonTextChar"/>
    <w:uiPriority w:val="99"/>
    <w:semiHidden/>
    <w:unhideWhenUsed/>
    <w:rsid w:val="00104C42"/>
    <w:pPr>
      <w:spacing w:after="0"/>
    </w:pPr>
    <w:rPr>
      <w:rFonts w:ascii="Segoe UI" w:hAnsi="Segoe UI" w:cs="Segoe UI"/>
      <w:sz w:val="18"/>
      <w:szCs w:val="18"/>
    </w:rPr>
  </w:style>
  <w:style w:type="paragraph" w:styleId="Revision">
    <w:name w:val="Revision"/>
    <w:uiPriority w:val="99"/>
    <w:semiHidden/>
    <w:qFormat/>
    <w:rsid w:val="00DA0C5B"/>
    <w:rPr>
      <w:rFonts w:ascii="Times New Roman" w:eastAsia="Times New Roman" w:hAnsi="Times New Roman" w:cs="Times New Roman"/>
      <w:color w:val="00000A"/>
      <w:szCs w:val="20"/>
    </w:rPr>
  </w:style>
  <w:style w:type="paragraph" w:styleId="Header">
    <w:name w:val="header"/>
    <w:basedOn w:val="Normal"/>
    <w:link w:val="HeaderChar"/>
    <w:uiPriority w:val="99"/>
    <w:unhideWhenUsed/>
    <w:qFormat/>
    <w:rsid w:val="00104C42"/>
    <w:pPr>
      <w:tabs>
        <w:tab w:val="center" w:pos="4513"/>
        <w:tab w:val="right" w:pos="9026"/>
      </w:tabs>
      <w:jc w:val="right"/>
    </w:pPr>
    <w:rPr>
      <w:rFonts w:asciiTheme="majorBidi" w:hAnsiTheme="majorBidi" w:cstheme="majorBidi"/>
      <w:szCs w:val="20"/>
    </w:rPr>
  </w:style>
  <w:style w:type="paragraph" w:styleId="Footer">
    <w:name w:val="footer"/>
    <w:basedOn w:val="Normal"/>
    <w:link w:val="FooterChar"/>
    <w:uiPriority w:val="99"/>
    <w:unhideWhenUsed/>
    <w:rsid w:val="00104C42"/>
    <w:pPr>
      <w:tabs>
        <w:tab w:val="center" w:pos="4513"/>
        <w:tab w:val="right" w:pos="9026"/>
      </w:tabs>
      <w:spacing w:after="0"/>
    </w:pPr>
  </w:style>
  <w:style w:type="character" w:customStyle="1" w:styleId="Heading6Char">
    <w:name w:val="Heading 6 Char"/>
    <w:basedOn w:val="DefaultParagraphFont"/>
    <w:link w:val="Heading6"/>
    <w:uiPriority w:val="9"/>
    <w:semiHidden/>
    <w:rsid w:val="00104C42"/>
    <w:rPr>
      <w:rFonts w:asciiTheme="majorHAnsi" w:eastAsiaTheme="majorEastAsia" w:hAnsiTheme="majorHAnsi" w:cstheme="majorBidi"/>
      <w:color w:val="1F4D78" w:themeColor="accent1" w:themeShade="7F"/>
    </w:rPr>
  </w:style>
  <w:style w:type="paragraph" w:styleId="Title">
    <w:name w:val="Title"/>
    <w:next w:val="NumberedParas"/>
    <w:link w:val="TitleChar"/>
    <w:uiPriority w:val="11"/>
    <w:qFormat/>
    <w:rsid w:val="00104C42"/>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rPr>
  </w:style>
  <w:style w:type="character" w:customStyle="1" w:styleId="TitleChar">
    <w:name w:val="Title Char"/>
    <w:basedOn w:val="DefaultParagraphFont"/>
    <w:link w:val="Title"/>
    <w:uiPriority w:val="11"/>
    <w:rsid w:val="00104C42"/>
    <w:rPr>
      <w:rFonts w:asciiTheme="majorBidi" w:eastAsia="Calibri" w:hAnsiTheme="majorBidi" w:cs="Arial"/>
      <w:b/>
      <w:sz w:val="28"/>
    </w:rPr>
  </w:style>
  <w:style w:type="paragraph" w:customStyle="1" w:styleId="Footnotes">
    <w:name w:val="Footnotes"/>
    <w:link w:val="FootnotesChar"/>
    <w:qFormat/>
    <w:rsid w:val="00104C42"/>
    <w:pPr>
      <w:ind w:left="1134"/>
    </w:pPr>
    <w:rPr>
      <w:rFonts w:asciiTheme="majorBidi" w:eastAsia="Calibri" w:hAnsiTheme="majorBidi" w:cs="Arial"/>
      <w:sz w:val="18"/>
      <w:szCs w:val="20"/>
    </w:rPr>
  </w:style>
  <w:style w:type="character" w:customStyle="1" w:styleId="FootnotesChar">
    <w:name w:val="Footnotes Char"/>
    <w:basedOn w:val="DefaultParagraphFont"/>
    <w:link w:val="Footnotes"/>
    <w:rsid w:val="00104C42"/>
    <w:rPr>
      <w:rFonts w:asciiTheme="majorBidi" w:eastAsia="Calibri" w:hAnsiTheme="majorBidi" w:cs="Arial"/>
      <w:sz w:val="18"/>
      <w:szCs w:val="20"/>
    </w:rPr>
  </w:style>
  <w:style w:type="paragraph" w:customStyle="1" w:styleId="NumberedParas">
    <w:name w:val="Numbered Paras"/>
    <w:basedOn w:val="Normal"/>
    <w:link w:val="NumberedParasChar"/>
    <w:qFormat/>
    <w:rsid w:val="006221A8"/>
    <w:pPr>
      <w:numPr>
        <w:numId w:val="18"/>
      </w:numPr>
      <w:tabs>
        <w:tab w:val="left" w:pos="1701"/>
      </w:tabs>
      <w:suppressAutoHyphens/>
      <w:adjustRightInd w:val="0"/>
      <w:snapToGrid w:val="0"/>
      <w:spacing w:line="240" w:lineRule="atLeast"/>
      <w:ind w:right="828"/>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104C42"/>
    <w:rPr>
      <w:rFonts w:asciiTheme="majorBidi" w:eastAsia="Calibri" w:hAnsiTheme="majorBidi" w:cs="Arial"/>
      <w:color w:val="000000" w:themeColor="text1"/>
    </w:rPr>
  </w:style>
  <w:style w:type="character" w:styleId="SubtleEmphasis">
    <w:name w:val="Subtle Emphasis"/>
    <w:basedOn w:val="DefaultParagraphFont"/>
    <w:uiPriority w:val="19"/>
    <w:rsid w:val="00104C42"/>
    <w:rPr>
      <w:i/>
      <w:iCs/>
      <w:color w:val="404040" w:themeColor="text1" w:themeTint="BF"/>
    </w:rPr>
  </w:style>
  <w:style w:type="character" w:styleId="Emphasis">
    <w:name w:val="Emphasis"/>
    <w:basedOn w:val="DefaultParagraphFont"/>
    <w:uiPriority w:val="20"/>
    <w:rsid w:val="00104C42"/>
    <w:rPr>
      <w:i/>
      <w:iCs/>
    </w:rPr>
  </w:style>
  <w:style w:type="character" w:styleId="IntenseEmphasis">
    <w:name w:val="Intense Emphasis"/>
    <w:basedOn w:val="DefaultParagraphFont"/>
    <w:uiPriority w:val="21"/>
    <w:rsid w:val="00104C42"/>
    <w:rPr>
      <w:i/>
      <w:iCs/>
      <w:color w:val="5B9BD5" w:themeColor="accent1"/>
    </w:rPr>
  </w:style>
  <w:style w:type="character" w:styleId="Strong">
    <w:name w:val="Strong"/>
    <w:basedOn w:val="DefaultParagraphFont"/>
    <w:uiPriority w:val="22"/>
    <w:rsid w:val="00104C42"/>
    <w:rPr>
      <w:b/>
      <w:bCs/>
    </w:rPr>
  </w:style>
  <w:style w:type="paragraph" w:styleId="Quote">
    <w:name w:val="Quote"/>
    <w:link w:val="QuoteChar"/>
    <w:uiPriority w:val="8"/>
    <w:qFormat/>
    <w:rsid w:val="00104C42"/>
    <w:pPr>
      <w:spacing w:before="200" w:after="160"/>
      <w:ind w:left="1395" w:right="828"/>
      <w:jc w:val="both"/>
    </w:pPr>
    <w:rPr>
      <w:rFonts w:ascii="Times New Roman" w:hAnsi="Times New Roman" w:cs="Arial"/>
      <w:iCs/>
    </w:rPr>
  </w:style>
  <w:style w:type="character" w:customStyle="1" w:styleId="QuoteChar">
    <w:name w:val="Quote Char"/>
    <w:basedOn w:val="DefaultParagraphFont"/>
    <w:link w:val="Quote"/>
    <w:uiPriority w:val="8"/>
    <w:rsid w:val="00104C42"/>
    <w:rPr>
      <w:rFonts w:ascii="Times New Roman" w:hAnsi="Times New Roman" w:cs="Arial"/>
      <w:iCs/>
    </w:rPr>
  </w:style>
  <w:style w:type="paragraph" w:styleId="IntenseQuote">
    <w:name w:val="Intense Quote"/>
    <w:basedOn w:val="Normal"/>
    <w:next w:val="Normal"/>
    <w:link w:val="IntenseQuoteChar"/>
    <w:uiPriority w:val="30"/>
    <w:rsid w:val="00104C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4C42"/>
    <w:rPr>
      <w:rFonts w:ascii="Times New Roman" w:hAnsi="Times New Roman" w:cs="Arial"/>
      <w:i/>
      <w:iCs/>
      <w:color w:val="5B9BD5" w:themeColor="accent1"/>
    </w:rPr>
  </w:style>
  <w:style w:type="paragraph" w:styleId="Subtitle">
    <w:name w:val="Subtitle"/>
    <w:basedOn w:val="Normal"/>
    <w:next w:val="Normal"/>
    <w:link w:val="SubtitleChar"/>
    <w:uiPriority w:val="12"/>
    <w:rsid w:val="00104C42"/>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104C42"/>
    <w:rPr>
      <w:rFonts w:eastAsiaTheme="minorEastAsia"/>
      <w:color w:val="5A5A5A" w:themeColor="text1" w:themeTint="A5"/>
      <w:spacing w:val="15"/>
    </w:rPr>
  </w:style>
  <w:style w:type="character" w:styleId="SubtleReference">
    <w:name w:val="Subtle Reference"/>
    <w:basedOn w:val="DefaultParagraphFont"/>
    <w:uiPriority w:val="31"/>
    <w:rsid w:val="00104C42"/>
    <w:rPr>
      <w:smallCaps/>
      <w:color w:val="5A5A5A" w:themeColor="text1" w:themeTint="A5"/>
    </w:rPr>
  </w:style>
  <w:style w:type="character" w:styleId="IntenseReference">
    <w:name w:val="Intense Reference"/>
    <w:basedOn w:val="DefaultParagraphFont"/>
    <w:uiPriority w:val="32"/>
    <w:rsid w:val="00104C42"/>
    <w:rPr>
      <w:b/>
      <w:bCs/>
      <w:smallCaps/>
      <w:color w:val="5B9BD5" w:themeColor="accent1"/>
      <w:spacing w:val="5"/>
    </w:rPr>
  </w:style>
  <w:style w:type="character" w:styleId="BookTitle">
    <w:name w:val="Book Title"/>
    <w:basedOn w:val="DefaultParagraphFont"/>
    <w:uiPriority w:val="33"/>
    <w:rsid w:val="00104C42"/>
    <w:rPr>
      <w:b/>
      <w:bCs/>
      <w:i/>
      <w:iCs/>
      <w:spacing w:val="5"/>
    </w:rPr>
  </w:style>
  <w:style w:type="paragraph" w:styleId="NoSpacing">
    <w:name w:val="No Spacing"/>
    <w:uiPriority w:val="1"/>
    <w:rsid w:val="00104C42"/>
    <w:rPr>
      <w:rFonts w:ascii="Calibri" w:hAnsi="Calibri" w:cs="Arial"/>
      <w:sz w:val="22"/>
    </w:rPr>
  </w:style>
  <w:style w:type="character" w:styleId="Hyperlink">
    <w:name w:val="Hyperlink"/>
    <w:basedOn w:val="DefaultParagraphFont"/>
    <w:uiPriority w:val="99"/>
    <w:unhideWhenUsed/>
    <w:rsid w:val="00104C42"/>
    <w:rPr>
      <w:color w:val="0563C1" w:themeColor="hyperlink"/>
      <w:u w:val="single"/>
    </w:rPr>
  </w:style>
  <w:style w:type="paragraph" w:customStyle="1" w:styleId="Default">
    <w:name w:val="Default"/>
    <w:rsid w:val="00104C4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04C42"/>
    <w:rPr>
      <w:color w:val="605E5C"/>
      <w:shd w:val="clear" w:color="auto" w:fill="E1DFDD"/>
    </w:rPr>
  </w:style>
  <w:style w:type="character" w:styleId="FollowedHyperlink">
    <w:name w:val="FollowedHyperlink"/>
    <w:basedOn w:val="DefaultParagraphFont"/>
    <w:uiPriority w:val="99"/>
    <w:semiHidden/>
    <w:unhideWhenUsed/>
    <w:rsid w:val="00E164BE"/>
    <w:rPr>
      <w:color w:val="954F72" w:themeColor="followedHyperlink"/>
      <w:u w:val="single"/>
    </w:rPr>
  </w:style>
  <w:style w:type="paragraph" w:customStyle="1" w:styleId="H1G">
    <w:name w:val="_ H_1_G"/>
    <w:basedOn w:val="Normal"/>
    <w:next w:val="Normal"/>
    <w:rsid w:val="001816E7"/>
    <w:pPr>
      <w:keepNext/>
      <w:keepLines/>
      <w:tabs>
        <w:tab w:val="right" w:pos="851"/>
      </w:tabs>
      <w:suppressAutoHyphens/>
      <w:spacing w:before="360" w:after="240" w:line="270" w:lineRule="exact"/>
      <w:ind w:left="1134" w:right="1134" w:hanging="1134"/>
    </w:pPr>
    <w:rPr>
      <w:rFonts w:eastAsia="Times New Roman" w:cs="Times New Roman"/>
      <w:b/>
      <w:sz w:val="24"/>
      <w:szCs w:val="20"/>
    </w:rPr>
  </w:style>
  <w:style w:type="table" w:styleId="TableGrid">
    <w:name w:val="Table Grid"/>
    <w:basedOn w:val="TableNormal"/>
    <w:rsid w:val="001816E7"/>
    <w:pPr>
      <w:suppressAutoHyphens/>
      <w:spacing w:line="240" w:lineRule="atLeast"/>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990868">
      <w:bodyDiv w:val="1"/>
      <w:marLeft w:val="0"/>
      <w:marRight w:val="0"/>
      <w:marTop w:val="0"/>
      <w:marBottom w:val="0"/>
      <w:divBdr>
        <w:top w:val="none" w:sz="0" w:space="0" w:color="auto"/>
        <w:left w:val="none" w:sz="0" w:space="0" w:color="auto"/>
        <w:bottom w:val="none" w:sz="0" w:space="0" w:color="auto"/>
        <w:right w:val="none" w:sz="0" w:space="0" w:color="auto"/>
      </w:divBdr>
    </w:div>
    <w:div w:id="202246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6EE3E-6EF2-43BE-ABE6-F2CED6BCEC13}">
  <ds:schemaRefs>
    <ds:schemaRef ds:uri="http://schemas.openxmlformats.org/officeDocument/2006/bibliography"/>
  </ds:schemaRefs>
</ds:datastoreItem>
</file>

<file path=customXml/itemProps2.xml><?xml version="1.0" encoding="utf-8"?>
<ds:datastoreItem xmlns:ds="http://schemas.openxmlformats.org/officeDocument/2006/customXml" ds:itemID="{B7A32A1E-8CB2-4D7B-9146-F836CDC82915}">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D06F7492-68FE-46ED-8743-E42A1D9AB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51222-5CA1-4169-A3F5-513BCDF34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ACCC2.dotx</Template>
  <TotalTime>8</TotalTime>
  <Pages>5</Pages>
  <Words>1925</Words>
  <Characters>10978</Characters>
  <Application>Microsoft Office Word</Application>
  <DocSecurity>0</DocSecurity>
  <Lines>91</Lines>
  <Paragraphs>25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UNECE</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Bechtel</dc:creator>
  <dc:description/>
  <cp:lastModifiedBy>Fiona Marshall</cp:lastModifiedBy>
  <cp:revision>6</cp:revision>
  <cp:lastPrinted>2021-07-04T22:19:00Z</cp:lastPrinted>
  <dcterms:created xsi:type="dcterms:W3CDTF">2021-07-02T16:54:00Z</dcterms:created>
  <dcterms:modified xsi:type="dcterms:W3CDTF">2021-07-04T22:21:00Z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0x010100B5BAD6B90F990844849380189D456564</vt:lpwstr>
  </property>
  <property fmtid="{D5CDD505-2E9C-101B-9397-08002B2CF9AE}" pid="10" name="Order">
    <vt:r8>8694400</vt:r8>
  </property>
</Properties>
</file>