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410"/>
        <w:gridCol w:w="2268"/>
        <w:gridCol w:w="3260"/>
        <w:gridCol w:w="1701"/>
      </w:tblGrid>
      <w:tr w:rsidR="001816E7" w:rsidRPr="00805EEC" w14:paraId="2CCFDA56" w14:textId="77777777" w:rsidTr="00F228D2">
        <w:trPr>
          <w:cantSplit/>
          <w:trHeight w:hRule="exact" w:val="851"/>
        </w:trPr>
        <w:tc>
          <w:tcPr>
            <w:tcW w:w="2410" w:type="dxa"/>
            <w:tcBorders>
              <w:bottom w:val="single" w:sz="4" w:space="0" w:color="auto"/>
            </w:tcBorders>
            <w:vAlign w:val="bottom"/>
          </w:tcPr>
          <w:p w14:paraId="66288967" w14:textId="77777777" w:rsidR="001816E7" w:rsidRPr="00C4796E" w:rsidRDefault="001816E7" w:rsidP="0050521B">
            <w:pPr>
              <w:spacing w:after="80"/>
              <w:ind w:left="1134"/>
            </w:pPr>
          </w:p>
        </w:tc>
        <w:tc>
          <w:tcPr>
            <w:tcW w:w="2268" w:type="dxa"/>
            <w:tcBorders>
              <w:bottom w:val="single" w:sz="4" w:space="0" w:color="auto"/>
            </w:tcBorders>
            <w:vAlign w:val="bottom"/>
          </w:tcPr>
          <w:p w14:paraId="3C2C2E07" w14:textId="77777777" w:rsidR="001816E7" w:rsidRPr="00C4796E" w:rsidRDefault="001816E7" w:rsidP="007C2278">
            <w:pPr>
              <w:spacing w:after="80" w:line="300" w:lineRule="exact"/>
              <w:rPr>
                <w:b/>
                <w:sz w:val="24"/>
                <w:szCs w:val="24"/>
              </w:rPr>
            </w:pPr>
            <w:r w:rsidRPr="00C4796E">
              <w:rPr>
                <w:sz w:val="28"/>
                <w:szCs w:val="28"/>
              </w:rPr>
              <w:t>United Nations</w:t>
            </w:r>
          </w:p>
        </w:tc>
        <w:tc>
          <w:tcPr>
            <w:tcW w:w="4961" w:type="dxa"/>
            <w:gridSpan w:val="2"/>
            <w:tcBorders>
              <w:bottom w:val="single" w:sz="4" w:space="0" w:color="auto"/>
            </w:tcBorders>
            <w:vAlign w:val="bottom"/>
          </w:tcPr>
          <w:p w14:paraId="05EE94D1" w14:textId="154C41B4" w:rsidR="001816E7" w:rsidRPr="00C4796E" w:rsidRDefault="001816E7" w:rsidP="0050521B">
            <w:pPr>
              <w:ind w:left="1134"/>
              <w:jc w:val="right"/>
            </w:pPr>
            <w:r w:rsidRPr="00C4796E">
              <w:rPr>
                <w:sz w:val="40"/>
              </w:rPr>
              <w:t>ECE</w:t>
            </w:r>
            <w:r w:rsidRPr="00C4796E">
              <w:t>/MP.PP/</w:t>
            </w:r>
            <w:r w:rsidR="006769F7" w:rsidRPr="001A26C0">
              <w:t>20</w:t>
            </w:r>
            <w:r w:rsidR="006769F7" w:rsidRPr="00805EEC">
              <w:t>21</w:t>
            </w:r>
            <w:r w:rsidRPr="00C4796E">
              <w:t>/</w:t>
            </w:r>
            <w:r w:rsidR="006769F7" w:rsidRPr="00805EEC">
              <w:t>XX</w:t>
            </w:r>
          </w:p>
        </w:tc>
      </w:tr>
      <w:tr w:rsidR="001816E7" w:rsidRPr="00805EEC" w14:paraId="1C79247B" w14:textId="77777777" w:rsidTr="00F228D2">
        <w:trPr>
          <w:cantSplit/>
          <w:trHeight w:hRule="exact" w:val="2835"/>
        </w:trPr>
        <w:tc>
          <w:tcPr>
            <w:tcW w:w="2410" w:type="dxa"/>
            <w:tcBorders>
              <w:top w:val="single" w:sz="4" w:space="0" w:color="auto"/>
              <w:bottom w:val="single" w:sz="12" w:space="0" w:color="auto"/>
            </w:tcBorders>
          </w:tcPr>
          <w:p w14:paraId="3CF7E8DD" w14:textId="77777777" w:rsidR="001816E7" w:rsidRPr="00C4796E" w:rsidRDefault="001816E7" w:rsidP="0050521B">
            <w:pPr>
              <w:spacing w:before="120"/>
              <w:ind w:left="1134"/>
            </w:pPr>
            <w:r w:rsidRPr="00C4796E">
              <w:rPr>
                <w:noProof/>
                <w:lang w:val="en-US"/>
              </w:rPr>
              <w:drawing>
                <wp:inline distT="0" distB="0" distL="0" distR="0" wp14:anchorId="2EAB13E4" wp14:editId="7426CAE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AD350A" w14:textId="77777777" w:rsidR="001816E7" w:rsidRPr="00805EEC" w:rsidRDefault="001816E7" w:rsidP="007C2278">
            <w:pPr>
              <w:spacing w:before="120" w:line="420" w:lineRule="exact"/>
              <w:rPr>
                <w:sz w:val="40"/>
                <w:szCs w:val="40"/>
              </w:rPr>
            </w:pPr>
            <w:r w:rsidRPr="00805EEC">
              <w:rPr>
                <w:b/>
                <w:sz w:val="40"/>
                <w:szCs w:val="40"/>
              </w:rPr>
              <w:t>Economic and Social Council</w:t>
            </w:r>
          </w:p>
        </w:tc>
        <w:tc>
          <w:tcPr>
            <w:tcW w:w="1701" w:type="dxa"/>
            <w:tcBorders>
              <w:top w:val="single" w:sz="4" w:space="0" w:color="auto"/>
              <w:bottom w:val="single" w:sz="12" w:space="0" w:color="auto"/>
            </w:tcBorders>
          </w:tcPr>
          <w:p w14:paraId="48D87070" w14:textId="77777777" w:rsidR="001816E7" w:rsidRPr="00805EEC" w:rsidRDefault="001816E7" w:rsidP="00F228D2">
            <w:pPr>
              <w:spacing w:before="240" w:line="240" w:lineRule="exact"/>
              <w:ind w:left="143"/>
            </w:pPr>
            <w:r w:rsidRPr="00805EEC">
              <w:t>Distr.: General</w:t>
            </w:r>
          </w:p>
          <w:p w14:paraId="325E4E2F" w14:textId="77777777" w:rsidR="001816E7" w:rsidRPr="00C4796E" w:rsidRDefault="001816E7" w:rsidP="00F228D2">
            <w:pPr>
              <w:spacing w:line="240" w:lineRule="exact"/>
              <w:ind w:left="143"/>
            </w:pPr>
            <w:r w:rsidRPr="00805EEC">
              <w:t>xx July 2021</w:t>
            </w:r>
          </w:p>
          <w:p w14:paraId="66EA1E37" w14:textId="77777777" w:rsidR="001816E7" w:rsidRPr="00805EEC" w:rsidRDefault="001816E7" w:rsidP="00F228D2">
            <w:pPr>
              <w:spacing w:line="240" w:lineRule="exact"/>
              <w:ind w:left="143"/>
            </w:pPr>
          </w:p>
          <w:p w14:paraId="3E960636" w14:textId="77777777" w:rsidR="001816E7" w:rsidRPr="00805EEC" w:rsidRDefault="001816E7" w:rsidP="00F228D2">
            <w:pPr>
              <w:spacing w:line="240" w:lineRule="exact"/>
              <w:ind w:left="143"/>
            </w:pPr>
            <w:r w:rsidRPr="00805EEC">
              <w:t>Original: English</w:t>
            </w:r>
          </w:p>
        </w:tc>
      </w:tr>
    </w:tbl>
    <w:p w14:paraId="6E793482" w14:textId="77777777" w:rsidR="001816E7" w:rsidRPr="00805EEC" w:rsidRDefault="001816E7" w:rsidP="0050521B">
      <w:pPr>
        <w:spacing w:before="120"/>
        <w:ind w:left="1134"/>
        <w:rPr>
          <w:b/>
          <w:sz w:val="28"/>
          <w:szCs w:val="28"/>
        </w:rPr>
      </w:pPr>
      <w:r w:rsidRPr="00805EEC">
        <w:rPr>
          <w:b/>
          <w:sz w:val="28"/>
          <w:szCs w:val="28"/>
        </w:rPr>
        <w:t>Economic Commission for Europe</w:t>
      </w:r>
    </w:p>
    <w:p w14:paraId="3AE0576A" w14:textId="77777777" w:rsidR="001816E7" w:rsidRPr="00805EEC" w:rsidRDefault="001816E7" w:rsidP="0050521B">
      <w:pPr>
        <w:spacing w:before="120"/>
        <w:ind w:left="1134"/>
        <w:rPr>
          <w:b/>
          <w:sz w:val="24"/>
          <w:szCs w:val="24"/>
        </w:rPr>
      </w:pPr>
      <w:r w:rsidRPr="00805EEC">
        <w:rPr>
          <w:sz w:val="28"/>
          <w:szCs w:val="28"/>
        </w:rPr>
        <w:t xml:space="preserve">Meeting of the Parties to the Convention on </w:t>
      </w:r>
      <w:r w:rsidRPr="00805EEC">
        <w:rPr>
          <w:sz w:val="28"/>
          <w:szCs w:val="28"/>
        </w:rPr>
        <w:br/>
        <w:t xml:space="preserve">Access to Information, Public Participation </w:t>
      </w:r>
      <w:r w:rsidRPr="00805EEC">
        <w:rPr>
          <w:sz w:val="28"/>
          <w:szCs w:val="28"/>
        </w:rPr>
        <w:br/>
        <w:t xml:space="preserve">in Decision-making and Access to Justice </w:t>
      </w:r>
      <w:r w:rsidRPr="00805EEC">
        <w:rPr>
          <w:sz w:val="28"/>
          <w:szCs w:val="28"/>
        </w:rPr>
        <w:br/>
        <w:t>in Environmental Matters</w:t>
      </w:r>
    </w:p>
    <w:p w14:paraId="4B863E78" w14:textId="77777777" w:rsidR="001816E7" w:rsidRPr="00805EEC" w:rsidRDefault="001816E7" w:rsidP="0050521B">
      <w:pPr>
        <w:spacing w:before="120" w:after="0"/>
        <w:ind w:left="1134"/>
        <w:rPr>
          <w:b/>
          <w:bCs/>
        </w:rPr>
      </w:pPr>
      <w:r w:rsidRPr="00805EEC">
        <w:rPr>
          <w:b/>
          <w:bCs/>
        </w:rPr>
        <w:t>Seventh session</w:t>
      </w:r>
    </w:p>
    <w:p w14:paraId="78176DF0" w14:textId="031C5B43" w:rsidR="001816E7" w:rsidRPr="00805EEC" w:rsidRDefault="001816E7" w:rsidP="0050521B">
      <w:pPr>
        <w:spacing w:after="0"/>
        <w:ind w:left="1134"/>
      </w:pPr>
      <w:r w:rsidRPr="00805EEC">
        <w:t xml:space="preserve">Geneva, 18 – </w:t>
      </w:r>
      <w:r w:rsidR="007C2278" w:rsidRPr="00805EEC">
        <w:t>2</w:t>
      </w:r>
      <w:r w:rsidR="007C2278">
        <w:t>0</w:t>
      </w:r>
      <w:r w:rsidR="007C2278" w:rsidRPr="00805EEC">
        <w:t xml:space="preserve"> </w:t>
      </w:r>
      <w:r w:rsidRPr="00805EEC">
        <w:t>October 2021</w:t>
      </w:r>
    </w:p>
    <w:p w14:paraId="35E1830E" w14:textId="71E5C984" w:rsidR="001816E7" w:rsidRPr="00805EEC" w:rsidRDefault="001816E7" w:rsidP="0050521B">
      <w:pPr>
        <w:spacing w:after="0"/>
        <w:ind w:left="1134"/>
      </w:pPr>
      <w:r w:rsidRPr="00805EEC">
        <w:t xml:space="preserve">Item </w:t>
      </w:r>
      <w:r w:rsidR="0071561F">
        <w:t>x</w:t>
      </w:r>
      <w:r w:rsidRPr="00805EEC">
        <w:t xml:space="preserve"> (</w:t>
      </w:r>
      <w:r w:rsidR="0071561F">
        <w:t>x</w:t>
      </w:r>
      <w:r w:rsidRPr="00805EEC">
        <w:t>) of the provisional agenda</w:t>
      </w:r>
    </w:p>
    <w:p w14:paraId="276D7519" w14:textId="77777777" w:rsidR="001816E7" w:rsidRPr="00805EEC" w:rsidRDefault="001816E7" w:rsidP="0050521B">
      <w:pPr>
        <w:spacing w:after="0"/>
        <w:ind w:left="1134"/>
        <w:rPr>
          <w:b/>
        </w:rPr>
      </w:pPr>
      <w:r w:rsidRPr="00805EEC">
        <w:rPr>
          <w:b/>
        </w:rPr>
        <w:t xml:space="preserve">Procedures and mechanisms facilitating the implementation of the Convention: </w:t>
      </w:r>
    </w:p>
    <w:p w14:paraId="2D31FEB9" w14:textId="77777777" w:rsidR="001816E7" w:rsidRPr="00C4796E" w:rsidRDefault="001816E7" w:rsidP="0050521B">
      <w:pPr>
        <w:spacing w:after="0"/>
        <w:ind w:left="1134"/>
        <w:rPr>
          <w:b/>
        </w:rPr>
      </w:pPr>
      <w:r w:rsidRPr="00805EEC">
        <w:rPr>
          <w:b/>
        </w:rPr>
        <w:t>Compliance mechanism</w:t>
      </w:r>
    </w:p>
    <w:p w14:paraId="7205D359" w14:textId="1BBAC71D" w:rsidR="001816E7" w:rsidRPr="00805EEC" w:rsidRDefault="001816E7" w:rsidP="0050521B">
      <w:pPr>
        <w:pStyle w:val="HChG"/>
        <w:ind w:firstLine="0"/>
        <w:rPr>
          <w:lang w:eastAsia="zh-CN"/>
        </w:rPr>
      </w:pPr>
      <w:r w:rsidRPr="00805EEC">
        <w:rPr>
          <w:lang w:eastAsia="zh-CN"/>
        </w:rPr>
        <w:tab/>
      </w:r>
      <w:r w:rsidRPr="00805EEC">
        <w:rPr>
          <w:lang w:eastAsia="zh-CN"/>
        </w:rPr>
        <w:tab/>
      </w:r>
      <w:r w:rsidR="00BF595C">
        <w:rPr>
          <w:lang w:eastAsia="zh-CN"/>
        </w:rPr>
        <w:t>Draft r</w:t>
      </w:r>
      <w:r w:rsidRPr="00805EEC">
        <w:rPr>
          <w:lang w:eastAsia="zh-CN"/>
        </w:rPr>
        <w:t>eport of the Compliance Committee</w:t>
      </w:r>
      <w:r w:rsidRPr="00805EEC">
        <w:rPr>
          <w:rStyle w:val="FootnoteReference"/>
          <w:sz w:val="20"/>
          <w:lang w:eastAsia="zh-CN"/>
        </w:rPr>
        <w:footnoteReference w:customMarkFollows="1" w:id="2"/>
        <w:t>*</w:t>
      </w:r>
    </w:p>
    <w:p w14:paraId="6489FCDC" w14:textId="0C816EE6" w:rsidR="001816E7" w:rsidRPr="00C4796E" w:rsidRDefault="001816E7" w:rsidP="0050521B">
      <w:pPr>
        <w:pStyle w:val="H1G"/>
        <w:ind w:right="141" w:firstLine="0"/>
        <w:rPr>
          <w:lang w:eastAsia="zh-CN"/>
        </w:rPr>
      </w:pPr>
      <w:r w:rsidRPr="00805EEC">
        <w:rPr>
          <w:lang w:eastAsia="zh-CN"/>
        </w:rPr>
        <w:tab/>
      </w:r>
      <w:r w:rsidRPr="00805EEC">
        <w:rPr>
          <w:lang w:eastAsia="zh-CN"/>
        </w:rPr>
        <w:tab/>
        <w:t xml:space="preserve">Compliance by </w:t>
      </w:r>
      <w:r w:rsidR="004348E3" w:rsidRPr="00805EEC">
        <w:rPr>
          <w:lang w:eastAsia="zh-CN"/>
        </w:rPr>
        <w:t>Ireland</w:t>
      </w:r>
      <w:r w:rsidRPr="00805EEC">
        <w:rPr>
          <w:lang w:eastAsia="zh-CN"/>
        </w:rPr>
        <w:t xml:space="preserve"> with its obligations under the Convention</w:t>
      </w:r>
    </w:p>
    <w:tbl>
      <w:tblPr>
        <w:tblStyle w:val="TableGrid"/>
        <w:tblW w:w="0" w:type="auto"/>
        <w:jc w:val="center"/>
        <w:tblBorders>
          <w:insideH w:val="none" w:sz="0" w:space="0" w:color="auto"/>
        </w:tblBorders>
        <w:tblLook w:val="05E0" w:firstRow="1" w:lastRow="1" w:firstColumn="1" w:lastColumn="1" w:noHBand="0" w:noVBand="1"/>
      </w:tblPr>
      <w:tblGrid>
        <w:gridCol w:w="8074"/>
      </w:tblGrid>
      <w:tr w:rsidR="001816E7" w:rsidRPr="00805EEC" w14:paraId="1C1DC92B" w14:textId="77777777" w:rsidTr="0050521B">
        <w:trPr>
          <w:jc w:val="center"/>
        </w:trPr>
        <w:tc>
          <w:tcPr>
            <w:tcW w:w="8074" w:type="dxa"/>
            <w:shd w:val="clear" w:color="auto" w:fill="auto"/>
          </w:tcPr>
          <w:p w14:paraId="1CB663C2" w14:textId="77777777" w:rsidR="001816E7" w:rsidRPr="00FE0589" w:rsidRDefault="001816E7" w:rsidP="0050521B">
            <w:pPr>
              <w:spacing w:before="240"/>
              <w:ind w:left="1134"/>
              <w:rPr>
                <w:i/>
                <w:iCs/>
                <w:sz w:val="24"/>
                <w:lang w:eastAsia="zh-CN"/>
              </w:rPr>
            </w:pPr>
            <w:r w:rsidRPr="00FE0589">
              <w:rPr>
                <w:i/>
                <w:iCs/>
                <w:sz w:val="24"/>
                <w:lang w:eastAsia="zh-CN"/>
              </w:rPr>
              <w:t>Summary</w:t>
            </w:r>
          </w:p>
        </w:tc>
      </w:tr>
      <w:tr w:rsidR="001816E7" w:rsidRPr="00805EEC" w14:paraId="528F78A1" w14:textId="77777777" w:rsidTr="0050521B">
        <w:trPr>
          <w:jc w:val="center"/>
        </w:trPr>
        <w:tc>
          <w:tcPr>
            <w:tcW w:w="8074" w:type="dxa"/>
            <w:shd w:val="clear" w:color="auto" w:fill="auto"/>
          </w:tcPr>
          <w:p w14:paraId="3DBB393C" w14:textId="490399F6" w:rsidR="001816E7" w:rsidRPr="00805EEC" w:rsidRDefault="001816E7" w:rsidP="0071561F">
            <w:pPr>
              <w:pStyle w:val="SingleTxtG"/>
              <w:rPr>
                <w:lang w:eastAsia="zh-CN"/>
              </w:rPr>
            </w:pPr>
            <w:r w:rsidRPr="00805EEC">
              <w:t>This document is prepared by the Compliance Committee in accordance with the Committee’s mandate set out in paragraph 35 of the annex to decision I/7 of the Meeting of the Parties on review of compliance (ECE/MP.PP/2/Add.8</w:t>
            </w:r>
            <w:r w:rsidRPr="00805EEC">
              <w:rPr>
                <w:lang w:eastAsia="zh-CN"/>
              </w:rPr>
              <w:t>)</w:t>
            </w:r>
            <w:r w:rsidR="0071561F">
              <w:rPr>
                <w:lang w:eastAsia="zh-CN"/>
              </w:rPr>
              <w:t xml:space="preserve"> </w:t>
            </w:r>
            <w:r w:rsidR="0071561F">
              <w:t>and reviews</w:t>
            </w:r>
            <w:r w:rsidR="0071561F" w:rsidRPr="001A658F">
              <w:t xml:space="preserve"> </w:t>
            </w:r>
            <w:r w:rsidR="0071561F" w:rsidRPr="007576B2">
              <w:t xml:space="preserve">the progress by the Party concerned to implement </w:t>
            </w:r>
            <w:r w:rsidR="0071561F">
              <w:t xml:space="preserve">the Committee’s findings and recommendations </w:t>
            </w:r>
            <w:r w:rsidR="0071561F" w:rsidRPr="00173573">
              <w:t xml:space="preserve">on communication </w:t>
            </w:r>
            <w:r w:rsidR="0071561F" w:rsidRPr="007F65D3">
              <w:t>ACCC/C/201</w:t>
            </w:r>
            <w:r w:rsidR="0071561F">
              <w:t>3</w:t>
            </w:r>
            <w:r w:rsidR="0071561F" w:rsidRPr="007F65D3">
              <w:t>/1</w:t>
            </w:r>
            <w:r w:rsidR="0071561F">
              <w:t>07 concerning the compliance of Ireland</w:t>
            </w:r>
            <w:r w:rsidRPr="00805EEC">
              <w:rPr>
                <w:lang w:eastAsia="zh-CN"/>
              </w:rPr>
              <w:t>.</w:t>
            </w:r>
          </w:p>
        </w:tc>
      </w:tr>
      <w:tr w:rsidR="001816E7" w:rsidRPr="00805EEC" w14:paraId="3C8ADF0C" w14:textId="77777777" w:rsidTr="0050521B">
        <w:trPr>
          <w:trHeight w:val="264"/>
          <w:jc w:val="center"/>
        </w:trPr>
        <w:tc>
          <w:tcPr>
            <w:tcW w:w="8074" w:type="dxa"/>
            <w:shd w:val="clear" w:color="auto" w:fill="auto"/>
          </w:tcPr>
          <w:p w14:paraId="65139D6A" w14:textId="77777777" w:rsidR="001816E7" w:rsidRPr="00805EEC" w:rsidRDefault="001816E7" w:rsidP="0050521B">
            <w:pPr>
              <w:ind w:left="1134"/>
              <w:rPr>
                <w:lang w:eastAsia="zh-CN"/>
              </w:rPr>
            </w:pPr>
          </w:p>
        </w:tc>
      </w:tr>
    </w:tbl>
    <w:p w14:paraId="369BACA5" w14:textId="77777777" w:rsidR="001816E7" w:rsidRPr="00805EEC" w:rsidRDefault="001816E7" w:rsidP="0050521B">
      <w:pPr>
        <w:ind w:left="1134"/>
        <w:rPr>
          <w:lang w:eastAsia="zh-CN"/>
        </w:rPr>
      </w:pPr>
    </w:p>
    <w:p w14:paraId="2CFDAB2C" w14:textId="03A56866" w:rsidR="00732ACE" w:rsidRPr="00805EEC" w:rsidRDefault="001816E7" w:rsidP="0050521B">
      <w:pPr>
        <w:ind w:left="1134"/>
        <w:rPr>
          <w:lang w:eastAsia="zh-CN"/>
        </w:rPr>
      </w:pPr>
      <w:r w:rsidRPr="00805EEC">
        <w:rPr>
          <w:lang w:eastAsia="zh-CN"/>
        </w:rPr>
        <w:br w:type="page"/>
      </w:r>
    </w:p>
    <w:p w14:paraId="15AB64CD" w14:textId="531E505D" w:rsidR="00732ACE" w:rsidRPr="00805EEC" w:rsidRDefault="00FC294E" w:rsidP="0050521B">
      <w:pPr>
        <w:pStyle w:val="Heading1"/>
        <w:ind w:left="1134" w:firstLine="0"/>
      </w:pPr>
      <w:r w:rsidRPr="00805EEC">
        <w:lastRenderedPageBreak/>
        <w:tab/>
        <w:t xml:space="preserve">Introduction </w:t>
      </w:r>
    </w:p>
    <w:p w14:paraId="6B46BFA5" w14:textId="7EFF142B" w:rsidR="00732ACE" w:rsidRPr="00805EEC" w:rsidRDefault="004216FB" w:rsidP="0050521B">
      <w:pPr>
        <w:pStyle w:val="NumberedParas"/>
        <w:ind w:left="1134" w:firstLine="0"/>
      </w:pPr>
      <w:r w:rsidRPr="00805EEC">
        <w:t xml:space="preserve">On </w:t>
      </w:r>
      <w:r w:rsidR="00DB523F" w:rsidRPr="00805EEC">
        <w:t>19 September 2019</w:t>
      </w:r>
      <w:r w:rsidRPr="00805EEC">
        <w:t xml:space="preserve">, the Committee adopted its findings </w:t>
      </w:r>
      <w:r w:rsidR="004E7D63" w:rsidRPr="00805EEC">
        <w:t xml:space="preserve">and recommendations </w:t>
      </w:r>
      <w:r w:rsidRPr="00805EEC">
        <w:t>on communication ACCC</w:t>
      </w:r>
      <w:r w:rsidR="004E7D63" w:rsidRPr="00805EEC">
        <w:t>/C/201</w:t>
      </w:r>
      <w:r w:rsidR="00DB523F" w:rsidRPr="00805EEC">
        <w:t>3</w:t>
      </w:r>
      <w:r w:rsidR="004E7D63" w:rsidRPr="00805EEC">
        <w:t>/10</w:t>
      </w:r>
      <w:r w:rsidR="00DB523F" w:rsidRPr="00805EEC">
        <w:t>7</w:t>
      </w:r>
      <w:r w:rsidR="004E7D63" w:rsidRPr="00805EEC">
        <w:t xml:space="preserve"> concerning the compliance of the </w:t>
      </w:r>
      <w:r w:rsidR="00DB523F" w:rsidRPr="00805EEC">
        <w:t>Ireland</w:t>
      </w:r>
      <w:r w:rsidR="004E7D63" w:rsidRPr="00805EEC">
        <w:t xml:space="preserve"> </w:t>
      </w:r>
      <w:r w:rsidR="00FC294E" w:rsidRPr="00805EEC">
        <w:t xml:space="preserve">(see </w:t>
      </w:r>
      <w:r w:rsidR="00DB523F" w:rsidRPr="00805EEC">
        <w:t>ECE/MP.PP/C.1/2019/9</w:t>
      </w:r>
      <w:r w:rsidR="004E7D63" w:rsidRPr="00805EEC">
        <w:t>)</w:t>
      </w:r>
      <w:r w:rsidR="00FC294E" w:rsidRPr="00805EEC">
        <w:t>.</w:t>
      </w:r>
    </w:p>
    <w:p w14:paraId="32F7AD35" w14:textId="6ED622EC" w:rsidR="004E7D63" w:rsidRPr="00805EEC" w:rsidRDefault="004E7D63" w:rsidP="0050521B">
      <w:pPr>
        <w:pStyle w:val="NumberedParas"/>
        <w:ind w:left="1134" w:firstLine="0"/>
      </w:pPr>
      <w:r w:rsidRPr="00805EEC">
        <w:t>In accordance with paragraph 36(b) of the annex to decision I/7</w:t>
      </w:r>
      <w:r w:rsidR="00D9186C" w:rsidRPr="00805EEC">
        <w:t xml:space="preserve"> of the Meeting of the Parties</w:t>
      </w:r>
      <w:r w:rsidRPr="00805EEC">
        <w:t>, the Party concerned agreed that the Committee might make its recommendations to it directly, in order to address compliance matters without delay pending the seventh session of the Meeting of the Parties.</w:t>
      </w:r>
    </w:p>
    <w:p w14:paraId="084B0242" w14:textId="2F49ADB7" w:rsidR="00732ACE" w:rsidRPr="00805EEC" w:rsidRDefault="00FC294E" w:rsidP="0050521B">
      <w:pPr>
        <w:pStyle w:val="Heading1"/>
        <w:ind w:left="1134" w:firstLine="0"/>
      </w:pPr>
      <w:r w:rsidRPr="00805EEC">
        <w:t xml:space="preserve">Summary of follow-up </w:t>
      </w:r>
    </w:p>
    <w:p w14:paraId="4507BB76" w14:textId="20D0C105" w:rsidR="00732ACE" w:rsidRPr="00805EEC" w:rsidRDefault="00FC294E" w:rsidP="0050521B">
      <w:pPr>
        <w:pStyle w:val="NumberedParas"/>
        <w:ind w:left="1134" w:firstLine="0"/>
      </w:pPr>
      <w:r w:rsidRPr="00805EEC">
        <w:t>On 1 October 20</w:t>
      </w:r>
      <w:r w:rsidR="00A90567" w:rsidRPr="00805EEC">
        <w:t>20</w:t>
      </w:r>
      <w:r w:rsidRPr="00805EEC">
        <w:t xml:space="preserve">, </w:t>
      </w:r>
      <w:r w:rsidR="004E7D63" w:rsidRPr="00805EEC">
        <w:t xml:space="preserve">the Party concerned </w:t>
      </w:r>
      <w:r w:rsidRPr="00805EEC">
        <w:t>submitted its first progress report.</w:t>
      </w:r>
    </w:p>
    <w:p w14:paraId="54AF6D5D" w14:textId="031FD2B4" w:rsidR="00732ACE" w:rsidRPr="00805EEC" w:rsidRDefault="00FC294E" w:rsidP="0050521B">
      <w:pPr>
        <w:pStyle w:val="NumberedParas"/>
        <w:ind w:left="1134" w:firstLine="0"/>
      </w:pPr>
      <w:r w:rsidRPr="00805EEC">
        <w:t xml:space="preserve">On </w:t>
      </w:r>
      <w:r w:rsidR="001D6036" w:rsidRPr="00805EEC">
        <w:t>31 October 2020</w:t>
      </w:r>
      <w:r w:rsidR="004E7D63" w:rsidRPr="00805EEC">
        <w:t>, the communicant of communication ACCC/C/201</w:t>
      </w:r>
      <w:r w:rsidR="001D6036" w:rsidRPr="00805EEC">
        <w:t>3</w:t>
      </w:r>
      <w:r w:rsidR="004E7D63" w:rsidRPr="00805EEC">
        <w:t>/10</w:t>
      </w:r>
      <w:r w:rsidR="001D6036" w:rsidRPr="00805EEC">
        <w:t>7</w:t>
      </w:r>
      <w:r w:rsidR="004E7D63" w:rsidRPr="00805EEC">
        <w:t xml:space="preserve"> provided its comments on the Party concerned’s first progress report. </w:t>
      </w:r>
    </w:p>
    <w:p w14:paraId="76E2FAD6" w14:textId="30488443" w:rsidR="004348E3" w:rsidRPr="00805EEC" w:rsidRDefault="004348E3" w:rsidP="0050521B">
      <w:pPr>
        <w:pStyle w:val="NumberedParas"/>
        <w:ind w:left="1134" w:firstLine="0"/>
      </w:pPr>
      <w:r w:rsidRPr="00805EEC">
        <w:t>On 29 May 2021, observer Irish Environmental Network provided additional information.</w:t>
      </w:r>
    </w:p>
    <w:p w14:paraId="6906CE5C" w14:textId="3EF8D42B" w:rsidR="000976B2" w:rsidRDefault="000976B2" w:rsidP="0050521B">
      <w:pPr>
        <w:pStyle w:val="NumberedParas"/>
        <w:tabs>
          <w:tab w:val="num" w:pos="851"/>
        </w:tabs>
        <w:ind w:left="1134" w:firstLine="0"/>
      </w:pPr>
      <w:r w:rsidRPr="00805EEC">
        <w:t>On 10 June 2021, the Party concerned provided additional information on the developments having taken place since its first progress report.</w:t>
      </w:r>
    </w:p>
    <w:p w14:paraId="1CB59B1D" w14:textId="3C0AA53E" w:rsidR="0071561F" w:rsidRPr="003401A1" w:rsidRDefault="0071561F" w:rsidP="0071561F">
      <w:pPr>
        <w:pStyle w:val="NumberedParas"/>
        <w:ind w:left="1134" w:firstLine="0"/>
      </w:pPr>
      <w:r w:rsidRPr="003401A1">
        <w:t xml:space="preserve">The Committee completed its draft report to the seventh session of the Meeting of the Parties on the progress by the Party concerned to implement the Committee’s findings and recommendations on communication ACCC/C/2016/141 through its electronic decision-making procedure on </w:t>
      </w:r>
      <w:r w:rsidR="003401A1">
        <w:t>4 July</w:t>
      </w:r>
      <w:r w:rsidR="003401A1" w:rsidRPr="003401A1">
        <w:t xml:space="preserve"> </w:t>
      </w:r>
      <w:r w:rsidRPr="003401A1">
        <w:t xml:space="preserve">2021. In accordance with paragraph 34 of the annex to decision I/7, the draft report was then forwarded </w:t>
      </w:r>
      <w:r w:rsidR="0097452E">
        <w:t>on that date</w:t>
      </w:r>
      <w:r w:rsidRPr="003401A1">
        <w:t xml:space="preserve"> to the Party concerned and communicant with an invitation to provide comments by </w:t>
      </w:r>
      <w:r w:rsidR="003401A1">
        <w:t xml:space="preserve">19 </w:t>
      </w:r>
      <w:r w:rsidRPr="003401A1">
        <w:t>July 2021.</w:t>
      </w:r>
    </w:p>
    <w:p w14:paraId="7E0C7BFA" w14:textId="6ED01DCB" w:rsidR="0071561F" w:rsidRPr="0071561F" w:rsidRDefault="0071561F" w:rsidP="0071561F">
      <w:pPr>
        <w:pStyle w:val="NumberedParas"/>
        <w:tabs>
          <w:tab w:val="num" w:pos="851"/>
        </w:tabs>
        <w:ind w:left="1134" w:firstLine="0"/>
        <w:rPr>
          <w:i/>
          <w:iCs/>
        </w:rPr>
      </w:pPr>
      <w:r w:rsidRPr="0071561F">
        <w:rPr>
          <w:i/>
          <w:iCs/>
        </w:rPr>
        <w:t xml:space="preserve">At its </w:t>
      </w:r>
      <w:r w:rsidRPr="0050521B">
        <w:rPr>
          <w:i/>
        </w:rPr>
        <w:t>seventy-first meeting (Geneva</w:t>
      </w:r>
      <w:r w:rsidRPr="0071561F">
        <w:rPr>
          <w:i/>
          <w:iCs/>
        </w:rPr>
        <w:t xml:space="preserve"> online</w:t>
      </w:r>
      <w:r w:rsidRPr="0050521B">
        <w:rPr>
          <w:i/>
        </w:rPr>
        <w:t xml:space="preserve">, 7-9 July 2021), </w:t>
      </w:r>
      <w:r w:rsidRPr="0071561F">
        <w:rPr>
          <w:i/>
          <w:iCs/>
        </w:rPr>
        <w:t>the Committee reviewed</w:t>
      </w:r>
      <w:r w:rsidRPr="0050521B">
        <w:rPr>
          <w:i/>
        </w:rPr>
        <w:t xml:space="preserve"> the implementation of </w:t>
      </w:r>
      <w:r w:rsidRPr="0071561F">
        <w:rPr>
          <w:i/>
          <w:iCs/>
        </w:rPr>
        <w:t>its findings and recommendations on communication ACCC/C/2016/141 in open session with the participation via virtual means of XX.</w:t>
      </w:r>
    </w:p>
    <w:p w14:paraId="3FFD1ADC" w14:textId="4113EFC7" w:rsidR="0071561F" w:rsidRPr="0050521B" w:rsidRDefault="0071561F" w:rsidP="0050521B">
      <w:pPr>
        <w:pStyle w:val="NumberedParas"/>
        <w:tabs>
          <w:tab w:val="num" w:pos="851"/>
        </w:tabs>
        <w:ind w:left="1134" w:firstLine="0"/>
        <w:rPr>
          <w:i/>
        </w:rPr>
      </w:pPr>
      <w:r w:rsidRPr="0071561F">
        <w:rPr>
          <w:i/>
          <w:iCs/>
        </w:rPr>
        <w:t xml:space="preserve">Comments on </w:t>
      </w:r>
      <w:r w:rsidRPr="0050521B">
        <w:rPr>
          <w:i/>
        </w:rPr>
        <w:t xml:space="preserve">the Committee’s </w:t>
      </w:r>
      <w:r w:rsidRPr="0071561F">
        <w:rPr>
          <w:i/>
          <w:iCs/>
        </w:rPr>
        <w:t>draft report was received from XX</w:t>
      </w:r>
      <w:r w:rsidRPr="0050521B">
        <w:rPr>
          <w:i/>
        </w:rPr>
        <w:t>.</w:t>
      </w:r>
    </w:p>
    <w:p w14:paraId="6BFC3945" w14:textId="768868E4" w:rsidR="0071561F" w:rsidRPr="0050521B" w:rsidRDefault="0071561F" w:rsidP="0050521B">
      <w:pPr>
        <w:pStyle w:val="NumberedParas"/>
        <w:tabs>
          <w:tab w:val="num" w:pos="851"/>
        </w:tabs>
        <w:ind w:left="1134" w:firstLine="0"/>
        <w:rPr>
          <w:i/>
        </w:rPr>
      </w:pPr>
      <w:r w:rsidRPr="0071561F">
        <w:rPr>
          <w:i/>
          <w:iCs/>
        </w:rPr>
        <w:t xml:space="preserve">After taking into account the information received, the Committee finalized and </w:t>
      </w:r>
      <w:r w:rsidRPr="0050521B">
        <w:rPr>
          <w:i/>
        </w:rPr>
        <w:t xml:space="preserve">adopted its report to the seventh session of the Meeting of the Parties on the implementation of </w:t>
      </w:r>
      <w:r w:rsidRPr="0071561F">
        <w:rPr>
          <w:i/>
          <w:iCs/>
        </w:rPr>
        <w:t>the findings and</w:t>
      </w:r>
      <w:r w:rsidRPr="0050521B">
        <w:rPr>
          <w:i/>
        </w:rPr>
        <w:t xml:space="preserve"> recommendations on communication ACCC/C/</w:t>
      </w:r>
      <w:r w:rsidRPr="0071561F">
        <w:rPr>
          <w:i/>
          <w:iCs/>
        </w:rPr>
        <w:t>2016/141 </w:t>
      </w:r>
      <w:r w:rsidRPr="0050521B">
        <w:rPr>
          <w:i/>
        </w:rPr>
        <w:t xml:space="preserve">through its electronic decision-making procedure on </w:t>
      </w:r>
      <w:r w:rsidRPr="0071561F">
        <w:rPr>
          <w:i/>
          <w:iCs/>
        </w:rPr>
        <w:t>xx</w:t>
      </w:r>
      <w:r w:rsidRPr="0050521B">
        <w:rPr>
          <w:i/>
        </w:rPr>
        <w:t xml:space="preserve"> July 2021 and thereafter requested the secretariat to send it to the Party concerned and the </w:t>
      </w:r>
      <w:r w:rsidRPr="0071561F">
        <w:rPr>
          <w:i/>
          <w:iCs/>
        </w:rPr>
        <w:t>communicant</w:t>
      </w:r>
      <w:r w:rsidRPr="0050521B">
        <w:rPr>
          <w:i/>
        </w:rPr>
        <w:t>.</w:t>
      </w:r>
    </w:p>
    <w:p w14:paraId="69037E45" w14:textId="4B264ACD" w:rsidR="00732ACE" w:rsidRPr="001A26C0" w:rsidRDefault="00FC294E" w:rsidP="0050521B">
      <w:pPr>
        <w:pStyle w:val="Heading1"/>
        <w:ind w:left="1134" w:firstLine="0"/>
      </w:pPr>
      <w:r w:rsidRPr="00C4796E">
        <w:t>Consideration and evaluation by the Committee</w:t>
      </w:r>
    </w:p>
    <w:p w14:paraId="4E689810" w14:textId="2693ABAA" w:rsidR="001F78C5" w:rsidRPr="00805EEC" w:rsidRDefault="004216FB" w:rsidP="0050521B">
      <w:pPr>
        <w:pStyle w:val="NumberedParas"/>
        <w:ind w:left="1134" w:firstLine="0"/>
      </w:pPr>
      <w:r w:rsidRPr="00805EEC">
        <w:t xml:space="preserve">In order to fulfil paragraph </w:t>
      </w:r>
      <w:r w:rsidR="00FA7221" w:rsidRPr="00805EEC">
        <w:t>95</w:t>
      </w:r>
      <w:r w:rsidRPr="00805EEC">
        <w:t xml:space="preserve"> of the Committee’s findings </w:t>
      </w:r>
      <w:r w:rsidR="004E7D63" w:rsidRPr="00805EEC">
        <w:t xml:space="preserve">and recommendations </w:t>
      </w:r>
      <w:r w:rsidRPr="00805EEC">
        <w:t>on communication ACCC/C/201</w:t>
      </w:r>
      <w:r w:rsidR="00FA7221" w:rsidRPr="00805EEC">
        <w:t>3</w:t>
      </w:r>
      <w:r w:rsidRPr="00805EEC">
        <w:t>/10</w:t>
      </w:r>
      <w:r w:rsidR="00FA7221" w:rsidRPr="00805EEC">
        <w:t>7</w:t>
      </w:r>
      <w:r w:rsidRPr="00805EEC">
        <w:t xml:space="preserve">, the Party concerned would need to </w:t>
      </w:r>
      <w:r w:rsidR="004E7D63" w:rsidRPr="00805EEC">
        <w:t xml:space="preserve">demonstrate to the Committee that </w:t>
      </w:r>
      <w:r w:rsidR="00D5459C" w:rsidRPr="00805EEC">
        <w:t xml:space="preserve">with regard to section 42(1)(a)(i) and (ii) of the Planning and Development Act 2000 </w:t>
      </w:r>
      <w:r w:rsidR="00A60FE7" w:rsidRPr="00805EEC">
        <w:t xml:space="preserve">(PDA) </w:t>
      </w:r>
      <w:r w:rsidR="004E7D63" w:rsidRPr="00805EEC">
        <w:t>it has</w:t>
      </w:r>
      <w:r w:rsidR="00D5459C" w:rsidRPr="00805EEC">
        <w:t>:</w:t>
      </w:r>
      <w:r w:rsidRPr="00805EEC">
        <w:t xml:space="preserve"> </w:t>
      </w:r>
    </w:p>
    <w:p w14:paraId="26E19C72" w14:textId="5C2F1068" w:rsidR="00D5459C" w:rsidRPr="00805EEC" w:rsidRDefault="00C46C5C" w:rsidP="0050521B">
      <w:pPr>
        <w:pStyle w:val="NumberedParas"/>
        <w:numPr>
          <w:ilvl w:val="1"/>
          <w:numId w:val="18"/>
        </w:numPr>
        <w:ind w:left="1134" w:firstLine="567"/>
      </w:pPr>
      <w:r w:rsidRPr="00805EEC">
        <w:t xml:space="preserve">Taken </w:t>
      </w:r>
      <w:r w:rsidR="00D5459C" w:rsidRPr="00805EEC">
        <w:t xml:space="preserve">the necessary legislative measures to ensure that permits for activities subject to article 6 of the Convention cannot be extended, except for a minimal duration, without ensuring opportunities for the public to participate in the decision to grant that extension in accordance with article 6(2)–(9) of the Convention; </w:t>
      </w:r>
    </w:p>
    <w:p w14:paraId="67587F7C" w14:textId="44BDA250" w:rsidR="00D5459C" w:rsidRPr="00805EEC" w:rsidRDefault="00C46C5C" w:rsidP="0050521B">
      <w:pPr>
        <w:pStyle w:val="NumberedParas"/>
        <w:numPr>
          <w:ilvl w:val="1"/>
          <w:numId w:val="18"/>
        </w:numPr>
        <w:ind w:left="1134" w:firstLine="567"/>
      </w:pPr>
      <w:r w:rsidRPr="00805EEC">
        <w:t xml:space="preserve">Taken </w:t>
      </w:r>
      <w:r w:rsidR="00D5459C" w:rsidRPr="00805EEC">
        <w:t>the necessary steps to ensure the prompt enactment of the measures to fulfil the recommendation in paragraph (a) above.</w:t>
      </w:r>
    </w:p>
    <w:p w14:paraId="64E5D532" w14:textId="56C26AB1" w:rsidR="007C261E" w:rsidRPr="00805EEC" w:rsidRDefault="00C25C47" w:rsidP="0050521B">
      <w:pPr>
        <w:pStyle w:val="NumberedParas"/>
        <w:ind w:left="1134" w:firstLine="0"/>
      </w:pPr>
      <w:r w:rsidRPr="00805EEC">
        <w:t xml:space="preserve">Section 42(1)(a) </w:t>
      </w:r>
      <w:r w:rsidR="00FF20C8" w:rsidRPr="00805EEC">
        <w:t>PDA</w:t>
      </w:r>
      <w:r w:rsidRPr="00805EEC">
        <w:t xml:space="preserve">, as in force at the time of the grant of the permit extensions at issue in </w:t>
      </w:r>
      <w:r w:rsidR="00C46C5C" w:rsidRPr="00805EEC">
        <w:t xml:space="preserve">communication </w:t>
      </w:r>
      <w:r w:rsidR="00FF20C8" w:rsidRPr="00805EEC">
        <w:t>ACCC/C/2013/107</w:t>
      </w:r>
      <w:r w:rsidRPr="00805EEC">
        <w:t>, stipulate</w:t>
      </w:r>
      <w:r w:rsidR="0071561F">
        <w:t>d</w:t>
      </w:r>
      <w:r w:rsidRPr="00805EEC">
        <w:t xml:space="preserve"> two alternative </w:t>
      </w:r>
      <w:r w:rsidR="00A31CC2" w:rsidRPr="00805EEC">
        <w:t>situations</w:t>
      </w:r>
      <w:r w:rsidR="008A0156" w:rsidRPr="00805EEC">
        <w:t xml:space="preserve"> </w:t>
      </w:r>
      <w:r w:rsidRPr="00805EEC">
        <w:t xml:space="preserve">which </w:t>
      </w:r>
      <w:r w:rsidR="00A31CC2" w:rsidRPr="00805EEC">
        <w:t>can lead to the</w:t>
      </w:r>
      <w:r w:rsidRPr="00805EEC">
        <w:t xml:space="preserve"> duration of a permit </w:t>
      </w:r>
      <w:r w:rsidR="00A31CC2" w:rsidRPr="00805EEC">
        <w:t>being</w:t>
      </w:r>
      <w:r w:rsidR="00052782" w:rsidRPr="00805EEC">
        <w:t xml:space="preserve"> granted</w:t>
      </w:r>
      <w:r w:rsidRPr="00805EEC">
        <w:t>:</w:t>
      </w:r>
    </w:p>
    <w:p w14:paraId="035E8247" w14:textId="7A99FCC1" w:rsidR="00A7739A" w:rsidRPr="00805EEC" w:rsidRDefault="0064036E" w:rsidP="0050521B">
      <w:pPr>
        <w:pStyle w:val="Quote"/>
        <w:ind w:left="1701"/>
        <w:rPr>
          <w:iCs w:val="0"/>
        </w:rPr>
      </w:pPr>
      <w:r w:rsidRPr="00805EEC">
        <w:rPr>
          <w:iCs w:val="0"/>
        </w:rPr>
        <w:lastRenderedPageBreak/>
        <w:t>…</w:t>
      </w:r>
      <w:r w:rsidR="00A7739A" w:rsidRPr="00805EEC">
        <w:rPr>
          <w:iCs w:val="0"/>
        </w:rPr>
        <w:t xml:space="preserve"> a planning authority shall, as regards a particular permission, extend the appropriate period by such additional period not exceeding five years as the authority considers requisite to enable the development to which the permission relates to be completed provided that each of the following requirements is complied with: </w:t>
      </w:r>
    </w:p>
    <w:p w14:paraId="51B580BB" w14:textId="77777777" w:rsidR="00A7739A" w:rsidRPr="00805EEC" w:rsidRDefault="00A7739A" w:rsidP="0050521B">
      <w:pPr>
        <w:pStyle w:val="Quote"/>
        <w:ind w:left="1701"/>
        <w:rPr>
          <w:iCs w:val="0"/>
        </w:rPr>
      </w:pPr>
      <w:r w:rsidRPr="00805EEC">
        <w:rPr>
          <w:iCs w:val="0"/>
        </w:rPr>
        <w:t xml:space="preserve">(a) either — </w:t>
      </w:r>
    </w:p>
    <w:p w14:paraId="31CE58B7" w14:textId="77777777" w:rsidR="00A7739A" w:rsidRPr="00805EEC" w:rsidRDefault="00A7739A" w:rsidP="0050521B">
      <w:pPr>
        <w:pStyle w:val="Quote"/>
        <w:ind w:left="1701"/>
        <w:rPr>
          <w:iCs w:val="0"/>
        </w:rPr>
      </w:pPr>
      <w:r w:rsidRPr="00805EEC">
        <w:rPr>
          <w:iCs w:val="0"/>
        </w:rPr>
        <w:t xml:space="preserve">(i) the authority is satisfied that — </w:t>
      </w:r>
    </w:p>
    <w:p w14:paraId="09DAE6D7" w14:textId="1D28C65C" w:rsidR="00A7739A" w:rsidRPr="00805EEC" w:rsidRDefault="00A7739A" w:rsidP="0050521B">
      <w:pPr>
        <w:pStyle w:val="Quote"/>
        <w:ind w:left="2552" w:hanging="425"/>
        <w:rPr>
          <w:iCs w:val="0"/>
        </w:rPr>
      </w:pPr>
      <w:r w:rsidRPr="00805EEC">
        <w:rPr>
          <w:iCs w:val="0"/>
        </w:rPr>
        <w:t xml:space="preserve">(I) </w:t>
      </w:r>
      <w:r w:rsidR="0071561F">
        <w:rPr>
          <w:iCs w:val="0"/>
        </w:rPr>
        <w:tab/>
      </w:r>
      <w:r w:rsidRPr="00805EEC">
        <w:rPr>
          <w:iCs w:val="0"/>
        </w:rPr>
        <w:t xml:space="preserve">the development to which the permission relates was commenced before the expiration of the appropriate period sought to be extended, </w:t>
      </w:r>
    </w:p>
    <w:p w14:paraId="1833F89B" w14:textId="404E8160" w:rsidR="00A7739A" w:rsidRPr="00805EEC" w:rsidRDefault="00A7739A" w:rsidP="0050521B">
      <w:pPr>
        <w:pStyle w:val="Quote"/>
        <w:ind w:left="2552" w:hanging="425"/>
        <w:rPr>
          <w:iCs w:val="0"/>
        </w:rPr>
      </w:pPr>
      <w:r w:rsidRPr="00805EEC">
        <w:rPr>
          <w:iCs w:val="0"/>
        </w:rPr>
        <w:t xml:space="preserve">(II) </w:t>
      </w:r>
      <w:r w:rsidR="0071561F">
        <w:rPr>
          <w:iCs w:val="0"/>
        </w:rPr>
        <w:tab/>
      </w:r>
      <w:r w:rsidRPr="00805EEC">
        <w:rPr>
          <w:iCs w:val="0"/>
        </w:rPr>
        <w:t xml:space="preserve">substantial works were carried out pursuant to the permission during that period, and </w:t>
      </w:r>
    </w:p>
    <w:p w14:paraId="343A56F5" w14:textId="7B83E043" w:rsidR="00A7739A" w:rsidRPr="00805EEC" w:rsidRDefault="00A7739A" w:rsidP="0050521B">
      <w:pPr>
        <w:pStyle w:val="Quote"/>
        <w:ind w:left="2552" w:hanging="425"/>
        <w:rPr>
          <w:iCs w:val="0"/>
        </w:rPr>
      </w:pPr>
      <w:r w:rsidRPr="00805EEC">
        <w:rPr>
          <w:iCs w:val="0"/>
        </w:rPr>
        <w:t>(III)</w:t>
      </w:r>
      <w:r w:rsidR="0071561F">
        <w:rPr>
          <w:iCs w:val="0"/>
        </w:rPr>
        <w:tab/>
      </w:r>
      <w:r w:rsidRPr="00805EEC">
        <w:rPr>
          <w:iCs w:val="0"/>
        </w:rPr>
        <w:t xml:space="preserve">the development will be completed within a reasonable time, or </w:t>
      </w:r>
    </w:p>
    <w:p w14:paraId="1544615C" w14:textId="77777777" w:rsidR="00A7739A" w:rsidRPr="00805EEC" w:rsidRDefault="00A7739A" w:rsidP="0050521B">
      <w:pPr>
        <w:pStyle w:val="Quote"/>
        <w:ind w:left="2127" w:hanging="425"/>
        <w:rPr>
          <w:iCs w:val="0"/>
        </w:rPr>
      </w:pPr>
      <w:r w:rsidRPr="00805EEC">
        <w:rPr>
          <w:iCs w:val="0"/>
        </w:rPr>
        <w:t xml:space="preserve">(ii) the authority is satisfied — </w:t>
      </w:r>
    </w:p>
    <w:p w14:paraId="6F979D52" w14:textId="2BD11C33" w:rsidR="00A7739A" w:rsidRPr="00805EEC" w:rsidRDefault="00A7739A" w:rsidP="0050521B">
      <w:pPr>
        <w:pStyle w:val="Quote"/>
        <w:ind w:left="2552" w:hanging="425"/>
        <w:rPr>
          <w:iCs w:val="0"/>
        </w:rPr>
      </w:pPr>
      <w:r w:rsidRPr="00805EEC">
        <w:rPr>
          <w:iCs w:val="0"/>
        </w:rPr>
        <w:t xml:space="preserve">(I) </w:t>
      </w:r>
      <w:r w:rsidR="0071561F">
        <w:rPr>
          <w:iCs w:val="0"/>
        </w:rPr>
        <w:tab/>
      </w:r>
      <w:r w:rsidRPr="00805EEC">
        <w:rPr>
          <w:iCs w:val="0"/>
        </w:rPr>
        <w:t xml:space="preserve">that there were considerations of a commercial, economic or technical nature beyond the control of the applicant which substantially militated against either the commencement of development or the carrying out of substantial works pursuant to the planning permission, </w:t>
      </w:r>
    </w:p>
    <w:p w14:paraId="64FD2756" w14:textId="10339DDB" w:rsidR="00A7739A" w:rsidRPr="00805EEC" w:rsidRDefault="00A7739A" w:rsidP="0050521B">
      <w:pPr>
        <w:pStyle w:val="Quote"/>
        <w:ind w:left="2552" w:hanging="425"/>
        <w:rPr>
          <w:iCs w:val="0"/>
        </w:rPr>
      </w:pPr>
      <w:r w:rsidRPr="00805EEC">
        <w:rPr>
          <w:iCs w:val="0"/>
        </w:rPr>
        <w:t xml:space="preserve">(II) </w:t>
      </w:r>
      <w:r w:rsidR="0071561F">
        <w:rPr>
          <w:iCs w:val="0"/>
        </w:rPr>
        <w:tab/>
      </w:r>
      <w:r w:rsidRPr="00805EEC">
        <w:rPr>
          <w:iCs w:val="0"/>
        </w:rPr>
        <w:t xml:space="preserve">that there have been no significant changes in the development objectives in the development plan or in regional development objectives in the regional spatial and economic strategy for the area of the planning authority since the date of the permission such that the development would no longer be consistent with the proper planning and sustainable development of the area, </w:t>
      </w:r>
    </w:p>
    <w:p w14:paraId="0F315D5D" w14:textId="77777777" w:rsidR="00A7739A" w:rsidRPr="00805EEC" w:rsidRDefault="00A7739A" w:rsidP="0050521B">
      <w:pPr>
        <w:pStyle w:val="Quote"/>
        <w:ind w:left="2552" w:hanging="425"/>
        <w:rPr>
          <w:iCs w:val="0"/>
        </w:rPr>
      </w:pPr>
      <w:r w:rsidRPr="00805EEC">
        <w:rPr>
          <w:iCs w:val="0"/>
        </w:rPr>
        <w:t xml:space="preserve">(III) that the development would not be inconsistent with the proper planning and sustainable development of the area having regard to any guidelines issued by the Minister under section 28, notwithstanding that they were so issued after the date of the grant of permission in relation to which an application is made under this section, and </w:t>
      </w:r>
    </w:p>
    <w:p w14:paraId="3F59C6E0" w14:textId="1AEA9000" w:rsidR="00A7739A" w:rsidRPr="00805EEC" w:rsidRDefault="00A7739A" w:rsidP="0050521B">
      <w:pPr>
        <w:pStyle w:val="Quote"/>
        <w:ind w:left="2552" w:hanging="425"/>
        <w:rPr>
          <w:iCs w:val="0"/>
        </w:rPr>
      </w:pPr>
      <w:r w:rsidRPr="00805EEC">
        <w:rPr>
          <w:iCs w:val="0"/>
        </w:rPr>
        <w:t>(IV) where the development has not commenced, that an environmental impact assessment, or an appropriate assessment, or both of those assessments, if required, was or were carried out before the permission was granted.</w:t>
      </w:r>
    </w:p>
    <w:p w14:paraId="1F503F1D" w14:textId="77777777" w:rsidR="007C67F1" w:rsidRPr="00805EEC" w:rsidRDefault="007C67F1" w:rsidP="0050521B">
      <w:pPr>
        <w:pStyle w:val="NumberedParas"/>
        <w:numPr>
          <w:ilvl w:val="0"/>
          <w:numId w:val="0"/>
        </w:numPr>
        <w:ind w:left="1134"/>
        <w:rPr>
          <w:b/>
        </w:rPr>
      </w:pPr>
    </w:p>
    <w:p w14:paraId="32097E52" w14:textId="2FAD1D78" w:rsidR="002A4607" w:rsidRPr="00805EEC" w:rsidRDefault="002A4607" w:rsidP="0050521B">
      <w:pPr>
        <w:pStyle w:val="NumberedParas"/>
        <w:numPr>
          <w:ilvl w:val="0"/>
          <w:numId w:val="0"/>
        </w:numPr>
        <w:ind w:left="1134"/>
        <w:rPr>
          <w:b/>
        </w:rPr>
      </w:pPr>
      <w:r w:rsidRPr="00805EEC">
        <w:rPr>
          <w:b/>
        </w:rPr>
        <w:t xml:space="preserve">Scope of review </w:t>
      </w:r>
    </w:p>
    <w:p w14:paraId="6C8125CD" w14:textId="565157F2" w:rsidR="007C67F1" w:rsidRPr="001A26C0" w:rsidRDefault="007C67F1" w:rsidP="0050521B">
      <w:pPr>
        <w:pStyle w:val="NumberedParas"/>
        <w:ind w:left="1134" w:firstLine="0"/>
      </w:pPr>
      <w:r w:rsidRPr="00C4796E">
        <w:t xml:space="preserve">Observer Irish Environmental Network, </w:t>
      </w:r>
      <w:r w:rsidRPr="001A26C0">
        <w:t>in its additional information provided on 29 May 2021</w:t>
      </w:r>
      <w:r w:rsidRPr="00805EEC">
        <w:t>, submits that, in addition to section 42(1)(a)(i) and (ii), there are other sections of the PDA that do not comply with the requirements of article 6(10) of the Convention. Thus, it considers that under section 146B PDA, which concerns alterations to the terms of strategic infrastructure developments, there is no test linked to the requirements of article 6(1) of the Convention to determine under what conditions public participation is to take place.</w:t>
      </w:r>
      <w:r w:rsidR="00B503C5" w:rsidRPr="00805EEC">
        <w:t xml:space="preserve"> The observer points in this regard to a recent extension of duration for a liquified gas project and the related court proceedings.</w:t>
      </w:r>
      <w:r w:rsidR="00B503C5" w:rsidRPr="00C4796E">
        <w:rPr>
          <w:rStyle w:val="FootnoteReference"/>
        </w:rPr>
        <w:footnoteReference w:id="3"/>
      </w:r>
      <w:r w:rsidR="00B503C5" w:rsidRPr="00C4796E">
        <w:t xml:space="preserve"> It further argues that the </w:t>
      </w:r>
      <w:r w:rsidR="00B503C5" w:rsidRPr="00805EEC">
        <w:t xml:space="preserve">regulations transposing the Birds and Habitats Directives into </w:t>
      </w:r>
      <w:r w:rsidR="0071561F">
        <w:t>the Party concerned’s</w:t>
      </w:r>
      <w:r w:rsidR="00B503C5" w:rsidRPr="00805EEC">
        <w:t xml:space="preserve"> law do not contain provisions for public participation on the extension of the duration of certain permission.</w:t>
      </w:r>
      <w:r w:rsidR="00B503C5" w:rsidRPr="00C4796E">
        <w:rPr>
          <w:rStyle w:val="FootnoteReference"/>
        </w:rPr>
        <w:footnoteReference w:id="4"/>
      </w:r>
      <w:r w:rsidR="00B503C5" w:rsidRPr="00C4796E">
        <w:t xml:space="preserve"> </w:t>
      </w:r>
    </w:p>
    <w:p w14:paraId="44DCD121" w14:textId="7869362F" w:rsidR="000364BF" w:rsidRPr="00805EEC" w:rsidRDefault="000364BF" w:rsidP="0050521B">
      <w:pPr>
        <w:pStyle w:val="NumberedParas"/>
        <w:ind w:left="1134" w:firstLine="0"/>
      </w:pPr>
      <w:r w:rsidRPr="00805EEC">
        <w:t xml:space="preserve">The Committee </w:t>
      </w:r>
      <w:r w:rsidR="0071561F">
        <w:t>considers</w:t>
      </w:r>
      <w:r w:rsidRPr="00805EEC">
        <w:t xml:space="preserve"> that the above allegations made by the observer do not fall within the scope of the Committee’s recommendations in paragraph 95 of its findings on communication ACCC/C/2013/107. </w:t>
      </w:r>
      <w:r w:rsidR="0071561F">
        <w:t>The</w:t>
      </w:r>
      <w:r w:rsidRPr="00805EEC">
        <w:t xml:space="preserve"> Committee will thus not </w:t>
      </w:r>
      <w:r w:rsidR="0071561F">
        <w:t>examine</w:t>
      </w:r>
      <w:r w:rsidRPr="00805EEC">
        <w:t xml:space="preserve"> these allegations</w:t>
      </w:r>
      <w:r w:rsidR="0071561F">
        <w:t xml:space="preserve"> in </w:t>
      </w:r>
      <w:r w:rsidR="0071561F">
        <w:lastRenderedPageBreak/>
        <w:t>the context of its follow-up on its findings on communication ACCC/C/2013/107</w:t>
      </w:r>
      <w:r w:rsidRPr="00805EEC">
        <w:t>. This does not preclude the possibility of the Committee examining any allegations falling within the scope of the Convention if put before it in a future communication.</w:t>
      </w:r>
    </w:p>
    <w:p w14:paraId="49A3E5A1" w14:textId="77777777" w:rsidR="007C67F1" w:rsidRPr="00805EEC" w:rsidRDefault="007C67F1" w:rsidP="0050521B">
      <w:pPr>
        <w:pStyle w:val="NumberedParas"/>
        <w:numPr>
          <w:ilvl w:val="0"/>
          <w:numId w:val="0"/>
        </w:numPr>
        <w:ind w:left="1134"/>
        <w:rPr>
          <w:b/>
          <w:bCs/>
        </w:rPr>
      </w:pPr>
    </w:p>
    <w:p w14:paraId="4AF4FF94" w14:textId="65D2235F" w:rsidR="002A4607" w:rsidRPr="00805EEC" w:rsidRDefault="007C67F1" w:rsidP="0050521B">
      <w:pPr>
        <w:pStyle w:val="NumberedParas"/>
        <w:numPr>
          <w:ilvl w:val="0"/>
          <w:numId w:val="0"/>
        </w:numPr>
        <w:ind w:left="1134"/>
        <w:rPr>
          <w:b/>
          <w:bCs/>
        </w:rPr>
      </w:pPr>
      <w:r w:rsidRPr="00805EEC">
        <w:rPr>
          <w:b/>
          <w:bCs/>
        </w:rPr>
        <w:t>Paragraph 95 of the Committee’s findings on communication ACCC/C/2013/107</w:t>
      </w:r>
    </w:p>
    <w:p w14:paraId="76B5C3FB" w14:textId="24F0AF3D" w:rsidR="008B292C" w:rsidRPr="00805EEC" w:rsidRDefault="00F52F37" w:rsidP="0050521B">
      <w:pPr>
        <w:pStyle w:val="NumberedParas"/>
        <w:ind w:left="1134" w:firstLine="0"/>
      </w:pPr>
      <w:r w:rsidRPr="00C4796E">
        <w:t xml:space="preserve">In its progress report, the Party concerned reports that </w:t>
      </w:r>
      <w:r w:rsidR="00AF5C5B" w:rsidRPr="001A26C0">
        <w:t>it will soon make a commencement order to bring section 28(1) of the Planning and Development (Housing) and Residential Tenancies Act 2016</w:t>
      </w:r>
      <w:r w:rsidR="00D526E4" w:rsidRPr="001A26C0">
        <w:t xml:space="preserve"> (PDHRTA)</w:t>
      </w:r>
      <w:r w:rsidR="00DA4D73" w:rsidRPr="00C4796E">
        <w:rPr>
          <w:rStyle w:val="FootnoteReference"/>
        </w:rPr>
        <w:footnoteReference w:id="5"/>
      </w:r>
      <w:r w:rsidR="0081199B" w:rsidRPr="00C4796E">
        <w:t xml:space="preserve"> into operation.</w:t>
      </w:r>
      <w:r w:rsidR="00E861C6" w:rsidRPr="00C4796E">
        <w:rPr>
          <w:rStyle w:val="FootnoteReference"/>
        </w:rPr>
        <w:footnoteReference w:id="6"/>
      </w:r>
      <w:r w:rsidR="0081199B" w:rsidRPr="00C4796E">
        <w:t xml:space="preserve"> </w:t>
      </w:r>
      <w:r w:rsidR="004345F0" w:rsidRPr="00805EEC">
        <w:t>Section 28(1) PDHRTA would</w:t>
      </w:r>
      <w:r w:rsidR="00D526E4" w:rsidRPr="00805EEC">
        <w:t xml:space="preserve"> </w:t>
      </w:r>
      <w:r w:rsidR="00AA3066" w:rsidRPr="00805EEC">
        <w:t>replace section 42(1)(a)</w:t>
      </w:r>
      <w:r w:rsidR="00032746" w:rsidRPr="00805EEC">
        <w:t xml:space="preserve"> </w:t>
      </w:r>
      <w:r w:rsidR="00644226" w:rsidRPr="00805EEC">
        <w:t xml:space="preserve">PDA </w:t>
      </w:r>
      <w:r w:rsidR="00032746" w:rsidRPr="00805EEC">
        <w:t>with the following:</w:t>
      </w:r>
    </w:p>
    <w:p w14:paraId="6A3E8A41" w14:textId="55583D99" w:rsidR="00032746" w:rsidRPr="00805EEC" w:rsidRDefault="00032746" w:rsidP="0050521B">
      <w:pPr>
        <w:pStyle w:val="Quote"/>
        <w:ind w:left="1701"/>
        <w:rPr>
          <w:iCs w:val="0"/>
        </w:rPr>
      </w:pPr>
      <w:r w:rsidRPr="00805EEC">
        <w:rPr>
          <w:iCs w:val="0"/>
        </w:rPr>
        <w:t xml:space="preserve">(a) </w:t>
      </w:r>
      <w:r w:rsidR="00816F6B" w:rsidRPr="00805EEC">
        <w:rPr>
          <w:iCs w:val="0"/>
        </w:rPr>
        <w:t xml:space="preserve">(i) the authority is satisfied that— </w:t>
      </w:r>
    </w:p>
    <w:p w14:paraId="29FBF6A7" w14:textId="4DDFEFE8" w:rsidR="00032746" w:rsidRPr="00805EEC" w:rsidRDefault="00816F6B" w:rsidP="0050521B">
      <w:pPr>
        <w:pStyle w:val="Quote"/>
        <w:ind w:left="2552" w:hanging="425"/>
        <w:rPr>
          <w:iCs w:val="0"/>
        </w:rPr>
      </w:pPr>
      <w:r w:rsidRPr="00805EEC">
        <w:rPr>
          <w:iCs w:val="0"/>
        </w:rPr>
        <w:t xml:space="preserve">(I) </w:t>
      </w:r>
      <w:r w:rsidR="00BB087B">
        <w:rPr>
          <w:iCs w:val="0"/>
        </w:rPr>
        <w:tab/>
      </w:r>
      <w:r w:rsidRPr="00805EEC">
        <w:rPr>
          <w:iCs w:val="0"/>
        </w:rPr>
        <w:t xml:space="preserve">the development to which the permission relates was commenced before the expiration of the appropriate period sought to be extended, </w:t>
      </w:r>
    </w:p>
    <w:p w14:paraId="1AC8E798" w14:textId="23037206" w:rsidR="00032746" w:rsidRPr="00805EEC" w:rsidRDefault="00816F6B" w:rsidP="0050521B">
      <w:pPr>
        <w:pStyle w:val="Quote"/>
        <w:ind w:left="2552" w:hanging="425"/>
        <w:rPr>
          <w:iCs w:val="0"/>
        </w:rPr>
      </w:pPr>
      <w:r w:rsidRPr="00805EEC">
        <w:rPr>
          <w:iCs w:val="0"/>
        </w:rPr>
        <w:t xml:space="preserve">(II) </w:t>
      </w:r>
      <w:r w:rsidR="00BB087B">
        <w:rPr>
          <w:iCs w:val="0"/>
        </w:rPr>
        <w:tab/>
      </w:r>
      <w:r w:rsidRPr="00805EEC">
        <w:rPr>
          <w:iCs w:val="0"/>
        </w:rPr>
        <w:t xml:space="preserve">an environmental impact assessment or an appropriate assessment, or both of those assessments, was or were not required before the permission was granted, </w:t>
      </w:r>
    </w:p>
    <w:p w14:paraId="6F71E3B2" w14:textId="7750AC45" w:rsidR="00032746" w:rsidRPr="00805EEC" w:rsidRDefault="00816F6B" w:rsidP="0050521B">
      <w:pPr>
        <w:pStyle w:val="Quote"/>
        <w:ind w:left="2552" w:hanging="425"/>
        <w:rPr>
          <w:iCs w:val="0"/>
        </w:rPr>
      </w:pPr>
      <w:r w:rsidRPr="00805EEC">
        <w:rPr>
          <w:iCs w:val="0"/>
        </w:rPr>
        <w:t>(III)</w:t>
      </w:r>
      <w:r w:rsidR="00BB087B">
        <w:rPr>
          <w:iCs w:val="0"/>
        </w:rPr>
        <w:tab/>
      </w:r>
      <w:r w:rsidRPr="00805EEC">
        <w:rPr>
          <w:iCs w:val="0"/>
        </w:rPr>
        <w:t xml:space="preserve">substantial works were carried out pursuant to the permission during that period, and </w:t>
      </w:r>
    </w:p>
    <w:p w14:paraId="74969532" w14:textId="6CEDD55D" w:rsidR="00793B88" w:rsidRPr="00805EEC" w:rsidRDefault="00816F6B" w:rsidP="0050521B">
      <w:pPr>
        <w:pStyle w:val="Quote"/>
        <w:ind w:left="2552" w:hanging="425"/>
        <w:rPr>
          <w:iCs w:val="0"/>
        </w:rPr>
      </w:pPr>
      <w:r w:rsidRPr="00805EEC">
        <w:rPr>
          <w:iCs w:val="0"/>
        </w:rPr>
        <w:t xml:space="preserve">(IV) </w:t>
      </w:r>
      <w:r w:rsidR="00BB087B">
        <w:rPr>
          <w:iCs w:val="0"/>
        </w:rPr>
        <w:tab/>
      </w:r>
      <w:r w:rsidRPr="00805EEC">
        <w:rPr>
          <w:iCs w:val="0"/>
        </w:rPr>
        <w:t>the development will be completed within a reasonable time</w:t>
      </w:r>
      <w:r w:rsidR="0071561F">
        <w:rPr>
          <w:iCs w:val="0"/>
        </w:rPr>
        <w:t>.</w:t>
      </w:r>
      <w:r w:rsidR="00F52103" w:rsidRPr="00805EEC">
        <w:rPr>
          <w:rStyle w:val="FootnoteReference"/>
          <w:iCs w:val="0"/>
        </w:rPr>
        <w:footnoteReference w:id="7"/>
      </w:r>
    </w:p>
    <w:p w14:paraId="3B263A20" w14:textId="7ABAD3EE" w:rsidR="00D64061" w:rsidRDefault="00C46C5C" w:rsidP="0071561F">
      <w:pPr>
        <w:pStyle w:val="NumberedParas"/>
        <w:ind w:left="1134" w:firstLine="0"/>
      </w:pPr>
      <w:r w:rsidRPr="00805EEC">
        <w:t>O</w:t>
      </w:r>
      <w:r w:rsidR="007B24B2" w:rsidRPr="00805EEC">
        <w:t xml:space="preserve">bserver Irish Environmental Network </w:t>
      </w:r>
      <w:r w:rsidRPr="00C4796E">
        <w:t>reports</w:t>
      </w:r>
      <w:r w:rsidR="007B24B2" w:rsidRPr="001A26C0">
        <w:t xml:space="preserve"> that the amendment remain</w:t>
      </w:r>
      <w:r w:rsidR="00D64061">
        <w:t>s</w:t>
      </w:r>
      <w:r w:rsidR="007B24B2" w:rsidRPr="001A26C0">
        <w:t xml:space="preserve"> un-commenced.</w:t>
      </w:r>
      <w:r w:rsidR="007B24B2" w:rsidRPr="00C4796E">
        <w:rPr>
          <w:rStyle w:val="FootnoteReference"/>
        </w:rPr>
        <w:footnoteReference w:id="8"/>
      </w:r>
      <w:r w:rsidR="007B24B2" w:rsidRPr="00C4796E">
        <w:t xml:space="preserve"> </w:t>
      </w:r>
    </w:p>
    <w:p w14:paraId="35D7C05F" w14:textId="72B5951C" w:rsidR="007B24B2" w:rsidRPr="00C4796E" w:rsidRDefault="00C46C5C" w:rsidP="0050521B">
      <w:pPr>
        <w:pStyle w:val="NumberedParas"/>
        <w:ind w:left="1134" w:firstLine="0"/>
      </w:pPr>
      <w:r w:rsidRPr="00805EEC">
        <w:t>The</w:t>
      </w:r>
      <w:r w:rsidR="007B24B2" w:rsidRPr="00805EEC">
        <w:t xml:space="preserve"> Party concerned contends that</w:t>
      </w:r>
      <w:r w:rsidRPr="00805EEC">
        <w:t>, as at 10 June 2021,</w:t>
      </w:r>
      <w:r w:rsidR="007B24B2" w:rsidRPr="00805EEC">
        <w:t xml:space="preserve"> it “will progress the commencement order … in the coming weeks” and that “an update will issue to the Committee as soon as this work is complete”.</w:t>
      </w:r>
      <w:r w:rsidR="007B24B2" w:rsidRPr="00C4796E">
        <w:rPr>
          <w:rStyle w:val="FootnoteReference"/>
        </w:rPr>
        <w:footnoteReference w:id="9"/>
      </w:r>
    </w:p>
    <w:p w14:paraId="4ACF0F1B" w14:textId="77777777" w:rsidR="00C46C5C" w:rsidRPr="001A26C0" w:rsidRDefault="00E861C6" w:rsidP="0050521B">
      <w:pPr>
        <w:pStyle w:val="NumberedParas"/>
        <w:ind w:left="1134" w:firstLine="0"/>
      </w:pPr>
      <w:bookmarkStart w:id="0" w:name="_Ref76138395"/>
      <w:r w:rsidRPr="00805EEC">
        <w:t>The Party concerned further states that it intends to make supplementary amendments to section 42(1) PDA to prohibit extensions of duration whe</w:t>
      </w:r>
      <w:r w:rsidR="00B95A47" w:rsidRPr="00805EEC">
        <w:t>re</w:t>
      </w:r>
      <w:r w:rsidRPr="00805EEC">
        <w:t xml:space="preserve"> a development requires an </w:t>
      </w:r>
      <w:r w:rsidR="00A53235" w:rsidRPr="00805EEC">
        <w:t>environmental impact assessment (</w:t>
      </w:r>
      <w:r w:rsidRPr="00805EEC">
        <w:t>EIA</w:t>
      </w:r>
      <w:r w:rsidR="00A53235" w:rsidRPr="00805EEC">
        <w:t>)</w:t>
      </w:r>
      <w:r w:rsidRPr="00805EEC">
        <w:t xml:space="preserve"> or </w:t>
      </w:r>
      <w:r w:rsidR="00A53235" w:rsidRPr="00805EEC">
        <w:t>appropriate assessment (</w:t>
      </w:r>
      <w:r w:rsidRPr="00805EEC">
        <w:t>AA</w:t>
      </w:r>
      <w:r w:rsidR="00A53235" w:rsidRPr="00805EEC">
        <w:t>)</w:t>
      </w:r>
      <w:r w:rsidRPr="00805EEC">
        <w:t xml:space="preserve"> at the point of application for such an extension. It contends that together these will ensure that an extension of duration of planning permission cannot be granted where an EIA and/or AA was carried out as part of the original permission and also whether the requirement for EIA and/or AA is “screened in” at the point of application for such an extension of duration.</w:t>
      </w:r>
      <w:r w:rsidR="00F045BC" w:rsidRPr="00C4796E">
        <w:rPr>
          <w:rStyle w:val="FootnoteReference"/>
        </w:rPr>
        <w:footnoteReference w:id="10"/>
      </w:r>
      <w:bookmarkEnd w:id="0"/>
      <w:r w:rsidRPr="00C4796E">
        <w:t xml:space="preserve"> </w:t>
      </w:r>
    </w:p>
    <w:p w14:paraId="083C00FB" w14:textId="48CBBAEE" w:rsidR="00E861C6" w:rsidRPr="00C4796E" w:rsidRDefault="005657C1" w:rsidP="0050521B">
      <w:pPr>
        <w:pStyle w:val="NumberedParas"/>
        <w:ind w:left="1134" w:firstLine="0"/>
      </w:pPr>
      <w:r w:rsidRPr="00805EEC">
        <w:t>Observer Irish Environmental Network reports concerning these supplementary amendments announced by the Party concerned that “there is no further change in that regard or at all reflected since 2017”.</w:t>
      </w:r>
      <w:r w:rsidRPr="00C4796E">
        <w:rPr>
          <w:rStyle w:val="FootnoteReference"/>
        </w:rPr>
        <w:footnoteReference w:id="11"/>
      </w:r>
    </w:p>
    <w:p w14:paraId="77B22D21" w14:textId="169DC2BB" w:rsidR="008D7D67" w:rsidRPr="001A26C0" w:rsidRDefault="005657C1" w:rsidP="0050521B">
      <w:pPr>
        <w:pStyle w:val="NumberedParas"/>
        <w:ind w:left="1134" w:firstLine="0"/>
      </w:pPr>
      <w:r w:rsidRPr="00805EEC">
        <w:t>O</w:t>
      </w:r>
      <w:r w:rsidR="00D70517" w:rsidRPr="00805EEC">
        <w:t>bserver Irish Environmental Network</w:t>
      </w:r>
      <w:r w:rsidRPr="00805EEC">
        <w:t xml:space="preserve"> moreover</w:t>
      </w:r>
      <w:r w:rsidR="00D70517" w:rsidRPr="00805EEC">
        <w:t xml:space="preserve"> points out that </w:t>
      </w:r>
      <w:r w:rsidR="0004191E" w:rsidRPr="00805EEC">
        <w:t xml:space="preserve">section 28 PDHRTA </w:t>
      </w:r>
      <w:r w:rsidR="0015436B" w:rsidRPr="00805EEC">
        <w:t>has also</w:t>
      </w:r>
      <w:r w:rsidR="0004191E" w:rsidRPr="00805EEC">
        <w:t xml:space="preserve"> </w:t>
      </w:r>
      <w:r w:rsidR="0015436B" w:rsidRPr="00805EEC">
        <w:t xml:space="preserve">inserted a new temporary subsection 1A into </w:t>
      </w:r>
      <w:r w:rsidR="007B7CB0">
        <w:t>section 42</w:t>
      </w:r>
      <w:r w:rsidR="0015436B" w:rsidRPr="00805EEC">
        <w:t xml:space="preserve"> PDA</w:t>
      </w:r>
      <w:r w:rsidR="007B7CB0">
        <w:t>. In summary</w:t>
      </w:r>
      <w:r w:rsidR="00E26FFD" w:rsidRPr="00805EEC">
        <w:t xml:space="preserve">, </w:t>
      </w:r>
      <w:r w:rsidR="007B7CB0">
        <w:t xml:space="preserve">the new temporary subsection 1A </w:t>
      </w:r>
      <w:r w:rsidR="00E26FFD" w:rsidRPr="00805EEC">
        <w:t>provides</w:t>
      </w:r>
      <w:r w:rsidR="0015436B" w:rsidRPr="00805EEC">
        <w:t xml:space="preserve"> </w:t>
      </w:r>
      <w:r w:rsidR="007B7CB0">
        <w:t>that, with respect to a planning</w:t>
      </w:r>
      <w:r w:rsidR="007B7CB0" w:rsidRPr="00805EEC">
        <w:t xml:space="preserve"> permission </w:t>
      </w:r>
      <w:r w:rsidR="007B7CB0">
        <w:t xml:space="preserve">for </w:t>
      </w:r>
      <w:r w:rsidR="007B7CB0" w:rsidRPr="00805EEC">
        <w:t xml:space="preserve">a development that relates to 20 or more houses and in respect of which an </w:t>
      </w:r>
      <w:r w:rsidR="007B7CB0">
        <w:t>EIA</w:t>
      </w:r>
      <w:r w:rsidR="007B7CB0" w:rsidRPr="00805EEC">
        <w:t xml:space="preserve"> or </w:t>
      </w:r>
      <w:r w:rsidR="007B7CB0">
        <w:t xml:space="preserve">AA was </w:t>
      </w:r>
      <w:r w:rsidR="007B7CB0" w:rsidRPr="00805EEC">
        <w:t>not required before the permission was granted</w:t>
      </w:r>
      <w:r w:rsidR="007B7CB0">
        <w:t xml:space="preserve">, the planning authority, </w:t>
      </w:r>
      <w:r w:rsidR="007B7CB0" w:rsidRPr="00805EEC">
        <w:t xml:space="preserve">upon application being duly made </w:t>
      </w:r>
      <w:r w:rsidR="007B7CB0">
        <w:t>to it</w:t>
      </w:r>
      <w:r w:rsidR="007B7CB0" w:rsidRPr="00805EEC">
        <w:t xml:space="preserve"> setting out the reasons why the development cannot be reasonably completed within the appropriate </w:t>
      </w:r>
      <w:r w:rsidR="007B7CB0" w:rsidRPr="00805EEC">
        <w:lastRenderedPageBreak/>
        <w:t>period,</w:t>
      </w:r>
      <w:r w:rsidR="007B7CB0" w:rsidRPr="007B7CB0">
        <w:rPr>
          <w:iCs/>
        </w:rPr>
        <w:t xml:space="preserve"> shall </w:t>
      </w:r>
      <w:r w:rsidR="007B7CB0" w:rsidRPr="00805EEC">
        <w:t>further extend the appropriate period by such additional period not exceeding 5 years, or until 31 December 2021</w:t>
      </w:r>
      <w:r w:rsidR="007B7CB0">
        <w:t>.</w:t>
      </w:r>
      <w:r w:rsidR="00F045BC" w:rsidRPr="00C4796E">
        <w:rPr>
          <w:rStyle w:val="FootnoteReference"/>
        </w:rPr>
        <w:footnoteReference w:id="12"/>
      </w:r>
      <w:r w:rsidR="003F1B1F" w:rsidRPr="00C4796E">
        <w:t xml:space="preserve"> </w:t>
      </w:r>
    </w:p>
    <w:p w14:paraId="1CA335CE" w14:textId="64196A99" w:rsidR="0004191E" w:rsidRPr="001A26C0" w:rsidRDefault="00B25C65" w:rsidP="0050521B">
      <w:pPr>
        <w:pStyle w:val="NumberedParas"/>
        <w:ind w:left="1134" w:firstLine="0"/>
      </w:pPr>
      <w:r w:rsidRPr="00805EEC">
        <w:t xml:space="preserve">The observer </w:t>
      </w:r>
      <w:r w:rsidR="001C5625" w:rsidRPr="00805EEC">
        <w:t>contends</w:t>
      </w:r>
      <w:r w:rsidRPr="00805EEC">
        <w:t xml:space="preserve"> that </w:t>
      </w:r>
      <w:r w:rsidR="007C0110" w:rsidRPr="00805EEC">
        <w:t>this indicates that the Party concerned will not commence section 28 PDHRTA</w:t>
      </w:r>
      <w:r w:rsidR="00384250" w:rsidRPr="00805EEC">
        <w:t xml:space="preserve"> until after 31 December 2021.</w:t>
      </w:r>
      <w:r w:rsidR="00E81FC4" w:rsidRPr="00C4796E">
        <w:rPr>
          <w:rStyle w:val="FootnoteReference"/>
        </w:rPr>
        <w:footnoteReference w:id="13"/>
      </w:r>
      <w:r w:rsidR="00384250" w:rsidRPr="00C4796E">
        <w:t xml:space="preserve"> </w:t>
      </w:r>
    </w:p>
    <w:p w14:paraId="3E1B5B8E" w14:textId="0EA57CCB" w:rsidR="001E1901" w:rsidRPr="001A26C0" w:rsidRDefault="002A4607" w:rsidP="0050521B">
      <w:pPr>
        <w:pStyle w:val="NumberedParas"/>
        <w:ind w:left="1134" w:firstLine="0"/>
      </w:pPr>
      <w:r w:rsidRPr="001A26C0">
        <w:t>The</w:t>
      </w:r>
      <w:r w:rsidR="001E1901" w:rsidRPr="001A26C0">
        <w:t xml:space="preserve"> observer </w:t>
      </w:r>
      <w:r w:rsidRPr="00805EEC">
        <w:t xml:space="preserve">also </w:t>
      </w:r>
      <w:r w:rsidR="001E1901" w:rsidRPr="00805EEC">
        <w:t>submits that section 28(1) “if ever commenced will not remedy the Aarhus non-compliance issue found” in the Committee’s findings on communication ACCC/C/2013/107.</w:t>
      </w:r>
      <w:r w:rsidR="001E1901" w:rsidRPr="00C4796E">
        <w:rPr>
          <w:rStyle w:val="FootnoteReference"/>
        </w:rPr>
        <w:footnoteReference w:id="14"/>
      </w:r>
      <w:r w:rsidR="001E1901" w:rsidRPr="00C4796E">
        <w:t xml:space="preserve"> </w:t>
      </w:r>
    </w:p>
    <w:p w14:paraId="36796104" w14:textId="5DB4A723" w:rsidR="00A53235" w:rsidRPr="00C4796E" w:rsidRDefault="007C67F1" w:rsidP="0050521B">
      <w:pPr>
        <w:pStyle w:val="NumberedParas"/>
        <w:ind w:left="1134" w:firstLine="0"/>
      </w:pPr>
      <w:r w:rsidRPr="00805EEC">
        <w:t>Lastly, t</w:t>
      </w:r>
      <w:r w:rsidR="002A4607" w:rsidRPr="00805EEC">
        <w:t>he</w:t>
      </w:r>
      <w:r w:rsidR="00A53235" w:rsidRPr="00805EEC">
        <w:t xml:space="preserve"> observer states that it is concerned about the fact that the amendment proposed by the Party concerned limits the considerations only to EIA and AA when determining whether it is possible to draw on section 42 or not to exten</w:t>
      </w:r>
      <w:r w:rsidR="00C46C5C" w:rsidRPr="00805EEC">
        <w:t>d</w:t>
      </w:r>
      <w:r w:rsidR="00A53235" w:rsidRPr="00805EEC">
        <w:t xml:space="preserve"> a permission. It submits that significant effects on the environment in the sense of article 6 of the Convention can arise </w:t>
      </w:r>
      <w:r w:rsidR="002A4607" w:rsidRPr="00805EEC">
        <w:t xml:space="preserve">even in cases where no EIA or AA </w:t>
      </w:r>
      <w:r w:rsidR="001B291F" w:rsidRPr="00805EEC">
        <w:t>is</w:t>
      </w:r>
      <w:r w:rsidR="002A4607" w:rsidRPr="00805EEC">
        <w:t xml:space="preserve"> required</w:t>
      </w:r>
      <w:r w:rsidR="00A53235" w:rsidRPr="00805EEC">
        <w:t>.</w:t>
      </w:r>
      <w:r w:rsidRPr="00C4796E">
        <w:rPr>
          <w:rStyle w:val="FootnoteReference"/>
        </w:rPr>
        <w:footnoteReference w:id="15"/>
      </w:r>
    </w:p>
    <w:p w14:paraId="391D5373" w14:textId="6FFCF43F" w:rsidR="00B43E0D" w:rsidRPr="00805EEC" w:rsidRDefault="00B43E0D" w:rsidP="0050521B">
      <w:pPr>
        <w:pStyle w:val="NumberedParas"/>
        <w:ind w:left="1134" w:firstLine="0"/>
      </w:pPr>
      <w:r w:rsidRPr="00805EEC">
        <w:t xml:space="preserve">The Committee notes that it is </w:t>
      </w:r>
      <w:r w:rsidR="001B291F" w:rsidRPr="00805EEC">
        <w:t xml:space="preserve">still </w:t>
      </w:r>
      <w:r w:rsidRPr="00805EEC">
        <w:t xml:space="preserve">to receive confirmation </w:t>
      </w:r>
      <w:r w:rsidRPr="00C4796E">
        <w:t xml:space="preserve">that section </w:t>
      </w:r>
      <w:r w:rsidR="00187270" w:rsidRPr="00C4796E">
        <w:t>42(1)</w:t>
      </w:r>
      <w:r w:rsidR="00C81178" w:rsidRPr="001A26C0">
        <w:t>(a)</w:t>
      </w:r>
      <w:r w:rsidR="00187270" w:rsidRPr="001A26C0">
        <w:t xml:space="preserve"> PDA has been amended, whether by section 28 PDHRTA or otherwise</w:t>
      </w:r>
      <w:r w:rsidR="001B291F" w:rsidRPr="00805EEC">
        <w:t>,</w:t>
      </w:r>
      <w:r w:rsidR="00187270" w:rsidRPr="00805EEC">
        <w:t xml:space="preserve"> and as such cannot yet </w:t>
      </w:r>
      <w:r w:rsidR="003056E8" w:rsidRPr="00805EEC">
        <w:t xml:space="preserve">find that the Party concerned has </w:t>
      </w:r>
      <w:r w:rsidR="00C46C5C" w:rsidRPr="00805EEC">
        <w:t>met</w:t>
      </w:r>
      <w:r w:rsidR="003056E8" w:rsidRPr="00805EEC">
        <w:t xml:space="preserve"> the recommendations in </w:t>
      </w:r>
      <w:r w:rsidR="00C46C5C" w:rsidRPr="00805EEC">
        <w:t xml:space="preserve">its findings on </w:t>
      </w:r>
      <w:r w:rsidR="003056E8" w:rsidRPr="00805EEC">
        <w:t>communication ACCC/C/2013/107. However, the Committee examines the content of the proposed amendment</w:t>
      </w:r>
      <w:r w:rsidR="00E501F2" w:rsidRPr="00805EEC">
        <w:t xml:space="preserve"> </w:t>
      </w:r>
      <w:r w:rsidR="00FC0399">
        <w:t xml:space="preserve">of section 42(1)(a) PDA before </w:t>
      </w:r>
      <w:r w:rsidR="00E501F2" w:rsidRPr="00805EEC">
        <w:t>it</w:t>
      </w:r>
      <w:r w:rsidR="004E5BCB" w:rsidRPr="00805EEC">
        <w:t>.</w:t>
      </w:r>
    </w:p>
    <w:p w14:paraId="52EFDA1D" w14:textId="6C450A7A" w:rsidR="00242BA0" w:rsidRPr="00805EEC" w:rsidRDefault="00280A93" w:rsidP="0050521B">
      <w:pPr>
        <w:pStyle w:val="NumberedParas"/>
        <w:ind w:left="1134" w:firstLine="0"/>
      </w:pPr>
      <w:r w:rsidRPr="00805EEC">
        <w:t xml:space="preserve">The Committee considers that the proposed new section 42(1)(a) PDA </w:t>
      </w:r>
      <w:r w:rsidR="00EE1572" w:rsidRPr="00805EEC">
        <w:t xml:space="preserve">would </w:t>
      </w:r>
      <w:r w:rsidR="00CA5DBD" w:rsidRPr="00805EEC">
        <w:t>have the effect of</w:t>
      </w:r>
      <w:r w:rsidR="004438CA" w:rsidRPr="00805EEC">
        <w:t xml:space="preserve"> </w:t>
      </w:r>
      <w:r w:rsidR="00242BA0" w:rsidRPr="00805EEC">
        <w:t>no longer allow</w:t>
      </w:r>
      <w:r w:rsidR="00CA5DBD" w:rsidRPr="00805EEC">
        <w:t>ing</w:t>
      </w:r>
      <w:r w:rsidR="00CD6DA7" w:rsidRPr="00805EEC">
        <w:t xml:space="preserve"> the duration of</w:t>
      </w:r>
      <w:r w:rsidR="00EE1572" w:rsidRPr="00805EEC">
        <w:t xml:space="preserve"> permits for activities </w:t>
      </w:r>
      <w:r w:rsidR="00D07EC6" w:rsidRPr="00805EEC">
        <w:t>for which an EIA or AA</w:t>
      </w:r>
      <w:r w:rsidR="00CF2E89" w:rsidRPr="00805EEC">
        <w:t xml:space="preserve"> was conducted, or</w:t>
      </w:r>
      <w:r w:rsidR="00D07EC6" w:rsidRPr="00805EEC">
        <w:t xml:space="preserve"> should have been </w:t>
      </w:r>
      <w:r w:rsidR="00CF2E89" w:rsidRPr="00805EEC">
        <w:t>conducted</w:t>
      </w:r>
      <w:r w:rsidR="004438CA" w:rsidRPr="00805EEC">
        <w:t xml:space="preserve">, to be extended under that section. </w:t>
      </w:r>
      <w:r w:rsidR="0027699E" w:rsidRPr="00805EEC">
        <w:t>As such, the Committee considers that the new section 42(1)(a) of the PDA</w:t>
      </w:r>
      <w:r w:rsidR="00C46C5C" w:rsidRPr="00805EEC">
        <w:t xml:space="preserve">, once enacted, will </w:t>
      </w:r>
      <w:r w:rsidR="00C4796E" w:rsidRPr="00805EEC">
        <w:t>mark significant progress</w:t>
      </w:r>
      <w:r w:rsidR="00891BC1" w:rsidRPr="00805EEC">
        <w:t xml:space="preserve">. </w:t>
      </w:r>
    </w:p>
    <w:p w14:paraId="2F775B64" w14:textId="7EA35D35" w:rsidR="00FE6691" w:rsidRPr="00805EEC" w:rsidRDefault="00974119" w:rsidP="0050521B">
      <w:pPr>
        <w:pStyle w:val="NumberedParas"/>
        <w:ind w:left="1134" w:firstLine="0"/>
      </w:pPr>
      <w:bookmarkStart w:id="1" w:name="_Ref72502598"/>
      <w:r w:rsidRPr="00805EEC">
        <w:t xml:space="preserve">However, the Committee </w:t>
      </w:r>
      <w:r w:rsidR="00C4796E" w:rsidRPr="00805EEC">
        <w:t>expresses two reservations</w:t>
      </w:r>
      <w:r w:rsidRPr="00805EEC">
        <w:t xml:space="preserve"> </w:t>
      </w:r>
      <w:r w:rsidRPr="00C4796E">
        <w:t xml:space="preserve">in this regard. Firstly, </w:t>
      </w:r>
      <w:r w:rsidR="00CF32E3" w:rsidRPr="00805EEC">
        <w:t xml:space="preserve">the Committee reminds the Party concerned that while there may be considerable overlap between those projects for which EIA and/or AA must be conducted under its domestic law and those projects for which public participation must take place under article 6 of the Convention, </w:t>
      </w:r>
      <w:r w:rsidR="00D04907" w:rsidRPr="00805EEC">
        <w:t xml:space="preserve">there may be some projects in the </w:t>
      </w:r>
      <w:r w:rsidR="004F5303" w:rsidRPr="00805EEC">
        <w:t>latter</w:t>
      </w:r>
      <w:r w:rsidR="00D04907" w:rsidRPr="00805EEC">
        <w:t xml:space="preserve"> but not the </w:t>
      </w:r>
      <w:r w:rsidR="004F5303" w:rsidRPr="00805EEC">
        <w:t>former</w:t>
      </w:r>
      <w:r w:rsidR="00D04907" w:rsidRPr="00805EEC">
        <w:t xml:space="preserve"> category.</w:t>
      </w:r>
      <w:r w:rsidR="004F5303" w:rsidRPr="00805EEC">
        <w:t xml:space="preserve"> Consequently, </w:t>
      </w:r>
      <w:r w:rsidR="00D266F6" w:rsidRPr="00805EEC">
        <w:t xml:space="preserve">the proposed new section 42(1)(a) </w:t>
      </w:r>
      <w:r w:rsidR="00C81178" w:rsidRPr="00805EEC">
        <w:t xml:space="preserve">PDA </w:t>
      </w:r>
      <w:r w:rsidR="00D266F6" w:rsidRPr="00805EEC">
        <w:t xml:space="preserve">may still allow </w:t>
      </w:r>
      <w:r w:rsidR="00984EAB" w:rsidRPr="00805EEC">
        <w:t>for certain projects subject to article 6 of the Convention to be extended without undergoing public participation.</w:t>
      </w:r>
      <w:bookmarkEnd w:id="1"/>
      <w:r w:rsidR="00D04907" w:rsidRPr="00805EEC">
        <w:t xml:space="preserve"> </w:t>
      </w:r>
    </w:p>
    <w:p w14:paraId="3E309D28" w14:textId="36DA5C4E" w:rsidR="00974119" w:rsidRPr="00805EEC" w:rsidRDefault="00AF7E65" w:rsidP="0050521B">
      <w:pPr>
        <w:pStyle w:val="NumberedParas"/>
        <w:ind w:left="1134" w:firstLine="0"/>
      </w:pPr>
      <w:bookmarkStart w:id="2" w:name="_Ref72502601"/>
      <w:r w:rsidRPr="001A26C0">
        <w:t xml:space="preserve">Secondly, the Committee </w:t>
      </w:r>
      <w:r w:rsidR="00F127ED" w:rsidRPr="001A26C0">
        <w:t xml:space="preserve">notes the possibility that </w:t>
      </w:r>
      <w:r w:rsidR="00AC7F34" w:rsidRPr="001A26C0">
        <w:t>a change in factual or legal circumstances may mean that while neither EIA nor AA was required for the original proposal</w:t>
      </w:r>
      <w:r w:rsidR="000C2CEE" w:rsidRPr="001A26C0">
        <w:t xml:space="preserve">, </w:t>
      </w:r>
      <w:r w:rsidR="00FE6691" w:rsidRPr="001A26C0">
        <w:t xml:space="preserve">the situation </w:t>
      </w:r>
      <w:r w:rsidR="00AE5F29" w:rsidRPr="001A26C0">
        <w:t>may have</w:t>
      </w:r>
      <w:r w:rsidR="00FE6691" w:rsidRPr="001A26C0">
        <w:t xml:space="preserve"> changed by </w:t>
      </w:r>
      <w:r w:rsidR="000C2CEE" w:rsidRPr="001A26C0">
        <w:t xml:space="preserve">the time </w:t>
      </w:r>
      <w:r w:rsidR="00FE6691" w:rsidRPr="001A26C0">
        <w:t>an</w:t>
      </w:r>
      <w:r w:rsidR="000C2CEE" w:rsidRPr="001A26C0">
        <w:t xml:space="preserve"> extension of the permit</w:t>
      </w:r>
      <w:r w:rsidR="00251E1A" w:rsidRPr="001A26C0">
        <w:t xml:space="preserve"> </w:t>
      </w:r>
      <w:r w:rsidR="00FE6691" w:rsidRPr="001A26C0">
        <w:t>is applied for</w:t>
      </w:r>
      <w:r w:rsidR="0078696E" w:rsidRPr="001A26C0">
        <w:t>,</w:t>
      </w:r>
      <w:r w:rsidR="00251E1A" w:rsidRPr="001A26C0">
        <w:t xml:space="preserve"> triggering the obligations under article 6 of the Conventio</w:t>
      </w:r>
      <w:r w:rsidR="0078696E" w:rsidRPr="001A26C0">
        <w:t xml:space="preserve">n. </w:t>
      </w:r>
      <w:r w:rsidR="0076252B">
        <w:t xml:space="preserve">In </w:t>
      </w:r>
      <w:r w:rsidR="004B0BDE" w:rsidRPr="001A26C0">
        <w:t>such a case a</w:t>
      </w:r>
      <w:r w:rsidR="00C9340E" w:rsidRPr="001A26C0">
        <w:t xml:space="preserve">n extension of the permit without public participation meeting the requirements of article 6 </w:t>
      </w:r>
      <w:r w:rsidR="0076252B">
        <w:t xml:space="preserve">may </w:t>
      </w:r>
      <w:r w:rsidR="00C9340E" w:rsidRPr="001A26C0">
        <w:t>constitute a breach of the Convention</w:t>
      </w:r>
      <w:r w:rsidR="00C9340E" w:rsidRPr="00C4796E">
        <w:t>.</w:t>
      </w:r>
      <w:bookmarkEnd w:id="2"/>
      <w:r w:rsidR="00923A8E">
        <w:t xml:space="preserve"> </w:t>
      </w:r>
      <w:r w:rsidR="0076252B">
        <w:t xml:space="preserve">While having not yet seen the text of the proposed amendment, the </w:t>
      </w:r>
      <w:r w:rsidR="00923A8E">
        <w:t xml:space="preserve">Committee </w:t>
      </w:r>
      <w:r w:rsidR="00F57349">
        <w:t>considers</w:t>
      </w:r>
      <w:r w:rsidR="00923A8E">
        <w:t xml:space="preserve"> </w:t>
      </w:r>
      <w:r w:rsidR="0076252B">
        <w:t xml:space="preserve">that </w:t>
      </w:r>
      <w:r w:rsidR="00923A8E">
        <w:t xml:space="preserve">the further amendment </w:t>
      </w:r>
      <w:r w:rsidR="00F57349">
        <w:t xml:space="preserve">proposed by the Party concerned referred to in paragraph </w:t>
      </w:r>
      <w:r w:rsidR="00F57349">
        <w:fldChar w:fldCharType="begin"/>
      </w:r>
      <w:r w:rsidR="00F57349">
        <w:instrText xml:space="preserve"> REF _Ref76138395 \r \h </w:instrText>
      </w:r>
      <w:r w:rsidR="00F57349">
        <w:fldChar w:fldCharType="separate"/>
      </w:r>
      <w:r w:rsidR="00F9349E">
        <w:rPr>
          <w:cs/>
        </w:rPr>
        <w:t>‎</w:t>
      </w:r>
      <w:r w:rsidR="00F9349E">
        <w:t>18</w:t>
      </w:r>
      <w:r w:rsidR="00F57349">
        <w:fldChar w:fldCharType="end"/>
      </w:r>
      <w:r w:rsidR="00F57349">
        <w:t xml:space="preserve"> above would seem to be an important step in </w:t>
      </w:r>
      <w:r w:rsidR="0076252B">
        <w:t>that regard</w:t>
      </w:r>
      <w:r w:rsidR="00F57349">
        <w:t xml:space="preserve">. </w:t>
      </w:r>
    </w:p>
    <w:p w14:paraId="3599C5AC" w14:textId="2C8E681D" w:rsidR="0035104A" w:rsidRPr="00805EEC" w:rsidRDefault="0035104A" w:rsidP="0050521B">
      <w:pPr>
        <w:pStyle w:val="NumberedParas"/>
        <w:ind w:left="1134" w:firstLine="0"/>
      </w:pPr>
      <w:r>
        <w:t>The</w:t>
      </w:r>
      <w:r w:rsidR="00C4796E" w:rsidRPr="00805EEC">
        <w:t xml:space="preserve"> Committee considers that, when enacted, the new section 42(1)(a) PDA will mark significant progress on the existing situation. </w:t>
      </w:r>
    </w:p>
    <w:p w14:paraId="31C04CBA" w14:textId="6ADA69A2" w:rsidR="0035104A" w:rsidRDefault="0076252B" w:rsidP="005F0AC4">
      <w:pPr>
        <w:pStyle w:val="NumberedParas"/>
        <w:ind w:left="1134" w:firstLine="0"/>
      </w:pPr>
      <w:r>
        <w:t>The Committee, however, invites the Party concerned</w:t>
      </w:r>
      <w:r w:rsidR="00FD6254">
        <w:t>,</w:t>
      </w:r>
      <w:r>
        <w:t xml:space="preserve"> when deciding upon the measures through which it intends to </w:t>
      </w:r>
      <w:r w:rsidR="00FD6254">
        <w:t xml:space="preserve">fully </w:t>
      </w:r>
      <w:r>
        <w:t xml:space="preserve">implement the recommendation in </w:t>
      </w:r>
      <w:r w:rsidR="00C4796E" w:rsidRPr="00805EEC">
        <w:t>paragraph 95 of the Committee’s findings on communication ACCC/C/2013/107</w:t>
      </w:r>
      <w:r w:rsidR="00FD6254">
        <w:t>,</w:t>
      </w:r>
      <w:r>
        <w:t xml:space="preserve"> to bear in mind the considerations in </w:t>
      </w:r>
      <w:r w:rsidR="00C4796E" w:rsidRPr="00805EEC">
        <w:t xml:space="preserve">paragraphs </w:t>
      </w:r>
      <w:r w:rsidR="00C4796E" w:rsidRPr="00C4796E">
        <w:fldChar w:fldCharType="begin"/>
      </w:r>
      <w:r w:rsidR="00C4796E" w:rsidRPr="00805EEC">
        <w:instrText xml:space="preserve"> REF _Ref72502598 \r \h  \* MERGEFORMAT </w:instrText>
      </w:r>
      <w:r w:rsidR="00C4796E" w:rsidRPr="00C4796E">
        <w:fldChar w:fldCharType="separate"/>
      </w:r>
      <w:r w:rsidR="00F9349E">
        <w:rPr>
          <w:cs/>
        </w:rPr>
        <w:t>‎</w:t>
      </w:r>
      <w:r w:rsidR="00F9349E">
        <w:t>26</w:t>
      </w:r>
      <w:r w:rsidR="00C4796E" w:rsidRPr="00C4796E">
        <w:fldChar w:fldCharType="end"/>
      </w:r>
      <w:r w:rsidR="00C4796E" w:rsidRPr="00C4796E">
        <w:t xml:space="preserve"> and </w:t>
      </w:r>
      <w:r w:rsidR="00C4796E" w:rsidRPr="00C4796E">
        <w:fldChar w:fldCharType="begin"/>
      </w:r>
      <w:r w:rsidR="00C4796E" w:rsidRPr="00805EEC">
        <w:instrText xml:space="preserve"> REF _Ref72502601 \r \h  \* MERGEFORMAT </w:instrText>
      </w:r>
      <w:r w:rsidR="00C4796E" w:rsidRPr="00C4796E">
        <w:fldChar w:fldCharType="separate"/>
      </w:r>
      <w:r w:rsidR="00F9349E">
        <w:rPr>
          <w:cs/>
        </w:rPr>
        <w:t>‎</w:t>
      </w:r>
      <w:r w:rsidR="00F9349E">
        <w:t>27</w:t>
      </w:r>
      <w:r w:rsidR="00C4796E" w:rsidRPr="00C4796E">
        <w:fldChar w:fldCharType="end"/>
      </w:r>
      <w:r w:rsidR="00C4796E" w:rsidRPr="00C4796E">
        <w:t xml:space="preserve"> above</w:t>
      </w:r>
      <w:r>
        <w:t>.</w:t>
      </w:r>
      <w:r w:rsidR="0003621F">
        <w:t xml:space="preserve"> </w:t>
      </w:r>
      <w:r w:rsidR="0035104A">
        <w:t>Moreover, recalling the recommendation in paragraph 95(b) of the Committee’s findings, t</w:t>
      </w:r>
      <w:r w:rsidR="0035104A" w:rsidRPr="00805EEC">
        <w:t xml:space="preserve">he Committee urges the Party concerned to </w:t>
      </w:r>
      <w:r w:rsidR="0003621F">
        <w:t>address these points as soon as possible</w:t>
      </w:r>
      <w:r w:rsidR="0035104A" w:rsidRPr="00805EEC">
        <w:t>.</w:t>
      </w:r>
    </w:p>
    <w:p w14:paraId="5CEFB41A" w14:textId="0ADD472A" w:rsidR="0035104A" w:rsidRPr="00C4796E" w:rsidRDefault="0035104A" w:rsidP="0071561F">
      <w:pPr>
        <w:pStyle w:val="NumberedParas"/>
        <w:ind w:left="1134" w:firstLine="0"/>
      </w:pPr>
      <w:r>
        <w:lastRenderedPageBreak/>
        <w:t xml:space="preserve">Based on the foregoing, </w:t>
      </w:r>
      <w:r w:rsidRPr="00805EEC">
        <w:t>the Committe</w:t>
      </w:r>
      <w:r>
        <w:t>e, while welcoming the steps made to date in that direction,</w:t>
      </w:r>
      <w:r w:rsidRPr="00805EEC">
        <w:t xml:space="preserve"> finds that the Party concerned has not yet taken the necessary measures to fully meet the recommendations in paragraph 95 of the Committee’s findings </w:t>
      </w:r>
      <w:r>
        <w:t>on</w:t>
      </w:r>
      <w:r w:rsidRPr="00805EEC">
        <w:t xml:space="preserve"> communication ACCC/2013/107</w:t>
      </w:r>
      <w:r>
        <w:t>.</w:t>
      </w:r>
    </w:p>
    <w:p w14:paraId="43837C51" w14:textId="3E2D872B" w:rsidR="004216FB" w:rsidRPr="00805EEC" w:rsidRDefault="004216FB" w:rsidP="0050521B">
      <w:pPr>
        <w:pStyle w:val="Heading1"/>
        <w:ind w:left="1134" w:firstLine="0"/>
      </w:pPr>
      <w:r w:rsidRPr="00805EEC">
        <w:tab/>
        <w:t xml:space="preserve">Conclusions </w:t>
      </w:r>
    </w:p>
    <w:p w14:paraId="79C071DD" w14:textId="33ABCE91" w:rsidR="00C4796E" w:rsidRPr="00805EEC" w:rsidRDefault="004216FB" w:rsidP="0050521B">
      <w:pPr>
        <w:pStyle w:val="NumberedParas"/>
        <w:ind w:left="1134" w:firstLine="0"/>
      </w:pPr>
      <w:r w:rsidRPr="00805EEC">
        <w:t xml:space="preserve">The </w:t>
      </w:r>
      <w:r w:rsidR="00CD7D90" w:rsidRPr="00805EEC">
        <w:t xml:space="preserve">Committee </w:t>
      </w:r>
      <w:r w:rsidR="00C4796E" w:rsidRPr="00805EEC">
        <w:t xml:space="preserve">welcomes the constructive engagement by the Party concerned in the Committee’s follow-up on the findings on communication ACCC/C/2013/107. </w:t>
      </w:r>
    </w:p>
    <w:p w14:paraId="039B07FE" w14:textId="1868760D" w:rsidR="00F94223" w:rsidRPr="00805EEC" w:rsidRDefault="0035104A" w:rsidP="0050521B">
      <w:pPr>
        <w:pStyle w:val="NumberedParas"/>
        <w:ind w:left="1134" w:firstLine="0"/>
      </w:pPr>
      <w:r>
        <w:t>The Committee, while welcoming the steps made to date in that direction</w:t>
      </w:r>
      <w:r w:rsidR="0050521B">
        <w:t>,</w:t>
      </w:r>
      <w:r w:rsidR="00C4796E" w:rsidRPr="00805EEC">
        <w:t xml:space="preserve"> finds </w:t>
      </w:r>
      <w:r w:rsidR="00CD7D90" w:rsidRPr="00805EEC">
        <w:t xml:space="preserve">that the Party concerned has not yet taken the necessary </w:t>
      </w:r>
      <w:r w:rsidR="00C4796E" w:rsidRPr="00805EEC">
        <w:t xml:space="preserve">measures </w:t>
      </w:r>
      <w:r w:rsidR="00CD7D90" w:rsidRPr="00805EEC">
        <w:t xml:space="preserve">to </w:t>
      </w:r>
      <w:r w:rsidR="00C4796E" w:rsidRPr="00805EEC">
        <w:t xml:space="preserve">fully </w:t>
      </w:r>
      <w:r w:rsidR="00CD7D90" w:rsidRPr="00805EEC">
        <w:t>meet the recommendation</w:t>
      </w:r>
      <w:r w:rsidR="00C4796E" w:rsidRPr="00805EEC">
        <w:t>s</w:t>
      </w:r>
      <w:r w:rsidR="00CD7D90" w:rsidRPr="00805EEC">
        <w:t xml:space="preserve"> in </w:t>
      </w:r>
      <w:r w:rsidR="00860390" w:rsidRPr="00805EEC">
        <w:t xml:space="preserve">paragraph 95 of </w:t>
      </w:r>
      <w:r w:rsidR="00CD7D90" w:rsidRPr="00805EEC">
        <w:t xml:space="preserve">the Committee’s findings </w:t>
      </w:r>
      <w:r>
        <w:t>on</w:t>
      </w:r>
      <w:r w:rsidR="00CD7D90" w:rsidRPr="00805EEC">
        <w:t xml:space="preserve"> communication ACCC/201</w:t>
      </w:r>
      <w:r w:rsidR="00895502" w:rsidRPr="00805EEC">
        <w:t>3</w:t>
      </w:r>
      <w:r w:rsidR="00CD7D90" w:rsidRPr="00805EEC">
        <w:t>/10</w:t>
      </w:r>
      <w:r w:rsidR="00895502" w:rsidRPr="00805EEC">
        <w:t>7</w:t>
      </w:r>
      <w:r w:rsidR="00CD7D90" w:rsidRPr="00805EEC">
        <w:t xml:space="preserve">. </w:t>
      </w:r>
    </w:p>
    <w:p w14:paraId="07CF28C7" w14:textId="3FDF8DD5" w:rsidR="0003621F" w:rsidRDefault="006948ED" w:rsidP="0003621F">
      <w:pPr>
        <w:pStyle w:val="NumberedParas"/>
        <w:ind w:left="1134" w:firstLine="0"/>
      </w:pPr>
      <w:r w:rsidRPr="00805EEC">
        <w:t xml:space="preserve">The Committee </w:t>
      </w:r>
      <w:r w:rsidR="0003621F">
        <w:t xml:space="preserve">recommends </w:t>
      </w:r>
      <w:r w:rsidR="0003621F" w:rsidRPr="001A658F">
        <w:t>to the Meeting of the Parties that</w:t>
      </w:r>
      <w:r w:rsidR="0003621F">
        <w:t xml:space="preserve"> it endorse the Committee’s findings and recommendations on </w:t>
      </w:r>
      <w:r w:rsidR="0003621F" w:rsidRPr="007D4E82">
        <w:t>communication ACCC/C/201</w:t>
      </w:r>
      <w:r w:rsidR="0003621F">
        <w:t>3</w:t>
      </w:r>
      <w:r w:rsidR="0003621F" w:rsidRPr="007D4E82">
        <w:t>/1</w:t>
      </w:r>
      <w:r w:rsidR="0003621F">
        <w:t>07 and recommend</w:t>
      </w:r>
      <w:r w:rsidR="0003621F" w:rsidRPr="0042638A">
        <w:t xml:space="preserve"> </w:t>
      </w:r>
      <w:r w:rsidR="0003621F">
        <w:t xml:space="preserve">that, with regard to section 42 (1) (a) (i) and (ii) of the Planning and Development Act 2000, the Party concerned: </w:t>
      </w:r>
    </w:p>
    <w:p w14:paraId="4681C80B" w14:textId="7CBBF735" w:rsidR="0003621F" w:rsidRDefault="0003621F" w:rsidP="0003621F">
      <w:pPr>
        <w:pStyle w:val="NumberedParas"/>
        <w:numPr>
          <w:ilvl w:val="0"/>
          <w:numId w:val="0"/>
        </w:numPr>
        <w:ind w:left="1134"/>
      </w:pPr>
      <w:r>
        <w:tab/>
        <w:t xml:space="preserve">(a) </w:t>
      </w:r>
      <w:r>
        <w:tab/>
        <w:t xml:space="preserve">Take the necessary legislative measures to ensure that permits for activities subject to article 6 of the Convention cannot be extended, except for a minimal duration, without ensuring opportunities for the public to participate in the decision to grant that extension in accordance with article 6 (2)–(9) of the Convention; </w:t>
      </w:r>
    </w:p>
    <w:p w14:paraId="42D51967" w14:textId="394D4817" w:rsidR="0003621F" w:rsidRDefault="0003621F" w:rsidP="0050521B">
      <w:pPr>
        <w:pStyle w:val="NumberedParas"/>
        <w:numPr>
          <w:ilvl w:val="0"/>
          <w:numId w:val="0"/>
        </w:numPr>
        <w:ind w:left="1134"/>
      </w:pPr>
      <w:r>
        <w:tab/>
        <w:t xml:space="preserve">(b) </w:t>
      </w:r>
      <w:r>
        <w:tab/>
        <w:t>Take the necessary steps to ensure the prompt enactment of the measures to fulfil the recommendation in paragraph (a) above.</w:t>
      </w:r>
      <w:r w:rsidRPr="00C4796E">
        <w:t xml:space="preserve"> </w:t>
      </w:r>
    </w:p>
    <w:p w14:paraId="2DFB1182" w14:textId="699D1764" w:rsidR="0003621F" w:rsidRPr="001A658F" w:rsidRDefault="0003621F" w:rsidP="0003621F">
      <w:pPr>
        <w:pStyle w:val="NumberedParas"/>
        <w:ind w:left="1134" w:firstLine="0"/>
      </w:pPr>
      <w:r w:rsidRPr="001A658F">
        <w:t>The Committee further recommends to the Meeting of the Parties that</w:t>
      </w:r>
      <w:r>
        <w:t xml:space="preserve"> it request the Party concerned</w:t>
      </w:r>
      <w:r w:rsidRPr="001A658F">
        <w:t>:</w:t>
      </w:r>
    </w:p>
    <w:p w14:paraId="13DB84C4" w14:textId="47D5906D" w:rsidR="0003621F" w:rsidRDefault="0003621F" w:rsidP="0003621F">
      <w:pPr>
        <w:pStyle w:val="NumberedParas"/>
        <w:numPr>
          <w:ilvl w:val="1"/>
          <w:numId w:val="18"/>
        </w:numPr>
        <w:ind w:left="1134" w:firstLine="567"/>
      </w:pPr>
      <w:r>
        <w:t>To</w:t>
      </w:r>
      <w:r w:rsidRPr="007A4394">
        <w:t xml:space="preserve"> </w:t>
      </w:r>
      <w:r>
        <w:t xml:space="preserve">submit a plan of action, including a time schedule, to the Committee by 1 July 2022 regarding the </w:t>
      </w:r>
      <w:r w:rsidRPr="006F2FE0">
        <w:t xml:space="preserve">implementation of the </w:t>
      </w:r>
      <w:r>
        <w:t>above recommendations;</w:t>
      </w:r>
    </w:p>
    <w:p w14:paraId="67811331" w14:textId="4E927C1F" w:rsidR="0003621F" w:rsidRDefault="0003621F" w:rsidP="0050521B">
      <w:pPr>
        <w:pStyle w:val="NumberedParas"/>
        <w:numPr>
          <w:ilvl w:val="1"/>
          <w:numId w:val="18"/>
        </w:numPr>
        <w:ind w:left="1134" w:firstLine="567"/>
      </w:pPr>
      <w:r>
        <w:t>To provide detailed progress reports to the Committee by 1 October 2023 and 1 October 2024 on the measures taken and the results achieved in the implementation of the above recommendation</w:t>
      </w:r>
      <w:r w:rsidR="0050521B">
        <w:t>s</w:t>
      </w:r>
      <w:r>
        <w:t>;</w:t>
      </w:r>
    </w:p>
    <w:p w14:paraId="5DCA1D49" w14:textId="1E6E5C5A" w:rsidR="0003621F" w:rsidRDefault="0003621F" w:rsidP="0050521B">
      <w:pPr>
        <w:pStyle w:val="NumberedParas"/>
        <w:numPr>
          <w:ilvl w:val="1"/>
          <w:numId w:val="18"/>
        </w:numPr>
        <w:ind w:left="1134" w:firstLine="567"/>
      </w:pPr>
      <w:r>
        <w:t>To provide such further information as the Committee may request in order to assist it to review the progress by the Party concerned in implementing the above recommendation</w:t>
      </w:r>
      <w:r w:rsidR="0050521B">
        <w:t>s</w:t>
      </w:r>
      <w:r>
        <w:t xml:space="preserve">; </w:t>
      </w:r>
    </w:p>
    <w:p w14:paraId="2DD2553C" w14:textId="7317BC6F" w:rsidR="0003621F" w:rsidRPr="00AB652B" w:rsidRDefault="0003621F" w:rsidP="0003621F">
      <w:pPr>
        <w:pStyle w:val="NumberedParas"/>
        <w:numPr>
          <w:ilvl w:val="1"/>
          <w:numId w:val="18"/>
        </w:numPr>
        <w:ind w:left="1134" w:firstLine="567"/>
      </w:pPr>
      <w:r>
        <w:t>To participate (either in person or by virtual means) in the meetings of the Committee at which the progress of the Party concerned in implementing the above recommendation</w:t>
      </w:r>
      <w:r w:rsidR="0050521B">
        <w:t>s</w:t>
      </w:r>
      <w:r>
        <w:t xml:space="preserve"> is to be considered.</w:t>
      </w:r>
    </w:p>
    <w:p w14:paraId="17ED49B9" w14:textId="77777777" w:rsidR="0018348D" w:rsidRDefault="0018348D" w:rsidP="0003621F">
      <w:pPr>
        <w:pStyle w:val="NumberedParas"/>
        <w:numPr>
          <w:ilvl w:val="0"/>
          <w:numId w:val="0"/>
        </w:numPr>
        <w:ind w:left="1134"/>
        <w:jc w:val="center"/>
      </w:pPr>
    </w:p>
    <w:p w14:paraId="25349435" w14:textId="33E5F4CE" w:rsidR="004216FB" w:rsidRPr="00C4796E" w:rsidRDefault="004216FB" w:rsidP="0050521B">
      <w:pPr>
        <w:pStyle w:val="NumberedParas"/>
        <w:numPr>
          <w:ilvl w:val="0"/>
          <w:numId w:val="0"/>
        </w:numPr>
        <w:ind w:left="1134"/>
        <w:jc w:val="center"/>
      </w:pPr>
      <w:r w:rsidRPr="00C4796E">
        <w:t>________________________________</w:t>
      </w:r>
    </w:p>
    <w:p w14:paraId="2A661751" w14:textId="287A6B7C" w:rsidR="00732ACE" w:rsidRPr="00805EEC" w:rsidRDefault="00732ACE" w:rsidP="0071561F">
      <w:pPr>
        <w:pStyle w:val="SingleTxtG"/>
        <w:tabs>
          <w:tab w:val="left" w:pos="1701"/>
        </w:tabs>
      </w:pPr>
    </w:p>
    <w:sectPr w:rsidR="00732ACE" w:rsidRPr="00805EEC" w:rsidSect="001816E7">
      <w:headerReference w:type="default" r:id="rId12"/>
      <w:footerReference w:type="default" r:id="rId13"/>
      <w:pgSz w:w="11906" w:h="16838"/>
      <w:pgMar w:top="1440" w:right="1133" w:bottom="1440" w:left="1134"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D2F8F" w14:textId="77777777" w:rsidR="00AE0158" w:rsidRDefault="00AE0158">
      <w:r>
        <w:separator/>
      </w:r>
    </w:p>
  </w:endnote>
  <w:endnote w:type="continuationSeparator" w:id="0">
    <w:p w14:paraId="37CC0F94" w14:textId="77777777" w:rsidR="00AE0158" w:rsidRDefault="00AE0158">
      <w:r>
        <w:continuationSeparator/>
      </w:r>
    </w:p>
  </w:endnote>
  <w:endnote w:type="continuationNotice" w:id="1">
    <w:p w14:paraId="5032897D" w14:textId="77777777" w:rsidR="00AE0158" w:rsidRDefault="00AE0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745100"/>
      <w:docPartObj>
        <w:docPartGallery w:val="Page Numbers (Bottom of Page)"/>
        <w:docPartUnique/>
      </w:docPartObj>
    </w:sdtPr>
    <w:sdtEndPr/>
    <w:sdtContent>
      <w:p w14:paraId="309AF4B2" w14:textId="77777777" w:rsidR="007E4E59" w:rsidRDefault="007E4E59">
        <w:pPr>
          <w:pStyle w:val="Footer"/>
          <w:jc w:val="right"/>
        </w:pPr>
        <w:r>
          <w:fldChar w:fldCharType="begin"/>
        </w:r>
        <w:r>
          <w:instrText>PAGE</w:instrText>
        </w:r>
        <w:r>
          <w:fldChar w:fldCharType="separate"/>
        </w:r>
        <w:r>
          <w:rPr>
            <w:noProof/>
          </w:rPr>
          <w:t>3</w:t>
        </w:r>
        <w:r>
          <w:fldChar w:fldCharType="end"/>
        </w:r>
      </w:p>
    </w:sdtContent>
  </w:sdt>
  <w:p w14:paraId="43AA111A" w14:textId="77777777" w:rsidR="007E4E59" w:rsidRDefault="007E4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6EF27" w14:textId="77777777" w:rsidR="00AE0158" w:rsidRDefault="00AE0158">
      <w:r>
        <w:separator/>
      </w:r>
    </w:p>
  </w:footnote>
  <w:footnote w:type="continuationSeparator" w:id="0">
    <w:p w14:paraId="403E1FAF" w14:textId="77777777" w:rsidR="00AE0158" w:rsidRDefault="00AE0158">
      <w:r>
        <w:continuationSeparator/>
      </w:r>
    </w:p>
  </w:footnote>
  <w:footnote w:type="continuationNotice" w:id="1">
    <w:p w14:paraId="35C6BB4A" w14:textId="77777777" w:rsidR="00AE0158" w:rsidRDefault="00AE0158"/>
  </w:footnote>
  <w:footnote w:id="2">
    <w:p w14:paraId="0F43A950" w14:textId="77777777" w:rsidR="001816E7" w:rsidRPr="002E1E79" w:rsidRDefault="001816E7" w:rsidP="001816E7">
      <w:pPr>
        <w:pStyle w:val="FootnoteText"/>
        <w:rPr>
          <w:lang w:val="en-US"/>
        </w:rPr>
      </w:pPr>
      <w:r>
        <w:rPr>
          <w:rStyle w:val="FootnoteReference"/>
        </w:rPr>
        <w:tab/>
      </w:r>
      <w:r w:rsidRPr="002E1E79">
        <w:rPr>
          <w:rStyle w:val="FootnoteReference"/>
        </w:rPr>
        <w:t>*</w:t>
      </w:r>
      <w:r>
        <w:rPr>
          <w:rStyle w:val="FootnoteReference"/>
        </w:rPr>
        <w:tab/>
      </w:r>
      <w:r w:rsidRPr="002E1E79">
        <w:t>The present document is being issued without formal editing</w:t>
      </w:r>
      <w:r w:rsidRPr="002E1E79">
        <w:rPr>
          <w:rStyle w:val="FootnoteReference"/>
        </w:rPr>
        <w:t>.</w:t>
      </w:r>
    </w:p>
  </w:footnote>
  <w:footnote w:id="3">
    <w:p w14:paraId="26C9C559" w14:textId="7924B5ED" w:rsidR="00B503C5" w:rsidRPr="001B291F" w:rsidRDefault="00B503C5" w:rsidP="00805EEC">
      <w:pPr>
        <w:pStyle w:val="FootnoteText"/>
        <w:spacing w:after="0"/>
        <w:ind w:left="414" w:firstLine="720"/>
      </w:pPr>
      <w:r>
        <w:rPr>
          <w:rStyle w:val="FootnoteReference"/>
        </w:rPr>
        <w:footnoteRef/>
      </w:r>
      <w:r>
        <w:t xml:space="preserve"> </w:t>
      </w:r>
      <w:r w:rsidRPr="00CA0032">
        <w:rPr>
          <w:sz w:val="18"/>
          <w:szCs w:val="18"/>
        </w:rPr>
        <w:t xml:space="preserve">Additional information sent by observer (Irish Environmental Network), 29 May 2021, </w:t>
      </w:r>
      <w:r>
        <w:rPr>
          <w:sz w:val="18"/>
          <w:szCs w:val="18"/>
        </w:rPr>
        <w:t>pp. 6-8.</w:t>
      </w:r>
    </w:p>
  </w:footnote>
  <w:footnote w:id="4">
    <w:p w14:paraId="42DADA66" w14:textId="04A7902C" w:rsidR="00B503C5" w:rsidRPr="001B291F" w:rsidRDefault="00B503C5" w:rsidP="00805EEC">
      <w:pPr>
        <w:pStyle w:val="FootnoteText"/>
        <w:ind w:left="720" w:firstLine="414"/>
      </w:pPr>
      <w:r>
        <w:rPr>
          <w:rStyle w:val="FootnoteReference"/>
        </w:rPr>
        <w:footnoteRef/>
      </w:r>
      <w:r>
        <w:t xml:space="preserve"> </w:t>
      </w:r>
      <w:r w:rsidRPr="00CA0032">
        <w:rPr>
          <w:sz w:val="18"/>
          <w:szCs w:val="18"/>
        </w:rPr>
        <w:t>Additional information sent by observer (Irish Environmental Network), 29 May 2021,</w:t>
      </w:r>
      <w:r>
        <w:rPr>
          <w:sz w:val="18"/>
          <w:szCs w:val="18"/>
        </w:rPr>
        <w:t xml:space="preserve"> p. 8.</w:t>
      </w:r>
    </w:p>
  </w:footnote>
  <w:footnote w:id="5">
    <w:p w14:paraId="79FBD3C2" w14:textId="755302C3" w:rsidR="00DA4D73" w:rsidRDefault="00DA4D73" w:rsidP="0015436B">
      <w:pPr>
        <w:pStyle w:val="Footnotes"/>
      </w:pPr>
      <w:r>
        <w:rPr>
          <w:rStyle w:val="FootnoteReference"/>
        </w:rPr>
        <w:footnoteRef/>
      </w:r>
      <w:r>
        <w:t xml:space="preserve"> As itself amended by section 57 of the Planning and Development (Amendment) Act 2018. </w:t>
      </w:r>
    </w:p>
  </w:footnote>
  <w:footnote w:id="6">
    <w:p w14:paraId="43E7B76F" w14:textId="6C206583" w:rsidR="00E861C6" w:rsidRDefault="00E861C6" w:rsidP="0015436B">
      <w:pPr>
        <w:pStyle w:val="Footnotes"/>
      </w:pPr>
      <w:r>
        <w:rPr>
          <w:rStyle w:val="FootnoteReference"/>
        </w:rPr>
        <w:footnoteRef/>
      </w:r>
      <w:r>
        <w:t xml:space="preserve"> </w:t>
      </w:r>
      <w:r w:rsidR="00F01EC7">
        <w:t xml:space="preserve">Party’s progress report on the implementation of the Committee’s findings and recommendations, 1 October 2020, </w:t>
      </w:r>
      <w:r w:rsidR="00626134">
        <w:t>pp. 1-2.</w:t>
      </w:r>
    </w:p>
  </w:footnote>
  <w:footnote w:id="7">
    <w:p w14:paraId="2E8D8AEE" w14:textId="557569F2" w:rsidR="00F52103" w:rsidRDefault="00F52103" w:rsidP="0015436B">
      <w:pPr>
        <w:pStyle w:val="Footnotes"/>
      </w:pPr>
      <w:r>
        <w:rPr>
          <w:rStyle w:val="FootnoteReference"/>
        </w:rPr>
        <w:footnoteRef/>
      </w:r>
      <w:r>
        <w:t xml:space="preserve"> Party’s progress report on the implementation of the Committee’s findings and recommendations, 1 October 2020, p. 2.</w:t>
      </w:r>
    </w:p>
  </w:footnote>
  <w:footnote w:id="8">
    <w:p w14:paraId="496011FA" w14:textId="77777777" w:rsidR="007B24B2" w:rsidRPr="00CA0032" w:rsidRDefault="007B24B2" w:rsidP="007B24B2">
      <w:pPr>
        <w:pStyle w:val="FootnoteText"/>
        <w:spacing w:after="0"/>
        <w:ind w:left="720" w:firstLine="414"/>
        <w:rPr>
          <w:sz w:val="18"/>
          <w:szCs w:val="18"/>
        </w:rPr>
      </w:pPr>
      <w:r w:rsidRPr="00CA0032">
        <w:rPr>
          <w:rStyle w:val="FootnoteReference"/>
          <w:sz w:val="18"/>
          <w:szCs w:val="18"/>
        </w:rPr>
        <w:footnoteRef/>
      </w:r>
      <w:r w:rsidRPr="00CA0032">
        <w:rPr>
          <w:sz w:val="18"/>
          <w:szCs w:val="18"/>
        </w:rPr>
        <w:t xml:space="preserve"> Additional information sent by observer (Irish Environmental Network), 29 May 2021, p. 2.</w:t>
      </w:r>
    </w:p>
  </w:footnote>
  <w:footnote w:id="9">
    <w:p w14:paraId="059E6EC1" w14:textId="77777777" w:rsidR="007B24B2" w:rsidRPr="00CA0032" w:rsidRDefault="007B24B2" w:rsidP="007B24B2">
      <w:pPr>
        <w:pStyle w:val="FootnoteText"/>
        <w:spacing w:after="0"/>
        <w:ind w:left="414" w:firstLine="720"/>
        <w:rPr>
          <w:sz w:val="18"/>
          <w:szCs w:val="18"/>
        </w:rPr>
      </w:pPr>
      <w:r w:rsidRPr="00CA0032">
        <w:rPr>
          <w:rStyle w:val="FootnoteReference"/>
          <w:sz w:val="18"/>
          <w:szCs w:val="18"/>
        </w:rPr>
        <w:footnoteRef/>
      </w:r>
      <w:r w:rsidRPr="00CA0032">
        <w:rPr>
          <w:sz w:val="18"/>
          <w:szCs w:val="18"/>
        </w:rPr>
        <w:t xml:space="preserve"> Additional information sent by the Party concerned, 10 June 2021, p. 1.</w:t>
      </w:r>
    </w:p>
  </w:footnote>
  <w:footnote w:id="10">
    <w:p w14:paraId="4DBE0658" w14:textId="108A90C7" w:rsidR="00F045BC" w:rsidRDefault="00F045BC" w:rsidP="0015436B">
      <w:pPr>
        <w:pStyle w:val="Footnotes"/>
      </w:pPr>
      <w:r>
        <w:rPr>
          <w:rStyle w:val="FootnoteReference"/>
        </w:rPr>
        <w:footnoteRef/>
      </w:r>
      <w:r>
        <w:t xml:space="preserve"> Party’s progress report on the implementation of the Committee’s findings and recommendations, 1 October 2020, p. 2.</w:t>
      </w:r>
    </w:p>
  </w:footnote>
  <w:footnote w:id="11">
    <w:p w14:paraId="11B406F0" w14:textId="7C335ACB" w:rsidR="005657C1" w:rsidRPr="00805EEC" w:rsidRDefault="005657C1" w:rsidP="00805EEC">
      <w:pPr>
        <w:pStyle w:val="FootnoteText"/>
        <w:spacing w:after="0"/>
        <w:ind w:left="414" w:firstLine="720"/>
        <w:rPr>
          <w:sz w:val="18"/>
          <w:szCs w:val="18"/>
        </w:rPr>
      </w:pPr>
      <w:r w:rsidRPr="00805EEC">
        <w:rPr>
          <w:rStyle w:val="FootnoteReference"/>
          <w:sz w:val="18"/>
          <w:szCs w:val="18"/>
        </w:rPr>
        <w:footnoteRef/>
      </w:r>
      <w:r w:rsidRPr="00805EEC">
        <w:rPr>
          <w:sz w:val="18"/>
          <w:szCs w:val="18"/>
        </w:rPr>
        <w:t xml:space="preserve"> Additional information sent by observer (Irish Environmental Network), 29 May 2021, p</w:t>
      </w:r>
      <w:r>
        <w:rPr>
          <w:sz w:val="18"/>
          <w:szCs w:val="18"/>
        </w:rPr>
        <w:t>. 3.</w:t>
      </w:r>
    </w:p>
  </w:footnote>
  <w:footnote w:id="12">
    <w:p w14:paraId="00D7CADE" w14:textId="15D901D3" w:rsidR="00F045BC" w:rsidRDefault="00F045BC" w:rsidP="0015436B">
      <w:pPr>
        <w:pStyle w:val="Footnotes"/>
      </w:pPr>
      <w:r>
        <w:rPr>
          <w:rStyle w:val="FootnoteReference"/>
        </w:rPr>
        <w:footnoteRef/>
      </w:r>
      <w:r>
        <w:t xml:space="preserve"> Comments on the draft findings from observer (Irish Environmental Network), 14 August 2019, </w:t>
      </w:r>
      <w:r w:rsidR="007C0461">
        <w:t>para. 18</w:t>
      </w:r>
      <w:r w:rsidR="0005542C">
        <w:t xml:space="preserve">; see also </w:t>
      </w:r>
      <w:r w:rsidR="0005542C">
        <w:rPr>
          <w:szCs w:val="18"/>
        </w:rPr>
        <w:t>a</w:t>
      </w:r>
      <w:r w:rsidR="0005542C" w:rsidRPr="00FD1CAA">
        <w:rPr>
          <w:szCs w:val="18"/>
        </w:rPr>
        <w:t>dditional information sent by observer (Irish Environmental Network), 29 May 2021, p</w:t>
      </w:r>
      <w:r w:rsidR="0005542C">
        <w:rPr>
          <w:szCs w:val="18"/>
        </w:rPr>
        <w:t>p</w:t>
      </w:r>
      <w:r w:rsidR="0005542C" w:rsidRPr="00FD1CAA">
        <w:rPr>
          <w:szCs w:val="18"/>
        </w:rPr>
        <w:t>.</w:t>
      </w:r>
      <w:r w:rsidR="0005542C">
        <w:rPr>
          <w:szCs w:val="18"/>
        </w:rPr>
        <w:t xml:space="preserve"> 2-3.</w:t>
      </w:r>
    </w:p>
  </w:footnote>
  <w:footnote w:id="13">
    <w:p w14:paraId="163155BC" w14:textId="042558C5" w:rsidR="00E81FC4" w:rsidRDefault="00E81FC4" w:rsidP="0015436B">
      <w:pPr>
        <w:pStyle w:val="Footnotes"/>
      </w:pPr>
      <w:r>
        <w:rPr>
          <w:rStyle w:val="FootnoteReference"/>
        </w:rPr>
        <w:footnoteRef/>
      </w:r>
      <w:r>
        <w:t xml:space="preserve"> Comments on the draft findings from observer (Irish Environmental Network), 14 August 2019, para. 18.</w:t>
      </w:r>
    </w:p>
  </w:footnote>
  <w:footnote w:id="14">
    <w:p w14:paraId="1BBA745B" w14:textId="6684D96A" w:rsidR="001E1901" w:rsidRPr="00805EEC" w:rsidRDefault="001E1901" w:rsidP="00805EEC">
      <w:pPr>
        <w:pStyle w:val="FootnoteText"/>
        <w:spacing w:after="0"/>
        <w:ind w:left="1134"/>
        <w:rPr>
          <w:sz w:val="18"/>
          <w:szCs w:val="18"/>
        </w:rPr>
      </w:pPr>
      <w:r w:rsidRPr="00805EEC">
        <w:rPr>
          <w:rStyle w:val="FootnoteReference"/>
          <w:sz w:val="18"/>
          <w:szCs w:val="18"/>
        </w:rPr>
        <w:footnoteRef/>
      </w:r>
      <w:r w:rsidRPr="00805EEC">
        <w:rPr>
          <w:sz w:val="18"/>
          <w:szCs w:val="18"/>
        </w:rPr>
        <w:t xml:space="preserve"> Comments on the draft findings from observer (Irish Environmental Network), 14 August 2019, para.</w:t>
      </w:r>
      <w:r>
        <w:rPr>
          <w:sz w:val="18"/>
          <w:szCs w:val="18"/>
        </w:rPr>
        <w:t xml:space="preserve"> 13; see also</w:t>
      </w:r>
      <w:r w:rsidR="00A53235">
        <w:rPr>
          <w:sz w:val="18"/>
          <w:szCs w:val="18"/>
        </w:rPr>
        <w:t xml:space="preserve"> the additional </w:t>
      </w:r>
      <w:r w:rsidR="00A53235" w:rsidRPr="001B291F">
        <w:rPr>
          <w:sz w:val="18"/>
          <w:szCs w:val="18"/>
        </w:rPr>
        <w:t xml:space="preserve">information </w:t>
      </w:r>
      <w:r w:rsidR="00A53235" w:rsidRPr="00805EEC">
        <w:rPr>
          <w:sz w:val="18"/>
          <w:szCs w:val="18"/>
        </w:rPr>
        <w:t>sent by observer (Irish Environmental Network), 29 May 2021,</w:t>
      </w:r>
      <w:r w:rsidR="00A53235">
        <w:rPr>
          <w:sz w:val="18"/>
          <w:szCs w:val="18"/>
        </w:rPr>
        <w:t xml:space="preserve"> p. 4.</w:t>
      </w:r>
    </w:p>
  </w:footnote>
  <w:footnote w:id="15">
    <w:p w14:paraId="2793D3A8" w14:textId="1DBD5466" w:rsidR="007C67F1" w:rsidRPr="00805EEC" w:rsidRDefault="007C67F1" w:rsidP="00805EEC">
      <w:pPr>
        <w:pStyle w:val="FootnoteText"/>
        <w:ind w:left="1134"/>
        <w:rPr>
          <w:sz w:val="18"/>
          <w:szCs w:val="18"/>
        </w:rPr>
      </w:pPr>
      <w:r>
        <w:rPr>
          <w:rStyle w:val="FootnoteReference"/>
        </w:rPr>
        <w:footnoteRef/>
      </w:r>
      <w:r>
        <w:t xml:space="preserve"> </w:t>
      </w:r>
      <w:r>
        <w:rPr>
          <w:sz w:val="18"/>
          <w:szCs w:val="18"/>
        </w:rPr>
        <w:t xml:space="preserve">Additional </w:t>
      </w:r>
      <w:r w:rsidRPr="00CA0032">
        <w:rPr>
          <w:sz w:val="18"/>
          <w:szCs w:val="18"/>
        </w:rPr>
        <w:t>information sent by observer (Irish Environmental Network), 29 May 2021,</w:t>
      </w:r>
      <w:r>
        <w:rPr>
          <w:sz w:val="18"/>
          <w:szCs w:val="18"/>
        </w:rPr>
        <w:t xml:space="preserve"> pp. 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6975" w14:textId="77777777" w:rsidR="001816E7" w:rsidRDefault="001816E7">
    <w:pPr>
      <w:pStyle w:val="Header"/>
    </w:pPr>
  </w:p>
  <w:p w14:paraId="65E7D39F" w14:textId="77777777" w:rsidR="001816E7" w:rsidRDefault="001816E7">
    <w:pPr>
      <w:pStyle w:val="Header"/>
    </w:pPr>
  </w:p>
  <w:p w14:paraId="3975E83A" w14:textId="5C7AA3C8" w:rsidR="001816E7" w:rsidRDefault="001816E7" w:rsidP="001A2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69BB"/>
    <w:multiLevelType w:val="multilevel"/>
    <w:tmpl w:val="04046220"/>
    <w:lvl w:ilvl="0">
      <w:start w:val="1"/>
      <w:numFmt w:val="upperRoman"/>
      <w:lvlText w:val="%1."/>
      <w:lvlJc w:val="left"/>
      <w:pPr>
        <w:ind w:left="2274" w:hanging="720"/>
      </w:pPr>
    </w:lvl>
    <w:lvl w:ilvl="1">
      <w:start w:val="1"/>
      <w:numFmt w:val="lowerLetter"/>
      <w:lvlText w:val="%2."/>
      <w:lvlJc w:val="left"/>
      <w:pPr>
        <w:ind w:left="2634" w:hanging="360"/>
      </w:pPr>
    </w:lvl>
    <w:lvl w:ilvl="2">
      <w:start w:val="1"/>
      <w:numFmt w:val="lowerRoman"/>
      <w:lvlText w:val="%3."/>
      <w:lvlJc w:val="right"/>
      <w:pPr>
        <w:ind w:left="3354" w:hanging="180"/>
      </w:pPr>
    </w:lvl>
    <w:lvl w:ilvl="3">
      <w:start w:val="1"/>
      <w:numFmt w:val="decimal"/>
      <w:lvlText w:val="%4."/>
      <w:lvlJc w:val="left"/>
      <w:pPr>
        <w:ind w:left="4074" w:hanging="360"/>
      </w:pPr>
    </w:lvl>
    <w:lvl w:ilvl="4">
      <w:start w:val="1"/>
      <w:numFmt w:val="lowerLetter"/>
      <w:lvlText w:val="%5."/>
      <w:lvlJc w:val="left"/>
      <w:pPr>
        <w:ind w:left="4794" w:hanging="360"/>
      </w:pPr>
    </w:lvl>
    <w:lvl w:ilvl="5">
      <w:start w:val="1"/>
      <w:numFmt w:val="lowerRoman"/>
      <w:lvlText w:val="%6."/>
      <w:lvlJc w:val="right"/>
      <w:pPr>
        <w:ind w:left="5514" w:hanging="180"/>
      </w:pPr>
    </w:lvl>
    <w:lvl w:ilvl="6">
      <w:start w:val="1"/>
      <w:numFmt w:val="decimal"/>
      <w:lvlText w:val="%7."/>
      <w:lvlJc w:val="left"/>
      <w:pPr>
        <w:ind w:left="6234" w:hanging="360"/>
      </w:pPr>
    </w:lvl>
    <w:lvl w:ilvl="7">
      <w:start w:val="1"/>
      <w:numFmt w:val="lowerLetter"/>
      <w:lvlText w:val="%8."/>
      <w:lvlJc w:val="left"/>
      <w:pPr>
        <w:ind w:left="6954" w:hanging="360"/>
      </w:pPr>
    </w:lvl>
    <w:lvl w:ilvl="8">
      <w:start w:val="1"/>
      <w:numFmt w:val="lowerRoman"/>
      <w:lvlText w:val="%9."/>
      <w:lvlJc w:val="right"/>
      <w:pPr>
        <w:ind w:left="7674" w:hanging="180"/>
      </w:pPr>
    </w:lvl>
  </w:abstractNum>
  <w:abstractNum w:abstractNumId="1" w15:restartNumberingAfterBreak="0">
    <w:nsid w:val="05D15848"/>
    <w:multiLevelType w:val="hybridMultilevel"/>
    <w:tmpl w:val="2AFC69E8"/>
    <w:lvl w:ilvl="0" w:tplc="872C20B4">
      <w:start w:val="1"/>
      <w:numFmt w:val="upperRoman"/>
      <w:lvlText w:val="%1."/>
      <w:lvlJc w:val="right"/>
      <w:pPr>
        <w:ind w:left="1605" w:hanging="360"/>
      </w:p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 w15:restartNumberingAfterBreak="0">
    <w:nsid w:val="087F3369"/>
    <w:multiLevelType w:val="hybridMultilevel"/>
    <w:tmpl w:val="B6823C5C"/>
    <w:lvl w:ilvl="0" w:tplc="2E7840F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61D26"/>
    <w:multiLevelType w:val="multilevel"/>
    <w:tmpl w:val="F73E9F1C"/>
    <w:lvl w:ilvl="0">
      <w:start w:val="1"/>
      <w:numFmt w:val="none"/>
      <w:suff w:val="nothing"/>
      <w:lvlText w:val="."/>
      <w:lvlJc w:val="left"/>
      <w:pPr>
        <w:ind w:left="0" w:firstLine="0"/>
      </w:pPr>
    </w:lvl>
    <w:lvl w:ilvl="1">
      <w:start w:val="1"/>
      <w:numFmt w:val="upperRoman"/>
      <w:lvlText w:val="%2."/>
      <w:lvlJc w:val="left"/>
      <w:pPr>
        <w:ind w:left="1134" w:hanging="454"/>
      </w:pPr>
    </w:lvl>
    <w:lvl w:ilvl="2">
      <w:start w:val="1"/>
      <w:numFmt w:val="upperLetter"/>
      <w:lvlText w:val="%3."/>
      <w:lvlJc w:val="left"/>
      <w:pPr>
        <w:tabs>
          <w:tab w:val="num" w:pos="2268"/>
        </w:tabs>
        <w:ind w:left="1134" w:hanging="41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06D5A01"/>
    <w:multiLevelType w:val="multilevel"/>
    <w:tmpl w:val="CD3894A8"/>
    <w:lvl w:ilvl="0">
      <w:start w:val="1"/>
      <w:numFmt w:val="decimal"/>
      <w:lvlText w:val="%1."/>
      <w:lvlJc w:val="left"/>
      <w:pPr>
        <w:tabs>
          <w:tab w:val="num" w:pos="720"/>
        </w:tabs>
        <w:ind w:left="828" w:firstLine="0"/>
      </w:pPr>
      <w:rPr>
        <w:rFonts w:hint="default"/>
      </w:rPr>
    </w:lvl>
    <w:lvl w:ilvl="1">
      <w:start w:val="1"/>
      <w:numFmt w:val="lowerLetter"/>
      <w:lvlText w:val="%2."/>
      <w:lvlJc w:val="left"/>
      <w:pPr>
        <w:tabs>
          <w:tab w:val="num" w:pos="1548"/>
        </w:tabs>
        <w:ind w:left="1656" w:firstLine="0"/>
      </w:pPr>
      <w:rPr>
        <w:rFonts w:hint="default"/>
      </w:rPr>
    </w:lvl>
    <w:lvl w:ilvl="2">
      <w:start w:val="1"/>
      <w:numFmt w:val="lowerRoman"/>
      <w:lvlText w:val="%3."/>
      <w:lvlJc w:val="left"/>
      <w:pPr>
        <w:tabs>
          <w:tab w:val="num" w:pos="2376"/>
        </w:tabs>
        <w:ind w:left="2484" w:firstLine="0"/>
      </w:pPr>
      <w:rPr>
        <w:rFonts w:hint="default"/>
      </w:rPr>
    </w:lvl>
    <w:lvl w:ilvl="3">
      <w:start w:val="1"/>
      <w:numFmt w:val="decimal"/>
      <w:lvlText w:val="%4."/>
      <w:lvlJc w:val="left"/>
      <w:pPr>
        <w:tabs>
          <w:tab w:val="num" w:pos="3204"/>
        </w:tabs>
        <w:ind w:left="3312" w:firstLine="0"/>
      </w:pPr>
      <w:rPr>
        <w:rFonts w:hint="default"/>
      </w:rPr>
    </w:lvl>
    <w:lvl w:ilvl="4">
      <w:start w:val="1"/>
      <w:numFmt w:val="decimal"/>
      <w:lvlText w:val="%5."/>
      <w:lvlJc w:val="left"/>
      <w:pPr>
        <w:tabs>
          <w:tab w:val="num" w:pos="4032"/>
        </w:tabs>
        <w:ind w:left="4140" w:firstLine="0"/>
      </w:pPr>
      <w:rPr>
        <w:rFonts w:hint="default"/>
      </w:rPr>
    </w:lvl>
    <w:lvl w:ilvl="5">
      <w:start w:val="1"/>
      <w:numFmt w:val="decimal"/>
      <w:lvlText w:val="%6."/>
      <w:lvlJc w:val="left"/>
      <w:pPr>
        <w:tabs>
          <w:tab w:val="num" w:pos="4860"/>
        </w:tabs>
        <w:ind w:left="4968" w:firstLine="0"/>
      </w:pPr>
      <w:rPr>
        <w:rFonts w:hint="default"/>
      </w:rPr>
    </w:lvl>
    <w:lvl w:ilvl="6">
      <w:start w:val="1"/>
      <w:numFmt w:val="decimal"/>
      <w:lvlText w:val="%7."/>
      <w:lvlJc w:val="left"/>
      <w:pPr>
        <w:tabs>
          <w:tab w:val="num" w:pos="5688"/>
        </w:tabs>
        <w:ind w:left="5796" w:firstLine="0"/>
      </w:pPr>
      <w:rPr>
        <w:rFonts w:hint="default"/>
      </w:rPr>
    </w:lvl>
    <w:lvl w:ilvl="7">
      <w:start w:val="1"/>
      <w:numFmt w:val="decimal"/>
      <w:lvlText w:val="%8."/>
      <w:lvlJc w:val="left"/>
      <w:pPr>
        <w:tabs>
          <w:tab w:val="num" w:pos="6516"/>
        </w:tabs>
        <w:ind w:left="6624" w:firstLine="0"/>
      </w:pPr>
      <w:rPr>
        <w:rFonts w:hint="default"/>
      </w:rPr>
    </w:lvl>
    <w:lvl w:ilvl="8">
      <w:start w:val="1"/>
      <w:numFmt w:val="decimal"/>
      <w:lvlText w:val="%9."/>
      <w:lvlJc w:val="left"/>
      <w:pPr>
        <w:tabs>
          <w:tab w:val="num" w:pos="7344"/>
        </w:tabs>
        <w:ind w:left="7452" w:firstLine="0"/>
      </w:pPr>
      <w:rPr>
        <w:rFonts w:hint="default"/>
      </w:rPr>
    </w:lvl>
  </w:abstractNum>
  <w:abstractNum w:abstractNumId="5" w15:restartNumberingAfterBreak="0">
    <w:nsid w:val="10E41FEE"/>
    <w:multiLevelType w:val="multilevel"/>
    <w:tmpl w:val="57BC3020"/>
    <w:lvl w:ilvl="0">
      <w:start w:val="1"/>
      <w:numFmt w:val="upperRoman"/>
      <w:lvlText w:val="%1."/>
      <w:lvlJc w:val="left"/>
      <w:pPr>
        <w:ind w:left="2274" w:hanging="720"/>
      </w:pPr>
    </w:lvl>
    <w:lvl w:ilvl="1">
      <w:start w:val="1"/>
      <w:numFmt w:val="lowerLetter"/>
      <w:lvlText w:val="%2."/>
      <w:lvlJc w:val="left"/>
      <w:pPr>
        <w:ind w:left="2634" w:hanging="360"/>
      </w:pPr>
    </w:lvl>
    <w:lvl w:ilvl="2">
      <w:start w:val="1"/>
      <w:numFmt w:val="lowerRoman"/>
      <w:lvlText w:val="%3."/>
      <w:lvlJc w:val="right"/>
      <w:pPr>
        <w:ind w:left="3354" w:hanging="180"/>
      </w:pPr>
    </w:lvl>
    <w:lvl w:ilvl="3">
      <w:start w:val="1"/>
      <w:numFmt w:val="decimal"/>
      <w:lvlText w:val="%4."/>
      <w:lvlJc w:val="left"/>
      <w:pPr>
        <w:ind w:left="4074" w:hanging="360"/>
      </w:pPr>
    </w:lvl>
    <w:lvl w:ilvl="4">
      <w:start w:val="1"/>
      <w:numFmt w:val="lowerLetter"/>
      <w:lvlText w:val="%5."/>
      <w:lvlJc w:val="left"/>
      <w:pPr>
        <w:ind w:left="4794" w:hanging="360"/>
      </w:pPr>
    </w:lvl>
    <w:lvl w:ilvl="5">
      <w:start w:val="1"/>
      <w:numFmt w:val="lowerRoman"/>
      <w:lvlText w:val="%6."/>
      <w:lvlJc w:val="right"/>
      <w:pPr>
        <w:ind w:left="5514" w:hanging="180"/>
      </w:pPr>
    </w:lvl>
    <w:lvl w:ilvl="6">
      <w:start w:val="1"/>
      <w:numFmt w:val="decimal"/>
      <w:lvlText w:val="%7."/>
      <w:lvlJc w:val="left"/>
      <w:pPr>
        <w:ind w:left="6234" w:hanging="360"/>
      </w:pPr>
    </w:lvl>
    <w:lvl w:ilvl="7">
      <w:start w:val="1"/>
      <w:numFmt w:val="lowerLetter"/>
      <w:lvlText w:val="%8."/>
      <w:lvlJc w:val="left"/>
      <w:pPr>
        <w:ind w:left="6954" w:hanging="360"/>
      </w:pPr>
    </w:lvl>
    <w:lvl w:ilvl="8">
      <w:start w:val="1"/>
      <w:numFmt w:val="lowerRoman"/>
      <w:lvlText w:val="%9."/>
      <w:lvlJc w:val="right"/>
      <w:pPr>
        <w:ind w:left="7674" w:hanging="180"/>
      </w:pPr>
    </w:lvl>
  </w:abstractNum>
  <w:abstractNum w:abstractNumId="6" w15:restartNumberingAfterBreak="0">
    <w:nsid w:val="19FB5C2D"/>
    <w:multiLevelType w:val="hybridMultilevel"/>
    <w:tmpl w:val="1A4A0500"/>
    <w:lvl w:ilvl="0" w:tplc="C4B628DE">
      <w:start w:val="3"/>
      <w:numFmt w:val="bullet"/>
      <w:lvlText w:val="-"/>
      <w:lvlJc w:val="left"/>
      <w:pPr>
        <w:ind w:left="2049" w:hanging="360"/>
      </w:pPr>
      <w:rPr>
        <w:rFonts w:ascii="Times New Roman" w:eastAsia="Calibri"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7" w15:restartNumberingAfterBreak="0">
    <w:nsid w:val="20797CFD"/>
    <w:multiLevelType w:val="hybridMultilevel"/>
    <w:tmpl w:val="8416D0AE"/>
    <w:lvl w:ilvl="0" w:tplc="147ADC84">
      <w:start w:val="1"/>
      <w:numFmt w:val="decimal"/>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8" w15:restartNumberingAfterBreak="0">
    <w:nsid w:val="277626EC"/>
    <w:multiLevelType w:val="multilevel"/>
    <w:tmpl w:val="5900C0DC"/>
    <w:lvl w:ilvl="0">
      <w:start w:val="1"/>
      <w:numFmt w:val="decimal"/>
      <w:lvlText w:val="%1."/>
      <w:lvlJc w:val="left"/>
      <w:pPr>
        <w:ind w:left="1854" w:hanging="360"/>
      </w:pPr>
      <w:rPr>
        <w:b w:val="0"/>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15:restartNumberingAfterBreak="0">
    <w:nsid w:val="29EE483B"/>
    <w:multiLevelType w:val="hybridMultilevel"/>
    <w:tmpl w:val="802E019E"/>
    <w:lvl w:ilvl="0" w:tplc="9DCC349A">
      <w:start w:val="1"/>
      <w:numFmt w:val="decimal"/>
      <w:pStyle w:val="NumberedParas"/>
      <w:lvlText w:val="%1."/>
      <w:lvlJc w:val="left"/>
      <w:pPr>
        <w:ind w:left="720" w:hanging="360"/>
      </w:pPr>
    </w:lvl>
    <w:lvl w:ilvl="1" w:tplc="19262370">
      <w:start w:val="1"/>
      <w:numFmt w:val="lowerLetter"/>
      <w:lvlText w:val="(%2)"/>
      <w:lvlJc w:val="left"/>
      <w:pPr>
        <w:ind w:left="1440" w:firstLine="261"/>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5A58B9"/>
    <w:multiLevelType w:val="hybridMultilevel"/>
    <w:tmpl w:val="89A020AA"/>
    <w:lvl w:ilvl="0" w:tplc="0809000F">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4805BFA"/>
    <w:multiLevelType w:val="multilevel"/>
    <w:tmpl w:val="8D1C07EC"/>
    <w:lvl w:ilvl="0">
      <w:start w:val="1"/>
      <w:numFmt w:val="none"/>
      <w:suff w:val="nothing"/>
      <w:lvlText w:val="."/>
      <w:lvlJc w:val="left"/>
      <w:pPr>
        <w:ind w:left="0" w:firstLine="0"/>
      </w:pPr>
    </w:lvl>
    <w:lvl w:ilvl="1">
      <w:start w:val="1"/>
      <w:numFmt w:val="upperRoman"/>
      <w:lvlText w:val="%2."/>
      <w:lvlJc w:val="left"/>
      <w:pPr>
        <w:ind w:left="1134" w:hanging="454"/>
      </w:pPr>
    </w:lvl>
    <w:lvl w:ilvl="2">
      <w:start w:val="1"/>
      <w:numFmt w:val="upperLetter"/>
      <w:lvlText w:val="%3."/>
      <w:lvlJc w:val="left"/>
      <w:pPr>
        <w:tabs>
          <w:tab w:val="num" w:pos="2268"/>
        </w:tabs>
        <w:ind w:left="1134" w:hanging="41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394394A"/>
    <w:multiLevelType w:val="hybridMultilevel"/>
    <w:tmpl w:val="F62ECF04"/>
    <w:lvl w:ilvl="0" w:tplc="0CAC731A">
      <w:start w:val="1"/>
      <w:numFmt w:val="upperRoman"/>
      <w:lvlText w:val="%1."/>
      <w:lvlJc w:val="right"/>
      <w:pPr>
        <w:ind w:left="1395" w:hanging="51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3" w15:restartNumberingAfterBreak="0">
    <w:nsid w:val="46340F0F"/>
    <w:multiLevelType w:val="hybridMultilevel"/>
    <w:tmpl w:val="66F67906"/>
    <w:lvl w:ilvl="0" w:tplc="706C7CA6">
      <w:start w:val="1"/>
      <w:numFmt w:val="upperLetter"/>
      <w:lvlText w:val="%1."/>
      <w:lvlJc w:val="left"/>
      <w:pPr>
        <w:ind w:left="1922" w:hanging="360"/>
      </w:pPr>
    </w:lvl>
    <w:lvl w:ilvl="1" w:tplc="08090019" w:tentative="1">
      <w:start w:val="1"/>
      <w:numFmt w:val="lowerLetter"/>
      <w:lvlText w:val="%2."/>
      <w:lvlJc w:val="left"/>
      <w:pPr>
        <w:ind w:left="2642" w:hanging="360"/>
      </w:pPr>
    </w:lvl>
    <w:lvl w:ilvl="2" w:tplc="0809001B" w:tentative="1">
      <w:start w:val="1"/>
      <w:numFmt w:val="lowerRoman"/>
      <w:lvlText w:val="%3."/>
      <w:lvlJc w:val="right"/>
      <w:pPr>
        <w:ind w:left="3362" w:hanging="180"/>
      </w:pPr>
    </w:lvl>
    <w:lvl w:ilvl="3" w:tplc="0809000F" w:tentative="1">
      <w:start w:val="1"/>
      <w:numFmt w:val="decimal"/>
      <w:lvlText w:val="%4."/>
      <w:lvlJc w:val="left"/>
      <w:pPr>
        <w:ind w:left="4082" w:hanging="360"/>
      </w:pPr>
    </w:lvl>
    <w:lvl w:ilvl="4" w:tplc="08090019" w:tentative="1">
      <w:start w:val="1"/>
      <w:numFmt w:val="lowerLetter"/>
      <w:lvlText w:val="%5."/>
      <w:lvlJc w:val="left"/>
      <w:pPr>
        <w:ind w:left="4802" w:hanging="360"/>
      </w:pPr>
    </w:lvl>
    <w:lvl w:ilvl="5" w:tplc="0809001B" w:tentative="1">
      <w:start w:val="1"/>
      <w:numFmt w:val="lowerRoman"/>
      <w:lvlText w:val="%6."/>
      <w:lvlJc w:val="right"/>
      <w:pPr>
        <w:ind w:left="5522" w:hanging="180"/>
      </w:pPr>
    </w:lvl>
    <w:lvl w:ilvl="6" w:tplc="0809000F" w:tentative="1">
      <w:start w:val="1"/>
      <w:numFmt w:val="decimal"/>
      <w:lvlText w:val="%7."/>
      <w:lvlJc w:val="left"/>
      <w:pPr>
        <w:ind w:left="6242" w:hanging="360"/>
      </w:pPr>
    </w:lvl>
    <w:lvl w:ilvl="7" w:tplc="08090019" w:tentative="1">
      <w:start w:val="1"/>
      <w:numFmt w:val="lowerLetter"/>
      <w:lvlText w:val="%8."/>
      <w:lvlJc w:val="left"/>
      <w:pPr>
        <w:ind w:left="6962" w:hanging="360"/>
      </w:pPr>
    </w:lvl>
    <w:lvl w:ilvl="8" w:tplc="0809001B" w:tentative="1">
      <w:start w:val="1"/>
      <w:numFmt w:val="lowerRoman"/>
      <w:lvlText w:val="%9."/>
      <w:lvlJc w:val="right"/>
      <w:pPr>
        <w:ind w:left="7682" w:hanging="180"/>
      </w:pPr>
    </w:lvl>
  </w:abstractNum>
  <w:abstractNum w:abstractNumId="14" w15:restartNumberingAfterBreak="0">
    <w:nsid w:val="4D561A20"/>
    <w:multiLevelType w:val="multilevel"/>
    <w:tmpl w:val="DDBAAE66"/>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15:restartNumberingAfterBreak="0">
    <w:nsid w:val="4DD41207"/>
    <w:multiLevelType w:val="hybridMultilevel"/>
    <w:tmpl w:val="6C8E1EE4"/>
    <w:lvl w:ilvl="0" w:tplc="83083C52">
      <w:start w:val="1"/>
      <w:numFmt w:val="lowerLetter"/>
      <w:lvlText w:val="(%1)"/>
      <w:lvlJc w:val="left"/>
      <w:pPr>
        <w:ind w:left="2166" w:hanging="465"/>
      </w:pPr>
      <w:rPr>
        <w:rFonts w:eastAsia="Calibri"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57885649"/>
    <w:multiLevelType w:val="multilevel"/>
    <w:tmpl w:val="CAF4AB68"/>
    <w:lvl w:ilvl="0">
      <w:start w:val="1"/>
      <w:numFmt w:val="decimal"/>
      <w:lvlText w:val="%1."/>
      <w:lvlJc w:val="left"/>
      <w:pPr>
        <w:tabs>
          <w:tab w:val="num" w:pos="720"/>
        </w:tabs>
        <w:ind w:left="828" w:firstLine="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287"/>
        </w:tabs>
        <w:ind w:left="1395" w:firstLine="0"/>
      </w:pPr>
      <w:rPr>
        <w:rFonts w:hint="default"/>
      </w:rPr>
    </w:lvl>
    <w:lvl w:ilvl="2">
      <w:start w:val="1"/>
      <w:numFmt w:val="decimal"/>
      <w:lvlText w:val="%3."/>
      <w:lvlJc w:val="left"/>
      <w:pPr>
        <w:tabs>
          <w:tab w:val="num" w:pos="1854"/>
        </w:tabs>
        <w:ind w:left="1962" w:firstLine="0"/>
      </w:pPr>
      <w:rPr>
        <w:rFonts w:hint="default"/>
      </w:rPr>
    </w:lvl>
    <w:lvl w:ilvl="3">
      <w:start w:val="1"/>
      <w:numFmt w:val="decimal"/>
      <w:lvlText w:val="%4."/>
      <w:lvlJc w:val="left"/>
      <w:pPr>
        <w:tabs>
          <w:tab w:val="num" w:pos="2421"/>
        </w:tabs>
        <w:ind w:left="2529" w:firstLine="0"/>
      </w:pPr>
      <w:rPr>
        <w:rFonts w:hint="default"/>
      </w:rPr>
    </w:lvl>
    <w:lvl w:ilvl="4">
      <w:start w:val="1"/>
      <w:numFmt w:val="decimal"/>
      <w:lvlText w:val="%5."/>
      <w:lvlJc w:val="left"/>
      <w:pPr>
        <w:tabs>
          <w:tab w:val="num" w:pos="2988"/>
        </w:tabs>
        <w:ind w:left="3096" w:firstLine="0"/>
      </w:pPr>
      <w:rPr>
        <w:rFonts w:hint="default"/>
      </w:rPr>
    </w:lvl>
    <w:lvl w:ilvl="5">
      <w:start w:val="1"/>
      <w:numFmt w:val="decimal"/>
      <w:lvlText w:val="%6."/>
      <w:lvlJc w:val="left"/>
      <w:pPr>
        <w:tabs>
          <w:tab w:val="num" w:pos="3555"/>
        </w:tabs>
        <w:ind w:left="3663" w:firstLine="0"/>
      </w:pPr>
      <w:rPr>
        <w:rFonts w:hint="default"/>
      </w:rPr>
    </w:lvl>
    <w:lvl w:ilvl="6">
      <w:start w:val="1"/>
      <w:numFmt w:val="decimal"/>
      <w:lvlText w:val="%7."/>
      <w:lvlJc w:val="left"/>
      <w:pPr>
        <w:tabs>
          <w:tab w:val="num" w:pos="4122"/>
        </w:tabs>
        <w:ind w:left="4230" w:firstLine="0"/>
      </w:pPr>
      <w:rPr>
        <w:rFonts w:hint="default"/>
      </w:rPr>
    </w:lvl>
    <w:lvl w:ilvl="7">
      <w:start w:val="1"/>
      <w:numFmt w:val="decimal"/>
      <w:lvlText w:val="%8."/>
      <w:lvlJc w:val="left"/>
      <w:pPr>
        <w:tabs>
          <w:tab w:val="num" w:pos="4689"/>
        </w:tabs>
        <w:ind w:left="4797" w:firstLine="0"/>
      </w:pPr>
      <w:rPr>
        <w:rFonts w:hint="default"/>
      </w:rPr>
    </w:lvl>
    <w:lvl w:ilvl="8">
      <w:start w:val="1"/>
      <w:numFmt w:val="decimal"/>
      <w:lvlText w:val="%9."/>
      <w:lvlJc w:val="left"/>
      <w:pPr>
        <w:tabs>
          <w:tab w:val="num" w:pos="5256"/>
        </w:tabs>
        <w:ind w:left="5364" w:firstLine="0"/>
      </w:pPr>
      <w:rPr>
        <w:rFonts w:hint="default"/>
      </w:rPr>
    </w:lvl>
  </w:abstractNum>
  <w:abstractNum w:abstractNumId="17" w15:restartNumberingAfterBreak="0">
    <w:nsid w:val="5A595C9A"/>
    <w:multiLevelType w:val="hybridMultilevel"/>
    <w:tmpl w:val="F8B6FF5A"/>
    <w:lvl w:ilvl="0" w:tplc="30EC1C24">
      <w:start w:val="1"/>
      <w:numFmt w:val="upperLetter"/>
      <w:pStyle w:val="Heading2"/>
      <w:lvlText w:val="%1."/>
      <w:lvlJc w:val="left"/>
      <w:pPr>
        <w:tabs>
          <w:tab w:val="num" w:pos="1200"/>
        </w:tabs>
        <w:ind w:left="885" w:hanging="57"/>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18" w15:restartNumberingAfterBreak="0">
    <w:nsid w:val="610306A2"/>
    <w:multiLevelType w:val="hybridMultilevel"/>
    <w:tmpl w:val="62DC2D58"/>
    <w:lvl w:ilvl="0" w:tplc="81D06764">
      <w:start w:val="1"/>
      <w:numFmt w:val="upperRoman"/>
      <w:pStyle w:val="Heading1"/>
      <w:lvlText w:val="%1."/>
      <w:lvlJc w:val="righ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61F671B7"/>
    <w:multiLevelType w:val="hybridMultilevel"/>
    <w:tmpl w:val="6EC04BA8"/>
    <w:lvl w:ilvl="0" w:tplc="C70EFA1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62EE0F20"/>
    <w:multiLevelType w:val="hybridMultilevel"/>
    <w:tmpl w:val="19C03CEC"/>
    <w:lvl w:ilvl="0" w:tplc="B2C857E6">
      <w:start w:val="1"/>
      <w:numFmt w:val="upperRoman"/>
      <w:lvlText w:val="%1."/>
      <w:lvlJc w:val="left"/>
      <w:pPr>
        <w:ind w:left="1855" w:hanging="720"/>
      </w:pPr>
      <w:rPr>
        <w:rFonts w:cs="Times New Roman"/>
      </w:rPr>
    </w:lvl>
    <w:lvl w:ilvl="1" w:tplc="08090019">
      <w:start w:val="1"/>
      <w:numFmt w:val="lowerLetter"/>
      <w:lvlText w:val="%2."/>
      <w:lvlJc w:val="left"/>
      <w:pPr>
        <w:ind w:left="1755" w:hanging="360"/>
      </w:pPr>
      <w:rPr>
        <w:rFonts w:cs="Times New Roman"/>
      </w:rPr>
    </w:lvl>
    <w:lvl w:ilvl="2" w:tplc="0809001B">
      <w:start w:val="1"/>
      <w:numFmt w:val="lowerRoman"/>
      <w:lvlText w:val="%3."/>
      <w:lvlJc w:val="right"/>
      <w:pPr>
        <w:ind w:left="2475" w:hanging="180"/>
      </w:pPr>
      <w:rPr>
        <w:rFonts w:cs="Times New Roman"/>
      </w:rPr>
    </w:lvl>
    <w:lvl w:ilvl="3" w:tplc="0809000F">
      <w:start w:val="1"/>
      <w:numFmt w:val="decimal"/>
      <w:lvlText w:val="%4."/>
      <w:lvlJc w:val="left"/>
      <w:pPr>
        <w:ind w:left="3195" w:hanging="360"/>
      </w:pPr>
      <w:rPr>
        <w:rFonts w:cs="Times New Roman"/>
      </w:rPr>
    </w:lvl>
    <w:lvl w:ilvl="4" w:tplc="08090019">
      <w:start w:val="1"/>
      <w:numFmt w:val="lowerLetter"/>
      <w:lvlText w:val="%5."/>
      <w:lvlJc w:val="left"/>
      <w:pPr>
        <w:ind w:left="3915" w:hanging="360"/>
      </w:pPr>
      <w:rPr>
        <w:rFonts w:cs="Times New Roman"/>
      </w:rPr>
    </w:lvl>
    <w:lvl w:ilvl="5" w:tplc="0809001B">
      <w:start w:val="1"/>
      <w:numFmt w:val="lowerRoman"/>
      <w:lvlText w:val="%6."/>
      <w:lvlJc w:val="right"/>
      <w:pPr>
        <w:ind w:left="4635" w:hanging="180"/>
      </w:pPr>
      <w:rPr>
        <w:rFonts w:cs="Times New Roman"/>
      </w:rPr>
    </w:lvl>
    <w:lvl w:ilvl="6" w:tplc="0809000F">
      <w:start w:val="1"/>
      <w:numFmt w:val="decimal"/>
      <w:lvlText w:val="%7."/>
      <w:lvlJc w:val="left"/>
      <w:pPr>
        <w:ind w:left="5355" w:hanging="360"/>
      </w:pPr>
      <w:rPr>
        <w:rFonts w:cs="Times New Roman"/>
      </w:rPr>
    </w:lvl>
    <w:lvl w:ilvl="7" w:tplc="08090019">
      <w:start w:val="1"/>
      <w:numFmt w:val="lowerLetter"/>
      <w:lvlText w:val="%8."/>
      <w:lvlJc w:val="left"/>
      <w:pPr>
        <w:ind w:left="6075" w:hanging="360"/>
      </w:pPr>
      <w:rPr>
        <w:rFonts w:cs="Times New Roman"/>
      </w:rPr>
    </w:lvl>
    <w:lvl w:ilvl="8" w:tplc="0809001B">
      <w:start w:val="1"/>
      <w:numFmt w:val="lowerRoman"/>
      <w:lvlText w:val="%9."/>
      <w:lvlJc w:val="right"/>
      <w:pPr>
        <w:ind w:left="6795" w:hanging="180"/>
      </w:pPr>
      <w:rPr>
        <w:rFonts w:cs="Times New Roman"/>
      </w:rPr>
    </w:lvl>
  </w:abstractNum>
  <w:abstractNum w:abstractNumId="21" w15:restartNumberingAfterBreak="0">
    <w:nsid w:val="6C8736E5"/>
    <w:multiLevelType w:val="hybridMultilevel"/>
    <w:tmpl w:val="11C03770"/>
    <w:lvl w:ilvl="0" w:tplc="024EC83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EB146C3"/>
    <w:multiLevelType w:val="multilevel"/>
    <w:tmpl w:val="66B46DDA"/>
    <w:lvl w:ilvl="0">
      <w:start w:val="1"/>
      <w:numFmt w:val="upperRoman"/>
      <w:lvlText w:val="%1."/>
      <w:lvlJc w:val="right"/>
      <w:pPr>
        <w:ind w:left="1965"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28948B0"/>
    <w:multiLevelType w:val="hybridMultilevel"/>
    <w:tmpl w:val="6C8E1EE4"/>
    <w:lvl w:ilvl="0" w:tplc="83083C52">
      <w:start w:val="1"/>
      <w:numFmt w:val="lowerLetter"/>
      <w:lvlText w:val="(%1)"/>
      <w:lvlJc w:val="left"/>
      <w:pPr>
        <w:ind w:left="2166" w:hanging="465"/>
      </w:pPr>
      <w:rPr>
        <w:rFonts w:eastAsia="Calibri"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73C923DE"/>
    <w:multiLevelType w:val="hybridMultilevel"/>
    <w:tmpl w:val="6D862736"/>
    <w:lvl w:ilvl="0" w:tplc="12D8309A">
      <w:start w:val="1"/>
      <w:numFmt w:val="lowerLetter"/>
      <w:lvlText w:val="(%1)"/>
      <w:lvlJc w:val="left"/>
      <w:pPr>
        <w:ind w:left="2574" w:hanging="360"/>
      </w:pPr>
      <w:rPr>
        <w:rFonts w:cs="Times New Roman"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5" w15:restartNumberingAfterBreak="0">
    <w:nsid w:val="756044C4"/>
    <w:multiLevelType w:val="hybridMultilevel"/>
    <w:tmpl w:val="C2DAD320"/>
    <w:lvl w:ilvl="0" w:tplc="94F2829A">
      <w:start w:val="3"/>
      <w:numFmt w:val="upperRoman"/>
      <w:lvlText w:val="%1."/>
      <w:lvlJc w:val="left"/>
      <w:pPr>
        <w:ind w:left="2466" w:hanging="720"/>
      </w:pPr>
      <w:rPr>
        <w:rFonts w:eastAsia="Calibri" w:hint="default"/>
        <w:b/>
      </w:rPr>
    </w:lvl>
    <w:lvl w:ilvl="1" w:tplc="08090019" w:tentative="1">
      <w:start w:val="1"/>
      <w:numFmt w:val="lowerLetter"/>
      <w:lvlText w:val="%2."/>
      <w:lvlJc w:val="left"/>
      <w:pPr>
        <w:ind w:left="2826" w:hanging="360"/>
      </w:pPr>
    </w:lvl>
    <w:lvl w:ilvl="2" w:tplc="0809001B" w:tentative="1">
      <w:start w:val="1"/>
      <w:numFmt w:val="lowerRoman"/>
      <w:lvlText w:val="%3."/>
      <w:lvlJc w:val="right"/>
      <w:pPr>
        <w:ind w:left="3546" w:hanging="180"/>
      </w:pPr>
    </w:lvl>
    <w:lvl w:ilvl="3" w:tplc="0809000F" w:tentative="1">
      <w:start w:val="1"/>
      <w:numFmt w:val="decimal"/>
      <w:lvlText w:val="%4."/>
      <w:lvlJc w:val="left"/>
      <w:pPr>
        <w:ind w:left="4266" w:hanging="360"/>
      </w:pPr>
    </w:lvl>
    <w:lvl w:ilvl="4" w:tplc="08090019" w:tentative="1">
      <w:start w:val="1"/>
      <w:numFmt w:val="lowerLetter"/>
      <w:lvlText w:val="%5."/>
      <w:lvlJc w:val="left"/>
      <w:pPr>
        <w:ind w:left="4986" w:hanging="360"/>
      </w:pPr>
    </w:lvl>
    <w:lvl w:ilvl="5" w:tplc="0809001B" w:tentative="1">
      <w:start w:val="1"/>
      <w:numFmt w:val="lowerRoman"/>
      <w:lvlText w:val="%6."/>
      <w:lvlJc w:val="right"/>
      <w:pPr>
        <w:ind w:left="5706" w:hanging="180"/>
      </w:pPr>
    </w:lvl>
    <w:lvl w:ilvl="6" w:tplc="0809000F" w:tentative="1">
      <w:start w:val="1"/>
      <w:numFmt w:val="decimal"/>
      <w:lvlText w:val="%7."/>
      <w:lvlJc w:val="left"/>
      <w:pPr>
        <w:ind w:left="6426" w:hanging="360"/>
      </w:pPr>
    </w:lvl>
    <w:lvl w:ilvl="7" w:tplc="08090019" w:tentative="1">
      <w:start w:val="1"/>
      <w:numFmt w:val="lowerLetter"/>
      <w:lvlText w:val="%8."/>
      <w:lvlJc w:val="left"/>
      <w:pPr>
        <w:ind w:left="7146" w:hanging="360"/>
      </w:pPr>
    </w:lvl>
    <w:lvl w:ilvl="8" w:tplc="0809001B" w:tentative="1">
      <w:start w:val="1"/>
      <w:numFmt w:val="lowerRoman"/>
      <w:lvlText w:val="%9."/>
      <w:lvlJc w:val="right"/>
      <w:pPr>
        <w:ind w:left="7866" w:hanging="180"/>
      </w:pPr>
    </w:lvl>
  </w:abstractNum>
  <w:abstractNum w:abstractNumId="26" w15:restartNumberingAfterBreak="0">
    <w:nsid w:val="7A641F75"/>
    <w:multiLevelType w:val="multilevel"/>
    <w:tmpl w:val="3C66A004"/>
    <w:lvl w:ilvl="0">
      <w:start w:val="1"/>
      <w:numFmt w:val="upperRoman"/>
      <w:lvlText w:val="%1."/>
      <w:lvlJc w:val="left"/>
      <w:pPr>
        <w:ind w:left="1965"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B42687E"/>
    <w:multiLevelType w:val="hybridMultilevel"/>
    <w:tmpl w:val="112E6214"/>
    <w:lvl w:ilvl="0" w:tplc="E5D0FFE0">
      <w:start w:val="1"/>
      <w:numFmt w:val="upperRoman"/>
      <w:lvlText w:val="%1."/>
      <w:lvlJc w:val="right"/>
      <w:pPr>
        <w:ind w:left="1965" w:hanging="360"/>
      </w:pPr>
    </w:lvl>
    <w:lvl w:ilvl="1" w:tplc="08090019" w:tentative="1">
      <w:start w:val="1"/>
      <w:numFmt w:val="lowerLetter"/>
      <w:lvlText w:val="%2."/>
      <w:lvlJc w:val="lef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abstractNum w:abstractNumId="28" w15:restartNumberingAfterBreak="0">
    <w:nsid w:val="7FE97325"/>
    <w:multiLevelType w:val="hybridMultilevel"/>
    <w:tmpl w:val="B3FC555E"/>
    <w:lvl w:ilvl="0" w:tplc="57FE2AEA">
      <w:start w:val="1"/>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1"/>
  </w:num>
  <w:num w:numId="2">
    <w:abstractNumId w:val="8"/>
  </w:num>
  <w:num w:numId="3">
    <w:abstractNumId w:val="0"/>
  </w:num>
  <w:num w:numId="4">
    <w:abstractNumId w:val="24"/>
  </w:num>
  <w:num w:numId="5">
    <w:abstractNumId w:val="25"/>
  </w:num>
  <w:num w:numId="6">
    <w:abstractNumId w:val="3"/>
  </w:num>
  <w:num w:numId="7">
    <w:abstractNumId w:val="14"/>
  </w:num>
  <w:num w:numId="8">
    <w:abstractNumId w:val="5"/>
  </w:num>
  <w:num w:numId="9">
    <w:abstractNumId w:val="10"/>
  </w:num>
  <w:num w:numId="10">
    <w:abstractNumId w:val="15"/>
  </w:num>
  <w:num w:numId="11">
    <w:abstractNumId w:val="23"/>
  </w:num>
  <w:num w:numId="12">
    <w:abstractNumId w:val="28"/>
  </w:num>
  <w:num w:numId="13">
    <w:abstractNumId w:val="6"/>
  </w:num>
  <w:num w:numId="14">
    <w:abstractNumId w:val="21"/>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17"/>
  </w:num>
  <w:num w:numId="24">
    <w:abstractNumId w:val="4"/>
  </w:num>
  <w:num w:numId="25">
    <w:abstractNumId w:val="7"/>
  </w:num>
  <w:num w:numId="26">
    <w:abstractNumId w:val="1"/>
  </w:num>
  <w:num w:numId="27">
    <w:abstractNumId w:val="27"/>
  </w:num>
  <w:num w:numId="28">
    <w:abstractNumId w:val="22"/>
  </w:num>
  <w:num w:numId="29">
    <w:abstractNumId w:val="26"/>
  </w:num>
  <w:num w:numId="30">
    <w:abstractNumId w:val="20"/>
  </w:num>
  <w:num w:numId="31">
    <w:abstractNumId w:val="18"/>
  </w:num>
  <w:num w:numId="32">
    <w:abstractNumId w:val="2"/>
  </w:num>
  <w:num w:numId="33">
    <w:abstractNumId w:val="9"/>
    <w:lvlOverride w:ilvl="0">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linkStyl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CE"/>
    <w:rsid w:val="00003EF2"/>
    <w:rsid w:val="0000433A"/>
    <w:rsid w:val="00021A7E"/>
    <w:rsid w:val="00022BE5"/>
    <w:rsid w:val="0002438D"/>
    <w:rsid w:val="00025AE4"/>
    <w:rsid w:val="00025D6D"/>
    <w:rsid w:val="00032746"/>
    <w:rsid w:val="00036002"/>
    <w:rsid w:val="0003621F"/>
    <w:rsid w:val="000364BF"/>
    <w:rsid w:val="0004191E"/>
    <w:rsid w:val="00042ED3"/>
    <w:rsid w:val="00052430"/>
    <w:rsid w:val="00052782"/>
    <w:rsid w:val="00054291"/>
    <w:rsid w:val="0005542C"/>
    <w:rsid w:val="00056291"/>
    <w:rsid w:val="00060D3D"/>
    <w:rsid w:val="0006341F"/>
    <w:rsid w:val="00070057"/>
    <w:rsid w:val="00080DCF"/>
    <w:rsid w:val="0008250F"/>
    <w:rsid w:val="000872E0"/>
    <w:rsid w:val="00090CF6"/>
    <w:rsid w:val="000976B2"/>
    <w:rsid w:val="000A11A9"/>
    <w:rsid w:val="000A4088"/>
    <w:rsid w:val="000A63F1"/>
    <w:rsid w:val="000C0DCA"/>
    <w:rsid w:val="000C2BF6"/>
    <w:rsid w:val="000C2CEE"/>
    <w:rsid w:val="000C342E"/>
    <w:rsid w:val="000C670F"/>
    <w:rsid w:val="000C75BA"/>
    <w:rsid w:val="000D29FD"/>
    <w:rsid w:val="000D5F01"/>
    <w:rsid w:val="000E00BB"/>
    <w:rsid w:val="000E21A3"/>
    <w:rsid w:val="000E4796"/>
    <w:rsid w:val="000F373B"/>
    <w:rsid w:val="001023D5"/>
    <w:rsid w:val="00104C42"/>
    <w:rsid w:val="00107C6C"/>
    <w:rsid w:val="00111E79"/>
    <w:rsid w:val="00115423"/>
    <w:rsid w:val="00125B22"/>
    <w:rsid w:val="0013525C"/>
    <w:rsid w:val="00142284"/>
    <w:rsid w:val="0015436B"/>
    <w:rsid w:val="00155F7C"/>
    <w:rsid w:val="00160786"/>
    <w:rsid w:val="00166BF4"/>
    <w:rsid w:val="00167751"/>
    <w:rsid w:val="00167FAF"/>
    <w:rsid w:val="0017152E"/>
    <w:rsid w:val="0017190A"/>
    <w:rsid w:val="00173573"/>
    <w:rsid w:val="00174B51"/>
    <w:rsid w:val="00175FD6"/>
    <w:rsid w:val="0017798E"/>
    <w:rsid w:val="001816E7"/>
    <w:rsid w:val="0018348D"/>
    <w:rsid w:val="00187270"/>
    <w:rsid w:val="00193EB7"/>
    <w:rsid w:val="001A1751"/>
    <w:rsid w:val="001A26C0"/>
    <w:rsid w:val="001A2B07"/>
    <w:rsid w:val="001A593E"/>
    <w:rsid w:val="001B233B"/>
    <w:rsid w:val="001B291F"/>
    <w:rsid w:val="001B508E"/>
    <w:rsid w:val="001B74C1"/>
    <w:rsid w:val="001C0333"/>
    <w:rsid w:val="001C5625"/>
    <w:rsid w:val="001C5B79"/>
    <w:rsid w:val="001D0B22"/>
    <w:rsid w:val="001D0C47"/>
    <w:rsid w:val="001D1411"/>
    <w:rsid w:val="001D407D"/>
    <w:rsid w:val="001D5489"/>
    <w:rsid w:val="001D6036"/>
    <w:rsid w:val="001E1901"/>
    <w:rsid w:val="001E2384"/>
    <w:rsid w:val="001F1ABD"/>
    <w:rsid w:val="001F3A27"/>
    <w:rsid w:val="001F78C5"/>
    <w:rsid w:val="002052DA"/>
    <w:rsid w:val="0020795C"/>
    <w:rsid w:val="0021094C"/>
    <w:rsid w:val="002114D7"/>
    <w:rsid w:val="00212A40"/>
    <w:rsid w:val="00215FED"/>
    <w:rsid w:val="00220514"/>
    <w:rsid w:val="00222F4D"/>
    <w:rsid w:val="00230B53"/>
    <w:rsid w:val="00237FE2"/>
    <w:rsid w:val="002415A6"/>
    <w:rsid w:val="00242BA0"/>
    <w:rsid w:val="00243427"/>
    <w:rsid w:val="00245A71"/>
    <w:rsid w:val="00245D93"/>
    <w:rsid w:val="00251E1A"/>
    <w:rsid w:val="00253929"/>
    <w:rsid w:val="00255D13"/>
    <w:rsid w:val="00255EFF"/>
    <w:rsid w:val="00257C5A"/>
    <w:rsid w:val="00271B99"/>
    <w:rsid w:val="0027699E"/>
    <w:rsid w:val="00280A93"/>
    <w:rsid w:val="00286945"/>
    <w:rsid w:val="00286D2C"/>
    <w:rsid w:val="00287F7D"/>
    <w:rsid w:val="00291F51"/>
    <w:rsid w:val="002A4607"/>
    <w:rsid w:val="002A4FF3"/>
    <w:rsid w:val="002A636D"/>
    <w:rsid w:val="002A63BA"/>
    <w:rsid w:val="002A6817"/>
    <w:rsid w:val="002A709C"/>
    <w:rsid w:val="002C3541"/>
    <w:rsid w:val="002D5328"/>
    <w:rsid w:val="002E168F"/>
    <w:rsid w:val="002E4014"/>
    <w:rsid w:val="002E5712"/>
    <w:rsid w:val="002F06FA"/>
    <w:rsid w:val="002F1857"/>
    <w:rsid w:val="002F2DA5"/>
    <w:rsid w:val="002F358E"/>
    <w:rsid w:val="002F68F3"/>
    <w:rsid w:val="003056E8"/>
    <w:rsid w:val="003166B2"/>
    <w:rsid w:val="00323A16"/>
    <w:rsid w:val="00330865"/>
    <w:rsid w:val="00330994"/>
    <w:rsid w:val="003309E2"/>
    <w:rsid w:val="003401A1"/>
    <w:rsid w:val="00340FA0"/>
    <w:rsid w:val="003417F0"/>
    <w:rsid w:val="00345439"/>
    <w:rsid w:val="00346FBF"/>
    <w:rsid w:val="003479ED"/>
    <w:rsid w:val="0035104A"/>
    <w:rsid w:val="00352339"/>
    <w:rsid w:val="00354F77"/>
    <w:rsid w:val="00357FC7"/>
    <w:rsid w:val="00360C7A"/>
    <w:rsid w:val="0036176A"/>
    <w:rsid w:val="0036367A"/>
    <w:rsid w:val="00377859"/>
    <w:rsid w:val="00384250"/>
    <w:rsid w:val="00384EA5"/>
    <w:rsid w:val="00385E28"/>
    <w:rsid w:val="00386ED0"/>
    <w:rsid w:val="003A150D"/>
    <w:rsid w:val="003A32FB"/>
    <w:rsid w:val="003A5A16"/>
    <w:rsid w:val="003A63AF"/>
    <w:rsid w:val="003B5141"/>
    <w:rsid w:val="003C7BFE"/>
    <w:rsid w:val="003D2F98"/>
    <w:rsid w:val="003D3794"/>
    <w:rsid w:val="003D3882"/>
    <w:rsid w:val="003D4894"/>
    <w:rsid w:val="003F1B1F"/>
    <w:rsid w:val="003F4F77"/>
    <w:rsid w:val="003F733C"/>
    <w:rsid w:val="00400CA6"/>
    <w:rsid w:val="00403867"/>
    <w:rsid w:val="00404C14"/>
    <w:rsid w:val="004216A1"/>
    <w:rsid w:val="004216FB"/>
    <w:rsid w:val="00422776"/>
    <w:rsid w:val="004240D8"/>
    <w:rsid w:val="0042478E"/>
    <w:rsid w:val="004316EE"/>
    <w:rsid w:val="004345F0"/>
    <w:rsid w:val="004348E3"/>
    <w:rsid w:val="00437E32"/>
    <w:rsid w:val="00441DBD"/>
    <w:rsid w:val="004438CA"/>
    <w:rsid w:val="00443F4F"/>
    <w:rsid w:val="00450D27"/>
    <w:rsid w:val="00451B42"/>
    <w:rsid w:val="0046481A"/>
    <w:rsid w:val="00467E90"/>
    <w:rsid w:val="00471400"/>
    <w:rsid w:val="00483893"/>
    <w:rsid w:val="00487991"/>
    <w:rsid w:val="004A001F"/>
    <w:rsid w:val="004B0BDE"/>
    <w:rsid w:val="004B1956"/>
    <w:rsid w:val="004B301C"/>
    <w:rsid w:val="004C40AF"/>
    <w:rsid w:val="004C4E9D"/>
    <w:rsid w:val="004C708E"/>
    <w:rsid w:val="004D7B0C"/>
    <w:rsid w:val="004D7EF2"/>
    <w:rsid w:val="004E3141"/>
    <w:rsid w:val="004E5BCB"/>
    <w:rsid w:val="004E6F5B"/>
    <w:rsid w:val="004E7D63"/>
    <w:rsid w:val="004F2A16"/>
    <w:rsid w:val="004F5303"/>
    <w:rsid w:val="004F5B46"/>
    <w:rsid w:val="004F60E1"/>
    <w:rsid w:val="00500844"/>
    <w:rsid w:val="0050452B"/>
    <w:rsid w:val="0050521B"/>
    <w:rsid w:val="005112AD"/>
    <w:rsid w:val="005170BE"/>
    <w:rsid w:val="0052313F"/>
    <w:rsid w:val="00533DB7"/>
    <w:rsid w:val="0053741C"/>
    <w:rsid w:val="00540DF0"/>
    <w:rsid w:val="005411C2"/>
    <w:rsid w:val="00541E34"/>
    <w:rsid w:val="0054216C"/>
    <w:rsid w:val="00543205"/>
    <w:rsid w:val="00545633"/>
    <w:rsid w:val="00547CD8"/>
    <w:rsid w:val="0055079B"/>
    <w:rsid w:val="00553D7D"/>
    <w:rsid w:val="005542BE"/>
    <w:rsid w:val="00554A21"/>
    <w:rsid w:val="005564E4"/>
    <w:rsid w:val="00556E9A"/>
    <w:rsid w:val="00556FDE"/>
    <w:rsid w:val="005630D0"/>
    <w:rsid w:val="005648F9"/>
    <w:rsid w:val="005655BC"/>
    <w:rsid w:val="005657C1"/>
    <w:rsid w:val="005721E4"/>
    <w:rsid w:val="00574B96"/>
    <w:rsid w:val="005810B7"/>
    <w:rsid w:val="00581A04"/>
    <w:rsid w:val="00582103"/>
    <w:rsid w:val="0058258F"/>
    <w:rsid w:val="00582955"/>
    <w:rsid w:val="005856B5"/>
    <w:rsid w:val="00585F3B"/>
    <w:rsid w:val="0059196B"/>
    <w:rsid w:val="00591DC6"/>
    <w:rsid w:val="005921C1"/>
    <w:rsid w:val="005A4B88"/>
    <w:rsid w:val="005A5B33"/>
    <w:rsid w:val="005B27CA"/>
    <w:rsid w:val="005B5B01"/>
    <w:rsid w:val="005B67F0"/>
    <w:rsid w:val="005B7CB2"/>
    <w:rsid w:val="005B7F85"/>
    <w:rsid w:val="005C0B45"/>
    <w:rsid w:val="005C21DC"/>
    <w:rsid w:val="005D6191"/>
    <w:rsid w:val="005E11C9"/>
    <w:rsid w:val="005E3238"/>
    <w:rsid w:val="005E399C"/>
    <w:rsid w:val="005E4214"/>
    <w:rsid w:val="005E7C7B"/>
    <w:rsid w:val="005F18CF"/>
    <w:rsid w:val="005F6E40"/>
    <w:rsid w:val="00600C65"/>
    <w:rsid w:val="006016FA"/>
    <w:rsid w:val="0060196C"/>
    <w:rsid w:val="00616577"/>
    <w:rsid w:val="006243F6"/>
    <w:rsid w:val="00626134"/>
    <w:rsid w:val="00632F40"/>
    <w:rsid w:val="00636775"/>
    <w:rsid w:val="0064036E"/>
    <w:rsid w:val="006413D2"/>
    <w:rsid w:val="00643C6F"/>
    <w:rsid w:val="00644226"/>
    <w:rsid w:val="00645E89"/>
    <w:rsid w:val="00652571"/>
    <w:rsid w:val="006534EC"/>
    <w:rsid w:val="006619C3"/>
    <w:rsid w:val="00661B70"/>
    <w:rsid w:val="006633D1"/>
    <w:rsid w:val="0066653A"/>
    <w:rsid w:val="00667FB6"/>
    <w:rsid w:val="00670C2B"/>
    <w:rsid w:val="00672E40"/>
    <w:rsid w:val="00674F8C"/>
    <w:rsid w:val="00675E61"/>
    <w:rsid w:val="006766D2"/>
    <w:rsid w:val="006769F7"/>
    <w:rsid w:val="0067700B"/>
    <w:rsid w:val="00677D43"/>
    <w:rsid w:val="00682B8A"/>
    <w:rsid w:val="006839B1"/>
    <w:rsid w:val="006908E9"/>
    <w:rsid w:val="006948ED"/>
    <w:rsid w:val="00695643"/>
    <w:rsid w:val="0069717D"/>
    <w:rsid w:val="006A4883"/>
    <w:rsid w:val="006A63BF"/>
    <w:rsid w:val="006D56E5"/>
    <w:rsid w:val="006E11A1"/>
    <w:rsid w:val="006E5626"/>
    <w:rsid w:val="006E65A3"/>
    <w:rsid w:val="0071561F"/>
    <w:rsid w:val="00732ACE"/>
    <w:rsid w:val="00741C01"/>
    <w:rsid w:val="00743178"/>
    <w:rsid w:val="00751958"/>
    <w:rsid w:val="007520FA"/>
    <w:rsid w:val="0075478A"/>
    <w:rsid w:val="007549F8"/>
    <w:rsid w:val="00761E2F"/>
    <w:rsid w:val="0076252B"/>
    <w:rsid w:val="00762FAB"/>
    <w:rsid w:val="00773231"/>
    <w:rsid w:val="007766CC"/>
    <w:rsid w:val="007778EB"/>
    <w:rsid w:val="00781880"/>
    <w:rsid w:val="0078398C"/>
    <w:rsid w:val="00786218"/>
    <w:rsid w:val="0078696E"/>
    <w:rsid w:val="00793B88"/>
    <w:rsid w:val="007A4194"/>
    <w:rsid w:val="007A6705"/>
    <w:rsid w:val="007B24B2"/>
    <w:rsid w:val="007B5D2A"/>
    <w:rsid w:val="007B746E"/>
    <w:rsid w:val="007B7CB0"/>
    <w:rsid w:val="007C0110"/>
    <w:rsid w:val="007C0461"/>
    <w:rsid w:val="007C2278"/>
    <w:rsid w:val="007C261E"/>
    <w:rsid w:val="007C3C68"/>
    <w:rsid w:val="007C415C"/>
    <w:rsid w:val="007C45BD"/>
    <w:rsid w:val="007C4A8D"/>
    <w:rsid w:val="007C51DF"/>
    <w:rsid w:val="007C67F1"/>
    <w:rsid w:val="007D1807"/>
    <w:rsid w:val="007E018B"/>
    <w:rsid w:val="007E42E6"/>
    <w:rsid w:val="007E4E59"/>
    <w:rsid w:val="007E5750"/>
    <w:rsid w:val="007F282E"/>
    <w:rsid w:val="00803718"/>
    <w:rsid w:val="00805EEC"/>
    <w:rsid w:val="008062E1"/>
    <w:rsid w:val="0081118D"/>
    <w:rsid w:val="0081199B"/>
    <w:rsid w:val="00814159"/>
    <w:rsid w:val="0081433F"/>
    <w:rsid w:val="00816F6B"/>
    <w:rsid w:val="008176C0"/>
    <w:rsid w:val="00821C70"/>
    <w:rsid w:val="0082283B"/>
    <w:rsid w:val="00847B70"/>
    <w:rsid w:val="00850786"/>
    <w:rsid w:val="00853515"/>
    <w:rsid w:val="00854AC6"/>
    <w:rsid w:val="00857CD9"/>
    <w:rsid w:val="00857EF6"/>
    <w:rsid w:val="00860390"/>
    <w:rsid w:val="00860D70"/>
    <w:rsid w:val="00862A20"/>
    <w:rsid w:val="00862D3D"/>
    <w:rsid w:val="00866681"/>
    <w:rsid w:val="00866AB1"/>
    <w:rsid w:val="00877C81"/>
    <w:rsid w:val="00884BC8"/>
    <w:rsid w:val="0088511F"/>
    <w:rsid w:val="00891BC1"/>
    <w:rsid w:val="00892B09"/>
    <w:rsid w:val="00895502"/>
    <w:rsid w:val="008A0156"/>
    <w:rsid w:val="008A514F"/>
    <w:rsid w:val="008A5B89"/>
    <w:rsid w:val="008A6EE0"/>
    <w:rsid w:val="008B292C"/>
    <w:rsid w:val="008B618C"/>
    <w:rsid w:val="008C3E40"/>
    <w:rsid w:val="008D6036"/>
    <w:rsid w:val="008D7D67"/>
    <w:rsid w:val="008F1178"/>
    <w:rsid w:val="008F377C"/>
    <w:rsid w:val="008F38EB"/>
    <w:rsid w:val="008F5DD2"/>
    <w:rsid w:val="0090157F"/>
    <w:rsid w:val="00905A6B"/>
    <w:rsid w:val="009111FC"/>
    <w:rsid w:val="00911BC2"/>
    <w:rsid w:val="0091281D"/>
    <w:rsid w:val="00920454"/>
    <w:rsid w:val="00922AB6"/>
    <w:rsid w:val="00923A8E"/>
    <w:rsid w:val="00924556"/>
    <w:rsid w:val="009271B5"/>
    <w:rsid w:val="00945D1B"/>
    <w:rsid w:val="00947A23"/>
    <w:rsid w:val="00954F64"/>
    <w:rsid w:val="00960C12"/>
    <w:rsid w:val="009617E3"/>
    <w:rsid w:val="0096219B"/>
    <w:rsid w:val="00973FCC"/>
    <w:rsid w:val="00974119"/>
    <w:rsid w:val="0097452E"/>
    <w:rsid w:val="00981F79"/>
    <w:rsid w:val="0098310E"/>
    <w:rsid w:val="0098378A"/>
    <w:rsid w:val="00984EAB"/>
    <w:rsid w:val="00990C82"/>
    <w:rsid w:val="009A23B1"/>
    <w:rsid w:val="009B46CA"/>
    <w:rsid w:val="009B5E15"/>
    <w:rsid w:val="009B666D"/>
    <w:rsid w:val="009C0D50"/>
    <w:rsid w:val="009C27AC"/>
    <w:rsid w:val="009C67B2"/>
    <w:rsid w:val="009D0C33"/>
    <w:rsid w:val="009D507D"/>
    <w:rsid w:val="009E0D02"/>
    <w:rsid w:val="009E2370"/>
    <w:rsid w:val="009E4B30"/>
    <w:rsid w:val="009E5913"/>
    <w:rsid w:val="009E6E26"/>
    <w:rsid w:val="009F48F9"/>
    <w:rsid w:val="009F658F"/>
    <w:rsid w:val="009F6A32"/>
    <w:rsid w:val="00A07B0E"/>
    <w:rsid w:val="00A10287"/>
    <w:rsid w:val="00A10E9D"/>
    <w:rsid w:val="00A11159"/>
    <w:rsid w:val="00A1314D"/>
    <w:rsid w:val="00A21A6C"/>
    <w:rsid w:val="00A23593"/>
    <w:rsid w:val="00A270B9"/>
    <w:rsid w:val="00A274C0"/>
    <w:rsid w:val="00A30290"/>
    <w:rsid w:val="00A31CC2"/>
    <w:rsid w:val="00A363C0"/>
    <w:rsid w:val="00A366FF"/>
    <w:rsid w:val="00A4180C"/>
    <w:rsid w:val="00A42865"/>
    <w:rsid w:val="00A45BD1"/>
    <w:rsid w:val="00A53235"/>
    <w:rsid w:val="00A5439A"/>
    <w:rsid w:val="00A564F4"/>
    <w:rsid w:val="00A60736"/>
    <w:rsid w:val="00A60FE7"/>
    <w:rsid w:val="00A67422"/>
    <w:rsid w:val="00A67D58"/>
    <w:rsid w:val="00A71860"/>
    <w:rsid w:val="00A72715"/>
    <w:rsid w:val="00A74EE1"/>
    <w:rsid w:val="00A7739A"/>
    <w:rsid w:val="00A77BB4"/>
    <w:rsid w:val="00A821C5"/>
    <w:rsid w:val="00A90567"/>
    <w:rsid w:val="00A92289"/>
    <w:rsid w:val="00A9383A"/>
    <w:rsid w:val="00A960A6"/>
    <w:rsid w:val="00A96D13"/>
    <w:rsid w:val="00AA1BE5"/>
    <w:rsid w:val="00AA3066"/>
    <w:rsid w:val="00AA6BA3"/>
    <w:rsid w:val="00AB720A"/>
    <w:rsid w:val="00AB7B81"/>
    <w:rsid w:val="00AC4C27"/>
    <w:rsid w:val="00AC5CFD"/>
    <w:rsid w:val="00AC6FF6"/>
    <w:rsid w:val="00AC7F34"/>
    <w:rsid w:val="00AE0158"/>
    <w:rsid w:val="00AE1582"/>
    <w:rsid w:val="00AE1761"/>
    <w:rsid w:val="00AE22EE"/>
    <w:rsid w:val="00AE4D0F"/>
    <w:rsid w:val="00AE5F29"/>
    <w:rsid w:val="00AE6F0D"/>
    <w:rsid w:val="00AE6F77"/>
    <w:rsid w:val="00AE7096"/>
    <w:rsid w:val="00AE7909"/>
    <w:rsid w:val="00AF1B3B"/>
    <w:rsid w:val="00AF5C5B"/>
    <w:rsid w:val="00AF64A0"/>
    <w:rsid w:val="00AF7E65"/>
    <w:rsid w:val="00B03B3A"/>
    <w:rsid w:val="00B03C8A"/>
    <w:rsid w:val="00B05969"/>
    <w:rsid w:val="00B11FDD"/>
    <w:rsid w:val="00B15106"/>
    <w:rsid w:val="00B17BC5"/>
    <w:rsid w:val="00B25C65"/>
    <w:rsid w:val="00B25DF4"/>
    <w:rsid w:val="00B25F9D"/>
    <w:rsid w:val="00B3281B"/>
    <w:rsid w:val="00B344C4"/>
    <w:rsid w:val="00B40229"/>
    <w:rsid w:val="00B43E0D"/>
    <w:rsid w:val="00B45E2D"/>
    <w:rsid w:val="00B46FA9"/>
    <w:rsid w:val="00B503C5"/>
    <w:rsid w:val="00B57C8A"/>
    <w:rsid w:val="00B608CE"/>
    <w:rsid w:val="00B64517"/>
    <w:rsid w:val="00B646DB"/>
    <w:rsid w:val="00B6611A"/>
    <w:rsid w:val="00B74750"/>
    <w:rsid w:val="00B81F32"/>
    <w:rsid w:val="00B86B6F"/>
    <w:rsid w:val="00B86DDE"/>
    <w:rsid w:val="00B95A47"/>
    <w:rsid w:val="00BA6A95"/>
    <w:rsid w:val="00BB087B"/>
    <w:rsid w:val="00BB1325"/>
    <w:rsid w:val="00BB54E1"/>
    <w:rsid w:val="00BC0C14"/>
    <w:rsid w:val="00BC3327"/>
    <w:rsid w:val="00BC65B8"/>
    <w:rsid w:val="00BC712E"/>
    <w:rsid w:val="00BD5D97"/>
    <w:rsid w:val="00BD73B0"/>
    <w:rsid w:val="00BF3775"/>
    <w:rsid w:val="00BF595C"/>
    <w:rsid w:val="00C02E9D"/>
    <w:rsid w:val="00C10696"/>
    <w:rsid w:val="00C212C1"/>
    <w:rsid w:val="00C21B96"/>
    <w:rsid w:val="00C248EF"/>
    <w:rsid w:val="00C25C47"/>
    <w:rsid w:val="00C4676F"/>
    <w:rsid w:val="00C46C5C"/>
    <w:rsid w:val="00C4796E"/>
    <w:rsid w:val="00C624CD"/>
    <w:rsid w:val="00C66F06"/>
    <w:rsid w:val="00C81178"/>
    <w:rsid w:val="00C90A28"/>
    <w:rsid w:val="00C9241A"/>
    <w:rsid w:val="00C9340E"/>
    <w:rsid w:val="00C943A2"/>
    <w:rsid w:val="00CA52C7"/>
    <w:rsid w:val="00CA5DBD"/>
    <w:rsid w:val="00CB3686"/>
    <w:rsid w:val="00CC0C2B"/>
    <w:rsid w:val="00CC2A6B"/>
    <w:rsid w:val="00CC52AC"/>
    <w:rsid w:val="00CD0A31"/>
    <w:rsid w:val="00CD491C"/>
    <w:rsid w:val="00CD6DA7"/>
    <w:rsid w:val="00CD7833"/>
    <w:rsid w:val="00CD7D90"/>
    <w:rsid w:val="00CE1164"/>
    <w:rsid w:val="00CE49BA"/>
    <w:rsid w:val="00CE4DBA"/>
    <w:rsid w:val="00CF2E89"/>
    <w:rsid w:val="00CF32E3"/>
    <w:rsid w:val="00D04907"/>
    <w:rsid w:val="00D07EC6"/>
    <w:rsid w:val="00D13F35"/>
    <w:rsid w:val="00D14CC3"/>
    <w:rsid w:val="00D266F6"/>
    <w:rsid w:val="00D313D6"/>
    <w:rsid w:val="00D3240B"/>
    <w:rsid w:val="00D352F3"/>
    <w:rsid w:val="00D358D8"/>
    <w:rsid w:val="00D35E5F"/>
    <w:rsid w:val="00D526E4"/>
    <w:rsid w:val="00D5459C"/>
    <w:rsid w:val="00D601D0"/>
    <w:rsid w:val="00D64061"/>
    <w:rsid w:val="00D70517"/>
    <w:rsid w:val="00D7083C"/>
    <w:rsid w:val="00D72FEF"/>
    <w:rsid w:val="00D73A62"/>
    <w:rsid w:val="00D775D4"/>
    <w:rsid w:val="00D81354"/>
    <w:rsid w:val="00D82BC5"/>
    <w:rsid w:val="00D9080B"/>
    <w:rsid w:val="00D9186C"/>
    <w:rsid w:val="00D93A11"/>
    <w:rsid w:val="00DA0C1A"/>
    <w:rsid w:val="00DA0C5B"/>
    <w:rsid w:val="00DA1014"/>
    <w:rsid w:val="00DA3111"/>
    <w:rsid w:val="00DA4D73"/>
    <w:rsid w:val="00DA6161"/>
    <w:rsid w:val="00DB20F4"/>
    <w:rsid w:val="00DB523F"/>
    <w:rsid w:val="00DB576B"/>
    <w:rsid w:val="00DB75B5"/>
    <w:rsid w:val="00DC0AD4"/>
    <w:rsid w:val="00DC67F4"/>
    <w:rsid w:val="00DC7AE4"/>
    <w:rsid w:val="00DD6601"/>
    <w:rsid w:val="00DE118D"/>
    <w:rsid w:val="00DE2312"/>
    <w:rsid w:val="00DE3FB4"/>
    <w:rsid w:val="00DE4AAF"/>
    <w:rsid w:val="00DF12A3"/>
    <w:rsid w:val="00DF5E75"/>
    <w:rsid w:val="00E0501A"/>
    <w:rsid w:val="00E108A0"/>
    <w:rsid w:val="00E11C09"/>
    <w:rsid w:val="00E129A0"/>
    <w:rsid w:val="00E164BE"/>
    <w:rsid w:val="00E20B23"/>
    <w:rsid w:val="00E253F5"/>
    <w:rsid w:val="00E26FFD"/>
    <w:rsid w:val="00E305D6"/>
    <w:rsid w:val="00E30BF7"/>
    <w:rsid w:val="00E40C78"/>
    <w:rsid w:val="00E44717"/>
    <w:rsid w:val="00E459BE"/>
    <w:rsid w:val="00E47B46"/>
    <w:rsid w:val="00E501F2"/>
    <w:rsid w:val="00E532A1"/>
    <w:rsid w:val="00E5542E"/>
    <w:rsid w:val="00E56BE5"/>
    <w:rsid w:val="00E63871"/>
    <w:rsid w:val="00E64163"/>
    <w:rsid w:val="00E67D3D"/>
    <w:rsid w:val="00E72F42"/>
    <w:rsid w:val="00E81FC4"/>
    <w:rsid w:val="00E861C6"/>
    <w:rsid w:val="00E9117E"/>
    <w:rsid w:val="00E915FA"/>
    <w:rsid w:val="00E9165D"/>
    <w:rsid w:val="00E94E19"/>
    <w:rsid w:val="00E95037"/>
    <w:rsid w:val="00EA5E24"/>
    <w:rsid w:val="00EB03FF"/>
    <w:rsid w:val="00EC1AD1"/>
    <w:rsid w:val="00EC597B"/>
    <w:rsid w:val="00EC5BD3"/>
    <w:rsid w:val="00EC7310"/>
    <w:rsid w:val="00ED0462"/>
    <w:rsid w:val="00EE0C9D"/>
    <w:rsid w:val="00EE1572"/>
    <w:rsid w:val="00EE5478"/>
    <w:rsid w:val="00EE5498"/>
    <w:rsid w:val="00EF3D9E"/>
    <w:rsid w:val="00EF5749"/>
    <w:rsid w:val="00EF5762"/>
    <w:rsid w:val="00F01EC7"/>
    <w:rsid w:val="00F045BC"/>
    <w:rsid w:val="00F04D90"/>
    <w:rsid w:val="00F07094"/>
    <w:rsid w:val="00F07526"/>
    <w:rsid w:val="00F127ED"/>
    <w:rsid w:val="00F14880"/>
    <w:rsid w:val="00F16A47"/>
    <w:rsid w:val="00F16C7D"/>
    <w:rsid w:val="00F17147"/>
    <w:rsid w:val="00F21630"/>
    <w:rsid w:val="00F228D2"/>
    <w:rsid w:val="00F22A3A"/>
    <w:rsid w:val="00F245F2"/>
    <w:rsid w:val="00F25849"/>
    <w:rsid w:val="00F306B0"/>
    <w:rsid w:val="00F31741"/>
    <w:rsid w:val="00F31900"/>
    <w:rsid w:val="00F34EA0"/>
    <w:rsid w:val="00F36D06"/>
    <w:rsid w:val="00F438CB"/>
    <w:rsid w:val="00F439C4"/>
    <w:rsid w:val="00F44476"/>
    <w:rsid w:val="00F511D6"/>
    <w:rsid w:val="00F52103"/>
    <w:rsid w:val="00F521B9"/>
    <w:rsid w:val="00F52CD1"/>
    <w:rsid w:val="00F52F37"/>
    <w:rsid w:val="00F57349"/>
    <w:rsid w:val="00F576D1"/>
    <w:rsid w:val="00F6500B"/>
    <w:rsid w:val="00F74B81"/>
    <w:rsid w:val="00F91093"/>
    <w:rsid w:val="00F920A2"/>
    <w:rsid w:val="00F9349E"/>
    <w:rsid w:val="00F93B74"/>
    <w:rsid w:val="00F94223"/>
    <w:rsid w:val="00F9574C"/>
    <w:rsid w:val="00F95978"/>
    <w:rsid w:val="00FA7221"/>
    <w:rsid w:val="00FB10AC"/>
    <w:rsid w:val="00FB155D"/>
    <w:rsid w:val="00FB5B06"/>
    <w:rsid w:val="00FC0399"/>
    <w:rsid w:val="00FC294E"/>
    <w:rsid w:val="00FC3771"/>
    <w:rsid w:val="00FD15C6"/>
    <w:rsid w:val="00FD6254"/>
    <w:rsid w:val="00FE0589"/>
    <w:rsid w:val="00FE062E"/>
    <w:rsid w:val="00FE0C95"/>
    <w:rsid w:val="00FE0D6C"/>
    <w:rsid w:val="00FE195E"/>
    <w:rsid w:val="00FE6691"/>
    <w:rsid w:val="00FE7386"/>
    <w:rsid w:val="00FF0921"/>
    <w:rsid w:val="00FF20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376AB"/>
  <w15:docId w15:val="{5B4BDE7F-BA72-40E5-9F4E-E27183D8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C42"/>
    <w:pPr>
      <w:spacing w:after="120"/>
    </w:pPr>
    <w:rPr>
      <w:rFonts w:ascii="Times New Roman" w:hAnsi="Times New Roman" w:cs="Arial"/>
    </w:rPr>
  </w:style>
  <w:style w:type="paragraph" w:styleId="Heading1">
    <w:name w:val="heading 1"/>
    <w:next w:val="NumberedParas"/>
    <w:link w:val="Heading1Char"/>
    <w:uiPriority w:val="11"/>
    <w:qFormat/>
    <w:rsid w:val="006016FA"/>
    <w:pPr>
      <w:keepNext/>
      <w:keepLines/>
      <w:numPr>
        <w:numId w:val="31"/>
      </w:numPr>
      <w:tabs>
        <w:tab w:val="right" w:pos="1134"/>
        <w:tab w:val="left" w:pos="1701"/>
      </w:tabs>
      <w:suppressAutoHyphens/>
      <w:spacing w:before="360" w:after="240" w:line="300" w:lineRule="exact"/>
      <w:ind w:left="1962" w:right="873" w:hanging="357"/>
      <w:outlineLvl w:val="0"/>
    </w:pPr>
    <w:rPr>
      <w:rFonts w:asciiTheme="majorBidi" w:hAnsiTheme="majorBidi" w:cs="Arial"/>
      <w:b/>
      <w:sz w:val="28"/>
    </w:rPr>
  </w:style>
  <w:style w:type="paragraph" w:styleId="Heading2">
    <w:name w:val="heading 2"/>
    <w:next w:val="NumberedParas"/>
    <w:link w:val="Heading2Char"/>
    <w:uiPriority w:val="10"/>
    <w:unhideWhenUsed/>
    <w:qFormat/>
    <w:rsid w:val="00104C42"/>
    <w:pPr>
      <w:keepNext/>
      <w:keepLines/>
      <w:numPr>
        <w:numId w:val="23"/>
      </w:numPr>
      <w:tabs>
        <w:tab w:val="right" w:pos="851"/>
        <w:tab w:val="left" w:pos="1701"/>
      </w:tabs>
      <w:suppressAutoHyphens/>
      <w:spacing w:before="360" w:after="240" w:line="270" w:lineRule="exact"/>
      <w:ind w:right="1134"/>
      <w:outlineLvl w:val="1"/>
    </w:pPr>
    <w:rPr>
      <w:rFonts w:asciiTheme="majorBidi" w:eastAsia="Calibri" w:hAnsiTheme="majorBidi" w:cs="Arial"/>
      <w:b/>
      <w:sz w:val="24"/>
    </w:rPr>
  </w:style>
  <w:style w:type="paragraph" w:styleId="Heading3">
    <w:name w:val="heading 3"/>
    <w:next w:val="NumberedParas"/>
    <w:link w:val="Heading3Char"/>
    <w:uiPriority w:val="9"/>
    <w:unhideWhenUsed/>
    <w:qFormat/>
    <w:rsid w:val="00104C42"/>
    <w:pPr>
      <w:keepNext/>
      <w:tabs>
        <w:tab w:val="left" w:pos="1701"/>
      </w:tabs>
      <w:suppressAutoHyphens/>
      <w:spacing w:after="120" w:line="240" w:lineRule="atLeast"/>
      <w:ind w:left="828" w:right="828"/>
      <w:jc w:val="both"/>
      <w:outlineLvl w:val="2"/>
    </w:pPr>
    <w:rPr>
      <w:rFonts w:asciiTheme="majorBidi" w:eastAsia="Calibri" w:hAnsiTheme="majorBidi" w:cs="Arial"/>
      <w:b/>
    </w:rPr>
  </w:style>
  <w:style w:type="paragraph" w:styleId="Heading4">
    <w:name w:val="heading 4"/>
    <w:next w:val="NumberedParas"/>
    <w:link w:val="Heading4Char"/>
    <w:uiPriority w:val="9"/>
    <w:unhideWhenUsed/>
    <w:qFormat/>
    <w:rsid w:val="00104C42"/>
    <w:pPr>
      <w:keepNext/>
      <w:tabs>
        <w:tab w:val="left" w:pos="1701"/>
      </w:tabs>
      <w:suppressAutoHyphens/>
      <w:spacing w:after="120" w:line="240" w:lineRule="atLeast"/>
      <w:ind w:left="828" w:right="828"/>
      <w:jc w:val="both"/>
      <w:outlineLvl w:val="3"/>
    </w:pPr>
    <w:rPr>
      <w:rFonts w:asciiTheme="majorBidi" w:eastAsia="Calibri" w:hAnsiTheme="majorBidi" w:cs="Arial"/>
      <w:bCs/>
      <w:i/>
      <w:iCs/>
    </w:rPr>
  </w:style>
  <w:style w:type="paragraph" w:styleId="Heading5">
    <w:name w:val="heading 5"/>
    <w:basedOn w:val="Heading4"/>
    <w:next w:val="NumberedParas"/>
    <w:link w:val="Heading5Char"/>
    <w:uiPriority w:val="9"/>
    <w:unhideWhenUsed/>
    <w:qFormat/>
    <w:rsid w:val="00104C42"/>
    <w:pPr>
      <w:outlineLvl w:val="4"/>
    </w:pPr>
    <w:rPr>
      <w:i w:val="0"/>
      <w:iCs w:val="0"/>
      <w:u w:val="single"/>
    </w:rPr>
  </w:style>
  <w:style w:type="paragraph" w:styleId="Heading6">
    <w:name w:val="heading 6"/>
    <w:basedOn w:val="Normal"/>
    <w:next w:val="Normal"/>
    <w:link w:val="Heading6Char"/>
    <w:autoRedefine/>
    <w:uiPriority w:val="9"/>
    <w:semiHidden/>
    <w:unhideWhenUsed/>
    <w:rsid w:val="00104C4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
    <w:basedOn w:val="DefaultParagraphFont"/>
    <w:link w:val="FootnoteText"/>
    <w:rsid w:val="00104C42"/>
    <w:rPr>
      <w:rFonts w:ascii="Times New Roman" w:eastAsiaTheme="minorEastAsia" w:hAnsi="Times New Roman" w:cs="Times New Roman"/>
      <w:szCs w:val="20"/>
      <w:lang w:eastAsia="zh-CN"/>
    </w:rPr>
  </w:style>
  <w:style w:type="character" w:customStyle="1" w:styleId="Heading1Char">
    <w:name w:val="Heading 1 Char"/>
    <w:basedOn w:val="DefaultParagraphFont"/>
    <w:link w:val="Heading1"/>
    <w:uiPriority w:val="11"/>
    <w:rsid w:val="006016FA"/>
    <w:rPr>
      <w:rFonts w:asciiTheme="majorBidi" w:hAnsiTheme="majorBidi" w:cs="Arial"/>
      <w:b/>
      <w:sz w:val="28"/>
    </w:rPr>
  </w:style>
  <w:style w:type="character" w:customStyle="1" w:styleId="Heading2Char">
    <w:name w:val="Heading 2 Char"/>
    <w:basedOn w:val="DefaultParagraphFont"/>
    <w:link w:val="Heading2"/>
    <w:uiPriority w:val="10"/>
    <w:rsid w:val="00104C42"/>
    <w:rPr>
      <w:rFonts w:asciiTheme="majorBidi" w:eastAsia="Calibri" w:hAnsiTheme="majorBidi" w:cs="Arial"/>
      <w:b/>
      <w:sz w:val="24"/>
    </w:rPr>
  </w:style>
  <w:style w:type="character" w:customStyle="1" w:styleId="Heading3Char">
    <w:name w:val="Heading 3 Char"/>
    <w:basedOn w:val="DefaultParagraphFont"/>
    <w:link w:val="Heading3"/>
    <w:uiPriority w:val="9"/>
    <w:rsid w:val="00104C42"/>
    <w:rPr>
      <w:rFonts w:asciiTheme="majorBidi" w:eastAsia="Calibri" w:hAnsiTheme="majorBidi" w:cs="Arial"/>
      <w:b/>
    </w:rPr>
  </w:style>
  <w:style w:type="character" w:customStyle="1" w:styleId="Heading4Char">
    <w:name w:val="Heading 4 Char"/>
    <w:basedOn w:val="DefaultParagraphFont"/>
    <w:link w:val="Heading4"/>
    <w:uiPriority w:val="9"/>
    <w:rsid w:val="00104C42"/>
    <w:rPr>
      <w:rFonts w:asciiTheme="majorBidi" w:eastAsia="Calibri" w:hAnsiTheme="majorBidi" w:cs="Arial"/>
      <w:bCs/>
      <w:i/>
      <w:iCs/>
    </w:rPr>
  </w:style>
  <w:style w:type="character" w:customStyle="1" w:styleId="Heading5Char">
    <w:name w:val="Heading 5 Char"/>
    <w:basedOn w:val="DefaultParagraphFont"/>
    <w:link w:val="Heading5"/>
    <w:uiPriority w:val="9"/>
    <w:rsid w:val="00104C42"/>
    <w:rPr>
      <w:rFonts w:asciiTheme="majorBidi" w:eastAsia="Calibri" w:hAnsiTheme="majorBidi" w:cs="Arial"/>
      <w:bCs/>
      <w:u w:val="single"/>
    </w:rPr>
  </w:style>
  <w:style w:type="character" w:customStyle="1" w:styleId="SingleTxtGChar">
    <w:name w:val="_ Single Txt_G Char"/>
    <w:link w:val="SingleTxtG"/>
    <w:qFormat/>
    <w:rsid w:val="003C3FB7"/>
    <w:rPr>
      <w:rFonts w:ascii="Times New Roman" w:eastAsia="Times New Roman" w:hAnsi="Times New Roman" w:cs="Times New Roman"/>
      <w:color w:val="00000A"/>
      <w:szCs w:val="20"/>
    </w:rPr>
  </w:style>
  <w:style w:type="character" w:styleId="CommentReference">
    <w:name w:val="annotation reference"/>
    <w:basedOn w:val="DefaultParagraphFont"/>
    <w:uiPriority w:val="99"/>
    <w:semiHidden/>
    <w:unhideWhenUsed/>
    <w:rsid w:val="00104C42"/>
    <w:rPr>
      <w:sz w:val="16"/>
      <w:szCs w:val="16"/>
    </w:rPr>
  </w:style>
  <w:style w:type="character" w:customStyle="1" w:styleId="CommentTextChar">
    <w:name w:val="Comment Text Char"/>
    <w:basedOn w:val="DefaultParagraphFont"/>
    <w:link w:val="CommentText"/>
    <w:uiPriority w:val="99"/>
    <w:rsid w:val="00104C42"/>
    <w:rPr>
      <w:rFonts w:ascii="Times New Roman" w:hAnsi="Times New Roman" w:cs="Arial"/>
      <w:szCs w:val="20"/>
    </w:rPr>
  </w:style>
  <w:style w:type="character" w:customStyle="1" w:styleId="CommentSubjectChar">
    <w:name w:val="Comment Subject Char"/>
    <w:basedOn w:val="CommentTextChar"/>
    <w:link w:val="CommentSubject"/>
    <w:uiPriority w:val="99"/>
    <w:semiHidden/>
    <w:rsid w:val="00104C42"/>
    <w:rPr>
      <w:rFonts w:ascii="Times New Roman" w:hAnsi="Times New Roman" w:cs="Arial"/>
      <w:b/>
      <w:bCs/>
      <w:szCs w:val="20"/>
    </w:rPr>
  </w:style>
  <w:style w:type="character" w:customStyle="1" w:styleId="BalloonTextChar">
    <w:name w:val="Balloon Text Char"/>
    <w:basedOn w:val="DefaultParagraphFont"/>
    <w:link w:val="BalloonText"/>
    <w:uiPriority w:val="99"/>
    <w:semiHidden/>
    <w:rsid w:val="00104C42"/>
    <w:rPr>
      <w:rFonts w:ascii="Segoe UI" w:hAnsi="Segoe UI" w:cs="Segoe UI"/>
      <w:sz w:val="18"/>
      <w:szCs w:val="18"/>
    </w:rPr>
  </w:style>
  <w:style w:type="character" w:customStyle="1" w:styleId="Internet-hivatkozs">
    <w:name w:val="Internet-hivatkozás"/>
    <w:basedOn w:val="DefaultParagraphFont"/>
    <w:uiPriority w:val="99"/>
    <w:unhideWhenUsed/>
    <w:rsid w:val="00AC26F6"/>
    <w:rPr>
      <w:color w:val="0563C1" w:themeColor="hyperlink"/>
      <w:u w:val="single"/>
    </w:rPr>
  </w:style>
  <w:style w:type="character" w:styleId="FootnoteReference">
    <w:name w:val="footnote reference"/>
    <w:aliases w:val="4_G"/>
    <w:basedOn w:val="DefaultParagraphFont"/>
    <w:unhideWhenUsed/>
    <w:rsid w:val="00104C42"/>
    <w:rPr>
      <w:vertAlign w:val="superscript"/>
    </w:rPr>
  </w:style>
  <w:style w:type="character" w:customStyle="1" w:styleId="HeaderChar">
    <w:name w:val="Header Char"/>
    <w:basedOn w:val="DefaultParagraphFont"/>
    <w:link w:val="Header"/>
    <w:uiPriority w:val="99"/>
    <w:rsid w:val="00104C42"/>
    <w:rPr>
      <w:rFonts w:asciiTheme="majorBidi" w:hAnsiTheme="majorBidi" w:cstheme="majorBidi"/>
      <w:szCs w:val="20"/>
    </w:rPr>
  </w:style>
  <w:style w:type="character" w:customStyle="1" w:styleId="FooterChar">
    <w:name w:val="Footer Char"/>
    <w:basedOn w:val="DefaultParagraphFont"/>
    <w:link w:val="Footer"/>
    <w:uiPriority w:val="99"/>
    <w:rsid w:val="00104C42"/>
    <w:rPr>
      <w:rFonts w:ascii="Times New Roman" w:hAnsi="Times New Roman" w:cs="Arial"/>
    </w:rPr>
  </w:style>
  <w:style w:type="character" w:customStyle="1" w:styleId="ListLabel1">
    <w:name w:val="ListLabel 1"/>
    <w:rPr>
      <w:b w:val="0"/>
      <w:sz w:val="20"/>
    </w:rPr>
  </w:style>
  <w:style w:type="character" w:customStyle="1" w:styleId="ListLabel2">
    <w:name w:val="ListLabel 2"/>
    <w:rPr>
      <w:b w:val="0"/>
      <w:sz w:val="20"/>
    </w:rPr>
  </w:style>
  <w:style w:type="character" w:customStyle="1" w:styleId="ListLabel3">
    <w:name w:val="ListLabel 3"/>
    <w:rPr>
      <w:b w:val="0"/>
      <w:sz w:val="20"/>
    </w:rPr>
  </w:style>
  <w:style w:type="character" w:customStyle="1" w:styleId="ListLabel4">
    <w:name w:val="ListLabel 4"/>
    <w:rPr>
      <w:b w:val="0"/>
      <w:sz w:val="20"/>
    </w:rPr>
  </w:style>
  <w:style w:type="character" w:customStyle="1" w:styleId="ListLabel5">
    <w:name w:val="ListLabel 5"/>
    <w:rPr>
      <w:rFonts w:eastAsia="Times New Roman" w:cs="Times New Roman"/>
    </w:rPr>
  </w:style>
  <w:style w:type="character" w:customStyle="1" w:styleId="ListLabel6">
    <w:name w:val="ListLabel 6"/>
    <w:rPr>
      <w:rFonts w:eastAsia="Times New Roman" w:cs="Times New Roman"/>
    </w:rPr>
  </w:style>
  <w:style w:type="character" w:customStyle="1" w:styleId="ListLabel7">
    <w:name w:val="ListLabel 7"/>
    <w:rPr>
      <w:rFonts w:eastAsia="Times New Roman" w:cs="Times New Roman"/>
    </w:rPr>
  </w:style>
  <w:style w:type="character" w:customStyle="1" w:styleId="ListLabel8">
    <w:name w:val="ListLabel 8"/>
    <w:rPr>
      <w:rFonts w:eastAsia="Times New Roman" w:cs="Times New Roman"/>
    </w:rPr>
  </w:style>
  <w:style w:type="character" w:customStyle="1" w:styleId="ListLabel9">
    <w:name w:val="ListLabel 9"/>
    <w:rPr>
      <w:rFonts w:eastAsia="Calibri"/>
    </w:rPr>
  </w:style>
  <w:style w:type="character" w:customStyle="1" w:styleId="ListLabel10">
    <w:name w:val="ListLabel 10"/>
    <w:rPr>
      <w:rFonts w:eastAsia="Calibri"/>
    </w:rPr>
  </w:style>
  <w:style w:type="character" w:customStyle="1" w:styleId="ListLabel11">
    <w:name w:val="ListLabel 11"/>
    <w:rPr>
      <w:rFonts w:eastAsia="Calibri"/>
    </w:rPr>
  </w:style>
  <w:style w:type="character" w:customStyle="1" w:styleId="ListLabel12">
    <w:name w:val="ListLabel 12"/>
    <w:rPr>
      <w:rFonts w:eastAsia="Calibri"/>
    </w:rPr>
  </w:style>
  <w:style w:type="paragraph" w:customStyle="1" w:styleId="Cmsor">
    <w:name w:val="Címsor"/>
    <w:basedOn w:val="Normal"/>
    <w:next w:val="BodyText"/>
    <w:pPr>
      <w:keepNext/>
      <w:spacing w:before="240"/>
    </w:pPr>
    <w:rPr>
      <w:rFonts w:ascii="Liberation Sans" w:eastAsia="Microsoft YaHei" w:hAnsi="Liberation Sans" w:cs="Lucida Sans"/>
      <w:sz w:val="28"/>
      <w:szCs w:val="28"/>
    </w:rPr>
  </w:style>
  <w:style w:type="paragraph" w:styleId="BodyText">
    <w:name w:val="Body Text"/>
    <w:basedOn w:val="Normal"/>
    <w:rsid w:val="00DA0C5B"/>
    <w:pPr>
      <w:spacing w:after="140" w:line="288" w:lineRule="auto"/>
    </w:pPr>
  </w:style>
  <w:style w:type="paragraph" w:styleId="List">
    <w:name w:val="List"/>
    <w:basedOn w:val="BodyText"/>
    <w:rPr>
      <w:rFonts w:cs="Lucida Sans"/>
    </w:rPr>
  </w:style>
  <w:style w:type="paragraph" w:styleId="Caption">
    <w:name w:val="caption"/>
    <w:basedOn w:val="Normal"/>
    <w:pPr>
      <w:suppressLineNumbers/>
      <w:spacing w:before="120"/>
    </w:pPr>
    <w:rPr>
      <w:rFonts w:cs="Lucida Sans"/>
      <w:i/>
      <w:iCs/>
      <w:sz w:val="24"/>
      <w:szCs w:val="24"/>
    </w:rPr>
  </w:style>
  <w:style w:type="paragraph" w:customStyle="1" w:styleId="Trgymutat">
    <w:name w:val="Tárgymutató"/>
    <w:basedOn w:val="Normal"/>
    <w:pPr>
      <w:suppressLineNumbers/>
    </w:pPr>
    <w:rPr>
      <w:rFonts w:cs="Lucida Sans"/>
    </w:rPr>
  </w:style>
  <w:style w:type="paragraph" w:styleId="FootnoteText">
    <w:name w:val="footnote text"/>
    <w:aliases w:val="5_G"/>
    <w:basedOn w:val="Normal"/>
    <w:link w:val="FootnoteTextChar"/>
    <w:unhideWhenUsed/>
    <w:qFormat/>
    <w:rsid w:val="00104C42"/>
    <w:rPr>
      <w:rFonts w:eastAsiaTheme="minorEastAsia" w:cs="Times New Roman"/>
      <w:szCs w:val="20"/>
      <w:lang w:eastAsia="zh-CN"/>
    </w:rPr>
  </w:style>
  <w:style w:type="paragraph" w:styleId="ListParagraph">
    <w:name w:val="List Paragraph"/>
    <w:basedOn w:val="Normal"/>
    <w:uiPriority w:val="34"/>
    <w:qFormat/>
    <w:rsid w:val="00104C42"/>
    <w:pPr>
      <w:ind w:left="720"/>
      <w:contextualSpacing/>
    </w:pPr>
  </w:style>
  <w:style w:type="paragraph" w:customStyle="1" w:styleId="HChG">
    <w:name w:val="_ H _Ch_G"/>
    <w:basedOn w:val="Normal"/>
    <w:next w:val="Normal"/>
    <w:rsid w:val="003C3FB7"/>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DA0C5B"/>
    <w:pPr>
      <w:ind w:left="1134" w:right="1134"/>
      <w:jc w:val="both"/>
    </w:pPr>
  </w:style>
  <w:style w:type="paragraph" w:styleId="CommentText">
    <w:name w:val="annotation text"/>
    <w:basedOn w:val="Normal"/>
    <w:link w:val="CommentTextChar"/>
    <w:uiPriority w:val="99"/>
    <w:unhideWhenUsed/>
    <w:rsid w:val="00104C42"/>
    <w:rPr>
      <w:szCs w:val="20"/>
    </w:rPr>
  </w:style>
  <w:style w:type="paragraph" w:styleId="CommentSubject">
    <w:name w:val="annotation subject"/>
    <w:basedOn w:val="CommentText"/>
    <w:next w:val="CommentText"/>
    <w:link w:val="CommentSubjectChar"/>
    <w:uiPriority w:val="99"/>
    <w:semiHidden/>
    <w:unhideWhenUsed/>
    <w:rsid w:val="00104C42"/>
    <w:rPr>
      <w:b/>
      <w:bCs/>
    </w:rPr>
  </w:style>
  <w:style w:type="paragraph" w:styleId="BalloonText">
    <w:name w:val="Balloon Text"/>
    <w:basedOn w:val="Normal"/>
    <w:link w:val="BalloonTextChar"/>
    <w:uiPriority w:val="99"/>
    <w:semiHidden/>
    <w:unhideWhenUsed/>
    <w:rsid w:val="00104C42"/>
    <w:pPr>
      <w:spacing w:after="0"/>
    </w:pPr>
    <w:rPr>
      <w:rFonts w:ascii="Segoe UI" w:hAnsi="Segoe UI" w:cs="Segoe UI"/>
      <w:sz w:val="18"/>
      <w:szCs w:val="18"/>
    </w:rPr>
  </w:style>
  <w:style w:type="paragraph" w:styleId="Revision">
    <w:name w:val="Revision"/>
    <w:uiPriority w:val="99"/>
    <w:semiHidden/>
    <w:qFormat/>
    <w:rsid w:val="00DA0C5B"/>
    <w:rPr>
      <w:rFonts w:ascii="Times New Roman" w:eastAsia="Times New Roman" w:hAnsi="Times New Roman" w:cs="Times New Roman"/>
      <w:color w:val="00000A"/>
      <w:szCs w:val="20"/>
    </w:rPr>
  </w:style>
  <w:style w:type="paragraph" w:styleId="Header">
    <w:name w:val="header"/>
    <w:basedOn w:val="Normal"/>
    <w:link w:val="HeaderChar"/>
    <w:uiPriority w:val="99"/>
    <w:unhideWhenUsed/>
    <w:qFormat/>
    <w:rsid w:val="00104C42"/>
    <w:pPr>
      <w:tabs>
        <w:tab w:val="center" w:pos="4513"/>
        <w:tab w:val="right" w:pos="9026"/>
      </w:tabs>
      <w:jc w:val="right"/>
    </w:pPr>
    <w:rPr>
      <w:rFonts w:asciiTheme="majorBidi" w:hAnsiTheme="majorBidi" w:cstheme="majorBidi"/>
      <w:szCs w:val="20"/>
    </w:rPr>
  </w:style>
  <w:style w:type="paragraph" w:styleId="Footer">
    <w:name w:val="footer"/>
    <w:basedOn w:val="Normal"/>
    <w:link w:val="FooterChar"/>
    <w:uiPriority w:val="99"/>
    <w:unhideWhenUsed/>
    <w:rsid w:val="00104C42"/>
    <w:pPr>
      <w:tabs>
        <w:tab w:val="center" w:pos="4513"/>
        <w:tab w:val="right" w:pos="9026"/>
      </w:tabs>
      <w:spacing w:after="0"/>
    </w:pPr>
  </w:style>
  <w:style w:type="character" w:customStyle="1" w:styleId="Heading6Char">
    <w:name w:val="Heading 6 Char"/>
    <w:basedOn w:val="DefaultParagraphFont"/>
    <w:link w:val="Heading6"/>
    <w:uiPriority w:val="9"/>
    <w:semiHidden/>
    <w:rsid w:val="00104C42"/>
    <w:rPr>
      <w:rFonts w:asciiTheme="majorHAnsi" w:eastAsiaTheme="majorEastAsia" w:hAnsiTheme="majorHAnsi" w:cstheme="majorBidi"/>
      <w:color w:val="1F4D78" w:themeColor="accent1" w:themeShade="7F"/>
    </w:rPr>
  </w:style>
  <w:style w:type="paragraph" w:styleId="Title">
    <w:name w:val="Title"/>
    <w:next w:val="NumberedParas"/>
    <w:link w:val="TitleChar"/>
    <w:uiPriority w:val="11"/>
    <w:qFormat/>
    <w:rsid w:val="00104C42"/>
    <w:pPr>
      <w:keepNext/>
      <w:keepLines/>
      <w:tabs>
        <w:tab w:val="right" w:pos="851"/>
        <w:tab w:val="left" w:pos="1701"/>
      </w:tabs>
      <w:suppressAutoHyphens/>
      <w:spacing w:before="360" w:after="240" w:line="300" w:lineRule="exact"/>
      <w:ind w:left="1134" w:right="1134"/>
      <w:jc w:val="center"/>
    </w:pPr>
    <w:rPr>
      <w:rFonts w:asciiTheme="majorBidi" w:eastAsia="Calibri" w:hAnsiTheme="majorBidi" w:cs="Arial"/>
      <w:b/>
      <w:sz w:val="28"/>
    </w:rPr>
  </w:style>
  <w:style w:type="character" w:customStyle="1" w:styleId="TitleChar">
    <w:name w:val="Title Char"/>
    <w:basedOn w:val="DefaultParagraphFont"/>
    <w:link w:val="Title"/>
    <w:uiPriority w:val="11"/>
    <w:rsid w:val="00104C42"/>
    <w:rPr>
      <w:rFonts w:asciiTheme="majorBidi" w:eastAsia="Calibri" w:hAnsiTheme="majorBidi" w:cs="Arial"/>
      <w:b/>
      <w:sz w:val="28"/>
    </w:rPr>
  </w:style>
  <w:style w:type="paragraph" w:customStyle="1" w:styleId="Footnotes">
    <w:name w:val="Footnotes"/>
    <w:link w:val="FootnotesChar"/>
    <w:qFormat/>
    <w:rsid w:val="00104C42"/>
    <w:pPr>
      <w:ind w:left="1134"/>
    </w:pPr>
    <w:rPr>
      <w:rFonts w:asciiTheme="majorBidi" w:eastAsia="Calibri" w:hAnsiTheme="majorBidi" w:cs="Arial"/>
      <w:sz w:val="18"/>
      <w:szCs w:val="20"/>
    </w:rPr>
  </w:style>
  <w:style w:type="character" w:customStyle="1" w:styleId="FootnotesChar">
    <w:name w:val="Footnotes Char"/>
    <w:basedOn w:val="DefaultParagraphFont"/>
    <w:link w:val="Footnotes"/>
    <w:rsid w:val="00104C42"/>
    <w:rPr>
      <w:rFonts w:asciiTheme="majorBidi" w:eastAsia="Calibri" w:hAnsiTheme="majorBidi" w:cs="Arial"/>
      <w:sz w:val="18"/>
      <w:szCs w:val="20"/>
    </w:rPr>
  </w:style>
  <w:style w:type="paragraph" w:customStyle="1" w:styleId="NumberedParas">
    <w:name w:val="Numbered Paras"/>
    <w:basedOn w:val="Normal"/>
    <w:link w:val="NumberedParasChar"/>
    <w:qFormat/>
    <w:rsid w:val="0050521B"/>
    <w:pPr>
      <w:numPr>
        <w:numId w:val="18"/>
      </w:numPr>
      <w:tabs>
        <w:tab w:val="left" w:pos="1701"/>
      </w:tabs>
      <w:suppressAutoHyphens/>
      <w:adjustRightInd w:val="0"/>
      <w:snapToGrid w:val="0"/>
      <w:spacing w:line="240" w:lineRule="atLeast"/>
      <w:ind w:right="828"/>
      <w:jc w:val="lowKashida"/>
    </w:pPr>
    <w:rPr>
      <w:rFonts w:asciiTheme="majorBidi" w:eastAsia="Calibri" w:hAnsiTheme="majorBidi"/>
      <w:color w:val="000000" w:themeColor="text1"/>
    </w:rPr>
  </w:style>
  <w:style w:type="character" w:customStyle="1" w:styleId="NumberedParasChar">
    <w:name w:val="Numbered Paras Char"/>
    <w:basedOn w:val="DefaultParagraphFont"/>
    <w:link w:val="NumberedParas"/>
    <w:rsid w:val="00104C42"/>
    <w:rPr>
      <w:rFonts w:asciiTheme="majorBidi" w:eastAsia="Calibri" w:hAnsiTheme="majorBidi" w:cs="Arial"/>
      <w:color w:val="000000" w:themeColor="text1"/>
    </w:rPr>
  </w:style>
  <w:style w:type="character" w:styleId="SubtleEmphasis">
    <w:name w:val="Subtle Emphasis"/>
    <w:basedOn w:val="DefaultParagraphFont"/>
    <w:uiPriority w:val="19"/>
    <w:rsid w:val="00104C42"/>
    <w:rPr>
      <w:i/>
      <w:iCs/>
      <w:color w:val="404040" w:themeColor="text1" w:themeTint="BF"/>
    </w:rPr>
  </w:style>
  <w:style w:type="character" w:styleId="Emphasis">
    <w:name w:val="Emphasis"/>
    <w:basedOn w:val="DefaultParagraphFont"/>
    <w:uiPriority w:val="20"/>
    <w:rsid w:val="00104C42"/>
    <w:rPr>
      <w:i/>
      <w:iCs/>
    </w:rPr>
  </w:style>
  <w:style w:type="character" w:styleId="IntenseEmphasis">
    <w:name w:val="Intense Emphasis"/>
    <w:basedOn w:val="DefaultParagraphFont"/>
    <w:uiPriority w:val="21"/>
    <w:rsid w:val="00104C42"/>
    <w:rPr>
      <w:i/>
      <w:iCs/>
      <w:color w:val="5B9BD5" w:themeColor="accent1"/>
    </w:rPr>
  </w:style>
  <w:style w:type="character" w:styleId="Strong">
    <w:name w:val="Strong"/>
    <w:basedOn w:val="DefaultParagraphFont"/>
    <w:uiPriority w:val="22"/>
    <w:rsid w:val="00104C42"/>
    <w:rPr>
      <w:b/>
      <w:bCs/>
    </w:rPr>
  </w:style>
  <w:style w:type="paragraph" w:styleId="Quote">
    <w:name w:val="Quote"/>
    <w:link w:val="QuoteChar"/>
    <w:uiPriority w:val="8"/>
    <w:qFormat/>
    <w:rsid w:val="00104C42"/>
    <w:pPr>
      <w:spacing w:before="200" w:after="160"/>
      <w:ind w:left="1395" w:right="828"/>
      <w:jc w:val="both"/>
    </w:pPr>
    <w:rPr>
      <w:rFonts w:ascii="Times New Roman" w:hAnsi="Times New Roman" w:cs="Arial"/>
      <w:iCs/>
    </w:rPr>
  </w:style>
  <w:style w:type="character" w:customStyle="1" w:styleId="QuoteChar">
    <w:name w:val="Quote Char"/>
    <w:basedOn w:val="DefaultParagraphFont"/>
    <w:link w:val="Quote"/>
    <w:uiPriority w:val="8"/>
    <w:rsid w:val="00104C42"/>
    <w:rPr>
      <w:rFonts w:ascii="Times New Roman" w:hAnsi="Times New Roman" w:cs="Arial"/>
      <w:iCs/>
    </w:rPr>
  </w:style>
  <w:style w:type="paragraph" w:styleId="IntenseQuote">
    <w:name w:val="Intense Quote"/>
    <w:basedOn w:val="Normal"/>
    <w:next w:val="Normal"/>
    <w:link w:val="IntenseQuoteChar"/>
    <w:uiPriority w:val="30"/>
    <w:rsid w:val="00104C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4C42"/>
    <w:rPr>
      <w:rFonts w:ascii="Times New Roman" w:hAnsi="Times New Roman" w:cs="Arial"/>
      <w:i/>
      <w:iCs/>
      <w:color w:val="5B9BD5" w:themeColor="accent1"/>
    </w:rPr>
  </w:style>
  <w:style w:type="paragraph" w:styleId="Subtitle">
    <w:name w:val="Subtitle"/>
    <w:basedOn w:val="Normal"/>
    <w:next w:val="Normal"/>
    <w:link w:val="SubtitleChar"/>
    <w:uiPriority w:val="12"/>
    <w:rsid w:val="00104C42"/>
    <w:pPr>
      <w:numPr>
        <w:ilvl w:val="1"/>
      </w:numPr>
      <w:spacing w:after="160"/>
      <w:ind w:left="1134"/>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2"/>
    <w:rsid w:val="00104C42"/>
    <w:rPr>
      <w:rFonts w:eastAsiaTheme="minorEastAsia"/>
      <w:color w:val="5A5A5A" w:themeColor="text1" w:themeTint="A5"/>
      <w:spacing w:val="15"/>
    </w:rPr>
  </w:style>
  <w:style w:type="character" w:styleId="SubtleReference">
    <w:name w:val="Subtle Reference"/>
    <w:basedOn w:val="DefaultParagraphFont"/>
    <w:uiPriority w:val="31"/>
    <w:rsid w:val="00104C42"/>
    <w:rPr>
      <w:smallCaps/>
      <w:color w:val="5A5A5A" w:themeColor="text1" w:themeTint="A5"/>
    </w:rPr>
  </w:style>
  <w:style w:type="character" w:styleId="IntenseReference">
    <w:name w:val="Intense Reference"/>
    <w:basedOn w:val="DefaultParagraphFont"/>
    <w:uiPriority w:val="32"/>
    <w:rsid w:val="00104C42"/>
    <w:rPr>
      <w:b/>
      <w:bCs/>
      <w:smallCaps/>
      <w:color w:val="5B9BD5" w:themeColor="accent1"/>
      <w:spacing w:val="5"/>
    </w:rPr>
  </w:style>
  <w:style w:type="character" w:styleId="BookTitle">
    <w:name w:val="Book Title"/>
    <w:basedOn w:val="DefaultParagraphFont"/>
    <w:uiPriority w:val="33"/>
    <w:rsid w:val="00104C42"/>
    <w:rPr>
      <w:b/>
      <w:bCs/>
      <w:i/>
      <w:iCs/>
      <w:spacing w:val="5"/>
    </w:rPr>
  </w:style>
  <w:style w:type="paragraph" w:styleId="NoSpacing">
    <w:name w:val="No Spacing"/>
    <w:uiPriority w:val="1"/>
    <w:rsid w:val="00104C42"/>
    <w:rPr>
      <w:rFonts w:ascii="Calibri" w:hAnsi="Calibri" w:cs="Arial"/>
      <w:sz w:val="22"/>
    </w:rPr>
  </w:style>
  <w:style w:type="character" w:styleId="Hyperlink">
    <w:name w:val="Hyperlink"/>
    <w:basedOn w:val="DefaultParagraphFont"/>
    <w:uiPriority w:val="99"/>
    <w:unhideWhenUsed/>
    <w:rsid w:val="00104C42"/>
    <w:rPr>
      <w:color w:val="0563C1" w:themeColor="hyperlink"/>
      <w:u w:val="single"/>
    </w:rPr>
  </w:style>
  <w:style w:type="paragraph" w:customStyle="1" w:styleId="Default">
    <w:name w:val="Default"/>
    <w:rsid w:val="00104C42"/>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04C42"/>
    <w:rPr>
      <w:color w:val="605E5C"/>
      <w:shd w:val="clear" w:color="auto" w:fill="E1DFDD"/>
    </w:rPr>
  </w:style>
  <w:style w:type="character" w:styleId="FollowedHyperlink">
    <w:name w:val="FollowedHyperlink"/>
    <w:basedOn w:val="DefaultParagraphFont"/>
    <w:uiPriority w:val="99"/>
    <w:semiHidden/>
    <w:unhideWhenUsed/>
    <w:rsid w:val="00E164BE"/>
    <w:rPr>
      <w:color w:val="954F72" w:themeColor="followedHyperlink"/>
      <w:u w:val="single"/>
    </w:rPr>
  </w:style>
  <w:style w:type="paragraph" w:customStyle="1" w:styleId="H1G">
    <w:name w:val="_ H_1_G"/>
    <w:basedOn w:val="Normal"/>
    <w:next w:val="Normal"/>
    <w:rsid w:val="001816E7"/>
    <w:pPr>
      <w:keepNext/>
      <w:keepLines/>
      <w:tabs>
        <w:tab w:val="right" w:pos="851"/>
      </w:tabs>
      <w:suppressAutoHyphens/>
      <w:spacing w:before="360" w:after="240" w:line="270" w:lineRule="exact"/>
      <w:ind w:left="1134" w:right="1134" w:hanging="1134"/>
    </w:pPr>
    <w:rPr>
      <w:rFonts w:eastAsia="Times New Roman" w:cs="Times New Roman"/>
      <w:b/>
      <w:sz w:val="24"/>
      <w:szCs w:val="20"/>
    </w:rPr>
  </w:style>
  <w:style w:type="table" w:styleId="TableGrid">
    <w:name w:val="Table Grid"/>
    <w:basedOn w:val="TableNormal"/>
    <w:rsid w:val="001816E7"/>
    <w:pPr>
      <w:suppressAutoHyphens/>
      <w:spacing w:line="240" w:lineRule="atLeast"/>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990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01\OneDrive%20-%20United%20Nations\Documents\ACC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F7492-68FE-46ED-8743-E42A1D9AB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51222-5CA1-4169-A3F5-513BCDF345B1}">
  <ds:schemaRefs>
    <ds:schemaRef ds:uri="http://schemas.microsoft.com/sharepoint/v3/contenttype/forms"/>
  </ds:schemaRefs>
</ds:datastoreItem>
</file>

<file path=customXml/itemProps3.xml><?xml version="1.0" encoding="utf-8"?>
<ds:datastoreItem xmlns:ds="http://schemas.openxmlformats.org/officeDocument/2006/customXml" ds:itemID="{B7A32A1E-8CB2-4D7B-9146-F836CDC82915}">
  <ds:schemaRefs>
    <ds:schemaRef ds:uri="http://schemas.microsoft.com/office/2006/metadata/properties"/>
    <ds:schemaRef ds:uri="http://schemas.microsoft.com/office/infopath/2007/PartnerControls"/>
    <ds:schemaRef ds:uri="218fc245-16fb-4e80-b15a-44d5324d7fea"/>
  </ds:schemaRefs>
</ds:datastoreItem>
</file>

<file path=customXml/itemProps4.xml><?xml version="1.0" encoding="utf-8"?>
<ds:datastoreItem xmlns:ds="http://schemas.openxmlformats.org/officeDocument/2006/customXml" ds:itemID="{F5AB7F0B-F29B-4AD1-B59A-79E0B5DD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ACCC2.dotx</Template>
  <TotalTime>146</TotalTime>
  <Pages>6</Pages>
  <Words>2387</Words>
  <Characters>13611</Characters>
  <Application>Microsoft Office Word</Application>
  <DocSecurity>0</DocSecurity>
  <Lines>113</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UNECE</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Bechtel</dc:creator>
  <dc:description/>
  <cp:lastModifiedBy>Fiona Marshall</cp:lastModifiedBy>
  <cp:revision>9</cp:revision>
  <cp:lastPrinted>2020-01-06T12:55:00Z</cp:lastPrinted>
  <dcterms:created xsi:type="dcterms:W3CDTF">2021-07-02T14:05:00Z</dcterms:created>
  <dcterms:modified xsi:type="dcterms:W3CDTF">2021-07-04T22:21:00Z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UNECE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0x010100B5BAD6B90F990844849380189D456564</vt:lpwstr>
  </property>
  <property fmtid="{D5CDD505-2E9C-101B-9397-08002B2CF9AE}" pid="10" name="Order">
    <vt:r8>8694400</vt:r8>
  </property>
</Properties>
</file>