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C689" w14:textId="39BE45D8" w:rsidR="004D35BB" w:rsidRPr="00AE396C" w:rsidRDefault="00002E7D" w:rsidP="003130AB">
      <w:pPr>
        <w:pStyle w:val="HChG"/>
        <w:tabs>
          <w:tab w:val="clear" w:pos="851"/>
          <w:tab w:val="right" w:pos="567"/>
        </w:tabs>
        <w:ind w:right="0" w:firstLine="0"/>
        <w:jc w:val="center"/>
        <w:rPr>
          <w:bCs/>
          <w:sz w:val="24"/>
        </w:rPr>
      </w:pPr>
      <w:bookmarkStart w:id="0" w:name="_Hlk5292725"/>
      <w:r w:rsidRPr="00AE396C">
        <w:rPr>
          <w:sz w:val="24"/>
        </w:rPr>
        <w:t>Draft f</w:t>
      </w:r>
      <w:r w:rsidR="004D35BB" w:rsidRPr="00AE396C">
        <w:rPr>
          <w:bCs/>
          <w:spacing w:val="-2"/>
          <w:sz w:val="24"/>
        </w:rPr>
        <w:t>indings and recommendations with regard to communication</w:t>
      </w:r>
      <w:r w:rsidR="004D35BB" w:rsidRPr="00AE396C">
        <w:rPr>
          <w:bCs/>
          <w:sz w:val="24"/>
        </w:rPr>
        <w:t xml:space="preserve"> ACCC/C/201</w:t>
      </w:r>
      <w:r w:rsidR="00140430" w:rsidRPr="00AE396C">
        <w:rPr>
          <w:bCs/>
          <w:sz w:val="24"/>
        </w:rPr>
        <w:t>7</w:t>
      </w:r>
      <w:r w:rsidR="004D35BB" w:rsidRPr="00AE396C">
        <w:rPr>
          <w:bCs/>
          <w:sz w:val="24"/>
        </w:rPr>
        <w:t>/14</w:t>
      </w:r>
      <w:r w:rsidR="00140430" w:rsidRPr="00AE396C">
        <w:rPr>
          <w:bCs/>
          <w:sz w:val="24"/>
        </w:rPr>
        <w:t>7</w:t>
      </w:r>
      <w:r w:rsidR="004D35BB" w:rsidRPr="00AE396C">
        <w:rPr>
          <w:bCs/>
          <w:sz w:val="24"/>
        </w:rPr>
        <w:t xml:space="preserve"> concerning compliance by </w:t>
      </w:r>
      <w:r w:rsidR="00140430" w:rsidRPr="00AE396C">
        <w:rPr>
          <w:bCs/>
          <w:sz w:val="24"/>
        </w:rPr>
        <w:t>the Republic of Moldova</w:t>
      </w:r>
    </w:p>
    <w:p w14:paraId="182BDC63" w14:textId="5871AE57" w:rsidR="009E5900" w:rsidRPr="00AE396C" w:rsidRDefault="009E5900" w:rsidP="003130AB">
      <w:pPr>
        <w:pStyle w:val="H1G"/>
        <w:tabs>
          <w:tab w:val="clear" w:pos="851"/>
          <w:tab w:val="right" w:pos="567"/>
        </w:tabs>
        <w:ind w:right="0"/>
        <w:jc w:val="center"/>
      </w:pPr>
      <w:r w:rsidRPr="00AE396C">
        <w:t xml:space="preserve">Adopted by the Compliance Committee on </w:t>
      </w:r>
      <w:r w:rsidR="0013259A" w:rsidRPr="00AE396C">
        <w:t>…</w:t>
      </w:r>
    </w:p>
    <w:p w14:paraId="65B281BA" w14:textId="77777777" w:rsidR="0023575C" w:rsidRPr="00AE396C" w:rsidRDefault="00D971FB" w:rsidP="003130AB">
      <w:pPr>
        <w:pStyle w:val="HChG"/>
        <w:numPr>
          <w:ilvl w:val="0"/>
          <w:numId w:val="6"/>
        </w:numPr>
        <w:tabs>
          <w:tab w:val="clear" w:pos="851"/>
          <w:tab w:val="right" w:pos="567"/>
        </w:tabs>
        <w:ind w:left="1134" w:right="0" w:firstLine="0"/>
        <w:rPr>
          <w:sz w:val="24"/>
        </w:rPr>
      </w:pPr>
      <w:r w:rsidRPr="00AE396C">
        <w:rPr>
          <w:sz w:val="24"/>
        </w:rPr>
        <w:t>Introduction</w:t>
      </w:r>
    </w:p>
    <w:p w14:paraId="02AF497D" w14:textId="4B9E49F7" w:rsidR="00760761" w:rsidRPr="00AE396C" w:rsidRDefault="00FD1C2F" w:rsidP="00140430">
      <w:pPr>
        <w:pStyle w:val="SingleTxtG"/>
        <w:numPr>
          <w:ilvl w:val="0"/>
          <w:numId w:val="3"/>
        </w:numPr>
        <w:tabs>
          <w:tab w:val="right" w:pos="567"/>
        </w:tabs>
        <w:ind w:left="1134" w:right="0" w:firstLine="0"/>
        <w:rPr>
          <w:sz w:val="20"/>
          <w:szCs w:val="20"/>
          <w:lang w:val="en-GB"/>
        </w:rPr>
      </w:pPr>
      <w:r w:rsidRPr="00AE396C">
        <w:rPr>
          <w:sz w:val="20"/>
          <w:szCs w:val="20"/>
          <w:lang w:val="en-GB"/>
        </w:rPr>
        <w:t xml:space="preserve">On </w:t>
      </w:r>
      <w:r w:rsidR="008C5E10" w:rsidRPr="00AE396C">
        <w:rPr>
          <w:sz w:val="20"/>
          <w:szCs w:val="20"/>
          <w:lang w:val="en-GB"/>
        </w:rPr>
        <w:t xml:space="preserve">9 July 2017, </w:t>
      </w:r>
      <w:r w:rsidR="00D16A46">
        <w:rPr>
          <w:sz w:val="20"/>
          <w:szCs w:val="20"/>
          <w:lang w:val="en-GB"/>
        </w:rPr>
        <w:t xml:space="preserve">the </w:t>
      </w:r>
      <w:r w:rsidR="008C5E10" w:rsidRPr="00AE396C">
        <w:rPr>
          <w:sz w:val="20"/>
          <w:szCs w:val="20"/>
          <w:lang w:val="en-GB"/>
        </w:rPr>
        <w:t>environmental non-governmental organization “Eco-TIRAS” International Association of River Keepers (</w:t>
      </w:r>
      <w:r w:rsidR="00D16A46">
        <w:rPr>
          <w:sz w:val="20"/>
          <w:szCs w:val="20"/>
          <w:lang w:val="en-GB"/>
        </w:rPr>
        <w:t xml:space="preserve">the </w:t>
      </w:r>
      <w:r w:rsidR="008C5E10" w:rsidRPr="00AE396C">
        <w:rPr>
          <w:sz w:val="20"/>
          <w:szCs w:val="20"/>
          <w:lang w:val="en-GB"/>
        </w:rPr>
        <w:t xml:space="preserve">communicant) submitted a communication to the Compliance Committee under the Convention on Access to Information, Public Participation in Decision-making and Access to Justice in Environmental Matters (Aarhus Convention) alleging </w:t>
      </w:r>
      <w:r w:rsidR="00542956" w:rsidRPr="00AE396C">
        <w:rPr>
          <w:sz w:val="20"/>
          <w:szCs w:val="20"/>
          <w:lang w:val="en-GB"/>
        </w:rPr>
        <w:t>the failure of the Republic of Moldova to comply with its obligations under</w:t>
      </w:r>
      <w:r w:rsidR="001F0E31">
        <w:rPr>
          <w:sz w:val="20"/>
          <w:szCs w:val="20"/>
          <w:lang w:val="en-GB"/>
        </w:rPr>
        <w:t xml:space="preserve"> the Convention</w:t>
      </w:r>
      <w:r w:rsidR="00D1439F">
        <w:rPr>
          <w:sz w:val="20"/>
          <w:szCs w:val="20"/>
          <w:lang w:val="en-GB"/>
        </w:rPr>
        <w:t xml:space="preserve"> with respect to access to information regarding </w:t>
      </w:r>
      <w:r w:rsidR="00D1439F" w:rsidRPr="00AE396C">
        <w:rPr>
          <w:sz w:val="20"/>
          <w:szCs w:val="20"/>
          <w:lang w:val="en-GB"/>
        </w:rPr>
        <w:t>hydro</w:t>
      </w:r>
      <w:r w:rsidR="00D1439F">
        <w:rPr>
          <w:sz w:val="20"/>
          <w:szCs w:val="20"/>
          <w:lang w:val="en-GB"/>
        </w:rPr>
        <w:t>meteoro</w:t>
      </w:r>
      <w:r w:rsidR="00D1439F" w:rsidRPr="00AE396C">
        <w:rPr>
          <w:sz w:val="20"/>
          <w:szCs w:val="20"/>
          <w:lang w:val="en-GB"/>
        </w:rPr>
        <w:t>logical information</w:t>
      </w:r>
      <w:r w:rsidR="001F0E31">
        <w:rPr>
          <w:sz w:val="20"/>
          <w:szCs w:val="20"/>
          <w:lang w:val="en-GB"/>
        </w:rPr>
        <w:t>.</w:t>
      </w:r>
    </w:p>
    <w:p w14:paraId="7BFFD9B6" w14:textId="5660AC20" w:rsidR="00542956" w:rsidRPr="00AE396C" w:rsidRDefault="00542956" w:rsidP="00140430">
      <w:pPr>
        <w:pStyle w:val="SingleTxtG"/>
        <w:numPr>
          <w:ilvl w:val="0"/>
          <w:numId w:val="3"/>
        </w:numPr>
        <w:tabs>
          <w:tab w:val="right" w:pos="567"/>
        </w:tabs>
        <w:ind w:left="1134" w:right="0" w:firstLine="0"/>
        <w:rPr>
          <w:sz w:val="20"/>
          <w:szCs w:val="20"/>
          <w:lang w:val="en-GB"/>
        </w:rPr>
      </w:pPr>
      <w:r w:rsidRPr="00AE396C">
        <w:rPr>
          <w:sz w:val="20"/>
          <w:szCs w:val="20"/>
          <w:lang w:val="en-GB"/>
        </w:rPr>
        <w:t xml:space="preserve">Specifically, the communicant alleges that the Party concerned has failed to comply with articles 3(1) and (2), 4(8) and 5(2)(b)(ii) </w:t>
      </w:r>
      <w:r w:rsidR="00576BD9">
        <w:rPr>
          <w:sz w:val="20"/>
          <w:szCs w:val="20"/>
          <w:lang w:val="en-GB"/>
        </w:rPr>
        <w:t xml:space="preserve">of the Convention </w:t>
      </w:r>
      <w:r w:rsidRPr="00AE396C">
        <w:rPr>
          <w:sz w:val="20"/>
          <w:szCs w:val="20"/>
          <w:lang w:val="en-GB"/>
        </w:rPr>
        <w:t>with respect to the regulatory framework for the costs charged for providing certain hydro</w:t>
      </w:r>
      <w:r w:rsidR="00665F22">
        <w:rPr>
          <w:sz w:val="20"/>
          <w:szCs w:val="20"/>
          <w:lang w:val="en-GB"/>
        </w:rPr>
        <w:t>meteor</w:t>
      </w:r>
      <w:r w:rsidR="00C64A1D">
        <w:rPr>
          <w:sz w:val="20"/>
          <w:szCs w:val="20"/>
          <w:lang w:val="en-GB"/>
        </w:rPr>
        <w:t>o</w:t>
      </w:r>
      <w:r w:rsidRPr="00AE396C">
        <w:rPr>
          <w:sz w:val="20"/>
          <w:szCs w:val="20"/>
          <w:lang w:val="en-GB"/>
        </w:rPr>
        <w:t xml:space="preserve">logical information and because of a failure to provide access to information held by the State Hydrometeorological Service in a manner that would </w:t>
      </w:r>
      <w:r w:rsidR="00F03AD7">
        <w:rPr>
          <w:sz w:val="20"/>
          <w:szCs w:val="20"/>
          <w:lang w:val="en-GB"/>
        </w:rPr>
        <w:t>ac</w:t>
      </w:r>
      <w:r w:rsidRPr="00AE396C">
        <w:rPr>
          <w:sz w:val="20"/>
          <w:szCs w:val="20"/>
          <w:lang w:val="en-GB"/>
        </w:rPr>
        <w:t>cord with the requirements of the Convention.</w:t>
      </w:r>
    </w:p>
    <w:p w14:paraId="02369F89" w14:textId="71F0D059" w:rsidR="00542956" w:rsidRPr="00AE396C" w:rsidRDefault="00C60C98" w:rsidP="00140430">
      <w:pPr>
        <w:pStyle w:val="SingleTxtG"/>
        <w:numPr>
          <w:ilvl w:val="0"/>
          <w:numId w:val="3"/>
        </w:numPr>
        <w:tabs>
          <w:tab w:val="right" w:pos="567"/>
        </w:tabs>
        <w:ind w:left="1134" w:right="0" w:firstLine="0"/>
        <w:rPr>
          <w:sz w:val="20"/>
          <w:szCs w:val="20"/>
          <w:lang w:val="en-GB"/>
        </w:rPr>
      </w:pPr>
      <w:r w:rsidRPr="00AE396C">
        <w:rPr>
          <w:sz w:val="20"/>
          <w:szCs w:val="20"/>
          <w:lang w:val="en-GB"/>
        </w:rPr>
        <w:t>At its fifty-eighth meeting (</w:t>
      </w:r>
      <w:proofErr w:type="spellStart"/>
      <w:r w:rsidRPr="00AE396C">
        <w:rPr>
          <w:sz w:val="20"/>
          <w:szCs w:val="20"/>
          <w:lang w:val="en-GB"/>
        </w:rPr>
        <w:t>Budva</w:t>
      </w:r>
      <w:proofErr w:type="spellEnd"/>
      <w:r w:rsidRPr="00AE396C">
        <w:rPr>
          <w:sz w:val="20"/>
          <w:szCs w:val="20"/>
          <w:lang w:val="en-GB"/>
        </w:rPr>
        <w:t>,</w:t>
      </w:r>
      <w:r w:rsidR="00211BC0" w:rsidRPr="00AE396C">
        <w:rPr>
          <w:sz w:val="20"/>
          <w:szCs w:val="20"/>
          <w:lang w:val="en-GB"/>
        </w:rPr>
        <w:t xml:space="preserve"> </w:t>
      </w:r>
      <w:r w:rsidRPr="00AE396C">
        <w:rPr>
          <w:sz w:val="20"/>
          <w:szCs w:val="20"/>
          <w:lang w:val="en-GB"/>
        </w:rPr>
        <w:t>10-13 September 2017</w:t>
      </w:r>
      <w:r w:rsidR="000F22DF" w:rsidRPr="00AE396C">
        <w:rPr>
          <w:sz w:val="20"/>
          <w:szCs w:val="20"/>
          <w:lang w:val="en-GB"/>
        </w:rPr>
        <w:t>), the Committee determined that the communication was admissible</w:t>
      </w:r>
      <w:r w:rsidR="00D16A46" w:rsidRPr="00D16A46">
        <w:rPr>
          <w:sz w:val="20"/>
          <w:szCs w:val="20"/>
          <w:lang w:val="en-GB"/>
        </w:rPr>
        <w:t xml:space="preserve"> </w:t>
      </w:r>
      <w:r w:rsidR="00D16A46" w:rsidRPr="00AE396C">
        <w:rPr>
          <w:sz w:val="20"/>
          <w:szCs w:val="20"/>
          <w:lang w:val="en-GB"/>
        </w:rPr>
        <w:t>on a preliminary basis</w:t>
      </w:r>
      <w:r w:rsidR="000F22DF" w:rsidRPr="00AE396C">
        <w:rPr>
          <w:sz w:val="20"/>
          <w:szCs w:val="20"/>
          <w:lang w:val="en-GB"/>
        </w:rPr>
        <w:t>.</w:t>
      </w:r>
    </w:p>
    <w:p w14:paraId="210CA421" w14:textId="55B8358B" w:rsidR="000F22DF" w:rsidRPr="00AE396C" w:rsidRDefault="000F22DF" w:rsidP="00140430">
      <w:pPr>
        <w:pStyle w:val="SingleTxtG"/>
        <w:numPr>
          <w:ilvl w:val="0"/>
          <w:numId w:val="3"/>
        </w:numPr>
        <w:tabs>
          <w:tab w:val="right" w:pos="567"/>
        </w:tabs>
        <w:ind w:left="1134" w:right="0" w:firstLine="0"/>
        <w:rPr>
          <w:sz w:val="20"/>
          <w:szCs w:val="20"/>
          <w:lang w:val="en-GB"/>
        </w:rPr>
      </w:pPr>
      <w:r w:rsidRPr="00AE396C">
        <w:rPr>
          <w:sz w:val="20"/>
          <w:szCs w:val="20"/>
          <w:lang w:val="en-GB"/>
        </w:rPr>
        <w:t>Pursuant to paragraph 22 of the annex to decision I/7 of the Meeting of the Parties to the Convention, the communication was forwarded to the Party concerned on 19 September 2017</w:t>
      </w:r>
      <w:r w:rsidR="00C64A1D">
        <w:rPr>
          <w:sz w:val="20"/>
          <w:szCs w:val="20"/>
          <w:lang w:val="en-GB"/>
        </w:rPr>
        <w:t xml:space="preserve"> for its response by 19 February 2017</w:t>
      </w:r>
      <w:r w:rsidRPr="00AE396C">
        <w:rPr>
          <w:sz w:val="20"/>
          <w:szCs w:val="20"/>
          <w:lang w:val="en-GB"/>
        </w:rPr>
        <w:t>.</w:t>
      </w:r>
    </w:p>
    <w:p w14:paraId="73BD7EF0" w14:textId="24BB6245" w:rsidR="000F22DF" w:rsidRPr="00AE396C" w:rsidRDefault="000F22DF" w:rsidP="00140430">
      <w:pPr>
        <w:pStyle w:val="SingleTxtG"/>
        <w:numPr>
          <w:ilvl w:val="0"/>
          <w:numId w:val="3"/>
        </w:numPr>
        <w:tabs>
          <w:tab w:val="right" w:pos="567"/>
        </w:tabs>
        <w:ind w:left="1134" w:right="0" w:firstLine="0"/>
        <w:rPr>
          <w:sz w:val="20"/>
          <w:szCs w:val="20"/>
          <w:lang w:val="en-GB"/>
        </w:rPr>
      </w:pPr>
      <w:r w:rsidRPr="00AE396C">
        <w:rPr>
          <w:sz w:val="20"/>
          <w:szCs w:val="20"/>
          <w:lang w:val="en-GB"/>
        </w:rPr>
        <w:t>On 29 June 2018, the Director of the UNECE Environment Division sent the Party concerned a letter to express the Committee’s serious concern at the ongoing failure of the Party concerned to provide its response to the communication.</w:t>
      </w:r>
    </w:p>
    <w:p w14:paraId="43B5C07E" w14:textId="4556A911" w:rsidR="000F22DF" w:rsidRPr="00AE396C" w:rsidRDefault="000F22DF" w:rsidP="00140430">
      <w:pPr>
        <w:pStyle w:val="SingleTxtG"/>
        <w:numPr>
          <w:ilvl w:val="0"/>
          <w:numId w:val="3"/>
        </w:numPr>
        <w:tabs>
          <w:tab w:val="right" w:pos="567"/>
        </w:tabs>
        <w:ind w:left="1134" w:right="0" w:firstLine="0"/>
        <w:rPr>
          <w:sz w:val="20"/>
          <w:szCs w:val="20"/>
          <w:lang w:val="en-GB"/>
        </w:rPr>
      </w:pPr>
      <w:r w:rsidRPr="00AE396C">
        <w:rPr>
          <w:sz w:val="20"/>
          <w:szCs w:val="20"/>
          <w:lang w:val="en-GB"/>
        </w:rPr>
        <w:t>On 13 March 2019, the UNECE Executive Secretary sent a letter to the Minister of Foreign Affairs and European Integration of the Party concerned to express the Committee’s serious concern at the ongoing failure of the Party concerned to provide its response to the communication.</w:t>
      </w:r>
    </w:p>
    <w:p w14:paraId="3C61E129" w14:textId="7F321DEE" w:rsidR="000F22DF" w:rsidRPr="00AE396C" w:rsidRDefault="000F22DF" w:rsidP="00140430">
      <w:pPr>
        <w:pStyle w:val="SingleTxtG"/>
        <w:numPr>
          <w:ilvl w:val="0"/>
          <w:numId w:val="3"/>
        </w:numPr>
        <w:tabs>
          <w:tab w:val="right" w:pos="567"/>
        </w:tabs>
        <w:ind w:left="1134" w:right="0" w:firstLine="0"/>
        <w:rPr>
          <w:sz w:val="20"/>
          <w:szCs w:val="20"/>
          <w:lang w:val="en-GB"/>
        </w:rPr>
      </w:pPr>
      <w:r w:rsidRPr="00AE396C">
        <w:rPr>
          <w:sz w:val="20"/>
          <w:szCs w:val="20"/>
          <w:lang w:val="en-GB"/>
        </w:rPr>
        <w:t>On 12 July 2019, the Party concerned provided its response to the communication.</w:t>
      </w:r>
    </w:p>
    <w:p w14:paraId="4A928B0F" w14:textId="590897AA" w:rsidR="00C22DB2" w:rsidRDefault="00C22DB2" w:rsidP="003130AB">
      <w:pPr>
        <w:pStyle w:val="SingleTxtG"/>
        <w:numPr>
          <w:ilvl w:val="0"/>
          <w:numId w:val="3"/>
        </w:numPr>
        <w:tabs>
          <w:tab w:val="right" w:pos="567"/>
        </w:tabs>
        <w:ind w:left="1134" w:right="0" w:firstLine="0"/>
        <w:rPr>
          <w:sz w:val="20"/>
          <w:szCs w:val="20"/>
          <w:lang w:val="en-GB"/>
        </w:rPr>
      </w:pPr>
      <w:r w:rsidRPr="00AE396C">
        <w:rPr>
          <w:sz w:val="20"/>
          <w:szCs w:val="20"/>
          <w:lang w:val="en-GB"/>
        </w:rPr>
        <w:t xml:space="preserve">The Committee held </w:t>
      </w:r>
      <w:r w:rsidR="00972DFD" w:rsidRPr="00AE396C">
        <w:rPr>
          <w:sz w:val="20"/>
          <w:szCs w:val="20"/>
          <w:lang w:val="en-GB"/>
        </w:rPr>
        <w:t xml:space="preserve">a </w:t>
      </w:r>
      <w:r w:rsidRPr="00AE396C">
        <w:rPr>
          <w:sz w:val="20"/>
          <w:szCs w:val="20"/>
          <w:lang w:val="en-GB"/>
        </w:rPr>
        <w:t>hearing to discuss the substance of the communication at its sixty-</w:t>
      </w:r>
      <w:r w:rsidR="00972DFD" w:rsidRPr="00AE396C">
        <w:rPr>
          <w:sz w:val="20"/>
          <w:szCs w:val="20"/>
          <w:lang w:val="en-GB"/>
        </w:rPr>
        <w:t>f</w:t>
      </w:r>
      <w:r w:rsidR="00140430" w:rsidRPr="00AE396C">
        <w:rPr>
          <w:sz w:val="20"/>
          <w:szCs w:val="20"/>
          <w:lang w:val="en-GB"/>
        </w:rPr>
        <w:t>ifth</w:t>
      </w:r>
      <w:r w:rsidRPr="00AE396C">
        <w:rPr>
          <w:sz w:val="20"/>
          <w:szCs w:val="20"/>
          <w:lang w:val="en-GB"/>
        </w:rPr>
        <w:t xml:space="preserve"> meeting (Geneva,</w:t>
      </w:r>
      <w:r w:rsidR="000A5406" w:rsidRPr="00AE396C">
        <w:rPr>
          <w:sz w:val="20"/>
          <w:szCs w:val="20"/>
          <w:lang w:val="en-GB"/>
        </w:rPr>
        <w:t xml:space="preserve"> </w:t>
      </w:r>
      <w:r w:rsidR="00140430" w:rsidRPr="00AE396C">
        <w:rPr>
          <w:sz w:val="20"/>
          <w:szCs w:val="20"/>
          <w:lang w:val="en-GB"/>
        </w:rPr>
        <w:t>4</w:t>
      </w:r>
      <w:r w:rsidR="00972DFD" w:rsidRPr="00AE396C">
        <w:rPr>
          <w:sz w:val="20"/>
          <w:szCs w:val="20"/>
          <w:lang w:val="en-GB"/>
        </w:rPr>
        <w:t>-</w:t>
      </w:r>
      <w:r w:rsidR="00140430" w:rsidRPr="00AE396C">
        <w:rPr>
          <w:sz w:val="20"/>
          <w:szCs w:val="20"/>
          <w:lang w:val="en-GB"/>
        </w:rPr>
        <w:t>8</w:t>
      </w:r>
      <w:r w:rsidR="00972DFD" w:rsidRPr="00AE396C">
        <w:rPr>
          <w:sz w:val="20"/>
          <w:szCs w:val="20"/>
          <w:lang w:val="en-GB"/>
        </w:rPr>
        <w:t xml:space="preserve"> </w:t>
      </w:r>
      <w:r w:rsidR="00140430" w:rsidRPr="00AE396C">
        <w:rPr>
          <w:sz w:val="20"/>
          <w:szCs w:val="20"/>
          <w:lang w:val="en-GB"/>
        </w:rPr>
        <w:t>November</w:t>
      </w:r>
      <w:r w:rsidRPr="00AE396C">
        <w:rPr>
          <w:sz w:val="20"/>
          <w:szCs w:val="20"/>
          <w:lang w:val="en-GB"/>
        </w:rPr>
        <w:t xml:space="preserve"> 2019), with the participation of representatives of the communicant</w:t>
      </w:r>
      <w:r w:rsidR="00584A8D" w:rsidRPr="00AE396C">
        <w:rPr>
          <w:sz w:val="20"/>
          <w:szCs w:val="20"/>
          <w:lang w:val="en-GB"/>
        </w:rPr>
        <w:t>s</w:t>
      </w:r>
      <w:r w:rsidRPr="00AE396C">
        <w:rPr>
          <w:sz w:val="20"/>
          <w:szCs w:val="20"/>
          <w:lang w:val="en-GB"/>
        </w:rPr>
        <w:t xml:space="preserve"> and the Party concerned. </w:t>
      </w:r>
    </w:p>
    <w:p w14:paraId="4D9B346C" w14:textId="596B44EB" w:rsidR="00757F1F" w:rsidRDefault="00757F1F" w:rsidP="003130AB">
      <w:pPr>
        <w:pStyle w:val="SingleTxtG"/>
        <w:numPr>
          <w:ilvl w:val="0"/>
          <w:numId w:val="3"/>
        </w:numPr>
        <w:tabs>
          <w:tab w:val="right" w:pos="567"/>
        </w:tabs>
        <w:ind w:left="1134" w:right="0" w:firstLine="0"/>
        <w:rPr>
          <w:sz w:val="20"/>
          <w:szCs w:val="20"/>
          <w:lang w:val="en-GB"/>
        </w:rPr>
      </w:pPr>
      <w:r>
        <w:rPr>
          <w:sz w:val="20"/>
          <w:szCs w:val="20"/>
          <w:lang w:val="en-GB"/>
        </w:rPr>
        <w:t xml:space="preserve">On 27 February 2020, the communicant sent </w:t>
      </w:r>
      <w:r w:rsidR="00F03AD7">
        <w:rPr>
          <w:sz w:val="20"/>
          <w:szCs w:val="20"/>
          <w:lang w:val="en-GB"/>
        </w:rPr>
        <w:t xml:space="preserve">an update </w:t>
      </w:r>
      <w:r>
        <w:rPr>
          <w:sz w:val="20"/>
          <w:szCs w:val="20"/>
          <w:lang w:val="en-GB"/>
        </w:rPr>
        <w:t xml:space="preserve">to the Committee. </w:t>
      </w:r>
    </w:p>
    <w:p w14:paraId="22E8BCD4" w14:textId="18692238" w:rsidR="007B3833" w:rsidRDefault="003271EA" w:rsidP="003130AB">
      <w:pPr>
        <w:pStyle w:val="SingleTxtG"/>
        <w:numPr>
          <w:ilvl w:val="0"/>
          <w:numId w:val="3"/>
        </w:numPr>
        <w:tabs>
          <w:tab w:val="right" w:pos="567"/>
        </w:tabs>
        <w:ind w:left="1134" w:right="0" w:firstLine="0"/>
        <w:rPr>
          <w:sz w:val="20"/>
          <w:szCs w:val="20"/>
          <w:lang w:val="en-GB"/>
        </w:rPr>
      </w:pPr>
      <w:r>
        <w:rPr>
          <w:sz w:val="20"/>
          <w:szCs w:val="20"/>
          <w:lang w:val="en-GB"/>
        </w:rPr>
        <w:t xml:space="preserve">On 3 </w:t>
      </w:r>
      <w:r w:rsidR="00930081">
        <w:rPr>
          <w:sz w:val="20"/>
          <w:szCs w:val="20"/>
          <w:lang w:val="en-GB"/>
        </w:rPr>
        <w:t xml:space="preserve">May </w:t>
      </w:r>
      <w:r w:rsidR="000A28A3">
        <w:rPr>
          <w:sz w:val="20"/>
          <w:szCs w:val="20"/>
          <w:lang w:val="en-GB"/>
        </w:rPr>
        <w:t xml:space="preserve">2020, the communicant </w:t>
      </w:r>
      <w:r w:rsidR="00F03AD7">
        <w:rPr>
          <w:sz w:val="20"/>
          <w:szCs w:val="20"/>
          <w:lang w:val="en-GB"/>
        </w:rPr>
        <w:t>provided additional documentation</w:t>
      </w:r>
      <w:r w:rsidR="000A28A3">
        <w:rPr>
          <w:sz w:val="20"/>
          <w:szCs w:val="20"/>
          <w:lang w:val="en-GB"/>
        </w:rPr>
        <w:t xml:space="preserve">. </w:t>
      </w:r>
    </w:p>
    <w:p w14:paraId="4E540AC5" w14:textId="47A2CE51" w:rsidR="000A28A3" w:rsidRDefault="000A28A3" w:rsidP="003130AB">
      <w:pPr>
        <w:pStyle w:val="SingleTxtG"/>
        <w:numPr>
          <w:ilvl w:val="0"/>
          <w:numId w:val="3"/>
        </w:numPr>
        <w:tabs>
          <w:tab w:val="right" w:pos="567"/>
        </w:tabs>
        <w:ind w:left="1134" w:right="0" w:firstLine="0"/>
        <w:rPr>
          <w:sz w:val="20"/>
          <w:szCs w:val="20"/>
          <w:lang w:val="en-GB"/>
        </w:rPr>
      </w:pPr>
      <w:r>
        <w:rPr>
          <w:sz w:val="20"/>
          <w:szCs w:val="20"/>
          <w:lang w:val="en-GB"/>
        </w:rPr>
        <w:t xml:space="preserve">On 4 June </w:t>
      </w:r>
      <w:r w:rsidR="009330C7">
        <w:rPr>
          <w:sz w:val="20"/>
          <w:szCs w:val="20"/>
          <w:lang w:val="en-GB"/>
        </w:rPr>
        <w:t xml:space="preserve">2020, the Committee sent questions to the parties. </w:t>
      </w:r>
    </w:p>
    <w:p w14:paraId="4BD1CE78" w14:textId="39AF38A3" w:rsidR="009330C7" w:rsidRDefault="009330C7" w:rsidP="003130AB">
      <w:pPr>
        <w:pStyle w:val="SingleTxtG"/>
        <w:numPr>
          <w:ilvl w:val="0"/>
          <w:numId w:val="3"/>
        </w:numPr>
        <w:tabs>
          <w:tab w:val="right" w:pos="567"/>
        </w:tabs>
        <w:ind w:left="1134" w:right="0" w:firstLine="0"/>
        <w:rPr>
          <w:sz w:val="20"/>
          <w:szCs w:val="20"/>
          <w:lang w:val="en-GB"/>
        </w:rPr>
      </w:pPr>
      <w:r>
        <w:rPr>
          <w:sz w:val="20"/>
          <w:szCs w:val="20"/>
          <w:lang w:val="en-GB"/>
        </w:rPr>
        <w:t xml:space="preserve">On 22 June 2020, </w:t>
      </w:r>
      <w:r w:rsidR="008123DD">
        <w:rPr>
          <w:sz w:val="20"/>
          <w:szCs w:val="20"/>
          <w:lang w:val="en-GB"/>
        </w:rPr>
        <w:t xml:space="preserve">the </w:t>
      </w:r>
      <w:r w:rsidR="00320D09">
        <w:rPr>
          <w:sz w:val="20"/>
          <w:szCs w:val="20"/>
          <w:lang w:val="en-GB"/>
        </w:rPr>
        <w:t xml:space="preserve">communicant replied to the Committee’s questions. On 6 July 2020, the Party concerned replied to the Committee’s questions. </w:t>
      </w:r>
    </w:p>
    <w:p w14:paraId="218C1889" w14:textId="0B18FB17" w:rsidR="00BD532B" w:rsidRDefault="00BD532B" w:rsidP="003130AB">
      <w:pPr>
        <w:pStyle w:val="SingleTxtG"/>
        <w:numPr>
          <w:ilvl w:val="0"/>
          <w:numId w:val="3"/>
        </w:numPr>
        <w:tabs>
          <w:tab w:val="right" w:pos="567"/>
        </w:tabs>
        <w:ind w:left="1134" w:right="0" w:firstLine="0"/>
        <w:rPr>
          <w:sz w:val="20"/>
          <w:szCs w:val="20"/>
          <w:lang w:val="en-GB"/>
        </w:rPr>
      </w:pPr>
      <w:r>
        <w:rPr>
          <w:sz w:val="20"/>
          <w:szCs w:val="20"/>
          <w:lang w:val="en-GB"/>
        </w:rPr>
        <w:t xml:space="preserve">On </w:t>
      </w:r>
      <w:r w:rsidR="00F71C68">
        <w:rPr>
          <w:sz w:val="20"/>
          <w:szCs w:val="20"/>
          <w:lang w:val="en-GB"/>
        </w:rPr>
        <w:t xml:space="preserve">19 November 2020, the Committee sent further questions to the Party concerned. </w:t>
      </w:r>
    </w:p>
    <w:p w14:paraId="586557FA" w14:textId="539AB9B9" w:rsidR="00F71C68" w:rsidRDefault="00F71C68" w:rsidP="003130AB">
      <w:pPr>
        <w:pStyle w:val="SingleTxtG"/>
        <w:numPr>
          <w:ilvl w:val="0"/>
          <w:numId w:val="3"/>
        </w:numPr>
        <w:tabs>
          <w:tab w:val="right" w:pos="567"/>
        </w:tabs>
        <w:ind w:left="1134" w:right="0" w:firstLine="0"/>
        <w:rPr>
          <w:sz w:val="20"/>
          <w:szCs w:val="20"/>
          <w:lang w:val="en-GB"/>
        </w:rPr>
      </w:pPr>
      <w:r>
        <w:rPr>
          <w:sz w:val="20"/>
          <w:szCs w:val="20"/>
          <w:lang w:val="en-GB"/>
        </w:rPr>
        <w:t xml:space="preserve">On 25 November 2020, the Party concerned </w:t>
      </w:r>
      <w:r w:rsidR="00F03AD7">
        <w:rPr>
          <w:sz w:val="20"/>
          <w:szCs w:val="20"/>
          <w:lang w:val="en-GB"/>
        </w:rPr>
        <w:t xml:space="preserve">provided </w:t>
      </w:r>
      <w:r>
        <w:rPr>
          <w:sz w:val="20"/>
          <w:szCs w:val="20"/>
          <w:lang w:val="en-GB"/>
        </w:rPr>
        <w:t xml:space="preserve">additional information. </w:t>
      </w:r>
    </w:p>
    <w:p w14:paraId="491DE6A3" w14:textId="16EB013F" w:rsidR="001C252A" w:rsidRPr="00AE396C" w:rsidRDefault="001C252A" w:rsidP="003130AB">
      <w:pPr>
        <w:pStyle w:val="SingleTxtG"/>
        <w:numPr>
          <w:ilvl w:val="0"/>
          <w:numId w:val="3"/>
        </w:numPr>
        <w:tabs>
          <w:tab w:val="right" w:pos="567"/>
        </w:tabs>
        <w:ind w:left="1134" w:right="0" w:firstLine="0"/>
        <w:rPr>
          <w:sz w:val="20"/>
          <w:szCs w:val="20"/>
          <w:lang w:val="en-GB"/>
        </w:rPr>
      </w:pPr>
      <w:r>
        <w:rPr>
          <w:sz w:val="20"/>
          <w:szCs w:val="20"/>
          <w:lang w:val="en-GB"/>
        </w:rPr>
        <w:t xml:space="preserve">On </w:t>
      </w:r>
      <w:r w:rsidR="00F71939">
        <w:rPr>
          <w:sz w:val="20"/>
          <w:szCs w:val="20"/>
          <w:lang w:val="en-GB"/>
        </w:rPr>
        <w:t xml:space="preserve">25 November 2020, the communicant </w:t>
      </w:r>
      <w:r w:rsidR="00C64A1D">
        <w:rPr>
          <w:sz w:val="20"/>
          <w:szCs w:val="20"/>
          <w:lang w:val="en-GB"/>
        </w:rPr>
        <w:t xml:space="preserve">provided additional information as well as its </w:t>
      </w:r>
      <w:r w:rsidR="00F03AD7">
        <w:rPr>
          <w:sz w:val="20"/>
          <w:szCs w:val="20"/>
          <w:lang w:val="en-GB"/>
        </w:rPr>
        <w:t xml:space="preserve">comments on the Party </w:t>
      </w:r>
      <w:proofErr w:type="spellStart"/>
      <w:r w:rsidR="00F03AD7">
        <w:rPr>
          <w:sz w:val="20"/>
          <w:szCs w:val="20"/>
          <w:lang w:val="en-GB"/>
        </w:rPr>
        <w:t>concerned’s</w:t>
      </w:r>
      <w:proofErr w:type="spellEnd"/>
      <w:r w:rsidR="00F03AD7">
        <w:rPr>
          <w:sz w:val="20"/>
          <w:szCs w:val="20"/>
          <w:lang w:val="en-GB"/>
        </w:rPr>
        <w:t xml:space="preserve"> replies to the Committee’s questions</w:t>
      </w:r>
      <w:r w:rsidR="00F71939">
        <w:rPr>
          <w:sz w:val="20"/>
          <w:szCs w:val="20"/>
          <w:lang w:val="en-GB"/>
        </w:rPr>
        <w:t xml:space="preserve">. </w:t>
      </w:r>
    </w:p>
    <w:p w14:paraId="72EDAA45" w14:textId="1AAF9A99" w:rsidR="00C22DB2" w:rsidRPr="00B66062" w:rsidRDefault="00C22DB2" w:rsidP="003130AB">
      <w:pPr>
        <w:pStyle w:val="SingleTxtG"/>
        <w:numPr>
          <w:ilvl w:val="0"/>
          <w:numId w:val="3"/>
        </w:numPr>
        <w:tabs>
          <w:tab w:val="right" w:pos="567"/>
        </w:tabs>
        <w:ind w:left="1134" w:right="0" w:firstLine="0"/>
        <w:rPr>
          <w:sz w:val="20"/>
          <w:szCs w:val="20"/>
          <w:lang w:val="en-GB"/>
        </w:rPr>
      </w:pPr>
      <w:r w:rsidRPr="00B66062">
        <w:rPr>
          <w:sz w:val="20"/>
          <w:szCs w:val="20"/>
          <w:lang w:val="en-GB"/>
        </w:rPr>
        <w:lastRenderedPageBreak/>
        <w:t xml:space="preserve">The Committee completed its draft findings through its electronic decision-making procedure on </w:t>
      </w:r>
      <w:r w:rsidR="00B66062" w:rsidRPr="00B66062">
        <w:rPr>
          <w:sz w:val="20"/>
          <w:szCs w:val="20"/>
          <w:lang w:val="en-GB"/>
        </w:rPr>
        <w:t xml:space="preserve">14 June 2021. </w:t>
      </w:r>
      <w:r w:rsidRPr="00B66062">
        <w:rPr>
          <w:sz w:val="20"/>
          <w:szCs w:val="20"/>
          <w:lang w:val="en-GB"/>
        </w:rPr>
        <w:t>In accordance with paragraph 34 of the annex to decision I/7, the draft findings were then forwarded on that date to the Party concerned and the communicant</w:t>
      </w:r>
      <w:r w:rsidR="00584A8D" w:rsidRPr="00B66062">
        <w:rPr>
          <w:sz w:val="20"/>
          <w:szCs w:val="20"/>
          <w:lang w:val="en-GB"/>
        </w:rPr>
        <w:t>s</w:t>
      </w:r>
      <w:r w:rsidR="00B66062">
        <w:rPr>
          <w:sz w:val="20"/>
          <w:szCs w:val="20"/>
          <w:lang w:val="en-GB"/>
        </w:rPr>
        <w:t xml:space="preserve"> </w:t>
      </w:r>
      <w:r w:rsidR="00B66062" w:rsidRPr="00B66062">
        <w:rPr>
          <w:sz w:val="20"/>
          <w:szCs w:val="20"/>
          <w:lang w:val="en-GB"/>
        </w:rPr>
        <w:t>for comments</w:t>
      </w:r>
      <w:r w:rsidRPr="00B66062">
        <w:rPr>
          <w:sz w:val="20"/>
          <w:szCs w:val="20"/>
          <w:lang w:val="en-GB"/>
        </w:rPr>
        <w:t xml:space="preserve">. Both were invited to provide comments by </w:t>
      </w:r>
      <w:r w:rsidR="00B66062">
        <w:rPr>
          <w:sz w:val="20"/>
          <w:szCs w:val="20"/>
          <w:lang w:val="en-GB"/>
        </w:rPr>
        <w:t>23 July 2021</w:t>
      </w:r>
      <w:r w:rsidRPr="00B66062">
        <w:rPr>
          <w:sz w:val="20"/>
          <w:szCs w:val="20"/>
          <w:lang w:val="en-GB"/>
        </w:rPr>
        <w:t>.</w:t>
      </w:r>
    </w:p>
    <w:p w14:paraId="22AA0185" w14:textId="00998A98" w:rsidR="00C22DB2" w:rsidRPr="00F03AD7" w:rsidRDefault="00C22DB2" w:rsidP="003130AB">
      <w:pPr>
        <w:pStyle w:val="SingleTxtG"/>
        <w:numPr>
          <w:ilvl w:val="0"/>
          <w:numId w:val="3"/>
        </w:numPr>
        <w:tabs>
          <w:tab w:val="right" w:pos="567"/>
        </w:tabs>
        <w:ind w:left="1134" w:right="0" w:firstLine="0"/>
        <w:rPr>
          <w:i/>
          <w:iCs/>
          <w:sz w:val="20"/>
          <w:szCs w:val="20"/>
          <w:lang w:val="en-GB"/>
        </w:rPr>
      </w:pPr>
      <w:r w:rsidRPr="00F03AD7">
        <w:rPr>
          <w:i/>
          <w:iCs/>
          <w:sz w:val="20"/>
          <w:szCs w:val="20"/>
          <w:lang w:val="en-GB"/>
        </w:rPr>
        <w:t>The communicant</w:t>
      </w:r>
      <w:r w:rsidR="00B74B81" w:rsidRPr="00F03AD7">
        <w:rPr>
          <w:i/>
          <w:iCs/>
          <w:sz w:val="20"/>
          <w:szCs w:val="20"/>
          <w:lang w:val="en-GB"/>
        </w:rPr>
        <w:t>s</w:t>
      </w:r>
      <w:r w:rsidRPr="00F03AD7">
        <w:rPr>
          <w:i/>
          <w:iCs/>
          <w:sz w:val="20"/>
          <w:szCs w:val="20"/>
          <w:lang w:val="en-GB"/>
        </w:rPr>
        <w:t xml:space="preserve"> and the Party concerned provided comments on the draft findings on […] and […] respectively.</w:t>
      </w:r>
    </w:p>
    <w:p w14:paraId="298ECB2F" w14:textId="2894E414" w:rsidR="009568C4" w:rsidRPr="00F03AD7" w:rsidRDefault="00C22DB2" w:rsidP="003130AB">
      <w:pPr>
        <w:pStyle w:val="SingleTxtG"/>
        <w:numPr>
          <w:ilvl w:val="0"/>
          <w:numId w:val="3"/>
        </w:numPr>
        <w:tabs>
          <w:tab w:val="right" w:pos="567"/>
        </w:tabs>
        <w:ind w:left="1134" w:right="0" w:firstLine="0"/>
        <w:rPr>
          <w:i/>
          <w:iCs/>
          <w:sz w:val="20"/>
          <w:szCs w:val="20"/>
          <w:lang w:val="en-GB"/>
        </w:rPr>
      </w:pPr>
      <w:r w:rsidRPr="00F03AD7">
        <w:rPr>
          <w:i/>
          <w:iCs/>
          <w:sz w:val="20"/>
          <w:szCs w:val="20"/>
          <w:lang w:val="en-GB"/>
        </w:rPr>
        <w:t>At its […] meeting (Geneva, […]), the Committee proceeded to finalize its findings in closed session, taking account of the comments received. The Committee then adopted its findings through its electronic decision-making procedure on […] and agreed that they should be published as a formal pre-session document to its […]. It requested the secretariat to send the findings to the Party concerned and the communicant</w:t>
      </w:r>
      <w:r w:rsidR="00584A8D" w:rsidRPr="00F03AD7">
        <w:rPr>
          <w:i/>
          <w:iCs/>
          <w:sz w:val="20"/>
          <w:szCs w:val="20"/>
          <w:lang w:val="en-GB"/>
        </w:rPr>
        <w:t>s</w:t>
      </w:r>
      <w:r w:rsidRPr="00F03AD7">
        <w:rPr>
          <w:i/>
          <w:iCs/>
          <w:sz w:val="20"/>
          <w:szCs w:val="20"/>
          <w:lang w:val="en-GB"/>
        </w:rPr>
        <w:t>.</w:t>
      </w:r>
    </w:p>
    <w:p w14:paraId="6A96A69C" w14:textId="77777777" w:rsidR="0023575C" w:rsidRPr="00AE396C" w:rsidRDefault="00D971FB" w:rsidP="003130AB">
      <w:pPr>
        <w:pStyle w:val="HChG"/>
        <w:numPr>
          <w:ilvl w:val="0"/>
          <w:numId w:val="6"/>
        </w:numPr>
        <w:tabs>
          <w:tab w:val="clear" w:pos="851"/>
          <w:tab w:val="right" w:pos="567"/>
        </w:tabs>
        <w:ind w:left="1134" w:right="0"/>
        <w:rPr>
          <w:sz w:val="24"/>
        </w:rPr>
      </w:pPr>
      <w:r w:rsidRPr="00AE396C">
        <w:rPr>
          <w:sz w:val="24"/>
        </w:rPr>
        <w:t>Summary of facts, evidence and issues</w:t>
      </w:r>
      <w:bookmarkStart w:id="1" w:name="_Hlk531266672"/>
      <w:r w:rsidR="0023575C" w:rsidRPr="00AE396C">
        <w:rPr>
          <w:rStyle w:val="FootnoteReference"/>
          <w:sz w:val="24"/>
        </w:rPr>
        <w:footnoteReference w:id="2"/>
      </w:r>
      <w:bookmarkEnd w:id="1"/>
    </w:p>
    <w:p w14:paraId="30829AA5" w14:textId="1C177BA5" w:rsidR="0045180A" w:rsidRPr="00AE396C" w:rsidRDefault="009110A6" w:rsidP="003130AB">
      <w:pPr>
        <w:pStyle w:val="H1G"/>
        <w:numPr>
          <w:ilvl w:val="0"/>
          <w:numId w:val="4"/>
        </w:numPr>
        <w:tabs>
          <w:tab w:val="clear" w:pos="851"/>
          <w:tab w:val="right" w:pos="567"/>
        </w:tabs>
        <w:ind w:left="1134" w:right="0"/>
      </w:pPr>
      <w:r w:rsidRPr="00AE396C">
        <w:t>Legal framework</w:t>
      </w:r>
    </w:p>
    <w:p w14:paraId="51427ED8" w14:textId="0CB38A47" w:rsidR="00770D72" w:rsidRPr="001F0E31" w:rsidRDefault="00EC6E9E" w:rsidP="003130AB">
      <w:pPr>
        <w:tabs>
          <w:tab w:val="right" w:pos="567"/>
        </w:tabs>
        <w:ind w:left="1134"/>
        <w:jc w:val="both"/>
        <w:rPr>
          <w:b/>
          <w:bCs/>
          <w:sz w:val="20"/>
          <w:szCs w:val="20"/>
        </w:rPr>
      </w:pPr>
      <w:r w:rsidRPr="001F0E31">
        <w:rPr>
          <w:b/>
          <w:bCs/>
          <w:sz w:val="20"/>
          <w:szCs w:val="20"/>
        </w:rPr>
        <w:t>The 1998 Hydrometeorological Activity Law</w:t>
      </w:r>
    </w:p>
    <w:p w14:paraId="5ECC8255" w14:textId="77777777" w:rsidR="00EC6E9E" w:rsidRPr="00AE396C" w:rsidRDefault="00EC6E9E" w:rsidP="003130AB">
      <w:pPr>
        <w:tabs>
          <w:tab w:val="right" w:pos="567"/>
        </w:tabs>
        <w:ind w:left="1134"/>
        <w:jc w:val="both"/>
        <w:rPr>
          <w:sz w:val="20"/>
          <w:szCs w:val="20"/>
        </w:rPr>
      </w:pPr>
    </w:p>
    <w:p w14:paraId="1CA08021" w14:textId="509B8901" w:rsidR="00140430" w:rsidRPr="00AE396C" w:rsidRDefault="004B32F0" w:rsidP="00140430">
      <w:pPr>
        <w:pStyle w:val="SingleTxtG"/>
        <w:numPr>
          <w:ilvl w:val="0"/>
          <w:numId w:val="3"/>
        </w:numPr>
        <w:tabs>
          <w:tab w:val="right" w:pos="567"/>
          <w:tab w:val="num" w:pos="1135"/>
        </w:tabs>
        <w:ind w:left="1134" w:right="0" w:firstLine="0"/>
        <w:rPr>
          <w:rStyle w:val="st"/>
          <w:sz w:val="20"/>
          <w:szCs w:val="20"/>
          <w:lang w:val="en-GB"/>
        </w:rPr>
      </w:pPr>
      <w:bookmarkStart w:id="2" w:name="_Ref14705433"/>
      <w:bookmarkStart w:id="3" w:name="_Hlk5216825"/>
      <w:bookmarkStart w:id="4" w:name="_Ref6222422"/>
      <w:r w:rsidRPr="00AE396C">
        <w:rPr>
          <w:rStyle w:val="st"/>
          <w:sz w:val="20"/>
          <w:szCs w:val="20"/>
          <w:lang w:val="en-GB"/>
        </w:rPr>
        <w:t xml:space="preserve">The State Hydrometeorological Service (SHS) </w:t>
      </w:r>
      <w:r w:rsidR="00D16A46">
        <w:rPr>
          <w:rStyle w:val="st"/>
          <w:sz w:val="20"/>
          <w:szCs w:val="20"/>
          <w:lang w:val="en-GB"/>
        </w:rPr>
        <w:t>is</w:t>
      </w:r>
      <w:r w:rsidRPr="00AE396C">
        <w:rPr>
          <w:rStyle w:val="st"/>
          <w:sz w:val="20"/>
          <w:szCs w:val="20"/>
          <w:lang w:val="en-GB"/>
        </w:rPr>
        <w:t xml:space="preserve"> a state legal body</w:t>
      </w:r>
      <w:r w:rsidR="00A10B87">
        <w:rPr>
          <w:rStyle w:val="st"/>
          <w:sz w:val="20"/>
          <w:szCs w:val="20"/>
          <w:lang w:val="en-GB"/>
        </w:rPr>
        <w:t xml:space="preserve"> created by </w:t>
      </w:r>
      <w:r w:rsidR="00F36830" w:rsidRPr="00AE396C">
        <w:rPr>
          <w:rStyle w:val="st"/>
          <w:sz w:val="20"/>
          <w:szCs w:val="20"/>
          <w:lang w:val="en-GB"/>
        </w:rPr>
        <w:t xml:space="preserve">Law No. 1536 </w:t>
      </w:r>
      <w:r w:rsidR="00C64A1D">
        <w:rPr>
          <w:rStyle w:val="st"/>
          <w:sz w:val="20"/>
          <w:szCs w:val="20"/>
          <w:lang w:val="en-GB"/>
        </w:rPr>
        <w:t xml:space="preserve">of </w:t>
      </w:r>
      <w:r w:rsidR="00F36830" w:rsidRPr="00AE396C">
        <w:rPr>
          <w:rStyle w:val="st"/>
          <w:sz w:val="20"/>
          <w:szCs w:val="20"/>
          <w:lang w:val="en-GB"/>
        </w:rPr>
        <w:t>25 February 1998 on Hydrometeorological Activity (1998 Hydrometeorological Activity Law)</w:t>
      </w:r>
      <w:r w:rsidR="00A10B87">
        <w:rPr>
          <w:rStyle w:val="st"/>
          <w:sz w:val="20"/>
          <w:szCs w:val="20"/>
          <w:lang w:val="en-GB"/>
        </w:rPr>
        <w:t>. Pursuant to article 4 of that law,</w:t>
      </w:r>
      <w:r w:rsidR="00F36830" w:rsidRPr="00AE396C">
        <w:rPr>
          <w:rStyle w:val="st"/>
          <w:sz w:val="20"/>
          <w:szCs w:val="20"/>
          <w:lang w:val="en-GB"/>
        </w:rPr>
        <w:t xml:space="preserve"> hydrometeorological activity in the Republic of Moldova is carried out by </w:t>
      </w:r>
      <w:r w:rsidRPr="00AE396C">
        <w:rPr>
          <w:rStyle w:val="st"/>
          <w:sz w:val="20"/>
          <w:szCs w:val="20"/>
          <w:lang w:val="en-GB"/>
        </w:rPr>
        <w:t xml:space="preserve">the SHS </w:t>
      </w:r>
      <w:r w:rsidR="00F36830" w:rsidRPr="00AE396C">
        <w:rPr>
          <w:rStyle w:val="st"/>
          <w:sz w:val="20"/>
          <w:szCs w:val="20"/>
          <w:lang w:val="en-GB"/>
        </w:rPr>
        <w:t>and by other authorized institutions.</w:t>
      </w:r>
      <w:r w:rsidR="00CC7627" w:rsidRPr="00AE396C">
        <w:rPr>
          <w:rStyle w:val="FootnoteReference"/>
          <w:sz w:val="22"/>
          <w:szCs w:val="22"/>
          <w:lang w:val="en-GB"/>
        </w:rPr>
        <w:footnoteReference w:id="3"/>
      </w:r>
      <w:bookmarkEnd w:id="2"/>
    </w:p>
    <w:p w14:paraId="4ADE905F" w14:textId="75A5BA8F" w:rsidR="009F0B75" w:rsidRPr="00AE396C" w:rsidRDefault="009F0B75" w:rsidP="00B42A41">
      <w:pPr>
        <w:pStyle w:val="SingleTxtG"/>
        <w:numPr>
          <w:ilvl w:val="0"/>
          <w:numId w:val="3"/>
        </w:numPr>
        <w:tabs>
          <w:tab w:val="right" w:pos="567"/>
          <w:tab w:val="num" w:pos="1135"/>
        </w:tabs>
        <w:ind w:left="1134" w:right="0" w:firstLine="0"/>
        <w:rPr>
          <w:sz w:val="20"/>
          <w:szCs w:val="20"/>
          <w:lang w:val="en-GB"/>
        </w:rPr>
      </w:pPr>
      <w:r w:rsidRPr="00AE396C">
        <w:rPr>
          <w:sz w:val="20"/>
          <w:szCs w:val="20"/>
          <w:lang w:val="en-GB"/>
        </w:rPr>
        <w:t xml:space="preserve">According to article 6 of the 1998 Hydrometeorological Activity Law, the tasks and duties of the SHS include the creation and management of the </w:t>
      </w:r>
      <w:r w:rsidR="00B42A41">
        <w:rPr>
          <w:sz w:val="20"/>
          <w:szCs w:val="20"/>
          <w:lang w:val="en-GB"/>
        </w:rPr>
        <w:t>SHS Hydrometeorological Database (also know</w:t>
      </w:r>
      <w:r w:rsidR="006C09EE">
        <w:rPr>
          <w:sz w:val="20"/>
          <w:szCs w:val="20"/>
          <w:lang w:val="en-GB"/>
        </w:rPr>
        <w:t>n</w:t>
      </w:r>
      <w:r w:rsidR="00B42A41">
        <w:rPr>
          <w:sz w:val="20"/>
          <w:szCs w:val="20"/>
          <w:lang w:val="en-GB"/>
        </w:rPr>
        <w:t xml:space="preserve"> as the Na</w:t>
      </w:r>
      <w:r w:rsidRPr="00AE396C">
        <w:rPr>
          <w:sz w:val="20"/>
          <w:szCs w:val="20"/>
          <w:lang w:val="en-GB"/>
        </w:rPr>
        <w:t>tional Fund of Hydrometeorolo</w:t>
      </w:r>
      <w:r w:rsidR="002E26C6" w:rsidRPr="00AE396C">
        <w:rPr>
          <w:sz w:val="20"/>
          <w:szCs w:val="20"/>
          <w:lang w:val="en-GB"/>
        </w:rPr>
        <w:t>g</w:t>
      </w:r>
      <w:r w:rsidRPr="00AE396C">
        <w:rPr>
          <w:sz w:val="20"/>
          <w:szCs w:val="20"/>
          <w:lang w:val="en-GB"/>
        </w:rPr>
        <w:t>ical Data</w:t>
      </w:r>
      <w:r w:rsidR="00B42A41">
        <w:rPr>
          <w:sz w:val="20"/>
          <w:szCs w:val="20"/>
          <w:lang w:val="en-GB"/>
        </w:rPr>
        <w:t xml:space="preserve">) </w:t>
      </w:r>
      <w:r w:rsidRPr="00AE396C">
        <w:rPr>
          <w:sz w:val="20"/>
          <w:szCs w:val="20"/>
          <w:lang w:val="en-GB"/>
        </w:rPr>
        <w:t xml:space="preserve"> </w:t>
      </w:r>
      <w:r w:rsidR="00D16A46">
        <w:rPr>
          <w:sz w:val="20"/>
          <w:szCs w:val="20"/>
          <w:lang w:val="en-GB"/>
        </w:rPr>
        <w:t>to be used to support</w:t>
      </w:r>
      <w:r w:rsidR="00C930EF">
        <w:rPr>
          <w:sz w:val="20"/>
          <w:szCs w:val="20"/>
          <w:lang w:val="en-GB"/>
        </w:rPr>
        <w:t xml:space="preserve"> and justify</w:t>
      </w:r>
      <w:r w:rsidR="00D16A46">
        <w:rPr>
          <w:sz w:val="20"/>
          <w:szCs w:val="20"/>
          <w:lang w:val="en-GB"/>
        </w:rPr>
        <w:t xml:space="preserve"> hydrometeorological </w:t>
      </w:r>
      <w:r w:rsidRPr="00AE396C">
        <w:rPr>
          <w:sz w:val="20"/>
          <w:szCs w:val="20"/>
          <w:lang w:val="en-GB"/>
        </w:rPr>
        <w:t>design and engineering</w:t>
      </w:r>
      <w:r w:rsidR="00C930EF">
        <w:rPr>
          <w:sz w:val="20"/>
          <w:szCs w:val="20"/>
          <w:lang w:val="en-GB"/>
        </w:rPr>
        <w:t xml:space="preserve"> work</w:t>
      </w:r>
      <w:r w:rsidRPr="00AE396C">
        <w:rPr>
          <w:sz w:val="20"/>
          <w:szCs w:val="20"/>
          <w:lang w:val="en-GB"/>
        </w:rPr>
        <w:t xml:space="preserve">, </w:t>
      </w:r>
      <w:r w:rsidR="00C930EF">
        <w:rPr>
          <w:sz w:val="20"/>
          <w:szCs w:val="20"/>
          <w:lang w:val="en-GB"/>
        </w:rPr>
        <w:t>and the construction</w:t>
      </w:r>
      <w:r w:rsidR="00C930EF" w:rsidRPr="00AE396C">
        <w:rPr>
          <w:sz w:val="20"/>
          <w:szCs w:val="20"/>
          <w:lang w:val="en-GB"/>
        </w:rPr>
        <w:t xml:space="preserve"> </w:t>
      </w:r>
      <w:r w:rsidRPr="00AE396C">
        <w:rPr>
          <w:sz w:val="20"/>
          <w:szCs w:val="20"/>
          <w:lang w:val="en-GB"/>
        </w:rPr>
        <w:t>and operation o</w:t>
      </w:r>
      <w:r w:rsidR="00C930EF">
        <w:rPr>
          <w:sz w:val="20"/>
          <w:szCs w:val="20"/>
          <w:lang w:val="en-GB"/>
        </w:rPr>
        <w:t>f</w:t>
      </w:r>
      <w:r w:rsidRPr="00AE396C">
        <w:rPr>
          <w:sz w:val="20"/>
          <w:szCs w:val="20"/>
          <w:lang w:val="en-GB"/>
        </w:rPr>
        <w:t xml:space="preserve"> social and economic </w:t>
      </w:r>
      <w:r w:rsidR="00C930EF">
        <w:rPr>
          <w:sz w:val="20"/>
          <w:szCs w:val="20"/>
          <w:lang w:val="en-GB"/>
        </w:rPr>
        <w:t>facilities</w:t>
      </w:r>
      <w:r w:rsidRPr="00AE396C">
        <w:rPr>
          <w:sz w:val="20"/>
          <w:szCs w:val="20"/>
          <w:lang w:val="en-GB"/>
        </w:rPr>
        <w:t>, as well as compliance with the obligations under the conventions and international agreements to which the Republic of Moldova is a party.</w:t>
      </w:r>
      <w:r w:rsidRPr="00AE396C">
        <w:rPr>
          <w:rStyle w:val="FootnoteReference"/>
          <w:sz w:val="22"/>
          <w:szCs w:val="22"/>
          <w:lang w:val="en-GB"/>
        </w:rPr>
        <w:footnoteReference w:id="4"/>
      </w:r>
    </w:p>
    <w:p w14:paraId="0DC181F1" w14:textId="79E3D143" w:rsidR="00CE3126" w:rsidRPr="00B82D47" w:rsidRDefault="004B32F0" w:rsidP="00F03AD7">
      <w:pPr>
        <w:pStyle w:val="SingleTxtG"/>
        <w:numPr>
          <w:ilvl w:val="0"/>
          <w:numId w:val="3"/>
        </w:numPr>
        <w:tabs>
          <w:tab w:val="right" w:pos="567"/>
          <w:tab w:val="num" w:pos="1135"/>
        </w:tabs>
        <w:ind w:left="1134" w:right="0" w:firstLine="0"/>
        <w:rPr>
          <w:sz w:val="20"/>
          <w:szCs w:val="20"/>
          <w:lang w:val="en-GB"/>
        </w:rPr>
      </w:pPr>
      <w:r w:rsidRPr="00B82D47">
        <w:rPr>
          <w:sz w:val="20"/>
          <w:szCs w:val="20"/>
          <w:lang w:val="en-GB"/>
        </w:rPr>
        <w:t xml:space="preserve">The </w:t>
      </w:r>
      <w:r w:rsidR="00340786" w:rsidRPr="00B82D47">
        <w:rPr>
          <w:sz w:val="20"/>
          <w:szCs w:val="20"/>
          <w:lang w:val="en-GB"/>
        </w:rPr>
        <w:t>SHS</w:t>
      </w:r>
      <w:r w:rsidRPr="00B82D47">
        <w:rPr>
          <w:sz w:val="20"/>
          <w:szCs w:val="20"/>
          <w:lang w:val="en-GB"/>
        </w:rPr>
        <w:t xml:space="preserve"> Hydrometeorological Data</w:t>
      </w:r>
      <w:r w:rsidR="00340786" w:rsidRPr="00B82D47">
        <w:rPr>
          <w:sz w:val="20"/>
          <w:szCs w:val="20"/>
          <w:lang w:val="en-GB"/>
        </w:rPr>
        <w:t>base</w:t>
      </w:r>
      <w:r w:rsidRPr="00B82D47">
        <w:rPr>
          <w:sz w:val="20"/>
          <w:szCs w:val="20"/>
          <w:lang w:val="en-GB"/>
        </w:rPr>
        <w:t xml:space="preserve"> </w:t>
      </w:r>
      <w:r w:rsidR="00E531C5" w:rsidRPr="00B82D47">
        <w:rPr>
          <w:sz w:val="20"/>
          <w:szCs w:val="20"/>
          <w:lang w:val="en-GB"/>
        </w:rPr>
        <w:t>include</w:t>
      </w:r>
      <w:r w:rsidR="00340786" w:rsidRPr="00B82D47">
        <w:rPr>
          <w:sz w:val="20"/>
          <w:szCs w:val="20"/>
          <w:lang w:val="en-GB"/>
        </w:rPr>
        <w:t>s</w:t>
      </w:r>
      <w:r w:rsidR="00E531C5" w:rsidRPr="00B82D47">
        <w:rPr>
          <w:sz w:val="20"/>
          <w:szCs w:val="20"/>
          <w:lang w:val="en-GB"/>
        </w:rPr>
        <w:t xml:space="preserve"> </w:t>
      </w:r>
      <w:r w:rsidRPr="00B82D47">
        <w:rPr>
          <w:sz w:val="20"/>
          <w:szCs w:val="20"/>
          <w:lang w:val="en-GB"/>
        </w:rPr>
        <w:t xml:space="preserve">all the hydrometeorological data on the state of the environment and its pollution collected in the </w:t>
      </w:r>
      <w:r w:rsidR="00C64A1D">
        <w:rPr>
          <w:sz w:val="20"/>
          <w:szCs w:val="20"/>
          <w:lang w:val="en-GB"/>
        </w:rPr>
        <w:t>Party concerned</w:t>
      </w:r>
      <w:r w:rsidRPr="00B82D47">
        <w:rPr>
          <w:sz w:val="20"/>
          <w:szCs w:val="20"/>
          <w:lang w:val="en-GB"/>
        </w:rPr>
        <w:t xml:space="preserve"> and abroad by the subjects of the national hydrometeorological network.</w:t>
      </w:r>
      <w:r w:rsidRPr="00AE396C">
        <w:rPr>
          <w:rStyle w:val="FootnoteReference"/>
          <w:sz w:val="22"/>
          <w:szCs w:val="22"/>
          <w:lang w:val="en-GB"/>
        </w:rPr>
        <w:footnoteReference w:id="5"/>
      </w:r>
      <w:r w:rsidRPr="00B82D47">
        <w:rPr>
          <w:sz w:val="20"/>
          <w:szCs w:val="20"/>
          <w:lang w:val="en-GB"/>
        </w:rPr>
        <w:t xml:space="preserve"> </w:t>
      </w:r>
      <w:bookmarkStart w:id="5" w:name="_Ref14705445"/>
      <w:r w:rsidR="00C24A03" w:rsidRPr="00B82D47">
        <w:rPr>
          <w:sz w:val="20"/>
          <w:szCs w:val="20"/>
          <w:lang w:val="en-GB"/>
        </w:rPr>
        <w:t xml:space="preserve">Pursuant to article 23 of the </w:t>
      </w:r>
      <w:r w:rsidR="00C930EF" w:rsidRPr="00B82D47">
        <w:rPr>
          <w:sz w:val="20"/>
          <w:szCs w:val="20"/>
          <w:lang w:val="en-GB"/>
        </w:rPr>
        <w:t xml:space="preserve">1998 Hydrometeorological Activity </w:t>
      </w:r>
      <w:r w:rsidR="00C24A03" w:rsidRPr="00B82D47">
        <w:rPr>
          <w:sz w:val="20"/>
          <w:szCs w:val="20"/>
          <w:lang w:val="en-GB"/>
        </w:rPr>
        <w:t>Law, t</w:t>
      </w:r>
      <w:r w:rsidR="009F0B75" w:rsidRPr="00B82D47">
        <w:rPr>
          <w:sz w:val="20"/>
          <w:szCs w:val="20"/>
          <w:lang w:val="en-GB"/>
        </w:rPr>
        <w:t xml:space="preserve">he SHS is the only holder of the </w:t>
      </w:r>
      <w:bookmarkEnd w:id="5"/>
      <w:r w:rsidR="00CE3126" w:rsidRPr="00B82D47">
        <w:rPr>
          <w:sz w:val="20"/>
          <w:szCs w:val="20"/>
          <w:lang w:val="en-GB"/>
        </w:rPr>
        <w:t>Hydrometeorological Data</w:t>
      </w:r>
      <w:r w:rsidR="00F03AD7">
        <w:rPr>
          <w:sz w:val="20"/>
          <w:szCs w:val="20"/>
          <w:lang w:val="en-GB"/>
        </w:rPr>
        <w:t>base</w:t>
      </w:r>
      <w:r w:rsidR="00CE3126" w:rsidRPr="00B82D47">
        <w:rPr>
          <w:sz w:val="20"/>
          <w:szCs w:val="20"/>
          <w:lang w:val="en-GB"/>
        </w:rPr>
        <w:t>.</w:t>
      </w:r>
      <w:r w:rsidR="00CE3126" w:rsidRPr="00AE396C">
        <w:rPr>
          <w:rStyle w:val="FootnoteReference"/>
          <w:sz w:val="22"/>
          <w:szCs w:val="22"/>
          <w:lang w:val="en-GB"/>
        </w:rPr>
        <w:footnoteReference w:id="6"/>
      </w:r>
    </w:p>
    <w:p w14:paraId="521D1DE5" w14:textId="1D2FC379" w:rsidR="00767B55" w:rsidRPr="00500586" w:rsidRDefault="00767B55" w:rsidP="00CE3126">
      <w:pPr>
        <w:pStyle w:val="SingleTxtG"/>
        <w:tabs>
          <w:tab w:val="right" w:pos="567"/>
        </w:tabs>
        <w:ind w:right="0"/>
        <w:rPr>
          <w:b/>
          <w:bCs/>
          <w:sz w:val="20"/>
          <w:szCs w:val="20"/>
          <w:lang w:val="en-GB"/>
        </w:rPr>
      </w:pPr>
      <w:r w:rsidRPr="00500586">
        <w:rPr>
          <w:b/>
          <w:bCs/>
          <w:sz w:val="20"/>
          <w:szCs w:val="20"/>
          <w:lang w:val="en-GB"/>
        </w:rPr>
        <w:t>Regulation No. 330</w:t>
      </w:r>
      <w:r w:rsidR="00C64A1D">
        <w:rPr>
          <w:b/>
          <w:bCs/>
          <w:sz w:val="20"/>
          <w:szCs w:val="20"/>
          <w:lang w:val="en-GB"/>
        </w:rPr>
        <w:t xml:space="preserve"> </w:t>
      </w:r>
    </w:p>
    <w:p w14:paraId="227A70A5" w14:textId="018E1674" w:rsidR="00767B55" w:rsidRPr="00AE396C" w:rsidRDefault="005B0BF1" w:rsidP="00140430">
      <w:pPr>
        <w:pStyle w:val="SingleTxtG"/>
        <w:numPr>
          <w:ilvl w:val="0"/>
          <w:numId w:val="3"/>
        </w:numPr>
        <w:tabs>
          <w:tab w:val="right" w:pos="567"/>
          <w:tab w:val="num" w:pos="1135"/>
        </w:tabs>
        <w:ind w:left="1134" w:right="0" w:firstLine="0"/>
        <w:rPr>
          <w:sz w:val="20"/>
          <w:szCs w:val="20"/>
          <w:lang w:val="en-GB"/>
        </w:rPr>
      </w:pPr>
      <w:bookmarkStart w:id="6" w:name="_Ref67064710"/>
      <w:r w:rsidRPr="00AE396C">
        <w:rPr>
          <w:sz w:val="20"/>
          <w:szCs w:val="20"/>
          <w:lang w:val="en-GB"/>
        </w:rPr>
        <w:t>R</w:t>
      </w:r>
      <w:r w:rsidR="00767B55" w:rsidRPr="00AE396C">
        <w:rPr>
          <w:sz w:val="20"/>
          <w:szCs w:val="20"/>
          <w:lang w:val="en-GB"/>
        </w:rPr>
        <w:t>egulation No. 330</w:t>
      </w:r>
      <w:r w:rsidR="00602467">
        <w:rPr>
          <w:sz w:val="20"/>
          <w:szCs w:val="20"/>
          <w:lang w:val="en-GB"/>
        </w:rPr>
        <w:t xml:space="preserve"> </w:t>
      </w:r>
      <w:r w:rsidR="00C64A1D">
        <w:rPr>
          <w:sz w:val="20"/>
          <w:szCs w:val="20"/>
          <w:lang w:val="en-GB"/>
        </w:rPr>
        <w:t>of</w:t>
      </w:r>
      <w:r w:rsidR="00602467">
        <w:rPr>
          <w:sz w:val="20"/>
          <w:szCs w:val="20"/>
          <w:lang w:val="en-GB"/>
        </w:rPr>
        <w:t xml:space="preserve"> 4 March 2016</w:t>
      </w:r>
      <w:r w:rsidR="00767B55" w:rsidRPr="00AE396C">
        <w:rPr>
          <w:sz w:val="20"/>
          <w:szCs w:val="20"/>
          <w:lang w:val="en-GB"/>
        </w:rPr>
        <w:t xml:space="preserve"> “On Approval of the List of Services Provided </w:t>
      </w:r>
      <w:r w:rsidRPr="00AE396C">
        <w:rPr>
          <w:sz w:val="20"/>
          <w:szCs w:val="20"/>
          <w:lang w:val="en-GB"/>
        </w:rPr>
        <w:t>Free and at Charge by the State Hydrometeorological Service and the Guidelines on the Use of Special Means of the State Hydrometeorological Service</w:t>
      </w:r>
      <w:r w:rsidR="009560C7">
        <w:rPr>
          <w:sz w:val="20"/>
          <w:szCs w:val="20"/>
          <w:lang w:val="en-GB"/>
        </w:rPr>
        <w:t>”</w:t>
      </w:r>
      <w:r w:rsidRPr="00AE396C">
        <w:rPr>
          <w:sz w:val="20"/>
          <w:szCs w:val="20"/>
          <w:lang w:val="en-GB"/>
        </w:rPr>
        <w:t xml:space="preserve"> (Regulation No. 330), establishes the basis for access to hydrometeorological information. It includes (</w:t>
      </w:r>
      <w:r w:rsidR="00C64A1D">
        <w:rPr>
          <w:sz w:val="20"/>
          <w:szCs w:val="20"/>
          <w:lang w:val="en-GB"/>
        </w:rPr>
        <w:t>a</w:t>
      </w:r>
      <w:r w:rsidRPr="00AE396C">
        <w:rPr>
          <w:sz w:val="20"/>
          <w:szCs w:val="20"/>
          <w:lang w:val="en-GB"/>
        </w:rPr>
        <w:t xml:space="preserve">) the list of services the SHS </w:t>
      </w:r>
      <w:r w:rsidRPr="00AE396C">
        <w:rPr>
          <w:sz w:val="20"/>
          <w:szCs w:val="20"/>
          <w:lang w:val="en-GB"/>
        </w:rPr>
        <w:lastRenderedPageBreak/>
        <w:t>provides for free, (</w:t>
      </w:r>
      <w:r w:rsidR="00C64A1D">
        <w:rPr>
          <w:sz w:val="20"/>
          <w:szCs w:val="20"/>
          <w:lang w:val="en-GB"/>
        </w:rPr>
        <w:t>b</w:t>
      </w:r>
      <w:r w:rsidRPr="00AE396C">
        <w:rPr>
          <w:sz w:val="20"/>
          <w:szCs w:val="20"/>
          <w:lang w:val="en-GB"/>
        </w:rPr>
        <w:t>) the list of services SHS provide</w:t>
      </w:r>
      <w:r w:rsidR="00C930EF">
        <w:rPr>
          <w:sz w:val="20"/>
          <w:szCs w:val="20"/>
          <w:lang w:val="en-GB"/>
        </w:rPr>
        <w:t>s</w:t>
      </w:r>
      <w:r w:rsidRPr="00AE396C">
        <w:rPr>
          <w:sz w:val="20"/>
          <w:szCs w:val="20"/>
          <w:lang w:val="en-GB"/>
        </w:rPr>
        <w:t xml:space="preserve"> for which </w:t>
      </w:r>
      <w:r w:rsidR="00E151F1">
        <w:rPr>
          <w:sz w:val="20"/>
          <w:szCs w:val="20"/>
          <w:lang w:val="en-GB"/>
        </w:rPr>
        <w:t>it</w:t>
      </w:r>
      <w:r w:rsidRPr="00AE396C">
        <w:rPr>
          <w:sz w:val="20"/>
          <w:szCs w:val="20"/>
          <w:lang w:val="en-GB"/>
        </w:rPr>
        <w:t xml:space="preserve"> charges a fee, and </w:t>
      </w:r>
      <w:r w:rsidR="00C930EF">
        <w:rPr>
          <w:sz w:val="20"/>
          <w:szCs w:val="20"/>
          <w:lang w:val="en-GB"/>
        </w:rPr>
        <w:t>(</w:t>
      </w:r>
      <w:r w:rsidR="00C64A1D">
        <w:rPr>
          <w:sz w:val="20"/>
          <w:szCs w:val="20"/>
          <w:lang w:val="en-GB"/>
        </w:rPr>
        <w:t>c</w:t>
      </w:r>
      <w:r w:rsidRPr="00AE396C">
        <w:rPr>
          <w:sz w:val="20"/>
          <w:szCs w:val="20"/>
          <w:lang w:val="en-GB"/>
        </w:rPr>
        <w:t>) Guidelines on the Use of Special Means of the SHS.</w:t>
      </w:r>
      <w:r w:rsidRPr="00AE396C">
        <w:rPr>
          <w:rStyle w:val="FootnoteReference"/>
          <w:sz w:val="20"/>
          <w:szCs w:val="20"/>
          <w:lang w:val="en-GB"/>
        </w:rPr>
        <w:footnoteReference w:id="7"/>
      </w:r>
      <w:bookmarkEnd w:id="6"/>
    </w:p>
    <w:p w14:paraId="564A7AAA" w14:textId="306F33DE" w:rsidR="004A2BE8" w:rsidRPr="00AE396C" w:rsidRDefault="004A2BE8" w:rsidP="00140430">
      <w:pPr>
        <w:pStyle w:val="SingleTxtG"/>
        <w:numPr>
          <w:ilvl w:val="0"/>
          <w:numId w:val="3"/>
        </w:numPr>
        <w:tabs>
          <w:tab w:val="right" w:pos="567"/>
          <w:tab w:val="num" w:pos="1135"/>
        </w:tabs>
        <w:ind w:left="1134" w:right="0" w:firstLine="0"/>
        <w:rPr>
          <w:sz w:val="20"/>
          <w:szCs w:val="20"/>
          <w:lang w:val="en-GB"/>
        </w:rPr>
      </w:pPr>
      <w:r w:rsidRPr="00AE396C">
        <w:rPr>
          <w:sz w:val="20"/>
          <w:szCs w:val="20"/>
          <w:lang w:val="en-GB"/>
        </w:rPr>
        <w:t xml:space="preserve">In accordance with </w:t>
      </w:r>
      <w:r w:rsidR="000E73A9">
        <w:rPr>
          <w:sz w:val="20"/>
          <w:szCs w:val="20"/>
          <w:lang w:val="en-GB"/>
        </w:rPr>
        <w:t xml:space="preserve">annex 1 of </w:t>
      </w:r>
      <w:r w:rsidRPr="00AE396C">
        <w:rPr>
          <w:sz w:val="20"/>
          <w:szCs w:val="20"/>
          <w:lang w:val="en-GB"/>
        </w:rPr>
        <w:t>Regulation No. 330, free services include access to data such as general hydrometeorologic</w:t>
      </w:r>
      <w:r w:rsidR="00173392" w:rsidRPr="00AE396C">
        <w:rPr>
          <w:sz w:val="20"/>
          <w:szCs w:val="20"/>
          <w:lang w:val="en-GB"/>
        </w:rPr>
        <w:t>al</w:t>
      </w:r>
      <w:r w:rsidRPr="00AE396C">
        <w:rPr>
          <w:sz w:val="20"/>
          <w:szCs w:val="20"/>
          <w:lang w:val="en-GB"/>
        </w:rPr>
        <w:t xml:space="preserve"> forecasts and emergency warnings, published meteorological and hydrological regime data</w:t>
      </w:r>
      <w:r w:rsidR="00C22482">
        <w:rPr>
          <w:sz w:val="20"/>
          <w:szCs w:val="20"/>
          <w:lang w:val="en-GB"/>
        </w:rPr>
        <w:t xml:space="preserve"> which is held in the SHS Hydrometeorological Database</w:t>
      </w:r>
      <w:r w:rsidRPr="00AE396C">
        <w:rPr>
          <w:sz w:val="20"/>
          <w:szCs w:val="20"/>
          <w:lang w:val="en-GB"/>
        </w:rPr>
        <w:t xml:space="preserve">, published data on the quality of </w:t>
      </w:r>
      <w:r w:rsidR="00CB1C64">
        <w:rPr>
          <w:sz w:val="20"/>
          <w:szCs w:val="20"/>
          <w:lang w:val="en-GB"/>
        </w:rPr>
        <w:t xml:space="preserve">the </w:t>
      </w:r>
      <w:r w:rsidRPr="00AE396C">
        <w:rPr>
          <w:sz w:val="20"/>
          <w:szCs w:val="20"/>
          <w:lang w:val="en-GB"/>
        </w:rPr>
        <w:t>environment</w:t>
      </w:r>
      <w:r w:rsidR="00CB1C64">
        <w:rPr>
          <w:sz w:val="20"/>
          <w:szCs w:val="20"/>
          <w:lang w:val="en-GB"/>
        </w:rPr>
        <w:t xml:space="preserve"> which is held in the SHS Hydrometeorological Database</w:t>
      </w:r>
      <w:r w:rsidRPr="00AE396C">
        <w:rPr>
          <w:sz w:val="20"/>
          <w:szCs w:val="20"/>
          <w:lang w:val="en-GB"/>
        </w:rPr>
        <w:t xml:space="preserve">, scientific studies, information placed on the SHS website, current weather information and forecasts, the hydrological forecast, information on the weather conditions for certain preceding periods, climate information, </w:t>
      </w:r>
      <w:r w:rsidR="001B30EF">
        <w:rPr>
          <w:sz w:val="20"/>
          <w:szCs w:val="20"/>
          <w:lang w:val="en-GB"/>
        </w:rPr>
        <w:t>advice</w:t>
      </w:r>
      <w:r w:rsidR="001B30EF" w:rsidRPr="00AE396C">
        <w:rPr>
          <w:sz w:val="20"/>
          <w:szCs w:val="20"/>
          <w:lang w:val="en-GB"/>
        </w:rPr>
        <w:t xml:space="preserve"> </w:t>
      </w:r>
      <w:r w:rsidRPr="00AE396C">
        <w:rPr>
          <w:sz w:val="20"/>
          <w:szCs w:val="20"/>
          <w:lang w:val="en-GB"/>
        </w:rPr>
        <w:t xml:space="preserve">related to the use of hydrometeorological information, and </w:t>
      </w:r>
      <w:r w:rsidR="001B30EF">
        <w:rPr>
          <w:sz w:val="20"/>
          <w:szCs w:val="20"/>
          <w:lang w:val="en-GB"/>
        </w:rPr>
        <w:t xml:space="preserve">advice on the use of </w:t>
      </w:r>
      <w:r w:rsidRPr="00AE396C">
        <w:rPr>
          <w:sz w:val="20"/>
          <w:szCs w:val="20"/>
          <w:lang w:val="en-GB"/>
        </w:rPr>
        <w:t xml:space="preserve">information on the quality of </w:t>
      </w:r>
      <w:r w:rsidR="001B30EF">
        <w:rPr>
          <w:sz w:val="20"/>
          <w:szCs w:val="20"/>
          <w:lang w:val="en-GB"/>
        </w:rPr>
        <w:t xml:space="preserve">the </w:t>
      </w:r>
      <w:r w:rsidRPr="00AE396C">
        <w:rPr>
          <w:sz w:val="20"/>
          <w:szCs w:val="20"/>
          <w:lang w:val="en-GB"/>
        </w:rPr>
        <w:t>environment.</w:t>
      </w:r>
      <w:r w:rsidRPr="00AE396C">
        <w:rPr>
          <w:rStyle w:val="FootnoteReference"/>
          <w:sz w:val="22"/>
          <w:szCs w:val="22"/>
          <w:lang w:val="en-GB"/>
        </w:rPr>
        <w:footnoteReference w:id="8"/>
      </w:r>
    </w:p>
    <w:p w14:paraId="7ADB1CEC" w14:textId="43001A49" w:rsidR="004A2BE8" w:rsidRDefault="004A2BE8" w:rsidP="00140430">
      <w:pPr>
        <w:pStyle w:val="SingleTxtG"/>
        <w:numPr>
          <w:ilvl w:val="0"/>
          <w:numId w:val="3"/>
        </w:numPr>
        <w:tabs>
          <w:tab w:val="right" w:pos="567"/>
          <w:tab w:val="num" w:pos="1135"/>
        </w:tabs>
        <w:ind w:left="1134" w:right="0" w:firstLine="0"/>
        <w:rPr>
          <w:sz w:val="20"/>
          <w:szCs w:val="20"/>
          <w:lang w:val="en-GB"/>
        </w:rPr>
      </w:pPr>
      <w:bookmarkStart w:id="7" w:name="_Ref67041540"/>
      <w:r w:rsidRPr="00AE396C">
        <w:rPr>
          <w:sz w:val="20"/>
          <w:szCs w:val="20"/>
          <w:lang w:val="en-GB"/>
        </w:rPr>
        <w:t>Annex</w:t>
      </w:r>
      <w:r w:rsidR="001B30EF">
        <w:rPr>
          <w:sz w:val="20"/>
          <w:szCs w:val="20"/>
          <w:lang w:val="en-GB"/>
        </w:rPr>
        <w:t xml:space="preserve"> 2</w:t>
      </w:r>
      <w:r w:rsidRPr="00AE396C">
        <w:rPr>
          <w:sz w:val="20"/>
          <w:szCs w:val="20"/>
          <w:lang w:val="en-GB"/>
        </w:rPr>
        <w:t xml:space="preserve"> </w:t>
      </w:r>
      <w:r w:rsidR="000E73A9">
        <w:rPr>
          <w:sz w:val="20"/>
          <w:szCs w:val="20"/>
          <w:lang w:val="en-GB"/>
        </w:rPr>
        <w:t>of</w:t>
      </w:r>
      <w:r w:rsidRPr="00AE396C">
        <w:rPr>
          <w:sz w:val="20"/>
          <w:szCs w:val="20"/>
          <w:lang w:val="en-GB"/>
        </w:rPr>
        <w:t xml:space="preserve"> Regulation No. 330 specifies the list of services provided </w:t>
      </w:r>
      <w:r w:rsidR="00A10B87">
        <w:rPr>
          <w:sz w:val="20"/>
          <w:szCs w:val="20"/>
          <w:lang w:val="en-GB"/>
        </w:rPr>
        <w:t>with a</w:t>
      </w:r>
      <w:r w:rsidR="00A10B87" w:rsidRPr="00AE396C">
        <w:rPr>
          <w:sz w:val="20"/>
          <w:szCs w:val="20"/>
          <w:lang w:val="en-GB"/>
        </w:rPr>
        <w:t xml:space="preserve"> </w:t>
      </w:r>
      <w:r w:rsidRPr="00AE396C">
        <w:rPr>
          <w:sz w:val="20"/>
          <w:szCs w:val="20"/>
          <w:lang w:val="en-GB"/>
        </w:rPr>
        <w:t xml:space="preserve">charge, including access to </w:t>
      </w:r>
      <w:r w:rsidR="00935552">
        <w:rPr>
          <w:sz w:val="20"/>
          <w:szCs w:val="20"/>
          <w:lang w:val="en-GB"/>
        </w:rPr>
        <w:t>“</w:t>
      </w:r>
      <w:r w:rsidRPr="00AE396C">
        <w:rPr>
          <w:sz w:val="20"/>
          <w:szCs w:val="20"/>
          <w:lang w:val="en-GB"/>
        </w:rPr>
        <w:t>primary</w:t>
      </w:r>
      <w:r w:rsidR="00935552">
        <w:rPr>
          <w:sz w:val="20"/>
          <w:szCs w:val="20"/>
          <w:lang w:val="en-GB"/>
        </w:rPr>
        <w:t>”</w:t>
      </w:r>
      <w:r w:rsidRPr="00AE396C">
        <w:rPr>
          <w:sz w:val="20"/>
          <w:szCs w:val="20"/>
          <w:lang w:val="en-GB"/>
        </w:rPr>
        <w:t xml:space="preserve"> and </w:t>
      </w:r>
      <w:r w:rsidR="00935552">
        <w:rPr>
          <w:sz w:val="20"/>
          <w:szCs w:val="20"/>
          <w:lang w:val="en-GB"/>
        </w:rPr>
        <w:t>“</w:t>
      </w:r>
      <w:r w:rsidRPr="00AE396C">
        <w:rPr>
          <w:sz w:val="20"/>
          <w:szCs w:val="20"/>
          <w:lang w:val="en-GB"/>
        </w:rPr>
        <w:t>specialized</w:t>
      </w:r>
      <w:r w:rsidR="00935552">
        <w:rPr>
          <w:sz w:val="20"/>
          <w:szCs w:val="20"/>
          <w:lang w:val="en-GB"/>
        </w:rPr>
        <w:t>”</w:t>
      </w:r>
      <w:r w:rsidRPr="00AE396C">
        <w:rPr>
          <w:sz w:val="20"/>
          <w:szCs w:val="20"/>
          <w:lang w:val="en-GB"/>
        </w:rPr>
        <w:t xml:space="preserve"> hydrometeorological information.</w:t>
      </w:r>
      <w:r w:rsidRPr="00AE396C">
        <w:rPr>
          <w:rStyle w:val="FootnoteReference"/>
          <w:sz w:val="20"/>
          <w:szCs w:val="20"/>
          <w:lang w:val="en-GB"/>
        </w:rPr>
        <w:footnoteReference w:id="9"/>
      </w:r>
      <w:r w:rsidR="00C61829" w:rsidRPr="00AE396C">
        <w:rPr>
          <w:sz w:val="20"/>
          <w:szCs w:val="20"/>
          <w:lang w:val="en-GB"/>
        </w:rPr>
        <w:t xml:space="preserve"> </w:t>
      </w:r>
      <w:r w:rsidR="00F560B1">
        <w:rPr>
          <w:sz w:val="20"/>
          <w:szCs w:val="20"/>
          <w:lang w:val="en-GB"/>
        </w:rPr>
        <w:t xml:space="preserve">Charges for </w:t>
      </w:r>
      <w:r w:rsidR="00935552">
        <w:rPr>
          <w:sz w:val="20"/>
          <w:szCs w:val="20"/>
          <w:lang w:val="en-GB"/>
        </w:rPr>
        <w:t>“</w:t>
      </w:r>
      <w:r w:rsidR="00F560B1">
        <w:rPr>
          <w:sz w:val="20"/>
          <w:szCs w:val="20"/>
          <w:lang w:val="en-GB"/>
        </w:rPr>
        <w:t>p</w:t>
      </w:r>
      <w:r w:rsidR="00935552">
        <w:rPr>
          <w:sz w:val="20"/>
          <w:szCs w:val="20"/>
          <w:lang w:val="en-GB"/>
        </w:rPr>
        <w:t>rimary information</w:t>
      </w:r>
      <w:r w:rsidR="00111D32">
        <w:rPr>
          <w:sz w:val="20"/>
          <w:szCs w:val="20"/>
          <w:lang w:val="en-GB"/>
        </w:rPr>
        <w:t>”</w:t>
      </w:r>
      <w:r w:rsidR="00935552">
        <w:rPr>
          <w:sz w:val="20"/>
          <w:szCs w:val="20"/>
          <w:lang w:val="en-GB"/>
        </w:rPr>
        <w:t xml:space="preserve"> </w:t>
      </w:r>
      <w:r w:rsidR="00F560B1">
        <w:rPr>
          <w:sz w:val="20"/>
          <w:szCs w:val="20"/>
          <w:lang w:val="en-GB"/>
        </w:rPr>
        <w:t>are set out in Part I of annex</w:t>
      </w:r>
      <w:r w:rsidR="001B30EF">
        <w:rPr>
          <w:sz w:val="20"/>
          <w:szCs w:val="20"/>
          <w:lang w:val="en-GB"/>
        </w:rPr>
        <w:t xml:space="preserve"> 2</w:t>
      </w:r>
      <w:r w:rsidR="00F560B1">
        <w:rPr>
          <w:sz w:val="20"/>
          <w:szCs w:val="20"/>
          <w:lang w:val="en-GB"/>
        </w:rPr>
        <w:t>: f</w:t>
      </w:r>
      <w:r w:rsidR="00275B2A" w:rsidRPr="00AE396C">
        <w:rPr>
          <w:sz w:val="20"/>
          <w:szCs w:val="20"/>
          <w:lang w:val="en-GB"/>
        </w:rPr>
        <w:t>or example, a</w:t>
      </w:r>
      <w:r w:rsidR="00C61829" w:rsidRPr="00AE396C">
        <w:rPr>
          <w:sz w:val="20"/>
          <w:szCs w:val="20"/>
          <w:lang w:val="en-GB"/>
        </w:rPr>
        <w:t>ccording to</w:t>
      </w:r>
      <w:r w:rsidR="00A75D04" w:rsidRPr="00AE396C">
        <w:rPr>
          <w:sz w:val="20"/>
          <w:szCs w:val="20"/>
          <w:lang w:val="en-GB"/>
        </w:rPr>
        <w:t xml:space="preserve"> </w:t>
      </w:r>
      <w:r w:rsidR="00C61829" w:rsidRPr="00AE396C">
        <w:rPr>
          <w:sz w:val="20"/>
          <w:szCs w:val="20"/>
          <w:lang w:val="en-GB"/>
        </w:rPr>
        <w:t>point</w:t>
      </w:r>
      <w:r w:rsidR="00A75D04" w:rsidRPr="00AE396C">
        <w:rPr>
          <w:sz w:val="20"/>
          <w:szCs w:val="20"/>
          <w:lang w:val="en-GB"/>
        </w:rPr>
        <w:t xml:space="preserve"> I</w:t>
      </w:r>
      <w:r w:rsidR="0035610F">
        <w:rPr>
          <w:sz w:val="20"/>
          <w:szCs w:val="20"/>
          <w:lang w:val="en-GB"/>
        </w:rPr>
        <w:t>.</w:t>
      </w:r>
      <w:r w:rsidR="00A75D04" w:rsidRPr="00AE396C">
        <w:rPr>
          <w:sz w:val="20"/>
          <w:szCs w:val="20"/>
          <w:lang w:val="en-GB"/>
        </w:rPr>
        <w:t>5</w:t>
      </w:r>
      <w:r w:rsidR="0035610F">
        <w:rPr>
          <w:sz w:val="20"/>
          <w:szCs w:val="20"/>
          <w:lang w:val="en-GB"/>
        </w:rPr>
        <w:t>.</w:t>
      </w:r>
      <w:r w:rsidR="00A75D04" w:rsidRPr="00AE396C">
        <w:rPr>
          <w:sz w:val="20"/>
          <w:szCs w:val="20"/>
          <w:lang w:val="en-GB"/>
        </w:rPr>
        <w:t>1</w:t>
      </w:r>
      <w:r w:rsidR="0035610F">
        <w:rPr>
          <w:sz w:val="20"/>
          <w:szCs w:val="20"/>
          <w:lang w:val="en-GB"/>
        </w:rPr>
        <w:t>.</w:t>
      </w:r>
      <w:r w:rsidR="00A75D04" w:rsidRPr="00AE396C">
        <w:rPr>
          <w:sz w:val="20"/>
          <w:szCs w:val="20"/>
          <w:lang w:val="en-GB"/>
        </w:rPr>
        <w:t xml:space="preserve">2 </w:t>
      </w:r>
      <w:r w:rsidR="00C61829" w:rsidRPr="00AE396C">
        <w:rPr>
          <w:sz w:val="20"/>
          <w:szCs w:val="20"/>
          <w:lang w:val="en-GB"/>
        </w:rPr>
        <w:t>of annex</w:t>
      </w:r>
      <w:r w:rsidR="00A84A13">
        <w:rPr>
          <w:sz w:val="20"/>
          <w:szCs w:val="20"/>
          <w:lang w:val="en-GB"/>
        </w:rPr>
        <w:t xml:space="preserve"> 2</w:t>
      </w:r>
      <w:r w:rsidR="00C61829" w:rsidRPr="00AE396C">
        <w:rPr>
          <w:sz w:val="20"/>
          <w:szCs w:val="20"/>
          <w:lang w:val="en-GB"/>
        </w:rPr>
        <w:t xml:space="preserve">, the charges for </w:t>
      </w:r>
      <w:r w:rsidR="00A75D04" w:rsidRPr="00AE396C">
        <w:rPr>
          <w:sz w:val="20"/>
          <w:szCs w:val="20"/>
          <w:lang w:val="en-GB"/>
        </w:rPr>
        <w:t>hydro</w:t>
      </w:r>
      <w:r w:rsidR="00665F22">
        <w:rPr>
          <w:sz w:val="20"/>
          <w:szCs w:val="20"/>
          <w:lang w:val="en-GB"/>
        </w:rPr>
        <w:t>meteor</w:t>
      </w:r>
      <w:r w:rsidR="00C64A1D">
        <w:rPr>
          <w:sz w:val="20"/>
          <w:szCs w:val="20"/>
          <w:lang w:val="en-GB"/>
        </w:rPr>
        <w:t>o</w:t>
      </w:r>
      <w:r w:rsidR="00A75D04" w:rsidRPr="00AE396C">
        <w:rPr>
          <w:sz w:val="20"/>
          <w:szCs w:val="20"/>
          <w:lang w:val="en-GB"/>
        </w:rPr>
        <w:t xml:space="preserve">logical information concerning </w:t>
      </w:r>
      <w:r w:rsidR="006E1771">
        <w:rPr>
          <w:sz w:val="20"/>
          <w:szCs w:val="20"/>
          <w:lang w:val="en-GB"/>
        </w:rPr>
        <w:t>“</w:t>
      </w:r>
      <w:r w:rsidR="00BC04B3">
        <w:rPr>
          <w:sz w:val="20"/>
          <w:szCs w:val="20"/>
          <w:lang w:val="en-GB"/>
        </w:rPr>
        <w:t>stream gauging</w:t>
      </w:r>
      <w:r w:rsidR="006E1771">
        <w:rPr>
          <w:sz w:val="20"/>
          <w:szCs w:val="20"/>
          <w:lang w:val="en-GB"/>
        </w:rPr>
        <w:t>”</w:t>
      </w:r>
      <w:r w:rsidR="002E1947">
        <w:rPr>
          <w:sz w:val="20"/>
          <w:szCs w:val="20"/>
          <w:lang w:val="en-GB"/>
        </w:rPr>
        <w:t xml:space="preserve"> for a 24-hour period</w:t>
      </w:r>
      <w:r w:rsidR="00AA31FA" w:rsidRPr="00AE396C">
        <w:rPr>
          <w:sz w:val="20"/>
          <w:szCs w:val="20"/>
          <w:lang w:val="en-GB"/>
        </w:rPr>
        <w:t xml:space="preserve"> </w:t>
      </w:r>
      <w:r w:rsidR="00A75D04" w:rsidRPr="00AE396C">
        <w:rPr>
          <w:sz w:val="20"/>
          <w:szCs w:val="20"/>
          <w:lang w:val="en-GB"/>
        </w:rPr>
        <w:t>is 306.00</w:t>
      </w:r>
      <w:r w:rsidR="00C61829" w:rsidRPr="00AE396C">
        <w:rPr>
          <w:sz w:val="20"/>
          <w:szCs w:val="20"/>
          <w:lang w:val="en-GB"/>
        </w:rPr>
        <w:t xml:space="preserve"> lei</w:t>
      </w:r>
      <w:r w:rsidR="00C61829" w:rsidRPr="00AE396C">
        <w:rPr>
          <w:rStyle w:val="FootnoteReference"/>
          <w:sz w:val="20"/>
          <w:szCs w:val="20"/>
          <w:lang w:val="en-GB"/>
        </w:rPr>
        <w:footnoteReference w:id="10"/>
      </w:r>
      <w:r w:rsidR="00C32141">
        <w:rPr>
          <w:sz w:val="20"/>
          <w:szCs w:val="20"/>
          <w:lang w:val="en-GB"/>
        </w:rPr>
        <w:t xml:space="preserve"> and according to p</w:t>
      </w:r>
      <w:r w:rsidR="00C61829" w:rsidRPr="00AE396C">
        <w:rPr>
          <w:sz w:val="20"/>
          <w:szCs w:val="20"/>
          <w:lang w:val="en-GB"/>
        </w:rPr>
        <w:t>oint I</w:t>
      </w:r>
      <w:r w:rsidR="0035610F">
        <w:rPr>
          <w:sz w:val="20"/>
          <w:szCs w:val="20"/>
          <w:lang w:val="en-GB"/>
        </w:rPr>
        <w:t>.</w:t>
      </w:r>
      <w:r w:rsidR="00C61829" w:rsidRPr="00AE396C">
        <w:rPr>
          <w:sz w:val="20"/>
          <w:szCs w:val="20"/>
          <w:lang w:val="en-GB"/>
        </w:rPr>
        <w:t>5</w:t>
      </w:r>
      <w:r w:rsidR="0035610F">
        <w:rPr>
          <w:sz w:val="20"/>
          <w:szCs w:val="20"/>
          <w:lang w:val="en-GB"/>
        </w:rPr>
        <w:t>.</w:t>
      </w:r>
      <w:r w:rsidR="00C61829" w:rsidRPr="00AE396C">
        <w:rPr>
          <w:sz w:val="20"/>
          <w:szCs w:val="20"/>
          <w:lang w:val="en-GB"/>
        </w:rPr>
        <w:t>2</w:t>
      </w:r>
      <w:r w:rsidR="0035610F">
        <w:rPr>
          <w:sz w:val="20"/>
          <w:szCs w:val="20"/>
          <w:lang w:val="en-GB"/>
        </w:rPr>
        <w:t>.</w:t>
      </w:r>
      <w:r w:rsidR="00C514A3" w:rsidRPr="00AE396C">
        <w:rPr>
          <w:sz w:val="20"/>
          <w:szCs w:val="20"/>
          <w:lang w:val="en-GB"/>
        </w:rPr>
        <w:t>1</w:t>
      </w:r>
      <w:r w:rsidR="00C61829" w:rsidRPr="00AE396C">
        <w:rPr>
          <w:sz w:val="20"/>
          <w:szCs w:val="20"/>
          <w:lang w:val="en-GB"/>
        </w:rPr>
        <w:t xml:space="preserve"> of annex</w:t>
      </w:r>
      <w:r w:rsidR="00C32141">
        <w:rPr>
          <w:sz w:val="20"/>
          <w:szCs w:val="20"/>
          <w:lang w:val="en-GB"/>
        </w:rPr>
        <w:t xml:space="preserve"> 2,</w:t>
      </w:r>
      <w:r w:rsidR="00C61829" w:rsidRPr="00AE396C">
        <w:rPr>
          <w:sz w:val="20"/>
          <w:szCs w:val="20"/>
          <w:lang w:val="en-GB"/>
        </w:rPr>
        <w:t xml:space="preserve"> the charges for </w:t>
      </w:r>
      <w:r w:rsidR="006E1771">
        <w:rPr>
          <w:sz w:val="20"/>
          <w:szCs w:val="20"/>
          <w:lang w:val="en-GB"/>
        </w:rPr>
        <w:t>“</w:t>
      </w:r>
      <w:r w:rsidR="00C61829" w:rsidRPr="00AE396C">
        <w:rPr>
          <w:sz w:val="20"/>
          <w:szCs w:val="20"/>
          <w:lang w:val="en-GB"/>
        </w:rPr>
        <w:t>water temperature</w:t>
      </w:r>
      <w:r w:rsidR="00C32141">
        <w:rPr>
          <w:sz w:val="20"/>
          <w:szCs w:val="20"/>
          <w:lang w:val="en-GB"/>
        </w:rPr>
        <w:t xml:space="preserve"> (spot measurement)</w:t>
      </w:r>
      <w:r w:rsidR="006E1771">
        <w:rPr>
          <w:sz w:val="20"/>
          <w:szCs w:val="20"/>
          <w:lang w:val="en-GB"/>
        </w:rPr>
        <w:t>”</w:t>
      </w:r>
      <w:r w:rsidR="00C61829" w:rsidRPr="00AE396C">
        <w:rPr>
          <w:sz w:val="20"/>
          <w:szCs w:val="20"/>
          <w:lang w:val="en-GB"/>
        </w:rPr>
        <w:t xml:space="preserve"> </w:t>
      </w:r>
      <w:r w:rsidR="007E3419">
        <w:rPr>
          <w:sz w:val="20"/>
          <w:szCs w:val="20"/>
          <w:lang w:val="en-GB"/>
        </w:rPr>
        <w:t>for a 24-hour period</w:t>
      </w:r>
      <w:r w:rsidR="00C61829" w:rsidRPr="00AE396C">
        <w:rPr>
          <w:sz w:val="20"/>
          <w:szCs w:val="20"/>
          <w:lang w:val="en-GB"/>
        </w:rPr>
        <w:t xml:space="preserve"> is </w:t>
      </w:r>
      <w:r w:rsidR="006E26EE" w:rsidRPr="00AE396C">
        <w:rPr>
          <w:sz w:val="20"/>
          <w:szCs w:val="20"/>
          <w:lang w:val="en-GB"/>
        </w:rPr>
        <w:t>29.60 lei.</w:t>
      </w:r>
      <w:r w:rsidR="006E26EE" w:rsidRPr="00AE396C">
        <w:rPr>
          <w:rStyle w:val="FootnoteReference"/>
          <w:sz w:val="20"/>
          <w:szCs w:val="20"/>
          <w:lang w:val="en-GB"/>
        </w:rPr>
        <w:footnoteReference w:id="11"/>
      </w:r>
      <w:r w:rsidR="00F560B1">
        <w:rPr>
          <w:sz w:val="20"/>
          <w:szCs w:val="20"/>
          <w:lang w:val="en-GB"/>
        </w:rPr>
        <w:t xml:space="preserve"> Charges for “specialized information</w:t>
      </w:r>
      <w:r w:rsidR="007E3419">
        <w:rPr>
          <w:sz w:val="20"/>
          <w:szCs w:val="20"/>
          <w:lang w:val="en-GB"/>
        </w:rPr>
        <w:t>”</w:t>
      </w:r>
      <w:r w:rsidR="00F560B1">
        <w:rPr>
          <w:sz w:val="20"/>
          <w:szCs w:val="20"/>
          <w:lang w:val="en-GB"/>
        </w:rPr>
        <w:t xml:space="preserve"> are set out in Part II of annex</w:t>
      </w:r>
      <w:r w:rsidR="007E3419">
        <w:rPr>
          <w:sz w:val="20"/>
          <w:szCs w:val="20"/>
          <w:lang w:val="en-GB"/>
        </w:rPr>
        <w:t xml:space="preserve"> 2</w:t>
      </w:r>
      <w:r w:rsidR="00F560B1">
        <w:rPr>
          <w:sz w:val="20"/>
          <w:szCs w:val="20"/>
          <w:lang w:val="en-GB"/>
        </w:rPr>
        <w:t xml:space="preserve">: for example, </w:t>
      </w:r>
      <w:r w:rsidR="009A6283">
        <w:rPr>
          <w:sz w:val="20"/>
          <w:szCs w:val="20"/>
          <w:lang w:val="en-GB"/>
        </w:rPr>
        <w:t>according to point II</w:t>
      </w:r>
      <w:r w:rsidR="007A6936">
        <w:rPr>
          <w:sz w:val="20"/>
          <w:szCs w:val="20"/>
          <w:lang w:val="en-GB"/>
        </w:rPr>
        <w:t xml:space="preserve">.4.1.2, the charges for </w:t>
      </w:r>
      <w:r w:rsidR="006E1771">
        <w:rPr>
          <w:sz w:val="20"/>
          <w:szCs w:val="20"/>
          <w:lang w:val="en-GB"/>
        </w:rPr>
        <w:t>“</w:t>
      </w:r>
      <w:r w:rsidR="007A6936">
        <w:rPr>
          <w:sz w:val="20"/>
          <w:szCs w:val="20"/>
          <w:lang w:val="en-GB"/>
        </w:rPr>
        <w:t>water discharge</w:t>
      </w:r>
      <w:r w:rsidR="006E1771">
        <w:rPr>
          <w:sz w:val="20"/>
          <w:szCs w:val="20"/>
          <w:lang w:val="en-GB"/>
        </w:rPr>
        <w:t>”</w:t>
      </w:r>
      <w:r w:rsidR="007A6936">
        <w:rPr>
          <w:sz w:val="20"/>
          <w:szCs w:val="20"/>
          <w:lang w:val="en-GB"/>
        </w:rPr>
        <w:t xml:space="preserve"> are 28.70 lei</w:t>
      </w:r>
      <w:r w:rsidR="00271D10">
        <w:rPr>
          <w:sz w:val="20"/>
          <w:szCs w:val="20"/>
          <w:lang w:val="en-GB"/>
        </w:rPr>
        <w:t xml:space="preserve"> per item of information</w:t>
      </w:r>
      <w:r w:rsidR="001B648E">
        <w:rPr>
          <w:rStyle w:val="FootnoteReference"/>
          <w:szCs w:val="20"/>
          <w:lang w:val="en-GB"/>
        </w:rPr>
        <w:footnoteReference w:id="12"/>
      </w:r>
      <w:r w:rsidR="00E420E1">
        <w:rPr>
          <w:sz w:val="20"/>
          <w:szCs w:val="20"/>
          <w:lang w:val="en-GB"/>
        </w:rPr>
        <w:t xml:space="preserve"> and according to p</w:t>
      </w:r>
      <w:r w:rsidR="00271D10">
        <w:rPr>
          <w:sz w:val="20"/>
          <w:szCs w:val="20"/>
          <w:lang w:val="en-GB"/>
        </w:rPr>
        <w:t>oint II.</w:t>
      </w:r>
      <w:r w:rsidR="00E420E1">
        <w:rPr>
          <w:sz w:val="20"/>
          <w:szCs w:val="20"/>
          <w:lang w:val="en-GB"/>
        </w:rPr>
        <w:t xml:space="preserve">2.1.4, the charges for </w:t>
      </w:r>
      <w:r w:rsidR="00E30E12">
        <w:rPr>
          <w:sz w:val="20"/>
          <w:szCs w:val="20"/>
          <w:lang w:val="en-GB"/>
        </w:rPr>
        <w:t>“</w:t>
      </w:r>
      <w:r w:rsidR="008A2847">
        <w:rPr>
          <w:sz w:val="20"/>
          <w:szCs w:val="20"/>
          <w:lang w:val="en-GB"/>
        </w:rPr>
        <w:t>meteorological</w:t>
      </w:r>
      <w:r w:rsidR="00C417DD">
        <w:rPr>
          <w:sz w:val="20"/>
          <w:szCs w:val="20"/>
          <w:lang w:val="en-GB"/>
        </w:rPr>
        <w:t xml:space="preserve"> data tables from meteorological stations</w:t>
      </w:r>
      <w:r w:rsidR="00E30E12">
        <w:rPr>
          <w:sz w:val="20"/>
          <w:szCs w:val="20"/>
          <w:lang w:val="en-GB"/>
        </w:rPr>
        <w:t>”</w:t>
      </w:r>
      <w:r w:rsidR="00C417DD">
        <w:rPr>
          <w:sz w:val="20"/>
          <w:szCs w:val="20"/>
          <w:lang w:val="en-GB"/>
        </w:rPr>
        <w:t xml:space="preserve"> </w:t>
      </w:r>
      <w:r w:rsidR="008A2847">
        <w:rPr>
          <w:sz w:val="20"/>
          <w:szCs w:val="20"/>
          <w:lang w:val="en-GB"/>
        </w:rPr>
        <w:t xml:space="preserve">is 2.50 lei for </w:t>
      </w:r>
      <w:r w:rsidR="002172E2">
        <w:rPr>
          <w:sz w:val="20"/>
          <w:szCs w:val="20"/>
          <w:lang w:val="en-GB"/>
        </w:rPr>
        <w:t>one</w:t>
      </w:r>
      <w:r w:rsidR="008A2847">
        <w:rPr>
          <w:sz w:val="20"/>
          <w:szCs w:val="20"/>
          <w:lang w:val="en-GB"/>
        </w:rPr>
        <w:t xml:space="preserve"> indicator at </w:t>
      </w:r>
      <w:r w:rsidR="002172E2">
        <w:rPr>
          <w:sz w:val="20"/>
          <w:szCs w:val="20"/>
          <w:lang w:val="en-GB"/>
        </w:rPr>
        <w:t>one</w:t>
      </w:r>
      <w:r w:rsidR="008A2847">
        <w:rPr>
          <w:sz w:val="20"/>
          <w:szCs w:val="20"/>
          <w:lang w:val="en-GB"/>
        </w:rPr>
        <w:t xml:space="preserve"> station for a 24 hour period.</w:t>
      </w:r>
      <w:r w:rsidR="008A2847">
        <w:rPr>
          <w:rStyle w:val="FootnoteReference"/>
          <w:szCs w:val="20"/>
          <w:lang w:val="en-GB"/>
        </w:rPr>
        <w:footnoteReference w:id="13"/>
      </w:r>
      <w:r w:rsidR="007D77C0">
        <w:rPr>
          <w:sz w:val="20"/>
          <w:szCs w:val="20"/>
          <w:lang w:val="en-GB"/>
        </w:rPr>
        <w:t xml:space="preserve"> The annex is set out in the format</w:t>
      </w:r>
      <w:r w:rsidR="00F03AD7">
        <w:rPr>
          <w:sz w:val="20"/>
          <w:szCs w:val="20"/>
          <w:lang w:val="en-GB"/>
        </w:rPr>
        <w:t xml:space="preserve"> below</w:t>
      </w:r>
      <w:r w:rsidR="007D77C0">
        <w:rPr>
          <w:sz w:val="20"/>
          <w:szCs w:val="20"/>
          <w:lang w:val="en-GB"/>
        </w:rPr>
        <w:t>.</w:t>
      </w:r>
      <w:bookmarkEnd w:id="7"/>
    </w:p>
    <w:tbl>
      <w:tblPr>
        <w:tblStyle w:val="TableGrid"/>
        <w:tblW w:w="0" w:type="auto"/>
        <w:tblInd w:w="1134" w:type="dxa"/>
        <w:tblLook w:val="04A0" w:firstRow="1" w:lastRow="0" w:firstColumn="1" w:lastColumn="0" w:noHBand="0" w:noVBand="1"/>
      </w:tblPr>
      <w:tblGrid>
        <w:gridCol w:w="704"/>
        <w:gridCol w:w="5528"/>
        <w:gridCol w:w="1389"/>
      </w:tblGrid>
      <w:tr w:rsidR="00581966" w14:paraId="5EF54BB6" w14:textId="77777777" w:rsidTr="00244E8A">
        <w:tc>
          <w:tcPr>
            <w:tcW w:w="704" w:type="dxa"/>
          </w:tcPr>
          <w:p w14:paraId="532478E5" w14:textId="6E75E1D5" w:rsidR="00F061A4" w:rsidRPr="00581966" w:rsidRDefault="000D2C4C" w:rsidP="00244E8A">
            <w:pPr>
              <w:pStyle w:val="SingleTxtG"/>
              <w:tabs>
                <w:tab w:val="right" w:pos="567"/>
              </w:tabs>
              <w:ind w:left="0" w:right="0"/>
              <w:jc w:val="left"/>
              <w:rPr>
                <w:b/>
                <w:bCs/>
                <w:sz w:val="20"/>
                <w:szCs w:val="20"/>
                <w:lang w:val="en-GB"/>
              </w:rPr>
            </w:pPr>
            <w:r w:rsidRPr="00581966">
              <w:rPr>
                <w:b/>
                <w:bCs/>
                <w:sz w:val="20"/>
                <w:szCs w:val="20"/>
                <w:lang w:val="en-GB"/>
              </w:rPr>
              <w:t xml:space="preserve">No. </w:t>
            </w:r>
          </w:p>
        </w:tc>
        <w:tc>
          <w:tcPr>
            <w:tcW w:w="5528" w:type="dxa"/>
          </w:tcPr>
          <w:p w14:paraId="393EB9BD" w14:textId="3F51552D" w:rsidR="00F061A4" w:rsidRPr="00581966" w:rsidRDefault="000D2C4C" w:rsidP="00244E8A">
            <w:pPr>
              <w:pStyle w:val="SingleTxtG"/>
              <w:tabs>
                <w:tab w:val="right" w:pos="567"/>
              </w:tabs>
              <w:ind w:left="0" w:right="0"/>
              <w:jc w:val="left"/>
              <w:rPr>
                <w:b/>
                <w:bCs/>
                <w:sz w:val="20"/>
                <w:szCs w:val="20"/>
                <w:lang w:val="en-GB"/>
              </w:rPr>
            </w:pPr>
            <w:r w:rsidRPr="00581966">
              <w:rPr>
                <w:b/>
                <w:bCs/>
                <w:sz w:val="20"/>
                <w:szCs w:val="20"/>
                <w:lang w:val="en-GB"/>
              </w:rPr>
              <w:t>Service</w:t>
            </w:r>
          </w:p>
        </w:tc>
        <w:tc>
          <w:tcPr>
            <w:tcW w:w="1389" w:type="dxa"/>
          </w:tcPr>
          <w:p w14:paraId="36686B9E" w14:textId="0CEF223F" w:rsidR="00F061A4" w:rsidRPr="00581966" w:rsidRDefault="000D2C4C" w:rsidP="00F061A4">
            <w:pPr>
              <w:pStyle w:val="SingleTxtG"/>
              <w:tabs>
                <w:tab w:val="right" w:pos="567"/>
              </w:tabs>
              <w:ind w:left="0" w:right="0"/>
              <w:rPr>
                <w:b/>
                <w:bCs/>
                <w:sz w:val="20"/>
                <w:szCs w:val="20"/>
                <w:lang w:val="en-GB"/>
              </w:rPr>
            </w:pPr>
            <w:r w:rsidRPr="00581966">
              <w:rPr>
                <w:b/>
                <w:bCs/>
                <w:sz w:val="20"/>
                <w:szCs w:val="20"/>
                <w:lang w:val="en-GB"/>
              </w:rPr>
              <w:t>Tariff (in lei)</w:t>
            </w:r>
          </w:p>
        </w:tc>
      </w:tr>
      <w:tr w:rsidR="00BE3410" w14:paraId="094F9198" w14:textId="77777777" w:rsidTr="00244E8A">
        <w:tc>
          <w:tcPr>
            <w:tcW w:w="704" w:type="dxa"/>
          </w:tcPr>
          <w:p w14:paraId="2AE05B14" w14:textId="77777777" w:rsidR="00BE3410" w:rsidRPr="00581966" w:rsidRDefault="00BE3410" w:rsidP="00244E8A">
            <w:pPr>
              <w:pStyle w:val="SingleTxtG"/>
              <w:tabs>
                <w:tab w:val="right" w:pos="567"/>
              </w:tabs>
              <w:ind w:left="0" w:right="0"/>
              <w:jc w:val="left"/>
              <w:rPr>
                <w:b/>
                <w:bCs/>
                <w:sz w:val="20"/>
                <w:szCs w:val="20"/>
                <w:lang w:val="en-GB"/>
              </w:rPr>
            </w:pPr>
          </w:p>
        </w:tc>
        <w:tc>
          <w:tcPr>
            <w:tcW w:w="5528" w:type="dxa"/>
          </w:tcPr>
          <w:p w14:paraId="7C12CF13" w14:textId="573DFB07" w:rsidR="00BE3410" w:rsidRPr="00581966" w:rsidRDefault="00BE3410" w:rsidP="00244E8A">
            <w:pPr>
              <w:pStyle w:val="SingleTxtG"/>
              <w:tabs>
                <w:tab w:val="right" w:pos="567"/>
              </w:tabs>
              <w:ind w:left="0" w:right="0"/>
              <w:jc w:val="left"/>
              <w:rPr>
                <w:b/>
                <w:bCs/>
                <w:sz w:val="20"/>
                <w:szCs w:val="20"/>
                <w:lang w:val="en-GB"/>
              </w:rPr>
            </w:pPr>
            <w:r>
              <w:rPr>
                <w:b/>
                <w:bCs/>
                <w:sz w:val="20"/>
                <w:szCs w:val="20"/>
                <w:lang w:val="en-GB"/>
              </w:rPr>
              <w:t>I. PRIMARY HYDROMETE</w:t>
            </w:r>
            <w:r w:rsidR="00CE6DE9">
              <w:rPr>
                <w:b/>
                <w:bCs/>
                <w:sz w:val="20"/>
                <w:szCs w:val="20"/>
                <w:lang w:val="en-GB"/>
              </w:rPr>
              <w:t>OROLOGICAL INFORMATION</w:t>
            </w:r>
          </w:p>
        </w:tc>
        <w:tc>
          <w:tcPr>
            <w:tcW w:w="1389" w:type="dxa"/>
          </w:tcPr>
          <w:p w14:paraId="789F10AC" w14:textId="77777777" w:rsidR="00BE3410" w:rsidRDefault="00BE3410" w:rsidP="00F061A4">
            <w:pPr>
              <w:pStyle w:val="SingleTxtG"/>
              <w:tabs>
                <w:tab w:val="right" w:pos="567"/>
              </w:tabs>
              <w:ind w:left="0" w:right="0"/>
              <w:rPr>
                <w:sz w:val="20"/>
                <w:szCs w:val="20"/>
                <w:lang w:val="en-GB"/>
              </w:rPr>
            </w:pPr>
          </w:p>
        </w:tc>
      </w:tr>
      <w:tr w:rsidR="00CE6DE9" w14:paraId="10CDCF3D" w14:textId="77777777" w:rsidTr="00F03AD7">
        <w:tc>
          <w:tcPr>
            <w:tcW w:w="7621" w:type="dxa"/>
            <w:gridSpan w:val="3"/>
          </w:tcPr>
          <w:p w14:paraId="28564625" w14:textId="61BD02AB" w:rsidR="00CE6DE9" w:rsidRDefault="00CE6DE9" w:rsidP="00F061A4">
            <w:pPr>
              <w:pStyle w:val="SingleTxtG"/>
              <w:tabs>
                <w:tab w:val="right" w:pos="567"/>
              </w:tabs>
              <w:ind w:left="0" w:right="0"/>
              <w:rPr>
                <w:sz w:val="20"/>
                <w:szCs w:val="20"/>
                <w:lang w:val="en-GB"/>
              </w:rPr>
            </w:pPr>
            <w:r>
              <w:rPr>
                <w:sz w:val="20"/>
                <w:szCs w:val="20"/>
                <w:lang w:val="en-GB"/>
              </w:rPr>
              <w:t xml:space="preserve"> … </w:t>
            </w:r>
          </w:p>
        </w:tc>
      </w:tr>
      <w:tr w:rsidR="00581966" w14:paraId="568580E0" w14:textId="77777777" w:rsidTr="00244E8A">
        <w:tc>
          <w:tcPr>
            <w:tcW w:w="704" w:type="dxa"/>
          </w:tcPr>
          <w:p w14:paraId="0366719E" w14:textId="50254741" w:rsidR="00F061A4" w:rsidRPr="00581966" w:rsidRDefault="000D2C4C" w:rsidP="00244E8A">
            <w:pPr>
              <w:pStyle w:val="SingleTxtG"/>
              <w:tabs>
                <w:tab w:val="right" w:pos="567"/>
              </w:tabs>
              <w:ind w:left="0" w:right="0"/>
              <w:jc w:val="left"/>
              <w:rPr>
                <w:b/>
                <w:bCs/>
                <w:sz w:val="20"/>
                <w:szCs w:val="20"/>
                <w:lang w:val="en-GB"/>
              </w:rPr>
            </w:pPr>
            <w:r w:rsidRPr="00581966">
              <w:rPr>
                <w:b/>
                <w:bCs/>
                <w:sz w:val="20"/>
                <w:szCs w:val="20"/>
                <w:lang w:val="en-GB"/>
              </w:rPr>
              <w:t>5.</w:t>
            </w:r>
          </w:p>
        </w:tc>
        <w:tc>
          <w:tcPr>
            <w:tcW w:w="5528" w:type="dxa"/>
          </w:tcPr>
          <w:p w14:paraId="0C216E7A" w14:textId="7BA9AC61" w:rsidR="00F061A4" w:rsidRPr="00581966" w:rsidRDefault="000D2C4C" w:rsidP="00244E8A">
            <w:pPr>
              <w:pStyle w:val="SingleTxtG"/>
              <w:tabs>
                <w:tab w:val="right" w:pos="567"/>
              </w:tabs>
              <w:ind w:left="0" w:right="0"/>
              <w:jc w:val="left"/>
              <w:rPr>
                <w:b/>
                <w:bCs/>
                <w:sz w:val="20"/>
                <w:szCs w:val="20"/>
                <w:lang w:val="en-GB"/>
              </w:rPr>
            </w:pPr>
            <w:r w:rsidRPr="00581966">
              <w:rPr>
                <w:b/>
                <w:bCs/>
                <w:sz w:val="20"/>
                <w:szCs w:val="20"/>
                <w:lang w:val="en-GB"/>
              </w:rPr>
              <w:t>Hydrological information</w:t>
            </w:r>
          </w:p>
        </w:tc>
        <w:tc>
          <w:tcPr>
            <w:tcW w:w="1389" w:type="dxa"/>
          </w:tcPr>
          <w:p w14:paraId="7997FB02" w14:textId="77777777" w:rsidR="00F061A4" w:rsidRDefault="00F061A4" w:rsidP="00F061A4">
            <w:pPr>
              <w:pStyle w:val="SingleTxtG"/>
              <w:tabs>
                <w:tab w:val="right" w:pos="567"/>
              </w:tabs>
              <w:ind w:left="0" w:right="0"/>
              <w:rPr>
                <w:sz w:val="20"/>
                <w:szCs w:val="20"/>
                <w:lang w:val="en-GB"/>
              </w:rPr>
            </w:pPr>
          </w:p>
        </w:tc>
      </w:tr>
      <w:tr w:rsidR="00581966" w14:paraId="75AF148E" w14:textId="77777777" w:rsidTr="00244E8A">
        <w:tc>
          <w:tcPr>
            <w:tcW w:w="704" w:type="dxa"/>
          </w:tcPr>
          <w:p w14:paraId="5AADE2AC" w14:textId="3CA4F880" w:rsidR="00F061A4" w:rsidRPr="00581966" w:rsidRDefault="000D2C4C" w:rsidP="00244E8A">
            <w:pPr>
              <w:pStyle w:val="SingleTxtG"/>
              <w:tabs>
                <w:tab w:val="right" w:pos="567"/>
              </w:tabs>
              <w:ind w:left="0" w:right="0"/>
              <w:jc w:val="left"/>
              <w:rPr>
                <w:sz w:val="20"/>
                <w:szCs w:val="20"/>
                <w:u w:val="single"/>
                <w:lang w:val="en-GB"/>
              </w:rPr>
            </w:pPr>
            <w:r w:rsidRPr="00581966">
              <w:rPr>
                <w:sz w:val="20"/>
                <w:szCs w:val="20"/>
                <w:u w:val="single"/>
                <w:lang w:val="en-GB"/>
              </w:rPr>
              <w:t>5.1</w:t>
            </w:r>
            <w:r w:rsidR="00244E8A">
              <w:rPr>
                <w:sz w:val="20"/>
                <w:szCs w:val="20"/>
                <w:u w:val="single"/>
                <w:lang w:val="en-GB"/>
              </w:rPr>
              <w:t>.</w:t>
            </w:r>
          </w:p>
        </w:tc>
        <w:tc>
          <w:tcPr>
            <w:tcW w:w="5528" w:type="dxa"/>
          </w:tcPr>
          <w:p w14:paraId="5BDDBD65" w14:textId="31410FCA" w:rsidR="00F061A4" w:rsidRPr="00581966" w:rsidRDefault="000D2C4C" w:rsidP="00244E8A">
            <w:pPr>
              <w:pStyle w:val="SingleTxtG"/>
              <w:tabs>
                <w:tab w:val="right" w:pos="567"/>
              </w:tabs>
              <w:ind w:left="0" w:right="0"/>
              <w:jc w:val="left"/>
              <w:rPr>
                <w:sz w:val="20"/>
                <w:szCs w:val="20"/>
                <w:u w:val="single"/>
                <w:lang w:val="en-GB"/>
              </w:rPr>
            </w:pPr>
            <w:r w:rsidRPr="00581966">
              <w:rPr>
                <w:sz w:val="20"/>
                <w:szCs w:val="20"/>
                <w:u w:val="single"/>
                <w:lang w:val="en-GB"/>
              </w:rPr>
              <w:t>Water level (for a 24-hour period)</w:t>
            </w:r>
          </w:p>
        </w:tc>
        <w:tc>
          <w:tcPr>
            <w:tcW w:w="1389" w:type="dxa"/>
          </w:tcPr>
          <w:p w14:paraId="64B7AE85" w14:textId="77777777" w:rsidR="00F061A4" w:rsidRDefault="00F061A4" w:rsidP="00F061A4">
            <w:pPr>
              <w:pStyle w:val="SingleTxtG"/>
              <w:tabs>
                <w:tab w:val="right" w:pos="567"/>
              </w:tabs>
              <w:ind w:left="0" w:right="0"/>
              <w:rPr>
                <w:sz w:val="20"/>
                <w:szCs w:val="20"/>
                <w:lang w:val="en-GB"/>
              </w:rPr>
            </w:pPr>
          </w:p>
        </w:tc>
      </w:tr>
      <w:tr w:rsidR="00581966" w14:paraId="6195DA93" w14:textId="77777777" w:rsidTr="00244E8A">
        <w:tc>
          <w:tcPr>
            <w:tcW w:w="704" w:type="dxa"/>
          </w:tcPr>
          <w:p w14:paraId="58B48F89" w14:textId="32AC8163" w:rsidR="00F061A4" w:rsidRDefault="00912E3D" w:rsidP="00244E8A">
            <w:pPr>
              <w:pStyle w:val="SingleTxtG"/>
              <w:tabs>
                <w:tab w:val="right" w:pos="567"/>
              </w:tabs>
              <w:ind w:left="0" w:right="0"/>
              <w:jc w:val="left"/>
              <w:rPr>
                <w:sz w:val="20"/>
                <w:szCs w:val="20"/>
                <w:lang w:val="en-GB"/>
              </w:rPr>
            </w:pPr>
            <w:r>
              <w:rPr>
                <w:sz w:val="20"/>
                <w:szCs w:val="20"/>
                <w:lang w:val="en-GB"/>
              </w:rPr>
              <w:t>5.1.1.</w:t>
            </w:r>
          </w:p>
        </w:tc>
        <w:tc>
          <w:tcPr>
            <w:tcW w:w="5528" w:type="dxa"/>
          </w:tcPr>
          <w:p w14:paraId="21F34FAA" w14:textId="374F4613" w:rsidR="00F061A4" w:rsidRDefault="00912E3D" w:rsidP="00244E8A">
            <w:pPr>
              <w:pStyle w:val="SingleTxtG"/>
              <w:tabs>
                <w:tab w:val="right" w:pos="567"/>
              </w:tabs>
              <w:ind w:left="0" w:right="0"/>
              <w:jc w:val="left"/>
              <w:rPr>
                <w:sz w:val="20"/>
                <w:szCs w:val="20"/>
                <w:lang w:val="en-GB"/>
              </w:rPr>
            </w:pPr>
            <w:r>
              <w:rPr>
                <w:sz w:val="20"/>
                <w:szCs w:val="20"/>
                <w:lang w:val="en-GB"/>
              </w:rPr>
              <w:t>Gauged water level and water stage-discharge relationship</w:t>
            </w:r>
          </w:p>
        </w:tc>
        <w:tc>
          <w:tcPr>
            <w:tcW w:w="1389" w:type="dxa"/>
          </w:tcPr>
          <w:p w14:paraId="0E43FEE2" w14:textId="7F83FE29" w:rsidR="00F061A4" w:rsidRDefault="00912E3D" w:rsidP="00F061A4">
            <w:pPr>
              <w:pStyle w:val="SingleTxtG"/>
              <w:tabs>
                <w:tab w:val="right" w:pos="567"/>
              </w:tabs>
              <w:ind w:left="0" w:right="0"/>
              <w:rPr>
                <w:sz w:val="20"/>
                <w:szCs w:val="20"/>
                <w:lang w:val="en-GB"/>
              </w:rPr>
            </w:pPr>
            <w:r>
              <w:rPr>
                <w:sz w:val="20"/>
                <w:szCs w:val="20"/>
                <w:lang w:val="en-GB"/>
              </w:rPr>
              <w:t>28.30</w:t>
            </w:r>
          </w:p>
        </w:tc>
      </w:tr>
      <w:tr w:rsidR="00581966" w14:paraId="3B078149" w14:textId="77777777" w:rsidTr="00244E8A">
        <w:tc>
          <w:tcPr>
            <w:tcW w:w="704" w:type="dxa"/>
          </w:tcPr>
          <w:p w14:paraId="4CEF1544" w14:textId="07739742" w:rsidR="00F061A4" w:rsidRDefault="00912E3D" w:rsidP="00244E8A">
            <w:pPr>
              <w:pStyle w:val="SingleTxtG"/>
              <w:tabs>
                <w:tab w:val="right" w:pos="567"/>
              </w:tabs>
              <w:ind w:left="0" w:right="0"/>
              <w:jc w:val="left"/>
              <w:rPr>
                <w:sz w:val="20"/>
                <w:szCs w:val="20"/>
                <w:lang w:val="en-GB"/>
              </w:rPr>
            </w:pPr>
            <w:r>
              <w:rPr>
                <w:sz w:val="20"/>
                <w:szCs w:val="20"/>
                <w:lang w:val="en-GB"/>
              </w:rPr>
              <w:t>5.1.2.</w:t>
            </w:r>
          </w:p>
        </w:tc>
        <w:tc>
          <w:tcPr>
            <w:tcW w:w="5528" w:type="dxa"/>
          </w:tcPr>
          <w:p w14:paraId="0B0F9FB5" w14:textId="0EDAB260" w:rsidR="00F061A4" w:rsidRDefault="00912E3D" w:rsidP="00244E8A">
            <w:pPr>
              <w:pStyle w:val="SingleTxtG"/>
              <w:tabs>
                <w:tab w:val="right" w:pos="567"/>
              </w:tabs>
              <w:ind w:left="0" w:right="0"/>
              <w:jc w:val="left"/>
              <w:rPr>
                <w:sz w:val="20"/>
                <w:szCs w:val="20"/>
                <w:lang w:val="en-GB"/>
              </w:rPr>
            </w:pPr>
            <w:r>
              <w:rPr>
                <w:sz w:val="20"/>
                <w:szCs w:val="20"/>
                <w:lang w:val="en-GB"/>
              </w:rPr>
              <w:t>Stream gauging</w:t>
            </w:r>
          </w:p>
        </w:tc>
        <w:tc>
          <w:tcPr>
            <w:tcW w:w="1389" w:type="dxa"/>
          </w:tcPr>
          <w:p w14:paraId="716E9999" w14:textId="427647FA" w:rsidR="00F061A4" w:rsidRDefault="00581966" w:rsidP="00F061A4">
            <w:pPr>
              <w:pStyle w:val="SingleTxtG"/>
              <w:tabs>
                <w:tab w:val="right" w:pos="567"/>
              </w:tabs>
              <w:ind w:left="0" w:right="0"/>
              <w:rPr>
                <w:sz w:val="20"/>
                <w:szCs w:val="20"/>
                <w:lang w:val="en-GB"/>
              </w:rPr>
            </w:pPr>
            <w:r>
              <w:rPr>
                <w:sz w:val="20"/>
                <w:szCs w:val="20"/>
                <w:lang w:val="en-GB"/>
              </w:rPr>
              <w:t>306.00</w:t>
            </w:r>
          </w:p>
        </w:tc>
      </w:tr>
      <w:tr w:rsidR="00581966" w14:paraId="6B70709E" w14:textId="77777777" w:rsidTr="00244E8A">
        <w:tc>
          <w:tcPr>
            <w:tcW w:w="704" w:type="dxa"/>
          </w:tcPr>
          <w:p w14:paraId="29F7AD5B" w14:textId="1FDE14F4" w:rsidR="00F061A4" w:rsidRPr="00581966" w:rsidRDefault="00581966" w:rsidP="00244E8A">
            <w:pPr>
              <w:pStyle w:val="SingleTxtG"/>
              <w:tabs>
                <w:tab w:val="right" w:pos="567"/>
              </w:tabs>
              <w:ind w:left="0" w:right="0"/>
              <w:jc w:val="left"/>
              <w:rPr>
                <w:sz w:val="20"/>
                <w:szCs w:val="20"/>
                <w:u w:val="single"/>
                <w:lang w:val="en-GB"/>
              </w:rPr>
            </w:pPr>
            <w:r w:rsidRPr="00581966">
              <w:rPr>
                <w:sz w:val="20"/>
                <w:szCs w:val="20"/>
                <w:u w:val="single"/>
                <w:lang w:val="en-GB"/>
              </w:rPr>
              <w:t>5.2</w:t>
            </w:r>
            <w:r w:rsidR="00244E8A">
              <w:rPr>
                <w:sz w:val="20"/>
                <w:szCs w:val="20"/>
                <w:u w:val="single"/>
                <w:lang w:val="en-GB"/>
              </w:rPr>
              <w:t>.</w:t>
            </w:r>
          </w:p>
        </w:tc>
        <w:tc>
          <w:tcPr>
            <w:tcW w:w="5528" w:type="dxa"/>
          </w:tcPr>
          <w:p w14:paraId="1DC23BC0" w14:textId="461A1888" w:rsidR="00F061A4" w:rsidRPr="00581966" w:rsidRDefault="00581966" w:rsidP="00244E8A">
            <w:pPr>
              <w:pStyle w:val="SingleTxtG"/>
              <w:tabs>
                <w:tab w:val="right" w:pos="567"/>
              </w:tabs>
              <w:ind w:left="0" w:right="0"/>
              <w:jc w:val="left"/>
              <w:rPr>
                <w:sz w:val="20"/>
                <w:szCs w:val="20"/>
                <w:u w:val="single"/>
                <w:lang w:val="en-GB"/>
              </w:rPr>
            </w:pPr>
            <w:r w:rsidRPr="00581966">
              <w:rPr>
                <w:sz w:val="20"/>
                <w:szCs w:val="20"/>
                <w:u w:val="single"/>
                <w:lang w:val="en-GB"/>
              </w:rPr>
              <w:t>Water temperature (for a 24-hour period)</w:t>
            </w:r>
          </w:p>
        </w:tc>
        <w:tc>
          <w:tcPr>
            <w:tcW w:w="1389" w:type="dxa"/>
          </w:tcPr>
          <w:p w14:paraId="3F7AF75D" w14:textId="77777777" w:rsidR="00F061A4" w:rsidRDefault="00F061A4" w:rsidP="00F061A4">
            <w:pPr>
              <w:pStyle w:val="SingleTxtG"/>
              <w:tabs>
                <w:tab w:val="right" w:pos="567"/>
              </w:tabs>
              <w:ind w:left="0" w:right="0"/>
              <w:rPr>
                <w:sz w:val="20"/>
                <w:szCs w:val="20"/>
                <w:lang w:val="en-GB"/>
              </w:rPr>
            </w:pPr>
          </w:p>
        </w:tc>
      </w:tr>
      <w:tr w:rsidR="00581966" w14:paraId="0512BFB2" w14:textId="77777777" w:rsidTr="00244E8A">
        <w:tc>
          <w:tcPr>
            <w:tcW w:w="704" w:type="dxa"/>
          </w:tcPr>
          <w:p w14:paraId="539D4253" w14:textId="1393EF49" w:rsidR="00F061A4" w:rsidRDefault="00581966" w:rsidP="00244E8A">
            <w:pPr>
              <w:pStyle w:val="SingleTxtG"/>
              <w:tabs>
                <w:tab w:val="right" w:pos="567"/>
              </w:tabs>
              <w:ind w:left="0" w:right="0"/>
              <w:jc w:val="left"/>
              <w:rPr>
                <w:sz w:val="20"/>
                <w:szCs w:val="20"/>
                <w:lang w:val="en-GB"/>
              </w:rPr>
            </w:pPr>
            <w:r>
              <w:rPr>
                <w:sz w:val="20"/>
                <w:szCs w:val="20"/>
                <w:lang w:val="en-GB"/>
              </w:rPr>
              <w:t>5.2.1.</w:t>
            </w:r>
          </w:p>
        </w:tc>
        <w:tc>
          <w:tcPr>
            <w:tcW w:w="5528" w:type="dxa"/>
          </w:tcPr>
          <w:p w14:paraId="53065DC4" w14:textId="2534486E" w:rsidR="00F061A4" w:rsidRDefault="00244E8A" w:rsidP="00244E8A">
            <w:pPr>
              <w:pStyle w:val="SingleTxtG"/>
              <w:tabs>
                <w:tab w:val="right" w:pos="567"/>
              </w:tabs>
              <w:ind w:left="0" w:right="0"/>
              <w:jc w:val="left"/>
              <w:rPr>
                <w:sz w:val="20"/>
                <w:szCs w:val="20"/>
                <w:lang w:val="en-GB"/>
              </w:rPr>
            </w:pPr>
            <w:r>
              <w:rPr>
                <w:sz w:val="20"/>
                <w:szCs w:val="20"/>
                <w:lang w:val="en-GB"/>
              </w:rPr>
              <w:t>Water temperature (spot measurement)</w:t>
            </w:r>
          </w:p>
        </w:tc>
        <w:tc>
          <w:tcPr>
            <w:tcW w:w="1389" w:type="dxa"/>
          </w:tcPr>
          <w:p w14:paraId="36480C75" w14:textId="3C5137DB" w:rsidR="00F061A4" w:rsidRDefault="00244E8A" w:rsidP="00F061A4">
            <w:pPr>
              <w:pStyle w:val="SingleTxtG"/>
              <w:tabs>
                <w:tab w:val="right" w:pos="567"/>
              </w:tabs>
              <w:ind w:left="0" w:right="0"/>
              <w:rPr>
                <w:sz w:val="20"/>
                <w:szCs w:val="20"/>
                <w:lang w:val="en-GB"/>
              </w:rPr>
            </w:pPr>
            <w:r>
              <w:rPr>
                <w:sz w:val="20"/>
                <w:szCs w:val="20"/>
                <w:lang w:val="en-GB"/>
              </w:rPr>
              <w:t>29.60</w:t>
            </w:r>
          </w:p>
        </w:tc>
      </w:tr>
      <w:tr w:rsidR="00CE6DE9" w14:paraId="5CA9856A" w14:textId="77777777" w:rsidTr="00F03AD7">
        <w:tc>
          <w:tcPr>
            <w:tcW w:w="7621" w:type="dxa"/>
            <w:gridSpan w:val="3"/>
          </w:tcPr>
          <w:p w14:paraId="1EB68F70" w14:textId="6C8183D2" w:rsidR="00CE6DE9" w:rsidRDefault="00CE6DE9" w:rsidP="00F061A4">
            <w:pPr>
              <w:pStyle w:val="SingleTxtG"/>
              <w:tabs>
                <w:tab w:val="right" w:pos="567"/>
              </w:tabs>
              <w:ind w:left="0" w:right="0"/>
              <w:rPr>
                <w:sz w:val="20"/>
                <w:szCs w:val="20"/>
                <w:lang w:val="en-GB"/>
              </w:rPr>
            </w:pPr>
            <w:r>
              <w:rPr>
                <w:sz w:val="20"/>
                <w:szCs w:val="20"/>
                <w:lang w:val="en-GB"/>
              </w:rPr>
              <w:t xml:space="preserve"> … </w:t>
            </w:r>
          </w:p>
        </w:tc>
      </w:tr>
      <w:tr w:rsidR="00CE6DE9" w14:paraId="0540B98E" w14:textId="77777777" w:rsidTr="00244E8A">
        <w:tc>
          <w:tcPr>
            <w:tcW w:w="704" w:type="dxa"/>
          </w:tcPr>
          <w:p w14:paraId="03D96B87" w14:textId="77777777" w:rsidR="00CE6DE9" w:rsidRDefault="00CE6DE9" w:rsidP="00244E8A">
            <w:pPr>
              <w:pStyle w:val="SingleTxtG"/>
              <w:tabs>
                <w:tab w:val="right" w:pos="567"/>
              </w:tabs>
              <w:ind w:left="0" w:right="0"/>
              <w:jc w:val="left"/>
              <w:rPr>
                <w:sz w:val="20"/>
                <w:szCs w:val="20"/>
                <w:lang w:val="en-GB"/>
              </w:rPr>
            </w:pPr>
          </w:p>
        </w:tc>
        <w:tc>
          <w:tcPr>
            <w:tcW w:w="5528" w:type="dxa"/>
          </w:tcPr>
          <w:p w14:paraId="46FECEB8" w14:textId="4EAF53A6" w:rsidR="00CE6DE9" w:rsidRPr="00CE6DE9" w:rsidRDefault="00CE6DE9" w:rsidP="00244E8A">
            <w:pPr>
              <w:pStyle w:val="SingleTxtG"/>
              <w:tabs>
                <w:tab w:val="right" w:pos="567"/>
              </w:tabs>
              <w:ind w:left="0" w:right="0"/>
              <w:jc w:val="left"/>
              <w:rPr>
                <w:b/>
                <w:bCs/>
                <w:sz w:val="20"/>
                <w:szCs w:val="20"/>
                <w:lang w:val="en-GB"/>
              </w:rPr>
            </w:pPr>
            <w:r>
              <w:rPr>
                <w:b/>
                <w:bCs/>
                <w:sz w:val="20"/>
                <w:szCs w:val="20"/>
                <w:lang w:val="en-GB"/>
              </w:rPr>
              <w:t xml:space="preserve">II. SPECIALIZED </w:t>
            </w:r>
            <w:r w:rsidR="008B0513">
              <w:rPr>
                <w:b/>
                <w:bCs/>
                <w:sz w:val="20"/>
                <w:szCs w:val="20"/>
                <w:lang w:val="en-GB"/>
              </w:rPr>
              <w:br/>
            </w:r>
            <w:r>
              <w:rPr>
                <w:b/>
                <w:bCs/>
                <w:sz w:val="20"/>
                <w:szCs w:val="20"/>
                <w:lang w:val="en-GB"/>
              </w:rPr>
              <w:t>HYDROMETEOROLOGICAL INFORMATION</w:t>
            </w:r>
          </w:p>
        </w:tc>
        <w:tc>
          <w:tcPr>
            <w:tcW w:w="1389" w:type="dxa"/>
          </w:tcPr>
          <w:p w14:paraId="384D36EB" w14:textId="77777777" w:rsidR="00CE6DE9" w:rsidRDefault="00CE6DE9" w:rsidP="00F061A4">
            <w:pPr>
              <w:pStyle w:val="SingleTxtG"/>
              <w:tabs>
                <w:tab w:val="right" w:pos="567"/>
              </w:tabs>
              <w:ind w:left="0" w:right="0"/>
              <w:rPr>
                <w:sz w:val="20"/>
                <w:szCs w:val="20"/>
                <w:lang w:val="en-GB"/>
              </w:rPr>
            </w:pPr>
          </w:p>
        </w:tc>
      </w:tr>
      <w:tr w:rsidR="008B0513" w14:paraId="04F814C4" w14:textId="77777777" w:rsidTr="00F03AD7">
        <w:tc>
          <w:tcPr>
            <w:tcW w:w="7621" w:type="dxa"/>
            <w:gridSpan w:val="3"/>
          </w:tcPr>
          <w:p w14:paraId="6BF72FF7" w14:textId="1DBA8573" w:rsidR="008B0513" w:rsidRDefault="008B0513" w:rsidP="00F061A4">
            <w:pPr>
              <w:pStyle w:val="SingleTxtG"/>
              <w:tabs>
                <w:tab w:val="right" w:pos="567"/>
              </w:tabs>
              <w:ind w:left="0" w:right="0"/>
              <w:rPr>
                <w:sz w:val="20"/>
                <w:szCs w:val="20"/>
                <w:lang w:val="en-GB"/>
              </w:rPr>
            </w:pPr>
            <w:r>
              <w:rPr>
                <w:sz w:val="20"/>
                <w:szCs w:val="20"/>
                <w:lang w:val="en-GB"/>
              </w:rPr>
              <w:t xml:space="preserve"> … </w:t>
            </w:r>
          </w:p>
        </w:tc>
      </w:tr>
      <w:tr w:rsidR="00CE6DE9" w14:paraId="0B226289" w14:textId="77777777" w:rsidTr="00244E8A">
        <w:tc>
          <w:tcPr>
            <w:tcW w:w="704" w:type="dxa"/>
          </w:tcPr>
          <w:p w14:paraId="0D419253" w14:textId="1869AE9B" w:rsidR="00CE6DE9" w:rsidRPr="00BF5803" w:rsidRDefault="00BF5803" w:rsidP="00244E8A">
            <w:pPr>
              <w:pStyle w:val="SingleTxtG"/>
              <w:tabs>
                <w:tab w:val="right" w:pos="567"/>
              </w:tabs>
              <w:ind w:left="0" w:right="0"/>
              <w:jc w:val="left"/>
              <w:rPr>
                <w:b/>
                <w:bCs/>
                <w:sz w:val="20"/>
                <w:szCs w:val="20"/>
                <w:lang w:val="en-GB"/>
              </w:rPr>
            </w:pPr>
            <w:r>
              <w:rPr>
                <w:b/>
                <w:bCs/>
                <w:sz w:val="20"/>
                <w:szCs w:val="20"/>
                <w:lang w:val="en-GB"/>
              </w:rPr>
              <w:t xml:space="preserve">4. </w:t>
            </w:r>
          </w:p>
        </w:tc>
        <w:tc>
          <w:tcPr>
            <w:tcW w:w="5528" w:type="dxa"/>
          </w:tcPr>
          <w:p w14:paraId="27972A09" w14:textId="150D0701" w:rsidR="00CE6DE9" w:rsidRPr="00BF5803" w:rsidRDefault="00BF5803" w:rsidP="00244E8A">
            <w:pPr>
              <w:pStyle w:val="SingleTxtG"/>
              <w:tabs>
                <w:tab w:val="right" w:pos="567"/>
              </w:tabs>
              <w:ind w:left="0" w:right="0"/>
              <w:jc w:val="left"/>
              <w:rPr>
                <w:b/>
                <w:bCs/>
                <w:sz w:val="20"/>
                <w:szCs w:val="20"/>
                <w:lang w:val="en-GB"/>
              </w:rPr>
            </w:pPr>
            <w:r>
              <w:rPr>
                <w:b/>
                <w:bCs/>
                <w:sz w:val="20"/>
                <w:szCs w:val="20"/>
                <w:lang w:val="en-GB"/>
              </w:rPr>
              <w:t>Hydrological information (per item of information)</w:t>
            </w:r>
          </w:p>
        </w:tc>
        <w:tc>
          <w:tcPr>
            <w:tcW w:w="1389" w:type="dxa"/>
          </w:tcPr>
          <w:p w14:paraId="6D34515E" w14:textId="77777777" w:rsidR="00CE6DE9" w:rsidRDefault="00CE6DE9" w:rsidP="00F061A4">
            <w:pPr>
              <w:pStyle w:val="SingleTxtG"/>
              <w:tabs>
                <w:tab w:val="right" w:pos="567"/>
              </w:tabs>
              <w:ind w:left="0" w:right="0"/>
              <w:rPr>
                <w:sz w:val="20"/>
                <w:szCs w:val="20"/>
                <w:lang w:val="en-GB"/>
              </w:rPr>
            </w:pPr>
          </w:p>
        </w:tc>
      </w:tr>
      <w:tr w:rsidR="00CE6DE9" w14:paraId="0F909DA1" w14:textId="77777777" w:rsidTr="00244E8A">
        <w:tc>
          <w:tcPr>
            <w:tcW w:w="704" w:type="dxa"/>
          </w:tcPr>
          <w:p w14:paraId="4EB695C2" w14:textId="35154C6C" w:rsidR="00CE6DE9" w:rsidRPr="00BF5803" w:rsidRDefault="00BF5803" w:rsidP="00244E8A">
            <w:pPr>
              <w:pStyle w:val="SingleTxtG"/>
              <w:tabs>
                <w:tab w:val="right" w:pos="567"/>
              </w:tabs>
              <w:ind w:left="0" w:right="0"/>
              <w:jc w:val="left"/>
              <w:rPr>
                <w:sz w:val="20"/>
                <w:szCs w:val="20"/>
                <w:u w:val="single"/>
                <w:lang w:val="en-GB"/>
              </w:rPr>
            </w:pPr>
            <w:r>
              <w:rPr>
                <w:sz w:val="20"/>
                <w:szCs w:val="20"/>
                <w:u w:val="single"/>
                <w:lang w:val="en-GB"/>
              </w:rPr>
              <w:lastRenderedPageBreak/>
              <w:t>4.1.</w:t>
            </w:r>
          </w:p>
        </w:tc>
        <w:tc>
          <w:tcPr>
            <w:tcW w:w="5528" w:type="dxa"/>
          </w:tcPr>
          <w:p w14:paraId="4D9C05AC" w14:textId="0AA3D38E" w:rsidR="00CE6DE9" w:rsidRPr="00BF5803" w:rsidRDefault="00BF5803" w:rsidP="00244E8A">
            <w:pPr>
              <w:pStyle w:val="SingleTxtG"/>
              <w:tabs>
                <w:tab w:val="right" w:pos="567"/>
              </w:tabs>
              <w:ind w:left="0" w:right="0"/>
              <w:jc w:val="left"/>
              <w:rPr>
                <w:sz w:val="20"/>
                <w:szCs w:val="20"/>
                <w:u w:val="single"/>
                <w:lang w:val="en-GB"/>
              </w:rPr>
            </w:pPr>
            <w:r>
              <w:rPr>
                <w:sz w:val="20"/>
                <w:szCs w:val="20"/>
                <w:u w:val="single"/>
                <w:lang w:val="en-GB"/>
              </w:rPr>
              <w:t>Information on hydrological regime</w:t>
            </w:r>
          </w:p>
        </w:tc>
        <w:tc>
          <w:tcPr>
            <w:tcW w:w="1389" w:type="dxa"/>
          </w:tcPr>
          <w:p w14:paraId="75927B49" w14:textId="77777777" w:rsidR="00CE6DE9" w:rsidRDefault="00CE6DE9" w:rsidP="00F061A4">
            <w:pPr>
              <w:pStyle w:val="SingleTxtG"/>
              <w:tabs>
                <w:tab w:val="right" w:pos="567"/>
              </w:tabs>
              <w:ind w:left="0" w:right="0"/>
              <w:rPr>
                <w:sz w:val="20"/>
                <w:szCs w:val="20"/>
                <w:lang w:val="en-GB"/>
              </w:rPr>
            </w:pPr>
          </w:p>
        </w:tc>
      </w:tr>
      <w:tr w:rsidR="00CE6DE9" w14:paraId="61AE0108" w14:textId="77777777" w:rsidTr="00244E8A">
        <w:tc>
          <w:tcPr>
            <w:tcW w:w="704" w:type="dxa"/>
          </w:tcPr>
          <w:p w14:paraId="07D90DA0" w14:textId="5C09F103" w:rsidR="00CE6DE9" w:rsidRDefault="00D3170D" w:rsidP="00244E8A">
            <w:pPr>
              <w:pStyle w:val="SingleTxtG"/>
              <w:tabs>
                <w:tab w:val="right" w:pos="567"/>
              </w:tabs>
              <w:ind w:left="0" w:right="0"/>
              <w:jc w:val="left"/>
              <w:rPr>
                <w:sz w:val="20"/>
                <w:szCs w:val="20"/>
                <w:lang w:val="en-GB"/>
              </w:rPr>
            </w:pPr>
            <w:r>
              <w:rPr>
                <w:sz w:val="20"/>
                <w:szCs w:val="20"/>
                <w:lang w:val="en-GB"/>
              </w:rPr>
              <w:t>4.1.1.</w:t>
            </w:r>
          </w:p>
        </w:tc>
        <w:tc>
          <w:tcPr>
            <w:tcW w:w="5528" w:type="dxa"/>
          </w:tcPr>
          <w:p w14:paraId="2CEC596A" w14:textId="4CFF2E6B" w:rsidR="00CE6DE9" w:rsidRDefault="00D3170D" w:rsidP="00244E8A">
            <w:pPr>
              <w:pStyle w:val="SingleTxtG"/>
              <w:tabs>
                <w:tab w:val="right" w:pos="567"/>
              </w:tabs>
              <w:ind w:left="0" w:right="0"/>
              <w:jc w:val="left"/>
              <w:rPr>
                <w:sz w:val="20"/>
                <w:szCs w:val="20"/>
                <w:lang w:val="en-GB"/>
              </w:rPr>
            </w:pPr>
            <w:r>
              <w:rPr>
                <w:sz w:val="20"/>
                <w:szCs w:val="20"/>
                <w:lang w:val="en-GB"/>
              </w:rPr>
              <w:t>Water level</w:t>
            </w:r>
          </w:p>
        </w:tc>
        <w:tc>
          <w:tcPr>
            <w:tcW w:w="1389" w:type="dxa"/>
          </w:tcPr>
          <w:p w14:paraId="022F0A62" w14:textId="712E8FBD" w:rsidR="00CE6DE9" w:rsidRDefault="00D3170D" w:rsidP="00F061A4">
            <w:pPr>
              <w:pStyle w:val="SingleTxtG"/>
              <w:tabs>
                <w:tab w:val="right" w:pos="567"/>
              </w:tabs>
              <w:ind w:left="0" w:right="0"/>
              <w:rPr>
                <w:sz w:val="20"/>
                <w:szCs w:val="20"/>
                <w:lang w:val="en-GB"/>
              </w:rPr>
            </w:pPr>
            <w:r>
              <w:rPr>
                <w:sz w:val="20"/>
                <w:szCs w:val="20"/>
                <w:lang w:val="en-GB"/>
              </w:rPr>
              <w:t>21.80</w:t>
            </w:r>
          </w:p>
        </w:tc>
      </w:tr>
      <w:tr w:rsidR="00D3170D" w14:paraId="7AC91517" w14:textId="77777777" w:rsidTr="00244E8A">
        <w:tc>
          <w:tcPr>
            <w:tcW w:w="704" w:type="dxa"/>
          </w:tcPr>
          <w:p w14:paraId="5E5DB13D" w14:textId="56C845A0" w:rsidR="00D3170D" w:rsidRDefault="00D3170D" w:rsidP="00244E8A">
            <w:pPr>
              <w:pStyle w:val="SingleTxtG"/>
              <w:tabs>
                <w:tab w:val="right" w:pos="567"/>
              </w:tabs>
              <w:ind w:left="0" w:right="0"/>
              <w:jc w:val="left"/>
              <w:rPr>
                <w:sz w:val="20"/>
                <w:szCs w:val="20"/>
                <w:lang w:val="en-GB"/>
              </w:rPr>
            </w:pPr>
            <w:r>
              <w:rPr>
                <w:sz w:val="20"/>
                <w:szCs w:val="20"/>
                <w:lang w:val="en-GB"/>
              </w:rPr>
              <w:t>4.1.2.</w:t>
            </w:r>
          </w:p>
        </w:tc>
        <w:tc>
          <w:tcPr>
            <w:tcW w:w="5528" w:type="dxa"/>
          </w:tcPr>
          <w:p w14:paraId="4B654FA5" w14:textId="710E3F13" w:rsidR="00D3170D" w:rsidRDefault="00D3170D" w:rsidP="00244E8A">
            <w:pPr>
              <w:pStyle w:val="SingleTxtG"/>
              <w:tabs>
                <w:tab w:val="right" w:pos="567"/>
              </w:tabs>
              <w:ind w:left="0" w:right="0"/>
              <w:jc w:val="left"/>
              <w:rPr>
                <w:sz w:val="20"/>
                <w:szCs w:val="20"/>
                <w:lang w:val="en-GB"/>
              </w:rPr>
            </w:pPr>
            <w:r>
              <w:rPr>
                <w:sz w:val="20"/>
                <w:szCs w:val="20"/>
                <w:lang w:val="en-GB"/>
              </w:rPr>
              <w:t>Water discharge</w:t>
            </w:r>
          </w:p>
        </w:tc>
        <w:tc>
          <w:tcPr>
            <w:tcW w:w="1389" w:type="dxa"/>
          </w:tcPr>
          <w:p w14:paraId="08AD48A8" w14:textId="1EEEA30B" w:rsidR="00D3170D" w:rsidRDefault="00D3170D" w:rsidP="00F061A4">
            <w:pPr>
              <w:pStyle w:val="SingleTxtG"/>
              <w:tabs>
                <w:tab w:val="right" w:pos="567"/>
              </w:tabs>
              <w:ind w:left="0" w:right="0"/>
              <w:rPr>
                <w:sz w:val="20"/>
                <w:szCs w:val="20"/>
                <w:lang w:val="en-GB"/>
              </w:rPr>
            </w:pPr>
            <w:r>
              <w:rPr>
                <w:sz w:val="20"/>
                <w:szCs w:val="20"/>
                <w:lang w:val="en-GB"/>
              </w:rPr>
              <w:t>28.70</w:t>
            </w:r>
          </w:p>
        </w:tc>
      </w:tr>
      <w:tr w:rsidR="00D3170D" w14:paraId="7E0721AF" w14:textId="77777777" w:rsidTr="00244E8A">
        <w:tc>
          <w:tcPr>
            <w:tcW w:w="704" w:type="dxa"/>
          </w:tcPr>
          <w:p w14:paraId="3E713AFE" w14:textId="1FFD8C03" w:rsidR="00D3170D" w:rsidRDefault="00414C92" w:rsidP="00244E8A">
            <w:pPr>
              <w:pStyle w:val="SingleTxtG"/>
              <w:tabs>
                <w:tab w:val="right" w:pos="567"/>
              </w:tabs>
              <w:ind w:left="0" w:right="0"/>
              <w:jc w:val="left"/>
              <w:rPr>
                <w:sz w:val="20"/>
                <w:szCs w:val="20"/>
                <w:lang w:val="en-GB"/>
              </w:rPr>
            </w:pPr>
            <w:r>
              <w:rPr>
                <w:sz w:val="20"/>
                <w:szCs w:val="20"/>
                <w:lang w:val="en-GB"/>
              </w:rPr>
              <w:t>4.1.3.</w:t>
            </w:r>
          </w:p>
        </w:tc>
        <w:tc>
          <w:tcPr>
            <w:tcW w:w="5528" w:type="dxa"/>
          </w:tcPr>
          <w:p w14:paraId="18F0F48C" w14:textId="491DED82" w:rsidR="00D3170D" w:rsidRDefault="00414C92" w:rsidP="00244E8A">
            <w:pPr>
              <w:pStyle w:val="SingleTxtG"/>
              <w:tabs>
                <w:tab w:val="right" w:pos="567"/>
              </w:tabs>
              <w:ind w:left="0" w:right="0"/>
              <w:jc w:val="left"/>
              <w:rPr>
                <w:sz w:val="20"/>
                <w:szCs w:val="20"/>
                <w:lang w:val="en-GB"/>
              </w:rPr>
            </w:pPr>
            <w:r>
              <w:rPr>
                <w:sz w:val="20"/>
                <w:szCs w:val="20"/>
                <w:lang w:val="en-GB"/>
              </w:rPr>
              <w:t>Stream gauging</w:t>
            </w:r>
          </w:p>
        </w:tc>
        <w:tc>
          <w:tcPr>
            <w:tcW w:w="1389" w:type="dxa"/>
          </w:tcPr>
          <w:p w14:paraId="6EE26344" w14:textId="7E978EEB" w:rsidR="00D3170D" w:rsidRDefault="00414C92" w:rsidP="00F061A4">
            <w:pPr>
              <w:pStyle w:val="SingleTxtG"/>
              <w:tabs>
                <w:tab w:val="right" w:pos="567"/>
              </w:tabs>
              <w:ind w:left="0" w:right="0"/>
              <w:rPr>
                <w:sz w:val="20"/>
                <w:szCs w:val="20"/>
                <w:lang w:val="en-GB"/>
              </w:rPr>
            </w:pPr>
            <w:r>
              <w:rPr>
                <w:sz w:val="20"/>
                <w:szCs w:val="20"/>
                <w:lang w:val="en-GB"/>
              </w:rPr>
              <w:t>23.20</w:t>
            </w:r>
          </w:p>
        </w:tc>
      </w:tr>
      <w:tr w:rsidR="00414C92" w14:paraId="7D86412E" w14:textId="77777777" w:rsidTr="00F03AD7">
        <w:tc>
          <w:tcPr>
            <w:tcW w:w="7621" w:type="dxa"/>
            <w:gridSpan w:val="3"/>
          </w:tcPr>
          <w:p w14:paraId="522556F8" w14:textId="50C7F84E" w:rsidR="00414C92" w:rsidRDefault="00414C92" w:rsidP="00F061A4">
            <w:pPr>
              <w:pStyle w:val="SingleTxtG"/>
              <w:tabs>
                <w:tab w:val="right" w:pos="567"/>
              </w:tabs>
              <w:ind w:left="0" w:right="0"/>
              <w:rPr>
                <w:sz w:val="20"/>
                <w:szCs w:val="20"/>
                <w:lang w:val="en-GB"/>
              </w:rPr>
            </w:pPr>
            <w:r>
              <w:rPr>
                <w:sz w:val="20"/>
                <w:szCs w:val="20"/>
                <w:lang w:val="en-GB"/>
              </w:rPr>
              <w:t xml:space="preserve"> … </w:t>
            </w:r>
          </w:p>
        </w:tc>
      </w:tr>
    </w:tbl>
    <w:p w14:paraId="544A0A22" w14:textId="77777777" w:rsidR="00F061A4" w:rsidRPr="00AE396C" w:rsidRDefault="00F061A4" w:rsidP="00F061A4">
      <w:pPr>
        <w:pStyle w:val="SingleTxtG"/>
        <w:tabs>
          <w:tab w:val="right" w:pos="567"/>
        </w:tabs>
        <w:ind w:right="0"/>
        <w:rPr>
          <w:sz w:val="20"/>
          <w:szCs w:val="20"/>
          <w:lang w:val="en-GB"/>
        </w:rPr>
      </w:pPr>
    </w:p>
    <w:p w14:paraId="35DF1127" w14:textId="41E73332" w:rsidR="000A15C0" w:rsidRPr="008F59CF" w:rsidRDefault="000A15C0" w:rsidP="000A15C0">
      <w:pPr>
        <w:pStyle w:val="SingleTxtG"/>
        <w:tabs>
          <w:tab w:val="right" w:pos="567"/>
        </w:tabs>
        <w:ind w:right="0"/>
        <w:rPr>
          <w:b/>
          <w:bCs/>
          <w:sz w:val="20"/>
          <w:szCs w:val="20"/>
          <w:lang w:val="en-GB"/>
        </w:rPr>
      </w:pPr>
      <w:r w:rsidRPr="008F59CF">
        <w:rPr>
          <w:b/>
          <w:bCs/>
          <w:sz w:val="20"/>
          <w:szCs w:val="20"/>
          <w:lang w:val="en-GB"/>
        </w:rPr>
        <w:t xml:space="preserve">Access to </w:t>
      </w:r>
      <w:r w:rsidR="00517B0A">
        <w:rPr>
          <w:b/>
          <w:bCs/>
          <w:sz w:val="20"/>
          <w:szCs w:val="20"/>
          <w:lang w:val="en-GB"/>
        </w:rPr>
        <w:t>E</w:t>
      </w:r>
      <w:r w:rsidRPr="008F59CF">
        <w:rPr>
          <w:b/>
          <w:bCs/>
          <w:sz w:val="20"/>
          <w:szCs w:val="20"/>
          <w:lang w:val="en-GB"/>
        </w:rPr>
        <w:t xml:space="preserve">nvironmental </w:t>
      </w:r>
      <w:r w:rsidR="00517B0A">
        <w:rPr>
          <w:b/>
          <w:bCs/>
          <w:sz w:val="20"/>
          <w:szCs w:val="20"/>
          <w:lang w:val="en-GB"/>
        </w:rPr>
        <w:t>I</w:t>
      </w:r>
      <w:r w:rsidRPr="008F59CF">
        <w:rPr>
          <w:b/>
          <w:bCs/>
          <w:sz w:val="20"/>
          <w:szCs w:val="20"/>
          <w:lang w:val="en-GB"/>
        </w:rPr>
        <w:t xml:space="preserve">nformation </w:t>
      </w:r>
      <w:r w:rsidR="00517B0A">
        <w:rPr>
          <w:b/>
          <w:bCs/>
          <w:sz w:val="20"/>
          <w:szCs w:val="20"/>
          <w:lang w:val="en-GB"/>
        </w:rPr>
        <w:t>Regulation</w:t>
      </w:r>
    </w:p>
    <w:p w14:paraId="4E8A54C1" w14:textId="0A42C260" w:rsidR="000A15C0" w:rsidRPr="00AE396C" w:rsidRDefault="000A15C0" w:rsidP="00140430">
      <w:pPr>
        <w:pStyle w:val="SingleTxtG"/>
        <w:numPr>
          <w:ilvl w:val="0"/>
          <w:numId w:val="3"/>
        </w:numPr>
        <w:tabs>
          <w:tab w:val="right" w:pos="567"/>
          <w:tab w:val="num" w:pos="1135"/>
        </w:tabs>
        <w:ind w:left="1134" w:right="0" w:firstLine="0"/>
        <w:rPr>
          <w:sz w:val="18"/>
          <w:szCs w:val="18"/>
          <w:lang w:val="en-GB"/>
        </w:rPr>
      </w:pPr>
      <w:bookmarkStart w:id="8" w:name="_Ref14688500"/>
      <w:r w:rsidRPr="00AE396C">
        <w:rPr>
          <w:sz w:val="20"/>
          <w:szCs w:val="20"/>
          <w:lang w:val="en-GB"/>
        </w:rPr>
        <w:t xml:space="preserve">Article 44 of Regulation No. 1467 </w:t>
      </w:r>
      <w:r w:rsidR="00602467">
        <w:rPr>
          <w:sz w:val="20"/>
          <w:szCs w:val="20"/>
          <w:lang w:val="en-GB"/>
        </w:rPr>
        <w:t>from</w:t>
      </w:r>
      <w:r w:rsidR="00602467" w:rsidRPr="00AE396C">
        <w:rPr>
          <w:sz w:val="20"/>
          <w:szCs w:val="20"/>
          <w:lang w:val="en-GB"/>
        </w:rPr>
        <w:t xml:space="preserve"> 30 December 2016 </w:t>
      </w:r>
      <w:r w:rsidRPr="00AE396C">
        <w:rPr>
          <w:sz w:val="20"/>
          <w:szCs w:val="20"/>
          <w:lang w:val="en-GB"/>
        </w:rPr>
        <w:t>“On the Access to Environmental Information” (AEI Regulation) stipulates that “where reasonable charges apply for certain information deemed to be environmental, public authorities make the list of such charges available to applicants”</w:t>
      </w:r>
      <w:r w:rsidR="00A247A1">
        <w:rPr>
          <w:sz w:val="20"/>
          <w:szCs w:val="20"/>
          <w:lang w:val="en-GB"/>
        </w:rPr>
        <w:t>.</w:t>
      </w:r>
      <w:r w:rsidRPr="00AE396C">
        <w:rPr>
          <w:rStyle w:val="FootnoteReference"/>
          <w:sz w:val="20"/>
          <w:szCs w:val="20"/>
          <w:lang w:val="en-GB"/>
        </w:rPr>
        <w:footnoteReference w:id="14"/>
      </w:r>
      <w:bookmarkEnd w:id="8"/>
    </w:p>
    <w:p w14:paraId="54A4C6FE" w14:textId="4AAF9A60" w:rsidR="000A15C0" w:rsidRPr="00AE396C" w:rsidRDefault="000A15C0" w:rsidP="00F03AD7">
      <w:pPr>
        <w:pStyle w:val="SingleTxtG"/>
        <w:numPr>
          <w:ilvl w:val="0"/>
          <w:numId w:val="3"/>
        </w:numPr>
        <w:tabs>
          <w:tab w:val="right" w:pos="567"/>
          <w:tab w:val="num" w:pos="1135"/>
        </w:tabs>
        <w:ind w:left="1134" w:right="0" w:firstLine="0"/>
        <w:rPr>
          <w:sz w:val="20"/>
          <w:szCs w:val="20"/>
          <w:lang w:val="en-GB"/>
        </w:rPr>
      </w:pPr>
      <w:bookmarkStart w:id="9" w:name="_Ref14688510"/>
      <w:r w:rsidRPr="00AE396C">
        <w:rPr>
          <w:sz w:val="20"/>
          <w:szCs w:val="20"/>
          <w:lang w:val="en-GB"/>
        </w:rPr>
        <w:t xml:space="preserve">The AEI Regulation </w:t>
      </w:r>
      <w:r w:rsidR="00F03AD7">
        <w:rPr>
          <w:sz w:val="20"/>
          <w:szCs w:val="20"/>
          <w:lang w:val="en-GB"/>
        </w:rPr>
        <w:t xml:space="preserve">does not explain what constitutes </w:t>
      </w:r>
      <w:r w:rsidRPr="00AE396C">
        <w:rPr>
          <w:sz w:val="20"/>
          <w:szCs w:val="20"/>
          <w:lang w:val="en-GB"/>
        </w:rPr>
        <w:t xml:space="preserve">“reasonable charges” nor provides guidance on </w:t>
      </w:r>
      <w:r w:rsidR="00F03AD7">
        <w:rPr>
          <w:sz w:val="20"/>
          <w:szCs w:val="20"/>
          <w:lang w:val="en-GB"/>
        </w:rPr>
        <w:t>the calculation of such charges</w:t>
      </w:r>
      <w:r w:rsidRPr="00AE396C">
        <w:rPr>
          <w:sz w:val="20"/>
          <w:szCs w:val="20"/>
          <w:lang w:val="en-GB"/>
        </w:rPr>
        <w:t>.</w:t>
      </w:r>
      <w:r w:rsidRPr="00AE396C">
        <w:rPr>
          <w:rStyle w:val="FootnoteReference"/>
          <w:sz w:val="20"/>
          <w:szCs w:val="20"/>
          <w:lang w:val="en-GB"/>
        </w:rPr>
        <w:footnoteReference w:id="15"/>
      </w:r>
      <w:bookmarkEnd w:id="9"/>
    </w:p>
    <w:p w14:paraId="15FDF919" w14:textId="1B64A937" w:rsidR="00856A43" w:rsidRPr="00E307E5" w:rsidRDefault="00856A43" w:rsidP="00856A43">
      <w:pPr>
        <w:pStyle w:val="SingleTxtG"/>
        <w:tabs>
          <w:tab w:val="right" w:pos="567"/>
        </w:tabs>
        <w:ind w:right="0"/>
        <w:rPr>
          <w:b/>
          <w:bCs/>
          <w:sz w:val="20"/>
          <w:szCs w:val="20"/>
          <w:lang w:val="en-GB"/>
        </w:rPr>
      </w:pPr>
      <w:r w:rsidRPr="00E307E5">
        <w:rPr>
          <w:b/>
          <w:bCs/>
          <w:sz w:val="20"/>
          <w:szCs w:val="20"/>
          <w:lang w:val="en-GB"/>
        </w:rPr>
        <w:t>2011-2015 National Action Plan</w:t>
      </w:r>
    </w:p>
    <w:p w14:paraId="0CEAF0EF" w14:textId="6548B764" w:rsidR="00072BAF" w:rsidRPr="00AE396C" w:rsidRDefault="00856A43" w:rsidP="00072BAF">
      <w:pPr>
        <w:pStyle w:val="SingleTxtG"/>
        <w:numPr>
          <w:ilvl w:val="0"/>
          <w:numId w:val="3"/>
        </w:numPr>
        <w:tabs>
          <w:tab w:val="right" w:pos="567"/>
          <w:tab w:val="num" w:pos="1276"/>
        </w:tabs>
        <w:ind w:left="1134" w:right="0" w:firstLine="0"/>
        <w:rPr>
          <w:sz w:val="20"/>
          <w:szCs w:val="20"/>
          <w:lang w:val="en-GB"/>
        </w:rPr>
      </w:pPr>
      <w:bookmarkStart w:id="10" w:name="_Ref14688466"/>
      <w:r w:rsidRPr="00AE396C">
        <w:rPr>
          <w:sz w:val="20"/>
          <w:szCs w:val="20"/>
          <w:lang w:val="en-GB"/>
        </w:rPr>
        <w:t xml:space="preserve">Resolution No. 471 </w:t>
      </w:r>
      <w:r w:rsidR="00A35C7F">
        <w:rPr>
          <w:sz w:val="20"/>
          <w:szCs w:val="20"/>
          <w:lang w:val="en-GB"/>
        </w:rPr>
        <w:t xml:space="preserve">from </w:t>
      </w:r>
      <w:r w:rsidR="009560C7">
        <w:rPr>
          <w:sz w:val="20"/>
          <w:szCs w:val="20"/>
          <w:lang w:val="en-GB"/>
        </w:rPr>
        <w:t xml:space="preserve">28 June 2011 </w:t>
      </w:r>
      <w:r w:rsidRPr="00AE396C">
        <w:rPr>
          <w:sz w:val="20"/>
          <w:szCs w:val="20"/>
          <w:lang w:val="en-GB"/>
        </w:rPr>
        <w:t xml:space="preserve">“On Approval of the 2011-2015 National Action Plan on the Implementation of the Convention on Access to Information, Public Participation in Decision-Making and Access to Justice in Environmental Matters” (2011-2015 National Action Plan) contains a number of legislative, institutional, financial and other actions to improve the implementation of the Convention in the Party concerned. It does not include any provisions on amending Regulation </w:t>
      </w:r>
      <w:r w:rsidR="004A476F">
        <w:rPr>
          <w:sz w:val="20"/>
          <w:szCs w:val="20"/>
          <w:lang w:val="en-GB"/>
        </w:rPr>
        <w:t xml:space="preserve">No. </w:t>
      </w:r>
      <w:r w:rsidRPr="00AE396C">
        <w:rPr>
          <w:sz w:val="20"/>
          <w:szCs w:val="20"/>
          <w:lang w:val="en-GB"/>
        </w:rPr>
        <w:t>330 relating to reasonable costs.</w:t>
      </w:r>
      <w:r w:rsidRPr="00AE396C">
        <w:rPr>
          <w:rStyle w:val="FootnoteReference"/>
          <w:sz w:val="20"/>
          <w:szCs w:val="20"/>
          <w:lang w:val="en-GB"/>
        </w:rPr>
        <w:footnoteReference w:id="16"/>
      </w:r>
      <w:bookmarkEnd w:id="3"/>
      <w:bookmarkEnd w:id="4"/>
      <w:bookmarkEnd w:id="10"/>
    </w:p>
    <w:p w14:paraId="17223A2D" w14:textId="10428F57" w:rsidR="006B5FA6" w:rsidRPr="00E307E5" w:rsidRDefault="00517B0A" w:rsidP="006B5FA6">
      <w:pPr>
        <w:pStyle w:val="SingleTxtG"/>
        <w:tabs>
          <w:tab w:val="right" w:pos="567"/>
        </w:tabs>
        <w:ind w:right="0"/>
        <w:rPr>
          <w:b/>
          <w:bCs/>
          <w:sz w:val="20"/>
          <w:szCs w:val="20"/>
          <w:lang w:val="en-GB"/>
        </w:rPr>
      </w:pPr>
      <w:r>
        <w:rPr>
          <w:b/>
          <w:bCs/>
          <w:sz w:val="20"/>
          <w:szCs w:val="20"/>
          <w:lang w:val="en-GB"/>
        </w:rPr>
        <w:t>Administrative Court Law</w:t>
      </w:r>
    </w:p>
    <w:p w14:paraId="7215744F" w14:textId="689D000C" w:rsidR="0049479F" w:rsidRPr="00AE396C" w:rsidRDefault="0049479F" w:rsidP="00072BAF">
      <w:pPr>
        <w:pStyle w:val="SingleTxtG"/>
        <w:numPr>
          <w:ilvl w:val="0"/>
          <w:numId w:val="3"/>
        </w:numPr>
        <w:tabs>
          <w:tab w:val="right" w:pos="567"/>
          <w:tab w:val="num" w:pos="1276"/>
        </w:tabs>
        <w:ind w:left="1134" w:right="0" w:firstLine="0"/>
        <w:rPr>
          <w:sz w:val="20"/>
          <w:szCs w:val="20"/>
          <w:lang w:val="en-GB"/>
        </w:rPr>
      </w:pPr>
      <w:bookmarkStart w:id="11" w:name="_Ref14696979"/>
      <w:r w:rsidRPr="00AE396C">
        <w:rPr>
          <w:sz w:val="20"/>
          <w:szCs w:val="20"/>
          <w:lang w:val="en-GB"/>
        </w:rPr>
        <w:t xml:space="preserve">Article 4(c) of Law </w:t>
      </w:r>
      <w:r w:rsidR="00FA497B">
        <w:rPr>
          <w:sz w:val="20"/>
          <w:szCs w:val="20"/>
          <w:lang w:val="en-GB"/>
        </w:rPr>
        <w:t>N</w:t>
      </w:r>
      <w:r w:rsidRPr="00AE396C">
        <w:rPr>
          <w:sz w:val="20"/>
          <w:szCs w:val="20"/>
          <w:lang w:val="en-GB"/>
        </w:rPr>
        <w:t xml:space="preserve">o. 793 from 10 February 2000 on the Administrative Court (Administrative Court Law) provides that laws, normative decrees (orders) of the President of the Republic of Moldova, normative ordinances </w:t>
      </w:r>
      <w:r w:rsidR="00F03AD7">
        <w:rPr>
          <w:sz w:val="20"/>
          <w:szCs w:val="20"/>
          <w:lang w:val="en-GB"/>
        </w:rPr>
        <w:t xml:space="preserve">(regulations) </w:t>
      </w:r>
      <w:r w:rsidRPr="00AE396C">
        <w:rPr>
          <w:sz w:val="20"/>
          <w:szCs w:val="20"/>
          <w:lang w:val="en-GB"/>
        </w:rPr>
        <w:t xml:space="preserve">and decrees (resolutions) of the Government </w:t>
      </w:r>
      <w:r w:rsidR="00F03AD7">
        <w:rPr>
          <w:sz w:val="20"/>
          <w:szCs w:val="20"/>
          <w:lang w:val="en-GB"/>
        </w:rPr>
        <w:t xml:space="preserve">and </w:t>
      </w:r>
      <w:r w:rsidRPr="00AE396C">
        <w:rPr>
          <w:sz w:val="20"/>
          <w:szCs w:val="20"/>
          <w:lang w:val="en-GB"/>
        </w:rPr>
        <w:t>international agreements to which the Republic of Moldova is a party that are under constitutional control are acts that do not fall within the jurisdiction of the Administrative Court.</w:t>
      </w:r>
      <w:r w:rsidRPr="00AE396C">
        <w:rPr>
          <w:rStyle w:val="FootnoteReference"/>
          <w:sz w:val="20"/>
          <w:szCs w:val="20"/>
          <w:lang w:val="en-GB"/>
        </w:rPr>
        <w:footnoteReference w:id="17"/>
      </w:r>
      <w:bookmarkEnd w:id="11"/>
    </w:p>
    <w:p w14:paraId="4ED8B9C6" w14:textId="4B29A7CE" w:rsidR="00072BAF" w:rsidRPr="00AE396C" w:rsidRDefault="00072BAF" w:rsidP="004E6A93">
      <w:pPr>
        <w:pStyle w:val="H1G"/>
        <w:numPr>
          <w:ilvl w:val="0"/>
          <w:numId w:val="4"/>
        </w:numPr>
        <w:tabs>
          <w:tab w:val="clear" w:pos="851"/>
          <w:tab w:val="right" w:pos="567"/>
          <w:tab w:val="left" w:pos="1134"/>
        </w:tabs>
        <w:ind w:right="0"/>
      </w:pPr>
      <w:r w:rsidRPr="00AE396C">
        <w:t>Facts</w:t>
      </w:r>
    </w:p>
    <w:p w14:paraId="5854EBC6" w14:textId="240BEDAD" w:rsidR="00072BAF" w:rsidRPr="00AE396C" w:rsidRDefault="00072BAF" w:rsidP="00072BAF">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T</w:t>
      </w:r>
      <w:r w:rsidR="00D80184" w:rsidRPr="00AE396C">
        <w:rPr>
          <w:sz w:val="20"/>
          <w:szCs w:val="20"/>
          <w:lang w:val="en-GB"/>
        </w:rPr>
        <w:t xml:space="preserve">he </w:t>
      </w:r>
      <w:proofErr w:type="spellStart"/>
      <w:r w:rsidR="009973FE">
        <w:rPr>
          <w:sz w:val="20"/>
          <w:szCs w:val="20"/>
          <w:lang w:val="en-GB"/>
        </w:rPr>
        <w:t>Bălțata</w:t>
      </w:r>
      <w:proofErr w:type="spellEnd"/>
      <w:r w:rsidR="00D80184" w:rsidRPr="00AE396C">
        <w:rPr>
          <w:sz w:val="20"/>
          <w:szCs w:val="20"/>
          <w:lang w:val="en-GB"/>
        </w:rPr>
        <w:t xml:space="preserve"> River is approximately 27 kilomet</w:t>
      </w:r>
      <w:r w:rsidR="00C64A1D">
        <w:rPr>
          <w:sz w:val="20"/>
          <w:szCs w:val="20"/>
          <w:lang w:val="en-GB"/>
        </w:rPr>
        <w:t>re</w:t>
      </w:r>
      <w:r w:rsidR="00D80184" w:rsidRPr="00AE396C">
        <w:rPr>
          <w:sz w:val="20"/>
          <w:szCs w:val="20"/>
          <w:lang w:val="en-GB"/>
        </w:rPr>
        <w:t xml:space="preserve">s long. The hydrometeorological station collecting data on the river is located in the village of </w:t>
      </w:r>
      <w:proofErr w:type="spellStart"/>
      <w:r w:rsidR="009973FE">
        <w:rPr>
          <w:sz w:val="20"/>
          <w:szCs w:val="20"/>
          <w:lang w:val="en-GB"/>
        </w:rPr>
        <w:t>Bălțata</w:t>
      </w:r>
      <w:proofErr w:type="spellEnd"/>
      <w:r w:rsidR="00D80184" w:rsidRPr="00AE396C">
        <w:rPr>
          <w:sz w:val="20"/>
          <w:szCs w:val="20"/>
          <w:lang w:val="en-GB"/>
        </w:rPr>
        <w:t>.</w:t>
      </w:r>
      <w:r w:rsidR="00D80184" w:rsidRPr="00AE396C">
        <w:rPr>
          <w:rStyle w:val="FootnoteReference"/>
          <w:sz w:val="20"/>
          <w:szCs w:val="20"/>
          <w:lang w:val="en-GB"/>
        </w:rPr>
        <w:footnoteReference w:id="18"/>
      </w:r>
      <w:r w:rsidR="00EF2F8E">
        <w:rPr>
          <w:sz w:val="20"/>
          <w:szCs w:val="20"/>
          <w:lang w:val="en-GB"/>
        </w:rPr>
        <w:t xml:space="preserve"> </w:t>
      </w:r>
      <w:r w:rsidR="008F6F84">
        <w:rPr>
          <w:sz w:val="20"/>
          <w:szCs w:val="20"/>
          <w:lang w:val="en-GB"/>
        </w:rPr>
        <w:t xml:space="preserve">The </w:t>
      </w:r>
      <w:proofErr w:type="spellStart"/>
      <w:r w:rsidR="009973FE">
        <w:rPr>
          <w:sz w:val="20"/>
          <w:szCs w:val="20"/>
          <w:lang w:val="en-GB"/>
        </w:rPr>
        <w:t>Bălțata</w:t>
      </w:r>
      <w:proofErr w:type="spellEnd"/>
      <w:r w:rsidR="008F6F84">
        <w:rPr>
          <w:sz w:val="20"/>
          <w:szCs w:val="20"/>
          <w:lang w:val="en-GB"/>
        </w:rPr>
        <w:t xml:space="preserve"> hydrometeorological station </w:t>
      </w:r>
      <w:r w:rsidR="00CB75E9">
        <w:rPr>
          <w:sz w:val="20"/>
          <w:szCs w:val="20"/>
          <w:lang w:val="en-GB"/>
        </w:rPr>
        <w:t>was operational from 1954 to 2012.</w:t>
      </w:r>
      <w:r w:rsidR="00CB75E9">
        <w:rPr>
          <w:rStyle w:val="FootnoteReference"/>
          <w:szCs w:val="20"/>
          <w:lang w:val="en-GB"/>
        </w:rPr>
        <w:footnoteReference w:id="19"/>
      </w:r>
    </w:p>
    <w:p w14:paraId="14B364DF" w14:textId="660F23BF" w:rsidR="004E6A93" w:rsidRPr="00E307E5" w:rsidRDefault="004E6A93" w:rsidP="004E6A93">
      <w:pPr>
        <w:pStyle w:val="SingleTxtG"/>
        <w:tabs>
          <w:tab w:val="right" w:pos="567"/>
        </w:tabs>
        <w:ind w:right="0"/>
        <w:rPr>
          <w:b/>
          <w:bCs/>
          <w:sz w:val="20"/>
          <w:szCs w:val="20"/>
          <w:lang w:val="en-GB"/>
        </w:rPr>
      </w:pPr>
      <w:r w:rsidRPr="00E307E5">
        <w:rPr>
          <w:b/>
          <w:bCs/>
          <w:sz w:val="20"/>
          <w:szCs w:val="20"/>
          <w:lang w:val="en-GB"/>
        </w:rPr>
        <w:t>The communicant’s information requests</w:t>
      </w:r>
    </w:p>
    <w:p w14:paraId="4ABE2820" w14:textId="3CBE5182" w:rsidR="00072BAF" w:rsidRPr="00AE396C" w:rsidRDefault="00072BAF" w:rsidP="00072BAF">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O</w:t>
      </w:r>
      <w:r w:rsidR="000A15C0" w:rsidRPr="00AE396C">
        <w:rPr>
          <w:sz w:val="20"/>
          <w:szCs w:val="20"/>
          <w:lang w:val="en-GB"/>
        </w:rPr>
        <w:t>n 25 July 2016, the communicant requested the SHS to provide information regarding: (</w:t>
      </w:r>
      <w:r w:rsidR="00C64A1D">
        <w:rPr>
          <w:sz w:val="20"/>
          <w:szCs w:val="20"/>
          <w:lang w:val="en-GB"/>
        </w:rPr>
        <w:t>1</w:t>
      </w:r>
      <w:r w:rsidR="000A15C0" w:rsidRPr="00AE396C">
        <w:rPr>
          <w:sz w:val="20"/>
          <w:szCs w:val="20"/>
          <w:lang w:val="en-GB"/>
        </w:rPr>
        <w:t xml:space="preserve">) </w:t>
      </w:r>
      <w:r w:rsidR="00EB2F2A">
        <w:rPr>
          <w:sz w:val="20"/>
          <w:szCs w:val="20"/>
          <w:lang w:val="en-GB"/>
        </w:rPr>
        <w:t>t</w:t>
      </w:r>
      <w:r w:rsidR="000A15C0" w:rsidRPr="00AE396C">
        <w:rPr>
          <w:sz w:val="20"/>
          <w:szCs w:val="20"/>
          <w:lang w:val="en-GB"/>
        </w:rPr>
        <w:t>emperatures</w:t>
      </w:r>
      <w:r w:rsidR="00EB2F2A">
        <w:rPr>
          <w:sz w:val="20"/>
          <w:szCs w:val="20"/>
          <w:lang w:val="en-GB"/>
        </w:rPr>
        <w:t xml:space="preserve"> recorded</w:t>
      </w:r>
      <w:r w:rsidR="000A15C0" w:rsidRPr="00AE396C">
        <w:rPr>
          <w:sz w:val="20"/>
          <w:szCs w:val="20"/>
          <w:lang w:val="en-GB"/>
        </w:rPr>
        <w:t xml:space="preserve"> at the </w:t>
      </w:r>
      <w:proofErr w:type="spellStart"/>
      <w:r w:rsidR="009973FE">
        <w:rPr>
          <w:sz w:val="20"/>
          <w:szCs w:val="20"/>
          <w:lang w:val="en-GB"/>
        </w:rPr>
        <w:t>Bălțata</w:t>
      </w:r>
      <w:proofErr w:type="spellEnd"/>
      <w:r w:rsidR="00EB2F2A" w:rsidRPr="00AE396C">
        <w:rPr>
          <w:sz w:val="20"/>
          <w:szCs w:val="20"/>
          <w:lang w:val="en-GB"/>
        </w:rPr>
        <w:t xml:space="preserve"> </w:t>
      </w:r>
      <w:r w:rsidR="000A15C0" w:rsidRPr="00AE396C">
        <w:rPr>
          <w:sz w:val="20"/>
          <w:szCs w:val="20"/>
          <w:lang w:val="en-GB"/>
        </w:rPr>
        <w:t xml:space="preserve">hydrometeorological station for the period from </w:t>
      </w:r>
      <w:r w:rsidR="002D630D">
        <w:rPr>
          <w:sz w:val="20"/>
          <w:szCs w:val="20"/>
          <w:lang w:val="en-GB"/>
        </w:rPr>
        <w:t>when the station opened</w:t>
      </w:r>
      <w:r w:rsidR="000A15C0" w:rsidRPr="00AE396C">
        <w:rPr>
          <w:sz w:val="20"/>
          <w:szCs w:val="20"/>
          <w:lang w:val="en-GB"/>
        </w:rPr>
        <w:t xml:space="preserve"> until the date of the request</w:t>
      </w:r>
      <w:r w:rsidR="00B20B8E">
        <w:rPr>
          <w:sz w:val="20"/>
          <w:szCs w:val="20"/>
          <w:lang w:val="en-GB"/>
        </w:rPr>
        <w:t xml:space="preserve"> (monthly average, maximum average and </w:t>
      </w:r>
      <w:r w:rsidR="00B20B8E">
        <w:rPr>
          <w:sz w:val="20"/>
          <w:szCs w:val="20"/>
          <w:lang w:val="en-GB"/>
        </w:rPr>
        <w:lastRenderedPageBreak/>
        <w:t>minimum average)</w:t>
      </w:r>
      <w:r w:rsidR="00541F74">
        <w:rPr>
          <w:sz w:val="20"/>
          <w:szCs w:val="20"/>
          <w:lang w:val="en-GB"/>
        </w:rPr>
        <w:t>,</w:t>
      </w:r>
      <w:r w:rsidR="000A15C0" w:rsidRPr="00AE396C">
        <w:rPr>
          <w:sz w:val="20"/>
          <w:szCs w:val="20"/>
          <w:lang w:val="en-GB"/>
        </w:rPr>
        <w:t xml:space="preserve"> (</w:t>
      </w:r>
      <w:r w:rsidR="00C64A1D">
        <w:rPr>
          <w:sz w:val="20"/>
          <w:szCs w:val="20"/>
          <w:lang w:val="en-GB"/>
        </w:rPr>
        <w:t>2</w:t>
      </w:r>
      <w:r w:rsidR="000A15C0" w:rsidRPr="00AE396C">
        <w:rPr>
          <w:sz w:val="20"/>
          <w:szCs w:val="20"/>
          <w:lang w:val="en-GB"/>
        </w:rPr>
        <w:t xml:space="preserve">) streamflow of the </w:t>
      </w:r>
      <w:proofErr w:type="spellStart"/>
      <w:r w:rsidR="009973FE">
        <w:rPr>
          <w:sz w:val="20"/>
          <w:szCs w:val="20"/>
          <w:lang w:val="en-GB"/>
        </w:rPr>
        <w:t>Bălțata</w:t>
      </w:r>
      <w:proofErr w:type="spellEnd"/>
      <w:r w:rsidR="000A15C0" w:rsidRPr="00AE396C">
        <w:rPr>
          <w:sz w:val="20"/>
          <w:szCs w:val="20"/>
          <w:lang w:val="en-GB"/>
        </w:rPr>
        <w:t xml:space="preserve"> River for </w:t>
      </w:r>
      <w:r w:rsidR="00D82454">
        <w:rPr>
          <w:sz w:val="20"/>
          <w:szCs w:val="20"/>
          <w:lang w:val="en-GB"/>
        </w:rPr>
        <w:t xml:space="preserve">every month during </w:t>
      </w:r>
      <w:r w:rsidR="000A15C0" w:rsidRPr="00AE396C">
        <w:rPr>
          <w:sz w:val="20"/>
          <w:szCs w:val="20"/>
          <w:lang w:val="en-GB"/>
        </w:rPr>
        <w:t>the same period</w:t>
      </w:r>
      <w:r w:rsidR="00541F74">
        <w:rPr>
          <w:sz w:val="20"/>
          <w:szCs w:val="20"/>
          <w:lang w:val="en-GB"/>
        </w:rPr>
        <w:t>,</w:t>
      </w:r>
      <w:r w:rsidR="000A15C0" w:rsidRPr="00AE396C">
        <w:rPr>
          <w:sz w:val="20"/>
          <w:szCs w:val="20"/>
          <w:lang w:val="en-GB"/>
        </w:rPr>
        <w:t xml:space="preserve"> and (</w:t>
      </w:r>
      <w:r w:rsidR="00C64A1D">
        <w:rPr>
          <w:sz w:val="20"/>
          <w:szCs w:val="20"/>
          <w:lang w:val="en-GB"/>
        </w:rPr>
        <w:t>3</w:t>
      </w:r>
      <w:r w:rsidR="000A15C0" w:rsidRPr="00AE396C">
        <w:rPr>
          <w:sz w:val="20"/>
          <w:szCs w:val="20"/>
          <w:lang w:val="en-GB"/>
        </w:rPr>
        <w:t xml:space="preserve">) </w:t>
      </w:r>
      <w:proofErr w:type="spellStart"/>
      <w:r w:rsidR="000A15C0" w:rsidRPr="00AE396C">
        <w:rPr>
          <w:sz w:val="20"/>
          <w:szCs w:val="20"/>
          <w:lang w:val="en-GB"/>
        </w:rPr>
        <w:t>hydrophysical</w:t>
      </w:r>
      <w:proofErr w:type="spellEnd"/>
      <w:r w:rsidR="00743999">
        <w:rPr>
          <w:sz w:val="20"/>
          <w:szCs w:val="20"/>
          <w:lang w:val="en-GB"/>
        </w:rPr>
        <w:t xml:space="preserve">, </w:t>
      </w:r>
      <w:proofErr w:type="spellStart"/>
      <w:r w:rsidR="000A15C0" w:rsidRPr="00AE396C">
        <w:rPr>
          <w:sz w:val="20"/>
          <w:szCs w:val="20"/>
          <w:lang w:val="en-GB"/>
        </w:rPr>
        <w:t>hydrochemical</w:t>
      </w:r>
      <w:proofErr w:type="spellEnd"/>
      <w:r w:rsidR="000A15C0" w:rsidRPr="00AE396C">
        <w:rPr>
          <w:sz w:val="20"/>
          <w:szCs w:val="20"/>
          <w:lang w:val="en-GB"/>
        </w:rPr>
        <w:t xml:space="preserve"> </w:t>
      </w:r>
      <w:r w:rsidR="00E56FDC">
        <w:rPr>
          <w:sz w:val="20"/>
          <w:szCs w:val="20"/>
          <w:lang w:val="en-GB"/>
        </w:rPr>
        <w:t xml:space="preserve">and biomonitoring observations and analyses of </w:t>
      </w:r>
      <w:r w:rsidR="000A15C0" w:rsidRPr="00AE396C">
        <w:rPr>
          <w:sz w:val="20"/>
          <w:szCs w:val="20"/>
          <w:lang w:val="en-GB"/>
        </w:rPr>
        <w:t xml:space="preserve">water quality in the </w:t>
      </w:r>
      <w:proofErr w:type="spellStart"/>
      <w:r w:rsidR="009973FE">
        <w:rPr>
          <w:sz w:val="20"/>
          <w:szCs w:val="20"/>
          <w:lang w:val="en-GB"/>
        </w:rPr>
        <w:t>Bălțata</w:t>
      </w:r>
      <w:proofErr w:type="spellEnd"/>
      <w:r w:rsidR="000A15C0" w:rsidRPr="00AE396C">
        <w:rPr>
          <w:sz w:val="20"/>
          <w:szCs w:val="20"/>
          <w:lang w:val="en-GB"/>
        </w:rPr>
        <w:t xml:space="preserve"> River</w:t>
      </w:r>
      <w:r w:rsidR="0017415F">
        <w:rPr>
          <w:sz w:val="20"/>
          <w:szCs w:val="20"/>
          <w:lang w:val="en-GB"/>
        </w:rPr>
        <w:t xml:space="preserve"> </w:t>
      </w:r>
      <w:r w:rsidR="00ED41DD">
        <w:rPr>
          <w:sz w:val="20"/>
          <w:szCs w:val="20"/>
          <w:lang w:val="en-GB"/>
        </w:rPr>
        <w:t>“</w:t>
      </w:r>
      <w:r w:rsidR="0017415F">
        <w:rPr>
          <w:sz w:val="20"/>
          <w:szCs w:val="20"/>
          <w:lang w:val="en-GB"/>
        </w:rPr>
        <w:t xml:space="preserve">according to the observations made by the </w:t>
      </w:r>
      <w:proofErr w:type="spellStart"/>
      <w:r w:rsidR="0017415F">
        <w:rPr>
          <w:sz w:val="20"/>
          <w:szCs w:val="20"/>
          <w:lang w:val="en-GB"/>
        </w:rPr>
        <w:t>Hydrometeo</w:t>
      </w:r>
      <w:proofErr w:type="spellEnd"/>
      <w:r w:rsidR="0017415F">
        <w:rPr>
          <w:sz w:val="20"/>
          <w:szCs w:val="20"/>
          <w:lang w:val="en-GB"/>
        </w:rPr>
        <w:t xml:space="preserve"> Service</w:t>
      </w:r>
      <w:r w:rsidR="00ED41DD">
        <w:rPr>
          <w:sz w:val="20"/>
          <w:szCs w:val="20"/>
          <w:lang w:val="en-GB"/>
        </w:rPr>
        <w:t>”</w:t>
      </w:r>
      <w:r w:rsidR="000A15C0" w:rsidRPr="00AE396C">
        <w:rPr>
          <w:sz w:val="20"/>
          <w:szCs w:val="20"/>
          <w:lang w:val="en-GB"/>
        </w:rPr>
        <w:t>.</w:t>
      </w:r>
      <w:r w:rsidR="00D80184" w:rsidRPr="00AE396C">
        <w:rPr>
          <w:rStyle w:val="FootnoteReference"/>
          <w:sz w:val="20"/>
          <w:szCs w:val="20"/>
          <w:lang w:val="en-GB"/>
        </w:rPr>
        <w:footnoteReference w:id="20"/>
      </w:r>
    </w:p>
    <w:p w14:paraId="55A0DABF" w14:textId="65C36B0B" w:rsidR="00072BAF" w:rsidRPr="00AE396C" w:rsidRDefault="00072BAF" w:rsidP="00072BAF">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 xml:space="preserve"> </w:t>
      </w:r>
      <w:bookmarkStart w:id="12" w:name="_Ref17298034"/>
      <w:r w:rsidRPr="00AE396C">
        <w:rPr>
          <w:sz w:val="20"/>
          <w:szCs w:val="20"/>
          <w:lang w:val="en-GB"/>
        </w:rPr>
        <w:t>I</w:t>
      </w:r>
      <w:r w:rsidR="00D80184" w:rsidRPr="00AE396C">
        <w:rPr>
          <w:sz w:val="20"/>
          <w:szCs w:val="20"/>
          <w:lang w:val="en-GB"/>
        </w:rPr>
        <w:t xml:space="preserve">n </w:t>
      </w:r>
      <w:r w:rsidR="00126C43">
        <w:rPr>
          <w:sz w:val="20"/>
          <w:szCs w:val="20"/>
          <w:lang w:val="en-GB"/>
        </w:rPr>
        <w:t>letter</w:t>
      </w:r>
      <w:r w:rsidR="00126C43" w:rsidRPr="00AE396C">
        <w:rPr>
          <w:sz w:val="20"/>
          <w:szCs w:val="20"/>
          <w:lang w:val="en-GB"/>
        </w:rPr>
        <w:t xml:space="preserve"> </w:t>
      </w:r>
      <w:r w:rsidR="007416F2">
        <w:rPr>
          <w:sz w:val="20"/>
          <w:szCs w:val="20"/>
          <w:lang w:val="en-GB"/>
        </w:rPr>
        <w:t>no.</w:t>
      </w:r>
      <w:r w:rsidR="00D80184" w:rsidRPr="00AE396C">
        <w:rPr>
          <w:sz w:val="20"/>
          <w:szCs w:val="20"/>
          <w:lang w:val="en-GB"/>
        </w:rPr>
        <w:t xml:space="preserve"> 03/737 of 1 August 2016, the SHS indicated that the information regarding the temperatures at the </w:t>
      </w:r>
      <w:proofErr w:type="spellStart"/>
      <w:r w:rsidR="009973FE">
        <w:rPr>
          <w:sz w:val="20"/>
          <w:szCs w:val="20"/>
          <w:lang w:val="en-GB"/>
        </w:rPr>
        <w:t>Bălțata</w:t>
      </w:r>
      <w:proofErr w:type="spellEnd"/>
      <w:r w:rsidR="00EB2F2A" w:rsidRPr="00AE396C">
        <w:rPr>
          <w:sz w:val="20"/>
          <w:szCs w:val="20"/>
          <w:lang w:val="en-GB"/>
        </w:rPr>
        <w:t xml:space="preserve"> </w:t>
      </w:r>
      <w:r w:rsidR="00D80184" w:rsidRPr="00AE396C">
        <w:rPr>
          <w:sz w:val="20"/>
          <w:szCs w:val="20"/>
          <w:lang w:val="en-GB"/>
        </w:rPr>
        <w:t>hydrometeorological station and the stre</w:t>
      </w:r>
      <w:r w:rsidR="001F2C44" w:rsidRPr="00AE396C">
        <w:rPr>
          <w:sz w:val="20"/>
          <w:szCs w:val="20"/>
          <w:lang w:val="en-GB"/>
        </w:rPr>
        <w:t>a</w:t>
      </w:r>
      <w:r w:rsidR="00D80184" w:rsidRPr="00AE396C">
        <w:rPr>
          <w:sz w:val="20"/>
          <w:szCs w:val="20"/>
          <w:lang w:val="en-GB"/>
        </w:rPr>
        <w:t xml:space="preserve">mflow of the </w:t>
      </w:r>
      <w:proofErr w:type="spellStart"/>
      <w:r w:rsidR="009973FE">
        <w:rPr>
          <w:sz w:val="20"/>
          <w:szCs w:val="20"/>
          <w:lang w:val="en-GB"/>
        </w:rPr>
        <w:t>Bălțata</w:t>
      </w:r>
      <w:proofErr w:type="spellEnd"/>
      <w:r w:rsidR="00D80184" w:rsidRPr="00AE396C">
        <w:rPr>
          <w:sz w:val="20"/>
          <w:szCs w:val="20"/>
          <w:lang w:val="en-GB"/>
        </w:rPr>
        <w:t xml:space="preserve"> River could be received </w:t>
      </w:r>
      <w:r w:rsidR="00105AAC">
        <w:rPr>
          <w:sz w:val="20"/>
          <w:szCs w:val="20"/>
          <w:lang w:val="en-GB"/>
        </w:rPr>
        <w:t>by</w:t>
      </w:r>
      <w:r w:rsidR="00D80184" w:rsidRPr="00AE396C">
        <w:rPr>
          <w:sz w:val="20"/>
          <w:szCs w:val="20"/>
          <w:lang w:val="en-GB"/>
        </w:rPr>
        <w:t xml:space="preserve"> </w:t>
      </w:r>
      <w:r w:rsidR="00991C04">
        <w:rPr>
          <w:sz w:val="20"/>
          <w:szCs w:val="20"/>
          <w:lang w:val="en-GB"/>
        </w:rPr>
        <w:t>one</w:t>
      </w:r>
      <w:r w:rsidR="00991C04" w:rsidRPr="00AE396C">
        <w:rPr>
          <w:sz w:val="20"/>
          <w:szCs w:val="20"/>
          <w:lang w:val="en-GB"/>
        </w:rPr>
        <w:t xml:space="preserve"> </w:t>
      </w:r>
      <w:r w:rsidR="00D80184" w:rsidRPr="00AE396C">
        <w:rPr>
          <w:sz w:val="20"/>
          <w:szCs w:val="20"/>
          <w:lang w:val="en-GB"/>
        </w:rPr>
        <w:t>of two ways:</w:t>
      </w:r>
      <w:bookmarkEnd w:id="12"/>
    </w:p>
    <w:p w14:paraId="77B2B9D1" w14:textId="14EE6C7A" w:rsidR="00072BAF" w:rsidRPr="00AE396C" w:rsidRDefault="00072BAF" w:rsidP="00E0525A">
      <w:pPr>
        <w:pStyle w:val="SingleTxtG"/>
        <w:numPr>
          <w:ilvl w:val="0"/>
          <w:numId w:val="41"/>
        </w:numPr>
        <w:tabs>
          <w:tab w:val="right" w:pos="567"/>
        </w:tabs>
        <w:ind w:left="1134" w:right="0" w:firstLine="567"/>
        <w:rPr>
          <w:sz w:val="20"/>
          <w:szCs w:val="20"/>
          <w:lang w:val="en-GB"/>
        </w:rPr>
      </w:pPr>
      <w:r w:rsidRPr="00AE396C">
        <w:rPr>
          <w:sz w:val="20"/>
          <w:szCs w:val="20"/>
          <w:lang w:val="en-GB"/>
        </w:rPr>
        <w:t>The SHS staff collects, organizes and presents the information at a cost of 730,374.50 lei</w:t>
      </w:r>
      <w:r w:rsidR="00EB2F2A">
        <w:rPr>
          <w:sz w:val="20"/>
          <w:szCs w:val="20"/>
          <w:lang w:val="en-GB"/>
        </w:rPr>
        <w:t xml:space="preserve"> (</w:t>
      </w:r>
      <w:r w:rsidRPr="00AE396C">
        <w:rPr>
          <w:sz w:val="20"/>
          <w:szCs w:val="20"/>
          <w:lang w:val="en-GB"/>
        </w:rPr>
        <w:t xml:space="preserve">approximately 35,700 </w:t>
      </w:r>
      <w:r w:rsidR="00EB2F2A">
        <w:rPr>
          <w:sz w:val="20"/>
          <w:szCs w:val="20"/>
          <w:lang w:val="en-GB"/>
        </w:rPr>
        <w:t>e</w:t>
      </w:r>
      <w:r w:rsidRPr="00AE396C">
        <w:rPr>
          <w:sz w:val="20"/>
          <w:szCs w:val="20"/>
          <w:lang w:val="en-GB"/>
        </w:rPr>
        <w:t>uro</w:t>
      </w:r>
      <w:r w:rsidR="00EB2F2A">
        <w:rPr>
          <w:sz w:val="20"/>
          <w:szCs w:val="20"/>
          <w:lang w:val="en-GB"/>
        </w:rPr>
        <w:t xml:space="preserve"> at the time)</w:t>
      </w:r>
      <w:r w:rsidRPr="00AE396C">
        <w:rPr>
          <w:sz w:val="20"/>
          <w:szCs w:val="20"/>
          <w:lang w:val="en-GB"/>
        </w:rPr>
        <w:t>; or</w:t>
      </w:r>
    </w:p>
    <w:p w14:paraId="0B6F51AD" w14:textId="724664CD" w:rsidR="00072BAF" w:rsidRPr="00AE396C" w:rsidRDefault="00072BAF" w:rsidP="00E0525A">
      <w:pPr>
        <w:pStyle w:val="SingleTxtG"/>
        <w:numPr>
          <w:ilvl w:val="0"/>
          <w:numId w:val="41"/>
        </w:numPr>
        <w:tabs>
          <w:tab w:val="right" w:pos="567"/>
        </w:tabs>
        <w:ind w:left="1134" w:right="0" w:firstLine="567"/>
        <w:rPr>
          <w:sz w:val="16"/>
          <w:szCs w:val="16"/>
          <w:lang w:val="en-GB"/>
        </w:rPr>
      </w:pPr>
      <w:r w:rsidRPr="00AE396C">
        <w:rPr>
          <w:sz w:val="20"/>
          <w:szCs w:val="20"/>
          <w:lang w:val="en-GB"/>
        </w:rPr>
        <w:t xml:space="preserve">The SHS provides access </w:t>
      </w:r>
      <w:r w:rsidR="0016590E">
        <w:rPr>
          <w:sz w:val="20"/>
          <w:szCs w:val="20"/>
          <w:lang w:val="en-GB"/>
        </w:rPr>
        <w:t>to</w:t>
      </w:r>
      <w:r w:rsidR="0016590E" w:rsidRPr="00AE396C">
        <w:rPr>
          <w:sz w:val="20"/>
          <w:szCs w:val="20"/>
          <w:lang w:val="en-GB"/>
        </w:rPr>
        <w:t xml:space="preserve"> </w:t>
      </w:r>
      <w:r w:rsidRPr="00AE396C">
        <w:rPr>
          <w:sz w:val="20"/>
          <w:szCs w:val="20"/>
          <w:lang w:val="en-GB"/>
        </w:rPr>
        <w:t xml:space="preserve">its office </w:t>
      </w:r>
      <w:r w:rsidR="0016590E">
        <w:rPr>
          <w:sz w:val="20"/>
          <w:szCs w:val="20"/>
          <w:lang w:val="en-GB"/>
        </w:rPr>
        <w:t>where</w:t>
      </w:r>
      <w:r w:rsidRPr="00AE396C">
        <w:rPr>
          <w:sz w:val="20"/>
          <w:szCs w:val="20"/>
          <w:lang w:val="en-GB"/>
        </w:rPr>
        <w:t xml:space="preserve"> an employee of the communicant </w:t>
      </w:r>
      <w:r w:rsidR="00EB2F2A">
        <w:rPr>
          <w:sz w:val="20"/>
          <w:szCs w:val="20"/>
          <w:lang w:val="en-GB"/>
        </w:rPr>
        <w:t xml:space="preserve">can </w:t>
      </w:r>
      <w:r w:rsidRPr="00AE396C">
        <w:rPr>
          <w:sz w:val="20"/>
          <w:szCs w:val="20"/>
          <w:lang w:val="en-GB"/>
        </w:rPr>
        <w:t xml:space="preserve">collect the </w:t>
      </w:r>
      <w:r w:rsidR="0016590E">
        <w:rPr>
          <w:sz w:val="20"/>
          <w:szCs w:val="20"/>
          <w:lang w:val="en-GB"/>
        </w:rPr>
        <w:t xml:space="preserve">requested </w:t>
      </w:r>
      <w:r w:rsidRPr="00AE396C">
        <w:rPr>
          <w:sz w:val="20"/>
          <w:szCs w:val="20"/>
          <w:lang w:val="en-GB"/>
        </w:rPr>
        <w:t>information unassisted, with</w:t>
      </w:r>
      <w:r w:rsidR="002F2409">
        <w:rPr>
          <w:sz w:val="20"/>
          <w:szCs w:val="20"/>
          <w:lang w:val="en-GB"/>
        </w:rPr>
        <w:t>out</w:t>
      </w:r>
      <w:r w:rsidRPr="00AE396C">
        <w:rPr>
          <w:sz w:val="20"/>
          <w:szCs w:val="20"/>
          <w:lang w:val="en-GB"/>
        </w:rPr>
        <w:t xml:space="preserve"> help from SHS staff.</w:t>
      </w:r>
      <w:r w:rsidRPr="00AE396C">
        <w:rPr>
          <w:rStyle w:val="FootnoteReference"/>
          <w:sz w:val="20"/>
          <w:szCs w:val="20"/>
          <w:lang w:val="en-GB"/>
        </w:rPr>
        <w:footnoteReference w:id="21"/>
      </w:r>
    </w:p>
    <w:p w14:paraId="6389DDF9" w14:textId="19C431E1" w:rsidR="000C3236" w:rsidRDefault="000C3236" w:rsidP="000C3236">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 xml:space="preserve">The letter </w:t>
      </w:r>
      <w:r>
        <w:rPr>
          <w:rStyle w:val="st"/>
          <w:sz w:val="20"/>
          <w:szCs w:val="20"/>
          <w:lang w:val="en-GB"/>
        </w:rPr>
        <w:t>did</w:t>
      </w:r>
      <w:r w:rsidRPr="00AE396C">
        <w:rPr>
          <w:rStyle w:val="st"/>
          <w:sz w:val="20"/>
          <w:szCs w:val="20"/>
          <w:lang w:val="en-GB"/>
        </w:rPr>
        <w:t xml:space="preserve"> not provide any</w:t>
      </w:r>
      <w:r>
        <w:rPr>
          <w:rStyle w:val="st"/>
          <w:sz w:val="20"/>
          <w:szCs w:val="20"/>
          <w:lang w:val="en-GB"/>
        </w:rPr>
        <w:t xml:space="preserve"> explanation,</w:t>
      </w:r>
      <w:r w:rsidRPr="00AE396C">
        <w:rPr>
          <w:rStyle w:val="st"/>
          <w:sz w:val="20"/>
          <w:szCs w:val="20"/>
          <w:lang w:val="en-GB"/>
        </w:rPr>
        <w:t xml:space="preserve"> justification or breakdown of how the cost of 730,374.50 lei </w:t>
      </w:r>
      <w:r>
        <w:rPr>
          <w:rStyle w:val="st"/>
          <w:sz w:val="20"/>
          <w:szCs w:val="20"/>
          <w:lang w:val="en-GB"/>
        </w:rPr>
        <w:t>had been</w:t>
      </w:r>
      <w:r w:rsidRPr="00AE396C">
        <w:rPr>
          <w:rStyle w:val="st"/>
          <w:sz w:val="20"/>
          <w:szCs w:val="20"/>
          <w:lang w:val="en-GB"/>
        </w:rPr>
        <w:t xml:space="preserve"> calculated.</w:t>
      </w:r>
      <w:r>
        <w:rPr>
          <w:rStyle w:val="FootnoteReference"/>
          <w:szCs w:val="20"/>
          <w:lang w:val="en-GB"/>
        </w:rPr>
        <w:footnoteReference w:id="22"/>
      </w:r>
    </w:p>
    <w:p w14:paraId="39AFB79E" w14:textId="6862CEDC" w:rsidR="00072BAF" w:rsidRPr="00AE396C" w:rsidRDefault="00072BAF" w:rsidP="00072BAF">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W</w:t>
      </w:r>
      <w:r w:rsidR="00D80184" w:rsidRPr="00AE396C">
        <w:rPr>
          <w:sz w:val="20"/>
          <w:szCs w:val="20"/>
          <w:lang w:val="en-GB"/>
        </w:rPr>
        <w:t xml:space="preserve">ith respect to the information </w:t>
      </w:r>
      <w:r w:rsidR="00F03AD7">
        <w:rPr>
          <w:sz w:val="20"/>
          <w:szCs w:val="20"/>
          <w:lang w:val="en-GB"/>
        </w:rPr>
        <w:t xml:space="preserve">requested under </w:t>
      </w:r>
      <w:r w:rsidR="002F2409">
        <w:rPr>
          <w:sz w:val="20"/>
          <w:szCs w:val="20"/>
          <w:lang w:val="en-GB"/>
        </w:rPr>
        <w:t>point (3)</w:t>
      </w:r>
      <w:r w:rsidR="003E76CE" w:rsidRPr="00AE396C">
        <w:rPr>
          <w:sz w:val="20"/>
          <w:szCs w:val="20"/>
          <w:lang w:val="en-GB"/>
        </w:rPr>
        <w:t>, the SHS answered that it did not have this information. It stated that this information was collected in the framework of a project and that the SHS did not have the right to share the information. The SHS advised the communicant that it should check with the members of the project</w:t>
      </w:r>
      <w:r w:rsidR="00035568">
        <w:rPr>
          <w:sz w:val="20"/>
          <w:szCs w:val="20"/>
          <w:lang w:val="en-GB"/>
        </w:rPr>
        <w:t>.</w:t>
      </w:r>
      <w:r w:rsidR="003E76CE" w:rsidRPr="00AE396C">
        <w:rPr>
          <w:rStyle w:val="FootnoteReference"/>
          <w:sz w:val="20"/>
          <w:szCs w:val="20"/>
          <w:lang w:val="en-GB"/>
        </w:rPr>
        <w:footnoteReference w:id="23"/>
      </w:r>
    </w:p>
    <w:p w14:paraId="5577A3F1" w14:textId="2243761C" w:rsidR="00072BAF" w:rsidRDefault="00072BAF" w:rsidP="00072BAF">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O</w:t>
      </w:r>
      <w:r w:rsidR="00CD7FC5" w:rsidRPr="00AE396C">
        <w:rPr>
          <w:sz w:val="20"/>
          <w:szCs w:val="20"/>
          <w:lang w:val="en-GB"/>
        </w:rPr>
        <w:t xml:space="preserve">n 8 August 2016, the communicant </w:t>
      </w:r>
      <w:r w:rsidRPr="00AE396C">
        <w:rPr>
          <w:sz w:val="20"/>
          <w:szCs w:val="20"/>
          <w:lang w:val="en-GB"/>
        </w:rPr>
        <w:t>requested that the SHS share information concerning the project referred to in its reply of 1 August 2016.</w:t>
      </w:r>
      <w:r w:rsidRPr="00AE396C">
        <w:rPr>
          <w:rStyle w:val="FootnoteReference"/>
          <w:sz w:val="20"/>
          <w:szCs w:val="20"/>
          <w:lang w:val="en-GB"/>
        </w:rPr>
        <w:footnoteReference w:id="24"/>
      </w:r>
    </w:p>
    <w:p w14:paraId="3D753288" w14:textId="7FDCB2B2" w:rsidR="004F7391" w:rsidRDefault="004F7391" w:rsidP="00F27E15">
      <w:pPr>
        <w:pStyle w:val="SingleTxtG"/>
        <w:numPr>
          <w:ilvl w:val="0"/>
          <w:numId w:val="3"/>
        </w:numPr>
        <w:tabs>
          <w:tab w:val="right" w:pos="567"/>
          <w:tab w:val="num" w:pos="1276"/>
        </w:tabs>
        <w:ind w:left="1134" w:right="0" w:firstLine="0"/>
        <w:rPr>
          <w:sz w:val="20"/>
          <w:szCs w:val="20"/>
          <w:lang w:val="en-GB"/>
        </w:rPr>
      </w:pPr>
      <w:r>
        <w:rPr>
          <w:sz w:val="20"/>
          <w:szCs w:val="20"/>
          <w:lang w:val="en-GB"/>
        </w:rPr>
        <w:t xml:space="preserve">On unspecified dates in September and October 2016, the communicant visited the SHS offices. </w:t>
      </w:r>
      <w:r w:rsidR="009F5FCE">
        <w:rPr>
          <w:sz w:val="20"/>
          <w:szCs w:val="20"/>
          <w:lang w:val="en-GB"/>
        </w:rPr>
        <w:t xml:space="preserve">On at least one occasion, </w:t>
      </w:r>
      <w:r>
        <w:rPr>
          <w:sz w:val="20"/>
          <w:szCs w:val="20"/>
          <w:lang w:val="en-GB"/>
        </w:rPr>
        <w:t>the data was not accessible due to the library being either repaired or relocated.</w:t>
      </w:r>
      <w:r>
        <w:rPr>
          <w:rStyle w:val="FootnoteReference"/>
          <w:szCs w:val="20"/>
          <w:lang w:val="en-GB"/>
        </w:rPr>
        <w:footnoteReference w:id="25"/>
      </w:r>
    </w:p>
    <w:p w14:paraId="4B4C2B2C" w14:textId="16BA4900" w:rsidR="004F7391" w:rsidRPr="00D92BB5" w:rsidRDefault="004F7391" w:rsidP="00F27E15">
      <w:pPr>
        <w:pStyle w:val="SingleTxtG"/>
        <w:numPr>
          <w:ilvl w:val="0"/>
          <w:numId w:val="3"/>
        </w:numPr>
        <w:tabs>
          <w:tab w:val="right" w:pos="567"/>
          <w:tab w:val="num" w:pos="1276"/>
        </w:tabs>
        <w:ind w:left="1134" w:right="0" w:firstLine="0"/>
        <w:rPr>
          <w:sz w:val="20"/>
          <w:szCs w:val="20"/>
          <w:lang w:val="en-GB"/>
        </w:rPr>
      </w:pPr>
      <w:r>
        <w:rPr>
          <w:sz w:val="20"/>
          <w:szCs w:val="20"/>
          <w:lang w:val="en-GB"/>
        </w:rPr>
        <w:t>On 22 September 2016, the communicant received the data relating to streamflow by email.</w:t>
      </w:r>
      <w:r w:rsidRPr="004F7391">
        <w:rPr>
          <w:sz w:val="20"/>
          <w:szCs w:val="20"/>
          <w:lang w:val="en-GB"/>
        </w:rPr>
        <w:t xml:space="preserve"> </w:t>
      </w:r>
      <w:r>
        <w:rPr>
          <w:sz w:val="20"/>
          <w:szCs w:val="20"/>
          <w:lang w:val="en-GB"/>
        </w:rPr>
        <w:t xml:space="preserve">The same information was </w:t>
      </w:r>
      <w:r w:rsidR="003D3DDE">
        <w:rPr>
          <w:sz w:val="20"/>
          <w:szCs w:val="20"/>
          <w:lang w:val="en-GB"/>
        </w:rPr>
        <w:t>later also sent by</w:t>
      </w:r>
      <w:r>
        <w:rPr>
          <w:sz w:val="20"/>
          <w:szCs w:val="20"/>
          <w:lang w:val="en-GB"/>
        </w:rPr>
        <w:t xml:space="preserve"> letter </w:t>
      </w:r>
      <w:r w:rsidR="00114488">
        <w:rPr>
          <w:sz w:val="20"/>
          <w:szCs w:val="20"/>
          <w:lang w:val="en-GB"/>
        </w:rPr>
        <w:t xml:space="preserve">no. </w:t>
      </w:r>
      <w:r>
        <w:rPr>
          <w:sz w:val="20"/>
          <w:szCs w:val="20"/>
          <w:lang w:val="en-GB"/>
        </w:rPr>
        <w:t>07/952 of 3 October 2016</w:t>
      </w:r>
      <w:r>
        <w:rPr>
          <w:sz w:val="20"/>
          <w:szCs w:val="20"/>
          <w:lang w:val="en-US"/>
        </w:rPr>
        <w:t xml:space="preserve">, responding to the communicant’s letter of 8 August 2016 providing </w:t>
      </w:r>
      <w:r w:rsidR="00D66C4C">
        <w:rPr>
          <w:sz w:val="20"/>
          <w:szCs w:val="20"/>
          <w:lang w:val="en-US"/>
        </w:rPr>
        <w:t>information</w:t>
      </w:r>
      <w:r>
        <w:rPr>
          <w:sz w:val="20"/>
          <w:szCs w:val="20"/>
          <w:lang w:val="en-US"/>
        </w:rPr>
        <w:t xml:space="preserve"> from the </w:t>
      </w:r>
      <w:proofErr w:type="spellStart"/>
      <w:r w:rsidR="009973FE">
        <w:rPr>
          <w:sz w:val="20"/>
          <w:szCs w:val="20"/>
          <w:lang w:val="en-US"/>
        </w:rPr>
        <w:t>Bălțata</w:t>
      </w:r>
      <w:proofErr w:type="spellEnd"/>
      <w:r w:rsidR="00385110">
        <w:rPr>
          <w:sz w:val="20"/>
          <w:szCs w:val="20"/>
          <w:lang w:val="en-US"/>
        </w:rPr>
        <w:t xml:space="preserve"> hydrometeorological station</w:t>
      </w:r>
      <w:r>
        <w:rPr>
          <w:sz w:val="20"/>
          <w:szCs w:val="20"/>
          <w:lang w:val="en-US"/>
        </w:rPr>
        <w:t xml:space="preserve">, containing </w:t>
      </w:r>
      <w:r w:rsidR="00D66C4C">
        <w:rPr>
          <w:sz w:val="20"/>
          <w:szCs w:val="20"/>
          <w:lang w:val="en-US"/>
        </w:rPr>
        <w:t>monthly data</w:t>
      </w:r>
      <w:r>
        <w:rPr>
          <w:sz w:val="20"/>
          <w:szCs w:val="20"/>
          <w:lang w:val="en-US"/>
        </w:rPr>
        <w:t xml:space="preserve"> from 1954-1977 and 1983-2012.</w:t>
      </w:r>
      <w:r>
        <w:rPr>
          <w:rStyle w:val="FootnoteReference"/>
          <w:szCs w:val="20"/>
          <w:lang w:val="en-US"/>
        </w:rPr>
        <w:footnoteReference w:id="26"/>
      </w:r>
      <w:r>
        <w:rPr>
          <w:sz w:val="20"/>
          <w:szCs w:val="20"/>
          <w:lang w:val="en-US"/>
        </w:rPr>
        <w:t xml:space="preserve"> Following receipt of this information, the communicant visited the SHS offices on two more occasions to clarify omissions and perceived errors in the data.</w:t>
      </w:r>
      <w:r>
        <w:rPr>
          <w:rStyle w:val="FootnoteReference"/>
          <w:szCs w:val="20"/>
          <w:lang w:val="en-US"/>
        </w:rPr>
        <w:footnoteReference w:id="27"/>
      </w:r>
      <w:r>
        <w:rPr>
          <w:sz w:val="20"/>
          <w:szCs w:val="20"/>
          <w:lang w:val="en-US"/>
        </w:rPr>
        <w:t xml:space="preserve"> </w:t>
      </w:r>
      <w:r w:rsidR="0064670D">
        <w:rPr>
          <w:sz w:val="20"/>
          <w:szCs w:val="20"/>
          <w:lang w:val="en-US"/>
        </w:rPr>
        <w:t>No request for payment was made for th</w:t>
      </w:r>
      <w:r w:rsidR="00F03AD7">
        <w:rPr>
          <w:sz w:val="20"/>
          <w:szCs w:val="20"/>
          <w:lang w:val="en-US"/>
        </w:rPr>
        <w:t>e</w:t>
      </w:r>
      <w:r w:rsidR="0064670D">
        <w:rPr>
          <w:sz w:val="20"/>
          <w:szCs w:val="20"/>
          <w:lang w:val="en-US"/>
        </w:rPr>
        <w:t xml:space="preserve"> data.</w:t>
      </w:r>
      <w:r w:rsidR="0064670D">
        <w:rPr>
          <w:rStyle w:val="FootnoteReference"/>
          <w:szCs w:val="20"/>
          <w:lang w:val="en-US"/>
        </w:rPr>
        <w:footnoteReference w:id="28"/>
      </w:r>
    </w:p>
    <w:p w14:paraId="57486240" w14:textId="1E450E88" w:rsidR="00072BAF" w:rsidRPr="00AE396C" w:rsidRDefault="00072BAF" w:rsidP="00F27E15">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O</w:t>
      </w:r>
      <w:r w:rsidR="00CD7FC5" w:rsidRPr="00AE396C">
        <w:rPr>
          <w:sz w:val="20"/>
          <w:szCs w:val="20"/>
          <w:lang w:val="en-GB"/>
        </w:rPr>
        <w:t>n 18 February 2017, the communicant</w:t>
      </w:r>
      <w:r w:rsidR="00CB02BF">
        <w:rPr>
          <w:sz w:val="20"/>
          <w:szCs w:val="20"/>
          <w:lang w:val="en-GB"/>
        </w:rPr>
        <w:t xml:space="preserve"> sent another letter to SHS,</w:t>
      </w:r>
      <w:r w:rsidR="00CD7FC5" w:rsidRPr="00AE396C">
        <w:rPr>
          <w:sz w:val="20"/>
          <w:szCs w:val="20"/>
          <w:lang w:val="en-GB"/>
        </w:rPr>
        <w:t xml:space="preserve"> re</w:t>
      </w:r>
      <w:r w:rsidR="00F27E15" w:rsidRPr="00AE396C">
        <w:rPr>
          <w:sz w:val="20"/>
          <w:szCs w:val="20"/>
          <w:lang w:val="en-GB"/>
        </w:rPr>
        <w:t>peat</w:t>
      </w:r>
      <w:r w:rsidR="00CB02BF">
        <w:rPr>
          <w:sz w:val="20"/>
          <w:szCs w:val="20"/>
          <w:lang w:val="en-GB"/>
        </w:rPr>
        <w:t>ing</w:t>
      </w:r>
      <w:r w:rsidR="00F27E15" w:rsidRPr="00AE396C">
        <w:rPr>
          <w:sz w:val="20"/>
          <w:szCs w:val="20"/>
          <w:lang w:val="en-GB"/>
        </w:rPr>
        <w:t xml:space="preserve"> its request </w:t>
      </w:r>
      <w:r w:rsidR="00035568">
        <w:rPr>
          <w:sz w:val="20"/>
          <w:szCs w:val="20"/>
          <w:lang w:val="en-GB"/>
        </w:rPr>
        <w:t xml:space="preserve">of 8 August 2016 </w:t>
      </w:r>
      <w:r w:rsidR="00CB02BF">
        <w:rPr>
          <w:sz w:val="20"/>
          <w:szCs w:val="20"/>
          <w:lang w:val="en-GB"/>
        </w:rPr>
        <w:t xml:space="preserve">for the title of and information about </w:t>
      </w:r>
      <w:r w:rsidR="00F27E15" w:rsidRPr="00AE396C">
        <w:rPr>
          <w:sz w:val="20"/>
          <w:szCs w:val="20"/>
          <w:lang w:val="en-GB"/>
        </w:rPr>
        <w:t>the project to which the SHS referred in its reply of 1 August 2016, the name and contact details of the project members, or to provide access to the requested data.</w:t>
      </w:r>
      <w:r w:rsidR="00FD0014">
        <w:rPr>
          <w:rStyle w:val="FootnoteReference"/>
          <w:szCs w:val="20"/>
          <w:lang w:val="en-GB"/>
        </w:rPr>
        <w:footnoteReference w:id="29"/>
      </w:r>
      <w:r w:rsidR="00F27E15" w:rsidRPr="00AE396C">
        <w:rPr>
          <w:sz w:val="20"/>
          <w:szCs w:val="20"/>
          <w:lang w:val="en-GB"/>
        </w:rPr>
        <w:t xml:space="preserve"> </w:t>
      </w:r>
    </w:p>
    <w:p w14:paraId="2751EC70" w14:textId="103A619D" w:rsidR="0026070B" w:rsidRPr="00AE396C" w:rsidRDefault="0026070B" w:rsidP="00F27E15">
      <w:pPr>
        <w:pStyle w:val="SingleTxtG"/>
        <w:numPr>
          <w:ilvl w:val="0"/>
          <w:numId w:val="3"/>
        </w:numPr>
        <w:tabs>
          <w:tab w:val="right" w:pos="567"/>
          <w:tab w:val="num" w:pos="1276"/>
        </w:tabs>
        <w:ind w:left="1134" w:right="0" w:firstLine="0"/>
        <w:rPr>
          <w:sz w:val="20"/>
          <w:szCs w:val="20"/>
          <w:lang w:val="en-GB"/>
        </w:rPr>
      </w:pPr>
      <w:bookmarkStart w:id="13" w:name="_Ref14697452"/>
      <w:r w:rsidRPr="00AE396C">
        <w:rPr>
          <w:sz w:val="20"/>
          <w:szCs w:val="20"/>
          <w:lang w:val="en-GB"/>
        </w:rPr>
        <w:t xml:space="preserve">On 3 April 2017, the communicant wrote to the Minister of Environment to ask for his assistance in getting a response the communicant’s letter to the SHS of 18 February 2017. In the same correspondence </w:t>
      </w:r>
      <w:r w:rsidR="004431E4">
        <w:rPr>
          <w:sz w:val="20"/>
          <w:szCs w:val="20"/>
          <w:lang w:val="en-GB"/>
        </w:rPr>
        <w:t>with</w:t>
      </w:r>
      <w:r w:rsidRPr="00AE396C">
        <w:rPr>
          <w:sz w:val="20"/>
          <w:szCs w:val="20"/>
          <w:lang w:val="en-GB"/>
        </w:rPr>
        <w:t xml:space="preserve"> the Minister, the communicant referred to Regulation </w:t>
      </w:r>
      <w:r w:rsidR="00227629">
        <w:rPr>
          <w:sz w:val="20"/>
          <w:szCs w:val="20"/>
          <w:lang w:val="en-GB"/>
        </w:rPr>
        <w:t>N</w:t>
      </w:r>
      <w:r w:rsidRPr="00AE396C">
        <w:rPr>
          <w:sz w:val="20"/>
          <w:szCs w:val="20"/>
          <w:lang w:val="en-GB"/>
        </w:rPr>
        <w:t xml:space="preserve">o. 330, claiming that it “violates the principle of reasonable costs under the Aarhus Convention (since </w:t>
      </w:r>
      <w:r w:rsidRPr="00AE396C">
        <w:rPr>
          <w:sz w:val="20"/>
          <w:szCs w:val="20"/>
          <w:lang w:val="en-GB"/>
        </w:rPr>
        <w:lastRenderedPageBreak/>
        <w:t>it does not distinguish the costs for the already existing information and the newly collected data) and should be revised</w:t>
      </w:r>
      <w:r w:rsidR="002B58E8">
        <w:rPr>
          <w:sz w:val="20"/>
          <w:szCs w:val="20"/>
          <w:lang w:val="en-GB"/>
        </w:rPr>
        <w:t xml:space="preserve"> accordingly”.</w:t>
      </w:r>
      <w:r w:rsidRPr="00AE396C">
        <w:rPr>
          <w:rStyle w:val="FootnoteReference"/>
          <w:sz w:val="20"/>
          <w:szCs w:val="20"/>
          <w:lang w:val="en-GB"/>
        </w:rPr>
        <w:footnoteReference w:id="30"/>
      </w:r>
      <w:bookmarkEnd w:id="13"/>
    </w:p>
    <w:p w14:paraId="49497AE6" w14:textId="3216C742" w:rsidR="006D5E47" w:rsidRDefault="006D5E47" w:rsidP="004C16CA">
      <w:pPr>
        <w:pStyle w:val="SingleTxtG"/>
        <w:numPr>
          <w:ilvl w:val="0"/>
          <w:numId w:val="3"/>
        </w:numPr>
        <w:tabs>
          <w:tab w:val="right" w:pos="567"/>
          <w:tab w:val="num" w:pos="1276"/>
        </w:tabs>
        <w:ind w:left="1134" w:right="0" w:firstLine="0"/>
        <w:rPr>
          <w:sz w:val="20"/>
          <w:szCs w:val="20"/>
          <w:lang w:val="en-GB"/>
        </w:rPr>
      </w:pPr>
      <w:bookmarkStart w:id="14" w:name="_Ref17298038"/>
      <w:r>
        <w:rPr>
          <w:sz w:val="20"/>
          <w:szCs w:val="20"/>
          <w:lang w:val="en-GB"/>
        </w:rPr>
        <w:t>On 21 April 2017</w:t>
      </w:r>
      <w:r w:rsidRPr="00AE396C">
        <w:rPr>
          <w:sz w:val="20"/>
          <w:szCs w:val="20"/>
          <w:lang w:val="en-GB"/>
        </w:rPr>
        <w:t xml:space="preserve"> the SHS</w:t>
      </w:r>
      <w:r>
        <w:rPr>
          <w:sz w:val="20"/>
          <w:szCs w:val="20"/>
          <w:lang w:val="en-GB"/>
        </w:rPr>
        <w:t xml:space="preserve"> sent letter 01/662</w:t>
      </w:r>
      <w:r w:rsidR="009D0745">
        <w:rPr>
          <w:sz w:val="20"/>
          <w:szCs w:val="20"/>
          <w:lang w:val="en-GB"/>
        </w:rPr>
        <w:t xml:space="preserve"> informing </w:t>
      </w:r>
      <w:r w:rsidRPr="00AE396C">
        <w:rPr>
          <w:sz w:val="20"/>
          <w:szCs w:val="20"/>
          <w:lang w:val="en-GB"/>
        </w:rPr>
        <w:t xml:space="preserve">the communicant that the River </w:t>
      </w:r>
      <w:proofErr w:type="spellStart"/>
      <w:r w:rsidR="009973FE">
        <w:rPr>
          <w:sz w:val="20"/>
          <w:szCs w:val="20"/>
          <w:lang w:val="en-GB"/>
        </w:rPr>
        <w:t>Bălțata</w:t>
      </w:r>
      <w:proofErr w:type="spellEnd"/>
      <w:r w:rsidRPr="00AE396C">
        <w:rPr>
          <w:sz w:val="20"/>
          <w:szCs w:val="20"/>
          <w:lang w:val="en-GB"/>
        </w:rPr>
        <w:t xml:space="preserve"> had never been included in the </w:t>
      </w:r>
      <w:r>
        <w:rPr>
          <w:sz w:val="20"/>
          <w:szCs w:val="20"/>
          <w:lang w:val="en-GB"/>
        </w:rPr>
        <w:t xml:space="preserve">Party </w:t>
      </w:r>
      <w:proofErr w:type="spellStart"/>
      <w:r>
        <w:rPr>
          <w:sz w:val="20"/>
          <w:szCs w:val="20"/>
          <w:lang w:val="en-GB"/>
        </w:rPr>
        <w:t>concerned’s</w:t>
      </w:r>
      <w:proofErr w:type="spellEnd"/>
      <w:r>
        <w:rPr>
          <w:sz w:val="20"/>
          <w:szCs w:val="20"/>
          <w:lang w:val="en-GB"/>
        </w:rPr>
        <w:t xml:space="preserve"> surface water quality </w:t>
      </w:r>
      <w:r w:rsidRPr="00AE396C">
        <w:rPr>
          <w:sz w:val="20"/>
          <w:szCs w:val="20"/>
          <w:lang w:val="en-GB"/>
        </w:rPr>
        <w:t xml:space="preserve">monitoring program with regard to </w:t>
      </w:r>
      <w:proofErr w:type="spellStart"/>
      <w:r w:rsidRPr="00AE396C">
        <w:rPr>
          <w:sz w:val="20"/>
          <w:szCs w:val="20"/>
          <w:lang w:val="en-GB"/>
        </w:rPr>
        <w:t>hydrochemical</w:t>
      </w:r>
      <w:proofErr w:type="spellEnd"/>
      <w:r w:rsidRPr="00AE396C">
        <w:rPr>
          <w:sz w:val="20"/>
          <w:szCs w:val="20"/>
          <w:lang w:val="en-GB"/>
        </w:rPr>
        <w:t xml:space="preserve"> components</w:t>
      </w:r>
      <w:r>
        <w:rPr>
          <w:sz w:val="20"/>
          <w:szCs w:val="20"/>
          <w:lang w:val="en-GB"/>
        </w:rPr>
        <w:t xml:space="preserve"> because </w:t>
      </w:r>
      <w:r w:rsidRPr="00AE396C">
        <w:rPr>
          <w:sz w:val="20"/>
          <w:szCs w:val="20"/>
          <w:lang w:val="en-GB"/>
        </w:rPr>
        <w:t>the monitoring system</w:t>
      </w:r>
      <w:r w:rsidR="00234B44">
        <w:rPr>
          <w:sz w:val="20"/>
          <w:szCs w:val="20"/>
          <w:lang w:val="en-GB"/>
        </w:rPr>
        <w:t xml:space="preserve"> </w:t>
      </w:r>
      <w:r w:rsidRPr="00AE396C">
        <w:rPr>
          <w:sz w:val="20"/>
          <w:szCs w:val="20"/>
          <w:lang w:val="en-GB"/>
        </w:rPr>
        <w:t xml:space="preserve">was neither sufficiently financed nor properly staffed </w:t>
      </w:r>
      <w:r>
        <w:rPr>
          <w:sz w:val="20"/>
          <w:szCs w:val="20"/>
          <w:lang w:val="en-GB"/>
        </w:rPr>
        <w:t>to enable</w:t>
      </w:r>
      <w:r w:rsidRPr="00AE396C">
        <w:rPr>
          <w:sz w:val="20"/>
          <w:szCs w:val="20"/>
          <w:lang w:val="en-GB"/>
        </w:rPr>
        <w:t xml:space="preserve"> monitoring of the river of such a size. </w:t>
      </w:r>
      <w:r w:rsidR="004C16CA">
        <w:rPr>
          <w:sz w:val="20"/>
          <w:szCs w:val="20"/>
          <w:lang w:val="en-GB"/>
        </w:rPr>
        <w:t>The SHS indicated that, d</w:t>
      </w:r>
      <w:r w:rsidRPr="00AE396C">
        <w:rPr>
          <w:sz w:val="20"/>
          <w:szCs w:val="20"/>
          <w:lang w:val="en-GB"/>
        </w:rPr>
        <w:t xml:space="preserve">espite this, </w:t>
      </w:r>
      <w:r w:rsidR="004C16CA">
        <w:rPr>
          <w:sz w:val="20"/>
          <w:szCs w:val="20"/>
          <w:lang w:val="en-GB"/>
        </w:rPr>
        <w:t xml:space="preserve">it </w:t>
      </w:r>
      <w:r>
        <w:rPr>
          <w:sz w:val="20"/>
          <w:szCs w:val="20"/>
          <w:lang w:val="en-GB"/>
        </w:rPr>
        <w:t>did hold some</w:t>
      </w:r>
      <w:r w:rsidRPr="00AE396C">
        <w:rPr>
          <w:sz w:val="20"/>
          <w:szCs w:val="20"/>
          <w:lang w:val="en-GB"/>
        </w:rPr>
        <w:t xml:space="preserve"> sporadic data regarding the quality of the River </w:t>
      </w:r>
      <w:proofErr w:type="spellStart"/>
      <w:r w:rsidR="009973FE">
        <w:rPr>
          <w:sz w:val="20"/>
          <w:szCs w:val="20"/>
          <w:lang w:val="en-GB"/>
        </w:rPr>
        <w:t>Bălțata</w:t>
      </w:r>
      <w:proofErr w:type="spellEnd"/>
      <w:r w:rsidRPr="00AE396C">
        <w:rPr>
          <w:sz w:val="20"/>
          <w:szCs w:val="20"/>
          <w:lang w:val="en-GB"/>
        </w:rPr>
        <w:t>, which was provided in the annex to the letter.</w:t>
      </w:r>
      <w:r w:rsidR="005D7D61">
        <w:rPr>
          <w:rStyle w:val="FootnoteReference"/>
          <w:szCs w:val="20"/>
          <w:lang w:val="en-GB"/>
        </w:rPr>
        <w:footnoteReference w:id="31"/>
      </w:r>
      <w:r w:rsidRPr="00AE396C">
        <w:rPr>
          <w:sz w:val="20"/>
          <w:szCs w:val="20"/>
          <w:lang w:val="en-GB"/>
        </w:rPr>
        <w:t xml:space="preserve"> </w:t>
      </w:r>
    </w:p>
    <w:p w14:paraId="7FF00EE5" w14:textId="2EE6EEF7" w:rsidR="004954A1" w:rsidRPr="006F307D" w:rsidRDefault="006D5E47" w:rsidP="006F307D">
      <w:pPr>
        <w:pStyle w:val="SingleTxtG"/>
        <w:numPr>
          <w:ilvl w:val="0"/>
          <w:numId w:val="3"/>
        </w:numPr>
        <w:tabs>
          <w:tab w:val="right" w:pos="567"/>
          <w:tab w:val="num" w:pos="1276"/>
        </w:tabs>
        <w:ind w:left="1134" w:right="0" w:firstLine="0"/>
        <w:rPr>
          <w:sz w:val="20"/>
          <w:szCs w:val="20"/>
          <w:lang w:val="en-GB"/>
        </w:rPr>
      </w:pPr>
      <w:r w:rsidRPr="006F307D">
        <w:rPr>
          <w:sz w:val="20"/>
          <w:szCs w:val="20"/>
          <w:lang w:val="en-GB"/>
        </w:rPr>
        <w:t>In letter 01/662, t</w:t>
      </w:r>
      <w:r w:rsidRPr="003879FC">
        <w:rPr>
          <w:sz w:val="20"/>
          <w:szCs w:val="20"/>
          <w:lang w:val="en-GB"/>
        </w:rPr>
        <w:t>he SHS</w:t>
      </w:r>
      <w:r w:rsidRPr="00D35A3E">
        <w:rPr>
          <w:sz w:val="20"/>
          <w:szCs w:val="20"/>
          <w:lang w:val="en-GB"/>
        </w:rPr>
        <w:t xml:space="preserve"> also added that </w:t>
      </w:r>
      <w:r w:rsidR="004C16CA">
        <w:rPr>
          <w:sz w:val="20"/>
          <w:szCs w:val="20"/>
          <w:lang w:val="en-GB"/>
        </w:rPr>
        <w:t>it</w:t>
      </w:r>
      <w:r w:rsidRPr="00D35A3E">
        <w:rPr>
          <w:sz w:val="20"/>
          <w:szCs w:val="20"/>
          <w:lang w:val="en-GB"/>
        </w:rPr>
        <w:t xml:space="preserve"> considered that</w:t>
      </w:r>
      <w:r w:rsidRPr="008B3666">
        <w:rPr>
          <w:sz w:val="20"/>
          <w:szCs w:val="20"/>
          <w:lang w:val="en-GB"/>
        </w:rPr>
        <w:t xml:space="preserve"> the information </w:t>
      </w:r>
      <w:r w:rsidRPr="001E6E68">
        <w:rPr>
          <w:sz w:val="20"/>
          <w:szCs w:val="20"/>
          <w:lang w:val="en-GB"/>
        </w:rPr>
        <w:t xml:space="preserve">requested </w:t>
      </w:r>
      <w:r w:rsidRPr="00E87582">
        <w:rPr>
          <w:sz w:val="20"/>
          <w:szCs w:val="20"/>
          <w:lang w:val="en-GB"/>
        </w:rPr>
        <w:t>from the 1950s to the present</w:t>
      </w:r>
      <w:r w:rsidRPr="006F307D">
        <w:rPr>
          <w:sz w:val="20"/>
          <w:szCs w:val="20"/>
          <w:lang w:val="en-GB"/>
        </w:rPr>
        <w:t xml:space="preserve"> constituted virtually the whole primary data set of the </w:t>
      </w:r>
      <w:r w:rsidR="00C32412" w:rsidRPr="006F307D">
        <w:rPr>
          <w:sz w:val="20"/>
          <w:szCs w:val="20"/>
          <w:lang w:val="en-GB"/>
        </w:rPr>
        <w:t>SHS Hydrometeorological Database</w:t>
      </w:r>
      <w:r w:rsidRPr="006F307D">
        <w:rPr>
          <w:sz w:val="20"/>
          <w:szCs w:val="20"/>
          <w:lang w:val="en-GB"/>
        </w:rPr>
        <w:t xml:space="preserve">. </w:t>
      </w:r>
      <w:r w:rsidR="00263A27">
        <w:rPr>
          <w:sz w:val="20"/>
          <w:szCs w:val="20"/>
          <w:lang w:val="en-GB"/>
        </w:rPr>
        <w:t>Any</w:t>
      </w:r>
      <w:r w:rsidR="004954A1" w:rsidRPr="00263A27">
        <w:rPr>
          <w:sz w:val="20"/>
          <w:szCs w:val="20"/>
          <w:lang w:val="en-GB"/>
        </w:rPr>
        <w:t xml:space="preserve"> </w:t>
      </w:r>
      <w:r w:rsidRPr="00D35A3E">
        <w:rPr>
          <w:sz w:val="20"/>
          <w:szCs w:val="20"/>
          <w:lang w:val="en-GB"/>
        </w:rPr>
        <w:t xml:space="preserve">requested information </w:t>
      </w:r>
      <w:r w:rsidR="004954A1" w:rsidRPr="00D35A3E">
        <w:rPr>
          <w:sz w:val="20"/>
          <w:szCs w:val="20"/>
          <w:lang w:val="en-GB"/>
        </w:rPr>
        <w:t xml:space="preserve">that </w:t>
      </w:r>
      <w:r w:rsidRPr="008B3666">
        <w:rPr>
          <w:sz w:val="20"/>
          <w:szCs w:val="20"/>
          <w:lang w:val="en-GB"/>
        </w:rPr>
        <w:t xml:space="preserve">is of </w:t>
      </w:r>
      <w:r w:rsidR="004954A1" w:rsidRPr="001E6E68">
        <w:rPr>
          <w:sz w:val="20"/>
          <w:szCs w:val="20"/>
          <w:lang w:val="en-GB"/>
        </w:rPr>
        <w:t xml:space="preserve">a </w:t>
      </w:r>
      <w:r w:rsidRPr="009605F1">
        <w:rPr>
          <w:sz w:val="20"/>
          <w:szCs w:val="20"/>
          <w:lang w:val="en-GB"/>
        </w:rPr>
        <w:t xml:space="preserve">primary nature </w:t>
      </w:r>
      <w:r w:rsidR="004954A1" w:rsidRPr="009605F1">
        <w:rPr>
          <w:sz w:val="20"/>
          <w:szCs w:val="20"/>
          <w:lang w:val="en-GB"/>
        </w:rPr>
        <w:t>would be provided at a charge</w:t>
      </w:r>
      <w:r w:rsidRPr="006F307D">
        <w:rPr>
          <w:sz w:val="20"/>
          <w:szCs w:val="20"/>
          <w:lang w:val="en-GB"/>
        </w:rPr>
        <w:t xml:space="preserve">, in accordance with </w:t>
      </w:r>
      <w:r w:rsidR="004954A1" w:rsidRPr="006F307D">
        <w:rPr>
          <w:sz w:val="20"/>
          <w:szCs w:val="20"/>
          <w:lang w:val="en-GB"/>
        </w:rPr>
        <w:t>Regulation</w:t>
      </w:r>
      <w:r w:rsidR="00665F22">
        <w:rPr>
          <w:sz w:val="20"/>
          <w:szCs w:val="20"/>
          <w:lang w:val="en-GB"/>
        </w:rPr>
        <w:t xml:space="preserve"> No.</w:t>
      </w:r>
      <w:r w:rsidR="004954A1" w:rsidRPr="006F307D">
        <w:rPr>
          <w:sz w:val="20"/>
          <w:szCs w:val="20"/>
          <w:lang w:val="en-GB"/>
        </w:rPr>
        <w:t xml:space="preserve"> 330.</w:t>
      </w:r>
      <w:r w:rsidR="004954A1" w:rsidRPr="00AE396C">
        <w:rPr>
          <w:rStyle w:val="FootnoteReference"/>
          <w:sz w:val="20"/>
          <w:szCs w:val="20"/>
          <w:lang w:val="en-GB"/>
        </w:rPr>
        <w:footnoteReference w:id="32"/>
      </w:r>
      <w:r w:rsidR="004954A1" w:rsidRPr="006F307D">
        <w:rPr>
          <w:sz w:val="20"/>
          <w:szCs w:val="20"/>
          <w:lang w:val="en-GB"/>
        </w:rPr>
        <w:t xml:space="preserve"> </w:t>
      </w:r>
    </w:p>
    <w:bookmarkEnd w:id="14"/>
    <w:p w14:paraId="37F3CAB4" w14:textId="1923E4D4" w:rsidR="00AF49AD" w:rsidRPr="000E6D89" w:rsidRDefault="00AF49AD" w:rsidP="00AF49AD">
      <w:pPr>
        <w:pStyle w:val="SingleTxtG"/>
        <w:tabs>
          <w:tab w:val="right" w:pos="567"/>
        </w:tabs>
        <w:ind w:right="0"/>
        <w:rPr>
          <w:b/>
          <w:bCs/>
          <w:sz w:val="20"/>
          <w:szCs w:val="20"/>
          <w:lang w:val="en-GB"/>
        </w:rPr>
      </w:pPr>
      <w:r w:rsidRPr="000E6D89">
        <w:rPr>
          <w:b/>
          <w:bCs/>
          <w:sz w:val="20"/>
          <w:szCs w:val="20"/>
          <w:lang w:val="en-GB"/>
        </w:rPr>
        <w:t>The preparation and adoption of the AEI Regulation</w:t>
      </w:r>
    </w:p>
    <w:p w14:paraId="38263C77" w14:textId="5DFE99BA" w:rsidR="00E15C85" w:rsidRPr="00AE396C" w:rsidRDefault="00072BAF" w:rsidP="00E15C85">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 xml:space="preserve"> </w:t>
      </w:r>
      <w:bookmarkStart w:id="15" w:name="_Ref14697327"/>
      <w:r w:rsidRPr="00AE396C">
        <w:rPr>
          <w:sz w:val="20"/>
          <w:szCs w:val="20"/>
          <w:lang w:val="en-GB"/>
        </w:rPr>
        <w:t>I</w:t>
      </w:r>
      <w:r w:rsidR="004831C9" w:rsidRPr="00AE396C">
        <w:rPr>
          <w:sz w:val="20"/>
          <w:szCs w:val="20"/>
          <w:lang w:val="en-GB"/>
        </w:rPr>
        <w:t>n summer 2016, the Ministry of the Environment placed a draft of the AEI Regulation on its webpage, seeking comments and suggestions from the public.</w:t>
      </w:r>
      <w:r w:rsidR="004E6A93" w:rsidRPr="00AE396C">
        <w:rPr>
          <w:sz w:val="20"/>
          <w:szCs w:val="20"/>
          <w:lang w:val="en-GB"/>
        </w:rPr>
        <w:t xml:space="preserve"> </w:t>
      </w:r>
      <w:r w:rsidR="004831C9" w:rsidRPr="00AE396C">
        <w:rPr>
          <w:sz w:val="20"/>
          <w:szCs w:val="20"/>
          <w:lang w:val="en-GB"/>
        </w:rPr>
        <w:t>On 18 August 2016, the communicant submitted nine suggestions and comments, including comments on the issue of reasonable costs</w:t>
      </w:r>
      <w:r w:rsidR="00982014">
        <w:rPr>
          <w:sz w:val="20"/>
          <w:szCs w:val="20"/>
          <w:lang w:val="en-GB"/>
        </w:rPr>
        <w:t xml:space="preserve">, failure to </w:t>
      </w:r>
      <w:r w:rsidR="00DF1796" w:rsidRPr="00AE396C">
        <w:rPr>
          <w:sz w:val="20"/>
          <w:szCs w:val="20"/>
          <w:lang w:val="en-GB"/>
        </w:rPr>
        <w:t xml:space="preserve">differentiate between newly collected data and already existing data, and </w:t>
      </w:r>
      <w:r w:rsidR="00C337AA">
        <w:rPr>
          <w:sz w:val="20"/>
          <w:szCs w:val="20"/>
          <w:lang w:val="en-GB"/>
        </w:rPr>
        <w:t>lack of guidance on information charges</w:t>
      </w:r>
      <w:r w:rsidR="00DF1796" w:rsidRPr="00AE396C">
        <w:rPr>
          <w:sz w:val="20"/>
          <w:szCs w:val="20"/>
          <w:lang w:val="en-GB"/>
        </w:rPr>
        <w:t>.</w:t>
      </w:r>
      <w:r w:rsidR="00982014">
        <w:rPr>
          <w:sz w:val="20"/>
          <w:szCs w:val="20"/>
          <w:lang w:val="en-GB"/>
        </w:rPr>
        <w:t xml:space="preserve"> </w:t>
      </w:r>
      <w:r w:rsidR="004831C9" w:rsidRPr="00AE396C">
        <w:rPr>
          <w:sz w:val="20"/>
          <w:szCs w:val="20"/>
          <w:lang w:val="en-GB"/>
        </w:rPr>
        <w:t>O</w:t>
      </w:r>
      <w:r w:rsidR="00856A43" w:rsidRPr="00AE396C">
        <w:rPr>
          <w:sz w:val="20"/>
          <w:szCs w:val="20"/>
          <w:lang w:val="en-GB"/>
        </w:rPr>
        <w:t>n 30 December 2016, the government of the Party concerned adopted the AEI Regulation</w:t>
      </w:r>
      <w:r w:rsidR="004831C9" w:rsidRPr="00AE396C">
        <w:rPr>
          <w:sz w:val="20"/>
          <w:szCs w:val="20"/>
          <w:lang w:val="en-GB"/>
        </w:rPr>
        <w:t>, without</w:t>
      </w:r>
      <w:r w:rsidR="00856A43" w:rsidRPr="00AE396C">
        <w:rPr>
          <w:sz w:val="20"/>
          <w:szCs w:val="20"/>
          <w:lang w:val="en-GB"/>
        </w:rPr>
        <w:t xml:space="preserve"> any changes </w:t>
      </w:r>
      <w:r w:rsidR="004831C9" w:rsidRPr="00AE396C">
        <w:rPr>
          <w:sz w:val="20"/>
          <w:szCs w:val="20"/>
          <w:lang w:val="en-GB"/>
        </w:rPr>
        <w:t>that would reflect the communicant’s comments concerning costs</w:t>
      </w:r>
      <w:r w:rsidR="00856A43" w:rsidRPr="00AE396C">
        <w:rPr>
          <w:sz w:val="20"/>
          <w:szCs w:val="20"/>
          <w:lang w:val="en-GB"/>
        </w:rPr>
        <w:t>.</w:t>
      </w:r>
      <w:r w:rsidR="00856A43" w:rsidRPr="00AE396C">
        <w:rPr>
          <w:rStyle w:val="FootnoteReference"/>
          <w:sz w:val="20"/>
          <w:szCs w:val="20"/>
          <w:lang w:val="en-GB"/>
        </w:rPr>
        <w:footnoteReference w:id="33"/>
      </w:r>
      <w:bookmarkStart w:id="16" w:name="_Hlk5635596"/>
      <w:bookmarkEnd w:id="15"/>
    </w:p>
    <w:p w14:paraId="09D7143E" w14:textId="77777777" w:rsidR="00E15C85" w:rsidRPr="00AE396C" w:rsidRDefault="00E15C85" w:rsidP="00E15C85">
      <w:pPr>
        <w:pStyle w:val="H1G"/>
        <w:numPr>
          <w:ilvl w:val="0"/>
          <w:numId w:val="4"/>
        </w:numPr>
        <w:tabs>
          <w:tab w:val="clear" w:pos="851"/>
          <w:tab w:val="right" w:pos="567"/>
        </w:tabs>
        <w:ind w:left="1134" w:right="0" w:firstLine="0"/>
      </w:pPr>
      <w:r w:rsidRPr="00AE396C">
        <w:t xml:space="preserve">Domestic remedies and admissibility </w:t>
      </w:r>
    </w:p>
    <w:p w14:paraId="071438E1" w14:textId="45295CDB" w:rsidR="00446889" w:rsidRDefault="00E15C85" w:rsidP="00F03AD7">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T</w:t>
      </w:r>
      <w:r w:rsidR="00BD2E4E" w:rsidRPr="00AE396C">
        <w:rPr>
          <w:rStyle w:val="st"/>
          <w:sz w:val="20"/>
          <w:szCs w:val="20"/>
          <w:lang w:val="en-GB"/>
        </w:rPr>
        <w:t xml:space="preserve">he </w:t>
      </w:r>
      <w:r w:rsidRPr="00AE396C">
        <w:rPr>
          <w:rStyle w:val="st"/>
          <w:sz w:val="20"/>
          <w:szCs w:val="20"/>
          <w:lang w:val="en-GB"/>
        </w:rPr>
        <w:t>communicant states that</w:t>
      </w:r>
      <w:r w:rsidR="004C16CA">
        <w:rPr>
          <w:rStyle w:val="st"/>
          <w:sz w:val="20"/>
          <w:szCs w:val="20"/>
          <w:lang w:val="en-GB"/>
        </w:rPr>
        <w:t>,</w:t>
      </w:r>
      <w:r w:rsidRPr="00AE396C">
        <w:rPr>
          <w:rStyle w:val="st"/>
          <w:sz w:val="20"/>
          <w:szCs w:val="20"/>
          <w:lang w:val="en-GB"/>
        </w:rPr>
        <w:t xml:space="preserve"> while in general the legal framework of the Party concerned provides the right of natural or legal persons to go to court if their rights are violated by a public authority, this right is limited with respect to challenging legislative or executive acts adopted by the Parliament or </w:t>
      </w:r>
      <w:r w:rsidR="00063F75">
        <w:rPr>
          <w:rStyle w:val="st"/>
          <w:sz w:val="20"/>
          <w:szCs w:val="20"/>
          <w:lang w:val="en-GB"/>
        </w:rPr>
        <w:t>G</w:t>
      </w:r>
      <w:r w:rsidRPr="00AE396C">
        <w:rPr>
          <w:rStyle w:val="st"/>
          <w:sz w:val="20"/>
          <w:szCs w:val="20"/>
          <w:lang w:val="en-GB"/>
        </w:rPr>
        <w:t>overnment.</w:t>
      </w:r>
      <w:r w:rsidRPr="00AE396C">
        <w:rPr>
          <w:rStyle w:val="FootnoteReference"/>
          <w:sz w:val="20"/>
          <w:szCs w:val="20"/>
          <w:lang w:val="en-GB"/>
        </w:rPr>
        <w:footnoteReference w:id="34"/>
      </w:r>
      <w:r w:rsidR="0049479F" w:rsidRPr="00AE396C">
        <w:rPr>
          <w:rStyle w:val="st"/>
          <w:sz w:val="20"/>
          <w:szCs w:val="20"/>
          <w:lang w:val="en-GB"/>
        </w:rPr>
        <w:t xml:space="preserve"> Specifically the communicant claims that article 4(c) of the Law on Administrative Courts (see para. </w:t>
      </w:r>
      <w:r w:rsidR="00154868">
        <w:rPr>
          <w:rStyle w:val="st"/>
          <w:sz w:val="20"/>
          <w:szCs w:val="20"/>
          <w:lang w:val="en-GB"/>
        </w:rPr>
        <w:t>28</w:t>
      </w:r>
      <w:r w:rsidR="00991C04" w:rsidRPr="00AE396C">
        <w:rPr>
          <w:rStyle w:val="st"/>
          <w:sz w:val="20"/>
          <w:szCs w:val="20"/>
          <w:lang w:val="en-GB"/>
        </w:rPr>
        <w:t xml:space="preserve"> </w:t>
      </w:r>
      <w:r w:rsidR="00F033DE" w:rsidRPr="00AE396C">
        <w:rPr>
          <w:rStyle w:val="st"/>
          <w:sz w:val="20"/>
          <w:szCs w:val="20"/>
          <w:lang w:val="en-GB"/>
        </w:rPr>
        <w:t>above) stipulates that government decrees, such as resolutions</w:t>
      </w:r>
      <w:r w:rsidR="00F03AD7">
        <w:rPr>
          <w:rStyle w:val="st"/>
          <w:sz w:val="20"/>
          <w:szCs w:val="20"/>
          <w:lang w:val="en-GB"/>
        </w:rPr>
        <w:t>,</w:t>
      </w:r>
      <w:r w:rsidR="00F033DE" w:rsidRPr="00AE396C">
        <w:rPr>
          <w:rStyle w:val="st"/>
          <w:sz w:val="20"/>
          <w:szCs w:val="20"/>
          <w:lang w:val="en-GB"/>
        </w:rPr>
        <w:t xml:space="preserve"> regulations, and ordinances of a normative nature, do not fall within the jurisdiction of the Administrative Court and that, as a result, the communicant had no access to domestic legal procedures</w:t>
      </w:r>
      <w:r w:rsidR="00FD2B62">
        <w:rPr>
          <w:rStyle w:val="st"/>
          <w:sz w:val="20"/>
          <w:szCs w:val="20"/>
          <w:lang w:val="en-GB"/>
        </w:rPr>
        <w:t xml:space="preserve"> to challenge Regulation</w:t>
      </w:r>
      <w:r w:rsidR="00665F22">
        <w:rPr>
          <w:rStyle w:val="st"/>
          <w:sz w:val="20"/>
          <w:szCs w:val="20"/>
          <w:lang w:val="en-GB"/>
        </w:rPr>
        <w:t xml:space="preserve"> No.</w:t>
      </w:r>
      <w:r w:rsidR="00FD2B62">
        <w:rPr>
          <w:rStyle w:val="st"/>
          <w:sz w:val="20"/>
          <w:szCs w:val="20"/>
          <w:lang w:val="en-GB"/>
        </w:rPr>
        <w:t xml:space="preserve"> 330 directly</w:t>
      </w:r>
      <w:r w:rsidR="00F033DE" w:rsidRPr="00AE396C">
        <w:rPr>
          <w:rStyle w:val="st"/>
          <w:sz w:val="20"/>
          <w:szCs w:val="20"/>
          <w:lang w:val="en-GB"/>
        </w:rPr>
        <w:t>.</w:t>
      </w:r>
      <w:r w:rsidR="00F033DE" w:rsidRPr="00AE396C">
        <w:rPr>
          <w:rStyle w:val="FootnoteReference"/>
          <w:sz w:val="20"/>
          <w:szCs w:val="20"/>
          <w:lang w:val="en-GB"/>
        </w:rPr>
        <w:footnoteReference w:id="35"/>
      </w:r>
      <w:r w:rsidR="007E69FE">
        <w:rPr>
          <w:rStyle w:val="st"/>
          <w:sz w:val="20"/>
          <w:szCs w:val="20"/>
          <w:lang w:val="en-GB"/>
        </w:rPr>
        <w:t xml:space="preserve"> </w:t>
      </w:r>
    </w:p>
    <w:p w14:paraId="2BF6DB2D" w14:textId="70F66FC5" w:rsidR="002A6750" w:rsidRPr="00AE396C" w:rsidRDefault="007E69FE" w:rsidP="00E15C85">
      <w:pPr>
        <w:pStyle w:val="SingleTxtG"/>
        <w:numPr>
          <w:ilvl w:val="0"/>
          <w:numId w:val="3"/>
        </w:numPr>
        <w:tabs>
          <w:tab w:val="right" w:pos="567"/>
          <w:tab w:val="num" w:pos="1276"/>
        </w:tabs>
        <w:ind w:left="1134" w:right="0" w:firstLine="0"/>
        <w:rPr>
          <w:rStyle w:val="st"/>
          <w:sz w:val="20"/>
          <w:szCs w:val="20"/>
          <w:lang w:val="en-GB"/>
        </w:rPr>
      </w:pPr>
      <w:r>
        <w:rPr>
          <w:rStyle w:val="st"/>
          <w:sz w:val="20"/>
          <w:szCs w:val="20"/>
          <w:lang w:val="en-GB"/>
        </w:rPr>
        <w:t xml:space="preserve">The communicant further states that </w:t>
      </w:r>
      <w:r w:rsidR="00F03AD7">
        <w:rPr>
          <w:rStyle w:val="st"/>
          <w:sz w:val="20"/>
          <w:szCs w:val="20"/>
          <w:lang w:val="en-GB"/>
        </w:rPr>
        <w:t xml:space="preserve">it </w:t>
      </w:r>
      <w:r>
        <w:rPr>
          <w:rStyle w:val="st"/>
          <w:sz w:val="20"/>
          <w:szCs w:val="20"/>
          <w:lang w:val="en-GB"/>
        </w:rPr>
        <w:t xml:space="preserve">did not </w:t>
      </w:r>
      <w:r w:rsidR="00AB09A9">
        <w:rPr>
          <w:rStyle w:val="st"/>
          <w:sz w:val="20"/>
          <w:szCs w:val="20"/>
          <w:lang w:val="en-GB"/>
        </w:rPr>
        <w:t>bring a challenge before the courts and/or Ombudsman</w:t>
      </w:r>
      <w:r w:rsidR="004B46C8">
        <w:rPr>
          <w:rStyle w:val="st"/>
          <w:sz w:val="20"/>
          <w:szCs w:val="20"/>
          <w:lang w:val="en-GB"/>
        </w:rPr>
        <w:t xml:space="preserve"> regarding the proposed charge of </w:t>
      </w:r>
      <w:r w:rsidR="008B3164">
        <w:rPr>
          <w:rStyle w:val="st"/>
          <w:sz w:val="20"/>
          <w:szCs w:val="20"/>
          <w:lang w:val="en-GB"/>
        </w:rPr>
        <w:t>730,374.50 lei</w:t>
      </w:r>
      <w:r w:rsidR="00AB09A9">
        <w:rPr>
          <w:rStyle w:val="st"/>
          <w:sz w:val="20"/>
          <w:szCs w:val="20"/>
          <w:lang w:val="en-GB"/>
        </w:rPr>
        <w:t xml:space="preserve"> because </w:t>
      </w:r>
      <w:r w:rsidR="00F03AD7">
        <w:rPr>
          <w:rStyle w:val="st"/>
          <w:sz w:val="20"/>
          <w:szCs w:val="20"/>
          <w:lang w:val="en-GB"/>
        </w:rPr>
        <w:t xml:space="preserve">it </w:t>
      </w:r>
      <w:r w:rsidR="00AB09A9">
        <w:rPr>
          <w:rStyle w:val="st"/>
          <w:sz w:val="20"/>
          <w:szCs w:val="20"/>
          <w:lang w:val="en-GB"/>
        </w:rPr>
        <w:t xml:space="preserve">did not consider it to be </w:t>
      </w:r>
      <w:r w:rsidR="00632135">
        <w:rPr>
          <w:rStyle w:val="st"/>
          <w:sz w:val="20"/>
          <w:szCs w:val="20"/>
          <w:lang w:val="en-GB"/>
        </w:rPr>
        <w:t xml:space="preserve">an effective means </w:t>
      </w:r>
      <w:r w:rsidR="008B3164">
        <w:rPr>
          <w:rStyle w:val="st"/>
          <w:sz w:val="20"/>
          <w:szCs w:val="20"/>
          <w:lang w:val="en-GB"/>
        </w:rPr>
        <w:t>of challenging that decision due to the lack of independenc</w:t>
      </w:r>
      <w:r w:rsidR="008B3666">
        <w:rPr>
          <w:rStyle w:val="st"/>
          <w:sz w:val="20"/>
          <w:szCs w:val="20"/>
          <w:lang w:val="en-GB"/>
        </w:rPr>
        <w:t>e</w:t>
      </w:r>
      <w:r w:rsidR="008B3164">
        <w:rPr>
          <w:rStyle w:val="st"/>
          <w:sz w:val="20"/>
          <w:szCs w:val="20"/>
          <w:lang w:val="en-GB"/>
        </w:rPr>
        <w:t xml:space="preserve"> of the judiciary in </w:t>
      </w:r>
      <w:r w:rsidR="004C16CA">
        <w:rPr>
          <w:rStyle w:val="st"/>
          <w:sz w:val="20"/>
          <w:szCs w:val="20"/>
          <w:lang w:val="en-GB"/>
        </w:rPr>
        <w:t>the Party concerned</w:t>
      </w:r>
      <w:r w:rsidR="008B3164">
        <w:rPr>
          <w:rStyle w:val="st"/>
          <w:sz w:val="20"/>
          <w:szCs w:val="20"/>
          <w:lang w:val="en-GB"/>
        </w:rPr>
        <w:t xml:space="preserve"> at the time</w:t>
      </w:r>
      <w:r w:rsidR="00875B67">
        <w:rPr>
          <w:rStyle w:val="st"/>
          <w:sz w:val="20"/>
          <w:szCs w:val="20"/>
          <w:lang w:val="en-GB"/>
        </w:rPr>
        <w:t xml:space="preserve"> and that</w:t>
      </w:r>
      <w:r w:rsidR="00371928">
        <w:rPr>
          <w:rStyle w:val="st"/>
          <w:sz w:val="20"/>
          <w:szCs w:val="20"/>
          <w:lang w:val="en-GB"/>
        </w:rPr>
        <w:t xml:space="preserve"> in any case</w:t>
      </w:r>
      <w:r w:rsidR="00875B67">
        <w:rPr>
          <w:rStyle w:val="st"/>
          <w:sz w:val="20"/>
          <w:szCs w:val="20"/>
          <w:lang w:val="en-GB"/>
        </w:rPr>
        <w:t xml:space="preserve"> doing so would not </w:t>
      </w:r>
      <w:r w:rsidR="005D340F">
        <w:rPr>
          <w:rStyle w:val="st"/>
          <w:sz w:val="20"/>
          <w:szCs w:val="20"/>
          <w:lang w:val="en-GB"/>
        </w:rPr>
        <w:t xml:space="preserve">have any effect on the </w:t>
      </w:r>
      <w:r w:rsidR="004C16CA">
        <w:rPr>
          <w:rStyle w:val="st"/>
          <w:sz w:val="20"/>
          <w:szCs w:val="20"/>
          <w:lang w:val="en-GB"/>
        </w:rPr>
        <w:t>provisions</w:t>
      </w:r>
      <w:r w:rsidR="005D340F">
        <w:rPr>
          <w:rStyle w:val="st"/>
          <w:sz w:val="20"/>
          <w:szCs w:val="20"/>
          <w:lang w:val="en-GB"/>
        </w:rPr>
        <w:t xml:space="preserve"> of Regulation </w:t>
      </w:r>
      <w:r w:rsidR="00371928">
        <w:rPr>
          <w:rStyle w:val="st"/>
          <w:sz w:val="20"/>
          <w:szCs w:val="20"/>
          <w:lang w:val="en-GB"/>
        </w:rPr>
        <w:t xml:space="preserve">No. </w:t>
      </w:r>
      <w:r w:rsidR="005D340F">
        <w:rPr>
          <w:rStyle w:val="st"/>
          <w:sz w:val="20"/>
          <w:szCs w:val="20"/>
          <w:lang w:val="en-GB"/>
        </w:rPr>
        <w:t>330</w:t>
      </w:r>
      <w:r w:rsidR="004C16CA">
        <w:rPr>
          <w:rStyle w:val="st"/>
          <w:sz w:val="20"/>
          <w:szCs w:val="20"/>
          <w:lang w:val="en-GB"/>
        </w:rPr>
        <w:t xml:space="preserve"> with respect to costs</w:t>
      </w:r>
      <w:r w:rsidR="008B3164">
        <w:rPr>
          <w:rStyle w:val="st"/>
          <w:sz w:val="20"/>
          <w:szCs w:val="20"/>
          <w:lang w:val="en-GB"/>
        </w:rPr>
        <w:t>.</w:t>
      </w:r>
      <w:r w:rsidR="00875B67">
        <w:rPr>
          <w:rStyle w:val="FootnoteReference"/>
          <w:szCs w:val="20"/>
          <w:lang w:val="en-GB"/>
        </w:rPr>
        <w:footnoteReference w:id="36"/>
      </w:r>
    </w:p>
    <w:p w14:paraId="53CF49B3" w14:textId="3CB2B61A" w:rsidR="0006514C" w:rsidRPr="00AE396C" w:rsidRDefault="00F033DE" w:rsidP="0006514C">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 xml:space="preserve">The communicant adds that it repeatedly brought the attention of the Ministry of Environment to the importance of adopting a clear, transparent, and consistent legislative framework on access to environmental information and to the non-compliance </w:t>
      </w:r>
      <w:r w:rsidR="00991C04">
        <w:rPr>
          <w:sz w:val="20"/>
          <w:szCs w:val="20"/>
          <w:lang w:val="en-GB"/>
        </w:rPr>
        <w:t>with</w:t>
      </w:r>
      <w:r w:rsidR="00991C04" w:rsidRPr="00AE396C">
        <w:rPr>
          <w:sz w:val="20"/>
          <w:szCs w:val="20"/>
          <w:lang w:val="en-GB"/>
        </w:rPr>
        <w:t xml:space="preserve"> </w:t>
      </w:r>
      <w:r w:rsidRPr="00AE396C">
        <w:rPr>
          <w:sz w:val="20"/>
          <w:szCs w:val="20"/>
          <w:lang w:val="en-GB"/>
        </w:rPr>
        <w:t>the Convention</w:t>
      </w:r>
      <w:r w:rsidR="004C16CA">
        <w:rPr>
          <w:sz w:val="20"/>
          <w:szCs w:val="20"/>
          <w:lang w:val="en-GB"/>
        </w:rPr>
        <w:t xml:space="preserve"> </w:t>
      </w:r>
      <w:r w:rsidR="004C16CA" w:rsidRPr="00AE396C">
        <w:rPr>
          <w:sz w:val="20"/>
          <w:szCs w:val="20"/>
          <w:lang w:val="en-GB"/>
        </w:rPr>
        <w:t xml:space="preserve">of some </w:t>
      </w:r>
      <w:r w:rsidR="004C16CA">
        <w:rPr>
          <w:sz w:val="20"/>
          <w:szCs w:val="20"/>
          <w:lang w:val="en-GB"/>
        </w:rPr>
        <w:t xml:space="preserve">of the Party </w:t>
      </w:r>
      <w:proofErr w:type="spellStart"/>
      <w:r w:rsidR="004C16CA">
        <w:rPr>
          <w:sz w:val="20"/>
          <w:szCs w:val="20"/>
          <w:lang w:val="en-GB"/>
        </w:rPr>
        <w:t>concerned’s</w:t>
      </w:r>
      <w:proofErr w:type="spellEnd"/>
      <w:r w:rsidR="004C16CA">
        <w:rPr>
          <w:sz w:val="20"/>
          <w:szCs w:val="20"/>
          <w:lang w:val="en-GB"/>
        </w:rPr>
        <w:t xml:space="preserve"> </w:t>
      </w:r>
      <w:r w:rsidR="004C16CA" w:rsidRPr="00AE396C">
        <w:rPr>
          <w:sz w:val="20"/>
          <w:szCs w:val="20"/>
          <w:lang w:val="en-GB"/>
        </w:rPr>
        <w:t>regulatory acts</w:t>
      </w:r>
      <w:r w:rsidRPr="00AE396C">
        <w:rPr>
          <w:sz w:val="20"/>
          <w:szCs w:val="20"/>
          <w:lang w:val="en-GB"/>
        </w:rPr>
        <w:t>, notably regarding the issue of reasonable costs.</w:t>
      </w:r>
      <w:r w:rsidRPr="00AE396C">
        <w:rPr>
          <w:rStyle w:val="FootnoteReference"/>
          <w:sz w:val="20"/>
          <w:szCs w:val="20"/>
          <w:lang w:val="en-GB"/>
        </w:rPr>
        <w:footnoteReference w:id="37"/>
      </w:r>
      <w:r w:rsidR="008F579F" w:rsidRPr="00AE396C">
        <w:rPr>
          <w:sz w:val="20"/>
          <w:szCs w:val="20"/>
          <w:lang w:val="en-GB"/>
        </w:rPr>
        <w:t xml:space="preserve"> It points in this regard to the comments it submitted in the summer of 2016 </w:t>
      </w:r>
      <w:r w:rsidR="000A6C9B" w:rsidRPr="00AE396C">
        <w:rPr>
          <w:sz w:val="20"/>
          <w:szCs w:val="20"/>
          <w:lang w:val="en-GB"/>
        </w:rPr>
        <w:t>on</w:t>
      </w:r>
      <w:r w:rsidR="008F579F" w:rsidRPr="00AE396C">
        <w:rPr>
          <w:sz w:val="20"/>
          <w:szCs w:val="20"/>
          <w:lang w:val="en-GB"/>
        </w:rPr>
        <w:t xml:space="preserve"> the draft AEI Regulation (see para. </w:t>
      </w:r>
      <w:r w:rsidR="00C337AA">
        <w:rPr>
          <w:sz w:val="20"/>
          <w:szCs w:val="20"/>
          <w:lang w:val="en-GB"/>
        </w:rPr>
        <w:t>40</w:t>
      </w:r>
      <w:r w:rsidR="00371928" w:rsidRPr="00AE396C">
        <w:rPr>
          <w:sz w:val="20"/>
          <w:szCs w:val="20"/>
          <w:lang w:val="en-GB"/>
        </w:rPr>
        <w:t xml:space="preserve"> </w:t>
      </w:r>
      <w:r w:rsidR="008F579F" w:rsidRPr="00AE396C">
        <w:rPr>
          <w:sz w:val="20"/>
          <w:szCs w:val="20"/>
          <w:lang w:val="en-GB"/>
        </w:rPr>
        <w:t xml:space="preserve">above) </w:t>
      </w:r>
      <w:r w:rsidR="00637633">
        <w:rPr>
          <w:sz w:val="20"/>
          <w:szCs w:val="20"/>
          <w:lang w:val="en-GB"/>
        </w:rPr>
        <w:t>and</w:t>
      </w:r>
      <w:r w:rsidR="008F579F" w:rsidRPr="00AE396C">
        <w:rPr>
          <w:sz w:val="20"/>
          <w:szCs w:val="20"/>
          <w:lang w:val="en-GB"/>
        </w:rPr>
        <w:t xml:space="preserve"> its letter to </w:t>
      </w:r>
      <w:r w:rsidR="00637633">
        <w:rPr>
          <w:sz w:val="20"/>
          <w:szCs w:val="20"/>
          <w:lang w:val="en-GB"/>
        </w:rPr>
        <w:t>the Minister</w:t>
      </w:r>
      <w:r w:rsidR="008F579F" w:rsidRPr="00AE396C">
        <w:rPr>
          <w:sz w:val="20"/>
          <w:szCs w:val="20"/>
          <w:lang w:val="en-GB"/>
        </w:rPr>
        <w:t xml:space="preserve"> of </w:t>
      </w:r>
      <w:r w:rsidR="009D61FA">
        <w:rPr>
          <w:sz w:val="20"/>
          <w:szCs w:val="20"/>
          <w:lang w:val="en-GB"/>
        </w:rPr>
        <w:t>3</w:t>
      </w:r>
      <w:r w:rsidR="008F579F" w:rsidRPr="00AE396C">
        <w:rPr>
          <w:sz w:val="20"/>
          <w:szCs w:val="20"/>
          <w:lang w:val="en-GB"/>
        </w:rPr>
        <w:t xml:space="preserve"> April 2017 (see para. </w:t>
      </w:r>
      <w:r w:rsidR="009D61FA">
        <w:rPr>
          <w:sz w:val="20"/>
          <w:szCs w:val="20"/>
          <w:lang w:val="en-GB"/>
        </w:rPr>
        <w:t>37</w:t>
      </w:r>
      <w:r w:rsidR="001E6E68" w:rsidRPr="00AE396C">
        <w:rPr>
          <w:sz w:val="20"/>
          <w:szCs w:val="20"/>
          <w:lang w:val="en-GB"/>
        </w:rPr>
        <w:t xml:space="preserve"> </w:t>
      </w:r>
      <w:r w:rsidR="008F579F" w:rsidRPr="00AE396C">
        <w:rPr>
          <w:sz w:val="20"/>
          <w:szCs w:val="20"/>
          <w:lang w:val="en-GB"/>
        </w:rPr>
        <w:t>above).</w:t>
      </w:r>
      <w:r w:rsidR="009D61FA" w:rsidRPr="009D61FA">
        <w:rPr>
          <w:rStyle w:val="FootnoteReference"/>
          <w:sz w:val="20"/>
          <w:szCs w:val="20"/>
          <w:lang w:val="en-GB"/>
        </w:rPr>
        <w:t xml:space="preserve"> </w:t>
      </w:r>
      <w:r w:rsidR="008F579F" w:rsidRPr="00AE396C">
        <w:rPr>
          <w:sz w:val="20"/>
          <w:szCs w:val="20"/>
          <w:lang w:val="en-GB"/>
        </w:rPr>
        <w:t>The communicant submits that the Ministry of Environment disregarded the communicant’s concerns in both instances.</w:t>
      </w:r>
      <w:r w:rsidR="008F579F" w:rsidRPr="00AE396C">
        <w:rPr>
          <w:rStyle w:val="FootnoteReference"/>
          <w:sz w:val="20"/>
          <w:szCs w:val="20"/>
          <w:lang w:val="en-GB"/>
        </w:rPr>
        <w:footnoteReference w:id="38"/>
      </w:r>
    </w:p>
    <w:p w14:paraId="5282D555" w14:textId="16B3A1D1" w:rsidR="0006514C" w:rsidRPr="00AE396C" w:rsidRDefault="0006514C" w:rsidP="0006514C">
      <w:pPr>
        <w:pStyle w:val="SingleTxtG"/>
        <w:numPr>
          <w:ilvl w:val="0"/>
          <w:numId w:val="3"/>
        </w:numPr>
        <w:tabs>
          <w:tab w:val="right" w:pos="567"/>
          <w:tab w:val="num" w:pos="1276"/>
        </w:tabs>
        <w:ind w:left="1134" w:right="0" w:firstLine="0"/>
        <w:rPr>
          <w:rStyle w:val="st"/>
          <w:sz w:val="20"/>
          <w:szCs w:val="20"/>
          <w:lang w:val="en-GB"/>
        </w:rPr>
      </w:pPr>
      <w:r w:rsidRPr="00AE396C">
        <w:rPr>
          <w:bCs/>
          <w:sz w:val="20"/>
          <w:szCs w:val="20"/>
          <w:lang w:val="en-GB"/>
        </w:rPr>
        <w:t xml:space="preserve"> T</w:t>
      </w:r>
      <w:r w:rsidR="002A6750" w:rsidRPr="00AE396C">
        <w:rPr>
          <w:bCs/>
          <w:sz w:val="20"/>
          <w:szCs w:val="20"/>
          <w:lang w:val="en-GB"/>
        </w:rPr>
        <w:t>he P</w:t>
      </w:r>
      <w:r w:rsidR="00BD2E4E" w:rsidRPr="00AE396C">
        <w:rPr>
          <w:bCs/>
          <w:sz w:val="20"/>
          <w:szCs w:val="20"/>
          <w:lang w:val="en-GB"/>
        </w:rPr>
        <w:t xml:space="preserve">arty concerned </w:t>
      </w:r>
      <w:r w:rsidR="00BD2E4E" w:rsidRPr="00AE396C">
        <w:rPr>
          <w:sz w:val="20"/>
          <w:szCs w:val="20"/>
          <w:lang w:val="en-GB"/>
        </w:rPr>
        <w:t xml:space="preserve">did not </w:t>
      </w:r>
      <w:r w:rsidR="00BD2E4E" w:rsidRPr="00AE396C">
        <w:rPr>
          <w:bCs/>
          <w:sz w:val="20"/>
          <w:szCs w:val="20"/>
          <w:lang w:val="en-GB"/>
        </w:rPr>
        <w:t>comment on</w:t>
      </w:r>
      <w:r w:rsidR="00BD2E4E" w:rsidRPr="00AE396C">
        <w:rPr>
          <w:sz w:val="20"/>
          <w:szCs w:val="20"/>
          <w:lang w:val="en-GB"/>
        </w:rPr>
        <w:t xml:space="preserve"> the </w:t>
      </w:r>
      <w:r w:rsidR="00BD2E4E" w:rsidRPr="00AE396C">
        <w:rPr>
          <w:bCs/>
          <w:sz w:val="20"/>
          <w:szCs w:val="20"/>
          <w:lang w:val="en-GB"/>
        </w:rPr>
        <w:t>issue</w:t>
      </w:r>
      <w:r w:rsidR="00BD2E4E" w:rsidRPr="00AE396C">
        <w:rPr>
          <w:sz w:val="20"/>
          <w:szCs w:val="20"/>
          <w:lang w:val="en-GB"/>
        </w:rPr>
        <w:t xml:space="preserve"> of domestic remedies.</w:t>
      </w:r>
      <w:bookmarkEnd w:id="16"/>
    </w:p>
    <w:p w14:paraId="003EFFF7" w14:textId="77777777" w:rsidR="0006514C" w:rsidRPr="00AE396C" w:rsidRDefault="0006514C" w:rsidP="0006514C">
      <w:pPr>
        <w:pStyle w:val="H1G"/>
        <w:numPr>
          <w:ilvl w:val="0"/>
          <w:numId w:val="4"/>
        </w:numPr>
        <w:tabs>
          <w:tab w:val="clear" w:pos="851"/>
          <w:tab w:val="clear" w:pos="1200"/>
          <w:tab w:val="right" w:pos="567"/>
          <w:tab w:val="num" w:pos="1135"/>
        </w:tabs>
        <w:ind w:left="1134" w:right="0" w:firstLine="0"/>
        <w:rPr>
          <w:rStyle w:val="st"/>
        </w:rPr>
      </w:pPr>
      <w:r w:rsidRPr="00AE396C">
        <w:t>Substantive issues</w:t>
      </w:r>
    </w:p>
    <w:p w14:paraId="2BADB8A6" w14:textId="36FEFAF2" w:rsidR="002013F0" w:rsidRPr="00AE396C" w:rsidRDefault="002013F0" w:rsidP="002013F0">
      <w:pPr>
        <w:pStyle w:val="SingleTxtG"/>
        <w:tabs>
          <w:tab w:val="right" w:pos="567"/>
        </w:tabs>
        <w:ind w:right="0"/>
        <w:rPr>
          <w:b/>
          <w:bCs/>
          <w:sz w:val="20"/>
          <w:szCs w:val="20"/>
          <w:lang w:val="en-GB"/>
        </w:rPr>
      </w:pPr>
      <w:r w:rsidRPr="00AE396C">
        <w:rPr>
          <w:b/>
          <w:bCs/>
          <w:sz w:val="20"/>
          <w:szCs w:val="20"/>
          <w:lang w:val="en-GB"/>
        </w:rPr>
        <w:t>Article 3(2</w:t>
      </w:r>
      <w:r w:rsidR="00D64631" w:rsidRPr="00AE396C">
        <w:rPr>
          <w:b/>
          <w:bCs/>
          <w:sz w:val="20"/>
          <w:szCs w:val="20"/>
          <w:lang w:val="en-GB"/>
        </w:rPr>
        <w:t xml:space="preserve">) </w:t>
      </w:r>
      <w:r w:rsidR="004556F3" w:rsidRPr="00AE396C">
        <w:rPr>
          <w:b/>
          <w:bCs/>
          <w:sz w:val="20"/>
          <w:szCs w:val="20"/>
          <w:lang w:val="en-GB"/>
        </w:rPr>
        <w:t>in conjunction with article 5(2)(b)(ii)</w:t>
      </w:r>
    </w:p>
    <w:p w14:paraId="4291821C" w14:textId="2F00CF20" w:rsidR="002013F0" w:rsidRPr="00AE396C" w:rsidRDefault="002013F0" w:rsidP="002013F0">
      <w:pPr>
        <w:pStyle w:val="SingleTxtG"/>
        <w:numPr>
          <w:ilvl w:val="0"/>
          <w:numId w:val="3"/>
        </w:numPr>
        <w:tabs>
          <w:tab w:val="right" w:pos="567"/>
          <w:tab w:val="num" w:pos="1276"/>
        </w:tabs>
        <w:ind w:left="1134" w:right="0" w:firstLine="0"/>
        <w:rPr>
          <w:rStyle w:val="st"/>
          <w:sz w:val="20"/>
          <w:szCs w:val="20"/>
          <w:lang w:val="en-GB"/>
        </w:rPr>
      </w:pPr>
      <w:bookmarkStart w:id="17" w:name="_Ref17298042"/>
      <w:r w:rsidRPr="00AE396C">
        <w:rPr>
          <w:rStyle w:val="st"/>
          <w:sz w:val="20"/>
          <w:szCs w:val="20"/>
          <w:lang w:val="en-GB"/>
        </w:rPr>
        <w:t xml:space="preserve">The communicant submits that </w:t>
      </w:r>
      <w:r w:rsidR="00D4289F" w:rsidRPr="00AE396C">
        <w:rPr>
          <w:rStyle w:val="st"/>
          <w:sz w:val="20"/>
          <w:szCs w:val="20"/>
          <w:lang w:val="en-GB"/>
        </w:rPr>
        <w:t>the SHS failed to comply with article 3(2) in conjunction with article 5(2)(b)(ii)</w:t>
      </w:r>
      <w:r w:rsidR="00D4289F">
        <w:rPr>
          <w:rStyle w:val="st"/>
          <w:sz w:val="20"/>
          <w:szCs w:val="20"/>
          <w:lang w:val="en-GB"/>
        </w:rPr>
        <w:t xml:space="preserve"> </w:t>
      </w:r>
      <w:r w:rsidR="00203B15">
        <w:rPr>
          <w:rStyle w:val="st"/>
          <w:sz w:val="20"/>
          <w:szCs w:val="20"/>
          <w:lang w:val="en-GB"/>
        </w:rPr>
        <w:t xml:space="preserve">of the Convention </w:t>
      </w:r>
      <w:r w:rsidRPr="00AE396C">
        <w:rPr>
          <w:rStyle w:val="st"/>
          <w:sz w:val="20"/>
          <w:szCs w:val="20"/>
          <w:lang w:val="en-GB"/>
        </w:rPr>
        <w:t xml:space="preserve">by responding to the communicant’s letters of </w:t>
      </w:r>
      <w:r w:rsidR="004F69CC" w:rsidRPr="00AE396C">
        <w:rPr>
          <w:rStyle w:val="st"/>
          <w:sz w:val="20"/>
          <w:szCs w:val="20"/>
          <w:lang w:val="en-GB"/>
        </w:rPr>
        <w:t xml:space="preserve">both </w:t>
      </w:r>
      <w:r w:rsidRPr="00AE396C">
        <w:rPr>
          <w:rStyle w:val="st"/>
          <w:sz w:val="20"/>
          <w:szCs w:val="20"/>
          <w:lang w:val="en-GB"/>
        </w:rPr>
        <w:t>25 Ju</w:t>
      </w:r>
      <w:r w:rsidR="0096087A">
        <w:rPr>
          <w:rStyle w:val="st"/>
          <w:sz w:val="20"/>
          <w:szCs w:val="20"/>
          <w:lang w:val="en-GB"/>
        </w:rPr>
        <w:t>ly</w:t>
      </w:r>
      <w:r w:rsidRPr="00AE396C">
        <w:rPr>
          <w:rStyle w:val="st"/>
          <w:sz w:val="20"/>
          <w:szCs w:val="20"/>
          <w:lang w:val="en-GB"/>
        </w:rPr>
        <w:t xml:space="preserve"> 2016 and 18 February 2017 with the suggestion that the communicant collect the information in the SHS office with no assistance from SHS staff. The communicant submits that these provisions </w:t>
      </w:r>
      <w:r w:rsidR="00DD5978">
        <w:rPr>
          <w:rStyle w:val="st"/>
          <w:sz w:val="20"/>
          <w:szCs w:val="20"/>
          <w:lang w:val="en-GB"/>
        </w:rPr>
        <w:t xml:space="preserve">of the Convention </w:t>
      </w:r>
      <w:r w:rsidRPr="00AE396C">
        <w:rPr>
          <w:rStyle w:val="st"/>
          <w:sz w:val="20"/>
          <w:szCs w:val="20"/>
          <w:lang w:val="en-GB"/>
        </w:rPr>
        <w:t>require officials to offer help to those who seek information and to ensure the provision of guidance and assistance in person.</w:t>
      </w:r>
      <w:r w:rsidRPr="00AE396C">
        <w:rPr>
          <w:rStyle w:val="FootnoteReference"/>
          <w:sz w:val="20"/>
          <w:szCs w:val="20"/>
          <w:lang w:val="en-GB"/>
        </w:rPr>
        <w:footnoteReference w:id="39"/>
      </w:r>
      <w:bookmarkEnd w:id="17"/>
    </w:p>
    <w:p w14:paraId="633942CA" w14:textId="378CF112" w:rsidR="002013F0" w:rsidRPr="00AE396C" w:rsidRDefault="002013F0" w:rsidP="002013F0">
      <w:pPr>
        <w:pStyle w:val="SingleTxtG"/>
        <w:numPr>
          <w:ilvl w:val="0"/>
          <w:numId w:val="3"/>
        </w:numPr>
        <w:tabs>
          <w:tab w:val="right" w:pos="567"/>
          <w:tab w:val="num" w:pos="1276"/>
        </w:tabs>
        <w:ind w:left="1134" w:right="0" w:firstLine="0"/>
        <w:rPr>
          <w:sz w:val="20"/>
          <w:szCs w:val="20"/>
          <w:lang w:val="en-GB"/>
        </w:rPr>
      </w:pPr>
      <w:r w:rsidRPr="00AE396C">
        <w:rPr>
          <w:rStyle w:val="st"/>
          <w:sz w:val="20"/>
          <w:szCs w:val="20"/>
          <w:lang w:val="en-GB"/>
        </w:rPr>
        <w:t xml:space="preserve">The communicant </w:t>
      </w:r>
      <w:r w:rsidR="0096087A">
        <w:rPr>
          <w:rStyle w:val="st"/>
          <w:sz w:val="20"/>
          <w:szCs w:val="20"/>
          <w:lang w:val="en-GB"/>
        </w:rPr>
        <w:t xml:space="preserve">refers to the wording of the </w:t>
      </w:r>
      <w:r w:rsidR="004C16CA">
        <w:rPr>
          <w:rStyle w:val="st"/>
          <w:sz w:val="20"/>
          <w:szCs w:val="20"/>
          <w:lang w:val="en-GB"/>
        </w:rPr>
        <w:t xml:space="preserve">Aarhus Convention </w:t>
      </w:r>
      <w:r w:rsidR="0096087A">
        <w:rPr>
          <w:rStyle w:val="st"/>
          <w:sz w:val="20"/>
          <w:szCs w:val="20"/>
          <w:lang w:val="en-GB"/>
        </w:rPr>
        <w:t>Implementation Guide to support its case.</w:t>
      </w:r>
      <w:r w:rsidR="00AD726A">
        <w:rPr>
          <w:rStyle w:val="st"/>
          <w:sz w:val="20"/>
          <w:szCs w:val="20"/>
          <w:lang w:val="en-GB"/>
        </w:rPr>
        <w:t xml:space="preserve"> In particular, the communicant contends that the</w:t>
      </w:r>
      <w:r w:rsidR="00866EC7">
        <w:rPr>
          <w:rStyle w:val="st"/>
          <w:sz w:val="20"/>
          <w:szCs w:val="20"/>
          <w:lang w:val="en-GB"/>
        </w:rPr>
        <w:t xml:space="preserve"> SHS</w:t>
      </w:r>
      <w:r w:rsidR="00AD726A">
        <w:rPr>
          <w:rStyle w:val="st"/>
          <w:sz w:val="20"/>
          <w:szCs w:val="20"/>
          <w:lang w:val="en-GB"/>
        </w:rPr>
        <w:t xml:space="preserve"> did not</w:t>
      </w:r>
      <w:r w:rsidRPr="00AE396C">
        <w:rPr>
          <w:rStyle w:val="st"/>
          <w:sz w:val="20"/>
          <w:szCs w:val="20"/>
          <w:lang w:val="en-GB"/>
        </w:rPr>
        <w:t xml:space="preserve"> “take firm steps towards ensuring that officials and authorities provide the assistance”</w:t>
      </w:r>
      <w:r w:rsidR="00595DC0">
        <w:rPr>
          <w:rStyle w:val="st"/>
          <w:sz w:val="20"/>
          <w:szCs w:val="20"/>
          <w:lang w:val="en-GB"/>
        </w:rPr>
        <w:t>.</w:t>
      </w:r>
      <w:r w:rsidRPr="00AE396C">
        <w:rPr>
          <w:rStyle w:val="FootnoteReference"/>
          <w:sz w:val="20"/>
          <w:szCs w:val="20"/>
          <w:lang w:val="en-GB"/>
        </w:rPr>
        <w:footnoteReference w:id="40"/>
      </w:r>
      <w:r w:rsidRPr="00AE396C">
        <w:rPr>
          <w:sz w:val="20"/>
          <w:szCs w:val="20"/>
          <w:lang w:val="en-GB"/>
        </w:rPr>
        <w:t xml:space="preserve"> The communicant adds that the </w:t>
      </w:r>
      <w:r w:rsidR="00866EC7">
        <w:rPr>
          <w:sz w:val="20"/>
          <w:szCs w:val="20"/>
          <w:lang w:val="en-GB"/>
        </w:rPr>
        <w:t xml:space="preserve">Implementation </w:t>
      </w:r>
      <w:r w:rsidR="00F4174E" w:rsidRPr="00AE396C">
        <w:rPr>
          <w:sz w:val="20"/>
          <w:szCs w:val="20"/>
          <w:lang w:val="en-GB"/>
        </w:rPr>
        <w:t xml:space="preserve">Guide </w:t>
      </w:r>
      <w:r w:rsidRPr="00AE396C">
        <w:rPr>
          <w:sz w:val="20"/>
          <w:szCs w:val="20"/>
          <w:lang w:val="en-GB"/>
        </w:rPr>
        <w:t>mentions two ways of fulfilling the assistance requirement</w:t>
      </w:r>
      <w:r w:rsidR="0078067B">
        <w:rPr>
          <w:sz w:val="20"/>
          <w:szCs w:val="20"/>
          <w:lang w:val="en-GB"/>
        </w:rPr>
        <w:t xml:space="preserve">, which are also contained </w:t>
      </w:r>
      <w:r w:rsidR="00FA5FE7">
        <w:rPr>
          <w:sz w:val="20"/>
          <w:szCs w:val="20"/>
          <w:lang w:val="en-GB"/>
        </w:rPr>
        <w:t>in article 5(2)(b)(ii) and (iii)</w:t>
      </w:r>
      <w:r w:rsidRPr="00AE396C">
        <w:rPr>
          <w:sz w:val="20"/>
          <w:szCs w:val="20"/>
          <w:lang w:val="en-GB"/>
        </w:rPr>
        <w:t xml:space="preserve">: </w:t>
      </w:r>
      <w:r w:rsidR="00FA5FE7">
        <w:rPr>
          <w:sz w:val="20"/>
          <w:szCs w:val="20"/>
          <w:lang w:val="en-GB"/>
        </w:rPr>
        <w:t>“</w:t>
      </w:r>
      <w:r w:rsidRPr="00AE396C">
        <w:rPr>
          <w:sz w:val="20"/>
          <w:szCs w:val="20"/>
          <w:lang w:val="en-GB"/>
        </w:rPr>
        <w:t>one is with special contact persons, the other is through obliging the officials who are in charge of the case in question to offer help to those who seek information”</w:t>
      </w:r>
      <w:r w:rsidR="005F3A38">
        <w:rPr>
          <w:sz w:val="20"/>
          <w:szCs w:val="20"/>
          <w:lang w:val="en-GB"/>
        </w:rPr>
        <w:t>.</w:t>
      </w:r>
      <w:r w:rsidRPr="00AE396C">
        <w:rPr>
          <w:rStyle w:val="FootnoteReference"/>
          <w:sz w:val="20"/>
          <w:szCs w:val="20"/>
          <w:lang w:val="en-GB"/>
        </w:rPr>
        <w:footnoteReference w:id="41"/>
      </w:r>
      <w:r w:rsidRPr="00AE396C">
        <w:rPr>
          <w:sz w:val="20"/>
          <w:szCs w:val="20"/>
          <w:lang w:val="en-GB"/>
        </w:rPr>
        <w:t xml:space="preserve"> The communicant submits that the </w:t>
      </w:r>
      <w:r w:rsidR="003B2058">
        <w:rPr>
          <w:sz w:val="20"/>
          <w:szCs w:val="20"/>
          <w:lang w:val="en-GB"/>
        </w:rPr>
        <w:t xml:space="preserve">Implementation </w:t>
      </w:r>
      <w:r w:rsidRPr="00AE396C">
        <w:rPr>
          <w:sz w:val="20"/>
          <w:szCs w:val="20"/>
          <w:lang w:val="en-GB"/>
        </w:rPr>
        <w:t xml:space="preserve">Guide clearly indicates that officials </w:t>
      </w:r>
      <w:r w:rsidR="00F4174E" w:rsidRPr="00AE396C">
        <w:rPr>
          <w:sz w:val="20"/>
          <w:szCs w:val="20"/>
          <w:lang w:val="en-GB"/>
        </w:rPr>
        <w:t xml:space="preserve">should </w:t>
      </w:r>
      <w:r w:rsidRPr="00AE396C">
        <w:rPr>
          <w:sz w:val="20"/>
          <w:szCs w:val="20"/>
          <w:lang w:val="en-GB"/>
        </w:rPr>
        <w:t>provide guidance and assistance in person.</w:t>
      </w:r>
      <w:r w:rsidRPr="00AE396C">
        <w:rPr>
          <w:rStyle w:val="FootnoteReference"/>
          <w:sz w:val="20"/>
          <w:szCs w:val="20"/>
          <w:lang w:val="en-GB"/>
        </w:rPr>
        <w:footnoteReference w:id="42"/>
      </w:r>
    </w:p>
    <w:p w14:paraId="22448A1D" w14:textId="7D5C02DA" w:rsidR="009276A3" w:rsidRDefault="009276A3" w:rsidP="00446291">
      <w:pPr>
        <w:pStyle w:val="SingleTxtG"/>
        <w:numPr>
          <w:ilvl w:val="0"/>
          <w:numId w:val="3"/>
        </w:numPr>
        <w:tabs>
          <w:tab w:val="right" w:pos="567"/>
          <w:tab w:val="num" w:pos="1276"/>
        </w:tabs>
        <w:ind w:left="1134" w:right="0" w:firstLine="0"/>
        <w:rPr>
          <w:sz w:val="20"/>
          <w:szCs w:val="20"/>
          <w:lang w:val="en-GB"/>
        </w:rPr>
      </w:pPr>
      <w:r>
        <w:rPr>
          <w:sz w:val="20"/>
          <w:szCs w:val="20"/>
          <w:lang w:val="en-GB"/>
        </w:rPr>
        <w:t xml:space="preserve">The communicant </w:t>
      </w:r>
      <w:r w:rsidR="00E53B32">
        <w:rPr>
          <w:sz w:val="20"/>
          <w:szCs w:val="20"/>
          <w:lang w:val="en-GB"/>
        </w:rPr>
        <w:t>claims</w:t>
      </w:r>
      <w:r>
        <w:rPr>
          <w:sz w:val="20"/>
          <w:szCs w:val="20"/>
          <w:lang w:val="en-GB"/>
        </w:rPr>
        <w:t xml:space="preserve"> that </w:t>
      </w:r>
      <w:r w:rsidR="00FE7222">
        <w:rPr>
          <w:sz w:val="20"/>
          <w:szCs w:val="20"/>
          <w:lang w:val="en-GB"/>
        </w:rPr>
        <w:t xml:space="preserve">on at least one visit to the SHS offices, it was “impossible to collect data” because </w:t>
      </w:r>
      <w:r w:rsidR="00B06C83">
        <w:rPr>
          <w:sz w:val="20"/>
          <w:szCs w:val="20"/>
          <w:lang w:val="en-GB"/>
        </w:rPr>
        <w:t>the library</w:t>
      </w:r>
      <w:r w:rsidR="005E4037">
        <w:rPr>
          <w:sz w:val="20"/>
          <w:szCs w:val="20"/>
          <w:lang w:val="en-GB"/>
        </w:rPr>
        <w:t xml:space="preserve"> was being repaired or relocated</w:t>
      </w:r>
      <w:r w:rsidR="00B06C83">
        <w:rPr>
          <w:sz w:val="20"/>
          <w:szCs w:val="20"/>
          <w:lang w:val="en-GB"/>
        </w:rPr>
        <w:t>.</w:t>
      </w:r>
      <w:r w:rsidR="00B06C83">
        <w:rPr>
          <w:rStyle w:val="FootnoteReference"/>
          <w:szCs w:val="20"/>
          <w:lang w:val="en-GB"/>
        </w:rPr>
        <w:footnoteReference w:id="43"/>
      </w:r>
      <w:r w:rsidR="00B06C83">
        <w:rPr>
          <w:sz w:val="20"/>
          <w:szCs w:val="20"/>
          <w:lang w:val="en-GB"/>
        </w:rPr>
        <w:t xml:space="preserve"> The communicant states that </w:t>
      </w:r>
      <w:r w:rsidR="004C16CA">
        <w:rPr>
          <w:sz w:val="20"/>
          <w:szCs w:val="20"/>
          <w:lang w:val="en-GB"/>
        </w:rPr>
        <w:t>it</w:t>
      </w:r>
      <w:r w:rsidR="00B06C83">
        <w:rPr>
          <w:sz w:val="20"/>
          <w:szCs w:val="20"/>
          <w:lang w:val="en-GB"/>
        </w:rPr>
        <w:t xml:space="preserve"> undertook two further visits to the SHS offices</w:t>
      </w:r>
      <w:r w:rsidR="006073C7">
        <w:rPr>
          <w:sz w:val="20"/>
          <w:szCs w:val="20"/>
          <w:lang w:val="en-GB"/>
        </w:rPr>
        <w:t xml:space="preserve"> to clarify questions as to the completeness and accuracy of the data provided on 3 October 2016. </w:t>
      </w:r>
      <w:r w:rsidR="004C16CA">
        <w:rPr>
          <w:sz w:val="20"/>
          <w:szCs w:val="20"/>
          <w:lang w:val="en-GB"/>
        </w:rPr>
        <w:t xml:space="preserve">The communicant contends that, </w:t>
      </w:r>
      <w:r w:rsidR="0049471C">
        <w:rPr>
          <w:sz w:val="20"/>
          <w:szCs w:val="20"/>
          <w:lang w:val="en-GB"/>
        </w:rPr>
        <w:t>through these discussions, it became clear that it was “impossible to receive clear explanations”.</w:t>
      </w:r>
      <w:r w:rsidR="0049471C">
        <w:rPr>
          <w:rStyle w:val="FootnoteReference"/>
          <w:szCs w:val="20"/>
          <w:lang w:val="en-GB"/>
        </w:rPr>
        <w:footnoteReference w:id="44"/>
      </w:r>
    </w:p>
    <w:p w14:paraId="1980BCAC" w14:textId="67858121" w:rsidR="005A58CF" w:rsidRDefault="005A58CF" w:rsidP="004D7ED9">
      <w:pPr>
        <w:pStyle w:val="SingleTxtG"/>
        <w:numPr>
          <w:ilvl w:val="0"/>
          <w:numId w:val="3"/>
        </w:numPr>
        <w:tabs>
          <w:tab w:val="right" w:pos="567"/>
          <w:tab w:val="num" w:pos="1276"/>
        </w:tabs>
        <w:ind w:left="1134" w:right="0" w:firstLine="0"/>
        <w:rPr>
          <w:sz w:val="20"/>
          <w:szCs w:val="20"/>
          <w:lang w:val="en-GB"/>
        </w:rPr>
      </w:pPr>
      <w:r>
        <w:rPr>
          <w:sz w:val="20"/>
          <w:szCs w:val="20"/>
          <w:lang w:val="en-GB"/>
        </w:rPr>
        <w:t xml:space="preserve">The communicant further submits that </w:t>
      </w:r>
      <w:r w:rsidR="004C16CA">
        <w:rPr>
          <w:sz w:val="20"/>
          <w:szCs w:val="20"/>
          <w:lang w:val="en-GB"/>
        </w:rPr>
        <w:t>it was</w:t>
      </w:r>
      <w:r>
        <w:rPr>
          <w:sz w:val="20"/>
          <w:szCs w:val="20"/>
          <w:lang w:val="en-GB"/>
        </w:rPr>
        <w:t xml:space="preserve"> not provided with assistance </w:t>
      </w:r>
      <w:r w:rsidR="004C16CA">
        <w:rPr>
          <w:sz w:val="20"/>
          <w:szCs w:val="20"/>
          <w:lang w:val="en-GB"/>
        </w:rPr>
        <w:t>up</w:t>
      </w:r>
      <w:r>
        <w:rPr>
          <w:sz w:val="20"/>
          <w:szCs w:val="20"/>
          <w:lang w:val="en-GB"/>
        </w:rPr>
        <w:t xml:space="preserve">on attending the SHS offices, while also acknowledging that </w:t>
      </w:r>
      <w:r w:rsidR="004C16CA">
        <w:rPr>
          <w:sz w:val="20"/>
          <w:szCs w:val="20"/>
          <w:lang w:val="en-GB"/>
        </w:rPr>
        <w:t>it</w:t>
      </w:r>
      <w:r>
        <w:rPr>
          <w:sz w:val="20"/>
          <w:szCs w:val="20"/>
          <w:lang w:val="en-GB"/>
        </w:rPr>
        <w:t xml:space="preserve"> did not specifically request </w:t>
      </w:r>
      <w:r w:rsidR="004D7ED9">
        <w:rPr>
          <w:sz w:val="20"/>
          <w:szCs w:val="20"/>
          <w:lang w:val="en-GB"/>
        </w:rPr>
        <w:t xml:space="preserve">any </w:t>
      </w:r>
      <w:r w:rsidR="00737DB0">
        <w:rPr>
          <w:sz w:val="20"/>
          <w:szCs w:val="20"/>
          <w:lang w:val="en-GB"/>
        </w:rPr>
        <w:t>such</w:t>
      </w:r>
      <w:r>
        <w:rPr>
          <w:sz w:val="20"/>
          <w:szCs w:val="20"/>
          <w:lang w:val="en-GB"/>
        </w:rPr>
        <w:t xml:space="preserve"> assistance</w:t>
      </w:r>
      <w:r w:rsidR="00AD30DB">
        <w:rPr>
          <w:sz w:val="20"/>
          <w:szCs w:val="20"/>
          <w:lang w:val="en-GB"/>
        </w:rPr>
        <w:t xml:space="preserve"> (stating that there was no reason to do so because the library was being </w:t>
      </w:r>
      <w:r w:rsidR="002A6CDC">
        <w:rPr>
          <w:sz w:val="20"/>
          <w:szCs w:val="20"/>
          <w:lang w:val="en-GB"/>
        </w:rPr>
        <w:t>repaired or relocated and later the data was partly presented</w:t>
      </w:r>
      <w:r w:rsidR="002A6CDC">
        <w:rPr>
          <w:rStyle w:val="FootnoteReference"/>
          <w:szCs w:val="20"/>
          <w:lang w:val="en-GB"/>
        </w:rPr>
        <w:footnoteReference w:id="45"/>
      </w:r>
      <w:r w:rsidR="002A6CDC">
        <w:rPr>
          <w:sz w:val="20"/>
          <w:szCs w:val="20"/>
          <w:lang w:val="en-GB"/>
        </w:rPr>
        <w:t>)</w:t>
      </w:r>
      <w:r>
        <w:rPr>
          <w:sz w:val="20"/>
          <w:szCs w:val="20"/>
          <w:lang w:val="en-GB"/>
        </w:rPr>
        <w:t xml:space="preserve">. </w:t>
      </w:r>
      <w:r w:rsidR="00A13DB9">
        <w:rPr>
          <w:sz w:val="20"/>
          <w:szCs w:val="20"/>
          <w:lang w:val="en-GB"/>
        </w:rPr>
        <w:t xml:space="preserve">The communicant’s expectation was that </w:t>
      </w:r>
      <w:r w:rsidR="004C16CA">
        <w:rPr>
          <w:sz w:val="20"/>
          <w:szCs w:val="20"/>
          <w:lang w:val="en-GB"/>
        </w:rPr>
        <w:t>it</w:t>
      </w:r>
      <w:r w:rsidR="000748AF">
        <w:rPr>
          <w:sz w:val="20"/>
          <w:szCs w:val="20"/>
          <w:lang w:val="en-GB"/>
        </w:rPr>
        <w:t xml:space="preserve"> would have been either presented with summaries of the data or permitted to </w:t>
      </w:r>
      <w:r w:rsidR="003562F8">
        <w:rPr>
          <w:sz w:val="20"/>
          <w:szCs w:val="20"/>
          <w:lang w:val="en-GB"/>
        </w:rPr>
        <w:t xml:space="preserve">access the </w:t>
      </w:r>
      <w:r w:rsidR="00E5686C">
        <w:rPr>
          <w:sz w:val="20"/>
          <w:szCs w:val="20"/>
          <w:lang w:val="en-GB"/>
        </w:rPr>
        <w:t xml:space="preserve">databases which contain the factual observations in order to extract that data </w:t>
      </w:r>
      <w:r w:rsidR="004C16CA">
        <w:rPr>
          <w:sz w:val="20"/>
          <w:szCs w:val="20"/>
          <w:lang w:val="en-GB"/>
        </w:rPr>
        <w:t>itself</w:t>
      </w:r>
      <w:r w:rsidR="00E5686C">
        <w:rPr>
          <w:sz w:val="20"/>
          <w:szCs w:val="20"/>
          <w:lang w:val="en-GB"/>
        </w:rPr>
        <w:t>.</w:t>
      </w:r>
      <w:r w:rsidR="00E5686C">
        <w:rPr>
          <w:rStyle w:val="FootnoteReference"/>
          <w:szCs w:val="20"/>
          <w:lang w:val="en-GB"/>
        </w:rPr>
        <w:footnoteReference w:id="46"/>
      </w:r>
      <w:r w:rsidR="003562F8">
        <w:rPr>
          <w:sz w:val="20"/>
          <w:szCs w:val="20"/>
          <w:lang w:val="en-GB"/>
        </w:rPr>
        <w:t xml:space="preserve"> </w:t>
      </w:r>
    </w:p>
    <w:p w14:paraId="243F4AB6" w14:textId="2FAA4290" w:rsidR="00B8420A" w:rsidRPr="00AE396C" w:rsidRDefault="004C16CA" w:rsidP="00B8420A">
      <w:pPr>
        <w:pStyle w:val="SingleTxtG"/>
        <w:numPr>
          <w:ilvl w:val="0"/>
          <w:numId w:val="3"/>
        </w:numPr>
        <w:tabs>
          <w:tab w:val="right" w:pos="567"/>
          <w:tab w:val="num" w:pos="1276"/>
        </w:tabs>
        <w:ind w:left="1134" w:right="0" w:firstLine="0"/>
        <w:rPr>
          <w:sz w:val="20"/>
          <w:szCs w:val="20"/>
          <w:lang w:val="en-GB"/>
        </w:rPr>
      </w:pPr>
      <w:r>
        <w:rPr>
          <w:sz w:val="20"/>
          <w:szCs w:val="20"/>
          <w:lang w:val="en-GB"/>
        </w:rPr>
        <w:t>T</w:t>
      </w:r>
      <w:r w:rsidR="00B8420A" w:rsidRPr="00AE396C">
        <w:rPr>
          <w:sz w:val="20"/>
          <w:szCs w:val="20"/>
          <w:lang w:val="en-GB"/>
        </w:rPr>
        <w:t xml:space="preserve">he Party concerned does not specifically address the communicant’s article 3(2) and article 5(2)(b)(ii) </w:t>
      </w:r>
      <w:r w:rsidR="0048226E" w:rsidRPr="00AE396C">
        <w:rPr>
          <w:sz w:val="20"/>
          <w:szCs w:val="20"/>
          <w:lang w:val="en-GB"/>
        </w:rPr>
        <w:t>allegations but</w:t>
      </w:r>
      <w:r w:rsidR="00B8420A" w:rsidRPr="00AE396C">
        <w:rPr>
          <w:sz w:val="20"/>
          <w:szCs w:val="20"/>
          <w:lang w:val="en-GB"/>
        </w:rPr>
        <w:t xml:space="preserve"> </w:t>
      </w:r>
      <w:r w:rsidR="00B82F56">
        <w:rPr>
          <w:sz w:val="20"/>
          <w:szCs w:val="20"/>
          <w:lang w:val="en-GB"/>
        </w:rPr>
        <w:t>notes</w:t>
      </w:r>
      <w:r w:rsidR="00B8420A" w:rsidRPr="00AE396C">
        <w:rPr>
          <w:sz w:val="20"/>
          <w:szCs w:val="20"/>
          <w:lang w:val="en-GB"/>
        </w:rPr>
        <w:t xml:space="preserve"> that </w:t>
      </w:r>
      <w:r w:rsidR="00B8420A">
        <w:rPr>
          <w:sz w:val="20"/>
          <w:szCs w:val="20"/>
          <w:lang w:val="en-GB"/>
        </w:rPr>
        <w:t>a</w:t>
      </w:r>
      <w:r w:rsidR="00B8420A" w:rsidRPr="00AE396C">
        <w:rPr>
          <w:sz w:val="20"/>
          <w:szCs w:val="20"/>
          <w:lang w:val="en-GB"/>
        </w:rPr>
        <w:t xml:space="preserve"> representative </w:t>
      </w:r>
      <w:r w:rsidR="00B8420A">
        <w:rPr>
          <w:sz w:val="20"/>
          <w:szCs w:val="20"/>
          <w:lang w:val="en-GB"/>
        </w:rPr>
        <w:t xml:space="preserve">of the communicant </w:t>
      </w:r>
      <w:r w:rsidR="00B8420A" w:rsidRPr="00AE396C">
        <w:rPr>
          <w:sz w:val="20"/>
          <w:szCs w:val="20"/>
          <w:lang w:val="en-GB"/>
        </w:rPr>
        <w:t xml:space="preserve">was invited to the </w:t>
      </w:r>
      <w:r w:rsidR="00245BF5">
        <w:rPr>
          <w:sz w:val="20"/>
          <w:szCs w:val="20"/>
          <w:lang w:val="en-GB"/>
        </w:rPr>
        <w:t xml:space="preserve">SHS </w:t>
      </w:r>
      <w:r w:rsidR="00B8420A" w:rsidRPr="00AE396C">
        <w:rPr>
          <w:sz w:val="20"/>
          <w:szCs w:val="20"/>
          <w:lang w:val="en-GB"/>
        </w:rPr>
        <w:t>office</w:t>
      </w:r>
      <w:r w:rsidR="00245BF5">
        <w:rPr>
          <w:sz w:val="20"/>
          <w:szCs w:val="20"/>
          <w:lang w:val="en-GB"/>
        </w:rPr>
        <w:t>s</w:t>
      </w:r>
      <w:r w:rsidR="00B8420A" w:rsidRPr="00AE396C">
        <w:rPr>
          <w:sz w:val="20"/>
          <w:szCs w:val="20"/>
          <w:lang w:val="en-GB"/>
        </w:rPr>
        <w:t>.</w:t>
      </w:r>
      <w:r w:rsidR="00B8420A" w:rsidRPr="00AE396C">
        <w:rPr>
          <w:rStyle w:val="FootnoteReference"/>
          <w:sz w:val="20"/>
          <w:szCs w:val="20"/>
          <w:lang w:val="en-GB"/>
        </w:rPr>
        <w:footnoteReference w:id="47"/>
      </w:r>
    </w:p>
    <w:p w14:paraId="32BBD149" w14:textId="54976EBB" w:rsidR="00D92BB5" w:rsidRPr="00D92BB5" w:rsidRDefault="00204373" w:rsidP="00FB18B2">
      <w:pPr>
        <w:pStyle w:val="SingleTxtG"/>
        <w:numPr>
          <w:ilvl w:val="0"/>
          <w:numId w:val="3"/>
        </w:numPr>
        <w:tabs>
          <w:tab w:val="right" w:pos="567"/>
          <w:tab w:val="num" w:pos="1276"/>
        </w:tabs>
        <w:ind w:left="1134" w:right="0" w:firstLine="0"/>
        <w:rPr>
          <w:b/>
          <w:bCs/>
          <w:sz w:val="20"/>
          <w:szCs w:val="20"/>
          <w:lang w:val="en-GB"/>
        </w:rPr>
      </w:pPr>
      <w:r>
        <w:rPr>
          <w:sz w:val="20"/>
          <w:szCs w:val="20"/>
          <w:lang w:val="en-GB"/>
        </w:rPr>
        <w:t>The Party concerned</w:t>
      </w:r>
      <w:r w:rsidR="004C16CA">
        <w:rPr>
          <w:sz w:val="20"/>
          <w:szCs w:val="20"/>
          <w:lang w:val="en-GB"/>
        </w:rPr>
        <w:t xml:space="preserve"> further submits that, during its visits,</w:t>
      </w:r>
      <w:r w:rsidR="006E5011" w:rsidRPr="00D92BB5">
        <w:rPr>
          <w:sz w:val="20"/>
          <w:szCs w:val="20"/>
          <w:lang w:val="en-GB"/>
        </w:rPr>
        <w:t xml:space="preserve"> the communicant was “verbally assisted” and </w:t>
      </w:r>
      <w:r w:rsidR="00062EF7">
        <w:rPr>
          <w:sz w:val="20"/>
          <w:szCs w:val="20"/>
          <w:lang w:val="en-GB"/>
        </w:rPr>
        <w:t xml:space="preserve">states </w:t>
      </w:r>
      <w:r w:rsidR="00934D62">
        <w:rPr>
          <w:sz w:val="20"/>
          <w:szCs w:val="20"/>
          <w:lang w:val="en-GB"/>
        </w:rPr>
        <w:t>that</w:t>
      </w:r>
      <w:r w:rsidR="00735DB6">
        <w:rPr>
          <w:sz w:val="20"/>
          <w:szCs w:val="20"/>
          <w:lang w:val="en-GB"/>
        </w:rPr>
        <w:t xml:space="preserve"> the communicant’s allegations are </w:t>
      </w:r>
      <w:r w:rsidR="00FE5D2A">
        <w:rPr>
          <w:sz w:val="20"/>
          <w:szCs w:val="20"/>
          <w:lang w:val="en-GB"/>
        </w:rPr>
        <w:t>uncorroborated and that</w:t>
      </w:r>
      <w:r w:rsidR="00934D62">
        <w:rPr>
          <w:sz w:val="20"/>
          <w:szCs w:val="20"/>
          <w:lang w:val="en-GB"/>
        </w:rPr>
        <w:t xml:space="preserve"> </w:t>
      </w:r>
      <w:r w:rsidR="006E5011" w:rsidRPr="00D92BB5">
        <w:rPr>
          <w:sz w:val="20"/>
          <w:szCs w:val="20"/>
          <w:lang w:val="en-GB"/>
        </w:rPr>
        <w:t>“the facts of personal dissatisfaction can be interpreted subjectively”.</w:t>
      </w:r>
      <w:r w:rsidR="006E5011">
        <w:rPr>
          <w:rStyle w:val="FootnoteReference"/>
          <w:szCs w:val="20"/>
          <w:lang w:val="en-GB"/>
        </w:rPr>
        <w:footnoteReference w:id="48"/>
      </w:r>
      <w:r w:rsidR="006E5011" w:rsidRPr="00D92BB5">
        <w:rPr>
          <w:sz w:val="20"/>
          <w:szCs w:val="20"/>
          <w:lang w:val="en-GB"/>
        </w:rPr>
        <w:t xml:space="preserve"> </w:t>
      </w:r>
    </w:p>
    <w:p w14:paraId="66A49206" w14:textId="09F90EDC" w:rsidR="0006514C" w:rsidRPr="00D92BB5" w:rsidRDefault="0006514C" w:rsidP="00D92BB5">
      <w:pPr>
        <w:pStyle w:val="SingleTxtG"/>
        <w:tabs>
          <w:tab w:val="right" w:pos="567"/>
        </w:tabs>
        <w:ind w:right="0"/>
        <w:rPr>
          <w:rStyle w:val="st"/>
          <w:b/>
          <w:bCs/>
          <w:sz w:val="20"/>
          <w:szCs w:val="20"/>
          <w:lang w:val="en-GB"/>
        </w:rPr>
      </w:pPr>
      <w:r w:rsidRPr="00D92BB5">
        <w:rPr>
          <w:rStyle w:val="st"/>
          <w:b/>
          <w:bCs/>
          <w:sz w:val="20"/>
          <w:szCs w:val="20"/>
          <w:lang w:val="en-GB"/>
        </w:rPr>
        <w:t>Article 4(8)</w:t>
      </w:r>
    </w:p>
    <w:p w14:paraId="6048904C" w14:textId="37BE3AC3" w:rsidR="00312D8E" w:rsidRPr="003925DD" w:rsidRDefault="00312D8E" w:rsidP="0006514C">
      <w:pPr>
        <w:pStyle w:val="SingleTxtG"/>
        <w:tabs>
          <w:tab w:val="right" w:pos="567"/>
        </w:tabs>
        <w:ind w:right="0"/>
        <w:rPr>
          <w:rStyle w:val="st"/>
          <w:i/>
          <w:iCs/>
          <w:sz w:val="20"/>
          <w:szCs w:val="20"/>
          <w:lang w:val="en-GB"/>
        </w:rPr>
      </w:pPr>
      <w:r>
        <w:rPr>
          <w:rStyle w:val="st"/>
          <w:i/>
          <w:iCs/>
          <w:sz w:val="20"/>
          <w:szCs w:val="20"/>
          <w:lang w:val="en-GB"/>
        </w:rPr>
        <w:t xml:space="preserve">Regulation </w:t>
      </w:r>
      <w:r w:rsidR="0069077C">
        <w:rPr>
          <w:rStyle w:val="st"/>
          <w:i/>
          <w:iCs/>
          <w:sz w:val="20"/>
          <w:szCs w:val="20"/>
          <w:lang w:val="en-GB"/>
        </w:rPr>
        <w:t xml:space="preserve">No. </w:t>
      </w:r>
      <w:r>
        <w:rPr>
          <w:rStyle w:val="st"/>
          <w:i/>
          <w:iCs/>
          <w:sz w:val="20"/>
          <w:szCs w:val="20"/>
          <w:lang w:val="en-GB"/>
        </w:rPr>
        <w:t>330</w:t>
      </w:r>
    </w:p>
    <w:p w14:paraId="6ABA55CF" w14:textId="14546A02" w:rsidR="008C5E10" w:rsidRPr="00AE396C" w:rsidRDefault="0006514C" w:rsidP="0006514C">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 xml:space="preserve"> T</w:t>
      </w:r>
      <w:r w:rsidR="00042824" w:rsidRPr="00AE396C">
        <w:rPr>
          <w:rStyle w:val="st"/>
          <w:sz w:val="20"/>
          <w:szCs w:val="20"/>
          <w:lang w:val="en-GB"/>
        </w:rPr>
        <w:t xml:space="preserve">he </w:t>
      </w:r>
      <w:bookmarkEnd w:id="0"/>
      <w:r w:rsidR="00EE5919" w:rsidRPr="00AE396C">
        <w:rPr>
          <w:rStyle w:val="st"/>
          <w:sz w:val="20"/>
          <w:szCs w:val="20"/>
          <w:lang w:val="en-GB"/>
        </w:rPr>
        <w:t xml:space="preserve">communicant submits </w:t>
      </w:r>
      <w:r w:rsidRPr="00AE396C">
        <w:rPr>
          <w:rStyle w:val="st"/>
          <w:sz w:val="20"/>
          <w:szCs w:val="20"/>
          <w:lang w:val="en-GB"/>
        </w:rPr>
        <w:t xml:space="preserve">that </w:t>
      </w:r>
      <w:r w:rsidR="006C0860">
        <w:rPr>
          <w:rStyle w:val="st"/>
          <w:sz w:val="20"/>
          <w:szCs w:val="20"/>
          <w:lang w:val="en-GB"/>
        </w:rPr>
        <w:t xml:space="preserve">Regulation </w:t>
      </w:r>
      <w:r w:rsidR="0069077C">
        <w:rPr>
          <w:rStyle w:val="st"/>
          <w:sz w:val="20"/>
          <w:szCs w:val="20"/>
          <w:lang w:val="en-GB"/>
        </w:rPr>
        <w:t xml:space="preserve">No. </w:t>
      </w:r>
      <w:r w:rsidR="006C0860">
        <w:rPr>
          <w:rStyle w:val="st"/>
          <w:sz w:val="20"/>
          <w:szCs w:val="20"/>
          <w:lang w:val="en-GB"/>
        </w:rPr>
        <w:t xml:space="preserve">330 of </w:t>
      </w:r>
      <w:r w:rsidRPr="00AE396C">
        <w:rPr>
          <w:rStyle w:val="st"/>
          <w:sz w:val="20"/>
          <w:szCs w:val="20"/>
          <w:lang w:val="en-GB"/>
        </w:rPr>
        <w:t>the Party concerned violate</w:t>
      </w:r>
      <w:r w:rsidR="006C0860">
        <w:rPr>
          <w:rStyle w:val="st"/>
          <w:sz w:val="20"/>
          <w:szCs w:val="20"/>
          <w:lang w:val="en-GB"/>
        </w:rPr>
        <w:t>s</w:t>
      </w:r>
      <w:r w:rsidRPr="00AE396C">
        <w:rPr>
          <w:rStyle w:val="st"/>
          <w:sz w:val="20"/>
          <w:szCs w:val="20"/>
          <w:lang w:val="en-GB"/>
        </w:rPr>
        <w:t xml:space="preserve"> article 4(8) </w:t>
      </w:r>
      <w:r w:rsidR="00BF30B2" w:rsidRPr="00AE396C">
        <w:rPr>
          <w:rStyle w:val="st"/>
          <w:sz w:val="20"/>
          <w:szCs w:val="20"/>
          <w:lang w:val="en-GB"/>
        </w:rPr>
        <w:t xml:space="preserve">of the Convention </w:t>
      </w:r>
      <w:r w:rsidRPr="00AE396C">
        <w:rPr>
          <w:rStyle w:val="st"/>
          <w:sz w:val="20"/>
          <w:szCs w:val="20"/>
          <w:lang w:val="en-GB"/>
        </w:rPr>
        <w:t>because th</w:t>
      </w:r>
      <w:r w:rsidR="004C16CA">
        <w:rPr>
          <w:rStyle w:val="st"/>
          <w:sz w:val="20"/>
          <w:szCs w:val="20"/>
          <w:lang w:val="en-GB"/>
        </w:rPr>
        <w:t>e</w:t>
      </w:r>
      <w:r w:rsidRPr="00AE396C">
        <w:rPr>
          <w:rStyle w:val="st"/>
          <w:sz w:val="20"/>
          <w:szCs w:val="20"/>
          <w:lang w:val="en-GB"/>
        </w:rPr>
        <w:t xml:space="preserve"> regulation treats all information </w:t>
      </w:r>
      <w:r w:rsidR="002F2F1D">
        <w:rPr>
          <w:rStyle w:val="st"/>
          <w:sz w:val="20"/>
          <w:szCs w:val="20"/>
          <w:lang w:val="en-GB"/>
        </w:rPr>
        <w:t xml:space="preserve">(including information that already exists) </w:t>
      </w:r>
      <w:r w:rsidRPr="00AE396C">
        <w:rPr>
          <w:rStyle w:val="st"/>
          <w:sz w:val="20"/>
          <w:szCs w:val="20"/>
          <w:lang w:val="en-GB"/>
        </w:rPr>
        <w:t>as “primary</w:t>
      </w:r>
      <w:r w:rsidR="009D2872">
        <w:rPr>
          <w:rStyle w:val="st"/>
          <w:sz w:val="20"/>
          <w:szCs w:val="20"/>
          <w:lang w:val="en-GB"/>
        </w:rPr>
        <w:t xml:space="preserve"> information</w:t>
      </w:r>
      <w:r w:rsidRPr="00AE396C">
        <w:rPr>
          <w:rStyle w:val="st"/>
          <w:sz w:val="20"/>
          <w:szCs w:val="20"/>
          <w:lang w:val="en-GB"/>
        </w:rPr>
        <w:t xml:space="preserve">” and establishes charges for all </w:t>
      </w:r>
      <w:r w:rsidR="004E6D01">
        <w:rPr>
          <w:rStyle w:val="st"/>
          <w:sz w:val="20"/>
          <w:szCs w:val="20"/>
          <w:lang w:val="en-GB"/>
        </w:rPr>
        <w:t xml:space="preserve">“primary </w:t>
      </w:r>
      <w:r w:rsidRPr="00AE396C">
        <w:rPr>
          <w:rStyle w:val="st"/>
          <w:sz w:val="20"/>
          <w:szCs w:val="20"/>
          <w:lang w:val="en-GB"/>
        </w:rPr>
        <w:t>information</w:t>
      </w:r>
      <w:r w:rsidR="004E6D01">
        <w:rPr>
          <w:rStyle w:val="st"/>
          <w:sz w:val="20"/>
          <w:szCs w:val="20"/>
          <w:lang w:val="en-GB"/>
        </w:rPr>
        <w:t>”</w:t>
      </w:r>
      <w:r w:rsidRPr="00AE396C">
        <w:rPr>
          <w:rStyle w:val="st"/>
          <w:sz w:val="20"/>
          <w:szCs w:val="20"/>
          <w:lang w:val="en-GB"/>
        </w:rPr>
        <w:t>.</w:t>
      </w:r>
      <w:r w:rsidRPr="00AE396C">
        <w:rPr>
          <w:rStyle w:val="FootnoteReference"/>
          <w:sz w:val="20"/>
          <w:szCs w:val="20"/>
          <w:lang w:val="en-GB"/>
        </w:rPr>
        <w:footnoteReference w:id="49"/>
      </w:r>
      <w:r w:rsidRPr="00AE396C">
        <w:rPr>
          <w:rStyle w:val="st"/>
          <w:sz w:val="20"/>
          <w:szCs w:val="20"/>
          <w:lang w:val="en-GB"/>
        </w:rPr>
        <w:t xml:space="preserve"> The communicant claims that this has a direct impact on applicants requesting access to information because it imposes on them the entire amount of the costs incurred by the </w:t>
      </w:r>
      <w:r w:rsidR="004C16CA">
        <w:rPr>
          <w:rStyle w:val="st"/>
          <w:sz w:val="20"/>
          <w:szCs w:val="20"/>
          <w:lang w:val="en-GB"/>
        </w:rPr>
        <w:t>S</w:t>
      </w:r>
      <w:r w:rsidRPr="00AE396C">
        <w:rPr>
          <w:rStyle w:val="st"/>
          <w:sz w:val="20"/>
          <w:szCs w:val="20"/>
          <w:lang w:val="en-GB"/>
        </w:rPr>
        <w:t>tate, both direct and indirect, and results in unreasonable costs for those seeking access to existing information</w:t>
      </w:r>
      <w:r w:rsidR="004F4070">
        <w:rPr>
          <w:rStyle w:val="st"/>
          <w:sz w:val="20"/>
          <w:szCs w:val="20"/>
          <w:lang w:val="en-GB"/>
        </w:rPr>
        <w:t xml:space="preserve"> that has already been</w:t>
      </w:r>
      <w:r w:rsidRPr="00AE396C">
        <w:rPr>
          <w:rStyle w:val="st"/>
          <w:sz w:val="20"/>
          <w:szCs w:val="20"/>
          <w:lang w:val="en-GB"/>
        </w:rPr>
        <w:t xml:space="preserve"> collected in the past.</w:t>
      </w:r>
      <w:r w:rsidRPr="00AE396C">
        <w:rPr>
          <w:rStyle w:val="FootnoteReference"/>
          <w:sz w:val="20"/>
          <w:szCs w:val="20"/>
          <w:lang w:val="en-GB"/>
        </w:rPr>
        <w:footnoteReference w:id="50"/>
      </w:r>
      <w:r w:rsidR="001921D9">
        <w:rPr>
          <w:rStyle w:val="st"/>
          <w:sz w:val="20"/>
          <w:szCs w:val="20"/>
          <w:lang w:val="en-GB"/>
        </w:rPr>
        <w:t xml:space="preserve"> The communicant states that the key issue with </w:t>
      </w:r>
      <w:r w:rsidR="00DA3582">
        <w:rPr>
          <w:rStyle w:val="st"/>
          <w:sz w:val="20"/>
          <w:szCs w:val="20"/>
          <w:lang w:val="en-GB"/>
        </w:rPr>
        <w:t>annex 2 to Regulation No. 330 is that applicants for environmental information “have to bear unreasonable costs”.</w:t>
      </w:r>
      <w:r w:rsidR="00DA3582">
        <w:rPr>
          <w:rStyle w:val="FootnoteReference"/>
          <w:szCs w:val="20"/>
          <w:lang w:val="en-GB"/>
        </w:rPr>
        <w:footnoteReference w:id="51"/>
      </w:r>
    </w:p>
    <w:p w14:paraId="55DA4B3E" w14:textId="06F44E05" w:rsidR="00BF30B2" w:rsidRDefault="0006514C" w:rsidP="00F03AD7">
      <w:pPr>
        <w:pStyle w:val="SingleTxtG"/>
        <w:numPr>
          <w:ilvl w:val="0"/>
          <w:numId w:val="3"/>
        </w:numPr>
        <w:tabs>
          <w:tab w:val="right" w:pos="567"/>
          <w:tab w:val="num" w:pos="1276"/>
        </w:tabs>
        <w:ind w:left="1134" w:right="0" w:firstLine="0"/>
        <w:rPr>
          <w:sz w:val="20"/>
          <w:szCs w:val="20"/>
          <w:lang w:val="en-GB"/>
        </w:rPr>
      </w:pPr>
      <w:r w:rsidRPr="006C0860">
        <w:rPr>
          <w:sz w:val="20"/>
          <w:szCs w:val="20"/>
          <w:lang w:val="en-GB"/>
        </w:rPr>
        <w:t xml:space="preserve">The communicant submits that the Party concerned </w:t>
      </w:r>
      <w:r w:rsidR="006C0860">
        <w:rPr>
          <w:sz w:val="20"/>
          <w:szCs w:val="20"/>
          <w:lang w:val="en-GB"/>
        </w:rPr>
        <w:t>failed to rectify this non-compliance on at least two occasions</w:t>
      </w:r>
      <w:r w:rsidR="006C0860" w:rsidRPr="006C0860">
        <w:rPr>
          <w:sz w:val="20"/>
          <w:szCs w:val="20"/>
          <w:lang w:val="en-GB"/>
        </w:rPr>
        <w:t xml:space="preserve">. Firstly, </w:t>
      </w:r>
      <w:r w:rsidRPr="006C0860">
        <w:rPr>
          <w:sz w:val="20"/>
          <w:szCs w:val="20"/>
          <w:lang w:val="en-GB"/>
        </w:rPr>
        <w:t xml:space="preserve">the 2011-2015 National Action Plan did not require that Regulation </w:t>
      </w:r>
      <w:r w:rsidR="0033680F">
        <w:rPr>
          <w:sz w:val="20"/>
          <w:szCs w:val="20"/>
          <w:lang w:val="en-GB"/>
        </w:rPr>
        <w:t>N</w:t>
      </w:r>
      <w:r w:rsidRPr="006C0860">
        <w:rPr>
          <w:sz w:val="20"/>
          <w:szCs w:val="20"/>
          <w:lang w:val="en-GB"/>
        </w:rPr>
        <w:t>o. 330 be revised and lacked any specific measures on bringing the issue of reasonable costs into compliance with the Convention.</w:t>
      </w:r>
      <w:r w:rsidRPr="00AE396C">
        <w:rPr>
          <w:rStyle w:val="FootnoteReference"/>
          <w:sz w:val="20"/>
          <w:szCs w:val="20"/>
          <w:lang w:val="en-GB"/>
        </w:rPr>
        <w:footnoteReference w:id="52"/>
      </w:r>
      <w:r w:rsidR="006C0860">
        <w:rPr>
          <w:sz w:val="20"/>
          <w:szCs w:val="20"/>
          <w:lang w:val="en-GB"/>
        </w:rPr>
        <w:t xml:space="preserve"> Secondly,</w:t>
      </w:r>
      <w:r w:rsidR="00BF30B2" w:rsidRPr="006C0860">
        <w:rPr>
          <w:sz w:val="20"/>
          <w:szCs w:val="20"/>
          <w:lang w:val="en-GB"/>
        </w:rPr>
        <w:t xml:space="preserve"> the AEI Regulation </w:t>
      </w:r>
      <w:r w:rsidR="006C0860">
        <w:rPr>
          <w:sz w:val="20"/>
          <w:szCs w:val="20"/>
          <w:lang w:val="en-GB"/>
        </w:rPr>
        <w:t>failed to</w:t>
      </w:r>
      <w:r w:rsidR="00BF30B2" w:rsidRPr="006C0860">
        <w:rPr>
          <w:sz w:val="20"/>
          <w:szCs w:val="20"/>
          <w:lang w:val="en-GB"/>
        </w:rPr>
        <w:t xml:space="preserve"> contain any explanation of the term “reasonable charges”</w:t>
      </w:r>
      <w:r w:rsidR="00066FE4">
        <w:rPr>
          <w:sz w:val="20"/>
          <w:szCs w:val="20"/>
          <w:lang w:val="en-GB"/>
        </w:rPr>
        <w:t>,</w:t>
      </w:r>
      <w:r w:rsidR="00BF30B2" w:rsidRPr="006C0860">
        <w:rPr>
          <w:sz w:val="20"/>
          <w:szCs w:val="20"/>
          <w:lang w:val="en-GB"/>
        </w:rPr>
        <w:t xml:space="preserve"> or </w:t>
      </w:r>
      <w:r w:rsidR="006C0860">
        <w:rPr>
          <w:sz w:val="20"/>
          <w:szCs w:val="20"/>
          <w:lang w:val="en-GB"/>
        </w:rPr>
        <w:t xml:space="preserve">any </w:t>
      </w:r>
      <w:r w:rsidR="00BF30B2" w:rsidRPr="006C0860">
        <w:rPr>
          <w:sz w:val="20"/>
          <w:szCs w:val="20"/>
          <w:lang w:val="en-GB"/>
        </w:rPr>
        <w:t xml:space="preserve">specific measures ensuring that charges are reasonable, or </w:t>
      </w:r>
      <w:r w:rsidR="006C0860">
        <w:rPr>
          <w:sz w:val="20"/>
          <w:szCs w:val="20"/>
          <w:lang w:val="en-GB"/>
        </w:rPr>
        <w:t xml:space="preserve">any </w:t>
      </w:r>
      <w:r w:rsidR="00BF30B2" w:rsidRPr="006C0860">
        <w:rPr>
          <w:sz w:val="20"/>
          <w:szCs w:val="20"/>
          <w:lang w:val="en-GB"/>
        </w:rPr>
        <w:t>guidance on information charges.</w:t>
      </w:r>
      <w:r w:rsidR="007004B7" w:rsidRPr="00AE396C">
        <w:rPr>
          <w:rStyle w:val="FootnoteReference"/>
          <w:sz w:val="20"/>
          <w:szCs w:val="20"/>
          <w:lang w:val="en-GB"/>
        </w:rPr>
        <w:footnoteReference w:id="53"/>
      </w:r>
      <w:r w:rsidR="006C0860">
        <w:rPr>
          <w:sz w:val="20"/>
          <w:szCs w:val="20"/>
          <w:lang w:val="en-GB"/>
        </w:rPr>
        <w:t xml:space="preserve"> </w:t>
      </w:r>
    </w:p>
    <w:p w14:paraId="7D775E56" w14:textId="39287FA3" w:rsidR="00144223" w:rsidRDefault="004C7377" w:rsidP="004C7377">
      <w:pPr>
        <w:pStyle w:val="SingleTxtG"/>
        <w:numPr>
          <w:ilvl w:val="0"/>
          <w:numId w:val="3"/>
        </w:numPr>
        <w:tabs>
          <w:tab w:val="right" w:pos="567"/>
          <w:tab w:val="num" w:pos="1276"/>
        </w:tabs>
        <w:ind w:left="1134" w:right="0" w:firstLine="0"/>
        <w:rPr>
          <w:sz w:val="20"/>
          <w:szCs w:val="20"/>
          <w:lang w:val="en-GB"/>
        </w:rPr>
      </w:pPr>
      <w:r w:rsidRPr="00AE396C">
        <w:rPr>
          <w:rStyle w:val="st"/>
          <w:sz w:val="20"/>
          <w:szCs w:val="20"/>
          <w:lang w:val="en-GB"/>
        </w:rPr>
        <w:t>The communicant claims that treating information</w:t>
      </w:r>
      <w:r>
        <w:rPr>
          <w:rStyle w:val="st"/>
          <w:sz w:val="20"/>
          <w:szCs w:val="20"/>
          <w:lang w:val="en-GB"/>
        </w:rPr>
        <w:t xml:space="preserve"> that already exists</w:t>
      </w:r>
      <w:r w:rsidRPr="00AE396C">
        <w:rPr>
          <w:rStyle w:val="st"/>
          <w:sz w:val="20"/>
          <w:szCs w:val="20"/>
          <w:lang w:val="en-GB"/>
        </w:rPr>
        <w:t xml:space="preserve"> in the </w:t>
      </w:r>
      <w:r w:rsidR="00E1321B">
        <w:rPr>
          <w:rStyle w:val="st"/>
          <w:sz w:val="20"/>
          <w:szCs w:val="20"/>
          <w:lang w:val="en-GB"/>
        </w:rPr>
        <w:t xml:space="preserve">SHS </w:t>
      </w:r>
      <w:r w:rsidR="00D92BB5">
        <w:rPr>
          <w:rStyle w:val="st"/>
          <w:sz w:val="20"/>
          <w:szCs w:val="20"/>
          <w:lang w:val="en-GB"/>
        </w:rPr>
        <w:t>Hydrom</w:t>
      </w:r>
      <w:r w:rsidR="00E1321B">
        <w:rPr>
          <w:rStyle w:val="st"/>
          <w:sz w:val="20"/>
          <w:szCs w:val="20"/>
          <w:lang w:val="en-GB"/>
        </w:rPr>
        <w:t>eteorological Database</w:t>
      </w:r>
      <w:r w:rsidRPr="00AE396C">
        <w:rPr>
          <w:rStyle w:val="st"/>
          <w:sz w:val="20"/>
          <w:szCs w:val="20"/>
          <w:lang w:val="en-GB"/>
        </w:rPr>
        <w:t xml:space="preserve"> as </w:t>
      </w:r>
      <w:r w:rsidR="00513A60">
        <w:rPr>
          <w:rStyle w:val="st"/>
          <w:sz w:val="20"/>
          <w:szCs w:val="20"/>
          <w:lang w:val="en-GB"/>
        </w:rPr>
        <w:t>“</w:t>
      </w:r>
      <w:r w:rsidRPr="00AE396C">
        <w:rPr>
          <w:rStyle w:val="st"/>
          <w:sz w:val="20"/>
          <w:szCs w:val="20"/>
          <w:lang w:val="en-GB"/>
        </w:rPr>
        <w:t>primary information</w:t>
      </w:r>
      <w:r w:rsidR="00513A60">
        <w:rPr>
          <w:rStyle w:val="st"/>
          <w:sz w:val="20"/>
          <w:szCs w:val="20"/>
          <w:lang w:val="en-GB"/>
        </w:rPr>
        <w:t>”</w:t>
      </w:r>
      <w:r w:rsidR="002A13FA">
        <w:rPr>
          <w:rStyle w:val="st"/>
          <w:sz w:val="20"/>
          <w:szCs w:val="20"/>
          <w:lang w:val="en-GB"/>
        </w:rPr>
        <w:t xml:space="preserve"> and imposing charges for access to it</w:t>
      </w:r>
      <w:r w:rsidRPr="00AE396C">
        <w:rPr>
          <w:rStyle w:val="st"/>
          <w:sz w:val="20"/>
          <w:szCs w:val="20"/>
          <w:lang w:val="en-GB"/>
        </w:rPr>
        <w:t xml:space="preserve"> imposes unreasonable costs on those seeking access to information</w:t>
      </w:r>
      <w:r w:rsidR="005F7C00">
        <w:rPr>
          <w:rStyle w:val="st"/>
          <w:sz w:val="20"/>
          <w:szCs w:val="20"/>
          <w:lang w:val="en-GB"/>
        </w:rPr>
        <w:t xml:space="preserve">. </w:t>
      </w:r>
      <w:r w:rsidR="001D090B">
        <w:rPr>
          <w:rStyle w:val="st"/>
          <w:sz w:val="20"/>
          <w:szCs w:val="20"/>
          <w:lang w:val="en-GB"/>
        </w:rPr>
        <w:t>The communicant claims that</w:t>
      </w:r>
      <w:r w:rsidRPr="00AE396C">
        <w:rPr>
          <w:rStyle w:val="st"/>
          <w:sz w:val="20"/>
          <w:szCs w:val="20"/>
          <w:lang w:val="en-GB"/>
        </w:rPr>
        <w:t xml:space="preserve"> the Implementation Guide explains that the term “reasonable” </w:t>
      </w:r>
      <w:r w:rsidR="00C85955">
        <w:rPr>
          <w:rStyle w:val="st"/>
          <w:sz w:val="20"/>
          <w:szCs w:val="20"/>
          <w:lang w:val="en-GB"/>
        </w:rPr>
        <w:t xml:space="preserve">means that </w:t>
      </w:r>
      <w:r w:rsidRPr="00AE396C">
        <w:rPr>
          <w:rStyle w:val="st"/>
          <w:sz w:val="20"/>
          <w:szCs w:val="20"/>
          <w:lang w:val="en-GB"/>
        </w:rPr>
        <w:t xml:space="preserve">Parties </w:t>
      </w:r>
      <w:r w:rsidR="00C85955">
        <w:rPr>
          <w:rStyle w:val="st"/>
          <w:sz w:val="20"/>
          <w:szCs w:val="20"/>
          <w:lang w:val="en-GB"/>
        </w:rPr>
        <w:t xml:space="preserve">are not authorized </w:t>
      </w:r>
      <w:r w:rsidRPr="00AE396C">
        <w:rPr>
          <w:rStyle w:val="st"/>
          <w:sz w:val="20"/>
          <w:szCs w:val="20"/>
          <w:lang w:val="en-GB"/>
        </w:rPr>
        <w:t>to pass on to those seeking information the entire amount of the costs, in particular indirect ones, actually incurred for the State budget in conduct</w:t>
      </w:r>
      <w:r>
        <w:rPr>
          <w:rStyle w:val="st"/>
          <w:sz w:val="20"/>
          <w:szCs w:val="20"/>
          <w:lang w:val="en-GB"/>
        </w:rPr>
        <w:t>ing</w:t>
      </w:r>
      <w:r w:rsidRPr="00AE396C">
        <w:rPr>
          <w:rStyle w:val="st"/>
          <w:sz w:val="20"/>
          <w:szCs w:val="20"/>
          <w:lang w:val="en-GB"/>
        </w:rPr>
        <w:t xml:space="preserve"> an information search.</w:t>
      </w:r>
      <w:r w:rsidRPr="00AE396C">
        <w:rPr>
          <w:rStyle w:val="FootnoteReference"/>
          <w:sz w:val="20"/>
          <w:szCs w:val="20"/>
          <w:lang w:val="en-GB"/>
        </w:rPr>
        <w:footnoteReference w:id="54"/>
      </w:r>
      <w:r w:rsidRPr="00AE396C">
        <w:rPr>
          <w:sz w:val="20"/>
          <w:szCs w:val="20"/>
          <w:lang w:val="en-GB"/>
        </w:rPr>
        <w:t xml:space="preserve"> </w:t>
      </w:r>
    </w:p>
    <w:p w14:paraId="0E80CF4A" w14:textId="77777777" w:rsidR="0035143F" w:rsidRDefault="004C7377" w:rsidP="00F03AD7">
      <w:pPr>
        <w:pStyle w:val="SingleTxtG"/>
        <w:numPr>
          <w:ilvl w:val="0"/>
          <w:numId w:val="3"/>
        </w:numPr>
        <w:tabs>
          <w:tab w:val="right" w:pos="567"/>
          <w:tab w:val="num" w:pos="1276"/>
        </w:tabs>
        <w:ind w:left="1134" w:right="0" w:firstLine="0"/>
        <w:rPr>
          <w:sz w:val="20"/>
          <w:szCs w:val="20"/>
          <w:lang w:val="en-GB"/>
        </w:rPr>
      </w:pPr>
      <w:r w:rsidRPr="00144223">
        <w:rPr>
          <w:sz w:val="20"/>
          <w:szCs w:val="20"/>
          <w:lang w:val="en-GB"/>
        </w:rPr>
        <w:t xml:space="preserve">The communicant adds that the Implementation Guide provides </w:t>
      </w:r>
      <w:r w:rsidR="00031C67" w:rsidRPr="00144223">
        <w:rPr>
          <w:sz w:val="20"/>
          <w:szCs w:val="20"/>
          <w:lang w:val="en-GB"/>
        </w:rPr>
        <w:t xml:space="preserve">that </w:t>
      </w:r>
      <w:r w:rsidRPr="00144223">
        <w:rPr>
          <w:sz w:val="20"/>
          <w:szCs w:val="20"/>
          <w:lang w:val="en-GB"/>
        </w:rPr>
        <w:t>guidance for</w:t>
      </w:r>
      <w:r w:rsidR="00CD2FCE" w:rsidRPr="00144223">
        <w:rPr>
          <w:sz w:val="20"/>
          <w:szCs w:val="20"/>
          <w:lang w:val="en-GB"/>
        </w:rPr>
        <w:t xml:space="preserve"> information</w:t>
      </w:r>
      <w:r w:rsidRPr="00144223">
        <w:rPr>
          <w:sz w:val="20"/>
          <w:szCs w:val="20"/>
          <w:lang w:val="en-GB"/>
        </w:rPr>
        <w:t xml:space="preserve"> charges should include “(a) a schedule of charges; (b) criteria for when the charges may be levied; (c) criteria for when charges may be waived; and (d) criteria for when the supply of information is conditional on the advance payment of a charge”</w:t>
      </w:r>
      <w:r w:rsidR="00C36671" w:rsidRPr="00144223">
        <w:rPr>
          <w:sz w:val="20"/>
          <w:szCs w:val="20"/>
          <w:lang w:val="en-GB"/>
        </w:rPr>
        <w:t>.</w:t>
      </w:r>
      <w:r w:rsidRPr="00AE396C">
        <w:rPr>
          <w:rStyle w:val="FootnoteReference"/>
          <w:sz w:val="20"/>
          <w:szCs w:val="20"/>
          <w:lang w:val="en-GB"/>
        </w:rPr>
        <w:footnoteReference w:id="55"/>
      </w:r>
      <w:r w:rsidRPr="00144223">
        <w:rPr>
          <w:sz w:val="20"/>
          <w:szCs w:val="20"/>
          <w:lang w:val="en-GB"/>
        </w:rPr>
        <w:t xml:space="preserve"> The communicant submits that none of these </w:t>
      </w:r>
      <w:r w:rsidR="00C36671" w:rsidRPr="00144223">
        <w:rPr>
          <w:sz w:val="20"/>
          <w:szCs w:val="20"/>
          <w:lang w:val="en-GB"/>
        </w:rPr>
        <w:t>are</w:t>
      </w:r>
      <w:r w:rsidRPr="00144223">
        <w:rPr>
          <w:sz w:val="20"/>
          <w:szCs w:val="20"/>
          <w:lang w:val="en-GB"/>
        </w:rPr>
        <w:t xml:space="preserve"> included in either Regulation </w:t>
      </w:r>
      <w:r w:rsidR="0033680F" w:rsidRPr="00144223">
        <w:rPr>
          <w:sz w:val="20"/>
          <w:szCs w:val="20"/>
          <w:lang w:val="en-GB"/>
        </w:rPr>
        <w:t>N</w:t>
      </w:r>
      <w:r w:rsidRPr="00144223">
        <w:rPr>
          <w:sz w:val="20"/>
          <w:szCs w:val="20"/>
          <w:lang w:val="en-GB"/>
        </w:rPr>
        <w:t>o. 330 or the AEI Regulation.</w:t>
      </w:r>
      <w:r w:rsidRPr="00AE396C">
        <w:rPr>
          <w:rStyle w:val="FootnoteReference"/>
          <w:sz w:val="20"/>
          <w:szCs w:val="20"/>
          <w:lang w:val="en-GB"/>
        </w:rPr>
        <w:footnoteReference w:id="56"/>
      </w:r>
      <w:r w:rsidRPr="00144223">
        <w:rPr>
          <w:sz w:val="20"/>
          <w:szCs w:val="20"/>
          <w:lang w:val="en-GB"/>
        </w:rPr>
        <w:t xml:space="preserve"> </w:t>
      </w:r>
    </w:p>
    <w:p w14:paraId="393379D8" w14:textId="3BAA32D0" w:rsidR="004C7377" w:rsidRPr="00144223" w:rsidRDefault="004C7377" w:rsidP="00F03AD7">
      <w:pPr>
        <w:pStyle w:val="SingleTxtG"/>
        <w:numPr>
          <w:ilvl w:val="0"/>
          <w:numId w:val="3"/>
        </w:numPr>
        <w:tabs>
          <w:tab w:val="right" w:pos="567"/>
          <w:tab w:val="num" w:pos="1276"/>
        </w:tabs>
        <w:ind w:left="1134" w:right="0" w:firstLine="0"/>
        <w:rPr>
          <w:sz w:val="20"/>
          <w:szCs w:val="20"/>
          <w:lang w:val="en-GB"/>
        </w:rPr>
      </w:pPr>
      <w:r w:rsidRPr="00144223">
        <w:rPr>
          <w:sz w:val="20"/>
          <w:szCs w:val="20"/>
          <w:lang w:val="en-GB"/>
        </w:rPr>
        <w:t xml:space="preserve">The communicant alleges that the provisions of Regulation </w:t>
      </w:r>
      <w:r w:rsidR="00EC2324" w:rsidRPr="00144223">
        <w:rPr>
          <w:sz w:val="20"/>
          <w:szCs w:val="20"/>
          <w:lang w:val="en-GB"/>
        </w:rPr>
        <w:t>N</w:t>
      </w:r>
      <w:r w:rsidRPr="00144223">
        <w:rPr>
          <w:sz w:val="20"/>
          <w:szCs w:val="20"/>
          <w:lang w:val="en-GB"/>
        </w:rPr>
        <w:t xml:space="preserve">o. 330, </w:t>
      </w:r>
      <w:r w:rsidR="00A17A58" w:rsidRPr="00144223">
        <w:rPr>
          <w:sz w:val="20"/>
          <w:szCs w:val="20"/>
          <w:lang w:val="en-GB"/>
        </w:rPr>
        <w:t xml:space="preserve">the AEI </w:t>
      </w:r>
      <w:r w:rsidRPr="00144223">
        <w:rPr>
          <w:sz w:val="20"/>
          <w:szCs w:val="20"/>
          <w:lang w:val="en-GB"/>
        </w:rPr>
        <w:t xml:space="preserve">Regulation and the 2011-2015 National Action Plan results in a situation in which the Party concerned fails to comply with article 4(8) of the Convention and </w:t>
      </w:r>
      <w:r w:rsidR="004C16CA">
        <w:rPr>
          <w:sz w:val="20"/>
          <w:szCs w:val="20"/>
          <w:lang w:val="en-GB"/>
        </w:rPr>
        <w:t xml:space="preserve">that it </w:t>
      </w:r>
      <w:r w:rsidRPr="00144223">
        <w:rPr>
          <w:sz w:val="20"/>
          <w:szCs w:val="20"/>
          <w:lang w:val="en-GB"/>
        </w:rPr>
        <w:t>ha</w:t>
      </w:r>
      <w:r w:rsidR="00A17A58" w:rsidRPr="00144223">
        <w:rPr>
          <w:sz w:val="20"/>
          <w:szCs w:val="20"/>
          <w:lang w:val="en-GB"/>
        </w:rPr>
        <w:t>s</w:t>
      </w:r>
      <w:r w:rsidRPr="00144223">
        <w:rPr>
          <w:sz w:val="20"/>
          <w:szCs w:val="20"/>
          <w:lang w:val="en-GB"/>
        </w:rPr>
        <w:t xml:space="preserve"> taken no steps to bring </w:t>
      </w:r>
      <w:r w:rsidR="004C16CA">
        <w:rPr>
          <w:sz w:val="20"/>
          <w:szCs w:val="20"/>
          <w:lang w:val="en-GB"/>
        </w:rPr>
        <w:t>its legal framework</w:t>
      </w:r>
      <w:r w:rsidRPr="00144223">
        <w:rPr>
          <w:sz w:val="20"/>
          <w:szCs w:val="20"/>
          <w:lang w:val="en-GB"/>
        </w:rPr>
        <w:t xml:space="preserve"> into compliance since 2006.</w:t>
      </w:r>
      <w:r w:rsidRPr="00AE396C">
        <w:rPr>
          <w:rStyle w:val="FootnoteReference"/>
          <w:sz w:val="20"/>
          <w:szCs w:val="20"/>
          <w:lang w:val="en-GB"/>
        </w:rPr>
        <w:footnoteReference w:id="57"/>
      </w:r>
    </w:p>
    <w:p w14:paraId="77478308" w14:textId="4FA87C7F" w:rsidR="009350F3" w:rsidRPr="00075364" w:rsidRDefault="00564A25" w:rsidP="004C16CA">
      <w:pPr>
        <w:pStyle w:val="SingleTxtG"/>
        <w:numPr>
          <w:ilvl w:val="0"/>
          <w:numId w:val="3"/>
        </w:numPr>
        <w:tabs>
          <w:tab w:val="right" w:pos="567"/>
          <w:tab w:val="num" w:pos="1276"/>
        </w:tabs>
        <w:ind w:left="1134" w:right="0" w:firstLine="0"/>
        <w:rPr>
          <w:sz w:val="20"/>
          <w:szCs w:val="20"/>
          <w:vertAlign w:val="superscript"/>
          <w:lang w:val="en-GB"/>
        </w:rPr>
      </w:pPr>
      <w:bookmarkStart w:id="18" w:name="_Ref66825609"/>
      <w:r w:rsidRPr="009350F3">
        <w:rPr>
          <w:sz w:val="20"/>
          <w:szCs w:val="20"/>
          <w:lang w:val="en-GB"/>
        </w:rPr>
        <w:t xml:space="preserve">The Party concerned </w:t>
      </w:r>
      <w:r w:rsidR="005114F4" w:rsidRPr="009350F3">
        <w:rPr>
          <w:sz w:val="20"/>
          <w:szCs w:val="20"/>
          <w:lang w:val="en-GB"/>
        </w:rPr>
        <w:t xml:space="preserve">and the SHS </w:t>
      </w:r>
      <w:r w:rsidRPr="009350F3">
        <w:rPr>
          <w:sz w:val="20"/>
          <w:szCs w:val="20"/>
          <w:lang w:val="en-GB"/>
        </w:rPr>
        <w:t>ha</w:t>
      </w:r>
      <w:r w:rsidR="00A44CDF" w:rsidRPr="009350F3">
        <w:rPr>
          <w:sz w:val="20"/>
          <w:szCs w:val="20"/>
          <w:lang w:val="en-GB"/>
        </w:rPr>
        <w:t>ve</w:t>
      </w:r>
      <w:r w:rsidRPr="009350F3">
        <w:rPr>
          <w:sz w:val="20"/>
          <w:szCs w:val="20"/>
          <w:lang w:val="en-GB"/>
        </w:rPr>
        <w:t xml:space="preserve"> </w:t>
      </w:r>
      <w:r w:rsidR="00044337" w:rsidRPr="009350F3">
        <w:rPr>
          <w:sz w:val="20"/>
          <w:szCs w:val="20"/>
          <w:lang w:val="en-GB"/>
        </w:rPr>
        <w:t xml:space="preserve">made a number of </w:t>
      </w:r>
      <w:r w:rsidR="005114F4" w:rsidRPr="009350F3">
        <w:rPr>
          <w:sz w:val="20"/>
          <w:szCs w:val="20"/>
          <w:lang w:val="en-GB"/>
        </w:rPr>
        <w:t>statements</w:t>
      </w:r>
      <w:r w:rsidR="00044337" w:rsidRPr="009350F3">
        <w:rPr>
          <w:sz w:val="20"/>
          <w:szCs w:val="20"/>
          <w:lang w:val="en-GB"/>
        </w:rPr>
        <w:t xml:space="preserve"> about the </w:t>
      </w:r>
      <w:r w:rsidR="00301EDB" w:rsidRPr="009350F3">
        <w:rPr>
          <w:sz w:val="20"/>
          <w:szCs w:val="20"/>
          <w:lang w:val="en-GB"/>
        </w:rPr>
        <w:t xml:space="preserve">meaning and </w:t>
      </w:r>
      <w:r w:rsidR="005114F4" w:rsidRPr="009350F3">
        <w:rPr>
          <w:sz w:val="20"/>
          <w:szCs w:val="20"/>
          <w:lang w:val="en-GB"/>
        </w:rPr>
        <w:t xml:space="preserve">nature of “primary information”. </w:t>
      </w:r>
      <w:r w:rsidR="00872959" w:rsidRPr="009350F3">
        <w:rPr>
          <w:sz w:val="20"/>
          <w:szCs w:val="20"/>
          <w:lang w:val="en-GB"/>
        </w:rPr>
        <w:t>In letter no. 01/662 of 21 April 2017, the SHS stated that any requested information that is of a primary nature would be provided at a charge, in accordance with Regulation</w:t>
      </w:r>
      <w:r w:rsidR="00665F22" w:rsidRPr="009350F3">
        <w:rPr>
          <w:sz w:val="20"/>
          <w:szCs w:val="20"/>
          <w:lang w:val="en-GB"/>
        </w:rPr>
        <w:t xml:space="preserve"> No.</w:t>
      </w:r>
      <w:r w:rsidR="00872959" w:rsidRPr="009350F3">
        <w:rPr>
          <w:sz w:val="20"/>
          <w:szCs w:val="20"/>
          <w:lang w:val="en-GB"/>
        </w:rPr>
        <w:t xml:space="preserve"> 330.</w:t>
      </w:r>
      <w:r w:rsidR="00872959" w:rsidRPr="00AE396C">
        <w:rPr>
          <w:rStyle w:val="FootnoteReference"/>
          <w:sz w:val="20"/>
          <w:szCs w:val="20"/>
          <w:lang w:val="en-GB"/>
        </w:rPr>
        <w:footnoteReference w:id="58"/>
      </w:r>
      <w:r w:rsidR="00F61052" w:rsidRPr="009350F3">
        <w:rPr>
          <w:sz w:val="20"/>
          <w:szCs w:val="20"/>
          <w:lang w:val="en-GB"/>
        </w:rPr>
        <w:t xml:space="preserve"> </w:t>
      </w:r>
      <w:r w:rsidR="000C3236">
        <w:rPr>
          <w:sz w:val="20"/>
          <w:szCs w:val="20"/>
          <w:lang w:val="en-GB"/>
        </w:rPr>
        <w:t>The</w:t>
      </w:r>
      <w:r w:rsidR="00F61052" w:rsidRPr="009350F3">
        <w:rPr>
          <w:sz w:val="20"/>
          <w:szCs w:val="20"/>
          <w:lang w:val="en-GB"/>
        </w:rPr>
        <w:t xml:space="preserve"> Party concerned state</w:t>
      </w:r>
      <w:r w:rsidR="000C3236">
        <w:rPr>
          <w:sz w:val="20"/>
          <w:szCs w:val="20"/>
          <w:lang w:val="en-GB"/>
        </w:rPr>
        <w:t>s</w:t>
      </w:r>
      <w:r w:rsidR="00F61052" w:rsidRPr="009350F3">
        <w:rPr>
          <w:sz w:val="20"/>
          <w:szCs w:val="20"/>
          <w:lang w:val="en-GB"/>
        </w:rPr>
        <w:t xml:space="preserve"> that the </w:t>
      </w:r>
      <w:r w:rsidR="007D1928" w:rsidRPr="009350F3">
        <w:rPr>
          <w:sz w:val="20"/>
          <w:szCs w:val="20"/>
          <w:lang w:val="en-GB"/>
        </w:rPr>
        <w:t xml:space="preserve">charge </w:t>
      </w:r>
      <w:r w:rsidR="006813F8" w:rsidRPr="009350F3">
        <w:rPr>
          <w:sz w:val="20"/>
          <w:szCs w:val="20"/>
          <w:lang w:val="en-GB"/>
        </w:rPr>
        <w:t xml:space="preserve">in the present case </w:t>
      </w:r>
      <w:r w:rsidR="007D1928" w:rsidRPr="009350F3">
        <w:rPr>
          <w:sz w:val="20"/>
          <w:szCs w:val="20"/>
          <w:lang w:val="en-GB"/>
        </w:rPr>
        <w:t>was not requested for the primary data, but for the “preparation of the processes analytical information, which require staff time and additional separate work”</w:t>
      </w:r>
      <w:r w:rsidR="00AA4837" w:rsidRPr="009350F3">
        <w:rPr>
          <w:sz w:val="20"/>
          <w:szCs w:val="20"/>
          <w:lang w:val="en-GB"/>
        </w:rPr>
        <w:t>.</w:t>
      </w:r>
      <w:r w:rsidR="00AA4837">
        <w:rPr>
          <w:rStyle w:val="FootnoteReference"/>
          <w:szCs w:val="20"/>
          <w:lang w:val="en-GB"/>
        </w:rPr>
        <w:footnoteReference w:id="59"/>
      </w:r>
      <w:bookmarkStart w:id="19" w:name="_Ref66825622"/>
      <w:bookmarkEnd w:id="18"/>
      <w:r w:rsidR="00075364">
        <w:rPr>
          <w:sz w:val="20"/>
          <w:szCs w:val="20"/>
          <w:lang w:val="en-GB"/>
        </w:rPr>
        <w:t xml:space="preserve"> </w:t>
      </w:r>
    </w:p>
    <w:p w14:paraId="37D77400" w14:textId="77777777" w:rsidR="001909D2" w:rsidRDefault="001909D2" w:rsidP="001909D2">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 xml:space="preserve">The Party concerned </w:t>
      </w:r>
      <w:r>
        <w:rPr>
          <w:sz w:val="20"/>
          <w:szCs w:val="20"/>
          <w:lang w:val="en-GB"/>
        </w:rPr>
        <w:t xml:space="preserve">further </w:t>
      </w:r>
      <w:r w:rsidRPr="00AE396C">
        <w:rPr>
          <w:sz w:val="20"/>
          <w:szCs w:val="20"/>
          <w:lang w:val="en-GB"/>
        </w:rPr>
        <w:t>state</w:t>
      </w:r>
      <w:r>
        <w:rPr>
          <w:sz w:val="20"/>
          <w:szCs w:val="20"/>
          <w:lang w:val="en-GB"/>
        </w:rPr>
        <w:t>s</w:t>
      </w:r>
      <w:r w:rsidRPr="00AE396C">
        <w:rPr>
          <w:sz w:val="20"/>
          <w:szCs w:val="20"/>
          <w:lang w:val="en-GB"/>
        </w:rPr>
        <w:t xml:space="preserve"> that the “issue of interpretation of primary, historical and processed/analytical information and of calculation of the payment for it hopefully will be possible to be solved by adjusting the legal and regulatory base of concern and re-examine this case in the framework of the re-established Working Group for the implementation of the Aarhus Convention in Moldova”</w:t>
      </w:r>
      <w:r>
        <w:rPr>
          <w:sz w:val="20"/>
          <w:szCs w:val="20"/>
          <w:lang w:val="en-GB"/>
        </w:rPr>
        <w:t>.</w:t>
      </w:r>
      <w:r w:rsidRPr="00AE396C">
        <w:rPr>
          <w:rStyle w:val="FootnoteReference"/>
          <w:sz w:val="20"/>
          <w:szCs w:val="20"/>
          <w:lang w:val="en-GB"/>
        </w:rPr>
        <w:footnoteReference w:id="60"/>
      </w:r>
      <w:r>
        <w:rPr>
          <w:sz w:val="20"/>
          <w:szCs w:val="20"/>
          <w:lang w:val="en-GB"/>
        </w:rPr>
        <w:t xml:space="preserve"> </w:t>
      </w:r>
    </w:p>
    <w:p w14:paraId="698D88C2" w14:textId="24258F44" w:rsidR="00075364" w:rsidRPr="00E0525A" w:rsidRDefault="00075364" w:rsidP="004C16CA">
      <w:pPr>
        <w:pStyle w:val="SingleTxtG"/>
        <w:numPr>
          <w:ilvl w:val="0"/>
          <w:numId w:val="3"/>
        </w:numPr>
        <w:tabs>
          <w:tab w:val="right" w:pos="567"/>
          <w:tab w:val="num" w:pos="1276"/>
        </w:tabs>
        <w:ind w:left="1134" w:right="0" w:firstLine="0"/>
        <w:rPr>
          <w:sz w:val="20"/>
          <w:vertAlign w:val="superscript"/>
          <w:lang w:val="en-GB"/>
        </w:rPr>
      </w:pPr>
      <w:bookmarkStart w:id="20" w:name="_Ref67065035"/>
      <w:r>
        <w:rPr>
          <w:sz w:val="20"/>
          <w:szCs w:val="20"/>
          <w:lang w:val="en-GB"/>
        </w:rPr>
        <w:t xml:space="preserve">As to </w:t>
      </w:r>
      <w:r w:rsidRPr="009350F3">
        <w:rPr>
          <w:sz w:val="20"/>
          <w:szCs w:val="20"/>
          <w:lang w:val="en-GB"/>
        </w:rPr>
        <w:t>the meaning of  the terms “primary information” (</w:t>
      </w:r>
      <w:proofErr w:type="spellStart"/>
      <w:r w:rsidRPr="009350F3">
        <w:rPr>
          <w:sz w:val="20"/>
          <w:szCs w:val="20"/>
          <w:lang w:val="en-GB"/>
        </w:rPr>
        <w:t>первичная</w:t>
      </w:r>
      <w:proofErr w:type="spellEnd"/>
      <w:r w:rsidRPr="009350F3">
        <w:rPr>
          <w:sz w:val="20"/>
          <w:szCs w:val="20"/>
          <w:lang w:val="en-GB"/>
        </w:rPr>
        <w:t xml:space="preserve"> </w:t>
      </w:r>
      <w:proofErr w:type="spellStart"/>
      <w:r w:rsidRPr="009350F3">
        <w:rPr>
          <w:sz w:val="20"/>
          <w:szCs w:val="20"/>
          <w:lang w:val="en-GB"/>
        </w:rPr>
        <w:t>информация</w:t>
      </w:r>
      <w:proofErr w:type="spellEnd"/>
      <w:r w:rsidRPr="009350F3">
        <w:rPr>
          <w:sz w:val="20"/>
          <w:szCs w:val="20"/>
          <w:lang w:val="en-GB"/>
        </w:rPr>
        <w:t xml:space="preserve">), as found in annex 2 to Regulation No. 330, “primary data” (date </w:t>
      </w:r>
      <w:proofErr w:type="spellStart"/>
      <w:r w:rsidRPr="009350F3">
        <w:rPr>
          <w:sz w:val="20"/>
          <w:szCs w:val="20"/>
          <w:lang w:val="en-GB"/>
        </w:rPr>
        <w:t>primare</w:t>
      </w:r>
      <w:proofErr w:type="spellEnd"/>
      <w:r w:rsidRPr="009350F3">
        <w:rPr>
          <w:sz w:val="20"/>
          <w:szCs w:val="20"/>
          <w:lang w:val="en-GB"/>
        </w:rPr>
        <w:t>) and “information of primary nature” (</w:t>
      </w:r>
      <w:proofErr w:type="spellStart"/>
      <w:r w:rsidRPr="009350F3">
        <w:rPr>
          <w:sz w:val="20"/>
          <w:szCs w:val="20"/>
          <w:lang w:val="en-GB"/>
        </w:rPr>
        <w:t>informaţia</w:t>
      </w:r>
      <w:proofErr w:type="spellEnd"/>
      <w:r w:rsidRPr="009350F3">
        <w:rPr>
          <w:sz w:val="20"/>
          <w:szCs w:val="20"/>
          <w:lang w:val="en-GB"/>
        </w:rPr>
        <w:t xml:space="preserve"> </w:t>
      </w:r>
      <w:proofErr w:type="spellStart"/>
      <w:r w:rsidRPr="009350F3">
        <w:rPr>
          <w:sz w:val="20"/>
          <w:szCs w:val="20"/>
          <w:lang w:val="en-GB"/>
        </w:rPr>
        <w:t>poartă</w:t>
      </w:r>
      <w:proofErr w:type="spellEnd"/>
      <w:r w:rsidRPr="009350F3">
        <w:rPr>
          <w:sz w:val="20"/>
          <w:szCs w:val="20"/>
          <w:lang w:val="en-GB"/>
        </w:rPr>
        <w:t xml:space="preserve"> un character </w:t>
      </w:r>
      <w:proofErr w:type="spellStart"/>
      <w:r w:rsidRPr="009350F3">
        <w:rPr>
          <w:sz w:val="20"/>
          <w:szCs w:val="20"/>
          <w:lang w:val="en-GB"/>
        </w:rPr>
        <w:t>primar</w:t>
      </w:r>
      <w:proofErr w:type="spellEnd"/>
      <w:r w:rsidRPr="009350F3">
        <w:rPr>
          <w:sz w:val="20"/>
          <w:szCs w:val="20"/>
          <w:lang w:val="en-GB"/>
        </w:rPr>
        <w:t>) as used in letter 01/662 of 21 April 2017, the Party concerned state</w:t>
      </w:r>
      <w:r w:rsidR="000C3236">
        <w:rPr>
          <w:sz w:val="20"/>
          <w:szCs w:val="20"/>
          <w:lang w:val="en-GB"/>
        </w:rPr>
        <w:t>s</w:t>
      </w:r>
      <w:r w:rsidRPr="009350F3">
        <w:rPr>
          <w:sz w:val="20"/>
          <w:szCs w:val="20"/>
          <w:lang w:val="en-GB"/>
        </w:rPr>
        <w:t xml:space="preserve"> </w:t>
      </w:r>
      <w:r w:rsidRPr="009350F3">
        <w:rPr>
          <w:rStyle w:val="st"/>
          <w:sz w:val="20"/>
          <w:szCs w:val="20"/>
          <w:lang w:val="en-GB"/>
        </w:rPr>
        <w:t xml:space="preserve">that these terms are not defined in the national legislation, and so must be understood by reference to morphology and dictionary definitions. </w:t>
      </w:r>
      <w:r w:rsidRPr="009350F3">
        <w:rPr>
          <w:sz w:val="20"/>
          <w:szCs w:val="20"/>
          <w:lang w:val="en-GB"/>
        </w:rPr>
        <w:t>The Party concerned add</w:t>
      </w:r>
      <w:r w:rsidR="000C3236">
        <w:rPr>
          <w:sz w:val="20"/>
          <w:szCs w:val="20"/>
          <w:lang w:val="en-GB"/>
        </w:rPr>
        <w:t>s</w:t>
      </w:r>
      <w:r w:rsidRPr="009350F3">
        <w:rPr>
          <w:sz w:val="20"/>
          <w:szCs w:val="20"/>
          <w:lang w:val="en-GB"/>
        </w:rPr>
        <w:t xml:space="preserve"> that </w:t>
      </w:r>
      <w:r w:rsidRPr="009350F3">
        <w:rPr>
          <w:rStyle w:val="st"/>
          <w:sz w:val="20"/>
          <w:szCs w:val="20"/>
          <w:lang w:val="en-GB"/>
        </w:rPr>
        <w:t xml:space="preserve">according to </w:t>
      </w:r>
      <w:r w:rsidRPr="009350F3">
        <w:rPr>
          <w:sz w:val="20"/>
          <w:szCs w:val="20"/>
          <w:lang w:val="en-GB"/>
        </w:rPr>
        <w:t xml:space="preserve">article 5 of the 1998 Hydrometeorological Activity Law </w:t>
      </w:r>
      <w:r w:rsidRPr="009350F3">
        <w:rPr>
          <w:rStyle w:val="st"/>
          <w:sz w:val="20"/>
          <w:szCs w:val="20"/>
          <w:lang w:val="en-GB"/>
        </w:rPr>
        <w:t>“specialized information” is “special purpose information on the state and pollution of the environment, which requires additional costs for obtaining, processing, analysis, storage and presentation, in accordance with consumer requests”.</w:t>
      </w:r>
      <w:r>
        <w:rPr>
          <w:rStyle w:val="FootnoteReference"/>
          <w:szCs w:val="20"/>
          <w:lang w:val="en-GB"/>
        </w:rPr>
        <w:footnoteReference w:id="61"/>
      </w:r>
      <w:r w:rsidRPr="009350F3">
        <w:rPr>
          <w:rStyle w:val="st"/>
          <w:sz w:val="20"/>
          <w:szCs w:val="20"/>
          <w:lang w:val="en-GB"/>
        </w:rPr>
        <w:t xml:space="preserve"> </w:t>
      </w:r>
      <w:r w:rsidR="000C3236">
        <w:rPr>
          <w:rStyle w:val="st"/>
          <w:sz w:val="20"/>
          <w:szCs w:val="20"/>
          <w:lang w:val="en-GB"/>
        </w:rPr>
        <w:t>It submits that</w:t>
      </w:r>
      <w:r w:rsidRPr="009350F3">
        <w:rPr>
          <w:rStyle w:val="st"/>
          <w:sz w:val="20"/>
          <w:szCs w:val="20"/>
          <w:lang w:val="en-GB"/>
        </w:rPr>
        <w:t xml:space="preserve"> “consequently, it can be considered different from the primary information, which in terms of assumptions would lead to more actions involving costs, sources and effort to be justified as liable for payment”.</w:t>
      </w:r>
      <w:r w:rsidRPr="00AE396C">
        <w:rPr>
          <w:rStyle w:val="st"/>
          <w:sz w:val="20"/>
          <w:vertAlign w:val="superscript"/>
        </w:rPr>
        <w:footnoteReference w:id="62"/>
      </w:r>
      <w:bookmarkEnd w:id="20"/>
    </w:p>
    <w:bookmarkEnd w:id="19"/>
    <w:p w14:paraId="0145BB98" w14:textId="220B9360" w:rsidR="00256C46" w:rsidRPr="00256C46" w:rsidRDefault="00256C46" w:rsidP="00256C46">
      <w:pPr>
        <w:pStyle w:val="SingleTxtG"/>
        <w:tabs>
          <w:tab w:val="right" w:pos="567"/>
          <w:tab w:val="num" w:pos="1276"/>
        </w:tabs>
        <w:ind w:right="0"/>
        <w:rPr>
          <w:i/>
          <w:iCs/>
          <w:sz w:val="20"/>
          <w:szCs w:val="20"/>
          <w:lang w:val="en-GB"/>
        </w:rPr>
      </w:pPr>
      <w:r>
        <w:rPr>
          <w:i/>
          <w:iCs/>
          <w:sz w:val="20"/>
          <w:szCs w:val="20"/>
          <w:lang w:val="en-GB"/>
        </w:rPr>
        <w:t>The communicant’s information request</w:t>
      </w:r>
    </w:p>
    <w:p w14:paraId="46200D67" w14:textId="3D4B60A7" w:rsidR="007004B7" w:rsidRPr="00AE396C" w:rsidRDefault="007004B7" w:rsidP="007004B7">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 xml:space="preserve">The communicant claims that the SHS’s request that the communicant pay </w:t>
      </w:r>
      <w:r w:rsidR="00256C46">
        <w:rPr>
          <w:sz w:val="20"/>
          <w:szCs w:val="20"/>
          <w:lang w:val="en-GB"/>
        </w:rPr>
        <w:t xml:space="preserve">730,374.50 lei </w:t>
      </w:r>
      <w:r w:rsidRPr="00AE396C">
        <w:rPr>
          <w:sz w:val="20"/>
          <w:szCs w:val="20"/>
          <w:lang w:val="en-GB"/>
        </w:rPr>
        <w:t xml:space="preserve">for access to information regarding the temperatures at the </w:t>
      </w:r>
      <w:proofErr w:type="spellStart"/>
      <w:r w:rsidR="009973FE">
        <w:rPr>
          <w:sz w:val="20"/>
          <w:szCs w:val="20"/>
          <w:lang w:val="en-GB"/>
        </w:rPr>
        <w:t>Bălțata</w:t>
      </w:r>
      <w:proofErr w:type="spellEnd"/>
      <w:r w:rsidR="00256C46" w:rsidRPr="00AE396C">
        <w:rPr>
          <w:sz w:val="20"/>
          <w:szCs w:val="20"/>
          <w:lang w:val="en-GB"/>
        </w:rPr>
        <w:t xml:space="preserve"> </w:t>
      </w:r>
      <w:r w:rsidRPr="00AE396C">
        <w:rPr>
          <w:sz w:val="20"/>
          <w:szCs w:val="20"/>
          <w:lang w:val="en-GB"/>
        </w:rPr>
        <w:t xml:space="preserve">hydrometeorological station and the streamflow of the </w:t>
      </w:r>
      <w:proofErr w:type="spellStart"/>
      <w:r w:rsidR="009973FE">
        <w:rPr>
          <w:sz w:val="20"/>
          <w:szCs w:val="20"/>
          <w:lang w:val="en-GB"/>
        </w:rPr>
        <w:t>Bălțata</w:t>
      </w:r>
      <w:proofErr w:type="spellEnd"/>
      <w:r w:rsidRPr="00AE396C">
        <w:rPr>
          <w:sz w:val="20"/>
          <w:szCs w:val="20"/>
          <w:lang w:val="en-GB"/>
        </w:rPr>
        <w:t xml:space="preserve"> river exceed</w:t>
      </w:r>
      <w:r w:rsidR="00F2083C">
        <w:rPr>
          <w:sz w:val="20"/>
          <w:szCs w:val="20"/>
          <w:lang w:val="en-GB"/>
        </w:rPr>
        <w:t>s</w:t>
      </w:r>
      <w:r w:rsidRPr="00AE396C">
        <w:rPr>
          <w:sz w:val="20"/>
          <w:szCs w:val="20"/>
          <w:lang w:val="en-GB"/>
        </w:rPr>
        <w:t xml:space="preserve"> a reasonable amount within the meaning of the Convention.</w:t>
      </w:r>
      <w:r w:rsidRPr="00AE396C">
        <w:rPr>
          <w:rStyle w:val="FootnoteReference"/>
          <w:sz w:val="20"/>
          <w:szCs w:val="20"/>
          <w:lang w:val="en-GB"/>
        </w:rPr>
        <w:footnoteReference w:id="63"/>
      </w:r>
      <w:r w:rsidRPr="00AE396C">
        <w:rPr>
          <w:sz w:val="20"/>
          <w:szCs w:val="20"/>
          <w:lang w:val="en-GB"/>
        </w:rPr>
        <w:t xml:space="preserve"> While granting that the Convention allows its public authorities to make a charge for supplying information, the communicant </w:t>
      </w:r>
      <w:r w:rsidR="00256C46">
        <w:rPr>
          <w:sz w:val="20"/>
          <w:szCs w:val="20"/>
          <w:lang w:val="en-GB"/>
        </w:rPr>
        <w:t>also notes that the Convention</w:t>
      </w:r>
      <w:r w:rsidRPr="00AE396C">
        <w:rPr>
          <w:sz w:val="20"/>
          <w:szCs w:val="20"/>
          <w:lang w:val="en-GB"/>
        </w:rPr>
        <w:t xml:space="preserve"> specifically points out that “such charge shall not exceed a reasonable amount”</w:t>
      </w:r>
      <w:r w:rsidR="00942106">
        <w:rPr>
          <w:sz w:val="20"/>
          <w:szCs w:val="20"/>
          <w:lang w:val="en-GB"/>
        </w:rPr>
        <w:t>.</w:t>
      </w:r>
      <w:r w:rsidRPr="00AE396C">
        <w:rPr>
          <w:rStyle w:val="FootnoteReference"/>
          <w:sz w:val="20"/>
          <w:szCs w:val="20"/>
          <w:lang w:val="en-GB"/>
        </w:rPr>
        <w:footnoteReference w:id="64"/>
      </w:r>
      <w:r w:rsidRPr="00AE396C">
        <w:rPr>
          <w:rStyle w:val="st"/>
          <w:sz w:val="20"/>
          <w:szCs w:val="20"/>
          <w:lang w:val="en-GB"/>
        </w:rPr>
        <w:t xml:space="preserve"> In this regard the communicant submits that</w:t>
      </w:r>
      <w:r w:rsidR="00FF62C9" w:rsidRPr="00AE396C">
        <w:rPr>
          <w:rStyle w:val="st"/>
          <w:sz w:val="20"/>
          <w:szCs w:val="20"/>
          <w:lang w:val="en-GB"/>
        </w:rPr>
        <w:t xml:space="preserve"> </w:t>
      </w:r>
      <w:r w:rsidR="00256C46">
        <w:rPr>
          <w:rStyle w:val="st"/>
          <w:sz w:val="20"/>
          <w:szCs w:val="20"/>
          <w:lang w:val="en-GB"/>
        </w:rPr>
        <w:t xml:space="preserve">the </w:t>
      </w:r>
      <w:r w:rsidR="00FF62C9" w:rsidRPr="00AE396C">
        <w:rPr>
          <w:rStyle w:val="st"/>
          <w:sz w:val="20"/>
          <w:szCs w:val="20"/>
          <w:lang w:val="en-GB"/>
        </w:rPr>
        <w:t>Implementation Guide</w:t>
      </w:r>
      <w:r w:rsidRPr="00AE396C">
        <w:rPr>
          <w:rStyle w:val="st"/>
          <w:sz w:val="20"/>
          <w:szCs w:val="20"/>
          <w:lang w:val="en-GB"/>
        </w:rPr>
        <w:t xml:space="preserve"> underlines that information should be accessible as well as affordable, and therefore </w:t>
      </w:r>
      <w:r w:rsidR="000C3236">
        <w:rPr>
          <w:rStyle w:val="st"/>
          <w:sz w:val="20"/>
          <w:szCs w:val="20"/>
          <w:lang w:val="en-GB"/>
        </w:rPr>
        <w:t xml:space="preserve">any </w:t>
      </w:r>
      <w:r w:rsidRPr="00AE396C">
        <w:rPr>
          <w:rStyle w:val="st"/>
          <w:sz w:val="20"/>
          <w:szCs w:val="20"/>
          <w:lang w:val="en-GB"/>
        </w:rPr>
        <w:t>charges, if necessary, must be reasonable.</w:t>
      </w:r>
      <w:r w:rsidRPr="00AE396C">
        <w:rPr>
          <w:rStyle w:val="FootnoteReference"/>
          <w:sz w:val="20"/>
          <w:szCs w:val="20"/>
          <w:lang w:val="en-GB"/>
        </w:rPr>
        <w:footnoteReference w:id="65"/>
      </w:r>
    </w:p>
    <w:p w14:paraId="7F6D9BBD" w14:textId="0FC7BA71" w:rsidR="007004B7" w:rsidRPr="00AE396C" w:rsidRDefault="007004B7" w:rsidP="007004B7">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 xml:space="preserve">The communicant claims that charges in the amount of </w:t>
      </w:r>
      <w:r w:rsidR="00256C46">
        <w:rPr>
          <w:rStyle w:val="st"/>
          <w:sz w:val="20"/>
          <w:szCs w:val="20"/>
          <w:lang w:val="en-GB"/>
        </w:rPr>
        <w:t>730,374.50 lei</w:t>
      </w:r>
      <w:r w:rsidRPr="00AE396C">
        <w:rPr>
          <w:rStyle w:val="st"/>
          <w:sz w:val="20"/>
          <w:szCs w:val="20"/>
          <w:lang w:val="en-GB"/>
        </w:rPr>
        <w:t xml:space="preserve"> for access to data regarding the streamflow and temperatures of a 25 km-long river are both unreasonable and unaffordable. It claims that firstly, the charges are disproportiona</w:t>
      </w:r>
      <w:r w:rsidR="00256C46">
        <w:rPr>
          <w:rStyle w:val="st"/>
          <w:sz w:val="20"/>
          <w:szCs w:val="20"/>
          <w:lang w:val="en-GB"/>
        </w:rPr>
        <w:t>te</w:t>
      </w:r>
      <w:r w:rsidRPr="00AE396C">
        <w:rPr>
          <w:rStyle w:val="st"/>
          <w:sz w:val="20"/>
          <w:szCs w:val="20"/>
          <w:lang w:val="en-GB"/>
        </w:rPr>
        <w:t xml:space="preserve"> to the river length and to the nature of the requested data</w:t>
      </w:r>
      <w:r w:rsidR="00256C46">
        <w:rPr>
          <w:rStyle w:val="st"/>
          <w:sz w:val="20"/>
          <w:szCs w:val="20"/>
          <w:lang w:val="en-GB"/>
        </w:rPr>
        <w:t>, which was historic data that already existed</w:t>
      </w:r>
      <w:r w:rsidRPr="00AE396C">
        <w:rPr>
          <w:rStyle w:val="st"/>
          <w:sz w:val="20"/>
          <w:szCs w:val="20"/>
          <w:lang w:val="en-GB"/>
        </w:rPr>
        <w:t>. The communicant submits secondly that the average</w:t>
      </w:r>
      <w:r w:rsidR="001F60BC">
        <w:rPr>
          <w:rStyle w:val="st"/>
          <w:sz w:val="20"/>
          <w:szCs w:val="20"/>
          <w:lang w:val="en-GB"/>
        </w:rPr>
        <w:t xml:space="preserve"> </w:t>
      </w:r>
      <w:r w:rsidRPr="00AE396C">
        <w:rPr>
          <w:rStyle w:val="st"/>
          <w:sz w:val="20"/>
          <w:szCs w:val="20"/>
          <w:lang w:val="en-GB"/>
        </w:rPr>
        <w:t>salary</w:t>
      </w:r>
      <w:r w:rsidR="004632B3">
        <w:rPr>
          <w:rStyle w:val="st"/>
          <w:sz w:val="20"/>
          <w:szCs w:val="20"/>
          <w:lang w:val="en-GB"/>
        </w:rPr>
        <w:t xml:space="preserve"> at the time</w:t>
      </w:r>
      <w:r w:rsidRPr="00AE396C">
        <w:rPr>
          <w:rStyle w:val="st"/>
          <w:sz w:val="20"/>
          <w:szCs w:val="20"/>
          <w:lang w:val="en-GB"/>
        </w:rPr>
        <w:t xml:space="preserve"> in </w:t>
      </w:r>
      <w:r w:rsidR="000C3236">
        <w:rPr>
          <w:rStyle w:val="st"/>
          <w:sz w:val="20"/>
          <w:szCs w:val="20"/>
          <w:lang w:val="en-GB"/>
        </w:rPr>
        <w:t>the Party concerned</w:t>
      </w:r>
      <w:r w:rsidRPr="00AE396C">
        <w:rPr>
          <w:rStyle w:val="st"/>
          <w:sz w:val="20"/>
          <w:szCs w:val="20"/>
          <w:lang w:val="en-GB"/>
        </w:rPr>
        <w:t xml:space="preserve"> </w:t>
      </w:r>
      <w:r w:rsidR="004632B3">
        <w:rPr>
          <w:rStyle w:val="st"/>
          <w:sz w:val="20"/>
          <w:szCs w:val="20"/>
          <w:lang w:val="en-GB"/>
        </w:rPr>
        <w:t>was</w:t>
      </w:r>
      <w:r w:rsidRPr="00AE396C">
        <w:rPr>
          <w:rStyle w:val="st"/>
          <w:sz w:val="20"/>
          <w:szCs w:val="20"/>
          <w:lang w:val="en-GB"/>
        </w:rPr>
        <w:t xml:space="preserve"> about 200 </w:t>
      </w:r>
      <w:r w:rsidR="00CE792B">
        <w:rPr>
          <w:rStyle w:val="st"/>
          <w:sz w:val="20"/>
          <w:szCs w:val="20"/>
          <w:lang w:val="en-GB"/>
        </w:rPr>
        <w:t>e</w:t>
      </w:r>
      <w:r w:rsidRPr="00AE396C">
        <w:rPr>
          <w:rStyle w:val="st"/>
          <w:sz w:val="20"/>
          <w:szCs w:val="20"/>
          <w:lang w:val="en-GB"/>
        </w:rPr>
        <w:t xml:space="preserve">uro </w:t>
      </w:r>
      <w:r w:rsidR="00D462C3">
        <w:rPr>
          <w:rStyle w:val="st"/>
          <w:sz w:val="20"/>
          <w:szCs w:val="20"/>
          <w:lang w:val="en-GB"/>
        </w:rPr>
        <w:t xml:space="preserve">per month </w:t>
      </w:r>
      <w:r w:rsidRPr="00AE396C">
        <w:rPr>
          <w:rStyle w:val="st"/>
          <w:sz w:val="20"/>
          <w:szCs w:val="20"/>
          <w:lang w:val="en-GB"/>
        </w:rPr>
        <w:t xml:space="preserve">and </w:t>
      </w:r>
      <w:r w:rsidR="008664B7">
        <w:rPr>
          <w:rStyle w:val="st"/>
          <w:sz w:val="20"/>
          <w:szCs w:val="20"/>
          <w:lang w:val="en-GB"/>
        </w:rPr>
        <w:t xml:space="preserve">by way of comparison </w:t>
      </w:r>
      <w:r w:rsidR="001F60BC">
        <w:rPr>
          <w:rStyle w:val="st"/>
          <w:sz w:val="20"/>
          <w:szCs w:val="20"/>
          <w:lang w:val="en-GB"/>
        </w:rPr>
        <w:t xml:space="preserve">that </w:t>
      </w:r>
      <w:r w:rsidRPr="00AE396C">
        <w:rPr>
          <w:rStyle w:val="st"/>
          <w:sz w:val="20"/>
          <w:szCs w:val="20"/>
          <w:lang w:val="en-GB"/>
        </w:rPr>
        <w:t xml:space="preserve">the SHS staff who implement Regulation </w:t>
      </w:r>
      <w:r w:rsidR="009812FE">
        <w:rPr>
          <w:rStyle w:val="st"/>
          <w:sz w:val="20"/>
          <w:szCs w:val="20"/>
          <w:lang w:val="en-GB"/>
        </w:rPr>
        <w:t>N</w:t>
      </w:r>
      <w:r w:rsidRPr="00AE396C">
        <w:rPr>
          <w:rStyle w:val="st"/>
          <w:sz w:val="20"/>
          <w:szCs w:val="20"/>
          <w:lang w:val="en-GB"/>
        </w:rPr>
        <w:t>o. 330 would have had to work for about five years before they al</w:t>
      </w:r>
      <w:r w:rsidR="00117628" w:rsidRPr="00AE396C">
        <w:rPr>
          <w:rStyle w:val="st"/>
          <w:sz w:val="20"/>
          <w:szCs w:val="20"/>
          <w:lang w:val="en-GB"/>
        </w:rPr>
        <w:t xml:space="preserve">together could have saved </w:t>
      </w:r>
      <w:r w:rsidR="001F60BC">
        <w:rPr>
          <w:rStyle w:val="st"/>
          <w:sz w:val="20"/>
          <w:szCs w:val="20"/>
          <w:lang w:val="en-GB"/>
        </w:rPr>
        <w:t>this sum</w:t>
      </w:r>
      <w:r w:rsidR="00117628" w:rsidRPr="00AE396C">
        <w:rPr>
          <w:rStyle w:val="st"/>
          <w:sz w:val="20"/>
          <w:szCs w:val="20"/>
          <w:lang w:val="en-GB"/>
        </w:rPr>
        <w:t>.</w:t>
      </w:r>
      <w:r w:rsidR="00117628" w:rsidRPr="00AE396C">
        <w:rPr>
          <w:rStyle w:val="FootnoteReference"/>
          <w:sz w:val="20"/>
          <w:szCs w:val="20"/>
          <w:lang w:val="en-GB"/>
        </w:rPr>
        <w:footnoteReference w:id="66"/>
      </w:r>
    </w:p>
    <w:p w14:paraId="0360DB73" w14:textId="77777777" w:rsidR="000C3236" w:rsidRDefault="000C3236" w:rsidP="000C3236">
      <w:pPr>
        <w:pStyle w:val="SingleTxtG"/>
        <w:numPr>
          <w:ilvl w:val="0"/>
          <w:numId w:val="3"/>
        </w:numPr>
        <w:tabs>
          <w:tab w:val="right" w:pos="567"/>
          <w:tab w:val="num" w:pos="1276"/>
        </w:tabs>
        <w:ind w:left="1134" w:right="0" w:firstLine="0"/>
        <w:rPr>
          <w:rStyle w:val="st"/>
          <w:sz w:val="20"/>
          <w:szCs w:val="20"/>
          <w:lang w:val="en-US"/>
        </w:rPr>
      </w:pPr>
      <w:bookmarkStart w:id="21" w:name="_Ref66825390"/>
      <w:r>
        <w:rPr>
          <w:rStyle w:val="st"/>
          <w:sz w:val="20"/>
          <w:szCs w:val="20"/>
          <w:lang w:val="en-US"/>
        </w:rPr>
        <w:t>The communicant opines that the basis of the initial calculation may have been point I.5.1.2 of annex 2 of Regulation No. 330, which states that determination of the water streamflow costs 306 lei, while also noting that a calculation based on this figure would not obviously result in 730,374.50 lei.</w:t>
      </w:r>
      <w:r>
        <w:rPr>
          <w:rStyle w:val="FootnoteReference"/>
          <w:szCs w:val="20"/>
          <w:lang w:val="en-US"/>
        </w:rPr>
        <w:footnoteReference w:id="67"/>
      </w:r>
      <w:bookmarkEnd w:id="21"/>
      <w:r>
        <w:rPr>
          <w:rStyle w:val="st"/>
          <w:sz w:val="20"/>
          <w:szCs w:val="20"/>
          <w:lang w:val="en-US"/>
        </w:rPr>
        <w:t xml:space="preserve"> </w:t>
      </w:r>
    </w:p>
    <w:p w14:paraId="689C4FE4" w14:textId="1CBFD58B" w:rsidR="00117628" w:rsidRDefault="00117628" w:rsidP="007004B7">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 xml:space="preserve">The communicant states that such charges make it </w:t>
      </w:r>
      <w:r w:rsidR="001F60BC">
        <w:rPr>
          <w:rStyle w:val="st"/>
          <w:sz w:val="20"/>
          <w:szCs w:val="20"/>
          <w:lang w:val="en-GB"/>
        </w:rPr>
        <w:t xml:space="preserve">in general </w:t>
      </w:r>
      <w:r w:rsidRPr="00AE396C">
        <w:rPr>
          <w:rStyle w:val="st"/>
          <w:sz w:val="20"/>
          <w:szCs w:val="20"/>
          <w:lang w:val="en-GB"/>
        </w:rPr>
        <w:t xml:space="preserve">impossible for the public to access </w:t>
      </w:r>
      <w:r w:rsidR="00D838A5">
        <w:rPr>
          <w:rStyle w:val="st"/>
          <w:sz w:val="20"/>
          <w:szCs w:val="20"/>
          <w:lang w:val="en-GB"/>
        </w:rPr>
        <w:t>data held by the SHS, even if it</w:t>
      </w:r>
      <w:r w:rsidRPr="00AE396C">
        <w:rPr>
          <w:rStyle w:val="st"/>
          <w:sz w:val="20"/>
          <w:szCs w:val="20"/>
          <w:lang w:val="en-GB"/>
        </w:rPr>
        <w:t xml:space="preserve"> already exist</w:t>
      </w:r>
      <w:r w:rsidR="00D838A5">
        <w:rPr>
          <w:rStyle w:val="st"/>
          <w:sz w:val="20"/>
          <w:szCs w:val="20"/>
          <w:lang w:val="en-GB"/>
        </w:rPr>
        <w:t>s</w:t>
      </w:r>
      <w:r w:rsidRPr="00AE396C">
        <w:rPr>
          <w:rStyle w:val="st"/>
          <w:sz w:val="20"/>
          <w:szCs w:val="20"/>
          <w:lang w:val="en-GB"/>
        </w:rPr>
        <w:t>.</w:t>
      </w:r>
      <w:r w:rsidR="00AA6A02" w:rsidRPr="00AE396C">
        <w:rPr>
          <w:rStyle w:val="FootnoteReference"/>
          <w:sz w:val="20"/>
          <w:szCs w:val="20"/>
          <w:lang w:val="en-GB"/>
        </w:rPr>
        <w:footnoteReference w:id="68"/>
      </w:r>
    </w:p>
    <w:p w14:paraId="132EB1BF" w14:textId="0CB4D3E6" w:rsidR="000C3236" w:rsidRPr="00AE396C" w:rsidRDefault="000C3236" w:rsidP="000C3236">
      <w:pPr>
        <w:pStyle w:val="SingleTxtG"/>
        <w:numPr>
          <w:ilvl w:val="0"/>
          <w:numId w:val="3"/>
        </w:numPr>
        <w:tabs>
          <w:tab w:val="right" w:pos="567"/>
          <w:tab w:val="num" w:pos="1276"/>
        </w:tabs>
        <w:ind w:left="1134" w:right="0" w:firstLine="0"/>
        <w:rPr>
          <w:rStyle w:val="st"/>
          <w:sz w:val="20"/>
          <w:szCs w:val="20"/>
          <w:lang w:val="en-US"/>
        </w:rPr>
      </w:pPr>
      <w:r>
        <w:rPr>
          <w:rStyle w:val="st"/>
          <w:sz w:val="20"/>
          <w:szCs w:val="20"/>
          <w:lang w:val="en-US"/>
        </w:rPr>
        <w:t xml:space="preserve">With respect to the revised figure of 197,215.80 lei submitted by the Party concerned in the context of the Committee’s proceeding (see para. </w:t>
      </w:r>
      <w:r>
        <w:rPr>
          <w:rStyle w:val="st"/>
          <w:sz w:val="20"/>
          <w:szCs w:val="20"/>
          <w:lang w:val="en-US"/>
        </w:rPr>
        <w:fldChar w:fldCharType="begin"/>
      </w:r>
      <w:r>
        <w:rPr>
          <w:rStyle w:val="st"/>
          <w:sz w:val="20"/>
          <w:szCs w:val="20"/>
          <w:lang w:val="en-US"/>
        </w:rPr>
        <w:instrText xml:space="preserve"> REF _Ref74478596 \r \h </w:instrText>
      </w:r>
      <w:r>
        <w:rPr>
          <w:rStyle w:val="st"/>
          <w:sz w:val="20"/>
          <w:szCs w:val="20"/>
          <w:lang w:val="en-US"/>
        </w:rPr>
      </w:r>
      <w:r>
        <w:rPr>
          <w:rStyle w:val="st"/>
          <w:sz w:val="20"/>
          <w:szCs w:val="20"/>
          <w:lang w:val="en-US"/>
        </w:rPr>
        <w:fldChar w:fldCharType="separate"/>
      </w:r>
      <w:r w:rsidR="0036337B">
        <w:rPr>
          <w:rStyle w:val="st"/>
          <w:sz w:val="20"/>
          <w:szCs w:val="20"/>
          <w:lang w:val="en-US"/>
        </w:rPr>
        <w:t>66</w:t>
      </w:r>
      <w:r>
        <w:rPr>
          <w:rStyle w:val="st"/>
          <w:sz w:val="20"/>
          <w:szCs w:val="20"/>
          <w:lang w:val="en-US"/>
        </w:rPr>
        <w:fldChar w:fldCharType="end"/>
      </w:r>
      <w:r>
        <w:rPr>
          <w:rStyle w:val="st"/>
          <w:sz w:val="20"/>
          <w:szCs w:val="20"/>
          <w:lang w:val="en-US"/>
        </w:rPr>
        <w:t xml:space="preserve"> below), the communicant states that it does not consider this sum to be reasonable either.</w:t>
      </w:r>
      <w:r>
        <w:rPr>
          <w:rStyle w:val="FootnoteReference"/>
          <w:szCs w:val="20"/>
          <w:lang w:val="en-US"/>
        </w:rPr>
        <w:footnoteReference w:id="69"/>
      </w:r>
      <w:r>
        <w:rPr>
          <w:rStyle w:val="st"/>
          <w:sz w:val="20"/>
          <w:szCs w:val="20"/>
          <w:lang w:val="en-US"/>
        </w:rPr>
        <w:t xml:space="preserve"> </w:t>
      </w:r>
    </w:p>
    <w:p w14:paraId="1F11CB71" w14:textId="77777777" w:rsidR="00B4242F" w:rsidRDefault="00581D52" w:rsidP="007004B7">
      <w:pPr>
        <w:pStyle w:val="SingleTxtG"/>
        <w:numPr>
          <w:ilvl w:val="0"/>
          <w:numId w:val="3"/>
        </w:numPr>
        <w:tabs>
          <w:tab w:val="right" w:pos="567"/>
          <w:tab w:val="num" w:pos="1276"/>
        </w:tabs>
        <w:ind w:left="1134" w:right="0" w:firstLine="0"/>
        <w:rPr>
          <w:sz w:val="20"/>
          <w:szCs w:val="20"/>
          <w:lang w:val="en-GB"/>
        </w:rPr>
      </w:pPr>
      <w:bookmarkStart w:id="22" w:name="_Ref66825636"/>
      <w:r w:rsidRPr="00AE396C">
        <w:rPr>
          <w:sz w:val="20"/>
          <w:szCs w:val="20"/>
          <w:lang w:val="en-GB"/>
        </w:rPr>
        <w:t xml:space="preserve">The Party concerned submits that </w:t>
      </w:r>
      <w:r w:rsidR="003F3C94" w:rsidRPr="00AE396C">
        <w:rPr>
          <w:sz w:val="20"/>
          <w:szCs w:val="20"/>
          <w:lang w:val="en-GB"/>
        </w:rPr>
        <w:t>the particular case between the communicant and the SHS</w:t>
      </w:r>
      <w:r w:rsidR="00CF3530">
        <w:rPr>
          <w:sz w:val="20"/>
          <w:szCs w:val="20"/>
          <w:lang w:val="en-GB"/>
        </w:rPr>
        <w:t xml:space="preserve"> has</w:t>
      </w:r>
      <w:r w:rsidR="003F3C94" w:rsidRPr="00AE396C">
        <w:rPr>
          <w:sz w:val="20"/>
          <w:szCs w:val="20"/>
          <w:lang w:val="en-GB"/>
        </w:rPr>
        <w:t xml:space="preserve"> “a specific interpretation, or misinterpretation from both sides”</w:t>
      </w:r>
      <w:r w:rsidR="00CB5ADA">
        <w:rPr>
          <w:sz w:val="20"/>
          <w:szCs w:val="20"/>
          <w:lang w:val="en-GB"/>
        </w:rPr>
        <w:t>.</w:t>
      </w:r>
      <w:r w:rsidR="003F3C94" w:rsidRPr="00AE396C">
        <w:rPr>
          <w:rStyle w:val="FootnoteReference"/>
          <w:sz w:val="20"/>
          <w:szCs w:val="20"/>
          <w:lang w:val="en-GB"/>
        </w:rPr>
        <w:footnoteReference w:id="70"/>
      </w:r>
      <w:r w:rsidR="003F3C94" w:rsidRPr="00AE396C">
        <w:rPr>
          <w:sz w:val="20"/>
          <w:szCs w:val="20"/>
          <w:lang w:val="en-GB"/>
        </w:rPr>
        <w:t xml:space="preserve"> It claims that </w:t>
      </w:r>
      <w:r w:rsidRPr="00AE396C">
        <w:rPr>
          <w:sz w:val="20"/>
          <w:szCs w:val="20"/>
          <w:lang w:val="en-GB"/>
        </w:rPr>
        <w:t>“finally the access to the requested data was provided</w:t>
      </w:r>
      <w:r w:rsidR="00871D30">
        <w:rPr>
          <w:sz w:val="20"/>
          <w:szCs w:val="20"/>
          <w:lang w:val="en-GB"/>
        </w:rPr>
        <w:t>”</w:t>
      </w:r>
      <w:r w:rsidRPr="00AE396C">
        <w:rPr>
          <w:sz w:val="20"/>
          <w:szCs w:val="20"/>
          <w:lang w:val="en-GB"/>
        </w:rPr>
        <w:t xml:space="preserve"> and</w:t>
      </w:r>
      <w:r w:rsidR="00871D30">
        <w:rPr>
          <w:sz w:val="20"/>
          <w:szCs w:val="20"/>
          <w:lang w:val="en-GB"/>
        </w:rPr>
        <w:t xml:space="preserve"> that</w:t>
      </w:r>
      <w:r w:rsidRPr="00AE396C">
        <w:rPr>
          <w:sz w:val="20"/>
          <w:szCs w:val="20"/>
          <w:lang w:val="en-GB"/>
        </w:rPr>
        <w:t xml:space="preserve"> </w:t>
      </w:r>
      <w:r w:rsidR="00871D30">
        <w:rPr>
          <w:sz w:val="20"/>
          <w:szCs w:val="20"/>
          <w:lang w:val="en-GB"/>
        </w:rPr>
        <w:t>“</w:t>
      </w:r>
      <w:r w:rsidRPr="00AE396C">
        <w:rPr>
          <w:sz w:val="20"/>
          <w:szCs w:val="20"/>
          <w:lang w:val="en-GB"/>
        </w:rPr>
        <w:t>the payment was requested not for the primary data</w:t>
      </w:r>
      <w:r w:rsidR="00036B08" w:rsidRPr="00AE396C">
        <w:rPr>
          <w:sz w:val="20"/>
          <w:szCs w:val="20"/>
          <w:lang w:val="en-GB"/>
        </w:rPr>
        <w:t xml:space="preserve"> </w:t>
      </w:r>
      <w:r w:rsidR="002013F0" w:rsidRPr="00AE396C">
        <w:rPr>
          <w:sz w:val="20"/>
          <w:szCs w:val="20"/>
          <w:lang w:val="en-GB"/>
        </w:rPr>
        <w:t>(</w:t>
      </w:r>
      <w:r w:rsidRPr="00AE396C">
        <w:rPr>
          <w:sz w:val="20"/>
          <w:szCs w:val="20"/>
          <w:lang w:val="en-GB"/>
        </w:rPr>
        <w:t xml:space="preserve">for which the </w:t>
      </w:r>
      <w:r w:rsidR="00735675">
        <w:rPr>
          <w:sz w:val="20"/>
          <w:szCs w:val="20"/>
          <w:lang w:val="en-GB"/>
        </w:rPr>
        <w:t>[communicant’s]</w:t>
      </w:r>
      <w:r w:rsidR="002013F0" w:rsidRPr="00AE396C">
        <w:rPr>
          <w:sz w:val="20"/>
          <w:szCs w:val="20"/>
          <w:lang w:val="en-GB"/>
        </w:rPr>
        <w:t xml:space="preserve"> representative</w:t>
      </w:r>
      <w:r w:rsidRPr="00AE396C">
        <w:rPr>
          <w:sz w:val="20"/>
          <w:szCs w:val="20"/>
          <w:lang w:val="en-GB"/>
        </w:rPr>
        <w:t xml:space="preserve"> was invited to the office</w:t>
      </w:r>
      <w:r w:rsidR="002013F0" w:rsidRPr="00AE396C">
        <w:rPr>
          <w:sz w:val="20"/>
          <w:szCs w:val="20"/>
          <w:lang w:val="en-GB"/>
        </w:rPr>
        <w:t>)</w:t>
      </w:r>
      <w:r w:rsidRPr="00AE396C">
        <w:rPr>
          <w:sz w:val="20"/>
          <w:szCs w:val="20"/>
          <w:lang w:val="en-GB"/>
        </w:rPr>
        <w:t>, but for the preparation of the processes analytical information, which require staff time and additional separate work</w:t>
      </w:r>
      <w:r w:rsidR="00735675">
        <w:rPr>
          <w:sz w:val="20"/>
          <w:szCs w:val="20"/>
          <w:lang w:val="en-GB"/>
        </w:rPr>
        <w:t>”</w:t>
      </w:r>
      <w:r w:rsidRPr="00AE396C">
        <w:rPr>
          <w:sz w:val="20"/>
          <w:szCs w:val="20"/>
          <w:lang w:val="en-GB"/>
        </w:rPr>
        <w:t>.</w:t>
      </w:r>
      <w:r w:rsidRPr="00AE396C">
        <w:rPr>
          <w:rStyle w:val="FootnoteReference"/>
          <w:sz w:val="20"/>
          <w:szCs w:val="20"/>
          <w:lang w:val="en-GB"/>
        </w:rPr>
        <w:footnoteReference w:id="71"/>
      </w:r>
      <w:bookmarkEnd w:id="22"/>
      <w:r w:rsidRPr="00AE396C">
        <w:rPr>
          <w:sz w:val="20"/>
          <w:szCs w:val="20"/>
          <w:lang w:val="en-GB"/>
        </w:rPr>
        <w:t xml:space="preserve"> </w:t>
      </w:r>
    </w:p>
    <w:p w14:paraId="414BB557" w14:textId="1031D8DA" w:rsidR="000C3236" w:rsidRPr="00E0525A" w:rsidRDefault="00D92BB5" w:rsidP="00FE4C13">
      <w:pPr>
        <w:pStyle w:val="SingleTxtG"/>
        <w:numPr>
          <w:ilvl w:val="0"/>
          <w:numId w:val="3"/>
        </w:numPr>
        <w:tabs>
          <w:tab w:val="right" w:pos="567"/>
          <w:tab w:val="num" w:pos="1276"/>
        </w:tabs>
        <w:ind w:left="1134" w:right="0" w:firstLine="0"/>
        <w:rPr>
          <w:rStyle w:val="st"/>
          <w:sz w:val="20"/>
          <w:lang w:val="en-GB"/>
        </w:rPr>
      </w:pPr>
      <w:bookmarkStart w:id="23" w:name="_Ref74478596"/>
      <w:bookmarkStart w:id="24" w:name="_Ref66825379"/>
      <w:r>
        <w:rPr>
          <w:rStyle w:val="st"/>
          <w:sz w:val="20"/>
          <w:szCs w:val="20"/>
          <w:lang w:val="en-GB"/>
        </w:rPr>
        <w:t xml:space="preserve">The </w:t>
      </w:r>
      <w:r w:rsidR="002E10ED" w:rsidRPr="001A1A3C">
        <w:rPr>
          <w:rStyle w:val="st"/>
          <w:sz w:val="20"/>
          <w:szCs w:val="20"/>
          <w:lang w:val="en-GB"/>
        </w:rPr>
        <w:t xml:space="preserve">Party concerned </w:t>
      </w:r>
      <w:r>
        <w:rPr>
          <w:rStyle w:val="st"/>
          <w:sz w:val="20"/>
          <w:szCs w:val="20"/>
          <w:lang w:val="en-GB"/>
        </w:rPr>
        <w:t xml:space="preserve">has submitted </w:t>
      </w:r>
      <w:r w:rsidR="00FE5959" w:rsidRPr="001A1A3C">
        <w:rPr>
          <w:rStyle w:val="st"/>
          <w:sz w:val="20"/>
          <w:szCs w:val="20"/>
          <w:lang w:val="en-GB"/>
        </w:rPr>
        <w:t>an</w:t>
      </w:r>
      <w:r w:rsidR="002E10ED" w:rsidRPr="001A1A3C">
        <w:rPr>
          <w:rStyle w:val="st"/>
          <w:sz w:val="20"/>
          <w:szCs w:val="20"/>
          <w:lang w:val="en-GB"/>
        </w:rPr>
        <w:t xml:space="preserve"> algorithm and </w:t>
      </w:r>
      <w:r w:rsidR="00860207" w:rsidRPr="001A1A3C">
        <w:rPr>
          <w:rStyle w:val="st"/>
          <w:sz w:val="20"/>
          <w:szCs w:val="20"/>
          <w:lang w:val="en-GB"/>
        </w:rPr>
        <w:t xml:space="preserve">cost </w:t>
      </w:r>
      <w:r w:rsidR="002E10ED" w:rsidRPr="001A1A3C">
        <w:rPr>
          <w:rStyle w:val="st"/>
          <w:sz w:val="20"/>
          <w:szCs w:val="20"/>
          <w:lang w:val="en-GB"/>
        </w:rPr>
        <w:t xml:space="preserve">calculations to </w:t>
      </w:r>
      <w:r>
        <w:rPr>
          <w:rStyle w:val="st"/>
          <w:sz w:val="20"/>
          <w:szCs w:val="20"/>
          <w:lang w:val="en-GB"/>
        </w:rPr>
        <w:t xml:space="preserve">the Committee </w:t>
      </w:r>
      <w:r w:rsidR="002E10ED" w:rsidRPr="001A1A3C">
        <w:rPr>
          <w:rStyle w:val="st"/>
          <w:sz w:val="20"/>
          <w:szCs w:val="20"/>
          <w:lang w:val="en-GB"/>
        </w:rPr>
        <w:t>show</w:t>
      </w:r>
      <w:r>
        <w:rPr>
          <w:rStyle w:val="st"/>
          <w:sz w:val="20"/>
          <w:szCs w:val="20"/>
          <w:lang w:val="en-GB"/>
        </w:rPr>
        <w:t>ing</w:t>
      </w:r>
      <w:r w:rsidR="002E10ED" w:rsidRPr="001A1A3C">
        <w:rPr>
          <w:rStyle w:val="st"/>
          <w:sz w:val="20"/>
          <w:szCs w:val="20"/>
          <w:lang w:val="en-GB"/>
        </w:rPr>
        <w:t xml:space="preserve"> a breakdown of how the total cost </w:t>
      </w:r>
      <w:r w:rsidR="000A6DEA" w:rsidRPr="001A1A3C">
        <w:rPr>
          <w:rStyle w:val="st"/>
          <w:sz w:val="20"/>
          <w:szCs w:val="20"/>
          <w:lang w:val="en-GB"/>
        </w:rPr>
        <w:t xml:space="preserve">could have </w:t>
      </w:r>
      <w:r w:rsidR="002E10ED" w:rsidRPr="001A1A3C">
        <w:rPr>
          <w:rStyle w:val="st"/>
          <w:sz w:val="20"/>
          <w:szCs w:val="20"/>
          <w:lang w:val="en-GB"/>
        </w:rPr>
        <w:t>been calculated for the information as requested by the communicant in its letter from 25 Ju</w:t>
      </w:r>
      <w:r w:rsidR="00FE5959" w:rsidRPr="001A1A3C">
        <w:rPr>
          <w:rStyle w:val="st"/>
          <w:sz w:val="20"/>
          <w:szCs w:val="20"/>
          <w:lang w:val="en-GB"/>
        </w:rPr>
        <w:t>ly</w:t>
      </w:r>
      <w:r w:rsidR="002E10ED" w:rsidRPr="001A1A3C">
        <w:rPr>
          <w:rStyle w:val="st"/>
          <w:sz w:val="20"/>
          <w:szCs w:val="20"/>
          <w:lang w:val="en-GB"/>
        </w:rPr>
        <w:t xml:space="preserve"> 2016. The total charge result</w:t>
      </w:r>
      <w:r w:rsidR="00BD452C" w:rsidRPr="001A1A3C">
        <w:rPr>
          <w:rStyle w:val="st"/>
          <w:sz w:val="20"/>
          <w:szCs w:val="20"/>
          <w:lang w:val="en-GB"/>
        </w:rPr>
        <w:t>ing</w:t>
      </w:r>
      <w:r w:rsidR="002E10ED" w:rsidRPr="001A1A3C">
        <w:rPr>
          <w:rStyle w:val="st"/>
          <w:sz w:val="20"/>
          <w:szCs w:val="20"/>
          <w:lang w:val="en-GB"/>
        </w:rPr>
        <w:t xml:space="preserve"> from </w:t>
      </w:r>
      <w:r w:rsidR="00BE75BA" w:rsidRPr="001A1A3C">
        <w:rPr>
          <w:rStyle w:val="st"/>
          <w:sz w:val="20"/>
          <w:szCs w:val="20"/>
          <w:lang w:val="en-GB"/>
        </w:rPr>
        <w:t>these</w:t>
      </w:r>
      <w:r w:rsidR="002E10ED" w:rsidRPr="001A1A3C">
        <w:rPr>
          <w:rStyle w:val="st"/>
          <w:sz w:val="20"/>
          <w:szCs w:val="20"/>
          <w:lang w:val="en-GB"/>
        </w:rPr>
        <w:t xml:space="preserve"> calculations </w:t>
      </w:r>
      <w:r w:rsidR="00FE4C13">
        <w:rPr>
          <w:rStyle w:val="st"/>
          <w:sz w:val="20"/>
          <w:szCs w:val="20"/>
          <w:lang w:val="en-GB"/>
        </w:rPr>
        <w:t xml:space="preserve">was </w:t>
      </w:r>
      <w:r w:rsidR="002E10ED" w:rsidRPr="001A1A3C">
        <w:rPr>
          <w:rStyle w:val="st"/>
          <w:sz w:val="20"/>
          <w:szCs w:val="20"/>
          <w:lang w:val="en-GB"/>
        </w:rPr>
        <w:t>197</w:t>
      </w:r>
      <w:r w:rsidR="0096087A" w:rsidRPr="001A1A3C">
        <w:rPr>
          <w:rStyle w:val="st"/>
          <w:sz w:val="20"/>
          <w:szCs w:val="20"/>
          <w:lang w:val="en-GB"/>
        </w:rPr>
        <w:t>,</w:t>
      </w:r>
      <w:r w:rsidR="002E10ED" w:rsidRPr="001A1A3C">
        <w:rPr>
          <w:rStyle w:val="st"/>
          <w:sz w:val="20"/>
          <w:szCs w:val="20"/>
          <w:lang w:val="en-GB"/>
        </w:rPr>
        <w:t>215.80 lei.</w:t>
      </w:r>
      <w:r w:rsidR="00212A5F">
        <w:rPr>
          <w:rStyle w:val="FootnoteReference"/>
          <w:szCs w:val="20"/>
          <w:lang w:val="en-GB"/>
        </w:rPr>
        <w:footnoteReference w:id="72"/>
      </w:r>
      <w:r w:rsidR="002E10ED" w:rsidRPr="001A1A3C">
        <w:rPr>
          <w:rStyle w:val="st"/>
          <w:sz w:val="20"/>
          <w:szCs w:val="20"/>
          <w:lang w:val="en-GB"/>
        </w:rPr>
        <w:t xml:space="preserve"> </w:t>
      </w:r>
      <w:r w:rsidR="00BE75BA" w:rsidRPr="001A1A3C">
        <w:rPr>
          <w:rStyle w:val="st"/>
          <w:sz w:val="20"/>
          <w:szCs w:val="20"/>
          <w:lang w:val="en-US"/>
        </w:rPr>
        <w:t>The Party concerned did not provide clear cross-references to the specific points of Regulation No. 330 and its annex 2</w:t>
      </w:r>
      <w:r w:rsidR="00A844D4" w:rsidRPr="001A1A3C">
        <w:rPr>
          <w:rStyle w:val="st"/>
          <w:sz w:val="20"/>
          <w:szCs w:val="20"/>
          <w:lang w:val="en-US"/>
        </w:rPr>
        <w:t xml:space="preserve"> to explain its calculations</w:t>
      </w:r>
      <w:r w:rsidR="00BE75BA" w:rsidRPr="001A1A3C">
        <w:rPr>
          <w:rStyle w:val="st"/>
          <w:sz w:val="20"/>
          <w:szCs w:val="20"/>
          <w:lang w:val="en-US"/>
        </w:rPr>
        <w:t>. However, in its calculations the Party concerned indicate</w:t>
      </w:r>
      <w:r w:rsidR="000C3236">
        <w:rPr>
          <w:rStyle w:val="st"/>
          <w:sz w:val="20"/>
          <w:szCs w:val="20"/>
          <w:lang w:val="en-US"/>
        </w:rPr>
        <w:t>s</w:t>
      </w:r>
      <w:r w:rsidR="00BE75BA" w:rsidRPr="001A1A3C">
        <w:rPr>
          <w:rStyle w:val="st"/>
          <w:sz w:val="20"/>
          <w:szCs w:val="20"/>
          <w:lang w:val="en-US"/>
        </w:rPr>
        <w:t xml:space="preserve"> prices that correspond to point II.2.1.4 </w:t>
      </w:r>
      <w:r w:rsidR="006849F4">
        <w:rPr>
          <w:rStyle w:val="st"/>
          <w:sz w:val="20"/>
          <w:szCs w:val="20"/>
          <w:lang w:val="en-US"/>
        </w:rPr>
        <w:t xml:space="preserve">(2.50 lei) </w:t>
      </w:r>
      <w:r w:rsidR="00BE75BA" w:rsidRPr="001A1A3C">
        <w:rPr>
          <w:rStyle w:val="st"/>
          <w:sz w:val="20"/>
          <w:szCs w:val="20"/>
          <w:lang w:val="en-US"/>
        </w:rPr>
        <w:t xml:space="preserve">and point II.4.1.2 </w:t>
      </w:r>
      <w:r w:rsidR="006849F4">
        <w:rPr>
          <w:rStyle w:val="st"/>
          <w:sz w:val="20"/>
          <w:szCs w:val="20"/>
          <w:lang w:val="en-US"/>
        </w:rPr>
        <w:t xml:space="preserve">(28.70 lei) </w:t>
      </w:r>
      <w:r w:rsidR="00BE75BA" w:rsidRPr="001A1A3C">
        <w:rPr>
          <w:rStyle w:val="st"/>
          <w:sz w:val="20"/>
          <w:szCs w:val="20"/>
          <w:lang w:val="en-US"/>
        </w:rPr>
        <w:t>of part II of annex 2 to Regulation No. 330 covering “specialized information”</w:t>
      </w:r>
      <w:r w:rsidR="00361188">
        <w:rPr>
          <w:rStyle w:val="st"/>
          <w:sz w:val="20"/>
          <w:szCs w:val="20"/>
          <w:lang w:val="en-US"/>
        </w:rPr>
        <w:t xml:space="preserve"> (see. para </w:t>
      </w:r>
      <w:r w:rsidR="00750AB3">
        <w:rPr>
          <w:rStyle w:val="st"/>
          <w:sz w:val="20"/>
          <w:szCs w:val="20"/>
          <w:lang w:val="en-US"/>
        </w:rPr>
        <w:fldChar w:fldCharType="begin"/>
      </w:r>
      <w:r w:rsidR="00750AB3">
        <w:rPr>
          <w:rStyle w:val="st"/>
          <w:sz w:val="20"/>
          <w:szCs w:val="20"/>
          <w:lang w:val="en-US"/>
        </w:rPr>
        <w:instrText xml:space="preserve"> REF _Ref67041540 \r \h </w:instrText>
      </w:r>
      <w:r w:rsidR="00750AB3">
        <w:rPr>
          <w:rStyle w:val="st"/>
          <w:sz w:val="20"/>
          <w:szCs w:val="20"/>
          <w:lang w:val="en-US"/>
        </w:rPr>
      </w:r>
      <w:r w:rsidR="00750AB3">
        <w:rPr>
          <w:rStyle w:val="st"/>
          <w:sz w:val="20"/>
          <w:szCs w:val="20"/>
          <w:lang w:val="en-US"/>
        </w:rPr>
        <w:fldChar w:fldCharType="separate"/>
      </w:r>
      <w:r w:rsidR="0036337B">
        <w:rPr>
          <w:rStyle w:val="st"/>
          <w:sz w:val="20"/>
          <w:szCs w:val="20"/>
          <w:lang w:val="en-US"/>
        </w:rPr>
        <w:t>24</w:t>
      </w:r>
      <w:r w:rsidR="00750AB3">
        <w:rPr>
          <w:rStyle w:val="st"/>
          <w:sz w:val="20"/>
          <w:szCs w:val="20"/>
          <w:lang w:val="en-US"/>
        </w:rPr>
        <w:fldChar w:fldCharType="end"/>
      </w:r>
      <w:r w:rsidR="00361188">
        <w:rPr>
          <w:rStyle w:val="st"/>
          <w:sz w:val="20"/>
          <w:szCs w:val="20"/>
          <w:lang w:val="en-US"/>
        </w:rPr>
        <w:t xml:space="preserve"> above)</w:t>
      </w:r>
      <w:r w:rsidR="00BE75BA" w:rsidRPr="001A1A3C">
        <w:rPr>
          <w:rStyle w:val="st"/>
          <w:sz w:val="20"/>
          <w:szCs w:val="20"/>
          <w:lang w:val="en-US"/>
        </w:rPr>
        <w:t>.</w:t>
      </w:r>
      <w:bookmarkEnd w:id="23"/>
      <w:r w:rsidR="001A1A3C">
        <w:rPr>
          <w:rStyle w:val="st"/>
          <w:sz w:val="20"/>
          <w:szCs w:val="20"/>
          <w:lang w:val="en-US"/>
        </w:rPr>
        <w:t xml:space="preserve"> </w:t>
      </w:r>
    </w:p>
    <w:p w14:paraId="0AEAA9E0" w14:textId="64D9025E" w:rsidR="002E10ED" w:rsidRPr="001A1A3C" w:rsidRDefault="002E10ED" w:rsidP="00FE4C13">
      <w:pPr>
        <w:pStyle w:val="SingleTxtG"/>
        <w:numPr>
          <w:ilvl w:val="0"/>
          <w:numId w:val="3"/>
        </w:numPr>
        <w:tabs>
          <w:tab w:val="right" w:pos="567"/>
          <w:tab w:val="num" w:pos="1276"/>
        </w:tabs>
        <w:ind w:left="1134" w:right="0" w:firstLine="0"/>
        <w:rPr>
          <w:sz w:val="20"/>
          <w:szCs w:val="20"/>
          <w:lang w:val="en-GB"/>
        </w:rPr>
      </w:pPr>
      <w:r w:rsidRPr="001A1A3C">
        <w:rPr>
          <w:rStyle w:val="st"/>
          <w:sz w:val="20"/>
          <w:szCs w:val="20"/>
          <w:lang w:val="en-GB"/>
        </w:rPr>
        <w:t xml:space="preserve">The Party concerned </w:t>
      </w:r>
      <w:r w:rsidR="00FE4C13">
        <w:rPr>
          <w:rStyle w:val="st"/>
          <w:sz w:val="20"/>
          <w:szCs w:val="20"/>
          <w:lang w:val="en-GB"/>
        </w:rPr>
        <w:t>concede</w:t>
      </w:r>
      <w:r w:rsidR="000C3236">
        <w:rPr>
          <w:rStyle w:val="st"/>
          <w:sz w:val="20"/>
          <w:szCs w:val="20"/>
          <w:lang w:val="en-GB"/>
        </w:rPr>
        <w:t>s</w:t>
      </w:r>
      <w:r w:rsidR="00FE4C13">
        <w:rPr>
          <w:rStyle w:val="st"/>
          <w:sz w:val="20"/>
          <w:szCs w:val="20"/>
          <w:lang w:val="en-GB"/>
        </w:rPr>
        <w:t xml:space="preserve"> </w:t>
      </w:r>
      <w:r w:rsidRPr="001A1A3C">
        <w:rPr>
          <w:rStyle w:val="st"/>
          <w:sz w:val="20"/>
          <w:szCs w:val="20"/>
          <w:lang w:val="en-GB"/>
        </w:rPr>
        <w:t>that the amount of 730</w:t>
      </w:r>
      <w:r w:rsidR="0096087A" w:rsidRPr="001A1A3C">
        <w:rPr>
          <w:rStyle w:val="st"/>
          <w:sz w:val="20"/>
          <w:szCs w:val="20"/>
          <w:lang w:val="en-GB"/>
        </w:rPr>
        <w:t>,</w:t>
      </w:r>
      <w:r w:rsidRPr="001A1A3C">
        <w:rPr>
          <w:rStyle w:val="st"/>
          <w:sz w:val="20"/>
          <w:szCs w:val="20"/>
          <w:lang w:val="en-GB"/>
        </w:rPr>
        <w:t>374</w:t>
      </w:r>
      <w:r w:rsidR="0096087A" w:rsidRPr="001A1A3C">
        <w:rPr>
          <w:rStyle w:val="st"/>
          <w:sz w:val="20"/>
          <w:szCs w:val="20"/>
          <w:lang w:val="en-GB"/>
        </w:rPr>
        <w:t>.</w:t>
      </w:r>
      <w:r w:rsidRPr="001A1A3C">
        <w:rPr>
          <w:rStyle w:val="st"/>
          <w:sz w:val="20"/>
          <w:szCs w:val="20"/>
          <w:lang w:val="en-GB"/>
        </w:rPr>
        <w:t>50 lei was erroneously calculated in 2016</w:t>
      </w:r>
      <w:r w:rsidR="000C4A55" w:rsidRPr="001A1A3C">
        <w:rPr>
          <w:rStyle w:val="st"/>
          <w:sz w:val="20"/>
          <w:szCs w:val="20"/>
          <w:lang w:val="en-GB"/>
        </w:rPr>
        <w:t xml:space="preserve"> but </w:t>
      </w:r>
      <w:r w:rsidR="000C3236">
        <w:rPr>
          <w:rStyle w:val="st"/>
          <w:sz w:val="20"/>
          <w:szCs w:val="20"/>
          <w:lang w:val="en-GB"/>
        </w:rPr>
        <w:t xml:space="preserve">does not explain </w:t>
      </w:r>
      <w:r w:rsidR="000C4A55" w:rsidRPr="001A1A3C">
        <w:rPr>
          <w:rStyle w:val="st"/>
          <w:sz w:val="20"/>
          <w:szCs w:val="20"/>
          <w:lang w:val="en-GB"/>
        </w:rPr>
        <w:t>how th</w:t>
      </w:r>
      <w:r w:rsidR="000C3236">
        <w:rPr>
          <w:rStyle w:val="st"/>
          <w:sz w:val="20"/>
          <w:szCs w:val="20"/>
          <w:lang w:val="en-GB"/>
        </w:rPr>
        <w:t>e</w:t>
      </w:r>
      <w:r w:rsidR="000C4A55" w:rsidRPr="001A1A3C">
        <w:rPr>
          <w:rStyle w:val="st"/>
          <w:sz w:val="20"/>
          <w:szCs w:val="20"/>
          <w:lang w:val="en-GB"/>
        </w:rPr>
        <w:t xml:space="preserve"> </w:t>
      </w:r>
      <w:r w:rsidR="000C3236">
        <w:rPr>
          <w:rStyle w:val="st"/>
          <w:sz w:val="20"/>
          <w:szCs w:val="20"/>
          <w:lang w:val="en-GB"/>
        </w:rPr>
        <w:t xml:space="preserve">erroneous </w:t>
      </w:r>
      <w:r w:rsidR="000C4A55" w:rsidRPr="001A1A3C">
        <w:rPr>
          <w:rStyle w:val="st"/>
          <w:sz w:val="20"/>
          <w:szCs w:val="20"/>
          <w:lang w:val="en-GB"/>
        </w:rPr>
        <w:t xml:space="preserve">figure </w:t>
      </w:r>
      <w:r w:rsidR="002175A4" w:rsidRPr="001A1A3C">
        <w:rPr>
          <w:rStyle w:val="st"/>
          <w:sz w:val="20"/>
          <w:szCs w:val="20"/>
          <w:lang w:val="en-GB"/>
        </w:rPr>
        <w:t>could have</w:t>
      </w:r>
      <w:r w:rsidR="000C4A55" w:rsidRPr="001A1A3C">
        <w:rPr>
          <w:rStyle w:val="st"/>
          <w:sz w:val="20"/>
          <w:szCs w:val="20"/>
          <w:lang w:val="en-GB"/>
        </w:rPr>
        <w:t xml:space="preserve"> been arrived at</w:t>
      </w:r>
      <w:r w:rsidR="00FE5959" w:rsidRPr="001A1A3C">
        <w:rPr>
          <w:rStyle w:val="st"/>
          <w:sz w:val="20"/>
          <w:szCs w:val="20"/>
          <w:lang w:val="en-GB"/>
        </w:rPr>
        <w:t>.</w:t>
      </w:r>
      <w:r w:rsidRPr="00AE396C">
        <w:rPr>
          <w:rStyle w:val="FootnoteReference"/>
          <w:szCs w:val="20"/>
          <w:lang w:val="en-GB"/>
        </w:rPr>
        <w:footnoteReference w:id="73"/>
      </w:r>
      <w:bookmarkEnd w:id="24"/>
    </w:p>
    <w:p w14:paraId="35BE83B1" w14:textId="48F7C2E7" w:rsidR="006A0D75" w:rsidRPr="00AE396C" w:rsidRDefault="006A0D75" w:rsidP="002E10ED">
      <w:pPr>
        <w:pStyle w:val="SingleTxtG"/>
        <w:tabs>
          <w:tab w:val="right" w:pos="567"/>
        </w:tabs>
        <w:ind w:right="0"/>
        <w:rPr>
          <w:rStyle w:val="st"/>
          <w:sz w:val="20"/>
          <w:szCs w:val="20"/>
        </w:rPr>
      </w:pPr>
    </w:p>
    <w:p w14:paraId="43311467" w14:textId="5774827A" w:rsidR="004019C9" w:rsidRPr="00AE396C" w:rsidRDefault="004019C9" w:rsidP="004019C9">
      <w:pPr>
        <w:pStyle w:val="SingleTxtG"/>
        <w:tabs>
          <w:tab w:val="right" w:pos="567"/>
        </w:tabs>
        <w:ind w:right="0"/>
        <w:rPr>
          <w:b/>
          <w:bCs/>
          <w:sz w:val="20"/>
          <w:szCs w:val="20"/>
          <w:lang w:val="en-GB"/>
        </w:rPr>
      </w:pPr>
      <w:r w:rsidRPr="00AE396C">
        <w:rPr>
          <w:b/>
          <w:bCs/>
          <w:sz w:val="20"/>
          <w:szCs w:val="20"/>
          <w:lang w:val="en-GB"/>
        </w:rPr>
        <w:t>Article 3(1)</w:t>
      </w:r>
    </w:p>
    <w:p w14:paraId="25179B7F" w14:textId="02F4ED67" w:rsidR="007A5B69" w:rsidRDefault="00C2564F" w:rsidP="000E646A">
      <w:pPr>
        <w:pStyle w:val="SingleTxtG"/>
        <w:numPr>
          <w:ilvl w:val="0"/>
          <w:numId w:val="3"/>
        </w:numPr>
        <w:tabs>
          <w:tab w:val="right" w:pos="567"/>
          <w:tab w:val="num" w:pos="1276"/>
        </w:tabs>
        <w:ind w:left="1134" w:right="0" w:firstLine="0"/>
        <w:rPr>
          <w:sz w:val="20"/>
          <w:szCs w:val="20"/>
          <w:lang w:val="en-GB"/>
        </w:rPr>
      </w:pPr>
      <w:r w:rsidRPr="00AE396C">
        <w:rPr>
          <w:rStyle w:val="st"/>
          <w:sz w:val="20"/>
          <w:szCs w:val="20"/>
          <w:lang w:val="en-GB"/>
        </w:rPr>
        <w:t xml:space="preserve">The communicant </w:t>
      </w:r>
      <w:r w:rsidR="000E646A" w:rsidRPr="00AE396C">
        <w:rPr>
          <w:rStyle w:val="st"/>
          <w:sz w:val="20"/>
          <w:szCs w:val="20"/>
          <w:lang w:val="en-GB"/>
        </w:rPr>
        <w:t>submits that the Party concerned is in breach of article 3(1) of the Convention because it has not taken the necessary regulatory measures to implement the Convention and has not established a clear and consistent regulatory framework on the issue of reasonable costs.</w:t>
      </w:r>
      <w:r w:rsidR="000E646A" w:rsidRPr="00AE396C">
        <w:rPr>
          <w:rStyle w:val="FootnoteReference"/>
          <w:sz w:val="20"/>
          <w:szCs w:val="20"/>
          <w:lang w:val="en-GB"/>
        </w:rPr>
        <w:footnoteReference w:id="74"/>
      </w:r>
      <w:r w:rsidR="000E646A" w:rsidRPr="00AE396C">
        <w:rPr>
          <w:sz w:val="20"/>
          <w:szCs w:val="20"/>
          <w:lang w:val="en-GB"/>
        </w:rPr>
        <w:t xml:space="preserve"> </w:t>
      </w:r>
    </w:p>
    <w:p w14:paraId="04C619A6" w14:textId="1333F593" w:rsidR="000E646A" w:rsidRPr="00AE396C" w:rsidRDefault="00B11A3C" w:rsidP="000E646A">
      <w:pPr>
        <w:pStyle w:val="SingleTxtG"/>
        <w:numPr>
          <w:ilvl w:val="0"/>
          <w:numId w:val="3"/>
        </w:numPr>
        <w:tabs>
          <w:tab w:val="right" w:pos="567"/>
          <w:tab w:val="num" w:pos="1276"/>
        </w:tabs>
        <w:ind w:left="1134" w:right="0" w:firstLine="0"/>
        <w:rPr>
          <w:rStyle w:val="st"/>
          <w:sz w:val="20"/>
          <w:szCs w:val="20"/>
          <w:lang w:val="en-GB"/>
        </w:rPr>
      </w:pPr>
      <w:r>
        <w:rPr>
          <w:sz w:val="20"/>
          <w:szCs w:val="20"/>
          <w:lang w:val="en-GB"/>
        </w:rPr>
        <w:t>T</w:t>
      </w:r>
      <w:r w:rsidRPr="00AE396C">
        <w:rPr>
          <w:sz w:val="20"/>
          <w:szCs w:val="20"/>
          <w:lang w:val="en-GB"/>
        </w:rPr>
        <w:t xml:space="preserve">he communicant claims that under Regulation </w:t>
      </w:r>
      <w:r>
        <w:rPr>
          <w:sz w:val="20"/>
          <w:szCs w:val="20"/>
          <w:lang w:val="en-GB"/>
        </w:rPr>
        <w:t>N</w:t>
      </w:r>
      <w:r w:rsidRPr="00AE396C">
        <w:rPr>
          <w:sz w:val="20"/>
          <w:szCs w:val="20"/>
          <w:lang w:val="en-GB"/>
        </w:rPr>
        <w:t xml:space="preserve">o. 330, all information in the SHS Hydrometeorological Database </w:t>
      </w:r>
      <w:r>
        <w:rPr>
          <w:sz w:val="20"/>
          <w:szCs w:val="20"/>
          <w:lang w:val="en-GB"/>
        </w:rPr>
        <w:t>is</w:t>
      </w:r>
      <w:r w:rsidRPr="00AE396C">
        <w:rPr>
          <w:sz w:val="20"/>
          <w:szCs w:val="20"/>
          <w:lang w:val="en-GB"/>
        </w:rPr>
        <w:t xml:space="preserve"> considered of a primary nature </w:t>
      </w:r>
      <w:r>
        <w:rPr>
          <w:sz w:val="20"/>
          <w:szCs w:val="20"/>
          <w:lang w:val="en-GB"/>
        </w:rPr>
        <w:t>and so access to it is consequently subject to a charge</w:t>
      </w:r>
      <w:r w:rsidRPr="00AE396C">
        <w:rPr>
          <w:sz w:val="20"/>
          <w:szCs w:val="20"/>
          <w:lang w:val="en-GB"/>
        </w:rPr>
        <w:t xml:space="preserve">. </w:t>
      </w:r>
      <w:r w:rsidR="000E646A" w:rsidRPr="00AE396C">
        <w:rPr>
          <w:sz w:val="20"/>
          <w:szCs w:val="20"/>
          <w:lang w:val="en-GB"/>
        </w:rPr>
        <w:t xml:space="preserve">As a </w:t>
      </w:r>
      <w:r w:rsidR="000C3236">
        <w:rPr>
          <w:sz w:val="20"/>
          <w:szCs w:val="20"/>
          <w:lang w:val="en-GB"/>
        </w:rPr>
        <w:t>consequence</w:t>
      </w:r>
      <w:r w:rsidR="000E646A" w:rsidRPr="00AE396C">
        <w:rPr>
          <w:sz w:val="20"/>
          <w:szCs w:val="20"/>
          <w:lang w:val="en-GB"/>
        </w:rPr>
        <w:t>, the Regulation passes on to those seeking information the entire amount of the costs</w:t>
      </w:r>
      <w:r w:rsidR="005D5F4F">
        <w:rPr>
          <w:sz w:val="20"/>
          <w:szCs w:val="20"/>
          <w:lang w:val="en-GB"/>
        </w:rPr>
        <w:t>,</w:t>
      </w:r>
      <w:r w:rsidR="000E646A" w:rsidRPr="00AE396C">
        <w:rPr>
          <w:sz w:val="20"/>
          <w:szCs w:val="20"/>
          <w:lang w:val="en-GB"/>
        </w:rPr>
        <w:t xml:space="preserve"> </w:t>
      </w:r>
      <w:r w:rsidR="005D5F4F">
        <w:rPr>
          <w:sz w:val="20"/>
          <w:szCs w:val="20"/>
          <w:lang w:val="en-GB"/>
        </w:rPr>
        <w:t>resulting</w:t>
      </w:r>
      <w:r w:rsidR="000E646A" w:rsidRPr="00AE396C">
        <w:rPr>
          <w:sz w:val="20"/>
          <w:szCs w:val="20"/>
          <w:lang w:val="en-GB"/>
        </w:rPr>
        <w:t xml:space="preserve"> in unreasonable charges in a manner contrary to article 4(8) of the Convention. The communicant </w:t>
      </w:r>
      <w:r w:rsidR="00AB5440">
        <w:rPr>
          <w:sz w:val="20"/>
          <w:szCs w:val="20"/>
          <w:lang w:val="en-GB"/>
        </w:rPr>
        <w:t xml:space="preserve">further </w:t>
      </w:r>
      <w:r w:rsidR="000E646A" w:rsidRPr="00AE396C">
        <w:rPr>
          <w:sz w:val="20"/>
          <w:szCs w:val="20"/>
          <w:lang w:val="en-GB"/>
        </w:rPr>
        <w:t xml:space="preserve">submits that the Party concerned has failed to address this issue, </w:t>
      </w:r>
      <w:r w:rsidR="000C3236">
        <w:rPr>
          <w:sz w:val="20"/>
          <w:szCs w:val="20"/>
          <w:lang w:val="en-GB"/>
        </w:rPr>
        <w:t>for example</w:t>
      </w:r>
      <w:r w:rsidR="000E646A" w:rsidRPr="00AE396C">
        <w:rPr>
          <w:sz w:val="20"/>
          <w:szCs w:val="20"/>
          <w:lang w:val="en-GB"/>
        </w:rPr>
        <w:t xml:space="preserve"> by revising Regulation </w:t>
      </w:r>
      <w:r w:rsidR="004D7F24">
        <w:rPr>
          <w:sz w:val="20"/>
          <w:szCs w:val="20"/>
          <w:lang w:val="en-GB"/>
        </w:rPr>
        <w:t>N</w:t>
      </w:r>
      <w:r w:rsidR="000E646A" w:rsidRPr="00AE396C">
        <w:rPr>
          <w:sz w:val="20"/>
          <w:szCs w:val="20"/>
          <w:lang w:val="en-GB"/>
        </w:rPr>
        <w:t>o. 330 or adopting a new one</w:t>
      </w:r>
      <w:r w:rsidR="00BB28FA">
        <w:rPr>
          <w:sz w:val="20"/>
          <w:szCs w:val="20"/>
          <w:lang w:val="en-GB"/>
        </w:rPr>
        <w:t xml:space="preserve"> that is compliant with the Convention</w:t>
      </w:r>
      <w:r w:rsidR="000E646A" w:rsidRPr="00AE396C">
        <w:rPr>
          <w:sz w:val="20"/>
          <w:szCs w:val="20"/>
          <w:lang w:val="en-GB"/>
        </w:rPr>
        <w:t>.</w:t>
      </w:r>
      <w:r w:rsidR="000E646A" w:rsidRPr="00AE396C">
        <w:rPr>
          <w:rStyle w:val="FootnoteReference"/>
          <w:sz w:val="20"/>
          <w:szCs w:val="20"/>
          <w:lang w:val="en-GB"/>
        </w:rPr>
        <w:footnoteReference w:id="75"/>
      </w:r>
    </w:p>
    <w:p w14:paraId="328E9173" w14:textId="3C9AF360" w:rsidR="00581D52" w:rsidRPr="00AE396C" w:rsidRDefault="000E646A" w:rsidP="00581D52">
      <w:pPr>
        <w:pStyle w:val="SingleTxtG"/>
        <w:numPr>
          <w:ilvl w:val="0"/>
          <w:numId w:val="3"/>
        </w:numPr>
        <w:tabs>
          <w:tab w:val="right" w:pos="567"/>
          <w:tab w:val="num" w:pos="1276"/>
        </w:tabs>
        <w:ind w:left="1134" w:right="0" w:firstLine="0"/>
        <w:rPr>
          <w:rStyle w:val="st"/>
          <w:sz w:val="20"/>
          <w:szCs w:val="20"/>
          <w:vertAlign w:val="superscript"/>
          <w:lang w:val="en-GB"/>
        </w:rPr>
      </w:pPr>
      <w:r w:rsidRPr="00AE396C">
        <w:rPr>
          <w:rStyle w:val="st"/>
          <w:sz w:val="20"/>
          <w:szCs w:val="20"/>
          <w:lang w:val="en-GB"/>
        </w:rPr>
        <w:t>The communicant claims that the</w:t>
      </w:r>
      <w:r w:rsidR="00300132">
        <w:rPr>
          <w:rStyle w:val="st"/>
          <w:sz w:val="20"/>
          <w:szCs w:val="20"/>
          <w:lang w:val="en-GB"/>
        </w:rPr>
        <w:t xml:space="preserve"> failure of the</w:t>
      </w:r>
      <w:r w:rsidRPr="00AE396C">
        <w:rPr>
          <w:rStyle w:val="st"/>
          <w:sz w:val="20"/>
          <w:szCs w:val="20"/>
          <w:lang w:val="en-GB"/>
        </w:rPr>
        <w:t xml:space="preserve"> 2011-2015 National Action Plan </w:t>
      </w:r>
      <w:r w:rsidR="00300132">
        <w:rPr>
          <w:rStyle w:val="st"/>
          <w:sz w:val="20"/>
          <w:szCs w:val="20"/>
          <w:lang w:val="en-GB"/>
        </w:rPr>
        <w:t>to</w:t>
      </w:r>
      <w:r w:rsidRPr="00AE396C">
        <w:rPr>
          <w:rStyle w:val="st"/>
          <w:sz w:val="20"/>
          <w:szCs w:val="20"/>
          <w:lang w:val="en-GB"/>
        </w:rPr>
        <w:t xml:space="preserve"> include any provision on the revision of Regulation </w:t>
      </w:r>
      <w:r w:rsidR="004C7B40">
        <w:rPr>
          <w:rStyle w:val="st"/>
          <w:sz w:val="20"/>
          <w:szCs w:val="20"/>
          <w:lang w:val="en-GB"/>
        </w:rPr>
        <w:t>N</w:t>
      </w:r>
      <w:r w:rsidRPr="00AE396C">
        <w:rPr>
          <w:rStyle w:val="st"/>
          <w:sz w:val="20"/>
          <w:szCs w:val="20"/>
          <w:lang w:val="en-GB"/>
        </w:rPr>
        <w:t>o. 330 or any other specific measure to bring the issue of reasonable costs in line with article 4(8)</w:t>
      </w:r>
      <w:r w:rsidR="001E4AA8">
        <w:rPr>
          <w:rStyle w:val="st"/>
          <w:sz w:val="20"/>
          <w:szCs w:val="20"/>
          <w:lang w:val="en-GB"/>
        </w:rPr>
        <w:t xml:space="preserve"> </w:t>
      </w:r>
      <w:r w:rsidR="00300132">
        <w:rPr>
          <w:rStyle w:val="st"/>
          <w:sz w:val="20"/>
          <w:szCs w:val="20"/>
          <w:lang w:val="en-GB"/>
        </w:rPr>
        <w:t>maintained</w:t>
      </w:r>
      <w:r w:rsidRPr="00AE396C">
        <w:rPr>
          <w:rStyle w:val="st"/>
          <w:sz w:val="20"/>
          <w:szCs w:val="20"/>
          <w:lang w:val="en-GB"/>
        </w:rPr>
        <w:t xml:space="preserve"> non-compliance with </w:t>
      </w:r>
      <w:r w:rsidR="00EF0EF5">
        <w:rPr>
          <w:rStyle w:val="st"/>
          <w:sz w:val="20"/>
          <w:szCs w:val="20"/>
          <w:lang w:val="en-GB"/>
        </w:rPr>
        <w:t>the Convention</w:t>
      </w:r>
      <w:r w:rsidRPr="00AE396C">
        <w:rPr>
          <w:rStyle w:val="st"/>
          <w:sz w:val="20"/>
          <w:szCs w:val="20"/>
          <w:lang w:val="en-GB"/>
        </w:rPr>
        <w:t xml:space="preserve">, and led to a </w:t>
      </w:r>
      <w:r w:rsidR="00D64631" w:rsidRPr="00AE396C">
        <w:rPr>
          <w:rStyle w:val="st"/>
          <w:sz w:val="20"/>
          <w:szCs w:val="20"/>
          <w:lang w:val="en-GB"/>
        </w:rPr>
        <w:t xml:space="preserve">general </w:t>
      </w:r>
      <w:r w:rsidRPr="00AE396C">
        <w:rPr>
          <w:rStyle w:val="st"/>
          <w:sz w:val="20"/>
          <w:szCs w:val="20"/>
          <w:lang w:val="en-GB"/>
        </w:rPr>
        <w:t>failure to take the necessary legislative and regulatory measures to achieve compatibility between existing national provisions and the Convention, pursuant to article 3(1).</w:t>
      </w:r>
      <w:r w:rsidR="002C5B10" w:rsidRPr="00AE396C">
        <w:rPr>
          <w:rStyle w:val="FootnoteReference"/>
          <w:sz w:val="20"/>
          <w:szCs w:val="20"/>
          <w:lang w:val="en-GB"/>
        </w:rPr>
        <w:footnoteReference w:id="76"/>
      </w:r>
    </w:p>
    <w:p w14:paraId="66EAC545" w14:textId="1F777CBF" w:rsidR="00581D52" w:rsidRPr="00AE396C" w:rsidRDefault="00581D52" w:rsidP="00581D52">
      <w:pPr>
        <w:pStyle w:val="SingleTxtG"/>
        <w:numPr>
          <w:ilvl w:val="0"/>
          <w:numId w:val="3"/>
        </w:numPr>
        <w:tabs>
          <w:tab w:val="right" w:pos="567"/>
          <w:tab w:val="num" w:pos="1276"/>
        </w:tabs>
        <w:ind w:left="1134" w:right="0" w:firstLine="0"/>
        <w:rPr>
          <w:rStyle w:val="st"/>
          <w:sz w:val="20"/>
          <w:szCs w:val="20"/>
          <w:vertAlign w:val="superscript"/>
          <w:lang w:val="en-GB"/>
        </w:rPr>
      </w:pPr>
      <w:r w:rsidRPr="00AE396C">
        <w:rPr>
          <w:rStyle w:val="st"/>
          <w:sz w:val="20"/>
          <w:szCs w:val="20"/>
          <w:lang w:val="en-GB"/>
        </w:rPr>
        <w:t xml:space="preserve"> T</w:t>
      </w:r>
      <w:r w:rsidR="000E646A" w:rsidRPr="00AE396C">
        <w:rPr>
          <w:rStyle w:val="st"/>
          <w:sz w:val="20"/>
          <w:szCs w:val="20"/>
          <w:lang w:val="en-GB"/>
        </w:rPr>
        <w:t xml:space="preserve">he communicant alleges that the AEI Regulation does not specify the term “reasonable charges” or include any measures on when and how the information charges shall be applied. It adds that </w:t>
      </w:r>
      <w:r w:rsidR="002C5B10" w:rsidRPr="00AE396C">
        <w:rPr>
          <w:rStyle w:val="st"/>
          <w:sz w:val="20"/>
          <w:szCs w:val="20"/>
          <w:lang w:val="en-GB"/>
        </w:rPr>
        <w:t>article 44 of that Regulation cross-refers to the respective public authorities and their lists of charges</w:t>
      </w:r>
      <w:r w:rsidR="00D31431" w:rsidRPr="00AE396C">
        <w:rPr>
          <w:rStyle w:val="st"/>
          <w:sz w:val="20"/>
          <w:szCs w:val="20"/>
          <w:lang w:val="en-GB"/>
        </w:rPr>
        <w:t xml:space="preserve"> </w:t>
      </w:r>
      <w:r w:rsidR="002C5B10" w:rsidRPr="00AE396C">
        <w:rPr>
          <w:rStyle w:val="st"/>
          <w:sz w:val="20"/>
          <w:szCs w:val="20"/>
          <w:lang w:val="en-GB"/>
        </w:rPr>
        <w:t xml:space="preserve">which, in the case of hydrometeorological information, means the list of charges established by Regulation </w:t>
      </w:r>
      <w:r w:rsidR="00B4509A">
        <w:rPr>
          <w:rStyle w:val="st"/>
          <w:sz w:val="20"/>
          <w:szCs w:val="20"/>
          <w:lang w:val="en-GB"/>
        </w:rPr>
        <w:t>N</w:t>
      </w:r>
      <w:r w:rsidR="002C5B10" w:rsidRPr="00AE396C">
        <w:rPr>
          <w:rStyle w:val="st"/>
          <w:sz w:val="20"/>
          <w:szCs w:val="20"/>
          <w:lang w:val="en-GB"/>
        </w:rPr>
        <w:t>o. 330, which the communicant claims are unreasonable.</w:t>
      </w:r>
      <w:r w:rsidR="002C5B10" w:rsidRPr="00AE396C">
        <w:rPr>
          <w:rStyle w:val="FootnoteReference"/>
          <w:sz w:val="20"/>
          <w:szCs w:val="20"/>
          <w:lang w:val="en-GB"/>
        </w:rPr>
        <w:footnoteReference w:id="77"/>
      </w:r>
      <w:r w:rsidR="002C5B10" w:rsidRPr="00AE396C">
        <w:rPr>
          <w:rStyle w:val="st"/>
          <w:sz w:val="20"/>
          <w:szCs w:val="20"/>
          <w:lang w:val="en-GB"/>
        </w:rPr>
        <w:t xml:space="preserve"> The communicant submits that</w:t>
      </w:r>
      <w:r w:rsidR="000B1B03">
        <w:rPr>
          <w:rStyle w:val="st"/>
          <w:sz w:val="20"/>
          <w:szCs w:val="20"/>
          <w:lang w:val="en-GB"/>
        </w:rPr>
        <w:t>,</w:t>
      </w:r>
      <w:r w:rsidR="002C5B10" w:rsidRPr="00AE396C">
        <w:rPr>
          <w:rStyle w:val="st"/>
          <w:sz w:val="20"/>
          <w:szCs w:val="20"/>
          <w:lang w:val="en-GB"/>
        </w:rPr>
        <w:t xml:space="preserve"> as a result, the AEI Regulation </w:t>
      </w:r>
      <w:r w:rsidR="00A21792" w:rsidRPr="00AE396C">
        <w:rPr>
          <w:rStyle w:val="st"/>
          <w:sz w:val="20"/>
          <w:szCs w:val="20"/>
          <w:lang w:val="en-GB"/>
        </w:rPr>
        <w:t>fails to</w:t>
      </w:r>
      <w:r w:rsidR="00F37893">
        <w:rPr>
          <w:rStyle w:val="st"/>
          <w:sz w:val="20"/>
          <w:szCs w:val="20"/>
          <w:lang w:val="en-GB"/>
        </w:rPr>
        <w:t xml:space="preserve"> ensure that </w:t>
      </w:r>
      <w:r w:rsidR="00625F6A">
        <w:rPr>
          <w:rStyle w:val="st"/>
          <w:sz w:val="20"/>
          <w:szCs w:val="20"/>
          <w:lang w:val="en-GB"/>
        </w:rPr>
        <w:t>any list of charges elaborated by a public authority will indeed accord with the need to be “reasonable”</w:t>
      </w:r>
      <w:r w:rsidR="00A21792" w:rsidRPr="00AE396C">
        <w:rPr>
          <w:rStyle w:val="st"/>
          <w:sz w:val="20"/>
          <w:szCs w:val="20"/>
          <w:lang w:val="en-GB"/>
        </w:rPr>
        <w:t>, thereby violating the requirement in article 3(1) that there be “proper enforcement measures”.</w:t>
      </w:r>
      <w:r w:rsidR="00A21792" w:rsidRPr="00AE396C">
        <w:rPr>
          <w:rStyle w:val="FootnoteReference"/>
          <w:sz w:val="20"/>
          <w:szCs w:val="20"/>
          <w:lang w:val="en-GB"/>
        </w:rPr>
        <w:footnoteReference w:id="78"/>
      </w:r>
      <w:r w:rsidR="00A21792" w:rsidRPr="00AE396C">
        <w:rPr>
          <w:rStyle w:val="st"/>
          <w:sz w:val="20"/>
          <w:szCs w:val="20"/>
          <w:lang w:val="en-GB"/>
        </w:rPr>
        <w:t xml:space="preserve"> In this regard, the communicant cites the Implementation Guide as explaining that the Convention is “about taking concrete practical steps to achieve its goals” and requires that Parties take necessary legislative regulatory and other measures to establish a framework for the implementation of the Convention.</w:t>
      </w:r>
      <w:r w:rsidR="00911428" w:rsidRPr="00AE396C">
        <w:rPr>
          <w:rStyle w:val="FootnoteReference"/>
          <w:sz w:val="20"/>
          <w:szCs w:val="20"/>
          <w:lang w:val="en-GB"/>
        </w:rPr>
        <w:footnoteReference w:id="79"/>
      </w:r>
    </w:p>
    <w:p w14:paraId="1277F558" w14:textId="0FDD9ABB" w:rsidR="007004B7" w:rsidRPr="00AE396C" w:rsidRDefault="00581D52" w:rsidP="00581D52">
      <w:pPr>
        <w:pStyle w:val="SingleTxtG"/>
        <w:numPr>
          <w:ilvl w:val="0"/>
          <w:numId w:val="3"/>
        </w:numPr>
        <w:tabs>
          <w:tab w:val="right" w:pos="567"/>
          <w:tab w:val="num" w:pos="1276"/>
        </w:tabs>
        <w:ind w:left="1134" w:right="0" w:firstLine="0"/>
        <w:rPr>
          <w:sz w:val="20"/>
          <w:szCs w:val="20"/>
          <w:vertAlign w:val="superscript"/>
          <w:lang w:val="en-GB"/>
        </w:rPr>
      </w:pPr>
      <w:r w:rsidRPr="00AE396C">
        <w:rPr>
          <w:rStyle w:val="st"/>
          <w:sz w:val="20"/>
          <w:szCs w:val="20"/>
          <w:lang w:val="en-GB"/>
        </w:rPr>
        <w:t xml:space="preserve"> T</w:t>
      </w:r>
      <w:r w:rsidR="00F25E50" w:rsidRPr="00AE396C">
        <w:rPr>
          <w:rStyle w:val="st"/>
          <w:sz w:val="20"/>
          <w:szCs w:val="20"/>
          <w:lang w:val="en-GB"/>
        </w:rPr>
        <w:t xml:space="preserve">he communicant alleges further that the SHS did not take the necessary measures to achieve compatibility between the </w:t>
      </w:r>
      <w:r w:rsidR="00D31431" w:rsidRPr="00AE396C">
        <w:rPr>
          <w:rStyle w:val="st"/>
          <w:sz w:val="20"/>
          <w:szCs w:val="20"/>
          <w:lang w:val="en-GB"/>
        </w:rPr>
        <w:t xml:space="preserve">Convention and Regulation </w:t>
      </w:r>
      <w:r w:rsidR="00D90593">
        <w:rPr>
          <w:rStyle w:val="st"/>
          <w:sz w:val="20"/>
          <w:szCs w:val="20"/>
          <w:lang w:val="en-GB"/>
        </w:rPr>
        <w:t>N</w:t>
      </w:r>
      <w:r w:rsidR="00D31431" w:rsidRPr="00AE396C">
        <w:rPr>
          <w:rStyle w:val="st"/>
          <w:sz w:val="20"/>
          <w:szCs w:val="20"/>
          <w:lang w:val="en-GB"/>
        </w:rPr>
        <w:t>o. 330 on the issue of reasonable costs.</w:t>
      </w:r>
      <w:r w:rsidR="00E872CF" w:rsidRPr="00AE396C">
        <w:rPr>
          <w:rStyle w:val="FootnoteReference"/>
          <w:sz w:val="20"/>
          <w:szCs w:val="20"/>
          <w:lang w:val="en-GB"/>
        </w:rPr>
        <w:footnoteReference w:id="80"/>
      </w:r>
      <w:r w:rsidR="00D31431" w:rsidRPr="00AE396C">
        <w:rPr>
          <w:rStyle w:val="st"/>
          <w:sz w:val="20"/>
          <w:szCs w:val="20"/>
          <w:lang w:val="en-GB"/>
        </w:rPr>
        <w:t xml:space="preserve"> </w:t>
      </w:r>
      <w:r w:rsidR="00C757B3">
        <w:rPr>
          <w:rStyle w:val="st"/>
          <w:sz w:val="20"/>
          <w:szCs w:val="20"/>
          <w:lang w:val="en-GB"/>
        </w:rPr>
        <w:t xml:space="preserve">As well as </w:t>
      </w:r>
      <w:r w:rsidR="00D31431" w:rsidRPr="00AE396C">
        <w:rPr>
          <w:rStyle w:val="st"/>
          <w:sz w:val="20"/>
          <w:szCs w:val="20"/>
          <w:lang w:val="en-GB"/>
        </w:rPr>
        <w:t xml:space="preserve">the implementation of the adopted normative acts, </w:t>
      </w:r>
      <w:r w:rsidR="00D31431" w:rsidRPr="00AE396C">
        <w:rPr>
          <w:sz w:val="20"/>
          <w:szCs w:val="20"/>
          <w:lang w:val="en-GB"/>
        </w:rPr>
        <w:t xml:space="preserve">the communicant points out that the SHS is </w:t>
      </w:r>
      <w:r w:rsidR="00C757B3" w:rsidRPr="00AE396C">
        <w:rPr>
          <w:sz w:val="20"/>
          <w:szCs w:val="20"/>
          <w:lang w:val="en-GB"/>
        </w:rPr>
        <w:t xml:space="preserve">also </w:t>
      </w:r>
      <w:r w:rsidR="00D31431" w:rsidRPr="00AE396C">
        <w:rPr>
          <w:sz w:val="20"/>
          <w:szCs w:val="20"/>
          <w:lang w:val="en-GB"/>
        </w:rPr>
        <w:t xml:space="preserve">responsible for ensuring compliance with the obligations under the conventions and international agreements to which the Party concerned is a Party </w:t>
      </w:r>
      <w:r w:rsidR="00C757B3" w:rsidRPr="00AE396C">
        <w:rPr>
          <w:rStyle w:val="st"/>
          <w:sz w:val="20"/>
          <w:szCs w:val="20"/>
          <w:lang w:val="en-GB"/>
        </w:rPr>
        <w:t>according to t</w:t>
      </w:r>
      <w:r w:rsidR="00C757B3" w:rsidRPr="00AE396C">
        <w:rPr>
          <w:sz w:val="20"/>
          <w:szCs w:val="20"/>
          <w:lang w:val="en-GB"/>
        </w:rPr>
        <w:t xml:space="preserve">he 1998 Hydrometeorological Activity Law </w:t>
      </w:r>
      <w:r w:rsidR="00D31431" w:rsidRPr="00AE396C">
        <w:rPr>
          <w:sz w:val="20"/>
          <w:szCs w:val="20"/>
          <w:lang w:val="en-GB"/>
        </w:rPr>
        <w:t xml:space="preserve">(see paras. </w:t>
      </w:r>
      <w:r w:rsidR="00B97236">
        <w:rPr>
          <w:sz w:val="20"/>
          <w:szCs w:val="20"/>
          <w:lang w:val="en-GB"/>
        </w:rPr>
        <w:t>19-21</w:t>
      </w:r>
      <w:r w:rsidR="00C757B3">
        <w:rPr>
          <w:sz w:val="20"/>
          <w:szCs w:val="20"/>
          <w:lang w:val="en-GB"/>
        </w:rPr>
        <w:t xml:space="preserve"> </w:t>
      </w:r>
      <w:r w:rsidR="00D31431" w:rsidRPr="00AE396C">
        <w:rPr>
          <w:sz w:val="20"/>
          <w:szCs w:val="20"/>
          <w:lang w:val="en-GB"/>
        </w:rPr>
        <w:t>above).</w:t>
      </w:r>
      <w:r w:rsidR="00E872CF" w:rsidRPr="00AE396C">
        <w:rPr>
          <w:rStyle w:val="FootnoteReference"/>
          <w:sz w:val="20"/>
          <w:szCs w:val="20"/>
          <w:lang w:val="en-GB"/>
        </w:rPr>
        <w:footnoteReference w:id="81"/>
      </w:r>
      <w:r w:rsidR="00D31431" w:rsidRPr="00AE396C">
        <w:rPr>
          <w:sz w:val="20"/>
          <w:szCs w:val="20"/>
          <w:lang w:val="en-GB"/>
        </w:rPr>
        <w:t xml:space="preserve"> The communicant submits that this </w:t>
      </w:r>
      <w:r w:rsidR="00C757B3">
        <w:rPr>
          <w:sz w:val="20"/>
          <w:szCs w:val="20"/>
          <w:lang w:val="en-GB"/>
        </w:rPr>
        <w:t>means</w:t>
      </w:r>
      <w:r w:rsidR="00DD73DB" w:rsidRPr="00DD73DB">
        <w:rPr>
          <w:sz w:val="20"/>
          <w:szCs w:val="20"/>
          <w:lang w:val="en-GB"/>
        </w:rPr>
        <w:t xml:space="preserve"> </w:t>
      </w:r>
      <w:r w:rsidR="00DD73DB" w:rsidRPr="00AE396C">
        <w:rPr>
          <w:sz w:val="20"/>
          <w:szCs w:val="20"/>
          <w:lang w:val="en-GB"/>
        </w:rPr>
        <w:t xml:space="preserve">the SHS should have </w:t>
      </w:r>
      <w:r w:rsidR="00DD73DB">
        <w:rPr>
          <w:sz w:val="20"/>
          <w:szCs w:val="20"/>
          <w:lang w:val="en-GB"/>
        </w:rPr>
        <w:t>identified that the costs provided for</w:t>
      </w:r>
      <w:r w:rsidR="00E82363">
        <w:rPr>
          <w:sz w:val="20"/>
          <w:szCs w:val="20"/>
          <w:lang w:val="en-GB"/>
        </w:rPr>
        <w:t xml:space="preserve"> under Regulation No. 330</w:t>
      </w:r>
      <w:r w:rsidR="00DD73DB">
        <w:rPr>
          <w:sz w:val="20"/>
          <w:szCs w:val="20"/>
          <w:lang w:val="en-GB"/>
        </w:rPr>
        <w:t xml:space="preserve"> would be unreasonable and so </w:t>
      </w:r>
      <w:r w:rsidR="00DD73DB" w:rsidRPr="00AE396C">
        <w:rPr>
          <w:sz w:val="20"/>
          <w:szCs w:val="20"/>
          <w:lang w:val="en-GB"/>
        </w:rPr>
        <w:t xml:space="preserve">addressed the Ministry of the Environment with an initiative to revise Regulation </w:t>
      </w:r>
      <w:r w:rsidR="00DD73DB">
        <w:rPr>
          <w:sz w:val="20"/>
          <w:szCs w:val="20"/>
          <w:lang w:val="en-GB"/>
        </w:rPr>
        <w:t>N</w:t>
      </w:r>
      <w:r w:rsidR="00DD73DB" w:rsidRPr="00AE396C">
        <w:rPr>
          <w:sz w:val="20"/>
          <w:szCs w:val="20"/>
          <w:lang w:val="en-GB"/>
        </w:rPr>
        <w:t>o. 330 to ensure its compliance on the issue of reasonable costs.</w:t>
      </w:r>
      <w:r w:rsidR="00D31431" w:rsidRPr="00AE396C">
        <w:rPr>
          <w:sz w:val="20"/>
          <w:szCs w:val="20"/>
          <w:lang w:val="en-GB"/>
        </w:rPr>
        <w:t xml:space="preserve"> The communicant claims that, contrary to that, the SHS </w:t>
      </w:r>
      <w:r w:rsidR="000B1B03">
        <w:rPr>
          <w:sz w:val="20"/>
          <w:szCs w:val="20"/>
          <w:lang w:val="en-GB"/>
        </w:rPr>
        <w:t xml:space="preserve">has </w:t>
      </w:r>
      <w:r w:rsidR="00D31431" w:rsidRPr="00AE396C">
        <w:rPr>
          <w:sz w:val="20"/>
          <w:szCs w:val="20"/>
          <w:lang w:val="en-GB"/>
        </w:rPr>
        <w:t xml:space="preserve">remained inactive and </w:t>
      </w:r>
      <w:r w:rsidR="000B1B03">
        <w:rPr>
          <w:sz w:val="20"/>
          <w:szCs w:val="20"/>
          <w:lang w:val="en-GB"/>
        </w:rPr>
        <w:t>has</w:t>
      </w:r>
      <w:r w:rsidR="00D31431" w:rsidRPr="00AE396C">
        <w:rPr>
          <w:sz w:val="20"/>
          <w:szCs w:val="20"/>
          <w:lang w:val="en-GB"/>
        </w:rPr>
        <w:t xml:space="preserve"> not raise</w:t>
      </w:r>
      <w:r w:rsidR="000B1B03">
        <w:rPr>
          <w:sz w:val="20"/>
          <w:szCs w:val="20"/>
          <w:lang w:val="en-GB"/>
        </w:rPr>
        <w:t>d</w:t>
      </w:r>
      <w:r w:rsidR="00D31431" w:rsidRPr="00AE396C">
        <w:rPr>
          <w:sz w:val="20"/>
          <w:szCs w:val="20"/>
          <w:lang w:val="en-GB"/>
        </w:rPr>
        <w:t xml:space="preserve"> any concerns.</w:t>
      </w:r>
      <w:r w:rsidR="00E872CF" w:rsidRPr="00AE396C">
        <w:rPr>
          <w:rStyle w:val="FootnoteReference"/>
          <w:sz w:val="20"/>
          <w:szCs w:val="20"/>
          <w:lang w:val="en-GB"/>
        </w:rPr>
        <w:footnoteReference w:id="82"/>
      </w:r>
    </w:p>
    <w:p w14:paraId="3EBBE01D" w14:textId="650CC6D3" w:rsidR="00581D52" w:rsidRPr="005361F1" w:rsidRDefault="00581D52" w:rsidP="000B1B03">
      <w:pPr>
        <w:pStyle w:val="SingleTxtG"/>
        <w:numPr>
          <w:ilvl w:val="0"/>
          <w:numId w:val="3"/>
        </w:numPr>
        <w:tabs>
          <w:tab w:val="right" w:pos="567"/>
          <w:tab w:val="num" w:pos="1276"/>
        </w:tabs>
        <w:ind w:left="1134" w:right="0" w:firstLine="0"/>
        <w:rPr>
          <w:sz w:val="20"/>
          <w:szCs w:val="20"/>
          <w:vertAlign w:val="superscript"/>
          <w:lang w:val="en-GB"/>
        </w:rPr>
      </w:pPr>
      <w:bookmarkStart w:id="25" w:name="_Ref67065229"/>
      <w:r w:rsidRPr="00AE396C">
        <w:rPr>
          <w:sz w:val="20"/>
          <w:szCs w:val="20"/>
          <w:lang w:val="en-GB"/>
        </w:rPr>
        <w:t xml:space="preserve">The Party concerned submits that it intends to initiate </w:t>
      </w:r>
      <w:r w:rsidR="00A37D4D">
        <w:rPr>
          <w:sz w:val="20"/>
          <w:szCs w:val="20"/>
          <w:lang w:val="en-GB"/>
        </w:rPr>
        <w:t>a</w:t>
      </w:r>
      <w:r w:rsidR="00A37D4D" w:rsidRPr="00AE396C">
        <w:rPr>
          <w:sz w:val="20"/>
          <w:szCs w:val="20"/>
          <w:lang w:val="en-GB"/>
        </w:rPr>
        <w:t xml:space="preserve"> </w:t>
      </w:r>
      <w:r w:rsidRPr="00AE396C">
        <w:rPr>
          <w:sz w:val="20"/>
          <w:szCs w:val="20"/>
          <w:lang w:val="en-GB"/>
        </w:rPr>
        <w:t xml:space="preserve">revision of the legislation and regulations </w:t>
      </w:r>
      <w:r w:rsidR="000B1B03">
        <w:rPr>
          <w:sz w:val="20"/>
          <w:szCs w:val="20"/>
          <w:lang w:val="en-GB"/>
        </w:rPr>
        <w:t>regarding the “</w:t>
      </w:r>
      <w:r w:rsidRPr="00AE396C">
        <w:rPr>
          <w:sz w:val="20"/>
          <w:szCs w:val="20"/>
          <w:lang w:val="en-GB"/>
        </w:rPr>
        <w:t xml:space="preserve">terms and issues related to the primary information, reasonable costs for analytical information, etc. and integrate the process of their amendments and change into the plan of actions of the </w:t>
      </w:r>
      <w:r w:rsidR="000B1B03">
        <w:rPr>
          <w:sz w:val="20"/>
          <w:szCs w:val="20"/>
          <w:lang w:val="en-GB"/>
        </w:rPr>
        <w:t>M</w:t>
      </w:r>
      <w:r w:rsidRPr="00AE396C">
        <w:rPr>
          <w:sz w:val="20"/>
          <w:szCs w:val="20"/>
          <w:lang w:val="en-GB"/>
        </w:rPr>
        <w:t>inistry</w:t>
      </w:r>
      <w:r w:rsidR="00A37D4D">
        <w:rPr>
          <w:sz w:val="20"/>
          <w:szCs w:val="20"/>
          <w:lang w:val="en-GB"/>
        </w:rPr>
        <w:t>”</w:t>
      </w:r>
      <w:r w:rsidRPr="00AE396C">
        <w:rPr>
          <w:sz w:val="20"/>
          <w:szCs w:val="20"/>
          <w:lang w:val="en-GB"/>
        </w:rPr>
        <w:t>.</w:t>
      </w:r>
      <w:r w:rsidRPr="00AE396C">
        <w:rPr>
          <w:rStyle w:val="FootnoteReference"/>
          <w:sz w:val="20"/>
          <w:szCs w:val="20"/>
          <w:lang w:val="en-GB"/>
        </w:rPr>
        <w:footnoteReference w:id="83"/>
      </w:r>
      <w:bookmarkEnd w:id="25"/>
    </w:p>
    <w:p w14:paraId="3C8919A9" w14:textId="177FD115" w:rsidR="00C32C75" w:rsidRPr="00D1272A" w:rsidRDefault="00C32C75" w:rsidP="00C32C75">
      <w:pPr>
        <w:pStyle w:val="SingleTxtG"/>
        <w:numPr>
          <w:ilvl w:val="0"/>
          <w:numId w:val="3"/>
        </w:numPr>
        <w:tabs>
          <w:tab w:val="right" w:pos="567"/>
          <w:tab w:val="num" w:pos="1276"/>
        </w:tabs>
        <w:ind w:left="1134" w:right="0" w:firstLine="0"/>
        <w:rPr>
          <w:sz w:val="20"/>
          <w:szCs w:val="20"/>
          <w:lang w:val="en-GB"/>
        </w:rPr>
      </w:pPr>
      <w:r w:rsidRPr="00AE396C">
        <w:rPr>
          <w:sz w:val="20"/>
          <w:szCs w:val="20"/>
          <w:lang w:val="en-GB"/>
        </w:rPr>
        <w:t>The Party concerned also states that, as part of a reform of governmental and environmental institutions, the Environmental Agency, a sub-division of the Environmental Ministry, was established in July 2018.</w:t>
      </w:r>
      <w:r w:rsidRPr="00AE396C">
        <w:rPr>
          <w:rStyle w:val="FootnoteReference"/>
          <w:sz w:val="20"/>
          <w:szCs w:val="20"/>
          <w:lang w:val="en-GB"/>
        </w:rPr>
        <w:t xml:space="preserve"> </w:t>
      </w:r>
      <w:r w:rsidRPr="00AE396C">
        <w:rPr>
          <w:rStyle w:val="FootnoteReference"/>
          <w:sz w:val="20"/>
          <w:szCs w:val="20"/>
          <w:lang w:val="en-GB"/>
        </w:rPr>
        <w:footnoteReference w:id="84"/>
      </w:r>
      <w:r w:rsidRPr="00AE396C">
        <w:rPr>
          <w:sz w:val="20"/>
          <w:szCs w:val="20"/>
          <w:lang w:val="en-GB"/>
        </w:rPr>
        <w:t xml:space="preserve"> The Party concerned submits that this new agency has the main objective of the implementation of environmental policies, including in the field of environmental information.</w:t>
      </w:r>
      <w:r w:rsidRPr="00AE396C">
        <w:rPr>
          <w:rStyle w:val="FootnoteReference"/>
          <w:sz w:val="20"/>
          <w:szCs w:val="20"/>
          <w:lang w:val="en-GB"/>
        </w:rPr>
        <w:footnoteReference w:id="85"/>
      </w:r>
      <w:r w:rsidRPr="00AE396C">
        <w:rPr>
          <w:sz w:val="20"/>
          <w:szCs w:val="20"/>
          <w:lang w:val="en-GB"/>
        </w:rPr>
        <w:t xml:space="preserve"> </w:t>
      </w:r>
      <w:r w:rsidRPr="00AE396C">
        <w:rPr>
          <w:rStyle w:val="FootnoteReference"/>
          <w:sz w:val="20"/>
          <w:szCs w:val="20"/>
          <w:lang w:val="en-GB"/>
        </w:rPr>
        <w:t xml:space="preserve"> </w:t>
      </w:r>
      <w:r w:rsidRPr="00AE396C">
        <w:rPr>
          <w:sz w:val="20"/>
          <w:szCs w:val="20"/>
          <w:lang w:val="en-GB"/>
        </w:rPr>
        <w:t xml:space="preserve">The Party concerned claims that there is a </w:t>
      </w:r>
      <w:r w:rsidR="000B1B03">
        <w:rPr>
          <w:sz w:val="20"/>
          <w:szCs w:val="20"/>
          <w:lang w:val="en-GB"/>
        </w:rPr>
        <w:t>d</w:t>
      </w:r>
      <w:r w:rsidRPr="00AE396C">
        <w:rPr>
          <w:sz w:val="20"/>
          <w:szCs w:val="20"/>
          <w:lang w:val="en-GB"/>
        </w:rPr>
        <w:t xml:space="preserve">ivision of integrated environmental information and </w:t>
      </w:r>
      <w:r>
        <w:rPr>
          <w:sz w:val="20"/>
          <w:szCs w:val="20"/>
          <w:lang w:val="en-GB"/>
        </w:rPr>
        <w:t>that a</w:t>
      </w:r>
      <w:r w:rsidRPr="00AE396C">
        <w:rPr>
          <w:sz w:val="20"/>
          <w:szCs w:val="20"/>
          <w:lang w:val="en-GB"/>
        </w:rPr>
        <w:t xml:space="preserve"> National Environmental </w:t>
      </w:r>
      <w:r>
        <w:rPr>
          <w:sz w:val="20"/>
          <w:szCs w:val="20"/>
          <w:lang w:val="en-GB"/>
        </w:rPr>
        <w:t>R</w:t>
      </w:r>
      <w:r w:rsidRPr="00AE396C">
        <w:rPr>
          <w:sz w:val="20"/>
          <w:szCs w:val="20"/>
          <w:lang w:val="en-GB"/>
        </w:rPr>
        <w:t xml:space="preserve">eference Laboratory </w:t>
      </w:r>
      <w:r>
        <w:rPr>
          <w:sz w:val="20"/>
          <w:szCs w:val="20"/>
          <w:lang w:val="en-GB"/>
        </w:rPr>
        <w:t>has been</w:t>
      </w:r>
      <w:r w:rsidRPr="00AE396C">
        <w:rPr>
          <w:sz w:val="20"/>
          <w:szCs w:val="20"/>
          <w:lang w:val="en-GB"/>
        </w:rPr>
        <w:t xml:space="preserve"> established. The Party concerned submits this will mark a change and improvement in the system of management, collection and dissemination of the environmental information in the country.</w:t>
      </w:r>
      <w:r w:rsidRPr="00AE396C">
        <w:rPr>
          <w:rStyle w:val="FootnoteReference"/>
          <w:sz w:val="20"/>
          <w:szCs w:val="20"/>
          <w:lang w:val="en-GB"/>
        </w:rPr>
        <w:footnoteReference w:id="86"/>
      </w:r>
    </w:p>
    <w:p w14:paraId="4FBD29D9" w14:textId="089CD7E6" w:rsidR="006908CE" w:rsidRPr="00AE396C" w:rsidRDefault="000B1B03" w:rsidP="006908CE">
      <w:pPr>
        <w:pStyle w:val="SingleTxtG"/>
        <w:numPr>
          <w:ilvl w:val="0"/>
          <w:numId w:val="3"/>
        </w:numPr>
        <w:tabs>
          <w:tab w:val="right" w:pos="567"/>
          <w:tab w:val="num" w:pos="1276"/>
        </w:tabs>
        <w:ind w:left="1134" w:right="0" w:firstLine="0"/>
        <w:rPr>
          <w:rStyle w:val="FootnoteReference"/>
          <w:sz w:val="20"/>
          <w:szCs w:val="20"/>
          <w:lang w:val="en-GB"/>
        </w:rPr>
      </w:pPr>
      <w:r>
        <w:rPr>
          <w:sz w:val="20"/>
          <w:szCs w:val="20"/>
          <w:lang w:val="en-GB"/>
        </w:rPr>
        <w:t>The</w:t>
      </w:r>
      <w:r w:rsidR="00FE4C13">
        <w:rPr>
          <w:sz w:val="20"/>
          <w:szCs w:val="20"/>
          <w:lang w:val="en-GB"/>
        </w:rPr>
        <w:t xml:space="preserve"> </w:t>
      </w:r>
      <w:r w:rsidR="005361F1" w:rsidRPr="00B8265B">
        <w:rPr>
          <w:sz w:val="20"/>
          <w:szCs w:val="20"/>
          <w:lang w:val="en-GB"/>
        </w:rPr>
        <w:t xml:space="preserve">Party concerned </w:t>
      </w:r>
      <w:r w:rsidR="00FE4C13">
        <w:rPr>
          <w:sz w:val="20"/>
          <w:szCs w:val="20"/>
          <w:lang w:val="en-GB"/>
        </w:rPr>
        <w:t xml:space="preserve">reports </w:t>
      </w:r>
      <w:r w:rsidR="005361F1" w:rsidRPr="00B8265B">
        <w:rPr>
          <w:sz w:val="20"/>
          <w:szCs w:val="20"/>
          <w:lang w:val="en-GB"/>
        </w:rPr>
        <w:t>that</w:t>
      </w:r>
      <w:r w:rsidR="00FE4C13">
        <w:rPr>
          <w:sz w:val="20"/>
          <w:szCs w:val="20"/>
          <w:lang w:val="en-GB"/>
        </w:rPr>
        <w:t xml:space="preserve">, </w:t>
      </w:r>
      <w:r>
        <w:rPr>
          <w:sz w:val="20"/>
          <w:szCs w:val="20"/>
          <w:lang w:val="en-GB"/>
        </w:rPr>
        <w:t xml:space="preserve">as of July 2020, </w:t>
      </w:r>
      <w:r w:rsidR="00FE4C13">
        <w:rPr>
          <w:sz w:val="20"/>
          <w:szCs w:val="20"/>
          <w:lang w:val="en-GB"/>
        </w:rPr>
        <w:t xml:space="preserve">while </w:t>
      </w:r>
      <w:r w:rsidR="005361F1" w:rsidRPr="00B8265B">
        <w:rPr>
          <w:sz w:val="20"/>
          <w:szCs w:val="20"/>
          <w:lang w:val="en-GB"/>
        </w:rPr>
        <w:t xml:space="preserve"> the legal framework remained unchanged</w:t>
      </w:r>
      <w:r w:rsidR="006908CE">
        <w:rPr>
          <w:sz w:val="20"/>
          <w:szCs w:val="20"/>
          <w:lang w:val="en-GB"/>
        </w:rPr>
        <w:t>,</w:t>
      </w:r>
      <w:r w:rsidR="005361F1">
        <w:rPr>
          <w:rStyle w:val="FootnoteReference"/>
          <w:szCs w:val="20"/>
          <w:lang w:val="en-GB"/>
        </w:rPr>
        <w:footnoteReference w:id="87"/>
      </w:r>
      <w:r w:rsidR="005361F1" w:rsidRPr="00B8265B">
        <w:rPr>
          <w:sz w:val="20"/>
          <w:szCs w:val="20"/>
          <w:lang w:val="en-GB"/>
        </w:rPr>
        <w:t xml:space="preserve"> </w:t>
      </w:r>
      <w:r w:rsidR="006908CE">
        <w:rPr>
          <w:sz w:val="20"/>
          <w:szCs w:val="20"/>
          <w:lang w:val="en-GB"/>
        </w:rPr>
        <w:t xml:space="preserve">a new Action Plan on the implementation of the Convention is at the draft stage </w:t>
      </w:r>
      <w:r>
        <w:rPr>
          <w:sz w:val="20"/>
          <w:szCs w:val="20"/>
          <w:lang w:val="en-GB"/>
        </w:rPr>
        <w:t>and</w:t>
      </w:r>
      <w:r w:rsidR="006908CE">
        <w:rPr>
          <w:sz w:val="20"/>
          <w:szCs w:val="20"/>
          <w:lang w:val="en-GB"/>
        </w:rPr>
        <w:t xml:space="preserve"> other actions to avoid excessive costs for information </w:t>
      </w:r>
      <w:r>
        <w:rPr>
          <w:sz w:val="20"/>
          <w:szCs w:val="20"/>
          <w:lang w:val="en-GB"/>
        </w:rPr>
        <w:t xml:space="preserve">were </w:t>
      </w:r>
      <w:r w:rsidR="006908CE">
        <w:rPr>
          <w:sz w:val="20"/>
          <w:szCs w:val="20"/>
          <w:lang w:val="en-GB"/>
        </w:rPr>
        <w:t>due to be started.</w:t>
      </w:r>
      <w:r w:rsidR="006908CE">
        <w:rPr>
          <w:rStyle w:val="FootnoteReference"/>
          <w:szCs w:val="20"/>
          <w:lang w:val="en-GB"/>
        </w:rPr>
        <w:footnoteReference w:id="88"/>
      </w:r>
      <w:r w:rsidR="006908CE">
        <w:rPr>
          <w:sz w:val="20"/>
          <w:szCs w:val="20"/>
          <w:lang w:val="en-GB"/>
        </w:rPr>
        <w:t xml:space="preserve"> </w:t>
      </w:r>
    </w:p>
    <w:p w14:paraId="17EDD9E8" w14:textId="03258A16" w:rsidR="00D956EA" w:rsidRPr="00EE18D0" w:rsidRDefault="00FE4C13" w:rsidP="00F03AD7">
      <w:pPr>
        <w:pStyle w:val="SingleTxtG"/>
        <w:numPr>
          <w:ilvl w:val="0"/>
          <w:numId w:val="3"/>
        </w:numPr>
        <w:tabs>
          <w:tab w:val="right" w:pos="567"/>
          <w:tab w:val="num" w:pos="1276"/>
        </w:tabs>
        <w:ind w:left="1134" w:right="0" w:firstLine="0"/>
        <w:rPr>
          <w:sz w:val="20"/>
          <w:szCs w:val="20"/>
          <w:lang w:val="en-GB"/>
        </w:rPr>
      </w:pPr>
      <w:bookmarkStart w:id="26" w:name="_Ref67065231"/>
      <w:r>
        <w:rPr>
          <w:sz w:val="20"/>
          <w:szCs w:val="20"/>
          <w:lang w:val="en-GB"/>
        </w:rPr>
        <w:t>T</w:t>
      </w:r>
      <w:r w:rsidR="00F06008" w:rsidRPr="00EE18D0">
        <w:rPr>
          <w:sz w:val="20"/>
          <w:szCs w:val="20"/>
          <w:lang w:val="en-GB"/>
        </w:rPr>
        <w:t xml:space="preserve">he Party concerned </w:t>
      </w:r>
      <w:r w:rsidR="005E47A7">
        <w:rPr>
          <w:sz w:val="20"/>
          <w:szCs w:val="20"/>
          <w:lang w:val="en-GB"/>
        </w:rPr>
        <w:t xml:space="preserve">further </w:t>
      </w:r>
      <w:r w:rsidR="00F06008" w:rsidRPr="00EE18D0">
        <w:rPr>
          <w:sz w:val="20"/>
          <w:szCs w:val="20"/>
          <w:lang w:val="en-GB"/>
        </w:rPr>
        <w:t xml:space="preserve">states that </w:t>
      </w:r>
      <w:r w:rsidR="00941231" w:rsidRPr="00EE18D0">
        <w:rPr>
          <w:sz w:val="20"/>
          <w:szCs w:val="20"/>
          <w:lang w:val="en-GB"/>
        </w:rPr>
        <w:t>the SHS ha</w:t>
      </w:r>
      <w:r>
        <w:rPr>
          <w:sz w:val="20"/>
          <w:szCs w:val="20"/>
          <w:lang w:val="en-GB"/>
        </w:rPr>
        <w:t>s</w:t>
      </w:r>
      <w:r w:rsidR="00941231" w:rsidRPr="00EE18D0">
        <w:rPr>
          <w:sz w:val="20"/>
          <w:szCs w:val="20"/>
          <w:lang w:val="en-GB"/>
        </w:rPr>
        <w:t xml:space="preserve"> made request</w:t>
      </w:r>
      <w:r w:rsidR="00ED629E" w:rsidRPr="00EE18D0">
        <w:rPr>
          <w:sz w:val="20"/>
          <w:szCs w:val="20"/>
          <w:lang w:val="en-GB"/>
        </w:rPr>
        <w:t>s</w:t>
      </w:r>
      <w:r w:rsidR="00ED73DE" w:rsidRPr="00EE18D0">
        <w:rPr>
          <w:sz w:val="20"/>
          <w:szCs w:val="20"/>
          <w:lang w:val="en-GB"/>
        </w:rPr>
        <w:t xml:space="preserve"> for t</w:t>
      </w:r>
      <w:r w:rsidR="00EE18D0" w:rsidRPr="00EE18D0">
        <w:rPr>
          <w:sz w:val="20"/>
          <w:szCs w:val="20"/>
          <w:lang w:val="en-GB"/>
        </w:rPr>
        <w:t>he amending of Regulation No. 330</w:t>
      </w:r>
      <w:r w:rsidR="00941231" w:rsidRPr="00EE18D0">
        <w:rPr>
          <w:sz w:val="20"/>
          <w:szCs w:val="20"/>
          <w:lang w:val="en-GB"/>
        </w:rPr>
        <w:t xml:space="preserve"> </w:t>
      </w:r>
      <w:r w:rsidR="00ED629E" w:rsidRPr="00EE18D0">
        <w:rPr>
          <w:sz w:val="20"/>
          <w:szCs w:val="20"/>
          <w:lang w:val="en-GB"/>
        </w:rPr>
        <w:t xml:space="preserve">to the Ministry of Economy and Infrastructure (no. 02/620 of 17 June 2020) and to </w:t>
      </w:r>
      <w:r w:rsidR="00ED73DE" w:rsidRPr="00EE18D0">
        <w:rPr>
          <w:sz w:val="20"/>
          <w:szCs w:val="20"/>
          <w:lang w:val="en-GB"/>
        </w:rPr>
        <w:t>the Ministry of Finance (no. 02/619 of 17 June 2020).</w:t>
      </w:r>
      <w:r w:rsidR="00EE18D0">
        <w:rPr>
          <w:rStyle w:val="FootnoteReference"/>
          <w:szCs w:val="20"/>
          <w:lang w:val="en-GB"/>
        </w:rPr>
        <w:footnoteReference w:id="89"/>
      </w:r>
      <w:bookmarkEnd w:id="26"/>
      <w:r w:rsidR="00ED73DE" w:rsidRPr="00EE18D0">
        <w:rPr>
          <w:sz w:val="20"/>
          <w:szCs w:val="20"/>
          <w:lang w:val="en-GB"/>
        </w:rPr>
        <w:t xml:space="preserve"> </w:t>
      </w:r>
    </w:p>
    <w:p w14:paraId="24A40DF8" w14:textId="437F4BBB" w:rsidR="007004B7" w:rsidRPr="00AE396C" w:rsidRDefault="007004B7" w:rsidP="007004B7">
      <w:pPr>
        <w:pStyle w:val="HChG"/>
        <w:numPr>
          <w:ilvl w:val="0"/>
          <w:numId w:val="6"/>
        </w:numPr>
        <w:tabs>
          <w:tab w:val="clear" w:pos="851"/>
          <w:tab w:val="right" w:pos="567"/>
        </w:tabs>
        <w:ind w:left="1134" w:right="0"/>
        <w:rPr>
          <w:rStyle w:val="st"/>
          <w:sz w:val="24"/>
        </w:rPr>
      </w:pPr>
      <w:r w:rsidRPr="00AE396C">
        <w:rPr>
          <w:sz w:val="24"/>
        </w:rPr>
        <w:t>Consideration and evaluation by the Committee</w:t>
      </w:r>
    </w:p>
    <w:p w14:paraId="3D69E9A5" w14:textId="34D4DCF4" w:rsidR="007004B7" w:rsidRPr="00797031" w:rsidRDefault="007004B7" w:rsidP="007004B7">
      <w:pPr>
        <w:pStyle w:val="SingleTxtG"/>
        <w:numPr>
          <w:ilvl w:val="0"/>
          <w:numId w:val="3"/>
        </w:numPr>
        <w:tabs>
          <w:tab w:val="right" w:pos="567"/>
          <w:tab w:val="num" w:pos="1276"/>
        </w:tabs>
        <w:ind w:left="1134" w:right="0" w:firstLine="0"/>
        <w:rPr>
          <w:sz w:val="20"/>
          <w:szCs w:val="20"/>
        </w:rPr>
      </w:pPr>
      <w:r w:rsidRPr="00AE396C">
        <w:rPr>
          <w:rStyle w:val="st"/>
          <w:sz w:val="20"/>
          <w:szCs w:val="20"/>
          <w:lang w:val="en-GB"/>
        </w:rPr>
        <w:t>The Republic of Moldova deposited its instrument of ratification of the Convention on 9 August 1999.</w:t>
      </w:r>
      <w:r w:rsidR="00117628" w:rsidRPr="00AE396C">
        <w:rPr>
          <w:rStyle w:val="st"/>
          <w:sz w:val="20"/>
          <w:szCs w:val="20"/>
          <w:lang w:val="en-GB"/>
        </w:rPr>
        <w:t xml:space="preserve"> </w:t>
      </w:r>
      <w:r w:rsidRPr="00AE396C">
        <w:rPr>
          <w:rStyle w:val="st"/>
          <w:sz w:val="20"/>
          <w:szCs w:val="20"/>
          <w:lang w:val="en-GB"/>
        </w:rPr>
        <w:t>The Convention entered into force for the Republic of Moldova on 30 October 2001</w:t>
      </w:r>
      <w:r w:rsidR="0031536C" w:rsidRPr="00AE396C">
        <w:rPr>
          <w:rStyle w:val="st"/>
          <w:sz w:val="20"/>
          <w:szCs w:val="20"/>
          <w:lang w:val="en-GB"/>
        </w:rPr>
        <w:t>.</w:t>
      </w:r>
      <w:r w:rsidR="006C7522" w:rsidRPr="00AE396C">
        <w:rPr>
          <w:sz w:val="20"/>
          <w:szCs w:val="20"/>
          <w:lang w:val="en-GB"/>
        </w:rPr>
        <w:t xml:space="preserve"> </w:t>
      </w:r>
    </w:p>
    <w:p w14:paraId="652D5847" w14:textId="2FDF843C" w:rsidR="00797031" w:rsidRPr="00797031" w:rsidRDefault="00797031" w:rsidP="009A7103">
      <w:pPr>
        <w:pStyle w:val="SingleTxtG"/>
        <w:tabs>
          <w:tab w:val="right" w:pos="567"/>
        </w:tabs>
        <w:ind w:right="0"/>
        <w:rPr>
          <w:b/>
          <w:bCs/>
          <w:sz w:val="20"/>
          <w:szCs w:val="20"/>
        </w:rPr>
      </w:pPr>
      <w:r>
        <w:rPr>
          <w:b/>
          <w:bCs/>
          <w:sz w:val="20"/>
          <w:szCs w:val="20"/>
          <w:lang w:val="en-GB"/>
        </w:rPr>
        <w:t>Admissibility</w:t>
      </w:r>
    </w:p>
    <w:p w14:paraId="6865899D" w14:textId="0DC41910" w:rsidR="009A7103" w:rsidRPr="009A7103" w:rsidRDefault="009A7103" w:rsidP="00FB18B2">
      <w:pPr>
        <w:pStyle w:val="SingleTxtG"/>
        <w:numPr>
          <w:ilvl w:val="0"/>
          <w:numId w:val="3"/>
        </w:numPr>
        <w:tabs>
          <w:tab w:val="right" w:pos="567"/>
          <w:tab w:val="num" w:pos="1276"/>
        </w:tabs>
        <w:ind w:left="1134" w:right="0" w:firstLine="0"/>
        <w:rPr>
          <w:sz w:val="20"/>
          <w:szCs w:val="20"/>
        </w:rPr>
      </w:pPr>
      <w:r w:rsidRPr="009A7103">
        <w:rPr>
          <w:sz w:val="20"/>
          <w:szCs w:val="20"/>
          <w:lang w:val="en-GB"/>
        </w:rPr>
        <w:t xml:space="preserve">While the factual background to the communication </w:t>
      </w:r>
      <w:r>
        <w:rPr>
          <w:sz w:val="20"/>
          <w:szCs w:val="20"/>
          <w:lang w:val="en-GB"/>
        </w:rPr>
        <w:t>stems from</w:t>
      </w:r>
      <w:r w:rsidRPr="009A7103">
        <w:rPr>
          <w:sz w:val="20"/>
          <w:szCs w:val="20"/>
          <w:lang w:val="en-GB"/>
        </w:rPr>
        <w:t xml:space="preserve"> the communicant’s </w:t>
      </w:r>
      <w:r>
        <w:rPr>
          <w:sz w:val="20"/>
          <w:szCs w:val="20"/>
          <w:lang w:val="en-GB"/>
        </w:rPr>
        <w:t>June</w:t>
      </w:r>
      <w:r w:rsidRPr="009A7103">
        <w:rPr>
          <w:sz w:val="20"/>
          <w:szCs w:val="20"/>
          <w:lang w:val="en-GB"/>
        </w:rPr>
        <w:t xml:space="preserve"> 2016 request to SHS for hydrometeorological information</w:t>
      </w:r>
      <w:r w:rsidR="008E4809" w:rsidRPr="009A7103">
        <w:rPr>
          <w:sz w:val="20"/>
          <w:szCs w:val="20"/>
          <w:lang w:val="en-GB"/>
        </w:rPr>
        <w:t>, the communicant</w:t>
      </w:r>
      <w:r w:rsidRPr="009A7103">
        <w:rPr>
          <w:sz w:val="20"/>
          <w:szCs w:val="20"/>
          <w:lang w:val="en-GB"/>
        </w:rPr>
        <w:t>’s allegations more broadly concern the schedule of charges for hydromete</w:t>
      </w:r>
      <w:r>
        <w:rPr>
          <w:sz w:val="20"/>
          <w:szCs w:val="20"/>
          <w:lang w:val="en-GB"/>
        </w:rPr>
        <w:t>o</w:t>
      </w:r>
      <w:r w:rsidRPr="009A7103">
        <w:rPr>
          <w:sz w:val="20"/>
          <w:szCs w:val="20"/>
          <w:lang w:val="en-GB"/>
        </w:rPr>
        <w:t xml:space="preserve">rological information set out in Regulation </w:t>
      </w:r>
      <w:r w:rsidR="00DC1B70">
        <w:rPr>
          <w:sz w:val="20"/>
          <w:szCs w:val="20"/>
          <w:lang w:val="en-GB"/>
        </w:rPr>
        <w:t>N</w:t>
      </w:r>
      <w:r w:rsidRPr="009A7103">
        <w:rPr>
          <w:sz w:val="20"/>
          <w:szCs w:val="20"/>
          <w:lang w:val="en-GB"/>
        </w:rPr>
        <w:t>o. 330. The communicant submits that</w:t>
      </w:r>
      <w:r>
        <w:rPr>
          <w:sz w:val="20"/>
          <w:szCs w:val="20"/>
          <w:lang w:val="en-GB"/>
        </w:rPr>
        <w:t>, under</w:t>
      </w:r>
      <w:r w:rsidRPr="009A7103">
        <w:rPr>
          <w:sz w:val="20"/>
          <w:szCs w:val="20"/>
          <w:lang w:val="en-GB"/>
        </w:rPr>
        <w:t xml:space="preserve"> </w:t>
      </w:r>
      <w:r w:rsidR="00C66D98" w:rsidRPr="009A7103">
        <w:rPr>
          <w:sz w:val="20"/>
          <w:szCs w:val="20"/>
          <w:lang w:val="en-GB"/>
        </w:rPr>
        <w:t>the Law on Administrative Court</w:t>
      </w:r>
      <w:r w:rsidR="00915956">
        <w:rPr>
          <w:sz w:val="20"/>
          <w:szCs w:val="20"/>
          <w:lang w:val="en-GB"/>
        </w:rPr>
        <w:t>s</w:t>
      </w:r>
      <w:r>
        <w:rPr>
          <w:sz w:val="20"/>
          <w:szCs w:val="20"/>
          <w:lang w:val="en-GB"/>
        </w:rPr>
        <w:t xml:space="preserve">, there is no possibility to challenge </w:t>
      </w:r>
      <w:r w:rsidR="00915956">
        <w:rPr>
          <w:sz w:val="20"/>
          <w:szCs w:val="20"/>
          <w:lang w:val="en-GB"/>
        </w:rPr>
        <w:t>the Regulation</w:t>
      </w:r>
      <w:r>
        <w:rPr>
          <w:sz w:val="20"/>
          <w:szCs w:val="20"/>
          <w:lang w:val="en-GB"/>
        </w:rPr>
        <w:t xml:space="preserve"> in the courts</w:t>
      </w:r>
      <w:r w:rsidR="001D22E1" w:rsidRPr="009A7103">
        <w:rPr>
          <w:sz w:val="20"/>
          <w:szCs w:val="20"/>
          <w:lang w:val="en-GB"/>
        </w:rPr>
        <w:t>.</w:t>
      </w:r>
      <w:r w:rsidR="003734F4" w:rsidRPr="009A7103">
        <w:rPr>
          <w:sz w:val="20"/>
          <w:szCs w:val="20"/>
          <w:lang w:val="en-GB"/>
        </w:rPr>
        <w:t xml:space="preserve"> </w:t>
      </w:r>
    </w:p>
    <w:p w14:paraId="2ED0135C" w14:textId="28C4058E" w:rsidR="008E4809" w:rsidRPr="003734F4" w:rsidRDefault="003734F4" w:rsidP="009A7103">
      <w:pPr>
        <w:pStyle w:val="SingleTxtG"/>
        <w:numPr>
          <w:ilvl w:val="0"/>
          <w:numId w:val="3"/>
        </w:numPr>
        <w:tabs>
          <w:tab w:val="right" w:pos="567"/>
          <w:tab w:val="num" w:pos="1276"/>
        </w:tabs>
        <w:ind w:left="1134" w:right="0" w:firstLine="0"/>
        <w:rPr>
          <w:sz w:val="20"/>
          <w:szCs w:val="20"/>
        </w:rPr>
      </w:pPr>
      <w:r>
        <w:rPr>
          <w:sz w:val="20"/>
          <w:szCs w:val="20"/>
          <w:lang w:val="en-GB"/>
        </w:rPr>
        <w:t xml:space="preserve">The Party concerned </w:t>
      </w:r>
      <w:r w:rsidR="009A7103">
        <w:rPr>
          <w:sz w:val="20"/>
          <w:szCs w:val="20"/>
          <w:lang w:val="en-GB"/>
        </w:rPr>
        <w:t>does not dispute</w:t>
      </w:r>
      <w:r>
        <w:rPr>
          <w:sz w:val="20"/>
          <w:szCs w:val="20"/>
          <w:lang w:val="en-GB"/>
        </w:rPr>
        <w:t xml:space="preserve"> the admissibility of the communication.</w:t>
      </w:r>
    </w:p>
    <w:p w14:paraId="46AC8A73" w14:textId="7D19B4EF" w:rsidR="003734F4" w:rsidRPr="006814D1" w:rsidRDefault="003734F4" w:rsidP="00797031">
      <w:pPr>
        <w:pStyle w:val="SingleTxtG"/>
        <w:numPr>
          <w:ilvl w:val="0"/>
          <w:numId w:val="3"/>
        </w:numPr>
        <w:tabs>
          <w:tab w:val="right" w:pos="567"/>
          <w:tab w:val="num" w:pos="1276"/>
        </w:tabs>
        <w:ind w:left="1134" w:right="0" w:firstLine="0"/>
        <w:rPr>
          <w:sz w:val="20"/>
          <w:szCs w:val="20"/>
        </w:rPr>
      </w:pPr>
      <w:r>
        <w:rPr>
          <w:sz w:val="20"/>
          <w:szCs w:val="20"/>
          <w:lang w:val="en-GB"/>
        </w:rPr>
        <w:t>Based on the foregoing, the Committee finds the communication to be admissible.</w:t>
      </w:r>
    </w:p>
    <w:p w14:paraId="194E7A80" w14:textId="389FF205" w:rsidR="000F394A" w:rsidRPr="00AE396C" w:rsidRDefault="00CA0D67" w:rsidP="005C00F9">
      <w:pPr>
        <w:pStyle w:val="SingleTxtG"/>
        <w:tabs>
          <w:tab w:val="right" w:pos="567"/>
        </w:tabs>
        <w:rPr>
          <w:b/>
          <w:sz w:val="20"/>
          <w:szCs w:val="20"/>
          <w:lang w:val="en-US"/>
        </w:rPr>
      </w:pPr>
      <w:r w:rsidRPr="00AE396C">
        <w:rPr>
          <w:rStyle w:val="st"/>
          <w:b/>
          <w:sz w:val="20"/>
          <w:szCs w:val="20"/>
          <w:lang w:val="en-GB"/>
        </w:rPr>
        <w:t>Assistance in accessing the environmental informatio</w:t>
      </w:r>
      <w:r w:rsidR="005C00F9">
        <w:rPr>
          <w:rStyle w:val="st"/>
          <w:b/>
          <w:sz w:val="20"/>
          <w:szCs w:val="20"/>
          <w:lang w:val="en-GB"/>
        </w:rPr>
        <w:t xml:space="preserve">n – article </w:t>
      </w:r>
      <w:r w:rsidR="000F394A" w:rsidRPr="00AE396C">
        <w:rPr>
          <w:b/>
          <w:sz w:val="20"/>
          <w:szCs w:val="20"/>
        </w:rPr>
        <w:t>3(2) in conjunction with article 5(2)(b)(ii)</w:t>
      </w:r>
    </w:p>
    <w:p w14:paraId="58C3C0A6" w14:textId="0DFDBF51" w:rsidR="000F394A" w:rsidRPr="00AE396C" w:rsidRDefault="000F394A" w:rsidP="000F394A">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 xml:space="preserve">The communicant submits that, by responding to </w:t>
      </w:r>
      <w:r w:rsidR="00915956">
        <w:rPr>
          <w:rStyle w:val="st"/>
          <w:sz w:val="20"/>
          <w:szCs w:val="20"/>
          <w:lang w:val="en-GB"/>
        </w:rPr>
        <w:t>its</w:t>
      </w:r>
      <w:r w:rsidRPr="00AE396C">
        <w:rPr>
          <w:rStyle w:val="st"/>
          <w:sz w:val="20"/>
          <w:szCs w:val="20"/>
          <w:lang w:val="en-GB"/>
        </w:rPr>
        <w:t xml:space="preserve"> 25 June 2016 </w:t>
      </w:r>
      <w:r w:rsidR="00A04EF3">
        <w:rPr>
          <w:rStyle w:val="st"/>
          <w:sz w:val="20"/>
          <w:szCs w:val="20"/>
          <w:lang w:val="en-GB"/>
        </w:rPr>
        <w:t>request for information</w:t>
      </w:r>
      <w:r w:rsidRPr="00AE396C">
        <w:rPr>
          <w:rStyle w:val="st"/>
          <w:sz w:val="20"/>
          <w:szCs w:val="20"/>
          <w:lang w:val="en-GB"/>
        </w:rPr>
        <w:t xml:space="preserve"> with the suggestion that </w:t>
      </w:r>
      <w:r w:rsidR="00915956">
        <w:rPr>
          <w:rStyle w:val="st"/>
          <w:sz w:val="20"/>
          <w:szCs w:val="20"/>
          <w:lang w:val="en-GB"/>
        </w:rPr>
        <w:t>it</w:t>
      </w:r>
      <w:r w:rsidRPr="00AE396C">
        <w:rPr>
          <w:rStyle w:val="st"/>
          <w:sz w:val="20"/>
          <w:szCs w:val="20"/>
          <w:lang w:val="en-GB"/>
        </w:rPr>
        <w:t xml:space="preserve"> collect the information in the SHS office with no assistance from SHS staff, the SHS failed to comply with article 3(2) in conjunction with article 5(2)(b)(ii)</w:t>
      </w:r>
      <w:r w:rsidR="009A7103">
        <w:rPr>
          <w:rStyle w:val="st"/>
          <w:sz w:val="20"/>
          <w:szCs w:val="20"/>
          <w:lang w:val="en-GB"/>
        </w:rPr>
        <w:t xml:space="preserve"> of the Convention</w:t>
      </w:r>
      <w:r w:rsidRPr="00AE396C">
        <w:rPr>
          <w:rStyle w:val="st"/>
          <w:sz w:val="20"/>
          <w:szCs w:val="20"/>
          <w:lang w:val="en-GB"/>
        </w:rPr>
        <w:t xml:space="preserve">. The communicant submits that these provisions require </w:t>
      </w:r>
      <w:r w:rsidR="009A7103">
        <w:rPr>
          <w:rStyle w:val="st"/>
          <w:sz w:val="20"/>
          <w:szCs w:val="20"/>
          <w:lang w:val="en-GB"/>
        </w:rPr>
        <w:t xml:space="preserve">the responsible </w:t>
      </w:r>
      <w:r w:rsidRPr="00AE396C">
        <w:rPr>
          <w:rStyle w:val="st"/>
          <w:sz w:val="20"/>
          <w:szCs w:val="20"/>
          <w:lang w:val="en-GB"/>
        </w:rPr>
        <w:t xml:space="preserve">officials to offer help to those who seek information and to ensure the provision of guidance and assistance in person. </w:t>
      </w:r>
    </w:p>
    <w:p w14:paraId="537A8F9E" w14:textId="700AD42C" w:rsidR="0022184D" w:rsidRPr="00AE396C" w:rsidRDefault="00BC70A1" w:rsidP="00FB18B2">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The Committee notes that</w:t>
      </w:r>
      <w:r w:rsidR="00F01266" w:rsidRPr="00AE396C">
        <w:rPr>
          <w:rStyle w:val="st"/>
          <w:sz w:val="20"/>
          <w:szCs w:val="20"/>
          <w:lang w:val="en-GB"/>
        </w:rPr>
        <w:t xml:space="preserve"> </w:t>
      </w:r>
      <w:r w:rsidR="006C7C2E">
        <w:rPr>
          <w:rStyle w:val="st"/>
          <w:sz w:val="20"/>
          <w:szCs w:val="20"/>
          <w:lang w:val="en-GB"/>
        </w:rPr>
        <w:t xml:space="preserve">a </w:t>
      </w:r>
      <w:r w:rsidRPr="00AE396C">
        <w:rPr>
          <w:rStyle w:val="st"/>
          <w:sz w:val="20"/>
          <w:szCs w:val="20"/>
          <w:lang w:val="en-GB"/>
        </w:rPr>
        <w:t>representative</w:t>
      </w:r>
      <w:r w:rsidR="00F01266" w:rsidRPr="00AE396C">
        <w:rPr>
          <w:rStyle w:val="st"/>
          <w:sz w:val="20"/>
          <w:szCs w:val="20"/>
          <w:lang w:val="en-GB"/>
        </w:rPr>
        <w:t xml:space="preserve"> of the </w:t>
      </w:r>
      <w:r w:rsidR="006C7C2E">
        <w:rPr>
          <w:rStyle w:val="st"/>
          <w:sz w:val="20"/>
          <w:szCs w:val="20"/>
          <w:lang w:val="en-GB"/>
        </w:rPr>
        <w:t>c</w:t>
      </w:r>
      <w:r w:rsidR="00F01266" w:rsidRPr="00AE396C">
        <w:rPr>
          <w:rStyle w:val="st"/>
          <w:sz w:val="20"/>
          <w:szCs w:val="20"/>
          <w:lang w:val="en-GB"/>
        </w:rPr>
        <w:t>ommunicant</w:t>
      </w:r>
      <w:r w:rsidRPr="00AE396C">
        <w:rPr>
          <w:rStyle w:val="st"/>
          <w:sz w:val="20"/>
          <w:szCs w:val="20"/>
          <w:lang w:val="en-GB"/>
        </w:rPr>
        <w:t xml:space="preserve"> was invited to the</w:t>
      </w:r>
      <w:r w:rsidR="006C7C2E">
        <w:rPr>
          <w:rStyle w:val="st"/>
          <w:sz w:val="20"/>
          <w:szCs w:val="20"/>
          <w:lang w:val="en-GB"/>
        </w:rPr>
        <w:t xml:space="preserve"> SHS</w:t>
      </w:r>
      <w:r w:rsidRPr="00AE396C">
        <w:rPr>
          <w:rStyle w:val="st"/>
          <w:sz w:val="20"/>
          <w:szCs w:val="20"/>
          <w:lang w:val="en-GB"/>
        </w:rPr>
        <w:t xml:space="preserve"> office</w:t>
      </w:r>
      <w:r w:rsidR="001359CF">
        <w:rPr>
          <w:rStyle w:val="st"/>
          <w:sz w:val="20"/>
          <w:szCs w:val="20"/>
          <w:lang w:val="en-GB"/>
        </w:rPr>
        <w:t xml:space="preserve">s </w:t>
      </w:r>
      <w:r w:rsidR="00887F36">
        <w:rPr>
          <w:rStyle w:val="st"/>
          <w:sz w:val="20"/>
          <w:szCs w:val="20"/>
          <w:lang w:val="en-GB"/>
        </w:rPr>
        <w:t>to access the primary data</w:t>
      </w:r>
      <w:r w:rsidRPr="00AE396C">
        <w:rPr>
          <w:rStyle w:val="st"/>
          <w:sz w:val="20"/>
          <w:szCs w:val="20"/>
          <w:lang w:val="en-GB"/>
        </w:rPr>
        <w:t>.</w:t>
      </w:r>
      <w:r w:rsidRPr="00AE396C">
        <w:rPr>
          <w:rStyle w:val="FootnoteReference"/>
          <w:sz w:val="20"/>
          <w:lang w:val="en-GB"/>
        </w:rPr>
        <w:footnoteReference w:id="90"/>
      </w:r>
      <w:r w:rsidR="00F01266" w:rsidRPr="00AE396C">
        <w:rPr>
          <w:rStyle w:val="st"/>
          <w:sz w:val="20"/>
          <w:szCs w:val="20"/>
          <w:lang w:val="en-GB"/>
        </w:rPr>
        <w:t xml:space="preserve"> </w:t>
      </w:r>
      <w:r w:rsidR="00FB18B2">
        <w:rPr>
          <w:rStyle w:val="st"/>
          <w:sz w:val="20"/>
          <w:szCs w:val="20"/>
          <w:lang w:val="en-GB"/>
        </w:rPr>
        <w:t xml:space="preserve">The communicant was also able to engage in oral discussions with members of SHS staff, even if the communicant did not consider those discussions resulted in explanations it found satisfactory as to why certain information was not available or in existence. </w:t>
      </w:r>
      <w:r w:rsidR="00F01266" w:rsidRPr="00AE396C">
        <w:rPr>
          <w:rStyle w:val="st"/>
          <w:sz w:val="20"/>
          <w:szCs w:val="20"/>
          <w:lang w:val="en-GB"/>
        </w:rPr>
        <w:t xml:space="preserve">The </w:t>
      </w:r>
      <w:r w:rsidR="006B5DB0" w:rsidRPr="00AE396C">
        <w:rPr>
          <w:rStyle w:val="st"/>
          <w:sz w:val="20"/>
          <w:szCs w:val="20"/>
          <w:lang w:val="en-GB"/>
        </w:rPr>
        <w:t>communicant</w:t>
      </w:r>
      <w:r w:rsidR="00F01266" w:rsidRPr="00AE396C">
        <w:rPr>
          <w:rStyle w:val="st"/>
          <w:sz w:val="20"/>
          <w:szCs w:val="20"/>
          <w:lang w:val="en-GB"/>
        </w:rPr>
        <w:t xml:space="preserve"> </w:t>
      </w:r>
      <w:r w:rsidR="00FB18B2">
        <w:rPr>
          <w:rStyle w:val="st"/>
          <w:sz w:val="20"/>
          <w:szCs w:val="20"/>
          <w:lang w:val="en-GB"/>
        </w:rPr>
        <w:t xml:space="preserve">has </w:t>
      </w:r>
      <w:r w:rsidR="00F01266" w:rsidRPr="00AE396C">
        <w:rPr>
          <w:rStyle w:val="st"/>
          <w:sz w:val="20"/>
          <w:szCs w:val="20"/>
          <w:lang w:val="en-GB"/>
        </w:rPr>
        <w:t>confirmed that its representatives visited the SHS office several times</w:t>
      </w:r>
      <w:r w:rsidR="006B5DB0" w:rsidRPr="00AE396C">
        <w:t xml:space="preserve"> </w:t>
      </w:r>
      <w:r w:rsidR="006B5DB0" w:rsidRPr="00AE396C">
        <w:rPr>
          <w:rStyle w:val="st"/>
          <w:sz w:val="20"/>
          <w:szCs w:val="20"/>
          <w:lang w:val="en-GB"/>
        </w:rPr>
        <w:t>in order to obtain information</w:t>
      </w:r>
      <w:r w:rsidR="005D12A3" w:rsidRPr="00AE396C">
        <w:rPr>
          <w:rStyle w:val="st"/>
          <w:sz w:val="20"/>
          <w:szCs w:val="20"/>
          <w:lang w:val="en-GB"/>
        </w:rPr>
        <w:t xml:space="preserve">, however, at the first visit the SHS library was either </w:t>
      </w:r>
      <w:r w:rsidR="00887F36">
        <w:rPr>
          <w:rStyle w:val="st"/>
          <w:sz w:val="20"/>
          <w:szCs w:val="20"/>
          <w:lang w:val="en-GB"/>
        </w:rPr>
        <w:t>being repaired or relocated and the communicant consequently could not access the information</w:t>
      </w:r>
      <w:r w:rsidR="005D12A3" w:rsidRPr="00AE396C">
        <w:rPr>
          <w:rStyle w:val="st"/>
          <w:sz w:val="20"/>
          <w:szCs w:val="20"/>
          <w:lang w:val="en-GB"/>
        </w:rPr>
        <w:t xml:space="preserve">. </w:t>
      </w:r>
      <w:r w:rsidR="00FB18B2">
        <w:rPr>
          <w:rStyle w:val="st"/>
          <w:sz w:val="20"/>
          <w:szCs w:val="20"/>
          <w:lang w:val="en-GB"/>
        </w:rPr>
        <w:t>In response</w:t>
      </w:r>
      <w:r w:rsidR="005D12A3" w:rsidRPr="00AE396C">
        <w:rPr>
          <w:rStyle w:val="st"/>
          <w:sz w:val="20"/>
          <w:szCs w:val="20"/>
          <w:lang w:val="en-GB"/>
        </w:rPr>
        <w:t xml:space="preserve"> to the </w:t>
      </w:r>
      <w:r w:rsidR="00FB18B2">
        <w:rPr>
          <w:rStyle w:val="st"/>
          <w:sz w:val="20"/>
          <w:szCs w:val="20"/>
          <w:lang w:val="en-GB"/>
        </w:rPr>
        <w:t xml:space="preserve">Committee’s </w:t>
      </w:r>
      <w:r w:rsidR="005D12A3" w:rsidRPr="00AE396C">
        <w:rPr>
          <w:rStyle w:val="st"/>
          <w:sz w:val="20"/>
          <w:szCs w:val="20"/>
          <w:lang w:val="en-GB"/>
        </w:rPr>
        <w:t xml:space="preserve">question </w:t>
      </w:r>
      <w:r w:rsidR="00FB18B2">
        <w:rPr>
          <w:rStyle w:val="st"/>
          <w:sz w:val="20"/>
          <w:szCs w:val="20"/>
          <w:lang w:val="en-GB"/>
        </w:rPr>
        <w:t xml:space="preserve">as to </w:t>
      </w:r>
      <w:r w:rsidR="005D12A3" w:rsidRPr="00AE396C">
        <w:rPr>
          <w:rStyle w:val="st"/>
          <w:sz w:val="20"/>
          <w:szCs w:val="20"/>
          <w:lang w:val="en-GB"/>
        </w:rPr>
        <w:t>what kind of assistance was requested t</w:t>
      </w:r>
      <w:r w:rsidR="0022184D" w:rsidRPr="00AE396C">
        <w:rPr>
          <w:rStyle w:val="st"/>
          <w:sz w:val="20"/>
          <w:szCs w:val="20"/>
          <w:lang w:val="en-GB"/>
        </w:rPr>
        <w:t xml:space="preserve">he communicant </w:t>
      </w:r>
      <w:r w:rsidR="005D12A3" w:rsidRPr="00AE396C">
        <w:rPr>
          <w:rStyle w:val="st"/>
          <w:sz w:val="20"/>
          <w:szCs w:val="20"/>
          <w:lang w:val="en-GB"/>
        </w:rPr>
        <w:t xml:space="preserve">explained that </w:t>
      </w:r>
      <w:r w:rsidR="0022184D" w:rsidRPr="00AE396C">
        <w:rPr>
          <w:rStyle w:val="st"/>
          <w:sz w:val="20"/>
          <w:szCs w:val="20"/>
          <w:lang w:val="en-GB"/>
        </w:rPr>
        <w:t xml:space="preserve">because the library at the first visit was either </w:t>
      </w:r>
      <w:r w:rsidR="00EE301C">
        <w:rPr>
          <w:rStyle w:val="st"/>
          <w:sz w:val="20"/>
          <w:szCs w:val="20"/>
          <w:lang w:val="en-GB"/>
        </w:rPr>
        <w:t>being repaired or relocated</w:t>
      </w:r>
      <w:r w:rsidR="0022184D" w:rsidRPr="00AE396C">
        <w:rPr>
          <w:rStyle w:val="st"/>
          <w:sz w:val="20"/>
          <w:szCs w:val="20"/>
          <w:lang w:val="en-GB"/>
        </w:rPr>
        <w:t>, but later the data were partly presented</w:t>
      </w:r>
      <w:r w:rsidR="005D12A3" w:rsidRPr="00AE396C">
        <w:rPr>
          <w:rStyle w:val="st"/>
          <w:sz w:val="20"/>
          <w:szCs w:val="20"/>
          <w:lang w:val="en-GB"/>
        </w:rPr>
        <w:t>,</w:t>
      </w:r>
      <w:r w:rsidR="0022184D" w:rsidRPr="00AE396C">
        <w:rPr>
          <w:rStyle w:val="st"/>
          <w:sz w:val="20"/>
          <w:szCs w:val="20"/>
          <w:lang w:val="en-GB"/>
        </w:rPr>
        <w:t xml:space="preserve"> there was no reason to ask for </w:t>
      </w:r>
      <w:r w:rsidR="00C630D3" w:rsidRPr="00AE396C">
        <w:rPr>
          <w:rStyle w:val="st"/>
          <w:sz w:val="20"/>
          <w:szCs w:val="20"/>
          <w:lang w:val="en-GB"/>
        </w:rPr>
        <w:t xml:space="preserve">further </w:t>
      </w:r>
      <w:r w:rsidR="0022184D" w:rsidRPr="00AE396C">
        <w:rPr>
          <w:rStyle w:val="st"/>
          <w:sz w:val="20"/>
          <w:szCs w:val="20"/>
          <w:lang w:val="en-GB"/>
        </w:rPr>
        <w:t>assistance.</w:t>
      </w:r>
      <w:r w:rsidR="00B64855">
        <w:rPr>
          <w:rStyle w:val="st"/>
          <w:sz w:val="20"/>
          <w:szCs w:val="20"/>
          <w:lang w:val="en-GB"/>
        </w:rPr>
        <w:t xml:space="preserve"> </w:t>
      </w:r>
    </w:p>
    <w:p w14:paraId="5B06194F" w14:textId="2E9FB2D2" w:rsidR="005D12A3" w:rsidRPr="00AE396C" w:rsidRDefault="005D12A3" w:rsidP="009E069E">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 xml:space="preserve">In the light of the </w:t>
      </w:r>
      <w:r w:rsidR="00FB18B2">
        <w:rPr>
          <w:rStyle w:val="st"/>
          <w:sz w:val="20"/>
          <w:szCs w:val="20"/>
          <w:lang w:val="en-GB"/>
        </w:rPr>
        <w:t xml:space="preserve">above, </w:t>
      </w:r>
      <w:r w:rsidRPr="00AE396C">
        <w:rPr>
          <w:rStyle w:val="st"/>
          <w:sz w:val="20"/>
          <w:szCs w:val="20"/>
          <w:lang w:val="en-GB"/>
        </w:rPr>
        <w:t xml:space="preserve">the Committee </w:t>
      </w:r>
      <w:r w:rsidR="009E069E" w:rsidRPr="00AE396C">
        <w:rPr>
          <w:rStyle w:val="st"/>
          <w:sz w:val="20"/>
          <w:szCs w:val="20"/>
          <w:lang w:val="en-GB"/>
        </w:rPr>
        <w:t xml:space="preserve">finds the </w:t>
      </w:r>
      <w:r w:rsidR="002E0F47" w:rsidRPr="00AE396C">
        <w:rPr>
          <w:rStyle w:val="st"/>
          <w:sz w:val="20"/>
          <w:szCs w:val="20"/>
          <w:lang w:val="en-GB"/>
        </w:rPr>
        <w:t xml:space="preserve">communicant’s </w:t>
      </w:r>
      <w:r w:rsidR="009E069E" w:rsidRPr="00AE396C">
        <w:rPr>
          <w:rStyle w:val="st"/>
          <w:sz w:val="20"/>
          <w:szCs w:val="20"/>
          <w:lang w:val="en-GB"/>
        </w:rPr>
        <w:t xml:space="preserve">allegations </w:t>
      </w:r>
      <w:r w:rsidR="002E0F47" w:rsidRPr="00AE396C">
        <w:rPr>
          <w:rStyle w:val="st"/>
          <w:sz w:val="20"/>
          <w:szCs w:val="20"/>
          <w:lang w:val="en-GB"/>
        </w:rPr>
        <w:t xml:space="preserve">concerning </w:t>
      </w:r>
      <w:r w:rsidR="009E069E" w:rsidRPr="00AE396C">
        <w:rPr>
          <w:rStyle w:val="st"/>
          <w:sz w:val="20"/>
          <w:szCs w:val="20"/>
          <w:lang w:val="en-GB"/>
        </w:rPr>
        <w:t>article 3(2) in conjunction with article 5(2)(b)(ii) to be unsubstantiated</w:t>
      </w:r>
      <w:r w:rsidRPr="00AE396C">
        <w:rPr>
          <w:rStyle w:val="st"/>
          <w:sz w:val="20"/>
          <w:szCs w:val="20"/>
          <w:lang w:val="en-GB"/>
        </w:rPr>
        <w:t xml:space="preserve">. </w:t>
      </w:r>
    </w:p>
    <w:p w14:paraId="11E59709" w14:textId="2A6D58BC" w:rsidR="004F6E4C" w:rsidRDefault="005A188E" w:rsidP="00CA0D67">
      <w:pPr>
        <w:pStyle w:val="SingleTxtG"/>
        <w:tabs>
          <w:tab w:val="right" w:pos="567"/>
        </w:tabs>
        <w:rPr>
          <w:rStyle w:val="st"/>
          <w:b/>
          <w:sz w:val="20"/>
          <w:szCs w:val="20"/>
          <w:lang w:val="en-GB"/>
        </w:rPr>
      </w:pPr>
      <w:r w:rsidRPr="00AE396C">
        <w:rPr>
          <w:rStyle w:val="st"/>
          <w:b/>
          <w:sz w:val="20"/>
          <w:szCs w:val="20"/>
          <w:lang w:val="en-GB"/>
        </w:rPr>
        <w:t xml:space="preserve">Unreasonable costs — </w:t>
      </w:r>
      <w:r w:rsidR="00CA0D67" w:rsidRPr="00AE396C">
        <w:rPr>
          <w:rStyle w:val="st"/>
          <w:b/>
          <w:sz w:val="20"/>
          <w:szCs w:val="20"/>
          <w:lang w:val="en-GB"/>
        </w:rPr>
        <w:t>a</w:t>
      </w:r>
      <w:r w:rsidRPr="00AE396C">
        <w:rPr>
          <w:rStyle w:val="st"/>
          <w:b/>
          <w:sz w:val="20"/>
          <w:szCs w:val="20"/>
          <w:lang w:val="en-GB"/>
        </w:rPr>
        <w:t>rticle 4(8)</w:t>
      </w:r>
    </w:p>
    <w:p w14:paraId="3FF1FD3D" w14:textId="45BC40F6" w:rsidR="0069410F" w:rsidRPr="0069410F" w:rsidRDefault="0069410F" w:rsidP="00CA0D67">
      <w:pPr>
        <w:pStyle w:val="SingleTxtG"/>
        <w:tabs>
          <w:tab w:val="right" w:pos="567"/>
        </w:tabs>
        <w:rPr>
          <w:rStyle w:val="st"/>
          <w:bCs/>
          <w:i/>
          <w:iCs/>
          <w:sz w:val="20"/>
          <w:szCs w:val="20"/>
          <w:lang w:val="en-GB"/>
        </w:rPr>
      </w:pPr>
      <w:r w:rsidRPr="0069410F">
        <w:rPr>
          <w:rStyle w:val="st"/>
          <w:bCs/>
          <w:i/>
          <w:iCs/>
          <w:sz w:val="20"/>
          <w:szCs w:val="20"/>
          <w:lang w:val="en-GB"/>
        </w:rPr>
        <w:t>Preliminary remarks</w:t>
      </w:r>
    </w:p>
    <w:p w14:paraId="7F4A47F4" w14:textId="5E358EE2" w:rsidR="009A7103" w:rsidRPr="003734F4" w:rsidRDefault="00FB18B2" w:rsidP="009A7103">
      <w:pPr>
        <w:pStyle w:val="SingleTxtG"/>
        <w:numPr>
          <w:ilvl w:val="0"/>
          <w:numId w:val="3"/>
        </w:numPr>
        <w:tabs>
          <w:tab w:val="right" w:pos="567"/>
          <w:tab w:val="num" w:pos="1276"/>
        </w:tabs>
        <w:ind w:left="1134" w:right="0" w:firstLine="0"/>
        <w:rPr>
          <w:sz w:val="20"/>
          <w:szCs w:val="20"/>
        </w:rPr>
      </w:pPr>
      <w:r>
        <w:rPr>
          <w:sz w:val="20"/>
          <w:szCs w:val="20"/>
          <w:lang w:val="en-GB"/>
        </w:rPr>
        <w:t xml:space="preserve">As a preliminary point, </w:t>
      </w:r>
      <w:r w:rsidR="00204373">
        <w:rPr>
          <w:sz w:val="20"/>
          <w:szCs w:val="20"/>
          <w:lang w:val="en-GB"/>
        </w:rPr>
        <w:t xml:space="preserve">it is clear to the Committee that the communicant’s request of June 2016 for hydrometeorological information was a request for “environmental information” as defined in article 2(3) of the Convention, and </w:t>
      </w:r>
      <w:r>
        <w:rPr>
          <w:sz w:val="20"/>
          <w:szCs w:val="20"/>
          <w:lang w:val="en-GB"/>
        </w:rPr>
        <w:t xml:space="preserve">the Committee notes that the Party concerned does not dispute that. Accordingly, the communicant’s request was a request for information within the scope of </w:t>
      </w:r>
      <w:r w:rsidR="009A7103">
        <w:rPr>
          <w:sz w:val="20"/>
          <w:szCs w:val="20"/>
          <w:lang w:val="en-GB"/>
        </w:rPr>
        <w:t xml:space="preserve">article 4 of the Convention. </w:t>
      </w:r>
    </w:p>
    <w:p w14:paraId="48FD4FE6" w14:textId="258378DB" w:rsidR="0069410F" w:rsidRDefault="0069410F" w:rsidP="0069410F">
      <w:pPr>
        <w:pStyle w:val="SingleTxtG"/>
        <w:numPr>
          <w:ilvl w:val="0"/>
          <w:numId w:val="3"/>
        </w:numPr>
        <w:tabs>
          <w:tab w:val="right" w:pos="567"/>
          <w:tab w:val="num" w:pos="1276"/>
        </w:tabs>
        <w:ind w:left="1134" w:right="0" w:firstLine="0"/>
        <w:rPr>
          <w:rStyle w:val="st"/>
          <w:sz w:val="20"/>
          <w:szCs w:val="20"/>
          <w:lang w:val="en-GB"/>
        </w:rPr>
      </w:pPr>
      <w:r>
        <w:rPr>
          <w:rStyle w:val="st"/>
          <w:sz w:val="20"/>
          <w:szCs w:val="20"/>
          <w:lang w:val="en-GB"/>
        </w:rPr>
        <w:t xml:space="preserve">At the outset, the Committee recalls the </w:t>
      </w:r>
      <w:r w:rsidR="00204373">
        <w:rPr>
          <w:rStyle w:val="st"/>
          <w:sz w:val="20"/>
          <w:szCs w:val="20"/>
          <w:lang w:val="en-GB"/>
        </w:rPr>
        <w:t xml:space="preserve">importance </w:t>
      </w:r>
      <w:r w:rsidRPr="00A20F23">
        <w:rPr>
          <w:rStyle w:val="st"/>
          <w:sz w:val="20"/>
          <w:szCs w:val="20"/>
          <w:lang w:val="en-GB"/>
        </w:rPr>
        <w:t>of access to environmental information</w:t>
      </w:r>
      <w:r>
        <w:rPr>
          <w:rStyle w:val="st"/>
          <w:sz w:val="20"/>
          <w:szCs w:val="20"/>
          <w:lang w:val="en-GB"/>
        </w:rPr>
        <w:t xml:space="preserve"> </w:t>
      </w:r>
      <w:r w:rsidR="00204373">
        <w:rPr>
          <w:rStyle w:val="st"/>
          <w:sz w:val="20"/>
          <w:szCs w:val="20"/>
          <w:lang w:val="en-GB"/>
        </w:rPr>
        <w:t xml:space="preserve">to achieve the objective </w:t>
      </w:r>
      <w:r>
        <w:rPr>
          <w:rStyle w:val="st"/>
          <w:sz w:val="20"/>
          <w:szCs w:val="20"/>
          <w:lang w:val="en-GB"/>
        </w:rPr>
        <w:t xml:space="preserve">set out in the </w:t>
      </w:r>
      <w:r w:rsidRPr="000744F7">
        <w:rPr>
          <w:rStyle w:val="st"/>
          <w:sz w:val="20"/>
          <w:szCs w:val="20"/>
          <w:lang w:val="en-GB"/>
        </w:rPr>
        <w:t>preamble and article 1 of the Convention</w:t>
      </w:r>
      <w:r>
        <w:rPr>
          <w:rStyle w:val="st"/>
          <w:sz w:val="20"/>
          <w:szCs w:val="20"/>
          <w:lang w:val="en-GB"/>
        </w:rPr>
        <w:t xml:space="preserve">, </w:t>
      </w:r>
      <w:r w:rsidR="00204373">
        <w:rPr>
          <w:rStyle w:val="st"/>
          <w:sz w:val="20"/>
          <w:szCs w:val="20"/>
          <w:lang w:val="en-GB"/>
        </w:rPr>
        <w:t>that is</w:t>
      </w:r>
      <w:r w:rsidRPr="000744F7">
        <w:rPr>
          <w:rStyle w:val="st"/>
          <w:sz w:val="20"/>
          <w:szCs w:val="20"/>
          <w:lang w:val="en-GB"/>
        </w:rPr>
        <w:t xml:space="preserve"> to contribute to the protection of the right of every person of</w:t>
      </w:r>
      <w:r>
        <w:rPr>
          <w:rStyle w:val="st"/>
          <w:sz w:val="20"/>
          <w:szCs w:val="20"/>
          <w:lang w:val="en-GB"/>
        </w:rPr>
        <w:t xml:space="preserve"> </w:t>
      </w:r>
      <w:r w:rsidRPr="003B436E">
        <w:rPr>
          <w:rStyle w:val="st"/>
          <w:sz w:val="20"/>
          <w:szCs w:val="20"/>
          <w:lang w:val="en-GB"/>
        </w:rPr>
        <w:t>present and future generations to live in an environment adeq</w:t>
      </w:r>
      <w:r w:rsidRPr="00A20F23">
        <w:rPr>
          <w:rStyle w:val="st"/>
          <w:sz w:val="20"/>
          <w:szCs w:val="20"/>
          <w:lang w:val="en-GB"/>
        </w:rPr>
        <w:t>uate to his or her health and well-being</w:t>
      </w:r>
      <w:r w:rsidRPr="000744F7">
        <w:rPr>
          <w:rStyle w:val="st"/>
          <w:sz w:val="20"/>
          <w:szCs w:val="20"/>
          <w:lang w:val="en-GB"/>
        </w:rPr>
        <w:t>.</w:t>
      </w:r>
      <w:r>
        <w:rPr>
          <w:rStyle w:val="FootnoteReference"/>
          <w:szCs w:val="20"/>
          <w:lang w:val="en-GB"/>
        </w:rPr>
        <w:footnoteReference w:id="91"/>
      </w:r>
      <w:r w:rsidRPr="000744F7">
        <w:rPr>
          <w:rStyle w:val="st"/>
          <w:sz w:val="20"/>
          <w:szCs w:val="20"/>
          <w:lang w:val="en-GB"/>
        </w:rPr>
        <w:t xml:space="preserve"> </w:t>
      </w:r>
      <w:r>
        <w:rPr>
          <w:rStyle w:val="st"/>
          <w:sz w:val="20"/>
          <w:szCs w:val="20"/>
          <w:lang w:val="en-GB"/>
        </w:rPr>
        <w:t xml:space="preserve">The Committee also considers that the right of access to environmental information is a prerequisite to realize </w:t>
      </w:r>
      <w:r w:rsidRPr="000744F7">
        <w:rPr>
          <w:rStyle w:val="st"/>
          <w:sz w:val="20"/>
          <w:szCs w:val="20"/>
          <w:lang w:val="en-GB"/>
        </w:rPr>
        <w:t>the duty</w:t>
      </w:r>
      <w:r>
        <w:rPr>
          <w:rStyle w:val="st"/>
          <w:sz w:val="20"/>
          <w:szCs w:val="20"/>
          <w:lang w:val="en-GB"/>
        </w:rPr>
        <w:t xml:space="preserve"> recognized by the Convention on every person</w:t>
      </w:r>
      <w:r w:rsidRPr="000744F7">
        <w:rPr>
          <w:rStyle w:val="st"/>
          <w:sz w:val="20"/>
          <w:szCs w:val="20"/>
          <w:lang w:val="en-GB"/>
        </w:rPr>
        <w:t>, both individually and in association with others, to protect and improve the environment for the benefit of present and future generations</w:t>
      </w:r>
      <w:r w:rsidRPr="00F16BE1">
        <w:rPr>
          <w:rStyle w:val="st"/>
          <w:sz w:val="20"/>
          <w:szCs w:val="20"/>
          <w:lang w:val="en-GB"/>
        </w:rPr>
        <w:t>.</w:t>
      </w:r>
      <w:r>
        <w:rPr>
          <w:rStyle w:val="FootnoteReference"/>
          <w:szCs w:val="20"/>
          <w:lang w:val="en-GB"/>
        </w:rPr>
        <w:footnoteReference w:id="92"/>
      </w:r>
      <w:r>
        <w:rPr>
          <w:rStyle w:val="st"/>
          <w:sz w:val="20"/>
          <w:szCs w:val="20"/>
          <w:lang w:val="en-GB"/>
        </w:rPr>
        <w:t xml:space="preserve"> </w:t>
      </w:r>
    </w:p>
    <w:p w14:paraId="2C7F1EB1" w14:textId="4A8AF865" w:rsidR="00CA0D67" w:rsidRDefault="00802A41" w:rsidP="00273DFC">
      <w:pPr>
        <w:pStyle w:val="SingleTxtG"/>
        <w:numPr>
          <w:ilvl w:val="0"/>
          <w:numId w:val="3"/>
        </w:numPr>
        <w:tabs>
          <w:tab w:val="right" w:pos="567"/>
          <w:tab w:val="num" w:pos="1276"/>
        </w:tabs>
        <w:ind w:left="1134" w:right="0" w:firstLine="0"/>
        <w:rPr>
          <w:rStyle w:val="st"/>
          <w:sz w:val="20"/>
          <w:szCs w:val="20"/>
          <w:lang w:val="en-GB"/>
        </w:rPr>
      </w:pPr>
      <w:r w:rsidRPr="00AE396C">
        <w:rPr>
          <w:rStyle w:val="st"/>
          <w:sz w:val="20"/>
          <w:szCs w:val="20"/>
          <w:lang w:val="en-GB"/>
        </w:rPr>
        <w:t>Article 4</w:t>
      </w:r>
      <w:r w:rsidR="00B74909">
        <w:rPr>
          <w:rStyle w:val="st"/>
          <w:sz w:val="20"/>
          <w:szCs w:val="20"/>
          <w:lang w:val="en-GB"/>
        </w:rPr>
        <w:t>(8)</w:t>
      </w:r>
      <w:r w:rsidRPr="00AE396C">
        <w:rPr>
          <w:rStyle w:val="st"/>
          <w:sz w:val="20"/>
          <w:szCs w:val="20"/>
          <w:lang w:val="en-GB"/>
        </w:rPr>
        <w:t xml:space="preserve"> of the Convention provides that public authorities may charge for supplying information, under the condition that </w:t>
      </w:r>
      <w:r w:rsidR="003A0798">
        <w:rPr>
          <w:rStyle w:val="st"/>
          <w:sz w:val="20"/>
          <w:szCs w:val="20"/>
          <w:lang w:val="en-GB"/>
        </w:rPr>
        <w:t xml:space="preserve">any </w:t>
      </w:r>
      <w:r w:rsidRPr="00AE396C">
        <w:rPr>
          <w:rStyle w:val="st"/>
          <w:sz w:val="20"/>
          <w:szCs w:val="20"/>
          <w:lang w:val="en-GB"/>
        </w:rPr>
        <w:t xml:space="preserve">such charge does not exceed a reasonable amount. </w:t>
      </w:r>
      <w:r w:rsidR="00273DFC">
        <w:rPr>
          <w:rStyle w:val="st"/>
          <w:sz w:val="20"/>
          <w:szCs w:val="20"/>
          <w:lang w:val="en-GB"/>
        </w:rPr>
        <w:t xml:space="preserve">Given the </w:t>
      </w:r>
      <w:r w:rsidR="00204373">
        <w:rPr>
          <w:rStyle w:val="st"/>
          <w:sz w:val="20"/>
          <w:szCs w:val="20"/>
          <w:lang w:val="en-GB"/>
        </w:rPr>
        <w:t>importance</w:t>
      </w:r>
      <w:r w:rsidR="00273DFC">
        <w:rPr>
          <w:rStyle w:val="st"/>
          <w:sz w:val="20"/>
          <w:szCs w:val="20"/>
          <w:lang w:val="en-GB"/>
        </w:rPr>
        <w:t xml:space="preserve"> of the right of access to environmental information </w:t>
      </w:r>
      <w:r w:rsidR="00204373">
        <w:rPr>
          <w:rStyle w:val="st"/>
          <w:sz w:val="20"/>
          <w:szCs w:val="20"/>
          <w:lang w:val="en-GB"/>
        </w:rPr>
        <w:t>to achieve the objective of</w:t>
      </w:r>
      <w:r w:rsidR="00273DFC">
        <w:rPr>
          <w:rStyle w:val="st"/>
          <w:sz w:val="20"/>
          <w:szCs w:val="20"/>
          <w:lang w:val="en-GB"/>
        </w:rPr>
        <w:t xml:space="preserve"> the Convention and </w:t>
      </w:r>
      <w:r w:rsidR="00BC2EB5">
        <w:rPr>
          <w:rStyle w:val="st"/>
          <w:sz w:val="20"/>
          <w:szCs w:val="20"/>
          <w:lang w:val="en-GB"/>
        </w:rPr>
        <w:t xml:space="preserve">also </w:t>
      </w:r>
      <w:r w:rsidR="00273DFC">
        <w:rPr>
          <w:rStyle w:val="st"/>
          <w:sz w:val="20"/>
          <w:szCs w:val="20"/>
          <w:lang w:val="en-GB"/>
        </w:rPr>
        <w:t xml:space="preserve">the wording of article 4(8), it is clear to the Committee </w:t>
      </w:r>
      <w:r w:rsidR="00F60C5F" w:rsidRPr="00320BE7">
        <w:rPr>
          <w:rStyle w:val="st"/>
          <w:sz w:val="20"/>
          <w:szCs w:val="20"/>
          <w:lang w:val="en-GB"/>
        </w:rPr>
        <w:t xml:space="preserve">that the presumption is that </w:t>
      </w:r>
      <w:r w:rsidR="00273DFC">
        <w:rPr>
          <w:rStyle w:val="st"/>
          <w:sz w:val="20"/>
          <w:szCs w:val="20"/>
          <w:lang w:val="en-GB"/>
        </w:rPr>
        <w:t xml:space="preserve">such </w:t>
      </w:r>
      <w:r w:rsidR="00F60C5F" w:rsidRPr="00320BE7">
        <w:rPr>
          <w:rStyle w:val="st"/>
          <w:sz w:val="20"/>
          <w:szCs w:val="20"/>
          <w:lang w:val="en-GB"/>
        </w:rPr>
        <w:t xml:space="preserve">information should be </w:t>
      </w:r>
      <w:r w:rsidR="00273DFC">
        <w:rPr>
          <w:rStyle w:val="st"/>
          <w:sz w:val="20"/>
          <w:szCs w:val="20"/>
          <w:lang w:val="en-GB"/>
        </w:rPr>
        <w:t>supplied</w:t>
      </w:r>
      <w:r w:rsidR="00F60C5F" w:rsidRPr="00320BE7">
        <w:rPr>
          <w:rStyle w:val="st"/>
          <w:sz w:val="20"/>
          <w:szCs w:val="20"/>
          <w:lang w:val="en-GB"/>
        </w:rPr>
        <w:t xml:space="preserve"> free of charge, but Parties may allow charges provided that they do not exceed a reasonable amount.</w:t>
      </w:r>
      <w:r w:rsidR="00F60C5F">
        <w:rPr>
          <w:rStyle w:val="st"/>
          <w:sz w:val="20"/>
          <w:szCs w:val="20"/>
          <w:lang w:val="en-GB"/>
        </w:rPr>
        <w:t xml:space="preserve"> </w:t>
      </w:r>
      <w:r w:rsidRPr="00AE396C">
        <w:rPr>
          <w:rStyle w:val="st"/>
          <w:sz w:val="20"/>
          <w:szCs w:val="20"/>
          <w:lang w:val="en-GB"/>
        </w:rPr>
        <w:t xml:space="preserve">The Convention safeguards this requirement by obliging public authorities </w:t>
      </w:r>
      <w:r w:rsidR="00164BA7" w:rsidRPr="00AE396C">
        <w:rPr>
          <w:rStyle w:val="st"/>
          <w:sz w:val="20"/>
          <w:szCs w:val="20"/>
          <w:lang w:val="en-GB"/>
        </w:rPr>
        <w:t>to</w:t>
      </w:r>
      <w:r w:rsidR="00B24A6D" w:rsidRPr="00AE396C">
        <w:rPr>
          <w:rStyle w:val="st"/>
          <w:sz w:val="20"/>
          <w:szCs w:val="20"/>
          <w:lang w:val="en-GB"/>
        </w:rPr>
        <w:t xml:space="preserve"> make available to applicants a schedule of charges which may be levied,</w:t>
      </w:r>
      <w:r w:rsidR="00F06DFB" w:rsidRPr="00AE396C">
        <w:rPr>
          <w:rStyle w:val="st"/>
          <w:sz w:val="20"/>
          <w:szCs w:val="20"/>
          <w:lang w:val="en-GB"/>
        </w:rPr>
        <w:t xml:space="preserve"> </w:t>
      </w:r>
      <w:r w:rsidR="00B24A6D" w:rsidRPr="00AE396C">
        <w:rPr>
          <w:rStyle w:val="st"/>
          <w:sz w:val="20"/>
          <w:szCs w:val="20"/>
          <w:lang w:val="en-GB"/>
        </w:rPr>
        <w:t>indicating the circumstances in which they may be levied or waived and when</w:t>
      </w:r>
      <w:r w:rsidR="00F06DFB" w:rsidRPr="00AE396C">
        <w:rPr>
          <w:rStyle w:val="st"/>
          <w:sz w:val="20"/>
          <w:szCs w:val="20"/>
          <w:lang w:val="en-GB"/>
        </w:rPr>
        <w:t xml:space="preserve"> </w:t>
      </w:r>
      <w:r w:rsidR="00B24A6D" w:rsidRPr="00AE396C">
        <w:rPr>
          <w:rStyle w:val="st"/>
          <w:sz w:val="20"/>
          <w:szCs w:val="20"/>
          <w:lang w:val="en-GB"/>
        </w:rPr>
        <w:t>the supply of information is conditional on the advance payment of such a</w:t>
      </w:r>
      <w:r w:rsidR="00F06DFB" w:rsidRPr="00AE396C">
        <w:rPr>
          <w:rStyle w:val="st"/>
          <w:sz w:val="20"/>
          <w:szCs w:val="20"/>
          <w:lang w:val="uk-UA"/>
        </w:rPr>
        <w:t xml:space="preserve"> </w:t>
      </w:r>
      <w:r w:rsidR="00B24A6D" w:rsidRPr="00AE396C">
        <w:rPr>
          <w:rStyle w:val="st"/>
          <w:sz w:val="20"/>
          <w:szCs w:val="20"/>
          <w:lang w:val="en-GB"/>
        </w:rPr>
        <w:t>charge.</w:t>
      </w:r>
      <w:r w:rsidRPr="00AE396C">
        <w:rPr>
          <w:rStyle w:val="st"/>
          <w:sz w:val="20"/>
          <w:szCs w:val="20"/>
          <w:lang w:val="en-GB"/>
        </w:rPr>
        <w:t xml:space="preserve"> </w:t>
      </w:r>
      <w:r w:rsidR="0069410F">
        <w:rPr>
          <w:rStyle w:val="st"/>
          <w:sz w:val="20"/>
          <w:szCs w:val="20"/>
          <w:lang w:val="en-GB"/>
        </w:rPr>
        <w:t xml:space="preserve">The requirement in article 4(8) for the charge to be reasonable is </w:t>
      </w:r>
      <w:r w:rsidR="00204373">
        <w:rPr>
          <w:rStyle w:val="st"/>
          <w:sz w:val="20"/>
          <w:szCs w:val="20"/>
          <w:lang w:val="en-GB"/>
        </w:rPr>
        <w:t xml:space="preserve">thus </w:t>
      </w:r>
      <w:r w:rsidR="0069410F">
        <w:rPr>
          <w:rStyle w:val="st"/>
          <w:sz w:val="20"/>
          <w:szCs w:val="20"/>
          <w:lang w:val="en-GB"/>
        </w:rPr>
        <w:t>a safeguard for the effective exercise of the Convention’s rights and duties.</w:t>
      </w:r>
      <w:r w:rsidR="0069410F" w:rsidRPr="00AE396C">
        <w:rPr>
          <w:rStyle w:val="st"/>
          <w:sz w:val="20"/>
          <w:szCs w:val="20"/>
          <w:lang w:val="en-GB"/>
        </w:rPr>
        <w:t xml:space="preserve"> </w:t>
      </w:r>
      <w:r w:rsidRPr="00AE396C">
        <w:rPr>
          <w:rStyle w:val="st"/>
          <w:sz w:val="20"/>
          <w:szCs w:val="20"/>
          <w:lang w:val="en-GB"/>
        </w:rPr>
        <w:t xml:space="preserve">A schedule of charges can help protect against abuse and inconsistency of charges. </w:t>
      </w:r>
      <w:r w:rsidR="00B30B5E" w:rsidRPr="00AE396C">
        <w:rPr>
          <w:rStyle w:val="st"/>
          <w:sz w:val="20"/>
          <w:szCs w:val="20"/>
          <w:lang w:val="en-GB"/>
        </w:rPr>
        <w:t>I</w:t>
      </w:r>
      <w:r w:rsidRPr="00AE396C">
        <w:rPr>
          <w:rStyle w:val="st"/>
          <w:sz w:val="20"/>
          <w:szCs w:val="20"/>
          <w:lang w:val="en-GB"/>
        </w:rPr>
        <w:t>t</w:t>
      </w:r>
      <w:r w:rsidR="00B30B5E" w:rsidRPr="00AE396C">
        <w:rPr>
          <w:rStyle w:val="st"/>
          <w:sz w:val="20"/>
          <w:szCs w:val="20"/>
          <w:lang w:val="en-GB"/>
        </w:rPr>
        <w:t xml:space="preserve"> also</w:t>
      </w:r>
      <w:r w:rsidRPr="00AE396C">
        <w:rPr>
          <w:rStyle w:val="st"/>
          <w:sz w:val="20"/>
          <w:szCs w:val="20"/>
          <w:lang w:val="en-GB"/>
        </w:rPr>
        <w:t xml:space="preserve"> strengthens the ability of members of the public to access information if they know in advance what it will cost.</w:t>
      </w:r>
    </w:p>
    <w:p w14:paraId="5C8D6FC0" w14:textId="2D0EA05B" w:rsidR="0069410F" w:rsidRDefault="00EF0161" w:rsidP="0069410F">
      <w:pPr>
        <w:pStyle w:val="SingleTxtG"/>
        <w:numPr>
          <w:ilvl w:val="0"/>
          <w:numId w:val="3"/>
        </w:numPr>
        <w:tabs>
          <w:tab w:val="right" w:pos="567"/>
          <w:tab w:val="num" w:pos="1276"/>
        </w:tabs>
        <w:ind w:left="1134" w:right="0" w:firstLine="0"/>
        <w:rPr>
          <w:rStyle w:val="st"/>
          <w:sz w:val="20"/>
          <w:szCs w:val="20"/>
          <w:lang w:val="en-GB"/>
        </w:rPr>
      </w:pPr>
      <w:r>
        <w:rPr>
          <w:rStyle w:val="st"/>
          <w:sz w:val="20"/>
          <w:szCs w:val="20"/>
          <w:lang w:val="en-GB"/>
        </w:rPr>
        <w:t xml:space="preserve">The Committee </w:t>
      </w:r>
      <w:r w:rsidR="00585782">
        <w:rPr>
          <w:rStyle w:val="st"/>
          <w:sz w:val="20"/>
          <w:szCs w:val="20"/>
          <w:lang w:val="en-GB"/>
        </w:rPr>
        <w:t xml:space="preserve">further </w:t>
      </w:r>
      <w:r w:rsidR="00FB18B2">
        <w:rPr>
          <w:rStyle w:val="st"/>
          <w:sz w:val="20"/>
          <w:szCs w:val="20"/>
          <w:lang w:val="en-GB"/>
        </w:rPr>
        <w:t xml:space="preserve">points out that </w:t>
      </w:r>
      <w:r w:rsidR="00E451CD">
        <w:rPr>
          <w:rStyle w:val="st"/>
          <w:sz w:val="20"/>
          <w:szCs w:val="20"/>
          <w:lang w:val="en-GB"/>
        </w:rPr>
        <w:t xml:space="preserve">the preamble to the Convention </w:t>
      </w:r>
      <w:r w:rsidR="00FB18B2">
        <w:rPr>
          <w:rStyle w:val="st"/>
          <w:sz w:val="20"/>
          <w:szCs w:val="20"/>
          <w:lang w:val="en-GB"/>
        </w:rPr>
        <w:t xml:space="preserve">acknowledges </w:t>
      </w:r>
      <w:r w:rsidR="002703B3">
        <w:rPr>
          <w:rStyle w:val="st"/>
          <w:sz w:val="20"/>
          <w:szCs w:val="20"/>
          <w:lang w:val="en-GB"/>
        </w:rPr>
        <w:t xml:space="preserve">that </w:t>
      </w:r>
      <w:r w:rsidR="007702E9" w:rsidRPr="00320BE7">
        <w:rPr>
          <w:rStyle w:val="st"/>
          <w:sz w:val="20"/>
          <w:szCs w:val="20"/>
          <w:lang w:val="en-GB"/>
        </w:rPr>
        <w:t>public authorities hold environmental information in the public interest.</w:t>
      </w:r>
      <w:r w:rsidR="001E5885">
        <w:rPr>
          <w:rStyle w:val="FootnoteReference"/>
          <w:szCs w:val="20"/>
          <w:lang w:val="en-GB"/>
        </w:rPr>
        <w:footnoteReference w:id="93"/>
      </w:r>
      <w:r w:rsidR="007702E9" w:rsidRPr="00320BE7">
        <w:rPr>
          <w:rStyle w:val="st"/>
          <w:sz w:val="20"/>
          <w:szCs w:val="20"/>
          <w:lang w:val="en-GB"/>
        </w:rPr>
        <w:t xml:space="preserve"> </w:t>
      </w:r>
      <w:r w:rsidR="0069410F">
        <w:rPr>
          <w:rStyle w:val="st"/>
          <w:sz w:val="20"/>
          <w:szCs w:val="20"/>
          <w:lang w:val="en-GB"/>
        </w:rPr>
        <w:t>The Convention does not permit any charge to be levied for simply having access to information and a</w:t>
      </w:r>
      <w:r w:rsidR="00C55290">
        <w:rPr>
          <w:rStyle w:val="st"/>
          <w:sz w:val="20"/>
          <w:szCs w:val="20"/>
          <w:lang w:val="en-GB"/>
        </w:rPr>
        <w:t xml:space="preserve">ny charges for </w:t>
      </w:r>
      <w:r w:rsidR="0069410F">
        <w:rPr>
          <w:rStyle w:val="st"/>
          <w:sz w:val="20"/>
          <w:szCs w:val="20"/>
          <w:lang w:val="en-GB"/>
        </w:rPr>
        <w:t xml:space="preserve">supplying </w:t>
      </w:r>
      <w:r w:rsidR="00C55290">
        <w:rPr>
          <w:rStyle w:val="st"/>
          <w:sz w:val="20"/>
          <w:szCs w:val="20"/>
          <w:lang w:val="en-GB"/>
        </w:rPr>
        <w:t xml:space="preserve">environmental information must </w:t>
      </w:r>
      <w:r w:rsidR="00836ADC">
        <w:rPr>
          <w:rStyle w:val="st"/>
          <w:sz w:val="20"/>
          <w:szCs w:val="20"/>
          <w:lang w:val="en-GB"/>
        </w:rPr>
        <w:t xml:space="preserve">be calculated </w:t>
      </w:r>
      <w:r w:rsidR="00204373">
        <w:rPr>
          <w:rStyle w:val="st"/>
          <w:sz w:val="20"/>
          <w:szCs w:val="20"/>
          <w:lang w:val="en-GB"/>
        </w:rPr>
        <w:t xml:space="preserve">while </w:t>
      </w:r>
      <w:r w:rsidR="004562FB">
        <w:rPr>
          <w:rStyle w:val="st"/>
          <w:sz w:val="20"/>
          <w:szCs w:val="20"/>
          <w:lang w:val="en-GB"/>
        </w:rPr>
        <w:t xml:space="preserve">recognising and </w:t>
      </w:r>
      <w:r w:rsidR="00836ADC">
        <w:rPr>
          <w:rStyle w:val="st"/>
          <w:sz w:val="20"/>
          <w:szCs w:val="20"/>
          <w:lang w:val="en-GB"/>
        </w:rPr>
        <w:t>bearing in mind that such information is held in the public interest.</w:t>
      </w:r>
    </w:p>
    <w:p w14:paraId="210A59D5" w14:textId="44868FF7" w:rsidR="006F3C5E" w:rsidRPr="00320BE7" w:rsidRDefault="00204373" w:rsidP="0037714A">
      <w:pPr>
        <w:pStyle w:val="SingleTxtG"/>
        <w:numPr>
          <w:ilvl w:val="0"/>
          <w:numId w:val="3"/>
        </w:numPr>
        <w:tabs>
          <w:tab w:val="right" w:pos="567"/>
          <w:tab w:val="num" w:pos="1276"/>
        </w:tabs>
        <w:ind w:left="1134" w:right="0" w:firstLine="0"/>
        <w:rPr>
          <w:rStyle w:val="st"/>
          <w:sz w:val="20"/>
          <w:szCs w:val="20"/>
          <w:lang w:val="en-GB"/>
        </w:rPr>
      </w:pPr>
      <w:r>
        <w:rPr>
          <w:rStyle w:val="st"/>
          <w:sz w:val="20"/>
          <w:szCs w:val="20"/>
          <w:lang w:val="en-GB"/>
        </w:rPr>
        <w:t>When determining</w:t>
      </w:r>
      <w:r w:rsidR="00EB6321" w:rsidRPr="00320BE7">
        <w:rPr>
          <w:rStyle w:val="st"/>
          <w:sz w:val="20"/>
          <w:szCs w:val="20"/>
          <w:lang w:val="en-GB"/>
        </w:rPr>
        <w:t xml:space="preserve"> whether </w:t>
      </w:r>
      <w:r w:rsidR="007702E9" w:rsidRPr="00320BE7">
        <w:rPr>
          <w:rStyle w:val="st"/>
          <w:sz w:val="20"/>
          <w:szCs w:val="20"/>
          <w:lang w:val="en-GB"/>
        </w:rPr>
        <w:t xml:space="preserve">the </w:t>
      </w:r>
      <w:r w:rsidR="00EB6321" w:rsidRPr="00320BE7">
        <w:rPr>
          <w:rStyle w:val="st"/>
          <w:sz w:val="20"/>
          <w:szCs w:val="20"/>
          <w:lang w:val="en-GB"/>
        </w:rPr>
        <w:t xml:space="preserve">amount of </w:t>
      </w:r>
      <w:r w:rsidR="006B64CE" w:rsidRPr="00320BE7">
        <w:rPr>
          <w:rStyle w:val="st"/>
          <w:sz w:val="20"/>
          <w:szCs w:val="20"/>
          <w:lang w:val="en-GB"/>
        </w:rPr>
        <w:t>any</w:t>
      </w:r>
      <w:r w:rsidR="00EB6321" w:rsidRPr="00320BE7">
        <w:rPr>
          <w:rStyle w:val="st"/>
          <w:sz w:val="20"/>
          <w:szCs w:val="20"/>
          <w:lang w:val="en-GB"/>
        </w:rPr>
        <w:t xml:space="preserve"> charge </w:t>
      </w:r>
      <w:r w:rsidR="006B64CE" w:rsidRPr="00320BE7">
        <w:rPr>
          <w:rStyle w:val="st"/>
          <w:sz w:val="20"/>
          <w:szCs w:val="20"/>
          <w:lang w:val="en-GB"/>
        </w:rPr>
        <w:t xml:space="preserve">under article 4(8) </w:t>
      </w:r>
      <w:r w:rsidR="00EB6321" w:rsidRPr="00320BE7">
        <w:rPr>
          <w:rStyle w:val="st"/>
          <w:sz w:val="20"/>
          <w:szCs w:val="20"/>
          <w:lang w:val="en-GB"/>
        </w:rPr>
        <w:t>is reasonable</w:t>
      </w:r>
      <w:r w:rsidR="001B01F2">
        <w:rPr>
          <w:rStyle w:val="st"/>
          <w:sz w:val="20"/>
          <w:szCs w:val="20"/>
          <w:lang w:val="en-GB"/>
        </w:rPr>
        <w:t>,</w:t>
      </w:r>
      <w:r w:rsidR="00EB6321" w:rsidRPr="00320BE7">
        <w:rPr>
          <w:rStyle w:val="st"/>
          <w:sz w:val="20"/>
          <w:szCs w:val="20"/>
          <w:lang w:val="en-GB"/>
        </w:rPr>
        <w:t xml:space="preserve"> account must be taken </w:t>
      </w:r>
      <w:r w:rsidR="00DA6783" w:rsidRPr="00320BE7">
        <w:rPr>
          <w:rStyle w:val="st"/>
          <w:sz w:val="20"/>
          <w:szCs w:val="20"/>
          <w:lang w:val="en-GB"/>
        </w:rPr>
        <w:t>of</w:t>
      </w:r>
      <w:r w:rsidR="00A01A53" w:rsidRPr="00320BE7">
        <w:rPr>
          <w:rStyle w:val="st"/>
          <w:sz w:val="20"/>
          <w:szCs w:val="20"/>
          <w:lang w:val="en-GB"/>
        </w:rPr>
        <w:t xml:space="preserve"> </w:t>
      </w:r>
      <w:r w:rsidR="001822DA" w:rsidRPr="00320BE7">
        <w:rPr>
          <w:rStyle w:val="st"/>
          <w:sz w:val="20"/>
          <w:szCs w:val="20"/>
          <w:lang w:val="en-GB"/>
        </w:rPr>
        <w:t>the objective of access to environmental information</w:t>
      </w:r>
      <w:r w:rsidR="00760BA4" w:rsidRPr="00320BE7">
        <w:rPr>
          <w:rStyle w:val="st"/>
          <w:sz w:val="20"/>
          <w:szCs w:val="20"/>
          <w:lang w:val="en-GB"/>
        </w:rPr>
        <w:t xml:space="preserve"> as outlined above</w:t>
      </w:r>
      <w:r w:rsidR="00FB18B2">
        <w:rPr>
          <w:rStyle w:val="st"/>
          <w:sz w:val="20"/>
          <w:szCs w:val="20"/>
          <w:lang w:val="en-GB"/>
        </w:rPr>
        <w:t>,</w:t>
      </w:r>
      <w:r w:rsidR="00D8287F" w:rsidRPr="00320BE7">
        <w:rPr>
          <w:rStyle w:val="st"/>
          <w:sz w:val="20"/>
          <w:szCs w:val="20"/>
          <w:lang w:val="en-GB"/>
        </w:rPr>
        <w:t xml:space="preserve"> the public interest in the protection of the environment</w:t>
      </w:r>
      <w:r w:rsidR="00FB18B2">
        <w:rPr>
          <w:rStyle w:val="st"/>
          <w:sz w:val="20"/>
          <w:szCs w:val="20"/>
          <w:lang w:val="en-GB"/>
        </w:rPr>
        <w:t>,</w:t>
      </w:r>
      <w:r w:rsidR="00760BA4" w:rsidRPr="00320BE7">
        <w:rPr>
          <w:rStyle w:val="st"/>
          <w:sz w:val="20"/>
          <w:szCs w:val="20"/>
          <w:lang w:val="en-GB"/>
        </w:rPr>
        <w:t xml:space="preserve"> the </w:t>
      </w:r>
      <w:r w:rsidR="00E91F2A" w:rsidRPr="00320BE7">
        <w:rPr>
          <w:rStyle w:val="st"/>
          <w:sz w:val="20"/>
          <w:szCs w:val="20"/>
          <w:lang w:val="en-GB"/>
        </w:rPr>
        <w:t>recognition</w:t>
      </w:r>
      <w:r w:rsidR="00760BA4" w:rsidRPr="00320BE7">
        <w:rPr>
          <w:rStyle w:val="st"/>
          <w:sz w:val="20"/>
          <w:szCs w:val="20"/>
          <w:lang w:val="en-GB"/>
        </w:rPr>
        <w:t xml:space="preserve"> that public authorities hold environmental information in the public </w:t>
      </w:r>
      <w:r w:rsidR="00B60F24" w:rsidRPr="00320BE7">
        <w:rPr>
          <w:rStyle w:val="st"/>
          <w:sz w:val="20"/>
          <w:szCs w:val="20"/>
          <w:lang w:val="en-GB"/>
        </w:rPr>
        <w:t>i</w:t>
      </w:r>
      <w:r w:rsidR="00760BA4" w:rsidRPr="00320BE7">
        <w:rPr>
          <w:rStyle w:val="st"/>
          <w:sz w:val="20"/>
          <w:szCs w:val="20"/>
          <w:lang w:val="en-GB"/>
        </w:rPr>
        <w:t>nterest</w:t>
      </w:r>
      <w:r w:rsidR="00FB18B2">
        <w:rPr>
          <w:rStyle w:val="st"/>
          <w:sz w:val="20"/>
          <w:szCs w:val="20"/>
          <w:lang w:val="en-GB"/>
        </w:rPr>
        <w:t>,</w:t>
      </w:r>
      <w:r w:rsidR="00DA6783" w:rsidRPr="00320BE7">
        <w:rPr>
          <w:rStyle w:val="st"/>
          <w:sz w:val="20"/>
          <w:szCs w:val="20"/>
          <w:lang w:val="en-GB"/>
        </w:rPr>
        <w:t xml:space="preserve"> </w:t>
      </w:r>
      <w:r w:rsidR="007702E9" w:rsidRPr="00320BE7">
        <w:rPr>
          <w:rStyle w:val="st"/>
          <w:sz w:val="20"/>
          <w:szCs w:val="20"/>
          <w:lang w:val="en-GB"/>
        </w:rPr>
        <w:t xml:space="preserve">the economic circumstances of </w:t>
      </w:r>
      <w:r w:rsidR="000641C1" w:rsidRPr="00320BE7">
        <w:rPr>
          <w:rStyle w:val="st"/>
          <w:sz w:val="20"/>
          <w:szCs w:val="20"/>
          <w:lang w:val="en-GB"/>
        </w:rPr>
        <w:t>the</w:t>
      </w:r>
      <w:r w:rsidR="00DA6783" w:rsidRPr="00320BE7">
        <w:rPr>
          <w:rStyle w:val="st"/>
          <w:sz w:val="20"/>
          <w:szCs w:val="20"/>
          <w:lang w:val="en-GB"/>
        </w:rPr>
        <w:t xml:space="preserve"> public</w:t>
      </w:r>
      <w:r w:rsidR="000641C1" w:rsidRPr="00320BE7">
        <w:rPr>
          <w:rStyle w:val="st"/>
          <w:sz w:val="20"/>
          <w:szCs w:val="20"/>
          <w:lang w:val="en-GB"/>
        </w:rPr>
        <w:t xml:space="preserve"> in general and of </w:t>
      </w:r>
      <w:r w:rsidR="007702E9" w:rsidRPr="00320BE7">
        <w:rPr>
          <w:rStyle w:val="st"/>
          <w:sz w:val="20"/>
          <w:szCs w:val="20"/>
          <w:lang w:val="en-GB"/>
        </w:rPr>
        <w:t>the requester</w:t>
      </w:r>
      <w:r w:rsidR="00FB18B2">
        <w:rPr>
          <w:rStyle w:val="st"/>
          <w:sz w:val="20"/>
          <w:szCs w:val="20"/>
          <w:lang w:val="en-GB"/>
        </w:rPr>
        <w:t>,</w:t>
      </w:r>
      <w:r w:rsidR="007702E9" w:rsidRPr="00320BE7">
        <w:rPr>
          <w:rStyle w:val="st"/>
          <w:sz w:val="20"/>
          <w:szCs w:val="20"/>
          <w:lang w:val="en-GB"/>
        </w:rPr>
        <w:t xml:space="preserve"> </w:t>
      </w:r>
      <w:r w:rsidR="00E63731">
        <w:rPr>
          <w:rStyle w:val="st"/>
          <w:sz w:val="20"/>
          <w:szCs w:val="20"/>
          <w:lang w:val="en-GB"/>
        </w:rPr>
        <w:t>and</w:t>
      </w:r>
      <w:r w:rsidR="000641C1" w:rsidRPr="00320BE7">
        <w:rPr>
          <w:rStyle w:val="st"/>
          <w:sz w:val="20"/>
          <w:szCs w:val="20"/>
          <w:lang w:val="en-GB"/>
        </w:rPr>
        <w:t xml:space="preserve"> </w:t>
      </w:r>
      <w:r w:rsidR="00DA6783" w:rsidRPr="00320BE7">
        <w:rPr>
          <w:rStyle w:val="st"/>
          <w:sz w:val="20"/>
          <w:szCs w:val="20"/>
          <w:lang w:val="en-GB"/>
        </w:rPr>
        <w:t xml:space="preserve">the justification </w:t>
      </w:r>
      <w:r w:rsidR="001B01F2">
        <w:rPr>
          <w:rStyle w:val="st"/>
          <w:sz w:val="20"/>
          <w:szCs w:val="20"/>
          <w:lang w:val="en-GB"/>
        </w:rPr>
        <w:t>given for</w:t>
      </w:r>
      <w:r w:rsidR="007702E9" w:rsidRPr="00320BE7">
        <w:rPr>
          <w:rStyle w:val="st"/>
          <w:sz w:val="20"/>
          <w:szCs w:val="20"/>
          <w:lang w:val="en-GB"/>
        </w:rPr>
        <w:t xml:space="preserve"> the amount</w:t>
      </w:r>
      <w:r w:rsidR="00DA6783" w:rsidRPr="00320BE7">
        <w:rPr>
          <w:rStyle w:val="st"/>
          <w:sz w:val="20"/>
          <w:szCs w:val="20"/>
          <w:lang w:val="en-GB"/>
        </w:rPr>
        <w:t xml:space="preserve"> charged</w:t>
      </w:r>
      <w:r w:rsidR="007702E9" w:rsidRPr="00320BE7">
        <w:rPr>
          <w:rStyle w:val="st"/>
          <w:sz w:val="20"/>
          <w:szCs w:val="20"/>
          <w:lang w:val="en-GB"/>
        </w:rPr>
        <w:t xml:space="preserve">. </w:t>
      </w:r>
      <w:r w:rsidR="006F3C5E" w:rsidRPr="00320BE7">
        <w:rPr>
          <w:rStyle w:val="st"/>
          <w:sz w:val="20"/>
          <w:szCs w:val="20"/>
          <w:lang w:val="en-GB"/>
        </w:rPr>
        <w:t xml:space="preserve">It follows that any such charge should be duly explained, reasoned and justified and must not appear unreasonable to the public. </w:t>
      </w:r>
    </w:p>
    <w:p w14:paraId="7A1B8ADC" w14:textId="39BD1D69" w:rsidR="00652ABA" w:rsidRDefault="00204373" w:rsidP="00FB18B2">
      <w:pPr>
        <w:pStyle w:val="SingleTxtG"/>
        <w:numPr>
          <w:ilvl w:val="0"/>
          <w:numId w:val="3"/>
        </w:numPr>
        <w:tabs>
          <w:tab w:val="right" w:pos="567"/>
          <w:tab w:val="num" w:pos="1276"/>
        </w:tabs>
        <w:ind w:left="1134" w:right="0" w:firstLine="0"/>
        <w:rPr>
          <w:rStyle w:val="st"/>
          <w:sz w:val="20"/>
          <w:szCs w:val="20"/>
          <w:lang w:val="en-GB"/>
        </w:rPr>
      </w:pPr>
      <w:r>
        <w:rPr>
          <w:rStyle w:val="st"/>
          <w:sz w:val="20"/>
          <w:szCs w:val="20"/>
          <w:lang w:val="en-GB"/>
        </w:rPr>
        <w:t>Moreover, t</w:t>
      </w:r>
      <w:r w:rsidR="00652ABA" w:rsidRPr="00AE396C">
        <w:rPr>
          <w:rStyle w:val="st"/>
          <w:sz w:val="20"/>
          <w:szCs w:val="20"/>
          <w:lang w:val="en-GB"/>
        </w:rPr>
        <w:t xml:space="preserve">he Committee </w:t>
      </w:r>
      <w:r w:rsidR="000641C1">
        <w:rPr>
          <w:rStyle w:val="st"/>
          <w:sz w:val="20"/>
          <w:szCs w:val="20"/>
          <w:lang w:val="en-GB"/>
        </w:rPr>
        <w:t>underlines</w:t>
      </w:r>
      <w:r w:rsidR="00652ABA" w:rsidRPr="00AE396C">
        <w:rPr>
          <w:rStyle w:val="st"/>
          <w:sz w:val="20"/>
          <w:szCs w:val="20"/>
          <w:lang w:val="en-GB"/>
        </w:rPr>
        <w:t xml:space="preserve"> that </w:t>
      </w:r>
      <w:r w:rsidR="003F290E">
        <w:rPr>
          <w:rStyle w:val="st"/>
          <w:sz w:val="20"/>
          <w:szCs w:val="20"/>
          <w:lang w:val="en-GB"/>
        </w:rPr>
        <w:t>a</w:t>
      </w:r>
      <w:r w:rsidR="000641C1">
        <w:rPr>
          <w:rStyle w:val="st"/>
          <w:sz w:val="20"/>
          <w:szCs w:val="20"/>
          <w:lang w:val="en-GB"/>
        </w:rPr>
        <w:t>ny</w:t>
      </w:r>
      <w:r w:rsidR="003F290E">
        <w:rPr>
          <w:rStyle w:val="st"/>
          <w:sz w:val="20"/>
          <w:szCs w:val="20"/>
          <w:lang w:val="en-GB"/>
        </w:rPr>
        <w:t xml:space="preserve"> </w:t>
      </w:r>
      <w:r w:rsidR="00652ABA" w:rsidRPr="00AE396C">
        <w:rPr>
          <w:rStyle w:val="st"/>
          <w:sz w:val="20"/>
          <w:szCs w:val="20"/>
          <w:lang w:val="en-GB"/>
        </w:rPr>
        <w:t>charge</w:t>
      </w:r>
      <w:r w:rsidR="00202E27">
        <w:rPr>
          <w:rStyle w:val="st"/>
          <w:sz w:val="20"/>
          <w:szCs w:val="20"/>
          <w:lang w:val="en-GB"/>
        </w:rPr>
        <w:t xml:space="preserve">s for </w:t>
      </w:r>
      <w:r w:rsidR="0069410F">
        <w:rPr>
          <w:rStyle w:val="st"/>
          <w:sz w:val="20"/>
          <w:szCs w:val="20"/>
          <w:lang w:val="en-GB"/>
        </w:rPr>
        <w:t xml:space="preserve">supplying environmental </w:t>
      </w:r>
      <w:r w:rsidR="00202E27">
        <w:rPr>
          <w:rStyle w:val="st"/>
          <w:sz w:val="20"/>
          <w:szCs w:val="20"/>
          <w:lang w:val="en-GB"/>
        </w:rPr>
        <w:t>information must</w:t>
      </w:r>
      <w:r w:rsidR="00652ABA" w:rsidRPr="00AE396C">
        <w:rPr>
          <w:rStyle w:val="st"/>
          <w:sz w:val="20"/>
          <w:szCs w:val="20"/>
          <w:lang w:val="en-GB"/>
        </w:rPr>
        <w:t xml:space="preserve"> be</w:t>
      </w:r>
      <w:r w:rsidR="000641C1">
        <w:rPr>
          <w:rStyle w:val="st"/>
          <w:sz w:val="20"/>
          <w:szCs w:val="20"/>
          <w:lang w:val="en-GB"/>
        </w:rPr>
        <w:t xml:space="preserve"> based on a</w:t>
      </w:r>
      <w:r w:rsidR="00652ABA" w:rsidRPr="00AE396C">
        <w:rPr>
          <w:rStyle w:val="st"/>
          <w:sz w:val="20"/>
          <w:szCs w:val="20"/>
          <w:lang w:val="en-GB"/>
        </w:rPr>
        <w:t xml:space="preserve"> </w:t>
      </w:r>
      <w:r w:rsidR="000641C1">
        <w:rPr>
          <w:rStyle w:val="st"/>
          <w:sz w:val="20"/>
          <w:szCs w:val="20"/>
          <w:lang w:val="en-GB"/>
        </w:rPr>
        <w:t xml:space="preserve">transparent calculation and </w:t>
      </w:r>
      <w:r w:rsidR="008C2589">
        <w:rPr>
          <w:rStyle w:val="st"/>
          <w:sz w:val="20"/>
          <w:szCs w:val="20"/>
          <w:lang w:val="en-GB"/>
        </w:rPr>
        <w:t xml:space="preserve">while they </w:t>
      </w:r>
      <w:r w:rsidR="00C071EF" w:rsidRPr="009461A9">
        <w:rPr>
          <w:rStyle w:val="st"/>
          <w:sz w:val="20"/>
          <w:szCs w:val="20"/>
          <w:lang w:val="en-GB"/>
        </w:rPr>
        <w:t>may include</w:t>
      </w:r>
      <w:r w:rsidR="00FB18B2">
        <w:rPr>
          <w:rStyle w:val="st"/>
          <w:sz w:val="20"/>
          <w:szCs w:val="20"/>
          <w:lang w:val="en-GB"/>
        </w:rPr>
        <w:t xml:space="preserve"> a contribution towards </w:t>
      </w:r>
      <w:r w:rsidR="00C071EF" w:rsidRPr="009461A9">
        <w:rPr>
          <w:rStyle w:val="st"/>
          <w:sz w:val="20"/>
          <w:szCs w:val="20"/>
          <w:lang w:val="en-GB"/>
        </w:rPr>
        <w:t>the material costs for supplying the environmental information</w:t>
      </w:r>
      <w:r w:rsidR="00D14201">
        <w:rPr>
          <w:rStyle w:val="st"/>
          <w:sz w:val="20"/>
          <w:szCs w:val="20"/>
          <w:lang w:val="en-GB"/>
        </w:rPr>
        <w:t xml:space="preserve">, they </w:t>
      </w:r>
      <w:r w:rsidR="00652ABA" w:rsidRPr="00AE396C">
        <w:rPr>
          <w:rStyle w:val="st"/>
          <w:sz w:val="20"/>
          <w:szCs w:val="20"/>
          <w:lang w:val="en-GB"/>
        </w:rPr>
        <w:t xml:space="preserve">must not include </w:t>
      </w:r>
      <w:r w:rsidR="000641C1">
        <w:rPr>
          <w:rStyle w:val="st"/>
          <w:sz w:val="20"/>
          <w:szCs w:val="20"/>
          <w:lang w:val="en-GB"/>
        </w:rPr>
        <w:t xml:space="preserve">the </w:t>
      </w:r>
      <w:r w:rsidR="00652ABA" w:rsidRPr="00AE396C">
        <w:rPr>
          <w:rStyle w:val="st"/>
          <w:sz w:val="20"/>
          <w:szCs w:val="20"/>
          <w:lang w:val="en-GB"/>
        </w:rPr>
        <w:t>cost of</w:t>
      </w:r>
      <w:r w:rsidR="005743F8">
        <w:rPr>
          <w:rStyle w:val="st"/>
          <w:sz w:val="20"/>
          <w:szCs w:val="20"/>
          <w:lang w:val="en-GB"/>
        </w:rPr>
        <w:t xml:space="preserve"> the initial</w:t>
      </w:r>
      <w:r w:rsidR="00652ABA" w:rsidRPr="00AE396C">
        <w:rPr>
          <w:rStyle w:val="st"/>
          <w:sz w:val="20"/>
          <w:szCs w:val="20"/>
          <w:lang w:val="en-GB"/>
        </w:rPr>
        <w:t xml:space="preserve"> production</w:t>
      </w:r>
      <w:r w:rsidR="00D14201">
        <w:rPr>
          <w:rStyle w:val="st"/>
          <w:sz w:val="20"/>
          <w:szCs w:val="20"/>
          <w:lang w:val="en-GB"/>
        </w:rPr>
        <w:t xml:space="preserve">, </w:t>
      </w:r>
      <w:r w:rsidR="00652ABA" w:rsidRPr="00AE396C">
        <w:rPr>
          <w:rStyle w:val="st"/>
          <w:sz w:val="20"/>
          <w:szCs w:val="20"/>
          <w:lang w:val="en-GB"/>
        </w:rPr>
        <w:t>collection</w:t>
      </w:r>
      <w:r w:rsidR="00D14201">
        <w:rPr>
          <w:rStyle w:val="st"/>
          <w:sz w:val="20"/>
          <w:szCs w:val="20"/>
          <w:lang w:val="en-GB"/>
        </w:rPr>
        <w:t xml:space="preserve"> or acquisition</w:t>
      </w:r>
      <w:r w:rsidR="00652ABA" w:rsidRPr="00AE396C">
        <w:rPr>
          <w:rStyle w:val="st"/>
          <w:sz w:val="20"/>
          <w:szCs w:val="20"/>
          <w:lang w:val="en-GB"/>
        </w:rPr>
        <w:t xml:space="preserve"> of the information itself or</w:t>
      </w:r>
      <w:r w:rsidR="005743F8">
        <w:rPr>
          <w:rStyle w:val="st"/>
          <w:sz w:val="20"/>
          <w:szCs w:val="20"/>
          <w:lang w:val="en-GB"/>
        </w:rPr>
        <w:t xml:space="preserve"> any</w:t>
      </w:r>
      <w:r w:rsidR="00652ABA" w:rsidRPr="00AE396C">
        <w:rPr>
          <w:rStyle w:val="st"/>
          <w:sz w:val="20"/>
          <w:szCs w:val="20"/>
          <w:lang w:val="en-GB"/>
        </w:rPr>
        <w:t xml:space="preserve"> other indirect cost. </w:t>
      </w:r>
      <w:r>
        <w:rPr>
          <w:rStyle w:val="st"/>
          <w:sz w:val="20"/>
          <w:szCs w:val="20"/>
          <w:lang w:val="en-GB"/>
        </w:rPr>
        <w:t>Finally</w:t>
      </w:r>
      <w:r w:rsidR="00652ABA" w:rsidRPr="00AE396C">
        <w:rPr>
          <w:rStyle w:val="st"/>
          <w:sz w:val="20"/>
          <w:szCs w:val="20"/>
          <w:lang w:val="en-GB"/>
        </w:rPr>
        <w:t xml:space="preserve">, </w:t>
      </w:r>
      <w:r w:rsidR="003B251C">
        <w:rPr>
          <w:rStyle w:val="st"/>
          <w:sz w:val="20"/>
          <w:szCs w:val="20"/>
          <w:lang w:val="en-GB"/>
        </w:rPr>
        <w:t>any</w:t>
      </w:r>
      <w:r w:rsidR="003B251C" w:rsidRPr="00AE396C">
        <w:rPr>
          <w:rStyle w:val="st"/>
          <w:sz w:val="20"/>
          <w:szCs w:val="20"/>
          <w:lang w:val="en-GB"/>
        </w:rPr>
        <w:t xml:space="preserve"> </w:t>
      </w:r>
      <w:r w:rsidR="00652ABA" w:rsidRPr="00AE396C">
        <w:rPr>
          <w:rStyle w:val="st"/>
          <w:sz w:val="20"/>
          <w:szCs w:val="20"/>
          <w:lang w:val="en-GB"/>
        </w:rPr>
        <w:t>charge must not have a deterrent effect on persons wishing to obtain information</w:t>
      </w:r>
      <w:r w:rsidR="00F25434">
        <w:rPr>
          <w:rStyle w:val="st"/>
          <w:sz w:val="20"/>
          <w:szCs w:val="20"/>
          <w:lang w:val="en-GB"/>
        </w:rPr>
        <w:t xml:space="preserve">, effectively </w:t>
      </w:r>
      <w:r w:rsidR="00652ABA" w:rsidRPr="00AE396C">
        <w:rPr>
          <w:rStyle w:val="st"/>
          <w:sz w:val="20"/>
          <w:szCs w:val="20"/>
          <w:lang w:val="en-GB"/>
        </w:rPr>
        <w:t>restrict</w:t>
      </w:r>
      <w:r w:rsidR="00F25434">
        <w:rPr>
          <w:rStyle w:val="st"/>
          <w:sz w:val="20"/>
          <w:szCs w:val="20"/>
          <w:lang w:val="en-GB"/>
        </w:rPr>
        <w:t>ing</w:t>
      </w:r>
      <w:r w:rsidR="00652ABA" w:rsidRPr="00AE396C">
        <w:rPr>
          <w:rStyle w:val="st"/>
          <w:sz w:val="20"/>
          <w:szCs w:val="20"/>
          <w:lang w:val="en-GB"/>
        </w:rPr>
        <w:t xml:space="preserve"> their right of access to information</w:t>
      </w:r>
      <w:r w:rsidR="00423752">
        <w:rPr>
          <w:rStyle w:val="st"/>
          <w:sz w:val="20"/>
          <w:szCs w:val="20"/>
          <w:lang w:val="en-GB"/>
        </w:rPr>
        <w:t>.</w:t>
      </w:r>
    </w:p>
    <w:p w14:paraId="347586F5" w14:textId="473616A3" w:rsidR="00BA1780" w:rsidRPr="00043B45" w:rsidRDefault="00BA1780" w:rsidP="00BA1780">
      <w:pPr>
        <w:pStyle w:val="SingleTxtG"/>
        <w:numPr>
          <w:ilvl w:val="0"/>
          <w:numId w:val="3"/>
        </w:numPr>
        <w:tabs>
          <w:tab w:val="right" w:pos="567"/>
          <w:tab w:val="num" w:pos="1276"/>
        </w:tabs>
        <w:ind w:left="1134" w:right="0" w:firstLine="0"/>
        <w:rPr>
          <w:sz w:val="20"/>
          <w:szCs w:val="20"/>
          <w:vertAlign w:val="superscript"/>
          <w:lang w:val="en-GB"/>
        </w:rPr>
      </w:pPr>
      <w:r w:rsidRPr="00AE396C">
        <w:rPr>
          <w:rStyle w:val="st"/>
          <w:sz w:val="20"/>
          <w:szCs w:val="20"/>
          <w:lang w:val="en-GB"/>
        </w:rPr>
        <w:t xml:space="preserve">The Committee </w:t>
      </w:r>
      <w:r>
        <w:rPr>
          <w:rStyle w:val="st"/>
          <w:sz w:val="20"/>
          <w:szCs w:val="20"/>
          <w:lang w:val="en-GB"/>
        </w:rPr>
        <w:t>understands</w:t>
      </w:r>
      <w:r w:rsidRPr="00AE396C">
        <w:rPr>
          <w:rStyle w:val="st"/>
          <w:sz w:val="20"/>
          <w:szCs w:val="20"/>
          <w:lang w:val="en-GB"/>
        </w:rPr>
        <w:t xml:space="preserve"> Regulation </w:t>
      </w:r>
      <w:r>
        <w:rPr>
          <w:rStyle w:val="st"/>
          <w:sz w:val="20"/>
          <w:szCs w:val="20"/>
          <w:lang w:val="en-GB"/>
        </w:rPr>
        <w:t xml:space="preserve">No. </w:t>
      </w:r>
      <w:r w:rsidRPr="00AE396C">
        <w:rPr>
          <w:rStyle w:val="st"/>
          <w:sz w:val="20"/>
          <w:szCs w:val="20"/>
          <w:lang w:val="en-GB"/>
        </w:rPr>
        <w:t xml:space="preserve">330 </w:t>
      </w:r>
      <w:r w:rsidR="00233AA3">
        <w:rPr>
          <w:rStyle w:val="st"/>
          <w:sz w:val="20"/>
          <w:szCs w:val="20"/>
          <w:lang w:val="en-GB"/>
        </w:rPr>
        <w:t>to be</w:t>
      </w:r>
      <w:r w:rsidRPr="00AE396C">
        <w:rPr>
          <w:rStyle w:val="st"/>
          <w:sz w:val="20"/>
          <w:szCs w:val="20"/>
          <w:lang w:val="en-GB"/>
        </w:rPr>
        <w:t xml:space="preserve"> </w:t>
      </w:r>
      <w:r w:rsidRPr="00AE396C">
        <w:rPr>
          <w:sz w:val="20"/>
          <w:szCs w:val="20"/>
          <w:lang w:val="en-GB"/>
        </w:rPr>
        <w:t xml:space="preserve">the </w:t>
      </w:r>
      <w:r>
        <w:rPr>
          <w:sz w:val="20"/>
          <w:szCs w:val="20"/>
          <w:lang w:val="en-GB"/>
        </w:rPr>
        <w:t xml:space="preserve">legal </w:t>
      </w:r>
      <w:r w:rsidRPr="00AE396C">
        <w:rPr>
          <w:sz w:val="20"/>
          <w:szCs w:val="20"/>
          <w:lang w:val="en-GB"/>
        </w:rPr>
        <w:t>basis for access to hydrometeorological information</w:t>
      </w:r>
      <w:r w:rsidR="00E47291">
        <w:rPr>
          <w:sz w:val="20"/>
          <w:szCs w:val="20"/>
          <w:lang w:val="en-GB"/>
        </w:rPr>
        <w:t xml:space="preserve"> in the Party concerned</w:t>
      </w:r>
      <w:r w:rsidRPr="00AE396C">
        <w:rPr>
          <w:sz w:val="20"/>
          <w:szCs w:val="20"/>
          <w:lang w:val="en-GB"/>
        </w:rPr>
        <w:t xml:space="preserve"> and</w:t>
      </w:r>
      <w:r>
        <w:rPr>
          <w:sz w:val="20"/>
          <w:szCs w:val="20"/>
          <w:lang w:val="en-GB"/>
        </w:rPr>
        <w:t xml:space="preserve"> the annexes to that Regulation to provide</w:t>
      </w:r>
      <w:r w:rsidRPr="00AE396C">
        <w:rPr>
          <w:sz w:val="20"/>
          <w:szCs w:val="20"/>
          <w:lang w:val="en-GB"/>
        </w:rPr>
        <w:t xml:space="preserve"> </w:t>
      </w:r>
      <w:r>
        <w:rPr>
          <w:sz w:val="20"/>
          <w:szCs w:val="20"/>
          <w:lang w:val="en-GB"/>
        </w:rPr>
        <w:t>a</w:t>
      </w:r>
      <w:r w:rsidRPr="00AE396C">
        <w:rPr>
          <w:rStyle w:val="st"/>
          <w:sz w:val="20"/>
          <w:szCs w:val="20"/>
          <w:lang w:val="en-GB"/>
        </w:rPr>
        <w:t xml:space="preserve"> schedule of charges as envisaged in article 4(8)</w:t>
      </w:r>
      <w:r>
        <w:rPr>
          <w:rStyle w:val="st"/>
          <w:sz w:val="20"/>
          <w:szCs w:val="20"/>
          <w:lang w:val="en-GB"/>
        </w:rPr>
        <w:t xml:space="preserve"> of the Convention</w:t>
      </w:r>
      <w:r w:rsidRPr="00AE396C">
        <w:rPr>
          <w:sz w:val="20"/>
          <w:szCs w:val="20"/>
          <w:lang w:val="en-GB"/>
        </w:rPr>
        <w:t xml:space="preserve">. </w:t>
      </w:r>
      <w:r w:rsidR="00572A67">
        <w:rPr>
          <w:sz w:val="20"/>
          <w:szCs w:val="20"/>
          <w:lang w:val="en-GB"/>
        </w:rPr>
        <w:t>The</w:t>
      </w:r>
      <w:r w:rsidR="007358B3">
        <w:rPr>
          <w:sz w:val="20"/>
          <w:szCs w:val="20"/>
          <w:lang w:val="en-GB"/>
        </w:rPr>
        <w:t>se</w:t>
      </w:r>
      <w:r w:rsidR="00572A67">
        <w:rPr>
          <w:sz w:val="20"/>
          <w:szCs w:val="20"/>
          <w:lang w:val="en-GB"/>
        </w:rPr>
        <w:t xml:space="preserve"> annexes</w:t>
      </w:r>
      <w:r>
        <w:rPr>
          <w:sz w:val="20"/>
          <w:szCs w:val="20"/>
          <w:lang w:val="en-GB"/>
        </w:rPr>
        <w:t xml:space="preserve"> </w:t>
      </w:r>
      <w:r w:rsidRPr="00AE396C">
        <w:rPr>
          <w:sz w:val="20"/>
          <w:szCs w:val="20"/>
          <w:lang w:val="en-GB"/>
        </w:rPr>
        <w:t xml:space="preserve">include </w:t>
      </w:r>
      <w:r>
        <w:rPr>
          <w:sz w:val="20"/>
          <w:szCs w:val="20"/>
          <w:lang w:val="en-GB"/>
        </w:rPr>
        <w:t>both</w:t>
      </w:r>
      <w:r w:rsidRPr="00AE396C">
        <w:rPr>
          <w:sz w:val="20"/>
          <w:szCs w:val="20"/>
          <w:lang w:val="en-GB"/>
        </w:rPr>
        <w:t xml:space="preserve"> the list of services the SHS provides for free</w:t>
      </w:r>
      <w:r>
        <w:rPr>
          <w:sz w:val="20"/>
          <w:szCs w:val="20"/>
          <w:lang w:val="en-GB"/>
        </w:rPr>
        <w:t xml:space="preserve"> (annex 1) and</w:t>
      </w:r>
      <w:r w:rsidRPr="00AE396C">
        <w:rPr>
          <w:sz w:val="20"/>
          <w:szCs w:val="20"/>
          <w:lang w:val="en-GB"/>
        </w:rPr>
        <w:t xml:space="preserve"> the list of services for which SHS charges a fee</w:t>
      </w:r>
      <w:r>
        <w:rPr>
          <w:sz w:val="20"/>
          <w:szCs w:val="20"/>
          <w:lang w:val="en-GB"/>
        </w:rPr>
        <w:t xml:space="preserve"> (annex 2) (see paras. </w:t>
      </w:r>
      <w:r w:rsidR="00A9164D">
        <w:rPr>
          <w:sz w:val="20"/>
          <w:szCs w:val="20"/>
          <w:lang w:val="en-GB"/>
        </w:rPr>
        <w:fldChar w:fldCharType="begin"/>
      </w:r>
      <w:r w:rsidR="00A9164D">
        <w:rPr>
          <w:sz w:val="20"/>
          <w:szCs w:val="20"/>
          <w:lang w:val="en-GB"/>
        </w:rPr>
        <w:instrText xml:space="preserve"> REF _Ref67064710 \r \h </w:instrText>
      </w:r>
      <w:r w:rsidR="00A9164D">
        <w:rPr>
          <w:sz w:val="20"/>
          <w:szCs w:val="20"/>
          <w:lang w:val="en-GB"/>
        </w:rPr>
      </w:r>
      <w:r w:rsidR="00A9164D">
        <w:rPr>
          <w:sz w:val="20"/>
          <w:szCs w:val="20"/>
          <w:lang w:val="en-GB"/>
        </w:rPr>
        <w:fldChar w:fldCharType="separate"/>
      </w:r>
      <w:r w:rsidR="0036337B">
        <w:rPr>
          <w:sz w:val="20"/>
          <w:szCs w:val="20"/>
          <w:lang w:val="en-GB"/>
        </w:rPr>
        <w:t>22</w:t>
      </w:r>
      <w:r w:rsidR="00A9164D">
        <w:rPr>
          <w:sz w:val="20"/>
          <w:szCs w:val="20"/>
          <w:lang w:val="en-GB"/>
        </w:rPr>
        <w:fldChar w:fldCharType="end"/>
      </w:r>
      <w:r w:rsidR="00A9164D">
        <w:rPr>
          <w:sz w:val="20"/>
          <w:szCs w:val="20"/>
          <w:lang w:val="en-GB"/>
        </w:rPr>
        <w:t>-</w:t>
      </w:r>
      <w:r w:rsidR="00A9164D">
        <w:rPr>
          <w:sz w:val="20"/>
          <w:szCs w:val="20"/>
          <w:lang w:val="en-GB"/>
        </w:rPr>
        <w:fldChar w:fldCharType="begin"/>
      </w:r>
      <w:r w:rsidR="00A9164D">
        <w:rPr>
          <w:sz w:val="20"/>
          <w:szCs w:val="20"/>
          <w:lang w:val="en-GB"/>
        </w:rPr>
        <w:instrText xml:space="preserve"> REF _Ref67041540 \r \h </w:instrText>
      </w:r>
      <w:r w:rsidR="00A9164D">
        <w:rPr>
          <w:sz w:val="20"/>
          <w:szCs w:val="20"/>
          <w:lang w:val="en-GB"/>
        </w:rPr>
      </w:r>
      <w:r w:rsidR="00A9164D">
        <w:rPr>
          <w:sz w:val="20"/>
          <w:szCs w:val="20"/>
          <w:lang w:val="en-GB"/>
        </w:rPr>
        <w:fldChar w:fldCharType="separate"/>
      </w:r>
      <w:r w:rsidR="0036337B">
        <w:rPr>
          <w:sz w:val="20"/>
          <w:szCs w:val="20"/>
          <w:lang w:val="en-GB"/>
        </w:rPr>
        <w:t>24</w:t>
      </w:r>
      <w:r w:rsidR="00A9164D">
        <w:rPr>
          <w:sz w:val="20"/>
          <w:szCs w:val="20"/>
          <w:lang w:val="en-GB"/>
        </w:rPr>
        <w:fldChar w:fldCharType="end"/>
      </w:r>
      <w:r>
        <w:rPr>
          <w:sz w:val="20"/>
          <w:szCs w:val="20"/>
          <w:lang w:val="en-GB"/>
        </w:rPr>
        <w:t xml:space="preserve"> above). The Committee </w:t>
      </w:r>
      <w:r w:rsidR="00572A67">
        <w:rPr>
          <w:sz w:val="20"/>
          <w:szCs w:val="20"/>
          <w:lang w:val="en-GB"/>
        </w:rPr>
        <w:t xml:space="preserve">examines below </w:t>
      </w:r>
      <w:r w:rsidR="00EB3B4F">
        <w:rPr>
          <w:sz w:val="20"/>
          <w:szCs w:val="20"/>
          <w:lang w:val="en-GB"/>
        </w:rPr>
        <w:t>the</w:t>
      </w:r>
      <w:r>
        <w:rPr>
          <w:sz w:val="20"/>
          <w:szCs w:val="20"/>
          <w:lang w:val="en-GB"/>
        </w:rPr>
        <w:t xml:space="preserve"> application of Regulation N</w:t>
      </w:r>
      <w:r w:rsidRPr="00043B45">
        <w:rPr>
          <w:sz w:val="20"/>
          <w:szCs w:val="20"/>
          <w:lang w:val="en-GB"/>
        </w:rPr>
        <w:t xml:space="preserve">o. 330 </w:t>
      </w:r>
      <w:r w:rsidR="00E95A10" w:rsidRPr="00043B45">
        <w:rPr>
          <w:sz w:val="20"/>
          <w:szCs w:val="20"/>
          <w:lang w:val="en-GB"/>
        </w:rPr>
        <w:t xml:space="preserve">to </w:t>
      </w:r>
      <w:r w:rsidRPr="00043B45">
        <w:rPr>
          <w:sz w:val="20"/>
          <w:szCs w:val="20"/>
          <w:lang w:val="en-GB"/>
        </w:rPr>
        <w:t xml:space="preserve">the communicant’s </w:t>
      </w:r>
      <w:r w:rsidR="00572A67" w:rsidRPr="00043B45">
        <w:rPr>
          <w:sz w:val="20"/>
          <w:szCs w:val="20"/>
          <w:lang w:val="en-GB"/>
        </w:rPr>
        <w:t xml:space="preserve">June 2016 </w:t>
      </w:r>
      <w:r w:rsidRPr="00043B45">
        <w:rPr>
          <w:sz w:val="20"/>
          <w:szCs w:val="20"/>
          <w:lang w:val="en-GB"/>
        </w:rPr>
        <w:t xml:space="preserve">request for information </w:t>
      </w:r>
      <w:r w:rsidR="00043B45" w:rsidRPr="00043B45">
        <w:rPr>
          <w:sz w:val="20"/>
          <w:szCs w:val="20"/>
          <w:lang w:val="en-GB"/>
        </w:rPr>
        <w:t xml:space="preserve">as well as </w:t>
      </w:r>
      <w:r w:rsidR="007358B3">
        <w:rPr>
          <w:sz w:val="20"/>
          <w:szCs w:val="20"/>
          <w:lang w:val="en-GB"/>
        </w:rPr>
        <w:t>its</w:t>
      </w:r>
      <w:r w:rsidR="0039718F" w:rsidRPr="00043B45">
        <w:rPr>
          <w:sz w:val="20"/>
          <w:szCs w:val="20"/>
          <w:lang w:val="en-GB"/>
        </w:rPr>
        <w:t xml:space="preserve"> </w:t>
      </w:r>
      <w:r w:rsidR="007358B3">
        <w:rPr>
          <w:sz w:val="20"/>
          <w:szCs w:val="20"/>
          <w:lang w:val="en-GB"/>
        </w:rPr>
        <w:t>schedule of charges more generally</w:t>
      </w:r>
      <w:r w:rsidR="0039718F" w:rsidRPr="00043B45">
        <w:rPr>
          <w:sz w:val="20"/>
          <w:szCs w:val="20"/>
          <w:lang w:val="en-GB"/>
        </w:rPr>
        <w:t xml:space="preserve">. </w:t>
      </w:r>
    </w:p>
    <w:p w14:paraId="7EED3BAE" w14:textId="72D118A0" w:rsidR="00F51C89" w:rsidRPr="00F51C89" w:rsidRDefault="00F51C89" w:rsidP="00F51C89">
      <w:pPr>
        <w:pStyle w:val="SingleTxtG"/>
        <w:tabs>
          <w:tab w:val="right" w:pos="567"/>
        </w:tabs>
        <w:ind w:right="0"/>
        <w:rPr>
          <w:rStyle w:val="st"/>
          <w:i/>
          <w:iCs/>
          <w:sz w:val="20"/>
          <w:szCs w:val="20"/>
          <w:lang w:val="en-GB"/>
        </w:rPr>
      </w:pPr>
      <w:r>
        <w:rPr>
          <w:rStyle w:val="st"/>
          <w:i/>
          <w:iCs/>
          <w:sz w:val="20"/>
          <w:szCs w:val="20"/>
          <w:lang w:val="en-GB"/>
        </w:rPr>
        <w:t>The communicant’s request for information</w:t>
      </w:r>
    </w:p>
    <w:p w14:paraId="7D84A2DC" w14:textId="2EB0A435" w:rsidR="00977CDB" w:rsidRPr="00977CDB" w:rsidRDefault="00034B99" w:rsidP="00F03AD7">
      <w:pPr>
        <w:pStyle w:val="SingleTxtG"/>
        <w:numPr>
          <w:ilvl w:val="0"/>
          <w:numId w:val="3"/>
        </w:numPr>
        <w:tabs>
          <w:tab w:val="right" w:pos="567"/>
          <w:tab w:val="num" w:pos="1276"/>
        </w:tabs>
        <w:ind w:left="1134" w:right="0" w:firstLine="0"/>
        <w:rPr>
          <w:rStyle w:val="st"/>
          <w:sz w:val="20"/>
          <w:szCs w:val="20"/>
          <w:lang w:val="en-GB"/>
        </w:rPr>
      </w:pPr>
      <w:r w:rsidRPr="00977CDB">
        <w:rPr>
          <w:rStyle w:val="st"/>
          <w:sz w:val="20"/>
          <w:szCs w:val="20"/>
          <w:lang w:val="en-US"/>
        </w:rPr>
        <w:t xml:space="preserve">As an initial remark, the Committee notes that the charge of 730,374.50 lei </w:t>
      </w:r>
      <w:r w:rsidR="00735BCF" w:rsidRPr="00977CDB">
        <w:rPr>
          <w:rStyle w:val="st"/>
          <w:sz w:val="20"/>
          <w:szCs w:val="20"/>
          <w:lang w:val="en-US"/>
        </w:rPr>
        <w:t xml:space="preserve">initially </w:t>
      </w:r>
      <w:r w:rsidR="00A76E8B">
        <w:rPr>
          <w:rStyle w:val="st"/>
          <w:sz w:val="20"/>
          <w:szCs w:val="20"/>
          <w:lang w:val="en-US"/>
        </w:rPr>
        <w:t>quoted</w:t>
      </w:r>
      <w:r w:rsidR="00735BCF" w:rsidRPr="00977CDB">
        <w:rPr>
          <w:rStyle w:val="st"/>
          <w:sz w:val="20"/>
          <w:szCs w:val="20"/>
          <w:lang w:val="en-US"/>
        </w:rPr>
        <w:t xml:space="preserve"> by the SHS is </w:t>
      </w:r>
      <w:r w:rsidR="00A657EE">
        <w:rPr>
          <w:rStyle w:val="st"/>
          <w:sz w:val="20"/>
          <w:szCs w:val="20"/>
          <w:lang w:val="en-US"/>
        </w:rPr>
        <w:t>many times</w:t>
      </w:r>
      <w:r w:rsidR="00735BCF" w:rsidRPr="00977CDB">
        <w:rPr>
          <w:rStyle w:val="st"/>
          <w:sz w:val="20"/>
          <w:szCs w:val="20"/>
          <w:lang w:val="en-US"/>
        </w:rPr>
        <w:t xml:space="preserve"> </w:t>
      </w:r>
      <w:r w:rsidR="00423F5E" w:rsidRPr="00977CDB">
        <w:rPr>
          <w:rStyle w:val="st"/>
          <w:sz w:val="20"/>
          <w:szCs w:val="20"/>
          <w:lang w:val="en-US"/>
        </w:rPr>
        <w:t>the average</w:t>
      </w:r>
      <w:r w:rsidR="00D462C3">
        <w:rPr>
          <w:rStyle w:val="st"/>
          <w:sz w:val="20"/>
          <w:szCs w:val="20"/>
          <w:lang w:val="en-US"/>
        </w:rPr>
        <w:t xml:space="preserve"> monthly</w:t>
      </w:r>
      <w:r w:rsidR="00423F5E" w:rsidRPr="00977CDB">
        <w:rPr>
          <w:rStyle w:val="st"/>
          <w:sz w:val="20"/>
          <w:szCs w:val="20"/>
          <w:lang w:val="en-US"/>
        </w:rPr>
        <w:t xml:space="preserve"> salary in </w:t>
      </w:r>
      <w:r w:rsidR="00204373">
        <w:rPr>
          <w:rStyle w:val="st"/>
          <w:sz w:val="20"/>
          <w:szCs w:val="20"/>
          <w:lang w:val="en-US"/>
        </w:rPr>
        <w:t>the Party concerned</w:t>
      </w:r>
      <w:r w:rsidR="00423F5E" w:rsidRPr="00977CDB">
        <w:rPr>
          <w:rStyle w:val="st"/>
          <w:sz w:val="20"/>
          <w:szCs w:val="20"/>
          <w:lang w:val="en-US"/>
        </w:rPr>
        <w:t xml:space="preserve">. </w:t>
      </w:r>
      <w:r w:rsidR="00E8706F" w:rsidRPr="00977CDB">
        <w:rPr>
          <w:rStyle w:val="st"/>
          <w:sz w:val="20"/>
          <w:szCs w:val="20"/>
          <w:lang w:val="en-US"/>
        </w:rPr>
        <w:t>The Committee cannot see how such a high charge</w:t>
      </w:r>
      <w:r w:rsidR="009A0F06">
        <w:rPr>
          <w:rStyle w:val="st"/>
          <w:sz w:val="20"/>
          <w:szCs w:val="20"/>
          <w:lang w:val="en-US"/>
        </w:rPr>
        <w:t>, if levied,</w:t>
      </w:r>
      <w:r w:rsidR="00A76E8B">
        <w:rPr>
          <w:rStyle w:val="st"/>
          <w:sz w:val="20"/>
          <w:szCs w:val="20"/>
          <w:lang w:val="en-US"/>
        </w:rPr>
        <w:t xml:space="preserve"> </w:t>
      </w:r>
      <w:r w:rsidR="00E8706F" w:rsidRPr="00977CDB">
        <w:rPr>
          <w:rStyle w:val="st"/>
          <w:sz w:val="20"/>
          <w:szCs w:val="20"/>
          <w:lang w:val="en-US"/>
        </w:rPr>
        <w:t xml:space="preserve">could ever be considered reasonable to </w:t>
      </w:r>
      <w:r w:rsidR="007543A0" w:rsidRPr="00977CDB">
        <w:rPr>
          <w:rStyle w:val="st"/>
          <w:sz w:val="20"/>
          <w:szCs w:val="20"/>
          <w:lang w:val="en-US"/>
        </w:rPr>
        <w:t xml:space="preserve">respond to a request for </w:t>
      </w:r>
      <w:r w:rsidR="00233AA3">
        <w:rPr>
          <w:rStyle w:val="st"/>
          <w:sz w:val="20"/>
          <w:szCs w:val="20"/>
          <w:lang w:val="en-US"/>
        </w:rPr>
        <w:t xml:space="preserve">environmental </w:t>
      </w:r>
      <w:r w:rsidR="007543A0" w:rsidRPr="00977CDB">
        <w:rPr>
          <w:rStyle w:val="st"/>
          <w:sz w:val="20"/>
          <w:szCs w:val="20"/>
          <w:lang w:val="en-US"/>
        </w:rPr>
        <w:t>information</w:t>
      </w:r>
      <w:r w:rsidR="00A76E8B">
        <w:rPr>
          <w:rStyle w:val="st"/>
          <w:sz w:val="20"/>
          <w:szCs w:val="20"/>
          <w:lang w:val="en-US"/>
        </w:rPr>
        <w:t>,</w:t>
      </w:r>
      <w:r w:rsidR="00A76E8B" w:rsidRPr="00A76E8B">
        <w:rPr>
          <w:rStyle w:val="st"/>
          <w:sz w:val="20"/>
          <w:szCs w:val="20"/>
          <w:lang w:val="en-US"/>
        </w:rPr>
        <w:t xml:space="preserve"> </w:t>
      </w:r>
      <w:r w:rsidR="00A76E8B" w:rsidRPr="00977CDB">
        <w:rPr>
          <w:rStyle w:val="st"/>
          <w:sz w:val="20"/>
          <w:szCs w:val="20"/>
          <w:lang w:val="en-US"/>
        </w:rPr>
        <w:t>bearing in mind the economic circumstances of the public in general</w:t>
      </w:r>
      <w:r w:rsidR="00A76E8B">
        <w:rPr>
          <w:rStyle w:val="st"/>
          <w:sz w:val="20"/>
          <w:szCs w:val="20"/>
          <w:lang w:val="en-US"/>
        </w:rPr>
        <w:t xml:space="preserve"> in </w:t>
      </w:r>
      <w:r w:rsidR="00204373">
        <w:rPr>
          <w:rStyle w:val="st"/>
          <w:sz w:val="20"/>
          <w:szCs w:val="20"/>
          <w:lang w:val="en-US"/>
        </w:rPr>
        <w:t>the Party concerned</w:t>
      </w:r>
      <w:r w:rsidR="007543A0" w:rsidRPr="00977CDB">
        <w:rPr>
          <w:rStyle w:val="st"/>
          <w:sz w:val="20"/>
          <w:szCs w:val="20"/>
          <w:lang w:val="en-US"/>
        </w:rPr>
        <w:t xml:space="preserve">. </w:t>
      </w:r>
    </w:p>
    <w:p w14:paraId="45F7B2E3" w14:textId="665A9955" w:rsidR="008C1E0D" w:rsidRPr="0008285C" w:rsidRDefault="00572A67" w:rsidP="00F03AD7">
      <w:pPr>
        <w:pStyle w:val="SingleTxtG"/>
        <w:numPr>
          <w:ilvl w:val="0"/>
          <w:numId w:val="3"/>
        </w:numPr>
        <w:tabs>
          <w:tab w:val="right" w:pos="567"/>
        </w:tabs>
        <w:ind w:left="1134" w:right="0" w:firstLine="0"/>
        <w:rPr>
          <w:rStyle w:val="st"/>
        </w:rPr>
      </w:pPr>
      <w:r>
        <w:rPr>
          <w:rStyle w:val="st"/>
          <w:sz w:val="20"/>
          <w:szCs w:val="20"/>
          <w:lang w:val="en-GB"/>
        </w:rPr>
        <w:t xml:space="preserve">In its letter no. 03/737 to the communicant of 1 August 2016, </w:t>
      </w:r>
      <w:r w:rsidRPr="00853F2B">
        <w:rPr>
          <w:rStyle w:val="st"/>
          <w:sz w:val="20"/>
          <w:szCs w:val="20"/>
          <w:lang w:val="en-GB"/>
        </w:rPr>
        <w:t xml:space="preserve">the SHS </w:t>
      </w:r>
      <w:r>
        <w:rPr>
          <w:rStyle w:val="st"/>
          <w:sz w:val="20"/>
          <w:szCs w:val="20"/>
          <w:lang w:val="en-GB"/>
        </w:rPr>
        <w:t xml:space="preserve">gave no explanation of </w:t>
      </w:r>
      <w:r w:rsidRPr="00853F2B">
        <w:rPr>
          <w:rStyle w:val="st"/>
          <w:sz w:val="20"/>
          <w:szCs w:val="20"/>
          <w:lang w:val="en-GB"/>
        </w:rPr>
        <w:t xml:space="preserve">how </w:t>
      </w:r>
      <w:r>
        <w:rPr>
          <w:rStyle w:val="st"/>
          <w:sz w:val="20"/>
          <w:szCs w:val="20"/>
          <w:lang w:val="en-GB"/>
        </w:rPr>
        <w:t>that sum had been calculated</w:t>
      </w:r>
      <w:r w:rsidR="00043B45">
        <w:rPr>
          <w:rStyle w:val="st"/>
          <w:sz w:val="20"/>
          <w:szCs w:val="20"/>
          <w:lang w:val="en-GB"/>
        </w:rPr>
        <w:t>.</w:t>
      </w:r>
      <w:r w:rsidRPr="00853F2B" w:rsidDel="00F51C89">
        <w:rPr>
          <w:rStyle w:val="st"/>
          <w:sz w:val="20"/>
          <w:szCs w:val="20"/>
          <w:lang w:val="en-GB"/>
        </w:rPr>
        <w:t xml:space="preserve"> </w:t>
      </w:r>
      <w:r w:rsidR="0095071C" w:rsidRPr="00853F2B" w:rsidDel="00F51C89">
        <w:rPr>
          <w:rStyle w:val="st"/>
          <w:sz w:val="20"/>
          <w:szCs w:val="20"/>
          <w:lang w:val="en-GB"/>
        </w:rPr>
        <w:t xml:space="preserve">The Party concerned </w:t>
      </w:r>
      <w:r w:rsidR="007358B3">
        <w:rPr>
          <w:rStyle w:val="st"/>
          <w:sz w:val="20"/>
          <w:szCs w:val="20"/>
          <w:lang w:val="en-GB"/>
        </w:rPr>
        <w:t>has conceded to the Committee</w:t>
      </w:r>
      <w:r>
        <w:rPr>
          <w:rStyle w:val="st"/>
          <w:sz w:val="20"/>
          <w:szCs w:val="20"/>
          <w:lang w:val="en-GB"/>
        </w:rPr>
        <w:t xml:space="preserve"> </w:t>
      </w:r>
      <w:r w:rsidR="0095071C" w:rsidRPr="00853F2B" w:rsidDel="00F51C89">
        <w:rPr>
          <w:rStyle w:val="st"/>
          <w:sz w:val="20"/>
          <w:szCs w:val="20"/>
          <w:lang w:val="en-GB"/>
        </w:rPr>
        <w:t>that the amount of 730</w:t>
      </w:r>
      <w:r w:rsidR="0095071C" w:rsidRPr="00853F2B">
        <w:rPr>
          <w:rStyle w:val="st"/>
          <w:sz w:val="20"/>
          <w:szCs w:val="20"/>
          <w:lang w:val="en-GB"/>
        </w:rPr>
        <w:t>,</w:t>
      </w:r>
      <w:r w:rsidR="0095071C" w:rsidRPr="00853F2B" w:rsidDel="00F51C89">
        <w:rPr>
          <w:rStyle w:val="st"/>
          <w:sz w:val="20"/>
          <w:szCs w:val="20"/>
          <w:lang w:val="en-GB"/>
        </w:rPr>
        <w:t>374</w:t>
      </w:r>
      <w:r w:rsidR="0095071C" w:rsidRPr="00853F2B">
        <w:rPr>
          <w:rStyle w:val="st"/>
          <w:sz w:val="20"/>
          <w:szCs w:val="20"/>
          <w:lang w:val="en-GB"/>
        </w:rPr>
        <w:t>.</w:t>
      </w:r>
      <w:r w:rsidR="0095071C" w:rsidRPr="00853F2B" w:rsidDel="00F51C89">
        <w:rPr>
          <w:rStyle w:val="st"/>
          <w:sz w:val="20"/>
          <w:szCs w:val="20"/>
          <w:lang w:val="en-GB"/>
        </w:rPr>
        <w:t>50 lei was erroneously calculated</w:t>
      </w:r>
      <w:r w:rsidR="0095071C" w:rsidRPr="00853F2B">
        <w:rPr>
          <w:rStyle w:val="st"/>
          <w:sz w:val="20"/>
          <w:szCs w:val="20"/>
          <w:lang w:val="en-GB"/>
        </w:rPr>
        <w:t xml:space="preserve"> and </w:t>
      </w:r>
      <w:r w:rsidR="007358B3">
        <w:rPr>
          <w:rStyle w:val="st"/>
          <w:sz w:val="20"/>
          <w:szCs w:val="20"/>
          <w:lang w:val="en-GB"/>
        </w:rPr>
        <w:t>it i</w:t>
      </w:r>
      <w:r w:rsidR="00327020" w:rsidRPr="00853F2B">
        <w:rPr>
          <w:rStyle w:val="st"/>
          <w:sz w:val="20"/>
          <w:szCs w:val="20"/>
          <w:lang w:val="en-GB"/>
        </w:rPr>
        <w:t xml:space="preserve">s itself unable to understand or explain </w:t>
      </w:r>
      <w:r>
        <w:rPr>
          <w:rStyle w:val="st"/>
          <w:sz w:val="20"/>
          <w:szCs w:val="20"/>
          <w:lang w:val="en-GB"/>
        </w:rPr>
        <w:t>the</w:t>
      </w:r>
      <w:r w:rsidR="00327020" w:rsidRPr="00853F2B">
        <w:rPr>
          <w:rStyle w:val="st"/>
          <w:sz w:val="20"/>
          <w:szCs w:val="20"/>
          <w:lang w:val="en-GB"/>
        </w:rPr>
        <w:t xml:space="preserve"> </w:t>
      </w:r>
      <w:r w:rsidR="00C7500F">
        <w:rPr>
          <w:rStyle w:val="st"/>
          <w:sz w:val="20"/>
          <w:szCs w:val="20"/>
          <w:lang w:val="en-GB"/>
        </w:rPr>
        <w:t>calculation</w:t>
      </w:r>
      <w:r>
        <w:rPr>
          <w:rStyle w:val="st"/>
          <w:sz w:val="20"/>
          <w:szCs w:val="20"/>
          <w:lang w:val="en-GB"/>
        </w:rPr>
        <w:t xml:space="preserve"> through which</w:t>
      </w:r>
      <w:r w:rsidR="00327020" w:rsidRPr="00853F2B">
        <w:rPr>
          <w:rStyle w:val="st"/>
          <w:sz w:val="20"/>
          <w:szCs w:val="20"/>
          <w:lang w:val="en-GB"/>
        </w:rPr>
        <w:t xml:space="preserve"> the initial figure of 730,374.50 lei </w:t>
      </w:r>
      <w:r w:rsidR="00233AA3">
        <w:rPr>
          <w:rStyle w:val="st"/>
          <w:sz w:val="20"/>
          <w:szCs w:val="20"/>
          <w:lang w:val="en-GB"/>
        </w:rPr>
        <w:t>was</w:t>
      </w:r>
      <w:r w:rsidR="00327020" w:rsidRPr="00853F2B">
        <w:rPr>
          <w:rStyle w:val="st"/>
          <w:sz w:val="20"/>
          <w:szCs w:val="20"/>
          <w:lang w:val="en-GB"/>
        </w:rPr>
        <w:t xml:space="preserve"> </w:t>
      </w:r>
      <w:r w:rsidR="00C7500F">
        <w:rPr>
          <w:rStyle w:val="st"/>
          <w:sz w:val="20"/>
          <w:szCs w:val="20"/>
          <w:lang w:val="en-GB"/>
        </w:rPr>
        <w:t>reached</w:t>
      </w:r>
      <w:r w:rsidR="00327020" w:rsidRPr="00853F2B">
        <w:rPr>
          <w:rStyle w:val="st"/>
          <w:sz w:val="20"/>
          <w:szCs w:val="20"/>
          <w:lang w:val="en-GB"/>
        </w:rPr>
        <w:t>.</w:t>
      </w:r>
    </w:p>
    <w:p w14:paraId="5877F5D4" w14:textId="4998579A" w:rsidR="0008285C" w:rsidRPr="00885AD3" w:rsidRDefault="00572A67" w:rsidP="00572A67">
      <w:pPr>
        <w:pStyle w:val="SingleTxtG"/>
        <w:numPr>
          <w:ilvl w:val="0"/>
          <w:numId w:val="3"/>
        </w:numPr>
        <w:tabs>
          <w:tab w:val="right" w:pos="567"/>
        </w:tabs>
        <w:ind w:left="1134" w:right="0" w:firstLine="0"/>
        <w:rPr>
          <w:rStyle w:val="st"/>
        </w:rPr>
      </w:pPr>
      <w:r>
        <w:rPr>
          <w:rStyle w:val="st"/>
          <w:sz w:val="20"/>
          <w:szCs w:val="20"/>
          <w:lang w:val="en-GB"/>
        </w:rPr>
        <w:t xml:space="preserve">At the Committee’s request, the Party concerned prepared its own calculation of the amount </w:t>
      </w:r>
      <w:r w:rsidR="00043B45">
        <w:rPr>
          <w:rStyle w:val="st"/>
          <w:sz w:val="20"/>
          <w:szCs w:val="20"/>
          <w:lang w:val="en-GB"/>
        </w:rPr>
        <w:t xml:space="preserve">that should have been charged under Regulation </w:t>
      </w:r>
      <w:r w:rsidR="002E6A80">
        <w:rPr>
          <w:rStyle w:val="st"/>
          <w:sz w:val="20"/>
          <w:szCs w:val="20"/>
          <w:lang w:val="en-GB"/>
        </w:rPr>
        <w:t>N</w:t>
      </w:r>
      <w:r w:rsidR="00043B45">
        <w:rPr>
          <w:rStyle w:val="st"/>
          <w:sz w:val="20"/>
          <w:szCs w:val="20"/>
          <w:lang w:val="en-GB"/>
        </w:rPr>
        <w:t xml:space="preserve">o. 330 for </w:t>
      </w:r>
      <w:r w:rsidR="00D97883">
        <w:rPr>
          <w:rStyle w:val="st"/>
          <w:sz w:val="20"/>
          <w:szCs w:val="20"/>
          <w:lang w:val="en-GB"/>
        </w:rPr>
        <w:t>the communicant’s request</w:t>
      </w:r>
      <w:r w:rsidR="00043B45">
        <w:rPr>
          <w:rStyle w:val="st"/>
          <w:sz w:val="20"/>
          <w:szCs w:val="20"/>
          <w:lang w:val="en-GB"/>
        </w:rPr>
        <w:t>.</w:t>
      </w:r>
      <w:r w:rsidR="00D97883">
        <w:rPr>
          <w:rStyle w:val="st"/>
          <w:sz w:val="20"/>
          <w:szCs w:val="20"/>
          <w:lang w:val="en-GB"/>
        </w:rPr>
        <w:t xml:space="preserve"> </w:t>
      </w:r>
      <w:r w:rsidR="00043B45">
        <w:rPr>
          <w:rStyle w:val="st"/>
          <w:sz w:val="20"/>
          <w:szCs w:val="20"/>
          <w:lang w:val="en-GB"/>
        </w:rPr>
        <w:t>The resulting sum was</w:t>
      </w:r>
      <w:r w:rsidR="004D71BB">
        <w:rPr>
          <w:rStyle w:val="st"/>
          <w:sz w:val="20"/>
          <w:szCs w:val="20"/>
          <w:lang w:val="en-GB"/>
        </w:rPr>
        <w:t xml:space="preserve"> </w:t>
      </w:r>
      <w:r w:rsidR="004D71BB" w:rsidRPr="001A1A3C">
        <w:rPr>
          <w:rStyle w:val="st"/>
          <w:sz w:val="20"/>
          <w:szCs w:val="20"/>
          <w:lang w:val="en-GB"/>
        </w:rPr>
        <w:t>197,215.80 lei</w:t>
      </w:r>
      <w:r w:rsidR="004D71BB">
        <w:rPr>
          <w:rStyle w:val="st"/>
          <w:sz w:val="20"/>
          <w:szCs w:val="20"/>
          <w:lang w:val="en-GB"/>
        </w:rPr>
        <w:t xml:space="preserve"> – an amount still </w:t>
      </w:r>
      <w:r w:rsidR="00043B45">
        <w:rPr>
          <w:rStyle w:val="st"/>
          <w:sz w:val="20"/>
          <w:szCs w:val="20"/>
          <w:lang w:val="en-GB"/>
        </w:rPr>
        <w:t xml:space="preserve">far </w:t>
      </w:r>
      <w:r w:rsidR="004D71BB">
        <w:rPr>
          <w:rStyle w:val="st"/>
          <w:sz w:val="20"/>
          <w:szCs w:val="20"/>
          <w:lang w:val="en-GB"/>
        </w:rPr>
        <w:t xml:space="preserve">in excess of </w:t>
      </w:r>
      <w:r w:rsidR="006B1FEB">
        <w:rPr>
          <w:rStyle w:val="st"/>
          <w:sz w:val="20"/>
          <w:szCs w:val="20"/>
          <w:lang w:val="en-GB"/>
        </w:rPr>
        <w:t xml:space="preserve">the average </w:t>
      </w:r>
      <w:r w:rsidR="00D462C3">
        <w:rPr>
          <w:rStyle w:val="st"/>
          <w:sz w:val="20"/>
          <w:szCs w:val="20"/>
          <w:lang w:val="en-GB"/>
        </w:rPr>
        <w:t>monthly</w:t>
      </w:r>
      <w:r w:rsidR="006B1FEB">
        <w:rPr>
          <w:rStyle w:val="st"/>
          <w:sz w:val="20"/>
          <w:szCs w:val="20"/>
          <w:lang w:val="en-GB"/>
        </w:rPr>
        <w:t xml:space="preserve"> salary in </w:t>
      </w:r>
      <w:r w:rsidR="00204373">
        <w:rPr>
          <w:rStyle w:val="st"/>
          <w:sz w:val="20"/>
          <w:szCs w:val="20"/>
          <w:lang w:val="en-GB"/>
        </w:rPr>
        <w:t>the Party concerned</w:t>
      </w:r>
      <w:r w:rsidR="006B1FEB">
        <w:rPr>
          <w:rStyle w:val="st"/>
          <w:sz w:val="20"/>
          <w:szCs w:val="20"/>
          <w:lang w:val="en-GB"/>
        </w:rPr>
        <w:t xml:space="preserve">. </w:t>
      </w:r>
    </w:p>
    <w:p w14:paraId="4BB5EC88" w14:textId="05128152" w:rsidR="00885AD3" w:rsidRPr="008272F5" w:rsidRDefault="00885AD3" w:rsidP="00F03AD7">
      <w:pPr>
        <w:pStyle w:val="SingleTxtG"/>
        <w:numPr>
          <w:ilvl w:val="0"/>
          <w:numId w:val="3"/>
        </w:numPr>
        <w:tabs>
          <w:tab w:val="right" w:pos="567"/>
        </w:tabs>
        <w:ind w:left="1134" w:right="0" w:firstLine="0"/>
        <w:rPr>
          <w:rStyle w:val="st"/>
        </w:rPr>
      </w:pPr>
      <w:r w:rsidRPr="00881DC3">
        <w:rPr>
          <w:rStyle w:val="st"/>
          <w:sz w:val="20"/>
          <w:szCs w:val="20"/>
          <w:lang w:val="en-US"/>
        </w:rPr>
        <w:t xml:space="preserve">The Committee does not see that the information request by the communicant was especially complex: </w:t>
      </w:r>
      <w:r w:rsidR="0059023D">
        <w:rPr>
          <w:rStyle w:val="st"/>
          <w:sz w:val="20"/>
          <w:szCs w:val="20"/>
          <w:lang w:val="en-US"/>
        </w:rPr>
        <w:t xml:space="preserve">while it involved quite a large amount of data, all the environmental </w:t>
      </w:r>
      <w:r w:rsidRPr="00881DC3">
        <w:rPr>
          <w:rStyle w:val="st"/>
          <w:sz w:val="20"/>
          <w:szCs w:val="20"/>
          <w:lang w:val="en-US"/>
        </w:rPr>
        <w:t xml:space="preserve">information </w:t>
      </w:r>
      <w:r w:rsidR="0059023D">
        <w:rPr>
          <w:rStyle w:val="st"/>
          <w:sz w:val="20"/>
          <w:szCs w:val="20"/>
          <w:lang w:val="en-US"/>
        </w:rPr>
        <w:t xml:space="preserve">provided </w:t>
      </w:r>
      <w:r w:rsidR="00043B45">
        <w:rPr>
          <w:rStyle w:val="st"/>
          <w:sz w:val="20"/>
          <w:szCs w:val="20"/>
          <w:lang w:val="en-US"/>
        </w:rPr>
        <w:t>was already held by S</w:t>
      </w:r>
      <w:r w:rsidR="0059023D">
        <w:rPr>
          <w:rStyle w:val="st"/>
          <w:sz w:val="20"/>
          <w:szCs w:val="20"/>
          <w:lang w:val="en-US"/>
        </w:rPr>
        <w:t>H</w:t>
      </w:r>
      <w:r w:rsidR="00043B45">
        <w:rPr>
          <w:rStyle w:val="st"/>
          <w:sz w:val="20"/>
          <w:szCs w:val="20"/>
          <w:lang w:val="en-US"/>
        </w:rPr>
        <w:t>S</w:t>
      </w:r>
      <w:r w:rsidR="0059023D">
        <w:rPr>
          <w:rStyle w:val="st"/>
          <w:sz w:val="20"/>
          <w:szCs w:val="20"/>
          <w:lang w:val="en-US"/>
        </w:rPr>
        <w:t xml:space="preserve"> and did not require any further analysis</w:t>
      </w:r>
      <w:r w:rsidRPr="00881DC3">
        <w:rPr>
          <w:rStyle w:val="st"/>
          <w:sz w:val="20"/>
          <w:szCs w:val="20"/>
          <w:lang w:val="en-US"/>
        </w:rPr>
        <w:t xml:space="preserve">. </w:t>
      </w:r>
      <w:r w:rsidR="00043B45">
        <w:rPr>
          <w:rStyle w:val="st"/>
          <w:sz w:val="20"/>
          <w:szCs w:val="20"/>
          <w:lang w:val="en-US"/>
        </w:rPr>
        <w:t xml:space="preserve">Given this fact, </w:t>
      </w:r>
      <w:r w:rsidR="007E378A">
        <w:rPr>
          <w:rStyle w:val="st"/>
          <w:sz w:val="20"/>
          <w:szCs w:val="20"/>
          <w:lang w:val="en-US"/>
        </w:rPr>
        <w:t xml:space="preserve">the </w:t>
      </w:r>
      <w:r w:rsidR="00043B45">
        <w:rPr>
          <w:rStyle w:val="st"/>
          <w:sz w:val="20"/>
          <w:szCs w:val="20"/>
          <w:lang w:val="en-US"/>
        </w:rPr>
        <w:t xml:space="preserve">amounts quoted </w:t>
      </w:r>
      <w:r w:rsidR="007E378A">
        <w:rPr>
          <w:rStyle w:val="st"/>
          <w:sz w:val="20"/>
          <w:szCs w:val="20"/>
          <w:lang w:val="en-US"/>
        </w:rPr>
        <w:t>by the SHS and</w:t>
      </w:r>
      <w:r w:rsidR="00043B45">
        <w:rPr>
          <w:rStyle w:val="st"/>
          <w:sz w:val="20"/>
          <w:szCs w:val="20"/>
          <w:lang w:val="en-US"/>
        </w:rPr>
        <w:t>, during this case, by</w:t>
      </w:r>
      <w:r w:rsidR="007E378A">
        <w:rPr>
          <w:rStyle w:val="st"/>
          <w:sz w:val="20"/>
          <w:szCs w:val="20"/>
          <w:lang w:val="en-US"/>
        </w:rPr>
        <w:t xml:space="preserve"> the Party concerned</w:t>
      </w:r>
      <w:r w:rsidR="00043B45">
        <w:rPr>
          <w:rStyle w:val="st"/>
          <w:sz w:val="20"/>
          <w:szCs w:val="20"/>
          <w:lang w:val="en-US"/>
        </w:rPr>
        <w:t xml:space="preserve"> are both clearly unreasonable.</w:t>
      </w:r>
      <w:r w:rsidR="00F72BC4">
        <w:rPr>
          <w:rStyle w:val="st"/>
          <w:sz w:val="20"/>
          <w:szCs w:val="20"/>
          <w:lang w:val="en-US"/>
        </w:rPr>
        <w:t xml:space="preserve"> </w:t>
      </w:r>
      <w:r w:rsidR="00043B45">
        <w:rPr>
          <w:rStyle w:val="st"/>
          <w:sz w:val="20"/>
          <w:szCs w:val="20"/>
          <w:lang w:val="en-US"/>
        </w:rPr>
        <w:t xml:space="preserve">They also both lack </w:t>
      </w:r>
      <w:r w:rsidR="00F26B90">
        <w:rPr>
          <w:rStyle w:val="st"/>
          <w:sz w:val="20"/>
          <w:szCs w:val="20"/>
          <w:lang w:val="en-US"/>
        </w:rPr>
        <w:t xml:space="preserve">adequate </w:t>
      </w:r>
      <w:r w:rsidR="00151C5A">
        <w:rPr>
          <w:rStyle w:val="st"/>
          <w:sz w:val="20"/>
          <w:szCs w:val="20"/>
          <w:lang w:val="en-US"/>
        </w:rPr>
        <w:t xml:space="preserve">explanation, reasoning and justification. </w:t>
      </w:r>
    </w:p>
    <w:p w14:paraId="503D68BD" w14:textId="74657A52" w:rsidR="00EA5357" w:rsidRPr="00FE7523" w:rsidRDefault="00E153E5" w:rsidP="00EA5357">
      <w:pPr>
        <w:pStyle w:val="SingleTxtG"/>
        <w:numPr>
          <w:ilvl w:val="0"/>
          <w:numId w:val="3"/>
        </w:numPr>
        <w:tabs>
          <w:tab w:val="right" w:pos="567"/>
          <w:tab w:val="num" w:pos="1276"/>
        </w:tabs>
        <w:ind w:left="1134" w:right="0" w:firstLine="0"/>
        <w:rPr>
          <w:rStyle w:val="st"/>
          <w:sz w:val="20"/>
          <w:szCs w:val="20"/>
          <w:lang w:val="en-US"/>
        </w:rPr>
      </w:pPr>
      <w:r>
        <w:rPr>
          <w:rStyle w:val="st"/>
          <w:sz w:val="20"/>
          <w:szCs w:val="20"/>
          <w:lang w:val="en-GB"/>
        </w:rPr>
        <w:t xml:space="preserve">The Committee </w:t>
      </w:r>
      <w:r w:rsidR="00134A78">
        <w:rPr>
          <w:rStyle w:val="st"/>
          <w:sz w:val="20"/>
          <w:szCs w:val="20"/>
          <w:lang w:val="en-GB"/>
        </w:rPr>
        <w:t>considers</w:t>
      </w:r>
      <w:r>
        <w:rPr>
          <w:rStyle w:val="st"/>
          <w:sz w:val="20"/>
          <w:szCs w:val="20"/>
          <w:lang w:val="en-GB"/>
        </w:rPr>
        <w:t xml:space="preserve"> that</w:t>
      </w:r>
      <w:r w:rsidR="00043B45">
        <w:rPr>
          <w:rStyle w:val="st"/>
          <w:sz w:val="20"/>
          <w:szCs w:val="20"/>
          <w:lang w:val="en-GB"/>
        </w:rPr>
        <w:t>,</w:t>
      </w:r>
      <w:r>
        <w:rPr>
          <w:rStyle w:val="st"/>
          <w:sz w:val="20"/>
          <w:szCs w:val="20"/>
          <w:lang w:val="en-GB"/>
        </w:rPr>
        <w:t xml:space="preserve"> </w:t>
      </w:r>
      <w:r w:rsidR="00043B45">
        <w:rPr>
          <w:rStyle w:val="st"/>
          <w:sz w:val="20"/>
          <w:szCs w:val="20"/>
          <w:lang w:val="en-GB"/>
        </w:rPr>
        <w:t xml:space="preserve">while </w:t>
      </w:r>
      <w:r>
        <w:rPr>
          <w:rStyle w:val="st"/>
          <w:sz w:val="20"/>
          <w:szCs w:val="20"/>
          <w:lang w:val="en-GB"/>
        </w:rPr>
        <w:t>ultimately no charge was made for the information requested</w:t>
      </w:r>
      <w:r w:rsidR="005429E0">
        <w:rPr>
          <w:rStyle w:val="st"/>
          <w:sz w:val="20"/>
          <w:szCs w:val="20"/>
          <w:lang w:val="en-GB"/>
        </w:rPr>
        <w:t xml:space="preserve"> in this case</w:t>
      </w:r>
      <w:r w:rsidR="001A6904">
        <w:rPr>
          <w:rStyle w:val="st"/>
          <w:sz w:val="20"/>
          <w:szCs w:val="20"/>
          <w:lang w:val="en-GB"/>
        </w:rPr>
        <w:t xml:space="preserve">, </w:t>
      </w:r>
      <w:r w:rsidR="009C56AD">
        <w:rPr>
          <w:rStyle w:val="st"/>
          <w:sz w:val="20"/>
          <w:szCs w:val="20"/>
          <w:lang w:val="en-GB"/>
        </w:rPr>
        <w:t xml:space="preserve">even quoting charges at this </w:t>
      </w:r>
      <w:r w:rsidR="005429E0">
        <w:rPr>
          <w:rStyle w:val="st"/>
          <w:sz w:val="20"/>
          <w:szCs w:val="20"/>
          <w:lang w:val="en-GB"/>
        </w:rPr>
        <w:t xml:space="preserve">clearly excessive </w:t>
      </w:r>
      <w:r w:rsidR="00043B45">
        <w:rPr>
          <w:rStyle w:val="st"/>
          <w:sz w:val="20"/>
          <w:szCs w:val="20"/>
          <w:lang w:val="en-GB"/>
        </w:rPr>
        <w:t xml:space="preserve">level </w:t>
      </w:r>
      <w:r w:rsidR="00932489">
        <w:rPr>
          <w:rStyle w:val="st"/>
          <w:sz w:val="20"/>
          <w:szCs w:val="20"/>
          <w:lang w:val="en-GB"/>
        </w:rPr>
        <w:t>and without clear and consistent reasoning</w:t>
      </w:r>
      <w:r w:rsidR="009C56AD">
        <w:rPr>
          <w:rStyle w:val="st"/>
          <w:sz w:val="20"/>
          <w:szCs w:val="20"/>
          <w:lang w:val="en-GB"/>
        </w:rPr>
        <w:t xml:space="preserve"> </w:t>
      </w:r>
      <w:r w:rsidR="00204373">
        <w:rPr>
          <w:rStyle w:val="st"/>
          <w:sz w:val="20"/>
          <w:szCs w:val="20"/>
          <w:lang w:val="en-GB"/>
        </w:rPr>
        <w:t>would</w:t>
      </w:r>
      <w:r w:rsidR="009C56AD">
        <w:rPr>
          <w:rStyle w:val="st"/>
          <w:sz w:val="20"/>
          <w:szCs w:val="20"/>
          <w:lang w:val="en-GB"/>
        </w:rPr>
        <w:t xml:space="preserve"> have a deterrent effect </w:t>
      </w:r>
      <w:r w:rsidR="00043B45">
        <w:rPr>
          <w:rStyle w:val="st"/>
          <w:sz w:val="20"/>
          <w:szCs w:val="20"/>
          <w:lang w:val="en-GB"/>
        </w:rPr>
        <w:t xml:space="preserve">for </w:t>
      </w:r>
      <w:r w:rsidR="009C56AD">
        <w:rPr>
          <w:rStyle w:val="st"/>
          <w:sz w:val="20"/>
          <w:szCs w:val="20"/>
          <w:lang w:val="en-GB"/>
        </w:rPr>
        <w:t xml:space="preserve">members of the public seeking to exercise their right to environmental information under the Convention. </w:t>
      </w:r>
      <w:r>
        <w:rPr>
          <w:rStyle w:val="st"/>
          <w:sz w:val="20"/>
          <w:szCs w:val="20"/>
          <w:lang w:val="en-GB"/>
        </w:rPr>
        <w:t xml:space="preserve"> </w:t>
      </w:r>
    </w:p>
    <w:p w14:paraId="1A29030B" w14:textId="4D23D7FA" w:rsidR="0095071C" w:rsidRPr="000B109E" w:rsidRDefault="0095071C" w:rsidP="0095071C">
      <w:pPr>
        <w:pStyle w:val="SingleTxtG"/>
        <w:tabs>
          <w:tab w:val="right" w:pos="567"/>
        </w:tabs>
        <w:ind w:right="0"/>
        <w:rPr>
          <w:rStyle w:val="st"/>
          <w:i/>
          <w:iCs/>
          <w:sz w:val="20"/>
          <w:szCs w:val="20"/>
          <w:lang w:val="en-GB"/>
        </w:rPr>
      </w:pPr>
      <w:r w:rsidRPr="000B109E">
        <w:rPr>
          <w:rStyle w:val="st"/>
          <w:i/>
          <w:iCs/>
          <w:sz w:val="20"/>
          <w:szCs w:val="20"/>
          <w:lang w:val="en-GB"/>
        </w:rPr>
        <w:t xml:space="preserve">Regulation </w:t>
      </w:r>
      <w:r w:rsidR="00C74287" w:rsidRPr="000B109E">
        <w:rPr>
          <w:rStyle w:val="st"/>
          <w:i/>
          <w:iCs/>
          <w:sz w:val="20"/>
          <w:szCs w:val="20"/>
          <w:lang w:val="en-GB"/>
        </w:rPr>
        <w:t xml:space="preserve">No. </w:t>
      </w:r>
      <w:r w:rsidRPr="000B109E">
        <w:rPr>
          <w:rStyle w:val="st"/>
          <w:i/>
          <w:iCs/>
          <w:sz w:val="20"/>
          <w:szCs w:val="20"/>
          <w:lang w:val="en-GB"/>
        </w:rPr>
        <w:t>330</w:t>
      </w:r>
    </w:p>
    <w:p w14:paraId="22D4AF3A" w14:textId="5DF5467B" w:rsidR="00FB1616" w:rsidRPr="001C058B" w:rsidRDefault="0039718F" w:rsidP="00F03AD7">
      <w:pPr>
        <w:pStyle w:val="SingleTxtG"/>
        <w:numPr>
          <w:ilvl w:val="0"/>
          <w:numId w:val="3"/>
        </w:numPr>
        <w:tabs>
          <w:tab w:val="right" w:pos="567"/>
          <w:tab w:val="num" w:pos="1276"/>
        </w:tabs>
        <w:ind w:left="1134" w:right="0" w:firstLine="0"/>
        <w:rPr>
          <w:rStyle w:val="st"/>
          <w:sz w:val="20"/>
          <w:szCs w:val="20"/>
          <w:lang w:val="en-US"/>
        </w:rPr>
      </w:pPr>
      <w:r>
        <w:rPr>
          <w:rStyle w:val="st"/>
          <w:sz w:val="20"/>
          <w:szCs w:val="20"/>
          <w:lang w:val="en-GB"/>
        </w:rPr>
        <w:t>As noted above, p</w:t>
      </w:r>
      <w:r w:rsidR="00FB1616" w:rsidRPr="009461A9">
        <w:rPr>
          <w:rStyle w:val="st"/>
          <w:sz w:val="20"/>
          <w:szCs w:val="20"/>
          <w:lang w:val="en-GB"/>
        </w:rPr>
        <w:t>ublic authorities may charge for supplying</w:t>
      </w:r>
      <w:r w:rsidR="0059023D">
        <w:rPr>
          <w:rStyle w:val="st"/>
          <w:sz w:val="20"/>
          <w:szCs w:val="20"/>
          <w:lang w:val="en-GB"/>
        </w:rPr>
        <w:t xml:space="preserve"> environmental</w:t>
      </w:r>
      <w:r w:rsidR="00FB1616" w:rsidRPr="009461A9">
        <w:rPr>
          <w:rStyle w:val="st"/>
          <w:sz w:val="20"/>
          <w:szCs w:val="20"/>
          <w:lang w:val="en-GB"/>
        </w:rPr>
        <w:t xml:space="preserve"> information under the </w:t>
      </w:r>
      <w:r w:rsidR="00043B45">
        <w:rPr>
          <w:rStyle w:val="st"/>
          <w:sz w:val="20"/>
          <w:szCs w:val="20"/>
          <w:lang w:val="en-GB"/>
        </w:rPr>
        <w:t xml:space="preserve">Convention on the </w:t>
      </w:r>
      <w:r w:rsidR="00FB1616" w:rsidRPr="009461A9">
        <w:rPr>
          <w:rStyle w:val="st"/>
          <w:sz w:val="20"/>
          <w:szCs w:val="20"/>
          <w:lang w:val="en-GB"/>
        </w:rPr>
        <w:t xml:space="preserve">condition that </w:t>
      </w:r>
      <w:r w:rsidR="00043B45">
        <w:rPr>
          <w:rStyle w:val="st"/>
          <w:sz w:val="20"/>
          <w:szCs w:val="20"/>
          <w:lang w:val="en-GB"/>
        </w:rPr>
        <w:t xml:space="preserve">any </w:t>
      </w:r>
      <w:r w:rsidR="00FB1616" w:rsidRPr="009461A9">
        <w:rPr>
          <w:rStyle w:val="st"/>
          <w:sz w:val="20"/>
          <w:szCs w:val="20"/>
          <w:lang w:val="en-GB"/>
        </w:rPr>
        <w:t>such charge does not exceed a reasonable amount.</w:t>
      </w:r>
      <w:r w:rsidR="00957727">
        <w:rPr>
          <w:rStyle w:val="st"/>
          <w:sz w:val="20"/>
          <w:szCs w:val="20"/>
          <w:lang w:val="en-GB"/>
        </w:rPr>
        <w:t xml:space="preserve"> T</w:t>
      </w:r>
      <w:r w:rsidR="009461A9" w:rsidRPr="009461A9">
        <w:rPr>
          <w:rStyle w:val="st"/>
          <w:sz w:val="20"/>
          <w:szCs w:val="20"/>
          <w:lang w:val="en-US"/>
        </w:rPr>
        <w:t>he Committee considers that any charges for information held by a public authority must be clearly and carefully</w:t>
      </w:r>
      <w:r w:rsidR="006C53D7">
        <w:rPr>
          <w:rStyle w:val="st"/>
          <w:sz w:val="20"/>
          <w:szCs w:val="20"/>
          <w:lang w:val="en-US"/>
        </w:rPr>
        <w:t xml:space="preserve"> explained, reasoned and</w:t>
      </w:r>
      <w:r w:rsidR="009461A9" w:rsidRPr="009461A9">
        <w:rPr>
          <w:rStyle w:val="st"/>
          <w:sz w:val="20"/>
          <w:szCs w:val="20"/>
          <w:lang w:val="en-US"/>
        </w:rPr>
        <w:t xml:space="preserve"> justified, bearing in mind </w:t>
      </w:r>
      <w:r w:rsidR="00DA4EF4">
        <w:rPr>
          <w:rStyle w:val="st"/>
          <w:sz w:val="20"/>
          <w:szCs w:val="20"/>
          <w:lang w:val="en-US"/>
        </w:rPr>
        <w:t xml:space="preserve">the objective of the right to access environmental information and </w:t>
      </w:r>
      <w:r w:rsidR="009461A9" w:rsidRPr="009461A9">
        <w:rPr>
          <w:rStyle w:val="st"/>
          <w:sz w:val="20"/>
          <w:szCs w:val="20"/>
          <w:lang w:val="en-US"/>
        </w:rPr>
        <w:t>that public authorities hold environmental information in the public interest.</w:t>
      </w:r>
      <w:r w:rsidR="009461A9">
        <w:rPr>
          <w:rStyle w:val="st"/>
          <w:sz w:val="20"/>
          <w:szCs w:val="20"/>
          <w:lang w:val="en-US"/>
        </w:rPr>
        <w:t xml:space="preserve"> </w:t>
      </w:r>
      <w:r w:rsidR="00CE5C0C">
        <w:rPr>
          <w:rStyle w:val="st"/>
          <w:sz w:val="20"/>
          <w:szCs w:val="20"/>
          <w:lang w:val="en-US"/>
        </w:rPr>
        <w:t>Furthermore</w:t>
      </w:r>
      <w:r w:rsidR="00FB1616" w:rsidRPr="009461A9">
        <w:rPr>
          <w:rStyle w:val="st"/>
          <w:sz w:val="20"/>
          <w:szCs w:val="20"/>
          <w:lang w:val="en-GB"/>
        </w:rPr>
        <w:t xml:space="preserve">, </w:t>
      </w:r>
      <w:r w:rsidR="003C117E">
        <w:rPr>
          <w:rStyle w:val="st"/>
          <w:sz w:val="20"/>
          <w:szCs w:val="20"/>
          <w:lang w:val="en-GB"/>
        </w:rPr>
        <w:t>any legal framework allowing for charges</w:t>
      </w:r>
      <w:r w:rsidR="00FB1616" w:rsidRPr="009461A9">
        <w:rPr>
          <w:rStyle w:val="st"/>
          <w:sz w:val="20"/>
          <w:szCs w:val="20"/>
          <w:lang w:val="en-GB"/>
        </w:rPr>
        <w:t xml:space="preserve"> must not be interpreted or applied in a way that may have a deterrent effect on persons wishing to obtain </w:t>
      </w:r>
      <w:r w:rsidR="007358B3">
        <w:rPr>
          <w:rStyle w:val="st"/>
          <w:sz w:val="20"/>
          <w:szCs w:val="20"/>
          <w:lang w:val="en-GB"/>
        </w:rPr>
        <w:t xml:space="preserve">environmental </w:t>
      </w:r>
      <w:r w:rsidR="00FB1616" w:rsidRPr="009461A9">
        <w:rPr>
          <w:rStyle w:val="st"/>
          <w:sz w:val="20"/>
          <w:szCs w:val="20"/>
          <w:lang w:val="en-GB"/>
        </w:rPr>
        <w:t xml:space="preserve">information or that may restrict their right of access to </w:t>
      </w:r>
      <w:r w:rsidR="007358B3">
        <w:rPr>
          <w:rStyle w:val="st"/>
          <w:sz w:val="20"/>
          <w:szCs w:val="20"/>
          <w:lang w:val="en-GB"/>
        </w:rPr>
        <w:t xml:space="preserve">environmental </w:t>
      </w:r>
      <w:r w:rsidR="00FB1616" w:rsidRPr="009461A9">
        <w:rPr>
          <w:rStyle w:val="st"/>
          <w:sz w:val="20"/>
          <w:szCs w:val="20"/>
          <w:lang w:val="en-GB"/>
        </w:rPr>
        <w:t>information, nor in any event</w:t>
      </w:r>
      <w:r w:rsidR="0055506C" w:rsidRPr="009461A9">
        <w:rPr>
          <w:rStyle w:val="st"/>
          <w:sz w:val="20"/>
          <w:szCs w:val="20"/>
          <w:lang w:val="en-GB"/>
        </w:rPr>
        <w:t xml:space="preserve"> </w:t>
      </w:r>
      <w:r w:rsidR="00FB1616" w:rsidRPr="009461A9">
        <w:rPr>
          <w:rStyle w:val="st"/>
          <w:sz w:val="20"/>
          <w:szCs w:val="20"/>
          <w:lang w:val="en-GB"/>
        </w:rPr>
        <w:t>be</w:t>
      </w:r>
      <w:r w:rsidR="00D33428">
        <w:rPr>
          <w:rStyle w:val="st"/>
          <w:sz w:val="20"/>
          <w:szCs w:val="20"/>
          <w:lang w:val="en-GB"/>
        </w:rPr>
        <w:t xml:space="preserve">, or appear to the public to be, </w:t>
      </w:r>
      <w:r w:rsidR="00FB1616" w:rsidRPr="009461A9">
        <w:rPr>
          <w:rStyle w:val="st"/>
          <w:sz w:val="20"/>
          <w:szCs w:val="20"/>
          <w:lang w:val="en-GB"/>
        </w:rPr>
        <w:t>unreasonable.</w:t>
      </w:r>
    </w:p>
    <w:p w14:paraId="6793FB47" w14:textId="57DBC8DC" w:rsidR="001C058B" w:rsidRPr="001F2A4C" w:rsidRDefault="001C058B" w:rsidP="00F03AD7">
      <w:pPr>
        <w:pStyle w:val="SingleTxtG"/>
        <w:numPr>
          <w:ilvl w:val="0"/>
          <w:numId w:val="3"/>
        </w:numPr>
        <w:tabs>
          <w:tab w:val="right" w:pos="567"/>
          <w:tab w:val="num" w:pos="1276"/>
        </w:tabs>
        <w:ind w:left="1134" w:right="0" w:firstLine="0"/>
        <w:rPr>
          <w:rStyle w:val="st"/>
          <w:sz w:val="20"/>
          <w:szCs w:val="20"/>
          <w:lang w:val="en-US"/>
        </w:rPr>
      </w:pPr>
      <w:r>
        <w:rPr>
          <w:rStyle w:val="st"/>
          <w:sz w:val="20"/>
          <w:szCs w:val="20"/>
          <w:lang w:val="en-GB"/>
        </w:rPr>
        <w:t xml:space="preserve">Regulation No. 330 provides the legal framework under which charges may be made to members of the public seeking to access hydrometeorological information. </w:t>
      </w:r>
      <w:r w:rsidR="00855102">
        <w:rPr>
          <w:rStyle w:val="st"/>
          <w:sz w:val="20"/>
          <w:szCs w:val="20"/>
          <w:lang w:val="en-GB"/>
        </w:rPr>
        <w:t xml:space="preserve">As such, </w:t>
      </w:r>
      <w:r w:rsidR="006029DE">
        <w:rPr>
          <w:rStyle w:val="st"/>
          <w:sz w:val="20"/>
          <w:szCs w:val="20"/>
          <w:lang w:val="en-GB"/>
        </w:rPr>
        <w:t xml:space="preserve">the Convention requires that </w:t>
      </w:r>
      <w:r w:rsidR="00855102">
        <w:rPr>
          <w:rStyle w:val="st"/>
          <w:sz w:val="20"/>
          <w:szCs w:val="20"/>
          <w:lang w:val="en-GB"/>
        </w:rPr>
        <w:t xml:space="preserve">any charges made under Regulation No. 330 be both reasonable and </w:t>
      </w:r>
      <w:r w:rsidR="001F2A4C">
        <w:rPr>
          <w:rStyle w:val="st"/>
          <w:sz w:val="20"/>
          <w:szCs w:val="20"/>
          <w:lang w:val="en-GB"/>
        </w:rPr>
        <w:t xml:space="preserve">justifiable. </w:t>
      </w:r>
    </w:p>
    <w:p w14:paraId="7F199868" w14:textId="0DE77C3E" w:rsidR="0082197C" w:rsidRPr="00816AEA" w:rsidRDefault="0082197C" w:rsidP="007358B3">
      <w:pPr>
        <w:pStyle w:val="SingleTxtG"/>
        <w:numPr>
          <w:ilvl w:val="0"/>
          <w:numId w:val="3"/>
        </w:numPr>
        <w:tabs>
          <w:tab w:val="right" w:pos="567"/>
          <w:tab w:val="num" w:pos="1276"/>
        </w:tabs>
        <w:ind w:left="1134" w:right="0" w:firstLine="0"/>
        <w:rPr>
          <w:rStyle w:val="st"/>
          <w:sz w:val="20"/>
          <w:szCs w:val="20"/>
          <w:lang w:val="en-US"/>
        </w:rPr>
      </w:pPr>
      <w:r w:rsidRPr="00816AEA">
        <w:rPr>
          <w:rStyle w:val="st"/>
          <w:sz w:val="20"/>
          <w:szCs w:val="20"/>
          <w:lang w:val="en-US"/>
        </w:rPr>
        <w:t>W</w:t>
      </w:r>
      <w:r w:rsidR="001F2A4C" w:rsidRPr="00816AEA">
        <w:rPr>
          <w:rStyle w:val="st"/>
          <w:sz w:val="20"/>
          <w:szCs w:val="20"/>
          <w:lang w:val="en-US"/>
        </w:rPr>
        <w:t xml:space="preserve">hile annex 2 of Regulation No. 330 does contain a schedule of charges that may be levied to applicants </w:t>
      </w:r>
      <w:r w:rsidR="007358B3">
        <w:rPr>
          <w:rStyle w:val="st"/>
          <w:sz w:val="20"/>
          <w:szCs w:val="20"/>
          <w:lang w:val="en-US"/>
        </w:rPr>
        <w:t xml:space="preserve">under </w:t>
      </w:r>
      <w:r w:rsidR="001F2A4C" w:rsidRPr="00816AEA">
        <w:rPr>
          <w:rStyle w:val="st"/>
          <w:sz w:val="20"/>
          <w:szCs w:val="20"/>
          <w:lang w:val="en-US"/>
        </w:rPr>
        <w:t xml:space="preserve">article 4(8) of the Convention, </w:t>
      </w:r>
      <w:r w:rsidR="007358B3">
        <w:rPr>
          <w:rStyle w:val="st"/>
          <w:sz w:val="20"/>
          <w:szCs w:val="20"/>
          <w:lang w:val="en-US"/>
        </w:rPr>
        <w:t>its application in practice</w:t>
      </w:r>
      <w:r w:rsidR="001F2A4C" w:rsidRPr="00816AEA">
        <w:rPr>
          <w:rStyle w:val="st"/>
          <w:sz w:val="20"/>
          <w:szCs w:val="20"/>
          <w:lang w:val="en-US"/>
        </w:rPr>
        <w:t xml:space="preserve"> can </w:t>
      </w:r>
      <w:r w:rsidR="007358B3">
        <w:rPr>
          <w:rStyle w:val="st"/>
          <w:sz w:val="20"/>
          <w:szCs w:val="20"/>
          <w:lang w:val="en-US"/>
        </w:rPr>
        <w:t>give rise to</w:t>
      </w:r>
      <w:r w:rsidR="001F2A4C" w:rsidRPr="00816AEA">
        <w:rPr>
          <w:rStyle w:val="st"/>
          <w:sz w:val="20"/>
          <w:szCs w:val="20"/>
          <w:lang w:val="en-US"/>
        </w:rPr>
        <w:t xml:space="preserve"> charges that are not</w:t>
      </w:r>
      <w:r w:rsidR="000A0D10">
        <w:rPr>
          <w:rStyle w:val="st"/>
          <w:sz w:val="20"/>
          <w:szCs w:val="20"/>
          <w:lang w:val="en-US"/>
        </w:rPr>
        <w:t xml:space="preserve"> predictable,</w:t>
      </w:r>
      <w:r w:rsidR="001F2A4C" w:rsidRPr="00816AEA">
        <w:rPr>
          <w:rStyle w:val="st"/>
          <w:sz w:val="20"/>
          <w:szCs w:val="20"/>
          <w:lang w:val="en-US"/>
        </w:rPr>
        <w:t xml:space="preserve"> reasonable or justified. </w:t>
      </w:r>
      <w:r w:rsidRPr="00816AEA">
        <w:rPr>
          <w:rStyle w:val="st"/>
          <w:sz w:val="20"/>
          <w:szCs w:val="20"/>
          <w:lang w:val="en-US"/>
        </w:rPr>
        <w:t xml:space="preserve">This is clearly demonstrated </w:t>
      </w:r>
      <w:r w:rsidR="007358B3">
        <w:rPr>
          <w:rStyle w:val="st"/>
          <w:sz w:val="20"/>
          <w:szCs w:val="20"/>
          <w:lang w:val="en-US"/>
        </w:rPr>
        <w:t>in</w:t>
      </w:r>
      <w:r w:rsidRPr="00816AEA">
        <w:rPr>
          <w:rStyle w:val="st"/>
          <w:sz w:val="20"/>
          <w:szCs w:val="20"/>
          <w:lang w:val="en-US"/>
        </w:rPr>
        <w:t xml:space="preserve"> the present case, where </w:t>
      </w:r>
      <w:r w:rsidR="00D33428">
        <w:rPr>
          <w:rStyle w:val="st"/>
          <w:sz w:val="20"/>
          <w:szCs w:val="20"/>
          <w:lang w:val="en-US"/>
        </w:rPr>
        <w:t>first the SHS</w:t>
      </w:r>
      <w:r w:rsidR="005C4512" w:rsidRPr="00816AEA">
        <w:rPr>
          <w:rStyle w:val="st"/>
          <w:sz w:val="20"/>
          <w:szCs w:val="20"/>
          <w:lang w:val="en-US"/>
        </w:rPr>
        <w:t xml:space="preserve"> and </w:t>
      </w:r>
      <w:r w:rsidR="00D33428">
        <w:rPr>
          <w:rStyle w:val="st"/>
          <w:sz w:val="20"/>
          <w:szCs w:val="20"/>
          <w:lang w:val="en-US"/>
        </w:rPr>
        <w:t xml:space="preserve">later </w:t>
      </w:r>
      <w:r w:rsidR="005C4512" w:rsidRPr="00816AEA">
        <w:rPr>
          <w:rStyle w:val="st"/>
          <w:sz w:val="20"/>
          <w:szCs w:val="20"/>
          <w:lang w:val="en-US"/>
        </w:rPr>
        <w:t>the Party concerned</w:t>
      </w:r>
      <w:r w:rsidR="00D33428">
        <w:rPr>
          <w:rStyle w:val="st"/>
          <w:sz w:val="20"/>
          <w:szCs w:val="20"/>
          <w:lang w:val="en-US"/>
        </w:rPr>
        <w:t xml:space="preserve"> during the present proceeding,</w:t>
      </w:r>
      <w:r w:rsidR="005C4512" w:rsidRPr="00816AEA">
        <w:rPr>
          <w:rStyle w:val="st"/>
          <w:sz w:val="20"/>
          <w:szCs w:val="20"/>
          <w:lang w:val="en-US"/>
        </w:rPr>
        <w:t xml:space="preserve"> proposed two different approaches to calculate the charges for the communicant’s request (see paras. </w:t>
      </w:r>
      <w:r w:rsidR="007358B3">
        <w:rPr>
          <w:rStyle w:val="st"/>
          <w:sz w:val="20"/>
          <w:szCs w:val="20"/>
          <w:lang w:val="en-US"/>
        </w:rPr>
        <w:fldChar w:fldCharType="begin"/>
      </w:r>
      <w:r w:rsidR="007358B3">
        <w:rPr>
          <w:rStyle w:val="st"/>
          <w:sz w:val="20"/>
          <w:szCs w:val="20"/>
          <w:lang w:val="en-US"/>
        </w:rPr>
        <w:instrText xml:space="preserve"> REF _Ref66825379 \r \h </w:instrText>
      </w:r>
      <w:r w:rsidR="007358B3">
        <w:rPr>
          <w:rStyle w:val="st"/>
          <w:sz w:val="20"/>
          <w:szCs w:val="20"/>
          <w:lang w:val="en-US"/>
        </w:rPr>
      </w:r>
      <w:r w:rsidR="007358B3">
        <w:rPr>
          <w:rStyle w:val="st"/>
          <w:sz w:val="20"/>
          <w:szCs w:val="20"/>
          <w:lang w:val="en-US"/>
        </w:rPr>
        <w:fldChar w:fldCharType="separate"/>
      </w:r>
      <w:r w:rsidR="0036337B">
        <w:rPr>
          <w:rStyle w:val="st"/>
          <w:sz w:val="20"/>
          <w:szCs w:val="20"/>
          <w:lang w:val="en-US"/>
        </w:rPr>
        <w:t>66</w:t>
      </w:r>
      <w:r w:rsidR="007358B3">
        <w:rPr>
          <w:rStyle w:val="st"/>
          <w:sz w:val="20"/>
          <w:szCs w:val="20"/>
          <w:lang w:val="en-US"/>
        </w:rPr>
        <w:fldChar w:fldCharType="end"/>
      </w:r>
      <w:r w:rsidR="007358B3">
        <w:rPr>
          <w:rStyle w:val="st"/>
          <w:sz w:val="20"/>
          <w:szCs w:val="20"/>
          <w:lang w:val="en-US"/>
        </w:rPr>
        <w:t xml:space="preserve"> - </w:t>
      </w:r>
      <w:r w:rsidR="007358B3">
        <w:rPr>
          <w:rStyle w:val="st"/>
          <w:sz w:val="20"/>
          <w:szCs w:val="20"/>
          <w:lang w:val="en-US"/>
        </w:rPr>
        <w:fldChar w:fldCharType="begin"/>
      </w:r>
      <w:r w:rsidR="007358B3">
        <w:rPr>
          <w:rStyle w:val="st"/>
          <w:sz w:val="20"/>
          <w:szCs w:val="20"/>
          <w:lang w:val="en-US"/>
        </w:rPr>
        <w:instrText xml:space="preserve"> REF _Ref66825390 \r \h </w:instrText>
      </w:r>
      <w:r w:rsidR="007358B3">
        <w:rPr>
          <w:rStyle w:val="st"/>
          <w:sz w:val="20"/>
          <w:szCs w:val="20"/>
          <w:lang w:val="en-US"/>
        </w:rPr>
      </w:r>
      <w:r w:rsidR="007358B3">
        <w:rPr>
          <w:rStyle w:val="st"/>
          <w:sz w:val="20"/>
          <w:szCs w:val="20"/>
          <w:lang w:val="en-US"/>
        </w:rPr>
        <w:fldChar w:fldCharType="separate"/>
      </w:r>
      <w:r w:rsidR="0036337B">
        <w:rPr>
          <w:rStyle w:val="st"/>
          <w:sz w:val="20"/>
          <w:szCs w:val="20"/>
          <w:lang w:val="en-US"/>
        </w:rPr>
        <w:t>62</w:t>
      </w:r>
      <w:r w:rsidR="007358B3">
        <w:rPr>
          <w:rStyle w:val="st"/>
          <w:sz w:val="20"/>
          <w:szCs w:val="20"/>
          <w:lang w:val="en-US"/>
        </w:rPr>
        <w:fldChar w:fldCharType="end"/>
      </w:r>
      <w:r w:rsidR="007358B3">
        <w:rPr>
          <w:rStyle w:val="st"/>
          <w:sz w:val="20"/>
          <w:szCs w:val="20"/>
          <w:lang w:val="en-US"/>
        </w:rPr>
        <w:t xml:space="preserve"> </w:t>
      </w:r>
      <w:r w:rsidR="005C4512" w:rsidRPr="00816AEA">
        <w:rPr>
          <w:rStyle w:val="st"/>
          <w:sz w:val="20"/>
          <w:szCs w:val="20"/>
          <w:lang w:val="en-US"/>
        </w:rPr>
        <w:t xml:space="preserve">above), </w:t>
      </w:r>
      <w:r w:rsidR="000E517F" w:rsidRPr="00816AEA">
        <w:rPr>
          <w:rStyle w:val="st"/>
          <w:sz w:val="20"/>
          <w:szCs w:val="20"/>
          <w:lang w:val="en-US"/>
        </w:rPr>
        <w:t>neither of which could be considered to be reasonable</w:t>
      </w:r>
      <w:r w:rsidR="00200A83">
        <w:rPr>
          <w:rStyle w:val="st"/>
          <w:sz w:val="20"/>
          <w:szCs w:val="20"/>
          <w:lang w:val="en-US"/>
        </w:rPr>
        <w:t xml:space="preserve"> and neither of which were adequately justified</w:t>
      </w:r>
      <w:r w:rsidR="000E517F" w:rsidRPr="00816AEA">
        <w:rPr>
          <w:rStyle w:val="st"/>
          <w:sz w:val="20"/>
          <w:szCs w:val="20"/>
          <w:lang w:val="en-US"/>
        </w:rPr>
        <w:t xml:space="preserve">. </w:t>
      </w:r>
      <w:r w:rsidR="005C4512" w:rsidRPr="00816AEA" w:rsidDel="00F51C89">
        <w:rPr>
          <w:rStyle w:val="st"/>
          <w:sz w:val="20"/>
          <w:szCs w:val="20"/>
          <w:lang w:val="en-GB"/>
        </w:rPr>
        <w:t>The Committee notes that the Party concerned in its replies to the communication and to the Committee</w:t>
      </w:r>
      <w:r w:rsidR="005C4512" w:rsidRPr="00816AEA">
        <w:rPr>
          <w:rStyle w:val="st"/>
          <w:sz w:val="20"/>
          <w:szCs w:val="20"/>
          <w:lang w:val="en-GB"/>
        </w:rPr>
        <w:t>’s</w:t>
      </w:r>
      <w:r w:rsidR="005C4512" w:rsidRPr="00816AEA" w:rsidDel="00F51C89">
        <w:rPr>
          <w:rStyle w:val="st"/>
          <w:sz w:val="20"/>
          <w:szCs w:val="20"/>
          <w:lang w:val="en-GB"/>
        </w:rPr>
        <w:t xml:space="preserve"> questions provided</w:t>
      </w:r>
      <w:r w:rsidR="005C4512" w:rsidRPr="00816AEA" w:rsidDel="00F51C89">
        <w:rPr>
          <w:rStyle w:val="st"/>
          <w:sz w:val="20"/>
          <w:szCs w:val="20"/>
          <w:lang w:val="en-US"/>
        </w:rPr>
        <w:t xml:space="preserve"> different</w:t>
      </w:r>
      <w:r w:rsidR="005C4512" w:rsidRPr="00816AEA">
        <w:rPr>
          <w:rStyle w:val="st"/>
          <w:sz w:val="20"/>
          <w:szCs w:val="20"/>
          <w:lang w:val="en-US"/>
        </w:rPr>
        <w:t xml:space="preserve"> amounts</w:t>
      </w:r>
      <w:r w:rsidR="005C4512" w:rsidRPr="00816AEA" w:rsidDel="00F51C89">
        <w:rPr>
          <w:rStyle w:val="st"/>
          <w:sz w:val="20"/>
          <w:szCs w:val="20"/>
          <w:lang w:val="en-US"/>
        </w:rPr>
        <w:t xml:space="preserve"> and inconsistent</w:t>
      </w:r>
      <w:r w:rsidR="005C4512" w:rsidRPr="00816AEA" w:rsidDel="00F51C89">
        <w:rPr>
          <w:rStyle w:val="st"/>
          <w:sz w:val="20"/>
          <w:szCs w:val="20"/>
          <w:lang w:val="en-GB"/>
        </w:rPr>
        <w:t xml:space="preserve"> reasons for </w:t>
      </w:r>
      <w:r w:rsidR="005C4512" w:rsidRPr="00816AEA">
        <w:rPr>
          <w:rStyle w:val="st"/>
          <w:sz w:val="20"/>
          <w:szCs w:val="20"/>
          <w:lang w:val="en-GB"/>
        </w:rPr>
        <w:t xml:space="preserve">the </w:t>
      </w:r>
      <w:r w:rsidR="005C4512" w:rsidRPr="00816AEA" w:rsidDel="00F51C89">
        <w:rPr>
          <w:rStyle w:val="st"/>
          <w:sz w:val="20"/>
          <w:szCs w:val="20"/>
          <w:lang w:val="en-GB"/>
        </w:rPr>
        <w:t xml:space="preserve">setting of the charge for information requested by the communicant </w:t>
      </w:r>
      <w:r w:rsidR="005C4512" w:rsidRPr="00816AEA" w:rsidDel="00F51C89">
        <w:rPr>
          <w:sz w:val="20"/>
          <w:szCs w:val="20"/>
          <w:lang w:val="en-GB"/>
        </w:rPr>
        <w:t xml:space="preserve">(see paras. </w:t>
      </w:r>
      <w:r w:rsidR="00EC76A8">
        <w:rPr>
          <w:sz w:val="20"/>
          <w:szCs w:val="20"/>
          <w:lang w:val="en-GB"/>
        </w:rPr>
        <w:fldChar w:fldCharType="begin"/>
      </w:r>
      <w:r w:rsidR="00EC76A8">
        <w:rPr>
          <w:sz w:val="20"/>
          <w:szCs w:val="20"/>
          <w:lang w:val="en-GB"/>
        </w:rPr>
        <w:instrText xml:space="preserve"> REF _Ref66825609 \r \h </w:instrText>
      </w:r>
      <w:r w:rsidR="00EC76A8">
        <w:rPr>
          <w:sz w:val="20"/>
          <w:szCs w:val="20"/>
          <w:lang w:val="en-GB"/>
        </w:rPr>
      </w:r>
      <w:r w:rsidR="00EC76A8">
        <w:rPr>
          <w:sz w:val="20"/>
          <w:szCs w:val="20"/>
          <w:lang w:val="en-GB"/>
        </w:rPr>
        <w:fldChar w:fldCharType="separate"/>
      </w:r>
      <w:r w:rsidR="0036337B">
        <w:rPr>
          <w:sz w:val="20"/>
          <w:szCs w:val="20"/>
          <w:lang w:val="en-GB"/>
        </w:rPr>
        <w:t>57</w:t>
      </w:r>
      <w:r w:rsidR="00EC76A8">
        <w:rPr>
          <w:sz w:val="20"/>
          <w:szCs w:val="20"/>
          <w:lang w:val="en-GB"/>
        </w:rPr>
        <w:fldChar w:fldCharType="end"/>
      </w:r>
      <w:r w:rsidR="00EC76A8">
        <w:rPr>
          <w:sz w:val="20"/>
          <w:szCs w:val="20"/>
          <w:lang w:val="en-GB"/>
        </w:rPr>
        <w:t>-</w:t>
      </w:r>
      <w:r w:rsidR="0021688B">
        <w:rPr>
          <w:sz w:val="20"/>
          <w:szCs w:val="20"/>
          <w:lang w:val="en-GB"/>
        </w:rPr>
        <w:fldChar w:fldCharType="begin"/>
      </w:r>
      <w:r w:rsidR="0021688B">
        <w:rPr>
          <w:sz w:val="20"/>
          <w:szCs w:val="20"/>
          <w:lang w:val="en-GB"/>
        </w:rPr>
        <w:instrText xml:space="preserve"> REF _Ref67065035 \r \h </w:instrText>
      </w:r>
      <w:r w:rsidR="0021688B">
        <w:rPr>
          <w:sz w:val="20"/>
          <w:szCs w:val="20"/>
          <w:lang w:val="en-GB"/>
        </w:rPr>
      </w:r>
      <w:r w:rsidR="0021688B">
        <w:rPr>
          <w:sz w:val="20"/>
          <w:szCs w:val="20"/>
          <w:lang w:val="en-GB"/>
        </w:rPr>
        <w:fldChar w:fldCharType="separate"/>
      </w:r>
      <w:r w:rsidR="0036337B">
        <w:rPr>
          <w:sz w:val="20"/>
          <w:szCs w:val="20"/>
          <w:lang w:val="en-GB"/>
        </w:rPr>
        <w:t>59</w:t>
      </w:r>
      <w:r w:rsidR="0021688B">
        <w:rPr>
          <w:sz w:val="20"/>
          <w:szCs w:val="20"/>
          <w:lang w:val="en-GB"/>
        </w:rPr>
        <w:fldChar w:fldCharType="end"/>
      </w:r>
      <w:r w:rsidR="004E6347">
        <w:rPr>
          <w:sz w:val="20"/>
          <w:szCs w:val="20"/>
          <w:lang w:val="en-GB"/>
        </w:rPr>
        <w:t xml:space="preserve"> </w:t>
      </w:r>
      <w:r w:rsidR="00EC76A8">
        <w:rPr>
          <w:sz w:val="20"/>
          <w:szCs w:val="20"/>
          <w:lang w:val="en-GB"/>
        </w:rPr>
        <w:t xml:space="preserve">and </w:t>
      </w:r>
      <w:r w:rsidR="0021688B">
        <w:rPr>
          <w:sz w:val="20"/>
          <w:szCs w:val="20"/>
          <w:lang w:val="en-GB"/>
        </w:rPr>
        <w:fldChar w:fldCharType="begin"/>
      </w:r>
      <w:r w:rsidR="0021688B">
        <w:rPr>
          <w:sz w:val="20"/>
          <w:szCs w:val="20"/>
          <w:lang w:val="en-GB"/>
        </w:rPr>
        <w:instrText xml:space="preserve"> REF _Ref66825636 \r \h </w:instrText>
      </w:r>
      <w:r w:rsidR="0021688B">
        <w:rPr>
          <w:sz w:val="20"/>
          <w:szCs w:val="20"/>
          <w:lang w:val="en-GB"/>
        </w:rPr>
      </w:r>
      <w:r w:rsidR="0021688B">
        <w:rPr>
          <w:sz w:val="20"/>
          <w:szCs w:val="20"/>
          <w:lang w:val="en-GB"/>
        </w:rPr>
        <w:fldChar w:fldCharType="separate"/>
      </w:r>
      <w:r w:rsidR="0036337B">
        <w:rPr>
          <w:sz w:val="20"/>
          <w:szCs w:val="20"/>
          <w:lang w:val="en-GB"/>
        </w:rPr>
        <w:t>65</w:t>
      </w:r>
      <w:r w:rsidR="0021688B">
        <w:rPr>
          <w:sz w:val="20"/>
          <w:szCs w:val="20"/>
          <w:lang w:val="en-GB"/>
        </w:rPr>
        <w:fldChar w:fldCharType="end"/>
      </w:r>
      <w:r w:rsidR="00EC76A8">
        <w:rPr>
          <w:sz w:val="20"/>
          <w:szCs w:val="20"/>
          <w:lang w:val="en-GB"/>
        </w:rPr>
        <w:t xml:space="preserve"> </w:t>
      </w:r>
      <w:r w:rsidR="005C4512" w:rsidRPr="00816AEA" w:rsidDel="00F51C89">
        <w:rPr>
          <w:sz w:val="20"/>
          <w:szCs w:val="20"/>
          <w:lang w:val="en-GB"/>
        </w:rPr>
        <w:t>above)</w:t>
      </w:r>
      <w:r w:rsidR="005C4512" w:rsidRPr="00816AEA" w:rsidDel="00F51C89">
        <w:rPr>
          <w:rStyle w:val="st"/>
          <w:sz w:val="20"/>
          <w:szCs w:val="20"/>
          <w:lang w:val="en-GB"/>
        </w:rPr>
        <w:t>.</w:t>
      </w:r>
      <w:r w:rsidR="005C4512" w:rsidRPr="00816AEA">
        <w:rPr>
          <w:rStyle w:val="st"/>
          <w:sz w:val="20"/>
          <w:szCs w:val="20"/>
          <w:lang w:val="en-GB"/>
        </w:rPr>
        <w:t xml:space="preserve"> </w:t>
      </w:r>
    </w:p>
    <w:p w14:paraId="5A140E6D" w14:textId="0495FDA4" w:rsidR="000F103B" w:rsidRDefault="0029725E" w:rsidP="00A05A85">
      <w:pPr>
        <w:pStyle w:val="SingleTxtG"/>
        <w:numPr>
          <w:ilvl w:val="0"/>
          <w:numId w:val="3"/>
        </w:numPr>
        <w:tabs>
          <w:tab w:val="right" w:pos="567"/>
          <w:tab w:val="num" w:pos="1276"/>
        </w:tabs>
        <w:ind w:left="1134" w:right="0" w:firstLine="0"/>
        <w:rPr>
          <w:rStyle w:val="st"/>
          <w:sz w:val="20"/>
          <w:szCs w:val="20"/>
          <w:lang w:val="en-US"/>
        </w:rPr>
      </w:pPr>
      <w:bookmarkStart w:id="27" w:name="_Hlk66732842"/>
      <w:r>
        <w:rPr>
          <w:rStyle w:val="st"/>
          <w:sz w:val="20"/>
          <w:szCs w:val="20"/>
          <w:lang w:val="en-US"/>
        </w:rPr>
        <w:t xml:space="preserve">Based on the </w:t>
      </w:r>
      <w:r w:rsidR="00F300B7">
        <w:rPr>
          <w:rStyle w:val="st"/>
          <w:sz w:val="20"/>
          <w:szCs w:val="20"/>
          <w:lang w:val="en-US"/>
        </w:rPr>
        <w:t>foregoing</w:t>
      </w:r>
      <w:r>
        <w:rPr>
          <w:rStyle w:val="st"/>
          <w:sz w:val="20"/>
          <w:szCs w:val="20"/>
          <w:lang w:val="en-US"/>
        </w:rPr>
        <w:t>, the Committee finds that</w:t>
      </w:r>
      <w:r w:rsidR="00F300B7">
        <w:rPr>
          <w:rStyle w:val="st"/>
          <w:sz w:val="20"/>
          <w:szCs w:val="20"/>
          <w:lang w:val="en-US"/>
        </w:rPr>
        <w:t xml:space="preserve">, by </w:t>
      </w:r>
      <w:r w:rsidR="00233AA3">
        <w:rPr>
          <w:rStyle w:val="st"/>
          <w:sz w:val="20"/>
          <w:szCs w:val="20"/>
          <w:lang w:val="en-US"/>
        </w:rPr>
        <w:t xml:space="preserve">establishing and maintaining a schedule of charges that </w:t>
      </w:r>
      <w:r w:rsidR="00204373">
        <w:rPr>
          <w:rStyle w:val="st"/>
          <w:sz w:val="20"/>
          <w:szCs w:val="20"/>
          <w:lang w:val="en-US"/>
        </w:rPr>
        <w:t>does not</w:t>
      </w:r>
      <w:r w:rsidR="00233AA3">
        <w:rPr>
          <w:rStyle w:val="st"/>
          <w:sz w:val="20"/>
          <w:szCs w:val="20"/>
          <w:lang w:val="en-US"/>
        </w:rPr>
        <w:t xml:space="preserve"> meet the requirement to ensure that</w:t>
      </w:r>
      <w:r w:rsidR="00F300B7">
        <w:rPr>
          <w:rStyle w:val="st"/>
          <w:sz w:val="20"/>
          <w:szCs w:val="20"/>
          <w:lang w:val="en-US"/>
        </w:rPr>
        <w:t xml:space="preserve"> </w:t>
      </w:r>
      <w:r w:rsidR="00184A89">
        <w:rPr>
          <w:rStyle w:val="st"/>
          <w:sz w:val="20"/>
          <w:szCs w:val="20"/>
          <w:lang w:val="en-US"/>
        </w:rPr>
        <w:t xml:space="preserve">any </w:t>
      </w:r>
      <w:r w:rsidR="00F300B7">
        <w:rPr>
          <w:rStyle w:val="st"/>
          <w:sz w:val="20"/>
          <w:szCs w:val="20"/>
          <w:lang w:val="en-US"/>
        </w:rPr>
        <w:t>charge for supplying information does not exceed a reasonable amount, the Party concerned fails</w:t>
      </w:r>
      <w:r w:rsidR="0034741F">
        <w:rPr>
          <w:rStyle w:val="st"/>
          <w:sz w:val="20"/>
          <w:szCs w:val="20"/>
          <w:lang w:val="en-US"/>
        </w:rPr>
        <w:t xml:space="preserve"> to comply with article 4(8) of the Conventio</w:t>
      </w:r>
      <w:r w:rsidR="00F300B7">
        <w:rPr>
          <w:rStyle w:val="st"/>
          <w:sz w:val="20"/>
          <w:szCs w:val="20"/>
          <w:lang w:val="en-US"/>
        </w:rPr>
        <w:t>n</w:t>
      </w:r>
      <w:r w:rsidR="00E2372B">
        <w:rPr>
          <w:rStyle w:val="st"/>
          <w:sz w:val="20"/>
          <w:szCs w:val="20"/>
          <w:lang w:val="en-US"/>
        </w:rPr>
        <w:t>.</w:t>
      </w:r>
    </w:p>
    <w:bookmarkEnd w:id="27"/>
    <w:p w14:paraId="31C6E27D" w14:textId="2A52CC04" w:rsidR="00DB3227" w:rsidRPr="00F874CB" w:rsidRDefault="00DB3227" w:rsidP="00F874CB">
      <w:pPr>
        <w:pStyle w:val="SingleTxtG"/>
        <w:tabs>
          <w:tab w:val="right" w:pos="567"/>
        </w:tabs>
        <w:ind w:right="0"/>
        <w:rPr>
          <w:rStyle w:val="st"/>
          <w:b/>
          <w:bCs/>
          <w:sz w:val="20"/>
          <w:szCs w:val="20"/>
          <w:lang w:val="en-US"/>
        </w:rPr>
      </w:pPr>
      <w:r w:rsidRPr="00F874CB">
        <w:rPr>
          <w:rStyle w:val="st"/>
          <w:b/>
          <w:bCs/>
          <w:sz w:val="20"/>
          <w:szCs w:val="20"/>
          <w:lang w:val="en-GB"/>
        </w:rPr>
        <w:t>Article 3(1)</w:t>
      </w:r>
    </w:p>
    <w:p w14:paraId="42F196C5" w14:textId="584567E3" w:rsidR="00990B94" w:rsidRPr="007F6DE5" w:rsidRDefault="00990B94" w:rsidP="00F300B7">
      <w:pPr>
        <w:pStyle w:val="SingleTxtG"/>
        <w:numPr>
          <w:ilvl w:val="0"/>
          <w:numId w:val="3"/>
        </w:numPr>
        <w:tabs>
          <w:tab w:val="right" w:pos="567"/>
          <w:tab w:val="num" w:pos="1276"/>
        </w:tabs>
        <w:ind w:left="1134" w:right="0" w:firstLine="0"/>
        <w:rPr>
          <w:rStyle w:val="st"/>
          <w:sz w:val="20"/>
          <w:szCs w:val="20"/>
          <w:vertAlign w:val="superscript"/>
          <w:lang w:val="en-GB"/>
        </w:rPr>
      </w:pPr>
      <w:r w:rsidRPr="00166C97">
        <w:rPr>
          <w:rStyle w:val="st"/>
          <w:sz w:val="20"/>
          <w:szCs w:val="20"/>
          <w:lang w:val="en-GB"/>
        </w:rPr>
        <w:t>As th</w:t>
      </w:r>
      <w:r w:rsidR="00F300B7">
        <w:rPr>
          <w:rStyle w:val="st"/>
          <w:sz w:val="20"/>
          <w:szCs w:val="20"/>
          <w:lang w:val="en-GB"/>
        </w:rPr>
        <w:t>e present</w:t>
      </w:r>
      <w:r w:rsidRPr="00166C97">
        <w:rPr>
          <w:rStyle w:val="st"/>
          <w:sz w:val="20"/>
          <w:szCs w:val="20"/>
          <w:lang w:val="en-GB"/>
        </w:rPr>
        <w:t xml:space="preserve"> case illustrates, </w:t>
      </w:r>
      <w:r w:rsidR="00166C97" w:rsidRPr="00166C97">
        <w:rPr>
          <w:rStyle w:val="st"/>
          <w:sz w:val="20"/>
          <w:szCs w:val="20"/>
          <w:lang w:val="en-US"/>
        </w:rPr>
        <w:t>Regulation No. 330 crea</w:t>
      </w:r>
      <w:r w:rsidR="00166C97" w:rsidRPr="007F6DE5">
        <w:rPr>
          <w:rStyle w:val="st"/>
          <w:sz w:val="20"/>
          <w:szCs w:val="20"/>
          <w:lang w:val="en-US"/>
        </w:rPr>
        <w:t xml:space="preserve">tes a situation whereby </w:t>
      </w:r>
      <w:r w:rsidR="00166C97" w:rsidRPr="007F6DE5">
        <w:rPr>
          <w:rStyle w:val="st"/>
          <w:sz w:val="20"/>
          <w:szCs w:val="20"/>
          <w:lang w:val="en-GB"/>
        </w:rPr>
        <w:t xml:space="preserve">public authorities can calculate charges in a manner that is inconsistent and cannot be properly explained, </w:t>
      </w:r>
      <w:r w:rsidR="00166C97" w:rsidRPr="007F6DE5" w:rsidDel="0095071C">
        <w:rPr>
          <w:rStyle w:val="st"/>
          <w:sz w:val="20"/>
          <w:szCs w:val="20"/>
          <w:lang w:val="en-GB"/>
        </w:rPr>
        <w:t xml:space="preserve">reasoned </w:t>
      </w:r>
      <w:r w:rsidR="00166C97" w:rsidRPr="007F6DE5">
        <w:rPr>
          <w:rStyle w:val="st"/>
          <w:sz w:val="20"/>
          <w:szCs w:val="20"/>
          <w:lang w:val="en-GB"/>
        </w:rPr>
        <w:t>or</w:t>
      </w:r>
      <w:r w:rsidR="00166C97" w:rsidRPr="007F6DE5" w:rsidDel="0095071C">
        <w:rPr>
          <w:rStyle w:val="st"/>
          <w:sz w:val="20"/>
          <w:szCs w:val="20"/>
          <w:lang w:val="en-GB"/>
        </w:rPr>
        <w:t xml:space="preserve"> justified</w:t>
      </w:r>
      <w:r w:rsidR="00166C97" w:rsidRPr="007F6DE5">
        <w:rPr>
          <w:rStyle w:val="st"/>
          <w:sz w:val="20"/>
          <w:szCs w:val="20"/>
          <w:lang w:val="en-GB"/>
        </w:rPr>
        <w:t xml:space="preserve">. </w:t>
      </w:r>
      <w:r w:rsidR="00166C97" w:rsidRPr="007F6DE5">
        <w:rPr>
          <w:rStyle w:val="st"/>
          <w:sz w:val="20"/>
          <w:szCs w:val="20"/>
          <w:lang w:val="en-US"/>
        </w:rPr>
        <w:t xml:space="preserve">That </w:t>
      </w:r>
      <w:r w:rsidR="00F300B7" w:rsidRPr="007F6DE5">
        <w:rPr>
          <w:rStyle w:val="st"/>
          <w:sz w:val="20"/>
          <w:szCs w:val="20"/>
          <w:lang w:val="en-US"/>
        </w:rPr>
        <w:t>Regulation No. 330 enable</w:t>
      </w:r>
      <w:r w:rsidR="007F6DE5" w:rsidRPr="007F6DE5">
        <w:rPr>
          <w:rStyle w:val="st"/>
          <w:sz w:val="20"/>
          <w:szCs w:val="20"/>
          <w:lang w:val="en-US"/>
        </w:rPr>
        <w:t>d</w:t>
      </w:r>
      <w:r w:rsidR="00F300B7" w:rsidRPr="007F6DE5">
        <w:rPr>
          <w:rStyle w:val="st"/>
          <w:sz w:val="20"/>
          <w:szCs w:val="20"/>
          <w:lang w:val="en-US"/>
        </w:rPr>
        <w:t xml:space="preserve"> </w:t>
      </w:r>
      <w:r w:rsidR="00166C97" w:rsidRPr="007F6DE5">
        <w:rPr>
          <w:rStyle w:val="st"/>
          <w:sz w:val="20"/>
          <w:szCs w:val="20"/>
          <w:lang w:val="en-US"/>
        </w:rPr>
        <w:t xml:space="preserve">such a confusing situation </w:t>
      </w:r>
      <w:r w:rsidR="00F300B7" w:rsidRPr="007F6DE5">
        <w:rPr>
          <w:rStyle w:val="st"/>
          <w:sz w:val="20"/>
          <w:szCs w:val="20"/>
          <w:lang w:val="en-US"/>
        </w:rPr>
        <w:t xml:space="preserve">to </w:t>
      </w:r>
      <w:r w:rsidR="00166C97" w:rsidRPr="007F6DE5">
        <w:rPr>
          <w:rStyle w:val="st"/>
          <w:sz w:val="20"/>
          <w:szCs w:val="20"/>
          <w:lang w:val="en-US"/>
        </w:rPr>
        <w:t xml:space="preserve">arise </w:t>
      </w:r>
      <w:r w:rsidR="00F300B7" w:rsidRPr="007F6DE5">
        <w:rPr>
          <w:rStyle w:val="st"/>
          <w:sz w:val="20"/>
          <w:szCs w:val="20"/>
          <w:lang w:val="en-US"/>
        </w:rPr>
        <w:t xml:space="preserve">with respect to </w:t>
      </w:r>
      <w:r w:rsidR="00166C97" w:rsidRPr="007F6DE5">
        <w:rPr>
          <w:rStyle w:val="st"/>
          <w:sz w:val="20"/>
          <w:szCs w:val="20"/>
          <w:lang w:val="en-US"/>
        </w:rPr>
        <w:t xml:space="preserve">a relatively straightforward information request </w:t>
      </w:r>
      <w:r w:rsidR="007F6DE5" w:rsidRPr="007F6DE5">
        <w:rPr>
          <w:rStyle w:val="st"/>
          <w:sz w:val="20"/>
          <w:szCs w:val="20"/>
          <w:lang w:val="en-US"/>
        </w:rPr>
        <w:t xml:space="preserve">such as the communicant’s in this case </w:t>
      </w:r>
      <w:r w:rsidR="00166C97" w:rsidRPr="007F6DE5">
        <w:rPr>
          <w:rStyle w:val="st"/>
          <w:sz w:val="20"/>
          <w:szCs w:val="20"/>
          <w:lang w:val="en-US"/>
        </w:rPr>
        <w:t xml:space="preserve">is </w:t>
      </w:r>
      <w:r w:rsidR="005819A7" w:rsidRPr="007F6DE5">
        <w:rPr>
          <w:rStyle w:val="st"/>
          <w:sz w:val="20"/>
          <w:szCs w:val="20"/>
          <w:lang w:val="en-US"/>
        </w:rPr>
        <w:t>of concern to the Committee</w:t>
      </w:r>
      <w:r w:rsidR="00166C97" w:rsidRPr="007F6DE5">
        <w:rPr>
          <w:rStyle w:val="st"/>
          <w:sz w:val="20"/>
          <w:szCs w:val="20"/>
          <w:lang w:val="en-US"/>
        </w:rPr>
        <w:t xml:space="preserve">. </w:t>
      </w:r>
    </w:p>
    <w:p w14:paraId="68EDBF23" w14:textId="6B65F6FA" w:rsidR="009451F0" w:rsidRPr="007F6DE5" w:rsidRDefault="007F6DE5" w:rsidP="007F6DE5">
      <w:pPr>
        <w:pStyle w:val="SingleTxtG"/>
        <w:numPr>
          <w:ilvl w:val="0"/>
          <w:numId w:val="3"/>
        </w:numPr>
        <w:tabs>
          <w:tab w:val="right" w:pos="567"/>
          <w:tab w:val="num" w:pos="1276"/>
        </w:tabs>
        <w:ind w:left="1134" w:right="0" w:firstLine="0"/>
        <w:rPr>
          <w:rStyle w:val="st"/>
          <w:sz w:val="20"/>
          <w:szCs w:val="20"/>
          <w:lang w:val="en-US"/>
        </w:rPr>
      </w:pPr>
      <w:r w:rsidRPr="007F6DE5">
        <w:rPr>
          <w:rStyle w:val="st"/>
          <w:sz w:val="20"/>
          <w:szCs w:val="20"/>
          <w:lang w:val="en-US"/>
        </w:rPr>
        <w:t xml:space="preserve">Moreover, in addition to the differing calculations of the appropriate charge for the information request </w:t>
      </w:r>
      <w:r w:rsidR="00233AA3">
        <w:rPr>
          <w:rStyle w:val="st"/>
          <w:sz w:val="20"/>
          <w:szCs w:val="20"/>
          <w:lang w:val="en-US"/>
        </w:rPr>
        <w:t xml:space="preserve">at issue </w:t>
      </w:r>
      <w:r w:rsidRPr="007F6DE5">
        <w:rPr>
          <w:rStyle w:val="st"/>
          <w:sz w:val="20"/>
          <w:szCs w:val="20"/>
          <w:lang w:val="en-US"/>
        </w:rPr>
        <w:t>in this case</w:t>
      </w:r>
      <w:r w:rsidR="009451F0" w:rsidRPr="007F6DE5">
        <w:rPr>
          <w:rStyle w:val="st"/>
          <w:sz w:val="20"/>
          <w:szCs w:val="20"/>
          <w:lang w:val="en-US"/>
        </w:rPr>
        <w:t xml:space="preserve">, </w:t>
      </w:r>
      <w:r w:rsidRPr="007F6DE5">
        <w:rPr>
          <w:rStyle w:val="st"/>
          <w:sz w:val="20"/>
          <w:szCs w:val="20"/>
          <w:lang w:val="en-US"/>
        </w:rPr>
        <w:t>the Committee note</w:t>
      </w:r>
      <w:r w:rsidR="003A191E">
        <w:rPr>
          <w:rStyle w:val="st"/>
          <w:sz w:val="20"/>
          <w:szCs w:val="20"/>
          <w:lang w:val="en-US"/>
        </w:rPr>
        <w:t>s</w:t>
      </w:r>
      <w:r w:rsidRPr="007F6DE5">
        <w:rPr>
          <w:rStyle w:val="st"/>
          <w:sz w:val="20"/>
          <w:szCs w:val="20"/>
          <w:lang w:val="en-US"/>
        </w:rPr>
        <w:t xml:space="preserve"> the lack of clarit</w:t>
      </w:r>
      <w:r w:rsidR="009451F0" w:rsidRPr="007F6DE5">
        <w:rPr>
          <w:rStyle w:val="st"/>
          <w:sz w:val="20"/>
          <w:szCs w:val="20"/>
          <w:lang w:val="en-US"/>
        </w:rPr>
        <w:t xml:space="preserve">y as </w:t>
      </w:r>
      <w:r w:rsidRPr="007F6DE5">
        <w:rPr>
          <w:rStyle w:val="st"/>
          <w:sz w:val="20"/>
          <w:szCs w:val="20"/>
          <w:lang w:val="en-US"/>
        </w:rPr>
        <w:t>to what constitutes “primary information” under Regulation No. 330</w:t>
      </w:r>
      <w:r w:rsidR="009451F0" w:rsidRPr="007F6DE5">
        <w:rPr>
          <w:rStyle w:val="st"/>
          <w:sz w:val="20"/>
          <w:szCs w:val="20"/>
          <w:lang w:val="en-US"/>
        </w:rPr>
        <w:t>. The concept of “primary information” is not defined in the Regulation, and the Party concerned has not been able to provide a clear or consistent explanation of what the term means (</w:t>
      </w:r>
      <w:r w:rsidR="008F39E7" w:rsidRPr="00E0525A" w:rsidDel="00F51C89">
        <w:rPr>
          <w:sz w:val="20"/>
          <w:lang w:val="en-GB"/>
        </w:rPr>
        <w:t xml:space="preserve">see paras. </w:t>
      </w:r>
      <w:r w:rsidR="008F39E7">
        <w:rPr>
          <w:sz w:val="20"/>
          <w:szCs w:val="20"/>
          <w:lang w:val="en-GB"/>
        </w:rPr>
        <w:fldChar w:fldCharType="begin"/>
      </w:r>
      <w:r w:rsidR="008F39E7">
        <w:rPr>
          <w:sz w:val="20"/>
          <w:szCs w:val="20"/>
          <w:lang w:val="en-GB"/>
        </w:rPr>
        <w:instrText xml:space="preserve"> REF _Ref66825609 \r \h </w:instrText>
      </w:r>
      <w:r w:rsidR="008F39E7">
        <w:rPr>
          <w:sz w:val="20"/>
          <w:szCs w:val="20"/>
          <w:lang w:val="en-GB"/>
        </w:rPr>
      </w:r>
      <w:r w:rsidR="008F39E7">
        <w:rPr>
          <w:sz w:val="20"/>
          <w:szCs w:val="20"/>
          <w:lang w:val="en-GB"/>
        </w:rPr>
        <w:fldChar w:fldCharType="separate"/>
      </w:r>
      <w:r w:rsidR="0036337B">
        <w:rPr>
          <w:sz w:val="20"/>
          <w:szCs w:val="20"/>
          <w:lang w:val="en-GB"/>
        </w:rPr>
        <w:t>57</w:t>
      </w:r>
      <w:r w:rsidR="008F39E7">
        <w:rPr>
          <w:sz w:val="20"/>
          <w:szCs w:val="20"/>
          <w:lang w:val="en-GB"/>
        </w:rPr>
        <w:fldChar w:fldCharType="end"/>
      </w:r>
      <w:r w:rsidR="008F39E7">
        <w:rPr>
          <w:sz w:val="20"/>
          <w:szCs w:val="20"/>
          <w:lang w:val="en-GB"/>
        </w:rPr>
        <w:t>-</w:t>
      </w:r>
      <w:r w:rsidR="008F39E7">
        <w:rPr>
          <w:sz w:val="20"/>
          <w:szCs w:val="20"/>
          <w:lang w:val="en-GB"/>
        </w:rPr>
        <w:fldChar w:fldCharType="begin"/>
      </w:r>
      <w:r w:rsidR="008F39E7">
        <w:rPr>
          <w:sz w:val="20"/>
          <w:szCs w:val="20"/>
          <w:lang w:val="en-GB"/>
        </w:rPr>
        <w:instrText xml:space="preserve"> REF _Ref67065035 \r \h </w:instrText>
      </w:r>
      <w:r w:rsidR="008F39E7">
        <w:rPr>
          <w:sz w:val="20"/>
          <w:szCs w:val="20"/>
          <w:lang w:val="en-GB"/>
        </w:rPr>
      </w:r>
      <w:r w:rsidR="008F39E7">
        <w:rPr>
          <w:sz w:val="20"/>
          <w:szCs w:val="20"/>
          <w:lang w:val="en-GB"/>
        </w:rPr>
        <w:fldChar w:fldCharType="separate"/>
      </w:r>
      <w:r w:rsidR="0036337B">
        <w:rPr>
          <w:sz w:val="20"/>
          <w:szCs w:val="20"/>
          <w:lang w:val="en-GB"/>
        </w:rPr>
        <w:t>59</w:t>
      </w:r>
      <w:r w:rsidR="008F39E7">
        <w:rPr>
          <w:sz w:val="20"/>
          <w:szCs w:val="20"/>
          <w:lang w:val="en-GB"/>
        </w:rPr>
        <w:fldChar w:fldCharType="end"/>
      </w:r>
      <w:r w:rsidR="008F39E7">
        <w:rPr>
          <w:sz w:val="20"/>
          <w:szCs w:val="20"/>
          <w:lang w:val="en-GB"/>
        </w:rPr>
        <w:t xml:space="preserve"> and </w:t>
      </w:r>
      <w:r w:rsidR="008F39E7">
        <w:rPr>
          <w:sz w:val="20"/>
          <w:szCs w:val="20"/>
          <w:lang w:val="en-GB"/>
        </w:rPr>
        <w:fldChar w:fldCharType="begin"/>
      </w:r>
      <w:r w:rsidR="008F39E7">
        <w:rPr>
          <w:sz w:val="20"/>
          <w:szCs w:val="20"/>
          <w:lang w:val="en-GB"/>
        </w:rPr>
        <w:instrText xml:space="preserve"> REF _Ref66825636 \r \h </w:instrText>
      </w:r>
      <w:r w:rsidR="008F39E7">
        <w:rPr>
          <w:sz w:val="20"/>
          <w:szCs w:val="20"/>
          <w:lang w:val="en-GB"/>
        </w:rPr>
      </w:r>
      <w:r w:rsidR="008F39E7">
        <w:rPr>
          <w:sz w:val="20"/>
          <w:szCs w:val="20"/>
          <w:lang w:val="en-GB"/>
        </w:rPr>
        <w:fldChar w:fldCharType="separate"/>
      </w:r>
      <w:r w:rsidR="0036337B">
        <w:rPr>
          <w:sz w:val="20"/>
          <w:szCs w:val="20"/>
          <w:lang w:val="en-GB"/>
        </w:rPr>
        <w:t>65</w:t>
      </w:r>
      <w:r w:rsidR="008F39E7">
        <w:rPr>
          <w:sz w:val="20"/>
          <w:szCs w:val="20"/>
          <w:lang w:val="en-GB"/>
        </w:rPr>
        <w:fldChar w:fldCharType="end"/>
      </w:r>
      <w:r w:rsidR="008F39E7">
        <w:rPr>
          <w:sz w:val="20"/>
          <w:szCs w:val="20"/>
          <w:lang w:val="en-GB"/>
        </w:rPr>
        <w:t xml:space="preserve"> </w:t>
      </w:r>
      <w:r w:rsidR="008F39E7" w:rsidRPr="00816AEA" w:rsidDel="00F51C89">
        <w:rPr>
          <w:sz w:val="20"/>
          <w:szCs w:val="20"/>
          <w:lang w:val="en-GB"/>
        </w:rPr>
        <w:t>above</w:t>
      </w:r>
      <w:r w:rsidR="009451F0" w:rsidRPr="007F6DE5">
        <w:rPr>
          <w:rStyle w:val="st"/>
          <w:sz w:val="20"/>
          <w:szCs w:val="20"/>
          <w:lang w:val="en-US"/>
        </w:rPr>
        <w:t>)</w:t>
      </w:r>
      <w:r w:rsidR="001A2C55" w:rsidRPr="007F6DE5">
        <w:rPr>
          <w:rStyle w:val="st"/>
          <w:sz w:val="20"/>
          <w:szCs w:val="20"/>
          <w:lang w:val="en-US"/>
        </w:rPr>
        <w:t>.</w:t>
      </w:r>
      <w:r w:rsidR="009451F0" w:rsidRPr="007F6DE5">
        <w:rPr>
          <w:rStyle w:val="st"/>
          <w:sz w:val="20"/>
          <w:szCs w:val="20"/>
          <w:lang w:val="en-US"/>
        </w:rPr>
        <w:t xml:space="preserve"> </w:t>
      </w:r>
    </w:p>
    <w:p w14:paraId="076738D0" w14:textId="4B9F617C" w:rsidR="007F6DE5" w:rsidRPr="00320BE7" w:rsidRDefault="007F6DE5" w:rsidP="001A2C55">
      <w:pPr>
        <w:pStyle w:val="SingleTxtG"/>
        <w:numPr>
          <w:ilvl w:val="0"/>
          <w:numId w:val="3"/>
        </w:numPr>
        <w:tabs>
          <w:tab w:val="right" w:pos="567"/>
          <w:tab w:val="num" w:pos="1276"/>
        </w:tabs>
        <w:ind w:left="1134" w:right="0" w:firstLine="0"/>
        <w:rPr>
          <w:rStyle w:val="st"/>
          <w:sz w:val="20"/>
          <w:szCs w:val="20"/>
          <w:lang w:val="en-GB"/>
        </w:rPr>
      </w:pPr>
      <w:r>
        <w:rPr>
          <w:rStyle w:val="st"/>
          <w:sz w:val="20"/>
          <w:szCs w:val="20"/>
          <w:lang w:val="en-US"/>
        </w:rPr>
        <w:t>The Committee considers that the legal framework established through Regulation No. 330, including its annex 2</w:t>
      </w:r>
      <w:r w:rsidR="003A191E">
        <w:rPr>
          <w:rStyle w:val="st"/>
          <w:sz w:val="20"/>
          <w:szCs w:val="20"/>
          <w:lang w:val="en-US"/>
        </w:rPr>
        <w:t xml:space="preserve"> in particular</w:t>
      </w:r>
      <w:r>
        <w:rPr>
          <w:rStyle w:val="st"/>
          <w:sz w:val="20"/>
          <w:szCs w:val="20"/>
          <w:lang w:val="en-US"/>
        </w:rPr>
        <w:t>, is unclear, confusing and inconsistent. The Committee fails to see how a member of the public could predict what charges will be</w:t>
      </w:r>
      <w:r w:rsidRPr="00323041">
        <w:rPr>
          <w:rStyle w:val="st"/>
          <w:sz w:val="20"/>
          <w:szCs w:val="20"/>
          <w:lang w:val="en-US"/>
        </w:rPr>
        <w:t xml:space="preserve"> made under Regulation No. 330</w:t>
      </w:r>
      <w:r w:rsidR="003A191E">
        <w:rPr>
          <w:rStyle w:val="st"/>
          <w:sz w:val="20"/>
          <w:szCs w:val="20"/>
          <w:lang w:val="en-US"/>
        </w:rPr>
        <w:t>.</w:t>
      </w:r>
      <w:r w:rsidRPr="00323041">
        <w:rPr>
          <w:rStyle w:val="st"/>
          <w:sz w:val="20"/>
          <w:szCs w:val="20"/>
          <w:lang w:val="en-US"/>
        </w:rPr>
        <w:t xml:space="preserve"> </w:t>
      </w:r>
      <w:r w:rsidR="003A191E">
        <w:rPr>
          <w:rStyle w:val="st"/>
          <w:sz w:val="20"/>
          <w:szCs w:val="20"/>
          <w:lang w:val="en-US"/>
        </w:rPr>
        <w:t xml:space="preserve">This </w:t>
      </w:r>
      <w:r w:rsidRPr="00323041">
        <w:rPr>
          <w:rStyle w:val="st"/>
          <w:sz w:val="20"/>
          <w:szCs w:val="20"/>
          <w:lang w:val="en-US"/>
        </w:rPr>
        <w:t xml:space="preserve">lack of clarity may also have a deterrent effect on members of the public </w:t>
      </w:r>
      <w:r>
        <w:rPr>
          <w:rStyle w:val="st"/>
          <w:sz w:val="20"/>
          <w:szCs w:val="20"/>
          <w:lang w:val="en-US"/>
        </w:rPr>
        <w:t>seeking to rely on</w:t>
      </w:r>
      <w:r w:rsidRPr="00323041">
        <w:rPr>
          <w:rStyle w:val="st"/>
          <w:sz w:val="20"/>
          <w:szCs w:val="20"/>
          <w:lang w:val="en-US"/>
        </w:rPr>
        <w:t xml:space="preserve"> their right to access environmental information</w:t>
      </w:r>
      <w:r>
        <w:rPr>
          <w:rStyle w:val="st"/>
          <w:sz w:val="20"/>
          <w:szCs w:val="20"/>
          <w:lang w:val="en-US"/>
        </w:rPr>
        <w:t xml:space="preserve"> in the first place</w:t>
      </w:r>
      <w:r w:rsidRPr="00323041">
        <w:rPr>
          <w:rStyle w:val="st"/>
          <w:sz w:val="20"/>
          <w:szCs w:val="20"/>
          <w:lang w:val="en-US"/>
        </w:rPr>
        <w:t xml:space="preserve">. </w:t>
      </w:r>
      <w:r w:rsidR="003A191E">
        <w:rPr>
          <w:rStyle w:val="st"/>
          <w:sz w:val="20"/>
          <w:szCs w:val="20"/>
          <w:lang w:val="en-US"/>
        </w:rPr>
        <w:t xml:space="preserve">As demonstrated by SHS’ proposed charge </w:t>
      </w:r>
      <w:r w:rsidR="003A191E">
        <w:rPr>
          <w:rStyle w:val="st"/>
          <w:sz w:val="20"/>
          <w:szCs w:val="20"/>
          <w:lang w:val="en-GB"/>
        </w:rPr>
        <w:t>of 730,374.50 lei in the present case,</w:t>
      </w:r>
      <w:r w:rsidR="003A191E">
        <w:rPr>
          <w:rStyle w:val="st"/>
          <w:sz w:val="20"/>
          <w:szCs w:val="20"/>
          <w:lang w:val="en-US"/>
        </w:rPr>
        <w:t xml:space="preserve"> t</w:t>
      </w:r>
      <w:r>
        <w:rPr>
          <w:rStyle w:val="st"/>
          <w:sz w:val="20"/>
          <w:szCs w:val="20"/>
          <w:lang w:val="en-US"/>
        </w:rPr>
        <w:t>he</w:t>
      </w:r>
      <w:r w:rsidRPr="00AE396C">
        <w:rPr>
          <w:rStyle w:val="st"/>
          <w:sz w:val="20"/>
          <w:szCs w:val="20"/>
          <w:lang w:val="en-GB"/>
        </w:rPr>
        <w:t xml:space="preserve"> lack of clarity </w:t>
      </w:r>
      <w:r w:rsidR="003A191E">
        <w:rPr>
          <w:rStyle w:val="st"/>
          <w:sz w:val="20"/>
          <w:szCs w:val="20"/>
          <w:lang w:val="en-GB"/>
        </w:rPr>
        <w:t>as to how to calculate</w:t>
      </w:r>
      <w:r w:rsidRPr="00AE396C">
        <w:rPr>
          <w:rStyle w:val="st"/>
          <w:sz w:val="20"/>
          <w:szCs w:val="20"/>
          <w:lang w:val="en-GB"/>
        </w:rPr>
        <w:t xml:space="preserve"> the cost for supplying </w:t>
      </w:r>
      <w:r w:rsidR="003A191E">
        <w:rPr>
          <w:rStyle w:val="st"/>
          <w:sz w:val="20"/>
          <w:szCs w:val="20"/>
          <w:lang w:val="en-GB"/>
        </w:rPr>
        <w:t xml:space="preserve">environmental </w:t>
      </w:r>
      <w:r w:rsidRPr="00AE396C">
        <w:rPr>
          <w:rStyle w:val="st"/>
          <w:sz w:val="20"/>
          <w:szCs w:val="20"/>
          <w:lang w:val="en-GB"/>
        </w:rPr>
        <w:t xml:space="preserve">information as </w:t>
      </w:r>
      <w:r w:rsidR="00233AA3">
        <w:rPr>
          <w:rStyle w:val="st"/>
          <w:sz w:val="20"/>
          <w:szCs w:val="20"/>
          <w:lang w:val="en-GB"/>
        </w:rPr>
        <w:t xml:space="preserve">well as </w:t>
      </w:r>
      <w:r w:rsidR="003A191E">
        <w:rPr>
          <w:rStyle w:val="st"/>
          <w:sz w:val="20"/>
          <w:szCs w:val="20"/>
          <w:lang w:val="en-GB"/>
        </w:rPr>
        <w:t>on</w:t>
      </w:r>
      <w:r w:rsidRPr="00AE396C">
        <w:rPr>
          <w:rStyle w:val="st"/>
          <w:sz w:val="20"/>
          <w:szCs w:val="20"/>
          <w:lang w:val="en-GB"/>
        </w:rPr>
        <w:t xml:space="preserve"> when charges may be levied or waived, </w:t>
      </w:r>
      <w:r w:rsidR="003A191E">
        <w:rPr>
          <w:rStyle w:val="st"/>
          <w:sz w:val="20"/>
          <w:szCs w:val="20"/>
          <w:lang w:val="en-GB"/>
        </w:rPr>
        <w:t>may result in exorbitantly unreasonable charges</w:t>
      </w:r>
      <w:r w:rsidRPr="00AE396C">
        <w:rPr>
          <w:rStyle w:val="st"/>
          <w:sz w:val="20"/>
          <w:szCs w:val="20"/>
          <w:lang w:val="en-GB"/>
        </w:rPr>
        <w:t>.</w:t>
      </w:r>
    </w:p>
    <w:p w14:paraId="5998195F" w14:textId="1D405E5C" w:rsidR="00495174" w:rsidRPr="00495174" w:rsidRDefault="00AC106A" w:rsidP="002B589A">
      <w:pPr>
        <w:pStyle w:val="SingleTxtG"/>
        <w:numPr>
          <w:ilvl w:val="0"/>
          <w:numId w:val="3"/>
        </w:numPr>
        <w:tabs>
          <w:tab w:val="right" w:pos="567"/>
          <w:tab w:val="num" w:pos="1276"/>
        </w:tabs>
        <w:ind w:left="1134" w:right="0" w:firstLine="0"/>
        <w:rPr>
          <w:sz w:val="20"/>
          <w:szCs w:val="20"/>
          <w:vertAlign w:val="superscript"/>
          <w:lang w:val="en-GB"/>
        </w:rPr>
      </w:pPr>
      <w:r w:rsidRPr="00AE396C">
        <w:rPr>
          <w:rStyle w:val="st"/>
          <w:sz w:val="20"/>
          <w:szCs w:val="20"/>
          <w:lang w:val="en-GB"/>
        </w:rPr>
        <w:t>T</w:t>
      </w:r>
      <w:r w:rsidR="00EF2029" w:rsidRPr="00AE396C">
        <w:rPr>
          <w:rStyle w:val="st"/>
          <w:sz w:val="20"/>
          <w:szCs w:val="20"/>
          <w:lang w:val="en-GB"/>
        </w:rPr>
        <w:t xml:space="preserve">he Committee notes that </w:t>
      </w:r>
      <w:r w:rsidR="006416A4" w:rsidRPr="00AE396C">
        <w:rPr>
          <w:rStyle w:val="st"/>
          <w:sz w:val="20"/>
          <w:szCs w:val="20"/>
          <w:lang w:val="en-GB"/>
        </w:rPr>
        <w:t xml:space="preserve">the Party concerned </w:t>
      </w:r>
      <w:r w:rsidR="007F6DE5">
        <w:rPr>
          <w:rStyle w:val="st"/>
          <w:sz w:val="20"/>
          <w:szCs w:val="20"/>
          <w:lang w:val="en-GB"/>
        </w:rPr>
        <w:t>has conceded to the Committee</w:t>
      </w:r>
      <w:r w:rsidR="006416A4" w:rsidRPr="00AE396C">
        <w:rPr>
          <w:rStyle w:val="st"/>
          <w:sz w:val="20"/>
          <w:szCs w:val="20"/>
          <w:lang w:val="en-GB"/>
        </w:rPr>
        <w:t xml:space="preserve"> the need to revise its legislation </w:t>
      </w:r>
      <w:r w:rsidR="000138B8" w:rsidRPr="00AE396C">
        <w:rPr>
          <w:rStyle w:val="st"/>
          <w:sz w:val="20"/>
          <w:szCs w:val="20"/>
          <w:lang w:val="en-GB"/>
        </w:rPr>
        <w:t>and</w:t>
      </w:r>
      <w:r w:rsidR="007F6DE5">
        <w:rPr>
          <w:rStyle w:val="st"/>
          <w:sz w:val="20"/>
          <w:szCs w:val="20"/>
          <w:lang w:val="en-GB"/>
        </w:rPr>
        <w:t xml:space="preserve"> </w:t>
      </w:r>
      <w:r w:rsidR="006416A4" w:rsidRPr="00AE396C">
        <w:rPr>
          <w:sz w:val="20"/>
          <w:szCs w:val="20"/>
          <w:lang w:val="en-GB"/>
        </w:rPr>
        <w:t xml:space="preserve">that it intends to initiate the revision of the </w:t>
      </w:r>
      <w:r w:rsidR="005C3399">
        <w:rPr>
          <w:sz w:val="20"/>
          <w:szCs w:val="20"/>
          <w:lang w:val="en-GB"/>
        </w:rPr>
        <w:t xml:space="preserve">relevant </w:t>
      </w:r>
      <w:r w:rsidR="006416A4" w:rsidRPr="00AE396C">
        <w:rPr>
          <w:sz w:val="20"/>
          <w:szCs w:val="20"/>
          <w:lang w:val="en-GB"/>
        </w:rPr>
        <w:t>legislation and regulations</w:t>
      </w:r>
      <w:r w:rsidR="007F6DE5">
        <w:rPr>
          <w:sz w:val="20"/>
          <w:szCs w:val="20"/>
          <w:lang w:val="en-GB"/>
        </w:rPr>
        <w:t>,</w:t>
      </w:r>
      <w:r w:rsidR="006416A4" w:rsidRPr="00AE396C">
        <w:rPr>
          <w:sz w:val="20"/>
          <w:szCs w:val="20"/>
          <w:lang w:val="en-GB"/>
        </w:rPr>
        <w:t xml:space="preserve"> </w:t>
      </w:r>
      <w:r w:rsidR="007F6DE5">
        <w:rPr>
          <w:sz w:val="20"/>
          <w:szCs w:val="20"/>
          <w:lang w:val="en-GB"/>
        </w:rPr>
        <w:t xml:space="preserve">including </w:t>
      </w:r>
      <w:r w:rsidR="006741EA">
        <w:rPr>
          <w:sz w:val="20"/>
          <w:szCs w:val="20"/>
          <w:lang w:val="en-GB"/>
        </w:rPr>
        <w:t>in relation to the issues of “</w:t>
      </w:r>
      <w:r w:rsidR="006416A4" w:rsidRPr="00AE396C">
        <w:rPr>
          <w:sz w:val="20"/>
          <w:szCs w:val="20"/>
          <w:lang w:val="en-GB"/>
        </w:rPr>
        <w:t>primary information</w:t>
      </w:r>
      <w:r w:rsidR="006741EA">
        <w:rPr>
          <w:sz w:val="20"/>
          <w:szCs w:val="20"/>
          <w:lang w:val="en-GB"/>
        </w:rPr>
        <w:t>” and</w:t>
      </w:r>
      <w:r w:rsidR="006416A4" w:rsidRPr="00AE396C">
        <w:rPr>
          <w:sz w:val="20"/>
          <w:szCs w:val="20"/>
          <w:lang w:val="en-GB"/>
        </w:rPr>
        <w:t xml:space="preserve"> </w:t>
      </w:r>
      <w:r w:rsidR="006741EA">
        <w:rPr>
          <w:sz w:val="20"/>
          <w:szCs w:val="20"/>
          <w:lang w:val="en-GB"/>
        </w:rPr>
        <w:t>“</w:t>
      </w:r>
      <w:r w:rsidR="006416A4" w:rsidRPr="00AE396C">
        <w:rPr>
          <w:sz w:val="20"/>
          <w:szCs w:val="20"/>
          <w:lang w:val="en-GB"/>
        </w:rPr>
        <w:t>reasonable costs</w:t>
      </w:r>
      <w:r w:rsidR="006741EA">
        <w:rPr>
          <w:sz w:val="20"/>
          <w:szCs w:val="20"/>
          <w:lang w:val="en-GB"/>
        </w:rPr>
        <w:t>”</w:t>
      </w:r>
      <w:r w:rsidR="006416A4" w:rsidRPr="00AE396C">
        <w:rPr>
          <w:sz w:val="20"/>
          <w:szCs w:val="20"/>
          <w:lang w:val="en-GB"/>
        </w:rPr>
        <w:t xml:space="preserve"> for </w:t>
      </w:r>
      <w:r w:rsidR="00204A44">
        <w:rPr>
          <w:sz w:val="20"/>
          <w:szCs w:val="20"/>
          <w:lang w:val="en-GB"/>
        </w:rPr>
        <w:t>“</w:t>
      </w:r>
      <w:r w:rsidR="006416A4" w:rsidRPr="00AE396C">
        <w:rPr>
          <w:sz w:val="20"/>
          <w:szCs w:val="20"/>
          <w:lang w:val="en-GB"/>
        </w:rPr>
        <w:t>analytical information</w:t>
      </w:r>
      <w:r w:rsidR="00204A44">
        <w:rPr>
          <w:sz w:val="20"/>
          <w:szCs w:val="20"/>
          <w:lang w:val="en-GB"/>
        </w:rPr>
        <w:t>”</w:t>
      </w:r>
      <w:r w:rsidR="007F6DE5">
        <w:rPr>
          <w:sz w:val="20"/>
          <w:szCs w:val="20"/>
          <w:lang w:val="en-GB"/>
        </w:rPr>
        <w:t xml:space="preserve"> </w:t>
      </w:r>
      <w:r w:rsidR="00067F73">
        <w:rPr>
          <w:sz w:val="20"/>
          <w:szCs w:val="20"/>
          <w:lang w:val="en-GB"/>
        </w:rPr>
        <w:t>(see para</w:t>
      </w:r>
      <w:r w:rsidR="00040033">
        <w:rPr>
          <w:sz w:val="20"/>
          <w:szCs w:val="20"/>
          <w:lang w:val="en-GB"/>
        </w:rPr>
        <w:t xml:space="preserve">s. </w:t>
      </w:r>
      <w:r w:rsidR="00040033">
        <w:rPr>
          <w:sz w:val="20"/>
          <w:szCs w:val="20"/>
          <w:lang w:val="en-GB"/>
        </w:rPr>
        <w:fldChar w:fldCharType="begin"/>
      </w:r>
      <w:r w:rsidR="00040033">
        <w:rPr>
          <w:sz w:val="20"/>
          <w:szCs w:val="20"/>
          <w:lang w:val="en-GB"/>
        </w:rPr>
        <w:instrText xml:space="preserve"> REF _Ref67065229 \r \h </w:instrText>
      </w:r>
      <w:r w:rsidR="00040033">
        <w:rPr>
          <w:sz w:val="20"/>
          <w:szCs w:val="20"/>
          <w:lang w:val="en-GB"/>
        </w:rPr>
      </w:r>
      <w:r w:rsidR="00040033">
        <w:rPr>
          <w:sz w:val="20"/>
          <w:szCs w:val="20"/>
          <w:lang w:val="en-GB"/>
        </w:rPr>
        <w:fldChar w:fldCharType="separate"/>
      </w:r>
      <w:r w:rsidR="0036337B">
        <w:rPr>
          <w:sz w:val="20"/>
          <w:szCs w:val="20"/>
          <w:lang w:val="en-GB"/>
        </w:rPr>
        <w:t>73</w:t>
      </w:r>
      <w:r w:rsidR="00040033">
        <w:rPr>
          <w:sz w:val="20"/>
          <w:szCs w:val="20"/>
          <w:lang w:val="en-GB"/>
        </w:rPr>
        <w:fldChar w:fldCharType="end"/>
      </w:r>
      <w:r w:rsidR="00040033">
        <w:rPr>
          <w:sz w:val="20"/>
          <w:szCs w:val="20"/>
          <w:lang w:val="en-GB"/>
        </w:rPr>
        <w:t>-</w:t>
      </w:r>
      <w:r w:rsidR="00040033">
        <w:rPr>
          <w:sz w:val="20"/>
          <w:szCs w:val="20"/>
          <w:lang w:val="en-GB"/>
        </w:rPr>
        <w:fldChar w:fldCharType="begin"/>
      </w:r>
      <w:r w:rsidR="00040033">
        <w:rPr>
          <w:sz w:val="20"/>
          <w:szCs w:val="20"/>
          <w:lang w:val="en-GB"/>
        </w:rPr>
        <w:instrText xml:space="preserve"> REF _Ref67065231 \r \h </w:instrText>
      </w:r>
      <w:r w:rsidR="00040033">
        <w:rPr>
          <w:sz w:val="20"/>
          <w:szCs w:val="20"/>
          <w:lang w:val="en-GB"/>
        </w:rPr>
      </w:r>
      <w:r w:rsidR="00040033">
        <w:rPr>
          <w:sz w:val="20"/>
          <w:szCs w:val="20"/>
          <w:lang w:val="en-GB"/>
        </w:rPr>
        <w:fldChar w:fldCharType="separate"/>
      </w:r>
      <w:r w:rsidR="0036337B">
        <w:rPr>
          <w:sz w:val="20"/>
          <w:szCs w:val="20"/>
          <w:lang w:val="en-GB"/>
        </w:rPr>
        <w:t>76</w:t>
      </w:r>
      <w:r w:rsidR="00040033">
        <w:rPr>
          <w:sz w:val="20"/>
          <w:szCs w:val="20"/>
          <w:lang w:val="en-GB"/>
        </w:rPr>
        <w:fldChar w:fldCharType="end"/>
      </w:r>
      <w:r w:rsidR="00040033">
        <w:rPr>
          <w:sz w:val="20"/>
          <w:szCs w:val="20"/>
          <w:lang w:val="en-GB"/>
        </w:rPr>
        <w:t xml:space="preserve"> </w:t>
      </w:r>
      <w:r w:rsidR="00067F73">
        <w:rPr>
          <w:sz w:val="20"/>
          <w:szCs w:val="20"/>
          <w:lang w:val="en-GB"/>
        </w:rPr>
        <w:t>above)</w:t>
      </w:r>
      <w:r w:rsidR="00284AE4">
        <w:rPr>
          <w:sz w:val="20"/>
          <w:szCs w:val="20"/>
          <w:lang w:val="en-GB"/>
        </w:rPr>
        <w:t>.</w:t>
      </w:r>
    </w:p>
    <w:p w14:paraId="61695A1C" w14:textId="4970BD0C" w:rsidR="00FB1616" w:rsidRPr="001A2C55" w:rsidRDefault="00F51CD1" w:rsidP="00FB1616">
      <w:pPr>
        <w:pStyle w:val="SingleTxtG"/>
        <w:numPr>
          <w:ilvl w:val="0"/>
          <w:numId w:val="3"/>
        </w:numPr>
        <w:tabs>
          <w:tab w:val="right" w:pos="567"/>
          <w:tab w:val="num" w:pos="1276"/>
        </w:tabs>
        <w:ind w:left="1134" w:right="0" w:firstLine="0"/>
        <w:rPr>
          <w:sz w:val="20"/>
          <w:szCs w:val="20"/>
          <w:lang w:val="en-US"/>
        </w:rPr>
      </w:pPr>
      <w:r>
        <w:rPr>
          <w:sz w:val="20"/>
          <w:szCs w:val="20"/>
          <w:lang w:val="en-GB"/>
        </w:rPr>
        <w:t xml:space="preserve">The Committee </w:t>
      </w:r>
      <w:r w:rsidR="007F6DE5">
        <w:rPr>
          <w:sz w:val="20"/>
          <w:szCs w:val="20"/>
          <w:lang w:val="en-GB"/>
        </w:rPr>
        <w:t>emphasi</w:t>
      </w:r>
      <w:r w:rsidR="00233AA3">
        <w:rPr>
          <w:sz w:val="20"/>
          <w:szCs w:val="20"/>
          <w:lang w:val="en-GB"/>
        </w:rPr>
        <w:t>z</w:t>
      </w:r>
      <w:r w:rsidR="007F6DE5">
        <w:rPr>
          <w:sz w:val="20"/>
          <w:szCs w:val="20"/>
          <w:lang w:val="en-GB"/>
        </w:rPr>
        <w:t>es</w:t>
      </w:r>
      <w:r>
        <w:rPr>
          <w:sz w:val="20"/>
          <w:szCs w:val="20"/>
          <w:lang w:val="en-GB"/>
        </w:rPr>
        <w:t xml:space="preserve"> that any revision </w:t>
      </w:r>
      <w:r w:rsidR="007F6DE5">
        <w:rPr>
          <w:sz w:val="20"/>
          <w:szCs w:val="20"/>
          <w:lang w:val="en-GB"/>
        </w:rPr>
        <w:t xml:space="preserve">of the relevant </w:t>
      </w:r>
      <w:r>
        <w:rPr>
          <w:sz w:val="20"/>
          <w:szCs w:val="20"/>
          <w:lang w:val="en-GB"/>
        </w:rPr>
        <w:t xml:space="preserve">legislation must ensure both that </w:t>
      </w:r>
      <w:r w:rsidR="00871892">
        <w:rPr>
          <w:sz w:val="20"/>
          <w:szCs w:val="20"/>
          <w:lang w:val="en-GB"/>
        </w:rPr>
        <w:t>a clear</w:t>
      </w:r>
      <w:r w:rsidR="00233AA3">
        <w:rPr>
          <w:sz w:val="20"/>
          <w:szCs w:val="20"/>
          <w:lang w:val="en-GB"/>
        </w:rPr>
        <w:t>, transparent</w:t>
      </w:r>
      <w:r w:rsidR="00871892">
        <w:rPr>
          <w:sz w:val="20"/>
          <w:szCs w:val="20"/>
          <w:lang w:val="en-GB"/>
        </w:rPr>
        <w:t xml:space="preserve"> and consistent framework is provided to implement article 4(8) of the Convention and that</w:t>
      </w:r>
      <w:r w:rsidR="007100E1">
        <w:rPr>
          <w:sz w:val="20"/>
          <w:szCs w:val="20"/>
          <w:lang w:val="en-GB"/>
        </w:rPr>
        <w:t xml:space="preserve"> any</w:t>
      </w:r>
      <w:r w:rsidR="00871892">
        <w:rPr>
          <w:sz w:val="20"/>
          <w:szCs w:val="20"/>
          <w:lang w:val="en-GB"/>
        </w:rPr>
        <w:t xml:space="preserve"> charges </w:t>
      </w:r>
      <w:r w:rsidR="00620874">
        <w:rPr>
          <w:sz w:val="20"/>
          <w:szCs w:val="20"/>
          <w:lang w:val="en-GB"/>
        </w:rPr>
        <w:t>permitted by the framework must be</w:t>
      </w:r>
      <w:r w:rsidR="00871892">
        <w:rPr>
          <w:sz w:val="20"/>
          <w:szCs w:val="20"/>
          <w:lang w:val="en-GB"/>
        </w:rPr>
        <w:t xml:space="preserve"> reasonable in nature, with </w:t>
      </w:r>
      <w:r w:rsidR="008700E0">
        <w:rPr>
          <w:sz w:val="20"/>
          <w:szCs w:val="20"/>
          <w:lang w:val="en-GB"/>
        </w:rPr>
        <w:t xml:space="preserve">full and coherent explanations for those charges being made available to any member of the public making a request for environmental information. </w:t>
      </w:r>
      <w:r w:rsidR="00E9481F">
        <w:rPr>
          <w:sz w:val="20"/>
          <w:szCs w:val="20"/>
          <w:lang w:val="en-GB"/>
        </w:rPr>
        <w:t xml:space="preserve">The Committee </w:t>
      </w:r>
      <w:r w:rsidR="000E3245">
        <w:rPr>
          <w:sz w:val="20"/>
          <w:szCs w:val="20"/>
          <w:lang w:val="en-GB"/>
        </w:rPr>
        <w:t xml:space="preserve">also </w:t>
      </w:r>
      <w:r w:rsidR="00204373">
        <w:rPr>
          <w:sz w:val="20"/>
          <w:szCs w:val="20"/>
          <w:lang w:val="en-GB"/>
        </w:rPr>
        <w:t>recalls</w:t>
      </w:r>
      <w:r w:rsidR="00E9481F">
        <w:rPr>
          <w:sz w:val="20"/>
          <w:szCs w:val="20"/>
          <w:lang w:val="en-GB"/>
        </w:rPr>
        <w:t xml:space="preserve"> that</w:t>
      </w:r>
      <w:r w:rsidR="00273DFC">
        <w:rPr>
          <w:sz w:val="20"/>
          <w:szCs w:val="20"/>
          <w:lang w:val="en-GB"/>
        </w:rPr>
        <w:t xml:space="preserve"> </w:t>
      </w:r>
      <w:r w:rsidR="00875A36">
        <w:rPr>
          <w:sz w:val="20"/>
          <w:szCs w:val="20"/>
          <w:lang w:val="en-GB"/>
        </w:rPr>
        <w:t xml:space="preserve">the presumption is for no charge to be made </w:t>
      </w:r>
      <w:r w:rsidR="00273DFC">
        <w:rPr>
          <w:sz w:val="20"/>
          <w:szCs w:val="20"/>
          <w:lang w:val="en-GB"/>
        </w:rPr>
        <w:t>for the supply of</w:t>
      </w:r>
      <w:r w:rsidR="00635CC5">
        <w:rPr>
          <w:sz w:val="20"/>
          <w:szCs w:val="20"/>
          <w:lang w:val="en-GB"/>
        </w:rPr>
        <w:t xml:space="preserve"> environmental information</w:t>
      </w:r>
      <w:r w:rsidR="00273DFC">
        <w:rPr>
          <w:sz w:val="20"/>
          <w:szCs w:val="20"/>
          <w:lang w:val="en-GB"/>
        </w:rPr>
        <w:t xml:space="preserve"> upon request</w:t>
      </w:r>
      <w:r w:rsidR="00635CC5">
        <w:rPr>
          <w:sz w:val="20"/>
          <w:szCs w:val="20"/>
          <w:lang w:val="en-GB"/>
        </w:rPr>
        <w:t xml:space="preserve">. </w:t>
      </w:r>
    </w:p>
    <w:p w14:paraId="7C854CDC" w14:textId="05115619" w:rsidR="001A2C55" w:rsidRDefault="001A2C55" w:rsidP="001A2C55">
      <w:pPr>
        <w:pStyle w:val="SingleTxtG"/>
        <w:numPr>
          <w:ilvl w:val="0"/>
          <w:numId w:val="3"/>
        </w:numPr>
        <w:tabs>
          <w:tab w:val="right" w:pos="567"/>
          <w:tab w:val="num" w:pos="1276"/>
        </w:tabs>
        <w:ind w:left="1134" w:right="0" w:firstLine="0"/>
        <w:rPr>
          <w:rStyle w:val="st"/>
          <w:sz w:val="20"/>
          <w:szCs w:val="20"/>
          <w:lang w:val="en-GB"/>
        </w:rPr>
      </w:pPr>
      <w:r>
        <w:rPr>
          <w:rStyle w:val="st"/>
          <w:sz w:val="20"/>
          <w:szCs w:val="20"/>
          <w:lang w:val="en-GB"/>
        </w:rPr>
        <w:t>In the light of the above, t</w:t>
      </w:r>
      <w:r w:rsidRPr="00AE396C">
        <w:rPr>
          <w:rStyle w:val="st"/>
          <w:sz w:val="20"/>
          <w:szCs w:val="20"/>
          <w:lang w:val="en-GB"/>
        </w:rPr>
        <w:t xml:space="preserve">he Committee </w:t>
      </w:r>
      <w:r w:rsidR="00204373">
        <w:rPr>
          <w:rStyle w:val="st"/>
          <w:sz w:val="20"/>
          <w:szCs w:val="20"/>
          <w:lang w:val="en-GB"/>
        </w:rPr>
        <w:t>finds</w:t>
      </w:r>
      <w:r w:rsidRPr="00AE396C">
        <w:rPr>
          <w:rStyle w:val="st"/>
          <w:sz w:val="20"/>
          <w:szCs w:val="20"/>
          <w:lang w:val="en-GB"/>
        </w:rPr>
        <w:t xml:space="preserve"> </w:t>
      </w:r>
      <w:r>
        <w:rPr>
          <w:rStyle w:val="st"/>
          <w:sz w:val="20"/>
          <w:szCs w:val="20"/>
          <w:lang w:val="en-GB"/>
        </w:rPr>
        <w:t>that, by not</w:t>
      </w:r>
      <w:r w:rsidRPr="00AE396C">
        <w:rPr>
          <w:rStyle w:val="st"/>
          <w:sz w:val="20"/>
          <w:szCs w:val="20"/>
          <w:lang w:val="en-GB"/>
        </w:rPr>
        <w:t xml:space="preserve"> establish</w:t>
      </w:r>
      <w:r>
        <w:rPr>
          <w:rStyle w:val="st"/>
          <w:sz w:val="20"/>
          <w:szCs w:val="20"/>
          <w:lang w:val="en-GB"/>
        </w:rPr>
        <w:t>ing</w:t>
      </w:r>
      <w:r w:rsidRPr="00AE396C">
        <w:rPr>
          <w:rStyle w:val="st"/>
          <w:sz w:val="20"/>
          <w:szCs w:val="20"/>
          <w:lang w:val="en-GB"/>
        </w:rPr>
        <w:t xml:space="preserve"> and maintain</w:t>
      </w:r>
      <w:r>
        <w:rPr>
          <w:rStyle w:val="st"/>
          <w:sz w:val="20"/>
          <w:szCs w:val="20"/>
          <w:lang w:val="en-GB"/>
        </w:rPr>
        <w:t>ing</w:t>
      </w:r>
      <w:r w:rsidRPr="00AE396C">
        <w:rPr>
          <w:rStyle w:val="st"/>
          <w:sz w:val="20"/>
          <w:szCs w:val="20"/>
          <w:lang w:val="en-GB"/>
        </w:rPr>
        <w:t xml:space="preserve"> a clear, transparent and consistent framework to implement </w:t>
      </w:r>
      <w:r>
        <w:rPr>
          <w:rStyle w:val="st"/>
          <w:sz w:val="20"/>
          <w:szCs w:val="20"/>
          <w:lang w:val="en-GB"/>
        </w:rPr>
        <w:t xml:space="preserve">article 4(8) </w:t>
      </w:r>
      <w:r w:rsidRPr="00AE396C">
        <w:rPr>
          <w:rStyle w:val="st"/>
          <w:sz w:val="20"/>
          <w:szCs w:val="20"/>
          <w:lang w:val="en-GB"/>
        </w:rPr>
        <w:t>of the Convention</w:t>
      </w:r>
      <w:r>
        <w:rPr>
          <w:rStyle w:val="st"/>
          <w:sz w:val="20"/>
          <w:szCs w:val="20"/>
          <w:lang w:val="en-GB"/>
        </w:rPr>
        <w:t>, the Party fails to comply with article 3(1) of the Convention.</w:t>
      </w:r>
    </w:p>
    <w:p w14:paraId="3E15E040" w14:textId="49541604" w:rsidR="007004B7" w:rsidRPr="00AE396C" w:rsidRDefault="007004B7" w:rsidP="007004B7">
      <w:pPr>
        <w:pStyle w:val="HChG"/>
        <w:tabs>
          <w:tab w:val="clear" w:pos="851"/>
          <w:tab w:val="right" w:pos="567"/>
        </w:tabs>
        <w:ind w:right="0" w:hanging="567"/>
        <w:rPr>
          <w:sz w:val="24"/>
        </w:rPr>
      </w:pPr>
      <w:r w:rsidRPr="00AE396C">
        <w:rPr>
          <w:sz w:val="24"/>
        </w:rPr>
        <w:tab/>
        <w:t>IV.</w:t>
      </w:r>
      <w:r w:rsidRPr="00AE396C">
        <w:rPr>
          <w:sz w:val="24"/>
        </w:rPr>
        <w:tab/>
        <w:t>Conclusions and recommendations</w:t>
      </w:r>
    </w:p>
    <w:p w14:paraId="6573396B" w14:textId="6400E248" w:rsidR="009E5910" w:rsidRPr="003E4FD8" w:rsidRDefault="00C15735" w:rsidP="009E5910">
      <w:pPr>
        <w:pStyle w:val="SingleTxtG"/>
        <w:numPr>
          <w:ilvl w:val="0"/>
          <w:numId w:val="3"/>
        </w:numPr>
        <w:tabs>
          <w:tab w:val="right" w:pos="567"/>
          <w:tab w:val="num" w:pos="1276"/>
        </w:tabs>
        <w:ind w:left="1134" w:right="0" w:firstLine="0"/>
        <w:rPr>
          <w:sz w:val="20"/>
          <w:szCs w:val="20"/>
        </w:rPr>
      </w:pPr>
      <w:r w:rsidRPr="00AE396C">
        <w:rPr>
          <w:sz w:val="20"/>
          <w:szCs w:val="20"/>
          <w:lang w:val="en-GB"/>
        </w:rPr>
        <w:t xml:space="preserve"> </w:t>
      </w:r>
      <w:proofErr w:type="spellStart"/>
      <w:r w:rsidR="009E5910" w:rsidRPr="00AE396C">
        <w:rPr>
          <w:sz w:val="20"/>
          <w:szCs w:val="20"/>
          <w:lang w:val="en-GB"/>
        </w:rPr>
        <w:t>Hav</w:t>
      </w:r>
      <w:r w:rsidR="009E5910" w:rsidRPr="00AE396C">
        <w:rPr>
          <w:sz w:val="20"/>
          <w:szCs w:val="20"/>
        </w:rPr>
        <w:t>ing</w:t>
      </w:r>
      <w:proofErr w:type="spellEnd"/>
      <w:r w:rsidR="009E5910" w:rsidRPr="00AE396C">
        <w:rPr>
          <w:sz w:val="20"/>
          <w:szCs w:val="20"/>
        </w:rPr>
        <w:t xml:space="preserve"> considered the above, the Committee adopts the findings and recommendations set out in the following paragraphs</w:t>
      </w:r>
      <w:r w:rsidR="00BF1286">
        <w:rPr>
          <w:sz w:val="20"/>
          <w:szCs w:val="20"/>
          <w:lang w:val="en-GB"/>
        </w:rPr>
        <w:t>.</w:t>
      </w:r>
    </w:p>
    <w:p w14:paraId="10F5C69D" w14:textId="77777777" w:rsidR="003E4FD8" w:rsidRPr="00BF1286" w:rsidRDefault="003E4FD8" w:rsidP="003E4FD8">
      <w:pPr>
        <w:pStyle w:val="SingleTxtG"/>
        <w:tabs>
          <w:tab w:val="right" w:pos="567"/>
        </w:tabs>
        <w:ind w:right="0"/>
        <w:rPr>
          <w:sz w:val="20"/>
          <w:szCs w:val="20"/>
        </w:rPr>
      </w:pPr>
    </w:p>
    <w:p w14:paraId="0328D22B" w14:textId="6FE1D210" w:rsidR="00BF1286" w:rsidRPr="00E0525A" w:rsidRDefault="00BF1286" w:rsidP="00BF1286">
      <w:pPr>
        <w:pStyle w:val="SingleTxtG"/>
        <w:numPr>
          <w:ilvl w:val="0"/>
          <w:numId w:val="47"/>
        </w:numPr>
        <w:tabs>
          <w:tab w:val="right" w:pos="567"/>
        </w:tabs>
        <w:ind w:right="0"/>
        <w:rPr>
          <w:b/>
        </w:rPr>
      </w:pPr>
      <w:r w:rsidRPr="004E6347">
        <w:rPr>
          <w:b/>
          <w:bCs/>
        </w:rPr>
        <w:t>Main findings with regard to non-compliance</w:t>
      </w:r>
    </w:p>
    <w:p w14:paraId="3F6DCFB7" w14:textId="566B3E13" w:rsidR="00BF1286" w:rsidRDefault="00BF1286" w:rsidP="009E5910">
      <w:pPr>
        <w:pStyle w:val="SingleTxtG"/>
        <w:numPr>
          <w:ilvl w:val="0"/>
          <w:numId w:val="3"/>
        </w:numPr>
        <w:tabs>
          <w:tab w:val="right" w:pos="567"/>
          <w:tab w:val="num" w:pos="1276"/>
        </w:tabs>
        <w:ind w:left="1134" w:right="0" w:firstLine="0"/>
        <w:rPr>
          <w:sz w:val="20"/>
          <w:szCs w:val="20"/>
        </w:rPr>
      </w:pPr>
      <w:r>
        <w:rPr>
          <w:sz w:val="20"/>
          <w:szCs w:val="20"/>
          <w:lang w:val="en-GB"/>
        </w:rPr>
        <w:t>The Committee finds that:</w:t>
      </w:r>
    </w:p>
    <w:p w14:paraId="54D04EC8" w14:textId="05209D4E" w:rsidR="00F300B7" w:rsidRDefault="00F300B7" w:rsidP="00F300B7">
      <w:pPr>
        <w:pStyle w:val="SingleTxtG"/>
        <w:numPr>
          <w:ilvl w:val="0"/>
          <w:numId w:val="48"/>
        </w:numPr>
        <w:tabs>
          <w:tab w:val="right" w:pos="567"/>
        </w:tabs>
        <w:ind w:left="1134" w:right="0" w:firstLine="567"/>
        <w:rPr>
          <w:rStyle w:val="st"/>
          <w:sz w:val="20"/>
          <w:szCs w:val="20"/>
          <w:lang w:val="en-US"/>
        </w:rPr>
      </w:pPr>
      <w:r>
        <w:rPr>
          <w:rStyle w:val="st"/>
          <w:sz w:val="20"/>
          <w:szCs w:val="20"/>
          <w:lang w:val="en-US"/>
        </w:rPr>
        <w:t xml:space="preserve">By </w:t>
      </w:r>
      <w:r w:rsidR="00233AA3">
        <w:rPr>
          <w:rStyle w:val="st"/>
          <w:sz w:val="20"/>
          <w:szCs w:val="20"/>
          <w:lang w:val="en-US"/>
        </w:rPr>
        <w:t xml:space="preserve">establishing and maintaining a schedule of charges that </w:t>
      </w:r>
      <w:r w:rsidR="00BF27CD">
        <w:rPr>
          <w:rStyle w:val="st"/>
          <w:sz w:val="20"/>
          <w:szCs w:val="20"/>
          <w:lang w:val="en-US"/>
        </w:rPr>
        <w:t>does not</w:t>
      </w:r>
      <w:r w:rsidR="00233AA3">
        <w:rPr>
          <w:rStyle w:val="st"/>
          <w:sz w:val="20"/>
          <w:szCs w:val="20"/>
          <w:lang w:val="en-US"/>
        </w:rPr>
        <w:t xml:space="preserve"> meet the requirement to ensure that any charge for supplying information does not exceed a reasonable amount</w:t>
      </w:r>
      <w:r w:rsidR="00916CE6">
        <w:rPr>
          <w:rStyle w:val="st"/>
          <w:sz w:val="20"/>
          <w:szCs w:val="20"/>
          <w:lang w:val="en-US"/>
        </w:rPr>
        <w:t>, the Party concerned fails to comply with article 4(8) of the Convention</w:t>
      </w:r>
      <w:r>
        <w:rPr>
          <w:rStyle w:val="st"/>
          <w:sz w:val="20"/>
          <w:szCs w:val="20"/>
          <w:lang w:val="en-US"/>
        </w:rPr>
        <w:t>;</w:t>
      </w:r>
    </w:p>
    <w:p w14:paraId="7FDB5A79" w14:textId="253815B5" w:rsidR="009E5910" w:rsidRPr="00F300B7" w:rsidRDefault="00F300B7" w:rsidP="00F300B7">
      <w:pPr>
        <w:pStyle w:val="SingleTxtG"/>
        <w:numPr>
          <w:ilvl w:val="0"/>
          <w:numId w:val="48"/>
        </w:numPr>
        <w:tabs>
          <w:tab w:val="right" w:pos="567"/>
        </w:tabs>
        <w:ind w:left="1134" w:right="0" w:firstLine="567"/>
        <w:rPr>
          <w:rStyle w:val="st"/>
          <w:sz w:val="20"/>
          <w:szCs w:val="20"/>
          <w:lang w:val="en-US"/>
        </w:rPr>
      </w:pPr>
      <w:r w:rsidRPr="00F300B7">
        <w:rPr>
          <w:rStyle w:val="st"/>
          <w:sz w:val="20"/>
          <w:szCs w:val="20"/>
          <w:lang w:val="en-US"/>
        </w:rPr>
        <w:t xml:space="preserve">By not </w:t>
      </w:r>
      <w:r w:rsidR="009E5910" w:rsidRPr="00F300B7">
        <w:rPr>
          <w:rStyle w:val="st"/>
          <w:sz w:val="20"/>
          <w:szCs w:val="20"/>
          <w:lang w:val="en-GB"/>
        </w:rPr>
        <w:t xml:space="preserve">establishing and maintaining a clear, transparent and consistent framework to implement article 4(8) of the Convention, the Party </w:t>
      </w:r>
      <w:r>
        <w:rPr>
          <w:rStyle w:val="st"/>
          <w:sz w:val="20"/>
          <w:szCs w:val="20"/>
          <w:lang w:val="en-GB"/>
        </w:rPr>
        <w:t xml:space="preserve">concerned </w:t>
      </w:r>
      <w:r w:rsidR="009E5910" w:rsidRPr="00F300B7">
        <w:rPr>
          <w:rStyle w:val="st"/>
          <w:sz w:val="20"/>
          <w:szCs w:val="20"/>
          <w:lang w:val="en-GB"/>
        </w:rPr>
        <w:t>fails to comply with article 3(1) of the Convention.</w:t>
      </w:r>
    </w:p>
    <w:p w14:paraId="38028B62" w14:textId="05FC6023" w:rsidR="009E5910" w:rsidRPr="004E6347" w:rsidRDefault="009E5910" w:rsidP="00E0525A">
      <w:pPr>
        <w:pStyle w:val="H1G"/>
        <w:numPr>
          <w:ilvl w:val="0"/>
          <w:numId w:val="47"/>
        </w:numPr>
        <w:tabs>
          <w:tab w:val="clear" w:pos="851"/>
          <w:tab w:val="right" w:pos="567"/>
        </w:tabs>
        <w:ind w:right="0"/>
      </w:pPr>
      <w:r w:rsidRPr="004E6347">
        <w:t>Recommendations</w:t>
      </w:r>
    </w:p>
    <w:p w14:paraId="7A6A9A1F" w14:textId="58C16244" w:rsidR="006C7522" w:rsidRDefault="00C15735" w:rsidP="00EF4E8E">
      <w:pPr>
        <w:pStyle w:val="SingleTxtG"/>
        <w:numPr>
          <w:ilvl w:val="0"/>
          <w:numId w:val="3"/>
        </w:numPr>
        <w:tabs>
          <w:tab w:val="right" w:pos="567"/>
          <w:tab w:val="num" w:pos="1276"/>
        </w:tabs>
        <w:ind w:left="1134" w:right="0" w:firstLine="0"/>
        <w:rPr>
          <w:sz w:val="20"/>
          <w:szCs w:val="20"/>
        </w:rPr>
      </w:pPr>
      <w:r w:rsidRPr="00AE396C">
        <w:rPr>
          <w:sz w:val="20"/>
          <w:szCs w:val="20"/>
          <w:lang w:val="en-GB"/>
        </w:rPr>
        <w:t>Th</w:t>
      </w:r>
      <w:r w:rsidR="006C7522" w:rsidRPr="00AE396C">
        <w:rPr>
          <w:sz w:val="20"/>
          <w:szCs w:val="20"/>
        </w:rPr>
        <w:t xml:space="preserve">e Committee pursuant to paragraph </w:t>
      </w:r>
      <w:r w:rsidR="00916CE6">
        <w:rPr>
          <w:sz w:val="20"/>
          <w:szCs w:val="20"/>
          <w:lang w:val="en-US"/>
        </w:rPr>
        <w:t>35</w:t>
      </w:r>
      <w:r w:rsidR="006C7522" w:rsidRPr="00AE396C">
        <w:rPr>
          <w:sz w:val="20"/>
          <w:szCs w:val="20"/>
        </w:rPr>
        <w:t xml:space="preserve"> of the annex to decision I/7 of the Meeting of the Parties, and [noting the agreement of the Party concerned that the Committee take the measures requested in paragraph 3</w:t>
      </w:r>
      <w:r w:rsidR="00916CE6">
        <w:rPr>
          <w:sz w:val="20"/>
          <w:szCs w:val="20"/>
          <w:lang w:val="en-US"/>
        </w:rPr>
        <w:t>6</w:t>
      </w:r>
      <w:r w:rsidR="006C7522" w:rsidRPr="00AE396C">
        <w:rPr>
          <w:sz w:val="20"/>
          <w:szCs w:val="20"/>
        </w:rPr>
        <w:t xml:space="preserve"> (b) of the annex to decision I/7,] </w:t>
      </w:r>
      <w:r w:rsidR="00570F4A">
        <w:rPr>
          <w:sz w:val="20"/>
          <w:szCs w:val="20"/>
          <w:lang w:val="en-GB"/>
        </w:rPr>
        <w:t xml:space="preserve">recommends that the Party concerned: </w:t>
      </w:r>
    </w:p>
    <w:p w14:paraId="0AD7C17C" w14:textId="54D9B92A" w:rsidR="00570F4A" w:rsidRDefault="00B87726" w:rsidP="00EF4E8E">
      <w:pPr>
        <w:pStyle w:val="SingleTxtG"/>
        <w:numPr>
          <w:ilvl w:val="0"/>
          <w:numId w:val="46"/>
        </w:numPr>
        <w:tabs>
          <w:tab w:val="right" w:pos="567"/>
        </w:tabs>
        <w:ind w:left="1134" w:right="0" w:firstLine="567"/>
        <w:rPr>
          <w:sz w:val="20"/>
          <w:szCs w:val="20"/>
        </w:rPr>
      </w:pPr>
      <w:r>
        <w:rPr>
          <w:sz w:val="20"/>
          <w:szCs w:val="20"/>
          <w:lang w:val="en-US"/>
        </w:rPr>
        <w:t xml:space="preserve">Take </w:t>
      </w:r>
      <w:r w:rsidR="009E5910">
        <w:rPr>
          <w:sz w:val="20"/>
          <w:szCs w:val="20"/>
          <w:lang w:val="en-US"/>
        </w:rPr>
        <w:t xml:space="preserve">the </w:t>
      </w:r>
      <w:r>
        <w:rPr>
          <w:sz w:val="20"/>
          <w:szCs w:val="20"/>
          <w:lang w:val="en-US"/>
        </w:rPr>
        <w:t xml:space="preserve">necessary legislative, regulatory and other measures to establish a clear, transparent and consistent schedule of charges </w:t>
      </w:r>
      <w:r w:rsidR="00AC0518">
        <w:rPr>
          <w:sz w:val="20"/>
          <w:szCs w:val="20"/>
          <w:lang w:val="en-US"/>
        </w:rPr>
        <w:t xml:space="preserve">under article 4(8) of the Convention </w:t>
      </w:r>
      <w:r>
        <w:rPr>
          <w:sz w:val="20"/>
          <w:szCs w:val="20"/>
          <w:lang w:val="en-US"/>
        </w:rPr>
        <w:t xml:space="preserve">for </w:t>
      </w:r>
      <w:r w:rsidR="00273DFC">
        <w:rPr>
          <w:sz w:val="20"/>
          <w:szCs w:val="20"/>
          <w:lang w:val="en-US"/>
        </w:rPr>
        <w:t>the supply of</w:t>
      </w:r>
      <w:r>
        <w:rPr>
          <w:sz w:val="20"/>
          <w:szCs w:val="20"/>
          <w:lang w:val="en-US"/>
        </w:rPr>
        <w:t xml:space="preserve"> </w:t>
      </w:r>
      <w:r w:rsidR="00894923">
        <w:rPr>
          <w:sz w:val="20"/>
          <w:szCs w:val="20"/>
          <w:lang w:val="en-US"/>
        </w:rPr>
        <w:t>hydromete</w:t>
      </w:r>
      <w:r w:rsidR="001A2C55">
        <w:rPr>
          <w:sz w:val="20"/>
          <w:szCs w:val="20"/>
          <w:lang w:val="en-US"/>
        </w:rPr>
        <w:t>o</w:t>
      </w:r>
      <w:r w:rsidR="00894923">
        <w:rPr>
          <w:sz w:val="20"/>
          <w:szCs w:val="20"/>
          <w:lang w:val="en-US"/>
        </w:rPr>
        <w:t>rological information upon request</w:t>
      </w:r>
      <w:r w:rsidR="00916CE6">
        <w:rPr>
          <w:sz w:val="20"/>
          <w:szCs w:val="20"/>
          <w:lang w:val="en-US"/>
        </w:rPr>
        <w:t>,</w:t>
      </w:r>
      <w:r w:rsidR="00684CDF" w:rsidRPr="00684CDF">
        <w:rPr>
          <w:sz w:val="20"/>
          <w:szCs w:val="20"/>
          <w:lang w:val="en-US"/>
        </w:rPr>
        <w:t xml:space="preserve"> </w:t>
      </w:r>
      <w:r w:rsidR="009E5910">
        <w:rPr>
          <w:sz w:val="20"/>
          <w:szCs w:val="20"/>
          <w:lang w:val="en-US"/>
        </w:rPr>
        <w:t>including</w:t>
      </w:r>
      <w:r w:rsidR="006D45F0">
        <w:rPr>
          <w:sz w:val="20"/>
          <w:szCs w:val="20"/>
          <w:lang w:val="en-US"/>
        </w:rPr>
        <w:t xml:space="preserve"> by</w:t>
      </w:r>
      <w:r w:rsidR="000A13EF">
        <w:rPr>
          <w:sz w:val="20"/>
          <w:szCs w:val="20"/>
          <w:lang w:val="en-US"/>
        </w:rPr>
        <w:t xml:space="preserve"> clearly</w:t>
      </w:r>
      <w:r w:rsidR="006D45F0">
        <w:rPr>
          <w:sz w:val="20"/>
          <w:szCs w:val="20"/>
          <w:lang w:val="en-US"/>
        </w:rPr>
        <w:t xml:space="preserve"> setting out</w:t>
      </w:r>
      <w:r w:rsidR="009E5910">
        <w:rPr>
          <w:sz w:val="20"/>
          <w:szCs w:val="20"/>
          <w:lang w:val="en-US"/>
        </w:rPr>
        <w:t xml:space="preserve"> </w:t>
      </w:r>
      <w:r w:rsidR="00894923">
        <w:rPr>
          <w:sz w:val="20"/>
          <w:szCs w:val="20"/>
          <w:lang w:val="en-US"/>
        </w:rPr>
        <w:t xml:space="preserve">how </w:t>
      </w:r>
      <w:r w:rsidR="00E0512F">
        <w:rPr>
          <w:sz w:val="20"/>
          <w:szCs w:val="20"/>
          <w:lang w:val="en-US"/>
        </w:rPr>
        <w:t>any charges</w:t>
      </w:r>
      <w:r w:rsidR="00894923">
        <w:rPr>
          <w:sz w:val="20"/>
          <w:szCs w:val="20"/>
          <w:lang w:val="en-US"/>
        </w:rPr>
        <w:t xml:space="preserve"> should be calculated</w:t>
      </w:r>
      <w:r w:rsidR="001A2C55">
        <w:rPr>
          <w:sz w:val="20"/>
          <w:szCs w:val="20"/>
          <w:lang w:val="en-US"/>
        </w:rPr>
        <w:t>,</w:t>
      </w:r>
      <w:r w:rsidR="00894923">
        <w:rPr>
          <w:sz w:val="20"/>
          <w:szCs w:val="20"/>
          <w:lang w:val="en-US"/>
        </w:rPr>
        <w:t xml:space="preserve"> and to ensure that all charges, including total charges, are reasonable and properly justified</w:t>
      </w:r>
      <w:r>
        <w:rPr>
          <w:sz w:val="20"/>
          <w:szCs w:val="20"/>
          <w:lang w:val="en-US"/>
        </w:rPr>
        <w:t>.</w:t>
      </w:r>
      <w:r w:rsidR="00645B81">
        <w:rPr>
          <w:sz w:val="20"/>
          <w:szCs w:val="20"/>
          <w:lang w:val="en-US"/>
        </w:rPr>
        <w:t xml:space="preserve"> </w:t>
      </w:r>
    </w:p>
    <w:p w14:paraId="1AC56948" w14:textId="7AC55F43" w:rsidR="00B87726" w:rsidRPr="00570F4A" w:rsidRDefault="00894923" w:rsidP="00EF4E8E">
      <w:pPr>
        <w:pStyle w:val="SingleTxtG"/>
        <w:numPr>
          <w:ilvl w:val="0"/>
          <w:numId w:val="46"/>
        </w:numPr>
        <w:tabs>
          <w:tab w:val="right" w:pos="567"/>
        </w:tabs>
        <w:ind w:left="1134" w:right="0" w:firstLine="567"/>
        <w:rPr>
          <w:sz w:val="20"/>
          <w:szCs w:val="20"/>
        </w:rPr>
      </w:pPr>
      <w:r w:rsidRPr="00570F4A">
        <w:rPr>
          <w:sz w:val="20"/>
          <w:szCs w:val="20"/>
          <w:lang w:val="en-US"/>
        </w:rPr>
        <w:t>Provide training to officials of public authorities handling requests for access to hydromete</w:t>
      </w:r>
      <w:r w:rsidR="001A2C55">
        <w:rPr>
          <w:sz w:val="20"/>
          <w:szCs w:val="20"/>
          <w:lang w:val="en-US"/>
        </w:rPr>
        <w:t>o</w:t>
      </w:r>
      <w:r w:rsidRPr="00570F4A">
        <w:rPr>
          <w:sz w:val="20"/>
          <w:szCs w:val="20"/>
          <w:lang w:val="en-US"/>
        </w:rPr>
        <w:t>rological information to ensure that any charges are no more than reasonable</w:t>
      </w:r>
      <w:r w:rsidR="00EF4E8E">
        <w:rPr>
          <w:sz w:val="20"/>
          <w:szCs w:val="20"/>
          <w:lang w:val="en-US"/>
        </w:rPr>
        <w:t>, that they</w:t>
      </w:r>
      <w:r w:rsidRPr="00570F4A">
        <w:rPr>
          <w:sz w:val="20"/>
          <w:szCs w:val="20"/>
          <w:lang w:val="en-US"/>
        </w:rPr>
        <w:t xml:space="preserve"> are calculated in a clear, transparent and consistent way and are properly justified.</w:t>
      </w:r>
    </w:p>
    <w:p w14:paraId="2EDB1994" w14:textId="77777777" w:rsidR="000208B8" w:rsidRPr="00F874CB" w:rsidRDefault="000208B8" w:rsidP="000208B8">
      <w:pPr>
        <w:pStyle w:val="SingleTxtG"/>
        <w:tabs>
          <w:tab w:val="right" w:pos="567"/>
        </w:tabs>
        <w:ind w:right="0"/>
        <w:jc w:val="center"/>
        <w:rPr>
          <w:sz w:val="20"/>
          <w:szCs w:val="20"/>
        </w:rPr>
      </w:pPr>
    </w:p>
    <w:p w14:paraId="602FA571" w14:textId="2ECAA2FA" w:rsidR="006A2002" w:rsidRPr="00AE396C" w:rsidRDefault="006C7522" w:rsidP="003130AB">
      <w:pPr>
        <w:pStyle w:val="SingleTxtG"/>
        <w:tabs>
          <w:tab w:val="right" w:pos="567"/>
        </w:tabs>
        <w:ind w:right="0"/>
        <w:jc w:val="center"/>
        <w:rPr>
          <w:sz w:val="20"/>
          <w:szCs w:val="20"/>
          <w:lang w:val="en-GB"/>
        </w:rPr>
      </w:pPr>
      <w:r w:rsidRPr="00AE396C">
        <w:rPr>
          <w:sz w:val="20"/>
          <w:szCs w:val="20"/>
          <w:lang w:val="en-GB"/>
        </w:rPr>
        <w:t>__________</w:t>
      </w:r>
    </w:p>
    <w:sectPr w:rsidR="006A2002" w:rsidRPr="00AE396C" w:rsidSect="0022184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440" w:bottom="2268" w:left="1701" w:header="1134"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91B5D" w14:textId="77777777" w:rsidR="009E3044" w:rsidRDefault="009E3044"/>
    <w:p w14:paraId="12CB8080" w14:textId="77777777" w:rsidR="009E3044" w:rsidRDefault="009E3044"/>
  </w:endnote>
  <w:endnote w:type="continuationSeparator" w:id="0">
    <w:p w14:paraId="322C51B5" w14:textId="77777777" w:rsidR="009E3044" w:rsidRDefault="009E3044"/>
    <w:p w14:paraId="6947556F" w14:textId="77777777" w:rsidR="009E3044" w:rsidRDefault="009E3044"/>
  </w:endnote>
  <w:endnote w:type="continuationNotice" w:id="1">
    <w:p w14:paraId="140D9942" w14:textId="77777777" w:rsidR="009E3044" w:rsidRDefault="009E3044"/>
    <w:p w14:paraId="68BD3E22" w14:textId="77777777" w:rsidR="009E3044" w:rsidRDefault="009E3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E388" w14:textId="77777777" w:rsidR="004C16CA" w:rsidRPr="0023575C" w:rsidRDefault="004C16CA"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10</w:t>
    </w:r>
    <w:r w:rsidRPr="0023575C">
      <w:rPr>
        <w:b/>
        <w:sz w:val="18"/>
      </w:rPr>
      <w:fldChar w:fldCharType="end"/>
    </w:r>
    <w:r>
      <w:rPr>
        <w:sz w:val="18"/>
      </w:rPr>
      <w:tab/>
    </w:r>
  </w:p>
  <w:p w14:paraId="70D5959B" w14:textId="77777777" w:rsidR="004C16CA" w:rsidRDefault="004C16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80CB" w14:textId="47F9530C" w:rsidR="004C16CA" w:rsidRPr="0023575C" w:rsidRDefault="004C16CA"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12</w:t>
    </w:r>
    <w:r w:rsidRPr="0023575C">
      <w:rPr>
        <w:b/>
        <w:sz w:val="18"/>
      </w:rPr>
      <w:fldChar w:fldCharType="end"/>
    </w:r>
  </w:p>
  <w:p w14:paraId="7286A0E6" w14:textId="77777777" w:rsidR="004C16CA" w:rsidRDefault="004C16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05D1" w14:textId="77777777" w:rsidR="004C16CA" w:rsidRPr="0023575C" w:rsidRDefault="004C16CA">
    <w:pPr>
      <w:pStyle w:val="Footer"/>
      <w:rPr>
        <w:sz w:val="20"/>
      </w:rPr>
    </w:pPr>
    <w:r w:rsidRPr="006613D3">
      <w:rPr>
        <w:noProof/>
        <w:lang w:eastAsia="en-GB"/>
      </w:rPr>
      <w:drawing>
        <wp:anchor distT="0" distB="0" distL="114300" distR="114300" simplePos="0" relativeHeight="251657728" behindDoc="0" locked="1" layoutInCell="1" allowOverlap="1" wp14:anchorId="66E5B5A5" wp14:editId="157674B4">
          <wp:simplePos x="0" y="0"/>
          <wp:positionH relativeFrom="column">
            <wp:posOffset>5148580</wp:posOffset>
          </wp:positionH>
          <wp:positionV relativeFrom="paragraph">
            <wp:posOffset>-114935</wp:posOffset>
          </wp:positionV>
          <wp:extent cx="930275" cy="230505"/>
          <wp:effectExtent l="0" t="0" r="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7560" w14:textId="77777777" w:rsidR="009E3044" w:rsidRPr="000B175B" w:rsidRDefault="009E3044" w:rsidP="000B175B">
      <w:pPr>
        <w:tabs>
          <w:tab w:val="right" w:pos="2155"/>
        </w:tabs>
        <w:spacing w:after="80"/>
        <w:ind w:left="680"/>
        <w:rPr>
          <w:u w:val="single"/>
        </w:rPr>
      </w:pPr>
      <w:r>
        <w:rPr>
          <w:u w:val="single"/>
        </w:rPr>
        <w:tab/>
      </w:r>
    </w:p>
    <w:p w14:paraId="7CBFC188" w14:textId="77777777" w:rsidR="009E3044" w:rsidRDefault="009E3044"/>
  </w:footnote>
  <w:footnote w:type="continuationSeparator" w:id="0">
    <w:p w14:paraId="6E00B50E" w14:textId="77777777" w:rsidR="009E3044" w:rsidRPr="00FC68B7" w:rsidRDefault="009E3044" w:rsidP="00FC68B7">
      <w:pPr>
        <w:tabs>
          <w:tab w:val="left" w:pos="2155"/>
        </w:tabs>
        <w:spacing w:after="80"/>
        <w:ind w:left="680"/>
        <w:rPr>
          <w:u w:val="single"/>
        </w:rPr>
      </w:pPr>
      <w:r>
        <w:rPr>
          <w:u w:val="single"/>
        </w:rPr>
        <w:tab/>
      </w:r>
    </w:p>
    <w:p w14:paraId="2C2EC263" w14:textId="77777777" w:rsidR="009E3044" w:rsidRDefault="009E3044"/>
  </w:footnote>
  <w:footnote w:type="continuationNotice" w:id="1">
    <w:p w14:paraId="033E9FDC" w14:textId="77777777" w:rsidR="009E3044" w:rsidRDefault="009E3044"/>
    <w:p w14:paraId="14875E5E" w14:textId="77777777" w:rsidR="009E3044" w:rsidRDefault="009E3044"/>
  </w:footnote>
  <w:footnote w:id="2">
    <w:p w14:paraId="7C67D73B" w14:textId="77777777"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This section summarizes only the main facts, evidence and issues considered to be relevant to the question of compliance, as presented to and considered by the Committee.</w:t>
      </w:r>
    </w:p>
  </w:footnote>
  <w:footnote w:id="3">
    <w:p w14:paraId="4C995924" w14:textId="09DA1AA2"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1, and annex 1</w:t>
      </w:r>
      <w:r>
        <w:rPr>
          <w:szCs w:val="18"/>
          <w:lang w:val="en-GB"/>
        </w:rPr>
        <w:t>.1</w:t>
      </w:r>
      <w:r w:rsidRPr="00F861B9">
        <w:rPr>
          <w:szCs w:val="18"/>
          <w:lang w:val="en-GB"/>
        </w:rPr>
        <w:t>, p. 2.</w:t>
      </w:r>
    </w:p>
  </w:footnote>
  <w:footnote w:id="4">
    <w:p w14:paraId="52053DA2" w14:textId="619DAA40"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1, and annex 1</w:t>
      </w:r>
      <w:r>
        <w:rPr>
          <w:szCs w:val="18"/>
          <w:lang w:val="en-GB"/>
        </w:rPr>
        <w:t>.1</w:t>
      </w:r>
      <w:r w:rsidRPr="00F861B9">
        <w:rPr>
          <w:szCs w:val="18"/>
          <w:lang w:val="en-GB"/>
        </w:rPr>
        <w:t>, p. 2.</w:t>
      </w:r>
    </w:p>
  </w:footnote>
  <w:footnote w:id="5">
    <w:p w14:paraId="1C80A371" w14:textId="2A15B656"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1, and annex 1</w:t>
      </w:r>
      <w:r>
        <w:rPr>
          <w:szCs w:val="18"/>
          <w:lang w:val="en-GB"/>
        </w:rPr>
        <w:t>.1</w:t>
      </w:r>
      <w:r w:rsidRPr="00F861B9">
        <w:rPr>
          <w:szCs w:val="18"/>
          <w:lang w:val="en-GB"/>
        </w:rPr>
        <w:t>, p. 2.</w:t>
      </w:r>
    </w:p>
  </w:footnote>
  <w:footnote w:id="6">
    <w:p w14:paraId="53A2B332" w14:textId="20C2133C"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1, and annex 1</w:t>
      </w:r>
      <w:r>
        <w:rPr>
          <w:szCs w:val="18"/>
          <w:lang w:val="en-GB"/>
        </w:rPr>
        <w:t>.1</w:t>
      </w:r>
      <w:r w:rsidRPr="00F861B9">
        <w:rPr>
          <w:szCs w:val="18"/>
          <w:lang w:val="en-GB"/>
        </w:rPr>
        <w:t>, p. 2.</w:t>
      </w:r>
    </w:p>
  </w:footnote>
  <w:footnote w:id="7">
    <w:p w14:paraId="2B45E284" w14:textId="2BDFEB73"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2, and annex 1</w:t>
      </w:r>
      <w:r>
        <w:rPr>
          <w:szCs w:val="18"/>
          <w:lang w:val="en-GB"/>
        </w:rPr>
        <w:t>.3 (ENG)</w:t>
      </w:r>
      <w:r w:rsidRPr="00F861B9">
        <w:rPr>
          <w:szCs w:val="18"/>
          <w:lang w:val="en-GB"/>
        </w:rPr>
        <w:t>, p</w:t>
      </w:r>
      <w:r>
        <w:rPr>
          <w:szCs w:val="18"/>
          <w:lang w:val="en-GB"/>
        </w:rPr>
        <w:t>. 1</w:t>
      </w:r>
      <w:r w:rsidRPr="00F861B9">
        <w:rPr>
          <w:szCs w:val="18"/>
          <w:lang w:val="en-GB"/>
        </w:rPr>
        <w:t>.</w:t>
      </w:r>
    </w:p>
  </w:footnote>
  <w:footnote w:id="8">
    <w:p w14:paraId="2BD119BA" w14:textId="4DBA11D8"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2, and annex 1</w:t>
      </w:r>
      <w:r>
        <w:rPr>
          <w:szCs w:val="18"/>
          <w:lang w:val="en-GB"/>
        </w:rPr>
        <w:t>.3 (ENG)</w:t>
      </w:r>
      <w:r w:rsidRPr="00F861B9">
        <w:rPr>
          <w:szCs w:val="18"/>
          <w:lang w:val="en-GB"/>
        </w:rPr>
        <w:t xml:space="preserve">, pp. </w:t>
      </w:r>
      <w:r>
        <w:rPr>
          <w:szCs w:val="18"/>
          <w:lang w:val="en-GB"/>
        </w:rPr>
        <w:t>1-2</w:t>
      </w:r>
      <w:r w:rsidRPr="00F861B9">
        <w:rPr>
          <w:szCs w:val="18"/>
          <w:lang w:val="en-GB"/>
        </w:rPr>
        <w:t>.</w:t>
      </w:r>
    </w:p>
  </w:footnote>
  <w:footnote w:id="9">
    <w:p w14:paraId="4B429D43" w14:textId="52649BFE"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2, and annex 1</w:t>
      </w:r>
      <w:r>
        <w:rPr>
          <w:szCs w:val="18"/>
          <w:lang w:val="en-GB"/>
        </w:rPr>
        <w:t>.3 (ENG)</w:t>
      </w:r>
      <w:r w:rsidRPr="00F861B9">
        <w:rPr>
          <w:szCs w:val="18"/>
          <w:lang w:val="en-GB"/>
        </w:rPr>
        <w:t xml:space="preserve">, pp. </w:t>
      </w:r>
      <w:r>
        <w:rPr>
          <w:szCs w:val="18"/>
          <w:lang w:val="en-GB"/>
        </w:rPr>
        <w:t>2-9</w:t>
      </w:r>
      <w:r w:rsidRPr="00F861B9">
        <w:rPr>
          <w:szCs w:val="18"/>
          <w:lang w:val="en-GB"/>
        </w:rPr>
        <w:t>.</w:t>
      </w:r>
    </w:p>
  </w:footnote>
  <w:footnote w:id="10">
    <w:p w14:paraId="5AEAAF50" w14:textId="03EFD823"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w:t>
      </w:r>
      <w:proofErr w:type="spellStart"/>
      <w:r w:rsidRPr="00576BD9">
        <w:rPr>
          <w:szCs w:val="18"/>
          <w:lang w:val="fr-CH"/>
        </w:rPr>
        <w:t>annex</w:t>
      </w:r>
      <w:proofErr w:type="spellEnd"/>
      <w:r w:rsidRPr="00576BD9">
        <w:rPr>
          <w:szCs w:val="18"/>
          <w:lang w:val="fr-CH"/>
        </w:rPr>
        <w:t xml:space="preserve"> 1.3 (ENG), p. 3.</w:t>
      </w:r>
    </w:p>
  </w:footnote>
  <w:footnote w:id="11">
    <w:p w14:paraId="2BF583E9" w14:textId="4374C084"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w:t>
      </w:r>
      <w:proofErr w:type="spellStart"/>
      <w:r w:rsidRPr="00576BD9">
        <w:rPr>
          <w:szCs w:val="18"/>
          <w:lang w:val="fr-CH"/>
        </w:rPr>
        <w:t>annex</w:t>
      </w:r>
      <w:proofErr w:type="spellEnd"/>
      <w:r w:rsidRPr="00576BD9">
        <w:rPr>
          <w:szCs w:val="18"/>
          <w:lang w:val="fr-CH"/>
        </w:rPr>
        <w:t xml:space="preserve"> 1.3 (ENG), p. 4.</w:t>
      </w:r>
    </w:p>
  </w:footnote>
  <w:footnote w:id="12">
    <w:p w14:paraId="62B0F763" w14:textId="453B95C3" w:rsidR="004C16CA" w:rsidRPr="00576BD9" w:rsidRDefault="004C16CA" w:rsidP="001B648E">
      <w:pPr>
        <w:pStyle w:val="FootnoteText"/>
        <w:ind w:left="2268"/>
        <w:rPr>
          <w:lang w:val="fr-CH"/>
        </w:rPr>
      </w:pPr>
      <w:r>
        <w:rPr>
          <w:rStyle w:val="FootnoteReference"/>
        </w:rPr>
        <w:footnoteRef/>
      </w:r>
      <w:r>
        <w:t xml:space="preserve"> </w:t>
      </w:r>
      <w:r w:rsidRPr="00576BD9">
        <w:rPr>
          <w:lang w:val="fr-CH"/>
        </w:rPr>
        <w:t xml:space="preserve">Communication, </w:t>
      </w:r>
      <w:proofErr w:type="spellStart"/>
      <w:r w:rsidRPr="00576BD9">
        <w:rPr>
          <w:lang w:val="fr-CH"/>
        </w:rPr>
        <w:t>annex</w:t>
      </w:r>
      <w:proofErr w:type="spellEnd"/>
      <w:r w:rsidRPr="00576BD9">
        <w:rPr>
          <w:lang w:val="fr-CH"/>
        </w:rPr>
        <w:t xml:space="preserve"> 1.3 (ENG), p. 8.</w:t>
      </w:r>
    </w:p>
  </w:footnote>
  <w:footnote w:id="13">
    <w:p w14:paraId="45F46629" w14:textId="18AF74A5" w:rsidR="004C16CA" w:rsidRPr="00576BD9" w:rsidRDefault="004C16CA" w:rsidP="00F124E3">
      <w:pPr>
        <w:pStyle w:val="FootnoteText"/>
        <w:adjustRightInd w:val="0"/>
        <w:ind w:left="2268"/>
        <w:contextualSpacing/>
        <w:rPr>
          <w:lang w:val="fr-CH"/>
        </w:rPr>
      </w:pPr>
      <w:r w:rsidRPr="00F861B9">
        <w:rPr>
          <w:rStyle w:val="FootnoteReference"/>
          <w:lang w:val="en-GB"/>
        </w:rPr>
        <w:footnoteRef/>
      </w:r>
      <w:r w:rsidRPr="00576BD9">
        <w:rPr>
          <w:lang w:val="fr-CH"/>
        </w:rPr>
        <w:t xml:space="preserve"> Communication, </w:t>
      </w:r>
      <w:proofErr w:type="spellStart"/>
      <w:r w:rsidRPr="00576BD9">
        <w:rPr>
          <w:lang w:val="fr-CH"/>
        </w:rPr>
        <w:t>annex</w:t>
      </w:r>
      <w:proofErr w:type="spellEnd"/>
      <w:r w:rsidRPr="00576BD9">
        <w:rPr>
          <w:lang w:val="fr-CH"/>
        </w:rPr>
        <w:t xml:space="preserve"> 1.3 (ENG), p. 7.</w:t>
      </w:r>
    </w:p>
  </w:footnote>
  <w:footnote w:id="14">
    <w:p w14:paraId="49DE58C0" w14:textId="30938CF8"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w:t>
      </w:r>
      <w:r>
        <w:rPr>
          <w:szCs w:val="18"/>
          <w:lang w:val="en-GB"/>
        </w:rPr>
        <w:t xml:space="preserve">. </w:t>
      </w:r>
      <w:r w:rsidRPr="00F861B9">
        <w:rPr>
          <w:szCs w:val="18"/>
          <w:lang w:val="en-GB"/>
        </w:rPr>
        <w:t>3, and annex 1</w:t>
      </w:r>
      <w:r>
        <w:rPr>
          <w:szCs w:val="18"/>
          <w:lang w:val="en-GB"/>
        </w:rPr>
        <w:t>.5</w:t>
      </w:r>
      <w:r w:rsidRPr="00F861B9">
        <w:rPr>
          <w:szCs w:val="18"/>
          <w:lang w:val="en-GB"/>
        </w:rPr>
        <w:t>, p. 19.</w:t>
      </w:r>
    </w:p>
  </w:footnote>
  <w:footnote w:id="15">
    <w:p w14:paraId="776416A2" w14:textId="31AC88FA"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3.</w:t>
      </w:r>
    </w:p>
  </w:footnote>
  <w:footnote w:id="16">
    <w:p w14:paraId="275AF0A7" w14:textId="11D95052"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w:t>
      </w:r>
      <w:r>
        <w:rPr>
          <w:szCs w:val="18"/>
          <w:lang w:val="en-GB"/>
        </w:rPr>
        <w:t>p</w:t>
      </w:r>
      <w:r w:rsidRPr="00F861B9">
        <w:rPr>
          <w:szCs w:val="18"/>
          <w:lang w:val="en-GB"/>
        </w:rPr>
        <w:t xml:space="preserve">. </w:t>
      </w:r>
      <w:r>
        <w:rPr>
          <w:szCs w:val="18"/>
          <w:lang w:val="en-GB"/>
        </w:rPr>
        <w:t>2-</w:t>
      </w:r>
      <w:r w:rsidRPr="00F861B9">
        <w:rPr>
          <w:szCs w:val="18"/>
          <w:lang w:val="en-GB"/>
        </w:rPr>
        <w:t>3, and annex 1</w:t>
      </w:r>
      <w:r>
        <w:rPr>
          <w:szCs w:val="18"/>
          <w:lang w:val="en-GB"/>
        </w:rPr>
        <w:t>.4</w:t>
      </w:r>
      <w:r w:rsidRPr="00F861B9">
        <w:rPr>
          <w:szCs w:val="18"/>
          <w:lang w:val="en-GB"/>
        </w:rPr>
        <w:t>, pp. 13-18.</w:t>
      </w:r>
    </w:p>
  </w:footnote>
  <w:footnote w:id="17">
    <w:p w14:paraId="30788550" w14:textId="5E2A9C00"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8, and annex 1</w:t>
      </w:r>
      <w:r>
        <w:rPr>
          <w:szCs w:val="18"/>
          <w:lang w:val="en-GB"/>
        </w:rPr>
        <w:t>.2</w:t>
      </w:r>
      <w:r w:rsidRPr="00F861B9">
        <w:rPr>
          <w:szCs w:val="18"/>
          <w:lang w:val="en-GB"/>
        </w:rPr>
        <w:t>, p</w:t>
      </w:r>
      <w:r>
        <w:rPr>
          <w:szCs w:val="18"/>
          <w:lang w:val="en-GB"/>
        </w:rPr>
        <w:t>p</w:t>
      </w:r>
      <w:r w:rsidRPr="00F861B9">
        <w:rPr>
          <w:szCs w:val="18"/>
          <w:lang w:val="en-GB"/>
        </w:rPr>
        <w:t xml:space="preserve">. </w:t>
      </w:r>
      <w:r>
        <w:rPr>
          <w:szCs w:val="18"/>
          <w:lang w:val="en-GB"/>
        </w:rPr>
        <w:t>2-</w:t>
      </w:r>
      <w:r w:rsidRPr="00F861B9">
        <w:rPr>
          <w:szCs w:val="18"/>
          <w:lang w:val="en-GB"/>
        </w:rPr>
        <w:t>3.</w:t>
      </w:r>
    </w:p>
  </w:footnote>
  <w:footnote w:id="18">
    <w:p w14:paraId="414F6B8A" w14:textId="4137E9E9"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2.</w:t>
      </w:r>
    </w:p>
  </w:footnote>
  <w:footnote w:id="19">
    <w:p w14:paraId="27738DAB" w14:textId="3FB74685" w:rsidR="004C16CA" w:rsidRPr="00CB75E9" w:rsidRDefault="004C16CA" w:rsidP="0079790F">
      <w:pPr>
        <w:pStyle w:val="FootnoteText"/>
        <w:ind w:left="2268"/>
        <w:rPr>
          <w:lang w:val="en-GB"/>
        </w:rPr>
      </w:pPr>
      <w:r>
        <w:rPr>
          <w:rStyle w:val="FootnoteReference"/>
        </w:rPr>
        <w:footnoteRef/>
      </w:r>
      <w:r>
        <w:t xml:space="preserve"> </w:t>
      </w:r>
      <w:r>
        <w:rPr>
          <w:lang w:val="en-GB"/>
        </w:rPr>
        <w:t>Letter from the Party, 25 November 2020, p. 2.</w:t>
      </w:r>
    </w:p>
  </w:footnote>
  <w:footnote w:id="20">
    <w:p w14:paraId="02742814" w14:textId="1D35607F"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2</w:t>
      </w:r>
      <w:r>
        <w:rPr>
          <w:szCs w:val="18"/>
          <w:lang w:val="en-GB"/>
        </w:rPr>
        <w:t xml:space="preserve"> and p. 3</w:t>
      </w:r>
      <w:r w:rsidRPr="00F861B9">
        <w:rPr>
          <w:szCs w:val="18"/>
          <w:lang w:val="en-GB"/>
        </w:rPr>
        <w:t xml:space="preserve">; </w:t>
      </w:r>
      <w:r>
        <w:rPr>
          <w:szCs w:val="18"/>
          <w:lang w:val="en-GB"/>
        </w:rPr>
        <w:t xml:space="preserve">email from communicant, 3 May 2020, </w:t>
      </w:r>
      <w:r w:rsidRPr="00F861B9">
        <w:rPr>
          <w:szCs w:val="18"/>
          <w:lang w:val="en-GB"/>
        </w:rPr>
        <w:t>attachment 1.</w:t>
      </w:r>
    </w:p>
  </w:footnote>
  <w:footnote w:id="21">
    <w:p w14:paraId="53B02840" w14:textId="45DE869C"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2</w:t>
      </w:r>
      <w:r>
        <w:rPr>
          <w:szCs w:val="18"/>
          <w:lang w:val="en-GB"/>
        </w:rPr>
        <w:t xml:space="preserve"> and p. 3</w:t>
      </w:r>
      <w:r w:rsidRPr="00F861B9">
        <w:rPr>
          <w:szCs w:val="18"/>
          <w:lang w:val="en-GB"/>
        </w:rPr>
        <w:t>, and annex 2</w:t>
      </w:r>
      <w:r>
        <w:rPr>
          <w:szCs w:val="18"/>
          <w:lang w:val="en-GB"/>
        </w:rPr>
        <w:t>.3</w:t>
      </w:r>
      <w:r w:rsidRPr="00F861B9">
        <w:rPr>
          <w:szCs w:val="18"/>
          <w:lang w:val="en-GB"/>
        </w:rPr>
        <w:t>, pp. 6-7.</w:t>
      </w:r>
    </w:p>
  </w:footnote>
  <w:footnote w:id="22">
    <w:p w14:paraId="3B158415" w14:textId="77777777" w:rsidR="000C3236" w:rsidRPr="00EC5BE3" w:rsidRDefault="000C3236" w:rsidP="000C3236">
      <w:pPr>
        <w:pStyle w:val="FootnoteText"/>
        <w:ind w:right="0" w:firstLine="0"/>
        <w:rPr>
          <w:lang w:val="en-GB"/>
        </w:rPr>
      </w:pPr>
      <w:r>
        <w:rPr>
          <w:rStyle w:val="FootnoteReference"/>
        </w:rPr>
        <w:footnoteRef/>
      </w:r>
      <w:r>
        <w:t xml:space="preserve"> </w:t>
      </w:r>
      <w:r>
        <w:rPr>
          <w:lang w:val="en-GB"/>
        </w:rPr>
        <w:t>Communication, annex 2.3 pp. 6-7; Communicant’s reply to the Committee’s questions, 22 June 2020, p. 3.</w:t>
      </w:r>
    </w:p>
  </w:footnote>
  <w:footnote w:id="23">
    <w:p w14:paraId="226CB455" w14:textId="577FBD23"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w:t>
      </w:r>
      <w:proofErr w:type="spellStart"/>
      <w:r w:rsidRPr="00576BD9">
        <w:rPr>
          <w:szCs w:val="18"/>
          <w:lang w:val="fr-CH"/>
        </w:rPr>
        <w:t>annex</w:t>
      </w:r>
      <w:proofErr w:type="spellEnd"/>
      <w:r w:rsidRPr="00576BD9">
        <w:rPr>
          <w:szCs w:val="18"/>
          <w:lang w:val="fr-CH"/>
        </w:rPr>
        <w:t xml:space="preserve"> 2.3, pp. 6-7.</w:t>
      </w:r>
    </w:p>
  </w:footnote>
  <w:footnote w:id="24">
    <w:p w14:paraId="57E73931" w14:textId="59C572AC" w:rsidR="004C16CA" w:rsidRPr="00576BD9" w:rsidRDefault="004C16CA" w:rsidP="00F124E3">
      <w:pPr>
        <w:pStyle w:val="FootnoteText"/>
        <w:tabs>
          <w:tab w:val="clear" w:pos="1021"/>
          <w:tab w:val="right" w:pos="709"/>
        </w:tabs>
        <w:adjustRightInd w:val="0"/>
        <w:snapToGri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w:t>
      </w:r>
      <w:proofErr w:type="spellStart"/>
      <w:r w:rsidRPr="00576BD9">
        <w:rPr>
          <w:szCs w:val="18"/>
          <w:lang w:val="fr-CH"/>
        </w:rPr>
        <w:t>annex</w:t>
      </w:r>
      <w:proofErr w:type="spellEnd"/>
      <w:r w:rsidRPr="00576BD9">
        <w:rPr>
          <w:szCs w:val="18"/>
          <w:lang w:val="fr-CH"/>
        </w:rPr>
        <w:t xml:space="preserve"> 2.1, pp. 2-3.</w:t>
      </w:r>
    </w:p>
  </w:footnote>
  <w:footnote w:id="25">
    <w:p w14:paraId="1D65BBAE" w14:textId="03C04B65" w:rsidR="004C16CA" w:rsidRPr="00F861B9" w:rsidRDefault="004C16CA" w:rsidP="00F124E3">
      <w:pPr>
        <w:pStyle w:val="FootnoteText"/>
        <w:adjustRightInd w:val="0"/>
        <w:snapToGrid w:val="0"/>
        <w:ind w:left="2268"/>
        <w:contextualSpacing/>
        <w:rPr>
          <w:lang w:val="en-GB"/>
        </w:rPr>
      </w:pPr>
      <w:r w:rsidRPr="00F861B9">
        <w:rPr>
          <w:rStyle w:val="FootnoteReference"/>
          <w:lang w:val="en-GB"/>
        </w:rPr>
        <w:footnoteRef/>
      </w:r>
      <w:r w:rsidRPr="00F861B9">
        <w:rPr>
          <w:lang w:val="en-GB"/>
        </w:rPr>
        <w:t xml:space="preserve"> Communicant’s </w:t>
      </w:r>
      <w:r>
        <w:rPr>
          <w:lang w:val="en-GB"/>
        </w:rPr>
        <w:t>reply</w:t>
      </w:r>
      <w:r w:rsidRPr="00F861B9">
        <w:rPr>
          <w:lang w:val="en-GB"/>
        </w:rPr>
        <w:t xml:space="preserve"> to </w:t>
      </w:r>
      <w:r>
        <w:rPr>
          <w:lang w:val="en-GB"/>
        </w:rPr>
        <w:t xml:space="preserve">the </w:t>
      </w:r>
      <w:r w:rsidRPr="00F861B9">
        <w:rPr>
          <w:lang w:val="en-GB"/>
        </w:rPr>
        <w:t xml:space="preserve">Committee’s questions, </w:t>
      </w:r>
      <w:r>
        <w:rPr>
          <w:lang w:val="en-GB"/>
        </w:rPr>
        <w:t xml:space="preserve">22 June 2020, </w:t>
      </w:r>
      <w:r w:rsidRPr="00F861B9">
        <w:rPr>
          <w:lang w:val="en-GB"/>
        </w:rPr>
        <w:t>p</w:t>
      </w:r>
      <w:r>
        <w:rPr>
          <w:lang w:val="en-GB"/>
        </w:rPr>
        <w:t>p</w:t>
      </w:r>
      <w:r w:rsidRPr="00F861B9">
        <w:rPr>
          <w:lang w:val="en-GB"/>
        </w:rPr>
        <w:t>. 1</w:t>
      </w:r>
      <w:r>
        <w:rPr>
          <w:lang w:val="en-GB"/>
        </w:rPr>
        <w:t>-2</w:t>
      </w:r>
      <w:r w:rsidRPr="00F861B9">
        <w:rPr>
          <w:lang w:val="en-GB"/>
        </w:rPr>
        <w:t xml:space="preserve">. </w:t>
      </w:r>
    </w:p>
  </w:footnote>
  <w:footnote w:id="26">
    <w:p w14:paraId="37379110" w14:textId="05971368" w:rsidR="004C16CA" w:rsidRPr="00F861B9" w:rsidRDefault="004C16CA" w:rsidP="00F124E3">
      <w:pPr>
        <w:pStyle w:val="FootnoteText"/>
        <w:adjustRightInd w:val="0"/>
        <w:snapToGrid w:val="0"/>
        <w:ind w:left="2268"/>
        <w:contextualSpacing/>
        <w:rPr>
          <w:lang w:val="en-GB"/>
        </w:rPr>
      </w:pPr>
      <w:r w:rsidRPr="00F861B9">
        <w:rPr>
          <w:rStyle w:val="FootnoteReference"/>
          <w:lang w:val="en-GB"/>
        </w:rPr>
        <w:footnoteRef/>
      </w:r>
      <w:r w:rsidRPr="00F861B9">
        <w:rPr>
          <w:lang w:val="en-GB"/>
        </w:rPr>
        <w:t xml:space="preserve"> Communicant’s re</w:t>
      </w:r>
      <w:r>
        <w:rPr>
          <w:lang w:val="en-GB"/>
        </w:rPr>
        <w:t>ply</w:t>
      </w:r>
      <w:r w:rsidRPr="00F861B9">
        <w:rPr>
          <w:lang w:val="en-GB"/>
        </w:rPr>
        <w:t xml:space="preserve"> to</w:t>
      </w:r>
      <w:r>
        <w:rPr>
          <w:lang w:val="en-GB"/>
        </w:rPr>
        <w:t xml:space="preserve"> the</w:t>
      </w:r>
      <w:r w:rsidRPr="00F861B9">
        <w:rPr>
          <w:lang w:val="en-GB"/>
        </w:rPr>
        <w:t xml:space="preserve"> Committee’s questions, </w:t>
      </w:r>
      <w:r>
        <w:rPr>
          <w:lang w:val="en-GB"/>
        </w:rPr>
        <w:t xml:space="preserve">22 June 2020, </w:t>
      </w:r>
      <w:r w:rsidRPr="00F861B9">
        <w:rPr>
          <w:lang w:val="en-GB"/>
        </w:rPr>
        <w:t xml:space="preserve">pp. 1-3 and annex. </w:t>
      </w:r>
    </w:p>
  </w:footnote>
  <w:footnote w:id="27">
    <w:p w14:paraId="3CAD6709" w14:textId="19DBC285" w:rsidR="004C16CA" w:rsidRPr="00F861B9" w:rsidRDefault="004C16CA" w:rsidP="00F124E3">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w:t>
      </w:r>
      <w:r>
        <w:rPr>
          <w:lang w:val="en-GB"/>
        </w:rPr>
        <w:t>reply</w:t>
      </w:r>
      <w:r w:rsidRPr="00F861B9">
        <w:rPr>
          <w:lang w:val="en-GB"/>
        </w:rPr>
        <w:t xml:space="preserve"> to </w:t>
      </w:r>
      <w:r>
        <w:rPr>
          <w:lang w:val="en-GB"/>
        </w:rPr>
        <w:t xml:space="preserve">the </w:t>
      </w:r>
      <w:r w:rsidRPr="00F861B9">
        <w:rPr>
          <w:lang w:val="en-GB"/>
        </w:rPr>
        <w:t>Committee’s questions,</w:t>
      </w:r>
      <w:r>
        <w:rPr>
          <w:lang w:val="en-GB"/>
        </w:rPr>
        <w:t xml:space="preserve"> 22 June 2020,</w:t>
      </w:r>
      <w:r w:rsidRPr="00F861B9">
        <w:rPr>
          <w:lang w:val="en-GB"/>
        </w:rPr>
        <w:t xml:space="preserve"> p. 2.</w:t>
      </w:r>
    </w:p>
  </w:footnote>
  <w:footnote w:id="28">
    <w:p w14:paraId="18625979" w14:textId="6B648D85" w:rsidR="004C16CA" w:rsidRPr="00F861B9" w:rsidRDefault="004C16CA" w:rsidP="00F124E3">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w:t>
      </w:r>
      <w:r>
        <w:rPr>
          <w:lang w:val="en-GB"/>
        </w:rPr>
        <w:t>reply</w:t>
      </w:r>
      <w:r w:rsidRPr="00F861B9">
        <w:rPr>
          <w:lang w:val="en-GB"/>
        </w:rPr>
        <w:t xml:space="preserve"> to </w:t>
      </w:r>
      <w:r>
        <w:rPr>
          <w:lang w:val="en-GB"/>
        </w:rPr>
        <w:t xml:space="preserve">the </w:t>
      </w:r>
      <w:r w:rsidRPr="00F861B9">
        <w:rPr>
          <w:lang w:val="en-GB"/>
        </w:rPr>
        <w:t xml:space="preserve">Committee’s questions, </w:t>
      </w:r>
      <w:r>
        <w:rPr>
          <w:lang w:val="en-GB"/>
        </w:rPr>
        <w:t xml:space="preserve">22 June 2020, </w:t>
      </w:r>
      <w:r w:rsidRPr="00F861B9">
        <w:rPr>
          <w:lang w:val="en-GB"/>
        </w:rPr>
        <w:t>p. 3.</w:t>
      </w:r>
    </w:p>
  </w:footnote>
  <w:footnote w:id="29">
    <w:p w14:paraId="14ED517C" w14:textId="2C306EA2" w:rsidR="004C16CA" w:rsidRPr="00FD0014" w:rsidRDefault="004C16CA" w:rsidP="003163AB">
      <w:pPr>
        <w:pStyle w:val="FootnoteText"/>
        <w:ind w:left="2268"/>
        <w:rPr>
          <w:lang w:val="en-GB"/>
        </w:rPr>
      </w:pPr>
      <w:r>
        <w:rPr>
          <w:rStyle w:val="FootnoteReference"/>
        </w:rPr>
        <w:footnoteRef/>
      </w:r>
      <w:r>
        <w:t xml:space="preserve"> </w:t>
      </w:r>
      <w:r>
        <w:rPr>
          <w:lang w:val="en-GB"/>
        </w:rPr>
        <w:t xml:space="preserve">Communication, pp. 3-4, and annex 2.1 pp. 2-3. </w:t>
      </w:r>
    </w:p>
  </w:footnote>
  <w:footnote w:id="30">
    <w:p w14:paraId="2ECA9D6F" w14:textId="5095272C"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w:t>
      </w:r>
      <w:r>
        <w:rPr>
          <w:szCs w:val="18"/>
          <w:lang w:val="en-GB"/>
        </w:rPr>
        <w:t>p</w:t>
      </w:r>
      <w:r w:rsidRPr="00F861B9">
        <w:rPr>
          <w:szCs w:val="18"/>
          <w:lang w:val="en-GB"/>
        </w:rPr>
        <w:t>p. 3-4</w:t>
      </w:r>
      <w:r>
        <w:rPr>
          <w:szCs w:val="18"/>
          <w:lang w:val="en-GB"/>
        </w:rPr>
        <w:t xml:space="preserve"> and p. 8</w:t>
      </w:r>
      <w:r w:rsidRPr="00F861B9">
        <w:rPr>
          <w:szCs w:val="18"/>
          <w:lang w:val="en-GB"/>
        </w:rPr>
        <w:t>, and annex 2</w:t>
      </w:r>
      <w:r>
        <w:rPr>
          <w:szCs w:val="18"/>
          <w:lang w:val="en-GB"/>
        </w:rPr>
        <w:t>.2</w:t>
      </w:r>
      <w:r w:rsidRPr="00F861B9">
        <w:rPr>
          <w:szCs w:val="18"/>
          <w:lang w:val="en-GB"/>
        </w:rPr>
        <w:t>, pp. 4-5.</w:t>
      </w:r>
    </w:p>
  </w:footnote>
  <w:footnote w:id="31">
    <w:p w14:paraId="7BE4F2B2" w14:textId="446AB542" w:rsidR="004C16CA" w:rsidRPr="00576BD9" w:rsidRDefault="004C16CA" w:rsidP="00F124E3">
      <w:pPr>
        <w:pStyle w:val="FootnoteText"/>
        <w:adjustRightInd w:val="0"/>
        <w:ind w:left="2268"/>
        <w:contextualSpacing/>
        <w:rPr>
          <w:lang w:val="fr-CH"/>
        </w:rPr>
      </w:pPr>
      <w:r w:rsidRPr="00F861B9">
        <w:rPr>
          <w:rStyle w:val="FootnoteReference"/>
          <w:lang w:val="en-GB"/>
        </w:rPr>
        <w:footnoteRef/>
      </w:r>
      <w:r w:rsidRPr="00576BD9">
        <w:rPr>
          <w:lang w:val="fr-CH"/>
        </w:rPr>
        <w:t xml:space="preserve"> Communication, </w:t>
      </w:r>
      <w:proofErr w:type="spellStart"/>
      <w:r w:rsidRPr="00576BD9">
        <w:rPr>
          <w:lang w:val="fr-CH"/>
        </w:rPr>
        <w:t>annex</w:t>
      </w:r>
      <w:proofErr w:type="spellEnd"/>
      <w:r w:rsidRPr="00576BD9">
        <w:rPr>
          <w:lang w:val="fr-CH"/>
        </w:rPr>
        <w:t xml:space="preserve"> 2.4, pp. 8-12.</w:t>
      </w:r>
    </w:p>
  </w:footnote>
  <w:footnote w:id="32">
    <w:p w14:paraId="59997384" w14:textId="4FAFAE74"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w:t>
      </w:r>
      <w:proofErr w:type="spellStart"/>
      <w:r w:rsidRPr="00576BD9">
        <w:rPr>
          <w:szCs w:val="18"/>
          <w:lang w:val="fr-CH"/>
        </w:rPr>
        <w:t>annex</w:t>
      </w:r>
      <w:proofErr w:type="spellEnd"/>
      <w:r w:rsidRPr="00576BD9">
        <w:rPr>
          <w:szCs w:val="18"/>
          <w:lang w:val="fr-CH"/>
        </w:rPr>
        <w:t xml:space="preserve"> 2.4, p. 12.</w:t>
      </w:r>
    </w:p>
  </w:footnote>
  <w:footnote w:id="33">
    <w:p w14:paraId="2114E1A9" w14:textId="024B174A"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3, p. 8.</w:t>
      </w:r>
    </w:p>
  </w:footnote>
  <w:footnote w:id="34">
    <w:p w14:paraId="17276C14" w14:textId="6B3186C6"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8.</w:t>
      </w:r>
    </w:p>
  </w:footnote>
  <w:footnote w:id="35">
    <w:p w14:paraId="664C5ED3" w14:textId="77777777"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8.</w:t>
      </w:r>
    </w:p>
  </w:footnote>
  <w:footnote w:id="36">
    <w:p w14:paraId="34B41401" w14:textId="36248094" w:rsidR="004C16CA" w:rsidRPr="00F861B9" w:rsidRDefault="004C16CA" w:rsidP="00F124E3">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w:t>
      </w:r>
      <w:r>
        <w:rPr>
          <w:lang w:val="en-GB"/>
        </w:rPr>
        <w:t>reply</w:t>
      </w:r>
      <w:r w:rsidRPr="00F861B9">
        <w:rPr>
          <w:lang w:val="en-GB"/>
        </w:rPr>
        <w:t xml:space="preserve"> to</w:t>
      </w:r>
      <w:r>
        <w:rPr>
          <w:lang w:val="en-GB"/>
        </w:rPr>
        <w:t xml:space="preserve"> the</w:t>
      </w:r>
      <w:r w:rsidRPr="00F861B9">
        <w:rPr>
          <w:lang w:val="en-GB"/>
        </w:rPr>
        <w:t xml:space="preserve"> Committee’s questions,</w:t>
      </w:r>
      <w:r>
        <w:rPr>
          <w:lang w:val="en-GB"/>
        </w:rPr>
        <w:t xml:space="preserve"> 22 June 2020,</w:t>
      </w:r>
      <w:r w:rsidRPr="00F861B9">
        <w:rPr>
          <w:lang w:val="en-GB"/>
        </w:rPr>
        <w:t xml:space="preserve"> pp. 4-5. </w:t>
      </w:r>
    </w:p>
  </w:footnote>
  <w:footnote w:id="37">
    <w:p w14:paraId="4A9CB099"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8.</w:t>
      </w:r>
    </w:p>
  </w:footnote>
  <w:footnote w:id="38">
    <w:p w14:paraId="308C1718"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8.</w:t>
      </w:r>
    </w:p>
  </w:footnote>
  <w:footnote w:id="39">
    <w:p w14:paraId="4BE5F2EE"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6.</w:t>
      </w:r>
    </w:p>
  </w:footnote>
  <w:footnote w:id="40">
    <w:p w14:paraId="4FA578F0" w14:textId="77777777"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6, citing the Implementation Guide, p. 62.</w:t>
      </w:r>
    </w:p>
  </w:footnote>
  <w:footnote w:id="41">
    <w:p w14:paraId="1A1D7F48" w14:textId="77777777"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6, citing the Implementation Guide, p. 63.</w:t>
      </w:r>
    </w:p>
  </w:footnote>
  <w:footnote w:id="42">
    <w:p w14:paraId="78A8BCCD" w14:textId="77777777"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Communication, p. 6, citing the Implementation Guide, p. 63.</w:t>
      </w:r>
    </w:p>
  </w:footnote>
  <w:footnote w:id="43">
    <w:p w14:paraId="1CE8945F" w14:textId="20BEC625" w:rsidR="004C16CA" w:rsidRPr="00F861B9" w:rsidRDefault="004C16CA" w:rsidP="00F124E3">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w:t>
      </w:r>
      <w:r>
        <w:rPr>
          <w:lang w:val="en-GB"/>
        </w:rPr>
        <w:t>reply</w:t>
      </w:r>
      <w:r w:rsidRPr="00F861B9">
        <w:rPr>
          <w:lang w:val="en-GB"/>
        </w:rPr>
        <w:t xml:space="preserve"> to the Committee’s questions, </w:t>
      </w:r>
      <w:r>
        <w:rPr>
          <w:lang w:val="en-GB"/>
        </w:rPr>
        <w:t xml:space="preserve">22 June 2020, </w:t>
      </w:r>
      <w:r w:rsidRPr="00F861B9">
        <w:rPr>
          <w:lang w:val="en-GB"/>
        </w:rPr>
        <w:t>p. 1.</w:t>
      </w:r>
    </w:p>
  </w:footnote>
  <w:footnote w:id="44">
    <w:p w14:paraId="2613DA13" w14:textId="726B5215" w:rsidR="004C16CA" w:rsidRPr="00F861B9" w:rsidRDefault="004C16CA" w:rsidP="00F124E3">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w:t>
      </w:r>
      <w:r>
        <w:rPr>
          <w:lang w:val="en-GB"/>
        </w:rPr>
        <w:t>reply</w:t>
      </w:r>
      <w:r w:rsidRPr="00F861B9">
        <w:rPr>
          <w:lang w:val="en-GB"/>
        </w:rPr>
        <w:t xml:space="preserve"> to the Committee’s questions, </w:t>
      </w:r>
      <w:r>
        <w:rPr>
          <w:lang w:val="en-GB"/>
        </w:rPr>
        <w:t xml:space="preserve">22 June 2020, </w:t>
      </w:r>
      <w:r w:rsidRPr="00F861B9">
        <w:rPr>
          <w:lang w:val="en-GB"/>
        </w:rPr>
        <w:t>pp. 1-2.</w:t>
      </w:r>
    </w:p>
  </w:footnote>
  <w:footnote w:id="45">
    <w:p w14:paraId="64CD02CF" w14:textId="2A201729" w:rsidR="004C16CA" w:rsidRPr="00F861B9" w:rsidRDefault="004C16CA" w:rsidP="00F124E3">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re</w:t>
      </w:r>
      <w:r>
        <w:rPr>
          <w:lang w:val="en-GB"/>
        </w:rPr>
        <w:t>ply</w:t>
      </w:r>
      <w:r w:rsidRPr="00F861B9">
        <w:rPr>
          <w:lang w:val="en-GB"/>
        </w:rPr>
        <w:t xml:space="preserve"> to the Committee’s questions, </w:t>
      </w:r>
      <w:r>
        <w:rPr>
          <w:lang w:val="en-GB"/>
        </w:rPr>
        <w:t xml:space="preserve">22 June 2020, </w:t>
      </w:r>
      <w:r w:rsidRPr="00F861B9">
        <w:rPr>
          <w:lang w:val="en-GB"/>
        </w:rPr>
        <w:t>p. 2.</w:t>
      </w:r>
    </w:p>
  </w:footnote>
  <w:footnote w:id="46">
    <w:p w14:paraId="48E6D482" w14:textId="6750070D" w:rsidR="004C16CA" w:rsidRPr="00F861B9" w:rsidRDefault="004C16CA" w:rsidP="00F124E3">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re</w:t>
      </w:r>
      <w:r>
        <w:rPr>
          <w:lang w:val="en-GB"/>
        </w:rPr>
        <w:t>ply</w:t>
      </w:r>
      <w:r w:rsidRPr="00F861B9">
        <w:rPr>
          <w:lang w:val="en-GB"/>
        </w:rPr>
        <w:t xml:space="preserve"> to the Committee’s questions, </w:t>
      </w:r>
      <w:r>
        <w:rPr>
          <w:lang w:val="en-GB"/>
        </w:rPr>
        <w:t xml:space="preserve">22 June 2020, </w:t>
      </w:r>
      <w:r w:rsidRPr="00F861B9">
        <w:rPr>
          <w:lang w:val="en-GB"/>
        </w:rPr>
        <w:t>p. 4.</w:t>
      </w:r>
    </w:p>
  </w:footnote>
  <w:footnote w:id="47">
    <w:p w14:paraId="2B21ED21" w14:textId="77777777"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Party’s response to the communication, p. 2.</w:t>
      </w:r>
    </w:p>
  </w:footnote>
  <w:footnote w:id="48">
    <w:p w14:paraId="56A53153" w14:textId="2F87F8BF" w:rsidR="004C16CA" w:rsidRPr="00F861B9" w:rsidRDefault="004C16CA" w:rsidP="006E5011">
      <w:pPr>
        <w:pStyle w:val="FootnoteText"/>
        <w:adjustRightInd w:val="0"/>
        <w:ind w:left="2268"/>
        <w:contextualSpacing/>
        <w:rPr>
          <w:lang w:val="en-GB"/>
        </w:rPr>
      </w:pPr>
      <w:r w:rsidRPr="00F861B9">
        <w:rPr>
          <w:rStyle w:val="FootnoteReference"/>
          <w:lang w:val="en-GB"/>
        </w:rPr>
        <w:footnoteRef/>
      </w:r>
      <w:r w:rsidRPr="00F861B9">
        <w:rPr>
          <w:lang w:val="en-GB"/>
        </w:rPr>
        <w:t xml:space="preserve"> Party</w:t>
      </w:r>
      <w:r>
        <w:rPr>
          <w:lang w:val="en-GB"/>
        </w:rPr>
        <w:t>’ reply</w:t>
      </w:r>
      <w:r w:rsidRPr="00F861B9">
        <w:rPr>
          <w:lang w:val="en-GB"/>
        </w:rPr>
        <w:t xml:space="preserve"> to the Committee’s questions, </w:t>
      </w:r>
      <w:r>
        <w:rPr>
          <w:lang w:val="en-GB"/>
        </w:rPr>
        <w:t xml:space="preserve">6 July 2020, </w:t>
      </w:r>
      <w:r w:rsidRPr="00F861B9">
        <w:rPr>
          <w:lang w:val="en-GB"/>
        </w:rPr>
        <w:t>p</w:t>
      </w:r>
      <w:r>
        <w:rPr>
          <w:lang w:val="en-GB"/>
        </w:rPr>
        <w:t>p</w:t>
      </w:r>
      <w:r w:rsidRPr="00F861B9">
        <w:rPr>
          <w:lang w:val="en-GB"/>
        </w:rPr>
        <w:t xml:space="preserve">. </w:t>
      </w:r>
      <w:r>
        <w:rPr>
          <w:lang w:val="en-GB"/>
        </w:rPr>
        <w:t>1-</w:t>
      </w:r>
      <w:r w:rsidRPr="00F861B9">
        <w:rPr>
          <w:lang w:val="en-GB"/>
        </w:rPr>
        <w:t>2.</w:t>
      </w:r>
    </w:p>
  </w:footnote>
  <w:footnote w:id="49">
    <w:p w14:paraId="7352C8BD" w14:textId="38CDC7FB"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6.</w:t>
      </w:r>
    </w:p>
  </w:footnote>
  <w:footnote w:id="50">
    <w:p w14:paraId="2E751C63" w14:textId="776C9EA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6.</w:t>
      </w:r>
    </w:p>
  </w:footnote>
  <w:footnote w:id="51">
    <w:p w14:paraId="56D8DEC2" w14:textId="1BF1568D" w:rsidR="004C16CA" w:rsidRPr="00C64A1D" w:rsidRDefault="004C16CA" w:rsidP="004E6347">
      <w:pPr>
        <w:pStyle w:val="FootnoteText"/>
        <w:ind w:left="2268"/>
        <w:rPr>
          <w:lang w:val="fr-CH"/>
        </w:rPr>
      </w:pPr>
      <w:r>
        <w:rPr>
          <w:rStyle w:val="FootnoteReference"/>
        </w:rPr>
        <w:footnoteRef/>
      </w:r>
      <w:r>
        <w:t xml:space="preserve"> </w:t>
      </w:r>
      <w:r w:rsidRPr="00C64A1D">
        <w:rPr>
          <w:lang w:val="fr-CH"/>
        </w:rPr>
        <w:t>Communications, p. 2.</w:t>
      </w:r>
    </w:p>
  </w:footnote>
  <w:footnote w:id="52">
    <w:p w14:paraId="5B7AB27A" w14:textId="4B6AE9B4"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w:t>
      </w:r>
    </w:p>
  </w:footnote>
  <w:footnote w:id="53">
    <w:p w14:paraId="0C424B0B"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w:t>
      </w:r>
    </w:p>
  </w:footnote>
  <w:footnote w:id="54">
    <w:p w14:paraId="60E2C963"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 </w:t>
      </w:r>
      <w:proofErr w:type="spellStart"/>
      <w:r w:rsidRPr="00576BD9">
        <w:rPr>
          <w:szCs w:val="18"/>
          <w:lang w:val="fr-CH"/>
        </w:rPr>
        <w:t>citing</w:t>
      </w:r>
      <w:proofErr w:type="spellEnd"/>
      <w:r w:rsidRPr="00576BD9">
        <w:rPr>
          <w:szCs w:val="18"/>
          <w:lang w:val="fr-CH"/>
        </w:rPr>
        <w:t xml:space="preserve"> the </w:t>
      </w:r>
      <w:proofErr w:type="spellStart"/>
      <w:r w:rsidRPr="00576BD9">
        <w:rPr>
          <w:szCs w:val="18"/>
          <w:lang w:val="fr-CH"/>
        </w:rPr>
        <w:t>Implementation</w:t>
      </w:r>
      <w:proofErr w:type="spellEnd"/>
      <w:r w:rsidRPr="00576BD9">
        <w:rPr>
          <w:szCs w:val="18"/>
          <w:lang w:val="fr-CH"/>
        </w:rPr>
        <w:t xml:space="preserve"> Guide, p. 94.</w:t>
      </w:r>
    </w:p>
  </w:footnote>
  <w:footnote w:id="55">
    <w:p w14:paraId="7754CDAD"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 </w:t>
      </w:r>
      <w:proofErr w:type="spellStart"/>
      <w:r w:rsidRPr="00576BD9">
        <w:rPr>
          <w:szCs w:val="18"/>
          <w:lang w:val="fr-CH"/>
        </w:rPr>
        <w:t>citing</w:t>
      </w:r>
      <w:proofErr w:type="spellEnd"/>
      <w:r w:rsidRPr="00576BD9">
        <w:rPr>
          <w:szCs w:val="18"/>
          <w:lang w:val="fr-CH"/>
        </w:rPr>
        <w:t xml:space="preserve"> the </w:t>
      </w:r>
      <w:proofErr w:type="spellStart"/>
      <w:r w:rsidRPr="00576BD9">
        <w:rPr>
          <w:szCs w:val="18"/>
          <w:lang w:val="fr-CH"/>
        </w:rPr>
        <w:t>Implementation</w:t>
      </w:r>
      <w:proofErr w:type="spellEnd"/>
      <w:r w:rsidRPr="00576BD9">
        <w:rPr>
          <w:szCs w:val="18"/>
          <w:lang w:val="fr-CH"/>
        </w:rPr>
        <w:t xml:space="preserve"> Guide, p. 94.</w:t>
      </w:r>
    </w:p>
  </w:footnote>
  <w:footnote w:id="56">
    <w:p w14:paraId="0B636993"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w:t>
      </w:r>
    </w:p>
  </w:footnote>
  <w:footnote w:id="57">
    <w:p w14:paraId="7FD5EC76"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w:t>
      </w:r>
    </w:p>
  </w:footnote>
  <w:footnote w:id="58">
    <w:p w14:paraId="4990325D" w14:textId="512FB274" w:rsidR="004C16CA" w:rsidRPr="00E0525A" w:rsidRDefault="004C16CA" w:rsidP="00872959">
      <w:pPr>
        <w:pStyle w:val="FootnoteText"/>
        <w:tabs>
          <w:tab w:val="clear" w:pos="1021"/>
          <w:tab w:val="right" w:pos="709"/>
        </w:tabs>
        <w:adjustRightInd w:val="0"/>
        <w:ind w:firstLine="0"/>
        <w:contextualSpacing/>
        <w:jc w:val="both"/>
        <w:rPr>
          <w:lang w:val="fr-CH"/>
        </w:rPr>
      </w:pPr>
      <w:r w:rsidRPr="00F861B9">
        <w:rPr>
          <w:rStyle w:val="FootnoteReference"/>
          <w:szCs w:val="18"/>
          <w:lang w:val="en-GB"/>
        </w:rPr>
        <w:footnoteRef/>
      </w:r>
      <w:r w:rsidRPr="00E0525A">
        <w:rPr>
          <w:lang w:val="fr-CH"/>
        </w:rPr>
        <w:t xml:space="preserve"> Communication, </w:t>
      </w:r>
      <w:proofErr w:type="spellStart"/>
      <w:r w:rsidRPr="00E0525A">
        <w:rPr>
          <w:lang w:val="fr-CH"/>
        </w:rPr>
        <w:t>annex</w:t>
      </w:r>
      <w:proofErr w:type="spellEnd"/>
      <w:r w:rsidRPr="00E0525A">
        <w:rPr>
          <w:lang w:val="fr-CH"/>
        </w:rPr>
        <w:t xml:space="preserve"> 2.4, p. 12.</w:t>
      </w:r>
    </w:p>
  </w:footnote>
  <w:footnote w:id="59">
    <w:p w14:paraId="308CC0C5" w14:textId="36BC824B" w:rsidR="004C16CA" w:rsidRPr="00AA4837" w:rsidRDefault="004C16CA" w:rsidP="00AA4837">
      <w:pPr>
        <w:pStyle w:val="FootnoteText"/>
        <w:ind w:left="2268"/>
        <w:rPr>
          <w:lang w:val="en-GB"/>
        </w:rPr>
      </w:pPr>
      <w:r>
        <w:rPr>
          <w:rStyle w:val="FootnoteReference"/>
        </w:rPr>
        <w:footnoteRef/>
      </w:r>
      <w:r>
        <w:t xml:space="preserve"> </w:t>
      </w:r>
      <w:r>
        <w:rPr>
          <w:lang w:val="en-GB"/>
        </w:rPr>
        <w:t>Party’s response to communication, p. 2.</w:t>
      </w:r>
    </w:p>
  </w:footnote>
  <w:footnote w:id="60">
    <w:p w14:paraId="5F8A016F" w14:textId="77777777" w:rsidR="004C16CA" w:rsidRPr="00F861B9" w:rsidRDefault="004C16CA" w:rsidP="001909D2">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Party’s response to the communication, p. 2.</w:t>
      </w:r>
    </w:p>
  </w:footnote>
  <w:footnote w:id="61">
    <w:p w14:paraId="3266944D" w14:textId="77777777" w:rsidR="004C16CA" w:rsidRPr="00F861B9" w:rsidRDefault="004C16CA" w:rsidP="00075364">
      <w:pPr>
        <w:pStyle w:val="FootnoteText"/>
        <w:adjustRightInd w:val="0"/>
        <w:ind w:left="2268"/>
        <w:contextualSpacing/>
        <w:rPr>
          <w:lang w:val="en-GB"/>
        </w:rPr>
      </w:pPr>
      <w:r w:rsidRPr="00F861B9">
        <w:rPr>
          <w:rStyle w:val="FootnoteReference"/>
          <w:lang w:val="en-GB"/>
        </w:rPr>
        <w:footnoteRef/>
      </w:r>
      <w:r w:rsidRPr="00F861B9">
        <w:rPr>
          <w:lang w:val="en-GB"/>
        </w:rPr>
        <w:t xml:space="preserve"> </w:t>
      </w:r>
      <w:r w:rsidRPr="00F861B9">
        <w:rPr>
          <w:szCs w:val="18"/>
          <w:lang w:val="en-GB"/>
        </w:rPr>
        <w:t xml:space="preserve">Party’s reply to </w:t>
      </w:r>
      <w:r>
        <w:rPr>
          <w:szCs w:val="18"/>
          <w:lang w:val="en-GB"/>
        </w:rPr>
        <w:t xml:space="preserve">the </w:t>
      </w:r>
      <w:r w:rsidRPr="00F861B9">
        <w:rPr>
          <w:szCs w:val="18"/>
          <w:lang w:val="en-GB"/>
        </w:rPr>
        <w:t>Committee</w:t>
      </w:r>
      <w:r>
        <w:rPr>
          <w:szCs w:val="18"/>
          <w:lang w:val="en-GB"/>
        </w:rPr>
        <w:t>’s</w:t>
      </w:r>
      <w:r w:rsidRPr="00F861B9">
        <w:rPr>
          <w:szCs w:val="18"/>
          <w:lang w:val="en-GB"/>
        </w:rPr>
        <w:t xml:space="preserve"> questions</w:t>
      </w:r>
      <w:r>
        <w:rPr>
          <w:szCs w:val="18"/>
          <w:lang w:val="en-GB"/>
        </w:rPr>
        <w:t>, 6 July 2020</w:t>
      </w:r>
      <w:r w:rsidRPr="00F861B9">
        <w:rPr>
          <w:szCs w:val="18"/>
          <w:lang w:val="en-GB"/>
        </w:rPr>
        <w:t>, p. 3</w:t>
      </w:r>
    </w:p>
  </w:footnote>
  <w:footnote w:id="62">
    <w:p w14:paraId="24542A96" w14:textId="77777777" w:rsidR="004C16CA" w:rsidRPr="00F861B9" w:rsidRDefault="004C16CA" w:rsidP="00075364">
      <w:pPr>
        <w:pStyle w:val="FootnoteText"/>
        <w:tabs>
          <w:tab w:val="clear" w:pos="1021"/>
          <w:tab w:val="right" w:pos="709"/>
        </w:tabs>
        <w:adjustRightInd w:val="0"/>
        <w:ind w:firstLine="0"/>
        <w:contextualSpacing/>
        <w:jc w:val="both"/>
        <w:rPr>
          <w:lang w:val="en-GB"/>
        </w:rPr>
      </w:pPr>
      <w:r w:rsidRPr="00F861B9">
        <w:rPr>
          <w:rStyle w:val="FootnoteReference"/>
          <w:szCs w:val="18"/>
          <w:lang w:val="en-GB"/>
        </w:rPr>
        <w:footnoteRef/>
      </w:r>
      <w:r w:rsidRPr="00F861B9">
        <w:rPr>
          <w:szCs w:val="18"/>
          <w:lang w:val="en-GB"/>
        </w:rPr>
        <w:t xml:space="preserve"> Party’s reply to </w:t>
      </w:r>
      <w:r>
        <w:rPr>
          <w:szCs w:val="18"/>
          <w:lang w:val="en-GB"/>
        </w:rPr>
        <w:t xml:space="preserve">the </w:t>
      </w:r>
      <w:r w:rsidRPr="00F861B9">
        <w:rPr>
          <w:szCs w:val="18"/>
          <w:lang w:val="en-GB"/>
        </w:rPr>
        <w:t>Committee questions</w:t>
      </w:r>
      <w:r>
        <w:rPr>
          <w:szCs w:val="18"/>
          <w:lang w:val="en-GB"/>
        </w:rPr>
        <w:t>, 6 July 2020</w:t>
      </w:r>
      <w:r w:rsidRPr="00F861B9">
        <w:rPr>
          <w:szCs w:val="18"/>
          <w:lang w:val="en-GB"/>
        </w:rPr>
        <w:t>, p. 3</w:t>
      </w:r>
    </w:p>
  </w:footnote>
  <w:footnote w:id="63">
    <w:p w14:paraId="44BEC3ED"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w:t>
      </w:r>
    </w:p>
  </w:footnote>
  <w:footnote w:id="64">
    <w:p w14:paraId="25CA0780"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w:t>
      </w:r>
    </w:p>
  </w:footnote>
  <w:footnote w:id="65">
    <w:p w14:paraId="5EB74D8C"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7.</w:t>
      </w:r>
    </w:p>
  </w:footnote>
  <w:footnote w:id="66">
    <w:p w14:paraId="42BD6C06" w14:textId="77777777" w:rsidR="004C16CA" w:rsidRPr="009A7103"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9A7103">
        <w:rPr>
          <w:szCs w:val="18"/>
          <w:lang w:val="en-GB"/>
        </w:rPr>
        <w:t xml:space="preserve"> Communication, p. 7.</w:t>
      </w:r>
    </w:p>
  </w:footnote>
  <w:footnote w:id="67">
    <w:p w14:paraId="35CF720A" w14:textId="77777777" w:rsidR="000C3236" w:rsidRPr="00F861B9" w:rsidRDefault="000C3236" w:rsidP="000C3236">
      <w:pPr>
        <w:pStyle w:val="FootnoteText"/>
        <w:adjustRightInd w:val="0"/>
        <w:ind w:left="2268"/>
        <w:contextualSpacing/>
        <w:rPr>
          <w:lang w:val="en-GB"/>
        </w:rPr>
      </w:pPr>
      <w:r w:rsidRPr="00F861B9">
        <w:rPr>
          <w:rStyle w:val="FootnoteReference"/>
          <w:lang w:val="en-GB"/>
        </w:rPr>
        <w:footnoteRef/>
      </w:r>
      <w:r w:rsidRPr="00F861B9">
        <w:rPr>
          <w:lang w:val="en-GB"/>
        </w:rPr>
        <w:t xml:space="preserve"> Communicant’s reply to </w:t>
      </w:r>
      <w:r>
        <w:rPr>
          <w:lang w:val="en-GB"/>
        </w:rPr>
        <w:t xml:space="preserve">the </w:t>
      </w:r>
      <w:r w:rsidRPr="00F861B9">
        <w:rPr>
          <w:lang w:val="en-GB"/>
        </w:rPr>
        <w:t xml:space="preserve">Committee’s questions, </w:t>
      </w:r>
      <w:r>
        <w:rPr>
          <w:lang w:val="en-GB"/>
        </w:rPr>
        <w:t xml:space="preserve">22 June 2020, </w:t>
      </w:r>
      <w:r w:rsidRPr="00F861B9">
        <w:rPr>
          <w:lang w:val="en-GB"/>
        </w:rPr>
        <w:t>p. 3.</w:t>
      </w:r>
    </w:p>
  </w:footnote>
  <w:footnote w:id="68">
    <w:p w14:paraId="07F7F723" w14:textId="77777777" w:rsidR="004C16CA" w:rsidRPr="009A7103"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9A7103">
        <w:rPr>
          <w:szCs w:val="18"/>
          <w:lang w:val="en-GB"/>
        </w:rPr>
        <w:t xml:space="preserve"> Communication, p. 7.</w:t>
      </w:r>
    </w:p>
  </w:footnote>
  <w:footnote w:id="69">
    <w:p w14:paraId="3392E8DF" w14:textId="77777777" w:rsidR="000C3236" w:rsidRPr="004E6347" w:rsidRDefault="000C3236" w:rsidP="000C3236">
      <w:pPr>
        <w:pStyle w:val="FootnoteText"/>
        <w:ind w:left="2268"/>
        <w:rPr>
          <w:lang w:val="en-GB"/>
        </w:rPr>
      </w:pPr>
      <w:r>
        <w:rPr>
          <w:rStyle w:val="FootnoteReference"/>
        </w:rPr>
        <w:footnoteRef/>
      </w:r>
      <w:r>
        <w:t xml:space="preserve"> </w:t>
      </w:r>
      <w:r>
        <w:rPr>
          <w:lang w:val="en-GB"/>
        </w:rPr>
        <w:t>Communicant’s letter of 25 November 2020, p. 1.</w:t>
      </w:r>
    </w:p>
  </w:footnote>
  <w:footnote w:id="70">
    <w:p w14:paraId="791BB85C" w14:textId="77777777" w:rsidR="004C16CA" w:rsidRPr="00D92BB5"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D92BB5">
        <w:rPr>
          <w:szCs w:val="18"/>
          <w:lang w:val="en-GB"/>
        </w:rPr>
        <w:t xml:space="preserve"> Party’s response to the communication, p. 2.</w:t>
      </w:r>
    </w:p>
  </w:footnote>
  <w:footnote w:id="71">
    <w:p w14:paraId="31983F13" w14:textId="26136DAD"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Party’s response to the communication, p. 2.</w:t>
      </w:r>
    </w:p>
  </w:footnote>
  <w:footnote w:id="72">
    <w:p w14:paraId="5A5B42ED" w14:textId="5C8BF6B6" w:rsidR="004C16CA" w:rsidRPr="00212A5F" w:rsidRDefault="004C16CA" w:rsidP="00710129">
      <w:pPr>
        <w:pStyle w:val="FootnoteText"/>
        <w:ind w:right="0" w:firstLine="0"/>
        <w:rPr>
          <w:lang w:val="en-GB"/>
        </w:rPr>
      </w:pPr>
      <w:r>
        <w:rPr>
          <w:rStyle w:val="FootnoteReference"/>
        </w:rPr>
        <w:footnoteRef/>
      </w:r>
      <w:r>
        <w:t xml:space="preserve"> </w:t>
      </w:r>
      <w:r>
        <w:rPr>
          <w:lang w:val="en-GB"/>
        </w:rPr>
        <w:t>Letter including additional information from the Party concerned, 25 November 2020, pp. 1-2.</w:t>
      </w:r>
    </w:p>
  </w:footnote>
  <w:footnote w:id="73">
    <w:p w14:paraId="6783A042" w14:textId="79294653" w:rsidR="004C16CA" w:rsidRPr="00F861B9" w:rsidRDefault="004C16CA" w:rsidP="00AB082D">
      <w:pPr>
        <w:pStyle w:val="FootnoteText"/>
        <w:adjustRightInd w:val="0"/>
        <w:ind w:right="0"/>
        <w:contextualSpacing/>
        <w:rPr>
          <w:lang w:val="en-GB"/>
        </w:rPr>
      </w:pPr>
      <w:r w:rsidRPr="00F861B9">
        <w:rPr>
          <w:lang w:val="en-GB"/>
        </w:rPr>
        <w:tab/>
      </w:r>
      <w:r w:rsidRPr="00F861B9">
        <w:rPr>
          <w:lang w:val="en-GB"/>
        </w:rPr>
        <w:tab/>
      </w:r>
      <w:r w:rsidRPr="00F861B9">
        <w:rPr>
          <w:rStyle w:val="FootnoteReference"/>
          <w:lang w:val="en-GB"/>
        </w:rPr>
        <w:footnoteRef/>
      </w:r>
      <w:r w:rsidRPr="00F861B9">
        <w:rPr>
          <w:lang w:val="en-GB"/>
        </w:rPr>
        <w:t xml:space="preserve"> </w:t>
      </w:r>
      <w:r>
        <w:rPr>
          <w:szCs w:val="18"/>
          <w:lang w:val="en-GB"/>
        </w:rPr>
        <w:t xml:space="preserve">Letter including additional information from the Party concerned, 25 November 2020, </w:t>
      </w:r>
      <w:r w:rsidRPr="00F861B9">
        <w:rPr>
          <w:szCs w:val="18"/>
          <w:lang w:val="en-GB"/>
        </w:rPr>
        <w:t>p. 2.</w:t>
      </w:r>
    </w:p>
  </w:footnote>
  <w:footnote w:id="74">
    <w:p w14:paraId="5EB20E12" w14:textId="3A7BC3D6"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4.</w:t>
      </w:r>
    </w:p>
  </w:footnote>
  <w:footnote w:id="75">
    <w:p w14:paraId="3ED2B00D" w14:textId="109CA4C5"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pp. 4-5.</w:t>
      </w:r>
    </w:p>
  </w:footnote>
  <w:footnote w:id="76">
    <w:p w14:paraId="4A1CCE78" w14:textId="58520B1F"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pp. 4-5.</w:t>
      </w:r>
    </w:p>
  </w:footnote>
  <w:footnote w:id="77">
    <w:p w14:paraId="0F6153AF"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5.</w:t>
      </w:r>
    </w:p>
  </w:footnote>
  <w:footnote w:id="78">
    <w:p w14:paraId="4C19DA4F" w14:textId="77777777"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5.</w:t>
      </w:r>
    </w:p>
  </w:footnote>
  <w:footnote w:id="79">
    <w:p w14:paraId="0506EE5D" w14:textId="33D0D0D5"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5, </w:t>
      </w:r>
      <w:proofErr w:type="spellStart"/>
      <w:r w:rsidRPr="00576BD9">
        <w:rPr>
          <w:szCs w:val="18"/>
          <w:lang w:val="fr-CH"/>
        </w:rPr>
        <w:t>citing</w:t>
      </w:r>
      <w:proofErr w:type="spellEnd"/>
      <w:r w:rsidRPr="00576BD9">
        <w:rPr>
          <w:szCs w:val="18"/>
          <w:lang w:val="fr-CH"/>
        </w:rPr>
        <w:t xml:space="preserve"> the </w:t>
      </w:r>
      <w:proofErr w:type="spellStart"/>
      <w:r w:rsidRPr="00576BD9">
        <w:rPr>
          <w:szCs w:val="18"/>
          <w:lang w:val="fr-CH"/>
        </w:rPr>
        <w:t>Implementation</w:t>
      </w:r>
      <w:proofErr w:type="spellEnd"/>
      <w:r w:rsidRPr="00576BD9">
        <w:rPr>
          <w:szCs w:val="18"/>
          <w:lang w:val="fr-CH"/>
        </w:rPr>
        <w:t xml:space="preserve"> Guide, p. 59.</w:t>
      </w:r>
    </w:p>
  </w:footnote>
  <w:footnote w:id="80">
    <w:p w14:paraId="518EA33B" w14:textId="0F0617F5"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5.</w:t>
      </w:r>
    </w:p>
  </w:footnote>
  <w:footnote w:id="81">
    <w:p w14:paraId="05661C27" w14:textId="53C85735"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5.</w:t>
      </w:r>
    </w:p>
  </w:footnote>
  <w:footnote w:id="82">
    <w:p w14:paraId="6157FCF1" w14:textId="23AE9CB8" w:rsidR="004C16CA" w:rsidRPr="00576BD9" w:rsidRDefault="004C16CA" w:rsidP="00412FE4">
      <w:pPr>
        <w:pStyle w:val="FootnoteText"/>
        <w:tabs>
          <w:tab w:val="clear" w:pos="1021"/>
          <w:tab w:val="right" w:pos="709"/>
        </w:tabs>
        <w:adjustRightInd w:val="0"/>
        <w:ind w:firstLine="0"/>
        <w:contextualSpacing/>
        <w:jc w:val="both"/>
        <w:rPr>
          <w:szCs w:val="18"/>
          <w:lang w:val="fr-CH"/>
        </w:rPr>
      </w:pPr>
      <w:r w:rsidRPr="00F861B9">
        <w:rPr>
          <w:rStyle w:val="FootnoteReference"/>
          <w:szCs w:val="18"/>
          <w:lang w:val="en-GB"/>
        </w:rPr>
        <w:footnoteRef/>
      </w:r>
      <w:r w:rsidRPr="00576BD9">
        <w:rPr>
          <w:szCs w:val="18"/>
          <w:lang w:val="fr-CH"/>
        </w:rPr>
        <w:t xml:space="preserve"> Communication, p. 5.</w:t>
      </w:r>
    </w:p>
  </w:footnote>
  <w:footnote w:id="83">
    <w:p w14:paraId="48918A95" w14:textId="4F303EA0" w:rsidR="004C16CA" w:rsidRPr="00BF27CD" w:rsidRDefault="004C16CA" w:rsidP="00412FE4">
      <w:pPr>
        <w:pStyle w:val="FootnoteText"/>
        <w:tabs>
          <w:tab w:val="clear" w:pos="1021"/>
          <w:tab w:val="right" w:pos="709"/>
        </w:tabs>
        <w:adjustRightInd w:val="0"/>
        <w:ind w:firstLine="0"/>
        <w:contextualSpacing/>
        <w:jc w:val="both"/>
        <w:rPr>
          <w:lang w:val="fr-CH"/>
        </w:rPr>
      </w:pPr>
      <w:r w:rsidRPr="00F861B9">
        <w:rPr>
          <w:rStyle w:val="FootnoteReference"/>
          <w:szCs w:val="18"/>
          <w:lang w:val="en-GB"/>
        </w:rPr>
        <w:footnoteRef/>
      </w:r>
      <w:r w:rsidRPr="00BF27CD">
        <w:rPr>
          <w:lang w:val="fr-CH"/>
        </w:rPr>
        <w:t xml:space="preserve"> </w:t>
      </w:r>
      <w:proofErr w:type="spellStart"/>
      <w:r w:rsidRPr="00BF27CD">
        <w:rPr>
          <w:lang w:val="fr-CH"/>
        </w:rPr>
        <w:t>Party’s</w:t>
      </w:r>
      <w:proofErr w:type="spellEnd"/>
      <w:r w:rsidRPr="00BF27CD">
        <w:rPr>
          <w:lang w:val="fr-CH"/>
        </w:rPr>
        <w:t xml:space="preserve"> </w:t>
      </w:r>
      <w:proofErr w:type="spellStart"/>
      <w:r w:rsidRPr="00BF27CD">
        <w:rPr>
          <w:lang w:val="fr-CH"/>
        </w:rPr>
        <w:t>response</w:t>
      </w:r>
      <w:proofErr w:type="spellEnd"/>
      <w:r w:rsidRPr="00BF27CD">
        <w:rPr>
          <w:lang w:val="fr-CH"/>
        </w:rPr>
        <w:t xml:space="preserve"> to the communication, p. 2.</w:t>
      </w:r>
    </w:p>
  </w:footnote>
  <w:footnote w:id="84">
    <w:p w14:paraId="72AA4155" w14:textId="77777777" w:rsidR="004C16CA" w:rsidRPr="00F861B9" w:rsidRDefault="004C16CA" w:rsidP="00C32C75">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Party’s response to the communication, p. 2.</w:t>
      </w:r>
    </w:p>
  </w:footnote>
  <w:footnote w:id="85">
    <w:p w14:paraId="08994B06" w14:textId="77777777" w:rsidR="004C16CA" w:rsidRPr="00F861B9" w:rsidRDefault="004C16CA" w:rsidP="00C32C75">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Party’s response to the communication, p. 2.</w:t>
      </w:r>
    </w:p>
  </w:footnote>
  <w:footnote w:id="86">
    <w:p w14:paraId="7BDFE371" w14:textId="77777777" w:rsidR="004C16CA" w:rsidRPr="00F861B9" w:rsidRDefault="004C16CA" w:rsidP="00C32C75">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Party’s response to the communication, p. 2.</w:t>
      </w:r>
    </w:p>
  </w:footnote>
  <w:footnote w:id="87">
    <w:p w14:paraId="4665E213" w14:textId="77777777" w:rsidR="004C16CA" w:rsidRPr="00F861B9" w:rsidRDefault="004C16CA" w:rsidP="005361F1">
      <w:pPr>
        <w:pStyle w:val="FootnoteText"/>
        <w:adjustRightInd w:val="0"/>
        <w:ind w:left="2268"/>
        <w:contextualSpacing/>
        <w:rPr>
          <w:lang w:val="en-GB"/>
        </w:rPr>
      </w:pPr>
      <w:r w:rsidRPr="00F861B9">
        <w:rPr>
          <w:rStyle w:val="FootnoteReference"/>
          <w:lang w:val="en-GB"/>
        </w:rPr>
        <w:footnoteRef/>
      </w:r>
      <w:r w:rsidRPr="00F861B9">
        <w:rPr>
          <w:lang w:val="en-GB"/>
        </w:rPr>
        <w:t xml:space="preserve"> Party</w:t>
      </w:r>
      <w:r>
        <w:rPr>
          <w:lang w:val="en-GB"/>
        </w:rPr>
        <w:t>’s</w:t>
      </w:r>
      <w:r w:rsidRPr="00F861B9">
        <w:rPr>
          <w:lang w:val="en-GB"/>
        </w:rPr>
        <w:t xml:space="preserve"> reply to </w:t>
      </w:r>
      <w:r>
        <w:rPr>
          <w:lang w:val="en-GB"/>
        </w:rPr>
        <w:t xml:space="preserve">the </w:t>
      </w:r>
      <w:r w:rsidRPr="00F861B9">
        <w:rPr>
          <w:lang w:val="en-GB"/>
        </w:rPr>
        <w:t>Committee’s questions</w:t>
      </w:r>
      <w:r>
        <w:rPr>
          <w:lang w:val="en-GB"/>
        </w:rPr>
        <w:t>,</w:t>
      </w:r>
      <w:r w:rsidRPr="00F861B9">
        <w:rPr>
          <w:lang w:val="en-GB"/>
        </w:rPr>
        <w:t xml:space="preserve"> 6 July 2020, p. 5.</w:t>
      </w:r>
    </w:p>
  </w:footnote>
  <w:footnote w:id="88">
    <w:p w14:paraId="0F3D9C39" w14:textId="77777777" w:rsidR="004C16CA" w:rsidRPr="00F861B9" w:rsidRDefault="004C16CA" w:rsidP="006908CE">
      <w:pPr>
        <w:pStyle w:val="FootnoteText"/>
        <w:adjustRightInd w:val="0"/>
        <w:ind w:left="2268"/>
        <w:contextualSpacing/>
        <w:rPr>
          <w:lang w:val="en-GB"/>
        </w:rPr>
      </w:pPr>
      <w:r w:rsidRPr="00F861B9">
        <w:rPr>
          <w:rStyle w:val="FootnoteReference"/>
          <w:lang w:val="en-GB"/>
        </w:rPr>
        <w:footnoteRef/>
      </w:r>
      <w:r w:rsidRPr="00F861B9">
        <w:rPr>
          <w:lang w:val="en-GB"/>
        </w:rPr>
        <w:t xml:space="preserve"> Party</w:t>
      </w:r>
      <w:r>
        <w:rPr>
          <w:lang w:val="en-GB"/>
        </w:rPr>
        <w:t xml:space="preserve">’s </w:t>
      </w:r>
      <w:r w:rsidRPr="00F861B9">
        <w:rPr>
          <w:lang w:val="en-GB"/>
        </w:rPr>
        <w:t>reply to</w:t>
      </w:r>
      <w:r>
        <w:rPr>
          <w:lang w:val="en-GB"/>
        </w:rPr>
        <w:t xml:space="preserve"> the</w:t>
      </w:r>
      <w:r w:rsidRPr="00F861B9">
        <w:rPr>
          <w:lang w:val="en-GB"/>
        </w:rPr>
        <w:t xml:space="preserve"> Committee’s questions, </w:t>
      </w:r>
      <w:r>
        <w:rPr>
          <w:lang w:val="en-GB"/>
        </w:rPr>
        <w:t xml:space="preserve">6 July 2020, </w:t>
      </w:r>
      <w:r w:rsidRPr="00F861B9">
        <w:rPr>
          <w:lang w:val="en-GB"/>
        </w:rPr>
        <w:t>p. 5.</w:t>
      </w:r>
    </w:p>
  </w:footnote>
  <w:footnote w:id="89">
    <w:p w14:paraId="0CDBB351" w14:textId="638574C5" w:rsidR="004C16CA" w:rsidRPr="00EE18D0" w:rsidRDefault="004C16CA" w:rsidP="006576CC">
      <w:pPr>
        <w:pStyle w:val="FootnoteText"/>
        <w:ind w:left="2268"/>
        <w:rPr>
          <w:lang w:val="en-GB"/>
        </w:rPr>
      </w:pPr>
      <w:r>
        <w:rPr>
          <w:rStyle w:val="FootnoteReference"/>
        </w:rPr>
        <w:footnoteRef/>
      </w:r>
      <w:r>
        <w:t xml:space="preserve"> </w:t>
      </w:r>
      <w:r>
        <w:rPr>
          <w:lang w:val="en-GB"/>
        </w:rPr>
        <w:t>Letter from the Party, 25 November 2020, p. 1.</w:t>
      </w:r>
    </w:p>
  </w:footnote>
  <w:footnote w:id="90">
    <w:p w14:paraId="555C499E" w14:textId="77777777" w:rsidR="004C16CA" w:rsidRPr="00F861B9" w:rsidRDefault="004C16CA" w:rsidP="00412FE4">
      <w:pPr>
        <w:pStyle w:val="FootnoteText"/>
        <w:tabs>
          <w:tab w:val="clear" w:pos="1021"/>
          <w:tab w:val="right" w:pos="709"/>
        </w:tabs>
        <w:adjustRightInd w:val="0"/>
        <w:ind w:firstLine="0"/>
        <w:contextualSpacing/>
        <w:jc w:val="both"/>
        <w:rPr>
          <w:szCs w:val="18"/>
          <w:lang w:val="en-GB"/>
        </w:rPr>
      </w:pPr>
      <w:r w:rsidRPr="00F861B9">
        <w:rPr>
          <w:rStyle w:val="FootnoteReference"/>
          <w:szCs w:val="18"/>
          <w:lang w:val="en-GB"/>
        </w:rPr>
        <w:footnoteRef/>
      </w:r>
      <w:r w:rsidRPr="00F861B9">
        <w:rPr>
          <w:szCs w:val="18"/>
          <w:lang w:val="en-GB"/>
        </w:rPr>
        <w:t xml:space="preserve"> Party’s response to the communication, p. 2.</w:t>
      </w:r>
    </w:p>
  </w:footnote>
  <w:footnote w:id="91">
    <w:p w14:paraId="38EF1361" w14:textId="77777777" w:rsidR="004C16CA" w:rsidRPr="002C3F14" w:rsidRDefault="004C16CA" w:rsidP="0069410F">
      <w:pPr>
        <w:pStyle w:val="FootnoteText"/>
        <w:ind w:left="2268"/>
        <w:rPr>
          <w:lang w:val="en-GB"/>
        </w:rPr>
      </w:pPr>
      <w:r>
        <w:rPr>
          <w:rStyle w:val="FootnoteReference"/>
        </w:rPr>
        <w:footnoteRef/>
      </w:r>
      <w:r>
        <w:t xml:space="preserve"> </w:t>
      </w:r>
      <w:r>
        <w:rPr>
          <w:lang w:val="en-GB"/>
        </w:rPr>
        <w:t>Preamble, paragraph 7.</w:t>
      </w:r>
    </w:p>
  </w:footnote>
  <w:footnote w:id="92">
    <w:p w14:paraId="46C74E7F" w14:textId="77777777" w:rsidR="004C16CA" w:rsidRPr="009C72AA" w:rsidRDefault="004C16CA" w:rsidP="0069410F">
      <w:pPr>
        <w:pStyle w:val="FootnoteText"/>
        <w:ind w:left="2268"/>
        <w:rPr>
          <w:lang w:val="en-GB"/>
        </w:rPr>
      </w:pPr>
      <w:r>
        <w:rPr>
          <w:rStyle w:val="FootnoteReference"/>
        </w:rPr>
        <w:footnoteRef/>
      </w:r>
      <w:r>
        <w:t xml:space="preserve"> </w:t>
      </w:r>
      <w:r>
        <w:rPr>
          <w:lang w:val="en-GB"/>
        </w:rPr>
        <w:t>Preamble, paragraph 7.</w:t>
      </w:r>
    </w:p>
  </w:footnote>
  <w:footnote w:id="93">
    <w:p w14:paraId="25319964" w14:textId="05A806E1" w:rsidR="004C16CA" w:rsidRPr="001E5885" w:rsidRDefault="004C16CA" w:rsidP="005A2F85">
      <w:pPr>
        <w:pStyle w:val="FootnoteText"/>
        <w:ind w:left="2268"/>
        <w:rPr>
          <w:lang w:val="en-GB"/>
        </w:rPr>
      </w:pPr>
      <w:r>
        <w:rPr>
          <w:rStyle w:val="FootnoteReference"/>
        </w:rPr>
        <w:footnoteRef/>
      </w:r>
      <w:r>
        <w:t xml:space="preserve"> </w:t>
      </w:r>
      <w:r>
        <w:rPr>
          <w:lang w:val="en-GB"/>
        </w:rPr>
        <w:t>Preamble, paragraph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DF41" w14:textId="77777777" w:rsidR="004C16CA" w:rsidRPr="00F56A6B" w:rsidRDefault="004C16CA" w:rsidP="003E5A96">
    <w:pPr>
      <w:pStyle w:val="Header"/>
      <w:jc w:val="right"/>
    </w:pPr>
    <w:r>
      <w:rPr>
        <w:b w:val="0"/>
      </w:rPr>
      <w:t>ACCC/C/2012/77 (United Kingdom)</w:t>
    </w:r>
  </w:p>
  <w:p w14:paraId="54ED0B08" w14:textId="77777777" w:rsidR="004C16CA" w:rsidRDefault="004C16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022F" w14:textId="07CE5EC4" w:rsidR="004C16CA" w:rsidRDefault="004C16CA" w:rsidP="004D35BB">
    <w:pPr>
      <w:pStyle w:val="Header"/>
      <w:jc w:val="right"/>
    </w:pPr>
    <w:r>
      <w:rPr>
        <w:b w:val="0"/>
      </w:rPr>
      <w:t>ACCC/C/2017/147 (Republic of Moldova)</w:t>
    </w:r>
  </w:p>
  <w:p w14:paraId="1CE1AF06" w14:textId="4A4582F2" w:rsidR="004C16CA" w:rsidRDefault="004C16CA" w:rsidP="004D35BB">
    <w:pPr>
      <w:pStyle w:val="Header"/>
      <w:jc w:val="right"/>
      <w:rPr>
        <w:b w:val="0"/>
      </w:rPr>
    </w:pPr>
    <w:r>
      <w:rPr>
        <w:b w:val="0"/>
      </w:rPr>
      <w:t xml:space="preserve">Draft findings for </w:t>
    </w:r>
    <w:r w:rsidR="00FE4B28">
      <w:rPr>
        <w:b w:val="0"/>
      </w:rPr>
      <w:t>parties’ comments</w:t>
    </w:r>
  </w:p>
  <w:p w14:paraId="69C0F95A" w14:textId="77777777" w:rsidR="004C16CA" w:rsidRDefault="004C16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7149" w14:textId="77777777" w:rsidR="004C16CA" w:rsidRPr="00E32978" w:rsidRDefault="004C16CA" w:rsidP="00E32978">
    <w:pPr>
      <w:pStyle w:val="Header"/>
      <w:jc w:val="right"/>
      <w:rPr>
        <w:b w:val="0"/>
      </w:rPr>
    </w:pPr>
    <w:r>
      <w:rPr>
        <w:b w:val="0"/>
      </w:rPr>
      <w:t>ACCC/C/2014/104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7E7"/>
    <w:multiLevelType w:val="hybridMultilevel"/>
    <w:tmpl w:val="AE849124"/>
    <w:lvl w:ilvl="0" w:tplc="36B8825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15:restartNumberingAfterBreak="0">
    <w:nsid w:val="047654B6"/>
    <w:multiLevelType w:val="hybridMultilevel"/>
    <w:tmpl w:val="74EAA88A"/>
    <w:lvl w:ilvl="0" w:tplc="5ED0E2E2">
      <w:numFmt w:val="bullet"/>
      <w:lvlText w:val="-"/>
      <w:lvlJc w:val="left"/>
      <w:pPr>
        <w:ind w:left="2244" w:hanging="360"/>
      </w:pPr>
      <w:rPr>
        <w:rFonts w:ascii="Times New Roman" w:eastAsia="Times New Roman" w:hAnsi="Times New Roman" w:cs="Times New Roman" w:hint="default"/>
      </w:rPr>
    </w:lvl>
    <w:lvl w:ilvl="1" w:tplc="08090003" w:tentative="1">
      <w:start w:val="1"/>
      <w:numFmt w:val="bullet"/>
      <w:lvlText w:val="o"/>
      <w:lvlJc w:val="left"/>
      <w:pPr>
        <w:ind w:left="2964" w:hanging="360"/>
      </w:pPr>
      <w:rPr>
        <w:rFonts w:ascii="Courier New" w:hAnsi="Courier New" w:cs="Courier New" w:hint="default"/>
      </w:rPr>
    </w:lvl>
    <w:lvl w:ilvl="2" w:tplc="08090005" w:tentative="1">
      <w:start w:val="1"/>
      <w:numFmt w:val="bullet"/>
      <w:lvlText w:val=""/>
      <w:lvlJc w:val="left"/>
      <w:pPr>
        <w:ind w:left="3684" w:hanging="360"/>
      </w:pPr>
      <w:rPr>
        <w:rFonts w:ascii="Wingdings" w:hAnsi="Wingdings" w:hint="default"/>
      </w:rPr>
    </w:lvl>
    <w:lvl w:ilvl="3" w:tplc="08090001" w:tentative="1">
      <w:start w:val="1"/>
      <w:numFmt w:val="bullet"/>
      <w:lvlText w:val=""/>
      <w:lvlJc w:val="left"/>
      <w:pPr>
        <w:ind w:left="4404" w:hanging="360"/>
      </w:pPr>
      <w:rPr>
        <w:rFonts w:ascii="Symbol" w:hAnsi="Symbol" w:hint="default"/>
      </w:rPr>
    </w:lvl>
    <w:lvl w:ilvl="4" w:tplc="08090003" w:tentative="1">
      <w:start w:val="1"/>
      <w:numFmt w:val="bullet"/>
      <w:lvlText w:val="o"/>
      <w:lvlJc w:val="left"/>
      <w:pPr>
        <w:ind w:left="5124" w:hanging="360"/>
      </w:pPr>
      <w:rPr>
        <w:rFonts w:ascii="Courier New" w:hAnsi="Courier New" w:cs="Courier New" w:hint="default"/>
      </w:rPr>
    </w:lvl>
    <w:lvl w:ilvl="5" w:tplc="08090005" w:tentative="1">
      <w:start w:val="1"/>
      <w:numFmt w:val="bullet"/>
      <w:lvlText w:val=""/>
      <w:lvlJc w:val="left"/>
      <w:pPr>
        <w:ind w:left="5844" w:hanging="360"/>
      </w:pPr>
      <w:rPr>
        <w:rFonts w:ascii="Wingdings" w:hAnsi="Wingdings" w:hint="default"/>
      </w:rPr>
    </w:lvl>
    <w:lvl w:ilvl="6" w:tplc="08090001" w:tentative="1">
      <w:start w:val="1"/>
      <w:numFmt w:val="bullet"/>
      <w:lvlText w:val=""/>
      <w:lvlJc w:val="left"/>
      <w:pPr>
        <w:ind w:left="6564" w:hanging="360"/>
      </w:pPr>
      <w:rPr>
        <w:rFonts w:ascii="Symbol" w:hAnsi="Symbol" w:hint="default"/>
      </w:rPr>
    </w:lvl>
    <w:lvl w:ilvl="7" w:tplc="08090003" w:tentative="1">
      <w:start w:val="1"/>
      <w:numFmt w:val="bullet"/>
      <w:lvlText w:val="o"/>
      <w:lvlJc w:val="left"/>
      <w:pPr>
        <w:ind w:left="7284" w:hanging="360"/>
      </w:pPr>
      <w:rPr>
        <w:rFonts w:ascii="Courier New" w:hAnsi="Courier New" w:cs="Courier New" w:hint="default"/>
      </w:rPr>
    </w:lvl>
    <w:lvl w:ilvl="8" w:tplc="08090005" w:tentative="1">
      <w:start w:val="1"/>
      <w:numFmt w:val="bullet"/>
      <w:lvlText w:val=""/>
      <w:lvlJc w:val="left"/>
      <w:pPr>
        <w:ind w:left="8004" w:hanging="360"/>
      </w:pPr>
      <w:rPr>
        <w:rFonts w:ascii="Wingdings" w:hAnsi="Wingdings" w:hint="default"/>
      </w:rPr>
    </w:lvl>
  </w:abstractNum>
  <w:abstractNum w:abstractNumId="2" w15:restartNumberingAfterBreak="0">
    <w:nsid w:val="048A4B8E"/>
    <w:multiLevelType w:val="hybridMultilevel"/>
    <w:tmpl w:val="1C4A8768"/>
    <w:lvl w:ilvl="0" w:tplc="324A934E">
      <w:start w:val="1"/>
      <w:numFmt w:val="lowerLetter"/>
      <w:lvlText w:val="(%1)"/>
      <w:lvlJc w:val="left"/>
      <w:pPr>
        <w:ind w:left="2626" w:hanging="360"/>
      </w:pPr>
      <w:rPr>
        <w:rFonts w:ascii="Times New Roman" w:eastAsia="Times New Roman" w:hAnsi="Times New Roman" w:cs="Times New Roman"/>
        <w:sz w:val="20"/>
        <w:szCs w:val="20"/>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3" w15:restartNumberingAfterBreak="0">
    <w:nsid w:val="0C3576CC"/>
    <w:multiLevelType w:val="hybridMultilevel"/>
    <w:tmpl w:val="FFC6D392"/>
    <w:lvl w:ilvl="0" w:tplc="A68239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0A37571"/>
    <w:multiLevelType w:val="hybridMultilevel"/>
    <w:tmpl w:val="9288F66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1D37C81"/>
    <w:multiLevelType w:val="hybridMultilevel"/>
    <w:tmpl w:val="E59AE5E8"/>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147F0BE8"/>
    <w:multiLevelType w:val="hybridMultilevel"/>
    <w:tmpl w:val="DE3C4D18"/>
    <w:lvl w:ilvl="0" w:tplc="11BCA316">
      <w:start w:val="1"/>
      <w:numFmt w:val="bullet"/>
      <w:lvlText w:val=""/>
      <w:lvlJc w:val="left"/>
      <w:pPr>
        <w:ind w:left="2421" w:hanging="360"/>
      </w:pPr>
      <w:rPr>
        <w:rFonts w:ascii="Symbol" w:hAnsi="Symbol" w:hint="default"/>
        <w:sz w:val="20"/>
        <w:szCs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60E4AC4"/>
    <w:multiLevelType w:val="hybridMultilevel"/>
    <w:tmpl w:val="EC40E35C"/>
    <w:lvl w:ilvl="0" w:tplc="EF0A024E">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2EA3FC">
      <w:start w:val="3"/>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80348">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C4577C">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6099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20C34">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72A614">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8027A">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3CE8E6">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A135F"/>
    <w:multiLevelType w:val="hybridMultilevel"/>
    <w:tmpl w:val="3E662E3E"/>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19B61971"/>
    <w:multiLevelType w:val="hybridMultilevel"/>
    <w:tmpl w:val="526C66E4"/>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1AF01710"/>
    <w:multiLevelType w:val="hybridMultilevel"/>
    <w:tmpl w:val="D71A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06651"/>
    <w:multiLevelType w:val="hybridMultilevel"/>
    <w:tmpl w:val="A4584A5A"/>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21C369C0"/>
    <w:multiLevelType w:val="hybridMultilevel"/>
    <w:tmpl w:val="A4A268EA"/>
    <w:lvl w:ilvl="0" w:tplc="6A0A77DE">
      <w:start w:val="1"/>
      <w:numFmt w:val="lowerLetter"/>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5A30D86"/>
    <w:multiLevelType w:val="hybridMultilevel"/>
    <w:tmpl w:val="9870AD08"/>
    <w:lvl w:ilvl="0" w:tplc="D24AED4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35523F56"/>
    <w:multiLevelType w:val="hybridMultilevel"/>
    <w:tmpl w:val="77069098"/>
    <w:lvl w:ilvl="0" w:tplc="D66C7A76">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8" w15:restartNumberingAfterBreak="0">
    <w:nsid w:val="3B457425"/>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3D6F1705"/>
    <w:multiLevelType w:val="hybridMultilevel"/>
    <w:tmpl w:val="797ADB14"/>
    <w:lvl w:ilvl="0" w:tplc="3F121630">
      <w:start w:val="1"/>
      <w:numFmt w:val="lowerLetter"/>
      <w:lvlText w:val="(%1)"/>
      <w:lvlJc w:val="left"/>
      <w:pPr>
        <w:ind w:left="2071" w:hanging="360"/>
      </w:pPr>
      <w:rPr>
        <w:rFonts w:ascii="Times New Roman" w:eastAsia="Times New Roman" w:hAnsi="Times New Roman" w:cs="Times New Roman"/>
      </w:rPr>
    </w:lvl>
    <w:lvl w:ilvl="1" w:tplc="08090019" w:tentative="1">
      <w:start w:val="1"/>
      <w:numFmt w:val="lowerLetter"/>
      <w:lvlText w:val="%2."/>
      <w:lvlJc w:val="left"/>
      <w:pPr>
        <w:ind w:left="2791" w:hanging="360"/>
      </w:pPr>
    </w:lvl>
    <w:lvl w:ilvl="2" w:tplc="0809001B" w:tentative="1">
      <w:start w:val="1"/>
      <w:numFmt w:val="lowerRoman"/>
      <w:lvlText w:val="%3."/>
      <w:lvlJc w:val="right"/>
      <w:pPr>
        <w:ind w:left="3511" w:hanging="180"/>
      </w:pPr>
    </w:lvl>
    <w:lvl w:ilvl="3" w:tplc="0809000F" w:tentative="1">
      <w:start w:val="1"/>
      <w:numFmt w:val="decimal"/>
      <w:lvlText w:val="%4."/>
      <w:lvlJc w:val="left"/>
      <w:pPr>
        <w:ind w:left="4231" w:hanging="360"/>
      </w:pPr>
    </w:lvl>
    <w:lvl w:ilvl="4" w:tplc="08090019" w:tentative="1">
      <w:start w:val="1"/>
      <w:numFmt w:val="lowerLetter"/>
      <w:lvlText w:val="%5."/>
      <w:lvlJc w:val="left"/>
      <w:pPr>
        <w:ind w:left="4951" w:hanging="360"/>
      </w:pPr>
    </w:lvl>
    <w:lvl w:ilvl="5" w:tplc="0809001B" w:tentative="1">
      <w:start w:val="1"/>
      <w:numFmt w:val="lowerRoman"/>
      <w:lvlText w:val="%6."/>
      <w:lvlJc w:val="right"/>
      <w:pPr>
        <w:ind w:left="5671" w:hanging="180"/>
      </w:pPr>
    </w:lvl>
    <w:lvl w:ilvl="6" w:tplc="0809000F" w:tentative="1">
      <w:start w:val="1"/>
      <w:numFmt w:val="decimal"/>
      <w:lvlText w:val="%7."/>
      <w:lvlJc w:val="left"/>
      <w:pPr>
        <w:ind w:left="6391" w:hanging="360"/>
      </w:pPr>
    </w:lvl>
    <w:lvl w:ilvl="7" w:tplc="08090019" w:tentative="1">
      <w:start w:val="1"/>
      <w:numFmt w:val="lowerLetter"/>
      <w:lvlText w:val="%8."/>
      <w:lvlJc w:val="left"/>
      <w:pPr>
        <w:ind w:left="7111" w:hanging="360"/>
      </w:pPr>
    </w:lvl>
    <w:lvl w:ilvl="8" w:tplc="0809001B" w:tentative="1">
      <w:start w:val="1"/>
      <w:numFmt w:val="lowerRoman"/>
      <w:lvlText w:val="%9."/>
      <w:lvlJc w:val="right"/>
      <w:pPr>
        <w:ind w:left="7831" w:hanging="180"/>
      </w:pPr>
    </w:lvl>
  </w:abstractNum>
  <w:abstractNum w:abstractNumId="20" w15:restartNumberingAfterBreak="0">
    <w:nsid w:val="415B04D8"/>
    <w:multiLevelType w:val="hybridMultilevel"/>
    <w:tmpl w:val="D80842CA"/>
    <w:lvl w:ilvl="0" w:tplc="C820256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1645A09"/>
    <w:multiLevelType w:val="hybridMultilevel"/>
    <w:tmpl w:val="F522BB0C"/>
    <w:lvl w:ilvl="0" w:tplc="BF769B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54472ED"/>
    <w:multiLevelType w:val="hybridMultilevel"/>
    <w:tmpl w:val="B1686622"/>
    <w:lvl w:ilvl="0" w:tplc="0E16AE50">
      <w:start w:val="1"/>
      <w:numFmt w:val="upperLetter"/>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80F267E"/>
    <w:multiLevelType w:val="hybridMultilevel"/>
    <w:tmpl w:val="33140FFE"/>
    <w:lvl w:ilvl="0" w:tplc="ADAE61F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15:restartNumberingAfterBreak="0">
    <w:nsid w:val="4C115F48"/>
    <w:multiLevelType w:val="hybridMultilevel"/>
    <w:tmpl w:val="4AD2C896"/>
    <w:lvl w:ilvl="0" w:tplc="1CF42F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51270"/>
    <w:multiLevelType w:val="multilevel"/>
    <w:tmpl w:val="77989E90"/>
    <w:lvl w:ilvl="0">
      <w:start w:val="1"/>
      <w:numFmt w:val="decimal"/>
      <w:lvlText w:val="%1."/>
      <w:lvlJc w:val="left"/>
      <w:pPr>
        <w:tabs>
          <w:tab w:val="num" w:pos="1569"/>
        </w:tabs>
        <w:ind w:left="1569" w:hanging="576"/>
      </w:pPr>
      <w:rPr>
        <w:rFonts w:hint="default"/>
        <w:lang w:val="en-GB"/>
      </w:rPr>
    </w:lvl>
    <w:lvl w:ilvl="1">
      <w:start w:val="1"/>
      <w:numFmt w:val="bullet"/>
      <w:lvlText w:val=""/>
      <w:lvlJc w:val="left"/>
      <w:pPr>
        <w:tabs>
          <w:tab w:val="num" w:pos="2574"/>
        </w:tabs>
        <w:ind w:left="2574" w:hanging="720"/>
      </w:pPr>
      <w:rPr>
        <w:rFonts w:ascii="Symbol" w:hAnsi="Symbol" w:hint="default"/>
        <w:sz w:val="20"/>
        <w:szCs w:val="20"/>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7" w15:restartNumberingAfterBreak="0">
    <w:nsid w:val="52484CE5"/>
    <w:multiLevelType w:val="hybridMultilevel"/>
    <w:tmpl w:val="A7304DD8"/>
    <w:lvl w:ilvl="0" w:tplc="0410000F">
      <w:start w:val="1"/>
      <w:numFmt w:val="decimal"/>
      <w:lvlText w:val="%1."/>
      <w:lvlJc w:val="left"/>
      <w:pPr>
        <w:tabs>
          <w:tab w:val="num" w:pos="1659"/>
        </w:tabs>
        <w:ind w:left="1659" w:hanging="525"/>
      </w:pPr>
      <w:rPr>
        <w:rFonts w:hint="default"/>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15:restartNumberingAfterBreak="0">
    <w:nsid w:val="52F134BF"/>
    <w:multiLevelType w:val="hybridMultilevel"/>
    <w:tmpl w:val="77989E90"/>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15:restartNumberingAfterBreak="0">
    <w:nsid w:val="531751D3"/>
    <w:multiLevelType w:val="hybridMultilevel"/>
    <w:tmpl w:val="66149DC8"/>
    <w:lvl w:ilvl="0" w:tplc="A84ACA3C">
      <w:start w:val="1"/>
      <w:numFmt w:val="decimal"/>
      <w:lvlText w:val="%1."/>
      <w:lvlJc w:val="left"/>
      <w:pPr>
        <w:tabs>
          <w:tab w:val="num" w:pos="1569"/>
        </w:tabs>
        <w:ind w:left="1569" w:hanging="576"/>
      </w:pPr>
      <w:rPr>
        <w:rFonts w:hint="default"/>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15:restartNumberingAfterBreak="0">
    <w:nsid w:val="54AA48BD"/>
    <w:multiLevelType w:val="hybridMultilevel"/>
    <w:tmpl w:val="73BC77EC"/>
    <w:lvl w:ilvl="0" w:tplc="11BCA316">
      <w:start w:val="1"/>
      <w:numFmt w:val="bullet"/>
      <w:lvlText w:val=""/>
      <w:lvlJc w:val="left"/>
      <w:pPr>
        <w:ind w:left="2421" w:hanging="360"/>
      </w:pPr>
      <w:rPr>
        <w:rFonts w:ascii="Symbol" w:hAnsi="Symbol" w:hint="default"/>
        <w:sz w:val="20"/>
        <w:szCs w:val="20"/>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15:restartNumberingAfterBreak="0">
    <w:nsid w:val="56F3714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587E2623"/>
    <w:multiLevelType w:val="hybridMultilevel"/>
    <w:tmpl w:val="84ECE3A6"/>
    <w:lvl w:ilvl="0" w:tplc="B06A77AA">
      <w:start w:val="1"/>
      <w:numFmt w:val="bullet"/>
      <w:lvlText w:val=""/>
      <w:lvlJc w:val="left"/>
      <w:pPr>
        <w:tabs>
          <w:tab w:val="num" w:pos="1569"/>
        </w:tabs>
        <w:ind w:left="1569" w:hanging="576"/>
      </w:pPr>
      <w:rPr>
        <w:rFonts w:ascii="Symbol" w:hAnsi="Symbol"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4" w15:restartNumberingAfterBreak="0">
    <w:nsid w:val="5C265926"/>
    <w:multiLevelType w:val="hybridMultilevel"/>
    <w:tmpl w:val="2F5E9A92"/>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15:restartNumberingAfterBreak="0">
    <w:nsid w:val="5E732D6A"/>
    <w:multiLevelType w:val="hybridMultilevel"/>
    <w:tmpl w:val="1C203F36"/>
    <w:lvl w:ilvl="0" w:tplc="7340FB0A">
      <w:start w:val="1"/>
      <w:numFmt w:val="decimal"/>
      <w:lvlText w:val="%1."/>
      <w:lvlJc w:val="left"/>
      <w:pPr>
        <w:tabs>
          <w:tab w:val="num" w:pos="1711"/>
        </w:tabs>
        <w:ind w:left="1711" w:hanging="576"/>
      </w:pPr>
      <w:rPr>
        <w:rFonts w:hint="default"/>
        <w:b w:val="0"/>
        <w:i w:val="0"/>
        <w:sz w:val="20"/>
        <w:szCs w:val="20"/>
        <w:vertAlign w:val="baseline"/>
        <w:lang w:val="en-GB"/>
      </w:rPr>
    </w:lvl>
    <w:lvl w:ilvl="1" w:tplc="11BCA316">
      <w:start w:val="1"/>
      <w:numFmt w:val="bullet"/>
      <w:lvlText w:val=""/>
      <w:lvlJc w:val="left"/>
      <w:pPr>
        <w:tabs>
          <w:tab w:val="num" w:pos="2431"/>
        </w:tabs>
        <w:ind w:left="2431" w:hanging="720"/>
      </w:pPr>
      <w:rPr>
        <w:rFonts w:ascii="Symbol" w:hAnsi="Symbol" w:hint="default"/>
        <w:sz w:val="20"/>
        <w:szCs w:val="20"/>
      </w:rPr>
    </w:lvl>
    <w:lvl w:ilvl="2" w:tplc="0409001B">
      <w:start w:val="1"/>
      <w:numFmt w:val="lowerRoman"/>
      <w:lvlText w:val="%3."/>
      <w:lvlJc w:val="right"/>
      <w:pPr>
        <w:tabs>
          <w:tab w:val="num" w:pos="2791"/>
        </w:tabs>
        <w:ind w:left="2791" w:hanging="180"/>
      </w:pPr>
    </w:lvl>
    <w:lvl w:ilvl="3" w:tplc="0409000F" w:tentative="1">
      <w:start w:val="1"/>
      <w:numFmt w:val="decimal"/>
      <w:lvlText w:val="%4."/>
      <w:lvlJc w:val="left"/>
      <w:pPr>
        <w:tabs>
          <w:tab w:val="num" w:pos="3511"/>
        </w:tabs>
        <w:ind w:left="3511" w:hanging="360"/>
      </w:pPr>
    </w:lvl>
    <w:lvl w:ilvl="4" w:tplc="04090019" w:tentative="1">
      <w:start w:val="1"/>
      <w:numFmt w:val="lowerLetter"/>
      <w:lvlText w:val="%5."/>
      <w:lvlJc w:val="left"/>
      <w:pPr>
        <w:tabs>
          <w:tab w:val="num" w:pos="4231"/>
        </w:tabs>
        <w:ind w:left="4231" w:hanging="360"/>
      </w:pPr>
    </w:lvl>
    <w:lvl w:ilvl="5" w:tplc="0409001B" w:tentative="1">
      <w:start w:val="1"/>
      <w:numFmt w:val="lowerRoman"/>
      <w:lvlText w:val="%6."/>
      <w:lvlJc w:val="right"/>
      <w:pPr>
        <w:tabs>
          <w:tab w:val="num" w:pos="4951"/>
        </w:tabs>
        <w:ind w:left="4951" w:hanging="180"/>
      </w:pPr>
    </w:lvl>
    <w:lvl w:ilvl="6" w:tplc="0409000F" w:tentative="1">
      <w:start w:val="1"/>
      <w:numFmt w:val="decimal"/>
      <w:lvlText w:val="%7."/>
      <w:lvlJc w:val="left"/>
      <w:pPr>
        <w:tabs>
          <w:tab w:val="num" w:pos="5671"/>
        </w:tabs>
        <w:ind w:left="5671" w:hanging="360"/>
      </w:pPr>
    </w:lvl>
    <w:lvl w:ilvl="7" w:tplc="04090019" w:tentative="1">
      <w:start w:val="1"/>
      <w:numFmt w:val="lowerLetter"/>
      <w:lvlText w:val="%8."/>
      <w:lvlJc w:val="left"/>
      <w:pPr>
        <w:tabs>
          <w:tab w:val="num" w:pos="6391"/>
        </w:tabs>
        <w:ind w:left="6391" w:hanging="360"/>
      </w:pPr>
    </w:lvl>
    <w:lvl w:ilvl="8" w:tplc="0409001B" w:tentative="1">
      <w:start w:val="1"/>
      <w:numFmt w:val="lowerRoman"/>
      <w:lvlText w:val="%9."/>
      <w:lvlJc w:val="right"/>
      <w:pPr>
        <w:tabs>
          <w:tab w:val="num" w:pos="7111"/>
        </w:tabs>
        <w:ind w:left="7111" w:hanging="180"/>
      </w:pPr>
    </w:lvl>
  </w:abstractNum>
  <w:abstractNum w:abstractNumId="36"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C570E"/>
    <w:multiLevelType w:val="hybridMultilevel"/>
    <w:tmpl w:val="09D0CF52"/>
    <w:lvl w:ilvl="0" w:tplc="08090001">
      <w:start w:val="1"/>
      <w:numFmt w:val="bullet"/>
      <w:lvlText w:val=""/>
      <w:lvlJc w:val="left"/>
      <w:pPr>
        <w:ind w:left="2431" w:hanging="360"/>
      </w:pPr>
      <w:rPr>
        <w:rFonts w:ascii="Symbol" w:hAnsi="Symbol" w:hint="default"/>
      </w:rPr>
    </w:lvl>
    <w:lvl w:ilvl="1" w:tplc="08090003">
      <w:start w:val="1"/>
      <w:numFmt w:val="bullet"/>
      <w:lvlText w:val="o"/>
      <w:lvlJc w:val="left"/>
      <w:pPr>
        <w:ind w:left="3151" w:hanging="360"/>
      </w:pPr>
      <w:rPr>
        <w:rFonts w:ascii="Courier New" w:hAnsi="Courier New" w:cs="Courier New" w:hint="default"/>
      </w:rPr>
    </w:lvl>
    <w:lvl w:ilvl="2" w:tplc="08090005" w:tentative="1">
      <w:start w:val="1"/>
      <w:numFmt w:val="bullet"/>
      <w:lvlText w:val=""/>
      <w:lvlJc w:val="left"/>
      <w:pPr>
        <w:ind w:left="3871" w:hanging="360"/>
      </w:pPr>
      <w:rPr>
        <w:rFonts w:ascii="Wingdings" w:hAnsi="Wingdings" w:hint="default"/>
      </w:rPr>
    </w:lvl>
    <w:lvl w:ilvl="3" w:tplc="08090001" w:tentative="1">
      <w:start w:val="1"/>
      <w:numFmt w:val="bullet"/>
      <w:lvlText w:val=""/>
      <w:lvlJc w:val="left"/>
      <w:pPr>
        <w:ind w:left="4591" w:hanging="360"/>
      </w:pPr>
      <w:rPr>
        <w:rFonts w:ascii="Symbol" w:hAnsi="Symbol" w:hint="default"/>
      </w:rPr>
    </w:lvl>
    <w:lvl w:ilvl="4" w:tplc="08090003" w:tentative="1">
      <w:start w:val="1"/>
      <w:numFmt w:val="bullet"/>
      <w:lvlText w:val="o"/>
      <w:lvlJc w:val="left"/>
      <w:pPr>
        <w:ind w:left="5311" w:hanging="360"/>
      </w:pPr>
      <w:rPr>
        <w:rFonts w:ascii="Courier New" w:hAnsi="Courier New" w:cs="Courier New" w:hint="default"/>
      </w:rPr>
    </w:lvl>
    <w:lvl w:ilvl="5" w:tplc="08090005" w:tentative="1">
      <w:start w:val="1"/>
      <w:numFmt w:val="bullet"/>
      <w:lvlText w:val=""/>
      <w:lvlJc w:val="left"/>
      <w:pPr>
        <w:ind w:left="6031" w:hanging="360"/>
      </w:pPr>
      <w:rPr>
        <w:rFonts w:ascii="Wingdings" w:hAnsi="Wingdings" w:hint="default"/>
      </w:rPr>
    </w:lvl>
    <w:lvl w:ilvl="6" w:tplc="08090001" w:tentative="1">
      <w:start w:val="1"/>
      <w:numFmt w:val="bullet"/>
      <w:lvlText w:val=""/>
      <w:lvlJc w:val="left"/>
      <w:pPr>
        <w:ind w:left="6751" w:hanging="360"/>
      </w:pPr>
      <w:rPr>
        <w:rFonts w:ascii="Symbol" w:hAnsi="Symbol" w:hint="default"/>
      </w:rPr>
    </w:lvl>
    <w:lvl w:ilvl="7" w:tplc="08090003" w:tentative="1">
      <w:start w:val="1"/>
      <w:numFmt w:val="bullet"/>
      <w:lvlText w:val="o"/>
      <w:lvlJc w:val="left"/>
      <w:pPr>
        <w:ind w:left="7471" w:hanging="360"/>
      </w:pPr>
      <w:rPr>
        <w:rFonts w:ascii="Courier New" w:hAnsi="Courier New" w:cs="Courier New" w:hint="default"/>
      </w:rPr>
    </w:lvl>
    <w:lvl w:ilvl="8" w:tplc="08090005" w:tentative="1">
      <w:start w:val="1"/>
      <w:numFmt w:val="bullet"/>
      <w:lvlText w:val=""/>
      <w:lvlJc w:val="left"/>
      <w:pPr>
        <w:ind w:left="8191" w:hanging="360"/>
      </w:pPr>
      <w:rPr>
        <w:rFonts w:ascii="Wingdings" w:hAnsi="Wingdings" w:hint="default"/>
      </w:rPr>
    </w:lvl>
  </w:abstractNum>
  <w:abstractNum w:abstractNumId="39" w15:restartNumberingAfterBreak="0">
    <w:nsid w:val="7079158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0F77FE2"/>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1" w15:restartNumberingAfterBreak="0">
    <w:nsid w:val="72FB45B7"/>
    <w:multiLevelType w:val="hybridMultilevel"/>
    <w:tmpl w:val="5ADE4FD4"/>
    <w:lvl w:ilvl="0" w:tplc="08090001">
      <w:start w:val="1"/>
      <w:numFmt w:val="bullet"/>
      <w:lvlText w:val=""/>
      <w:lvlJc w:val="left"/>
      <w:pPr>
        <w:ind w:left="2964" w:hanging="360"/>
      </w:pPr>
      <w:rPr>
        <w:rFonts w:ascii="Symbol" w:hAnsi="Symbol" w:hint="default"/>
      </w:rPr>
    </w:lvl>
    <w:lvl w:ilvl="1" w:tplc="08090003" w:tentative="1">
      <w:start w:val="1"/>
      <w:numFmt w:val="bullet"/>
      <w:lvlText w:val="o"/>
      <w:lvlJc w:val="left"/>
      <w:pPr>
        <w:ind w:left="3684" w:hanging="360"/>
      </w:pPr>
      <w:rPr>
        <w:rFonts w:ascii="Courier New" w:hAnsi="Courier New" w:cs="Courier New" w:hint="default"/>
      </w:rPr>
    </w:lvl>
    <w:lvl w:ilvl="2" w:tplc="08090005" w:tentative="1">
      <w:start w:val="1"/>
      <w:numFmt w:val="bullet"/>
      <w:lvlText w:val=""/>
      <w:lvlJc w:val="left"/>
      <w:pPr>
        <w:ind w:left="4404" w:hanging="360"/>
      </w:pPr>
      <w:rPr>
        <w:rFonts w:ascii="Wingdings" w:hAnsi="Wingdings" w:hint="default"/>
      </w:rPr>
    </w:lvl>
    <w:lvl w:ilvl="3" w:tplc="08090001" w:tentative="1">
      <w:start w:val="1"/>
      <w:numFmt w:val="bullet"/>
      <w:lvlText w:val=""/>
      <w:lvlJc w:val="left"/>
      <w:pPr>
        <w:ind w:left="5124" w:hanging="360"/>
      </w:pPr>
      <w:rPr>
        <w:rFonts w:ascii="Symbol" w:hAnsi="Symbol" w:hint="default"/>
      </w:rPr>
    </w:lvl>
    <w:lvl w:ilvl="4" w:tplc="08090003" w:tentative="1">
      <w:start w:val="1"/>
      <w:numFmt w:val="bullet"/>
      <w:lvlText w:val="o"/>
      <w:lvlJc w:val="left"/>
      <w:pPr>
        <w:ind w:left="5844" w:hanging="360"/>
      </w:pPr>
      <w:rPr>
        <w:rFonts w:ascii="Courier New" w:hAnsi="Courier New" w:cs="Courier New" w:hint="default"/>
      </w:rPr>
    </w:lvl>
    <w:lvl w:ilvl="5" w:tplc="08090005" w:tentative="1">
      <w:start w:val="1"/>
      <w:numFmt w:val="bullet"/>
      <w:lvlText w:val=""/>
      <w:lvlJc w:val="left"/>
      <w:pPr>
        <w:ind w:left="6564" w:hanging="360"/>
      </w:pPr>
      <w:rPr>
        <w:rFonts w:ascii="Wingdings" w:hAnsi="Wingdings" w:hint="default"/>
      </w:rPr>
    </w:lvl>
    <w:lvl w:ilvl="6" w:tplc="08090001" w:tentative="1">
      <w:start w:val="1"/>
      <w:numFmt w:val="bullet"/>
      <w:lvlText w:val=""/>
      <w:lvlJc w:val="left"/>
      <w:pPr>
        <w:ind w:left="7284" w:hanging="360"/>
      </w:pPr>
      <w:rPr>
        <w:rFonts w:ascii="Symbol" w:hAnsi="Symbol" w:hint="default"/>
      </w:rPr>
    </w:lvl>
    <w:lvl w:ilvl="7" w:tplc="08090003" w:tentative="1">
      <w:start w:val="1"/>
      <w:numFmt w:val="bullet"/>
      <w:lvlText w:val="o"/>
      <w:lvlJc w:val="left"/>
      <w:pPr>
        <w:ind w:left="8004" w:hanging="360"/>
      </w:pPr>
      <w:rPr>
        <w:rFonts w:ascii="Courier New" w:hAnsi="Courier New" w:cs="Courier New" w:hint="default"/>
      </w:rPr>
    </w:lvl>
    <w:lvl w:ilvl="8" w:tplc="08090005" w:tentative="1">
      <w:start w:val="1"/>
      <w:numFmt w:val="bullet"/>
      <w:lvlText w:val=""/>
      <w:lvlJc w:val="left"/>
      <w:pPr>
        <w:ind w:left="8724" w:hanging="360"/>
      </w:pPr>
      <w:rPr>
        <w:rFonts w:ascii="Wingdings" w:hAnsi="Wingdings" w:hint="default"/>
      </w:rPr>
    </w:lvl>
  </w:abstractNum>
  <w:abstractNum w:abstractNumId="42" w15:restartNumberingAfterBreak="0">
    <w:nsid w:val="74E72239"/>
    <w:multiLevelType w:val="hybridMultilevel"/>
    <w:tmpl w:val="8E2CB9B4"/>
    <w:lvl w:ilvl="0" w:tplc="AA565440">
      <w:start w:val="4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856AEE"/>
    <w:multiLevelType w:val="hybridMultilevel"/>
    <w:tmpl w:val="FDA067E0"/>
    <w:lvl w:ilvl="0" w:tplc="A4FE5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E110C"/>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6" w15:restartNumberingAfterBreak="0">
    <w:nsid w:val="7A197560"/>
    <w:multiLevelType w:val="hybridMultilevel"/>
    <w:tmpl w:val="2E445874"/>
    <w:lvl w:ilvl="0" w:tplc="F3B28216">
      <w:start w:val="1"/>
      <w:numFmt w:val="decimal"/>
      <w:lvlText w:val="%1."/>
      <w:lvlJc w:val="left"/>
      <w:pPr>
        <w:tabs>
          <w:tab w:val="num" w:pos="1711"/>
        </w:tabs>
        <w:ind w:left="1711" w:hanging="576"/>
      </w:pPr>
      <w:rPr>
        <w:rFonts w:hint="default"/>
        <w:b w:val="0"/>
        <w:i w:val="0"/>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7" w15:restartNumberingAfterBreak="0">
    <w:nsid w:val="7BB17994"/>
    <w:multiLevelType w:val="hybridMultilevel"/>
    <w:tmpl w:val="5B7041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43"/>
  </w:num>
  <w:num w:numId="3">
    <w:abstractNumId w:val="35"/>
  </w:num>
  <w:num w:numId="4">
    <w:abstractNumId w:val="33"/>
  </w:num>
  <w:num w:numId="5">
    <w:abstractNumId w:val="17"/>
  </w:num>
  <w:num w:numId="6">
    <w:abstractNumId w:val="36"/>
  </w:num>
  <w:num w:numId="7">
    <w:abstractNumId w:val="24"/>
  </w:num>
  <w:num w:numId="8">
    <w:abstractNumId w:val="15"/>
  </w:num>
  <w:num w:numId="9">
    <w:abstractNumId w:val="9"/>
  </w:num>
  <w:num w:numId="10">
    <w:abstractNumId w:val="26"/>
  </w:num>
  <w:num w:numId="11">
    <w:abstractNumId w:val="32"/>
  </w:num>
  <w:num w:numId="12">
    <w:abstractNumId w:val="28"/>
  </w:num>
  <w:num w:numId="13">
    <w:abstractNumId w:val="12"/>
  </w:num>
  <w:num w:numId="14">
    <w:abstractNumId w:val="11"/>
  </w:num>
  <w:num w:numId="15">
    <w:abstractNumId w:val="29"/>
  </w:num>
  <w:num w:numId="16">
    <w:abstractNumId w:val="44"/>
  </w:num>
  <w:num w:numId="17">
    <w:abstractNumId w:val="25"/>
  </w:num>
  <w:num w:numId="18">
    <w:abstractNumId w:val="27"/>
  </w:num>
  <w:num w:numId="19">
    <w:abstractNumId w:val="45"/>
  </w:num>
  <w:num w:numId="20">
    <w:abstractNumId w:val="6"/>
  </w:num>
  <w:num w:numId="21">
    <w:abstractNumId w:val="39"/>
  </w:num>
  <w:num w:numId="22">
    <w:abstractNumId w:val="31"/>
  </w:num>
  <w:num w:numId="23">
    <w:abstractNumId w:val="30"/>
  </w:num>
  <w:num w:numId="24">
    <w:abstractNumId w:val="4"/>
  </w:num>
  <w:num w:numId="25">
    <w:abstractNumId w:val="14"/>
  </w:num>
  <w:num w:numId="26">
    <w:abstractNumId w:val="18"/>
  </w:num>
  <w:num w:numId="27">
    <w:abstractNumId w:val="40"/>
  </w:num>
  <w:num w:numId="28">
    <w:abstractNumId w:val="10"/>
  </w:num>
  <w:num w:numId="29">
    <w:abstractNumId w:val="1"/>
  </w:num>
  <w:num w:numId="30">
    <w:abstractNumId w:val="5"/>
  </w:num>
  <w:num w:numId="31">
    <w:abstractNumId w:val="34"/>
  </w:num>
  <w:num w:numId="32">
    <w:abstractNumId w:val="8"/>
  </w:num>
  <w:num w:numId="33">
    <w:abstractNumId w:val="41"/>
  </w:num>
  <w:num w:numId="34">
    <w:abstractNumId w:val="38"/>
  </w:num>
  <w:num w:numId="35">
    <w:abstractNumId w:val="7"/>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0"/>
  </w:num>
  <w:num w:numId="39">
    <w:abstractNumId w:val="16"/>
  </w:num>
  <w:num w:numId="40">
    <w:abstractNumId w:val="46"/>
  </w:num>
  <w:num w:numId="41">
    <w:abstractNumId w:val="2"/>
  </w:num>
  <w:num w:numId="42">
    <w:abstractNumId w:val="23"/>
  </w:num>
  <w:num w:numId="43">
    <w:abstractNumId w:val="3"/>
  </w:num>
  <w:num w:numId="44">
    <w:abstractNumId w:val="21"/>
  </w:num>
  <w:num w:numId="45">
    <w:abstractNumId w:val="13"/>
  </w:num>
  <w:num w:numId="46">
    <w:abstractNumId w:val="19"/>
  </w:num>
  <w:num w:numId="47">
    <w:abstractNumId w:val="22"/>
  </w:num>
  <w:num w:numId="48">
    <w:abstractNumId w:val="0"/>
  </w:num>
  <w:num w:numId="49">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ar-SA" w:vendorID="64" w:dllVersion="0" w:nlCheck="1" w:checkStyle="0"/>
  <w:activeWritingStyle w:appName="MSWord" w:lang="ar-SA" w:vendorID="64" w:dllVersion="6" w:nlCheck="1" w:checkStyle="0"/>
  <w:activeWritingStyle w:appName="MSWord" w:lang="es-ES" w:vendorID="64" w:dllVersion="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032F"/>
    <w:rsid w:val="00000DBE"/>
    <w:rsid w:val="000013C1"/>
    <w:rsid w:val="00001489"/>
    <w:rsid w:val="00001783"/>
    <w:rsid w:val="0000180D"/>
    <w:rsid w:val="000022C2"/>
    <w:rsid w:val="00002A7D"/>
    <w:rsid w:val="00002E7D"/>
    <w:rsid w:val="0000309E"/>
    <w:rsid w:val="00003653"/>
    <w:rsid w:val="000038A8"/>
    <w:rsid w:val="00003B5C"/>
    <w:rsid w:val="00004967"/>
    <w:rsid w:val="00004FC3"/>
    <w:rsid w:val="0000669F"/>
    <w:rsid w:val="00006790"/>
    <w:rsid w:val="000071C3"/>
    <w:rsid w:val="00010513"/>
    <w:rsid w:val="00010802"/>
    <w:rsid w:val="00010EE6"/>
    <w:rsid w:val="0001122D"/>
    <w:rsid w:val="00011249"/>
    <w:rsid w:val="0001153E"/>
    <w:rsid w:val="00011690"/>
    <w:rsid w:val="00011799"/>
    <w:rsid w:val="00012205"/>
    <w:rsid w:val="0001257F"/>
    <w:rsid w:val="00012CB3"/>
    <w:rsid w:val="00012D3F"/>
    <w:rsid w:val="00012E3A"/>
    <w:rsid w:val="000138B8"/>
    <w:rsid w:val="00014A43"/>
    <w:rsid w:val="00014ABE"/>
    <w:rsid w:val="00015B5A"/>
    <w:rsid w:val="00016049"/>
    <w:rsid w:val="000163E1"/>
    <w:rsid w:val="00016DC3"/>
    <w:rsid w:val="00017DB8"/>
    <w:rsid w:val="00017E3D"/>
    <w:rsid w:val="00020583"/>
    <w:rsid w:val="00020611"/>
    <w:rsid w:val="000208B8"/>
    <w:rsid w:val="00021111"/>
    <w:rsid w:val="0002226C"/>
    <w:rsid w:val="000222E1"/>
    <w:rsid w:val="00022B1E"/>
    <w:rsid w:val="00023283"/>
    <w:rsid w:val="00023BBC"/>
    <w:rsid w:val="00023E28"/>
    <w:rsid w:val="000246CE"/>
    <w:rsid w:val="00024C6B"/>
    <w:rsid w:val="00024E28"/>
    <w:rsid w:val="0002612A"/>
    <w:rsid w:val="00026840"/>
    <w:rsid w:val="00027624"/>
    <w:rsid w:val="0002791C"/>
    <w:rsid w:val="00030613"/>
    <w:rsid w:val="000312A8"/>
    <w:rsid w:val="00031C67"/>
    <w:rsid w:val="00032020"/>
    <w:rsid w:val="00032130"/>
    <w:rsid w:val="00032585"/>
    <w:rsid w:val="00033BB7"/>
    <w:rsid w:val="00033BBF"/>
    <w:rsid w:val="000342C4"/>
    <w:rsid w:val="00034B99"/>
    <w:rsid w:val="00034F05"/>
    <w:rsid w:val="00035055"/>
    <w:rsid w:val="00035568"/>
    <w:rsid w:val="00035A35"/>
    <w:rsid w:val="00035BA9"/>
    <w:rsid w:val="00036B08"/>
    <w:rsid w:val="00036FF4"/>
    <w:rsid w:val="0003764F"/>
    <w:rsid w:val="00037CE9"/>
    <w:rsid w:val="00040033"/>
    <w:rsid w:val="00040312"/>
    <w:rsid w:val="0004065D"/>
    <w:rsid w:val="00040B1F"/>
    <w:rsid w:val="0004116C"/>
    <w:rsid w:val="00041439"/>
    <w:rsid w:val="000422AA"/>
    <w:rsid w:val="00042824"/>
    <w:rsid w:val="00042ECF"/>
    <w:rsid w:val="00043B45"/>
    <w:rsid w:val="00043F32"/>
    <w:rsid w:val="0004421E"/>
    <w:rsid w:val="00044337"/>
    <w:rsid w:val="00044B03"/>
    <w:rsid w:val="00044DDA"/>
    <w:rsid w:val="00044EAE"/>
    <w:rsid w:val="00044F62"/>
    <w:rsid w:val="00045B8F"/>
    <w:rsid w:val="00045F75"/>
    <w:rsid w:val="000475DC"/>
    <w:rsid w:val="000506B0"/>
    <w:rsid w:val="0005082B"/>
    <w:rsid w:val="00050F6B"/>
    <w:rsid w:val="00051425"/>
    <w:rsid w:val="000516A4"/>
    <w:rsid w:val="00051700"/>
    <w:rsid w:val="000517FB"/>
    <w:rsid w:val="000522BE"/>
    <w:rsid w:val="00052652"/>
    <w:rsid w:val="00052B5A"/>
    <w:rsid w:val="00052D29"/>
    <w:rsid w:val="00052E59"/>
    <w:rsid w:val="00052E7B"/>
    <w:rsid w:val="00053113"/>
    <w:rsid w:val="00053308"/>
    <w:rsid w:val="00053653"/>
    <w:rsid w:val="00054A26"/>
    <w:rsid w:val="00055094"/>
    <w:rsid w:val="000550B5"/>
    <w:rsid w:val="0005510C"/>
    <w:rsid w:val="00055309"/>
    <w:rsid w:val="000562EA"/>
    <w:rsid w:val="00057358"/>
    <w:rsid w:val="000602AF"/>
    <w:rsid w:val="00060D95"/>
    <w:rsid w:val="00061BD7"/>
    <w:rsid w:val="00062DF2"/>
    <w:rsid w:val="00062EF7"/>
    <w:rsid w:val="00063F75"/>
    <w:rsid w:val="000641C1"/>
    <w:rsid w:val="0006514C"/>
    <w:rsid w:val="00065EAE"/>
    <w:rsid w:val="00066E03"/>
    <w:rsid w:val="00066FE4"/>
    <w:rsid w:val="000673F2"/>
    <w:rsid w:val="000678CD"/>
    <w:rsid w:val="00067F73"/>
    <w:rsid w:val="00070178"/>
    <w:rsid w:val="0007027F"/>
    <w:rsid w:val="000702E9"/>
    <w:rsid w:val="00070684"/>
    <w:rsid w:val="00070D34"/>
    <w:rsid w:val="00071080"/>
    <w:rsid w:val="000710CD"/>
    <w:rsid w:val="000712F7"/>
    <w:rsid w:val="00072085"/>
    <w:rsid w:val="000723D2"/>
    <w:rsid w:val="00072900"/>
    <w:rsid w:val="00072BAF"/>
    <w:rsid w:val="00072C8C"/>
    <w:rsid w:val="00072CF5"/>
    <w:rsid w:val="00072F30"/>
    <w:rsid w:val="00074009"/>
    <w:rsid w:val="000744F7"/>
    <w:rsid w:val="00074606"/>
    <w:rsid w:val="000748AF"/>
    <w:rsid w:val="00074DDC"/>
    <w:rsid w:val="00074F3B"/>
    <w:rsid w:val="00075364"/>
    <w:rsid w:val="00075812"/>
    <w:rsid w:val="0007593C"/>
    <w:rsid w:val="00075ED9"/>
    <w:rsid w:val="00075F4A"/>
    <w:rsid w:val="00076409"/>
    <w:rsid w:val="000768E3"/>
    <w:rsid w:val="00076B2A"/>
    <w:rsid w:val="00076B99"/>
    <w:rsid w:val="000770BA"/>
    <w:rsid w:val="0007731E"/>
    <w:rsid w:val="0007743E"/>
    <w:rsid w:val="00077B30"/>
    <w:rsid w:val="000802FD"/>
    <w:rsid w:val="00081A69"/>
    <w:rsid w:val="00081CE0"/>
    <w:rsid w:val="0008233D"/>
    <w:rsid w:val="0008285C"/>
    <w:rsid w:val="0008357A"/>
    <w:rsid w:val="00084007"/>
    <w:rsid w:val="000845D0"/>
    <w:rsid w:val="000847F2"/>
    <w:rsid w:val="00084D30"/>
    <w:rsid w:val="000856D3"/>
    <w:rsid w:val="0008573B"/>
    <w:rsid w:val="00085935"/>
    <w:rsid w:val="000860F9"/>
    <w:rsid w:val="0008623A"/>
    <w:rsid w:val="000871C7"/>
    <w:rsid w:val="000878D1"/>
    <w:rsid w:val="00087915"/>
    <w:rsid w:val="00090320"/>
    <w:rsid w:val="00090745"/>
    <w:rsid w:val="00090D28"/>
    <w:rsid w:val="000917E1"/>
    <w:rsid w:val="00091B80"/>
    <w:rsid w:val="00091DAF"/>
    <w:rsid w:val="00092253"/>
    <w:rsid w:val="000923A0"/>
    <w:rsid w:val="00092AA4"/>
    <w:rsid w:val="00092E18"/>
    <w:rsid w:val="00092F94"/>
    <w:rsid w:val="000931C0"/>
    <w:rsid w:val="000931E4"/>
    <w:rsid w:val="0009337D"/>
    <w:rsid w:val="00093823"/>
    <w:rsid w:val="00093BB7"/>
    <w:rsid w:val="00093DB7"/>
    <w:rsid w:val="00093E66"/>
    <w:rsid w:val="00095435"/>
    <w:rsid w:val="0009547A"/>
    <w:rsid w:val="00095ACA"/>
    <w:rsid w:val="00095EC2"/>
    <w:rsid w:val="0009618A"/>
    <w:rsid w:val="0009623C"/>
    <w:rsid w:val="00096E5C"/>
    <w:rsid w:val="00097280"/>
    <w:rsid w:val="000A0087"/>
    <w:rsid w:val="000A0552"/>
    <w:rsid w:val="000A0D10"/>
    <w:rsid w:val="000A13EF"/>
    <w:rsid w:val="000A15C0"/>
    <w:rsid w:val="000A1778"/>
    <w:rsid w:val="000A2543"/>
    <w:rsid w:val="000A2750"/>
    <w:rsid w:val="000A28A3"/>
    <w:rsid w:val="000A2C71"/>
    <w:rsid w:val="000A2E09"/>
    <w:rsid w:val="000A3C81"/>
    <w:rsid w:val="000A4024"/>
    <w:rsid w:val="000A46FD"/>
    <w:rsid w:val="000A49F4"/>
    <w:rsid w:val="000A5344"/>
    <w:rsid w:val="000A5406"/>
    <w:rsid w:val="000A6C9B"/>
    <w:rsid w:val="000A6DEA"/>
    <w:rsid w:val="000A6F91"/>
    <w:rsid w:val="000A7017"/>
    <w:rsid w:val="000A773B"/>
    <w:rsid w:val="000B024F"/>
    <w:rsid w:val="000B06E0"/>
    <w:rsid w:val="000B0BDA"/>
    <w:rsid w:val="000B109E"/>
    <w:rsid w:val="000B1435"/>
    <w:rsid w:val="000B175B"/>
    <w:rsid w:val="000B1850"/>
    <w:rsid w:val="000B1B03"/>
    <w:rsid w:val="000B2211"/>
    <w:rsid w:val="000B22CE"/>
    <w:rsid w:val="000B3003"/>
    <w:rsid w:val="000B3321"/>
    <w:rsid w:val="000B3441"/>
    <w:rsid w:val="000B3621"/>
    <w:rsid w:val="000B3A0F"/>
    <w:rsid w:val="000B4422"/>
    <w:rsid w:val="000B5012"/>
    <w:rsid w:val="000B529E"/>
    <w:rsid w:val="000B53C7"/>
    <w:rsid w:val="000B53D9"/>
    <w:rsid w:val="000B5733"/>
    <w:rsid w:val="000B67C9"/>
    <w:rsid w:val="000B76CF"/>
    <w:rsid w:val="000B78F5"/>
    <w:rsid w:val="000B7A65"/>
    <w:rsid w:val="000B7EA5"/>
    <w:rsid w:val="000C0934"/>
    <w:rsid w:val="000C0DEA"/>
    <w:rsid w:val="000C1072"/>
    <w:rsid w:val="000C118F"/>
    <w:rsid w:val="000C1309"/>
    <w:rsid w:val="000C149A"/>
    <w:rsid w:val="000C1802"/>
    <w:rsid w:val="000C2B8B"/>
    <w:rsid w:val="000C3236"/>
    <w:rsid w:val="000C4A55"/>
    <w:rsid w:val="000C4CC5"/>
    <w:rsid w:val="000C5250"/>
    <w:rsid w:val="000C53BC"/>
    <w:rsid w:val="000C585E"/>
    <w:rsid w:val="000C6035"/>
    <w:rsid w:val="000C6193"/>
    <w:rsid w:val="000C6C2B"/>
    <w:rsid w:val="000D0450"/>
    <w:rsid w:val="000D0B6C"/>
    <w:rsid w:val="000D2C4C"/>
    <w:rsid w:val="000D3190"/>
    <w:rsid w:val="000D36B8"/>
    <w:rsid w:val="000D3E04"/>
    <w:rsid w:val="000D4149"/>
    <w:rsid w:val="000D449D"/>
    <w:rsid w:val="000D5100"/>
    <w:rsid w:val="000D5CE3"/>
    <w:rsid w:val="000D6ADD"/>
    <w:rsid w:val="000D6F5E"/>
    <w:rsid w:val="000D759F"/>
    <w:rsid w:val="000D79EE"/>
    <w:rsid w:val="000E0415"/>
    <w:rsid w:val="000E0880"/>
    <w:rsid w:val="000E0A4B"/>
    <w:rsid w:val="000E0D55"/>
    <w:rsid w:val="000E170D"/>
    <w:rsid w:val="000E210B"/>
    <w:rsid w:val="000E26CA"/>
    <w:rsid w:val="000E29C1"/>
    <w:rsid w:val="000E2A0D"/>
    <w:rsid w:val="000E2BD1"/>
    <w:rsid w:val="000E3245"/>
    <w:rsid w:val="000E3633"/>
    <w:rsid w:val="000E3640"/>
    <w:rsid w:val="000E3C87"/>
    <w:rsid w:val="000E4AE6"/>
    <w:rsid w:val="000E5178"/>
    <w:rsid w:val="000E517F"/>
    <w:rsid w:val="000E5C7E"/>
    <w:rsid w:val="000E6009"/>
    <w:rsid w:val="000E60B6"/>
    <w:rsid w:val="000E646A"/>
    <w:rsid w:val="000E6D89"/>
    <w:rsid w:val="000E6E46"/>
    <w:rsid w:val="000E7270"/>
    <w:rsid w:val="000E73A9"/>
    <w:rsid w:val="000E76AB"/>
    <w:rsid w:val="000F0260"/>
    <w:rsid w:val="000F0609"/>
    <w:rsid w:val="000F0B84"/>
    <w:rsid w:val="000F103B"/>
    <w:rsid w:val="000F19D4"/>
    <w:rsid w:val="000F1A89"/>
    <w:rsid w:val="000F1B8C"/>
    <w:rsid w:val="000F22DF"/>
    <w:rsid w:val="000F29EF"/>
    <w:rsid w:val="000F2E36"/>
    <w:rsid w:val="000F3259"/>
    <w:rsid w:val="000F36D2"/>
    <w:rsid w:val="000F394A"/>
    <w:rsid w:val="000F3C4E"/>
    <w:rsid w:val="000F3D59"/>
    <w:rsid w:val="000F3DF3"/>
    <w:rsid w:val="000F4582"/>
    <w:rsid w:val="000F46FC"/>
    <w:rsid w:val="000F493B"/>
    <w:rsid w:val="000F52C2"/>
    <w:rsid w:val="000F549A"/>
    <w:rsid w:val="000F587B"/>
    <w:rsid w:val="000F5CF8"/>
    <w:rsid w:val="000F5D20"/>
    <w:rsid w:val="000F638F"/>
    <w:rsid w:val="000F64FD"/>
    <w:rsid w:val="000F685E"/>
    <w:rsid w:val="000F68C7"/>
    <w:rsid w:val="000F7086"/>
    <w:rsid w:val="000F7715"/>
    <w:rsid w:val="000F7C71"/>
    <w:rsid w:val="000F7D09"/>
    <w:rsid w:val="0010049B"/>
    <w:rsid w:val="001004F5"/>
    <w:rsid w:val="00100830"/>
    <w:rsid w:val="00100968"/>
    <w:rsid w:val="00101070"/>
    <w:rsid w:val="001017AB"/>
    <w:rsid w:val="001021DF"/>
    <w:rsid w:val="00102870"/>
    <w:rsid w:val="00102876"/>
    <w:rsid w:val="001036DB"/>
    <w:rsid w:val="00103905"/>
    <w:rsid w:val="001039CF"/>
    <w:rsid w:val="00104E45"/>
    <w:rsid w:val="00105428"/>
    <w:rsid w:val="00105AAC"/>
    <w:rsid w:val="001067DE"/>
    <w:rsid w:val="00107F74"/>
    <w:rsid w:val="0011047B"/>
    <w:rsid w:val="0011065E"/>
    <w:rsid w:val="0011066A"/>
    <w:rsid w:val="00111239"/>
    <w:rsid w:val="00111D32"/>
    <w:rsid w:val="0011227A"/>
    <w:rsid w:val="00112E41"/>
    <w:rsid w:val="00113686"/>
    <w:rsid w:val="00113B26"/>
    <w:rsid w:val="0011436D"/>
    <w:rsid w:val="00114488"/>
    <w:rsid w:val="001146DD"/>
    <w:rsid w:val="00115153"/>
    <w:rsid w:val="001160FD"/>
    <w:rsid w:val="00116F99"/>
    <w:rsid w:val="001175D6"/>
    <w:rsid w:val="00117628"/>
    <w:rsid w:val="001178E6"/>
    <w:rsid w:val="00117AF1"/>
    <w:rsid w:val="00117D37"/>
    <w:rsid w:val="00120134"/>
    <w:rsid w:val="00120725"/>
    <w:rsid w:val="00120AB9"/>
    <w:rsid w:val="001213CA"/>
    <w:rsid w:val="001216E8"/>
    <w:rsid w:val="0012184B"/>
    <w:rsid w:val="0012300F"/>
    <w:rsid w:val="0012351C"/>
    <w:rsid w:val="00123597"/>
    <w:rsid w:val="001237BA"/>
    <w:rsid w:val="00123F6B"/>
    <w:rsid w:val="00124DF7"/>
    <w:rsid w:val="0012533D"/>
    <w:rsid w:val="0012554A"/>
    <w:rsid w:val="00126C43"/>
    <w:rsid w:val="001272B9"/>
    <w:rsid w:val="001277F7"/>
    <w:rsid w:val="0012789D"/>
    <w:rsid w:val="00130080"/>
    <w:rsid w:val="001314D4"/>
    <w:rsid w:val="00131992"/>
    <w:rsid w:val="001322AD"/>
    <w:rsid w:val="00132402"/>
    <w:rsid w:val="0013259A"/>
    <w:rsid w:val="00132C58"/>
    <w:rsid w:val="00132D6E"/>
    <w:rsid w:val="00134193"/>
    <w:rsid w:val="00134537"/>
    <w:rsid w:val="001347A3"/>
    <w:rsid w:val="00134A78"/>
    <w:rsid w:val="00134AB3"/>
    <w:rsid w:val="00134AD9"/>
    <w:rsid w:val="00134E0E"/>
    <w:rsid w:val="00134F28"/>
    <w:rsid w:val="00135200"/>
    <w:rsid w:val="00135446"/>
    <w:rsid w:val="001359CF"/>
    <w:rsid w:val="00135C2F"/>
    <w:rsid w:val="001364FD"/>
    <w:rsid w:val="00136CAD"/>
    <w:rsid w:val="00137E80"/>
    <w:rsid w:val="00137FFA"/>
    <w:rsid w:val="00140364"/>
    <w:rsid w:val="00140430"/>
    <w:rsid w:val="0014046C"/>
    <w:rsid w:val="00140C8B"/>
    <w:rsid w:val="00140F8C"/>
    <w:rsid w:val="00141372"/>
    <w:rsid w:val="00142444"/>
    <w:rsid w:val="0014251A"/>
    <w:rsid w:val="00142F4C"/>
    <w:rsid w:val="00143B06"/>
    <w:rsid w:val="00143FFD"/>
    <w:rsid w:val="00144223"/>
    <w:rsid w:val="001449E7"/>
    <w:rsid w:val="00144EF4"/>
    <w:rsid w:val="0014516B"/>
    <w:rsid w:val="001454AF"/>
    <w:rsid w:val="00145DB9"/>
    <w:rsid w:val="00145E4A"/>
    <w:rsid w:val="0014666E"/>
    <w:rsid w:val="00147A34"/>
    <w:rsid w:val="00150661"/>
    <w:rsid w:val="00150BBB"/>
    <w:rsid w:val="00151C5A"/>
    <w:rsid w:val="00151E21"/>
    <w:rsid w:val="00152016"/>
    <w:rsid w:val="00152134"/>
    <w:rsid w:val="001521B2"/>
    <w:rsid w:val="00152679"/>
    <w:rsid w:val="00152C18"/>
    <w:rsid w:val="00153186"/>
    <w:rsid w:val="0015334E"/>
    <w:rsid w:val="00153ADF"/>
    <w:rsid w:val="00153D36"/>
    <w:rsid w:val="00154132"/>
    <w:rsid w:val="00154195"/>
    <w:rsid w:val="00154494"/>
    <w:rsid w:val="00154857"/>
    <w:rsid w:val="00154868"/>
    <w:rsid w:val="00154C21"/>
    <w:rsid w:val="00154EBD"/>
    <w:rsid w:val="001552E7"/>
    <w:rsid w:val="00155F22"/>
    <w:rsid w:val="00156B99"/>
    <w:rsid w:val="00157BC2"/>
    <w:rsid w:val="0016021D"/>
    <w:rsid w:val="0016030B"/>
    <w:rsid w:val="00161955"/>
    <w:rsid w:val="00161C00"/>
    <w:rsid w:val="001629D7"/>
    <w:rsid w:val="00162EA8"/>
    <w:rsid w:val="00163457"/>
    <w:rsid w:val="00163B55"/>
    <w:rsid w:val="00163CF3"/>
    <w:rsid w:val="00164515"/>
    <w:rsid w:val="001645C8"/>
    <w:rsid w:val="001648CA"/>
    <w:rsid w:val="00164BA7"/>
    <w:rsid w:val="0016590E"/>
    <w:rsid w:val="00165BFC"/>
    <w:rsid w:val="00165C7D"/>
    <w:rsid w:val="00165D2F"/>
    <w:rsid w:val="00166124"/>
    <w:rsid w:val="001661A5"/>
    <w:rsid w:val="0016670A"/>
    <w:rsid w:val="00166A23"/>
    <w:rsid w:val="00166C97"/>
    <w:rsid w:val="001674A0"/>
    <w:rsid w:val="00167825"/>
    <w:rsid w:val="0017014E"/>
    <w:rsid w:val="001707E3"/>
    <w:rsid w:val="00170D61"/>
    <w:rsid w:val="00170ECD"/>
    <w:rsid w:val="001711E9"/>
    <w:rsid w:val="00171894"/>
    <w:rsid w:val="00172920"/>
    <w:rsid w:val="0017317B"/>
    <w:rsid w:val="00173392"/>
    <w:rsid w:val="00173604"/>
    <w:rsid w:val="0017415F"/>
    <w:rsid w:val="001751A2"/>
    <w:rsid w:val="001756A4"/>
    <w:rsid w:val="00175AD0"/>
    <w:rsid w:val="001761A8"/>
    <w:rsid w:val="00176339"/>
    <w:rsid w:val="001769B7"/>
    <w:rsid w:val="001777F1"/>
    <w:rsid w:val="00177C51"/>
    <w:rsid w:val="00180299"/>
    <w:rsid w:val="00180354"/>
    <w:rsid w:val="00180616"/>
    <w:rsid w:val="0018098C"/>
    <w:rsid w:val="00180B65"/>
    <w:rsid w:val="0018107A"/>
    <w:rsid w:val="0018126D"/>
    <w:rsid w:val="00181F05"/>
    <w:rsid w:val="001822DA"/>
    <w:rsid w:val="001826DB"/>
    <w:rsid w:val="00184486"/>
    <w:rsid w:val="00184A89"/>
    <w:rsid w:val="00184DDA"/>
    <w:rsid w:val="00185938"/>
    <w:rsid w:val="001859D9"/>
    <w:rsid w:val="00186061"/>
    <w:rsid w:val="001863E9"/>
    <w:rsid w:val="00186760"/>
    <w:rsid w:val="00186CF2"/>
    <w:rsid w:val="001876CB"/>
    <w:rsid w:val="00187C43"/>
    <w:rsid w:val="00190063"/>
    <w:rsid w:val="001900CD"/>
    <w:rsid w:val="001904A2"/>
    <w:rsid w:val="001909D2"/>
    <w:rsid w:val="0019156A"/>
    <w:rsid w:val="001921D9"/>
    <w:rsid w:val="001932B1"/>
    <w:rsid w:val="001935B1"/>
    <w:rsid w:val="00194806"/>
    <w:rsid w:val="00194C50"/>
    <w:rsid w:val="00195670"/>
    <w:rsid w:val="001964EB"/>
    <w:rsid w:val="00196C26"/>
    <w:rsid w:val="00196CAA"/>
    <w:rsid w:val="001973AF"/>
    <w:rsid w:val="001978D9"/>
    <w:rsid w:val="00197B31"/>
    <w:rsid w:val="001A0452"/>
    <w:rsid w:val="001A0CB5"/>
    <w:rsid w:val="001A0EEF"/>
    <w:rsid w:val="001A0F73"/>
    <w:rsid w:val="001A104B"/>
    <w:rsid w:val="001A1A3C"/>
    <w:rsid w:val="001A1EF2"/>
    <w:rsid w:val="001A20E3"/>
    <w:rsid w:val="001A256C"/>
    <w:rsid w:val="001A2C55"/>
    <w:rsid w:val="001A33D8"/>
    <w:rsid w:val="001A39C4"/>
    <w:rsid w:val="001A405C"/>
    <w:rsid w:val="001A417A"/>
    <w:rsid w:val="001A4B8E"/>
    <w:rsid w:val="001A58EE"/>
    <w:rsid w:val="001A5B0D"/>
    <w:rsid w:val="001A64A5"/>
    <w:rsid w:val="001A672C"/>
    <w:rsid w:val="001A6904"/>
    <w:rsid w:val="001A6F06"/>
    <w:rsid w:val="001A7312"/>
    <w:rsid w:val="001A7334"/>
    <w:rsid w:val="001A73DF"/>
    <w:rsid w:val="001A76FF"/>
    <w:rsid w:val="001A7D22"/>
    <w:rsid w:val="001A7EE9"/>
    <w:rsid w:val="001B01F2"/>
    <w:rsid w:val="001B0663"/>
    <w:rsid w:val="001B0C4E"/>
    <w:rsid w:val="001B0FB8"/>
    <w:rsid w:val="001B192D"/>
    <w:rsid w:val="001B28EC"/>
    <w:rsid w:val="001B30EF"/>
    <w:rsid w:val="001B3792"/>
    <w:rsid w:val="001B37A4"/>
    <w:rsid w:val="001B46A5"/>
    <w:rsid w:val="001B4B04"/>
    <w:rsid w:val="001B5875"/>
    <w:rsid w:val="001B59CE"/>
    <w:rsid w:val="001B5BC1"/>
    <w:rsid w:val="001B648E"/>
    <w:rsid w:val="001B661B"/>
    <w:rsid w:val="001B693D"/>
    <w:rsid w:val="001B6C91"/>
    <w:rsid w:val="001B6CE5"/>
    <w:rsid w:val="001B6E49"/>
    <w:rsid w:val="001C0451"/>
    <w:rsid w:val="001C058B"/>
    <w:rsid w:val="001C0752"/>
    <w:rsid w:val="001C0DCE"/>
    <w:rsid w:val="001C148C"/>
    <w:rsid w:val="001C1C0B"/>
    <w:rsid w:val="001C1FA9"/>
    <w:rsid w:val="001C252A"/>
    <w:rsid w:val="001C2842"/>
    <w:rsid w:val="001C2A1C"/>
    <w:rsid w:val="001C2D82"/>
    <w:rsid w:val="001C3378"/>
    <w:rsid w:val="001C3436"/>
    <w:rsid w:val="001C3551"/>
    <w:rsid w:val="001C3763"/>
    <w:rsid w:val="001C4B9C"/>
    <w:rsid w:val="001C4E39"/>
    <w:rsid w:val="001C5458"/>
    <w:rsid w:val="001C5546"/>
    <w:rsid w:val="001C5783"/>
    <w:rsid w:val="001C5D99"/>
    <w:rsid w:val="001C6267"/>
    <w:rsid w:val="001C6301"/>
    <w:rsid w:val="001C6412"/>
    <w:rsid w:val="001C644F"/>
    <w:rsid w:val="001C6663"/>
    <w:rsid w:val="001C698C"/>
    <w:rsid w:val="001C7253"/>
    <w:rsid w:val="001C7895"/>
    <w:rsid w:val="001C7E05"/>
    <w:rsid w:val="001D00F7"/>
    <w:rsid w:val="001D01E0"/>
    <w:rsid w:val="001D0377"/>
    <w:rsid w:val="001D090B"/>
    <w:rsid w:val="001D0BB9"/>
    <w:rsid w:val="001D0F5A"/>
    <w:rsid w:val="001D0FF6"/>
    <w:rsid w:val="001D1A44"/>
    <w:rsid w:val="001D22E1"/>
    <w:rsid w:val="001D26DF"/>
    <w:rsid w:val="001D349A"/>
    <w:rsid w:val="001D34F9"/>
    <w:rsid w:val="001D4B92"/>
    <w:rsid w:val="001D5081"/>
    <w:rsid w:val="001D618A"/>
    <w:rsid w:val="001E0834"/>
    <w:rsid w:val="001E0928"/>
    <w:rsid w:val="001E0F03"/>
    <w:rsid w:val="001E1C17"/>
    <w:rsid w:val="001E201E"/>
    <w:rsid w:val="001E2A84"/>
    <w:rsid w:val="001E30DD"/>
    <w:rsid w:val="001E31B1"/>
    <w:rsid w:val="001E32A3"/>
    <w:rsid w:val="001E38BC"/>
    <w:rsid w:val="001E48A9"/>
    <w:rsid w:val="001E4AA8"/>
    <w:rsid w:val="001E4B4D"/>
    <w:rsid w:val="001E5885"/>
    <w:rsid w:val="001E5EB3"/>
    <w:rsid w:val="001E5F28"/>
    <w:rsid w:val="001E60B5"/>
    <w:rsid w:val="001E6889"/>
    <w:rsid w:val="001E6E68"/>
    <w:rsid w:val="001E79E1"/>
    <w:rsid w:val="001F057D"/>
    <w:rsid w:val="001F0E31"/>
    <w:rsid w:val="001F131E"/>
    <w:rsid w:val="001F1599"/>
    <w:rsid w:val="001F19C4"/>
    <w:rsid w:val="001F1D9A"/>
    <w:rsid w:val="001F21D9"/>
    <w:rsid w:val="001F245A"/>
    <w:rsid w:val="001F28AD"/>
    <w:rsid w:val="001F2A4C"/>
    <w:rsid w:val="001F2C44"/>
    <w:rsid w:val="001F2C82"/>
    <w:rsid w:val="001F3962"/>
    <w:rsid w:val="001F3C59"/>
    <w:rsid w:val="001F3CE9"/>
    <w:rsid w:val="001F4C4D"/>
    <w:rsid w:val="001F4DDF"/>
    <w:rsid w:val="001F4EB0"/>
    <w:rsid w:val="001F58B9"/>
    <w:rsid w:val="001F59D4"/>
    <w:rsid w:val="001F60BC"/>
    <w:rsid w:val="001F6117"/>
    <w:rsid w:val="001F682C"/>
    <w:rsid w:val="001F724A"/>
    <w:rsid w:val="001F7BAC"/>
    <w:rsid w:val="001F7F75"/>
    <w:rsid w:val="002003A9"/>
    <w:rsid w:val="002007E9"/>
    <w:rsid w:val="00200A83"/>
    <w:rsid w:val="00201105"/>
    <w:rsid w:val="002013F0"/>
    <w:rsid w:val="00201624"/>
    <w:rsid w:val="00201E1C"/>
    <w:rsid w:val="00202E27"/>
    <w:rsid w:val="00203B15"/>
    <w:rsid w:val="0020414D"/>
    <w:rsid w:val="00204373"/>
    <w:rsid w:val="002043F0"/>
    <w:rsid w:val="00204445"/>
    <w:rsid w:val="0020470F"/>
    <w:rsid w:val="00204A2D"/>
    <w:rsid w:val="00204A44"/>
    <w:rsid w:val="002059F6"/>
    <w:rsid w:val="00205C4A"/>
    <w:rsid w:val="00205C56"/>
    <w:rsid w:val="00205DF4"/>
    <w:rsid w:val="0020626B"/>
    <w:rsid w:val="002069F4"/>
    <w:rsid w:val="00207089"/>
    <w:rsid w:val="00207586"/>
    <w:rsid w:val="002078B5"/>
    <w:rsid w:val="00207BFD"/>
    <w:rsid w:val="00207E3E"/>
    <w:rsid w:val="002105DF"/>
    <w:rsid w:val="0021080A"/>
    <w:rsid w:val="00210BE7"/>
    <w:rsid w:val="00210C6F"/>
    <w:rsid w:val="00211013"/>
    <w:rsid w:val="002113FB"/>
    <w:rsid w:val="00211BC0"/>
    <w:rsid w:val="00211C5A"/>
    <w:rsid w:val="00211D37"/>
    <w:rsid w:val="00211E0B"/>
    <w:rsid w:val="0021292E"/>
    <w:rsid w:val="00212A5F"/>
    <w:rsid w:val="00212C1E"/>
    <w:rsid w:val="00212EC6"/>
    <w:rsid w:val="00213D26"/>
    <w:rsid w:val="002140E7"/>
    <w:rsid w:val="002142A1"/>
    <w:rsid w:val="00214427"/>
    <w:rsid w:val="00215864"/>
    <w:rsid w:val="00215A0A"/>
    <w:rsid w:val="00215D77"/>
    <w:rsid w:val="00215EE8"/>
    <w:rsid w:val="0021688B"/>
    <w:rsid w:val="00216CFC"/>
    <w:rsid w:val="002172E2"/>
    <w:rsid w:val="002175A4"/>
    <w:rsid w:val="002175B5"/>
    <w:rsid w:val="00217BAF"/>
    <w:rsid w:val="00217DC3"/>
    <w:rsid w:val="00217EB1"/>
    <w:rsid w:val="002205AF"/>
    <w:rsid w:val="002208CF"/>
    <w:rsid w:val="002208DD"/>
    <w:rsid w:val="00220A8B"/>
    <w:rsid w:val="0022184D"/>
    <w:rsid w:val="00221C91"/>
    <w:rsid w:val="00221E8B"/>
    <w:rsid w:val="00222283"/>
    <w:rsid w:val="00222E96"/>
    <w:rsid w:val="00222F34"/>
    <w:rsid w:val="002237C9"/>
    <w:rsid w:val="0022403E"/>
    <w:rsid w:val="002247BB"/>
    <w:rsid w:val="00224838"/>
    <w:rsid w:val="0022535B"/>
    <w:rsid w:val="00225888"/>
    <w:rsid w:val="00225F25"/>
    <w:rsid w:val="00226E19"/>
    <w:rsid w:val="002274F3"/>
    <w:rsid w:val="00227629"/>
    <w:rsid w:val="00227ABC"/>
    <w:rsid w:val="00230279"/>
    <w:rsid w:val="00230A91"/>
    <w:rsid w:val="00230E5E"/>
    <w:rsid w:val="00231435"/>
    <w:rsid w:val="0023144C"/>
    <w:rsid w:val="0023150B"/>
    <w:rsid w:val="00231EEB"/>
    <w:rsid w:val="00231EFB"/>
    <w:rsid w:val="00232527"/>
    <w:rsid w:val="00232575"/>
    <w:rsid w:val="00232AED"/>
    <w:rsid w:val="00232D9C"/>
    <w:rsid w:val="00233233"/>
    <w:rsid w:val="00233AA3"/>
    <w:rsid w:val="00233D64"/>
    <w:rsid w:val="00233E38"/>
    <w:rsid w:val="00233E3B"/>
    <w:rsid w:val="00234657"/>
    <w:rsid w:val="00234B44"/>
    <w:rsid w:val="00234D96"/>
    <w:rsid w:val="0023575C"/>
    <w:rsid w:val="00235766"/>
    <w:rsid w:val="002359BA"/>
    <w:rsid w:val="00236518"/>
    <w:rsid w:val="00237127"/>
    <w:rsid w:val="002409E1"/>
    <w:rsid w:val="00240E76"/>
    <w:rsid w:val="002419AD"/>
    <w:rsid w:val="00241F6B"/>
    <w:rsid w:val="00242D8E"/>
    <w:rsid w:val="0024344A"/>
    <w:rsid w:val="00243D15"/>
    <w:rsid w:val="00243EB0"/>
    <w:rsid w:val="00244E8A"/>
    <w:rsid w:val="00245BF5"/>
    <w:rsid w:val="00245CB4"/>
    <w:rsid w:val="0024603E"/>
    <w:rsid w:val="00246C69"/>
    <w:rsid w:val="00247258"/>
    <w:rsid w:val="00247EC2"/>
    <w:rsid w:val="00250FF3"/>
    <w:rsid w:val="002516FB"/>
    <w:rsid w:val="00251AD5"/>
    <w:rsid w:val="0025336F"/>
    <w:rsid w:val="002534FD"/>
    <w:rsid w:val="0025383C"/>
    <w:rsid w:val="00253BFE"/>
    <w:rsid w:val="002541F3"/>
    <w:rsid w:val="00254674"/>
    <w:rsid w:val="00254825"/>
    <w:rsid w:val="00254B3C"/>
    <w:rsid w:val="00254BB2"/>
    <w:rsid w:val="00255F8D"/>
    <w:rsid w:val="00256235"/>
    <w:rsid w:val="00256423"/>
    <w:rsid w:val="0025668A"/>
    <w:rsid w:val="00256BD3"/>
    <w:rsid w:val="00256C46"/>
    <w:rsid w:val="00257532"/>
    <w:rsid w:val="00257782"/>
    <w:rsid w:val="00257BA6"/>
    <w:rsid w:val="00257CAC"/>
    <w:rsid w:val="0026070B"/>
    <w:rsid w:val="00260B7F"/>
    <w:rsid w:val="00260C6A"/>
    <w:rsid w:val="00261210"/>
    <w:rsid w:val="00261341"/>
    <w:rsid w:val="00261668"/>
    <w:rsid w:val="00262617"/>
    <w:rsid w:val="002626F4"/>
    <w:rsid w:val="00262BC7"/>
    <w:rsid w:val="002635EA"/>
    <w:rsid w:val="0026369C"/>
    <w:rsid w:val="002637CE"/>
    <w:rsid w:val="00263A27"/>
    <w:rsid w:val="002651FC"/>
    <w:rsid w:val="0026529C"/>
    <w:rsid w:val="00265360"/>
    <w:rsid w:val="002657DF"/>
    <w:rsid w:val="00265FFC"/>
    <w:rsid w:val="002660E3"/>
    <w:rsid w:val="00266145"/>
    <w:rsid w:val="002664A9"/>
    <w:rsid w:val="002664CF"/>
    <w:rsid w:val="002666CA"/>
    <w:rsid w:val="00266E2F"/>
    <w:rsid w:val="002676F9"/>
    <w:rsid w:val="00267A4B"/>
    <w:rsid w:val="00267F15"/>
    <w:rsid w:val="002703B3"/>
    <w:rsid w:val="00271097"/>
    <w:rsid w:val="00271D10"/>
    <w:rsid w:val="002721ED"/>
    <w:rsid w:val="0027237A"/>
    <w:rsid w:val="0027248C"/>
    <w:rsid w:val="002725A4"/>
    <w:rsid w:val="0027336C"/>
    <w:rsid w:val="00273381"/>
    <w:rsid w:val="002735E3"/>
    <w:rsid w:val="00273DFC"/>
    <w:rsid w:val="00274074"/>
    <w:rsid w:val="00274A78"/>
    <w:rsid w:val="00275975"/>
    <w:rsid w:val="00275B2A"/>
    <w:rsid w:val="00276A0B"/>
    <w:rsid w:val="00276AA2"/>
    <w:rsid w:val="0027706D"/>
    <w:rsid w:val="00277203"/>
    <w:rsid w:val="002772C8"/>
    <w:rsid w:val="00277807"/>
    <w:rsid w:val="00277EFB"/>
    <w:rsid w:val="002800A0"/>
    <w:rsid w:val="00280BCA"/>
    <w:rsid w:val="00281BEA"/>
    <w:rsid w:val="002820F2"/>
    <w:rsid w:val="002826AE"/>
    <w:rsid w:val="002828F1"/>
    <w:rsid w:val="0028291B"/>
    <w:rsid w:val="00282D15"/>
    <w:rsid w:val="00282DCE"/>
    <w:rsid w:val="00283712"/>
    <w:rsid w:val="002837CF"/>
    <w:rsid w:val="00283C2C"/>
    <w:rsid w:val="00284412"/>
    <w:rsid w:val="002849A9"/>
    <w:rsid w:val="00284AE4"/>
    <w:rsid w:val="002862FD"/>
    <w:rsid w:val="0028649A"/>
    <w:rsid w:val="00286AFF"/>
    <w:rsid w:val="00287B29"/>
    <w:rsid w:val="0029192F"/>
    <w:rsid w:val="002925C9"/>
    <w:rsid w:val="00292743"/>
    <w:rsid w:val="00292775"/>
    <w:rsid w:val="00292C55"/>
    <w:rsid w:val="00293149"/>
    <w:rsid w:val="00293250"/>
    <w:rsid w:val="00293365"/>
    <w:rsid w:val="0029366E"/>
    <w:rsid w:val="00293ADB"/>
    <w:rsid w:val="00294FBB"/>
    <w:rsid w:val="0029535D"/>
    <w:rsid w:val="002954B6"/>
    <w:rsid w:val="0029652F"/>
    <w:rsid w:val="002968C9"/>
    <w:rsid w:val="00296EFE"/>
    <w:rsid w:val="00296F5C"/>
    <w:rsid w:val="0029725E"/>
    <w:rsid w:val="002974E9"/>
    <w:rsid w:val="00297719"/>
    <w:rsid w:val="002A005F"/>
    <w:rsid w:val="002A025B"/>
    <w:rsid w:val="002A05EF"/>
    <w:rsid w:val="002A09EE"/>
    <w:rsid w:val="002A0BA7"/>
    <w:rsid w:val="002A13FA"/>
    <w:rsid w:val="002A1B2E"/>
    <w:rsid w:val="002A314F"/>
    <w:rsid w:val="002A3F43"/>
    <w:rsid w:val="002A5850"/>
    <w:rsid w:val="002A6750"/>
    <w:rsid w:val="002A67B1"/>
    <w:rsid w:val="002A6A42"/>
    <w:rsid w:val="002A6CDC"/>
    <w:rsid w:val="002A72BE"/>
    <w:rsid w:val="002A7F39"/>
    <w:rsid w:val="002A7F47"/>
    <w:rsid w:val="002A7F94"/>
    <w:rsid w:val="002B0396"/>
    <w:rsid w:val="002B039C"/>
    <w:rsid w:val="002B049C"/>
    <w:rsid w:val="002B0547"/>
    <w:rsid w:val="002B05C5"/>
    <w:rsid w:val="002B109A"/>
    <w:rsid w:val="002B1DAD"/>
    <w:rsid w:val="002B28DC"/>
    <w:rsid w:val="002B2A50"/>
    <w:rsid w:val="002B2CED"/>
    <w:rsid w:val="002B2E08"/>
    <w:rsid w:val="002B31AF"/>
    <w:rsid w:val="002B3EB7"/>
    <w:rsid w:val="002B44A2"/>
    <w:rsid w:val="002B4A1A"/>
    <w:rsid w:val="002B4A29"/>
    <w:rsid w:val="002B5301"/>
    <w:rsid w:val="002B55A1"/>
    <w:rsid w:val="002B589A"/>
    <w:rsid w:val="002B58E8"/>
    <w:rsid w:val="002B7B46"/>
    <w:rsid w:val="002B7ED9"/>
    <w:rsid w:val="002C0090"/>
    <w:rsid w:val="002C01ED"/>
    <w:rsid w:val="002C0297"/>
    <w:rsid w:val="002C02E3"/>
    <w:rsid w:val="002C03ED"/>
    <w:rsid w:val="002C0D64"/>
    <w:rsid w:val="002C12DE"/>
    <w:rsid w:val="002C1FC0"/>
    <w:rsid w:val="002C3127"/>
    <w:rsid w:val="002C3F14"/>
    <w:rsid w:val="002C3FCF"/>
    <w:rsid w:val="002C4628"/>
    <w:rsid w:val="002C46A7"/>
    <w:rsid w:val="002C4773"/>
    <w:rsid w:val="002C5B10"/>
    <w:rsid w:val="002C62D8"/>
    <w:rsid w:val="002C6D45"/>
    <w:rsid w:val="002C6E6E"/>
    <w:rsid w:val="002D074B"/>
    <w:rsid w:val="002D0AB9"/>
    <w:rsid w:val="002D0DE5"/>
    <w:rsid w:val="002D1A7D"/>
    <w:rsid w:val="002D209E"/>
    <w:rsid w:val="002D2E1D"/>
    <w:rsid w:val="002D3580"/>
    <w:rsid w:val="002D407F"/>
    <w:rsid w:val="002D43F9"/>
    <w:rsid w:val="002D4425"/>
    <w:rsid w:val="002D45EE"/>
    <w:rsid w:val="002D4683"/>
    <w:rsid w:val="002D4DE8"/>
    <w:rsid w:val="002D5262"/>
    <w:rsid w:val="002D5788"/>
    <w:rsid w:val="002D5ADC"/>
    <w:rsid w:val="002D5B17"/>
    <w:rsid w:val="002D61BA"/>
    <w:rsid w:val="002D6221"/>
    <w:rsid w:val="002D630D"/>
    <w:rsid w:val="002D6E46"/>
    <w:rsid w:val="002D6E53"/>
    <w:rsid w:val="002D6ECB"/>
    <w:rsid w:val="002D749B"/>
    <w:rsid w:val="002D7782"/>
    <w:rsid w:val="002E07BD"/>
    <w:rsid w:val="002E0ABD"/>
    <w:rsid w:val="002E0EA9"/>
    <w:rsid w:val="002E0F47"/>
    <w:rsid w:val="002E10ED"/>
    <w:rsid w:val="002E156E"/>
    <w:rsid w:val="002E1947"/>
    <w:rsid w:val="002E19CB"/>
    <w:rsid w:val="002E1BAB"/>
    <w:rsid w:val="002E26B2"/>
    <w:rsid w:val="002E26C6"/>
    <w:rsid w:val="002E28E4"/>
    <w:rsid w:val="002E2C75"/>
    <w:rsid w:val="002E31CB"/>
    <w:rsid w:val="002E3CC5"/>
    <w:rsid w:val="002E3DC2"/>
    <w:rsid w:val="002E4B8B"/>
    <w:rsid w:val="002E5250"/>
    <w:rsid w:val="002E5404"/>
    <w:rsid w:val="002E5681"/>
    <w:rsid w:val="002E5F74"/>
    <w:rsid w:val="002E62EF"/>
    <w:rsid w:val="002E64E8"/>
    <w:rsid w:val="002E65C6"/>
    <w:rsid w:val="002E669F"/>
    <w:rsid w:val="002E6A80"/>
    <w:rsid w:val="002E6EAA"/>
    <w:rsid w:val="002E7566"/>
    <w:rsid w:val="002E76F9"/>
    <w:rsid w:val="002F046D"/>
    <w:rsid w:val="002F10C0"/>
    <w:rsid w:val="002F11A3"/>
    <w:rsid w:val="002F1236"/>
    <w:rsid w:val="002F134E"/>
    <w:rsid w:val="002F16B4"/>
    <w:rsid w:val="002F1CC6"/>
    <w:rsid w:val="002F2409"/>
    <w:rsid w:val="002F273C"/>
    <w:rsid w:val="002F2C8C"/>
    <w:rsid w:val="002F2F1D"/>
    <w:rsid w:val="002F3272"/>
    <w:rsid w:val="002F37BA"/>
    <w:rsid w:val="002F3BD5"/>
    <w:rsid w:val="002F3FF5"/>
    <w:rsid w:val="002F46F1"/>
    <w:rsid w:val="002F5E76"/>
    <w:rsid w:val="002F63D5"/>
    <w:rsid w:val="002F69B1"/>
    <w:rsid w:val="002F751E"/>
    <w:rsid w:val="0030001E"/>
    <w:rsid w:val="00300132"/>
    <w:rsid w:val="00300ABC"/>
    <w:rsid w:val="00301764"/>
    <w:rsid w:val="0030193E"/>
    <w:rsid w:val="003019D0"/>
    <w:rsid w:val="00301DC8"/>
    <w:rsid w:val="00301EDB"/>
    <w:rsid w:val="00302B59"/>
    <w:rsid w:val="0030310B"/>
    <w:rsid w:val="0030343F"/>
    <w:rsid w:val="0030584D"/>
    <w:rsid w:val="00305D2F"/>
    <w:rsid w:val="0030626B"/>
    <w:rsid w:val="003065C2"/>
    <w:rsid w:val="00306AA5"/>
    <w:rsid w:val="00306F75"/>
    <w:rsid w:val="0030799C"/>
    <w:rsid w:val="00307D76"/>
    <w:rsid w:val="00307FCA"/>
    <w:rsid w:val="003101EA"/>
    <w:rsid w:val="003103CD"/>
    <w:rsid w:val="00310EB1"/>
    <w:rsid w:val="0031157E"/>
    <w:rsid w:val="0031195A"/>
    <w:rsid w:val="00312A1F"/>
    <w:rsid w:val="00312D8E"/>
    <w:rsid w:val="003130AB"/>
    <w:rsid w:val="003131FA"/>
    <w:rsid w:val="003133CB"/>
    <w:rsid w:val="00313422"/>
    <w:rsid w:val="003137D8"/>
    <w:rsid w:val="00313CBA"/>
    <w:rsid w:val="00313E62"/>
    <w:rsid w:val="003141B9"/>
    <w:rsid w:val="003142B5"/>
    <w:rsid w:val="00314480"/>
    <w:rsid w:val="00314BCF"/>
    <w:rsid w:val="00314D0C"/>
    <w:rsid w:val="0031512A"/>
    <w:rsid w:val="0031536C"/>
    <w:rsid w:val="0031582E"/>
    <w:rsid w:val="00315974"/>
    <w:rsid w:val="003163AB"/>
    <w:rsid w:val="00316575"/>
    <w:rsid w:val="003167EB"/>
    <w:rsid w:val="00317010"/>
    <w:rsid w:val="00317F2D"/>
    <w:rsid w:val="00320197"/>
    <w:rsid w:val="00320BE7"/>
    <w:rsid w:val="00320D09"/>
    <w:rsid w:val="0032190F"/>
    <w:rsid w:val="003219EC"/>
    <w:rsid w:val="00321AAF"/>
    <w:rsid w:val="00322611"/>
    <w:rsid w:val="003229D8"/>
    <w:rsid w:val="00323041"/>
    <w:rsid w:val="00323352"/>
    <w:rsid w:val="0032391C"/>
    <w:rsid w:val="00323ACD"/>
    <w:rsid w:val="00324004"/>
    <w:rsid w:val="00324746"/>
    <w:rsid w:val="00326F0E"/>
    <w:rsid w:val="00327020"/>
    <w:rsid w:val="003271EA"/>
    <w:rsid w:val="00327287"/>
    <w:rsid w:val="00327C2B"/>
    <w:rsid w:val="00330088"/>
    <w:rsid w:val="00330177"/>
    <w:rsid w:val="00330667"/>
    <w:rsid w:val="00330A8B"/>
    <w:rsid w:val="00330B76"/>
    <w:rsid w:val="003316AA"/>
    <w:rsid w:val="00331885"/>
    <w:rsid w:val="00331D29"/>
    <w:rsid w:val="00332658"/>
    <w:rsid w:val="003329BE"/>
    <w:rsid w:val="00332A58"/>
    <w:rsid w:val="00332AD0"/>
    <w:rsid w:val="00332BD8"/>
    <w:rsid w:val="00332E7C"/>
    <w:rsid w:val="0033340E"/>
    <w:rsid w:val="00333C0C"/>
    <w:rsid w:val="00334271"/>
    <w:rsid w:val="003342FF"/>
    <w:rsid w:val="00334A4F"/>
    <w:rsid w:val="00335129"/>
    <w:rsid w:val="00335438"/>
    <w:rsid w:val="0033570D"/>
    <w:rsid w:val="0033672A"/>
    <w:rsid w:val="0033680F"/>
    <w:rsid w:val="00336A20"/>
    <w:rsid w:val="00336C83"/>
    <w:rsid w:val="00336C97"/>
    <w:rsid w:val="00336EDD"/>
    <w:rsid w:val="00336FB4"/>
    <w:rsid w:val="003373DC"/>
    <w:rsid w:val="00337F88"/>
    <w:rsid w:val="00340786"/>
    <w:rsid w:val="003411BB"/>
    <w:rsid w:val="00341582"/>
    <w:rsid w:val="00342432"/>
    <w:rsid w:val="0034244F"/>
    <w:rsid w:val="00342B5C"/>
    <w:rsid w:val="00342C05"/>
    <w:rsid w:val="00342E5A"/>
    <w:rsid w:val="00343D2D"/>
    <w:rsid w:val="0034409A"/>
    <w:rsid w:val="00344265"/>
    <w:rsid w:val="00344FD8"/>
    <w:rsid w:val="00345594"/>
    <w:rsid w:val="00345A79"/>
    <w:rsid w:val="00345AC1"/>
    <w:rsid w:val="00345D3F"/>
    <w:rsid w:val="00345F21"/>
    <w:rsid w:val="003470D4"/>
    <w:rsid w:val="0034741F"/>
    <w:rsid w:val="00347B82"/>
    <w:rsid w:val="00347DD4"/>
    <w:rsid w:val="00347F53"/>
    <w:rsid w:val="00350531"/>
    <w:rsid w:val="003505BD"/>
    <w:rsid w:val="0035078B"/>
    <w:rsid w:val="0035143F"/>
    <w:rsid w:val="00351E58"/>
    <w:rsid w:val="00352125"/>
    <w:rsid w:val="0035223F"/>
    <w:rsid w:val="00352795"/>
    <w:rsid w:val="00352AED"/>
    <w:rsid w:val="00352D4B"/>
    <w:rsid w:val="00353591"/>
    <w:rsid w:val="0035363D"/>
    <w:rsid w:val="003539FD"/>
    <w:rsid w:val="00353A0E"/>
    <w:rsid w:val="00353ABF"/>
    <w:rsid w:val="003542AC"/>
    <w:rsid w:val="00354614"/>
    <w:rsid w:val="00354CD1"/>
    <w:rsid w:val="00355E80"/>
    <w:rsid w:val="0035610F"/>
    <w:rsid w:val="0035622B"/>
    <w:rsid w:val="003562F8"/>
    <w:rsid w:val="0035638C"/>
    <w:rsid w:val="00356B89"/>
    <w:rsid w:val="00357611"/>
    <w:rsid w:val="0035773A"/>
    <w:rsid w:val="003577F3"/>
    <w:rsid w:val="003578B9"/>
    <w:rsid w:val="00357A08"/>
    <w:rsid w:val="00357CDC"/>
    <w:rsid w:val="00360479"/>
    <w:rsid w:val="0036052C"/>
    <w:rsid w:val="00361188"/>
    <w:rsid w:val="003630F7"/>
    <w:rsid w:val="0036337B"/>
    <w:rsid w:val="003637B3"/>
    <w:rsid w:val="00363DD5"/>
    <w:rsid w:val="00364147"/>
    <w:rsid w:val="003649F6"/>
    <w:rsid w:val="003653A2"/>
    <w:rsid w:val="00365B88"/>
    <w:rsid w:val="00366108"/>
    <w:rsid w:val="00366575"/>
    <w:rsid w:val="00366898"/>
    <w:rsid w:val="003674A9"/>
    <w:rsid w:val="0036770A"/>
    <w:rsid w:val="003677F3"/>
    <w:rsid w:val="00367B12"/>
    <w:rsid w:val="0037058A"/>
    <w:rsid w:val="003706F2"/>
    <w:rsid w:val="00370AF1"/>
    <w:rsid w:val="00370EE9"/>
    <w:rsid w:val="003714BE"/>
    <w:rsid w:val="0037190C"/>
    <w:rsid w:val="00371928"/>
    <w:rsid w:val="003723A5"/>
    <w:rsid w:val="00373014"/>
    <w:rsid w:val="003734F4"/>
    <w:rsid w:val="003734FC"/>
    <w:rsid w:val="003736D4"/>
    <w:rsid w:val="00373726"/>
    <w:rsid w:val="00373760"/>
    <w:rsid w:val="00373B84"/>
    <w:rsid w:val="00373B9A"/>
    <w:rsid w:val="00373EF0"/>
    <w:rsid w:val="00374093"/>
    <w:rsid w:val="00374100"/>
    <w:rsid w:val="003749B2"/>
    <w:rsid w:val="00374C9A"/>
    <w:rsid w:val="00375989"/>
    <w:rsid w:val="00375A6B"/>
    <w:rsid w:val="00375F0B"/>
    <w:rsid w:val="00375F8F"/>
    <w:rsid w:val="00376157"/>
    <w:rsid w:val="00376575"/>
    <w:rsid w:val="0037673F"/>
    <w:rsid w:val="003768F4"/>
    <w:rsid w:val="00376E68"/>
    <w:rsid w:val="0037714A"/>
    <w:rsid w:val="00377BCF"/>
    <w:rsid w:val="0038042A"/>
    <w:rsid w:val="00380907"/>
    <w:rsid w:val="00381399"/>
    <w:rsid w:val="00381B13"/>
    <w:rsid w:val="00381F6A"/>
    <w:rsid w:val="0038255E"/>
    <w:rsid w:val="003825D1"/>
    <w:rsid w:val="00382F50"/>
    <w:rsid w:val="00382F93"/>
    <w:rsid w:val="00383957"/>
    <w:rsid w:val="00383EF7"/>
    <w:rsid w:val="00384368"/>
    <w:rsid w:val="00385110"/>
    <w:rsid w:val="0038542F"/>
    <w:rsid w:val="003855A3"/>
    <w:rsid w:val="00385DB5"/>
    <w:rsid w:val="003860C2"/>
    <w:rsid w:val="00386557"/>
    <w:rsid w:val="00386DF8"/>
    <w:rsid w:val="00387467"/>
    <w:rsid w:val="003879FC"/>
    <w:rsid w:val="00390034"/>
    <w:rsid w:val="00390910"/>
    <w:rsid w:val="00390C64"/>
    <w:rsid w:val="00390E9C"/>
    <w:rsid w:val="00390F0D"/>
    <w:rsid w:val="00391848"/>
    <w:rsid w:val="003918E6"/>
    <w:rsid w:val="00391A04"/>
    <w:rsid w:val="003925DD"/>
    <w:rsid w:val="0039286A"/>
    <w:rsid w:val="00393117"/>
    <w:rsid w:val="00393C64"/>
    <w:rsid w:val="00394743"/>
    <w:rsid w:val="00395158"/>
    <w:rsid w:val="00395AE3"/>
    <w:rsid w:val="00395B4D"/>
    <w:rsid w:val="00396325"/>
    <w:rsid w:val="0039668C"/>
    <w:rsid w:val="0039695D"/>
    <w:rsid w:val="0039718F"/>
    <w:rsid w:val="0039740C"/>
    <w:rsid w:val="003975B8"/>
    <w:rsid w:val="003979E2"/>
    <w:rsid w:val="00397E34"/>
    <w:rsid w:val="00397F21"/>
    <w:rsid w:val="003A00E9"/>
    <w:rsid w:val="003A044D"/>
    <w:rsid w:val="003A057D"/>
    <w:rsid w:val="003A0798"/>
    <w:rsid w:val="003A0969"/>
    <w:rsid w:val="003A096F"/>
    <w:rsid w:val="003A124E"/>
    <w:rsid w:val="003A18CF"/>
    <w:rsid w:val="003A191E"/>
    <w:rsid w:val="003A1D09"/>
    <w:rsid w:val="003A1DEE"/>
    <w:rsid w:val="003A2169"/>
    <w:rsid w:val="003A2415"/>
    <w:rsid w:val="003A27E9"/>
    <w:rsid w:val="003A2AEE"/>
    <w:rsid w:val="003A2BA4"/>
    <w:rsid w:val="003A383F"/>
    <w:rsid w:val="003A40ED"/>
    <w:rsid w:val="003A43B5"/>
    <w:rsid w:val="003A46BB"/>
    <w:rsid w:val="003A4EC7"/>
    <w:rsid w:val="003A4F16"/>
    <w:rsid w:val="003A51FF"/>
    <w:rsid w:val="003A58FA"/>
    <w:rsid w:val="003A62D3"/>
    <w:rsid w:val="003A6563"/>
    <w:rsid w:val="003A693E"/>
    <w:rsid w:val="003A70ED"/>
    <w:rsid w:val="003A7295"/>
    <w:rsid w:val="003A73B0"/>
    <w:rsid w:val="003A794E"/>
    <w:rsid w:val="003A7F75"/>
    <w:rsid w:val="003B02EA"/>
    <w:rsid w:val="003B0968"/>
    <w:rsid w:val="003B10CB"/>
    <w:rsid w:val="003B1315"/>
    <w:rsid w:val="003B17C8"/>
    <w:rsid w:val="003B1F1C"/>
    <w:rsid w:val="003B1F60"/>
    <w:rsid w:val="003B2058"/>
    <w:rsid w:val="003B2080"/>
    <w:rsid w:val="003B251C"/>
    <w:rsid w:val="003B2B81"/>
    <w:rsid w:val="003B3299"/>
    <w:rsid w:val="003B3919"/>
    <w:rsid w:val="003B3E25"/>
    <w:rsid w:val="003B4126"/>
    <w:rsid w:val="003B436E"/>
    <w:rsid w:val="003B4D03"/>
    <w:rsid w:val="003B5440"/>
    <w:rsid w:val="003B5AC5"/>
    <w:rsid w:val="003B5C0C"/>
    <w:rsid w:val="003B5E34"/>
    <w:rsid w:val="003B5E44"/>
    <w:rsid w:val="003B6DAD"/>
    <w:rsid w:val="003B6EBB"/>
    <w:rsid w:val="003B773F"/>
    <w:rsid w:val="003B77D6"/>
    <w:rsid w:val="003B7A60"/>
    <w:rsid w:val="003B7B9C"/>
    <w:rsid w:val="003B7E96"/>
    <w:rsid w:val="003C097D"/>
    <w:rsid w:val="003C0B02"/>
    <w:rsid w:val="003C0D69"/>
    <w:rsid w:val="003C117E"/>
    <w:rsid w:val="003C140A"/>
    <w:rsid w:val="003C1BA9"/>
    <w:rsid w:val="003C1E65"/>
    <w:rsid w:val="003C2391"/>
    <w:rsid w:val="003C23C3"/>
    <w:rsid w:val="003C2650"/>
    <w:rsid w:val="003C28F2"/>
    <w:rsid w:val="003C2C05"/>
    <w:rsid w:val="003C2CC4"/>
    <w:rsid w:val="003C3820"/>
    <w:rsid w:val="003C3E36"/>
    <w:rsid w:val="003C4884"/>
    <w:rsid w:val="003C4B3A"/>
    <w:rsid w:val="003C4F24"/>
    <w:rsid w:val="003C56AA"/>
    <w:rsid w:val="003C730B"/>
    <w:rsid w:val="003D08F7"/>
    <w:rsid w:val="003D0BF1"/>
    <w:rsid w:val="003D1291"/>
    <w:rsid w:val="003D1D31"/>
    <w:rsid w:val="003D356E"/>
    <w:rsid w:val="003D3C57"/>
    <w:rsid w:val="003D3DDE"/>
    <w:rsid w:val="003D4B23"/>
    <w:rsid w:val="003D4BDA"/>
    <w:rsid w:val="003D51B4"/>
    <w:rsid w:val="003D51B5"/>
    <w:rsid w:val="003D6800"/>
    <w:rsid w:val="003D6CB9"/>
    <w:rsid w:val="003D6D1C"/>
    <w:rsid w:val="003D74C7"/>
    <w:rsid w:val="003D7558"/>
    <w:rsid w:val="003D75DE"/>
    <w:rsid w:val="003D7A0D"/>
    <w:rsid w:val="003D7E11"/>
    <w:rsid w:val="003E0274"/>
    <w:rsid w:val="003E0A3E"/>
    <w:rsid w:val="003E0FF1"/>
    <w:rsid w:val="003E1286"/>
    <w:rsid w:val="003E13D2"/>
    <w:rsid w:val="003E15E6"/>
    <w:rsid w:val="003E1946"/>
    <w:rsid w:val="003E1F73"/>
    <w:rsid w:val="003E22A5"/>
    <w:rsid w:val="003E278A"/>
    <w:rsid w:val="003E3280"/>
    <w:rsid w:val="003E3387"/>
    <w:rsid w:val="003E39BA"/>
    <w:rsid w:val="003E4349"/>
    <w:rsid w:val="003E481A"/>
    <w:rsid w:val="003E4FD8"/>
    <w:rsid w:val="003E5390"/>
    <w:rsid w:val="003E5A96"/>
    <w:rsid w:val="003E5B12"/>
    <w:rsid w:val="003E5B33"/>
    <w:rsid w:val="003E6188"/>
    <w:rsid w:val="003E692A"/>
    <w:rsid w:val="003E76CE"/>
    <w:rsid w:val="003E7E50"/>
    <w:rsid w:val="003F05FC"/>
    <w:rsid w:val="003F0F2F"/>
    <w:rsid w:val="003F2604"/>
    <w:rsid w:val="003F27B7"/>
    <w:rsid w:val="003F290E"/>
    <w:rsid w:val="003F2EE5"/>
    <w:rsid w:val="003F3205"/>
    <w:rsid w:val="003F3377"/>
    <w:rsid w:val="003F3C94"/>
    <w:rsid w:val="003F3FC3"/>
    <w:rsid w:val="003F4717"/>
    <w:rsid w:val="003F4962"/>
    <w:rsid w:val="003F56A0"/>
    <w:rsid w:val="003F57D7"/>
    <w:rsid w:val="003F601B"/>
    <w:rsid w:val="003F61CC"/>
    <w:rsid w:val="003F6209"/>
    <w:rsid w:val="003F63AE"/>
    <w:rsid w:val="003F6597"/>
    <w:rsid w:val="003F7208"/>
    <w:rsid w:val="003F7DFB"/>
    <w:rsid w:val="00400C03"/>
    <w:rsid w:val="00401388"/>
    <w:rsid w:val="00401638"/>
    <w:rsid w:val="004019C9"/>
    <w:rsid w:val="0040249C"/>
    <w:rsid w:val="004025BD"/>
    <w:rsid w:val="004038CC"/>
    <w:rsid w:val="00404753"/>
    <w:rsid w:val="00404810"/>
    <w:rsid w:val="00404846"/>
    <w:rsid w:val="00404D22"/>
    <w:rsid w:val="004053B9"/>
    <w:rsid w:val="00405556"/>
    <w:rsid w:val="00405633"/>
    <w:rsid w:val="00405C81"/>
    <w:rsid w:val="00405D04"/>
    <w:rsid w:val="00406BC0"/>
    <w:rsid w:val="00407035"/>
    <w:rsid w:val="004074A0"/>
    <w:rsid w:val="00407587"/>
    <w:rsid w:val="0040775A"/>
    <w:rsid w:val="00407BE2"/>
    <w:rsid w:val="00407D49"/>
    <w:rsid w:val="00410284"/>
    <w:rsid w:val="00410916"/>
    <w:rsid w:val="00410F0F"/>
    <w:rsid w:val="0041150B"/>
    <w:rsid w:val="00412F48"/>
    <w:rsid w:val="00412FE4"/>
    <w:rsid w:val="004131FA"/>
    <w:rsid w:val="00413520"/>
    <w:rsid w:val="004135F7"/>
    <w:rsid w:val="00414C92"/>
    <w:rsid w:val="0041514C"/>
    <w:rsid w:val="004153CE"/>
    <w:rsid w:val="004155FD"/>
    <w:rsid w:val="0041795E"/>
    <w:rsid w:val="00417B63"/>
    <w:rsid w:val="00420303"/>
    <w:rsid w:val="00420E57"/>
    <w:rsid w:val="00421588"/>
    <w:rsid w:val="00421962"/>
    <w:rsid w:val="00421985"/>
    <w:rsid w:val="00421F91"/>
    <w:rsid w:val="0042201F"/>
    <w:rsid w:val="00422328"/>
    <w:rsid w:val="004225C9"/>
    <w:rsid w:val="00422915"/>
    <w:rsid w:val="00422974"/>
    <w:rsid w:val="004230AD"/>
    <w:rsid w:val="004236DB"/>
    <w:rsid w:val="00423752"/>
    <w:rsid w:val="00423F5E"/>
    <w:rsid w:val="004244DF"/>
    <w:rsid w:val="00424945"/>
    <w:rsid w:val="00424995"/>
    <w:rsid w:val="00424E66"/>
    <w:rsid w:val="00425BAA"/>
    <w:rsid w:val="00426489"/>
    <w:rsid w:val="00426A82"/>
    <w:rsid w:val="00426B3F"/>
    <w:rsid w:val="00426CC2"/>
    <w:rsid w:val="004273C1"/>
    <w:rsid w:val="00427E4E"/>
    <w:rsid w:val="00430B15"/>
    <w:rsid w:val="0043225B"/>
    <w:rsid w:val="004325CB"/>
    <w:rsid w:val="0043280F"/>
    <w:rsid w:val="00432D79"/>
    <w:rsid w:val="00433085"/>
    <w:rsid w:val="00433126"/>
    <w:rsid w:val="00433627"/>
    <w:rsid w:val="004338EC"/>
    <w:rsid w:val="00433A14"/>
    <w:rsid w:val="00433C21"/>
    <w:rsid w:val="00435049"/>
    <w:rsid w:val="004350CA"/>
    <w:rsid w:val="00435283"/>
    <w:rsid w:val="004359BC"/>
    <w:rsid w:val="004360B9"/>
    <w:rsid w:val="00436A97"/>
    <w:rsid w:val="00437F2F"/>
    <w:rsid w:val="004402D3"/>
    <w:rsid w:val="00440A07"/>
    <w:rsid w:val="00441CEE"/>
    <w:rsid w:val="00442421"/>
    <w:rsid w:val="0044280C"/>
    <w:rsid w:val="004431E4"/>
    <w:rsid w:val="00444446"/>
    <w:rsid w:val="00444B81"/>
    <w:rsid w:val="00444DFF"/>
    <w:rsid w:val="00445DC2"/>
    <w:rsid w:val="00446291"/>
    <w:rsid w:val="00446889"/>
    <w:rsid w:val="004469A2"/>
    <w:rsid w:val="00446B0F"/>
    <w:rsid w:val="004470AE"/>
    <w:rsid w:val="004479A2"/>
    <w:rsid w:val="004479C2"/>
    <w:rsid w:val="00447E6E"/>
    <w:rsid w:val="00450F53"/>
    <w:rsid w:val="0045180A"/>
    <w:rsid w:val="00452141"/>
    <w:rsid w:val="004524BA"/>
    <w:rsid w:val="004527AD"/>
    <w:rsid w:val="004528C2"/>
    <w:rsid w:val="00454829"/>
    <w:rsid w:val="004551C6"/>
    <w:rsid w:val="004556F3"/>
    <w:rsid w:val="004562FB"/>
    <w:rsid w:val="00457543"/>
    <w:rsid w:val="0046030A"/>
    <w:rsid w:val="00460440"/>
    <w:rsid w:val="00460A29"/>
    <w:rsid w:val="00460B1E"/>
    <w:rsid w:val="00460E96"/>
    <w:rsid w:val="00462729"/>
    <w:rsid w:val="0046277B"/>
    <w:rsid w:val="00462880"/>
    <w:rsid w:val="0046299C"/>
    <w:rsid w:val="00462C9D"/>
    <w:rsid w:val="004630FB"/>
    <w:rsid w:val="004632B3"/>
    <w:rsid w:val="00463368"/>
    <w:rsid w:val="004635DB"/>
    <w:rsid w:val="004648FE"/>
    <w:rsid w:val="00464BFE"/>
    <w:rsid w:val="00465B0B"/>
    <w:rsid w:val="00466119"/>
    <w:rsid w:val="0046676F"/>
    <w:rsid w:val="00466792"/>
    <w:rsid w:val="00466CB7"/>
    <w:rsid w:val="0046767D"/>
    <w:rsid w:val="004679F3"/>
    <w:rsid w:val="00467B52"/>
    <w:rsid w:val="00471092"/>
    <w:rsid w:val="004710F2"/>
    <w:rsid w:val="004728FC"/>
    <w:rsid w:val="00473843"/>
    <w:rsid w:val="00473A5C"/>
    <w:rsid w:val="00473AB6"/>
    <w:rsid w:val="00473B2F"/>
    <w:rsid w:val="00473EC1"/>
    <w:rsid w:val="004744B4"/>
    <w:rsid w:val="00474828"/>
    <w:rsid w:val="00474E7F"/>
    <w:rsid w:val="00475A52"/>
    <w:rsid w:val="00475B36"/>
    <w:rsid w:val="004761A3"/>
    <w:rsid w:val="00476674"/>
    <w:rsid w:val="00476D3B"/>
    <w:rsid w:val="00476E85"/>
    <w:rsid w:val="00476F24"/>
    <w:rsid w:val="00477630"/>
    <w:rsid w:val="004777F3"/>
    <w:rsid w:val="00477BEB"/>
    <w:rsid w:val="00477C98"/>
    <w:rsid w:val="00477E66"/>
    <w:rsid w:val="004801A9"/>
    <w:rsid w:val="0048021F"/>
    <w:rsid w:val="004803AC"/>
    <w:rsid w:val="004807B7"/>
    <w:rsid w:val="0048082D"/>
    <w:rsid w:val="0048092E"/>
    <w:rsid w:val="004813EA"/>
    <w:rsid w:val="00481FAB"/>
    <w:rsid w:val="0048226E"/>
    <w:rsid w:val="00482AFF"/>
    <w:rsid w:val="00482CA2"/>
    <w:rsid w:val="004831C9"/>
    <w:rsid w:val="00483561"/>
    <w:rsid w:val="00484198"/>
    <w:rsid w:val="00484A79"/>
    <w:rsid w:val="00486632"/>
    <w:rsid w:val="00486D71"/>
    <w:rsid w:val="00487263"/>
    <w:rsid w:val="00487374"/>
    <w:rsid w:val="00487E5A"/>
    <w:rsid w:val="00490830"/>
    <w:rsid w:val="0049198C"/>
    <w:rsid w:val="0049278B"/>
    <w:rsid w:val="00492C5B"/>
    <w:rsid w:val="0049326A"/>
    <w:rsid w:val="004939C6"/>
    <w:rsid w:val="0049471C"/>
    <w:rsid w:val="0049479F"/>
    <w:rsid w:val="0049499C"/>
    <w:rsid w:val="00494C38"/>
    <w:rsid w:val="00495174"/>
    <w:rsid w:val="00495202"/>
    <w:rsid w:val="004954A1"/>
    <w:rsid w:val="00495594"/>
    <w:rsid w:val="0049582A"/>
    <w:rsid w:val="00495CE7"/>
    <w:rsid w:val="00496294"/>
    <w:rsid w:val="00496C12"/>
    <w:rsid w:val="004972BC"/>
    <w:rsid w:val="0049731D"/>
    <w:rsid w:val="00497AC1"/>
    <w:rsid w:val="004A09F1"/>
    <w:rsid w:val="004A0BE4"/>
    <w:rsid w:val="004A0DC2"/>
    <w:rsid w:val="004A1696"/>
    <w:rsid w:val="004A294F"/>
    <w:rsid w:val="004A2BE8"/>
    <w:rsid w:val="004A2FC2"/>
    <w:rsid w:val="004A32A3"/>
    <w:rsid w:val="004A38AC"/>
    <w:rsid w:val="004A3FF1"/>
    <w:rsid w:val="004A45B3"/>
    <w:rsid w:val="004A476F"/>
    <w:rsid w:val="004A5152"/>
    <w:rsid w:val="004A5274"/>
    <w:rsid w:val="004A53B0"/>
    <w:rsid w:val="004A5AC1"/>
    <w:rsid w:val="004A6307"/>
    <w:rsid w:val="004A65E6"/>
    <w:rsid w:val="004A6D3B"/>
    <w:rsid w:val="004A7A5D"/>
    <w:rsid w:val="004B0700"/>
    <w:rsid w:val="004B08FB"/>
    <w:rsid w:val="004B0BC7"/>
    <w:rsid w:val="004B1DF5"/>
    <w:rsid w:val="004B1E10"/>
    <w:rsid w:val="004B1E79"/>
    <w:rsid w:val="004B2844"/>
    <w:rsid w:val="004B2A89"/>
    <w:rsid w:val="004B32F0"/>
    <w:rsid w:val="004B3786"/>
    <w:rsid w:val="004B38AB"/>
    <w:rsid w:val="004B3DC1"/>
    <w:rsid w:val="004B3F76"/>
    <w:rsid w:val="004B4698"/>
    <w:rsid w:val="004B46C8"/>
    <w:rsid w:val="004B4FD4"/>
    <w:rsid w:val="004B57E5"/>
    <w:rsid w:val="004B5D5E"/>
    <w:rsid w:val="004B6F45"/>
    <w:rsid w:val="004B7CC0"/>
    <w:rsid w:val="004C010F"/>
    <w:rsid w:val="004C1265"/>
    <w:rsid w:val="004C14C4"/>
    <w:rsid w:val="004C16CA"/>
    <w:rsid w:val="004C1C9F"/>
    <w:rsid w:val="004C23F3"/>
    <w:rsid w:val="004C2648"/>
    <w:rsid w:val="004C3AFC"/>
    <w:rsid w:val="004C3FBE"/>
    <w:rsid w:val="004C4225"/>
    <w:rsid w:val="004C5018"/>
    <w:rsid w:val="004C517D"/>
    <w:rsid w:val="004C5542"/>
    <w:rsid w:val="004C55B0"/>
    <w:rsid w:val="004C7377"/>
    <w:rsid w:val="004C74B4"/>
    <w:rsid w:val="004C7B40"/>
    <w:rsid w:val="004C7CEE"/>
    <w:rsid w:val="004D0846"/>
    <w:rsid w:val="004D1198"/>
    <w:rsid w:val="004D13C5"/>
    <w:rsid w:val="004D14B9"/>
    <w:rsid w:val="004D22C3"/>
    <w:rsid w:val="004D24F1"/>
    <w:rsid w:val="004D28B0"/>
    <w:rsid w:val="004D2E2E"/>
    <w:rsid w:val="004D35BB"/>
    <w:rsid w:val="004D3F3C"/>
    <w:rsid w:val="004D41BB"/>
    <w:rsid w:val="004D439C"/>
    <w:rsid w:val="004D4622"/>
    <w:rsid w:val="004D4789"/>
    <w:rsid w:val="004D48FE"/>
    <w:rsid w:val="004D4982"/>
    <w:rsid w:val="004D5887"/>
    <w:rsid w:val="004D5D5C"/>
    <w:rsid w:val="004D6048"/>
    <w:rsid w:val="004D6064"/>
    <w:rsid w:val="004D60EB"/>
    <w:rsid w:val="004D6492"/>
    <w:rsid w:val="004D690B"/>
    <w:rsid w:val="004D71BB"/>
    <w:rsid w:val="004D74CB"/>
    <w:rsid w:val="004D7552"/>
    <w:rsid w:val="004D7C5F"/>
    <w:rsid w:val="004D7ED9"/>
    <w:rsid w:val="004D7F24"/>
    <w:rsid w:val="004D7FA4"/>
    <w:rsid w:val="004E029C"/>
    <w:rsid w:val="004E05E2"/>
    <w:rsid w:val="004E097F"/>
    <w:rsid w:val="004E0D13"/>
    <w:rsid w:val="004E0F10"/>
    <w:rsid w:val="004E1D34"/>
    <w:rsid w:val="004E2C9F"/>
    <w:rsid w:val="004E4067"/>
    <w:rsid w:val="004E4697"/>
    <w:rsid w:val="004E4B26"/>
    <w:rsid w:val="004E51B0"/>
    <w:rsid w:val="004E6347"/>
    <w:rsid w:val="004E699D"/>
    <w:rsid w:val="004E6A93"/>
    <w:rsid w:val="004E6D01"/>
    <w:rsid w:val="004E6D06"/>
    <w:rsid w:val="004E6D18"/>
    <w:rsid w:val="004E777C"/>
    <w:rsid w:val="004E7F7F"/>
    <w:rsid w:val="004F0890"/>
    <w:rsid w:val="004F0913"/>
    <w:rsid w:val="004F0A6F"/>
    <w:rsid w:val="004F1240"/>
    <w:rsid w:val="004F30DC"/>
    <w:rsid w:val="004F325A"/>
    <w:rsid w:val="004F3504"/>
    <w:rsid w:val="004F3568"/>
    <w:rsid w:val="004F3831"/>
    <w:rsid w:val="004F3B0A"/>
    <w:rsid w:val="004F3DB7"/>
    <w:rsid w:val="004F4070"/>
    <w:rsid w:val="004F4E1E"/>
    <w:rsid w:val="004F4F12"/>
    <w:rsid w:val="004F5577"/>
    <w:rsid w:val="004F69CC"/>
    <w:rsid w:val="004F6BA0"/>
    <w:rsid w:val="004F6C13"/>
    <w:rsid w:val="004F6E4C"/>
    <w:rsid w:val="004F7058"/>
    <w:rsid w:val="004F7391"/>
    <w:rsid w:val="004F7AA7"/>
    <w:rsid w:val="004F7F7E"/>
    <w:rsid w:val="004F7FA5"/>
    <w:rsid w:val="005002E5"/>
    <w:rsid w:val="00500586"/>
    <w:rsid w:val="0050067E"/>
    <w:rsid w:val="00500BC5"/>
    <w:rsid w:val="00500FA8"/>
    <w:rsid w:val="0050146A"/>
    <w:rsid w:val="00501C75"/>
    <w:rsid w:val="0050258C"/>
    <w:rsid w:val="005028B6"/>
    <w:rsid w:val="00502ABB"/>
    <w:rsid w:val="00502C22"/>
    <w:rsid w:val="00503BEA"/>
    <w:rsid w:val="00504802"/>
    <w:rsid w:val="00504C95"/>
    <w:rsid w:val="005058E8"/>
    <w:rsid w:val="0050603C"/>
    <w:rsid w:val="0050627E"/>
    <w:rsid w:val="0050669D"/>
    <w:rsid w:val="00506870"/>
    <w:rsid w:val="0050716D"/>
    <w:rsid w:val="0050725B"/>
    <w:rsid w:val="005074D1"/>
    <w:rsid w:val="00507700"/>
    <w:rsid w:val="00507B41"/>
    <w:rsid w:val="00507D24"/>
    <w:rsid w:val="00511346"/>
    <w:rsid w:val="005114F4"/>
    <w:rsid w:val="00511975"/>
    <w:rsid w:val="00512243"/>
    <w:rsid w:val="00512898"/>
    <w:rsid w:val="00512985"/>
    <w:rsid w:val="00513724"/>
    <w:rsid w:val="00513979"/>
    <w:rsid w:val="00513A60"/>
    <w:rsid w:val="00513BDB"/>
    <w:rsid w:val="005142DE"/>
    <w:rsid w:val="0051556A"/>
    <w:rsid w:val="00515B14"/>
    <w:rsid w:val="00515D78"/>
    <w:rsid w:val="005162E0"/>
    <w:rsid w:val="0051716A"/>
    <w:rsid w:val="00517998"/>
    <w:rsid w:val="00517B0A"/>
    <w:rsid w:val="00517CCE"/>
    <w:rsid w:val="005201B7"/>
    <w:rsid w:val="005206F8"/>
    <w:rsid w:val="00520FFD"/>
    <w:rsid w:val="0052180E"/>
    <w:rsid w:val="00521817"/>
    <w:rsid w:val="0052195E"/>
    <w:rsid w:val="005219CB"/>
    <w:rsid w:val="005219FB"/>
    <w:rsid w:val="00521E39"/>
    <w:rsid w:val="00522A02"/>
    <w:rsid w:val="00522B7C"/>
    <w:rsid w:val="00522CB4"/>
    <w:rsid w:val="00523482"/>
    <w:rsid w:val="00523585"/>
    <w:rsid w:val="00523C3B"/>
    <w:rsid w:val="00524BB8"/>
    <w:rsid w:val="00524BBA"/>
    <w:rsid w:val="005252C4"/>
    <w:rsid w:val="00525890"/>
    <w:rsid w:val="00525E51"/>
    <w:rsid w:val="005263A9"/>
    <w:rsid w:val="00526FE3"/>
    <w:rsid w:val="00527B42"/>
    <w:rsid w:val="00527EA4"/>
    <w:rsid w:val="00530758"/>
    <w:rsid w:val="00530994"/>
    <w:rsid w:val="0053101B"/>
    <w:rsid w:val="00531400"/>
    <w:rsid w:val="00531D2C"/>
    <w:rsid w:val="00531F0C"/>
    <w:rsid w:val="00532240"/>
    <w:rsid w:val="0053288A"/>
    <w:rsid w:val="00532D61"/>
    <w:rsid w:val="00532F7F"/>
    <w:rsid w:val="005331E8"/>
    <w:rsid w:val="00533616"/>
    <w:rsid w:val="00533C11"/>
    <w:rsid w:val="00533DF2"/>
    <w:rsid w:val="00533E2A"/>
    <w:rsid w:val="005341DF"/>
    <w:rsid w:val="005346F0"/>
    <w:rsid w:val="00534A36"/>
    <w:rsid w:val="00535664"/>
    <w:rsid w:val="00535807"/>
    <w:rsid w:val="0053597D"/>
    <w:rsid w:val="00535ABA"/>
    <w:rsid w:val="00535D22"/>
    <w:rsid w:val="005360A3"/>
    <w:rsid w:val="005361F1"/>
    <w:rsid w:val="005367D0"/>
    <w:rsid w:val="0053686C"/>
    <w:rsid w:val="00536F3E"/>
    <w:rsid w:val="0053707D"/>
    <w:rsid w:val="0053716A"/>
    <w:rsid w:val="0053768B"/>
    <w:rsid w:val="00537952"/>
    <w:rsid w:val="0054018E"/>
    <w:rsid w:val="00540A8F"/>
    <w:rsid w:val="00540C7C"/>
    <w:rsid w:val="0054163E"/>
    <w:rsid w:val="0054177F"/>
    <w:rsid w:val="00541BB7"/>
    <w:rsid w:val="00541F55"/>
    <w:rsid w:val="00541F74"/>
    <w:rsid w:val="005420F2"/>
    <w:rsid w:val="0054214A"/>
    <w:rsid w:val="0054285C"/>
    <w:rsid w:val="00542956"/>
    <w:rsid w:val="005429E0"/>
    <w:rsid w:val="0054380E"/>
    <w:rsid w:val="005439ED"/>
    <w:rsid w:val="005441D4"/>
    <w:rsid w:val="005450D9"/>
    <w:rsid w:val="00545323"/>
    <w:rsid w:val="00545777"/>
    <w:rsid w:val="005458A9"/>
    <w:rsid w:val="00545E74"/>
    <w:rsid w:val="00546563"/>
    <w:rsid w:val="00546751"/>
    <w:rsid w:val="0054680F"/>
    <w:rsid w:val="00546C33"/>
    <w:rsid w:val="00546CA5"/>
    <w:rsid w:val="005472EB"/>
    <w:rsid w:val="00547C2C"/>
    <w:rsid w:val="00547EC6"/>
    <w:rsid w:val="00550864"/>
    <w:rsid w:val="00551641"/>
    <w:rsid w:val="00551DAF"/>
    <w:rsid w:val="00551E8F"/>
    <w:rsid w:val="00551F94"/>
    <w:rsid w:val="005521F0"/>
    <w:rsid w:val="005522F0"/>
    <w:rsid w:val="00552878"/>
    <w:rsid w:val="00552AED"/>
    <w:rsid w:val="00552C73"/>
    <w:rsid w:val="00552F98"/>
    <w:rsid w:val="00553121"/>
    <w:rsid w:val="005533E9"/>
    <w:rsid w:val="00553474"/>
    <w:rsid w:val="00553502"/>
    <w:rsid w:val="005546EA"/>
    <w:rsid w:val="0055506C"/>
    <w:rsid w:val="00555597"/>
    <w:rsid w:val="00555D44"/>
    <w:rsid w:val="00556146"/>
    <w:rsid w:val="00556A51"/>
    <w:rsid w:val="00557713"/>
    <w:rsid w:val="00557D94"/>
    <w:rsid w:val="00557DFB"/>
    <w:rsid w:val="0056000C"/>
    <w:rsid w:val="00560349"/>
    <w:rsid w:val="00560597"/>
    <w:rsid w:val="00560ACB"/>
    <w:rsid w:val="00561956"/>
    <w:rsid w:val="00561CED"/>
    <w:rsid w:val="00562958"/>
    <w:rsid w:val="00562BCA"/>
    <w:rsid w:val="00562BCC"/>
    <w:rsid w:val="00562C2B"/>
    <w:rsid w:val="00562D71"/>
    <w:rsid w:val="005632F9"/>
    <w:rsid w:val="005633E6"/>
    <w:rsid w:val="00564A25"/>
    <w:rsid w:val="00564BC6"/>
    <w:rsid w:val="00564E58"/>
    <w:rsid w:val="00565E16"/>
    <w:rsid w:val="00566FC6"/>
    <w:rsid w:val="0057005C"/>
    <w:rsid w:val="005708E4"/>
    <w:rsid w:val="00570F4A"/>
    <w:rsid w:val="0057123B"/>
    <w:rsid w:val="00571A50"/>
    <w:rsid w:val="00572A67"/>
    <w:rsid w:val="00572DDF"/>
    <w:rsid w:val="00572F9C"/>
    <w:rsid w:val="00573998"/>
    <w:rsid w:val="00573A7D"/>
    <w:rsid w:val="005743F8"/>
    <w:rsid w:val="00574DAB"/>
    <w:rsid w:val="0057555A"/>
    <w:rsid w:val="0057564B"/>
    <w:rsid w:val="00575750"/>
    <w:rsid w:val="00575A19"/>
    <w:rsid w:val="00576298"/>
    <w:rsid w:val="00576BD9"/>
    <w:rsid w:val="00576CC0"/>
    <w:rsid w:val="005770E8"/>
    <w:rsid w:val="00577927"/>
    <w:rsid w:val="00577B1E"/>
    <w:rsid w:val="00577C01"/>
    <w:rsid w:val="0058000F"/>
    <w:rsid w:val="0058019B"/>
    <w:rsid w:val="005811B3"/>
    <w:rsid w:val="00581966"/>
    <w:rsid w:val="005819A7"/>
    <w:rsid w:val="00581D52"/>
    <w:rsid w:val="00582361"/>
    <w:rsid w:val="00582F9D"/>
    <w:rsid w:val="00582FDE"/>
    <w:rsid w:val="00583035"/>
    <w:rsid w:val="005834E2"/>
    <w:rsid w:val="00583D5F"/>
    <w:rsid w:val="00584173"/>
    <w:rsid w:val="00584A8D"/>
    <w:rsid w:val="00585782"/>
    <w:rsid w:val="00586CE1"/>
    <w:rsid w:val="005877E8"/>
    <w:rsid w:val="00587C4B"/>
    <w:rsid w:val="0059023D"/>
    <w:rsid w:val="005907B8"/>
    <w:rsid w:val="00591788"/>
    <w:rsid w:val="00591B1F"/>
    <w:rsid w:val="005929CF"/>
    <w:rsid w:val="00593011"/>
    <w:rsid w:val="005930B1"/>
    <w:rsid w:val="0059318E"/>
    <w:rsid w:val="005933F1"/>
    <w:rsid w:val="005934E9"/>
    <w:rsid w:val="00593522"/>
    <w:rsid w:val="005936FF"/>
    <w:rsid w:val="00593DB8"/>
    <w:rsid w:val="005942A8"/>
    <w:rsid w:val="0059486E"/>
    <w:rsid w:val="0059494E"/>
    <w:rsid w:val="00595520"/>
    <w:rsid w:val="00595DC0"/>
    <w:rsid w:val="00596749"/>
    <w:rsid w:val="005A0277"/>
    <w:rsid w:val="005A0648"/>
    <w:rsid w:val="005A0673"/>
    <w:rsid w:val="005A0D4D"/>
    <w:rsid w:val="005A115F"/>
    <w:rsid w:val="005A1738"/>
    <w:rsid w:val="005A188E"/>
    <w:rsid w:val="005A1E24"/>
    <w:rsid w:val="005A2245"/>
    <w:rsid w:val="005A2255"/>
    <w:rsid w:val="005A269D"/>
    <w:rsid w:val="005A2F85"/>
    <w:rsid w:val="005A359A"/>
    <w:rsid w:val="005A372A"/>
    <w:rsid w:val="005A3B41"/>
    <w:rsid w:val="005A3BC2"/>
    <w:rsid w:val="005A441D"/>
    <w:rsid w:val="005A44B9"/>
    <w:rsid w:val="005A467C"/>
    <w:rsid w:val="005A47CA"/>
    <w:rsid w:val="005A54DD"/>
    <w:rsid w:val="005A58CF"/>
    <w:rsid w:val="005A5C19"/>
    <w:rsid w:val="005A72E0"/>
    <w:rsid w:val="005A7327"/>
    <w:rsid w:val="005A75B4"/>
    <w:rsid w:val="005A7A2C"/>
    <w:rsid w:val="005B0BF1"/>
    <w:rsid w:val="005B19C7"/>
    <w:rsid w:val="005B1A85"/>
    <w:rsid w:val="005B1BA0"/>
    <w:rsid w:val="005B1CF3"/>
    <w:rsid w:val="005B262E"/>
    <w:rsid w:val="005B2897"/>
    <w:rsid w:val="005B2D06"/>
    <w:rsid w:val="005B321C"/>
    <w:rsid w:val="005B3509"/>
    <w:rsid w:val="005B3C6A"/>
    <w:rsid w:val="005B3DB3"/>
    <w:rsid w:val="005B4931"/>
    <w:rsid w:val="005B4980"/>
    <w:rsid w:val="005B4BC6"/>
    <w:rsid w:val="005B5BBA"/>
    <w:rsid w:val="005B7749"/>
    <w:rsid w:val="005C00F9"/>
    <w:rsid w:val="005C2279"/>
    <w:rsid w:val="005C2A86"/>
    <w:rsid w:val="005C3399"/>
    <w:rsid w:val="005C3540"/>
    <w:rsid w:val="005C3EB0"/>
    <w:rsid w:val="005C3FB5"/>
    <w:rsid w:val="005C4512"/>
    <w:rsid w:val="005C535B"/>
    <w:rsid w:val="005C5A1D"/>
    <w:rsid w:val="005C5CBB"/>
    <w:rsid w:val="005C655A"/>
    <w:rsid w:val="005C6884"/>
    <w:rsid w:val="005C7287"/>
    <w:rsid w:val="005C7AAF"/>
    <w:rsid w:val="005C7C2C"/>
    <w:rsid w:val="005C7CE7"/>
    <w:rsid w:val="005C7DA7"/>
    <w:rsid w:val="005D000F"/>
    <w:rsid w:val="005D07FD"/>
    <w:rsid w:val="005D08AC"/>
    <w:rsid w:val="005D12A3"/>
    <w:rsid w:val="005D133C"/>
    <w:rsid w:val="005D15CA"/>
    <w:rsid w:val="005D2A2E"/>
    <w:rsid w:val="005D2FB3"/>
    <w:rsid w:val="005D32CB"/>
    <w:rsid w:val="005D340F"/>
    <w:rsid w:val="005D3E4D"/>
    <w:rsid w:val="005D4A36"/>
    <w:rsid w:val="005D50CD"/>
    <w:rsid w:val="005D5440"/>
    <w:rsid w:val="005D5558"/>
    <w:rsid w:val="005D5F4F"/>
    <w:rsid w:val="005D6CBA"/>
    <w:rsid w:val="005D6E8E"/>
    <w:rsid w:val="005D6F00"/>
    <w:rsid w:val="005D7B26"/>
    <w:rsid w:val="005D7CCF"/>
    <w:rsid w:val="005D7D61"/>
    <w:rsid w:val="005E0628"/>
    <w:rsid w:val="005E09E6"/>
    <w:rsid w:val="005E37F7"/>
    <w:rsid w:val="005E3B52"/>
    <w:rsid w:val="005E4037"/>
    <w:rsid w:val="005E4601"/>
    <w:rsid w:val="005E47A7"/>
    <w:rsid w:val="005E4C40"/>
    <w:rsid w:val="005E4F88"/>
    <w:rsid w:val="005E53E7"/>
    <w:rsid w:val="005E5774"/>
    <w:rsid w:val="005E6023"/>
    <w:rsid w:val="005E7A93"/>
    <w:rsid w:val="005E7BF7"/>
    <w:rsid w:val="005E7FBF"/>
    <w:rsid w:val="005F030C"/>
    <w:rsid w:val="005F042C"/>
    <w:rsid w:val="005F0F7C"/>
    <w:rsid w:val="005F1854"/>
    <w:rsid w:val="005F213D"/>
    <w:rsid w:val="005F22F8"/>
    <w:rsid w:val="005F3066"/>
    <w:rsid w:val="005F37D4"/>
    <w:rsid w:val="005F39A3"/>
    <w:rsid w:val="005F3A38"/>
    <w:rsid w:val="005F3C4A"/>
    <w:rsid w:val="005F3E08"/>
    <w:rsid w:val="005F3E61"/>
    <w:rsid w:val="005F3FA2"/>
    <w:rsid w:val="005F47F2"/>
    <w:rsid w:val="005F4FE7"/>
    <w:rsid w:val="005F53CC"/>
    <w:rsid w:val="005F5D0F"/>
    <w:rsid w:val="005F5F36"/>
    <w:rsid w:val="005F6F2D"/>
    <w:rsid w:val="005F74CE"/>
    <w:rsid w:val="005F7C00"/>
    <w:rsid w:val="00600384"/>
    <w:rsid w:val="006013E0"/>
    <w:rsid w:val="00601B89"/>
    <w:rsid w:val="00601E0F"/>
    <w:rsid w:val="0060207C"/>
    <w:rsid w:val="00602467"/>
    <w:rsid w:val="00602613"/>
    <w:rsid w:val="006029DE"/>
    <w:rsid w:val="00602E41"/>
    <w:rsid w:val="006033E9"/>
    <w:rsid w:val="00603A2F"/>
    <w:rsid w:val="006047AA"/>
    <w:rsid w:val="006047F0"/>
    <w:rsid w:val="00604DDD"/>
    <w:rsid w:val="00604E19"/>
    <w:rsid w:val="00604E1C"/>
    <w:rsid w:val="00604F3A"/>
    <w:rsid w:val="00605278"/>
    <w:rsid w:val="00606098"/>
    <w:rsid w:val="00606380"/>
    <w:rsid w:val="006064CA"/>
    <w:rsid w:val="006066EE"/>
    <w:rsid w:val="00606FE2"/>
    <w:rsid w:val="006073C7"/>
    <w:rsid w:val="006079BB"/>
    <w:rsid w:val="00607D70"/>
    <w:rsid w:val="00610E99"/>
    <w:rsid w:val="00611587"/>
    <w:rsid w:val="006115CC"/>
    <w:rsid w:val="00611FC4"/>
    <w:rsid w:val="00612522"/>
    <w:rsid w:val="00613AC4"/>
    <w:rsid w:val="00613C80"/>
    <w:rsid w:val="00614380"/>
    <w:rsid w:val="006144A8"/>
    <w:rsid w:val="00614C26"/>
    <w:rsid w:val="0061500D"/>
    <w:rsid w:val="00615223"/>
    <w:rsid w:val="0061523D"/>
    <w:rsid w:val="00615786"/>
    <w:rsid w:val="00615B65"/>
    <w:rsid w:val="006168A9"/>
    <w:rsid w:val="00616E4A"/>
    <w:rsid w:val="00616F19"/>
    <w:rsid w:val="0061719E"/>
    <w:rsid w:val="006176FB"/>
    <w:rsid w:val="0062085E"/>
    <w:rsid w:val="00620874"/>
    <w:rsid w:val="0062192F"/>
    <w:rsid w:val="00621C0B"/>
    <w:rsid w:val="006227CA"/>
    <w:rsid w:val="006228A3"/>
    <w:rsid w:val="00622EF9"/>
    <w:rsid w:val="00622F5A"/>
    <w:rsid w:val="006236BF"/>
    <w:rsid w:val="006236D0"/>
    <w:rsid w:val="006248C5"/>
    <w:rsid w:val="00624F86"/>
    <w:rsid w:val="0062578E"/>
    <w:rsid w:val="00625B83"/>
    <w:rsid w:val="00625BBA"/>
    <w:rsid w:val="00625EC8"/>
    <w:rsid w:val="00625F6A"/>
    <w:rsid w:val="00626B06"/>
    <w:rsid w:val="00627420"/>
    <w:rsid w:val="00627540"/>
    <w:rsid w:val="00627626"/>
    <w:rsid w:val="006278F6"/>
    <w:rsid w:val="00627B1D"/>
    <w:rsid w:val="00627E32"/>
    <w:rsid w:val="006308AC"/>
    <w:rsid w:val="00630FCB"/>
    <w:rsid w:val="0063153F"/>
    <w:rsid w:val="0063163D"/>
    <w:rsid w:val="006318F1"/>
    <w:rsid w:val="00631BDC"/>
    <w:rsid w:val="00631C64"/>
    <w:rsid w:val="00632135"/>
    <w:rsid w:val="0063229B"/>
    <w:rsid w:val="0063258C"/>
    <w:rsid w:val="0063298D"/>
    <w:rsid w:val="00632B72"/>
    <w:rsid w:val="00633172"/>
    <w:rsid w:val="00633B82"/>
    <w:rsid w:val="00635214"/>
    <w:rsid w:val="00635CC5"/>
    <w:rsid w:val="00636A7D"/>
    <w:rsid w:val="0063729E"/>
    <w:rsid w:val="006372AB"/>
    <w:rsid w:val="00637633"/>
    <w:rsid w:val="0064002E"/>
    <w:rsid w:val="006402F1"/>
    <w:rsid w:val="006403F0"/>
    <w:rsid w:val="00640587"/>
    <w:rsid w:val="00640B26"/>
    <w:rsid w:val="006411A3"/>
    <w:rsid w:val="006416A4"/>
    <w:rsid w:val="00641D46"/>
    <w:rsid w:val="00641DFE"/>
    <w:rsid w:val="00642471"/>
    <w:rsid w:val="00643B29"/>
    <w:rsid w:val="0064478E"/>
    <w:rsid w:val="00644905"/>
    <w:rsid w:val="00644D18"/>
    <w:rsid w:val="006459DE"/>
    <w:rsid w:val="00645B81"/>
    <w:rsid w:val="00645E73"/>
    <w:rsid w:val="006462C9"/>
    <w:rsid w:val="0064635A"/>
    <w:rsid w:val="0064670D"/>
    <w:rsid w:val="00647D6F"/>
    <w:rsid w:val="0065006F"/>
    <w:rsid w:val="00651266"/>
    <w:rsid w:val="0065191F"/>
    <w:rsid w:val="00651A69"/>
    <w:rsid w:val="00651F0D"/>
    <w:rsid w:val="00652228"/>
    <w:rsid w:val="00652ABA"/>
    <w:rsid w:val="00652BF2"/>
    <w:rsid w:val="00652ED1"/>
    <w:rsid w:val="00653605"/>
    <w:rsid w:val="00653723"/>
    <w:rsid w:val="006540FE"/>
    <w:rsid w:val="00654B99"/>
    <w:rsid w:val="00654FC5"/>
    <w:rsid w:val="006557EB"/>
    <w:rsid w:val="00655FDE"/>
    <w:rsid w:val="00656475"/>
    <w:rsid w:val="006564ED"/>
    <w:rsid w:val="006576CC"/>
    <w:rsid w:val="00657D69"/>
    <w:rsid w:val="00660082"/>
    <w:rsid w:val="006607C3"/>
    <w:rsid w:val="00660C5D"/>
    <w:rsid w:val="00660E31"/>
    <w:rsid w:val="006613D3"/>
    <w:rsid w:val="006614DD"/>
    <w:rsid w:val="00661A4B"/>
    <w:rsid w:val="006621AD"/>
    <w:rsid w:val="00662840"/>
    <w:rsid w:val="00662D72"/>
    <w:rsid w:val="00663326"/>
    <w:rsid w:val="006639F6"/>
    <w:rsid w:val="00663C2B"/>
    <w:rsid w:val="00663F89"/>
    <w:rsid w:val="00665F22"/>
    <w:rsid w:val="00666846"/>
    <w:rsid w:val="00667870"/>
    <w:rsid w:val="00667E95"/>
    <w:rsid w:val="00667ED6"/>
    <w:rsid w:val="00667FA2"/>
    <w:rsid w:val="006707AE"/>
    <w:rsid w:val="00671621"/>
    <w:rsid w:val="00671650"/>
    <w:rsid w:val="006722AC"/>
    <w:rsid w:val="00672571"/>
    <w:rsid w:val="00672CA1"/>
    <w:rsid w:val="006741EA"/>
    <w:rsid w:val="00674271"/>
    <w:rsid w:val="00674374"/>
    <w:rsid w:val="00674AF8"/>
    <w:rsid w:val="00674FAD"/>
    <w:rsid w:val="006759D9"/>
    <w:rsid w:val="00675DBD"/>
    <w:rsid w:val="0067652F"/>
    <w:rsid w:val="00676E81"/>
    <w:rsid w:val="00676ECE"/>
    <w:rsid w:val="006770B2"/>
    <w:rsid w:val="00677183"/>
    <w:rsid w:val="00677717"/>
    <w:rsid w:val="006778ED"/>
    <w:rsid w:val="00677CD3"/>
    <w:rsid w:val="00677D70"/>
    <w:rsid w:val="00677DF4"/>
    <w:rsid w:val="00677E06"/>
    <w:rsid w:val="00677E98"/>
    <w:rsid w:val="0068022B"/>
    <w:rsid w:val="006806A4"/>
    <w:rsid w:val="006807C4"/>
    <w:rsid w:val="00680EB7"/>
    <w:rsid w:val="006813F8"/>
    <w:rsid w:val="006814D1"/>
    <w:rsid w:val="0068208B"/>
    <w:rsid w:val="00682C19"/>
    <w:rsid w:val="00683167"/>
    <w:rsid w:val="00683C0A"/>
    <w:rsid w:val="00683D1C"/>
    <w:rsid w:val="00684468"/>
    <w:rsid w:val="0068447C"/>
    <w:rsid w:val="006849F4"/>
    <w:rsid w:val="00684A0B"/>
    <w:rsid w:val="00684ADC"/>
    <w:rsid w:val="00684BFA"/>
    <w:rsid w:val="00684CDF"/>
    <w:rsid w:val="00684F05"/>
    <w:rsid w:val="00685B0A"/>
    <w:rsid w:val="00685FDF"/>
    <w:rsid w:val="00686D42"/>
    <w:rsid w:val="0068707F"/>
    <w:rsid w:val="00687348"/>
    <w:rsid w:val="0068781C"/>
    <w:rsid w:val="0068782B"/>
    <w:rsid w:val="006904A2"/>
    <w:rsid w:val="00690606"/>
    <w:rsid w:val="0069077C"/>
    <w:rsid w:val="006908CE"/>
    <w:rsid w:val="00691361"/>
    <w:rsid w:val="006913E1"/>
    <w:rsid w:val="00691D1D"/>
    <w:rsid w:val="00691D51"/>
    <w:rsid w:val="006929EE"/>
    <w:rsid w:val="00692E4E"/>
    <w:rsid w:val="00692FF7"/>
    <w:rsid w:val="00693098"/>
    <w:rsid w:val="00693151"/>
    <w:rsid w:val="0069319A"/>
    <w:rsid w:val="006940E1"/>
    <w:rsid w:val="0069410F"/>
    <w:rsid w:val="00694C82"/>
    <w:rsid w:val="00694E5D"/>
    <w:rsid w:val="00695031"/>
    <w:rsid w:val="006952E3"/>
    <w:rsid w:val="00695543"/>
    <w:rsid w:val="00695D7A"/>
    <w:rsid w:val="00696E2F"/>
    <w:rsid w:val="006970FF"/>
    <w:rsid w:val="0069776C"/>
    <w:rsid w:val="006A031E"/>
    <w:rsid w:val="006A063A"/>
    <w:rsid w:val="006A070E"/>
    <w:rsid w:val="006A0D75"/>
    <w:rsid w:val="006A0DCD"/>
    <w:rsid w:val="006A0FC1"/>
    <w:rsid w:val="006A10B8"/>
    <w:rsid w:val="006A15D7"/>
    <w:rsid w:val="006A178A"/>
    <w:rsid w:val="006A2002"/>
    <w:rsid w:val="006A26FC"/>
    <w:rsid w:val="006A28A3"/>
    <w:rsid w:val="006A3287"/>
    <w:rsid w:val="006A3446"/>
    <w:rsid w:val="006A39C0"/>
    <w:rsid w:val="006A3C72"/>
    <w:rsid w:val="006A48F6"/>
    <w:rsid w:val="006A4DFE"/>
    <w:rsid w:val="006A53F8"/>
    <w:rsid w:val="006A5423"/>
    <w:rsid w:val="006A5E92"/>
    <w:rsid w:val="006A60D7"/>
    <w:rsid w:val="006A65A1"/>
    <w:rsid w:val="006A71A2"/>
    <w:rsid w:val="006A7392"/>
    <w:rsid w:val="006A753F"/>
    <w:rsid w:val="006A7975"/>
    <w:rsid w:val="006B03A1"/>
    <w:rsid w:val="006B066D"/>
    <w:rsid w:val="006B0BB1"/>
    <w:rsid w:val="006B1DC7"/>
    <w:rsid w:val="006B1FEB"/>
    <w:rsid w:val="006B2C24"/>
    <w:rsid w:val="006B3019"/>
    <w:rsid w:val="006B30FC"/>
    <w:rsid w:val="006B3413"/>
    <w:rsid w:val="006B381B"/>
    <w:rsid w:val="006B3DDD"/>
    <w:rsid w:val="006B3ED4"/>
    <w:rsid w:val="006B3EFA"/>
    <w:rsid w:val="006B4892"/>
    <w:rsid w:val="006B49FB"/>
    <w:rsid w:val="006B4D0C"/>
    <w:rsid w:val="006B538F"/>
    <w:rsid w:val="006B53E2"/>
    <w:rsid w:val="006B5592"/>
    <w:rsid w:val="006B5DB0"/>
    <w:rsid w:val="006B5FA6"/>
    <w:rsid w:val="006B6179"/>
    <w:rsid w:val="006B64CE"/>
    <w:rsid w:val="006B6731"/>
    <w:rsid w:val="006B67D9"/>
    <w:rsid w:val="006B69B0"/>
    <w:rsid w:val="006B7AAA"/>
    <w:rsid w:val="006C0456"/>
    <w:rsid w:val="006C0860"/>
    <w:rsid w:val="006C09EE"/>
    <w:rsid w:val="006C0A67"/>
    <w:rsid w:val="006C12A8"/>
    <w:rsid w:val="006C1463"/>
    <w:rsid w:val="006C158E"/>
    <w:rsid w:val="006C1F82"/>
    <w:rsid w:val="006C2066"/>
    <w:rsid w:val="006C2544"/>
    <w:rsid w:val="006C2AA6"/>
    <w:rsid w:val="006C2E89"/>
    <w:rsid w:val="006C347B"/>
    <w:rsid w:val="006C3A5A"/>
    <w:rsid w:val="006C45BB"/>
    <w:rsid w:val="006C4C27"/>
    <w:rsid w:val="006C52EB"/>
    <w:rsid w:val="006C53D7"/>
    <w:rsid w:val="006C5535"/>
    <w:rsid w:val="006C5E47"/>
    <w:rsid w:val="006C6708"/>
    <w:rsid w:val="006C6C18"/>
    <w:rsid w:val="006C7522"/>
    <w:rsid w:val="006C7A45"/>
    <w:rsid w:val="006C7C2E"/>
    <w:rsid w:val="006D0399"/>
    <w:rsid w:val="006D0447"/>
    <w:rsid w:val="006D0589"/>
    <w:rsid w:val="006D15BB"/>
    <w:rsid w:val="006D2529"/>
    <w:rsid w:val="006D293C"/>
    <w:rsid w:val="006D2C44"/>
    <w:rsid w:val="006D3751"/>
    <w:rsid w:val="006D3C48"/>
    <w:rsid w:val="006D40FA"/>
    <w:rsid w:val="006D45A0"/>
    <w:rsid w:val="006D45F0"/>
    <w:rsid w:val="006D46FC"/>
    <w:rsid w:val="006D48E4"/>
    <w:rsid w:val="006D4C43"/>
    <w:rsid w:val="006D4D22"/>
    <w:rsid w:val="006D5619"/>
    <w:rsid w:val="006D5624"/>
    <w:rsid w:val="006D5E47"/>
    <w:rsid w:val="006D6A2E"/>
    <w:rsid w:val="006E072C"/>
    <w:rsid w:val="006E0DA0"/>
    <w:rsid w:val="006E1283"/>
    <w:rsid w:val="006E1689"/>
    <w:rsid w:val="006E1771"/>
    <w:rsid w:val="006E1CD1"/>
    <w:rsid w:val="006E1D45"/>
    <w:rsid w:val="006E26EE"/>
    <w:rsid w:val="006E2D53"/>
    <w:rsid w:val="006E30C3"/>
    <w:rsid w:val="006E3273"/>
    <w:rsid w:val="006E3A52"/>
    <w:rsid w:val="006E40D1"/>
    <w:rsid w:val="006E470A"/>
    <w:rsid w:val="006E4B41"/>
    <w:rsid w:val="006E5011"/>
    <w:rsid w:val="006E54C3"/>
    <w:rsid w:val="006E564B"/>
    <w:rsid w:val="006E5AB0"/>
    <w:rsid w:val="006E64B7"/>
    <w:rsid w:val="006E6E23"/>
    <w:rsid w:val="006E7154"/>
    <w:rsid w:val="006E7A2A"/>
    <w:rsid w:val="006F0365"/>
    <w:rsid w:val="006F0B77"/>
    <w:rsid w:val="006F13B0"/>
    <w:rsid w:val="006F1BA8"/>
    <w:rsid w:val="006F2077"/>
    <w:rsid w:val="006F2564"/>
    <w:rsid w:val="006F2F35"/>
    <w:rsid w:val="006F307D"/>
    <w:rsid w:val="006F345D"/>
    <w:rsid w:val="006F3C5E"/>
    <w:rsid w:val="006F417B"/>
    <w:rsid w:val="006F4909"/>
    <w:rsid w:val="006F4A1A"/>
    <w:rsid w:val="006F4F3A"/>
    <w:rsid w:val="006F53A7"/>
    <w:rsid w:val="006F5D5C"/>
    <w:rsid w:val="006F6884"/>
    <w:rsid w:val="006F7009"/>
    <w:rsid w:val="006F71C0"/>
    <w:rsid w:val="006F7379"/>
    <w:rsid w:val="006F738B"/>
    <w:rsid w:val="006F7735"/>
    <w:rsid w:val="006F7A38"/>
    <w:rsid w:val="006F7E76"/>
    <w:rsid w:val="006F7E91"/>
    <w:rsid w:val="006F7EBA"/>
    <w:rsid w:val="007003CD"/>
    <w:rsid w:val="007004B7"/>
    <w:rsid w:val="007007D3"/>
    <w:rsid w:val="007010F4"/>
    <w:rsid w:val="007020B7"/>
    <w:rsid w:val="0070213F"/>
    <w:rsid w:val="007024AE"/>
    <w:rsid w:val="00702B6F"/>
    <w:rsid w:val="00703065"/>
    <w:rsid w:val="007037FA"/>
    <w:rsid w:val="00703D4C"/>
    <w:rsid w:val="00703DAE"/>
    <w:rsid w:val="00704D4E"/>
    <w:rsid w:val="00704EDB"/>
    <w:rsid w:val="0070604A"/>
    <w:rsid w:val="007062A9"/>
    <w:rsid w:val="00706EF1"/>
    <w:rsid w:val="0070701E"/>
    <w:rsid w:val="00707615"/>
    <w:rsid w:val="0071002B"/>
    <w:rsid w:val="00710054"/>
    <w:rsid w:val="007100E1"/>
    <w:rsid w:val="00710129"/>
    <w:rsid w:val="0071022C"/>
    <w:rsid w:val="00710513"/>
    <w:rsid w:val="007108B4"/>
    <w:rsid w:val="00711956"/>
    <w:rsid w:val="00711B30"/>
    <w:rsid w:val="00712C76"/>
    <w:rsid w:val="007133CF"/>
    <w:rsid w:val="00713686"/>
    <w:rsid w:val="00713C2F"/>
    <w:rsid w:val="00713D1E"/>
    <w:rsid w:val="007140EF"/>
    <w:rsid w:val="0071599B"/>
    <w:rsid w:val="00715E79"/>
    <w:rsid w:val="00715FCC"/>
    <w:rsid w:val="00715FD2"/>
    <w:rsid w:val="007166B0"/>
    <w:rsid w:val="00716CF5"/>
    <w:rsid w:val="00717079"/>
    <w:rsid w:val="007175C9"/>
    <w:rsid w:val="00717EEF"/>
    <w:rsid w:val="007200A0"/>
    <w:rsid w:val="007200B5"/>
    <w:rsid w:val="0072095F"/>
    <w:rsid w:val="00721281"/>
    <w:rsid w:val="007216F3"/>
    <w:rsid w:val="007221BF"/>
    <w:rsid w:val="0072271A"/>
    <w:rsid w:val="00723470"/>
    <w:rsid w:val="00724127"/>
    <w:rsid w:val="00724CF9"/>
    <w:rsid w:val="00725045"/>
    <w:rsid w:val="00725577"/>
    <w:rsid w:val="007255F9"/>
    <w:rsid w:val="00726202"/>
    <w:rsid w:val="0072632A"/>
    <w:rsid w:val="007265E1"/>
    <w:rsid w:val="00726A41"/>
    <w:rsid w:val="00726D5E"/>
    <w:rsid w:val="00726EED"/>
    <w:rsid w:val="00727B0B"/>
    <w:rsid w:val="0073008A"/>
    <w:rsid w:val="00732D36"/>
    <w:rsid w:val="00733127"/>
    <w:rsid w:val="007332B5"/>
    <w:rsid w:val="007337AC"/>
    <w:rsid w:val="00734216"/>
    <w:rsid w:val="00735675"/>
    <w:rsid w:val="00735697"/>
    <w:rsid w:val="007357B4"/>
    <w:rsid w:val="007358B3"/>
    <w:rsid w:val="007358E8"/>
    <w:rsid w:val="00735BCF"/>
    <w:rsid w:val="00735DB6"/>
    <w:rsid w:val="00735F0D"/>
    <w:rsid w:val="00736ECE"/>
    <w:rsid w:val="00737B3D"/>
    <w:rsid w:val="00737DB0"/>
    <w:rsid w:val="007416F2"/>
    <w:rsid w:val="00741850"/>
    <w:rsid w:val="00742346"/>
    <w:rsid w:val="007423CC"/>
    <w:rsid w:val="00743572"/>
    <w:rsid w:val="00743999"/>
    <w:rsid w:val="00744391"/>
    <w:rsid w:val="00744E8F"/>
    <w:rsid w:val="0074533B"/>
    <w:rsid w:val="00746268"/>
    <w:rsid w:val="007464BC"/>
    <w:rsid w:val="007464D3"/>
    <w:rsid w:val="00746974"/>
    <w:rsid w:val="007474C1"/>
    <w:rsid w:val="00747658"/>
    <w:rsid w:val="00747B51"/>
    <w:rsid w:val="00747F80"/>
    <w:rsid w:val="00750324"/>
    <w:rsid w:val="00750827"/>
    <w:rsid w:val="00750AB3"/>
    <w:rsid w:val="007519A9"/>
    <w:rsid w:val="00752661"/>
    <w:rsid w:val="007528CB"/>
    <w:rsid w:val="007534A9"/>
    <w:rsid w:val="0075402C"/>
    <w:rsid w:val="007543A0"/>
    <w:rsid w:val="00754E9B"/>
    <w:rsid w:val="00755751"/>
    <w:rsid w:val="00755A94"/>
    <w:rsid w:val="00755EE5"/>
    <w:rsid w:val="00755F86"/>
    <w:rsid w:val="0075608C"/>
    <w:rsid w:val="00756759"/>
    <w:rsid w:val="00756BBB"/>
    <w:rsid w:val="00756EE1"/>
    <w:rsid w:val="00757C60"/>
    <w:rsid w:val="00757F1F"/>
    <w:rsid w:val="00760761"/>
    <w:rsid w:val="007609F3"/>
    <w:rsid w:val="00760BA4"/>
    <w:rsid w:val="00761734"/>
    <w:rsid w:val="007618EB"/>
    <w:rsid w:val="00761BF6"/>
    <w:rsid w:val="007628D4"/>
    <w:rsid w:val="00762A26"/>
    <w:rsid w:val="00762DC0"/>
    <w:rsid w:val="00763243"/>
    <w:rsid w:val="00763954"/>
    <w:rsid w:val="007643BC"/>
    <w:rsid w:val="0076481D"/>
    <w:rsid w:val="007649B7"/>
    <w:rsid w:val="0076547E"/>
    <w:rsid w:val="00765F1E"/>
    <w:rsid w:val="00766375"/>
    <w:rsid w:val="00766A12"/>
    <w:rsid w:val="00766CE9"/>
    <w:rsid w:val="00766F8D"/>
    <w:rsid w:val="00767B55"/>
    <w:rsid w:val="00767E27"/>
    <w:rsid w:val="00767E99"/>
    <w:rsid w:val="00767F56"/>
    <w:rsid w:val="007702E9"/>
    <w:rsid w:val="00770D72"/>
    <w:rsid w:val="00771965"/>
    <w:rsid w:val="00771DE6"/>
    <w:rsid w:val="00772DC6"/>
    <w:rsid w:val="0077356C"/>
    <w:rsid w:val="007735B9"/>
    <w:rsid w:val="007744AF"/>
    <w:rsid w:val="0077468F"/>
    <w:rsid w:val="007753BC"/>
    <w:rsid w:val="00776661"/>
    <w:rsid w:val="00776BB6"/>
    <w:rsid w:val="00776BBE"/>
    <w:rsid w:val="0077727A"/>
    <w:rsid w:val="007775A8"/>
    <w:rsid w:val="00777D8D"/>
    <w:rsid w:val="00777DEE"/>
    <w:rsid w:val="00777FF7"/>
    <w:rsid w:val="0078059F"/>
    <w:rsid w:val="0078067B"/>
    <w:rsid w:val="0078121C"/>
    <w:rsid w:val="007813B8"/>
    <w:rsid w:val="0078225D"/>
    <w:rsid w:val="0078235C"/>
    <w:rsid w:val="007826C3"/>
    <w:rsid w:val="00783E00"/>
    <w:rsid w:val="0078467F"/>
    <w:rsid w:val="007864DA"/>
    <w:rsid w:val="00786676"/>
    <w:rsid w:val="0078723A"/>
    <w:rsid w:val="007905DF"/>
    <w:rsid w:val="007915AB"/>
    <w:rsid w:val="00791CAB"/>
    <w:rsid w:val="00792CD9"/>
    <w:rsid w:val="007934AC"/>
    <w:rsid w:val="007946BB"/>
    <w:rsid w:val="007947E0"/>
    <w:rsid w:val="00795746"/>
    <w:rsid w:val="007959FE"/>
    <w:rsid w:val="00795C18"/>
    <w:rsid w:val="0079625A"/>
    <w:rsid w:val="00797031"/>
    <w:rsid w:val="00797260"/>
    <w:rsid w:val="007973B6"/>
    <w:rsid w:val="00797748"/>
    <w:rsid w:val="0079790F"/>
    <w:rsid w:val="00797D99"/>
    <w:rsid w:val="00797FEC"/>
    <w:rsid w:val="007A00A1"/>
    <w:rsid w:val="007A0CF1"/>
    <w:rsid w:val="007A0D80"/>
    <w:rsid w:val="007A111F"/>
    <w:rsid w:val="007A1337"/>
    <w:rsid w:val="007A14B3"/>
    <w:rsid w:val="007A18E8"/>
    <w:rsid w:val="007A1AC0"/>
    <w:rsid w:val="007A1BBB"/>
    <w:rsid w:val="007A1E16"/>
    <w:rsid w:val="007A31D5"/>
    <w:rsid w:val="007A359C"/>
    <w:rsid w:val="007A371B"/>
    <w:rsid w:val="007A37C9"/>
    <w:rsid w:val="007A38D4"/>
    <w:rsid w:val="007A3A48"/>
    <w:rsid w:val="007A5083"/>
    <w:rsid w:val="007A5920"/>
    <w:rsid w:val="007A5963"/>
    <w:rsid w:val="007A5B69"/>
    <w:rsid w:val="007A5C94"/>
    <w:rsid w:val="007A5F11"/>
    <w:rsid w:val="007A6626"/>
    <w:rsid w:val="007A6936"/>
    <w:rsid w:val="007A7467"/>
    <w:rsid w:val="007A7F2C"/>
    <w:rsid w:val="007A7F31"/>
    <w:rsid w:val="007B02B5"/>
    <w:rsid w:val="007B0B9B"/>
    <w:rsid w:val="007B0BA8"/>
    <w:rsid w:val="007B0E21"/>
    <w:rsid w:val="007B1051"/>
    <w:rsid w:val="007B130E"/>
    <w:rsid w:val="007B1391"/>
    <w:rsid w:val="007B1529"/>
    <w:rsid w:val="007B186F"/>
    <w:rsid w:val="007B1BF9"/>
    <w:rsid w:val="007B228B"/>
    <w:rsid w:val="007B2393"/>
    <w:rsid w:val="007B25B2"/>
    <w:rsid w:val="007B3257"/>
    <w:rsid w:val="007B3538"/>
    <w:rsid w:val="007B3833"/>
    <w:rsid w:val="007B3BB3"/>
    <w:rsid w:val="007B41FB"/>
    <w:rsid w:val="007B4BC0"/>
    <w:rsid w:val="007B518F"/>
    <w:rsid w:val="007B5A23"/>
    <w:rsid w:val="007B5D39"/>
    <w:rsid w:val="007B5E74"/>
    <w:rsid w:val="007B69CF"/>
    <w:rsid w:val="007B6A03"/>
    <w:rsid w:val="007B6BA5"/>
    <w:rsid w:val="007B72A5"/>
    <w:rsid w:val="007B73D0"/>
    <w:rsid w:val="007B7D86"/>
    <w:rsid w:val="007C004B"/>
    <w:rsid w:val="007C0AD3"/>
    <w:rsid w:val="007C15E4"/>
    <w:rsid w:val="007C16B4"/>
    <w:rsid w:val="007C1948"/>
    <w:rsid w:val="007C254C"/>
    <w:rsid w:val="007C3390"/>
    <w:rsid w:val="007C42D8"/>
    <w:rsid w:val="007C4F4B"/>
    <w:rsid w:val="007C5AD8"/>
    <w:rsid w:val="007C5C3B"/>
    <w:rsid w:val="007C6059"/>
    <w:rsid w:val="007C652E"/>
    <w:rsid w:val="007C7022"/>
    <w:rsid w:val="007C7070"/>
    <w:rsid w:val="007C7A69"/>
    <w:rsid w:val="007C7D7D"/>
    <w:rsid w:val="007C7E53"/>
    <w:rsid w:val="007D02A9"/>
    <w:rsid w:val="007D0659"/>
    <w:rsid w:val="007D11CE"/>
    <w:rsid w:val="007D13B0"/>
    <w:rsid w:val="007D13F9"/>
    <w:rsid w:val="007D1459"/>
    <w:rsid w:val="007D164F"/>
    <w:rsid w:val="007D18D9"/>
    <w:rsid w:val="007D1928"/>
    <w:rsid w:val="007D2258"/>
    <w:rsid w:val="007D23D7"/>
    <w:rsid w:val="007D2B90"/>
    <w:rsid w:val="007D2CD1"/>
    <w:rsid w:val="007D36F8"/>
    <w:rsid w:val="007D385D"/>
    <w:rsid w:val="007D4E5A"/>
    <w:rsid w:val="007D542B"/>
    <w:rsid w:val="007D59EE"/>
    <w:rsid w:val="007D5A77"/>
    <w:rsid w:val="007D6472"/>
    <w:rsid w:val="007D66C3"/>
    <w:rsid w:val="007D66EB"/>
    <w:rsid w:val="007D6B2A"/>
    <w:rsid w:val="007D6B7E"/>
    <w:rsid w:val="007D6F48"/>
    <w:rsid w:val="007D7040"/>
    <w:rsid w:val="007D7362"/>
    <w:rsid w:val="007D76E9"/>
    <w:rsid w:val="007D77C0"/>
    <w:rsid w:val="007D7B8A"/>
    <w:rsid w:val="007D7D52"/>
    <w:rsid w:val="007E0837"/>
    <w:rsid w:val="007E09C7"/>
    <w:rsid w:val="007E0C26"/>
    <w:rsid w:val="007E115C"/>
    <w:rsid w:val="007E127C"/>
    <w:rsid w:val="007E180D"/>
    <w:rsid w:val="007E1B59"/>
    <w:rsid w:val="007E2F81"/>
    <w:rsid w:val="007E3419"/>
    <w:rsid w:val="007E378A"/>
    <w:rsid w:val="007E3930"/>
    <w:rsid w:val="007E3BFD"/>
    <w:rsid w:val="007E460F"/>
    <w:rsid w:val="007E4739"/>
    <w:rsid w:val="007E4882"/>
    <w:rsid w:val="007E4E07"/>
    <w:rsid w:val="007E5AD3"/>
    <w:rsid w:val="007E5EFD"/>
    <w:rsid w:val="007E69FE"/>
    <w:rsid w:val="007E7453"/>
    <w:rsid w:val="007E74CD"/>
    <w:rsid w:val="007E75B6"/>
    <w:rsid w:val="007E78C1"/>
    <w:rsid w:val="007E7BFE"/>
    <w:rsid w:val="007E7CE7"/>
    <w:rsid w:val="007E7D0F"/>
    <w:rsid w:val="007F0252"/>
    <w:rsid w:val="007F0303"/>
    <w:rsid w:val="007F09E7"/>
    <w:rsid w:val="007F0ADA"/>
    <w:rsid w:val="007F0BE6"/>
    <w:rsid w:val="007F1741"/>
    <w:rsid w:val="007F17D2"/>
    <w:rsid w:val="007F1A75"/>
    <w:rsid w:val="007F2094"/>
    <w:rsid w:val="007F2C23"/>
    <w:rsid w:val="007F3304"/>
    <w:rsid w:val="007F3849"/>
    <w:rsid w:val="007F3E3C"/>
    <w:rsid w:val="007F4298"/>
    <w:rsid w:val="007F4968"/>
    <w:rsid w:val="007F537E"/>
    <w:rsid w:val="007F5A77"/>
    <w:rsid w:val="007F5CE2"/>
    <w:rsid w:val="007F5D02"/>
    <w:rsid w:val="007F5FC8"/>
    <w:rsid w:val="007F6237"/>
    <w:rsid w:val="007F6371"/>
    <w:rsid w:val="007F6611"/>
    <w:rsid w:val="007F6C5B"/>
    <w:rsid w:val="007F6DE5"/>
    <w:rsid w:val="007F7CF0"/>
    <w:rsid w:val="00800135"/>
    <w:rsid w:val="008003E3"/>
    <w:rsid w:val="008009EC"/>
    <w:rsid w:val="00800BB7"/>
    <w:rsid w:val="00802A41"/>
    <w:rsid w:val="00802B66"/>
    <w:rsid w:val="00802DCD"/>
    <w:rsid w:val="00803446"/>
    <w:rsid w:val="0080361F"/>
    <w:rsid w:val="00803856"/>
    <w:rsid w:val="00804B8A"/>
    <w:rsid w:val="00804F68"/>
    <w:rsid w:val="00805395"/>
    <w:rsid w:val="008054D8"/>
    <w:rsid w:val="008059D7"/>
    <w:rsid w:val="00806BA8"/>
    <w:rsid w:val="00806EED"/>
    <w:rsid w:val="00810004"/>
    <w:rsid w:val="00810171"/>
    <w:rsid w:val="00810B2C"/>
    <w:rsid w:val="00810BAC"/>
    <w:rsid w:val="00810CEA"/>
    <w:rsid w:val="00811150"/>
    <w:rsid w:val="00811BCA"/>
    <w:rsid w:val="008123DD"/>
    <w:rsid w:val="0081268F"/>
    <w:rsid w:val="008135A4"/>
    <w:rsid w:val="0081380A"/>
    <w:rsid w:val="008142D5"/>
    <w:rsid w:val="0081464B"/>
    <w:rsid w:val="00814853"/>
    <w:rsid w:val="00814D5E"/>
    <w:rsid w:val="00814F01"/>
    <w:rsid w:val="00815356"/>
    <w:rsid w:val="008154D4"/>
    <w:rsid w:val="008158C7"/>
    <w:rsid w:val="00816087"/>
    <w:rsid w:val="00816433"/>
    <w:rsid w:val="00816AEA"/>
    <w:rsid w:val="00816C10"/>
    <w:rsid w:val="00816F95"/>
    <w:rsid w:val="008171D9"/>
    <w:rsid w:val="00817465"/>
    <w:rsid w:val="00817477"/>
    <w:rsid w:val="00817481"/>
    <w:rsid w:val="008175E9"/>
    <w:rsid w:val="00817E73"/>
    <w:rsid w:val="00820333"/>
    <w:rsid w:val="00820453"/>
    <w:rsid w:val="00820586"/>
    <w:rsid w:val="00820626"/>
    <w:rsid w:val="00820A5B"/>
    <w:rsid w:val="00820CA5"/>
    <w:rsid w:val="008216A9"/>
    <w:rsid w:val="00821700"/>
    <w:rsid w:val="0082197C"/>
    <w:rsid w:val="00822477"/>
    <w:rsid w:val="008227B6"/>
    <w:rsid w:val="0082376F"/>
    <w:rsid w:val="00823A2C"/>
    <w:rsid w:val="00824165"/>
    <w:rsid w:val="008242D7"/>
    <w:rsid w:val="00824B3D"/>
    <w:rsid w:val="0082514B"/>
    <w:rsid w:val="00825265"/>
    <w:rsid w:val="008253B1"/>
    <w:rsid w:val="0082577B"/>
    <w:rsid w:val="00826369"/>
    <w:rsid w:val="00826768"/>
    <w:rsid w:val="008272F5"/>
    <w:rsid w:val="008302CB"/>
    <w:rsid w:val="008303E7"/>
    <w:rsid w:val="008307C4"/>
    <w:rsid w:val="00830DB6"/>
    <w:rsid w:val="00830F51"/>
    <w:rsid w:val="00831368"/>
    <w:rsid w:val="00831F6D"/>
    <w:rsid w:val="00831FE0"/>
    <w:rsid w:val="008329F2"/>
    <w:rsid w:val="00833A91"/>
    <w:rsid w:val="00834430"/>
    <w:rsid w:val="008344C8"/>
    <w:rsid w:val="00834DB3"/>
    <w:rsid w:val="00836611"/>
    <w:rsid w:val="00836ADC"/>
    <w:rsid w:val="00836AF6"/>
    <w:rsid w:val="00836B52"/>
    <w:rsid w:val="00837407"/>
    <w:rsid w:val="00837781"/>
    <w:rsid w:val="008408DF"/>
    <w:rsid w:val="00841A60"/>
    <w:rsid w:val="00841ABA"/>
    <w:rsid w:val="0084227C"/>
    <w:rsid w:val="008422B3"/>
    <w:rsid w:val="00842764"/>
    <w:rsid w:val="00843908"/>
    <w:rsid w:val="00844D58"/>
    <w:rsid w:val="008451FE"/>
    <w:rsid w:val="00845445"/>
    <w:rsid w:val="00845769"/>
    <w:rsid w:val="00845B5A"/>
    <w:rsid w:val="008465D4"/>
    <w:rsid w:val="00846D33"/>
    <w:rsid w:val="00847498"/>
    <w:rsid w:val="00847676"/>
    <w:rsid w:val="0085036B"/>
    <w:rsid w:val="00850374"/>
    <w:rsid w:val="008507FB"/>
    <w:rsid w:val="00850F72"/>
    <w:rsid w:val="00852651"/>
    <w:rsid w:val="00852699"/>
    <w:rsid w:val="00853811"/>
    <w:rsid w:val="00853AB8"/>
    <w:rsid w:val="00853E2A"/>
    <w:rsid w:val="00853F2B"/>
    <w:rsid w:val="00853F72"/>
    <w:rsid w:val="00854062"/>
    <w:rsid w:val="008542A2"/>
    <w:rsid w:val="008544FF"/>
    <w:rsid w:val="008549DF"/>
    <w:rsid w:val="00855102"/>
    <w:rsid w:val="00855484"/>
    <w:rsid w:val="00855EA5"/>
    <w:rsid w:val="00855F1D"/>
    <w:rsid w:val="0085603B"/>
    <w:rsid w:val="0085639E"/>
    <w:rsid w:val="008568EE"/>
    <w:rsid w:val="00856A43"/>
    <w:rsid w:val="00856A92"/>
    <w:rsid w:val="00857029"/>
    <w:rsid w:val="0085746B"/>
    <w:rsid w:val="00857792"/>
    <w:rsid w:val="00860207"/>
    <w:rsid w:val="00860BA1"/>
    <w:rsid w:val="00861026"/>
    <w:rsid w:val="00861092"/>
    <w:rsid w:val="0086189E"/>
    <w:rsid w:val="00862224"/>
    <w:rsid w:val="00862A98"/>
    <w:rsid w:val="00862BC3"/>
    <w:rsid w:val="008637AD"/>
    <w:rsid w:val="0086409D"/>
    <w:rsid w:val="00864449"/>
    <w:rsid w:val="00864B3E"/>
    <w:rsid w:val="00864CDF"/>
    <w:rsid w:val="00864FA0"/>
    <w:rsid w:val="00865CD1"/>
    <w:rsid w:val="0086603E"/>
    <w:rsid w:val="008664B7"/>
    <w:rsid w:val="0086650F"/>
    <w:rsid w:val="00866893"/>
    <w:rsid w:val="00866EC7"/>
    <w:rsid w:val="00866F02"/>
    <w:rsid w:val="008672C5"/>
    <w:rsid w:val="008674A4"/>
    <w:rsid w:val="00867BE1"/>
    <w:rsid w:val="00867D18"/>
    <w:rsid w:val="008700E0"/>
    <w:rsid w:val="00870C04"/>
    <w:rsid w:val="008717A7"/>
    <w:rsid w:val="00871892"/>
    <w:rsid w:val="00871D30"/>
    <w:rsid w:val="00871F9A"/>
    <w:rsid w:val="00871FD5"/>
    <w:rsid w:val="00872959"/>
    <w:rsid w:val="00872E9C"/>
    <w:rsid w:val="00873067"/>
    <w:rsid w:val="0087352F"/>
    <w:rsid w:val="00873A4B"/>
    <w:rsid w:val="0087418F"/>
    <w:rsid w:val="00874449"/>
    <w:rsid w:val="00874525"/>
    <w:rsid w:val="00875A36"/>
    <w:rsid w:val="00875B67"/>
    <w:rsid w:val="00875B84"/>
    <w:rsid w:val="0087634A"/>
    <w:rsid w:val="00877167"/>
    <w:rsid w:val="008779EA"/>
    <w:rsid w:val="00877D39"/>
    <w:rsid w:val="008806E8"/>
    <w:rsid w:val="008807A5"/>
    <w:rsid w:val="00881096"/>
    <w:rsid w:val="00881286"/>
    <w:rsid w:val="0088172E"/>
    <w:rsid w:val="00881CC8"/>
    <w:rsid w:val="00881D94"/>
    <w:rsid w:val="00881DC3"/>
    <w:rsid w:val="00881E56"/>
    <w:rsid w:val="00881EAA"/>
    <w:rsid w:val="00881EFA"/>
    <w:rsid w:val="00881F5E"/>
    <w:rsid w:val="00882154"/>
    <w:rsid w:val="00882378"/>
    <w:rsid w:val="00882597"/>
    <w:rsid w:val="008831CB"/>
    <w:rsid w:val="008836A8"/>
    <w:rsid w:val="00883942"/>
    <w:rsid w:val="00883E6E"/>
    <w:rsid w:val="00883F7F"/>
    <w:rsid w:val="008841F7"/>
    <w:rsid w:val="00884A7D"/>
    <w:rsid w:val="0088510F"/>
    <w:rsid w:val="00885937"/>
    <w:rsid w:val="008859F2"/>
    <w:rsid w:val="00885A57"/>
    <w:rsid w:val="00885AD3"/>
    <w:rsid w:val="00885C77"/>
    <w:rsid w:val="00885F19"/>
    <w:rsid w:val="00885F80"/>
    <w:rsid w:val="00886688"/>
    <w:rsid w:val="00887413"/>
    <w:rsid w:val="008874F9"/>
    <w:rsid w:val="008879CB"/>
    <w:rsid w:val="00887F36"/>
    <w:rsid w:val="008904E9"/>
    <w:rsid w:val="008908EE"/>
    <w:rsid w:val="00890EDD"/>
    <w:rsid w:val="00890F81"/>
    <w:rsid w:val="00892434"/>
    <w:rsid w:val="008925A3"/>
    <w:rsid w:val="00893207"/>
    <w:rsid w:val="00893219"/>
    <w:rsid w:val="00893507"/>
    <w:rsid w:val="00893AF8"/>
    <w:rsid w:val="00893B05"/>
    <w:rsid w:val="00893F31"/>
    <w:rsid w:val="00894923"/>
    <w:rsid w:val="00894D10"/>
    <w:rsid w:val="00895489"/>
    <w:rsid w:val="00896B65"/>
    <w:rsid w:val="00897625"/>
    <w:rsid w:val="00897705"/>
    <w:rsid w:val="008979B1"/>
    <w:rsid w:val="008A05A8"/>
    <w:rsid w:val="008A2034"/>
    <w:rsid w:val="008A2131"/>
    <w:rsid w:val="008A25C9"/>
    <w:rsid w:val="008A2847"/>
    <w:rsid w:val="008A3384"/>
    <w:rsid w:val="008A34D5"/>
    <w:rsid w:val="008A384E"/>
    <w:rsid w:val="008A4029"/>
    <w:rsid w:val="008A4814"/>
    <w:rsid w:val="008A5817"/>
    <w:rsid w:val="008A5AF7"/>
    <w:rsid w:val="008A5C9D"/>
    <w:rsid w:val="008A6984"/>
    <w:rsid w:val="008A6B25"/>
    <w:rsid w:val="008A6C4F"/>
    <w:rsid w:val="008A7779"/>
    <w:rsid w:val="008B0174"/>
    <w:rsid w:val="008B0513"/>
    <w:rsid w:val="008B0F0C"/>
    <w:rsid w:val="008B1AEA"/>
    <w:rsid w:val="008B1E50"/>
    <w:rsid w:val="008B25D6"/>
    <w:rsid w:val="008B3164"/>
    <w:rsid w:val="008B3666"/>
    <w:rsid w:val="008B389E"/>
    <w:rsid w:val="008B3F05"/>
    <w:rsid w:val="008B41F1"/>
    <w:rsid w:val="008B4947"/>
    <w:rsid w:val="008B4E57"/>
    <w:rsid w:val="008B5157"/>
    <w:rsid w:val="008B5460"/>
    <w:rsid w:val="008B55DA"/>
    <w:rsid w:val="008B5C79"/>
    <w:rsid w:val="008B64E9"/>
    <w:rsid w:val="008B6944"/>
    <w:rsid w:val="008B7E56"/>
    <w:rsid w:val="008C00A2"/>
    <w:rsid w:val="008C18EC"/>
    <w:rsid w:val="008C1ADD"/>
    <w:rsid w:val="008C1E0D"/>
    <w:rsid w:val="008C20D9"/>
    <w:rsid w:val="008C2589"/>
    <w:rsid w:val="008C2725"/>
    <w:rsid w:val="008C32AF"/>
    <w:rsid w:val="008C353E"/>
    <w:rsid w:val="008C4E0A"/>
    <w:rsid w:val="008C5499"/>
    <w:rsid w:val="008C5BA0"/>
    <w:rsid w:val="008C5E10"/>
    <w:rsid w:val="008C6C31"/>
    <w:rsid w:val="008D045E"/>
    <w:rsid w:val="008D0F21"/>
    <w:rsid w:val="008D12BF"/>
    <w:rsid w:val="008D1D09"/>
    <w:rsid w:val="008D35EF"/>
    <w:rsid w:val="008D36DC"/>
    <w:rsid w:val="008D3E70"/>
    <w:rsid w:val="008D3F25"/>
    <w:rsid w:val="008D4D82"/>
    <w:rsid w:val="008D4E2B"/>
    <w:rsid w:val="008D589B"/>
    <w:rsid w:val="008D5D95"/>
    <w:rsid w:val="008D76BD"/>
    <w:rsid w:val="008D7CCE"/>
    <w:rsid w:val="008D7D1E"/>
    <w:rsid w:val="008E0B0A"/>
    <w:rsid w:val="008E0D1E"/>
    <w:rsid w:val="008E0E46"/>
    <w:rsid w:val="008E1115"/>
    <w:rsid w:val="008E2CB6"/>
    <w:rsid w:val="008E3426"/>
    <w:rsid w:val="008E34B9"/>
    <w:rsid w:val="008E37E7"/>
    <w:rsid w:val="008E42CC"/>
    <w:rsid w:val="008E4581"/>
    <w:rsid w:val="008E466C"/>
    <w:rsid w:val="008E4809"/>
    <w:rsid w:val="008E4F31"/>
    <w:rsid w:val="008E504D"/>
    <w:rsid w:val="008E5435"/>
    <w:rsid w:val="008E56A6"/>
    <w:rsid w:val="008E58AB"/>
    <w:rsid w:val="008E5C48"/>
    <w:rsid w:val="008E5E0D"/>
    <w:rsid w:val="008E6834"/>
    <w:rsid w:val="008E710B"/>
    <w:rsid w:val="008E7116"/>
    <w:rsid w:val="008E7771"/>
    <w:rsid w:val="008E7860"/>
    <w:rsid w:val="008E78C8"/>
    <w:rsid w:val="008E7C07"/>
    <w:rsid w:val="008E7E29"/>
    <w:rsid w:val="008F0000"/>
    <w:rsid w:val="008F00C8"/>
    <w:rsid w:val="008F0B41"/>
    <w:rsid w:val="008F1426"/>
    <w:rsid w:val="008F143B"/>
    <w:rsid w:val="008F1A96"/>
    <w:rsid w:val="008F1F09"/>
    <w:rsid w:val="008F2685"/>
    <w:rsid w:val="008F2DEF"/>
    <w:rsid w:val="008F2E9A"/>
    <w:rsid w:val="008F30A9"/>
    <w:rsid w:val="008F3882"/>
    <w:rsid w:val="008F39E7"/>
    <w:rsid w:val="008F47F0"/>
    <w:rsid w:val="008F4A90"/>
    <w:rsid w:val="008F4B7C"/>
    <w:rsid w:val="008F579F"/>
    <w:rsid w:val="008F59CF"/>
    <w:rsid w:val="008F6506"/>
    <w:rsid w:val="008F6AC3"/>
    <w:rsid w:val="008F6AD4"/>
    <w:rsid w:val="008F6BC2"/>
    <w:rsid w:val="008F6DB8"/>
    <w:rsid w:val="008F6F7E"/>
    <w:rsid w:val="008F6F84"/>
    <w:rsid w:val="008F77BD"/>
    <w:rsid w:val="008F78CE"/>
    <w:rsid w:val="009001BC"/>
    <w:rsid w:val="009004DE"/>
    <w:rsid w:val="00900A0C"/>
    <w:rsid w:val="00900C29"/>
    <w:rsid w:val="00901317"/>
    <w:rsid w:val="009013EC"/>
    <w:rsid w:val="0090163B"/>
    <w:rsid w:val="00901D30"/>
    <w:rsid w:val="00902338"/>
    <w:rsid w:val="00902366"/>
    <w:rsid w:val="00902A20"/>
    <w:rsid w:val="009030FB"/>
    <w:rsid w:val="00903253"/>
    <w:rsid w:val="0090339A"/>
    <w:rsid w:val="00903EA7"/>
    <w:rsid w:val="00904680"/>
    <w:rsid w:val="0090587A"/>
    <w:rsid w:val="00906FB1"/>
    <w:rsid w:val="009070A9"/>
    <w:rsid w:val="00910695"/>
    <w:rsid w:val="00910981"/>
    <w:rsid w:val="00910CCE"/>
    <w:rsid w:val="00910DBA"/>
    <w:rsid w:val="009110A6"/>
    <w:rsid w:val="00911428"/>
    <w:rsid w:val="009117C4"/>
    <w:rsid w:val="009119DD"/>
    <w:rsid w:val="0091279A"/>
    <w:rsid w:val="00912BFC"/>
    <w:rsid w:val="00912E09"/>
    <w:rsid w:val="00912E3D"/>
    <w:rsid w:val="009130BD"/>
    <w:rsid w:val="00913982"/>
    <w:rsid w:val="00913C16"/>
    <w:rsid w:val="00914DE3"/>
    <w:rsid w:val="00914E7A"/>
    <w:rsid w:val="0091505F"/>
    <w:rsid w:val="009152E4"/>
    <w:rsid w:val="009154AF"/>
    <w:rsid w:val="00915956"/>
    <w:rsid w:val="00915B42"/>
    <w:rsid w:val="00916CE6"/>
    <w:rsid w:val="009173DA"/>
    <w:rsid w:val="00920B73"/>
    <w:rsid w:val="00920E78"/>
    <w:rsid w:val="0092156E"/>
    <w:rsid w:val="009217FC"/>
    <w:rsid w:val="009220B3"/>
    <w:rsid w:val="00922269"/>
    <w:rsid w:val="0092262B"/>
    <w:rsid w:val="00922A35"/>
    <w:rsid w:val="00922C23"/>
    <w:rsid w:val="00922DF7"/>
    <w:rsid w:val="00923616"/>
    <w:rsid w:val="00924239"/>
    <w:rsid w:val="00924C67"/>
    <w:rsid w:val="00924DAB"/>
    <w:rsid w:val="00925A4C"/>
    <w:rsid w:val="00926169"/>
    <w:rsid w:val="00926814"/>
    <w:rsid w:val="009268C7"/>
    <w:rsid w:val="00926E47"/>
    <w:rsid w:val="009276A3"/>
    <w:rsid w:val="00930081"/>
    <w:rsid w:val="00930211"/>
    <w:rsid w:val="009306BF"/>
    <w:rsid w:val="00930AE5"/>
    <w:rsid w:val="00930B8D"/>
    <w:rsid w:val="00931581"/>
    <w:rsid w:val="00931716"/>
    <w:rsid w:val="00931813"/>
    <w:rsid w:val="00931D10"/>
    <w:rsid w:val="00932489"/>
    <w:rsid w:val="009326B1"/>
    <w:rsid w:val="009330C7"/>
    <w:rsid w:val="0093359F"/>
    <w:rsid w:val="00934683"/>
    <w:rsid w:val="0093482A"/>
    <w:rsid w:val="00934C66"/>
    <w:rsid w:val="00934D62"/>
    <w:rsid w:val="009350F3"/>
    <w:rsid w:val="0093525F"/>
    <w:rsid w:val="009354A9"/>
    <w:rsid w:val="009354F5"/>
    <w:rsid w:val="00935552"/>
    <w:rsid w:val="00935D7A"/>
    <w:rsid w:val="009360D0"/>
    <w:rsid w:val="009373F7"/>
    <w:rsid w:val="009379DC"/>
    <w:rsid w:val="00937A89"/>
    <w:rsid w:val="00937B95"/>
    <w:rsid w:val="0094032A"/>
    <w:rsid w:val="00941231"/>
    <w:rsid w:val="0094197C"/>
    <w:rsid w:val="00942106"/>
    <w:rsid w:val="00942FE6"/>
    <w:rsid w:val="00944A8A"/>
    <w:rsid w:val="00944E98"/>
    <w:rsid w:val="00944F1C"/>
    <w:rsid w:val="00944FA0"/>
    <w:rsid w:val="009451F0"/>
    <w:rsid w:val="009453A6"/>
    <w:rsid w:val="009456D2"/>
    <w:rsid w:val="00945824"/>
    <w:rsid w:val="00945A74"/>
    <w:rsid w:val="00946038"/>
    <w:rsid w:val="0094605A"/>
    <w:rsid w:val="0094606D"/>
    <w:rsid w:val="009461A9"/>
    <w:rsid w:val="00946753"/>
    <w:rsid w:val="00947162"/>
    <w:rsid w:val="00947FA1"/>
    <w:rsid w:val="00950346"/>
    <w:rsid w:val="00950367"/>
    <w:rsid w:val="009504C5"/>
    <w:rsid w:val="0095071C"/>
    <w:rsid w:val="00950E38"/>
    <w:rsid w:val="009516A0"/>
    <w:rsid w:val="00951FAD"/>
    <w:rsid w:val="00952E32"/>
    <w:rsid w:val="009542A2"/>
    <w:rsid w:val="00954E99"/>
    <w:rsid w:val="009553E7"/>
    <w:rsid w:val="00955662"/>
    <w:rsid w:val="009557E7"/>
    <w:rsid w:val="00955D5F"/>
    <w:rsid w:val="00955E45"/>
    <w:rsid w:val="009560C7"/>
    <w:rsid w:val="009562E3"/>
    <w:rsid w:val="009568C4"/>
    <w:rsid w:val="00956F82"/>
    <w:rsid w:val="00957477"/>
    <w:rsid w:val="00957727"/>
    <w:rsid w:val="00957F0C"/>
    <w:rsid w:val="0096020E"/>
    <w:rsid w:val="009605F1"/>
    <w:rsid w:val="0096087A"/>
    <w:rsid w:val="0096097E"/>
    <w:rsid w:val="00960FD7"/>
    <w:rsid w:val="009610BA"/>
    <w:rsid w:val="009610D0"/>
    <w:rsid w:val="009616A0"/>
    <w:rsid w:val="00962E70"/>
    <w:rsid w:val="0096322E"/>
    <w:rsid w:val="009632AB"/>
    <w:rsid w:val="0096375C"/>
    <w:rsid w:val="009637D6"/>
    <w:rsid w:val="00963BA6"/>
    <w:rsid w:val="00964018"/>
    <w:rsid w:val="009643D7"/>
    <w:rsid w:val="0096465B"/>
    <w:rsid w:val="00965147"/>
    <w:rsid w:val="0096517B"/>
    <w:rsid w:val="00965339"/>
    <w:rsid w:val="00965E8F"/>
    <w:rsid w:val="009662E6"/>
    <w:rsid w:val="00967512"/>
    <w:rsid w:val="00967CFC"/>
    <w:rsid w:val="009705E2"/>
    <w:rsid w:val="0097095E"/>
    <w:rsid w:val="00970F16"/>
    <w:rsid w:val="00971357"/>
    <w:rsid w:val="009714DB"/>
    <w:rsid w:val="0097253F"/>
    <w:rsid w:val="009728E2"/>
    <w:rsid w:val="00972CB6"/>
    <w:rsid w:val="00972DFD"/>
    <w:rsid w:val="00973584"/>
    <w:rsid w:val="00973F91"/>
    <w:rsid w:val="009745AE"/>
    <w:rsid w:val="00974849"/>
    <w:rsid w:val="00974DF2"/>
    <w:rsid w:val="0097568A"/>
    <w:rsid w:val="00975768"/>
    <w:rsid w:val="00975F24"/>
    <w:rsid w:val="00976184"/>
    <w:rsid w:val="0097683F"/>
    <w:rsid w:val="00976D18"/>
    <w:rsid w:val="009772C4"/>
    <w:rsid w:val="00977CDB"/>
    <w:rsid w:val="00980282"/>
    <w:rsid w:val="009804DB"/>
    <w:rsid w:val="00980870"/>
    <w:rsid w:val="009812FE"/>
    <w:rsid w:val="00981828"/>
    <w:rsid w:val="009819C8"/>
    <w:rsid w:val="00982014"/>
    <w:rsid w:val="00982676"/>
    <w:rsid w:val="00982A3B"/>
    <w:rsid w:val="00982D95"/>
    <w:rsid w:val="00982DE3"/>
    <w:rsid w:val="00983A00"/>
    <w:rsid w:val="00983B8B"/>
    <w:rsid w:val="00983B9E"/>
    <w:rsid w:val="0098404F"/>
    <w:rsid w:val="0098480F"/>
    <w:rsid w:val="00984EF2"/>
    <w:rsid w:val="009850B3"/>
    <w:rsid w:val="00985262"/>
    <w:rsid w:val="00985506"/>
    <w:rsid w:val="00985551"/>
    <w:rsid w:val="0098592B"/>
    <w:rsid w:val="00985D8F"/>
    <w:rsid w:val="00985FC4"/>
    <w:rsid w:val="00986126"/>
    <w:rsid w:val="00986154"/>
    <w:rsid w:val="00986298"/>
    <w:rsid w:val="0098668D"/>
    <w:rsid w:val="00986BA4"/>
    <w:rsid w:val="00987370"/>
    <w:rsid w:val="00987742"/>
    <w:rsid w:val="009879EE"/>
    <w:rsid w:val="00987BB1"/>
    <w:rsid w:val="00990766"/>
    <w:rsid w:val="00990B94"/>
    <w:rsid w:val="00990CF5"/>
    <w:rsid w:val="00991198"/>
    <w:rsid w:val="00991261"/>
    <w:rsid w:val="00991C04"/>
    <w:rsid w:val="00992282"/>
    <w:rsid w:val="009927E3"/>
    <w:rsid w:val="009935D3"/>
    <w:rsid w:val="00993658"/>
    <w:rsid w:val="009936DE"/>
    <w:rsid w:val="009937FE"/>
    <w:rsid w:val="00993DA1"/>
    <w:rsid w:val="00994DCB"/>
    <w:rsid w:val="0099508E"/>
    <w:rsid w:val="00995757"/>
    <w:rsid w:val="00995A0B"/>
    <w:rsid w:val="00995F6C"/>
    <w:rsid w:val="009961F6"/>
    <w:rsid w:val="009964C4"/>
    <w:rsid w:val="0099693A"/>
    <w:rsid w:val="00996D11"/>
    <w:rsid w:val="00996DFF"/>
    <w:rsid w:val="00996E71"/>
    <w:rsid w:val="009973FE"/>
    <w:rsid w:val="00997639"/>
    <w:rsid w:val="00997A8D"/>
    <w:rsid w:val="00997D4F"/>
    <w:rsid w:val="009A06A7"/>
    <w:rsid w:val="009A0F06"/>
    <w:rsid w:val="009A14C2"/>
    <w:rsid w:val="009A26B4"/>
    <w:rsid w:val="009A30D2"/>
    <w:rsid w:val="009A380E"/>
    <w:rsid w:val="009A3C95"/>
    <w:rsid w:val="009A42B6"/>
    <w:rsid w:val="009A4790"/>
    <w:rsid w:val="009A5026"/>
    <w:rsid w:val="009A53BA"/>
    <w:rsid w:val="009A5BAC"/>
    <w:rsid w:val="009A5F9B"/>
    <w:rsid w:val="009A6283"/>
    <w:rsid w:val="009A6858"/>
    <w:rsid w:val="009A6E07"/>
    <w:rsid w:val="009A7103"/>
    <w:rsid w:val="009A7ADD"/>
    <w:rsid w:val="009A7B81"/>
    <w:rsid w:val="009A7D21"/>
    <w:rsid w:val="009A7FF0"/>
    <w:rsid w:val="009A7FFE"/>
    <w:rsid w:val="009B06F0"/>
    <w:rsid w:val="009B08B5"/>
    <w:rsid w:val="009B10BD"/>
    <w:rsid w:val="009B1804"/>
    <w:rsid w:val="009B201C"/>
    <w:rsid w:val="009B23FF"/>
    <w:rsid w:val="009B333D"/>
    <w:rsid w:val="009B4986"/>
    <w:rsid w:val="009B58C6"/>
    <w:rsid w:val="009B5E7F"/>
    <w:rsid w:val="009B63B6"/>
    <w:rsid w:val="009B6A8C"/>
    <w:rsid w:val="009B7063"/>
    <w:rsid w:val="009B7859"/>
    <w:rsid w:val="009B78F3"/>
    <w:rsid w:val="009C0203"/>
    <w:rsid w:val="009C0AB5"/>
    <w:rsid w:val="009C0B90"/>
    <w:rsid w:val="009C10D5"/>
    <w:rsid w:val="009C155E"/>
    <w:rsid w:val="009C1FDC"/>
    <w:rsid w:val="009C228E"/>
    <w:rsid w:val="009C237B"/>
    <w:rsid w:val="009C25D5"/>
    <w:rsid w:val="009C26FC"/>
    <w:rsid w:val="009C28BB"/>
    <w:rsid w:val="009C2E5B"/>
    <w:rsid w:val="009C3007"/>
    <w:rsid w:val="009C393E"/>
    <w:rsid w:val="009C42BA"/>
    <w:rsid w:val="009C4BE1"/>
    <w:rsid w:val="009C5578"/>
    <w:rsid w:val="009C56AD"/>
    <w:rsid w:val="009C584E"/>
    <w:rsid w:val="009C5CCD"/>
    <w:rsid w:val="009C5F29"/>
    <w:rsid w:val="009C6563"/>
    <w:rsid w:val="009C72AA"/>
    <w:rsid w:val="009C7C0A"/>
    <w:rsid w:val="009C7EE4"/>
    <w:rsid w:val="009D01C0"/>
    <w:rsid w:val="009D0318"/>
    <w:rsid w:val="009D0745"/>
    <w:rsid w:val="009D0ED4"/>
    <w:rsid w:val="009D1260"/>
    <w:rsid w:val="009D1A13"/>
    <w:rsid w:val="009D266E"/>
    <w:rsid w:val="009D2872"/>
    <w:rsid w:val="009D2F3C"/>
    <w:rsid w:val="009D3174"/>
    <w:rsid w:val="009D34FA"/>
    <w:rsid w:val="009D43BC"/>
    <w:rsid w:val="009D47BC"/>
    <w:rsid w:val="009D4CF5"/>
    <w:rsid w:val="009D5933"/>
    <w:rsid w:val="009D61FA"/>
    <w:rsid w:val="009D6688"/>
    <w:rsid w:val="009D6771"/>
    <w:rsid w:val="009D6A08"/>
    <w:rsid w:val="009D7891"/>
    <w:rsid w:val="009E02B0"/>
    <w:rsid w:val="009E069E"/>
    <w:rsid w:val="009E0A16"/>
    <w:rsid w:val="009E0E0B"/>
    <w:rsid w:val="009E0E5C"/>
    <w:rsid w:val="009E0EAD"/>
    <w:rsid w:val="009E11FC"/>
    <w:rsid w:val="009E29FD"/>
    <w:rsid w:val="009E2A46"/>
    <w:rsid w:val="009E2A5B"/>
    <w:rsid w:val="009E2A75"/>
    <w:rsid w:val="009E302C"/>
    <w:rsid w:val="009E3044"/>
    <w:rsid w:val="009E38FD"/>
    <w:rsid w:val="009E4016"/>
    <w:rsid w:val="009E4556"/>
    <w:rsid w:val="009E469B"/>
    <w:rsid w:val="009E4B7F"/>
    <w:rsid w:val="009E58D3"/>
    <w:rsid w:val="009E5900"/>
    <w:rsid w:val="009E5910"/>
    <w:rsid w:val="009E6268"/>
    <w:rsid w:val="009E6CB7"/>
    <w:rsid w:val="009E7970"/>
    <w:rsid w:val="009E7C1D"/>
    <w:rsid w:val="009F0B75"/>
    <w:rsid w:val="009F0BFE"/>
    <w:rsid w:val="009F12AA"/>
    <w:rsid w:val="009F1488"/>
    <w:rsid w:val="009F2621"/>
    <w:rsid w:val="009F2EAC"/>
    <w:rsid w:val="009F328D"/>
    <w:rsid w:val="009F39CA"/>
    <w:rsid w:val="009F3BD4"/>
    <w:rsid w:val="009F3CB3"/>
    <w:rsid w:val="009F46DB"/>
    <w:rsid w:val="009F4DAB"/>
    <w:rsid w:val="009F4F1E"/>
    <w:rsid w:val="009F4F59"/>
    <w:rsid w:val="009F53B9"/>
    <w:rsid w:val="009F57E3"/>
    <w:rsid w:val="009F5FCE"/>
    <w:rsid w:val="009F6897"/>
    <w:rsid w:val="009F6ED2"/>
    <w:rsid w:val="009F7199"/>
    <w:rsid w:val="009F7F92"/>
    <w:rsid w:val="00A00249"/>
    <w:rsid w:val="00A0029B"/>
    <w:rsid w:val="00A00569"/>
    <w:rsid w:val="00A00D5A"/>
    <w:rsid w:val="00A0158F"/>
    <w:rsid w:val="00A015A3"/>
    <w:rsid w:val="00A01A53"/>
    <w:rsid w:val="00A01B15"/>
    <w:rsid w:val="00A01CD1"/>
    <w:rsid w:val="00A01E81"/>
    <w:rsid w:val="00A02329"/>
    <w:rsid w:val="00A031F3"/>
    <w:rsid w:val="00A033B4"/>
    <w:rsid w:val="00A03F7B"/>
    <w:rsid w:val="00A03FA5"/>
    <w:rsid w:val="00A043B1"/>
    <w:rsid w:val="00A044F7"/>
    <w:rsid w:val="00A046BA"/>
    <w:rsid w:val="00A04DB3"/>
    <w:rsid w:val="00A04EF3"/>
    <w:rsid w:val="00A05325"/>
    <w:rsid w:val="00A059BF"/>
    <w:rsid w:val="00A05A85"/>
    <w:rsid w:val="00A062C5"/>
    <w:rsid w:val="00A06A31"/>
    <w:rsid w:val="00A06ABF"/>
    <w:rsid w:val="00A070DF"/>
    <w:rsid w:val="00A07172"/>
    <w:rsid w:val="00A073B1"/>
    <w:rsid w:val="00A07BF6"/>
    <w:rsid w:val="00A10383"/>
    <w:rsid w:val="00A107AF"/>
    <w:rsid w:val="00A10853"/>
    <w:rsid w:val="00A10AD1"/>
    <w:rsid w:val="00A10B87"/>
    <w:rsid w:val="00A10F4F"/>
    <w:rsid w:val="00A11067"/>
    <w:rsid w:val="00A112F8"/>
    <w:rsid w:val="00A116E0"/>
    <w:rsid w:val="00A1182E"/>
    <w:rsid w:val="00A120C9"/>
    <w:rsid w:val="00A1244D"/>
    <w:rsid w:val="00A13092"/>
    <w:rsid w:val="00A13919"/>
    <w:rsid w:val="00A13DB9"/>
    <w:rsid w:val="00A1431F"/>
    <w:rsid w:val="00A144B5"/>
    <w:rsid w:val="00A1574B"/>
    <w:rsid w:val="00A1591F"/>
    <w:rsid w:val="00A15B25"/>
    <w:rsid w:val="00A15B4A"/>
    <w:rsid w:val="00A169CE"/>
    <w:rsid w:val="00A1704A"/>
    <w:rsid w:val="00A1724D"/>
    <w:rsid w:val="00A17A58"/>
    <w:rsid w:val="00A17D9F"/>
    <w:rsid w:val="00A203DB"/>
    <w:rsid w:val="00A20684"/>
    <w:rsid w:val="00A209A7"/>
    <w:rsid w:val="00A20EC1"/>
    <w:rsid w:val="00A20F23"/>
    <w:rsid w:val="00A20FBD"/>
    <w:rsid w:val="00A2157A"/>
    <w:rsid w:val="00A21792"/>
    <w:rsid w:val="00A21BC7"/>
    <w:rsid w:val="00A22B52"/>
    <w:rsid w:val="00A232E3"/>
    <w:rsid w:val="00A234B4"/>
    <w:rsid w:val="00A238F7"/>
    <w:rsid w:val="00A243B5"/>
    <w:rsid w:val="00A245C2"/>
    <w:rsid w:val="00A24608"/>
    <w:rsid w:val="00A247A1"/>
    <w:rsid w:val="00A25147"/>
    <w:rsid w:val="00A259B6"/>
    <w:rsid w:val="00A25AED"/>
    <w:rsid w:val="00A25DA2"/>
    <w:rsid w:val="00A26504"/>
    <w:rsid w:val="00A26980"/>
    <w:rsid w:val="00A26B2C"/>
    <w:rsid w:val="00A26CA7"/>
    <w:rsid w:val="00A272B5"/>
    <w:rsid w:val="00A27C21"/>
    <w:rsid w:val="00A27F84"/>
    <w:rsid w:val="00A3025E"/>
    <w:rsid w:val="00A30293"/>
    <w:rsid w:val="00A303C9"/>
    <w:rsid w:val="00A309CC"/>
    <w:rsid w:val="00A3168A"/>
    <w:rsid w:val="00A31CB1"/>
    <w:rsid w:val="00A34010"/>
    <w:rsid w:val="00A345CA"/>
    <w:rsid w:val="00A34F21"/>
    <w:rsid w:val="00A35205"/>
    <w:rsid w:val="00A35887"/>
    <w:rsid w:val="00A35A4B"/>
    <w:rsid w:val="00A35C0F"/>
    <w:rsid w:val="00A35C7F"/>
    <w:rsid w:val="00A35DE9"/>
    <w:rsid w:val="00A3675A"/>
    <w:rsid w:val="00A3696A"/>
    <w:rsid w:val="00A374D5"/>
    <w:rsid w:val="00A37B82"/>
    <w:rsid w:val="00A37D4D"/>
    <w:rsid w:val="00A40747"/>
    <w:rsid w:val="00A40D2A"/>
    <w:rsid w:val="00A419A3"/>
    <w:rsid w:val="00A419B5"/>
    <w:rsid w:val="00A42116"/>
    <w:rsid w:val="00A425EB"/>
    <w:rsid w:val="00A426DD"/>
    <w:rsid w:val="00A42733"/>
    <w:rsid w:val="00A4332C"/>
    <w:rsid w:val="00A433EA"/>
    <w:rsid w:val="00A436C6"/>
    <w:rsid w:val="00A43AAC"/>
    <w:rsid w:val="00A44100"/>
    <w:rsid w:val="00A447CB"/>
    <w:rsid w:val="00A44CDF"/>
    <w:rsid w:val="00A4590C"/>
    <w:rsid w:val="00A463D1"/>
    <w:rsid w:val="00A46B42"/>
    <w:rsid w:val="00A47374"/>
    <w:rsid w:val="00A5044F"/>
    <w:rsid w:val="00A50502"/>
    <w:rsid w:val="00A506DA"/>
    <w:rsid w:val="00A513FC"/>
    <w:rsid w:val="00A514CA"/>
    <w:rsid w:val="00A51BD9"/>
    <w:rsid w:val="00A5222C"/>
    <w:rsid w:val="00A52884"/>
    <w:rsid w:val="00A531FE"/>
    <w:rsid w:val="00A5400C"/>
    <w:rsid w:val="00A54A78"/>
    <w:rsid w:val="00A54CCC"/>
    <w:rsid w:val="00A552BD"/>
    <w:rsid w:val="00A55FE1"/>
    <w:rsid w:val="00A56138"/>
    <w:rsid w:val="00A56DA2"/>
    <w:rsid w:val="00A570E7"/>
    <w:rsid w:val="00A573E2"/>
    <w:rsid w:val="00A57E3C"/>
    <w:rsid w:val="00A6047A"/>
    <w:rsid w:val="00A605BF"/>
    <w:rsid w:val="00A606BC"/>
    <w:rsid w:val="00A614A5"/>
    <w:rsid w:val="00A619BE"/>
    <w:rsid w:val="00A61B39"/>
    <w:rsid w:val="00A61ECE"/>
    <w:rsid w:val="00A62114"/>
    <w:rsid w:val="00A64FE0"/>
    <w:rsid w:val="00A65503"/>
    <w:rsid w:val="00A657EE"/>
    <w:rsid w:val="00A65C83"/>
    <w:rsid w:val="00A65F56"/>
    <w:rsid w:val="00A660D0"/>
    <w:rsid w:val="00A66212"/>
    <w:rsid w:val="00A66C50"/>
    <w:rsid w:val="00A66F92"/>
    <w:rsid w:val="00A70C10"/>
    <w:rsid w:val="00A70C72"/>
    <w:rsid w:val="00A70E6B"/>
    <w:rsid w:val="00A710C0"/>
    <w:rsid w:val="00A71512"/>
    <w:rsid w:val="00A71909"/>
    <w:rsid w:val="00A71A35"/>
    <w:rsid w:val="00A71AA6"/>
    <w:rsid w:val="00A71E0D"/>
    <w:rsid w:val="00A71E56"/>
    <w:rsid w:val="00A721EB"/>
    <w:rsid w:val="00A72EA3"/>
    <w:rsid w:val="00A72F22"/>
    <w:rsid w:val="00A733BC"/>
    <w:rsid w:val="00A734E7"/>
    <w:rsid w:val="00A735BD"/>
    <w:rsid w:val="00A73841"/>
    <w:rsid w:val="00A73E56"/>
    <w:rsid w:val="00A7455C"/>
    <w:rsid w:val="00A748A6"/>
    <w:rsid w:val="00A75D04"/>
    <w:rsid w:val="00A763DE"/>
    <w:rsid w:val="00A7640E"/>
    <w:rsid w:val="00A765C3"/>
    <w:rsid w:val="00A76A69"/>
    <w:rsid w:val="00A76B0F"/>
    <w:rsid w:val="00A76E8B"/>
    <w:rsid w:val="00A77216"/>
    <w:rsid w:val="00A77238"/>
    <w:rsid w:val="00A777B9"/>
    <w:rsid w:val="00A77914"/>
    <w:rsid w:val="00A80825"/>
    <w:rsid w:val="00A80E88"/>
    <w:rsid w:val="00A8144A"/>
    <w:rsid w:val="00A81C17"/>
    <w:rsid w:val="00A8276E"/>
    <w:rsid w:val="00A82C67"/>
    <w:rsid w:val="00A830D2"/>
    <w:rsid w:val="00A8433D"/>
    <w:rsid w:val="00A8447E"/>
    <w:rsid w:val="00A844D4"/>
    <w:rsid w:val="00A84555"/>
    <w:rsid w:val="00A8472D"/>
    <w:rsid w:val="00A84A13"/>
    <w:rsid w:val="00A84BBC"/>
    <w:rsid w:val="00A84EA8"/>
    <w:rsid w:val="00A8521A"/>
    <w:rsid w:val="00A857CD"/>
    <w:rsid w:val="00A86686"/>
    <w:rsid w:val="00A86713"/>
    <w:rsid w:val="00A86996"/>
    <w:rsid w:val="00A873DF"/>
    <w:rsid w:val="00A875C9"/>
    <w:rsid w:val="00A877BF"/>
    <w:rsid w:val="00A878B8"/>
    <w:rsid w:val="00A879A4"/>
    <w:rsid w:val="00A87C19"/>
    <w:rsid w:val="00A87CAF"/>
    <w:rsid w:val="00A913C1"/>
    <w:rsid w:val="00A91484"/>
    <w:rsid w:val="00A9164D"/>
    <w:rsid w:val="00A9197D"/>
    <w:rsid w:val="00A930AA"/>
    <w:rsid w:val="00A930C2"/>
    <w:rsid w:val="00A93A88"/>
    <w:rsid w:val="00A93DC8"/>
    <w:rsid w:val="00A94276"/>
    <w:rsid w:val="00A95112"/>
    <w:rsid w:val="00A95600"/>
    <w:rsid w:val="00A95699"/>
    <w:rsid w:val="00A9603A"/>
    <w:rsid w:val="00A96EE4"/>
    <w:rsid w:val="00A975BF"/>
    <w:rsid w:val="00AA0794"/>
    <w:rsid w:val="00AA0FF8"/>
    <w:rsid w:val="00AA1B50"/>
    <w:rsid w:val="00AA1E86"/>
    <w:rsid w:val="00AA1F26"/>
    <w:rsid w:val="00AA31FA"/>
    <w:rsid w:val="00AA411D"/>
    <w:rsid w:val="00AA459D"/>
    <w:rsid w:val="00AA4727"/>
    <w:rsid w:val="00AA4837"/>
    <w:rsid w:val="00AA4878"/>
    <w:rsid w:val="00AA4914"/>
    <w:rsid w:val="00AA4B4A"/>
    <w:rsid w:val="00AA5047"/>
    <w:rsid w:val="00AA50AD"/>
    <w:rsid w:val="00AA56BF"/>
    <w:rsid w:val="00AA58F9"/>
    <w:rsid w:val="00AA5C5C"/>
    <w:rsid w:val="00AA5E14"/>
    <w:rsid w:val="00AA60FA"/>
    <w:rsid w:val="00AA6A02"/>
    <w:rsid w:val="00AA6AB0"/>
    <w:rsid w:val="00AA7277"/>
    <w:rsid w:val="00AA740E"/>
    <w:rsid w:val="00AB03AC"/>
    <w:rsid w:val="00AB082D"/>
    <w:rsid w:val="00AB09A9"/>
    <w:rsid w:val="00AB18D0"/>
    <w:rsid w:val="00AB1B2E"/>
    <w:rsid w:val="00AB245D"/>
    <w:rsid w:val="00AB2973"/>
    <w:rsid w:val="00AB3660"/>
    <w:rsid w:val="00AB3F84"/>
    <w:rsid w:val="00AB4814"/>
    <w:rsid w:val="00AB4849"/>
    <w:rsid w:val="00AB5270"/>
    <w:rsid w:val="00AB5440"/>
    <w:rsid w:val="00AB5A2F"/>
    <w:rsid w:val="00AB5DCD"/>
    <w:rsid w:val="00AB5E36"/>
    <w:rsid w:val="00AB68DF"/>
    <w:rsid w:val="00AB6947"/>
    <w:rsid w:val="00AB7811"/>
    <w:rsid w:val="00AB7C5E"/>
    <w:rsid w:val="00AB7DFC"/>
    <w:rsid w:val="00AB7F84"/>
    <w:rsid w:val="00AC04B7"/>
    <w:rsid w:val="00AC0518"/>
    <w:rsid w:val="00AC0F2C"/>
    <w:rsid w:val="00AC106A"/>
    <w:rsid w:val="00AC1C0E"/>
    <w:rsid w:val="00AC34B5"/>
    <w:rsid w:val="00AC4105"/>
    <w:rsid w:val="00AC4122"/>
    <w:rsid w:val="00AC4E3B"/>
    <w:rsid w:val="00AC4E41"/>
    <w:rsid w:val="00AC4F3D"/>
    <w:rsid w:val="00AC502A"/>
    <w:rsid w:val="00AC5157"/>
    <w:rsid w:val="00AC5650"/>
    <w:rsid w:val="00AC5C4B"/>
    <w:rsid w:val="00AC6037"/>
    <w:rsid w:val="00AC68E4"/>
    <w:rsid w:val="00AC692D"/>
    <w:rsid w:val="00AC7521"/>
    <w:rsid w:val="00AC7F03"/>
    <w:rsid w:val="00AD0B69"/>
    <w:rsid w:val="00AD1000"/>
    <w:rsid w:val="00AD1277"/>
    <w:rsid w:val="00AD19D8"/>
    <w:rsid w:val="00AD295A"/>
    <w:rsid w:val="00AD30DB"/>
    <w:rsid w:val="00AD47B0"/>
    <w:rsid w:val="00AD53D0"/>
    <w:rsid w:val="00AD5909"/>
    <w:rsid w:val="00AD5BFF"/>
    <w:rsid w:val="00AD62E5"/>
    <w:rsid w:val="00AD6A30"/>
    <w:rsid w:val="00AD6CA1"/>
    <w:rsid w:val="00AD6F03"/>
    <w:rsid w:val="00AD6F5D"/>
    <w:rsid w:val="00AD726A"/>
    <w:rsid w:val="00AD7935"/>
    <w:rsid w:val="00AD7EF2"/>
    <w:rsid w:val="00AE0555"/>
    <w:rsid w:val="00AE13C9"/>
    <w:rsid w:val="00AE1BAE"/>
    <w:rsid w:val="00AE2430"/>
    <w:rsid w:val="00AE2806"/>
    <w:rsid w:val="00AE396C"/>
    <w:rsid w:val="00AE3D4E"/>
    <w:rsid w:val="00AE4311"/>
    <w:rsid w:val="00AE4566"/>
    <w:rsid w:val="00AE457D"/>
    <w:rsid w:val="00AE484E"/>
    <w:rsid w:val="00AE4C79"/>
    <w:rsid w:val="00AE53CD"/>
    <w:rsid w:val="00AE557B"/>
    <w:rsid w:val="00AE5850"/>
    <w:rsid w:val="00AE5AA6"/>
    <w:rsid w:val="00AE5E98"/>
    <w:rsid w:val="00AE615F"/>
    <w:rsid w:val="00AE661D"/>
    <w:rsid w:val="00AE7265"/>
    <w:rsid w:val="00AE7D74"/>
    <w:rsid w:val="00AF0456"/>
    <w:rsid w:val="00AF0D3E"/>
    <w:rsid w:val="00AF0D4F"/>
    <w:rsid w:val="00AF131A"/>
    <w:rsid w:val="00AF16BC"/>
    <w:rsid w:val="00AF1973"/>
    <w:rsid w:val="00AF1A1D"/>
    <w:rsid w:val="00AF1C47"/>
    <w:rsid w:val="00AF1E96"/>
    <w:rsid w:val="00AF1FCD"/>
    <w:rsid w:val="00AF353A"/>
    <w:rsid w:val="00AF445E"/>
    <w:rsid w:val="00AF44B4"/>
    <w:rsid w:val="00AF4532"/>
    <w:rsid w:val="00AF45A7"/>
    <w:rsid w:val="00AF49AD"/>
    <w:rsid w:val="00AF5653"/>
    <w:rsid w:val="00AF58C1"/>
    <w:rsid w:val="00AF5BA2"/>
    <w:rsid w:val="00AF64F2"/>
    <w:rsid w:val="00AF658E"/>
    <w:rsid w:val="00AF68F6"/>
    <w:rsid w:val="00AF6907"/>
    <w:rsid w:val="00AF69F2"/>
    <w:rsid w:val="00AF6A11"/>
    <w:rsid w:val="00AF7409"/>
    <w:rsid w:val="00AF7C24"/>
    <w:rsid w:val="00AF7C93"/>
    <w:rsid w:val="00B01A8B"/>
    <w:rsid w:val="00B01B03"/>
    <w:rsid w:val="00B01D77"/>
    <w:rsid w:val="00B020FC"/>
    <w:rsid w:val="00B02197"/>
    <w:rsid w:val="00B032CE"/>
    <w:rsid w:val="00B036D4"/>
    <w:rsid w:val="00B03D1B"/>
    <w:rsid w:val="00B03E3A"/>
    <w:rsid w:val="00B04911"/>
    <w:rsid w:val="00B04A3F"/>
    <w:rsid w:val="00B05169"/>
    <w:rsid w:val="00B06643"/>
    <w:rsid w:val="00B06C83"/>
    <w:rsid w:val="00B10D96"/>
    <w:rsid w:val="00B111FF"/>
    <w:rsid w:val="00B1195D"/>
    <w:rsid w:val="00B119D5"/>
    <w:rsid w:val="00B11A3C"/>
    <w:rsid w:val="00B11BD9"/>
    <w:rsid w:val="00B11E4E"/>
    <w:rsid w:val="00B12491"/>
    <w:rsid w:val="00B126A6"/>
    <w:rsid w:val="00B12C56"/>
    <w:rsid w:val="00B131C2"/>
    <w:rsid w:val="00B13992"/>
    <w:rsid w:val="00B14051"/>
    <w:rsid w:val="00B141B7"/>
    <w:rsid w:val="00B15055"/>
    <w:rsid w:val="00B157A7"/>
    <w:rsid w:val="00B1599C"/>
    <w:rsid w:val="00B15B6E"/>
    <w:rsid w:val="00B15C92"/>
    <w:rsid w:val="00B15D72"/>
    <w:rsid w:val="00B16113"/>
    <w:rsid w:val="00B16472"/>
    <w:rsid w:val="00B1659D"/>
    <w:rsid w:val="00B166F2"/>
    <w:rsid w:val="00B16844"/>
    <w:rsid w:val="00B16BE4"/>
    <w:rsid w:val="00B1757E"/>
    <w:rsid w:val="00B17C24"/>
    <w:rsid w:val="00B17D5A"/>
    <w:rsid w:val="00B20865"/>
    <w:rsid w:val="00B20B8E"/>
    <w:rsid w:val="00B20FD4"/>
    <w:rsid w:val="00B21038"/>
    <w:rsid w:val="00B21682"/>
    <w:rsid w:val="00B22A7D"/>
    <w:rsid w:val="00B230B1"/>
    <w:rsid w:val="00B24141"/>
    <w:rsid w:val="00B24A6D"/>
    <w:rsid w:val="00B24E55"/>
    <w:rsid w:val="00B25428"/>
    <w:rsid w:val="00B25738"/>
    <w:rsid w:val="00B25AE5"/>
    <w:rsid w:val="00B2744E"/>
    <w:rsid w:val="00B27FF5"/>
    <w:rsid w:val="00B300FE"/>
    <w:rsid w:val="00B30179"/>
    <w:rsid w:val="00B3058B"/>
    <w:rsid w:val="00B30B5E"/>
    <w:rsid w:val="00B30D44"/>
    <w:rsid w:val="00B318F9"/>
    <w:rsid w:val="00B31C93"/>
    <w:rsid w:val="00B31EE0"/>
    <w:rsid w:val="00B321C4"/>
    <w:rsid w:val="00B328D8"/>
    <w:rsid w:val="00B3294D"/>
    <w:rsid w:val="00B337CF"/>
    <w:rsid w:val="00B3409D"/>
    <w:rsid w:val="00B34789"/>
    <w:rsid w:val="00B34AFF"/>
    <w:rsid w:val="00B3533F"/>
    <w:rsid w:val="00B35982"/>
    <w:rsid w:val="00B3636E"/>
    <w:rsid w:val="00B37B15"/>
    <w:rsid w:val="00B406E8"/>
    <w:rsid w:val="00B40AC8"/>
    <w:rsid w:val="00B4182B"/>
    <w:rsid w:val="00B42144"/>
    <w:rsid w:val="00B4242F"/>
    <w:rsid w:val="00B42A41"/>
    <w:rsid w:val="00B4439F"/>
    <w:rsid w:val="00B44925"/>
    <w:rsid w:val="00B4509A"/>
    <w:rsid w:val="00B45592"/>
    <w:rsid w:val="00B45C02"/>
    <w:rsid w:val="00B46F69"/>
    <w:rsid w:val="00B4731D"/>
    <w:rsid w:val="00B50B05"/>
    <w:rsid w:val="00B50E09"/>
    <w:rsid w:val="00B50F57"/>
    <w:rsid w:val="00B51BD5"/>
    <w:rsid w:val="00B524B5"/>
    <w:rsid w:val="00B529BA"/>
    <w:rsid w:val="00B52F5F"/>
    <w:rsid w:val="00B53257"/>
    <w:rsid w:val="00B537CB"/>
    <w:rsid w:val="00B5390C"/>
    <w:rsid w:val="00B53EC6"/>
    <w:rsid w:val="00B53FC7"/>
    <w:rsid w:val="00B544FF"/>
    <w:rsid w:val="00B5484E"/>
    <w:rsid w:val="00B54B45"/>
    <w:rsid w:val="00B54C1B"/>
    <w:rsid w:val="00B55C22"/>
    <w:rsid w:val="00B56D36"/>
    <w:rsid w:val="00B57077"/>
    <w:rsid w:val="00B5788D"/>
    <w:rsid w:val="00B57DC6"/>
    <w:rsid w:val="00B57FF0"/>
    <w:rsid w:val="00B60E62"/>
    <w:rsid w:val="00B60F24"/>
    <w:rsid w:val="00B63440"/>
    <w:rsid w:val="00B63839"/>
    <w:rsid w:val="00B63F7E"/>
    <w:rsid w:val="00B64855"/>
    <w:rsid w:val="00B648D5"/>
    <w:rsid w:val="00B649B0"/>
    <w:rsid w:val="00B65946"/>
    <w:rsid w:val="00B66062"/>
    <w:rsid w:val="00B660EE"/>
    <w:rsid w:val="00B703D1"/>
    <w:rsid w:val="00B70624"/>
    <w:rsid w:val="00B70892"/>
    <w:rsid w:val="00B70C49"/>
    <w:rsid w:val="00B70D04"/>
    <w:rsid w:val="00B7110F"/>
    <w:rsid w:val="00B72168"/>
    <w:rsid w:val="00B722E6"/>
    <w:rsid w:val="00B725E0"/>
    <w:rsid w:val="00B72A1E"/>
    <w:rsid w:val="00B73020"/>
    <w:rsid w:val="00B739E0"/>
    <w:rsid w:val="00B73DB0"/>
    <w:rsid w:val="00B73ED1"/>
    <w:rsid w:val="00B74909"/>
    <w:rsid w:val="00B74B81"/>
    <w:rsid w:val="00B75275"/>
    <w:rsid w:val="00B7551F"/>
    <w:rsid w:val="00B755A8"/>
    <w:rsid w:val="00B75733"/>
    <w:rsid w:val="00B757A2"/>
    <w:rsid w:val="00B757CE"/>
    <w:rsid w:val="00B75935"/>
    <w:rsid w:val="00B760B2"/>
    <w:rsid w:val="00B769FA"/>
    <w:rsid w:val="00B77BB5"/>
    <w:rsid w:val="00B77F3C"/>
    <w:rsid w:val="00B8043B"/>
    <w:rsid w:val="00B8080B"/>
    <w:rsid w:val="00B80A81"/>
    <w:rsid w:val="00B80B94"/>
    <w:rsid w:val="00B80E30"/>
    <w:rsid w:val="00B8103B"/>
    <w:rsid w:val="00B81537"/>
    <w:rsid w:val="00B817EA"/>
    <w:rsid w:val="00B81915"/>
    <w:rsid w:val="00B81A88"/>
    <w:rsid w:val="00B81DD8"/>
    <w:rsid w:val="00B81E12"/>
    <w:rsid w:val="00B8207C"/>
    <w:rsid w:val="00B82456"/>
    <w:rsid w:val="00B824F0"/>
    <w:rsid w:val="00B8265B"/>
    <w:rsid w:val="00B827EB"/>
    <w:rsid w:val="00B82D47"/>
    <w:rsid w:val="00B82F56"/>
    <w:rsid w:val="00B837D1"/>
    <w:rsid w:val="00B8396F"/>
    <w:rsid w:val="00B83A3C"/>
    <w:rsid w:val="00B8404D"/>
    <w:rsid w:val="00B84118"/>
    <w:rsid w:val="00B8420A"/>
    <w:rsid w:val="00B84750"/>
    <w:rsid w:val="00B850B1"/>
    <w:rsid w:val="00B85CAD"/>
    <w:rsid w:val="00B85E58"/>
    <w:rsid w:val="00B863BD"/>
    <w:rsid w:val="00B86449"/>
    <w:rsid w:val="00B867C0"/>
    <w:rsid w:val="00B874EA"/>
    <w:rsid w:val="00B87726"/>
    <w:rsid w:val="00B87D89"/>
    <w:rsid w:val="00B87E88"/>
    <w:rsid w:val="00B87EDF"/>
    <w:rsid w:val="00B90509"/>
    <w:rsid w:val="00B923C5"/>
    <w:rsid w:val="00B92718"/>
    <w:rsid w:val="00B93B01"/>
    <w:rsid w:val="00B93CF5"/>
    <w:rsid w:val="00B940C1"/>
    <w:rsid w:val="00B951C4"/>
    <w:rsid w:val="00B9565F"/>
    <w:rsid w:val="00B95A70"/>
    <w:rsid w:val="00B95AD2"/>
    <w:rsid w:val="00B961E3"/>
    <w:rsid w:val="00B9638D"/>
    <w:rsid w:val="00B96707"/>
    <w:rsid w:val="00B96BA8"/>
    <w:rsid w:val="00B97236"/>
    <w:rsid w:val="00B975B1"/>
    <w:rsid w:val="00B97AC4"/>
    <w:rsid w:val="00B97B2E"/>
    <w:rsid w:val="00B97C62"/>
    <w:rsid w:val="00B97E5C"/>
    <w:rsid w:val="00BA049D"/>
    <w:rsid w:val="00BA115B"/>
    <w:rsid w:val="00BA16F2"/>
    <w:rsid w:val="00BA1780"/>
    <w:rsid w:val="00BA1855"/>
    <w:rsid w:val="00BA18D7"/>
    <w:rsid w:val="00BA2663"/>
    <w:rsid w:val="00BA2A93"/>
    <w:rsid w:val="00BA2AFD"/>
    <w:rsid w:val="00BA339B"/>
    <w:rsid w:val="00BA351A"/>
    <w:rsid w:val="00BA35D9"/>
    <w:rsid w:val="00BA42B0"/>
    <w:rsid w:val="00BA44EB"/>
    <w:rsid w:val="00BA45EB"/>
    <w:rsid w:val="00BA49B1"/>
    <w:rsid w:val="00BA4A16"/>
    <w:rsid w:val="00BA532A"/>
    <w:rsid w:val="00BA53DE"/>
    <w:rsid w:val="00BA5725"/>
    <w:rsid w:val="00BA5E1C"/>
    <w:rsid w:val="00BA5F89"/>
    <w:rsid w:val="00BA6443"/>
    <w:rsid w:val="00BA677C"/>
    <w:rsid w:val="00BA6C73"/>
    <w:rsid w:val="00BA6F69"/>
    <w:rsid w:val="00BA701A"/>
    <w:rsid w:val="00BA7833"/>
    <w:rsid w:val="00BB0410"/>
    <w:rsid w:val="00BB0878"/>
    <w:rsid w:val="00BB0B18"/>
    <w:rsid w:val="00BB0DD7"/>
    <w:rsid w:val="00BB10B0"/>
    <w:rsid w:val="00BB1CF8"/>
    <w:rsid w:val="00BB1EBD"/>
    <w:rsid w:val="00BB2264"/>
    <w:rsid w:val="00BB28FA"/>
    <w:rsid w:val="00BB2F69"/>
    <w:rsid w:val="00BB3E95"/>
    <w:rsid w:val="00BB3EC7"/>
    <w:rsid w:val="00BB404B"/>
    <w:rsid w:val="00BB4BAA"/>
    <w:rsid w:val="00BB57B1"/>
    <w:rsid w:val="00BB58ED"/>
    <w:rsid w:val="00BB5EA3"/>
    <w:rsid w:val="00BB6357"/>
    <w:rsid w:val="00BB646F"/>
    <w:rsid w:val="00BB64A8"/>
    <w:rsid w:val="00BB67B4"/>
    <w:rsid w:val="00BB7DD5"/>
    <w:rsid w:val="00BC0140"/>
    <w:rsid w:val="00BC04B3"/>
    <w:rsid w:val="00BC05DF"/>
    <w:rsid w:val="00BC1176"/>
    <w:rsid w:val="00BC1931"/>
    <w:rsid w:val="00BC1AEF"/>
    <w:rsid w:val="00BC1E7E"/>
    <w:rsid w:val="00BC29EA"/>
    <w:rsid w:val="00BC2A67"/>
    <w:rsid w:val="00BC2EB5"/>
    <w:rsid w:val="00BC343F"/>
    <w:rsid w:val="00BC3453"/>
    <w:rsid w:val="00BC3BBA"/>
    <w:rsid w:val="00BC3EF3"/>
    <w:rsid w:val="00BC452C"/>
    <w:rsid w:val="00BC56BE"/>
    <w:rsid w:val="00BC5823"/>
    <w:rsid w:val="00BC5881"/>
    <w:rsid w:val="00BC620B"/>
    <w:rsid w:val="00BC658D"/>
    <w:rsid w:val="00BC6FB0"/>
    <w:rsid w:val="00BC70A1"/>
    <w:rsid w:val="00BC7327"/>
    <w:rsid w:val="00BC739F"/>
    <w:rsid w:val="00BC73A4"/>
    <w:rsid w:val="00BC74E9"/>
    <w:rsid w:val="00BC75BE"/>
    <w:rsid w:val="00BC75F3"/>
    <w:rsid w:val="00BC7A67"/>
    <w:rsid w:val="00BC7D8B"/>
    <w:rsid w:val="00BD0C35"/>
    <w:rsid w:val="00BD0DD2"/>
    <w:rsid w:val="00BD16A1"/>
    <w:rsid w:val="00BD1777"/>
    <w:rsid w:val="00BD285B"/>
    <w:rsid w:val="00BD2C50"/>
    <w:rsid w:val="00BD2E4E"/>
    <w:rsid w:val="00BD2E59"/>
    <w:rsid w:val="00BD30B1"/>
    <w:rsid w:val="00BD3534"/>
    <w:rsid w:val="00BD452C"/>
    <w:rsid w:val="00BD4614"/>
    <w:rsid w:val="00BD51D4"/>
    <w:rsid w:val="00BD532B"/>
    <w:rsid w:val="00BD5C1C"/>
    <w:rsid w:val="00BD5DA7"/>
    <w:rsid w:val="00BD5DEC"/>
    <w:rsid w:val="00BD5E94"/>
    <w:rsid w:val="00BD5EF9"/>
    <w:rsid w:val="00BD6660"/>
    <w:rsid w:val="00BD68AE"/>
    <w:rsid w:val="00BD728C"/>
    <w:rsid w:val="00BD786F"/>
    <w:rsid w:val="00BE0673"/>
    <w:rsid w:val="00BE19DF"/>
    <w:rsid w:val="00BE1FF2"/>
    <w:rsid w:val="00BE3410"/>
    <w:rsid w:val="00BE363E"/>
    <w:rsid w:val="00BE36A9"/>
    <w:rsid w:val="00BE509C"/>
    <w:rsid w:val="00BE5606"/>
    <w:rsid w:val="00BE5E20"/>
    <w:rsid w:val="00BE618E"/>
    <w:rsid w:val="00BE668D"/>
    <w:rsid w:val="00BE6881"/>
    <w:rsid w:val="00BE716D"/>
    <w:rsid w:val="00BE75BA"/>
    <w:rsid w:val="00BE76A6"/>
    <w:rsid w:val="00BE7BEC"/>
    <w:rsid w:val="00BF00CF"/>
    <w:rsid w:val="00BF0879"/>
    <w:rsid w:val="00BF08CC"/>
    <w:rsid w:val="00BF0A5A"/>
    <w:rsid w:val="00BF0E63"/>
    <w:rsid w:val="00BF100E"/>
    <w:rsid w:val="00BF11E3"/>
    <w:rsid w:val="00BF1286"/>
    <w:rsid w:val="00BF12A3"/>
    <w:rsid w:val="00BF16D7"/>
    <w:rsid w:val="00BF221A"/>
    <w:rsid w:val="00BF2236"/>
    <w:rsid w:val="00BF2373"/>
    <w:rsid w:val="00BF2628"/>
    <w:rsid w:val="00BF2795"/>
    <w:rsid w:val="00BF27CD"/>
    <w:rsid w:val="00BF2F83"/>
    <w:rsid w:val="00BF3064"/>
    <w:rsid w:val="00BF30B2"/>
    <w:rsid w:val="00BF3141"/>
    <w:rsid w:val="00BF3791"/>
    <w:rsid w:val="00BF3E84"/>
    <w:rsid w:val="00BF4157"/>
    <w:rsid w:val="00BF5343"/>
    <w:rsid w:val="00BF545B"/>
    <w:rsid w:val="00BF5761"/>
    <w:rsid w:val="00BF5803"/>
    <w:rsid w:val="00BF5BE8"/>
    <w:rsid w:val="00BF5BF4"/>
    <w:rsid w:val="00BF5C3B"/>
    <w:rsid w:val="00BF6D78"/>
    <w:rsid w:val="00BF738F"/>
    <w:rsid w:val="00BF7C9F"/>
    <w:rsid w:val="00BF7F0E"/>
    <w:rsid w:val="00BF7F23"/>
    <w:rsid w:val="00C00195"/>
    <w:rsid w:val="00C00309"/>
    <w:rsid w:val="00C00ABC"/>
    <w:rsid w:val="00C00EAF"/>
    <w:rsid w:val="00C0114B"/>
    <w:rsid w:val="00C027D2"/>
    <w:rsid w:val="00C02F04"/>
    <w:rsid w:val="00C0385B"/>
    <w:rsid w:val="00C0445B"/>
    <w:rsid w:val="00C044E2"/>
    <w:rsid w:val="00C048CB"/>
    <w:rsid w:val="00C04FF9"/>
    <w:rsid w:val="00C051A9"/>
    <w:rsid w:val="00C05F93"/>
    <w:rsid w:val="00C0619B"/>
    <w:rsid w:val="00C066F3"/>
    <w:rsid w:val="00C0682C"/>
    <w:rsid w:val="00C06B32"/>
    <w:rsid w:val="00C06DD8"/>
    <w:rsid w:val="00C070BC"/>
    <w:rsid w:val="00C071EF"/>
    <w:rsid w:val="00C07248"/>
    <w:rsid w:val="00C07620"/>
    <w:rsid w:val="00C0762E"/>
    <w:rsid w:val="00C077BE"/>
    <w:rsid w:val="00C10885"/>
    <w:rsid w:val="00C11506"/>
    <w:rsid w:val="00C118BB"/>
    <w:rsid w:val="00C11E80"/>
    <w:rsid w:val="00C124AC"/>
    <w:rsid w:val="00C13C46"/>
    <w:rsid w:val="00C1401F"/>
    <w:rsid w:val="00C15225"/>
    <w:rsid w:val="00C15354"/>
    <w:rsid w:val="00C1544B"/>
    <w:rsid w:val="00C15735"/>
    <w:rsid w:val="00C15F41"/>
    <w:rsid w:val="00C16EBC"/>
    <w:rsid w:val="00C16FF5"/>
    <w:rsid w:val="00C17732"/>
    <w:rsid w:val="00C1776C"/>
    <w:rsid w:val="00C17C1E"/>
    <w:rsid w:val="00C202CB"/>
    <w:rsid w:val="00C20729"/>
    <w:rsid w:val="00C209BA"/>
    <w:rsid w:val="00C2137E"/>
    <w:rsid w:val="00C21E92"/>
    <w:rsid w:val="00C22482"/>
    <w:rsid w:val="00C22967"/>
    <w:rsid w:val="00C22B6E"/>
    <w:rsid w:val="00C22DB2"/>
    <w:rsid w:val="00C2340D"/>
    <w:rsid w:val="00C234CE"/>
    <w:rsid w:val="00C2351A"/>
    <w:rsid w:val="00C23575"/>
    <w:rsid w:val="00C2433C"/>
    <w:rsid w:val="00C24650"/>
    <w:rsid w:val="00C24A03"/>
    <w:rsid w:val="00C24DA6"/>
    <w:rsid w:val="00C2564F"/>
    <w:rsid w:val="00C259AB"/>
    <w:rsid w:val="00C26781"/>
    <w:rsid w:val="00C26C9B"/>
    <w:rsid w:val="00C275BD"/>
    <w:rsid w:val="00C27635"/>
    <w:rsid w:val="00C302E0"/>
    <w:rsid w:val="00C30AE0"/>
    <w:rsid w:val="00C30FA2"/>
    <w:rsid w:val="00C31F10"/>
    <w:rsid w:val="00C32141"/>
    <w:rsid w:val="00C32412"/>
    <w:rsid w:val="00C326D1"/>
    <w:rsid w:val="00C32C28"/>
    <w:rsid w:val="00C32C75"/>
    <w:rsid w:val="00C336C2"/>
    <w:rsid w:val="00C337AA"/>
    <w:rsid w:val="00C33B06"/>
    <w:rsid w:val="00C33D4E"/>
    <w:rsid w:val="00C34438"/>
    <w:rsid w:val="00C34E1A"/>
    <w:rsid w:val="00C36108"/>
    <w:rsid w:val="00C362F8"/>
    <w:rsid w:val="00C364C0"/>
    <w:rsid w:val="00C36671"/>
    <w:rsid w:val="00C37BF6"/>
    <w:rsid w:val="00C407E7"/>
    <w:rsid w:val="00C40C0D"/>
    <w:rsid w:val="00C4105A"/>
    <w:rsid w:val="00C41100"/>
    <w:rsid w:val="00C417DD"/>
    <w:rsid w:val="00C419CF"/>
    <w:rsid w:val="00C41BF7"/>
    <w:rsid w:val="00C4236F"/>
    <w:rsid w:val="00C42A74"/>
    <w:rsid w:val="00C42BBF"/>
    <w:rsid w:val="00C42DD1"/>
    <w:rsid w:val="00C431FF"/>
    <w:rsid w:val="00C436DD"/>
    <w:rsid w:val="00C438AD"/>
    <w:rsid w:val="00C440A5"/>
    <w:rsid w:val="00C4422D"/>
    <w:rsid w:val="00C44341"/>
    <w:rsid w:val="00C44713"/>
    <w:rsid w:val="00C44E59"/>
    <w:rsid w:val="00C454CA"/>
    <w:rsid w:val="00C457DF"/>
    <w:rsid w:val="00C45BCF"/>
    <w:rsid w:val="00C45FAD"/>
    <w:rsid w:val="00C46006"/>
    <w:rsid w:val="00C460B3"/>
    <w:rsid w:val="00C46399"/>
    <w:rsid w:val="00C463DD"/>
    <w:rsid w:val="00C47623"/>
    <w:rsid w:val="00C47AE0"/>
    <w:rsid w:val="00C500AE"/>
    <w:rsid w:val="00C51456"/>
    <w:rsid w:val="00C514A3"/>
    <w:rsid w:val="00C51623"/>
    <w:rsid w:val="00C51BEB"/>
    <w:rsid w:val="00C53266"/>
    <w:rsid w:val="00C536D7"/>
    <w:rsid w:val="00C536F3"/>
    <w:rsid w:val="00C53962"/>
    <w:rsid w:val="00C53D83"/>
    <w:rsid w:val="00C54045"/>
    <w:rsid w:val="00C541D0"/>
    <w:rsid w:val="00C5475D"/>
    <w:rsid w:val="00C54F1B"/>
    <w:rsid w:val="00C5504F"/>
    <w:rsid w:val="00C5512D"/>
    <w:rsid w:val="00C55290"/>
    <w:rsid w:val="00C552B5"/>
    <w:rsid w:val="00C555A0"/>
    <w:rsid w:val="00C556CB"/>
    <w:rsid w:val="00C557B1"/>
    <w:rsid w:val="00C56583"/>
    <w:rsid w:val="00C567F3"/>
    <w:rsid w:val="00C57184"/>
    <w:rsid w:val="00C5741B"/>
    <w:rsid w:val="00C576B9"/>
    <w:rsid w:val="00C577C6"/>
    <w:rsid w:val="00C57AA6"/>
    <w:rsid w:val="00C57C4C"/>
    <w:rsid w:val="00C57CC4"/>
    <w:rsid w:val="00C606F0"/>
    <w:rsid w:val="00C60C98"/>
    <w:rsid w:val="00C61249"/>
    <w:rsid w:val="00C617CB"/>
    <w:rsid w:val="00C61829"/>
    <w:rsid w:val="00C6280D"/>
    <w:rsid w:val="00C630D3"/>
    <w:rsid w:val="00C6376E"/>
    <w:rsid w:val="00C63EB4"/>
    <w:rsid w:val="00C63FEA"/>
    <w:rsid w:val="00C646AE"/>
    <w:rsid w:val="00C64A1D"/>
    <w:rsid w:val="00C65421"/>
    <w:rsid w:val="00C65A0B"/>
    <w:rsid w:val="00C66820"/>
    <w:rsid w:val="00C66D98"/>
    <w:rsid w:val="00C6701E"/>
    <w:rsid w:val="00C67728"/>
    <w:rsid w:val="00C70223"/>
    <w:rsid w:val="00C7031D"/>
    <w:rsid w:val="00C7035A"/>
    <w:rsid w:val="00C70AF1"/>
    <w:rsid w:val="00C7115A"/>
    <w:rsid w:val="00C71C8B"/>
    <w:rsid w:val="00C72EBC"/>
    <w:rsid w:val="00C731F8"/>
    <w:rsid w:val="00C73CAD"/>
    <w:rsid w:val="00C74007"/>
    <w:rsid w:val="00C740E8"/>
    <w:rsid w:val="00C74287"/>
    <w:rsid w:val="00C745C3"/>
    <w:rsid w:val="00C7500F"/>
    <w:rsid w:val="00C757B3"/>
    <w:rsid w:val="00C763DD"/>
    <w:rsid w:val="00C77033"/>
    <w:rsid w:val="00C774D9"/>
    <w:rsid w:val="00C777E3"/>
    <w:rsid w:val="00C77C93"/>
    <w:rsid w:val="00C80587"/>
    <w:rsid w:val="00C81664"/>
    <w:rsid w:val="00C81767"/>
    <w:rsid w:val="00C8181D"/>
    <w:rsid w:val="00C8192C"/>
    <w:rsid w:val="00C82862"/>
    <w:rsid w:val="00C82C81"/>
    <w:rsid w:val="00C8344B"/>
    <w:rsid w:val="00C83D5C"/>
    <w:rsid w:val="00C83EF4"/>
    <w:rsid w:val="00C84321"/>
    <w:rsid w:val="00C848F3"/>
    <w:rsid w:val="00C84BED"/>
    <w:rsid w:val="00C84D75"/>
    <w:rsid w:val="00C84D79"/>
    <w:rsid w:val="00C84E55"/>
    <w:rsid w:val="00C85493"/>
    <w:rsid w:val="00C85955"/>
    <w:rsid w:val="00C85A0D"/>
    <w:rsid w:val="00C8614C"/>
    <w:rsid w:val="00C863C1"/>
    <w:rsid w:val="00C863E0"/>
    <w:rsid w:val="00C86449"/>
    <w:rsid w:val="00C87697"/>
    <w:rsid w:val="00C87A84"/>
    <w:rsid w:val="00C90A8C"/>
    <w:rsid w:val="00C90CF7"/>
    <w:rsid w:val="00C90CFC"/>
    <w:rsid w:val="00C90D40"/>
    <w:rsid w:val="00C90F24"/>
    <w:rsid w:val="00C91083"/>
    <w:rsid w:val="00C91C8F"/>
    <w:rsid w:val="00C92014"/>
    <w:rsid w:val="00C921C2"/>
    <w:rsid w:val="00C921F5"/>
    <w:rsid w:val="00C927BE"/>
    <w:rsid w:val="00C929C6"/>
    <w:rsid w:val="00C929D1"/>
    <w:rsid w:val="00C92E03"/>
    <w:rsid w:val="00C930C7"/>
    <w:rsid w:val="00C930EF"/>
    <w:rsid w:val="00C93589"/>
    <w:rsid w:val="00C93611"/>
    <w:rsid w:val="00C93789"/>
    <w:rsid w:val="00C93EF5"/>
    <w:rsid w:val="00C941AC"/>
    <w:rsid w:val="00C94685"/>
    <w:rsid w:val="00C946DF"/>
    <w:rsid w:val="00C94883"/>
    <w:rsid w:val="00C94E27"/>
    <w:rsid w:val="00C95677"/>
    <w:rsid w:val="00C95CD1"/>
    <w:rsid w:val="00C96395"/>
    <w:rsid w:val="00C96B1A"/>
    <w:rsid w:val="00C979D2"/>
    <w:rsid w:val="00C97CD1"/>
    <w:rsid w:val="00CA09B8"/>
    <w:rsid w:val="00CA0ADA"/>
    <w:rsid w:val="00CA0B2B"/>
    <w:rsid w:val="00CA0D67"/>
    <w:rsid w:val="00CA1383"/>
    <w:rsid w:val="00CA1D52"/>
    <w:rsid w:val="00CA1F91"/>
    <w:rsid w:val="00CA20E7"/>
    <w:rsid w:val="00CA24A4"/>
    <w:rsid w:val="00CA2D74"/>
    <w:rsid w:val="00CA2FCC"/>
    <w:rsid w:val="00CA3740"/>
    <w:rsid w:val="00CA4563"/>
    <w:rsid w:val="00CA477F"/>
    <w:rsid w:val="00CA482D"/>
    <w:rsid w:val="00CA56D1"/>
    <w:rsid w:val="00CA5937"/>
    <w:rsid w:val="00CA59D5"/>
    <w:rsid w:val="00CA5A30"/>
    <w:rsid w:val="00CA60BA"/>
    <w:rsid w:val="00CA61A0"/>
    <w:rsid w:val="00CA64C5"/>
    <w:rsid w:val="00CA653F"/>
    <w:rsid w:val="00CA7DF5"/>
    <w:rsid w:val="00CB02BF"/>
    <w:rsid w:val="00CB03F1"/>
    <w:rsid w:val="00CB06E1"/>
    <w:rsid w:val="00CB0FE4"/>
    <w:rsid w:val="00CB147B"/>
    <w:rsid w:val="00CB1535"/>
    <w:rsid w:val="00CB1C64"/>
    <w:rsid w:val="00CB23DD"/>
    <w:rsid w:val="00CB2E78"/>
    <w:rsid w:val="00CB3435"/>
    <w:rsid w:val="00CB348D"/>
    <w:rsid w:val="00CB4603"/>
    <w:rsid w:val="00CB4637"/>
    <w:rsid w:val="00CB48FC"/>
    <w:rsid w:val="00CB5ADA"/>
    <w:rsid w:val="00CB5DA6"/>
    <w:rsid w:val="00CB5EB6"/>
    <w:rsid w:val="00CB5F4A"/>
    <w:rsid w:val="00CB5F96"/>
    <w:rsid w:val="00CB5FA4"/>
    <w:rsid w:val="00CB62CF"/>
    <w:rsid w:val="00CB75E9"/>
    <w:rsid w:val="00CB7C54"/>
    <w:rsid w:val="00CC0689"/>
    <w:rsid w:val="00CC15EC"/>
    <w:rsid w:val="00CC19EF"/>
    <w:rsid w:val="00CC1CB7"/>
    <w:rsid w:val="00CC1DE8"/>
    <w:rsid w:val="00CC24A5"/>
    <w:rsid w:val="00CC2F0E"/>
    <w:rsid w:val="00CC2FDF"/>
    <w:rsid w:val="00CC3703"/>
    <w:rsid w:val="00CC3B46"/>
    <w:rsid w:val="00CC4341"/>
    <w:rsid w:val="00CC43AB"/>
    <w:rsid w:val="00CC5303"/>
    <w:rsid w:val="00CC53A6"/>
    <w:rsid w:val="00CC5A76"/>
    <w:rsid w:val="00CC5AB7"/>
    <w:rsid w:val="00CC6061"/>
    <w:rsid w:val="00CC641A"/>
    <w:rsid w:val="00CC6695"/>
    <w:rsid w:val="00CC7627"/>
    <w:rsid w:val="00CC7D60"/>
    <w:rsid w:val="00CD0AF2"/>
    <w:rsid w:val="00CD0C82"/>
    <w:rsid w:val="00CD0CFA"/>
    <w:rsid w:val="00CD1522"/>
    <w:rsid w:val="00CD157B"/>
    <w:rsid w:val="00CD16F7"/>
    <w:rsid w:val="00CD1C78"/>
    <w:rsid w:val="00CD1DF5"/>
    <w:rsid w:val="00CD1E84"/>
    <w:rsid w:val="00CD2147"/>
    <w:rsid w:val="00CD227C"/>
    <w:rsid w:val="00CD2A49"/>
    <w:rsid w:val="00CD2FCE"/>
    <w:rsid w:val="00CD316E"/>
    <w:rsid w:val="00CD3278"/>
    <w:rsid w:val="00CD328C"/>
    <w:rsid w:val="00CD334B"/>
    <w:rsid w:val="00CD3AD8"/>
    <w:rsid w:val="00CD3E37"/>
    <w:rsid w:val="00CD3E81"/>
    <w:rsid w:val="00CD3F48"/>
    <w:rsid w:val="00CD46F5"/>
    <w:rsid w:val="00CD493B"/>
    <w:rsid w:val="00CD507F"/>
    <w:rsid w:val="00CD51A4"/>
    <w:rsid w:val="00CD52A3"/>
    <w:rsid w:val="00CD5919"/>
    <w:rsid w:val="00CD647F"/>
    <w:rsid w:val="00CD69ED"/>
    <w:rsid w:val="00CD6D83"/>
    <w:rsid w:val="00CD7E94"/>
    <w:rsid w:val="00CD7FC5"/>
    <w:rsid w:val="00CE0102"/>
    <w:rsid w:val="00CE0120"/>
    <w:rsid w:val="00CE046B"/>
    <w:rsid w:val="00CE1748"/>
    <w:rsid w:val="00CE19DA"/>
    <w:rsid w:val="00CE1B8E"/>
    <w:rsid w:val="00CE2850"/>
    <w:rsid w:val="00CE3126"/>
    <w:rsid w:val="00CE3190"/>
    <w:rsid w:val="00CE32ED"/>
    <w:rsid w:val="00CE3524"/>
    <w:rsid w:val="00CE38E7"/>
    <w:rsid w:val="00CE3CA0"/>
    <w:rsid w:val="00CE3FC3"/>
    <w:rsid w:val="00CE4001"/>
    <w:rsid w:val="00CE41D0"/>
    <w:rsid w:val="00CE4A8F"/>
    <w:rsid w:val="00CE4DEA"/>
    <w:rsid w:val="00CE51E2"/>
    <w:rsid w:val="00CE5C0C"/>
    <w:rsid w:val="00CE697C"/>
    <w:rsid w:val="00CE6DE9"/>
    <w:rsid w:val="00CE792B"/>
    <w:rsid w:val="00CE7981"/>
    <w:rsid w:val="00CE7BFF"/>
    <w:rsid w:val="00CE7D77"/>
    <w:rsid w:val="00CE7DC5"/>
    <w:rsid w:val="00CE7FC2"/>
    <w:rsid w:val="00CF071D"/>
    <w:rsid w:val="00CF0F86"/>
    <w:rsid w:val="00CF25DF"/>
    <w:rsid w:val="00CF3431"/>
    <w:rsid w:val="00CF3530"/>
    <w:rsid w:val="00CF366D"/>
    <w:rsid w:val="00CF39D3"/>
    <w:rsid w:val="00CF4610"/>
    <w:rsid w:val="00CF4664"/>
    <w:rsid w:val="00CF542F"/>
    <w:rsid w:val="00CF7446"/>
    <w:rsid w:val="00CF7D6C"/>
    <w:rsid w:val="00CF7DA5"/>
    <w:rsid w:val="00D00C8C"/>
    <w:rsid w:val="00D010C9"/>
    <w:rsid w:val="00D01622"/>
    <w:rsid w:val="00D02115"/>
    <w:rsid w:val="00D03AB9"/>
    <w:rsid w:val="00D048DA"/>
    <w:rsid w:val="00D04AFC"/>
    <w:rsid w:val="00D0681E"/>
    <w:rsid w:val="00D06DED"/>
    <w:rsid w:val="00D073ED"/>
    <w:rsid w:val="00D07422"/>
    <w:rsid w:val="00D07FFC"/>
    <w:rsid w:val="00D1017D"/>
    <w:rsid w:val="00D10334"/>
    <w:rsid w:val="00D10D2A"/>
    <w:rsid w:val="00D10F1F"/>
    <w:rsid w:val="00D12157"/>
    <w:rsid w:val="00D126DB"/>
    <w:rsid w:val="00D1272A"/>
    <w:rsid w:val="00D12A72"/>
    <w:rsid w:val="00D13359"/>
    <w:rsid w:val="00D135E1"/>
    <w:rsid w:val="00D138FC"/>
    <w:rsid w:val="00D1415B"/>
    <w:rsid w:val="00D14201"/>
    <w:rsid w:val="00D1439F"/>
    <w:rsid w:val="00D15101"/>
    <w:rsid w:val="00D151F3"/>
    <w:rsid w:val="00D154FA"/>
    <w:rsid w:val="00D15B04"/>
    <w:rsid w:val="00D16117"/>
    <w:rsid w:val="00D16298"/>
    <w:rsid w:val="00D163A7"/>
    <w:rsid w:val="00D16A46"/>
    <w:rsid w:val="00D177F4"/>
    <w:rsid w:val="00D17BCE"/>
    <w:rsid w:val="00D17E91"/>
    <w:rsid w:val="00D17ECA"/>
    <w:rsid w:val="00D201FA"/>
    <w:rsid w:val="00D2031B"/>
    <w:rsid w:val="00D20752"/>
    <w:rsid w:val="00D20808"/>
    <w:rsid w:val="00D21DA3"/>
    <w:rsid w:val="00D21E2C"/>
    <w:rsid w:val="00D220D1"/>
    <w:rsid w:val="00D22234"/>
    <w:rsid w:val="00D22426"/>
    <w:rsid w:val="00D228BA"/>
    <w:rsid w:val="00D22F39"/>
    <w:rsid w:val="00D22FE8"/>
    <w:rsid w:val="00D231D3"/>
    <w:rsid w:val="00D23BFC"/>
    <w:rsid w:val="00D23D2C"/>
    <w:rsid w:val="00D2430C"/>
    <w:rsid w:val="00D243A4"/>
    <w:rsid w:val="00D25560"/>
    <w:rsid w:val="00D25702"/>
    <w:rsid w:val="00D25D87"/>
    <w:rsid w:val="00D25FE2"/>
    <w:rsid w:val="00D26210"/>
    <w:rsid w:val="00D26B97"/>
    <w:rsid w:val="00D27186"/>
    <w:rsid w:val="00D27655"/>
    <w:rsid w:val="00D27911"/>
    <w:rsid w:val="00D27DF2"/>
    <w:rsid w:val="00D305C3"/>
    <w:rsid w:val="00D31431"/>
    <w:rsid w:val="00D3170D"/>
    <w:rsid w:val="00D31736"/>
    <w:rsid w:val="00D31EF1"/>
    <w:rsid w:val="00D33428"/>
    <w:rsid w:val="00D33831"/>
    <w:rsid w:val="00D33A3D"/>
    <w:rsid w:val="00D33BE5"/>
    <w:rsid w:val="00D34375"/>
    <w:rsid w:val="00D35288"/>
    <w:rsid w:val="00D355E5"/>
    <w:rsid w:val="00D359A9"/>
    <w:rsid w:val="00D35A3E"/>
    <w:rsid w:val="00D36408"/>
    <w:rsid w:val="00D36FCD"/>
    <w:rsid w:val="00D378B2"/>
    <w:rsid w:val="00D37CF5"/>
    <w:rsid w:val="00D37DA9"/>
    <w:rsid w:val="00D40074"/>
    <w:rsid w:val="00D406A7"/>
    <w:rsid w:val="00D407DB"/>
    <w:rsid w:val="00D40FE6"/>
    <w:rsid w:val="00D4112C"/>
    <w:rsid w:val="00D41946"/>
    <w:rsid w:val="00D4289F"/>
    <w:rsid w:val="00D42CB6"/>
    <w:rsid w:val="00D43252"/>
    <w:rsid w:val="00D435B4"/>
    <w:rsid w:val="00D43E4D"/>
    <w:rsid w:val="00D445F7"/>
    <w:rsid w:val="00D44BF4"/>
    <w:rsid w:val="00D44D86"/>
    <w:rsid w:val="00D451E9"/>
    <w:rsid w:val="00D4617A"/>
    <w:rsid w:val="00D462C3"/>
    <w:rsid w:val="00D465F9"/>
    <w:rsid w:val="00D46DC0"/>
    <w:rsid w:val="00D473BF"/>
    <w:rsid w:val="00D473D3"/>
    <w:rsid w:val="00D474DD"/>
    <w:rsid w:val="00D47993"/>
    <w:rsid w:val="00D47C85"/>
    <w:rsid w:val="00D47EE2"/>
    <w:rsid w:val="00D5021E"/>
    <w:rsid w:val="00D50B7D"/>
    <w:rsid w:val="00D50B9C"/>
    <w:rsid w:val="00D50C29"/>
    <w:rsid w:val="00D516FE"/>
    <w:rsid w:val="00D51765"/>
    <w:rsid w:val="00D51F89"/>
    <w:rsid w:val="00D52012"/>
    <w:rsid w:val="00D52C5C"/>
    <w:rsid w:val="00D52CE2"/>
    <w:rsid w:val="00D5395B"/>
    <w:rsid w:val="00D549BB"/>
    <w:rsid w:val="00D54A5D"/>
    <w:rsid w:val="00D55165"/>
    <w:rsid w:val="00D551E8"/>
    <w:rsid w:val="00D569A0"/>
    <w:rsid w:val="00D5702E"/>
    <w:rsid w:val="00D574BD"/>
    <w:rsid w:val="00D57A90"/>
    <w:rsid w:val="00D604EC"/>
    <w:rsid w:val="00D60A37"/>
    <w:rsid w:val="00D60CCC"/>
    <w:rsid w:val="00D60D6D"/>
    <w:rsid w:val="00D6113E"/>
    <w:rsid w:val="00D61462"/>
    <w:rsid w:val="00D615C0"/>
    <w:rsid w:val="00D61BAC"/>
    <w:rsid w:val="00D61C42"/>
    <w:rsid w:val="00D620EE"/>
    <w:rsid w:val="00D62943"/>
    <w:rsid w:val="00D62E39"/>
    <w:rsid w:val="00D63412"/>
    <w:rsid w:val="00D6426D"/>
    <w:rsid w:val="00D64460"/>
    <w:rsid w:val="00D64631"/>
    <w:rsid w:val="00D6472C"/>
    <w:rsid w:val="00D648C3"/>
    <w:rsid w:val="00D64E0D"/>
    <w:rsid w:val="00D64E7C"/>
    <w:rsid w:val="00D64EAC"/>
    <w:rsid w:val="00D65493"/>
    <w:rsid w:val="00D6571E"/>
    <w:rsid w:val="00D6577D"/>
    <w:rsid w:val="00D65B4C"/>
    <w:rsid w:val="00D65E29"/>
    <w:rsid w:val="00D66087"/>
    <w:rsid w:val="00D66492"/>
    <w:rsid w:val="00D66C4C"/>
    <w:rsid w:val="00D670F0"/>
    <w:rsid w:val="00D679B4"/>
    <w:rsid w:val="00D67F31"/>
    <w:rsid w:val="00D701A8"/>
    <w:rsid w:val="00D704E5"/>
    <w:rsid w:val="00D707A1"/>
    <w:rsid w:val="00D71312"/>
    <w:rsid w:val="00D71DCC"/>
    <w:rsid w:val="00D72727"/>
    <w:rsid w:val="00D72D75"/>
    <w:rsid w:val="00D737D7"/>
    <w:rsid w:val="00D738B9"/>
    <w:rsid w:val="00D73A19"/>
    <w:rsid w:val="00D73A85"/>
    <w:rsid w:val="00D7458A"/>
    <w:rsid w:val="00D748D2"/>
    <w:rsid w:val="00D74D30"/>
    <w:rsid w:val="00D75043"/>
    <w:rsid w:val="00D75DEF"/>
    <w:rsid w:val="00D766A7"/>
    <w:rsid w:val="00D76F1A"/>
    <w:rsid w:val="00D7736B"/>
    <w:rsid w:val="00D775BB"/>
    <w:rsid w:val="00D80184"/>
    <w:rsid w:val="00D80276"/>
    <w:rsid w:val="00D80AAE"/>
    <w:rsid w:val="00D81BC0"/>
    <w:rsid w:val="00D81DB0"/>
    <w:rsid w:val="00D81F5D"/>
    <w:rsid w:val="00D8205D"/>
    <w:rsid w:val="00D82454"/>
    <w:rsid w:val="00D8287F"/>
    <w:rsid w:val="00D82BC9"/>
    <w:rsid w:val="00D82D50"/>
    <w:rsid w:val="00D8314F"/>
    <w:rsid w:val="00D838A5"/>
    <w:rsid w:val="00D83A0D"/>
    <w:rsid w:val="00D85774"/>
    <w:rsid w:val="00D86462"/>
    <w:rsid w:val="00D8655E"/>
    <w:rsid w:val="00D865FD"/>
    <w:rsid w:val="00D87C88"/>
    <w:rsid w:val="00D87CAC"/>
    <w:rsid w:val="00D87CBD"/>
    <w:rsid w:val="00D904E3"/>
    <w:rsid w:val="00D9050E"/>
    <w:rsid w:val="00D90593"/>
    <w:rsid w:val="00D91135"/>
    <w:rsid w:val="00D929AC"/>
    <w:rsid w:val="00D92BB5"/>
    <w:rsid w:val="00D92FDD"/>
    <w:rsid w:val="00D93A4B"/>
    <w:rsid w:val="00D93EF3"/>
    <w:rsid w:val="00D944D3"/>
    <w:rsid w:val="00D94A0D"/>
    <w:rsid w:val="00D95409"/>
    <w:rsid w:val="00D9552C"/>
    <w:rsid w:val="00D956EA"/>
    <w:rsid w:val="00D95E0D"/>
    <w:rsid w:val="00D95F7D"/>
    <w:rsid w:val="00D96302"/>
    <w:rsid w:val="00D96854"/>
    <w:rsid w:val="00D96B11"/>
    <w:rsid w:val="00D971FB"/>
    <w:rsid w:val="00D976C4"/>
    <w:rsid w:val="00D97883"/>
    <w:rsid w:val="00D978C6"/>
    <w:rsid w:val="00D97CA6"/>
    <w:rsid w:val="00DA0956"/>
    <w:rsid w:val="00DA0FD2"/>
    <w:rsid w:val="00DA13E8"/>
    <w:rsid w:val="00DA18B6"/>
    <w:rsid w:val="00DA1D76"/>
    <w:rsid w:val="00DA270A"/>
    <w:rsid w:val="00DA29EA"/>
    <w:rsid w:val="00DA2ED2"/>
    <w:rsid w:val="00DA33B8"/>
    <w:rsid w:val="00DA357F"/>
    <w:rsid w:val="00DA3582"/>
    <w:rsid w:val="00DA3E12"/>
    <w:rsid w:val="00DA4B91"/>
    <w:rsid w:val="00DA4EF4"/>
    <w:rsid w:val="00DA593D"/>
    <w:rsid w:val="00DA6783"/>
    <w:rsid w:val="00DA694A"/>
    <w:rsid w:val="00DA6A94"/>
    <w:rsid w:val="00DA6C4E"/>
    <w:rsid w:val="00DA6E01"/>
    <w:rsid w:val="00DA6E0B"/>
    <w:rsid w:val="00DA797C"/>
    <w:rsid w:val="00DB19A0"/>
    <w:rsid w:val="00DB21DC"/>
    <w:rsid w:val="00DB3227"/>
    <w:rsid w:val="00DB44D3"/>
    <w:rsid w:val="00DB467F"/>
    <w:rsid w:val="00DB4CB1"/>
    <w:rsid w:val="00DB4E71"/>
    <w:rsid w:val="00DB4F83"/>
    <w:rsid w:val="00DB51E2"/>
    <w:rsid w:val="00DB5515"/>
    <w:rsid w:val="00DB5CC9"/>
    <w:rsid w:val="00DB6969"/>
    <w:rsid w:val="00DB6A3E"/>
    <w:rsid w:val="00DB7B78"/>
    <w:rsid w:val="00DB7F10"/>
    <w:rsid w:val="00DC03DC"/>
    <w:rsid w:val="00DC086C"/>
    <w:rsid w:val="00DC177D"/>
    <w:rsid w:val="00DC18AD"/>
    <w:rsid w:val="00DC1B70"/>
    <w:rsid w:val="00DC1D4F"/>
    <w:rsid w:val="00DC2168"/>
    <w:rsid w:val="00DC3FBA"/>
    <w:rsid w:val="00DC40AA"/>
    <w:rsid w:val="00DC40CE"/>
    <w:rsid w:val="00DC4657"/>
    <w:rsid w:val="00DC46A6"/>
    <w:rsid w:val="00DC4E06"/>
    <w:rsid w:val="00DC64EB"/>
    <w:rsid w:val="00DC6A5C"/>
    <w:rsid w:val="00DC6AB9"/>
    <w:rsid w:val="00DC7EDE"/>
    <w:rsid w:val="00DD0EB2"/>
    <w:rsid w:val="00DD10C2"/>
    <w:rsid w:val="00DD18D4"/>
    <w:rsid w:val="00DD2091"/>
    <w:rsid w:val="00DD25CB"/>
    <w:rsid w:val="00DD2F5B"/>
    <w:rsid w:val="00DD41C0"/>
    <w:rsid w:val="00DD4D81"/>
    <w:rsid w:val="00DD549A"/>
    <w:rsid w:val="00DD5880"/>
    <w:rsid w:val="00DD5978"/>
    <w:rsid w:val="00DD5FDA"/>
    <w:rsid w:val="00DD66B3"/>
    <w:rsid w:val="00DD6D98"/>
    <w:rsid w:val="00DD7274"/>
    <w:rsid w:val="00DD73DB"/>
    <w:rsid w:val="00DD7734"/>
    <w:rsid w:val="00DD77BE"/>
    <w:rsid w:val="00DD7CF7"/>
    <w:rsid w:val="00DE098C"/>
    <w:rsid w:val="00DE0AD8"/>
    <w:rsid w:val="00DE1205"/>
    <w:rsid w:val="00DE131E"/>
    <w:rsid w:val="00DE1584"/>
    <w:rsid w:val="00DE1849"/>
    <w:rsid w:val="00DE1C22"/>
    <w:rsid w:val="00DE2297"/>
    <w:rsid w:val="00DE2566"/>
    <w:rsid w:val="00DE369C"/>
    <w:rsid w:val="00DE3945"/>
    <w:rsid w:val="00DE3C95"/>
    <w:rsid w:val="00DE4007"/>
    <w:rsid w:val="00DE4447"/>
    <w:rsid w:val="00DE49A0"/>
    <w:rsid w:val="00DE4CAF"/>
    <w:rsid w:val="00DE4FE7"/>
    <w:rsid w:val="00DE554F"/>
    <w:rsid w:val="00DE6D7E"/>
    <w:rsid w:val="00DE705F"/>
    <w:rsid w:val="00DE7746"/>
    <w:rsid w:val="00DE7851"/>
    <w:rsid w:val="00DF0470"/>
    <w:rsid w:val="00DF1796"/>
    <w:rsid w:val="00DF1C41"/>
    <w:rsid w:val="00DF1F08"/>
    <w:rsid w:val="00DF26B1"/>
    <w:rsid w:val="00DF28BB"/>
    <w:rsid w:val="00DF2E6A"/>
    <w:rsid w:val="00DF3D7E"/>
    <w:rsid w:val="00DF401C"/>
    <w:rsid w:val="00DF4771"/>
    <w:rsid w:val="00DF4A0F"/>
    <w:rsid w:val="00DF522E"/>
    <w:rsid w:val="00DF54C9"/>
    <w:rsid w:val="00DF54ED"/>
    <w:rsid w:val="00DF5DB7"/>
    <w:rsid w:val="00DF60D9"/>
    <w:rsid w:val="00DF61C0"/>
    <w:rsid w:val="00DF7416"/>
    <w:rsid w:val="00DF77BD"/>
    <w:rsid w:val="00DF7876"/>
    <w:rsid w:val="00DF7CAE"/>
    <w:rsid w:val="00E00DD1"/>
    <w:rsid w:val="00E012AA"/>
    <w:rsid w:val="00E01636"/>
    <w:rsid w:val="00E01C8A"/>
    <w:rsid w:val="00E0204F"/>
    <w:rsid w:val="00E02C4B"/>
    <w:rsid w:val="00E0489C"/>
    <w:rsid w:val="00E05119"/>
    <w:rsid w:val="00E0512F"/>
    <w:rsid w:val="00E0525A"/>
    <w:rsid w:val="00E05842"/>
    <w:rsid w:val="00E0593B"/>
    <w:rsid w:val="00E05C2B"/>
    <w:rsid w:val="00E073C8"/>
    <w:rsid w:val="00E106C1"/>
    <w:rsid w:val="00E11595"/>
    <w:rsid w:val="00E12439"/>
    <w:rsid w:val="00E127CD"/>
    <w:rsid w:val="00E12DB9"/>
    <w:rsid w:val="00E1312F"/>
    <w:rsid w:val="00E1321B"/>
    <w:rsid w:val="00E13388"/>
    <w:rsid w:val="00E139D4"/>
    <w:rsid w:val="00E1429E"/>
    <w:rsid w:val="00E14A15"/>
    <w:rsid w:val="00E1506F"/>
    <w:rsid w:val="00E151F1"/>
    <w:rsid w:val="00E153E5"/>
    <w:rsid w:val="00E15C85"/>
    <w:rsid w:val="00E16805"/>
    <w:rsid w:val="00E16842"/>
    <w:rsid w:val="00E16DBC"/>
    <w:rsid w:val="00E16FAF"/>
    <w:rsid w:val="00E172E4"/>
    <w:rsid w:val="00E174AF"/>
    <w:rsid w:val="00E179E0"/>
    <w:rsid w:val="00E20745"/>
    <w:rsid w:val="00E20C15"/>
    <w:rsid w:val="00E20D45"/>
    <w:rsid w:val="00E217BA"/>
    <w:rsid w:val="00E2352E"/>
    <w:rsid w:val="00E23623"/>
    <w:rsid w:val="00E2372B"/>
    <w:rsid w:val="00E23C86"/>
    <w:rsid w:val="00E23EDC"/>
    <w:rsid w:val="00E24361"/>
    <w:rsid w:val="00E2465B"/>
    <w:rsid w:val="00E246CE"/>
    <w:rsid w:val="00E251A0"/>
    <w:rsid w:val="00E25CBD"/>
    <w:rsid w:val="00E262B2"/>
    <w:rsid w:val="00E2683B"/>
    <w:rsid w:val="00E27347"/>
    <w:rsid w:val="00E27457"/>
    <w:rsid w:val="00E27927"/>
    <w:rsid w:val="00E27B58"/>
    <w:rsid w:val="00E307E5"/>
    <w:rsid w:val="00E30A7F"/>
    <w:rsid w:val="00E30E12"/>
    <w:rsid w:val="00E31057"/>
    <w:rsid w:val="00E31710"/>
    <w:rsid w:val="00E31A0B"/>
    <w:rsid w:val="00E31F35"/>
    <w:rsid w:val="00E3268A"/>
    <w:rsid w:val="00E3281C"/>
    <w:rsid w:val="00E32978"/>
    <w:rsid w:val="00E32A1D"/>
    <w:rsid w:val="00E335D7"/>
    <w:rsid w:val="00E339E8"/>
    <w:rsid w:val="00E3413E"/>
    <w:rsid w:val="00E35579"/>
    <w:rsid w:val="00E356B5"/>
    <w:rsid w:val="00E358C4"/>
    <w:rsid w:val="00E35BED"/>
    <w:rsid w:val="00E35DFE"/>
    <w:rsid w:val="00E363CD"/>
    <w:rsid w:val="00E36762"/>
    <w:rsid w:val="00E36991"/>
    <w:rsid w:val="00E36C6C"/>
    <w:rsid w:val="00E372BC"/>
    <w:rsid w:val="00E37D53"/>
    <w:rsid w:val="00E37F64"/>
    <w:rsid w:val="00E4106D"/>
    <w:rsid w:val="00E4207A"/>
    <w:rsid w:val="00E420E1"/>
    <w:rsid w:val="00E422E9"/>
    <w:rsid w:val="00E423C0"/>
    <w:rsid w:val="00E42662"/>
    <w:rsid w:val="00E427EE"/>
    <w:rsid w:val="00E4288A"/>
    <w:rsid w:val="00E4288C"/>
    <w:rsid w:val="00E42DA1"/>
    <w:rsid w:val="00E4363E"/>
    <w:rsid w:val="00E437A2"/>
    <w:rsid w:val="00E43ED3"/>
    <w:rsid w:val="00E44C65"/>
    <w:rsid w:val="00E451CD"/>
    <w:rsid w:val="00E45327"/>
    <w:rsid w:val="00E45AAD"/>
    <w:rsid w:val="00E46898"/>
    <w:rsid w:val="00E4723C"/>
    <w:rsid w:val="00E47291"/>
    <w:rsid w:val="00E47B6B"/>
    <w:rsid w:val="00E47E70"/>
    <w:rsid w:val="00E50D8C"/>
    <w:rsid w:val="00E50F12"/>
    <w:rsid w:val="00E51042"/>
    <w:rsid w:val="00E51B18"/>
    <w:rsid w:val="00E521B8"/>
    <w:rsid w:val="00E531C5"/>
    <w:rsid w:val="00E53706"/>
    <w:rsid w:val="00E53B30"/>
    <w:rsid w:val="00E53B32"/>
    <w:rsid w:val="00E55392"/>
    <w:rsid w:val="00E565AD"/>
    <w:rsid w:val="00E56618"/>
    <w:rsid w:val="00E5686C"/>
    <w:rsid w:val="00E56D6E"/>
    <w:rsid w:val="00E56FDC"/>
    <w:rsid w:val="00E57668"/>
    <w:rsid w:val="00E61528"/>
    <w:rsid w:val="00E62030"/>
    <w:rsid w:val="00E621C4"/>
    <w:rsid w:val="00E6231F"/>
    <w:rsid w:val="00E62CDE"/>
    <w:rsid w:val="00E62E2E"/>
    <w:rsid w:val="00E636C7"/>
    <w:rsid w:val="00E63731"/>
    <w:rsid w:val="00E6414C"/>
    <w:rsid w:val="00E64975"/>
    <w:rsid w:val="00E653A2"/>
    <w:rsid w:val="00E66055"/>
    <w:rsid w:val="00E669E0"/>
    <w:rsid w:val="00E66D33"/>
    <w:rsid w:val="00E670A1"/>
    <w:rsid w:val="00E67612"/>
    <w:rsid w:val="00E6764C"/>
    <w:rsid w:val="00E67BBC"/>
    <w:rsid w:val="00E701AE"/>
    <w:rsid w:val="00E71C63"/>
    <w:rsid w:val="00E72186"/>
    <w:rsid w:val="00E7260F"/>
    <w:rsid w:val="00E747B2"/>
    <w:rsid w:val="00E74DBB"/>
    <w:rsid w:val="00E74FDE"/>
    <w:rsid w:val="00E75E6C"/>
    <w:rsid w:val="00E76299"/>
    <w:rsid w:val="00E77167"/>
    <w:rsid w:val="00E77713"/>
    <w:rsid w:val="00E77B22"/>
    <w:rsid w:val="00E77D39"/>
    <w:rsid w:val="00E800BD"/>
    <w:rsid w:val="00E804BA"/>
    <w:rsid w:val="00E808AF"/>
    <w:rsid w:val="00E80CB0"/>
    <w:rsid w:val="00E81366"/>
    <w:rsid w:val="00E813D4"/>
    <w:rsid w:val="00E81674"/>
    <w:rsid w:val="00E822A0"/>
    <w:rsid w:val="00E82363"/>
    <w:rsid w:val="00E828EC"/>
    <w:rsid w:val="00E83121"/>
    <w:rsid w:val="00E83390"/>
    <w:rsid w:val="00E83C49"/>
    <w:rsid w:val="00E85338"/>
    <w:rsid w:val="00E859AA"/>
    <w:rsid w:val="00E85B71"/>
    <w:rsid w:val="00E862AA"/>
    <w:rsid w:val="00E867BE"/>
    <w:rsid w:val="00E8702D"/>
    <w:rsid w:val="00E8706F"/>
    <w:rsid w:val="00E872CF"/>
    <w:rsid w:val="00E87582"/>
    <w:rsid w:val="00E87A1B"/>
    <w:rsid w:val="00E87A3C"/>
    <w:rsid w:val="00E9111E"/>
    <w:rsid w:val="00E911A7"/>
    <w:rsid w:val="00E9153A"/>
    <w:rsid w:val="00E916A9"/>
    <w:rsid w:val="00E916DE"/>
    <w:rsid w:val="00E91BED"/>
    <w:rsid w:val="00E91D7E"/>
    <w:rsid w:val="00E91E00"/>
    <w:rsid w:val="00E91F2A"/>
    <w:rsid w:val="00E92492"/>
    <w:rsid w:val="00E925AD"/>
    <w:rsid w:val="00E9261A"/>
    <w:rsid w:val="00E927CD"/>
    <w:rsid w:val="00E9316D"/>
    <w:rsid w:val="00E93651"/>
    <w:rsid w:val="00E93730"/>
    <w:rsid w:val="00E9436B"/>
    <w:rsid w:val="00E9481F"/>
    <w:rsid w:val="00E94B1B"/>
    <w:rsid w:val="00E95839"/>
    <w:rsid w:val="00E95A10"/>
    <w:rsid w:val="00E95D07"/>
    <w:rsid w:val="00E961E6"/>
    <w:rsid w:val="00E96630"/>
    <w:rsid w:val="00E96CE3"/>
    <w:rsid w:val="00E97433"/>
    <w:rsid w:val="00E97CC5"/>
    <w:rsid w:val="00EA0064"/>
    <w:rsid w:val="00EA0927"/>
    <w:rsid w:val="00EA123A"/>
    <w:rsid w:val="00EA13E3"/>
    <w:rsid w:val="00EA1B8E"/>
    <w:rsid w:val="00EA1FAD"/>
    <w:rsid w:val="00EA2030"/>
    <w:rsid w:val="00EA2456"/>
    <w:rsid w:val="00EA329E"/>
    <w:rsid w:val="00EA3C00"/>
    <w:rsid w:val="00EA4B60"/>
    <w:rsid w:val="00EA5357"/>
    <w:rsid w:val="00EA5503"/>
    <w:rsid w:val="00EA5D02"/>
    <w:rsid w:val="00EA6668"/>
    <w:rsid w:val="00EA66C5"/>
    <w:rsid w:val="00EA6825"/>
    <w:rsid w:val="00EA69F3"/>
    <w:rsid w:val="00EA6DE0"/>
    <w:rsid w:val="00EA6E87"/>
    <w:rsid w:val="00EA7701"/>
    <w:rsid w:val="00EA7756"/>
    <w:rsid w:val="00EA7819"/>
    <w:rsid w:val="00EA7D7C"/>
    <w:rsid w:val="00EB01EB"/>
    <w:rsid w:val="00EB054E"/>
    <w:rsid w:val="00EB0828"/>
    <w:rsid w:val="00EB0B0E"/>
    <w:rsid w:val="00EB13FA"/>
    <w:rsid w:val="00EB14E8"/>
    <w:rsid w:val="00EB26C1"/>
    <w:rsid w:val="00EB2C73"/>
    <w:rsid w:val="00EB2F2A"/>
    <w:rsid w:val="00EB35F6"/>
    <w:rsid w:val="00EB37CB"/>
    <w:rsid w:val="00EB37E9"/>
    <w:rsid w:val="00EB380E"/>
    <w:rsid w:val="00EB381A"/>
    <w:rsid w:val="00EB3B4F"/>
    <w:rsid w:val="00EB444A"/>
    <w:rsid w:val="00EB4561"/>
    <w:rsid w:val="00EB49DF"/>
    <w:rsid w:val="00EB4A65"/>
    <w:rsid w:val="00EB5848"/>
    <w:rsid w:val="00EB5FDF"/>
    <w:rsid w:val="00EB6321"/>
    <w:rsid w:val="00EB68DC"/>
    <w:rsid w:val="00EB72EE"/>
    <w:rsid w:val="00EB7931"/>
    <w:rsid w:val="00EB7F35"/>
    <w:rsid w:val="00EC033C"/>
    <w:rsid w:val="00EC0356"/>
    <w:rsid w:val="00EC0405"/>
    <w:rsid w:val="00EC1B6B"/>
    <w:rsid w:val="00EC1BA2"/>
    <w:rsid w:val="00EC1FD6"/>
    <w:rsid w:val="00EC2324"/>
    <w:rsid w:val="00EC2B10"/>
    <w:rsid w:val="00EC332D"/>
    <w:rsid w:val="00EC3B79"/>
    <w:rsid w:val="00EC4082"/>
    <w:rsid w:val="00EC4338"/>
    <w:rsid w:val="00EC4886"/>
    <w:rsid w:val="00EC4DC5"/>
    <w:rsid w:val="00EC4DEA"/>
    <w:rsid w:val="00EC4E99"/>
    <w:rsid w:val="00EC5581"/>
    <w:rsid w:val="00EC598D"/>
    <w:rsid w:val="00EC59D1"/>
    <w:rsid w:val="00EC5BE3"/>
    <w:rsid w:val="00EC60FD"/>
    <w:rsid w:val="00EC6B8B"/>
    <w:rsid w:val="00EC6E9E"/>
    <w:rsid w:val="00EC76A8"/>
    <w:rsid w:val="00EC7867"/>
    <w:rsid w:val="00EC7EFB"/>
    <w:rsid w:val="00ED00A6"/>
    <w:rsid w:val="00ED0599"/>
    <w:rsid w:val="00ED077F"/>
    <w:rsid w:val="00ED0A7B"/>
    <w:rsid w:val="00ED0C35"/>
    <w:rsid w:val="00ED0E04"/>
    <w:rsid w:val="00ED0FC7"/>
    <w:rsid w:val="00ED139A"/>
    <w:rsid w:val="00ED18DC"/>
    <w:rsid w:val="00ED1A83"/>
    <w:rsid w:val="00ED2354"/>
    <w:rsid w:val="00ED31CC"/>
    <w:rsid w:val="00ED39EB"/>
    <w:rsid w:val="00ED3BEE"/>
    <w:rsid w:val="00ED3C5F"/>
    <w:rsid w:val="00ED413A"/>
    <w:rsid w:val="00ED41DD"/>
    <w:rsid w:val="00ED46EA"/>
    <w:rsid w:val="00ED5190"/>
    <w:rsid w:val="00ED56C3"/>
    <w:rsid w:val="00ED59DF"/>
    <w:rsid w:val="00ED6181"/>
    <w:rsid w:val="00ED6201"/>
    <w:rsid w:val="00ED629E"/>
    <w:rsid w:val="00ED6C12"/>
    <w:rsid w:val="00ED73DE"/>
    <w:rsid w:val="00ED7539"/>
    <w:rsid w:val="00ED77C6"/>
    <w:rsid w:val="00ED7A2A"/>
    <w:rsid w:val="00EE1360"/>
    <w:rsid w:val="00EE18D0"/>
    <w:rsid w:val="00EE301C"/>
    <w:rsid w:val="00EE3023"/>
    <w:rsid w:val="00EE3633"/>
    <w:rsid w:val="00EE3FCF"/>
    <w:rsid w:val="00EE4CCD"/>
    <w:rsid w:val="00EE4F3D"/>
    <w:rsid w:val="00EE56C5"/>
    <w:rsid w:val="00EE5919"/>
    <w:rsid w:val="00EE5D85"/>
    <w:rsid w:val="00EE5E62"/>
    <w:rsid w:val="00EE6AD5"/>
    <w:rsid w:val="00EE6B57"/>
    <w:rsid w:val="00EE6F32"/>
    <w:rsid w:val="00EE7316"/>
    <w:rsid w:val="00EE731E"/>
    <w:rsid w:val="00EE7403"/>
    <w:rsid w:val="00EE7770"/>
    <w:rsid w:val="00EF0161"/>
    <w:rsid w:val="00EF06C3"/>
    <w:rsid w:val="00EF0E7F"/>
    <w:rsid w:val="00EF0EF5"/>
    <w:rsid w:val="00EF0F0C"/>
    <w:rsid w:val="00EF12EE"/>
    <w:rsid w:val="00EF1547"/>
    <w:rsid w:val="00EF19A7"/>
    <w:rsid w:val="00EF1D7F"/>
    <w:rsid w:val="00EF2029"/>
    <w:rsid w:val="00EF2030"/>
    <w:rsid w:val="00EF26EF"/>
    <w:rsid w:val="00EF2A09"/>
    <w:rsid w:val="00EF2B7E"/>
    <w:rsid w:val="00EF2F8E"/>
    <w:rsid w:val="00EF306E"/>
    <w:rsid w:val="00EF30B1"/>
    <w:rsid w:val="00EF37E7"/>
    <w:rsid w:val="00EF3A49"/>
    <w:rsid w:val="00EF3AED"/>
    <w:rsid w:val="00EF3F65"/>
    <w:rsid w:val="00EF45DD"/>
    <w:rsid w:val="00EF4E8E"/>
    <w:rsid w:val="00EF62DA"/>
    <w:rsid w:val="00EF6B26"/>
    <w:rsid w:val="00EF6DE3"/>
    <w:rsid w:val="00EF707E"/>
    <w:rsid w:val="00EF737F"/>
    <w:rsid w:val="00EF7454"/>
    <w:rsid w:val="00F0009D"/>
    <w:rsid w:val="00F005C1"/>
    <w:rsid w:val="00F00D39"/>
    <w:rsid w:val="00F00EAF"/>
    <w:rsid w:val="00F0102D"/>
    <w:rsid w:val="00F01266"/>
    <w:rsid w:val="00F0137E"/>
    <w:rsid w:val="00F0156C"/>
    <w:rsid w:val="00F0159D"/>
    <w:rsid w:val="00F0170A"/>
    <w:rsid w:val="00F02CBB"/>
    <w:rsid w:val="00F02FEF"/>
    <w:rsid w:val="00F03219"/>
    <w:rsid w:val="00F033DE"/>
    <w:rsid w:val="00F03AD7"/>
    <w:rsid w:val="00F04826"/>
    <w:rsid w:val="00F05C18"/>
    <w:rsid w:val="00F06008"/>
    <w:rsid w:val="00F061A4"/>
    <w:rsid w:val="00F067B3"/>
    <w:rsid w:val="00F06C9C"/>
    <w:rsid w:val="00F06DFB"/>
    <w:rsid w:val="00F07190"/>
    <w:rsid w:val="00F073D5"/>
    <w:rsid w:val="00F07FCE"/>
    <w:rsid w:val="00F10CC5"/>
    <w:rsid w:val="00F10DB5"/>
    <w:rsid w:val="00F10DBA"/>
    <w:rsid w:val="00F11A3E"/>
    <w:rsid w:val="00F11F27"/>
    <w:rsid w:val="00F12296"/>
    <w:rsid w:val="00F124E3"/>
    <w:rsid w:val="00F128BF"/>
    <w:rsid w:val="00F12A4A"/>
    <w:rsid w:val="00F12EB5"/>
    <w:rsid w:val="00F13012"/>
    <w:rsid w:val="00F13402"/>
    <w:rsid w:val="00F143AB"/>
    <w:rsid w:val="00F1481C"/>
    <w:rsid w:val="00F15056"/>
    <w:rsid w:val="00F16167"/>
    <w:rsid w:val="00F16213"/>
    <w:rsid w:val="00F1624B"/>
    <w:rsid w:val="00F16455"/>
    <w:rsid w:val="00F16508"/>
    <w:rsid w:val="00F16BE1"/>
    <w:rsid w:val="00F1702E"/>
    <w:rsid w:val="00F1756C"/>
    <w:rsid w:val="00F17896"/>
    <w:rsid w:val="00F17D15"/>
    <w:rsid w:val="00F2021A"/>
    <w:rsid w:val="00F2069D"/>
    <w:rsid w:val="00F2083C"/>
    <w:rsid w:val="00F21085"/>
    <w:rsid w:val="00F21605"/>
    <w:rsid w:val="00F21786"/>
    <w:rsid w:val="00F2206E"/>
    <w:rsid w:val="00F226AD"/>
    <w:rsid w:val="00F22882"/>
    <w:rsid w:val="00F22AB8"/>
    <w:rsid w:val="00F22B4D"/>
    <w:rsid w:val="00F2320B"/>
    <w:rsid w:val="00F23BBF"/>
    <w:rsid w:val="00F24333"/>
    <w:rsid w:val="00F2481B"/>
    <w:rsid w:val="00F24CB0"/>
    <w:rsid w:val="00F24EDE"/>
    <w:rsid w:val="00F25434"/>
    <w:rsid w:val="00F257DF"/>
    <w:rsid w:val="00F25E50"/>
    <w:rsid w:val="00F26B90"/>
    <w:rsid w:val="00F26BBF"/>
    <w:rsid w:val="00F26C09"/>
    <w:rsid w:val="00F2703B"/>
    <w:rsid w:val="00F27896"/>
    <w:rsid w:val="00F27BF2"/>
    <w:rsid w:val="00F27D44"/>
    <w:rsid w:val="00F27E15"/>
    <w:rsid w:val="00F300B7"/>
    <w:rsid w:val="00F30A25"/>
    <w:rsid w:val="00F312F1"/>
    <w:rsid w:val="00F31312"/>
    <w:rsid w:val="00F31D4C"/>
    <w:rsid w:val="00F324FB"/>
    <w:rsid w:val="00F32759"/>
    <w:rsid w:val="00F32DD6"/>
    <w:rsid w:val="00F3447D"/>
    <w:rsid w:val="00F34727"/>
    <w:rsid w:val="00F349CF"/>
    <w:rsid w:val="00F34B41"/>
    <w:rsid w:val="00F35027"/>
    <w:rsid w:val="00F36254"/>
    <w:rsid w:val="00F3669E"/>
    <w:rsid w:val="00F36830"/>
    <w:rsid w:val="00F3742B"/>
    <w:rsid w:val="00F3788F"/>
    <w:rsid w:val="00F37893"/>
    <w:rsid w:val="00F37D70"/>
    <w:rsid w:val="00F37E9E"/>
    <w:rsid w:val="00F4049B"/>
    <w:rsid w:val="00F4060E"/>
    <w:rsid w:val="00F40BF3"/>
    <w:rsid w:val="00F40FEC"/>
    <w:rsid w:val="00F412B3"/>
    <w:rsid w:val="00F4174E"/>
    <w:rsid w:val="00F41FDB"/>
    <w:rsid w:val="00F42084"/>
    <w:rsid w:val="00F420DE"/>
    <w:rsid w:val="00F42246"/>
    <w:rsid w:val="00F43116"/>
    <w:rsid w:val="00F43ABA"/>
    <w:rsid w:val="00F4455D"/>
    <w:rsid w:val="00F44B78"/>
    <w:rsid w:val="00F44BB5"/>
    <w:rsid w:val="00F44C3C"/>
    <w:rsid w:val="00F44CBB"/>
    <w:rsid w:val="00F4522B"/>
    <w:rsid w:val="00F45FD6"/>
    <w:rsid w:val="00F468C2"/>
    <w:rsid w:val="00F46931"/>
    <w:rsid w:val="00F47E67"/>
    <w:rsid w:val="00F507EC"/>
    <w:rsid w:val="00F5177E"/>
    <w:rsid w:val="00F51ABC"/>
    <w:rsid w:val="00F51C89"/>
    <w:rsid w:val="00F51CD1"/>
    <w:rsid w:val="00F51EA3"/>
    <w:rsid w:val="00F52494"/>
    <w:rsid w:val="00F528E0"/>
    <w:rsid w:val="00F53147"/>
    <w:rsid w:val="00F532EB"/>
    <w:rsid w:val="00F53527"/>
    <w:rsid w:val="00F53A57"/>
    <w:rsid w:val="00F53B12"/>
    <w:rsid w:val="00F53CD9"/>
    <w:rsid w:val="00F54161"/>
    <w:rsid w:val="00F545A6"/>
    <w:rsid w:val="00F54925"/>
    <w:rsid w:val="00F5579C"/>
    <w:rsid w:val="00F55A3C"/>
    <w:rsid w:val="00F55EC8"/>
    <w:rsid w:val="00F560B1"/>
    <w:rsid w:val="00F56A6B"/>
    <w:rsid w:val="00F56CDB"/>
    <w:rsid w:val="00F56D63"/>
    <w:rsid w:val="00F57A4B"/>
    <w:rsid w:val="00F600F0"/>
    <w:rsid w:val="00F60603"/>
    <w:rsid w:val="00F609A9"/>
    <w:rsid w:val="00F60ACD"/>
    <w:rsid w:val="00F60C5F"/>
    <w:rsid w:val="00F60E7D"/>
    <w:rsid w:val="00F61037"/>
    <w:rsid w:val="00F61052"/>
    <w:rsid w:val="00F61203"/>
    <w:rsid w:val="00F61922"/>
    <w:rsid w:val="00F62D61"/>
    <w:rsid w:val="00F6314C"/>
    <w:rsid w:val="00F64FF4"/>
    <w:rsid w:val="00F651A8"/>
    <w:rsid w:val="00F65565"/>
    <w:rsid w:val="00F6574B"/>
    <w:rsid w:val="00F66360"/>
    <w:rsid w:val="00F67789"/>
    <w:rsid w:val="00F67ABA"/>
    <w:rsid w:val="00F70301"/>
    <w:rsid w:val="00F705D1"/>
    <w:rsid w:val="00F708B5"/>
    <w:rsid w:val="00F718B3"/>
    <w:rsid w:val="00F71939"/>
    <w:rsid w:val="00F71C68"/>
    <w:rsid w:val="00F71E02"/>
    <w:rsid w:val="00F72324"/>
    <w:rsid w:val="00F72BC4"/>
    <w:rsid w:val="00F730EE"/>
    <w:rsid w:val="00F73A7D"/>
    <w:rsid w:val="00F73B82"/>
    <w:rsid w:val="00F74CC4"/>
    <w:rsid w:val="00F75126"/>
    <w:rsid w:val="00F76112"/>
    <w:rsid w:val="00F76215"/>
    <w:rsid w:val="00F76F19"/>
    <w:rsid w:val="00F77793"/>
    <w:rsid w:val="00F805C2"/>
    <w:rsid w:val="00F80C99"/>
    <w:rsid w:val="00F8227D"/>
    <w:rsid w:val="00F82B91"/>
    <w:rsid w:val="00F83187"/>
    <w:rsid w:val="00F83364"/>
    <w:rsid w:val="00F835E8"/>
    <w:rsid w:val="00F83722"/>
    <w:rsid w:val="00F83D52"/>
    <w:rsid w:val="00F8487A"/>
    <w:rsid w:val="00F84FD6"/>
    <w:rsid w:val="00F856C8"/>
    <w:rsid w:val="00F85B25"/>
    <w:rsid w:val="00F861B9"/>
    <w:rsid w:val="00F86560"/>
    <w:rsid w:val="00F867EC"/>
    <w:rsid w:val="00F86B5F"/>
    <w:rsid w:val="00F86DD1"/>
    <w:rsid w:val="00F87137"/>
    <w:rsid w:val="00F87427"/>
    <w:rsid w:val="00F874CB"/>
    <w:rsid w:val="00F87628"/>
    <w:rsid w:val="00F87A46"/>
    <w:rsid w:val="00F908A4"/>
    <w:rsid w:val="00F91619"/>
    <w:rsid w:val="00F91B2B"/>
    <w:rsid w:val="00F91F42"/>
    <w:rsid w:val="00F920E8"/>
    <w:rsid w:val="00F9214D"/>
    <w:rsid w:val="00F926EB"/>
    <w:rsid w:val="00F92A94"/>
    <w:rsid w:val="00F93A8E"/>
    <w:rsid w:val="00F94049"/>
    <w:rsid w:val="00F94139"/>
    <w:rsid w:val="00F943F4"/>
    <w:rsid w:val="00F94452"/>
    <w:rsid w:val="00F94D9D"/>
    <w:rsid w:val="00F95427"/>
    <w:rsid w:val="00F954AD"/>
    <w:rsid w:val="00F9555E"/>
    <w:rsid w:val="00F95ED2"/>
    <w:rsid w:val="00F95F46"/>
    <w:rsid w:val="00F96489"/>
    <w:rsid w:val="00F96646"/>
    <w:rsid w:val="00F96824"/>
    <w:rsid w:val="00F96EB8"/>
    <w:rsid w:val="00F971B4"/>
    <w:rsid w:val="00F97802"/>
    <w:rsid w:val="00F97E39"/>
    <w:rsid w:val="00FA1276"/>
    <w:rsid w:val="00FA1A75"/>
    <w:rsid w:val="00FA1F5F"/>
    <w:rsid w:val="00FA1F6F"/>
    <w:rsid w:val="00FA1FB4"/>
    <w:rsid w:val="00FA27D0"/>
    <w:rsid w:val="00FA2E0B"/>
    <w:rsid w:val="00FA2F96"/>
    <w:rsid w:val="00FA3032"/>
    <w:rsid w:val="00FA3194"/>
    <w:rsid w:val="00FA33BB"/>
    <w:rsid w:val="00FA3570"/>
    <w:rsid w:val="00FA3DC0"/>
    <w:rsid w:val="00FA43E2"/>
    <w:rsid w:val="00FA48C9"/>
    <w:rsid w:val="00FA497B"/>
    <w:rsid w:val="00FA5B97"/>
    <w:rsid w:val="00FA5FE7"/>
    <w:rsid w:val="00FA635C"/>
    <w:rsid w:val="00FA74C4"/>
    <w:rsid w:val="00FB0DF0"/>
    <w:rsid w:val="00FB0F68"/>
    <w:rsid w:val="00FB1233"/>
    <w:rsid w:val="00FB1616"/>
    <w:rsid w:val="00FB16DB"/>
    <w:rsid w:val="00FB18B2"/>
    <w:rsid w:val="00FB2092"/>
    <w:rsid w:val="00FB2858"/>
    <w:rsid w:val="00FB2A49"/>
    <w:rsid w:val="00FB2CE3"/>
    <w:rsid w:val="00FB322F"/>
    <w:rsid w:val="00FB3D49"/>
    <w:rsid w:val="00FB40D5"/>
    <w:rsid w:val="00FB449A"/>
    <w:rsid w:val="00FB44F2"/>
    <w:rsid w:val="00FB4B5E"/>
    <w:rsid w:val="00FB4EB3"/>
    <w:rsid w:val="00FB53D9"/>
    <w:rsid w:val="00FB557A"/>
    <w:rsid w:val="00FB6E89"/>
    <w:rsid w:val="00FB7540"/>
    <w:rsid w:val="00FB7822"/>
    <w:rsid w:val="00FC010E"/>
    <w:rsid w:val="00FC0166"/>
    <w:rsid w:val="00FC01EE"/>
    <w:rsid w:val="00FC03CD"/>
    <w:rsid w:val="00FC0519"/>
    <w:rsid w:val="00FC05E1"/>
    <w:rsid w:val="00FC0646"/>
    <w:rsid w:val="00FC13A9"/>
    <w:rsid w:val="00FC1954"/>
    <w:rsid w:val="00FC1D28"/>
    <w:rsid w:val="00FC1FEB"/>
    <w:rsid w:val="00FC26B3"/>
    <w:rsid w:val="00FC28AA"/>
    <w:rsid w:val="00FC2ED7"/>
    <w:rsid w:val="00FC3121"/>
    <w:rsid w:val="00FC370A"/>
    <w:rsid w:val="00FC48B9"/>
    <w:rsid w:val="00FC6142"/>
    <w:rsid w:val="00FC65E2"/>
    <w:rsid w:val="00FC670F"/>
    <w:rsid w:val="00FC68B7"/>
    <w:rsid w:val="00FC68D4"/>
    <w:rsid w:val="00FC75E3"/>
    <w:rsid w:val="00FD0014"/>
    <w:rsid w:val="00FD0144"/>
    <w:rsid w:val="00FD0CA5"/>
    <w:rsid w:val="00FD0CE2"/>
    <w:rsid w:val="00FD1014"/>
    <w:rsid w:val="00FD1C2F"/>
    <w:rsid w:val="00FD1E4C"/>
    <w:rsid w:val="00FD1EA1"/>
    <w:rsid w:val="00FD22F1"/>
    <w:rsid w:val="00FD2598"/>
    <w:rsid w:val="00FD2B4D"/>
    <w:rsid w:val="00FD2B62"/>
    <w:rsid w:val="00FD2E3F"/>
    <w:rsid w:val="00FD3268"/>
    <w:rsid w:val="00FD371C"/>
    <w:rsid w:val="00FD3F47"/>
    <w:rsid w:val="00FD4AD4"/>
    <w:rsid w:val="00FD5B05"/>
    <w:rsid w:val="00FD5BB7"/>
    <w:rsid w:val="00FD6240"/>
    <w:rsid w:val="00FD690A"/>
    <w:rsid w:val="00FD7030"/>
    <w:rsid w:val="00FD72DB"/>
    <w:rsid w:val="00FD778D"/>
    <w:rsid w:val="00FD7999"/>
    <w:rsid w:val="00FD7E87"/>
    <w:rsid w:val="00FE050D"/>
    <w:rsid w:val="00FE079F"/>
    <w:rsid w:val="00FE0B13"/>
    <w:rsid w:val="00FE0BA4"/>
    <w:rsid w:val="00FE10DF"/>
    <w:rsid w:val="00FE1578"/>
    <w:rsid w:val="00FE1635"/>
    <w:rsid w:val="00FE1B20"/>
    <w:rsid w:val="00FE1BB7"/>
    <w:rsid w:val="00FE1D83"/>
    <w:rsid w:val="00FE1E54"/>
    <w:rsid w:val="00FE250B"/>
    <w:rsid w:val="00FE2CC0"/>
    <w:rsid w:val="00FE317D"/>
    <w:rsid w:val="00FE3254"/>
    <w:rsid w:val="00FE33E8"/>
    <w:rsid w:val="00FE349D"/>
    <w:rsid w:val="00FE3FA5"/>
    <w:rsid w:val="00FE41C3"/>
    <w:rsid w:val="00FE42DE"/>
    <w:rsid w:val="00FE4609"/>
    <w:rsid w:val="00FE4A99"/>
    <w:rsid w:val="00FE4B28"/>
    <w:rsid w:val="00FE4C13"/>
    <w:rsid w:val="00FE5959"/>
    <w:rsid w:val="00FE5D2A"/>
    <w:rsid w:val="00FE6985"/>
    <w:rsid w:val="00FE6EBA"/>
    <w:rsid w:val="00FE7222"/>
    <w:rsid w:val="00FE729D"/>
    <w:rsid w:val="00FE7523"/>
    <w:rsid w:val="00FE7665"/>
    <w:rsid w:val="00FE7CE3"/>
    <w:rsid w:val="00FF1082"/>
    <w:rsid w:val="00FF1163"/>
    <w:rsid w:val="00FF2280"/>
    <w:rsid w:val="00FF2660"/>
    <w:rsid w:val="00FF2736"/>
    <w:rsid w:val="00FF2DA8"/>
    <w:rsid w:val="00FF454F"/>
    <w:rsid w:val="00FF4BC3"/>
    <w:rsid w:val="00FF4F90"/>
    <w:rsid w:val="00FF5593"/>
    <w:rsid w:val="00FF587E"/>
    <w:rsid w:val="00FF62C9"/>
    <w:rsid w:val="00FF635C"/>
    <w:rsid w:val="00FF6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9D1A3"/>
  <w15:chartTrackingRefBased/>
  <w15:docId w15:val="{933A754F-59D2-4608-BFC2-26049927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B5AC5"/>
    <w:rPr>
      <w:sz w:val="24"/>
      <w:szCs w:val="24"/>
      <w:lang w:val="en-GB"/>
    </w:rPr>
  </w:style>
  <w:style w:type="paragraph" w:styleId="Heading1">
    <w:name w:val="heading 1"/>
    <w:aliases w:val="Table_G"/>
    <w:basedOn w:val="SingleTxtG"/>
    <w:next w:val="SingleTxtG"/>
    <w:qFormat/>
    <w:rsid w:val="00DD66B3"/>
    <w:pPr>
      <w:spacing w:after="0"/>
      <w:ind w:right="0"/>
      <w:jc w:val="left"/>
      <w:outlineLvl w:val="0"/>
    </w:pPr>
  </w:style>
  <w:style w:type="paragraph" w:styleId="Heading2">
    <w:name w:val="heading 2"/>
    <w:basedOn w:val="Normal"/>
    <w:next w:val="Normal"/>
    <w:qFormat/>
    <w:rsid w:val="00DD66B3"/>
    <w:pPr>
      <w:outlineLvl w:val="1"/>
    </w:pPr>
  </w:style>
  <w:style w:type="paragraph" w:styleId="Heading3">
    <w:name w:val="heading 3"/>
    <w:basedOn w:val="Normal"/>
    <w:next w:val="Normal"/>
    <w:qFormat/>
    <w:rsid w:val="00DD66B3"/>
    <w:pPr>
      <w:outlineLvl w:val="2"/>
    </w:pPr>
  </w:style>
  <w:style w:type="paragraph" w:styleId="Heading4">
    <w:name w:val="heading 4"/>
    <w:basedOn w:val="Normal"/>
    <w:next w:val="Normal"/>
    <w:qFormat/>
    <w:rsid w:val="00DD66B3"/>
    <w:pPr>
      <w:outlineLvl w:val="3"/>
    </w:pPr>
  </w:style>
  <w:style w:type="paragraph" w:styleId="Heading5">
    <w:name w:val="heading 5"/>
    <w:basedOn w:val="Normal"/>
    <w:next w:val="Normal"/>
    <w:qFormat/>
    <w:rsid w:val="00DD66B3"/>
    <w:pPr>
      <w:outlineLvl w:val="4"/>
    </w:pPr>
  </w:style>
  <w:style w:type="paragraph" w:styleId="Heading6">
    <w:name w:val="heading 6"/>
    <w:basedOn w:val="Normal"/>
    <w:next w:val="Normal"/>
    <w:qFormat/>
    <w:rsid w:val="00DD66B3"/>
    <w:pPr>
      <w:outlineLvl w:val="5"/>
    </w:pPr>
  </w:style>
  <w:style w:type="paragraph" w:styleId="Heading7">
    <w:name w:val="heading 7"/>
    <w:basedOn w:val="Normal"/>
    <w:next w:val="Normal"/>
    <w:qFormat/>
    <w:rsid w:val="00DD66B3"/>
    <w:pPr>
      <w:outlineLvl w:val="6"/>
    </w:pPr>
  </w:style>
  <w:style w:type="paragraph" w:styleId="Heading8">
    <w:name w:val="heading 8"/>
    <w:basedOn w:val="Normal"/>
    <w:next w:val="Normal"/>
    <w:qFormat/>
    <w:rsid w:val="00DD66B3"/>
    <w:pPr>
      <w:outlineLvl w:val="7"/>
    </w:pPr>
  </w:style>
  <w:style w:type="paragraph" w:styleId="Heading9">
    <w:name w:val="heading 9"/>
    <w:basedOn w:val="Normal"/>
    <w:next w:val="Normal"/>
    <w:qFormat/>
    <w:rsid w:val="00DD66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DD66B3"/>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DD66B3"/>
    <w:rPr>
      <w:sz w:val="16"/>
    </w:rPr>
  </w:style>
  <w:style w:type="paragraph" w:styleId="Header">
    <w:name w:val="header"/>
    <w:aliases w:val="6_G"/>
    <w:basedOn w:val="Normal"/>
    <w:link w:val="HeaderChar"/>
    <w:rsid w:val="00DD66B3"/>
    <w:pPr>
      <w:pBdr>
        <w:bottom w:val="single" w:sz="4" w:space="4" w:color="auto"/>
      </w:pBdr>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rsid w:val="00C90CFC"/>
    <w:rPr>
      <w:lang w:val="x-none"/>
    </w:rPr>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DD66B3"/>
    <w:pPr>
      <w:widowControl w:val="0"/>
      <w:autoSpaceDE w:val="0"/>
      <w:spacing w:line="220" w:lineRule="exact"/>
      <w:ind w:firstLine="475"/>
      <w:jc w:val="both"/>
    </w:pPr>
    <w:rPr>
      <w:lang w:val="uk-UA" w:eastAsia="ar-SA"/>
    </w:rPr>
  </w:style>
  <w:style w:type="character" w:customStyle="1" w:styleId="CommentTextChar">
    <w:name w:val="Comment Text Char"/>
    <w:link w:val="CommentText"/>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DD66B3"/>
    <w:pPr>
      <w:spacing w:before="100" w:beforeAutospacing="1" w:after="100" w:afterAutospacing="1"/>
    </w:pPr>
    <w:rPr>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DD66B3"/>
    <w:pPr>
      <w:spacing w:before="100" w:beforeAutospacing="1" w:after="100" w:afterAutospacing="1"/>
    </w:pPr>
    <w:rPr>
      <w:lang w:val="fr-FR" w:eastAsia="fr-FR"/>
    </w:rPr>
  </w:style>
  <w:style w:type="character" w:customStyle="1" w:styleId="SingleTxtGChar">
    <w:name w:val="_ Single Txt_G Char"/>
    <w:link w:val="SingleTxtG"/>
    <w:locked/>
    <w:rsid w:val="00976D18"/>
    <w:rPr>
      <w:lang w:eastAsia="en-US"/>
    </w:rPr>
  </w:style>
  <w:style w:type="character" w:customStyle="1" w:styleId="FootnoteTextChar">
    <w:name w:val="Footnote Text Char"/>
    <w:aliases w:val="5_G Char"/>
    <w:link w:val="FootnoteText"/>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DD66B3"/>
    <w:pPr>
      <w:spacing w:before="100" w:beforeAutospacing="1" w:after="100" w:afterAutospacing="1"/>
    </w:pPr>
    <w:rPr>
      <w:lang w:eastAsia="en-GB"/>
    </w:rPr>
  </w:style>
  <w:style w:type="paragraph" w:customStyle="1" w:styleId="c19centre">
    <w:name w:val="c19centre"/>
    <w:basedOn w:val="Normal"/>
    <w:rsid w:val="00DD66B3"/>
    <w:pPr>
      <w:spacing w:before="100" w:beforeAutospacing="1" w:after="100" w:afterAutospacing="1"/>
    </w:pPr>
    <w:rPr>
      <w:lang w:eastAsia="en-GB"/>
    </w:rPr>
  </w:style>
  <w:style w:type="paragraph" w:styleId="Revision">
    <w:name w:val="Revision"/>
    <w:hidden/>
    <w:uiPriority w:val="99"/>
    <w:semiHidden/>
    <w:rsid w:val="007C254C"/>
    <w:rPr>
      <w:lang w:val="en-GB"/>
    </w:rPr>
  </w:style>
  <w:style w:type="character" w:customStyle="1" w:styleId="UnresolvedMention1">
    <w:name w:val="Unresolved Mention1"/>
    <w:basedOn w:val="DefaultParagraphFont"/>
    <w:uiPriority w:val="99"/>
    <w:semiHidden/>
    <w:unhideWhenUsed/>
    <w:rsid w:val="0062192F"/>
    <w:rPr>
      <w:color w:val="808080"/>
      <w:shd w:val="clear" w:color="auto" w:fill="E6E6E6"/>
    </w:rPr>
  </w:style>
  <w:style w:type="character" w:customStyle="1" w:styleId="HeaderChar">
    <w:name w:val="Header Char"/>
    <w:aliases w:val="6_G Char"/>
    <w:basedOn w:val="DefaultParagraphFont"/>
    <w:link w:val="Header"/>
    <w:locked/>
    <w:rsid w:val="004D35BB"/>
    <w:rPr>
      <w:b/>
      <w:sz w:val="18"/>
      <w:szCs w:val="24"/>
    </w:rPr>
  </w:style>
  <w:style w:type="character" w:styleId="UnresolvedMention">
    <w:name w:val="Unresolved Mention"/>
    <w:basedOn w:val="DefaultParagraphFont"/>
    <w:rsid w:val="00CE7D77"/>
    <w:rPr>
      <w:color w:val="605E5C"/>
      <w:shd w:val="clear" w:color="auto" w:fill="E1DFDD"/>
    </w:rPr>
  </w:style>
  <w:style w:type="character" w:customStyle="1" w:styleId="FootnoteCharacters">
    <w:name w:val="Footnote Characters"/>
    <w:rsid w:val="00AA6A02"/>
    <w:rPr>
      <w:rFonts w:ascii="Times New Roman" w:hAnsi="Times New Roman" w:cs="Times New Roman" w:hint="default"/>
      <w:sz w:val="18"/>
      <w:vertAlign w:val="superscript"/>
    </w:rPr>
  </w:style>
  <w:style w:type="paragraph" w:customStyle="1" w:styleId="c01pointnumerotealtn">
    <w:name w:val="c01pointnumerotealtn"/>
    <w:basedOn w:val="Normal"/>
    <w:rsid w:val="00F02FEF"/>
    <w:pPr>
      <w:spacing w:before="100" w:beforeAutospacing="1" w:after="100" w:afterAutospacing="1"/>
    </w:pPr>
  </w:style>
  <w:style w:type="character" w:customStyle="1" w:styleId="viiyi">
    <w:name w:val="viiyi"/>
    <w:basedOn w:val="DefaultParagraphFont"/>
    <w:rsid w:val="003879FC"/>
  </w:style>
  <w:style w:type="character" w:customStyle="1" w:styleId="jlqj4b">
    <w:name w:val="jlqj4b"/>
    <w:basedOn w:val="DefaultParagraphFont"/>
    <w:rsid w:val="0038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7162">
      <w:bodyDiv w:val="1"/>
      <w:marLeft w:val="0"/>
      <w:marRight w:val="0"/>
      <w:marTop w:val="0"/>
      <w:marBottom w:val="0"/>
      <w:divBdr>
        <w:top w:val="none" w:sz="0" w:space="0" w:color="auto"/>
        <w:left w:val="none" w:sz="0" w:space="0" w:color="auto"/>
        <w:bottom w:val="none" w:sz="0" w:space="0" w:color="auto"/>
        <w:right w:val="none" w:sz="0" w:space="0" w:color="auto"/>
      </w:divBdr>
    </w:div>
    <w:div w:id="36590192">
      <w:bodyDiv w:val="1"/>
      <w:marLeft w:val="0"/>
      <w:marRight w:val="0"/>
      <w:marTop w:val="0"/>
      <w:marBottom w:val="0"/>
      <w:divBdr>
        <w:top w:val="none" w:sz="0" w:space="0" w:color="auto"/>
        <w:left w:val="none" w:sz="0" w:space="0" w:color="auto"/>
        <w:bottom w:val="none" w:sz="0" w:space="0" w:color="auto"/>
        <w:right w:val="none" w:sz="0" w:space="0" w:color="auto"/>
      </w:divBdr>
    </w:div>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270018682">
      <w:bodyDiv w:val="1"/>
      <w:marLeft w:val="0"/>
      <w:marRight w:val="0"/>
      <w:marTop w:val="0"/>
      <w:marBottom w:val="0"/>
      <w:divBdr>
        <w:top w:val="none" w:sz="0" w:space="0" w:color="auto"/>
        <w:left w:val="none" w:sz="0" w:space="0" w:color="auto"/>
        <w:bottom w:val="none" w:sz="0" w:space="0" w:color="auto"/>
        <w:right w:val="none" w:sz="0" w:space="0" w:color="auto"/>
      </w:divBdr>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398944818">
      <w:bodyDiv w:val="1"/>
      <w:marLeft w:val="0"/>
      <w:marRight w:val="0"/>
      <w:marTop w:val="0"/>
      <w:marBottom w:val="0"/>
      <w:divBdr>
        <w:top w:val="none" w:sz="0" w:space="0" w:color="auto"/>
        <w:left w:val="none" w:sz="0" w:space="0" w:color="auto"/>
        <w:bottom w:val="none" w:sz="0" w:space="0" w:color="auto"/>
        <w:right w:val="none" w:sz="0" w:space="0" w:color="auto"/>
      </w:divBdr>
    </w:div>
    <w:div w:id="445999745">
      <w:bodyDiv w:val="1"/>
      <w:marLeft w:val="0"/>
      <w:marRight w:val="0"/>
      <w:marTop w:val="0"/>
      <w:marBottom w:val="0"/>
      <w:divBdr>
        <w:top w:val="none" w:sz="0" w:space="0" w:color="auto"/>
        <w:left w:val="none" w:sz="0" w:space="0" w:color="auto"/>
        <w:bottom w:val="none" w:sz="0" w:space="0" w:color="auto"/>
        <w:right w:val="none" w:sz="0" w:space="0" w:color="auto"/>
      </w:divBdr>
    </w:div>
    <w:div w:id="509419463">
      <w:bodyDiv w:val="1"/>
      <w:marLeft w:val="0"/>
      <w:marRight w:val="0"/>
      <w:marTop w:val="0"/>
      <w:marBottom w:val="0"/>
      <w:divBdr>
        <w:top w:val="none" w:sz="0" w:space="0" w:color="auto"/>
        <w:left w:val="none" w:sz="0" w:space="0" w:color="auto"/>
        <w:bottom w:val="none" w:sz="0" w:space="0" w:color="auto"/>
        <w:right w:val="none" w:sz="0" w:space="0" w:color="auto"/>
      </w:divBdr>
    </w:div>
    <w:div w:id="557667048">
      <w:bodyDiv w:val="1"/>
      <w:marLeft w:val="0"/>
      <w:marRight w:val="0"/>
      <w:marTop w:val="0"/>
      <w:marBottom w:val="0"/>
      <w:divBdr>
        <w:top w:val="none" w:sz="0" w:space="0" w:color="auto"/>
        <w:left w:val="none" w:sz="0" w:space="0" w:color="auto"/>
        <w:bottom w:val="none" w:sz="0" w:space="0" w:color="auto"/>
        <w:right w:val="none" w:sz="0" w:space="0" w:color="auto"/>
      </w:divBdr>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28920368">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971984231">
      <w:bodyDiv w:val="1"/>
      <w:marLeft w:val="0"/>
      <w:marRight w:val="0"/>
      <w:marTop w:val="0"/>
      <w:marBottom w:val="0"/>
      <w:divBdr>
        <w:top w:val="none" w:sz="0" w:space="0" w:color="auto"/>
        <w:left w:val="none" w:sz="0" w:space="0" w:color="auto"/>
        <w:bottom w:val="none" w:sz="0" w:space="0" w:color="auto"/>
        <w:right w:val="none" w:sz="0" w:space="0" w:color="auto"/>
      </w:divBdr>
    </w:div>
    <w:div w:id="1051539131">
      <w:bodyDiv w:val="1"/>
      <w:marLeft w:val="0"/>
      <w:marRight w:val="0"/>
      <w:marTop w:val="0"/>
      <w:marBottom w:val="0"/>
      <w:divBdr>
        <w:top w:val="none" w:sz="0" w:space="0" w:color="auto"/>
        <w:left w:val="none" w:sz="0" w:space="0" w:color="auto"/>
        <w:bottom w:val="none" w:sz="0" w:space="0" w:color="auto"/>
        <w:right w:val="none" w:sz="0" w:space="0" w:color="auto"/>
      </w:divBdr>
    </w:div>
    <w:div w:id="1091469153">
      <w:bodyDiv w:val="1"/>
      <w:marLeft w:val="0"/>
      <w:marRight w:val="0"/>
      <w:marTop w:val="0"/>
      <w:marBottom w:val="0"/>
      <w:divBdr>
        <w:top w:val="none" w:sz="0" w:space="0" w:color="auto"/>
        <w:left w:val="none" w:sz="0" w:space="0" w:color="auto"/>
        <w:bottom w:val="none" w:sz="0" w:space="0" w:color="auto"/>
        <w:right w:val="none" w:sz="0" w:space="0" w:color="auto"/>
      </w:divBdr>
    </w:div>
    <w:div w:id="1140073675">
      <w:bodyDiv w:val="1"/>
      <w:marLeft w:val="0"/>
      <w:marRight w:val="0"/>
      <w:marTop w:val="0"/>
      <w:marBottom w:val="0"/>
      <w:divBdr>
        <w:top w:val="none" w:sz="0" w:space="0" w:color="auto"/>
        <w:left w:val="none" w:sz="0" w:space="0" w:color="auto"/>
        <w:bottom w:val="none" w:sz="0" w:space="0" w:color="auto"/>
        <w:right w:val="none" w:sz="0" w:space="0" w:color="auto"/>
      </w:divBdr>
    </w:div>
    <w:div w:id="1143277537">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224373295">
      <w:bodyDiv w:val="1"/>
      <w:marLeft w:val="0"/>
      <w:marRight w:val="0"/>
      <w:marTop w:val="0"/>
      <w:marBottom w:val="0"/>
      <w:divBdr>
        <w:top w:val="none" w:sz="0" w:space="0" w:color="auto"/>
        <w:left w:val="none" w:sz="0" w:space="0" w:color="auto"/>
        <w:bottom w:val="none" w:sz="0" w:space="0" w:color="auto"/>
        <w:right w:val="none" w:sz="0" w:space="0" w:color="auto"/>
      </w:divBdr>
    </w:div>
    <w:div w:id="1252424827">
      <w:bodyDiv w:val="1"/>
      <w:marLeft w:val="0"/>
      <w:marRight w:val="0"/>
      <w:marTop w:val="0"/>
      <w:marBottom w:val="0"/>
      <w:divBdr>
        <w:top w:val="none" w:sz="0" w:space="0" w:color="auto"/>
        <w:left w:val="none" w:sz="0" w:space="0" w:color="auto"/>
        <w:bottom w:val="none" w:sz="0" w:space="0" w:color="auto"/>
        <w:right w:val="none" w:sz="0" w:space="0" w:color="auto"/>
      </w:divBdr>
      <w:divsChild>
        <w:div w:id="186678244">
          <w:marLeft w:val="0"/>
          <w:marRight w:val="0"/>
          <w:marTop w:val="0"/>
          <w:marBottom w:val="0"/>
          <w:divBdr>
            <w:top w:val="none" w:sz="0" w:space="0" w:color="auto"/>
            <w:left w:val="none" w:sz="0" w:space="0" w:color="auto"/>
            <w:bottom w:val="none" w:sz="0" w:space="0" w:color="auto"/>
            <w:right w:val="none" w:sz="0" w:space="0" w:color="auto"/>
          </w:divBdr>
        </w:div>
        <w:div w:id="433283213">
          <w:marLeft w:val="0"/>
          <w:marRight w:val="0"/>
          <w:marTop w:val="0"/>
          <w:marBottom w:val="0"/>
          <w:divBdr>
            <w:top w:val="none" w:sz="0" w:space="0" w:color="auto"/>
            <w:left w:val="none" w:sz="0" w:space="0" w:color="auto"/>
            <w:bottom w:val="none" w:sz="0" w:space="0" w:color="auto"/>
            <w:right w:val="none" w:sz="0" w:space="0" w:color="auto"/>
          </w:divBdr>
        </w:div>
        <w:div w:id="476724123">
          <w:marLeft w:val="0"/>
          <w:marRight w:val="0"/>
          <w:marTop w:val="0"/>
          <w:marBottom w:val="0"/>
          <w:divBdr>
            <w:top w:val="none" w:sz="0" w:space="0" w:color="auto"/>
            <w:left w:val="none" w:sz="0" w:space="0" w:color="auto"/>
            <w:bottom w:val="none" w:sz="0" w:space="0" w:color="auto"/>
            <w:right w:val="none" w:sz="0" w:space="0" w:color="auto"/>
          </w:divBdr>
        </w:div>
        <w:div w:id="616646556">
          <w:marLeft w:val="0"/>
          <w:marRight w:val="0"/>
          <w:marTop w:val="0"/>
          <w:marBottom w:val="0"/>
          <w:divBdr>
            <w:top w:val="none" w:sz="0" w:space="0" w:color="auto"/>
            <w:left w:val="none" w:sz="0" w:space="0" w:color="auto"/>
            <w:bottom w:val="none" w:sz="0" w:space="0" w:color="auto"/>
            <w:right w:val="none" w:sz="0" w:space="0" w:color="auto"/>
          </w:divBdr>
        </w:div>
        <w:div w:id="834304898">
          <w:marLeft w:val="0"/>
          <w:marRight w:val="0"/>
          <w:marTop w:val="0"/>
          <w:marBottom w:val="0"/>
          <w:divBdr>
            <w:top w:val="none" w:sz="0" w:space="0" w:color="auto"/>
            <w:left w:val="none" w:sz="0" w:space="0" w:color="auto"/>
            <w:bottom w:val="none" w:sz="0" w:space="0" w:color="auto"/>
            <w:right w:val="none" w:sz="0" w:space="0" w:color="auto"/>
          </w:divBdr>
        </w:div>
        <w:div w:id="1035153706">
          <w:marLeft w:val="0"/>
          <w:marRight w:val="0"/>
          <w:marTop w:val="0"/>
          <w:marBottom w:val="0"/>
          <w:divBdr>
            <w:top w:val="none" w:sz="0" w:space="0" w:color="auto"/>
            <w:left w:val="none" w:sz="0" w:space="0" w:color="auto"/>
            <w:bottom w:val="none" w:sz="0" w:space="0" w:color="auto"/>
            <w:right w:val="none" w:sz="0" w:space="0" w:color="auto"/>
          </w:divBdr>
        </w:div>
        <w:div w:id="1041133847">
          <w:marLeft w:val="0"/>
          <w:marRight w:val="0"/>
          <w:marTop w:val="0"/>
          <w:marBottom w:val="0"/>
          <w:divBdr>
            <w:top w:val="none" w:sz="0" w:space="0" w:color="auto"/>
            <w:left w:val="none" w:sz="0" w:space="0" w:color="auto"/>
            <w:bottom w:val="none" w:sz="0" w:space="0" w:color="auto"/>
            <w:right w:val="none" w:sz="0" w:space="0" w:color="auto"/>
          </w:divBdr>
        </w:div>
        <w:div w:id="1620987958">
          <w:marLeft w:val="0"/>
          <w:marRight w:val="0"/>
          <w:marTop w:val="0"/>
          <w:marBottom w:val="0"/>
          <w:divBdr>
            <w:top w:val="none" w:sz="0" w:space="0" w:color="auto"/>
            <w:left w:val="none" w:sz="0" w:space="0" w:color="auto"/>
            <w:bottom w:val="none" w:sz="0" w:space="0" w:color="auto"/>
            <w:right w:val="none" w:sz="0" w:space="0" w:color="auto"/>
          </w:divBdr>
        </w:div>
        <w:div w:id="1742097911">
          <w:marLeft w:val="0"/>
          <w:marRight w:val="0"/>
          <w:marTop w:val="0"/>
          <w:marBottom w:val="0"/>
          <w:divBdr>
            <w:top w:val="none" w:sz="0" w:space="0" w:color="auto"/>
            <w:left w:val="none" w:sz="0" w:space="0" w:color="auto"/>
            <w:bottom w:val="none" w:sz="0" w:space="0" w:color="auto"/>
            <w:right w:val="none" w:sz="0" w:space="0" w:color="auto"/>
          </w:divBdr>
        </w:div>
      </w:divsChild>
    </w:div>
    <w:div w:id="1282153725">
      <w:bodyDiv w:val="1"/>
      <w:marLeft w:val="0"/>
      <w:marRight w:val="0"/>
      <w:marTop w:val="0"/>
      <w:marBottom w:val="0"/>
      <w:divBdr>
        <w:top w:val="none" w:sz="0" w:space="0" w:color="auto"/>
        <w:left w:val="none" w:sz="0" w:space="0" w:color="auto"/>
        <w:bottom w:val="none" w:sz="0" w:space="0" w:color="auto"/>
        <w:right w:val="none" w:sz="0" w:space="0" w:color="auto"/>
      </w:divBdr>
    </w:div>
    <w:div w:id="1285191715">
      <w:bodyDiv w:val="1"/>
      <w:marLeft w:val="0"/>
      <w:marRight w:val="0"/>
      <w:marTop w:val="0"/>
      <w:marBottom w:val="0"/>
      <w:divBdr>
        <w:top w:val="none" w:sz="0" w:space="0" w:color="auto"/>
        <w:left w:val="none" w:sz="0" w:space="0" w:color="auto"/>
        <w:bottom w:val="none" w:sz="0" w:space="0" w:color="auto"/>
        <w:right w:val="none" w:sz="0" w:space="0" w:color="auto"/>
      </w:divBdr>
    </w:div>
    <w:div w:id="1410688752">
      <w:bodyDiv w:val="1"/>
      <w:marLeft w:val="0"/>
      <w:marRight w:val="0"/>
      <w:marTop w:val="0"/>
      <w:marBottom w:val="0"/>
      <w:divBdr>
        <w:top w:val="none" w:sz="0" w:space="0" w:color="auto"/>
        <w:left w:val="none" w:sz="0" w:space="0" w:color="auto"/>
        <w:bottom w:val="none" w:sz="0" w:space="0" w:color="auto"/>
        <w:right w:val="none" w:sz="0" w:space="0" w:color="auto"/>
      </w:divBdr>
      <w:divsChild>
        <w:div w:id="85656094">
          <w:marLeft w:val="0"/>
          <w:marRight w:val="0"/>
          <w:marTop w:val="0"/>
          <w:marBottom w:val="0"/>
          <w:divBdr>
            <w:top w:val="none" w:sz="0" w:space="0" w:color="auto"/>
            <w:left w:val="none" w:sz="0" w:space="0" w:color="auto"/>
            <w:bottom w:val="none" w:sz="0" w:space="0" w:color="auto"/>
            <w:right w:val="none" w:sz="0" w:space="0" w:color="auto"/>
          </w:divBdr>
        </w:div>
        <w:div w:id="114954421">
          <w:marLeft w:val="0"/>
          <w:marRight w:val="0"/>
          <w:marTop w:val="0"/>
          <w:marBottom w:val="0"/>
          <w:divBdr>
            <w:top w:val="none" w:sz="0" w:space="0" w:color="auto"/>
            <w:left w:val="none" w:sz="0" w:space="0" w:color="auto"/>
            <w:bottom w:val="none" w:sz="0" w:space="0" w:color="auto"/>
            <w:right w:val="none" w:sz="0" w:space="0" w:color="auto"/>
          </w:divBdr>
        </w:div>
      </w:divsChild>
    </w:div>
    <w:div w:id="1460107537">
      <w:bodyDiv w:val="1"/>
      <w:marLeft w:val="0"/>
      <w:marRight w:val="0"/>
      <w:marTop w:val="0"/>
      <w:marBottom w:val="0"/>
      <w:divBdr>
        <w:top w:val="none" w:sz="0" w:space="0" w:color="auto"/>
        <w:left w:val="none" w:sz="0" w:space="0" w:color="auto"/>
        <w:bottom w:val="none" w:sz="0" w:space="0" w:color="auto"/>
        <w:right w:val="none" w:sz="0" w:space="0" w:color="auto"/>
      </w:divBdr>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698431351">
      <w:bodyDiv w:val="1"/>
      <w:marLeft w:val="0"/>
      <w:marRight w:val="0"/>
      <w:marTop w:val="0"/>
      <w:marBottom w:val="0"/>
      <w:divBdr>
        <w:top w:val="none" w:sz="0" w:space="0" w:color="auto"/>
        <w:left w:val="none" w:sz="0" w:space="0" w:color="auto"/>
        <w:bottom w:val="none" w:sz="0" w:space="0" w:color="auto"/>
        <w:right w:val="none" w:sz="0" w:space="0" w:color="auto"/>
      </w:divBdr>
      <w:divsChild>
        <w:div w:id="1100376217">
          <w:marLeft w:val="0"/>
          <w:marRight w:val="0"/>
          <w:marTop w:val="0"/>
          <w:marBottom w:val="0"/>
          <w:divBdr>
            <w:top w:val="none" w:sz="0" w:space="0" w:color="auto"/>
            <w:left w:val="none" w:sz="0" w:space="0" w:color="auto"/>
            <w:bottom w:val="none" w:sz="0" w:space="0" w:color="auto"/>
            <w:right w:val="none" w:sz="0" w:space="0" w:color="auto"/>
          </w:divBdr>
        </w:div>
        <w:div w:id="1656253780">
          <w:marLeft w:val="0"/>
          <w:marRight w:val="0"/>
          <w:marTop w:val="0"/>
          <w:marBottom w:val="0"/>
          <w:divBdr>
            <w:top w:val="none" w:sz="0" w:space="0" w:color="auto"/>
            <w:left w:val="none" w:sz="0" w:space="0" w:color="auto"/>
            <w:bottom w:val="none" w:sz="0" w:space="0" w:color="auto"/>
            <w:right w:val="none" w:sz="0" w:space="0" w:color="auto"/>
          </w:divBdr>
        </w:div>
      </w:divsChild>
    </w:div>
    <w:div w:id="1724719370">
      <w:bodyDiv w:val="1"/>
      <w:marLeft w:val="0"/>
      <w:marRight w:val="0"/>
      <w:marTop w:val="0"/>
      <w:marBottom w:val="0"/>
      <w:divBdr>
        <w:top w:val="none" w:sz="0" w:space="0" w:color="auto"/>
        <w:left w:val="none" w:sz="0" w:space="0" w:color="auto"/>
        <w:bottom w:val="none" w:sz="0" w:space="0" w:color="auto"/>
        <w:right w:val="none" w:sz="0" w:space="0" w:color="auto"/>
      </w:divBdr>
    </w:div>
    <w:div w:id="1737819572">
      <w:bodyDiv w:val="1"/>
      <w:marLeft w:val="0"/>
      <w:marRight w:val="0"/>
      <w:marTop w:val="0"/>
      <w:marBottom w:val="0"/>
      <w:divBdr>
        <w:top w:val="none" w:sz="0" w:space="0" w:color="auto"/>
        <w:left w:val="none" w:sz="0" w:space="0" w:color="auto"/>
        <w:bottom w:val="none" w:sz="0" w:space="0" w:color="auto"/>
        <w:right w:val="none" w:sz="0" w:space="0" w:color="auto"/>
      </w:divBdr>
    </w:div>
    <w:div w:id="1762753935">
      <w:bodyDiv w:val="1"/>
      <w:marLeft w:val="0"/>
      <w:marRight w:val="0"/>
      <w:marTop w:val="0"/>
      <w:marBottom w:val="0"/>
      <w:divBdr>
        <w:top w:val="none" w:sz="0" w:space="0" w:color="auto"/>
        <w:left w:val="none" w:sz="0" w:space="0" w:color="auto"/>
        <w:bottom w:val="none" w:sz="0" w:space="0" w:color="auto"/>
        <w:right w:val="none" w:sz="0" w:space="0" w:color="auto"/>
      </w:divBdr>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825855485">
      <w:bodyDiv w:val="1"/>
      <w:marLeft w:val="0"/>
      <w:marRight w:val="0"/>
      <w:marTop w:val="0"/>
      <w:marBottom w:val="0"/>
      <w:divBdr>
        <w:top w:val="none" w:sz="0" w:space="0" w:color="auto"/>
        <w:left w:val="none" w:sz="0" w:space="0" w:color="auto"/>
        <w:bottom w:val="none" w:sz="0" w:space="0" w:color="auto"/>
        <w:right w:val="none" w:sz="0" w:space="0" w:color="auto"/>
      </w:divBdr>
    </w:div>
    <w:div w:id="1893226167">
      <w:bodyDiv w:val="1"/>
      <w:marLeft w:val="0"/>
      <w:marRight w:val="0"/>
      <w:marTop w:val="0"/>
      <w:marBottom w:val="0"/>
      <w:divBdr>
        <w:top w:val="none" w:sz="0" w:space="0" w:color="auto"/>
        <w:left w:val="none" w:sz="0" w:space="0" w:color="auto"/>
        <w:bottom w:val="none" w:sz="0" w:space="0" w:color="auto"/>
        <w:right w:val="none" w:sz="0" w:space="0" w:color="auto"/>
      </w:divBdr>
      <w:divsChild>
        <w:div w:id="559707297">
          <w:marLeft w:val="0"/>
          <w:marRight w:val="0"/>
          <w:marTop w:val="0"/>
          <w:marBottom w:val="0"/>
          <w:divBdr>
            <w:top w:val="none" w:sz="0" w:space="0" w:color="auto"/>
            <w:left w:val="none" w:sz="0" w:space="0" w:color="auto"/>
            <w:bottom w:val="none" w:sz="0" w:space="0" w:color="auto"/>
            <w:right w:val="none" w:sz="0" w:space="0" w:color="auto"/>
          </w:divBdr>
          <w:divsChild>
            <w:div w:id="611863451">
              <w:marLeft w:val="0"/>
              <w:marRight w:val="0"/>
              <w:marTop w:val="0"/>
              <w:marBottom w:val="0"/>
              <w:divBdr>
                <w:top w:val="none" w:sz="0" w:space="0" w:color="auto"/>
                <w:left w:val="none" w:sz="0" w:space="0" w:color="auto"/>
                <w:bottom w:val="none" w:sz="0" w:space="0" w:color="auto"/>
                <w:right w:val="none" w:sz="0" w:space="0" w:color="auto"/>
              </w:divBdr>
              <w:divsChild>
                <w:div w:id="419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7141">
          <w:marLeft w:val="0"/>
          <w:marRight w:val="0"/>
          <w:marTop w:val="0"/>
          <w:marBottom w:val="0"/>
          <w:divBdr>
            <w:top w:val="none" w:sz="0" w:space="0" w:color="auto"/>
            <w:left w:val="none" w:sz="0" w:space="0" w:color="auto"/>
            <w:bottom w:val="none" w:sz="0" w:space="0" w:color="auto"/>
            <w:right w:val="none" w:sz="0" w:space="0" w:color="auto"/>
          </w:divBdr>
          <w:divsChild>
            <w:div w:id="339352767">
              <w:marLeft w:val="0"/>
              <w:marRight w:val="0"/>
              <w:marTop w:val="0"/>
              <w:marBottom w:val="0"/>
              <w:divBdr>
                <w:top w:val="none" w:sz="0" w:space="0" w:color="auto"/>
                <w:left w:val="none" w:sz="0" w:space="0" w:color="auto"/>
                <w:bottom w:val="none" w:sz="0" w:space="0" w:color="auto"/>
                <w:right w:val="none" w:sz="0" w:space="0" w:color="auto"/>
              </w:divBdr>
              <w:divsChild>
                <w:div w:id="63720964">
                  <w:marLeft w:val="0"/>
                  <w:marRight w:val="0"/>
                  <w:marTop w:val="0"/>
                  <w:marBottom w:val="0"/>
                  <w:divBdr>
                    <w:top w:val="none" w:sz="0" w:space="0" w:color="auto"/>
                    <w:left w:val="none" w:sz="0" w:space="0" w:color="auto"/>
                    <w:bottom w:val="none" w:sz="0" w:space="0" w:color="auto"/>
                    <w:right w:val="none" w:sz="0" w:space="0" w:color="auto"/>
                  </w:divBdr>
                </w:div>
              </w:divsChild>
            </w:div>
            <w:div w:id="1322123951">
              <w:marLeft w:val="0"/>
              <w:marRight w:val="0"/>
              <w:marTop w:val="0"/>
              <w:marBottom w:val="0"/>
              <w:divBdr>
                <w:top w:val="none" w:sz="0" w:space="0" w:color="auto"/>
                <w:left w:val="none" w:sz="0" w:space="0" w:color="auto"/>
                <w:bottom w:val="none" w:sz="0" w:space="0" w:color="auto"/>
                <w:right w:val="none" w:sz="0" w:space="0" w:color="auto"/>
              </w:divBdr>
              <w:divsChild>
                <w:div w:id="8850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2010408198">
      <w:bodyDiv w:val="1"/>
      <w:marLeft w:val="0"/>
      <w:marRight w:val="0"/>
      <w:marTop w:val="0"/>
      <w:marBottom w:val="0"/>
      <w:divBdr>
        <w:top w:val="none" w:sz="0" w:space="0" w:color="auto"/>
        <w:left w:val="none" w:sz="0" w:space="0" w:color="auto"/>
        <w:bottom w:val="none" w:sz="0" w:space="0" w:color="auto"/>
        <w:right w:val="none" w:sz="0" w:space="0" w:color="auto"/>
      </w:divBdr>
    </w:div>
    <w:div w:id="2107075998">
      <w:bodyDiv w:val="1"/>
      <w:marLeft w:val="0"/>
      <w:marRight w:val="0"/>
      <w:marTop w:val="0"/>
      <w:marBottom w:val="0"/>
      <w:divBdr>
        <w:top w:val="none" w:sz="0" w:space="0" w:color="auto"/>
        <w:left w:val="none" w:sz="0" w:space="0" w:color="auto"/>
        <w:bottom w:val="none" w:sz="0" w:space="0" w:color="auto"/>
        <w:right w:val="none" w:sz="0" w:space="0" w:color="auto"/>
      </w:divBdr>
      <w:divsChild>
        <w:div w:id="278757295">
          <w:marLeft w:val="0"/>
          <w:marRight w:val="0"/>
          <w:marTop w:val="100"/>
          <w:marBottom w:val="0"/>
          <w:divBdr>
            <w:top w:val="none" w:sz="0" w:space="0" w:color="auto"/>
            <w:left w:val="none" w:sz="0" w:space="0" w:color="auto"/>
            <w:bottom w:val="none" w:sz="0" w:space="0" w:color="auto"/>
            <w:right w:val="none" w:sz="0" w:space="0" w:color="auto"/>
          </w:divBdr>
          <w:divsChild>
            <w:div w:id="221522914">
              <w:marLeft w:val="0"/>
              <w:marRight w:val="0"/>
              <w:marTop w:val="60"/>
              <w:marBottom w:val="0"/>
              <w:divBdr>
                <w:top w:val="none" w:sz="0" w:space="0" w:color="auto"/>
                <w:left w:val="none" w:sz="0" w:space="0" w:color="auto"/>
                <w:bottom w:val="none" w:sz="0" w:space="0" w:color="auto"/>
                <w:right w:val="none" w:sz="0" w:space="0" w:color="auto"/>
              </w:divBdr>
            </w:div>
          </w:divsChild>
        </w:div>
        <w:div w:id="13384288">
          <w:marLeft w:val="0"/>
          <w:marRight w:val="0"/>
          <w:marTop w:val="0"/>
          <w:marBottom w:val="0"/>
          <w:divBdr>
            <w:top w:val="none" w:sz="0" w:space="0" w:color="auto"/>
            <w:left w:val="none" w:sz="0" w:space="0" w:color="auto"/>
            <w:bottom w:val="none" w:sz="0" w:space="0" w:color="auto"/>
            <w:right w:val="none" w:sz="0" w:space="0" w:color="auto"/>
          </w:divBdr>
          <w:divsChild>
            <w:div w:id="758208982">
              <w:marLeft w:val="0"/>
              <w:marRight w:val="0"/>
              <w:marTop w:val="0"/>
              <w:marBottom w:val="0"/>
              <w:divBdr>
                <w:top w:val="none" w:sz="0" w:space="0" w:color="auto"/>
                <w:left w:val="none" w:sz="0" w:space="0" w:color="auto"/>
                <w:bottom w:val="none" w:sz="0" w:space="0" w:color="auto"/>
                <w:right w:val="none" w:sz="0" w:space="0" w:color="auto"/>
              </w:divBdr>
              <w:divsChild>
                <w:div w:id="4527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30FF-891C-427C-B26A-695FC161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6</Pages>
  <Words>7202</Words>
  <Characters>41058</Characters>
  <Application>Microsoft Office Word</Application>
  <DocSecurity>0</DocSecurity>
  <Lines>342</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48164</CharactersWithSpaces>
  <SharedDoc>false</SharedDoc>
  <HLinks>
    <vt:vector size="6" baseType="variant">
      <vt:variant>
        <vt:i4>1966173</vt:i4>
      </vt:variant>
      <vt:variant>
        <vt:i4>0</vt:i4>
      </vt:variant>
      <vt:variant>
        <vt:i4>0</vt:i4>
      </vt:variant>
      <vt:variant>
        <vt:i4>5</vt:i4>
      </vt:variant>
      <vt:variant>
        <vt:lpwstr>https://www.autoriteitnvs.nl/actueel/nieuws/2016/04/07/ontwerp-revisievergunning-epz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dc:description/>
  <cp:lastModifiedBy>Katri Veldre</cp:lastModifiedBy>
  <cp:revision>2</cp:revision>
  <cp:lastPrinted>2021-06-13T10:57:00Z</cp:lastPrinted>
  <dcterms:created xsi:type="dcterms:W3CDTF">2021-06-15T18:42:00Z</dcterms:created>
  <dcterms:modified xsi:type="dcterms:W3CDTF">2021-06-15T18:42:00Z</dcterms:modified>
</cp:coreProperties>
</file>