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B5C689" w14:textId="55804E44" w:rsidR="004D35BB" w:rsidRPr="00FF257E" w:rsidRDefault="007E7668" w:rsidP="00FF257E">
      <w:pPr>
        <w:pStyle w:val="HChG"/>
        <w:tabs>
          <w:tab w:val="clear" w:pos="851"/>
          <w:tab w:val="right" w:pos="567"/>
        </w:tabs>
        <w:ind w:right="1089" w:firstLine="0"/>
        <w:jc w:val="center"/>
        <w:rPr>
          <w:szCs w:val="28"/>
        </w:rPr>
      </w:pPr>
      <w:bookmarkStart w:id="0" w:name="_Hlk5292725"/>
      <w:r w:rsidRPr="00FF257E">
        <w:rPr>
          <w:szCs w:val="28"/>
        </w:rPr>
        <w:t>Draft f</w:t>
      </w:r>
      <w:r w:rsidR="004D35BB" w:rsidRPr="00FF257E">
        <w:rPr>
          <w:spacing w:val="-2"/>
          <w:szCs w:val="28"/>
        </w:rPr>
        <w:t>indings and recommendations with regard to communication</w:t>
      </w:r>
      <w:r w:rsidR="004D35BB" w:rsidRPr="00FF257E">
        <w:rPr>
          <w:szCs w:val="28"/>
        </w:rPr>
        <w:t xml:space="preserve"> ACCC/C/2016/143 concerning compliance by Czechia</w:t>
      </w:r>
    </w:p>
    <w:p w14:paraId="182BDC63" w14:textId="5871AE57" w:rsidR="009E5900" w:rsidRPr="00FF257E" w:rsidRDefault="009E5900" w:rsidP="00FF257E">
      <w:pPr>
        <w:pStyle w:val="H1G"/>
        <w:tabs>
          <w:tab w:val="clear" w:pos="851"/>
          <w:tab w:val="right" w:pos="567"/>
        </w:tabs>
        <w:ind w:right="1089"/>
        <w:jc w:val="center"/>
        <w:rPr>
          <w:sz w:val="24"/>
          <w:szCs w:val="24"/>
        </w:rPr>
      </w:pPr>
      <w:r w:rsidRPr="00FF257E">
        <w:rPr>
          <w:sz w:val="24"/>
          <w:szCs w:val="24"/>
        </w:rPr>
        <w:t xml:space="preserve">Adopted by the Compliance Committee on </w:t>
      </w:r>
      <w:r w:rsidR="0013259A" w:rsidRPr="00FF257E">
        <w:rPr>
          <w:sz w:val="24"/>
          <w:szCs w:val="24"/>
        </w:rPr>
        <w:t>…</w:t>
      </w:r>
    </w:p>
    <w:p w14:paraId="65B281BA" w14:textId="5AC276AA" w:rsidR="0023575C" w:rsidRPr="00771D2C" w:rsidRDefault="00D971FB" w:rsidP="00771D2C">
      <w:pPr>
        <w:pStyle w:val="Heading1"/>
        <w:numPr>
          <w:ilvl w:val="0"/>
          <w:numId w:val="30"/>
        </w:numPr>
        <w:ind w:left="1560"/>
        <w:rPr>
          <w:rFonts w:asciiTheme="majorBidi" w:hAnsiTheme="majorBidi"/>
        </w:rPr>
      </w:pPr>
      <w:r w:rsidRPr="00771D2C">
        <w:rPr>
          <w:rFonts w:asciiTheme="majorBidi" w:hAnsiTheme="majorBidi"/>
        </w:rPr>
        <w:t>Introduction</w:t>
      </w:r>
    </w:p>
    <w:p w14:paraId="691205AA" w14:textId="65E44DC4" w:rsidR="008C4E0A" w:rsidRPr="00771D2C" w:rsidRDefault="00FD1C2F" w:rsidP="00771D2C">
      <w:pPr>
        <w:pStyle w:val="NumberedParas"/>
      </w:pPr>
      <w:r w:rsidRPr="00771D2C">
        <w:t xml:space="preserve">On </w:t>
      </w:r>
      <w:r w:rsidR="004D35BB" w:rsidRPr="00771D2C">
        <w:t>3</w:t>
      </w:r>
      <w:r w:rsidR="002F273C" w:rsidRPr="00771D2C">
        <w:t>1</w:t>
      </w:r>
      <w:r w:rsidR="004D35BB" w:rsidRPr="00771D2C">
        <w:t xml:space="preserve"> October 2016</w:t>
      </w:r>
      <w:r w:rsidR="0027706D" w:rsidRPr="00771D2C">
        <w:t xml:space="preserve">, </w:t>
      </w:r>
      <w:r w:rsidR="007F3E3C" w:rsidRPr="00771D2C">
        <w:t xml:space="preserve">Austrian </w:t>
      </w:r>
      <w:r w:rsidR="0027706D" w:rsidRPr="00771D2C">
        <w:t xml:space="preserve">environmental </w:t>
      </w:r>
      <w:r w:rsidR="00532240" w:rsidRPr="00771D2C">
        <w:t xml:space="preserve">non-governmental organizations </w:t>
      </w:r>
      <w:r w:rsidR="004D35BB" w:rsidRPr="00771D2C">
        <w:t>OEKOBUERO – Alliance of the Austrian Environmental Movement</w:t>
      </w:r>
      <w:r w:rsidR="007F3E3C" w:rsidRPr="00771D2C">
        <w:t xml:space="preserve"> and</w:t>
      </w:r>
      <w:r w:rsidR="004D35BB" w:rsidRPr="00771D2C">
        <w:t xml:space="preserve"> GLOBAL 2000 (F</w:t>
      </w:r>
      <w:r w:rsidR="00972DFD" w:rsidRPr="00771D2C">
        <w:t>riends of</w:t>
      </w:r>
      <w:r w:rsidR="009E2A5B" w:rsidRPr="00771D2C">
        <w:t xml:space="preserve"> </w:t>
      </w:r>
      <w:r w:rsidR="00972DFD" w:rsidRPr="00771D2C">
        <w:t>the Earth</w:t>
      </w:r>
      <w:r w:rsidR="004D35BB" w:rsidRPr="00771D2C">
        <w:t xml:space="preserve"> Austria), </w:t>
      </w:r>
      <w:r w:rsidR="007F3E3C" w:rsidRPr="00771D2C">
        <w:t xml:space="preserve">Czech civic associations </w:t>
      </w:r>
      <w:r w:rsidR="00D50C29" w:rsidRPr="00771D2C">
        <w:t>Jihočeské matky</w:t>
      </w:r>
      <w:r w:rsidR="004D35BB" w:rsidRPr="00771D2C">
        <w:t>, z. s.</w:t>
      </w:r>
      <w:r w:rsidR="007F3E3C" w:rsidRPr="00771D2C">
        <w:t xml:space="preserve"> and </w:t>
      </w:r>
      <w:r w:rsidR="004D35BB" w:rsidRPr="00771D2C">
        <w:t>Calla</w:t>
      </w:r>
      <w:r w:rsidR="002F273C" w:rsidRPr="00771D2C">
        <w:t>,</w:t>
      </w:r>
      <w:r w:rsidR="004D35BB" w:rsidRPr="00771D2C">
        <w:t xml:space="preserve"> and the Aarhus Konvention Initiative</w:t>
      </w:r>
      <w:r w:rsidR="007F3E3C" w:rsidRPr="00771D2C">
        <w:t>, a German civil society movement</w:t>
      </w:r>
      <w:r w:rsidR="004D4622" w:rsidRPr="00771D2C">
        <w:t>,</w:t>
      </w:r>
      <w:r w:rsidR="0027706D" w:rsidRPr="00771D2C">
        <w:t xml:space="preserve"> </w:t>
      </w:r>
      <w:r w:rsidRPr="00771D2C">
        <w:t>(the communicant</w:t>
      </w:r>
      <w:r w:rsidR="00C22DB2" w:rsidRPr="00771D2C">
        <w:t>s</w:t>
      </w:r>
      <w:r w:rsidRPr="00771D2C">
        <w:t xml:space="preserve">) submitted a communication to the </w:t>
      </w:r>
      <w:r w:rsidR="009E469B" w:rsidRPr="00771D2C">
        <w:t xml:space="preserve">Compliance </w:t>
      </w:r>
      <w:r w:rsidRPr="00771D2C">
        <w:t xml:space="preserve">Committee </w:t>
      </w:r>
      <w:r w:rsidR="009E469B" w:rsidRPr="00771D2C">
        <w:t xml:space="preserve">under </w:t>
      </w:r>
      <w:r w:rsidRPr="00771D2C">
        <w:t xml:space="preserve">the Convention on Access to Information, Public Participation in Decision-making and Access to Justice in Environmental Matters (Aarhus Convention) </w:t>
      </w:r>
      <w:r w:rsidR="009E469B" w:rsidRPr="00771D2C">
        <w:t>alleging</w:t>
      </w:r>
      <w:r w:rsidR="0027706D" w:rsidRPr="00771D2C">
        <w:t xml:space="preserve"> noncompliance with </w:t>
      </w:r>
      <w:r w:rsidR="007E7668" w:rsidRPr="00771D2C">
        <w:t>articles 3(1), 6(</w:t>
      </w:r>
      <w:r w:rsidR="00A8281E" w:rsidRPr="00771D2C">
        <w:t>1</w:t>
      </w:r>
      <w:r w:rsidR="007E7668" w:rsidRPr="00771D2C">
        <w:t>)-(</w:t>
      </w:r>
      <w:r w:rsidR="00A8281E" w:rsidRPr="00771D2C">
        <w:t>10</w:t>
      </w:r>
      <w:r w:rsidR="007E7668" w:rsidRPr="00771D2C">
        <w:t xml:space="preserve">) and article 9(2) of </w:t>
      </w:r>
      <w:r w:rsidR="0027706D" w:rsidRPr="00771D2C">
        <w:t xml:space="preserve">the Convention </w:t>
      </w:r>
      <w:r w:rsidR="007E7668" w:rsidRPr="00771D2C">
        <w:t>regarding</w:t>
      </w:r>
      <w:r w:rsidR="0027706D" w:rsidRPr="00771D2C">
        <w:t xml:space="preserve"> </w:t>
      </w:r>
      <w:r w:rsidR="004D35BB" w:rsidRPr="00771D2C">
        <w:t>the extension of the lifetime of</w:t>
      </w:r>
      <w:r w:rsidR="00A65C83" w:rsidRPr="00771D2C">
        <w:t xml:space="preserve"> </w:t>
      </w:r>
      <w:r w:rsidR="00532240" w:rsidRPr="00771D2C">
        <w:t xml:space="preserve">nuclear </w:t>
      </w:r>
      <w:r w:rsidR="00035BA9" w:rsidRPr="00771D2C">
        <w:t xml:space="preserve">reactors </w:t>
      </w:r>
      <w:r w:rsidR="007E7668" w:rsidRPr="00771D2C">
        <w:t xml:space="preserve">of </w:t>
      </w:r>
      <w:r w:rsidR="00A65C83" w:rsidRPr="00771D2C">
        <w:t xml:space="preserve">the </w:t>
      </w:r>
      <w:r w:rsidR="004D35BB" w:rsidRPr="00771D2C">
        <w:t xml:space="preserve">Dukovany nuclear power plant </w:t>
      </w:r>
      <w:r w:rsidR="00802B66" w:rsidRPr="00771D2C">
        <w:t>(NPP)</w:t>
      </w:r>
      <w:r w:rsidR="0027706D" w:rsidRPr="00771D2C">
        <w:t>.</w:t>
      </w:r>
      <w:r w:rsidR="00B74B81" w:rsidRPr="00771D2C">
        <w:t xml:space="preserve"> </w:t>
      </w:r>
    </w:p>
    <w:p w14:paraId="7370300F" w14:textId="7D3B0F28" w:rsidR="00841A60" w:rsidRPr="00771D2C" w:rsidRDefault="002F273C" w:rsidP="00771D2C">
      <w:pPr>
        <w:pStyle w:val="NumberedParas"/>
      </w:pPr>
      <w:r w:rsidRPr="00771D2C">
        <w:t>At its fifty-fifth meeting (Geneva, 6-9 December 2016)</w:t>
      </w:r>
      <w:r w:rsidR="0027706D" w:rsidRPr="00771D2C">
        <w:t xml:space="preserve">, </w:t>
      </w:r>
      <w:r w:rsidR="00841A60" w:rsidRPr="00771D2C">
        <w:t>the Committee determined on a preliminary basis that the communication</w:t>
      </w:r>
      <w:r w:rsidR="007B2393" w:rsidRPr="00771D2C">
        <w:t xml:space="preserve"> </w:t>
      </w:r>
      <w:r w:rsidR="00841A60" w:rsidRPr="00771D2C">
        <w:t>was admissible.</w:t>
      </w:r>
    </w:p>
    <w:p w14:paraId="1040EBB8" w14:textId="611535E7" w:rsidR="002113FB" w:rsidRPr="00771D2C" w:rsidRDefault="00EC6B8B" w:rsidP="00771D2C">
      <w:pPr>
        <w:pStyle w:val="NumberedParas"/>
      </w:pPr>
      <w:r w:rsidRPr="00771D2C">
        <w:t xml:space="preserve">Pursuant to paragraph 22 of the annex to decision I/7 of the Meeting of the Parties to the Convention, the communication was forwarded to the Party concerned on </w:t>
      </w:r>
      <w:r w:rsidR="00B1195D" w:rsidRPr="00771D2C">
        <w:t>6</w:t>
      </w:r>
      <w:r w:rsidRPr="00771D2C">
        <w:t xml:space="preserve"> February 2017. </w:t>
      </w:r>
    </w:p>
    <w:p w14:paraId="02AF497D" w14:textId="47186DD1" w:rsidR="00760761" w:rsidRPr="00771D2C" w:rsidRDefault="00604F3A" w:rsidP="00771D2C">
      <w:pPr>
        <w:pStyle w:val="NumberedParas"/>
      </w:pPr>
      <w:r w:rsidRPr="00771D2C">
        <w:t>On</w:t>
      </w:r>
      <w:r w:rsidR="007B2393" w:rsidRPr="00771D2C">
        <w:t xml:space="preserve"> </w:t>
      </w:r>
      <w:r w:rsidR="007D6472" w:rsidRPr="00771D2C">
        <w:t>4 July 2017</w:t>
      </w:r>
      <w:r w:rsidRPr="00771D2C">
        <w:t>, t</w:t>
      </w:r>
      <w:r w:rsidR="00D81BC0" w:rsidRPr="00771D2C">
        <w:t>he Party concerne</w:t>
      </w:r>
      <w:r w:rsidR="007B2393" w:rsidRPr="00771D2C">
        <w:t>d</w:t>
      </w:r>
      <w:r w:rsidR="00D81BC0" w:rsidRPr="00771D2C">
        <w:t xml:space="preserve"> </w:t>
      </w:r>
      <w:r w:rsidRPr="00771D2C">
        <w:t xml:space="preserve">provided its response </w:t>
      </w:r>
      <w:r w:rsidR="00F856C8" w:rsidRPr="00771D2C">
        <w:t xml:space="preserve">to the </w:t>
      </w:r>
      <w:r w:rsidR="00802B66" w:rsidRPr="00771D2C">
        <w:t>communication</w:t>
      </w:r>
      <w:r w:rsidR="008806E8" w:rsidRPr="00771D2C">
        <w:t>.</w:t>
      </w:r>
    </w:p>
    <w:p w14:paraId="4A928B0F" w14:textId="2065BE35" w:rsidR="00C22DB2" w:rsidRPr="00771D2C" w:rsidRDefault="00C22DB2" w:rsidP="00771D2C">
      <w:pPr>
        <w:pStyle w:val="NumberedParas"/>
      </w:pPr>
      <w:r w:rsidRPr="00771D2C">
        <w:t xml:space="preserve">The Committee held </w:t>
      </w:r>
      <w:r w:rsidR="00972DFD" w:rsidRPr="00771D2C">
        <w:t xml:space="preserve">a </w:t>
      </w:r>
      <w:r w:rsidRPr="00771D2C">
        <w:t>hearing to discuss the substance of the communication at its sixty-</w:t>
      </w:r>
      <w:r w:rsidR="00972DFD" w:rsidRPr="00771D2C">
        <w:t>fourth</w:t>
      </w:r>
      <w:r w:rsidRPr="00771D2C">
        <w:t xml:space="preserve"> meeting (Geneva, </w:t>
      </w:r>
      <w:r w:rsidR="00972DFD" w:rsidRPr="00771D2C">
        <w:t>1-5 July</w:t>
      </w:r>
      <w:r w:rsidRPr="00771D2C">
        <w:t xml:space="preserve"> 2019),</w:t>
      </w:r>
      <w:r w:rsidR="00972DFD" w:rsidRPr="00771D2C">
        <w:t xml:space="preserve"> </w:t>
      </w:r>
      <w:r w:rsidRPr="00771D2C">
        <w:t>with the participation of representatives of the communicant</w:t>
      </w:r>
      <w:r w:rsidR="00584A8D" w:rsidRPr="00771D2C">
        <w:t>s</w:t>
      </w:r>
      <w:r w:rsidRPr="00771D2C">
        <w:t xml:space="preserve"> and the Party concerned. </w:t>
      </w:r>
    </w:p>
    <w:p w14:paraId="3CDE716C" w14:textId="7A3ECDA5" w:rsidR="00D33BBA" w:rsidRPr="00771D2C" w:rsidRDefault="00D33BBA" w:rsidP="00771D2C">
      <w:pPr>
        <w:pStyle w:val="NumberedParas"/>
      </w:pPr>
      <w:r w:rsidRPr="00771D2C">
        <w:t>On 19 September 2019, the communicants sent additional information to the Committee.</w:t>
      </w:r>
    </w:p>
    <w:p w14:paraId="3CB2006B" w14:textId="7EBFDECC" w:rsidR="00D33BBA" w:rsidRPr="00771D2C" w:rsidRDefault="00D33BBA" w:rsidP="00771D2C">
      <w:pPr>
        <w:pStyle w:val="NumberedParas"/>
      </w:pPr>
      <w:r w:rsidRPr="00771D2C">
        <w:t>On 13 November 2020, the communicant OEKUBUERO provided a summary of the Constitutional Court’s verdict to the Committee.</w:t>
      </w:r>
    </w:p>
    <w:p w14:paraId="13C6EDF4" w14:textId="77777777" w:rsidR="00D33BBA" w:rsidRPr="00771D2C" w:rsidRDefault="00D33BBA" w:rsidP="00771D2C">
      <w:pPr>
        <w:pStyle w:val="NumberedParas"/>
      </w:pPr>
      <w:r w:rsidRPr="00771D2C">
        <w:t>On 24 December 2020, the secretariat sent a letter enclosing questions from the Committee to the Party concerned.</w:t>
      </w:r>
    </w:p>
    <w:p w14:paraId="51A35E64" w14:textId="77777777" w:rsidR="00D33BBA" w:rsidRPr="00771D2C" w:rsidRDefault="00D33BBA" w:rsidP="00771D2C">
      <w:pPr>
        <w:pStyle w:val="NumberedParas"/>
      </w:pPr>
      <w:r w:rsidRPr="00771D2C">
        <w:t xml:space="preserve">On 20 January 2021, the Party concerned requested an extension to the deadline to respond to the Committee’s questions, in particular to provide English translations. On the same day, the secretariat informed the Party concerned that the Chair of the Committee had agreed to extend the deadline until 8 February 2021. </w:t>
      </w:r>
    </w:p>
    <w:p w14:paraId="0368F760" w14:textId="77777777" w:rsidR="00D33BBA" w:rsidRPr="00771D2C" w:rsidRDefault="00D33BBA" w:rsidP="00771D2C">
      <w:pPr>
        <w:pStyle w:val="NumberedParas"/>
      </w:pPr>
      <w:r w:rsidRPr="00771D2C">
        <w:t xml:space="preserve">On 21 January 2021, the Party concerned submitted a number of documents relating to the Committee’s questions. On 8 February 2021, the Party concerned sent further material in reply to the Committee’s questions. </w:t>
      </w:r>
    </w:p>
    <w:p w14:paraId="6CE6D791" w14:textId="77777777" w:rsidR="00D33BBA" w:rsidRPr="00771D2C" w:rsidRDefault="00D33BBA" w:rsidP="00771D2C">
      <w:pPr>
        <w:pStyle w:val="NumberedParas"/>
      </w:pPr>
      <w:r w:rsidRPr="00771D2C">
        <w:t xml:space="preserve">On 1 March 2021, the communicants send its comments on the Party concerned’s reply to the Committee’s questions to the Committee. </w:t>
      </w:r>
    </w:p>
    <w:p w14:paraId="72EDAA45" w14:textId="31623B5B" w:rsidR="00C22DB2" w:rsidRPr="000F4DB6" w:rsidRDefault="00C22DB2" w:rsidP="00771D2C">
      <w:pPr>
        <w:pStyle w:val="NumberedParas"/>
        <w:rPr>
          <w:iCs/>
        </w:rPr>
      </w:pPr>
      <w:r w:rsidRPr="000F4DB6">
        <w:rPr>
          <w:iCs/>
        </w:rPr>
        <w:t xml:space="preserve">The Committee completed its draft findings through its electronic decision-making procedure on </w:t>
      </w:r>
      <w:r w:rsidR="000F4DB6" w:rsidRPr="000F4DB6">
        <w:rPr>
          <w:iCs/>
        </w:rPr>
        <w:t>10 June 2021</w:t>
      </w:r>
      <w:r w:rsidRPr="000F4DB6">
        <w:rPr>
          <w:iCs/>
        </w:rPr>
        <w:t xml:space="preserve">. In accordance with paragraph 34 of the annex to decision </w:t>
      </w:r>
      <w:r w:rsidRPr="000F4DB6">
        <w:rPr>
          <w:iCs/>
        </w:rPr>
        <w:lastRenderedPageBreak/>
        <w:t>I/7, the draft findings were then forwarded on that date for comments to the Party concerned and the communicant</w:t>
      </w:r>
      <w:r w:rsidR="00584A8D" w:rsidRPr="000F4DB6">
        <w:rPr>
          <w:iCs/>
        </w:rPr>
        <w:t>s</w:t>
      </w:r>
      <w:r w:rsidRPr="000F4DB6">
        <w:rPr>
          <w:iCs/>
        </w:rPr>
        <w:t>. Both were invited to provide comments b</w:t>
      </w:r>
      <w:r w:rsidR="00AE5604">
        <w:rPr>
          <w:iCs/>
        </w:rPr>
        <w:t>efore</w:t>
      </w:r>
      <w:r w:rsidRPr="000F4DB6">
        <w:rPr>
          <w:iCs/>
        </w:rPr>
        <w:t xml:space="preserve"> </w:t>
      </w:r>
      <w:r w:rsidR="000F4DB6">
        <w:rPr>
          <w:iCs/>
        </w:rPr>
        <w:t>22 July 2021</w:t>
      </w:r>
      <w:r w:rsidRPr="000F4DB6">
        <w:rPr>
          <w:iCs/>
        </w:rPr>
        <w:t>.</w:t>
      </w:r>
    </w:p>
    <w:p w14:paraId="22AA0185" w14:textId="00998A98" w:rsidR="00C22DB2" w:rsidRPr="00771D2C" w:rsidRDefault="00C22DB2" w:rsidP="00771D2C">
      <w:pPr>
        <w:pStyle w:val="NumberedParas"/>
        <w:rPr>
          <w:i/>
        </w:rPr>
      </w:pPr>
      <w:r w:rsidRPr="00771D2C">
        <w:rPr>
          <w:i/>
        </w:rPr>
        <w:t>The communicant</w:t>
      </w:r>
      <w:r w:rsidR="00B74B81" w:rsidRPr="00771D2C">
        <w:rPr>
          <w:i/>
        </w:rPr>
        <w:t>s</w:t>
      </w:r>
      <w:r w:rsidRPr="00771D2C">
        <w:rPr>
          <w:i/>
        </w:rPr>
        <w:t xml:space="preserve"> and the Party concerned provided comments on the draft findings on […] and […] respectively.</w:t>
      </w:r>
    </w:p>
    <w:p w14:paraId="298ECB2F" w14:textId="2894E414" w:rsidR="009568C4" w:rsidRPr="00771D2C" w:rsidRDefault="00C22DB2" w:rsidP="00771D2C">
      <w:pPr>
        <w:pStyle w:val="NumberedParas"/>
        <w:rPr>
          <w:i/>
        </w:rPr>
      </w:pPr>
      <w:r w:rsidRPr="00771D2C">
        <w:rPr>
          <w:i/>
        </w:rPr>
        <w:t>At its […] meeting (Geneva, […]), the Committee proceeded to finalize its findings in closed session, taking account of the comments received. The Committee then adopted its findings through its electronic decision-making procedure on […] and agreed that they should be published as a formal pre-session document to its […]. It requested the secretariat to send the findings to the Party concerned and the communicant</w:t>
      </w:r>
      <w:r w:rsidR="00584A8D" w:rsidRPr="00771D2C">
        <w:rPr>
          <w:i/>
        </w:rPr>
        <w:t>s</w:t>
      </w:r>
      <w:r w:rsidRPr="00771D2C">
        <w:rPr>
          <w:i/>
        </w:rPr>
        <w:t>.</w:t>
      </w:r>
    </w:p>
    <w:p w14:paraId="6A96A69C" w14:textId="4EA93E9F" w:rsidR="0023575C" w:rsidRPr="00771D2C" w:rsidRDefault="006B4559" w:rsidP="00771D2C">
      <w:pPr>
        <w:pStyle w:val="Heading1"/>
        <w:numPr>
          <w:ilvl w:val="0"/>
          <w:numId w:val="0"/>
        </w:numPr>
        <w:ind w:left="851"/>
        <w:rPr>
          <w:rFonts w:asciiTheme="majorBidi" w:hAnsiTheme="majorBidi"/>
        </w:rPr>
      </w:pPr>
      <w:r>
        <w:rPr>
          <w:rFonts w:asciiTheme="majorBidi" w:hAnsiTheme="majorBidi" w:cstheme="majorBidi"/>
        </w:rPr>
        <w:t>II.</w:t>
      </w:r>
      <w:r>
        <w:rPr>
          <w:rFonts w:asciiTheme="majorBidi" w:hAnsiTheme="majorBidi" w:cstheme="majorBidi"/>
        </w:rPr>
        <w:tab/>
      </w:r>
      <w:r w:rsidR="00D971FB" w:rsidRPr="00771D2C">
        <w:rPr>
          <w:rFonts w:asciiTheme="majorBidi" w:hAnsiTheme="majorBidi"/>
        </w:rPr>
        <w:t>Summary of facts, evidence and issues</w:t>
      </w:r>
      <w:bookmarkStart w:id="1" w:name="_Hlk531266672"/>
      <w:r w:rsidR="0023575C" w:rsidRPr="00771D2C">
        <w:rPr>
          <w:rStyle w:val="FootnoteReference"/>
          <w:rFonts w:asciiTheme="majorBidi" w:hAnsiTheme="majorBidi"/>
          <w:sz w:val="24"/>
        </w:rPr>
        <w:footnoteReference w:id="2"/>
      </w:r>
      <w:bookmarkEnd w:id="1"/>
    </w:p>
    <w:p w14:paraId="30829AA5" w14:textId="1C177BA5" w:rsidR="0045180A" w:rsidRPr="00771D2C" w:rsidRDefault="009110A6" w:rsidP="00771D2C">
      <w:pPr>
        <w:pStyle w:val="Heading2"/>
      </w:pPr>
      <w:r w:rsidRPr="00771D2C">
        <w:t>Legal framework</w:t>
      </w:r>
    </w:p>
    <w:p w14:paraId="1BE76A2B" w14:textId="0192772F" w:rsidR="00D451E9" w:rsidRPr="00771D2C" w:rsidRDefault="00F44E37" w:rsidP="00771D2C">
      <w:pPr>
        <w:pStyle w:val="Heading4"/>
      </w:pPr>
      <w:r w:rsidRPr="00771D2C">
        <w:t>1997</w:t>
      </w:r>
      <w:r w:rsidR="00532240" w:rsidRPr="00771D2C">
        <w:t xml:space="preserve"> </w:t>
      </w:r>
      <w:r w:rsidR="00D451E9" w:rsidRPr="00771D2C">
        <w:t>Atomic Act</w:t>
      </w:r>
    </w:p>
    <w:p w14:paraId="1CA08021" w14:textId="0B2812B6" w:rsidR="0049499C" w:rsidRPr="00771D2C" w:rsidRDefault="001D5081" w:rsidP="00771D2C">
      <w:pPr>
        <w:pStyle w:val="NumberedParas"/>
        <w:rPr>
          <w:rStyle w:val="st"/>
        </w:rPr>
      </w:pPr>
      <w:bookmarkStart w:id="2" w:name="_Ref6237272"/>
      <w:bookmarkStart w:id="3" w:name="_Ref5963924"/>
      <w:r w:rsidRPr="00771D2C">
        <w:rPr>
          <w:rStyle w:val="st"/>
        </w:rPr>
        <w:t xml:space="preserve">At the time of the </w:t>
      </w:r>
      <w:r w:rsidR="00B01A8B" w:rsidRPr="00771D2C">
        <w:rPr>
          <w:rStyle w:val="st"/>
        </w:rPr>
        <w:t xml:space="preserve">permitting procedure </w:t>
      </w:r>
      <w:r w:rsidR="00A8281E" w:rsidRPr="00771D2C">
        <w:rPr>
          <w:rStyle w:val="st"/>
        </w:rPr>
        <w:t>to extend</w:t>
      </w:r>
      <w:r w:rsidR="00B01A8B" w:rsidRPr="00771D2C">
        <w:rPr>
          <w:rStyle w:val="st"/>
        </w:rPr>
        <w:t xml:space="preserve"> the operation of the Dukovany NPP’s reactor 1 </w:t>
      </w:r>
      <w:r w:rsidR="00935D7A" w:rsidRPr="00771D2C">
        <w:rPr>
          <w:rStyle w:val="st"/>
        </w:rPr>
        <w:t>in 2016</w:t>
      </w:r>
      <w:r w:rsidR="00B01A8B" w:rsidRPr="00771D2C">
        <w:rPr>
          <w:rStyle w:val="st"/>
        </w:rPr>
        <w:t>, s</w:t>
      </w:r>
      <w:r w:rsidR="0049499C" w:rsidRPr="00771D2C">
        <w:rPr>
          <w:rStyle w:val="st"/>
        </w:rPr>
        <w:t xml:space="preserve">ection 9(1)(d) </w:t>
      </w:r>
      <w:r w:rsidR="0049499C" w:rsidRPr="00771D2C">
        <w:t xml:space="preserve">of </w:t>
      </w:r>
      <w:bookmarkStart w:id="4" w:name="_Ref8381574"/>
      <w:r w:rsidR="0049499C" w:rsidRPr="00771D2C">
        <w:t>Act no. 18/1997 Coll. of 24 January 1997 on Peaceful Utilisation of Nuclear Energy and Ionising Radiation (</w:t>
      </w:r>
      <w:r w:rsidR="00532240" w:rsidRPr="00771D2C">
        <w:t>the 1997</w:t>
      </w:r>
      <w:r w:rsidR="0049499C" w:rsidRPr="00771D2C">
        <w:t xml:space="preserve"> Atomic Act) state</w:t>
      </w:r>
      <w:r w:rsidR="00A71A35" w:rsidRPr="00771D2C">
        <w:t>d</w:t>
      </w:r>
      <w:r w:rsidR="0049499C" w:rsidRPr="00771D2C">
        <w:t xml:space="preserve"> that a permit issued by the State Office for Nuclear Safety (SONS) is required for the operation of a nuclear installation.</w:t>
      </w:r>
      <w:r w:rsidR="0049499C" w:rsidRPr="00771D2C">
        <w:rPr>
          <w:rStyle w:val="FootnoteReference"/>
        </w:rPr>
        <w:footnoteReference w:id="3"/>
      </w:r>
      <w:bookmarkEnd w:id="2"/>
      <w:bookmarkEnd w:id="4"/>
    </w:p>
    <w:p w14:paraId="750C6636" w14:textId="0C885930" w:rsidR="00D451E9" w:rsidRPr="00771D2C" w:rsidRDefault="00D451E9" w:rsidP="00771D2C">
      <w:pPr>
        <w:pStyle w:val="NumberedParas"/>
      </w:pPr>
      <w:bookmarkStart w:id="5" w:name="_Ref6248671"/>
      <w:bookmarkStart w:id="6" w:name="_Ref72491205"/>
      <w:r w:rsidRPr="00771D2C">
        <w:rPr>
          <w:rStyle w:val="st"/>
        </w:rPr>
        <w:t>S</w:t>
      </w:r>
      <w:r w:rsidRPr="00771D2C">
        <w:t>ection 14</w:t>
      </w:r>
      <w:r w:rsidR="0049499C" w:rsidRPr="00771D2C">
        <w:t>(</w:t>
      </w:r>
      <w:r w:rsidRPr="00771D2C">
        <w:t>1</w:t>
      </w:r>
      <w:r w:rsidR="0049499C" w:rsidRPr="00771D2C">
        <w:t>)</w:t>
      </w:r>
      <w:r w:rsidRPr="00771D2C">
        <w:t xml:space="preserve"> </w:t>
      </w:r>
      <w:r w:rsidR="00A71A35" w:rsidRPr="00771D2C">
        <w:t xml:space="preserve">of the </w:t>
      </w:r>
      <w:r w:rsidR="00532240" w:rsidRPr="00771D2C">
        <w:t xml:space="preserve">1997 </w:t>
      </w:r>
      <w:r w:rsidR="00A71A35" w:rsidRPr="00771D2C">
        <w:t xml:space="preserve">Atomic Act </w:t>
      </w:r>
      <w:r w:rsidR="00D648C3" w:rsidRPr="00771D2C">
        <w:t>provide</w:t>
      </w:r>
      <w:r w:rsidR="001A0EEF" w:rsidRPr="00771D2C">
        <w:t>d</w:t>
      </w:r>
      <w:r w:rsidR="00D648C3" w:rsidRPr="00771D2C">
        <w:t xml:space="preserve"> that the applicant shall be the only participant in the proceedings</w:t>
      </w:r>
      <w:r w:rsidR="00B519CE">
        <w:t xml:space="preserve"> </w:t>
      </w:r>
      <w:r w:rsidR="00F70CFE">
        <w:t>under t</w:t>
      </w:r>
      <w:r w:rsidR="00C55B35">
        <w:t>hat Act</w:t>
      </w:r>
      <w:r w:rsidRPr="00771D2C">
        <w:t>.</w:t>
      </w:r>
      <w:r w:rsidRPr="00771D2C">
        <w:rPr>
          <w:rStyle w:val="FootnoteReference"/>
        </w:rPr>
        <w:footnoteReference w:id="4"/>
      </w:r>
      <w:bookmarkEnd w:id="3"/>
      <w:bookmarkEnd w:id="5"/>
      <w:bookmarkEnd w:id="6"/>
    </w:p>
    <w:p w14:paraId="16000B2B" w14:textId="55D1A296" w:rsidR="00D451E9" w:rsidRPr="00771D2C" w:rsidRDefault="00BB3E95" w:rsidP="00771D2C">
      <w:pPr>
        <w:pStyle w:val="NumberedParas"/>
      </w:pPr>
      <w:r w:rsidRPr="00771D2C">
        <w:t xml:space="preserve">The </w:t>
      </w:r>
      <w:r w:rsidR="00532240" w:rsidRPr="00771D2C">
        <w:t>1997</w:t>
      </w:r>
      <w:r w:rsidRPr="00771D2C">
        <w:t xml:space="preserve"> Atomic Act did not include in any specific provision on the duration of operational licenses of nuclear facilities issued</w:t>
      </w:r>
      <w:r w:rsidR="00770D72" w:rsidRPr="00771D2C">
        <w:t>. Rather, i</w:t>
      </w:r>
      <w:r w:rsidRPr="00771D2C">
        <w:t>ts</w:t>
      </w:r>
      <w:r w:rsidR="00770D72" w:rsidRPr="00771D2C">
        <w:t xml:space="preserve"> section 15(1)(d) </w:t>
      </w:r>
      <w:r w:rsidRPr="00771D2C">
        <w:t xml:space="preserve">provided </w:t>
      </w:r>
      <w:r w:rsidR="00770D72" w:rsidRPr="00771D2C">
        <w:t xml:space="preserve">that </w:t>
      </w:r>
      <w:r w:rsidRPr="00771D2C">
        <w:t>SONS</w:t>
      </w:r>
      <w:r w:rsidR="00770D72" w:rsidRPr="00771D2C">
        <w:t xml:space="preserve"> should specify the period for which the licence was issued.</w:t>
      </w:r>
      <w:r w:rsidR="00770D72" w:rsidRPr="00771D2C">
        <w:rPr>
          <w:rStyle w:val="FootnoteReference"/>
        </w:rPr>
        <w:footnoteReference w:id="5"/>
      </w:r>
    </w:p>
    <w:p w14:paraId="42C10B7F" w14:textId="573235E9" w:rsidR="00D451E9" w:rsidRPr="00771D2C" w:rsidRDefault="00DD66B3" w:rsidP="00771D2C">
      <w:pPr>
        <w:pStyle w:val="Heading4"/>
      </w:pPr>
      <w:r w:rsidRPr="00771D2C">
        <w:t>2016</w:t>
      </w:r>
      <w:r w:rsidR="00D451E9" w:rsidRPr="00771D2C">
        <w:t xml:space="preserve"> Atomic Act</w:t>
      </w:r>
    </w:p>
    <w:p w14:paraId="380F40AC" w14:textId="2EB4EA32" w:rsidR="00985506" w:rsidRPr="003776DA" w:rsidRDefault="005B2A74" w:rsidP="00EA7AF7">
      <w:pPr>
        <w:pStyle w:val="NumberedParas"/>
      </w:pPr>
      <w:bookmarkStart w:id="7" w:name="_Ref6230610"/>
      <w:bookmarkStart w:id="8" w:name="_Ref72491456"/>
      <w:r w:rsidRPr="00933074">
        <w:t xml:space="preserve">Section 9(1) of </w:t>
      </w:r>
      <w:r w:rsidRPr="003776DA">
        <w:t>Act no. 263/2016 Coll.</w:t>
      </w:r>
      <w:r>
        <w:t xml:space="preserve"> of</w:t>
      </w:r>
      <w:r w:rsidRPr="003776DA">
        <w:t xml:space="preserve"> July 14, 2016 </w:t>
      </w:r>
      <w:r>
        <w:t>(</w:t>
      </w:r>
      <w:r w:rsidRPr="00933074">
        <w:t>the 2016 Atomic Act</w:t>
      </w:r>
      <w:r>
        <w:t>)</w:t>
      </w:r>
      <w:r w:rsidRPr="0016011D">
        <w:t xml:space="preserve"> sets out an extensive list of activities related to nuclear energy for which a license from SONS is required. This includes, at article 9(1)(f), </w:t>
      </w:r>
      <w:r w:rsidRPr="00771D2C">
        <w:t>the operation of a nuclear installation, and at article 9(1)(h), the carrying out of modifications affecting nuclear safety, technical safety and physical protection of a nuclear installation. Article 9(1)(f) of the 2016 Atomic Act supersedes article 9(1)(d) of the 1997 Atomic Act; article 9(1)(h) appears to supersede article 9(1)(f) of the 1997 Act</w:t>
      </w:r>
      <w:bookmarkEnd w:id="7"/>
      <w:r w:rsidR="00E808AF" w:rsidRPr="00771D2C">
        <w:t>.</w:t>
      </w:r>
      <w:r w:rsidR="00D37CF5" w:rsidRPr="003776DA">
        <w:rPr>
          <w:rStyle w:val="FootnoteReference"/>
          <w:szCs w:val="20"/>
        </w:rPr>
        <w:footnoteReference w:id="6"/>
      </w:r>
      <w:bookmarkEnd w:id="8"/>
    </w:p>
    <w:p w14:paraId="2E6D90E8" w14:textId="49854794" w:rsidR="00E808AF" w:rsidRPr="00771D2C" w:rsidRDefault="00E808AF" w:rsidP="00771D2C">
      <w:pPr>
        <w:pStyle w:val="NumberedParas"/>
      </w:pPr>
      <w:bookmarkStart w:id="9" w:name="_Ref6248676"/>
      <w:r w:rsidRPr="00771D2C">
        <w:t xml:space="preserve">Section 19(1) of the </w:t>
      </w:r>
      <w:r w:rsidR="00532240" w:rsidRPr="00771D2C">
        <w:t xml:space="preserve">2016 </w:t>
      </w:r>
      <w:r w:rsidRPr="00771D2C">
        <w:t xml:space="preserve">Atomic Act stipulates that </w:t>
      </w:r>
      <w:r w:rsidR="00D569A0" w:rsidRPr="00771D2C">
        <w:t>t</w:t>
      </w:r>
      <w:r w:rsidRPr="00771D2C">
        <w:t xml:space="preserve">he applicant </w:t>
      </w:r>
      <w:r w:rsidR="005F5A37">
        <w:t>for a permit shall be</w:t>
      </w:r>
      <w:r w:rsidRPr="00771D2C">
        <w:t xml:space="preserve"> the only </w:t>
      </w:r>
      <w:r w:rsidR="005F5A37">
        <w:t>participant in the proceedings for the issuance of the permit</w:t>
      </w:r>
      <w:r w:rsidRPr="00771D2C">
        <w:t>.</w:t>
      </w:r>
      <w:r w:rsidRPr="00771D2C">
        <w:rPr>
          <w:rStyle w:val="FootnoteReference"/>
        </w:rPr>
        <w:footnoteReference w:id="7"/>
      </w:r>
      <w:bookmarkEnd w:id="9"/>
    </w:p>
    <w:p w14:paraId="627C2FA4" w14:textId="1917D0A9" w:rsidR="00E808AF" w:rsidRPr="00771D2C" w:rsidRDefault="0049499C" w:rsidP="00771D2C">
      <w:pPr>
        <w:pStyle w:val="NumberedParas"/>
      </w:pPr>
      <w:r w:rsidRPr="00771D2C">
        <w:t>S</w:t>
      </w:r>
      <w:r w:rsidR="00E808AF" w:rsidRPr="00771D2C">
        <w:t xml:space="preserve">ection 21(2) </w:t>
      </w:r>
      <w:r w:rsidRPr="00771D2C">
        <w:t xml:space="preserve">of the </w:t>
      </w:r>
      <w:r w:rsidR="00DD66B3" w:rsidRPr="00771D2C">
        <w:t>2016</w:t>
      </w:r>
      <w:r w:rsidRPr="00771D2C">
        <w:t xml:space="preserve"> Atomic Act provides </w:t>
      </w:r>
      <w:r w:rsidR="00D569A0" w:rsidRPr="00771D2C">
        <w:t>that</w:t>
      </w:r>
      <w:r w:rsidR="00E808AF" w:rsidRPr="00771D2C">
        <w:t xml:space="preserve"> all operational licenses of nuclear facilities are to be issued for an indefinite period.</w:t>
      </w:r>
      <w:r w:rsidR="00E808AF" w:rsidRPr="00771D2C">
        <w:rPr>
          <w:rStyle w:val="FootnoteReference"/>
        </w:rPr>
        <w:footnoteReference w:id="8"/>
      </w:r>
    </w:p>
    <w:p w14:paraId="0DBB44B4" w14:textId="15C8A928" w:rsidR="00D305C3" w:rsidRPr="00771D2C" w:rsidRDefault="00445DC2" w:rsidP="00771D2C">
      <w:pPr>
        <w:pStyle w:val="Heading3"/>
        <w:rPr>
          <w:i/>
        </w:rPr>
      </w:pPr>
      <w:r w:rsidRPr="00771D2C">
        <w:lastRenderedPageBreak/>
        <w:t xml:space="preserve">Act on Environmental Impact Assessment </w:t>
      </w:r>
    </w:p>
    <w:p w14:paraId="553A2CDA" w14:textId="5678F95D" w:rsidR="00404810" w:rsidRPr="00771D2C" w:rsidRDefault="00AB5E36" w:rsidP="00771D2C">
      <w:pPr>
        <w:pStyle w:val="NumberedParas"/>
      </w:pPr>
      <w:r w:rsidRPr="00771D2C">
        <w:rPr>
          <w:rStyle w:val="st"/>
        </w:rPr>
        <w:t>At the time of the permitting procedure for extending the operation of the Dukovany NPP’s reactor 1 in 2016, a</w:t>
      </w:r>
      <w:r w:rsidR="00D95409" w:rsidRPr="00771D2C">
        <w:t xml:space="preserve">nnex 1, </w:t>
      </w:r>
      <w:r w:rsidR="009B58C6" w:rsidRPr="00771D2C">
        <w:t>item</w:t>
      </w:r>
      <w:r w:rsidR="00D95409" w:rsidRPr="00771D2C">
        <w:t xml:space="preserve"> 3.2 of </w:t>
      </w:r>
      <w:r w:rsidR="001826DB" w:rsidRPr="00771D2C">
        <w:t xml:space="preserve">Act </w:t>
      </w:r>
      <w:r w:rsidR="00885DE2">
        <w:t>n</w:t>
      </w:r>
      <w:r w:rsidR="001826DB" w:rsidRPr="003776DA">
        <w:t>o</w:t>
      </w:r>
      <w:r w:rsidR="001826DB" w:rsidRPr="00771D2C">
        <w:t>. 100/2001 Coll</w:t>
      </w:r>
      <w:r w:rsidR="001826DB" w:rsidRPr="003776DA">
        <w:t>.</w:t>
      </w:r>
      <w:r w:rsidR="001826DB" w:rsidRPr="00771D2C">
        <w:t xml:space="preserve"> on environmental impact assessment (EIA Act) </w:t>
      </w:r>
      <w:r w:rsidR="00D95409" w:rsidRPr="00771D2C">
        <w:t>requi</w:t>
      </w:r>
      <w:r w:rsidR="00220A8B" w:rsidRPr="00771D2C">
        <w:t>re</w:t>
      </w:r>
      <w:r w:rsidR="003A43B5" w:rsidRPr="00771D2C">
        <w:t>d</w:t>
      </w:r>
      <w:r w:rsidR="00220A8B" w:rsidRPr="00771D2C">
        <w:t xml:space="preserve"> that </w:t>
      </w:r>
      <w:r w:rsidR="00445DC2" w:rsidRPr="003776DA">
        <w:t>“</w:t>
      </w:r>
      <w:r w:rsidR="001826DB" w:rsidRPr="003776DA">
        <w:t>i</w:t>
      </w:r>
      <w:r w:rsidR="00D95409" w:rsidRPr="003776DA">
        <w:t xml:space="preserve">nstallations </w:t>
      </w:r>
      <w:r w:rsidR="00D95409" w:rsidRPr="00771D2C">
        <w:t>with nuclear reactors (including their dismantling or decommissioning</w:t>
      </w:r>
      <w:r w:rsidR="00D95409" w:rsidRPr="003776DA">
        <w:t>)”</w:t>
      </w:r>
      <w:r w:rsidR="003A43B5" w:rsidRPr="00771D2C">
        <w:t xml:space="preserve"> be subject to an EIA.</w:t>
      </w:r>
      <w:r w:rsidR="001826DB" w:rsidRPr="00771D2C">
        <w:rPr>
          <w:rStyle w:val="FootnoteReference"/>
        </w:rPr>
        <w:footnoteReference w:id="9"/>
      </w:r>
    </w:p>
    <w:p w14:paraId="463AB779" w14:textId="0771B3C7" w:rsidR="00B74B81" w:rsidRPr="00771D2C" w:rsidRDefault="003A43B5" w:rsidP="00771D2C">
      <w:pPr>
        <w:pStyle w:val="NumberedParas"/>
      </w:pPr>
      <w:r w:rsidRPr="00771D2C">
        <w:t xml:space="preserve">Section </w:t>
      </w:r>
      <w:r w:rsidR="00B74B81" w:rsidRPr="00771D2C">
        <w:t xml:space="preserve">9 of the EIA Act </w:t>
      </w:r>
      <w:r w:rsidR="00EC598D" w:rsidRPr="00771D2C">
        <w:t xml:space="preserve">provided that </w:t>
      </w:r>
      <w:r w:rsidR="00755FA3" w:rsidRPr="003776DA">
        <w:t xml:space="preserve">public participation and associated standing to </w:t>
      </w:r>
      <w:r w:rsidR="008405AA">
        <w:t>bring legal actions must be</w:t>
      </w:r>
      <w:r w:rsidR="00755FA3" w:rsidRPr="003776DA">
        <w:t xml:space="preserve"> granted</w:t>
      </w:r>
      <w:r w:rsidR="00755FA3" w:rsidRPr="003776DA" w:rsidDel="003709B9">
        <w:t xml:space="preserve"> </w:t>
      </w:r>
      <w:r w:rsidR="00755FA3" w:rsidRPr="00771D2C">
        <w:t>for</w:t>
      </w:r>
      <w:r w:rsidR="008405AA" w:rsidRPr="00771D2C">
        <w:t xml:space="preserve"> certain</w:t>
      </w:r>
      <w:r w:rsidR="00755FA3" w:rsidRPr="00771D2C">
        <w:t xml:space="preserve"> </w:t>
      </w:r>
      <w:r w:rsidR="00755FA3">
        <w:t xml:space="preserve">permits </w:t>
      </w:r>
      <w:r w:rsidR="00755FA3" w:rsidRPr="003776DA">
        <w:t>that are “subsequent to” an EIA procedure</w:t>
      </w:r>
      <w:r w:rsidR="008405AA">
        <w:t xml:space="preserve">. These “subsequent </w:t>
      </w:r>
      <w:r w:rsidR="008405AA" w:rsidRPr="00771D2C">
        <w:t>procedures</w:t>
      </w:r>
      <w:r w:rsidR="008405AA">
        <w:t>” are those</w:t>
      </w:r>
      <w:r w:rsidR="00460440" w:rsidRPr="00771D2C">
        <w:t xml:space="preserve"> with a high number of participants according to the administrative regulations</w:t>
      </w:r>
      <w:r w:rsidR="00EC598D" w:rsidRPr="003776DA">
        <w:t>.</w:t>
      </w:r>
      <w:r w:rsidR="00B74B81" w:rsidRPr="003776DA">
        <w:rPr>
          <w:rStyle w:val="FootnoteReference"/>
          <w:szCs w:val="20"/>
        </w:rPr>
        <w:footnoteReference w:id="10"/>
      </w:r>
      <w:r w:rsidR="00B74B81" w:rsidRPr="003776DA">
        <w:t xml:space="preserve"> </w:t>
      </w:r>
    </w:p>
    <w:p w14:paraId="1CE6B410" w14:textId="64E691AB" w:rsidR="005A0E9A" w:rsidRPr="003776DA" w:rsidRDefault="00FE3217" w:rsidP="005A2ECE">
      <w:pPr>
        <w:pStyle w:val="NumberedParas"/>
      </w:pPr>
      <w:r>
        <w:t xml:space="preserve">Following the EIA Act’s September 2017 amendment, an exhaustive list </w:t>
      </w:r>
      <w:r w:rsidR="00823669">
        <w:t xml:space="preserve">of “subsequent procedures” </w:t>
      </w:r>
      <w:r>
        <w:t xml:space="preserve">was inserted </w:t>
      </w:r>
      <w:r w:rsidR="00823669">
        <w:t>in section 3(g) of the EIA Act</w:t>
      </w:r>
      <w:r>
        <w:t>. The list</w:t>
      </w:r>
      <w:r w:rsidR="004E2D2F">
        <w:t xml:space="preserve"> does not include any procedures taken under the 2016 Atomic Act.</w:t>
      </w:r>
      <w:r w:rsidR="00994CD4">
        <w:rPr>
          <w:rStyle w:val="FootnoteReference"/>
        </w:rPr>
        <w:footnoteReference w:id="11"/>
      </w:r>
      <w:r w:rsidR="004E2D2F">
        <w:t xml:space="preserve"> </w:t>
      </w:r>
    </w:p>
    <w:p w14:paraId="780737DA" w14:textId="2675B7A0" w:rsidR="00C97CD1" w:rsidRPr="00771D2C" w:rsidRDefault="00A66F92" w:rsidP="00771D2C">
      <w:pPr>
        <w:pStyle w:val="Heading3"/>
        <w:rPr>
          <w:rStyle w:val="st"/>
          <w:b w:val="0"/>
        </w:rPr>
      </w:pPr>
      <w:bookmarkStart w:id="10" w:name="_Hlk5216825"/>
      <w:r w:rsidRPr="00771D2C">
        <w:rPr>
          <w:rStyle w:val="st"/>
        </w:rPr>
        <w:t>A</w:t>
      </w:r>
      <w:r w:rsidR="00C97CD1" w:rsidRPr="00771D2C">
        <w:rPr>
          <w:rStyle w:val="st"/>
        </w:rPr>
        <w:t xml:space="preserve">ccess to justice </w:t>
      </w:r>
    </w:p>
    <w:p w14:paraId="242EB42A" w14:textId="279417FF" w:rsidR="0090587A" w:rsidRPr="00771D2C" w:rsidRDefault="002664CF" w:rsidP="00771D2C">
      <w:pPr>
        <w:pStyle w:val="NumberedParas"/>
      </w:pPr>
      <w:bookmarkStart w:id="11" w:name="_Ref5961282"/>
      <w:bookmarkStart w:id="12" w:name="_Ref74116605"/>
      <w:bookmarkStart w:id="13" w:name="_Hlk62381512"/>
      <w:r w:rsidRPr="00771D2C">
        <w:t xml:space="preserve">According to </w:t>
      </w:r>
      <w:r w:rsidR="00317F2D" w:rsidRPr="00771D2C">
        <w:t xml:space="preserve">section </w:t>
      </w:r>
      <w:r w:rsidRPr="00771D2C">
        <w:t>94 et seq. of Act No. 500/2004 Coll.</w:t>
      </w:r>
      <w:r w:rsidR="00D16298" w:rsidRPr="00771D2C">
        <w:t xml:space="preserve"> (Administrative Procedure Code)</w:t>
      </w:r>
      <w:r w:rsidRPr="00771D2C">
        <w:t xml:space="preserve">, </w:t>
      </w:r>
      <w:r w:rsidR="008C3C59" w:rsidRPr="00771D2C">
        <w:t xml:space="preserve">the </w:t>
      </w:r>
      <w:r w:rsidR="008C3C59">
        <w:t xml:space="preserve">public can </w:t>
      </w:r>
      <w:r w:rsidR="004013AF">
        <w:t>submit a request for</w:t>
      </w:r>
      <w:r w:rsidR="004013AF" w:rsidRPr="00771D2C">
        <w:t xml:space="preserve"> administrative </w:t>
      </w:r>
      <w:r w:rsidR="004013AF">
        <w:t>review to the public authority itself</w:t>
      </w:r>
      <w:r w:rsidR="005D6C37">
        <w:t>, wh</w:t>
      </w:r>
      <w:r w:rsidR="004013AF">
        <w:t>ich</w:t>
      </w:r>
      <w:r w:rsidR="005D6C37">
        <w:t xml:space="preserve"> shall </w:t>
      </w:r>
      <w:r w:rsidR="0090587A" w:rsidRPr="003776DA">
        <w:t>“</w:t>
      </w:r>
      <w:r w:rsidR="0090587A" w:rsidRPr="00771D2C">
        <w:t>review the final decisions when it can reasonably doubt that the decision is in accordance with the law.”</w:t>
      </w:r>
      <w:r w:rsidR="0090587A" w:rsidRPr="00771D2C">
        <w:rPr>
          <w:rStyle w:val="FootnoteReference"/>
        </w:rPr>
        <w:footnoteReference w:id="12"/>
      </w:r>
      <w:bookmarkEnd w:id="11"/>
      <w:r w:rsidR="008B4B4B">
        <w:t xml:space="preserve"> In this regard, a request for administrative review of a decision by SONS will be conducted by the President of SONS.</w:t>
      </w:r>
      <w:bookmarkEnd w:id="12"/>
    </w:p>
    <w:p w14:paraId="67DD923B" w14:textId="77695538" w:rsidR="004A294F" w:rsidRPr="00771D2C" w:rsidRDefault="00C94883" w:rsidP="00771D2C">
      <w:pPr>
        <w:pStyle w:val="NumberedParas"/>
      </w:pPr>
      <w:bookmarkStart w:id="14" w:name="_Ref6247582"/>
      <w:bookmarkEnd w:id="13"/>
      <w:r w:rsidRPr="00771D2C">
        <w:t>S</w:t>
      </w:r>
      <w:r w:rsidR="00317F2D" w:rsidRPr="00771D2C">
        <w:t xml:space="preserve">ection </w:t>
      </w:r>
      <w:r w:rsidR="004A294F" w:rsidRPr="00771D2C">
        <w:t>65</w:t>
      </w:r>
      <w:r w:rsidR="00136CAD" w:rsidRPr="00771D2C">
        <w:t>(</w:t>
      </w:r>
      <w:r w:rsidR="004A294F" w:rsidRPr="00771D2C">
        <w:t>1</w:t>
      </w:r>
      <w:r w:rsidR="00136CAD" w:rsidRPr="00771D2C">
        <w:t>)</w:t>
      </w:r>
      <w:r w:rsidR="004A294F" w:rsidRPr="00771D2C">
        <w:t xml:space="preserve"> </w:t>
      </w:r>
      <w:r w:rsidR="00D27911" w:rsidRPr="00771D2C">
        <w:t xml:space="preserve">of </w:t>
      </w:r>
      <w:r w:rsidR="00951A9A">
        <w:t>Act No. 150/2002 Coll. (</w:t>
      </w:r>
      <w:r w:rsidR="00D27911" w:rsidRPr="00771D2C">
        <w:t>Code of Administrative Justice</w:t>
      </w:r>
      <w:r w:rsidR="00951A9A">
        <w:t>)</w:t>
      </w:r>
      <w:r w:rsidR="00D27911" w:rsidRPr="00771D2C">
        <w:t xml:space="preserve"> </w:t>
      </w:r>
      <w:r w:rsidR="004A294F" w:rsidRPr="00771D2C">
        <w:t xml:space="preserve">provides </w:t>
      </w:r>
      <w:r w:rsidR="00864FA0" w:rsidRPr="00771D2C">
        <w:t>that “anyone who claims that their rights have been prejudiced directly or due to the violation of their rights in the preceding proceedings by an act of an administrative authority whereby the person’s rights or obligations are created, changed, nullified or bindingly determined (hereinafter “decision”) may seek the cancellation of such a decision, or the declaration of its nullity, unless otherwise provided for by this Act or by a special law.”</w:t>
      </w:r>
      <w:r w:rsidR="00864FA0" w:rsidRPr="00771D2C">
        <w:rPr>
          <w:rStyle w:val="FootnoteReference"/>
        </w:rPr>
        <w:footnoteReference w:id="13"/>
      </w:r>
      <w:bookmarkEnd w:id="14"/>
    </w:p>
    <w:p w14:paraId="43449107" w14:textId="5B9E894B" w:rsidR="00864FA0" w:rsidRPr="00771D2C" w:rsidRDefault="00126F39" w:rsidP="00771D2C">
      <w:pPr>
        <w:pStyle w:val="NumberedParas"/>
      </w:pPr>
      <w:bookmarkStart w:id="15" w:name="_Ref72491211"/>
      <w:bookmarkStart w:id="16" w:name="_Ref6247393"/>
      <w:r w:rsidRPr="00771D2C">
        <w:t>Section 65(2) of the Code of Administrative Justice provides that “a complaint against a decision of an administrative authority can be made even by a party to the proceedings before the administrative authority who is not entitled to file a complaint under paragraph 1, if the party claims that his or her rights have been prejudiced by the administrative authority’s acts in a manner that could have resulted in an illegal decision.”</w:t>
      </w:r>
      <w:r w:rsidRPr="00771D2C">
        <w:rPr>
          <w:rStyle w:val="FootnoteReference"/>
        </w:rPr>
        <w:footnoteReference w:id="14"/>
      </w:r>
      <w:bookmarkEnd w:id="15"/>
      <w:r>
        <w:t xml:space="preserve"> </w:t>
      </w:r>
      <w:bookmarkEnd w:id="16"/>
    </w:p>
    <w:p w14:paraId="7B8532D3" w14:textId="1EF73F67" w:rsidR="009504C5" w:rsidRPr="00771D2C" w:rsidRDefault="009504C5" w:rsidP="00771D2C">
      <w:pPr>
        <w:pStyle w:val="NumberedParas"/>
        <w:rPr>
          <w:i/>
          <w:u w:val="single"/>
        </w:rPr>
      </w:pPr>
      <w:bookmarkStart w:id="17" w:name="_Ref8384484"/>
      <w:r w:rsidRPr="00771D2C">
        <w:rPr>
          <w:rStyle w:val="st"/>
        </w:rPr>
        <w:t>Acco</w:t>
      </w:r>
      <w:r w:rsidR="00524BB8" w:rsidRPr="00771D2C">
        <w:rPr>
          <w:rStyle w:val="st"/>
        </w:rPr>
        <w:t>rding to</w:t>
      </w:r>
      <w:r w:rsidR="00D27911" w:rsidRPr="00771D2C">
        <w:rPr>
          <w:rStyle w:val="st"/>
        </w:rPr>
        <w:t xml:space="preserve"> </w:t>
      </w:r>
      <w:r w:rsidR="00317F2D" w:rsidRPr="00771D2C">
        <w:t xml:space="preserve">section </w:t>
      </w:r>
      <w:r w:rsidR="00D27911" w:rsidRPr="00771D2C">
        <w:t>66</w:t>
      </w:r>
      <w:r w:rsidR="00BC1176" w:rsidRPr="00771D2C">
        <w:t>(3)</w:t>
      </w:r>
      <w:r w:rsidR="00136CAD" w:rsidRPr="00771D2C">
        <w:t xml:space="preserve"> </w:t>
      </w:r>
      <w:r w:rsidR="00D27911" w:rsidRPr="00771D2C">
        <w:t>of the Code of Administrative Justice</w:t>
      </w:r>
      <w:r w:rsidR="00524BB8" w:rsidRPr="00771D2C">
        <w:t>,</w:t>
      </w:r>
      <w:r w:rsidR="00D27911" w:rsidRPr="00771D2C">
        <w:t xml:space="preserve"> “</w:t>
      </w:r>
      <w:r w:rsidR="00ED157B">
        <w:t xml:space="preserve">the authorization to make a complaint is also </w:t>
      </w:r>
      <w:r w:rsidR="00CD689F">
        <w:t>given</w:t>
      </w:r>
      <w:r w:rsidR="00ED157B">
        <w:t xml:space="preserve"> to </w:t>
      </w:r>
      <w:r w:rsidR="00524BB8" w:rsidRPr="00771D2C">
        <w:t xml:space="preserve">a </w:t>
      </w:r>
      <w:r w:rsidR="00D27911" w:rsidRPr="00771D2C">
        <w:t>person to whom the authorization is expressly granted by ... an international agreement which is part of the national law</w:t>
      </w:r>
      <w:r w:rsidR="00524BB8" w:rsidRPr="003776DA">
        <w:t>”.</w:t>
      </w:r>
      <w:r w:rsidR="00530758" w:rsidRPr="00771D2C">
        <w:rPr>
          <w:rStyle w:val="FootnoteReference"/>
        </w:rPr>
        <w:footnoteReference w:id="15"/>
      </w:r>
      <w:r w:rsidR="00BC1176" w:rsidRPr="00771D2C">
        <w:t xml:space="preserve"> Section 66(4) of the Code of Administrative Justice provides that “a complaint under paragraphs 1-3 is inadmissible if the legal causes put forward in it have been applied in the same matter in another complaint already rejected by the court.</w:t>
      </w:r>
      <w:r w:rsidR="00BC1176" w:rsidRPr="00771D2C">
        <w:rPr>
          <w:rStyle w:val="FootnoteReference"/>
        </w:rPr>
        <w:footnoteReference w:id="16"/>
      </w:r>
      <w:bookmarkEnd w:id="17"/>
    </w:p>
    <w:p w14:paraId="11375C05" w14:textId="46F33B83" w:rsidR="009504C5" w:rsidRPr="00771D2C" w:rsidRDefault="009504C5" w:rsidP="00771D2C">
      <w:pPr>
        <w:pStyle w:val="Heading3"/>
        <w:rPr>
          <w:rStyle w:val="FootnoteReference"/>
          <w:i/>
          <w:u w:val="single"/>
          <w:vertAlign w:val="baseline"/>
        </w:rPr>
      </w:pPr>
      <w:r w:rsidRPr="00771D2C">
        <w:lastRenderedPageBreak/>
        <w:t xml:space="preserve">Relevant </w:t>
      </w:r>
      <w:r w:rsidR="00F07190" w:rsidRPr="00771D2C">
        <w:t>c</w:t>
      </w:r>
      <w:r w:rsidRPr="00771D2C">
        <w:t xml:space="preserve">ase </w:t>
      </w:r>
      <w:r w:rsidR="00F07190" w:rsidRPr="00771D2C">
        <w:t>l</w:t>
      </w:r>
      <w:r w:rsidRPr="00771D2C">
        <w:t>aw</w:t>
      </w:r>
      <w:r w:rsidRPr="00771D2C">
        <w:rPr>
          <w:i/>
          <w:u w:val="single"/>
        </w:rPr>
        <w:t xml:space="preserve"> </w:t>
      </w:r>
    </w:p>
    <w:p w14:paraId="592F8898" w14:textId="618FB099" w:rsidR="002171D0" w:rsidRPr="00771D2C" w:rsidRDefault="002171D0" w:rsidP="00771D2C">
      <w:pPr>
        <w:pStyle w:val="NumberedParas"/>
      </w:pPr>
      <w:bookmarkStart w:id="18" w:name="_Ref5973247"/>
      <w:bookmarkStart w:id="19" w:name="_Ref66800198"/>
      <w:bookmarkStart w:id="20" w:name="_Ref5636489"/>
      <w:r w:rsidRPr="00771D2C">
        <w:t>In its decision no. 2 As 13/2006-110, the Supreme Administrative Court indicated that</w:t>
      </w:r>
      <w:r w:rsidRPr="00EA70EC">
        <w:t xml:space="preserve"> </w:t>
      </w:r>
      <w:r w:rsidRPr="003776DA">
        <w:t>the Convention may be directly applicable</w:t>
      </w:r>
      <w:r w:rsidRPr="00771D2C">
        <w:t xml:space="preserve"> where there is only a single administrative proceeding needed to authorize an activity.</w:t>
      </w:r>
      <w:r w:rsidRPr="00771D2C">
        <w:rPr>
          <w:rStyle w:val="FootnoteReference"/>
        </w:rPr>
        <w:footnoteReference w:id="17"/>
      </w:r>
      <w:bookmarkEnd w:id="18"/>
    </w:p>
    <w:p w14:paraId="44C72551" w14:textId="3CD3BB9F" w:rsidR="007963F1" w:rsidRDefault="007963F1" w:rsidP="002171D0">
      <w:pPr>
        <w:pStyle w:val="NumberedParas"/>
      </w:pPr>
      <w:bookmarkStart w:id="21" w:name="_Ref72491345"/>
      <w:r>
        <w:t>In its decision</w:t>
      </w:r>
      <w:r w:rsidRPr="00771D2C">
        <w:t xml:space="preserve"> no. </w:t>
      </w:r>
      <w:r>
        <w:t xml:space="preserve">4 As 157/2013-33, the Supreme Administrative Court </w:t>
      </w:r>
      <w:r w:rsidR="00F64D21">
        <w:t xml:space="preserve">held that participation in an administrative proceeding or an appeal against a decision cannot be stipulated as a condition for its standing </w:t>
      </w:r>
      <w:r w:rsidR="00654B8E">
        <w:t xml:space="preserve">under section 65(1) of the Code of Administrative Justice </w:t>
      </w:r>
      <w:r w:rsidR="00F64D21">
        <w:t>to bring an action against such a decision in proceedings relating to Act no. 183/2006 Coll. on Town Planning and the Building Code.</w:t>
      </w:r>
      <w:r w:rsidR="00AB7F8F">
        <w:rPr>
          <w:rStyle w:val="FootnoteReference"/>
        </w:rPr>
        <w:footnoteReference w:id="18"/>
      </w:r>
      <w:bookmarkEnd w:id="21"/>
    </w:p>
    <w:p w14:paraId="67ECF3F8" w14:textId="31C08DBA" w:rsidR="00D74632" w:rsidRPr="00771D2C" w:rsidRDefault="00A86307" w:rsidP="00771D2C">
      <w:pPr>
        <w:pStyle w:val="NumberedParas"/>
      </w:pPr>
      <w:bookmarkStart w:id="22" w:name="_Ref6220647"/>
      <w:bookmarkStart w:id="23" w:name="_Ref74083241"/>
      <w:r>
        <w:t>In its decision</w:t>
      </w:r>
      <w:r w:rsidR="00BD72D4" w:rsidRPr="003776DA">
        <w:t xml:space="preserve"> no. </w:t>
      </w:r>
      <w:r w:rsidR="00BD72D4" w:rsidRPr="00771D2C">
        <w:t xml:space="preserve">As 90/2011-154, the Supreme Administrative Court </w:t>
      </w:r>
      <w:r w:rsidR="00BD72D4">
        <w:t>found</w:t>
      </w:r>
      <w:r w:rsidR="00BD72D4" w:rsidRPr="003776DA">
        <w:t xml:space="preserve"> that </w:t>
      </w:r>
      <w:r w:rsidR="00BD72D4" w:rsidRPr="00771D2C">
        <w:t xml:space="preserve">a procedure extending </w:t>
      </w:r>
      <w:r w:rsidR="00BD72D4" w:rsidRPr="003776DA">
        <w:t>operation</w:t>
      </w:r>
      <w:r w:rsidR="00BD72D4" w:rsidRPr="00771D2C">
        <w:t xml:space="preserve"> of a </w:t>
      </w:r>
      <w:r w:rsidR="00BD72D4">
        <w:t xml:space="preserve">nuclear </w:t>
      </w:r>
      <w:r w:rsidR="00BD72D4" w:rsidRPr="00771D2C">
        <w:t>reactor licensed an existing state</w:t>
      </w:r>
      <w:r w:rsidR="00E21F1E">
        <w:t xml:space="preserve"> and</w:t>
      </w:r>
      <w:r w:rsidR="00BD72D4" w:rsidRPr="00771D2C">
        <w:t>, unlike the launch of an</w:t>
      </w:r>
      <w:r w:rsidR="00BB503A" w:rsidRPr="00771D2C">
        <w:t xml:space="preserve"> NPP </w:t>
      </w:r>
      <w:r w:rsidR="00BD72D4" w:rsidRPr="00771D2C">
        <w:t>into operation, could not constitute an interference with the environment</w:t>
      </w:r>
      <w:r w:rsidR="00210E93" w:rsidRPr="00771D2C">
        <w:t xml:space="preserve">. </w:t>
      </w:r>
      <w:r w:rsidR="00210E93">
        <w:t>It further found t</w:t>
      </w:r>
      <w:r w:rsidR="00F0709F">
        <w:t xml:space="preserve">hat </w:t>
      </w:r>
      <w:r w:rsidR="00B370AC">
        <w:t xml:space="preserve">the </w:t>
      </w:r>
      <w:r w:rsidR="00210E93">
        <w:t>authorisation of the extension</w:t>
      </w:r>
      <w:r w:rsidR="00B370AC">
        <w:t xml:space="preserve"> was not the only procedure</w:t>
      </w:r>
      <w:r w:rsidR="00DB2B4B">
        <w:t xml:space="preserve"> for the activity</w:t>
      </w:r>
      <w:r w:rsidR="004E3E62">
        <w:t xml:space="preserve"> in which </w:t>
      </w:r>
      <w:r w:rsidR="00D74632">
        <w:t>civic associations have the right to engage</w:t>
      </w:r>
      <w:r w:rsidR="00BD72D4" w:rsidRPr="003776DA">
        <w:t xml:space="preserve">. </w:t>
      </w:r>
      <w:r w:rsidR="00BD72D4" w:rsidRPr="00771D2C">
        <w:t>Accordingly, the Convention was not directly applicable and a civil society organization had no right to participate in the administrative procedure to authorize extended operations.</w:t>
      </w:r>
      <w:r w:rsidR="00BD72D4" w:rsidRPr="00771D2C">
        <w:rPr>
          <w:rStyle w:val="FootnoteReference"/>
        </w:rPr>
        <w:footnoteReference w:id="19"/>
      </w:r>
      <w:bookmarkEnd w:id="22"/>
      <w:bookmarkEnd w:id="23"/>
      <w:r w:rsidR="00BD72D4">
        <w:t xml:space="preserve"> </w:t>
      </w:r>
    </w:p>
    <w:p w14:paraId="38A8C132" w14:textId="6F873428" w:rsidR="00D46497" w:rsidRDefault="00BD72D4" w:rsidP="000C745F">
      <w:pPr>
        <w:pStyle w:val="NumberedParas"/>
      </w:pPr>
      <w:r>
        <w:t xml:space="preserve">This case was brought to the Supreme Administrative Court by one of the communicants, </w:t>
      </w:r>
      <w:r w:rsidRPr="003776DA">
        <w:t>Jihočeské matky</w:t>
      </w:r>
      <w:r w:rsidR="00152F9E">
        <w:t xml:space="preserve">. </w:t>
      </w:r>
      <w:r w:rsidR="00B519CE">
        <w:t>It was</w:t>
      </w:r>
      <w:r w:rsidR="00152F9E">
        <w:t xml:space="preserve"> a</w:t>
      </w:r>
      <w:r>
        <w:t xml:space="preserve">ppealing </w:t>
      </w:r>
      <w:r w:rsidR="00D53CB8">
        <w:t xml:space="preserve">the </w:t>
      </w:r>
      <w:r w:rsidR="00B119D7">
        <w:t xml:space="preserve">Municipal Court in Prague’s </w:t>
      </w:r>
      <w:r w:rsidR="00D53CB8">
        <w:t>dismissal of an appeal to</w:t>
      </w:r>
      <w:r>
        <w:t xml:space="preserve"> a decision by SONS (and a review by the President of SONS)</w:t>
      </w:r>
      <w:r w:rsidR="00EB1C29">
        <w:t xml:space="preserve"> that</w:t>
      </w:r>
      <w:r>
        <w:t xml:space="preserve"> </w:t>
      </w:r>
      <w:r w:rsidRPr="003776DA">
        <w:t xml:space="preserve">Jihočeské matky </w:t>
      </w:r>
      <w:r>
        <w:t>could not participate in the</w:t>
      </w:r>
      <w:r w:rsidRPr="003776DA">
        <w:t xml:space="preserve"> procedure to authorize </w:t>
      </w:r>
      <w:r w:rsidR="003D669F">
        <w:t xml:space="preserve">a 10-year extension of the operating permit for </w:t>
      </w:r>
      <w:r w:rsidR="00A56036">
        <w:t xml:space="preserve">nuclear </w:t>
      </w:r>
      <w:r w:rsidRPr="003776DA">
        <w:t>reactor</w:t>
      </w:r>
      <w:r w:rsidR="003D669F">
        <w:t xml:space="preserve"> 3 of Dukovany NPP</w:t>
      </w:r>
      <w:r w:rsidR="00A56036">
        <w:t>.</w:t>
      </w:r>
      <w:r w:rsidR="00D46497">
        <w:t xml:space="preserve"> </w:t>
      </w:r>
      <w:bookmarkStart w:id="24" w:name="_Ref72491158"/>
      <w:bookmarkEnd w:id="19"/>
      <w:r>
        <w:t xml:space="preserve">SONS had rejected </w:t>
      </w:r>
      <w:r w:rsidRPr="003776DA">
        <w:t>Jihočeské matky</w:t>
      </w:r>
      <w:r>
        <w:t>’s</w:t>
      </w:r>
      <w:r w:rsidR="00AB5D70">
        <w:t xml:space="preserve"> in</w:t>
      </w:r>
      <w:r w:rsidR="003D669F">
        <w:t>i</w:t>
      </w:r>
      <w:r w:rsidR="00AB5D70">
        <w:t>tial</w:t>
      </w:r>
      <w:r>
        <w:t xml:space="preserve"> application in</w:t>
      </w:r>
      <w:r w:rsidRPr="003776DA">
        <w:t xml:space="preserve"> </w:t>
      </w:r>
      <w:r w:rsidR="002171D0" w:rsidRPr="003776DA">
        <w:t>resolution 32699/2007, 29299/2007/OHJZ/44 on the basis that</w:t>
      </w:r>
      <w:r w:rsidR="00793C50">
        <w:t xml:space="preserve"> </w:t>
      </w:r>
      <w:r w:rsidR="00F948CA">
        <w:t xml:space="preserve">it was not the only procedure for the </w:t>
      </w:r>
      <w:r w:rsidR="008D465D">
        <w:t>relevant operation</w:t>
      </w:r>
      <w:r w:rsidR="00F948CA">
        <w:t xml:space="preserve"> since </w:t>
      </w:r>
      <w:r w:rsidR="008D465D">
        <w:t>it was an extension of the operation of an existing facility</w:t>
      </w:r>
      <w:r w:rsidR="002171D0" w:rsidRPr="003776DA">
        <w:t>.</w:t>
      </w:r>
      <w:r w:rsidR="00C423CD" w:rsidRPr="003776DA">
        <w:rPr>
          <w:rStyle w:val="FootnoteReference"/>
          <w:szCs w:val="20"/>
        </w:rPr>
        <w:footnoteReference w:id="20"/>
      </w:r>
      <w:r w:rsidR="00DF018E">
        <w:t xml:space="preserve"> This was affirmed</w:t>
      </w:r>
      <w:r w:rsidR="00CE42DB">
        <w:t xml:space="preserve"> by the </w:t>
      </w:r>
      <w:r w:rsidR="00115BC8">
        <w:t xml:space="preserve">President </w:t>
      </w:r>
      <w:r w:rsidR="00891042">
        <w:t xml:space="preserve">of SONS </w:t>
      </w:r>
      <w:r w:rsidR="00115BC8">
        <w:t>in</w:t>
      </w:r>
      <w:bookmarkEnd w:id="24"/>
      <w:r w:rsidR="00891042">
        <w:t xml:space="preserve"> </w:t>
      </w:r>
      <w:bookmarkStart w:id="25" w:name="_Ref6247154"/>
      <w:bookmarkEnd w:id="20"/>
      <w:r w:rsidR="002171D0" w:rsidRPr="003776DA">
        <w:t>decision SONS/PRO/5156/2008.</w:t>
      </w:r>
      <w:r w:rsidR="00595182">
        <w:rPr>
          <w:rStyle w:val="FootnoteReference"/>
        </w:rPr>
        <w:footnoteReference w:id="21"/>
      </w:r>
      <w:bookmarkEnd w:id="25"/>
    </w:p>
    <w:p w14:paraId="73AE6248" w14:textId="76F2D813" w:rsidR="000C745F" w:rsidRPr="000C745F" w:rsidRDefault="000C745F" w:rsidP="000C745F">
      <w:pPr>
        <w:pStyle w:val="NumberedParas"/>
      </w:pPr>
      <w:bookmarkStart w:id="26" w:name="_Ref74083268"/>
      <w:r w:rsidRPr="000C745F">
        <w:t xml:space="preserve">The </w:t>
      </w:r>
      <w:r>
        <w:t>Municipal Court in Prague</w:t>
      </w:r>
      <w:r w:rsidRPr="000C745F">
        <w:t xml:space="preserve"> dismissed Jihočeské matky</w:t>
      </w:r>
      <w:r>
        <w:t xml:space="preserve">’s appeal </w:t>
      </w:r>
      <w:r w:rsidRPr="000C745F">
        <w:t xml:space="preserve">in its judgment 9 Ca 182/2008-96 of 25 November 2010, asserting that it could not review </w:t>
      </w:r>
      <w:r w:rsidR="00891042">
        <w:t xml:space="preserve">the President of </w:t>
      </w:r>
      <w:r w:rsidRPr="000C745F">
        <w:t>SONS</w:t>
      </w:r>
      <w:r w:rsidR="00891042">
        <w:t>’</w:t>
      </w:r>
      <w:r w:rsidRPr="000C745F">
        <w:t xml:space="preserve"> decision</w:t>
      </w:r>
      <w:r w:rsidR="00EE7993">
        <w:t xml:space="preserve">. </w:t>
      </w:r>
      <w:r w:rsidR="00EE7993" w:rsidRPr="000C745F">
        <w:t>Jihočeské matky</w:t>
      </w:r>
      <w:r w:rsidR="00EE7993">
        <w:t xml:space="preserve"> had argued that</w:t>
      </w:r>
      <w:r w:rsidRPr="000C745F">
        <w:t xml:space="preserve"> participation in the procedure was appropriate because the Dukovany NPP had </w:t>
      </w:r>
      <w:r w:rsidR="00E46A18">
        <w:t>not been</w:t>
      </w:r>
      <w:r w:rsidRPr="000C745F">
        <w:t xml:space="preserve"> subject to an EIA procedure and because the Atomic Act procedure was the only procedure under which the extended operations would be authorized. </w:t>
      </w:r>
      <w:r w:rsidRPr="00771D2C">
        <w:t xml:space="preserve"> Jihočeské matky argued that the Convention should therefore be directly applicable, citing the Supreme Administrative Court’s 2006 ruling that the Convention could be directly applicable where there is only a single administrative proceeding (see para. </w:t>
      </w:r>
      <w:r w:rsidRPr="000C745F">
        <w:rPr>
          <w:cs/>
        </w:rPr>
        <w:t>‎</w:t>
      </w:r>
      <w:r w:rsidR="00AA56D0">
        <w:rPr>
          <w:cs/>
        </w:rPr>
        <w:fldChar w:fldCharType="begin"/>
      </w:r>
      <w:r w:rsidR="00AA56D0">
        <w:instrText xml:space="preserve"> REF _Ref5973247 \r \h </w:instrText>
      </w:r>
      <w:r w:rsidR="00AA56D0">
        <w:rPr>
          <w:cs/>
        </w:rPr>
      </w:r>
      <w:r w:rsidR="00AA56D0">
        <w:rPr>
          <w:cs/>
        </w:rPr>
        <w:fldChar w:fldCharType="separate"/>
      </w:r>
      <w:r w:rsidR="009B2E8A">
        <w:rPr>
          <w:cs/>
        </w:rPr>
        <w:t>‎</w:t>
      </w:r>
      <w:r w:rsidR="009B2E8A">
        <w:t>28</w:t>
      </w:r>
      <w:r w:rsidR="00AA56D0">
        <w:rPr>
          <w:cs/>
        </w:rPr>
        <w:fldChar w:fldCharType="end"/>
      </w:r>
      <w:r w:rsidRPr="000C745F">
        <w:t xml:space="preserve"> above).</w:t>
      </w:r>
      <w:bookmarkEnd w:id="26"/>
      <w:r w:rsidR="00770C32">
        <w:rPr>
          <w:rStyle w:val="FootnoteReference"/>
        </w:rPr>
        <w:footnoteReference w:id="22"/>
      </w:r>
    </w:p>
    <w:p w14:paraId="432B3908" w14:textId="2C215806" w:rsidR="002171D0" w:rsidRPr="00771D2C" w:rsidRDefault="002171D0" w:rsidP="00771D2C">
      <w:pPr>
        <w:pStyle w:val="NumberedParas"/>
      </w:pPr>
      <w:bookmarkStart w:id="27" w:name="_Ref6247875"/>
      <w:r w:rsidRPr="00771D2C">
        <w:t>Jihočeské matky brought the case to the Constitutional Court. In judgment US 463/12, decided on 20 June 2012, the Constitutional Court ruled that the constitutional complaint was manifestly unfounded, stating the complainant did not add any new circumstances that would indicate that the process of administrative courts, or the decision of the Supreme Administrative Court, constituted interference in its fundamental rights.</w:t>
      </w:r>
      <w:bookmarkEnd w:id="27"/>
      <w:r w:rsidR="004F5AF3" w:rsidRPr="00771D2C">
        <w:rPr>
          <w:rStyle w:val="FootnoteReference"/>
        </w:rPr>
        <w:footnoteReference w:id="23"/>
      </w:r>
    </w:p>
    <w:p w14:paraId="0AA226F5" w14:textId="5B6889FE" w:rsidR="002171D0" w:rsidRDefault="002171D0" w:rsidP="00372DEB">
      <w:pPr>
        <w:pStyle w:val="NumberedParas"/>
        <w:numPr>
          <w:ilvl w:val="0"/>
          <w:numId w:val="0"/>
        </w:numPr>
        <w:ind w:left="828"/>
      </w:pPr>
    </w:p>
    <w:p w14:paraId="34F92EE1" w14:textId="4DF0FB27" w:rsidR="00CA09B8" w:rsidRPr="00771D2C" w:rsidRDefault="00477630" w:rsidP="00771D2C">
      <w:pPr>
        <w:pStyle w:val="Heading2"/>
        <w:rPr>
          <w:rStyle w:val="st"/>
        </w:rPr>
      </w:pPr>
      <w:r w:rsidRPr="00771D2C">
        <w:lastRenderedPageBreak/>
        <w:t>Facts</w:t>
      </w:r>
    </w:p>
    <w:p w14:paraId="3FD97CC7" w14:textId="3A15C5D0" w:rsidR="00591788" w:rsidRPr="00771D2C" w:rsidRDefault="00317F2D" w:rsidP="00771D2C">
      <w:pPr>
        <w:pStyle w:val="NumberedParas"/>
      </w:pPr>
      <w:r w:rsidRPr="00771D2C">
        <w:t xml:space="preserve">The Dukovany </w:t>
      </w:r>
      <w:r w:rsidR="001C47A9">
        <w:t>Nuclear Power Plant (</w:t>
      </w:r>
      <w:r w:rsidR="002C01ED" w:rsidRPr="00771D2C">
        <w:t>NPP</w:t>
      </w:r>
      <w:r w:rsidR="001C47A9">
        <w:t>)</w:t>
      </w:r>
      <w:r w:rsidR="002C01ED" w:rsidRPr="00771D2C">
        <w:t xml:space="preserve"> has four pressurized-water reactors</w:t>
      </w:r>
      <w:r w:rsidR="00373B84" w:rsidRPr="00771D2C">
        <w:t>, all VVER 440/213 units of Soviet design</w:t>
      </w:r>
      <w:r w:rsidR="002C01ED" w:rsidRPr="00771D2C">
        <w:t>.</w:t>
      </w:r>
      <w:r w:rsidR="00373B84" w:rsidRPr="00771D2C">
        <w:rPr>
          <w:rStyle w:val="FootnoteReference"/>
        </w:rPr>
        <w:footnoteReference w:id="24"/>
      </w:r>
      <w:r w:rsidR="00373B84" w:rsidRPr="00771D2C">
        <w:t xml:space="preserve"> Reactor 1 was first commissioned in 1985 and has been in operation since then, making it the oldest reactor in Czechia. Reactors 2 and 3 went into operation in 1986. Reactor 4 went into operation in 1987.</w:t>
      </w:r>
      <w:r w:rsidR="00373B84" w:rsidRPr="00771D2C">
        <w:rPr>
          <w:rStyle w:val="FootnoteReference"/>
        </w:rPr>
        <w:footnoteReference w:id="25"/>
      </w:r>
      <w:r w:rsidR="00373B84" w:rsidRPr="00771D2C">
        <w:t xml:space="preserve"> </w:t>
      </w:r>
    </w:p>
    <w:p w14:paraId="3F79B97A" w14:textId="7ADD0FF7" w:rsidR="00AC34B5" w:rsidRPr="00771D2C" w:rsidRDefault="00AC34B5" w:rsidP="00771D2C">
      <w:pPr>
        <w:pStyle w:val="NumberedParas"/>
      </w:pPr>
      <w:r w:rsidRPr="00771D2C">
        <w:t>Until March 2016 SONS ha</w:t>
      </w:r>
      <w:r w:rsidR="00A54CCC" w:rsidRPr="00771D2C">
        <w:t>d</w:t>
      </w:r>
      <w:r w:rsidRPr="00771D2C">
        <w:t xml:space="preserve"> </w:t>
      </w:r>
      <w:r w:rsidR="00330177" w:rsidRPr="00771D2C">
        <w:t>issued permits for ten-year periods.</w:t>
      </w:r>
      <w:r w:rsidR="00F17896" w:rsidRPr="00771D2C">
        <w:rPr>
          <w:rStyle w:val="FootnoteReference"/>
        </w:rPr>
        <w:footnoteReference w:id="26"/>
      </w:r>
    </w:p>
    <w:p w14:paraId="13FAE9EA" w14:textId="21A628D8" w:rsidR="00373B84" w:rsidRPr="00771D2C" w:rsidRDefault="00373B84" w:rsidP="00771D2C">
      <w:pPr>
        <w:pStyle w:val="NumberedParas"/>
      </w:pPr>
      <w:r w:rsidRPr="00771D2C">
        <w:t>The Dukovany NPP is located 30 km southeast of Třebíč, Czechia, about 40 km from the Austrian border and 175 km from the German border.</w:t>
      </w:r>
      <w:r w:rsidRPr="00771D2C">
        <w:rPr>
          <w:rStyle w:val="FootnoteReference"/>
        </w:rPr>
        <w:footnoteReference w:id="27"/>
      </w:r>
    </w:p>
    <w:p w14:paraId="150F55FF" w14:textId="5F079066" w:rsidR="00975768" w:rsidRPr="00771D2C" w:rsidRDefault="00591788" w:rsidP="00771D2C">
      <w:pPr>
        <w:pStyle w:val="Heading3"/>
      </w:pPr>
      <w:r w:rsidRPr="00771D2C">
        <w:t xml:space="preserve">Extending operations of the </w:t>
      </w:r>
      <w:r w:rsidR="00330177" w:rsidRPr="00771D2C">
        <w:t xml:space="preserve">Dukovany NPP’s </w:t>
      </w:r>
      <w:r w:rsidRPr="00771D2C">
        <w:t>reactors beyond 30 years</w:t>
      </w:r>
    </w:p>
    <w:p w14:paraId="53E12615" w14:textId="0CE86599" w:rsidR="00A721EB" w:rsidRPr="00771D2C" w:rsidRDefault="00A721EB" w:rsidP="00771D2C">
      <w:pPr>
        <w:pStyle w:val="NumberedParas"/>
      </w:pPr>
      <w:r w:rsidRPr="00771D2C">
        <w:t>The reactors</w:t>
      </w:r>
      <w:r w:rsidR="00810B2C" w:rsidRPr="00771D2C">
        <w:t>’</w:t>
      </w:r>
      <w:r w:rsidRPr="00771D2C">
        <w:t xml:space="preserve"> original expected </w:t>
      </w:r>
      <w:r w:rsidRPr="003776DA">
        <w:t>lifetime w</w:t>
      </w:r>
      <w:r w:rsidR="008E4014">
        <w:t>as</w:t>
      </w:r>
      <w:r w:rsidRPr="00771D2C">
        <w:t xml:space="preserve"> 30 years.</w:t>
      </w:r>
      <w:r w:rsidRPr="00771D2C">
        <w:rPr>
          <w:rStyle w:val="FootnoteReference"/>
        </w:rPr>
        <w:footnoteReference w:id="28"/>
      </w:r>
      <w:r w:rsidRPr="00771D2C">
        <w:t xml:space="preserve"> Reactor 1</w:t>
      </w:r>
      <w:r w:rsidR="00810B2C" w:rsidRPr="00771D2C">
        <w:t>’</w:t>
      </w:r>
      <w:r w:rsidRPr="00771D2C">
        <w:t xml:space="preserve">s original expected lifetime expired in 2015. The original expected </w:t>
      </w:r>
      <w:r w:rsidRPr="003776DA">
        <w:t>lifetime</w:t>
      </w:r>
      <w:r w:rsidRPr="00771D2C">
        <w:t xml:space="preserve"> of reactors 2 and 3 </w:t>
      </w:r>
      <w:r w:rsidRPr="003776DA">
        <w:t>expire</w:t>
      </w:r>
      <w:r w:rsidR="008E4014">
        <w:t>d</w:t>
      </w:r>
      <w:r w:rsidRPr="00771D2C">
        <w:t xml:space="preserve"> in 2016, and that of reactor 4 in 2017.</w:t>
      </w:r>
      <w:r w:rsidRPr="00771D2C">
        <w:rPr>
          <w:rStyle w:val="FootnoteReference"/>
        </w:rPr>
        <w:footnoteReference w:id="29"/>
      </w:r>
    </w:p>
    <w:p w14:paraId="7F185911" w14:textId="35D0D119" w:rsidR="00975768" w:rsidRPr="00771D2C" w:rsidRDefault="00975768" w:rsidP="00771D2C">
      <w:pPr>
        <w:pStyle w:val="NumberedParas"/>
      </w:pPr>
      <w:r w:rsidRPr="00771D2C">
        <w:t>In 1996, the project promoter (CEZ) began preparation</w:t>
      </w:r>
      <w:r w:rsidR="00591788" w:rsidRPr="00771D2C">
        <w:t>s</w:t>
      </w:r>
      <w:r w:rsidRPr="00771D2C">
        <w:t xml:space="preserve"> to extend the four reactors beyond their </w:t>
      </w:r>
      <w:r w:rsidR="00C13C46" w:rsidRPr="00771D2C">
        <w:t>original expected</w:t>
      </w:r>
      <w:r w:rsidRPr="00771D2C">
        <w:t xml:space="preserve"> 30-year lifetimes. SONS required CEZ </w:t>
      </w:r>
      <w:r w:rsidR="009070A9" w:rsidRPr="00771D2C">
        <w:t>to</w:t>
      </w:r>
      <w:r w:rsidRPr="00771D2C">
        <w:t xml:space="preserve"> meet </w:t>
      </w:r>
      <w:r w:rsidR="009070A9" w:rsidRPr="00771D2C">
        <w:t xml:space="preserve">the </w:t>
      </w:r>
      <w:r w:rsidRPr="00771D2C">
        <w:t>basic requirements for normal operational licenses and to take additional measures on the NPP’s ageing effects.</w:t>
      </w:r>
      <w:r w:rsidR="00F17896" w:rsidRPr="00771D2C">
        <w:t xml:space="preserve"> These measures to address the ageing effects included a long term-strategy based on documents</w:t>
      </w:r>
      <w:r w:rsidR="009B63B6" w:rsidRPr="00771D2C">
        <w:t xml:space="preserve"> of the International Atomic Energy Agency</w:t>
      </w:r>
      <w:r w:rsidR="00F17896" w:rsidRPr="00771D2C">
        <w:t xml:space="preserve"> and internationally accepted practice</w:t>
      </w:r>
      <w:r w:rsidR="00AF1980">
        <w:t xml:space="preserve">, and </w:t>
      </w:r>
      <w:r w:rsidR="00F17896" w:rsidRPr="00771D2C">
        <w:t xml:space="preserve"> a “Program</w:t>
      </w:r>
      <w:r w:rsidR="00F73A7D" w:rsidRPr="00771D2C">
        <w:t>me</w:t>
      </w:r>
      <w:r w:rsidR="00F17896" w:rsidRPr="00771D2C">
        <w:t xml:space="preserve"> for </w:t>
      </w:r>
      <w:r w:rsidR="004D79DC">
        <w:t>Assurance</w:t>
      </w:r>
      <w:r w:rsidR="004D79DC" w:rsidRPr="00771D2C">
        <w:t xml:space="preserve"> </w:t>
      </w:r>
      <w:r w:rsidR="00F17896" w:rsidRPr="00771D2C">
        <w:t>of NPP Dukovany LTO</w:t>
      </w:r>
      <w:r w:rsidR="00F17896" w:rsidRPr="003776DA">
        <w:t>”</w:t>
      </w:r>
      <w:r w:rsidR="004D79DC">
        <w:t xml:space="preserve"> to be</w:t>
      </w:r>
      <w:r w:rsidR="00F17896" w:rsidRPr="00771D2C">
        <w:t xml:space="preserve"> based on a periodically updated feasibility study.</w:t>
      </w:r>
      <w:r w:rsidR="00F17896" w:rsidRPr="00771D2C">
        <w:rPr>
          <w:rStyle w:val="FootnoteReference"/>
        </w:rPr>
        <w:footnoteReference w:id="30"/>
      </w:r>
    </w:p>
    <w:p w14:paraId="0548DF5D" w14:textId="396A1D99" w:rsidR="00975768" w:rsidRPr="00771D2C" w:rsidRDefault="00975768" w:rsidP="00771D2C">
      <w:pPr>
        <w:pStyle w:val="NumberedParas"/>
      </w:pPr>
      <w:r w:rsidRPr="00771D2C">
        <w:t>In order to meet these requirements, CEZ: (i) submitted to SONS a Quality Assurance program</w:t>
      </w:r>
      <w:r w:rsidR="009B63B6" w:rsidRPr="00771D2C">
        <w:t>me</w:t>
      </w:r>
      <w:r w:rsidRPr="00771D2C">
        <w:t xml:space="preserve"> “Preparation of the NPP Dukovany LTO” in December 2006; (ii) submitted the document “CEZ, a.s. approach to preparation of NPP long-term operation” in January 2008; </w:t>
      </w:r>
      <w:r w:rsidR="00F17896" w:rsidRPr="00771D2C">
        <w:t xml:space="preserve">and </w:t>
      </w:r>
      <w:r w:rsidRPr="00771D2C">
        <w:t xml:space="preserve">(iii) approved </w:t>
      </w:r>
      <w:r w:rsidR="00040312" w:rsidRPr="00771D2C">
        <w:t xml:space="preserve">the </w:t>
      </w:r>
      <w:r w:rsidRPr="00771D2C">
        <w:t>“Strategy of LTO Dukovany”, “Program</w:t>
      </w:r>
      <w:r w:rsidR="00F73A7D" w:rsidRPr="00771D2C">
        <w:t>me</w:t>
      </w:r>
      <w:r w:rsidRPr="00771D2C">
        <w:t xml:space="preserve"> for Assurance of NPP Dukovany LTO” and “LTO Dukovany Preparation Project”</w:t>
      </w:r>
      <w:r w:rsidR="00040312" w:rsidRPr="00771D2C">
        <w:t xml:space="preserve"> in January 2009, which </w:t>
      </w:r>
      <w:r w:rsidRPr="00771D2C">
        <w:t>were submitted to SONS in February 2009</w:t>
      </w:r>
      <w:r w:rsidR="00F17896" w:rsidRPr="00771D2C">
        <w:t>.</w:t>
      </w:r>
      <w:r w:rsidR="00F17896" w:rsidRPr="00771D2C">
        <w:rPr>
          <w:rStyle w:val="FootnoteReference"/>
        </w:rPr>
        <w:footnoteReference w:id="31"/>
      </w:r>
      <w:r w:rsidR="00F17896" w:rsidRPr="00771D2C">
        <w:rPr>
          <w:rStyle w:val="FootnoteReference"/>
        </w:rPr>
        <w:t xml:space="preserve"> </w:t>
      </w:r>
      <w:r w:rsidR="00F17896" w:rsidRPr="00771D2C">
        <w:t xml:space="preserve">CEZ also </w:t>
      </w:r>
      <w:r w:rsidR="00040312" w:rsidRPr="00771D2C">
        <w:t xml:space="preserve">performed works </w:t>
      </w:r>
      <w:r w:rsidRPr="00771D2C">
        <w:t xml:space="preserve">to modernize the NPP for </w:t>
      </w:r>
      <w:r w:rsidRPr="003776DA">
        <w:t>operation</w:t>
      </w:r>
      <w:r w:rsidRPr="00771D2C">
        <w:t xml:space="preserve"> beyond the designed lifetimes, including reinforcement of reactor facilities, construction on ventilation towers</w:t>
      </w:r>
      <w:r w:rsidR="00F73A7D" w:rsidRPr="00771D2C">
        <w:t xml:space="preserve"> and</w:t>
      </w:r>
      <w:r w:rsidRPr="00771D2C">
        <w:t xml:space="preserve"> an increase in the number of auxiliary diesel generators</w:t>
      </w:r>
      <w:r w:rsidR="00C646AE" w:rsidRPr="00771D2C">
        <w:t>.</w:t>
      </w:r>
      <w:r w:rsidR="00040312" w:rsidRPr="00771D2C">
        <w:rPr>
          <w:rStyle w:val="FootnoteReference"/>
        </w:rPr>
        <w:footnoteReference w:id="32"/>
      </w:r>
    </w:p>
    <w:p w14:paraId="3C34F234" w14:textId="13F609EE" w:rsidR="008A2173" w:rsidRPr="00771D2C" w:rsidRDefault="00975768" w:rsidP="00771D2C">
      <w:pPr>
        <w:pStyle w:val="NumberedParas"/>
      </w:pPr>
      <w:r w:rsidRPr="00771D2C">
        <w:t xml:space="preserve">CEZ was unable to submit </w:t>
      </w:r>
      <w:r w:rsidR="009B63B6" w:rsidRPr="00771D2C">
        <w:t xml:space="preserve">in a timely fashion </w:t>
      </w:r>
      <w:r w:rsidRPr="00771D2C">
        <w:t xml:space="preserve">the documents required for the lifetime extension of </w:t>
      </w:r>
      <w:r w:rsidR="00330177" w:rsidRPr="00771D2C">
        <w:t>r</w:t>
      </w:r>
      <w:r w:rsidRPr="00771D2C">
        <w:t xml:space="preserve">eactor </w:t>
      </w:r>
      <w:r w:rsidR="00AC34B5" w:rsidRPr="00771D2C">
        <w:t>1.</w:t>
      </w:r>
      <w:r w:rsidRPr="003776DA">
        <w:t xml:space="preserve"> SONS </w:t>
      </w:r>
      <w:r w:rsidR="00AC34B5" w:rsidRPr="003776DA">
        <w:t xml:space="preserve">therefore </w:t>
      </w:r>
      <w:r w:rsidRPr="003776DA">
        <w:t>granted a 3-month extension.</w:t>
      </w:r>
      <w:r w:rsidRPr="003776DA">
        <w:rPr>
          <w:rStyle w:val="FootnoteReference"/>
          <w:szCs w:val="20"/>
        </w:rPr>
        <w:footnoteReference w:id="33"/>
      </w:r>
      <w:r w:rsidRPr="003776DA">
        <w:t xml:space="preserve"> </w:t>
      </w:r>
    </w:p>
    <w:p w14:paraId="533D130F" w14:textId="33A3E917" w:rsidR="00330177" w:rsidRDefault="00975768" w:rsidP="005A2ECE">
      <w:pPr>
        <w:pStyle w:val="NumberedParas"/>
      </w:pPr>
      <w:r w:rsidRPr="003776DA">
        <w:t xml:space="preserve">Subsequently, on 30 March 2016, SONS granted the permission to extend </w:t>
      </w:r>
      <w:r w:rsidR="00680ADA">
        <w:t xml:space="preserve">the operation of </w:t>
      </w:r>
      <w:r w:rsidR="009070A9" w:rsidRPr="003776DA">
        <w:t>r</w:t>
      </w:r>
      <w:r w:rsidRPr="003776DA">
        <w:t>eactor 1 indefinite</w:t>
      </w:r>
      <w:r w:rsidR="00680ADA">
        <w:t>ly</w:t>
      </w:r>
      <w:r w:rsidRPr="003776DA">
        <w:t>.</w:t>
      </w:r>
      <w:r w:rsidR="009070A9" w:rsidRPr="003776DA">
        <w:rPr>
          <w:rStyle w:val="FootnoteReference"/>
          <w:szCs w:val="20"/>
        </w:rPr>
        <w:footnoteReference w:id="34"/>
      </w:r>
      <w:r w:rsidR="00AC34B5" w:rsidRPr="003776DA">
        <w:t xml:space="preserve"> </w:t>
      </w:r>
      <w:bookmarkStart w:id="28" w:name="_Hlk62377680"/>
      <w:bookmarkStart w:id="29" w:name="_Ref5636501"/>
      <w:r w:rsidR="00330177" w:rsidRPr="003776DA">
        <w:t>According to the terms of the permit, CEZ continues to be subject to Periodic Safety Review</w:t>
      </w:r>
      <w:r w:rsidR="00BE3A65">
        <w:t>s</w:t>
      </w:r>
      <w:r w:rsidR="00330177" w:rsidRPr="003776DA">
        <w:t xml:space="preserve"> (PSR)</w:t>
      </w:r>
      <w:r w:rsidR="0074232B">
        <w:t xml:space="preserve"> every ten years</w:t>
      </w:r>
      <w:r w:rsidR="00330177" w:rsidRPr="003776DA">
        <w:t>.</w:t>
      </w:r>
      <w:r w:rsidR="00330177" w:rsidRPr="003776DA">
        <w:rPr>
          <w:rStyle w:val="FootnoteReference"/>
          <w:szCs w:val="20"/>
        </w:rPr>
        <w:footnoteReference w:id="35"/>
      </w:r>
      <w:bookmarkEnd w:id="28"/>
    </w:p>
    <w:p w14:paraId="15BD4772" w14:textId="13503C13" w:rsidR="006B498B" w:rsidRPr="003776DA" w:rsidRDefault="00922E62" w:rsidP="005A2ECE">
      <w:pPr>
        <w:pStyle w:val="NumberedParas"/>
      </w:pPr>
      <w:r>
        <w:lastRenderedPageBreak/>
        <w:t>Similar indefinite operation permits were later issued for reactor 2 on 28 June 2017 and for reactors 3 and 4 on 19 December 2017.</w:t>
      </w:r>
      <w:r w:rsidR="00321F0C">
        <w:rPr>
          <w:rStyle w:val="FootnoteReference"/>
        </w:rPr>
        <w:footnoteReference w:id="36"/>
      </w:r>
      <w:r>
        <w:t xml:space="preserve"> </w:t>
      </w:r>
    </w:p>
    <w:bookmarkEnd w:id="29"/>
    <w:p w14:paraId="2EC256DF" w14:textId="26CE2F82" w:rsidR="00330177" w:rsidRPr="00771D2C" w:rsidRDefault="00330177" w:rsidP="00771D2C">
      <w:pPr>
        <w:pStyle w:val="Heading3"/>
      </w:pPr>
      <w:r w:rsidRPr="00771D2C">
        <w:t>Participation in the procedures authorizing the extensions</w:t>
      </w:r>
    </w:p>
    <w:p w14:paraId="5A1790AC" w14:textId="570311AB" w:rsidR="00330177" w:rsidRPr="00771D2C" w:rsidRDefault="004F7058" w:rsidP="00771D2C">
      <w:pPr>
        <w:pStyle w:val="NumberedParas"/>
      </w:pPr>
      <w:r w:rsidRPr="00771D2C">
        <w:t xml:space="preserve"> </w:t>
      </w:r>
      <w:r w:rsidR="00330177" w:rsidRPr="00771D2C">
        <w:t>Only the applicant CEZ could participate in the permitting procedure authorizing the extension of reactor 1 beyond its original 30-year lifetime.</w:t>
      </w:r>
      <w:r w:rsidR="00330177" w:rsidRPr="00771D2C">
        <w:rPr>
          <w:rStyle w:val="FootnoteReference"/>
        </w:rPr>
        <w:footnoteReference w:id="37"/>
      </w:r>
    </w:p>
    <w:p w14:paraId="1D928739" w14:textId="13EDE343" w:rsidR="004F7058" w:rsidRPr="00771D2C" w:rsidRDefault="004F7058" w:rsidP="00771D2C">
      <w:pPr>
        <w:pStyle w:val="NumberedParas"/>
        <w:rPr>
          <w:b/>
        </w:rPr>
      </w:pPr>
      <w:r w:rsidRPr="00771D2C">
        <w:t>On</w:t>
      </w:r>
      <w:r w:rsidR="003630F7" w:rsidRPr="00771D2C">
        <w:t xml:space="preserve"> 5</w:t>
      </w:r>
      <w:r w:rsidRPr="00771D2C">
        <w:t xml:space="preserve"> </w:t>
      </w:r>
      <w:r w:rsidR="00A570E7" w:rsidRPr="00771D2C">
        <w:t>January</w:t>
      </w:r>
      <w:r w:rsidRPr="00771D2C">
        <w:t xml:space="preserve"> 2017, communicant </w:t>
      </w:r>
      <w:r w:rsidR="00D50C29" w:rsidRPr="00771D2C">
        <w:t>Jihočeské matky</w:t>
      </w:r>
      <w:r w:rsidRPr="00771D2C">
        <w:t xml:space="preserve"> filed </w:t>
      </w:r>
      <w:r w:rsidR="006F7009" w:rsidRPr="00771D2C">
        <w:t>an application</w:t>
      </w:r>
      <w:r w:rsidRPr="00771D2C">
        <w:t xml:space="preserve"> to participate in </w:t>
      </w:r>
      <w:r w:rsidR="006B538F" w:rsidRPr="00771D2C">
        <w:t>the</w:t>
      </w:r>
      <w:r w:rsidRPr="00771D2C">
        <w:t xml:space="preserve"> permitting procedure for the extension of the lifetime of the </w:t>
      </w:r>
      <w:r w:rsidR="006B538F" w:rsidRPr="00771D2C">
        <w:t xml:space="preserve">Dukovany </w:t>
      </w:r>
      <w:r w:rsidRPr="00771D2C">
        <w:t xml:space="preserve">NPP’s </w:t>
      </w:r>
      <w:r w:rsidR="009070A9" w:rsidRPr="00771D2C">
        <w:t>r</w:t>
      </w:r>
      <w:r w:rsidRPr="00771D2C">
        <w:t>eactor 2</w:t>
      </w:r>
      <w:r w:rsidR="00985506" w:rsidRPr="00771D2C">
        <w:t>.</w:t>
      </w:r>
      <w:r w:rsidR="00985506" w:rsidRPr="00771D2C">
        <w:rPr>
          <w:rStyle w:val="FootnoteReference"/>
        </w:rPr>
        <w:footnoteReference w:id="38"/>
      </w:r>
      <w:r w:rsidRPr="00771D2C">
        <w:t xml:space="preserve"> This application was denied by SONS, basing its decision on settled case law on the interpretation of the Atomic Act and other domestic laws</w:t>
      </w:r>
      <w:r w:rsidRPr="003776DA">
        <w:t>.</w:t>
      </w:r>
      <w:bookmarkEnd w:id="10"/>
      <w:r w:rsidRPr="00771D2C">
        <w:rPr>
          <w:rStyle w:val="FootnoteReference"/>
        </w:rPr>
        <w:footnoteReference w:id="39"/>
      </w:r>
      <w:r w:rsidR="003630F7" w:rsidRPr="00771D2C">
        <w:t xml:space="preserve"> </w:t>
      </w:r>
    </w:p>
    <w:p w14:paraId="4C5B8C62" w14:textId="2C0FE3F5" w:rsidR="003B02EA" w:rsidRPr="00771D2C" w:rsidRDefault="003B02EA" w:rsidP="00771D2C">
      <w:pPr>
        <w:pStyle w:val="Heading3"/>
      </w:pPr>
      <w:r w:rsidRPr="00771D2C">
        <w:t xml:space="preserve">Technical </w:t>
      </w:r>
      <w:r w:rsidR="009B63B6" w:rsidRPr="00771D2C">
        <w:t>p</w:t>
      </w:r>
      <w:r w:rsidRPr="00771D2C">
        <w:t>roblems</w:t>
      </w:r>
      <w:r w:rsidR="00E808AF" w:rsidRPr="00771D2C">
        <w:t xml:space="preserve"> at the Dukovany NPP</w:t>
      </w:r>
      <w:r w:rsidRPr="00771D2C">
        <w:t xml:space="preserve"> </w:t>
      </w:r>
    </w:p>
    <w:p w14:paraId="7B25A459" w14:textId="753A0ED6" w:rsidR="005930B1" w:rsidRPr="00771D2C" w:rsidRDefault="00F2703B" w:rsidP="00771D2C">
      <w:pPr>
        <w:pStyle w:val="NumberedParas"/>
      </w:pPr>
      <w:r w:rsidRPr="00771D2C">
        <w:t xml:space="preserve">Technical problems </w:t>
      </w:r>
      <w:r w:rsidR="00142F4C" w:rsidRPr="00771D2C">
        <w:t xml:space="preserve">occurred </w:t>
      </w:r>
      <w:r w:rsidR="00E808AF" w:rsidRPr="00771D2C">
        <w:t>at the</w:t>
      </w:r>
      <w:r w:rsidRPr="00771D2C">
        <w:t xml:space="preserve"> </w:t>
      </w:r>
      <w:r w:rsidR="00142F4C" w:rsidRPr="00771D2C">
        <w:t xml:space="preserve">Dukovany </w:t>
      </w:r>
      <w:r w:rsidRPr="00771D2C">
        <w:t xml:space="preserve">NPP </w:t>
      </w:r>
      <w:r w:rsidR="00142F4C" w:rsidRPr="00771D2C">
        <w:t>in</w:t>
      </w:r>
      <w:r w:rsidRPr="00771D2C">
        <w:t xml:space="preserve"> the second half of 2015</w:t>
      </w:r>
      <w:r w:rsidR="00142F4C" w:rsidRPr="00771D2C">
        <w:t xml:space="preserve">, according </w:t>
      </w:r>
      <w:r w:rsidR="00DD66B3" w:rsidRPr="00771D2C">
        <w:t xml:space="preserve">to </w:t>
      </w:r>
      <w:r w:rsidR="00142F4C" w:rsidRPr="00771D2C">
        <w:t>the 2016 Czech Republic Report on Nuclear Safety under the Convention on Nuclear Safety (</w:t>
      </w:r>
      <w:r w:rsidR="00E53A51">
        <w:t xml:space="preserve">2016 </w:t>
      </w:r>
      <w:r w:rsidR="00142F4C" w:rsidRPr="00771D2C">
        <w:t>Nuclear Safety Report)</w:t>
      </w:r>
      <w:r w:rsidRPr="00771D2C">
        <w:t>.</w:t>
      </w:r>
      <w:r w:rsidR="00142F4C" w:rsidRPr="00771D2C">
        <w:rPr>
          <w:rStyle w:val="FootnoteReference"/>
        </w:rPr>
        <w:footnoteReference w:id="40"/>
      </w:r>
      <w:r w:rsidRPr="00771D2C">
        <w:t xml:space="preserve"> These problems included</w:t>
      </w:r>
      <w:r w:rsidRPr="003776DA">
        <w:t xml:space="preserve"> </w:t>
      </w:r>
      <w:r w:rsidR="002C3706">
        <w:t>the</w:t>
      </w:r>
      <w:r w:rsidR="00D01127">
        <w:t xml:space="preserve"> poor</w:t>
      </w:r>
      <w:r w:rsidR="002C3706">
        <w:t xml:space="preserve"> condition of </w:t>
      </w:r>
      <w:r w:rsidR="003803CA">
        <w:t>some of the</w:t>
      </w:r>
      <w:r w:rsidR="003803CA" w:rsidRPr="00771D2C">
        <w:t xml:space="preserve"> </w:t>
      </w:r>
      <w:r w:rsidRPr="00771D2C">
        <w:t>welds on emergency steam generation feedwater piping and problems in radiograph quality.</w:t>
      </w:r>
      <w:r w:rsidRPr="00771D2C">
        <w:rPr>
          <w:rStyle w:val="FootnoteReference"/>
        </w:rPr>
        <w:footnoteReference w:id="41"/>
      </w:r>
      <w:r w:rsidR="009705E2" w:rsidRPr="00771D2C">
        <w:t xml:space="preserve"> </w:t>
      </w:r>
      <w:r w:rsidR="006C45BB" w:rsidRPr="00771D2C">
        <w:t xml:space="preserve">Physical defects and </w:t>
      </w:r>
      <w:r w:rsidR="00A6431E" w:rsidRPr="00771D2C">
        <w:t xml:space="preserve">systemic </w:t>
      </w:r>
      <w:r w:rsidR="00A6431E">
        <w:t>problems with</w:t>
      </w:r>
      <w:r w:rsidR="006C45BB" w:rsidRPr="00771D2C">
        <w:t xml:space="preserve"> in-service inspections caused extraordinary shut-downs of </w:t>
      </w:r>
      <w:r w:rsidR="009B63B6" w:rsidRPr="00771D2C">
        <w:t>reactors 2 and 3</w:t>
      </w:r>
      <w:r w:rsidR="006C45BB" w:rsidRPr="00771D2C">
        <w:t xml:space="preserve"> during 2015 and </w:t>
      </w:r>
      <w:r w:rsidR="003B02EA" w:rsidRPr="00771D2C">
        <w:t xml:space="preserve">also </w:t>
      </w:r>
      <w:r w:rsidR="006C45BB" w:rsidRPr="00771D2C">
        <w:t xml:space="preserve">a significant extension of </w:t>
      </w:r>
      <w:r w:rsidR="00142F4C" w:rsidRPr="00771D2C">
        <w:t>r</w:t>
      </w:r>
      <w:r w:rsidR="006C45BB" w:rsidRPr="00771D2C">
        <w:t>eactor 1’s outage.</w:t>
      </w:r>
      <w:r w:rsidR="006C45BB" w:rsidRPr="00771D2C">
        <w:rPr>
          <w:rStyle w:val="FootnoteReference"/>
        </w:rPr>
        <w:footnoteReference w:id="42"/>
      </w:r>
    </w:p>
    <w:p w14:paraId="3A937AA9" w14:textId="72CD503D" w:rsidR="00F2703B" w:rsidRPr="00771D2C" w:rsidRDefault="003674A9" w:rsidP="00771D2C">
      <w:pPr>
        <w:pStyle w:val="NumberedParas"/>
      </w:pPr>
      <w:r w:rsidRPr="00771D2C">
        <w:t xml:space="preserve">In </w:t>
      </w:r>
      <w:r w:rsidR="00142F4C" w:rsidRPr="00771D2C">
        <w:t>the</w:t>
      </w:r>
      <w:r w:rsidR="00142F4C" w:rsidRPr="003776DA">
        <w:t xml:space="preserve"> </w:t>
      </w:r>
      <w:r w:rsidR="00E53A51">
        <w:t>2016</w:t>
      </w:r>
      <w:r w:rsidR="00E53A51" w:rsidRPr="00771D2C">
        <w:t xml:space="preserve"> </w:t>
      </w:r>
      <w:r w:rsidRPr="00771D2C">
        <w:t>Nuclear Safety</w:t>
      </w:r>
      <w:r w:rsidR="00142F4C" w:rsidRPr="00771D2C">
        <w:t xml:space="preserve"> Report</w:t>
      </w:r>
      <w:r w:rsidRPr="00771D2C">
        <w:t xml:space="preserve">, </w:t>
      </w:r>
      <w:r w:rsidR="00F2703B" w:rsidRPr="00771D2C">
        <w:t>SONS stated: “uncertainties as to the condition of welds resulted in the absence of information regarding the actual state of nuclear installation as a whole thereby constituting a breach of the requirement to be aware of the actual state of installation throughout the operation of nuclear installation and to have nuclear installation under control.”</w:t>
      </w:r>
      <w:r w:rsidR="009705E2" w:rsidRPr="00771D2C">
        <w:rPr>
          <w:rStyle w:val="FootnoteReference"/>
        </w:rPr>
        <w:t xml:space="preserve"> </w:t>
      </w:r>
      <w:r w:rsidR="009705E2" w:rsidRPr="00771D2C">
        <w:rPr>
          <w:rStyle w:val="FootnoteReference"/>
        </w:rPr>
        <w:footnoteReference w:id="43"/>
      </w:r>
    </w:p>
    <w:p w14:paraId="214B7D89" w14:textId="631AD687" w:rsidR="000802FD" w:rsidRPr="00771D2C" w:rsidDel="00284346" w:rsidRDefault="00330177" w:rsidP="00771D2C">
      <w:pPr>
        <w:pStyle w:val="NumberedParas"/>
      </w:pPr>
      <w:r w:rsidRPr="00771D2C" w:rsidDel="00284346">
        <w:t xml:space="preserve">On 14 July 2016 the </w:t>
      </w:r>
      <w:r w:rsidR="00DD66B3" w:rsidRPr="00771D2C" w:rsidDel="00284346">
        <w:t>1997</w:t>
      </w:r>
      <w:r w:rsidRPr="00771D2C" w:rsidDel="00284346">
        <w:t xml:space="preserve"> Atomic Act was replaced by the </w:t>
      </w:r>
      <w:r w:rsidR="00DD66B3" w:rsidRPr="00771D2C" w:rsidDel="00284346">
        <w:t>2016</w:t>
      </w:r>
      <w:r w:rsidRPr="00771D2C" w:rsidDel="00284346">
        <w:t xml:space="preserve"> Atomic Act.</w:t>
      </w:r>
      <w:r w:rsidRPr="00771D2C" w:rsidDel="00284346">
        <w:rPr>
          <w:rStyle w:val="FootnoteReference"/>
        </w:rPr>
        <w:footnoteReference w:id="44"/>
      </w:r>
      <w:bookmarkStart w:id="30" w:name="_Hlk5635596"/>
    </w:p>
    <w:p w14:paraId="4048E4E8" w14:textId="77777777" w:rsidR="00BD2E4E" w:rsidRPr="00771D2C" w:rsidRDefault="00BD2E4E" w:rsidP="00771D2C">
      <w:pPr>
        <w:pStyle w:val="Heading2"/>
      </w:pPr>
      <w:r w:rsidRPr="00771D2C">
        <w:t xml:space="preserve">Domestic remedies and admissibility </w:t>
      </w:r>
    </w:p>
    <w:p w14:paraId="7772F121" w14:textId="12C05976" w:rsidR="00625253" w:rsidRDefault="00BD2E4E" w:rsidP="005A2ECE">
      <w:pPr>
        <w:pStyle w:val="NumberedParas"/>
      </w:pPr>
      <w:r w:rsidRPr="00771D2C">
        <w:rPr>
          <w:rStyle w:val="st"/>
        </w:rPr>
        <w:t xml:space="preserve">The communicants </w:t>
      </w:r>
      <w:r w:rsidR="00381B13" w:rsidRPr="00771D2C">
        <w:rPr>
          <w:rStyle w:val="st"/>
        </w:rPr>
        <w:t>submit</w:t>
      </w:r>
      <w:r w:rsidRPr="00771D2C">
        <w:rPr>
          <w:rStyle w:val="st"/>
        </w:rPr>
        <w:t xml:space="preserve"> that </w:t>
      </w:r>
      <w:r w:rsidRPr="00771D2C">
        <w:t xml:space="preserve">any domestic remedy would obviously not provide an effective or sufficient means of redress within the meaning of </w:t>
      </w:r>
      <w:r w:rsidR="00381B13" w:rsidRPr="00771D2C">
        <w:t xml:space="preserve">paragraph 21 of the annex to </w:t>
      </w:r>
      <w:r w:rsidRPr="00771D2C">
        <w:t>decision I/7.</w:t>
      </w:r>
      <w:r w:rsidRPr="00771D2C">
        <w:rPr>
          <w:rStyle w:val="FootnoteReference"/>
        </w:rPr>
        <w:footnoteReference w:id="45"/>
      </w:r>
      <w:r w:rsidRPr="00771D2C">
        <w:t xml:space="preserve"> </w:t>
      </w:r>
    </w:p>
    <w:p w14:paraId="2BF6DB2D" w14:textId="67F6DDE4" w:rsidR="002A6750" w:rsidRPr="00771D2C" w:rsidRDefault="00BD2E4E" w:rsidP="00771D2C">
      <w:pPr>
        <w:pStyle w:val="NumberedParas"/>
      </w:pPr>
      <w:r w:rsidRPr="00771D2C">
        <w:t>The communicants</w:t>
      </w:r>
      <w:r w:rsidRPr="003776DA">
        <w:t xml:space="preserve"> </w:t>
      </w:r>
      <w:r w:rsidR="00625253">
        <w:t>further</w:t>
      </w:r>
      <w:r w:rsidR="00625253" w:rsidRPr="00771D2C">
        <w:t xml:space="preserve"> </w:t>
      </w:r>
      <w:r w:rsidRPr="00771D2C">
        <w:t>submit that, being mostly foreign organizations, they would face additional hurdles in terms of navigating the domestic legal system, both linguistically and legally.</w:t>
      </w:r>
      <w:r w:rsidRPr="00771D2C">
        <w:rPr>
          <w:rStyle w:val="FootnoteReference"/>
        </w:rPr>
        <w:footnoteReference w:id="46"/>
      </w:r>
      <w:r w:rsidRPr="00771D2C">
        <w:t xml:space="preserve"> With respect to their systemic allegations, the communicants claim that these are not amenable to judicial review and are accordingly not subject to domestic remedies considerations.</w:t>
      </w:r>
      <w:r w:rsidRPr="00771D2C">
        <w:rPr>
          <w:rStyle w:val="FootnoteReference"/>
        </w:rPr>
        <w:footnoteReference w:id="47"/>
      </w:r>
    </w:p>
    <w:p w14:paraId="5E516CA7" w14:textId="1109F52F" w:rsidR="00BD2E4E" w:rsidRPr="00771D2C" w:rsidRDefault="002A6750" w:rsidP="00771D2C">
      <w:pPr>
        <w:pStyle w:val="NumberedParas"/>
        <w:rPr>
          <w:rStyle w:val="FootnoteReference"/>
          <w:vertAlign w:val="baseline"/>
        </w:rPr>
      </w:pPr>
      <w:r w:rsidRPr="00771D2C">
        <w:lastRenderedPageBreak/>
        <w:t>The P</w:t>
      </w:r>
      <w:r w:rsidR="00BD2E4E" w:rsidRPr="00771D2C">
        <w:t>arty concerned did not comment on the issue of domestic remedies.</w:t>
      </w:r>
    </w:p>
    <w:bookmarkEnd w:id="30"/>
    <w:p w14:paraId="694A0641" w14:textId="51D87FD1" w:rsidR="00042824" w:rsidRPr="00771D2C" w:rsidRDefault="0023575C" w:rsidP="00771D2C">
      <w:pPr>
        <w:pStyle w:val="Heading2"/>
        <w:rPr>
          <w:rStyle w:val="st"/>
        </w:rPr>
      </w:pPr>
      <w:r w:rsidRPr="00771D2C">
        <w:t>Substantive issues</w:t>
      </w:r>
    </w:p>
    <w:p w14:paraId="36202F1D" w14:textId="155204E4" w:rsidR="00864E00" w:rsidRPr="007905EF" w:rsidRDefault="005F64E2" w:rsidP="00864E00">
      <w:pPr>
        <w:pStyle w:val="NumberedParas"/>
        <w:rPr>
          <w:szCs w:val="20"/>
        </w:rPr>
      </w:pPr>
      <w:r>
        <w:rPr>
          <w:rStyle w:val="st"/>
        </w:rPr>
        <w:t xml:space="preserve">The communicants allege that </w:t>
      </w:r>
      <w:r w:rsidR="006C3FAF">
        <w:rPr>
          <w:rStyle w:val="st"/>
        </w:rPr>
        <w:t>they have been denied their right to participate in proce</w:t>
      </w:r>
      <w:r w:rsidR="00AB66D0">
        <w:rPr>
          <w:rStyle w:val="st"/>
        </w:rPr>
        <w:t>dures</w:t>
      </w:r>
      <w:r w:rsidR="006C3FAF">
        <w:rPr>
          <w:rStyle w:val="st"/>
        </w:rPr>
        <w:t xml:space="preserve"> under article 6 of the Convention and their right to access to justice under article 9</w:t>
      </w:r>
      <w:r w:rsidR="006253B4">
        <w:rPr>
          <w:rStyle w:val="st"/>
        </w:rPr>
        <w:t>(2)</w:t>
      </w:r>
      <w:r w:rsidR="006C3FAF">
        <w:rPr>
          <w:rStyle w:val="st"/>
        </w:rPr>
        <w:t xml:space="preserve"> of the Convention. </w:t>
      </w:r>
      <w:r w:rsidR="00040AE5">
        <w:rPr>
          <w:rStyle w:val="st"/>
        </w:rPr>
        <w:t xml:space="preserve">They claim that the decision of 30 March 2016 to </w:t>
      </w:r>
      <w:r w:rsidR="002E3E80">
        <w:rPr>
          <w:rStyle w:val="st"/>
        </w:rPr>
        <w:t>permit activity at Dukov</w:t>
      </w:r>
      <w:r w:rsidR="00C72F12">
        <w:rPr>
          <w:rStyle w:val="st"/>
        </w:rPr>
        <w:t>a</w:t>
      </w:r>
      <w:r w:rsidR="002E3E80">
        <w:rPr>
          <w:rStyle w:val="st"/>
        </w:rPr>
        <w:t xml:space="preserve">ny NPP reactor 1 for an indefinite period of time </w:t>
      </w:r>
      <w:r w:rsidR="007A4067">
        <w:rPr>
          <w:rStyle w:val="st"/>
        </w:rPr>
        <w:t>falls under article 6(1)(a) of the Convention and subsequently also under article 9(2).</w:t>
      </w:r>
      <w:r w:rsidR="00BE0236">
        <w:rPr>
          <w:rStyle w:val="FootnoteReference"/>
        </w:rPr>
        <w:footnoteReference w:id="48"/>
      </w:r>
      <w:r w:rsidR="007A4067">
        <w:rPr>
          <w:rStyle w:val="st"/>
        </w:rPr>
        <w:t xml:space="preserve"> </w:t>
      </w:r>
      <w:r w:rsidR="00864E00" w:rsidRPr="003776DA">
        <w:rPr>
          <w:rStyle w:val="st"/>
          <w:szCs w:val="20"/>
        </w:rPr>
        <w:t xml:space="preserve">The communicants submit that the creation and use of </w:t>
      </w:r>
      <w:r w:rsidR="00864E00" w:rsidRPr="003776DA">
        <w:t>so-called “unlimited permits” should not be used as a strategy to avoid public participation responsibilities.</w:t>
      </w:r>
      <w:r w:rsidR="00153941" w:rsidRPr="003776DA">
        <w:rPr>
          <w:rStyle w:val="FootnoteReference"/>
          <w:szCs w:val="20"/>
        </w:rPr>
        <w:footnoteReference w:id="49"/>
      </w:r>
      <w:r w:rsidR="00864E00" w:rsidRPr="003776DA">
        <w:t xml:space="preserve"> </w:t>
      </w:r>
    </w:p>
    <w:p w14:paraId="0CB8D00C" w14:textId="687EC5B1" w:rsidR="002D2C1E" w:rsidRPr="006655A6" w:rsidRDefault="002D2C1E" w:rsidP="00864E00">
      <w:pPr>
        <w:pStyle w:val="NumberedParas"/>
        <w:rPr>
          <w:szCs w:val="20"/>
        </w:rPr>
      </w:pPr>
      <w:r>
        <w:rPr>
          <w:rStyle w:val="st"/>
        </w:rPr>
        <w:t xml:space="preserve">The Party concerned states that the Czech legal system enables the general public to participate in </w:t>
      </w:r>
      <w:r w:rsidR="00CF660F">
        <w:rPr>
          <w:rStyle w:val="st"/>
        </w:rPr>
        <w:t xml:space="preserve">EIA procedures </w:t>
      </w:r>
      <w:r w:rsidR="007905EF">
        <w:rPr>
          <w:rStyle w:val="st"/>
        </w:rPr>
        <w:t>as well as</w:t>
      </w:r>
      <w:r w:rsidR="00CF660F">
        <w:rPr>
          <w:rStyle w:val="st"/>
        </w:rPr>
        <w:t xml:space="preserve"> “subsequent procedures” </w:t>
      </w:r>
      <w:r w:rsidR="00140A90">
        <w:rPr>
          <w:rStyle w:val="st"/>
        </w:rPr>
        <w:t xml:space="preserve">such as zoning permits and building permits which precede operational permits. </w:t>
      </w:r>
      <w:r w:rsidR="003C43EE">
        <w:rPr>
          <w:rStyle w:val="st"/>
        </w:rPr>
        <w:t>It submits that the Dukovany NPP had to pass through these procedures in the past where the public could raise its issues</w:t>
      </w:r>
      <w:r w:rsidR="007B0100">
        <w:rPr>
          <w:rStyle w:val="st"/>
        </w:rPr>
        <w:t xml:space="preserve"> and that if there were not any other such opportunities, then it would be obligatory to have allowed </w:t>
      </w:r>
      <w:r w:rsidR="0030155D">
        <w:rPr>
          <w:rStyle w:val="st"/>
        </w:rPr>
        <w:t>public participation</w:t>
      </w:r>
      <w:r w:rsidR="007B0100">
        <w:rPr>
          <w:rStyle w:val="st"/>
        </w:rPr>
        <w:t xml:space="preserve"> in these proceedings.</w:t>
      </w:r>
      <w:r w:rsidR="002A2343">
        <w:rPr>
          <w:rStyle w:val="FootnoteReference"/>
        </w:rPr>
        <w:footnoteReference w:id="50"/>
      </w:r>
    </w:p>
    <w:p w14:paraId="6ABA55CF" w14:textId="7834B7F0" w:rsidR="00042824" w:rsidRPr="00771D2C" w:rsidRDefault="00042824" w:rsidP="00771D2C">
      <w:pPr>
        <w:pStyle w:val="NumberedParas"/>
      </w:pPr>
      <w:r w:rsidRPr="00771D2C">
        <w:rPr>
          <w:rStyle w:val="st"/>
        </w:rPr>
        <w:t>The communicant</w:t>
      </w:r>
      <w:r w:rsidR="006B49FB" w:rsidRPr="00771D2C">
        <w:rPr>
          <w:rStyle w:val="st"/>
        </w:rPr>
        <w:t>s</w:t>
      </w:r>
      <w:r w:rsidRPr="00771D2C">
        <w:rPr>
          <w:rStyle w:val="st"/>
        </w:rPr>
        <w:t xml:space="preserve"> allege specific instances of violations of the Convention in relation to </w:t>
      </w:r>
      <w:r w:rsidR="004C1265" w:rsidRPr="00771D2C">
        <w:t xml:space="preserve">Dukovany NPP’s </w:t>
      </w:r>
      <w:r w:rsidR="00922DF7" w:rsidRPr="00771D2C">
        <w:t>r</w:t>
      </w:r>
      <w:r w:rsidR="004C1265" w:rsidRPr="00771D2C">
        <w:t>eactor 1 and ongoing specific noncompliance regarding its other reactors</w:t>
      </w:r>
      <w:r w:rsidR="00DB5515" w:rsidRPr="00771D2C">
        <w:t>.</w:t>
      </w:r>
      <w:r w:rsidR="004C1265" w:rsidRPr="00771D2C">
        <w:t xml:space="preserve"> Additionally, the communicant</w:t>
      </w:r>
      <w:r w:rsidR="00584A8D" w:rsidRPr="00771D2C">
        <w:t>s</w:t>
      </w:r>
      <w:r w:rsidR="004C1265" w:rsidRPr="00771D2C">
        <w:t xml:space="preserve"> allege systemic noncompliance</w:t>
      </w:r>
      <w:r w:rsidR="005C410C">
        <w:t xml:space="preserve"> and a breach of article 3(1) of the Convention</w:t>
      </w:r>
      <w:r w:rsidR="004C1265" w:rsidRPr="00771D2C">
        <w:t>, which arises as a result of the Czech legislative framewor</w:t>
      </w:r>
      <w:r w:rsidR="00DB5515" w:rsidRPr="00771D2C">
        <w:t>k.</w:t>
      </w:r>
      <w:r w:rsidRPr="00771D2C">
        <w:rPr>
          <w:rStyle w:val="FootnoteReference"/>
        </w:rPr>
        <w:footnoteReference w:id="51"/>
      </w:r>
    </w:p>
    <w:p w14:paraId="122B89F1" w14:textId="5A0BD56C" w:rsidR="00D50B9C" w:rsidRPr="00771D2C" w:rsidRDefault="00D50B9C" w:rsidP="00771D2C">
      <w:pPr>
        <w:pStyle w:val="Heading3"/>
      </w:pPr>
      <w:r w:rsidRPr="00771D2C">
        <w:t>A</w:t>
      </w:r>
      <w:r w:rsidR="005E4C40" w:rsidRPr="00771D2C">
        <w:t>pplicability of a</w:t>
      </w:r>
      <w:r w:rsidRPr="00771D2C">
        <w:t xml:space="preserve">rticle </w:t>
      </w:r>
      <w:r w:rsidR="00DB5515" w:rsidRPr="00771D2C">
        <w:t>6</w:t>
      </w:r>
      <w:r w:rsidR="005E4C40" w:rsidRPr="00771D2C">
        <w:t>(1)(a)</w:t>
      </w:r>
    </w:p>
    <w:p w14:paraId="5C2F796B" w14:textId="04901FD1" w:rsidR="00954A25" w:rsidRDefault="00B544FF" w:rsidP="005A2ECE">
      <w:pPr>
        <w:pStyle w:val="NumberedParas"/>
      </w:pPr>
      <w:r w:rsidRPr="00771D2C">
        <w:t xml:space="preserve">The communicants </w:t>
      </w:r>
      <w:r w:rsidR="004957BF">
        <w:t>assert</w:t>
      </w:r>
      <w:r w:rsidR="004957BF" w:rsidRPr="00771D2C">
        <w:t xml:space="preserve"> </w:t>
      </w:r>
      <w:r w:rsidRPr="00771D2C">
        <w:t>that</w:t>
      </w:r>
      <w:r w:rsidRPr="00771D2C">
        <w:rPr>
          <w:rStyle w:val="CommentReference"/>
          <w:sz w:val="20"/>
        </w:rPr>
        <w:t xml:space="preserve"> </w:t>
      </w:r>
      <w:r w:rsidRPr="00771D2C">
        <w:t xml:space="preserve">the SONS decision of </w:t>
      </w:r>
      <w:r w:rsidR="00FD3E42" w:rsidRPr="00771D2C">
        <w:t>30 March</w:t>
      </w:r>
      <w:r w:rsidRPr="00771D2C">
        <w:t xml:space="preserve"> 2016 permits or authorizes the continued </w:t>
      </w:r>
      <w:r w:rsidRPr="003776DA">
        <w:t>operation</w:t>
      </w:r>
      <w:r w:rsidRPr="00771D2C">
        <w:t xml:space="preserve"> of Dukovany’s first reactor beyond that reactor’s original lifetime</w:t>
      </w:r>
      <w:r w:rsidR="00954A25">
        <w:t xml:space="preserve"> for an indefinite period of time</w:t>
      </w:r>
      <w:r w:rsidRPr="003776DA">
        <w:t>.</w:t>
      </w:r>
      <w:r w:rsidRPr="00771D2C">
        <w:rPr>
          <w:rStyle w:val="FootnoteReference"/>
        </w:rPr>
        <w:footnoteReference w:id="52"/>
      </w:r>
      <w:r w:rsidRPr="00771D2C">
        <w:t xml:space="preserve"> The communicants submit that</w:t>
      </w:r>
      <w:r w:rsidR="006A65A1" w:rsidRPr="00771D2C">
        <w:t>, as acknowledged by SONS and CEZ,</w:t>
      </w:r>
      <w:r w:rsidRPr="00771D2C">
        <w:t xml:space="preserve"> the </w:t>
      </w:r>
      <w:r w:rsidR="006A65A1" w:rsidRPr="00771D2C">
        <w:t xml:space="preserve">original </w:t>
      </w:r>
      <w:r w:rsidRPr="00771D2C">
        <w:t xml:space="preserve">lifetime of the nuclear reactors was set to expire, and that </w:t>
      </w:r>
      <w:r w:rsidR="006A65A1" w:rsidRPr="00771D2C">
        <w:t>but</w:t>
      </w:r>
      <w:r w:rsidRPr="00771D2C">
        <w:t xml:space="preserve"> for the above-mentioned decision, operations would have </w:t>
      </w:r>
      <w:r w:rsidRPr="003776DA">
        <w:t>cease</w:t>
      </w:r>
      <w:r w:rsidR="00CB477C">
        <w:t>d</w:t>
      </w:r>
      <w:r w:rsidRPr="00771D2C">
        <w:t>.</w:t>
      </w:r>
      <w:r w:rsidR="006A65A1" w:rsidRPr="00771D2C">
        <w:rPr>
          <w:rStyle w:val="FootnoteReference"/>
        </w:rPr>
        <w:footnoteReference w:id="53"/>
      </w:r>
      <w:r w:rsidRPr="00771D2C">
        <w:t xml:space="preserve"> </w:t>
      </w:r>
    </w:p>
    <w:p w14:paraId="5EC3F70F" w14:textId="2476D50E" w:rsidR="006909FF" w:rsidRPr="00771D2C" w:rsidRDefault="006909FF" w:rsidP="00771D2C">
      <w:pPr>
        <w:pStyle w:val="NumberedParas"/>
      </w:pPr>
      <w:r w:rsidRPr="00771D2C">
        <w:t xml:space="preserve">The communicants </w:t>
      </w:r>
      <w:r w:rsidR="00891042">
        <w:t>submit</w:t>
      </w:r>
      <w:r w:rsidR="00891042" w:rsidRPr="00771D2C">
        <w:t xml:space="preserve"> </w:t>
      </w:r>
      <w:r w:rsidRPr="00771D2C">
        <w:t xml:space="preserve">that the decision </w:t>
      </w:r>
      <w:r w:rsidR="009C5ADF">
        <w:t>to extend</w:t>
      </w:r>
      <w:r w:rsidR="009C5ADF" w:rsidRPr="00771D2C">
        <w:t xml:space="preserve"> the </w:t>
      </w:r>
      <w:r w:rsidR="009C5ADF">
        <w:t xml:space="preserve">operation of reactor 1 </w:t>
      </w:r>
      <w:r>
        <w:t>covers</w:t>
      </w:r>
      <w:r w:rsidRPr="00771D2C">
        <w:t xml:space="preserve"> all the basic parameters and main environmental implications of the proposed activity </w:t>
      </w:r>
      <w:r w:rsidRPr="00771D2C">
        <w:rPr>
          <w:rStyle w:val="FootnoteReference"/>
        </w:rPr>
        <w:t xml:space="preserve"> </w:t>
      </w:r>
      <w:r w:rsidRPr="00771D2C">
        <w:t xml:space="preserve">and </w:t>
      </w:r>
      <w:r>
        <w:t>that it</w:t>
      </w:r>
      <w:r w:rsidRPr="003776DA">
        <w:t xml:space="preserve"> </w:t>
      </w:r>
      <w:r w:rsidRPr="00771D2C">
        <w:t xml:space="preserve">authorized the continued </w:t>
      </w:r>
      <w:r w:rsidRPr="003776DA">
        <w:t>operation</w:t>
      </w:r>
      <w:r w:rsidRPr="00771D2C">
        <w:t xml:space="preserve"> of an ultra-hazardous activity of enormous public concern.</w:t>
      </w:r>
      <w:r w:rsidRPr="00771D2C">
        <w:rPr>
          <w:rStyle w:val="FootnoteReference"/>
        </w:rPr>
        <w:footnoteReference w:id="54"/>
      </w:r>
      <w:r w:rsidRPr="00771D2C">
        <w:t xml:space="preserve"> The communicants state </w:t>
      </w:r>
      <w:r>
        <w:t xml:space="preserve">that </w:t>
      </w:r>
      <w:r w:rsidRPr="00771D2C">
        <w:t>the risks of environmental damage are particularly heightened given the ageing equipment, some of which cannot be replaced, and the “grave defects with the welds”.</w:t>
      </w:r>
      <w:r w:rsidRPr="00771D2C">
        <w:rPr>
          <w:rStyle w:val="FootnoteReference"/>
        </w:rPr>
        <w:footnoteReference w:id="55"/>
      </w:r>
      <w:r w:rsidRPr="00771D2C">
        <w:t xml:space="preserve"> </w:t>
      </w:r>
    </w:p>
    <w:p w14:paraId="1EE9E347" w14:textId="1F258089" w:rsidR="006909FF" w:rsidRPr="00771D2C" w:rsidRDefault="006909FF" w:rsidP="00771D2C">
      <w:pPr>
        <w:pStyle w:val="NumberedParas"/>
      </w:pPr>
      <w:r w:rsidRPr="00771D2C">
        <w:t xml:space="preserve">The communicants claim that the situation </w:t>
      </w:r>
      <w:r w:rsidR="00F62AF6">
        <w:t>will be</w:t>
      </w:r>
      <w:r w:rsidR="00F62AF6" w:rsidRPr="00771D2C">
        <w:t xml:space="preserve"> </w:t>
      </w:r>
      <w:r w:rsidRPr="00771D2C">
        <w:t xml:space="preserve">the same for any future </w:t>
      </w:r>
      <w:r w:rsidRPr="003776DA">
        <w:t>decision</w:t>
      </w:r>
      <w:r w:rsidRPr="00771D2C">
        <w:t xml:space="preserve"> to extend the </w:t>
      </w:r>
      <w:r w:rsidRPr="003776DA">
        <w:t>lifetime</w:t>
      </w:r>
      <w:r w:rsidRPr="00771D2C">
        <w:t xml:space="preserve"> of the other reactors at Dukovany or other NPPs </w:t>
      </w:r>
      <w:r w:rsidR="00F00BF0">
        <w:t xml:space="preserve">in the Party concerned </w:t>
      </w:r>
      <w:r w:rsidRPr="00771D2C">
        <w:t>beyond their original design lifetimes.</w:t>
      </w:r>
      <w:r w:rsidRPr="00771D2C">
        <w:rPr>
          <w:rStyle w:val="FootnoteReference"/>
        </w:rPr>
        <w:footnoteReference w:id="56"/>
      </w:r>
      <w:r w:rsidRPr="00771D2C">
        <w:t xml:space="preserve"> Finally, recalling the Committee’s findings on communications ACCC/C/2006/17 (Lithuania) and ACCC/C/2005/11 (Belgium)</w:t>
      </w:r>
      <w:r w:rsidR="00891042" w:rsidRPr="00771D2C">
        <w:t>,</w:t>
      </w:r>
      <w:r w:rsidRPr="00771D2C">
        <w:rPr>
          <w:rStyle w:val="FootnoteReference"/>
        </w:rPr>
        <w:footnoteReference w:id="57"/>
      </w:r>
      <w:r w:rsidRPr="00771D2C">
        <w:t xml:space="preserve"> the communicants submit that article 6(1) is applicable regardless of the label the Czech </w:t>
      </w:r>
      <w:r w:rsidRPr="00771D2C">
        <w:lastRenderedPageBreak/>
        <w:t>legislation assigns to these decisions and regardless of whether any actual physical changes have occurred.</w:t>
      </w:r>
      <w:r w:rsidRPr="00771D2C">
        <w:rPr>
          <w:rStyle w:val="FootnoteReference"/>
        </w:rPr>
        <w:footnoteReference w:id="58"/>
      </w:r>
      <w:r w:rsidRPr="00771D2C">
        <w:rPr>
          <w:rStyle w:val="FootnoteReference"/>
        </w:rPr>
        <w:t xml:space="preserve"> </w:t>
      </w:r>
      <w:r w:rsidRPr="00771D2C">
        <w:t xml:space="preserve"> </w:t>
      </w:r>
      <w:r>
        <w:t>In any case, t</w:t>
      </w:r>
      <w:r w:rsidRPr="003776DA">
        <w:t>hey</w:t>
      </w:r>
      <w:r w:rsidRPr="00771D2C">
        <w:t xml:space="preserve"> claim that substantial upgrading works have taken place in preparation for the extension of lifetimes.</w:t>
      </w:r>
      <w:r w:rsidRPr="00771D2C">
        <w:rPr>
          <w:rStyle w:val="FootnoteReference"/>
        </w:rPr>
        <w:footnoteReference w:id="59"/>
      </w:r>
    </w:p>
    <w:p w14:paraId="663259B6" w14:textId="17FF957B" w:rsidR="00891042" w:rsidRPr="003776DA" w:rsidRDefault="00891042" w:rsidP="00891042">
      <w:pPr>
        <w:pStyle w:val="NumberedParas"/>
        <w:rPr>
          <w:rStyle w:val="st"/>
          <w:szCs w:val="20"/>
        </w:rPr>
      </w:pPr>
      <w:r>
        <w:rPr>
          <w:rStyle w:val="st"/>
          <w:szCs w:val="20"/>
        </w:rPr>
        <w:t>T</w:t>
      </w:r>
      <w:r w:rsidRPr="003776DA">
        <w:rPr>
          <w:rStyle w:val="st"/>
          <w:szCs w:val="20"/>
        </w:rPr>
        <w:t xml:space="preserve">he Party concerned submits that </w:t>
      </w:r>
      <w:r w:rsidRPr="003776DA">
        <w:t>“the manufacturer's original estimate of all four reactors’ 30-year lifetimes was based on the current scientific and technological knowledge at the time (the 1980s) and as such quite conservative.”</w:t>
      </w:r>
      <w:r w:rsidR="00574CF4" w:rsidRPr="003776DA">
        <w:rPr>
          <w:rStyle w:val="FootnoteReference"/>
          <w:szCs w:val="20"/>
        </w:rPr>
        <w:footnoteReference w:id="60"/>
      </w:r>
      <w:r w:rsidRPr="003776DA">
        <w:t xml:space="preserve"> It claims that “the current state of the reactor – which is subject to continuous observation of its lifetime – clearly shows that the device can be safely operated beyond the 30-year mark.”</w:t>
      </w:r>
      <w:r w:rsidR="00F36BCC" w:rsidRPr="003776DA">
        <w:rPr>
          <w:rStyle w:val="FootnoteReference"/>
          <w:szCs w:val="20"/>
        </w:rPr>
        <w:footnoteReference w:id="61"/>
      </w:r>
      <w:r w:rsidRPr="003776DA">
        <w:t xml:space="preserve"> It submits that “the reactor’s lifetime is not affected by the operating permit.”</w:t>
      </w:r>
      <w:r w:rsidR="00CE7732" w:rsidRPr="003776DA">
        <w:rPr>
          <w:rStyle w:val="FootnoteReference"/>
          <w:szCs w:val="20"/>
        </w:rPr>
        <w:footnoteReference w:id="62"/>
      </w:r>
    </w:p>
    <w:p w14:paraId="1DDC2E3E" w14:textId="0730A6D7" w:rsidR="00680EB7" w:rsidRPr="00771D2C" w:rsidRDefault="00680EB7" w:rsidP="00771D2C">
      <w:pPr>
        <w:pStyle w:val="Heading4"/>
      </w:pPr>
      <w:r w:rsidRPr="00771D2C">
        <w:t>Article 6(1)(a) in conjunction with annex I</w:t>
      </w:r>
      <w:r w:rsidR="00381B13" w:rsidRPr="00771D2C">
        <w:t>, para</w:t>
      </w:r>
      <w:r w:rsidR="00C438AD" w:rsidRPr="00771D2C">
        <w:t>.</w:t>
      </w:r>
      <w:r w:rsidR="00381B13" w:rsidRPr="00771D2C">
        <w:t xml:space="preserve"> </w:t>
      </w:r>
      <w:r w:rsidRPr="00771D2C">
        <w:t>1</w:t>
      </w:r>
    </w:p>
    <w:p w14:paraId="52F7D54E" w14:textId="52CEE13F" w:rsidR="00757C60" w:rsidRPr="00771D2C" w:rsidRDefault="00CA3740" w:rsidP="00771D2C">
      <w:pPr>
        <w:pStyle w:val="NumberedParas"/>
      </w:pPr>
      <w:bookmarkStart w:id="31" w:name="_Ref498330401"/>
      <w:r w:rsidRPr="00771D2C">
        <w:rPr>
          <w:rStyle w:val="st"/>
        </w:rPr>
        <w:t xml:space="preserve">Recalling paragraph 44 of the Committee’s findings on </w:t>
      </w:r>
      <w:r w:rsidRPr="00771D2C">
        <w:t>ACCC/C/2009/41 (Slovakia),</w:t>
      </w:r>
      <w:r w:rsidRPr="00771D2C">
        <w:rPr>
          <w:rStyle w:val="FootnoteReference"/>
        </w:rPr>
        <w:footnoteReference w:id="63"/>
      </w:r>
      <w:r w:rsidRPr="00771D2C">
        <w:rPr>
          <w:rStyle w:val="st"/>
        </w:rPr>
        <w:t xml:space="preserve"> the </w:t>
      </w:r>
      <w:r w:rsidR="00F17D15" w:rsidRPr="00771D2C">
        <w:rPr>
          <w:rStyle w:val="st"/>
        </w:rPr>
        <w:t>communicant</w:t>
      </w:r>
      <w:r w:rsidR="003B5C0C" w:rsidRPr="00771D2C">
        <w:rPr>
          <w:rStyle w:val="st"/>
        </w:rPr>
        <w:t>s</w:t>
      </w:r>
      <w:r w:rsidR="002F3FF5" w:rsidRPr="00771D2C">
        <w:rPr>
          <w:rStyle w:val="st"/>
        </w:rPr>
        <w:t xml:space="preserve"> </w:t>
      </w:r>
      <w:r w:rsidR="003B5C0C" w:rsidRPr="00771D2C">
        <w:rPr>
          <w:rStyle w:val="st"/>
        </w:rPr>
        <w:t>claim</w:t>
      </w:r>
      <w:r w:rsidR="00F17D15" w:rsidRPr="00771D2C">
        <w:rPr>
          <w:rStyle w:val="st"/>
        </w:rPr>
        <w:t xml:space="preserve"> </w:t>
      </w:r>
      <w:r w:rsidR="003B5C0C" w:rsidRPr="00771D2C">
        <w:t xml:space="preserve">that the </w:t>
      </w:r>
      <w:r w:rsidR="003B5C0C" w:rsidRPr="003776DA">
        <w:t>extension fall</w:t>
      </w:r>
      <w:r w:rsidR="00F1313B">
        <w:t>s</w:t>
      </w:r>
      <w:r w:rsidR="003B5C0C" w:rsidRPr="00771D2C">
        <w:t xml:space="preserve"> directly under </w:t>
      </w:r>
      <w:r w:rsidR="009F39CA" w:rsidRPr="00771D2C">
        <w:t>a</w:t>
      </w:r>
      <w:r w:rsidR="003B5C0C" w:rsidRPr="00771D2C">
        <w:t>rticle 6</w:t>
      </w:r>
      <w:r w:rsidR="00381B13" w:rsidRPr="00771D2C">
        <w:t>(</w:t>
      </w:r>
      <w:r w:rsidR="003B5C0C" w:rsidRPr="00771D2C">
        <w:t>1</w:t>
      </w:r>
      <w:r w:rsidR="00381B13" w:rsidRPr="00771D2C">
        <w:t>)</w:t>
      </w:r>
      <w:r w:rsidR="003B5C0C" w:rsidRPr="00771D2C">
        <w:t>(a) in conjunction with para</w:t>
      </w:r>
      <w:r w:rsidR="00381B13" w:rsidRPr="00771D2C">
        <w:t>graph</w:t>
      </w:r>
      <w:r w:rsidR="003B5C0C" w:rsidRPr="00771D2C">
        <w:t xml:space="preserve"> 1</w:t>
      </w:r>
      <w:r w:rsidR="00381B13" w:rsidRPr="00771D2C">
        <w:t xml:space="preserve"> of annex I</w:t>
      </w:r>
      <w:r w:rsidR="00935D7A" w:rsidRPr="00771D2C">
        <w:t>, for which public participation should be provided in permit procedures</w:t>
      </w:r>
      <w:r w:rsidR="003B5C0C" w:rsidRPr="00771D2C">
        <w:t>.</w:t>
      </w:r>
      <w:r w:rsidR="003B5C0C" w:rsidRPr="00771D2C">
        <w:rPr>
          <w:rStyle w:val="FootnoteReference"/>
        </w:rPr>
        <w:footnoteReference w:id="64"/>
      </w:r>
      <w:r w:rsidR="003B5C0C" w:rsidRPr="00771D2C">
        <w:t xml:space="preserve"> </w:t>
      </w:r>
    </w:p>
    <w:p w14:paraId="1F95EBEB" w14:textId="572DF15F" w:rsidR="00757C60" w:rsidRPr="00771D2C" w:rsidRDefault="00F1243B" w:rsidP="00771D2C">
      <w:pPr>
        <w:pStyle w:val="NumberedParas"/>
      </w:pPr>
      <w:r>
        <w:t>T</w:t>
      </w:r>
      <w:r w:rsidR="003B5C0C" w:rsidRPr="003776DA">
        <w:t>he</w:t>
      </w:r>
      <w:r w:rsidR="003B5C0C" w:rsidRPr="00771D2C">
        <w:t xml:space="preserve"> communicant</w:t>
      </w:r>
      <w:r w:rsidR="007628D4" w:rsidRPr="00771D2C">
        <w:t>s</w:t>
      </w:r>
      <w:r w:rsidR="003B5C0C" w:rsidRPr="00771D2C">
        <w:t xml:space="preserve"> argue that</w:t>
      </w:r>
      <w:r w:rsidR="009E38FD" w:rsidRPr="00771D2C">
        <w:t xml:space="preserve"> article 6(1)(a) in conjunction with paragraph 1 of annex I </w:t>
      </w:r>
      <w:r w:rsidR="00075ED9" w:rsidRPr="00771D2C">
        <w:t xml:space="preserve">does not require the activity to be “new”, and that </w:t>
      </w:r>
      <w:r w:rsidR="00381B13" w:rsidRPr="00771D2C">
        <w:t>t</w:t>
      </w:r>
      <w:r w:rsidR="00075ED9" w:rsidRPr="00771D2C">
        <w:t xml:space="preserve">he words “new,” “construction” and the like appear nowhere in either </w:t>
      </w:r>
      <w:r w:rsidR="00075ED9" w:rsidRPr="00771D2C">
        <w:rPr>
          <w:rStyle w:val="st"/>
        </w:rPr>
        <w:t xml:space="preserve">article </w:t>
      </w:r>
      <w:r w:rsidR="00075ED9" w:rsidRPr="00771D2C">
        <w:t>6</w:t>
      </w:r>
      <w:r w:rsidR="009F39CA" w:rsidRPr="00771D2C">
        <w:t>(1)</w:t>
      </w:r>
      <w:r w:rsidR="00075ED9" w:rsidRPr="00771D2C">
        <w:t>(a) or annex I, para</w:t>
      </w:r>
      <w:r w:rsidR="00E16DBC" w:rsidRPr="00771D2C">
        <w:t>graph</w:t>
      </w:r>
      <w:r w:rsidR="00075ED9" w:rsidRPr="00771D2C">
        <w:t xml:space="preserve"> 1.</w:t>
      </w:r>
      <w:r w:rsidR="00075ED9" w:rsidRPr="00771D2C">
        <w:rPr>
          <w:rStyle w:val="FootnoteReference"/>
        </w:rPr>
        <w:footnoteReference w:id="65"/>
      </w:r>
      <w:r w:rsidR="00075ED9" w:rsidRPr="00771D2C">
        <w:t xml:space="preserve"> </w:t>
      </w:r>
      <w:r w:rsidR="00757C60" w:rsidRPr="00771D2C">
        <w:t xml:space="preserve">The communicants note that the express wording of </w:t>
      </w:r>
      <w:r w:rsidR="00E16DBC" w:rsidRPr="00771D2C">
        <w:t>a</w:t>
      </w:r>
      <w:r w:rsidR="00757C60" w:rsidRPr="00771D2C">
        <w:t>rticle 6</w:t>
      </w:r>
      <w:r w:rsidR="00E16DBC" w:rsidRPr="00771D2C">
        <w:t>(</w:t>
      </w:r>
      <w:r w:rsidR="00757C60" w:rsidRPr="00771D2C">
        <w:t>1</w:t>
      </w:r>
      <w:r w:rsidR="00E16DBC" w:rsidRPr="00771D2C">
        <w:t>)</w:t>
      </w:r>
      <w:r w:rsidR="00757C60" w:rsidRPr="00771D2C">
        <w:t xml:space="preserve">(a) states that the provision covers </w:t>
      </w:r>
      <w:r w:rsidR="00E16DBC" w:rsidRPr="00771D2C">
        <w:t>“</w:t>
      </w:r>
      <w:r w:rsidR="00757C60" w:rsidRPr="00771D2C">
        <w:t xml:space="preserve">decisions on whether to permit </w:t>
      </w:r>
      <w:r w:rsidR="00757C60" w:rsidRPr="00771D2C">
        <w:rPr>
          <w:i/>
        </w:rPr>
        <w:t xml:space="preserve">proposed </w:t>
      </w:r>
      <w:r w:rsidR="00757C60" w:rsidRPr="00771D2C">
        <w:t>activities</w:t>
      </w:r>
      <w:r w:rsidR="00E16DBC" w:rsidRPr="003776DA">
        <w:t>”</w:t>
      </w:r>
      <w:r w:rsidR="00757C60" w:rsidRPr="00771D2C">
        <w:rPr>
          <w:rStyle w:val="FootnoteReference"/>
        </w:rPr>
        <w:footnoteReference w:id="66"/>
      </w:r>
      <w:r w:rsidR="00E75C87" w:rsidRPr="00771D2C">
        <w:t xml:space="preserve"> </w:t>
      </w:r>
      <w:r w:rsidR="00E75C87">
        <w:t>and that</w:t>
      </w:r>
      <w:r w:rsidR="00757C60" w:rsidRPr="003776DA">
        <w:t xml:space="preserve"> </w:t>
      </w:r>
      <w:r w:rsidR="00E75C87">
        <w:t>t</w:t>
      </w:r>
      <w:r w:rsidR="00757C60" w:rsidRPr="003776DA">
        <w:t>here</w:t>
      </w:r>
      <w:r w:rsidR="00757C60" w:rsidRPr="00771D2C">
        <w:t xml:space="preserve"> is nothing to prevent lifetime extensions from qualifying as proposed activities.</w:t>
      </w:r>
      <w:r w:rsidR="00757C60" w:rsidRPr="00771D2C">
        <w:rPr>
          <w:rStyle w:val="FootnoteReference"/>
        </w:rPr>
        <w:footnoteReference w:id="67"/>
      </w:r>
    </w:p>
    <w:p w14:paraId="655C779D" w14:textId="710442EE" w:rsidR="005633E6" w:rsidRPr="00771D2C" w:rsidRDefault="001B4D5F" w:rsidP="00771D2C">
      <w:pPr>
        <w:pStyle w:val="NumberedParas"/>
      </w:pPr>
      <w:r>
        <w:t>T</w:t>
      </w:r>
      <w:r w:rsidR="0018107A" w:rsidRPr="003776DA">
        <w:t>he</w:t>
      </w:r>
      <w:r w:rsidR="0018107A" w:rsidRPr="00771D2C">
        <w:t xml:space="preserve"> communicant</w:t>
      </w:r>
      <w:r w:rsidR="007628D4" w:rsidRPr="00771D2C">
        <w:t>s</w:t>
      </w:r>
      <w:r w:rsidR="0018107A" w:rsidRPr="00771D2C">
        <w:t xml:space="preserve"> </w:t>
      </w:r>
      <w:r>
        <w:t xml:space="preserve">further </w:t>
      </w:r>
      <w:r w:rsidR="004338EC" w:rsidRPr="00771D2C">
        <w:t>state</w:t>
      </w:r>
      <w:r w:rsidR="0018107A" w:rsidRPr="00771D2C">
        <w:t xml:space="preserve"> that </w:t>
      </w:r>
      <w:r w:rsidR="00E16DBC" w:rsidRPr="00771D2C">
        <w:t>e</w:t>
      </w:r>
      <w:r w:rsidR="0018107A" w:rsidRPr="00771D2C">
        <w:t xml:space="preserve">ven if </w:t>
      </w:r>
      <w:r w:rsidR="00083882">
        <w:rPr>
          <w:rStyle w:val="st"/>
          <w:szCs w:val="20"/>
        </w:rPr>
        <w:t>“</w:t>
      </w:r>
      <w:r w:rsidR="004338EC" w:rsidRPr="00771D2C">
        <w:rPr>
          <w:rStyle w:val="st"/>
        </w:rPr>
        <w:t>proposed activity</w:t>
      </w:r>
      <w:r w:rsidR="00083882">
        <w:rPr>
          <w:rStyle w:val="st"/>
          <w:szCs w:val="20"/>
        </w:rPr>
        <w:t>”</w:t>
      </w:r>
      <w:r w:rsidR="0018107A" w:rsidRPr="00771D2C">
        <w:t xml:space="preserve"> </w:t>
      </w:r>
      <w:r w:rsidR="00A80E88" w:rsidRPr="00771D2C">
        <w:t xml:space="preserve">is </w:t>
      </w:r>
      <w:r w:rsidR="0018107A" w:rsidRPr="00771D2C">
        <w:t xml:space="preserve">interpreted </w:t>
      </w:r>
      <w:r w:rsidR="00A80E88" w:rsidRPr="00771D2C">
        <w:t>as having</w:t>
      </w:r>
      <w:r w:rsidR="0018107A" w:rsidRPr="00771D2C">
        <w:t xml:space="preserve"> the </w:t>
      </w:r>
      <w:r w:rsidR="00075ED9" w:rsidRPr="00771D2C">
        <w:t xml:space="preserve">additional requirement that </w:t>
      </w:r>
      <w:r w:rsidR="0018107A" w:rsidRPr="00771D2C">
        <w:t xml:space="preserve">the activity </w:t>
      </w:r>
      <w:r w:rsidR="004338EC" w:rsidRPr="00771D2C">
        <w:t>be somehow</w:t>
      </w:r>
      <w:r w:rsidR="0018107A" w:rsidRPr="00771D2C">
        <w:t xml:space="preserve"> </w:t>
      </w:r>
      <w:r w:rsidR="00075ED9" w:rsidRPr="00771D2C">
        <w:t xml:space="preserve">new, </w:t>
      </w:r>
      <w:r w:rsidR="004338EC" w:rsidRPr="00771D2C">
        <w:t>the extension of a</w:t>
      </w:r>
      <w:r w:rsidR="00700B38" w:rsidRPr="00771D2C">
        <w:t xml:space="preserve"> </w:t>
      </w:r>
      <w:r w:rsidR="00700B38">
        <w:t>NPP’s</w:t>
      </w:r>
      <w:r w:rsidR="004338EC" w:rsidRPr="003776DA">
        <w:t xml:space="preserve"> </w:t>
      </w:r>
      <w:r w:rsidR="004338EC" w:rsidRPr="00771D2C">
        <w:t>lifetime is a new activity.</w:t>
      </w:r>
      <w:r w:rsidR="004338EC" w:rsidRPr="00771D2C">
        <w:rPr>
          <w:rStyle w:val="FootnoteReference"/>
        </w:rPr>
        <w:footnoteReference w:id="68"/>
      </w:r>
      <w:r w:rsidR="00A80E88" w:rsidRPr="00771D2C">
        <w:t xml:space="preserve"> </w:t>
      </w:r>
      <w:r w:rsidR="00353ABF" w:rsidRPr="00771D2C">
        <w:t>The communicants claim that</w:t>
      </w:r>
      <w:r w:rsidR="005633E6" w:rsidRPr="00771D2C">
        <w:t xml:space="preserve"> </w:t>
      </w:r>
      <w:r w:rsidR="00E16DBC" w:rsidRPr="00771D2C">
        <w:t>o</w:t>
      </w:r>
      <w:r w:rsidR="005633E6" w:rsidRPr="00771D2C">
        <w:t>perating an NPP within its designed lifetime has its own parameters and poses its own – quite significant – environmental risks.</w:t>
      </w:r>
      <w:r w:rsidR="00B544FF" w:rsidRPr="00771D2C">
        <w:t xml:space="preserve"> </w:t>
      </w:r>
      <w:r w:rsidR="005F042C" w:rsidRPr="00771D2C">
        <w:t>O</w:t>
      </w:r>
      <w:r w:rsidR="00B544FF" w:rsidRPr="00771D2C">
        <w:t>perating an NPP (potentially indefinitely) beyond that designed lifetime has different parameters and poses a host of new and greater environmental risks.</w:t>
      </w:r>
      <w:r w:rsidR="005633E6" w:rsidRPr="00771D2C">
        <w:rPr>
          <w:rStyle w:val="FootnoteReference"/>
        </w:rPr>
        <w:footnoteReference w:id="69"/>
      </w:r>
      <w:r w:rsidR="003D75DE" w:rsidRPr="00771D2C">
        <w:t xml:space="preserve"> </w:t>
      </w:r>
    </w:p>
    <w:p w14:paraId="4AF4F6E0" w14:textId="5F74B6AB" w:rsidR="00627E32" w:rsidRPr="00771D2C" w:rsidRDefault="00E0593B" w:rsidP="00771D2C">
      <w:pPr>
        <w:pStyle w:val="NumberedParas"/>
        <w:rPr>
          <w:rStyle w:val="FootnoteReference"/>
          <w:vertAlign w:val="baseline"/>
        </w:rPr>
      </w:pPr>
      <w:r w:rsidRPr="00771D2C">
        <w:rPr>
          <w:rStyle w:val="st"/>
        </w:rPr>
        <w:t xml:space="preserve">The Party concerned </w:t>
      </w:r>
      <w:r w:rsidR="00C71F55" w:rsidRPr="0085276B">
        <w:rPr>
          <w:rStyle w:val="st"/>
          <w:szCs w:val="20"/>
        </w:rPr>
        <w:t>does not dispute</w:t>
      </w:r>
      <w:r w:rsidR="004F3831" w:rsidRPr="00771D2C">
        <w:rPr>
          <w:rStyle w:val="st"/>
        </w:rPr>
        <w:t xml:space="preserve"> that</w:t>
      </w:r>
      <w:r w:rsidRPr="00771D2C">
        <w:rPr>
          <w:rStyle w:val="st"/>
        </w:rPr>
        <w:t xml:space="preserve"> </w:t>
      </w:r>
      <w:r w:rsidRPr="00771D2C">
        <w:t>nuclear power plant</w:t>
      </w:r>
      <w:r w:rsidR="004F3831" w:rsidRPr="00771D2C">
        <w:t xml:space="preserve">s </w:t>
      </w:r>
      <w:r w:rsidRPr="00771D2C">
        <w:t xml:space="preserve">are listed in </w:t>
      </w:r>
      <w:r w:rsidR="00E16DBC" w:rsidRPr="00771D2C">
        <w:t xml:space="preserve">paragraph 1 of </w:t>
      </w:r>
      <w:r w:rsidRPr="00771D2C">
        <w:t xml:space="preserve">annex I, </w:t>
      </w:r>
      <w:r w:rsidR="00286D5A">
        <w:t xml:space="preserve">but submits that </w:t>
      </w:r>
      <w:r w:rsidR="00E16DBC" w:rsidRPr="00771D2C">
        <w:t xml:space="preserve">the </w:t>
      </w:r>
      <w:r w:rsidR="00170D5A">
        <w:t>present</w:t>
      </w:r>
      <w:r w:rsidR="00AF6A11" w:rsidRPr="00771D2C">
        <w:t xml:space="preserve"> </w:t>
      </w:r>
      <w:r w:rsidR="004F3831" w:rsidRPr="00771D2C">
        <w:t xml:space="preserve">case </w:t>
      </w:r>
      <w:r w:rsidRPr="00771D2C">
        <w:t>cannot be considered an activity permit subject to article 6</w:t>
      </w:r>
      <w:r w:rsidR="00AF6A11" w:rsidRPr="00771D2C">
        <w:t>(</w:t>
      </w:r>
      <w:r w:rsidRPr="00771D2C">
        <w:t>1</w:t>
      </w:r>
      <w:r w:rsidR="00AF6A11" w:rsidRPr="00771D2C">
        <w:t>)</w:t>
      </w:r>
      <w:r w:rsidRPr="00771D2C">
        <w:t>(a).</w:t>
      </w:r>
      <w:r w:rsidRPr="00771D2C">
        <w:rPr>
          <w:rStyle w:val="FootnoteReference"/>
        </w:rPr>
        <w:footnoteReference w:id="70"/>
      </w:r>
      <w:r w:rsidRPr="00771D2C">
        <w:t xml:space="preserve"> </w:t>
      </w:r>
      <w:r w:rsidR="004F3831" w:rsidRPr="00771D2C">
        <w:t xml:space="preserve">The Party concerned submits that the </w:t>
      </w:r>
      <w:r w:rsidR="00BC75BE" w:rsidRPr="00771D2C">
        <w:t>in</w:t>
      </w:r>
      <w:r w:rsidR="004F3831" w:rsidRPr="00771D2C">
        <w:t xml:space="preserve">applicability of article 6(1)(a) is based </w:t>
      </w:r>
      <w:r w:rsidRPr="00771D2C">
        <w:t xml:space="preserve">on the fact that </w:t>
      </w:r>
      <w:bookmarkStart w:id="32" w:name="_Hlk62373744"/>
      <w:r w:rsidR="00E16DBC" w:rsidRPr="00771D2C">
        <w:t>t</w:t>
      </w:r>
      <w:r w:rsidR="00AF6A11" w:rsidRPr="00771D2C">
        <w:t>he</w:t>
      </w:r>
      <w:r w:rsidRPr="00771D2C">
        <w:t xml:space="preserve"> word </w:t>
      </w:r>
      <w:r w:rsidR="00C438AD" w:rsidRPr="00771D2C">
        <w:t>“</w:t>
      </w:r>
      <w:r w:rsidRPr="00771D2C">
        <w:t>proposed</w:t>
      </w:r>
      <w:r w:rsidR="00C438AD" w:rsidRPr="00771D2C">
        <w:t>”</w:t>
      </w:r>
      <w:r w:rsidRPr="00771D2C">
        <w:t xml:space="preserve"> </w:t>
      </w:r>
      <w:r w:rsidR="00BC75BE" w:rsidRPr="00771D2C">
        <w:t>indicates</w:t>
      </w:r>
      <w:r w:rsidRPr="00771D2C">
        <w:t xml:space="preserve"> that the activity has not yet been permitted</w:t>
      </w:r>
      <w:r w:rsidR="00BC5705">
        <w:t xml:space="preserve"> or</w:t>
      </w:r>
      <w:r w:rsidRPr="00771D2C">
        <w:t xml:space="preserve"> constructed and its operation has not yet commenced.</w:t>
      </w:r>
      <w:r w:rsidR="00BC75BE" w:rsidRPr="00771D2C">
        <w:rPr>
          <w:rStyle w:val="FootnoteReference"/>
        </w:rPr>
        <w:footnoteReference w:id="71"/>
      </w:r>
      <w:r w:rsidRPr="00771D2C">
        <w:t xml:space="preserve"> </w:t>
      </w:r>
      <w:r w:rsidR="00BC75BE" w:rsidRPr="00771D2C">
        <w:t>The Party concerned observes that the Dukovany</w:t>
      </w:r>
      <w:r w:rsidRPr="00771D2C">
        <w:t xml:space="preserve"> NPP has been in operation for over 30 years</w:t>
      </w:r>
      <w:r w:rsidR="00E16DBC" w:rsidRPr="00771D2C">
        <w:t xml:space="preserve"> </w:t>
      </w:r>
      <w:r w:rsidRPr="00771D2C">
        <w:t xml:space="preserve">and </w:t>
      </w:r>
      <w:r w:rsidR="00BC75BE" w:rsidRPr="00771D2C">
        <w:lastRenderedPageBreak/>
        <w:t xml:space="preserve">submits </w:t>
      </w:r>
      <w:r w:rsidRPr="00771D2C">
        <w:t xml:space="preserve">therefore </w:t>
      </w:r>
      <w:r w:rsidR="00BC75BE" w:rsidRPr="00771D2C">
        <w:t xml:space="preserve">that it </w:t>
      </w:r>
      <w:r w:rsidRPr="00771D2C">
        <w:t>cannot be considered a proposed activity, as the activity has been continuously performed since the 1980s</w:t>
      </w:r>
      <w:bookmarkEnd w:id="32"/>
      <w:r w:rsidRPr="00771D2C">
        <w:t>.</w:t>
      </w:r>
      <w:r w:rsidR="00BC75BE" w:rsidRPr="00771D2C">
        <w:rPr>
          <w:rStyle w:val="FootnoteReference"/>
        </w:rPr>
        <w:footnoteReference w:id="72"/>
      </w:r>
    </w:p>
    <w:p w14:paraId="14D93D9F" w14:textId="0D9E4BBF" w:rsidR="00627E32" w:rsidRPr="00771D2C" w:rsidRDefault="00B544FF" w:rsidP="00771D2C">
      <w:pPr>
        <w:pStyle w:val="Heading4"/>
      </w:pPr>
      <w:r w:rsidRPr="00771D2C">
        <w:t>Article</w:t>
      </w:r>
      <w:r w:rsidR="00627E32" w:rsidRPr="00771D2C">
        <w:t xml:space="preserve"> 6</w:t>
      </w:r>
      <w:r w:rsidR="004728FC" w:rsidRPr="00771D2C">
        <w:t>(</w:t>
      </w:r>
      <w:r w:rsidR="00627E32" w:rsidRPr="00771D2C">
        <w:t>1</w:t>
      </w:r>
      <w:r w:rsidR="004728FC" w:rsidRPr="00771D2C">
        <w:t>)</w:t>
      </w:r>
      <w:r w:rsidR="00627E32" w:rsidRPr="00771D2C">
        <w:t>(a) in conjunction with annex I</w:t>
      </w:r>
      <w:r w:rsidR="00C438AD" w:rsidRPr="00771D2C">
        <w:t xml:space="preserve">, para. </w:t>
      </w:r>
      <w:r w:rsidR="00627E32" w:rsidRPr="00771D2C">
        <w:t>22</w:t>
      </w:r>
    </w:p>
    <w:p w14:paraId="661E776D" w14:textId="1733723F" w:rsidR="00E0593B" w:rsidRPr="00771D2C" w:rsidRDefault="00EC4DC5" w:rsidP="00771D2C">
      <w:pPr>
        <w:pStyle w:val="NumberedParas"/>
      </w:pPr>
      <w:r w:rsidRPr="00771D2C">
        <w:t>T</w:t>
      </w:r>
      <w:r w:rsidR="00627E32" w:rsidRPr="00771D2C">
        <w:t>he communicant</w:t>
      </w:r>
      <w:r w:rsidR="007628D4" w:rsidRPr="00771D2C">
        <w:t>s</w:t>
      </w:r>
      <w:r w:rsidR="00627E32" w:rsidRPr="00771D2C">
        <w:t xml:space="preserve"> </w:t>
      </w:r>
      <w:r w:rsidRPr="00771D2C">
        <w:t>alternatively</w:t>
      </w:r>
      <w:r w:rsidR="00B000A5" w:rsidRPr="00771D2C">
        <w:t xml:space="preserve"> </w:t>
      </w:r>
      <w:r w:rsidR="00B000A5">
        <w:t>claim</w:t>
      </w:r>
      <w:r w:rsidRPr="003776DA">
        <w:t xml:space="preserve"> </w:t>
      </w:r>
      <w:r w:rsidR="00627E32" w:rsidRPr="00771D2C">
        <w:t xml:space="preserve">that the extensions of </w:t>
      </w:r>
      <w:r w:rsidR="00627E32" w:rsidRPr="003776DA">
        <w:t>lifetime</w:t>
      </w:r>
      <w:r w:rsidR="00627E32" w:rsidRPr="00771D2C">
        <w:t xml:space="preserve"> should be considered</w:t>
      </w:r>
      <w:r w:rsidR="00BC5705">
        <w:t xml:space="preserve"> as</w:t>
      </w:r>
      <w:r w:rsidR="00627E32" w:rsidRPr="00771D2C">
        <w:t xml:space="preserve"> “changes or extensions” within the meaning of </w:t>
      </w:r>
      <w:r w:rsidR="00C438AD" w:rsidRPr="00771D2C">
        <w:t xml:space="preserve">paragraph 22 of </w:t>
      </w:r>
      <w:r w:rsidR="00627E32" w:rsidRPr="00771D2C">
        <w:t>annex I</w:t>
      </w:r>
      <w:r w:rsidR="00CD2147" w:rsidRPr="00771D2C">
        <w:rPr>
          <w:rStyle w:val="st"/>
        </w:rPr>
        <w:t>,</w:t>
      </w:r>
      <w:r w:rsidR="00627E32" w:rsidRPr="00771D2C">
        <w:t xml:space="preserve"> </w:t>
      </w:r>
      <w:r w:rsidRPr="00771D2C">
        <w:t>with the result</w:t>
      </w:r>
      <w:r w:rsidR="00627E32" w:rsidRPr="00771D2C">
        <w:t xml:space="preserve"> that the substantive provisions of </w:t>
      </w:r>
      <w:r w:rsidR="00CD2147" w:rsidRPr="00771D2C">
        <w:t>article</w:t>
      </w:r>
      <w:r w:rsidR="00627E32" w:rsidRPr="00771D2C">
        <w:t xml:space="preserve"> 6 must be applied</w:t>
      </w:r>
      <w:r w:rsidR="00CD2147" w:rsidRPr="00771D2C">
        <w:t xml:space="preserve"> </w:t>
      </w:r>
      <w:r w:rsidRPr="00771D2C">
        <w:t>to such extensions</w:t>
      </w:r>
      <w:r w:rsidR="00500FA8" w:rsidRPr="00771D2C">
        <w:t>.</w:t>
      </w:r>
      <w:r w:rsidR="00EE3633" w:rsidRPr="00771D2C">
        <w:rPr>
          <w:rStyle w:val="FootnoteReference"/>
        </w:rPr>
        <w:footnoteReference w:id="73"/>
      </w:r>
      <w:r w:rsidR="00E0593B" w:rsidRPr="00771D2C">
        <w:t xml:space="preserve"> </w:t>
      </w:r>
    </w:p>
    <w:p w14:paraId="392CFD4E" w14:textId="367FB767" w:rsidR="00BC75BE" w:rsidRPr="00771D2C" w:rsidRDefault="00E0593B" w:rsidP="00771D2C">
      <w:pPr>
        <w:pStyle w:val="NumberedParas"/>
        <w:rPr>
          <w:rStyle w:val="st"/>
        </w:rPr>
      </w:pPr>
      <w:bookmarkStart w:id="33" w:name="_Hlk5638787"/>
      <w:r w:rsidRPr="00771D2C">
        <w:rPr>
          <w:rStyle w:val="st"/>
        </w:rPr>
        <w:t xml:space="preserve">The Party concerned </w:t>
      </w:r>
      <w:r w:rsidR="001213CA" w:rsidRPr="00771D2C">
        <w:rPr>
          <w:rStyle w:val="st"/>
        </w:rPr>
        <w:t>claims</w:t>
      </w:r>
      <w:r w:rsidR="00BC75BE" w:rsidRPr="00771D2C">
        <w:rPr>
          <w:rStyle w:val="st"/>
        </w:rPr>
        <w:t xml:space="preserve"> that the permit issued in 2016 </w:t>
      </w:r>
      <w:r w:rsidR="001213CA" w:rsidRPr="00771D2C">
        <w:rPr>
          <w:rStyle w:val="st"/>
        </w:rPr>
        <w:t xml:space="preserve">does not fall under article 6(1)(a) in conjunction with </w:t>
      </w:r>
      <w:r w:rsidR="00C438AD" w:rsidRPr="00771D2C">
        <w:rPr>
          <w:rStyle w:val="st"/>
        </w:rPr>
        <w:t xml:space="preserve">paragraph 22 of </w:t>
      </w:r>
      <w:r w:rsidR="001213CA" w:rsidRPr="00771D2C">
        <w:rPr>
          <w:rStyle w:val="st"/>
        </w:rPr>
        <w:t>annex I either.</w:t>
      </w:r>
      <w:r w:rsidR="001213CA" w:rsidRPr="00771D2C">
        <w:rPr>
          <w:rStyle w:val="FootnoteReference"/>
        </w:rPr>
        <w:footnoteReference w:id="74"/>
      </w:r>
    </w:p>
    <w:p w14:paraId="143D42CE" w14:textId="2BB296E8" w:rsidR="00500FA8" w:rsidRPr="00771D2C" w:rsidRDefault="001213CA" w:rsidP="00771D2C">
      <w:pPr>
        <w:pStyle w:val="NumberedParas"/>
        <w:rPr>
          <w:rStyle w:val="st"/>
        </w:rPr>
      </w:pPr>
      <w:r w:rsidRPr="00771D2C">
        <w:rPr>
          <w:rStyle w:val="st"/>
        </w:rPr>
        <w:t>The Party concerned observes</w:t>
      </w:r>
      <w:r w:rsidR="00BC75BE" w:rsidRPr="00771D2C">
        <w:rPr>
          <w:rStyle w:val="st"/>
        </w:rPr>
        <w:t xml:space="preserve"> that the Dukovany NPP has been in operation since the 1980s based on previously issued operating permits.</w:t>
      </w:r>
      <w:r w:rsidRPr="00771D2C">
        <w:rPr>
          <w:rStyle w:val="FootnoteReference"/>
        </w:rPr>
        <w:footnoteReference w:id="75"/>
      </w:r>
      <w:r w:rsidR="00BC75BE" w:rsidRPr="00771D2C">
        <w:rPr>
          <w:rStyle w:val="st"/>
        </w:rPr>
        <w:t xml:space="preserve"> </w:t>
      </w:r>
      <w:r w:rsidR="000550B5" w:rsidRPr="00771D2C">
        <w:rPr>
          <w:rStyle w:val="st"/>
        </w:rPr>
        <w:t>It submits</w:t>
      </w:r>
      <w:r w:rsidR="00E0593B" w:rsidRPr="00771D2C">
        <w:rPr>
          <w:rStyle w:val="st"/>
        </w:rPr>
        <w:t xml:space="preserve"> that </w:t>
      </w:r>
      <w:r w:rsidR="00BC75BE" w:rsidRPr="00771D2C">
        <w:rPr>
          <w:rStyle w:val="st"/>
        </w:rPr>
        <w:t>“</w:t>
      </w:r>
      <w:r w:rsidR="00E0593B" w:rsidRPr="00771D2C">
        <w:rPr>
          <w:rStyle w:val="st"/>
        </w:rPr>
        <w:t xml:space="preserve">the </w:t>
      </w:r>
      <w:r w:rsidR="00500FA8" w:rsidRPr="00771D2C">
        <w:t xml:space="preserve">operating permit in question has been issued by </w:t>
      </w:r>
      <w:r w:rsidR="0075326A">
        <w:t>[</w:t>
      </w:r>
      <w:r w:rsidR="00500FA8" w:rsidRPr="003776DA">
        <w:t>SONS</w:t>
      </w:r>
      <w:r w:rsidR="0075326A">
        <w:t>]</w:t>
      </w:r>
      <w:r w:rsidR="00500FA8" w:rsidRPr="00771D2C">
        <w:t xml:space="preserve"> in 2016 and has (from material perspective) the character of a decision on renewal of the previous operating permit issued in 1986</w:t>
      </w:r>
      <w:r w:rsidR="00E0593B" w:rsidRPr="00771D2C">
        <w:rPr>
          <w:rStyle w:val="st"/>
        </w:rPr>
        <w:t>.</w:t>
      </w:r>
      <w:r w:rsidR="00500FA8" w:rsidRPr="00771D2C">
        <w:rPr>
          <w:rStyle w:val="st"/>
        </w:rPr>
        <w:t>”</w:t>
      </w:r>
      <w:r w:rsidR="00E0593B" w:rsidRPr="00771D2C">
        <w:rPr>
          <w:rStyle w:val="FootnoteReference"/>
        </w:rPr>
        <w:footnoteReference w:id="76"/>
      </w:r>
      <w:r w:rsidR="00E0593B" w:rsidRPr="00771D2C">
        <w:rPr>
          <w:rStyle w:val="st"/>
        </w:rPr>
        <w:t xml:space="preserve"> </w:t>
      </w:r>
    </w:p>
    <w:p w14:paraId="39D8869C" w14:textId="4A24BB8F" w:rsidR="00E0593B" w:rsidRPr="00771D2C" w:rsidRDefault="005D7B26" w:rsidP="00771D2C">
      <w:pPr>
        <w:pStyle w:val="NumberedParas"/>
      </w:pPr>
      <w:r w:rsidRPr="00771D2C">
        <w:rPr>
          <w:rStyle w:val="st"/>
        </w:rPr>
        <w:t>The Party concerned argues</w:t>
      </w:r>
      <w:r w:rsidR="00E0593B" w:rsidRPr="00771D2C">
        <w:rPr>
          <w:rStyle w:val="st"/>
        </w:rPr>
        <w:t xml:space="preserve"> that, </w:t>
      </w:r>
      <w:r w:rsidR="00E0593B" w:rsidRPr="003776DA">
        <w:rPr>
          <w:rStyle w:val="st"/>
          <w:szCs w:val="20"/>
        </w:rPr>
        <w:t>“e</w:t>
      </w:r>
      <w:r w:rsidR="00E0593B" w:rsidRPr="003776DA">
        <w:t>ven</w:t>
      </w:r>
      <w:r w:rsidR="00E0593B" w:rsidRPr="00771D2C">
        <w:t xml:space="preserve"> though the permit is formally issued as an independent decision, it is based on previous operating activities and the SONS utilizes information gathered during previous operation and administrative activities</w:t>
      </w:r>
      <w:r w:rsidR="00E0593B" w:rsidRPr="003776DA">
        <w:t>”</w:t>
      </w:r>
      <w:r w:rsidR="0075326A">
        <w:t>.</w:t>
      </w:r>
      <w:r w:rsidR="00E0593B" w:rsidRPr="00771D2C">
        <w:rPr>
          <w:rStyle w:val="FootnoteReference"/>
        </w:rPr>
        <w:footnoteReference w:id="77"/>
      </w:r>
      <w:r w:rsidR="00E0593B" w:rsidRPr="00771D2C">
        <w:t xml:space="preserve"> </w:t>
      </w:r>
      <w:r w:rsidR="004728FC" w:rsidRPr="00771D2C">
        <w:t>The Party concerned</w:t>
      </w:r>
      <w:r w:rsidRPr="00771D2C">
        <w:t xml:space="preserve"> claims</w:t>
      </w:r>
      <w:r w:rsidR="004728FC" w:rsidRPr="00771D2C">
        <w:t xml:space="preserve"> that </w:t>
      </w:r>
      <w:r w:rsidRPr="00771D2C">
        <w:t>“</w:t>
      </w:r>
      <w:r w:rsidR="004728FC" w:rsidRPr="00771D2C">
        <w:t>th</w:t>
      </w:r>
      <w:r w:rsidRPr="00771D2C">
        <w:t>is</w:t>
      </w:r>
      <w:r w:rsidR="00E0593B" w:rsidRPr="00771D2C">
        <w:t xml:space="preserve"> renewal of the operating permit </w:t>
      </w:r>
      <w:r w:rsidRPr="00771D2C">
        <w:t>is</w:t>
      </w:r>
      <w:r w:rsidR="00E0593B" w:rsidRPr="00771D2C">
        <w:t xml:space="preserve"> analogous to a periodic safety review performed during the lifetime of a</w:t>
      </w:r>
      <w:r w:rsidRPr="00771D2C">
        <w:t>n NPP</w:t>
      </w:r>
      <w:r w:rsidR="00E0593B" w:rsidRPr="00771D2C">
        <w:t xml:space="preserve">, when no changes and alterations of the </w:t>
      </w:r>
      <w:r w:rsidR="004728FC" w:rsidRPr="00771D2C">
        <w:t>NPP</w:t>
      </w:r>
      <w:r w:rsidR="00E0593B" w:rsidRPr="00771D2C">
        <w:t xml:space="preserve"> are made</w:t>
      </w:r>
      <w:r w:rsidRPr="00771D2C">
        <w:t>.</w:t>
      </w:r>
      <w:r w:rsidR="00E0593B" w:rsidRPr="00771D2C">
        <w:t xml:space="preserve"> </w:t>
      </w:r>
      <w:r w:rsidRPr="00771D2C">
        <w:t>All</w:t>
      </w:r>
      <w:r w:rsidR="00E0593B" w:rsidRPr="00771D2C">
        <w:t xml:space="preserve"> the general conditions </w:t>
      </w:r>
      <w:r w:rsidRPr="00771D2C">
        <w:t>for</w:t>
      </w:r>
      <w:r w:rsidR="00E0593B" w:rsidRPr="00771D2C">
        <w:t xml:space="preserve"> the activity remain </w:t>
      </w:r>
      <w:r w:rsidR="004728FC" w:rsidRPr="00771D2C">
        <w:t>u</w:t>
      </w:r>
      <w:r w:rsidRPr="00771D2C">
        <w:t>nchanged – the installation continues to operate for the same purpose and no changes generating possible environmental impact are involved</w:t>
      </w:r>
      <w:r w:rsidR="00E0593B" w:rsidRPr="00771D2C">
        <w:t>.</w:t>
      </w:r>
      <w:r w:rsidRPr="00771D2C">
        <w:t>”</w:t>
      </w:r>
      <w:r w:rsidR="00E0593B" w:rsidRPr="00771D2C">
        <w:rPr>
          <w:rStyle w:val="FootnoteReference"/>
        </w:rPr>
        <w:footnoteReference w:id="78"/>
      </w:r>
      <w:bookmarkEnd w:id="33"/>
    </w:p>
    <w:bookmarkEnd w:id="0"/>
    <w:p w14:paraId="4242B8ED" w14:textId="3DB7A43E" w:rsidR="00F17D15" w:rsidRPr="00771D2C" w:rsidRDefault="00B544FF" w:rsidP="00771D2C">
      <w:pPr>
        <w:pStyle w:val="Heading3"/>
        <w:rPr>
          <w:rStyle w:val="st"/>
          <w:b w:val="0"/>
        </w:rPr>
      </w:pPr>
      <w:r w:rsidRPr="00771D2C">
        <w:t>A</w:t>
      </w:r>
      <w:r w:rsidR="00317F2D" w:rsidRPr="00771D2C">
        <w:t>rticle</w:t>
      </w:r>
      <w:r w:rsidR="004A0BE4" w:rsidRPr="00771D2C">
        <w:t xml:space="preserve"> 6</w:t>
      </w:r>
      <w:r w:rsidR="003B5C0C" w:rsidRPr="00771D2C">
        <w:t>(</w:t>
      </w:r>
      <w:r w:rsidR="004A0BE4" w:rsidRPr="00771D2C">
        <w:t>10</w:t>
      </w:r>
      <w:r w:rsidR="003B5C0C" w:rsidRPr="00771D2C">
        <w:t>)</w:t>
      </w:r>
    </w:p>
    <w:p w14:paraId="21F9228F" w14:textId="3C68CB5E" w:rsidR="00A57E3C" w:rsidRPr="00771D2C" w:rsidRDefault="000F2E36" w:rsidP="00771D2C">
      <w:pPr>
        <w:pStyle w:val="NumberedParas"/>
      </w:pPr>
      <w:r w:rsidRPr="00771D2C">
        <w:rPr>
          <w:rStyle w:val="st"/>
        </w:rPr>
        <w:t>T</w:t>
      </w:r>
      <w:r w:rsidR="00964018" w:rsidRPr="00771D2C">
        <w:rPr>
          <w:rStyle w:val="st"/>
        </w:rPr>
        <w:t>he communicant</w:t>
      </w:r>
      <w:r w:rsidR="007628D4" w:rsidRPr="00771D2C">
        <w:rPr>
          <w:rStyle w:val="st"/>
        </w:rPr>
        <w:t>s</w:t>
      </w:r>
      <w:r w:rsidR="007A1E9B" w:rsidRPr="00771D2C">
        <w:rPr>
          <w:rStyle w:val="st"/>
        </w:rPr>
        <w:t xml:space="preserve"> </w:t>
      </w:r>
      <w:r w:rsidR="007A1E9B">
        <w:rPr>
          <w:rStyle w:val="st"/>
          <w:szCs w:val="20"/>
        </w:rPr>
        <w:t>also</w:t>
      </w:r>
      <w:r w:rsidR="00964018" w:rsidRPr="003776DA">
        <w:rPr>
          <w:rStyle w:val="st"/>
          <w:szCs w:val="20"/>
        </w:rPr>
        <w:t xml:space="preserve"> </w:t>
      </w:r>
      <w:r w:rsidR="00964018" w:rsidRPr="00771D2C">
        <w:rPr>
          <w:rStyle w:val="st"/>
        </w:rPr>
        <w:t>allege</w:t>
      </w:r>
      <w:r w:rsidR="004A0BE4" w:rsidRPr="00771D2C">
        <w:rPr>
          <w:rStyle w:val="st"/>
        </w:rPr>
        <w:t xml:space="preserve"> that </w:t>
      </w:r>
      <w:r w:rsidR="004A0BE4" w:rsidRPr="00771D2C">
        <w:t xml:space="preserve">future procedures following the initial extension beyond the original lifetime, such as periodic </w:t>
      </w:r>
      <w:r w:rsidR="00FC1FEB" w:rsidRPr="00771D2C">
        <w:t xml:space="preserve">technical or </w:t>
      </w:r>
      <w:r w:rsidR="00DA18B6" w:rsidRPr="00771D2C">
        <w:t>safety review</w:t>
      </w:r>
      <w:r w:rsidR="00FC1FEB" w:rsidRPr="00771D2C">
        <w:t>s</w:t>
      </w:r>
      <w:r w:rsidR="004A0BE4" w:rsidRPr="003776DA">
        <w:t>,</w:t>
      </w:r>
      <w:r w:rsidR="004A0BE4" w:rsidRPr="00771D2C">
        <w:t xml:space="preserve"> qualify as a </w:t>
      </w:r>
      <w:r w:rsidR="00FC1FEB" w:rsidRPr="00771D2C">
        <w:t>“</w:t>
      </w:r>
      <w:r w:rsidR="004A0BE4" w:rsidRPr="00771D2C">
        <w:t>reconsideration or update of operating conditions</w:t>
      </w:r>
      <w:r w:rsidR="00FC1FEB" w:rsidRPr="00771D2C">
        <w:t>”</w:t>
      </w:r>
      <w:r w:rsidR="00DA18B6" w:rsidRPr="00771D2C">
        <w:t xml:space="preserve"> within the meaning of article 6(10</w:t>
      </w:r>
      <w:r w:rsidR="00DA18B6" w:rsidRPr="003776DA">
        <w:t>)</w:t>
      </w:r>
      <w:r w:rsidR="000F2CD3">
        <w:t>.</w:t>
      </w:r>
      <w:r w:rsidR="00EE3633" w:rsidRPr="003776DA">
        <w:rPr>
          <w:rStyle w:val="FootnoteReference"/>
          <w:szCs w:val="20"/>
        </w:rPr>
        <w:footnoteReference w:id="79"/>
      </w:r>
      <w:r w:rsidR="00EE3633" w:rsidRPr="003776DA">
        <w:t xml:space="preserve"> </w:t>
      </w:r>
      <w:bookmarkEnd w:id="31"/>
      <w:r w:rsidR="00FC44B0">
        <w:t>The communicants submit</w:t>
      </w:r>
      <w:r w:rsidR="00FC44B0" w:rsidRPr="00771D2C">
        <w:t xml:space="preserve"> that the </w:t>
      </w:r>
      <w:r w:rsidR="00FC44B0">
        <w:t>law</w:t>
      </w:r>
      <w:r w:rsidR="00FC44B0" w:rsidRPr="00771D2C">
        <w:t xml:space="preserve"> of </w:t>
      </w:r>
      <w:r w:rsidR="00FC44B0">
        <w:t>the Party concerned does not provide for public participation with respect to periodic safety reviews.</w:t>
      </w:r>
      <w:r w:rsidR="00FC44B0" w:rsidRPr="00771D2C">
        <w:rPr>
          <w:rStyle w:val="FootnoteReference"/>
        </w:rPr>
        <w:footnoteReference w:id="80"/>
      </w:r>
      <w:r w:rsidR="00FC44B0" w:rsidRPr="00771D2C">
        <w:t xml:space="preserve"> </w:t>
      </w:r>
    </w:p>
    <w:p w14:paraId="03CB7167" w14:textId="7301E816" w:rsidR="004A0BE4" w:rsidRPr="00771D2C" w:rsidRDefault="00660082" w:rsidP="00771D2C">
      <w:pPr>
        <w:pStyle w:val="NumberedParas"/>
        <w:rPr>
          <w:rStyle w:val="st"/>
        </w:rPr>
      </w:pPr>
      <w:r w:rsidRPr="00771D2C">
        <w:t>T</w:t>
      </w:r>
      <w:r w:rsidR="009B1804" w:rsidRPr="00771D2C">
        <w:t>he communicant</w:t>
      </w:r>
      <w:r w:rsidR="004B08FB" w:rsidRPr="00771D2C">
        <w:t>s</w:t>
      </w:r>
      <w:r w:rsidR="009B1804" w:rsidRPr="00771D2C">
        <w:t xml:space="preserve"> observe that the Committee has stressed that </w:t>
      </w:r>
      <w:r w:rsidR="00FC1FEB" w:rsidRPr="00771D2C">
        <w:t>a</w:t>
      </w:r>
      <w:r w:rsidR="009B1804" w:rsidRPr="00771D2C">
        <w:t>rticle 6</w:t>
      </w:r>
      <w:r w:rsidR="00FC1FEB" w:rsidRPr="00771D2C">
        <w:t>(</w:t>
      </w:r>
      <w:r w:rsidRPr="00771D2C">
        <w:t>10</w:t>
      </w:r>
      <w:r w:rsidR="00FC1FEB" w:rsidRPr="00771D2C">
        <w:t>)</w:t>
      </w:r>
      <w:r w:rsidR="009B1804" w:rsidRPr="00771D2C">
        <w:t xml:space="preserve"> cannot be understood to </w:t>
      </w:r>
      <w:r w:rsidR="00260E1C">
        <w:t>give complete discretion to</w:t>
      </w:r>
      <w:r w:rsidR="00260E1C" w:rsidRPr="00771D2C">
        <w:t xml:space="preserve"> </w:t>
      </w:r>
      <w:r w:rsidR="00F71E02" w:rsidRPr="00771D2C">
        <w:t>P</w:t>
      </w:r>
      <w:r w:rsidR="009B1804" w:rsidRPr="00771D2C">
        <w:t>arties to determine whether it was appropriate to provide for public participation</w:t>
      </w:r>
      <w:r w:rsidR="00766375" w:rsidRPr="00771D2C">
        <w:t>. T</w:t>
      </w:r>
      <w:r w:rsidR="009B1804" w:rsidRPr="00771D2C">
        <w:t xml:space="preserve">he term </w:t>
      </w:r>
      <w:r w:rsidR="00FC1FEB" w:rsidRPr="00771D2C">
        <w:t>“</w:t>
      </w:r>
      <w:r w:rsidR="009B1804" w:rsidRPr="00771D2C">
        <w:t>appropriate</w:t>
      </w:r>
      <w:r w:rsidR="00FC1FEB" w:rsidRPr="00771D2C">
        <w:t>”</w:t>
      </w:r>
      <w:r w:rsidR="00946753" w:rsidRPr="00771D2C">
        <w:t xml:space="preserve"> </w:t>
      </w:r>
      <w:r w:rsidR="009B1804" w:rsidRPr="00771D2C">
        <w:t xml:space="preserve">merely introduces </w:t>
      </w:r>
      <w:r w:rsidR="00FC1FEB" w:rsidRPr="00771D2C">
        <w:t>“</w:t>
      </w:r>
      <w:r w:rsidR="009B1804" w:rsidRPr="00771D2C">
        <w:t>an objective criterion to be seen in the context of the goals of the Convention</w:t>
      </w:r>
      <w:r w:rsidR="00FC1FEB" w:rsidRPr="00771D2C">
        <w:t>”</w:t>
      </w:r>
      <w:r w:rsidR="009B1804" w:rsidRPr="00771D2C">
        <w:t xml:space="preserve">, and where </w:t>
      </w:r>
      <w:r w:rsidR="00FC1FEB" w:rsidRPr="00771D2C">
        <w:t>“</w:t>
      </w:r>
      <w:r w:rsidR="009B1804" w:rsidRPr="00771D2C">
        <w:t>an activity of such a nature and magnitude, and being the subject of such public concern</w:t>
      </w:r>
      <w:r w:rsidR="00FC1FEB" w:rsidRPr="00771D2C">
        <w:t>”</w:t>
      </w:r>
      <w:r w:rsidR="009B1804" w:rsidRPr="00771D2C">
        <w:t xml:space="preserve"> is at issue, public participation is appropriate.</w:t>
      </w:r>
      <w:r w:rsidR="00E0593B" w:rsidRPr="00771D2C">
        <w:rPr>
          <w:rStyle w:val="FootnoteReference"/>
        </w:rPr>
        <w:footnoteReference w:id="81"/>
      </w:r>
    </w:p>
    <w:p w14:paraId="285705CE" w14:textId="4C703F5B" w:rsidR="009E11FC" w:rsidRPr="00771D2C" w:rsidRDefault="003B5C0C" w:rsidP="00771D2C">
      <w:pPr>
        <w:pStyle w:val="NumberedParas"/>
      </w:pPr>
      <w:r w:rsidRPr="00771D2C">
        <w:rPr>
          <w:rStyle w:val="st"/>
        </w:rPr>
        <w:t>The Party concerned</w:t>
      </w:r>
      <w:r w:rsidR="00E0593B" w:rsidRPr="003776DA">
        <w:rPr>
          <w:rStyle w:val="st"/>
          <w:szCs w:val="20"/>
        </w:rPr>
        <w:t xml:space="preserve"> </w:t>
      </w:r>
      <w:r w:rsidR="0084289F">
        <w:rPr>
          <w:rStyle w:val="st"/>
          <w:szCs w:val="20"/>
        </w:rPr>
        <w:t>responds by arguing</w:t>
      </w:r>
      <w:r w:rsidR="0084289F" w:rsidRPr="00771D2C">
        <w:rPr>
          <w:rStyle w:val="st"/>
        </w:rPr>
        <w:t xml:space="preserve"> that</w:t>
      </w:r>
      <w:r w:rsidR="00F767D9" w:rsidRPr="00771D2C">
        <w:rPr>
          <w:rStyle w:val="st"/>
        </w:rPr>
        <w:t xml:space="preserve"> </w:t>
      </w:r>
      <w:r w:rsidR="00225BB8" w:rsidRPr="00771D2C">
        <w:rPr>
          <w:rStyle w:val="st"/>
        </w:rPr>
        <w:t xml:space="preserve">the operating permit </w:t>
      </w:r>
      <w:r w:rsidR="0084289F">
        <w:rPr>
          <w:rStyle w:val="st"/>
          <w:szCs w:val="20"/>
        </w:rPr>
        <w:t xml:space="preserve">itself </w:t>
      </w:r>
      <w:r w:rsidR="00225BB8">
        <w:rPr>
          <w:rStyle w:val="st"/>
          <w:szCs w:val="20"/>
        </w:rPr>
        <w:t>does not qu</w:t>
      </w:r>
      <w:r w:rsidR="0000786C" w:rsidRPr="003776DA">
        <w:rPr>
          <w:rStyle w:val="st"/>
          <w:szCs w:val="20"/>
        </w:rPr>
        <w:t>alif</w:t>
      </w:r>
      <w:r w:rsidR="00225BB8">
        <w:rPr>
          <w:rStyle w:val="st"/>
          <w:szCs w:val="20"/>
        </w:rPr>
        <w:t>y</w:t>
      </w:r>
      <w:r w:rsidR="0000786C" w:rsidRPr="00771D2C">
        <w:rPr>
          <w:rStyle w:val="st"/>
        </w:rPr>
        <w:t xml:space="preserve"> as a </w:t>
      </w:r>
      <w:r w:rsidR="0000786C" w:rsidRPr="00771D2C">
        <w:t>reconsideration or update of the operating conditions</w:t>
      </w:r>
      <w:r w:rsidR="0000786C">
        <w:t xml:space="preserve"> and so</w:t>
      </w:r>
      <w:r w:rsidR="00225BB8">
        <w:t xml:space="preserve"> does not</w:t>
      </w:r>
      <w:r w:rsidR="0000786C" w:rsidRPr="003776DA">
        <w:rPr>
          <w:rStyle w:val="st"/>
          <w:szCs w:val="20"/>
        </w:rPr>
        <w:t xml:space="preserve"> </w:t>
      </w:r>
      <w:r w:rsidR="0016030B" w:rsidRPr="003776DA">
        <w:rPr>
          <w:rStyle w:val="st"/>
          <w:szCs w:val="20"/>
        </w:rPr>
        <w:t>fall under article 6</w:t>
      </w:r>
      <w:r w:rsidR="00FC1FEB" w:rsidRPr="003776DA">
        <w:rPr>
          <w:rStyle w:val="st"/>
          <w:szCs w:val="20"/>
        </w:rPr>
        <w:t>(</w:t>
      </w:r>
      <w:r w:rsidR="0016030B" w:rsidRPr="003776DA">
        <w:rPr>
          <w:rStyle w:val="st"/>
          <w:szCs w:val="20"/>
        </w:rPr>
        <w:t>10</w:t>
      </w:r>
      <w:r w:rsidR="00FC1FEB" w:rsidRPr="003776DA">
        <w:rPr>
          <w:rStyle w:val="st"/>
          <w:szCs w:val="20"/>
        </w:rPr>
        <w:t>)</w:t>
      </w:r>
      <w:r w:rsidR="0016030B" w:rsidRPr="003776DA">
        <w:t>.</w:t>
      </w:r>
      <w:r w:rsidR="0016030B" w:rsidRPr="003776DA">
        <w:rPr>
          <w:rStyle w:val="FootnoteReference"/>
          <w:szCs w:val="20"/>
        </w:rPr>
        <w:footnoteReference w:id="82"/>
      </w:r>
      <w:r w:rsidRPr="00771D2C">
        <w:t xml:space="preserve"> </w:t>
      </w:r>
    </w:p>
    <w:p w14:paraId="1DA1F59B" w14:textId="093B7302" w:rsidR="004A0BE4" w:rsidRPr="00771D2C" w:rsidRDefault="009E11FC" w:rsidP="00771D2C">
      <w:pPr>
        <w:pStyle w:val="NumberedParas"/>
      </w:pPr>
      <w:r w:rsidRPr="00771D2C">
        <w:lastRenderedPageBreak/>
        <w:t>The Party concerned</w:t>
      </w:r>
      <w:r w:rsidR="003734FC" w:rsidRPr="00771D2C">
        <w:t xml:space="preserve"> claims</w:t>
      </w:r>
      <w:r w:rsidR="003B5C0C" w:rsidRPr="00771D2C">
        <w:t xml:space="preserve"> that </w:t>
      </w:r>
      <w:r w:rsidR="003B5C0C" w:rsidRPr="003776DA">
        <w:t>“while</w:t>
      </w:r>
      <w:r w:rsidR="003B5C0C" w:rsidRPr="00771D2C">
        <w:t xml:space="preserve"> the decision in question is labelled an operating permit, its nature is closer to a periodic safety review”</w:t>
      </w:r>
      <w:r w:rsidR="003B5C0C" w:rsidRPr="00771D2C">
        <w:rPr>
          <w:rStyle w:val="FootnoteReference"/>
        </w:rPr>
        <w:footnoteReference w:id="83"/>
      </w:r>
      <w:r w:rsidR="00912BF8" w:rsidRPr="00771D2C">
        <w:t xml:space="preserve"> </w:t>
      </w:r>
      <w:r w:rsidR="00912BF8">
        <w:t xml:space="preserve">and that the main purpose of the periodic </w:t>
      </w:r>
      <w:r w:rsidR="007D5B8F">
        <w:t>issuance of the operating permit is for the operator to provide information to SONS.</w:t>
      </w:r>
      <w:r w:rsidR="003B5C0C" w:rsidRPr="003776DA">
        <w:t xml:space="preserve"> </w:t>
      </w:r>
      <w:r w:rsidR="003734FC" w:rsidRPr="00771D2C">
        <w:t>It submits that the “Dukovany NPP has been in full operation since the 1980</w:t>
      </w:r>
      <w:r w:rsidR="00810B2C" w:rsidRPr="00771D2C">
        <w:t>’</w:t>
      </w:r>
      <w:r w:rsidR="003734FC" w:rsidRPr="00771D2C">
        <w:t xml:space="preserve">s based on operating permit issued every ten years. The main purpose of these operating permits is to perform </w:t>
      </w:r>
      <w:r w:rsidR="003B5C0C" w:rsidRPr="00771D2C">
        <w:t>a complex check of the NPP</w:t>
      </w:r>
      <w:r w:rsidR="00FC1FEB" w:rsidRPr="00771D2C">
        <w:t>’</w:t>
      </w:r>
      <w:r w:rsidR="003B5C0C" w:rsidRPr="00771D2C">
        <w:t>s operation tied to the periodic safety review of the NPP.”</w:t>
      </w:r>
      <w:r w:rsidR="003734FC" w:rsidRPr="00771D2C">
        <w:rPr>
          <w:rStyle w:val="FootnoteReference"/>
        </w:rPr>
        <w:footnoteReference w:id="84"/>
      </w:r>
    </w:p>
    <w:p w14:paraId="28A3C4AF" w14:textId="59547362" w:rsidR="00866A50" w:rsidRPr="00771D2C" w:rsidDel="005770B2" w:rsidRDefault="00866A50" w:rsidP="00771D2C">
      <w:pPr>
        <w:pStyle w:val="NumberedParas"/>
      </w:pPr>
      <w:r w:rsidRPr="00771D2C" w:rsidDel="005770B2">
        <w:rPr>
          <w:rStyle w:val="st"/>
        </w:rPr>
        <w:t xml:space="preserve">The Party concerned further submits with respect to the content of the operating permit that </w:t>
      </w:r>
      <w:r w:rsidRPr="00771D2C" w:rsidDel="005770B2">
        <w:t>“no physical works, reconstructions etc. are included” in the permit.</w:t>
      </w:r>
      <w:r w:rsidR="00D13819" w:rsidRPr="00771D2C" w:rsidDel="005770B2">
        <w:rPr>
          <w:rStyle w:val="FootnoteReference"/>
        </w:rPr>
        <w:footnoteReference w:id="85"/>
      </w:r>
      <w:r w:rsidRPr="00771D2C" w:rsidDel="005770B2">
        <w:t xml:space="preserve"> It notes that, were reconstructions or physical works necessary, different permits would be required, such as permits for reconstruction and changes of a nuclear facility in conjunction with permits for changes of the construction as regulated by Act No. 183/2006 Coll., the Building Code.</w:t>
      </w:r>
      <w:r w:rsidR="00633916" w:rsidRPr="00771D2C" w:rsidDel="005770B2">
        <w:rPr>
          <w:rStyle w:val="FootnoteReference"/>
        </w:rPr>
        <w:footnoteReference w:id="86"/>
      </w:r>
      <w:r w:rsidRPr="00771D2C" w:rsidDel="005770B2">
        <w:t xml:space="preserve"> The Party concerned further states that all the general conditions for the activity remain untouched.</w:t>
      </w:r>
      <w:r w:rsidR="00BA6AB0" w:rsidRPr="00771D2C" w:rsidDel="005770B2">
        <w:rPr>
          <w:rStyle w:val="FootnoteReference"/>
        </w:rPr>
        <w:footnoteReference w:id="87"/>
      </w:r>
      <w:r w:rsidRPr="00771D2C" w:rsidDel="005770B2">
        <w:t xml:space="preserve"> Thus the installation continues to operate for the same purpose and no changes generating possible environmental impacts are involved.</w:t>
      </w:r>
      <w:r w:rsidR="00AE04CE" w:rsidRPr="00771D2C" w:rsidDel="005770B2">
        <w:rPr>
          <w:rStyle w:val="FootnoteReference"/>
        </w:rPr>
        <w:footnoteReference w:id="88"/>
      </w:r>
      <w:r w:rsidRPr="00771D2C" w:rsidDel="005770B2">
        <w:t xml:space="preserve"> </w:t>
      </w:r>
    </w:p>
    <w:p w14:paraId="6E738BBA" w14:textId="4C92589A" w:rsidR="000E1A03" w:rsidRPr="00554594" w:rsidRDefault="003734FC" w:rsidP="000E1A03">
      <w:pPr>
        <w:pStyle w:val="NumberedParas"/>
        <w:rPr>
          <w:rStyle w:val="st"/>
          <w:szCs w:val="20"/>
        </w:rPr>
      </w:pPr>
      <w:r w:rsidRPr="000E1A03">
        <w:rPr>
          <w:rStyle w:val="st"/>
          <w:szCs w:val="20"/>
        </w:rPr>
        <w:t>T</w:t>
      </w:r>
      <w:r w:rsidR="001017AB" w:rsidRPr="0038526D">
        <w:rPr>
          <w:rStyle w:val="st"/>
          <w:szCs w:val="20"/>
        </w:rPr>
        <w:t xml:space="preserve">he Party concerned </w:t>
      </w:r>
      <w:r w:rsidRPr="0038526D">
        <w:rPr>
          <w:rStyle w:val="st"/>
          <w:szCs w:val="20"/>
        </w:rPr>
        <w:t xml:space="preserve">further </w:t>
      </w:r>
      <w:r w:rsidR="001017AB" w:rsidRPr="00A50608">
        <w:rPr>
          <w:rStyle w:val="st"/>
          <w:szCs w:val="20"/>
        </w:rPr>
        <w:t xml:space="preserve">argues that </w:t>
      </w:r>
      <w:r w:rsidR="00FC54A5" w:rsidRPr="000E1A03">
        <w:rPr>
          <w:rStyle w:val="st"/>
          <w:szCs w:val="20"/>
        </w:rPr>
        <w:t xml:space="preserve">in any case </w:t>
      </w:r>
      <w:r w:rsidR="003B0BD0">
        <w:rPr>
          <w:rStyle w:val="st"/>
          <w:szCs w:val="20"/>
        </w:rPr>
        <w:t xml:space="preserve">section 14(2) of the 1997 Atomic Act, </w:t>
      </w:r>
      <w:r w:rsidR="003E0528" w:rsidRPr="003B0BD0">
        <w:rPr>
          <w:rStyle w:val="st"/>
          <w:szCs w:val="20"/>
        </w:rPr>
        <w:t xml:space="preserve">Czech constitutional law and section 2 of the Administrative </w:t>
      </w:r>
      <w:r w:rsidR="0038526D">
        <w:rPr>
          <w:rStyle w:val="st"/>
          <w:szCs w:val="20"/>
        </w:rPr>
        <w:t xml:space="preserve">Procedure </w:t>
      </w:r>
      <w:r w:rsidR="003E0528" w:rsidRPr="0038526D">
        <w:rPr>
          <w:rStyle w:val="st"/>
          <w:szCs w:val="20"/>
        </w:rPr>
        <w:t>Code</w:t>
      </w:r>
      <w:r w:rsidR="001017AB" w:rsidRPr="0038526D">
        <w:rPr>
          <w:rStyle w:val="st"/>
          <w:szCs w:val="20"/>
        </w:rPr>
        <w:t xml:space="preserve"> leave</w:t>
      </w:r>
      <w:r w:rsidR="00C90A8C" w:rsidRPr="0038526D">
        <w:rPr>
          <w:rStyle w:val="st"/>
          <w:szCs w:val="20"/>
        </w:rPr>
        <w:t xml:space="preserve"> </w:t>
      </w:r>
      <w:r w:rsidR="001017AB" w:rsidRPr="0038526D">
        <w:rPr>
          <w:rStyle w:val="st"/>
          <w:szCs w:val="20"/>
        </w:rPr>
        <w:t>SONS no option</w:t>
      </w:r>
      <w:r w:rsidR="001017AB" w:rsidRPr="000E1A03">
        <w:rPr>
          <w:rStyle w:val="st"/>
          <w:szCs w:val="20"/>
        </w:rPr>
        <w:t xml:space="preserve"> </w:t>
      </w:r>
      <w:r w:rsidR="004D14B9" w:rsidRPr="000E1A03">
        <w:rPr>
          <w:rStyle w:val="st"/>
          <w:szCs w:val="20"/>
        </w:rPr>
        <w:t xml:space="preserve">other than </w:t>
      </w:r>
      <w:r w:rsidR="004D14B9" w:rsidRPr="00554594">
        <w:rPr>
          <w:rStyle w:val="st"/>
          <w:szCs w:val="20"/>
        </w:rPr>
        <w:t>issuing the permits when all the requirements are met.</w:t>
      </w:r>
      <w:r w:rsidR="00DE4447" w:rsidRPr="003776DA">
        <w:rPr>
          <w:rStyle w:val="FootnoteReference"/>
          <w:szCs w:val="20"/>
        </w:rPr>
        <w:footnoteReference w:id="89"/>
      </w:r>
      <w:r w:rsidR="004D14B9" w:rsidRPr="000E1A03">
        <w:rPr>
          <w:rStyle w:val="st"/>
          <w:szCs w:val="20"/>
        </w:rPr>
        <w:t xml:space="preserve"> </w:t>
      </w:r>
    </w:p>
    <w:p w14:paraId="72DF0A0A" w14:textId="31A68003" w:rsidR="00651F0D" w:rsidRPr="003776DA" w:rsidRDefault="00651F0D" w:rsidP="00EF7135">
      <w:pPr>
        <w:pStyle w:val="NumberedParas"/>
      </w:pPr>
      <w:r w:rsidRPr="00A9452A">
        <w:rPr>
          <w:rStyle w:val="st"/>
          <w:szCs w:val="20"/>
        </w:rPr>
        <w:t xml:space="preserve">The Party concerned </w:t>
      </w:r>
      <w:r w:rsidR="00370EE9" w:rsidRPr="00A9452A">
        <w:rPr>
          <w:rStyle w:val="st"/>
          <w:szCs w:val="20"/>
        </w:rPr>
        <w:t xml:space="preserve">submits that it follows that the periodic issuance of the operating permit is a </w:t>
      </w:r>
      <w:r w:rsidR="00850D47" w:rsidRPr="00A9452A">
        <w:rPr>
          <w:rStyle w:val="st"/>
          <w:szCs w:val="20"/>
        </w:rPr>
        <w:t xml:space="preserve">largely </w:t>
      </w:r>
      <w:r w:rsidR="00370EE9" w:rsidRPr="00A9452A">
        <w:rPr>
          <w:rStyle w:val="st"/>
          <w:szCs w:val="20"/>
        </w:rPr>
        <w:t>formal act</w:t>
      </w:r>
      <w:r w:rsidR="00D912E7" w:rsidRPr="00A9452A">
        <w:rPr>
          <w:rStyle w:val="st"/>
          <w:szCs w:val="20"/>
        </w:rPr>
        <w:t xml:space="preserve">, which could also be performed </w:t>
      </w:r>
      <w:r w:rsidR="00A50608" w:rsidRPr="00A9452A">
        <w:rPr>
          <w:rStyle w:val="st"/>
          <w:szCs w:val="20"/>
        </w:rPr>
        <w:t xml:space="preserve">via </w:t>
      </w:r>
      <w:r w:rsidR="00D912E7" w:rsidRPr="00A9452A">
        <w:rPr>
          <w:rStyle w:val="st"/>
          <w:szCs w:val="20"/>
        </w:rPr>
        <w:t xml:space="preserve">other mechanisms </w:t>
      </w:r>
      <w:r w:rsidR="007B061D" w:rsidRPr="00A9452A">
        <w:rPr>
          <w:rStyle w:val="st"/>
          <w:szCs w:val="20"/>
        </w:rPr>
        <w:t xml:space="preserve">such as PSR, special decisions or </w:t>
      </w:r>
      <w:r w:rsidR="00A50608" w:rsidRPr="00A9452A">
        <w:rPr>
          <w:rStyle w:val="st"/>
          <w:szCs w:val="20"/>
        </w:rPr>
        <w:t xml:space="preserve">the </w:t>
      </w:r>
      <w:r w:rsidR="007B061D" w:rsidRPr="00A9452A">
        <w:rPr>
          <w:rStyle w:val="st"/>
          <w:szCs w:val="20"/>
        </w:rPr>
        <w:t>amending</w:t>
      </w:r>
      <w:r w:rsidR="00B463FC" w:rsidRPr="00A9452A">
        <w:rPr>
          <w:rStyle w:val="st"/>
          <w:szCs w:val="20"/>
        </w:rPr>
        <w:t>/renewal of</w:t>
      </w:r>
      <w:r w:rsidR="007B061D" w:rsidRPr="00A9452A">
        <w:rPr>
          <w:rStyle w:val="st"/>
          <w:szCs w:val="20"/>
        </w:rPr>
        <w:t xml:space="preserve"> existing permits</w:t>
      </w:r>
      <w:r w:rsidR="00370EE9" w:rsidRPr="00A9452A">
        <w:rPr>
          <w:rStyle w:val="st"/>
          <w:szCs w:val="20"/>
        </w:rPr>
        <w:t>.</w:t>
      </w:r>
      <w:r w:rsidR="00370EE9" w:rsidRPr="003776DA">
        <w:rPr>
          <w:rStyle w:val="FootnoteReference"/>
          <w:szCs w:val="20"/>
        </w:rPr>
        <w:footnoteReference w:id="90"/>
      </w:r>
      <w:r w:rsidR="00370EE9" w:rsidRPr="00A9452A">
        <w:rPr>
          <w:rStyle w:val="st"/>
          <w:szCs w:val="20"/>
        </w:rPr>
        <w:t xml:space="preserve"> </w:t>
      </w:r>
    </w:p>
    <w:p w14:paraId="34EEEE2C" w14:textId="6CE830AB" w:rsidR="004230AD" w:rsidRPr="00771D2C" w:rsidRDefault="004230AD" w:rsidP="00771D2C">
      <w:pPr>
        <w:pStyle w:val="NumberedParas"/>
      </w:pPr>
      <w:r w:rsidRPr="00771D2C">
        <w:t>T</w:t>
      </w:r>
      <w:r w:rsidR="00433A14" w:rsidRPr="00771D2C">
        <w:t xml:space="preserve">he Party concerned concludes that the </w:t>
      </w:r>
      <w:r w:rsidR="00985262" w:rsidRPr="00771D2C">
        <w:t xml:space="preserve">2016 </w:t>
      </w:r>
      <w:r w:rsidR="00433A14" w:rsidRPr="00771D2C">
        <w:t>operati</w:t>
      </w:r>
      <w:r w:rsidR="006E2D53" w:rsidRPr="00771D2C">
        <w:t>ng</w:t>
      </w:r>
      <w:r w:rsidR="00433A14" w:rsidRPr="00771D2C">
        <w:t xml:space="preserve"> permit should not be subject to article 6</w:t>
      </w:r>
      <w:r w:rsidR="005A0D4D" w:rsidRPr="00771D2C">
        <w:t xml:space="preserve">(10) </w:t>
      </w:r>
      <w:r w:rsidR="00433A14" w:rsidRPr="00771D2C">
        <w:t>because its “purpose is not to permit changes in the NPP</w:t>
      </w:r>
      <w:r w:rsidR="00FB2A49" w:rsidRPr="00771D2C">
        <w:t>’</w:t>
      </w:r>
      <w:r w:rsidR="00433A14" w:rsidRPr="00771D2C">
        <w:t>s operation but to maintain the status quo.”</w:t>
      </w:r>
      <w:r w:rsidR="00433A14" w:rsidRPr="00771D2C">
        <w:rPr>
          <w:rStyle w:val="FootnoteReference"/>
        </w:rPr>
        <w:footnoteReference w:id="91"/>
      </w:r>
      <w:r w:rsidR="00433A14" w:rsidRPr="00771D2C">
        <w:t xml:space="preserve"> </w:t>
      </w:r>
    </w:p>
    <w:p w14:paraId="08B4769F" w14:textId="229FF461" w:rsidR="00CC0689" w:rsidRPr="00771D2C" w:rsidRDefault="004230AD" w:rsidP="00771D2C">
      <w:pPr>
        <w:pStyle w:val="NumberedParas"/>
      </w:pPr>
      <w:r w:rsidRPr="00771D2C">
        <w:t xml:space="preserve">Finally, the Party concerned claims that, </w:t>
      </w:r>
      <w:r w:rsidRPr="003776DA">
        <w:t>“reflecting</w:t>
      </w:r>
      <w:r w:rsidRPr="00771D2C">
        <w:t xml:space="preserve"> the relative redundancy of the operating permit as described above, [the </w:t>
      </w:r>
      <w:r w:rsidR="00445DC2" w:rsidRPr="00771D2C">
        <w:t>2016</w:t>
      </w:r>
      <w:r w:rsidRPr="00771D2C">
        <w:t xml:space="preserve"> Atomic Act] </w:t>
      </w:r>
      <w:r w:rsidR="00433A14" w:rsidRPr="00771D2C">
        <w:t>abandons concept of periodic issuance of operating permits (the operating permits issued under this act shall be issued for an indefinite period) and replaces it with strict requirements on periodic safety reviews, performed every 10 years.”</w:t>
      </w:r>
      <w:r w:rsidR="007A1AC0" w:rsidRPr="00771D2C">
        <w:rPr>
          <w:rStyle w:val="FootnoteReference"/>
        </w:rPr>
        <w:t xml:space="preserve"> </w:t>
      </w:r>
      <w:r w:rsidR="007A1AC0" w:rsidRPr="00771D2C">
        <w:rPr>
          <w:rStyle w:val="FootnoteReference"/>
        </w:rPr>
        <w:footnoteReference w:id="92"/>
      </w:r>
    </w:p>
    <w:p w14:paraId="2C7D9E80" w14:textId="756E244A" w:rsidR="00AF7C93" w:rsidRPr="00771D2C" w:rsidRDefault="006E2D53" w:rsidP="00771D2C">
      <w:pPr>
        <w:pStyle w:val="Heading3"/>
      </w:pPr>
      <w:r w:rsidRPr="00771D2C">
        <w:t>Compliance with article 6(2)-(9)</w:t>
      </w:r>
    </w:p>
    <w:p w14:paraId="6B51F442" w14:textId="76D35D84" w:rsidR="00316575" w:rsidRPr="00771D2C" w:rsidRDefault="00316575" w:rsidP="00771D2C">
      <w:pPr>
        <w:pStyle w:val="NumberedParas"/>
      </w:pPr>
      <w:r w:rsidRPr="00771D2C">
        <w:t>The communicant</w:t>
      </w:r>
      <w:r w:rsidR="00584A8D" w:rsidRPr="00771D2C">
        <w:t>s</w:t>
      </w:r>
      <w:r w:rsidRPr="00771D2C">
        <w:t xml:space="preserve"> </w:t>
      </w:r>
      <w:r w:rsidR="002A3F43" w:rsidRPr="00771D2C">
        <w:t>claim</w:t>
      </w:r>
      <w:r w:rsidRPr="00771D2C">
        <w:t xml:space="preserve"> that </w:t>
      </w:r>
      <w:r w:rsidR="002A3F43" w:rsidRPr="00771D2C">
        <w:t xml:space="preserve">the public concerned as defined in </w:t>
      </w:r>
      <w:r w:rsidRPr="00771D2C">
        <w:t>article 2</w:t>
      </w:r>
      <w:r w:rsidR="005A0D4D" w:rsidRPr="00771D2C">
        <w:t>(5)</w:t>
      </w:r>
      <w:r w:rsidRPr="00771D2C">
        <w:t xml:space="preserve"> of the Convention </w:t>
      </w:r>
      <w:r w:rsidR="002A3F43" w:rsidRPr="00771D2C">
        <w:t xml:space="preserve">in this case </w:t>
      </w:r>
      <w:r w:rsidRPr="00771D2C">
        <w:t>includes persons and NGOs</w:t>
      </w:r>
      <w:r w:rsidR="002A3F43" w:rsidRPr="00771D2C">
        <w:t xml:space="preserve"> far</w:t>
      </w:r>
      <w:r w:rsidRPr="00771D2C">
        <w:t xml:space="preserve"> beyond </w:t>
      </w:r>
      <w:r w:rsidR="002A3F43" w:rsidRPr="00771D2C">
        <w:t>Czechia’s</w:t>
      </w:r>
      <w:r w:rsidRPr="00771D2C">
        <w:t xml:space="preserve"> borders</w:t>
      </w:r>
      <w:r w:rsidR="00EB6A75">
        <w:t xml:space="preserve"> since</w:t>
      </w:r>
      <w:r w:rsidR="00035A35" w:rsidRPr="003776DA">
        <w:t xml:space="preserve"> “should</w:t>
      </w:r>
      <w:r w:rsidR="00035A35" w:rsidRPr="00771D2C">
        <w:t xml:space="preserve"> an accident occur, the range of adverse effects could extend over huge geographical areas well beyond neighboring countries.”</w:t>
      </w:r>
      <w:r w:rsidRPr="00771D2C">
        <w:rPr>
          <w:rStyle w:val="FootnoteReference"/>
        </w:rPr>
        <w:footnoteReference w:id="93"/>
      </w:r>
      <w:r w:rsidR="002A3F43" w:rsidRPr="00771D2C">
        <w:t xml:space="preserve"> The communicants claim that </w:t>
      </w:r>
      <w:r w:rsidR="002A3F43" w:rsidRPr="003776DA">
        <w:t>“the</w:t>
      </w:r>
      <w:r w:rsidR="002A3F43" w:rsidRPr="00771D2C">
        <w:t xml:space="preserve"> concern of persons and NGOs who fear such an accident, particularly in light of the fact that the reactors </w:t>
      </w:r>
      <w:r w:rsidR="002A3F43" w:rsidRPr="00771D2C">
        <w:lastRenderedPageBreak/>
        <w:t>will be exceeding their lifetimes potentially indefinitely, despite already showing major defects in critical systems, is correspondingly extensive.”</w:t>
      </w:r>
      <w:r w:rsidR="002A3F43" w:rsidRPr="00771D2C">
        <w:rPr>
          <w:rStyle w:val="FootnoteReference"/>
        </w:rPr>
        <w:footnoteReference w:id="94"/>
      </w:r>
    </w:p>
    <w:p w14:paraId="14259238" w14:textId="6FB41E48" w:rsidR="001030AD" w:rsidRPr="00771D2C" w:rsidRDefault="00316575" w:rsidP="00771D2C">
      <w:pPr>
        <w:pStyle w:val="NumberedParas"/>
      </w:pPr>
      <w:r w:rsidRPr="00771D2C">
        <w:t xml:space="preserve"> </w:t>
      </w:r>
      <w:r w:rsidR="002A3F43" w:rsidRPr="00771D2C">
        <w:t>T</w:t>
      </w:r>
      <w:r w:rsidRPr="00771D2C">
        <w:t>he communicant</w:t>
      </w:r>
      <w:r w:rsidR="00584A8D" w:rsidRPr="00771D2C">
        <w:t>s</w:t>
      </w:r>
      <w:r w:rsidR="002A3F43" w:rsidRPr="00771D2C">
        <w:t xml:space="preserve"> submit </w:t>
      </w:r>
      <w:r w:rsidRPr="00771D2C">
        <w:t xml:space="preserve">there was no public participation </w:t>
      </w:r>
      <w:r w:rsidR="003D75DE" w:rsidRPr="00771D2C">
        <w:t>provided for</w:t>
      </w:r>
      <w:r w:rsidRPr="00771D2C">
        <w:t xml:space="preserve"> </w:t>
      </w:r>
      <w:r w:rsidR="002A3F43" w:rsidRPr="00771D2C">
        <w:t xml:space="preserve">either </w:t>
      </w:r>
      <w:r w:rsidRPr="00771D2C">
        <w:t>the domestic or foreign public concerned during</w:t>
      </w:r>
      <w:r w:rsidR="00FB2A49" w:rsidRPr="00771D2C">
        <w:t xml:space="preserve"> any of</w:t>
      </w:r>
      <w:r w:rsidRPr="00771D2C">
        <w:t xml:space="preserve"> the phases of the decision-making process regarding the lifetime extension of the </w:t>
      </w:r>
      <w:r w:rsidR="001B6E49" w:rsidRPr="00771D2C">
        <w:t xml:space="preserve">Dukovany </w:t>
      </w:r>
      <w:r w:rsidRPr="00771D2C">
        <w:t>NPP’s reactor</w:t>
      </w:r>
      <w:r w:rsidR="00A71E0D" w:rsidRPr="00771D2C">
        <w:t xml:space="preserve"> 1</w:t>
      </w:r>
      <w:r w:rsidR="00720A6D">
        <w:t>.</w:t>
      </w:r>
      <w:r w:rsidRPr="00771D2C">
        <w:rPr>
          <w:rStyle w:val="FootnoteReference"/>
        </w:rPr>
        <w:footnoteReference w:id="95"/>
      </w:r>
      <w:r w:rsidRPr="00771D2C">
        <w:t xml:space="preserve"> </w:t>
      </w:r>
      <w:r w:rsidR="00035A35" w:rsidRPr="00771D2C">
        <w:t>The communicant</w:t>
      </w:r>
      <w:r w:rsidR="004B08FB" w:rsidRPr="00771D2C">
        <w:t>s</w:t>
      </w:r>
      <w:r w:rsidR="00035A35" w:rsidRPr="00771D2C">
        <w:t xml:space="preserve"> </w:t>
      </w:r>
      <w:r w:rsidR="0033651D">
        <w:t>contend</w:t>
      </w:r>
      <w:r w:rsidR="0033651D" w:rsidRPr="00771D2C">
        <w:t xml:space="preserve"> that</w:t>
      </w:r>
      <w:r w:rsidR="0033651D">
        <w:t xml:space="preserve"> this means</w:t>
      </w:r>
      <w:r w:rsidR="0033651D" w:rsidRPr="00771D2C">
        <w:t xml:space="preserve"> that </w:t>
      </w:r>
      <w:r w:rsidR="00FB2A49" w:rsidRPr="00771D2C">
        <w:t>the Party</w:t>
      </w:r>
      <w:r w:rsidR="00035A35" w:rsidRPr="00771D2C">
        <w:t xml:space="preserve"> </w:t>
      </w:r>
      <w:r w:rsidR="003D75DE" w:rsidRPr="00771D2C">
        <w:t>is</w:t>
      </w:r>
      <w:r w:rsidR="00035A35" w:rsidRPr="00771D2C">
        <w:t xml:space="preserve"> in noncompliance with </w:t>
      </w:r>
      <w:r w:rsidR="00843908" w:rsidRPr="00771D2C">
        <w:t>article 6(</w:t>
      </w:r>
      <w:r w:rsidR="00035A35" w:rsidRPr="00771D2C">
        <w:t>2</w:t>
      </w:r>
      <w:r w:rsidR="00843908" w:rsidRPr="00771D2C">
        <w:t>)</w:t>
      </w:r>
      <w:r w:rsidR="00035A35" w:rsidRPr="00771D2C">
        <w:t>-</w:t>
      </w:r>
      <w:r w:rsidR="00843908" w:rsidRPr="00771D2C">
        <w:t>(</w:t>
      </w:r>
      <w:r w:rsidR="00035A35" w:rsidRPr="00771D2C">
        <w:t>9</w:t>
      </w:r>
      <w:r w:rsidR="00843908" w:rsidRPr="00771D2C">
        <w:t>)</w:t>
      </w:r>
      <w:r w:rsidR="00035A35" w:rsidRPr="00771D2C">
        <w:t>.</w:t>
      </w:r>
      <w:r w:rsidR="00065EAE" w:rsidRPr="003776DA">
        <w:rPr>
          <w:rStyle w:val="FootnoteReference"/>
          <w:szCs w:val="20"/>
        </w:rPr>
        <w:footnoteReference w:id="96"/>
      </w:r>
      <w:r w:rsidR="001030AD">
        <w:rPr>
          <w:szCs w:val="20"/>
        </w:rPr>
        <w:t xml:space="preserve"> More specifically, </w:t>
      </w:r>
      <w:r w:rsidR="001030AD">
        <w:t>t</w:t>
      </w:r>
      <w:r w:rsidR="00065EAE" w:rsidRPr="003776DA">
        <w:t>he communicant</w:t>
      </w:r>
      <w:r w:rsidR="00584A8D" w:rsidRPr="003776DA">
        <w:t>s</w:t>
      </w:r>
      <w:r w:rsidR="00065EAE" w:rsidRPr="003776DA">
        <w:t xml:space="preserve"> </w:t>
      </w:r>
      <w:r w:rsidR="001B6E49" w:rsidRPr="003776DA">
        <w:t>claim that</w:t>
      </w:r>
      <w:r w:rsidR="001030AD">
        <w:t>:</w:t>
      </w:r>
    </w:p>
    <w:p w14:paraId="74B0A8F8" w14:textId="3DB1ABF4" w:rsidR="009456D2" w:rsidRPr="00771D2C" w:rsidRDefault="00970606" w:rsidP="00771D2C">
      <w:pPr>
        <w:pStyle w:val="NumberedParas"/>
        <w:numPr>
          <w:ilvl w:val="0"/>
          <w:numId w:val="0"/>
        </w:numPr>
        <w:ind w:left="828" w:firstLine="732"/>
      </w:pPr>
      <w:r>
        <w:t>(a)</w:t>
      </w:r>
      <w:r>
        <w:tab/>
      </w:r>
      <w:r w:rsidR="001C089A">
        <w:t>I</w:t>
      </w:r>
      <w:r w:rsidR="00065EAE" w:rsidRPr="003776DA">
        <w:t>n</w:t>
      </w:r>
      <w:r w:rsidR="00065EAE" w:rsidRPr="00771D2C">
        <w:t xml:space="preserve"> breach of article 6</w:t>
      </w:r>
      <w:r w:rsidR="005A0D4D" w:rsidRPr="00771D2C">
        <w:t>(2)</w:t>
      </w:r>
      <w:r w:rsidR="00065EAE" w:rsidRPr="00771D2C">
        <w:t>, the public concerned was not informed about the decision-making procedure, and the basic information in CEZ’s website concern</w:t>
      </w:r>
      <w:r w:rsidR="00814F01" w:rsidRPr="00771D2C">
        <w:t>ed only</w:t>
      </w:r>
      <w:r w:rsidR="00065EAE" w:rsidRPr="00771D2C">
        <w:t xml:space="preserve"> its</w:t>
      </w:r>
      <w:r w:rsidR="00814F01" w:rsidRPr="00771D2C">
        <w:t xml:space="preserve"> own</w:t>
      </w:r>
      <w:r w:rsidR="00065EAE" w:rsidRPr="00771D2C">
        <w:t xml:space="preserve"> application to extend the lifetimes of the reactors</w:t>
      </w:r>
      <w:r w:rsidR="00AD7EF2" w:rsidRPr="00771D2C">
        <w:t>.</w:t>
      </w:r>
      <w:r w:rsidR="00814F01" w:rsidRPr="00771D2C">
        <w:rPr>
          <w:rStyle w:val="FootnoteReference"/>
        </w:rPr>
        <w:footnoteReference w:id="97"/>
      </w:r>
      <w:r w:rsidR="00814F01" w:rsidRPr="00771D2C">
        <w:t xml:space="preserve"> </w:t>
      </w:r>
      <w:r w:rsidR="009456D2" w:rsidRPr="00771D2C">
        <w:t xml:space="preserve">The communicants claim further that </w:t>
      </w:r>
      <w:r w:rsidR="00065EAE" w:rsidRPr="00771D2C">
        <w:t>requests for notification and other steps pursuant to the Espoo Convention were refused</w:t>
      </w:r>
      <w:r w:rsidR="009456D2" w:rsidRPr="00771D2C">
        <w:t>.</w:t>
      </w:r>
      <w:r w:rsidR="00974849" w:rsidRPr="00771D2C">
        <w:rPr>
          <w:rStyle w:val="FootnoteReference"/>
        </w:rPr>
        <w:footnoteReference w:id="98"/>
      </w:r>
      <w:r w:rsidR="00D97CA6" w:rsidRPr="00771D2C">
        <w:rPr>
          <w:rStyle w:val="FootnoteReference"/>
        </w:rPr>
        <w:t xml:space="preserve"> </w:t>
      </w:r>
      <w:r w:rsidR="009456D2" w:rsidRPr="00771D2C">
        <w:t>The communicants argue that</w:t>
      </w:r>
      <w:r w:rsidR="00814F01" w:rsidRPr="00771D2C">
        <w:t xml:space="preserve"> th</w:t>
      </w:r>
      <w:r w:rsidR="00D97CA6" w:rsidRPr="00771D2C">
        <w:t xml:space="preserve">e nature </w:t>
      </w:r>
      <w:r w:rsidR="009456D2" w:rsidRPr="00771D2C">
        <w:t>of the activity in question</w:t>
      </w:r>
      <w:r w:rsidR="004135E8">
        <w:t xml:space="preserve"> means that</w:t>
      </w:r>
      <w:r w:rsidR="009456D2" w:rsidRPr="00771D2C">
        <w:t xml:space="preserve"> members of the domestic and foreign public</w:t>
      </w:r>
      <w:r w:rsidR="004135E8" w:rsidRPr="00771D2C">
        <w:t xml:space="preserve"> </w:t>
      </w:r>
      <w:r w:rsidR="004135E8">
        <w:t>who</w:t>
      </w:r>
      <w:r w:rsidR="009456D2" w:rsidRPr="003776DA">
        <w:t xml:space="preserve"> </w:t>
      </w:r>
      <w:r w:rsidR="009456D2" w:rsidRPr="00771D2C">
        <w:t>also expressed their interest should have been notified</w:t>
      </w:r>
      <w:r w:rsidR="003335F9">
        <w:t>;</w:t>
      </w:r>
      <w:r w:rsidR="00974849" w:rsidRPr="00771D2C">
        <w:rPr>
          <w:rStyle w:val="FootnoteReference"/>
        </w:rPr>
        <w:footnoteReference w:id="99"/>
      </w:r>
      <w:r w:rsidR="00D97CA6" w:rsidRPr="00771D2C">
        <w:rPr>
          <w:rStyle w:val="FootnoteReference"/>
        </w:rPr>
        <w:t xml:space="preserve">  </w:t>
      </w:r>
    </w:p>
    <w:p w14:paraId="69A80278" w14:textId="36FF7F58" w:rsidR="009456D2" w:rsidRPr="00771D2C" w:rsidRDefault="00970606" w:rsidP="00771D2C">
      <w:pPr>
        <w:pStyle w:val="NumberedParas"/>
        <w:numPr>
          <w:ilvl w:val="0"/>
          <w:numId w:val="0"/>
        </w:numPr>
        <w:tabs>
          <w:tab w:val="clear" w:pos="1701"/>
          <w:tab w:val="left" w:pos="2268"/>
        </w:tabs>
        <w:ind w:left="851" w:firstLine="709"/>
      </w:pPr>
      <w:r>
        <w:t>(b)</w:t>
      </w:r>
      <w:r>
        <w:tab/>
      </w:r>
      <w:r w:rsidR="001C089A">
        <w:t>I</w:t>
      </w:r>
      <w:r w:rsidR="00974849" w:rsidRPr="003776DA">
        <w:t>n</w:t>
      </w:r>
      <w:r w:rsidR="00974849" w:rsidRPr="00771D2C">
        <w:t xml:space="preserve"> breach of article 6</w:t>
      </w:r>
      <w:r w:rsidR="005A0D4D" w:rsidRPr="00771D2C">
        <w:t>(4)</w:t>
      </w:r>
      <w:r w:rsidR="00974849" w:rsidRPr="00771D2C">
        <w:t xml:space="preserve">, the Party concerned did not provide </w:t>
      </w:r>
      <w:r w:rsidR="00065EAE" w:rsidRPr="00771D2C">
        <w:t>“early”</w:t>
      </w:r>
      <w:r w:rsidR="00974849" w:rsidRPr="00771D2C">
        <w:t xml:space="preserve"> </w:t>
      </w:r>
      <w:r w:rsidR="009456D2" w:rsidRPr="00771D2C">
        <w:t>participation when</w:t>
      </w:r>
      <w:r w:rsidR="00065EAE" w:rsidRPr="00771D2C">
        <w:t xml:space="preserve"> </w:t>
      </w:r>
      <w:r w:rsidR="009456D2" w:rsidRPr="00771D2C">
        <w:t>“</w:t>
      </w:r>
      <w:r w:rsidR="00065EAE" w:rsidRPr="00771D2C">
        <w:t>all options are open and effective public participation can take place</w:t>
      </w:r>
      <w:r w:rsidR="00065EAE" w:rsidRPr="003776DA">
        <w:t>”</w:t>
      </w:r>
      <w:r w:rsidR="003335F9">
        <w:t>;</w:t>
      </w:r>
      <w:r w:rsidR="00974849" w:rsidRPr="00771D2C">
        <w:rPr>
          <w:rStyle w:val="FootnoteReference"/>
        </w:rPr>
        <w:footnoteReference w:id="100"/>
      </w:r>
      <w:r w:rsidR="00974849" w:rsidRPr="00771D2C">
        <w:t xml:space="preserve"> </w:t>
      </w:r>
    </w:p>
    <w:p w14:paraId="48AD2C2F" w14:textId="02C51E6D" w:rsidR="009456D2" w:rsidRPr="00771D2C" w:rsidRDefault="001C089A" w:rsidP="00771D2C">
      <w:pPr>
        <w:pStyle w:val="NumberedParas"/>
        <w:numPr>
          <w:ilvl w:val="0"/>
          <w:numId w:val="31"/>
        </w:numPr>
        <w:tabs>
          <w:tab w:val="clear" w:pos="1701"/>
          <w:tab w:val="left" w:pos="2268"/>
        </w:tabs>
        <w:ind w:left="851" w:firstLine="709"/>
      </w:pPr>
      <w:r>
        <w:t>I</w:t>
      </w:r>
      <w:r w:rsidR="009456D2" w:rsidRPr="003776DA">
        <w:t>n</w:t>
      </w:r>
      <w:r w:rsidR="00974849" w:rsidRPr="00771D2C">
        <w:t xml:space="preserve"> breach of article 6</w:t>
      </w:r>
      <w:r w:rsidR="005A0D4D" w:rsidRPr="00771D2C">
        <w:t>(</w:t>
      </w:r>
      <w:r w:rsidR="00974849" w:rsidRPr="00771D2C">
        <w:t>5</w:t>
      </w:r>
      <w:r w:rsidR="005A0D4D" w:rsidRPr="00771D2C">
        <w:t>)</w:t>
      </w:r>
      <w:r w:rsidR="00974849" w:rsidRPr="00771D2C">
        <w:t>, t</w:t>
      </w:r>
      <w:r w:rsidR="00065EAE" w:rsidRPr="00771D2C">
        <w:t xml:space="preserve">he Party </w:t>
      </w:r>
      <w:r w:rsidR="00843908" w:rsidRPr="00771D2C">
        <w:t>c</w:t>
      </w:r>
      <w:r w:rsidR="00065EAE" w:rsidRPr="00771D2C">
        <w:t xml:space="preserve">oncerned </w:t>
      </w:r>
      <w:r w:rsidR="00974849" w:rsidRPr="00771D2C">
        <w:t xml:space="preserve">did not </w:t>
      </w:r>
      <w:r w:rsidR="00065EAE" w:rsidRPr="00771D2C">
        <w:t xml:space="preserve">encourage the </w:t>
      </w:r>
      <w:r w:rsidR="00974849" w:rsidRPr="00771D2C">
        <w:t>applicant (</w:t>
      </w:r>
      <w:r w:rsidR="00065EAE" w:rsidRPr="00771D2C">
        <w:t>CEZ</w:t>
      </w:r>
      <w:r w:rsidR="00974849" w:rsidRPr="00771D2C">
        <w:t>)</w:t>
      </w:r>
      <w:r w:rsidR="00065EAE" w:rsidRPr="00771D2C">
        <w:t xml:space="preserve"> to identify the public concerned, enter discussions, and provide information regarding the objectives before applying for a permit</w:t>
      </w:r>
      <w:r w:rsidRPr="00771D2C">
        <w:t>.</w:t>
      </w:r>
      <w:r w:rsidRPr="00771D2C">
        <w:rPr>
          <w:rStyle w:val="FootnoteReference"/>
        </w:rPr>
        <w:footnoteReference w:id="101"/>
      </w:r>
      <w:r w:rsidR="00974849" w:rsidRPr="00771D2C">
        <w:t xml:space="preserve"> </w:t>
      </w:r>
      <w:r w:rsidR="009456D2" w:rsidRPr="00771D2C">
        <w:t xml:space="preserve">The communicants </w:t>
      </w:r>
      <w:r w:rsidR="00843908" w:rsidRPr="00771D2C">
        <w:t xml:space="preserve">claim </w:t>
      </w:r>
      <w:r w:rsidR="009456D2" w:rsidRPr="00771D2C">
        <w:t xml:space="preserve">that </w:t>
      </w:r>
      <w:r w:rsidR="00974849" w:rsidRPr="00771D2C">
        <w:t xml:space="preserve">requests </w:t>
      </w:r>
      <w:r w:rsidR="009456D2" w:rsidRPr="00771D2C">
        <w:t xml:space="preserve">were </w:t>
      </w:r>
      <w:r w:rsidR="00974849" w:rsidRPr="00771D2C">
        <w:t>made by “</w:t>
      </w:r>
      <w:r w:rsidR="00065EAE" w:rsidRPr="00771D2C">
        <w:t>domestic and Austrian- and German-based individuals and NGOs (in addition to governmental entities in Austria and Germany)</w:t>
      </w:r>
      <w:r w:rsidR="00974849" w:rsidRPr="00771D2C">
        <w:t xml:space="preserve">” </w:t>
      </w:r>
      <w:r w:rsidR="00065EAE" w:rsidRPr="00771D2C">
        <w:t>demand</w:t>
      </w:r>
      <w:r w:rsidR="00974849" w:rsidRPr="00771D2C">
        <w:t>ing</w:t>
      </w:r>
      <w:r w:rsidR="00065EAE" w:rsidRPr="00771D2C">
        <w:t xml:space="preserve"> information</w:t>
      </w:r>
      <w:r w:rsidR="009456D2" w:rsidRPr="00771D2C">
        <w:t>, yet these efforts were rebuffed.</w:t>
      </w:r>
      <w:r w:rsidR="009456D2" w:rsidRPr="00771D2C">
        <w:rPr>
          <w:rStyle w:val="FootnoteReference"/>
        </w:rPr>
        <w:footnoteReference w:id="102"/>
      </w:r>
    </w:p>
    <w:p w14:paraId="69455B62" w14:textId="595B2365" w:rsidR="00015B5A" w:rsidRPr="00771D2C" w:rsidRDefault="00970606" w:rsidP="00771D2C">
      <w:pPr>
        <w:pStyle w:val="NumberedParas"/>
        <w:numPr>
          <w:ilvl w:val="0"/>
          <w:numId w:val="0"/>
        </w:numPr>
        <w:ind w:left="828" w:firstLine="732"/>
      </w:pPr>
      <w:r>
        <w:t>(d)</w:t>
      </w:r>
      <w:r>
        <w:tab/>
      </w:r>
      <w:r w:rsidR="001C089A">
        <w:t>I</w:t>
      </w:r>
      <w:r w:rsidR="004A6307" w:rsidRPr="003776DA">
        <w:t>n</w:t>
      </w:r>
      <w:r w:rsidR="004A6307" w:rsidRPr="00771D2C">
        <w:t xml:space="preserve"> breach of article 6</w:t>
      </w:r>
      <w:r w:rsidR="005A0D4D" w:rsidRPr="00771D2C">
        <w:t>(9)</w:t>
      </w:r>
      <w:r w:rsidR="004A6307" w:rsidRPr="00771D2C">
        <w:t>, the</w:t>
      </w:r>
      <w:r w:rsidR="00065EAE" w:rsidRPr="00771D2C">
        <w:t xml:space="preserve"> public</w:t>
      </w:r>
      <w:r w:rsidR="004A6307" w:rsidRPr="00771D2C">
        <w:t xml:space="preserve"> concerned was not</w:t>
      </w:r>
      <w:r w:rsidR="00065EAE" w:rsidRPr="00771D2C">
        <w:t xml:space="preserve"> informed of the decision to extend </w:t>
      </w:r>
      <w:r w:rsidR="00843908" w:rsidRPr="00771D2C">
        <w:t>reactor 1</w:t>
      </w:r>
      <w:r w:rsidR="00065EAE" w:rsidRPr="00771D2C">
        <w:t xml:space="preserve">’s lifetime, </w:t>
      </w:r>
      <w:r w:rsidR="004A6307" w:rsidRPr="00771D2C">
        <w:t>“</w:t>
      </w:r>
      <w:r w:rsidR="00065EAE" w:rsidRPr="00771D2C">
        <w:t>and it cannot expect to be informed of any future decision-making.</w:t>
      </w:r>
      <w:r w:rsidR="00B31EE0" w:rsidRPr="00771D2C">
        <w:t>”</w:t>
      </w:r>
      <w:r w:rsidR="004A6307" w:rsidRPr="00771D2C">
        <w:rPr>
          <w:rStyle w:val="FootnoteReference"/>
        </w:rPr>
        <w:footnoteReference w:id="103"/>
      </w:r>
    </w:p>
    <w:p w14:paraId="244E5A69" w14:textId="1869C3B8" w:rsidR="004A6307" w:rsidRPr="00771D2C" w:rsidRDefault="00015B5A" w:rsidP="00771D2C">
      <w:pPr>
        <w:pStyle w:val="NumberedParas"/>
        <w:rPr>
          <w:rStyle w:val="FootnoteReference"/>
          <w:vertAlign w:val="baseline"/>
        </w:rPr>
      </w:pPr>
      <w:r w:rsidRPr="00771D2C">
        <w:t>The P</w:t>
      </w:r>
      <w:r w:rsidR="004A6307" w:rsidRPr="00771D2C">
        <w:t xml:space="preserve">arty </w:t>
      </w:r>
      <w:r w:rsidR="007A1AC0" w:rsidRPr="00771D2C">
        <w:t xml:space="preserve">concerned </w:t>
      </w:r>
      <w:r w:rsidR="00DC4E06" w:rsidRPr="00771D2C">
        <w:t>submits</w:t>
      </w:r>
      <w:r w:rsidR="007A1AC0" w:rsidRPr="00771D2C">
        <w:t xml:space="preserve"> that</w:t>
      </w:r>
      <w:r w:rsidR="00E2683B" w:rsidRPr="00771D2C">
        <w:t xml:space="preserve">, because article 6 is not applicable to the operating permit </w:t>
      </w:r>
      <w:r w:rsidR="00E862AA" w:rsidRPr="00771D2C">
        <w:t xml:space="preserve">in </w:t>
      </w:r>
      <w:r w:rsidR="00E2683B" w:rsidRPr="00771D2C">
        <w:t>question</w:t>
      </w:r>
      <w:r w:rsidR="00E862AA" w:rsidRPr="00771D2C">
        <w:t>,</w:t>
      </w:r>
      <w:r w:rsidR="007A1AC0" w:rsidRPr="00771D2C">
        <w:t xml:space="preserve"> </w:t>
      </w:r>
      <w:r w:rsidR="00E2683B" w:rsidRPr="00771D2C">
        <w:t>the provisions of</w:t>
      </w:r>
      <w:r w:rsidR="007A1AC0" w:rsidRPr="00771D2C">
        <w:t xml:space="preserve"> article 6</w:t>
      </w:r>
      <w:r w:rsidR="00DC4E06" w:rsidRPr="00771D2C">
        <w:t>(</w:t>
      </w:r>
      <w:r w:rsidR="007A1AC0" w:rsidRPr="00771D2C">
        <w:t>2</w:t>
      </w:r>
      <w:r w:rsidR="00DC4E06" w:rsidRPr="00771D2C">
        <w:t>)</w:t>
      </w:r>
      <w:r w:rsidR="007A1AC0" w:rsidRPr="00771D2C">
        <w:t>-</w:t>
      </w:r>
      <w:r w:rsidR="00DC4E06" w:rsidRPr="00771D2C">
        <w:t>(</w:t>
      </w:r>
      <w:r w:rsidR="007A1AC0" w:rsidRPr="00771D2C">
        <w:t>9</w:t>
      </w:r>
      <w:r w:rsidR="00DC4E06" w:rsidRPr="00771D2C">
        <w:t>)</w:t>
      </w:r>
      <w:r w:rsidR="007A1AC0" w:rsidRPr="00771D2C">
        <w:t xml:space="preserve"> of the Convention</w:t>
      </w:r>
      <w:r w:rsidR="00E2683B" w:rsidRPr="00771D2C">
        <w:t xml:space="preserve"> are not applicable</w:t>
      </w:r>
      <w:r w:rsidR="007A1AC0" w:rsidRPr="00771D2C">
        <w:t>.</w:t>
      </w:r>
      <w:r w:rsidR="007A1AC0" w:rsidRPr="00771D2C">
        <w:rPr>
          <w:rStyle w:val="FootnoteReference"/>
        </w:rPr>
        <w:footnoteReference w:id="104"/>
      </w:r>
    </w:p>
    <w:p w14:paraId="157632F7" w14:textId="5B9DA731" w:rsidR="004A6307" w:rsidRPr="00771D2C" w:rsidRDefault="00C16FF5" w:rsidP="00771D2C">
      <w:pPr>
        <w:pStyle w:val="Heading3"/>
      </w:pPr>
      <w:r w:rsidRPr="00771D2C">
        <w:t>A</w:t>
      </w:r>
      <w:r w:rsidR="00317F2D" w:rsidRPr="00771D2C">
        <w:t>rticle</w:t>
      </w:r>
      <w:r w:rsidR="004A6307" w:rsidRPr="00771D2C">
        <w:t xml:space="preserve"> 9</w:t>
      </w:r>
      <w:r w:rsidR="005A0D4D" w:rsidRPr="00771D2C">
        <w:t>(</w:t>
      </w:r>
      <w:r w:rsidR="004A6307" w:rsidRPr="00771D2C">
        <w:t>2</w:t>
      </w:r>
      <w:r w:rsidR="005A0D4D" w:rsidRPr="00771D2C">
        <w:t>)</w:t>
      </w:r>
    </w:p>
    <w:p w14:paraId="616B52F6" w14:textId="641E7C84" w:rsidR="00B519CE" w:rsidRDefault="007A1AC0" w:rsidP="00B519CE">
      <w:pPr>
        <w:pStyle w:val="NumberedParas"/>
      </w:pPr>
      <w:bookmarkStart w:id="35" w:name="_Ref74083653"/>
      <w:r w:rsidRPr="00771D2C">
        <w:t>The communicant</w:t>
      </w:r>
      <w:r w:rsidR="00584A8D" w:rsidRPr="00771D2C">
        <w:t>s</w:t>
      </w:r>
      <w:r w:rsidRPr="00771D2C">
        <w:t xml:space="preserve"> </w:t>
      </w:r>
      <w:r w:rsidR="007F5FC8" w:rsidRPr="00771D2C">
        <w:t xml:space="preserve">submit </w:t>
      </w:r>
      <w:r w:rsidRPr="00771D2C">
        <w:t xml:space="preserve">that </w:t>
      </w:r>
      <w:r w:rsidR="007A7467" w:rsidRPr="00771D2C">
        <w:t xml:space="preserve">the Party concerned </w:t>
      </w:r>
      <w:r w:rsidR="001C089A">
        <w:t>fails to comply</w:t>
      </w:r>
      <w:r w:rsidR="007A7467" w:rsidRPr="00771D2C">
        <w:t xml:space="preserve"> with article</w:t>
      </w:r>
      <w:r w:rsidRPr="00771D2C">
        <w:t xml:space="preserve"> 9</w:t>
      </w:r>
      <w:r w:rsidR="005A0D4D" w:rsidRPr="00771D2C">
        <w:t>(2)</w:t>
      </w:r>
      <w:r w:rsidR="007A7467" w:rsidRPr="00771D2C">
        <w:t xml:space="preserve">, </w:t>
      </w:r>
      <w:r w:rsidR="007F5FC8" w:rsidRPr="00771D2C">
        <w:t xml:space="preserve">because there is no access for the public concerned to have access </w:t>
      </w:r>
      <w:r w:rsidR="007A7467" w:rsidRPr="00771D2C">
        <w:t xml:space="preserve">to justice to defend </w:t>
      </w:r>
      <w:r w:rsidR="004273C1" w:rsidRPr="00771D2C">
        <w:t xml:space="preserve">its </w:t>
      </w:r>
      <w:r w:rsidR="007A7467" w:rsidRPr="00771D2C">
        <w:t xml:space="preserve">rights and interests with respect to </w:t>
      </w:r>
      <w:r w:rsidR="007A7467" w:rsidRPr="003776DA">
        <w:t>the</w:t>
      </w:r>
      <w:r w:rsidR="007A7467" w:rsidRPr="00771D2C">
        <w:t xml:space="preserve"> procedures</w:t>
      </w:r>
      <w:r w:rsidR="00DD45A6">
        <w:t xml:space="preserve"> in question</w:t>
      </w:r>
      <w:r w:rsidR="007A7467" w:rsidRPr="00771D2C">
        <w:t>.</w:t>
      </w:r>
      <w:r w:rsidR="007A7467" w:rsidRPr="00771D2C">
        <w:rPr>
          <w:rStyle w:val="FootnoteReference"/>
        </w:rPr>
        <w:footnoteReference w:id="105"/>
      </w:r>
      <w:bookmarkEnd w:id="35"/>
      <w:r w:rsidR="00B519CE">
        <w:t xml:space="preserve"> </w:t>
      </w:r>
      <w:r w:rsidR="007A7467" w:rsidRPr="00771D2C">
        <w:t>The communicant</w:t>
      </w:r>
      <w:r w:rsidR="00584A8D" w:rsidRPr="00771D2C">
        <w:t>s</w:t>
      </w:r>
      <w:r w:rsidR="007A7467" w:rsidRPr="00771D2C">
        <w:t xml:space="preserve"> </w:t>
      </w:r>
      <w:r w:rsidR="001C089A">
        <w:t>outline</w:t>
      </w:r>
      <w:r w:rsidR="00AF3923">
        <w:t xml:space="preserve"> four ways in which their access to </w:t>
      </w:r>
      <w:r w:rsidR="00EE0648">
        <w:t>a review mechanism</w:t>
      </w:r>
      <w:r w:rsidR="00AF3923">
        <w:t xml:space="preserve"> is blocked</w:t>
      </w:r>
      <w:r w:rsidR="002E51BE">
        <w:t xml:space="preserve"> or ineffective</w:t>
      </w:r>
      <w:r w:rsidR="00AF3923">
        <w:t>.</w:t>
      </w:r>
      <w:r w:rsidR="009956F1">
        <w:rPr>
          <w:rStyle w:val="FootnoteReference"/>
        </w:rPr>
        <w:footnoteReference w:id="106"/>
      </w:r>
      <w:r w:rsidR="00AF3923">
        <w:t xml:space="preserve"> </w:t>
      </w:r>
    </w:p>
    <w:p w14:paraId="1CD24D15" w14:textId="6F73E32B" w:rsidR="007F5FC8" w:rsidRPr="00771D2C" w:rsidRDefault="00AF3923" w:rsidP="00771D2C">
      <w:pPr>
        <w:pStyle w:val="NumberedParas"/>
        <w:rPr>
          <w:rStyle w:val="st"/>
        </w:rPr>
      </w:pPr>
      <w:r>
        <w:lastRenderedPageBreak/>
        <w:t>F</w:t>
      </w:r>
      <w:r w:rsidR="007F5FC8" w:rsidRPr="003776DA">
        <w:t>irstly</w:t>
      </w:r>
      <w:r>
        <w:t>, they</w:t>
      </w:r>
      <w:r w:rsidR="007F5FC8" w:rsidRPr="00771D2C">
        <w:t xml:space="preserve"> complain that </w:t>
      </w:r>
      <w:r w:rsidR="00FB5797">
        <w:t>the</w:t>
      </w:r>
      <w:r w:rsidR="00FB5797" w:rsidRPr="00771D2C">
        <w:t xml:space="preserve"> </w:t>
      </w:r>
      <w:r w:rsidR="007F5FC8" w:rsidRPr="00771D2C">
        <w:t xml:space="preserve">remedy </w:t>
      </w:r>
      <w:r w:rsidR="00321BAC">
        <w:t>under</w:t>
      </w:r>
      <w:r w:rsidR="00321BAC" w:rsidRPr="00771D2C">
        <w:t xml:space="preserve"> </w:t>
      </w:r>
      <w:r w:rsidR="007F5FC8" w:rsidRPr="00771D2C">
        <w:t xml:space="preserve">the Administrative Procedure Code, according to which the public concerned </w:t>
      </w:r>
      <w:r w:rsidR="00321BAC">
        <w:t>can</w:t>
      </w:r>
      <w:r w:rsidR="00321BAC" w:rsidRPr="00771D2C">
        <w:t xml:space="preserve"> </w:t>
      </w:r>
      <w:r w:rsidR="007F5FC8" w:rsidRPr="00771D2C">
        <w:t>appeal to the superior administrative authority, namely the President of SONS,</w:t>
      </w:r>
      <w:r w:rsidR="005E5F8F" w:rsidRPr="00771D2C">
        <w:t xml:space="preserve"> (see para. </w:t>
      </w:r>
      <w:r w:rsidR="005E5F8F" w:rsidRPr="00771D2C">
        <w:fldChar w:fldCharType="begin"/>
      </w:r>
      <w:r w:rsidR="005E5F8F" w:rsidRPr="003776DA">
        <w:instrText xml:space="preserve"> REF _Ref5961282 \r \h  \* MERGEFORMAT </w:instrText>
      </w:r>
      <w:r w:rsidR="005E5F8F" w:rsidRPr="00771D2C">
        <w:fldChar w:fldCharType="separate"/>
      </w:r>
      <w:r w:rsidR="009B2E8A" w:rsidRPr="00771D2C">
        <w:rPr>
          <w:cs/>
        </w:rPr>
        <w:t>‎</w:t>
      </w:r>
      <w:r w:rsidR="009B2E8A">
        <w:t>24</w:t>
      </w:r>
      <w:r w:rsidR="005E5F8F" w:rsidRPr="00771D2C">
        <w:fldChar w:fldCharType="end"/>
      </w:r>
      <w:r w:rsidR="005E5F8F" w:rsidRPr="00771D2C">
        <w:t xml:space="preserve"> above</w:t>
      </w:r>
      <w:r w:rsidR="005E5F8F" w:rsidRPr="003776DA">
        <w:t>)</w:t>
      </w:r>
      <w:r w:rsidR="007F5FC8" w:rsidRPr="003776DA">
        <w:t xml:space="preserve"> is hopeless.</w:t>
      </w:r>
      <w:r w:rsidR="007F5FC8" w:rsidRPr="00771D2C">
        <w:t xml:space="preserve"> The communicants observe that the SONS President is not a neutral entity and that </w:t>
      </w:r>
      <w:r w:rsidR="00A950BE">
        <w:t>it</w:t>
      </w:r>
      <w:r w:rsidR="007F5FC8" w:rsidRPr="00771D2C">
        <w:t xml:space="preserve"> rejected the same arguments at issue in the communication, namely the necessity of public participation, in its decision of 2008 (see para. </w:t>
      </w:r>
      <w:r w:rsidR="00DB4E7C">
        <w:fldChar w:fldCharType="begin"/>
      </w:r>
      <w:r w:rsidR="00DB4E7C">
        <w:instrText xml:space="preserve"> REF _Ref72491158 \r \h </w:instrText>
      </w:r>
      <w:r w:rsidR="00DB4E7C">
        <w:fldChar w:fldCharType="separate"/>
      </w:r>
      <w:r w:rsidR="009B2E8A">
        <w:rPr>
          <w:cs/>
        </w:rPr>
        <w:t>‎</w:t>
      </w:r>
      <w:r w:rsidR="009B2E8A">
        <w:t>31</w:t>
      </w:r>
      <w:r w:rsidR="00DB4E7C">
        <w:fldChar w:fldCharType="end"/>
      </w:r>
      <w:r w:rsidR="007F5FC8" w:rsidRPr="00771D2C">
        <w:t xml:space="preserve"> above).</w:t>
      </w:r>
      <w:r w:rsidR="007A7467" w:rsidRPr="00771D2C">
        <w:rPr>
          <w:rStyle w:val="FootnoteReference"/>
        </w:rPr>
        <w:footnoteReference w:id="107"/>
      </w:r>
      <w:r w:rsidR="007A7467" w:rsidRPr="00771D2C">
        <w:rPr>
          <w:rStyle w:val="st"/>
        </w:rPr>
        <w:t xml:space="preserve"> </w:t>
      </w:r>
    </w:p>
    <w:p w14:paraId="08D67EB0" w14:textId="472E2AB0" w:rsidR="00424293" w:rsidRPr="00DB4E7C" w:rsidRDefault="007F5FC8" w:rsidP="00862747">
      <w:pPr>
        <w:pStyle w:val="NumberedParas"/>
        <w:rPr>
          <w:rStyle w:val="st"/>
          <w:bCs/>
          <w:szCs w:val="20"/>
        </w:rPr>
      </w:pPr>
      <w:r w:rsidRPr="00771D2C">
        <w:rPr>
          <w:rStyle w:val="st"/>
        </w:rPr>
        <w:t xml:space="preserve">The communicants submit secondly that </w:t>
      </w:r>
      <w:r w:rsidR="00D05C17">
        <w:rPr>
          <w:rStyle w:val="st"/>
          <w:bCs/>
          <w:szCs w:val="20"/>
        </w:rPr>
        <w:t xml:space="preserve">the stipulation </w:t>
      </w:r>
      <w:r w:rsidR="00C05E6F">
        <w:rPr>
          <w:rStyle w:val="st"/>
          <w:bCs/>
          <w:szCs w:val="20"/>
        </w:rPr>
        <w:t xml:space="preserve">that only the applicant </w:t>
      </w:r>
      <w:r w:rsidR="006537FD">
        <w:rPr>
          <w:rStyle w:val="st"/>
          <w:bCs/>
          <w:szCs w:val="20"/>
        </w:rPr>
        <w:t>is a</w:t>
      </w:r>
      <w:r w:rsidR="00C05E6F">
        <w:rPr>
          <w:rStyle w:val="st"/>
          <w:bCs/>
          <w:szCs w:val="20"/>
        </w:rPr>
        <w:t xml:space="preserve"> party to the permitting procedure found </w:t>
      </w:r>
      <w:r w:rsidR="00D05C17">
        <w:rPr>
          <w:rStyle w:val="st"/>
          <w:bCs/>
          <w:szCs w:val="20"/>
        </w:rPr>
        <w:t xml:space="preserve">in </w:t>
      </w:r>
      <w:r w:rsidR="00B22A7D" w:rsidRPr="00771D2C">
        <w:rPr>
          <w:rStyle w:val="st"/>
        </w:rPr>
        <w:t>both</w:t>
      </w:r>
      <w:r w:rsidR="00F21204" w:rsidRPr="00771D2C">
        <w:rPr>
          <w:rStyle w:val="st"/>
        </w:rPr>
        <w:t xml:space="preserve"> section 14(1) </w:t>
      </w:r>
      <w:r w:rsidR="00F21204">
        <w:rPr>
          <w:rStyle w:val="st"/>
          <w:bCs/>
          <w:szCs w:val="20"/>
        </w:rPr>
        <w:t>of</w:t>
      </w:r>
      <w:r w:rsidR="00B22A7D" w:rsidRPr="003776DA">
        <w:rPr>
          <w:rStyle w:val="st"/>
          <w:bCs/>
          <w:szCs w:val="20"/>
        </w:rPr>
        <w:t xml:space="preserve"> </w:t>
      </w:r>
      <w:r w:rsidRPr="003776DA">
        <w:rPr>
          <w:rStyle w:val="st"/>
          <w:bCs/>
          <w:szCs w:val="20"/>
        </w:rPr>
        <w:t xml:space="preserve">the </w:t>
      </w:r>
      <w:r w:rsidR="00B22A7D" w:rsidRPr="003776DA">
        <w:rPr>
          <w:rStyle w:val="st"/>
          <w:bCs/>
          <w:szCs w:val="20"/>
        </w:rPr>
        <w:t>199</w:t>
      </w:r>
      <w:r w:rsidR="008D56D8">
        <w:rPr>
          <w:rStyle w:val="st"/>
          <w:bCs/>
          <w:szCs w:val="20"/>
        </w:rPr>
        <w:t>7</w:t>
      </w:r>
      <w:r w:rsidR="00B22A7D" w:rsidRPr="003776DA">
        <w:rPr>
          <w:rStyle w:val="st"/>
          <w:bCs/>
          <w:szCs w:val="20"/>
        </w:rPr>
        <w:t xml:space="preserve"> Atomic Act </w:t>
      </w:r>
      <w:r w:rsidR="00B22A7D" w:rsidRPr="00771D2C">
        <w:rPr>
          <w:rStyle w:val="st"/>
        </w:rPr>
        <w:t xml:space="preserve">and </w:t>
      </w:r>
      <w:r w:rsidR="00F21204">
        <w:rPr>
          <w:rStyle w:val="st"/>
          <w:bCs/>
          <w:szCs w:val="20"/>
        </w:rPr>
        <w:t xml:space="preserve">section 19(1) of </w:t>
      </w:r>
      <w:r w:rsidR="00B22A7D" w:rsidRPr="00771D2C">
        <w:rPr>
          <w:rStyle w:val="st"/>
        </w:rPr>
        <w:t xml:space="preserve">the 2016 </w:t>
      </w:r>
      <w:r w:rsidRPr="00771D2C">
        <w:rPr>
          <w:rStyle w:val="st"/>
        </w:rPr>
        <w:t>Atomic Act</w:t>
      </w:r>
      <w:r w:rsidR="00000A6C">
        <w:rPr>
          <w:rStyle w:val="st"/>
          <w:bCs/>
          <w:szCs w:val="20"/>
        </w:rPr>
        <w:t xml:space="preserve"> prevent</w:t>
      </w:r>
      <w:r w:rsidR="00F60BC3">
        <w:rPr>
          <w:rStyle w:val="st"/>
          <w:bCs/>
          <w:szCs w:val="20"/>
        </w:rPr>
        <w:t>s</w:t>
      </w:r>
      <w:r w:rsidR="001D2752">
        <w:rPr>
          <w:rStyle w:val="st"/>
          <w:bCs/>
          <w:szCs w:val="20"/>
        </w:rPr>
        <w:t xml:space="preserve"> the existence of a remedy under</w:t>
      </w:r>
      <w:r w:rsidR="00FE729D" w:rsidRPr="003776DA">
        <w:rPr>
          <w:rStyle w:val="st"/>
          <w:bCs/>
          <w:szCs w:val="20"/>
        </w:rPr>
        <w:t xml:space="preserve"> section 65(</w:t>
      </w:r>
      <w:r w:rsidR="00FE729D" w:rsidRPr="00771D2C">
        <w:rPr>
          <w:rStyle w:val="st"/>
        </w:rPr>
        <w:t xml:space="preserve">2) of the Code of Administrative Justice </w:t>
      </w:r>
      <w:r w:rsidR="001D2752">
        <w:rPr>
          <w:rStyle w:val="st"/>
          <w:bCs/>
          <w:szCs w:val="20"/>
        </w:rPr>
        <w:t>since</w:t>
      </w:r>
      <w:r w:rsidR="00FE729D" w:rsidRPr="003776DA">
        <w:rPr>
          <w:rStyle w:val="st"/>
          <w:bCs/>
          <w:szCs w:val="20"/>
        </w:rPr>
        <w:t xml:space="preserve"> </w:t>
      </w:r>
      <w:r w:rsidR="00FE729D" w:rsidRPr="00771D2C">
        <w:rPr>
          <w:rStyle w:val="st"/>
        </w:rPr>
        <w:t xml:space="preserve">that provision only grants </w:t>
      </w:r>
      <w:r w:rsidR="001D2752">
        <w:rPr>
          <w:rStyle w:val="st"/>
          <w:bCs/>
          <w:szCs w:val="20"/>
        </w:rPr>
        <w:t xml:space="preserve">a </w:t>
      </w:r>
      <w:r w:rsidR="001D2752" w:rsidRPr="00771D2C">
        <w:rPr>
          <w:rStyle w:val="st"/>
        </w:rPr>
        <w:t xml:space="preserve">right to appeal </w:t>
      </w:r>
      <w:r w:rsidR="001D2752">
        <w:rPr>
          <w:rStyle w:val="st"/>
          <w:bCs/>
          <w:szCs w:val="20"/>
        </w:rPr>
        <w:t xml:space="preserve">to </w:t>
      </w:r>
      <w:r w:rsidR="00FE729D" w:rsidRPr="003776DA">
        <w:rPr>
          <w:rStyle w:val="st"/>
          <w:bCs/>
          <w:szCs w:val="20"/>
        </w:rPr>
        <w:t>parties to the procedure</w:t>
      </w:r>
      <w:r w:rsidR="00767CE7">
        <w:rPr>
          <w:rStyle w:val="st"/>
          <w:bCs/>
          <w:szCs w:val="20"/>
        </w:rPr>
        <w:t xml:space="preserve"> </w:t>
      </w:r>
      <w:r w:rsidR="00FE729D" w:rsidRPr="003776DA">
        <w:rPr>
          <w:rStyle w:val="st"/>
          <w:bCs/>
          <w:szCs w:val="20"/>
        </w:rPr>
        <w:t>(see para</w:t>
      </w:r>
      <w:r w:rsidR="00DB4E7C">
        <w:rPr>
          <w:rStyle w:val="st"/>
          <w:bCs/>
          <w:szCs w:val="20"/>
        </w:rPr>
        <w:t>s</w:t>
      </w:r>
      <w:r w:rsidR="00FE729D" w:rsidRPr="003776DA">
        <w:rPr>
          <w:rStyle w:val="st"/>
          <w:bCs/>
          <w:szCs w:val="20"/>
        </w:rPr>
        <w:t xml:space="preserve">. </w:t>
      </w:r>
      <w:r w:rsidR="00DB4E7C">
        <w:rPr>
          <w:rStyle w:val="st"/>
          <w:bCs/>
          <w:szCs w:val="20"/>
        </w:rPr>
        <w:fldChar w:fldCharType="begin"/>
      </w:r>
      <w:r w:rsidR="00DB4E7C">
        <w:rPr>
          <w:rStyle w:val="st"/>
          <w:bCs/>
          <w:szCs w:val="20"/>
        </w:rPr>
        <w:instrText xml:space="preserve"> REF _Ref72491205 \r \h </w:instrText>
      </w:r>
      <w:r w:rsidR="00DB4E7C">
        <w:rPr>
          <w:rStyle w:val="st"/>
          <w:bCs/>
          <w:szCs w:val="20"/>
        </w:rPr>
      </w:r>
      <w:r w:rsidR="00DB4E7C">
        <w:rPr>
          <w:rStyle w:val="st"/>
          <w:bCs/>
          <w:szCs w:val="20"/>
        </w:rPr>
        <w:fldChar w:fldCharType="separate"/>
      </w:r>
      <w:r w:rsidR="009B2E8A">
        <w:rPr>
          <w:rStyle w:val="st"/>
          <w:bCs/>
          <w:szCs w:val="20"/>
          <w:cs/>
        </w:rPr>
        <w:t>‎</w:t>
      </w:r>
      <w:r w:rsidR="009B2E8A">
        <w:rPr>
          <w:rStyle w:val="st"/>
          <w:bCs/>
          <w:szCs w:val="20"/>
        </w:rPr>
        <w:t>16</w:t>
      </w:r>
      <w:r w:rsidR="00DB4E7C">
        <w:rPr>
          <w:rStyle w:val="st"/>
          <w:bCs/>
          <w:szCs w:val="20"/>
        </w:rPr>
        <w:fldChar w:fldCharType="end"/>
      </w:r>
      <w:r w:rsidR="00DB4E7C">
        <w:rPr>
          <w:rStyle w:val="st"/>
          <w:bCs/>
          <w:szCs w:val="20"/>
        </w:rPr>
        <w:t xml:space="preserve">, </w:t>
      </w:r>
      <w:r w:rsidR="00DB4E7C">
        <w:rPr>
          <w:rStyle w:val="st"/>
          <w:bCs/>
          <w:szCs w:val="20"/>
        </w:rPr>
        <w:fldChar w:fldCharType="begin"/>
      </w:r>
      <w:r w:rsidR="00DB4E7C">
        <w:rPr>
          <w:rStyle w:val="st"/>
          <w:bCs/>
          <w:szCs w:val="20"/>
        </w:rPr>
        <w:instrText xml:space="preserve"> REF _Ref6248676 \r \h </w:instrText>
      </w:r>
      <w:r w:rsidR="00DB4E7C">
        <w:rPr>
          <w:rStyle w:val="st"/>
          <w:bCs/>
          <w:szCs w:val="20"/>
        </w:rPr>
      </w:r>
      <w:r w:rsidR="00DB4E7C">
        <w:rPr>
          <w:rStyle w:val="st"/>
          <w:bCs/>
          <w:szCs w:val="20"/>
        </w:rPr>
        <w:fldChar w:fldCharType="separate"/>
      </w:r>
      <w:r w:rsidR="009B2E8A">
        <w:rPr>
          <w:rStyle w:val="st"/>
          <w:bCs/>
          <w:szCs w:val="20"/>
          <w:cs/>
        </w:rPr>
        <w:t>‎</w:t>
      </w:r>
      <w:r w:rsidR="009B2E8A">
        <w:rPr>
          <w:rStyle w:val="st"/>
          <w:bCs/>
          <w:szCs w:val="20"/>
        </w:rPr>
        <w:t>19</w:t>
      </w:r>
      <w:r w:rsidR="00DB4E7C">
        <w:rPr>
          <w:rStyle w:val="st"/>
          <w:bCs/>
          <w:szCs w:val="20"/>
        </w:rPr>
        <w:fldChar w:fldCharType="end"/>
      </w:r>
      <w:r w:rsidR="009B2E8A">
        <w:rPr>
          <w:rStyle w:val="st"/>
          <w:bCs/>
          <w:szCs w:val="20"/>
        </w:rPr>
        <w:t xml:space="preserve"> and </w:t>
      </w:r>
      <w:r w:rsidR="00DB4E7C">
        <w:rPr>
          <w:rStyle w:val="st"/>
          <w:bCs/>
          <w:szCs w:val="20"/>
        </w:rPr>
        <w:fldChar w:fldCharType="begin"/>
      </w:r>
      <w:r w:rsidR="00DB4E7C">
        <w:rPr>
          <w:rStyle w:val="st"/>
          <w:bCs/>
          <w:szCs w:val="20"/>
        </w:rPr>
        <w:instrText xml:space="preserve"> REF _Ref72491211 \r \h </w:instrText>
      </w:r>
      <w:r w:rsidR="00DB4E7C">
        <w:rPr>
          <w:rStyle w:val="st"/>
          <w:bCs/>
          <w:szCs w:val="20"/>
        </w:rPr>
      </w:r>
      <w:r w:rsidR="00DB4E7C">
        <w:rPr>
          <w:rStyle w:val="st"/>
          <w:bCs/>
          <w:szCs w:val="20"/>
        </w:rPr>
        <w:fldChar w:fldCharType="separate"/>
      </w:r>
      <w:r w:rsidR="009B2E8A">
        <w:rPr>
          <w:rStyle w:val="st"/>
          <w:bCs/>
          <w:szCs w:val="20"/>
          <w:cs/>
        </w:rPr>
        <w:t>‎</w:t>
      </w:r>
      <w:r w:rsidR="009B2E8A">
        <w:rPr>
          <w:rStyle w:val="st"/>
          <w:bCs/>
          <w:szCs w:val="20"/>
        </w:rPr>
        <w:t>26</w:t>
      </w:r>
      <w:r w:rsidR="00DB4E7C">
        <w:rPr>
          <w:rStyle w:val="st"/>
          <w:bCs/>
          <w:szCs w:val="20"/>
        </w:rPr>
        <w:fldChar w:fldCharType="end"/>
      </w:r>
      <w:r w:rsidR="00767CE7" w:rsidRPr="00771D2C">
        <w:rPr>
          <w:rStyle w:val="st"/>
        </w:rPr>
        <w:t xml:space="preserve"> </w:t>
      </w:r>
      <w:r w:rsidR="00FE729D" w:rsidRPr="00771D2C">
        <w:rPr>
          <w:rStyle w:val="st"/>
        </w:rPr>
        <w:t>above).</w:t>
      </w:r>
      <w:r w:rsidR="00FE729D" w:rsidRPr="00771D2C">
        <w:rPr>
          <w:rStyle w:val="FootnoteReference"/>
        </w:rPr>
        <w:footnoteReference w:id="108"/>
      </w:r>
      <w:r w:rsidR="00FE729D" w:rsidRPr="00771D2C">
        <w:rPr>
          <w:rStyle w:val="st"/>
        </w:rPr>
        <w:t xml:space="preserve"> </w:t>
      </w:r>
    </w:p>
    <w:p w14:paraId="6BCD0482" w14:textId="25CBD201" w:rsidR="00FE729D" w:rsidRPr="00771D2C" w:rsidRDefault="00FE729D" w:rsidP="00771D2C">
      <w:pPr>
        <w:pStyle w:val="NumberedParas"/>
        <w:rPr>
          <w:rStyle w:val="st"/>
        </w:rPr>
      </w:pPr>
      <w:r w:rsidRPr="00771D2C">
        <w:rPr>
          <w:rStyle w:val="st"/>
        </w:rPr>
        <w:t xml:space="preserve">The communicants </w:t>
      </w:r>
      <w:r w:rsidR="00AF3923">
        <w:rPr>
          <w:rStyle w:val="st"/>
          <w:bCs/>
          <w:szCs w:val="20"/>
        </w:rPr>
        <w:t xml:space="preserve">thirdly </w:t>
      </w:r>
      <w:r w:rsidRPr="00771D2C">
        <w:rPr>
          <w:rStyle w:val="st"/>
        </w:rPr>
        <w:t>claim that the remedy under section 65(1)</w:t>
      </w:r>
      <w:r w:rsidR="00424293" w:rsidRPr="00771D2C">
        <w:rPr>
          <w:rStyle w:val="st"/>
        </w:rPr>
        <w:t xml:space="preserve"> </w:t>
      </w:r>
      <w:r w:rsidR="00424293">
        <w:rPr>
          <w:rStyle w:val="st"/>
          <w:bCs/>
          <w:szCs w:val="20"/>
        </w:rPr>
        <w:t>of the Code of Administrative Justice</w:t>
      </w:r>
      <w:r w:rsidRPr="003776DA">
        <w:rPr>
          <w:rStyle w:val="st"/>
          <w:bCs/>
          <w:szCs w:val="20"/>
        </w:rPr>
        <w:t xml:space="preserve"> is</w:t>
      </w:r>
      <w:r w:rsidR="00972D7E">
        <w:rPr>
          <w:rStyle w:val="st"/>
          <w:bCs/>
          <w:szCs w:val="20"/>
        </w:rPr>
        <w:t xml:space="preserve"> also</w:t>
      </w:r>
      <w:r w:rsidRPr="003776DA">
        <w:rPr>
          <w:rStyle w:val="st"/>
          <w:bCs/>
          <w:szCs w:val="20"/>
        </w:rPr>
        <w:t xml:space="preserve"> </w:t>
      </w:r>
      <w:r w:rsidRPr="00771D2C">
        <w:rPr>
          <w:rStyle w:val="st"/>
        </w:rPr>
        <w:t>unavail</w:t>
      </w:r>
      <w:r w:rsidR="00E862AA" w:rsidRPr="00771D2C">
        <w:rPr>
          <w:rStyle w:val="st"/>
        </w:rPr>
        <w:t xml:space="preserve">able </w:t>
      </w:r>
      <w:r w:rsidR="00972D7E">
        <w:rPr>
          <w:rStyle w:val="st"/>
          <w:bCs/>
          <w:szCs w:val="20"/>
        </w:rPr>
        <w:t>as evidenced by both</w:t>
      </w:r>
      <w:r w:rsidR="00972D7E" w:rsidRPr="00771D2C">
        <w:rPr>
          <w:rStyle w:val="st"/>
        </w:rPr>
        <w:t xml:space="preserve"> the</w:t>
      </w:r>
      <w:r w:rsidRPr="00771D2C">
        <w:rPr>
          <w:rStyle w:val="st"/>
        </w:rPr>
        <w:t xml:space="preserve"> Municipal Court in Prague </w:t>
      </w:r>
      <w:r w:rsidR="00972D7E">
        <w:rPr>
          <w:rStyle w:val="st"/>
          <w:bCs/>
          <w:szCs w:val="20"/>
        </w:rPr>
        <w:t>and</w:t>
      </w:r>
      <w:r w:rsidRPr="003776DA">
        <w:rPr>
          <w:rStyle w:val="st"/>
          <w:bCs/>
          <w:szCs w:val="20"/>
        </w:rPr>
        <w:t xml:space="preserve"> </w:t>
      </w:r>
      <w:r w:rsidRPr="00771D2C">
        <w:rPr>
          <w:rStyle w:val="st"/>
        </w:rPr>
        <w:t xml:space="preserve">the Supreme Administrative Court </w:t>
      </w:r>
      <w:r w:rsidR="00BD0876">
        <w:rPr>
          <w:rStyle w:val="st"/>
          <w:bCs/>
          <w:szCs w:val="20"/>
        </w:rPr>
        <w:t>rejecting these arguments</w:t>
      </w:r>
      <w:r w:rsidR="00A9452A">
        <w:rPr>
          <w:rStyle w:val="st"/>
          <w:bCs/>
          <w:szCs w:val="20"/>
        </w:rPr>
        <w:t xml:space="preserve"> (see paras. </w:t>
      </w:r>
      <w:r w:rsidR="00A9452A">
        <w:rPr>
          <w:rStyle w:val="st"/>
          <w:bCs/>
          <w:szCs w:val="20"/>
        </w:rPr>
        <w:fldChar w:fldCharType="begin"/>
      </w:r>
      <w:r w:rsidR="00A9452A">
        <w:rPr>
          <w:rStyle w:val="st"/>
          <w:bCs/>
          <w:szCs w:val="20"/>
        </w:rPr>
        <w:instrText xml:space="preserve"> REF _Ref74083241 \r \h </w:instrText>
      </w:r>
      <w:r w:rsidR="00A9452A">
        <w:rPr>
          <w:rStyle w:val="st"/>
          <w:bCs/>
          <w:szCs w:val="20"/>
        </w:rPr>
      </w:r>
      <w:r w:rsidR="00A9452A">
        <w:rPr>
          <w:rStyle w:val="st"/>
          <w:bCs/>
          <w:szCs w:val="20"/>
        </w:rPr>
        <w:fldChar w:fldCharType="separate"/>
      </w:r>
      <w:r w:rsidR="009B2E8A">
        <w:rPr>
          <w:rStyle w:val="st"/>
          <w:bCs/>
          <w:szCs w:val="20"/>
          <w:cs/>
        </w:rPr>
        <w:t>‎</w:t>
      </w:r>
      <w:r w:rsidR="009B2E8A">
        <w:rPr>
          <w:rStyle w:val="st"/>
          <w:bCs/>
          <w:szCs w:val="20"/>
        </w:rPr>
        <w:t>30</w:t>
      </w:r>
      <w:r w:rsidR="00A9452A">
        <w:rPr>
          <w:rStyle w:val="st"/>
          <w:bCs/>
          <w:szCs w:val="20"/>
        </w:rPr>
        <w:fldChar w:fldCharType="end"/>
      </w:r>
      <w:r w:rsidR="00A9452A">
        <w:rPr>
          <w:rStyle w:val="st"/>
          <w:bCs/>
          <w:szCs w:val="20"/>
        </w:rPr>
        <w:t xml:space="preserve"> - </w:t>
      </w:r>
      <w:r w:rsidR="00A9452A">
        <w:rPr>
          <w:rStyle w:val="st"/>
          <w:bCs/>
          <w:szCs w:val="20"/>
        </w:rPr>
        <w:fldChar w:fldCharType="begin"/>
      </w:r>
      <w:r w:rsidR="00A9452A">
        <w:rPr>
          <w:rStyle w:val="st"/>
          <w:bCs/>
          <w:szCs w:val="20"/>
        </w:rPr>
        <w:instrText xml:space="preserve"> REF _Ref74083268 \r \h </w:instrText>
      </w:r>
      <w:r w:rsidR="00A9452A">
        <w:rPr>
          <w:rStyle w:val="st"/>
          <w:bCs/>
          <w:szCs w:val="20"/>
        </w:rPr>
      </w:r>
      <w:r w:rsidR="00A9452A">
        <w:rPr>
          <w:rStyle w:val="st"/>
          <w:bCs/>
          <w:szCs w:val="20"/>
        </w:rPr>
        <w:fldChar w:fldCharType="separate"/>
      </w:r>
      <w:r w:rsidR="009B2E8A">
        <w:rPr>
          <w:rStyle w:val="st"/>
          <w:bCs/>
          <w:szCs w:val="20"/>
          <w:cs/>
        </w:rPr>
        <w:t>‎</w:t>
      </w:r>
      <w:r w:rsidR="009B2E8A">
        <w:rPr>
          <w:rStyle w:val="st"/>
          <w:bCs/>
          <w:szCs w:val="20"/>
        </w:rPr>
        <w:t>32</w:t>
      </w:r>
      <w:r w:rsidR="00A9452A">
        <w:rPr>
          <w:rStyle w:val="st"/>
          <w:bCs/>
          <w:szCs w:val="20"/>
        </w:rPr>
        <w:fldChar w:fldCharType="end"/>
      </w:r>
      <w:r w:rsidR="00A9452A">
        <w:rPr>
          <w:rStyle w:val="st"/>
          <w:bCs/>
          <w:szCs w:val="20"/>
        </w:rPr>
        <w:t xml:space="preserve"> above)</w:t>
      </w:r>
      <w:r w:rsidR="00BD0876">
        <w:rPr>
          <w:rStyle w:val="st"/>
          <w:bCs/>
          <w:szCs w:val="20"/>
        </w:rPr>
        <w:t xml:space="preserve">.  The courts </w:t>
      </w:r>
      <w:r w:rsidR="00BE5E0D">
        <w:rPr>
          <w:rStyle w:val="st"/>
          <w:bCs/>
          <w:szCs w:val="20"/>
        </w:rPr>
        <w:t>held</w:t>
      </w:r>
      <w:r w:rsidRPr="00771D2C">
        <w:rPr>
          <w:rStyle w:val="st"/>
        </w:rPr>
        <w:t xml:space="preserve"> that article 6</w:t>
      </w:r>
      <w:r w:rsidR="007368AF" w:rsidRPr="00771D2C">
        <w:rPr>
          <w:rStyle w:val="st"/>
        </w:rPr>
        <w:t xml:space="preserve"> </w:t>
      </w:r>
      <w:r w:rsidR="007368AF">
        <w:rPr>
          <w:rStyle w:val="st"/>
          <w:bCs/>
          <w:szCs w:val="20"/>
        </w:rPr>
        <w:t>of</w:t>
      </w:r>
      <w:r w:rsidR="00972D7E">
        <w:rPr>
          <w:rStyle w:val="st"/>
          <w:bCs/>
          <w:szCs w:val="20"/>
        </w:rPr>
        <w:t xml:space="preserve"> the Convention</w:t>
      </w:r>
      <w:r w:rsidRPr="003776DA">
        <w:rPr>
          <w:rStyle w:val="st"/>
          <w:bCs/>
          <w:szCs w:val="20"/>
        </w:rPr>
        <w:t xml:space="preserve"> </w:t>
      </w:r>
      <w:r w:rsidRPr="00771D2C">
        <w:rPr>
          <w:rStyle w:val="st"/>
        </w:rPr>
        <w:t>was not directly applicable</w:t>
      </w:r>
      <w:r w:rsidR="00BE5E0D" w:rsidRPr="00771D2C">
        <w:rPr>
          <w:rStyle w:val="st"/>
        </w:rPr>
        <w:t xml:space="preserve"> and </w:t>
      </w:r>
      <w:r w:rsidR="00BE5E0D">
        <w:rPr>
          <w:rStyle w:val="st"/>
          <w:bCs/>
          <w:szCs w:val="20"/>
        </w:rPr>
        <w:t>accordingly</w:t>
      </w:r>
      <w:r w:rsidR="00BE5E0D" w:rsidRPr="00771D2C">
        <w:rPr>
          <w:rStyle w:val="st"/>
        </w:rPr>
        <w:t xml:space="preserve"> </w:t>
      </w:r>
      <w:r w:rsidRPr="00771D2C">
        <w:rPr>
          <w:rStyle w:val="st"/>
        </w:rPr>
        <w:t>determined there was no corresponding violation of the association’s rights</w:t>
      </w:r>
      <w:r w:rsidRPr="003776DA">
        <w:rPr>
          <w:rStyle w:val="st"/>
          <w:bCs/>
          <w:szCs w:val="20"/>
        </w:rPr>
        <w:t>.</w:t>
      </w:r>
      <w:r w:rsidR="00A85723">
        <w:rPr>
          <w:rStyle w:val="st"/>
          <w:bCs/>
          <w:szCs w:val="20"/>
        </w:rPr>
        <w:t xml:space="preserve"> T</w:t>
      </w:r>
      <w:r w:rsidRPr="003776DA">
        <w:rPr>
          <w:rStyle w:val="st"/>
          <w:bCs/>
          <w:szCs w:val="20"/>
        </w:rPr>
        <w:t xml:space="preserve">he communicants </w:t>
      </w:r>
      <w:r w:rsidR="00A85723">
        <w:rPr>
          <w:rStyle w:val="st"/>
          <w:bCs/>
          <w:szCs w:val="20"/>
        </w:rPr>
        <w:t>note</w:t>
      </w:r>
      <w:r w:rsidR="00A85723" w:rsidRPr="00771D2C">
        <w:rPr>
          <w:rStyle w:val="st"/>
        </w:rPr>
        <w:t xml:space="preserve"> </w:t>
      </w:r>
      <w:r w:rsidRPr="00771D2C">
        <w:rPr>
          <w:rStyle w:val="st"/>
        </w:rPr>
        <w:t>that the Constitutional Court found the ensuing constitutional complaint mani</w:t>
      </w:r>
      <w:r w:rsidR="006033E9" w:rsidRPr="00771D2C">
        <w:rPr>
          <w:rStyle w:val="st"/>
        </w:rPr>
        <w:t xml:space="preserve">festly unreasonable </w:t>
      </w:r>
      <w:r w:rsidR="002142A1" w:rsidRPr="00771D2C">
        <w:rPr>
          <w:rStyle w:val="st"/>
        </w:rPr>
        <w:t>(</w:t>
      </w:r>
      <w:r w:rsidR="006033E9" w:rsidRPr="00771D2C">
        <w:rPr>
          <w:rStyle w:val="st"/>
        </w:rPr>
        <w:t xml:space="preserve">see </w:t>
      </w:r>
      <w:r w:rsidR="006033E9" w:rsidRPr="009B2E8A">
        <w:rPr>
          <w:rStyle w:val="st"/>
          <w:bCs/>
          <w:szCs w:val="20"/>
        </w:rPr>
        <w:t xml:space="preserve">para. </w:t>
      </w:r>
      <w:r w:rsidR="00A9452A" w:rsidRPr="009B2E8A">
        <w:rPr>
          <w:rStyle w:val="st"/>
          <w:bCs/>
          <w:szCs w:val="20"/>
        </w:rPr>
        <w:fldChar w:fldCharType="begin"/>
      </w:r>
      <w:r w:rsidR="00A9452A" w:rsidRPr="009B2E8A">
        <w:rPr>
          <w:rStyle w:val="st"/>
          <w:bCs/>
          <w:szCs w:val="20"/>
        </w:rPr>
        <w:instrText xml:space="preserve"> REF _Ref6247875 \r \h </w:instrText>
      </w:r>
      <w:r w:rsidR="009B2E8A">
        <w:rPr>
          <w:rStyle w:val="st"/>
          <w:bCs/>
          <w:szCs w:val="20"/>
        </w:rPr>
        <w:instrText xml:space="preserve"> \* MERGEFORMAT </w:instrText>
      </w:r>
      <w:r w:rsidR="00A9452A" w:rsidRPr="009B2E8A">
        <w:rPr>
          <w:rStyle w:val="st"/>
          <w:bCs/>
          <w:szCs w:val="20"/>
        </w:rPr>
      </w:r>
      <w:r w:rsidR="00A9452A" w:rsidRPr="009B2E8A">
        <w:rPr>
          <w:rStyle w:val="st"/>
          <w:bCs/>
          <w:szCs w:val="20"/>
        </w:rPr>
        <w:fldChar w:fldCharType="separate"/>
      </w:r>
      <w:r w:rsidR="009B2E8A" w:rsidRPr="009B2E8A">
        <w:rPr>
          <w:rStyle w:val="st"/>
          <w:bCs/>
          <w:szCs w:val="20"/>
          <w:cs/>
        </w:rPr>
        <w:t>‎</w:t>
      </w:r>
      <w:r w:rsidR="009B2E8A" w:rsidRPr="009B2E8A">
        <w:rPr>
          <w:rStyle w:val="st"/>
          <w:bCs/>
          <w:szCs w:val="20"/>
        </w:rPr>
        <w:t>33</w:t>
      </w:r>
      <w:r w:rsidR="00A9452A" w:rsidRPr="009B2E8A">
        <w:rPr>
          <w:rStyle w:val="st"/>
          <w:bCs/>
          <w:szCs w:val="20"/>
        </w:rPr>
        <w:fldChar w:fldCharType="end"/>
      </w:r>
      <w:r w:rsidR="00A9452A" w:rsidRPr="009B2E8A">
        <w:rPr>
          <w:rStyle w:val="st"/>
          <w:bCs/>
          <w:szCs w:val="20"/>
        </w:rPr>
        <w:t xml:space="preserve"> </w:t>
      </w:r>
      <w:r w:rsidR="002142A1" w:rsidRPr="009B2E8A">
        <w:rPr>
          <w:rStyle w:val="st"/>
          <w:bCs/>
          <w:szCs w:val="20"/>
        </w:rPr>
        <w:t>above)</w:t>
      </w:r>
      <w:r w:rsidR="006033E9" w:rsidRPr="009B2E8A">
        <w:rPr>
          <w:rStyle w:val="st"/>
          <w:bCs/>
          <w:szCs w:val="20"/>
        </w:rPr>
        <w:t>.</w:t>
      </w:r>
      <w:r w:rsidR="006033E9" w:rsidRPr="00771D2C">
        <w:rPr>
          <w:rStyle w:val="st"/>
        </w:rPr>
        <w:t xml:space="preserve"> The communicants submit that there are no facts or legal circumstances which would permit a contrary result in the context of the present case.</w:t>
      </w:r>
      <w:r w:rsidR="006033E9" w:rsidRPr="00771D2C">
        <w:rPr>
          <w:rStyle w:val="FootnoteReference"/>
        </w:rPr>
        <w:footnoteReference w:id="109"/>
      </w:r>
    </w:p>
    <w:p w14:paraId="0280236E" w14:textId="69B8C076" w:rsidR="006033E9" w:rsidRPr="00771D2C" w:rsidRDefault="00A85723" w:rsidP="00771D2C">
      <w:pPr>
        <w:pStyle w:val="NumberedParas"/>
      </w:pPr>
      <w:r>
        <w:rPr>
          <w:rStyle w:val="st"/>
          <w:bCs/>
          <w:szCs w:val="20"/>
        </w:rPr>
        <w:t>Finally</w:t>
      </w:r>
      <w:r w:rsidR="006033E9" w:rsidRPr="00771D2C">
        <w:rPr>
          <w:rStyle w:val="st"/>
        </w:rPr>
        <w:t>,</w:t>
      </w:r>
      <w:r w:rsidR="007A7467" w:rsidRPr="00771D2C">
        <w:t xml:space="preserve"> </w:t>
      </w:r>
      <w:r w:rsidR="006033E9" w:rsidRPr="00771D2C">
        <w:t>the communicants claim that a</w:t>
      </w:r>
      <w:r w:rsidR="007A7467" w:rsidRPr="00771D2C">
        <w:t xml:space="preserve"> special complaint to protect </w:t>
      </w:r>
      <w:r w:rsidR="004273C1" w:rsidRPr="00771D2C">
        <w:t xml:space="preserve">the </w:t>
      </w:r>
      <w:r w:rsidR="007A7467" w:rsidRPr="00771D2C">
        <w:t xml:space="preserve">public interest </w:t>
      </w:r>
      <w:r w:rsidR="00FD2E3F" w:rsidRPr="00771D2C">
        <w:t xml:space="preserve">under article 66(3) of the Code of Administrative Justice </w:t>
      </w:r>
      <w:r w:rsidR="006033E9" w:rsidRPr="00771D2C">
        <w:t xml:space="preserve">(see para. </w:t>
      </w:r>
      <w:r w:rsidR="00A9452A" w:rsidRPr="009B2E8A">
        <w:fldChar w:fldCharType="begin"/>
      </w:r>
      <w:r w:rsidR="00A9452A" w:rsidRPr="009B2E8A">
        <w:instrText xml:space="preserve"> REF _Ref8384484 \r \h </w:instrText>
      </w:r>
      <w:r w:rsidR="009B2E8A">
        <w:instrText xml:space="preserve"> \* MERGEFORMAT </w:instrText>
      </w:r>
      <w:r w:rsidR="00A9452A" w:rsidRPr="009B2E8A">
        <w:fldChar w:fldCharType="separate"/>
      </w:r>
      <w:r w:rsidR="009B2E8A" w:rsidRPr="009B2E8A">
        <w:rPr>
          <w:cs/>
        </w:rPr>
        <w:t>‎</w:t>
      </w:r>
      <w:r w:rsidR="009B2E8A" w:rsidRPr="009B2E8A">
        <w:t>27</w:t>
      </w:r>
      <w:r w:rsidR="00A9452A" w:rsidRPr="009B2E8A">
        <w:fldChar w:fldCharType="end"/>
      </w:r>
      <w:r w:rsidR="00A9452A" w:rsidRPr="00771D2C">
        <w:t xml:space="preserve"> </w:t>
      </w:r>
      <w:r w:rsidR="006033E9" w:rsidRPr="00771D2C">
        <w:t xml:space="preserve">above) is </w:t>
      </w:r>
      <w:r w:rsidR="00206161">
        <w:t xml:space="preserve">also </w:t>
      </w:r>
      <w:r w:rsidR="00E862AA" w:rsidRPr="00771D2C">
        <w:t>not possible</w:t>
      </w:r>
      <w:r w:rsidR="006033E9" w:rsidRPr="00771D2C">
        <w:t xml:space="preserve">. The communicants contend that, due to the case law cited above, there are no </w:t>
      </w:r>
      <w:r w:rsidR="00E862AA" w:rsidRPr="00771D2C">
        <w:t>plausibl</w:t>
      </w:r>
      <w:r w:rsidR="006033E9" w:rsidRPr="00771D2C">
        <w:t xml:space="preserve">e arguments under domestic law that the public concerned should be deemed to have been expressly granted authorization to appeal decisions to extend the </w:t>
      </w:r>
      <w:r w:rsidR="006033E9" w:rsidRPr="003776DA">
        <w:t>lifetime of reactors</w:t>
      </w:r>
      <w:r w:rsidR="007A7467" w:rsidRPr="003776DA">
        <w:t>.</w:t>
      </w:r>
      <w:r w:rsidR="007A7467" w:rsidRPr="00771D2C">
        <w:rPr>
          <w:rStyle w:val="FootnoteReference"/>
        </w:rPr>
        <w:footnoteReference w:id="110"/>
      </w:r>
    </w:p>
    <w:p w14:paraId="3D39713F" w14:textId="30565682" w:rsidR="007A7467" w:rsidRPr="00771D2C" w:rsidRDefault="006033E9" w:rsidP="00771D2C">
      <w:pPr>
        <w:pStyle w:val="NumberedParas"/>
      </w:pPr>
      <w:bookmarkStart w:id="36" w:name="_Ref74083644"/>
      <w:r w:rsidRPr="00771D2C">
        <w:t>The communicants submit there are no other possible legal avenues to challenge the procedural and substantive failings regarding public participation and the extensions of the</w:t>
      </w:r>
      <w:r w:rsidR="00E862AA" w:rsidRPr="00771D2C">
        <w:t xml:space="preserve"> reactors’</w:t>
      </w:r>
      <w:r w:rsidRPr="00771D2C">
        <w:t xml:space="preserve"> lifetimes.</w:t>
      </w:r>
      <w:r w:rsidRPr="00771D2C">
        <w:rPr>
          <w:rStyle w:val="FootnoteReference"/>
        </w:rPr>
        <w:footnoteReference w:id="111"/>
      </w:r>
      <w:bookmarkEnd w:id="36"/>
      <w:r w:rsidRPr="00771D2C">
        <w:t xml:space="preserve"> </w:t>
      </w:r>
    </w:p>
    <w:p w14:paraId="6FC59CA3" w14:textId="6E863685" w:rsidR="007A7467" w:rsidRPr="00771D2C" w:rsidRDefault="007A7467" w:rsidP="00771D2C">
      <w:pPr>
        <w:pStyle w:val="NumberedParas"/>
      </w:pPr>
      <w:r w:rsidRPr="00771D2C">
        <w:t>The Party concerned</w:t>
      </w:r>
      <w:r w:rsidR="00473843" w:rsidRPr="00771D2C">
        <w:t xml:space="preserve"> submits </w:t>
      </w:r>
      <w:r w:rsidRPr="00771D2C">
        <w:t xml:space="preserve">that article 6 of the Convention is not applicable to the operating permit in question, </w:t>
      </w:r>
      <w:r w:rsidR="00473843" w:rsidRPr="00771D2C">
        <w:t xml:space="preserve">and therefore </w:t>
      </w:r>
      <w:r w:rsidRPr="00771D2C">
        <w:t>concludes that article 9</w:t>
      </w:r>
      <w:r w:rsidR="00D305C3" w:rsidRPr="00771D2C">
        <w:t>(</w:t>
      </w:r>
      <w:r w:rsidRPr="00771D2C">
        <w:t>2</w:t>
      </w:r>
      <w:r w:rsidR="00D305C3" w:rsidRPr="00771D2C">
        <w:t>)</w:t>
      </w:r>
      <w:r w:rsidR="00473843" w:rsidRPr="00771D2C">
        <w:t xml:space="preserve"> is</w:t>
      </w:r>
      <w:r w:rsidRPr="00771D2C">
        <w:t xml:space="preserve"> not applicable either.</w:t>
      </w:r>
      <w:r w:rsidRPr="00771D2C">
        <w:rPr>
          <w:rStyle w:val="FootnoteReference"/>
        </w:rPr>
        <w:footnoteReference w:id="112"/>
      </w:r>
    </w:p>
    <w:p w14:paraId="2DE68A0C" w14:textId="372BEE25" w:rsidR="00AA4B6A" w:rsidRPr="003776DA" w:rsidRDefault="00AA4B6A" w:rsidP="00862747">
      <w:pPr>
        <w:pStyle w:val="NumberedParas"/>
        <w:rPr>
          <w:rStyle w:val="FootnoteReference"/>
          <w:szCs w:val="20"/>
          <w:vertAlign w:val="baseline"/>
        </w:rPr>
      </w:pPr>
      <w:r>
        <w:t xml:space="preserve">The Party concerned further states that </w:t>
      </w:r>
      <w:r w:rsidR="003110AB">
        <w:t>a judgment</w:t>
      </w:r>
      <w:r w:rsidR="00B408B0">
        <w:t xml:space="preserve"> of the Supreme Administrative Court</w:t>
      </w:r>
      <w:r w:rsidR="00F61ADB">
        <w:t xml:space="preserve"> (see para. </w:t>
      </w:r>
      <w:r w:rsidR="00DB4E7C">
        <w:fldChar w:fldCharType="begin"/>
      </w:r>
      <w:r w:rsidR="00DB4E7C">
        <w:instrText xml:space="preserve"> REF _Ref72491345 \r \h </w:instrText>
      </w:r>
      <w:r w:rsidR="00DB4E7C">
        <w:fldChar w:fldCharType="separate"/>
      </w:r>
      <w:r w:rsidR="009B2E8A">
        <w:rPr>
          <w:cs/>
        </w:rPr>
        <w:t>‎</w:t>
      </w:r>
      <w:r w:rsidR="009B2E8A">
        <w:t>29</w:t>
      </w:r>
      <w:r w:rsidR="00DB4E7C">
        <w:fldChar w:fldCharType="end"/>
      </w:r>
      <w:r w:rsidR="00F61ADB">
        <w:t xml:space="preserve"> above)</w:t>
      </w:r>
      <w:r w:rsidR="00B408B0">
        <w:t xml:space="preserve"> </w:t>
      </w:r>
      <w:r w:rsidR="003110AB">
        <w:t>has found</w:t>
      </w:r>
      <w:r w:rsidR="00B408B0">
        <w:t xml:space="preserve"> that </w:t>
      </w:r>
      <w:r w:rsidR="00D048C3">
        <w:t xml:space="preserve">participation in an administrative proceeding or an appeal against a decision cannot be stipulated as a condition for standing to bring an action against such a decision. </w:t>
      </w:r>
      <w:r w:rsidR="00B16EEF">
        <w:t xml:space="preserve">As such, it contends that it was possible for the communicants to </w:t>
      </w:r>
      <w:r w:rsidR="00F11230">
        <w:t>challenge the legality of the decisions in question.</w:t>
      </w:r>
      <w:r w:rsidR="008941E5">
        <w:rPr>
          <w:rStyle w:val="FootnoteReference"/>
        </w:rPr>
        <w:footnoteReference w:id="113"/>
      </w:r>
      <w:r w:rsidR="00F11230">
        <w:t xml:space="preserve"> </w:t>
      </w:r>
    </w:p>
    <w:p w14:paraId="41140033" w14:textId="68F11392" w:rsidR="007A7467" w:rsidRPr="00771D2C" w:rsidRDefault="00AD7EF2" w:rsidP="00771D2C">
      <w:pPr>
        <w:pStyle w:val="Heading3"/>
      </w:pPr>
      <w:r w:rsidRPr="00771D2C">
        <w:t>A</w:t>
      </w:r>
      <w:r w:rsidR="00317F2D" w:rsidRPr="00771D2C">
        <w:t>rticle</w:t>
      </w:r>
      <w:r w:rsidR="007A7467" w:rsidRPr="00771D2C">
        <w:t xml:space="preserve"> 3</w:t>
      </w:r>
      <w:r w:rsidR="005A0D4D" w:rsidRPr="00771D2C">
        <w:t>(</w:t>
      </w:r>
      <w:r w:rsidR="007A7467" w:rsidRPr="00771D2C">
        <w:t>1</w:t>
      </w:r>
      <w:r w:rsidR="005A0D4D" w:rsidRPr="00771D2C">
        <w:t>)</w:t>
      </w:r>
    </w:p>
    <w:p w14:paraId="2B4A680C" w14:textId="3A6A08CF" w:rsidR="007A7467" w:rsidRPr="00771D2C" w:rsidRDefault="007A7467" w:rsidP="00771D2C">
      <w:pPr>
        <w:pStyle w:val="NumberedParas"/>
      </w:pPr>
      <w:r w:rsidRPr="00771D2C">
        <w:t>The communicant</w:t>
      </w:r>
      <w:r w:rsidR="00584A8D" w:rsidRPr="00771D2C">
        <w:t>s</w:t>
      </w:r>
      <w:r w:rsidRPr="00771D2C">
        <w:t xml:space="preserve"> allege that the </w:t>
      </w:r>
      <w:r w:rsidR="00983B9E" w:rsidRPr="00771D2C">
        <w:t xml:space="preserve">legislation of the </w:t>
      </w:r>
      <w:r w:rsidRPr="00771D2C">
        <w:t xml:space="preserve">Party </w:t>
      </w:r>
      <w:r w:rsidR="00E862AA" w:rsidRPr="00771D2C">
        <w:t>c</w:t>
      </w:r>
      <w:r w:rsidRPr="00771D2C">
        <w:t xml:space="preserve">oncerned, taken together with judicial interpretation and practice, results in systemic noncompliance with the </w:t>
      </w:r>
      <w:r w:rsidRPr="00771D2C">
        <w:lastRenderedPageBreak/>
        <w:t>Convention.</w:t>
      </w:r>
      <w:r w:rsidR="00421F91" w:rsidRPr="00771D2C">
        <w:rPr>
          <w:rStyle w:val="FootnoteReference"/>
        </w:rPr>
        <w:footnoteReference w:id="114"/>
      </w:r>
      <w:r w:rsidR="00421F91" w:rsidRPr="00771D2C">
        <w:t xml:space="preserve"> </w:t>
      </w:r>
      <w:r w:rsidR="00AD7EF2" w:rsidRPr="00771D2C">
        <w:t xml:space="preserve">The communicants </w:t>
      </w:r>
      <w:r w:rsidR="00421F91" w:rsidRPr="00771D2C">
        <w:t>allege that, in breach of article 3</w:t>
      </w:r>
      <w:r w:rsidR="005A0D4D" w:rsidRPr="00771D2C">
        <w:t>(1)</w:t>
      </w:r>
      <w:r w:rsidR="00421F91" w:rsidRPr="00771D2C">
        <w:t>, the Party concerned has failed to “take the necessary legislative, regulatory and other measures to establish and maintain a clear, transparent and consistent framework</w:t>
      </w:r>
      <w:r w:rsidR="002A005F" w:rsidRPr="00771D2C">
        <w:t>”</w:t>
      </w:r>
      <w:r w:rsidR="00421F91" w:rsidRPr="00771D2C">
        <w:t xml:space="preserve"> to implement </w:t>
      </w:r>
      <w:r w:rsidR="00E862AA" w:rsidRPr="00771D2C">
        <w:t>a</w:t>
      </w:r>
      <w:r w:rsidR="00421F91" w:rsidRPr="00771D2C">
        <w:t>rticle</w:t>
      </w:r>
      <w:r w:rsidR="00E862AA" w:rsidRPr="00771D2C">
        <w:t>s</w:t>
      </w:r>
      <w:r w:rsidR="00421F91" w:rsidRPr="00771D2C">
        <w:t xml:space="preserve"> 6 and 9</w:t>
      </w:r>
      <w:r w:rsidR="005A0D4D" w:rsidRPr="00771D2C">
        <w:t>(2)</w:t>
      </w:r>
      <w:r w:rsidR="005A0D4D" w:rsidRPr="00771D2C">
        <w:rPr>
          <w:i/>
        </w:rPr>
        <w:t xml:space="preserve"> </w:t>
      </w:r>
      <w:r w:rsidR="00421F91" w:rsidRPr="00771D2C">
        <w:t>in relation to the extensions of lifetimes of nuclear reactors.</w:t>
      </w:r>
      <w:r w:rsidR="00421F91" w:rsidRPr="00771D2C">
        <w:rPr>
          <w:rStyle w:val="FootnoteReference"/>
        </w:rPr>
        <w:footnoteReference w:id="115"/>
      </w:r>
    </w:p>
    <w:p w14:paraId="06D57D0E" w14:textId="65FB3C80" w:rsidR="00FD7999" w:rsidRPr="00771D2C" w:rsidRDefault="00421F91" w:rsidP="00771D2C">
      <w:pPr>
        <w:pStyle w:val="NumberedParas"/>
      </w:pPr>
      <w:r w:rsidRPr="00771D2C">
        <w:t>The communicant</w:t>
      </w:r>
      <w:r w:rsidR="00584A8D" w:rsidRPr="00771D2C">
        <w:t>s</w:t>
      </w:r>
      <w:r w:rsidRPr="00771D2C">
        <w:t xml:space="preserve"> submit that the </w:t>
      </w:r>
      <w:r w:rsidR="00FD7999" w:rsidRPr="00771D2C">
        <w:t xml:space="preserve">legislation of the </w:t>
      </w:r>
      <w:r w:rsidRPr="00771D2C">
        <w:t xml:space="preserve">Party concerned </w:t>
      </w:r>
      <w:r w:rsidR="00FD7999" w:rsidRPr="00771D2C">
        <w:t>fails to provide for</w:t>
      </w:r>
      <w:r w:rsidRPr="00771D2C">
        <w:t xml:space="preserve"> public participation during the procedures taken to </w:t>
      </w:r>
      <w:r w:rsidR="00336F59">
        <w:t>authori</w:t>
      </w:r>
      <w:r w:rsidR="002540EB">
        <w:t>z</w:t>
      </w:r>
      <w:r w:rsidR="00336F59">
        <w:t>e</w:t>
      </w:r>
      <w:r w:rsidR="00336F59" w:rsidRPr="00771D2C">
        <w:t xml:space="preserve"> </w:t>
      </w:r>
      <w:r w:rsidRPr="00771D2C">
        <w:t>the extension of the lifetime of the reactors</w:t>
      </w:r>
      <w:r w:rsidR="00FD7999" w:rsidRPr="00771D2C">
        <w:t xml:space="preserve">. It recalls that both the </w:t>
      </w:r>
      <w:r w:rsidR="00445DC2" w:rsidRPr="00771D2C">
        <w:t>1997</w:t>
      </w:r>
      <w:r w:rsidR="00FD7999" w:rsidRPr="00771D2C">
        <w:t xml:space="preserve"> </w:t>
      </w:r>
      <w:r w:rsidR="00445DC2" w:rsidRPr="00771D2C">
        <w:t xml:space="preserve">and 2016 </w:t>
      </w:r>
      <w:r w:rsidR="00FD7999" w:rsidRPr="00771D2C">
        <w:t xml:space="preserve">Atomic </w:t>
      </w:r>
      <w:r w:rsidR="00FD7999" w:rsidRPr="003776DA">
        <w:t>Act</w:t>
      </w:r>
      <w:r w:rsidR="002540EB">
        <w:t>s</w:t>
      </w:r>
      <w:r w:rsidR="00FD7999" w:rsidRPr="00771D2C">
        <w:t xml:space="preserve"> </w:t>
      </w:r>
      <w:r w:rsidRPr="00771D2C">
        <w:t xml:space="preserve">stipulate that only the applicant may be a party </w:t>
      </w:r>
      <w:r w:rsidR="00FD7999" w:rsidRPr="00771D2C">
        <w:t>t</w:t>
      </w:r>
      <w:r w:rsidRPr="00771D2C">
        <w:t>o these procedures</w:t>
      </w:r>
      <w:r w:rsidR="00FD7999" w:rsidRPr="00771D2C">
        <w:t xml:space="preserve"> (see paras. </w:t>
      </w:r>
      <w:r w:rsidR="00FD7999" w:rsidRPr="00771D2C">
        <w:fldChar w:fldCharType="begin"/>
      </w:r>
      <w:r w:rsidR="00FD7999" w:rsidRPr="003776DA">
        <w:instrText xml:space="preserve"> REF _Ref6248671 \r \h </w:instrText>
      </w:r>
      <w:r w:rsidR="00F72324" w:rsidRPr="003776DA">
        <w:instrText xml:space="preserve"> \* MERGEFORMAT </w:instrText>
      </w:r>
      <w:r w:rsidR="00FD7999" w:rsidRPr="00771D2C">
        <w:fldChar w:fldCharType="separate"/>
      </w:r>
      <w:r w:rsidR="009B2E8A" w:rsidRPr="00771D2C">
        <w:rPr>
          <w:cs/>
        </w:rPr>
        <w:t>‎</w:t>
      </w:r>
      <w:r w:rsidR="009B2E8A">
        <w:t>16</w:t>
      </w:r>
      <w:r w:rsidR="00FD7999" w:rsidRPr="00771D2C">
        <w:fldChar w:fldCharType="end"/>
      </w:r>
      <w:r w:rsidR="00F72324" w:rsidRPr="00771D2C">
        <w:t xml:space="preserve"> </w:t>
      </w:r>
      <w:r w:rsidR="00FD7999" w:rsidRPr="00771D2C">
        <w:t xml:space="preserve">and </w:t>
      </w:r>
      <w:r w:rsidR="00FD7999" w:rsidRPr="00771D2C">
        <w:fldChar w:fldCharType="begin"/>
      </w:r>
      <w:r w:rsidR="00FD7999" w:rsidRPr="003776DA">
        <w:instrText xml:space="preserve"> REF _Ref6248676 \r \h </w:instrText>
      </w:r>
      <w:r w:rsidR="00F72324" w:rsidRPr="003776DA">
        <w:instrText xml:space="preserve"> \* MERGEFORMAT </w:instrText>
      </w:r>
      <w:r w:rsidR="00FD7999" w:rsidRPr="00771D2C">
        <w:fldChar w:fldCharType="separate"/>
      </w:r>
      <w:r w:rsidR="009B2E8A" w:rsidRPr="00771D2C">
        <w:rPr>
          <w:cs/>
        </w:rPr>
        <w:t>‎</w:t>
      </w:r>
      <w:r w:rsidR="009B2E8A">
        <w:t>19</w:t>
      </w:r>
      <w:r w:rsidR="00FD7999" w:rsidRPr="00771D2C">
        <w:fldChar w:fldCharType="end"/>
      </w:r>
      <w:r w:rsidR="00FD7999" w:rsidRPr="00771D2C">
        <w:t xml:space="preserve"> </w:t>
      </w:r>
      <w:r w:rsidR="00F72324" w:rsidRPr="00771D2C">
        <w:t>a</w:t>
      </w:r>
      <w:r w:rsidR="00FD7999" w:rsidRPr="00771D2C">
        <w:t>bove).</w:t>
      </w:r>
      <w:r w:rsidR="00FD7999" w:rsidRPr="00771D2C">
        <w:rPr>
          <w:rStyle w:val="FootnoteReference"/>
        </w:rPr>
        <w:footnoteReference w:id="116"/>
      </w:r>
      <w:r w:rsidRPr="00771D2C">
        <w:t xml:space="preserve"> </w:t>
      </w:r>
    </w:p>
    <w:p w14:paraId="54B465D4" w14:textId="033EA2F9" w:rsidR="00421F91" w:rsidRPr="00771D2C" w:rsidRDefault="00F72324" w:rsidP="00771D2C">
      <w:pPr>
        <w:pStyle w:val="NumberedParas"/>
      </w:pPr>
      <w:r w:rsidRPr="00771D2C">
        <w:t xml:space="preserve">The communicants submit that domestic case law has specifically approved this legislative gap, finding that no public participation is required, even where this is the only procedure applicable and the result is no public participation of any kind takes place (see paras. </w:t>
      </w:r>
      <w:r w:rsidRPr="00771D2C">
        <w:fldChar w:fldCharType="begin"/>
      </w:r>
      <w:r w:rsidRPr="003776DA">
        <w:instrText xml:space="preserve"> REF _Ref6220647 \r \h  \* MERGEFORMAT </w:instrText>
      </w:r>
      <w:r w:rsidRPr="00771D2C">
        <w:fldChar w:fldCharType="separate"/>
      </w:r>
      <w:r w:rsidR="009B2E8A" w:rsidRPr="00771D2C">
        <w:rPr>
          <w:cs/>
        </w:rPr>
        <w:t>‎</w:t>
      </w:r>
      <w:r w:rsidR="009B2E8A">
        <w:t>30</w:t>
      </w:r>
      <w:r w:rsidRPr="00771D2C">
        <w:fldChar w:fldCharType="end"/>
      </w:r>
      <w:r w:rsidRPr="00771D2C">
        <w:t>-</w:t>
      </w:r>
      <w:r w:rsidRPr="003776DA">
        <w:fldChar w:fldCharType="begin"/>
      </w:r>
      <w:r w:rsidRPr="003776DA">
        <w:instrText xml:space="preserve"> REF _Ref6247875 \r \h  \* MERGEFORMAT </w:instrText>
      </w:r>
      <w:r w:rsidRPr="003776DA">
        <w:fldChar w:fldCharType="separate"/>
      </w:r>
      <w:r w:rsidR="009B2E8A">
        <w:rPr>
          <w:cs/>
        </w:rPr>
        <w:t>‎</w:t>
      </w:r>
      <w:r w:rsidR="009B2E8A">
        <w:t>33</w:t>
      </w:r>
      <w:r w:rsidRPr="003776DA">
        <w:fldChar w:fldCharType="end"/>
      </w:r>
      <w:r w:rsidRPr="00771D2C">
        <w:t xml:space="preserve"> above). The communicants submit that</w:t>
      </w:r>
      <w:r w:rsidR="00421F91" w:rsidRPr="00771D2C">
        <w:t xml:space="preserve"> </w:t>
      </w:r>
      <w:r w:rsidR="002A005F" w:rsidRPr="00771D2C">
        <w:t xml:space="preserve">the </w:t>
      </w:r>
      <w:r w:rsidR="00421F91" w:rsidRPr="00771D2C">
        <w:t xml:space="preserve">decision of 30 March </w:t>
      </w:r>
      <w:r w:rsidR="00421F91" w:rsidRPr="003776DA">
        <w:t>201</w:t>
      </w:r>
      <w:r w:rsidR="00EE4DF8">
        <w:t>6</w:t>
      </w:r>
      <w:r w:rsidRPr="00771D2C">
        <w:t>, which extended</w:t>
      </w:r>
      <w:r w:rsidR="00950E38" w:rsidRPr="00771D2C">
        <w:t xml:space="preserve"> </w:t>
      </w:r>
      <w:r w:rsidR="00D305C3" w:rsidRPr="00771D2C">
        <w:t>the</w:t>
      </w:r>
      <w:r w:rsidR="00950E38" w:rsidRPr="00771D2C">
        <w:t xml:space="preserve"> </w:t>
      </w:r>
      <w:r w:rsidR="00950E38" w:rsidRPr="003776DA">
        <w:t>operation</w:t>
      </w:r>
      <w:r w:rsidR="00950E38" w:rsidRPr="00771D2C">
        <w:t xml:space="preserve"> </w:t>
      </w:r>
      <w:r w:rsidRPr="00771D2C">
        <w:t xml:space="preserve">of reactor 1 </w:t>
      </w:r>
      <w:r w:rsidR="00950E38" w:rsidRPr="00771D2C">
        <w:t>indefinite</w:t>
      </w:r>
      <w:r w:rsidRPr="00771D2C">
        <w:t xml:space="preserve">ly, and the </w:t>
      </w:r>
      <w:r w:rsidR="00445DC2" w:rsidRPr="00771D2C">
        <w:t>2016</w:t>
      </w:r>
      <w:r w:rsidRPr="00771D2C">
        <w:t xml:space="preserve"> Atomic Act’s provision that future licenses shall be un</w:t>
      </w:r>
      <w:r w:rsidR="00306F75" w:rsidRPr="00771D2C">
        <w:t>limited in time</w:t>
      </w:r>
      <w:r w:rsidR="006A10B8" w:rsidRPr="00771D2C">
        <w:t>, seem likely to compound these deficiencies</w:t>
      </w:r>
      <w:r w:rsidR="00950E38" w:rsidRPr="00771D2C">
        <w:t>.</w:t>
      </w:r>
      <w:r w:rsidR="00950E38" w:rsidRPr="00771D2C">
        <w:rPr>
          <w:rStyle w:val="FootnoteReference"/>
        </w:rPr>
        <w:footnoteReference w:id="117"/>
      </w:r>
    </w:p>
    <w:p w14:paraId="17301240" w14:textId="3D67BDC8" w:rsidR="00950E38" w:rsidRPr="00771D2C" w:rsidRDefault="00950E38" w:rsidP="00771D2C">
      <w:pPr>
        <w:pStyle w:val="NumberedParas"/>
      </w:pPr>
      <w:r w:rsidRPr="00771D2C">
        <w:t>Moreover, the communicant</w:t>
      </w:r>
      <w:r w:rsidR="00684A0B" w:rsidRPr="00771D2C">
        <w:t>s</w:t>
      </w:r>
      <w:r w:rsidRPr="00771D2C">
        <w:t xml:space="preserve"> state that </w:t>
      </w:r>
      <w:r w:rsidR="009A7FF0" w:rsidRPr="00771D2C">
        <w:t xml:space="preserve">the </w:t>
      </w:r>
      <w:r w:rsidRPr="00771D2C">
        <w:t xml:space="preserve">legal framework </w:t>
      </w:r>
      <w:r w:rsidR="009A7FF0" w:rsidRPr="00771D2C">
        <w:t xml:space="preserve">of the Party concerned </w:t>
      </w:r>
      <w:r w:rsidRPr="00771D2C">
        <w:t>does not p</w:t>
      </w:r>
      <w:r w:rsidR="0031536C" w:rsidRPr="00771D2C">
        <w:t>rovide</w:t>
      </w:r>
      <w:r w:rsidRPr="00771D2C">
        <w:t xml:space="preserve"> access to justice </w:t>
      </w:r>
      <w:r w:rsidR="00684A0B" w:rsidRPr="00771D2C">
        <w:t xml:space="preserve">relating to </w:t>
      </w:r>
      <w:r w:rsidRPr="00771D2C">
        <w:t>reactors</w:t>
      </w:r>
      <w:r w:rsidR="009A7FF0" w:rsidRPr="00771D2C">
        <w:t>’</w:t>
      </w:r>
      <w:r w:rsidRPr="00771D2C">
        <w:t xml:space="preserve"> lifetime extension</w:t>
      </w:r>
      <w:r w:rsidR="009A7FF0" w:rsidRPr="00771D2C">
        <w:t>s.</w:t>
      </w:r>
      <w:r w:rsidR="009A7FF0" w:rsidRPr="00771D2C">
        <w:rPr>
          <w:rStyle w:val="FootnoteReference"/>
        </w:rPr>
        <w:footnoteReference w:id="118"/>
      </w:r>
      <w:r w:rsidR="009A7FF0" w:rsidRPr="00771D2C">
        <w:t xml:space="preserve"> The communicants claim again that the lack of access to justice </w:t>
      </w:r>
      <w:r w:rsidR="00E9153A" w:rsidRPr="00771D2C">
        <w:t xml:space="preserve">under section 65(2) of the </w:t>
      </w:r>
      <w:r w:rsidR="00E9153A" w:rsidRPr="00771D2C">
        <w:rPr>
          <w:rStyle w:val="st"/>
        </w:rPr>
        <w:t>Code of Administrative Justice</w:t>
      </w:r>
      <w:r w:rsidR="00E9153A" w:rsidRPr="00771D2C">
        <w:t xml:space="preserve"> </w:t>
      </w:r>
      <w:r w:rsidR="009A7FF0" w:rsidRPr="00771D2C">
        <w:t xml:space="preserve">is attributable to the fact that the </w:t>
      </w:r>
      <w:r w:rsidR="002A005F" w:rsidRPr="00771D2C">
        <w:t>P</w:t>
      </w:r>
      <w:r w:rsidR="009A7FF0" w:rsidRPr="00771D2C">
        <w:t xml:space="preserve">arty concerned has no party status in Atomic Act </w:t>
      </w:r>
      <w:r w:rsidR="002A005F" w:rsidRPr="00771D2C">
        <w:t>p</w:t>
      </w:r>
      <w:r w:rsidR="009A7FF0" w:rsidRPr="00771D2C">
        <w:t>rocedures</w:t>
      </w:r>
      <w:r w:rsidR="000C1072" w:rsidRPr="00771D2C">
        <w:t>.</w:t>
      </w:r>
      <w:r w:rsidR="000C1072" w:rsidRPr="00771D2C">
        <w:rPr>
          <w:rStyle w:val="FootnoteReference"/>
        </w:rPr>
        <w:footnoteReference w:id="119"/>
      </w:r>
      <w:r w:rsidR="00134F28" w:rsidRPr="00771D2C">
        <w:t xml:space="preserve"> Secondly</w:t>
      </w:r>
      <w:r w:rsidR="00E9153A" w:rsidRPr="00771D2C">
        <w:t>,</w:t>
      </w:r>
      <w:r w:rsidR="00134F28" w:rsidRPr="00771D2C">
        <w:t xml:space="preserve"> the communicants submit that </w:t>
      </w:r>
      <w:r w:rsidR="00E9153A" w:rsidRPr="00771D2C">
        <w:t>the domestic courts have established that</w:t>
      </w:r>
      <w:r w:rsidR="00A5641D" w:rsidRPr="00771D2C">
        <w:t xml:space="preserve"> there is no way that the public concerned can demonstrate that its rights have been changed, nullified or reduced in a manner recognized under section 65(1) of the </w:t>
      </w:r>
      <w:r w:rsidR="00A5641D" w:rsidRPr="00771D2C">
        <w:rPr>
          <w:rStyle w:val="st"/>
        </w:rPr>
        <w:t>Code of Administrative Justice</w:t>
      </w:r>
      <w:r w:rsidR="00E9153A" w:rsidRPr="003776DA">
        <w:t xml:space="preserve"> </w:t>
      </w:r>
      <w:r w:rsidR="003101EA" w:rsidRPr="003776DA">
        <w:t>given that there are no</w:t>
      </w:r>
      <w:r w:rsidR="00134F28" w:rsidRPr="003776DA">
        <w:t xml:space="preserve"> participatory rights under Atomic Act procedures</w:t>
      </w:r>
      <w:r w:rsidR="00E05C2B" w:rsidRPr="003776DA">
        <w:t xml:space="preserve"> (at least those that only licence the continuance of activities)</w:t>
      </w:r>
      <w:r w:rsidR="00134F28" w:rsidRPr="003776DA">
        <w:t>.</w:t>
      </w:r>
      <w:r w:rsidR="00A975BF" w:rsidRPr="003776DA">
        <w:rPr>
          <w:rStyle w:val="FootnoteReference"/>
          <w:szCs w:val="20"/>
        </w:rPr>
        <w:footnoteReference w:id="120"/>
      </w:r>
      <w:r w:rsidR="009A7FF0" w:rsidRPr="003776DA">
        <w:t xml:space="preserve"> </w:t>
      </w:r>
      <w:r w:rsidRPr="003776DA">
        <w:t>The communicant</w:t>
      </w:r>
      <w:r w:rsidR="00684A0B" w:rsidRPr="003776DA">
        <w:t>s</w:t>
      </w:r>
      <w:r w:rsidRPr="003776DA">
        <w:t xml:space="preserve"> </w:t>
      </w:r>
      <w:r w:rsidR="00E9153A" w:rsidRPr="003776DA">
        <w:t>claim</w:t>
      </w:r>
      <w:r w:rsidR="00E9153A" w:rsidRPr="00771D2C">
        <w:t xml:space="preserve"> that, by virtue of these rulings by domestic courts,</w:t>
      </w:r>
      <w:r w:rsidRPr="00771D2C">
        <w:t xml:space="preserve"> “domestic law rejects that the Convention authorizes the public concerned to bring such appeals.”</w:t>
      </w:r>
      <w:r w:rsidRPr="00771D2C">
        <w:rPr>
          <w:rStyle w:val="FootnoteReference"/>
        </w:rPr>
        <w:footnoteReference w:id="121"/>
      </w:r>
    </w:p>
    <w:p w14:paraId="66D3150A" w14:textId="7CEACAAE" w:rsidR="00BA532A" w:rsidRPr="00771D2C" w:rsidRDefault="007F0303" w:rsidP="00771D2C">
      <w:pPr>
        <w:pStyle w:val="NumberedParas"/>
      </w:pPr>
      <w:r w:rsidRPr="00771D2C">
        <w:t>The communicant</w:t>
      </w:r>
      <w:r w:rsidR="00A203DB" w:rsidRPr="00771D2C">
        <w:t>s</w:t>
      </w:r>
      <w:r w:rsidRPr="00771D2C">
        <w:t xml:space="preserve"> argue that </w:t>
      </w:r>
      <w:r w:rsidR="00460D56">
        <w:t>it is uncertain as</w:t>
      </w:r>
      <w:r w:rsidR="00460D56" w:rsidRPr="00771D2C">
        <w:t xml:space="preserve"> to </w:t>
      </w:r>
      <w:r w:rsidRPr="00771D2C">
        <w:t>whether Atomic Act procedures could qualify as “subsequent procedures</w:t>
      </w:r>
      <w:r w:rsidRPr="003776DA">
        <w:t>”</w:t>
      </w:r>
      <w:r w:rsidR="00460D56">
        <w:t xml:space="preserve"> under the EIA Act</w:t>
      </w:r>
      <w:r w:rsidR="00EF6B26" w:rsidRPr="003776DA">
        <w:t>,</w:t>
      </w:r>
      <w:r w:rsidR="00EF6B26" w:rsidRPr="00771D2C">
        <w:t xml:space="preserve"> and that “</w:t>
      </w:r>
      <w:r w:rsidRPr="00771D2C">
        <w:t>SONS tried to have such procedures expressly excluded during the course of amendments to the Czech EIA legislation, and there is a provision which could suggest such an exclusion.</w:t>
      </w:r>
      <w:r w:rsidR="00EF6B26" w:rsidRPr="00771D2C">
        <w:t>”</w:t>
      </w:r>
      <w:r w:rsidR="00EF6B26" w:rsidRPr="00771D2C">
        <w:rPr>
          <w:rStyle w:val="FootnoteReference"/>
        </w:rPr>
        <w:t xml:space="preserve"> </w:t>
      </w:r>
      <w:r w:rsidR="00EF6B26" w:rsidRPr="00771D2C">
        <w:rPr>
          <w:rStyle w:val="FootnoteReference"/>
        </w:rPr>
        <w:footnoteReference w:id="122"/>
      </w:r>
      <w:r w:rsidR="00EF6B26" w:rsidRPr="00771D2C">
        <w:t xml:space="preserve"> They submit that</w:t>
      </w:r>
      <w:r w:rsidR="00BA532A" w:rsidRPr="00771D2C">
        <w:t>,</w:t>
      </w:r>
      <w:r w:rsidRPr="00771D2C">
        <w:t xml:space="preserve"> </w:t>
      </w:r>
      <w:r w:rsidR="00EF6B26" w:rsidRPr="00771D2C">
        <w:t xml:space="preserve">if </w:t>
      </w:r>
      <w:r w:rsidRPr="00771D2C">
        <w:t xml:space="preserve">the Party </w:t>
      </w:r>
      <w:r w:rsidR="00EF6B26" w:rsidRPr="00771D2C">
        <w:t>concerned</w:t>
      </w:r>
      <w:r w:rsidRPr="00771D2C">
        <w:t xml:space="preserve"> </w:t>
      </w:r>
      <w:r w:rsidR="00EF6B26" w:rsidRPr="00771D2C">
        <w:t>were</w:t>
      </w:r>
      <w:r w:rsidRPr="00771D2C">
        <w:t xml:space="preserve"> required to find that lifetime extensions </w:t>
      </w:r>
      <w:r w:rsidR="00BA532A" w:rsidRPr="00771D2C">
        <w:t xml:space="preserve">must in fact be </w:t>
      </w:r>
      <w:r w:rsidRPr="00771D2C">
        <w:t xml:space="preserve">subject to an EIA, </w:t>
      </w:r>
      <w:r w:rsidR="00EF6B26" w:rsidRPr="00771D2C">
        <w:t>“</w:t>
      </w:r>
      <w:r w:rsidRPr="00771D2C">
        <w:t>it could still insulate itself here against public involvement in the future</w:t>
      </w:r>
      <w:r w:rsidR="00EF6B26" w:rsidRPr="00771D2C">
        <w:t>” what “</w:t>
      </w:r>
      <w:r w:rsidRPr="00771D2C">
        <w:t xml:space="preserve">could perpetuate the systemic failure to establish the legislative and other measures needed to implement </w:t>
      </w:r>
      <w:r w:rsidR="00460D56">
        <w:t>a</w:t>
      </w:r>
      <w:r w:rsidR="00460D56" w:rsidRPr="003776DA">
        <w:t>rticle</w:t>
      </w:r>
      <w:r w:rsidR="00460D56" w:rsidRPr="00771D2C">
        <w:t xml:space="preserve"> </w:t>
      </w:r>
      <w:r w:rsidRPr="00771D2C">
        <w:t xml:space="preserve">6 and </w:t>
      </w:r>
      <w:r w:rsidR="00460D56">
        <w:t>a</w:t>
      </w:r>
      <w:r w:rsidR="00460D56" w:rsidRPr="003776DA">
        <w:t>rticle</w:t>
      </w:r>
      <w:r w:rsidR="00460D56" w:rsidRPr="00771D2C">
        <w:t xml:space="preserve"> </w:t>
      </w:r>
      <w:r w:rsidRPr="00771D2C">
        <w:t>9, para. 2.</w:t>
      </w:r>
      <w:r w:rsidR="00EF6B26" w:rsidRPr="00771D2C">
        <w:t>”</w:t>
      </w:r>
      <w:r w:rsidR="00EF6B26" w:rsidRPr="00771D2C">
        <w:rPr>
          <w:rStyle w:val="FootnoteReference"/>
        </w:rPr>
        <w:t xml:space="preserve"> </w:t>
      </w:r>
      <w:r w:rsidR="00EF6B26" w:rsidRPr="00771D2C">
        <w:rPr>
          <w:rStyle w:val="FootnoteReference"/>
        </w:rPr>
        <w:footnoteReference w:id="123"/>
      </w:r>
      <w:r w:rsidR="00BA532A" w:rsidRPr="00771D2C">
        <w:t xml:space="preserve"> </w:t>
      </w:r>
    </w:p>
    <w:p w14:paraId="301FCFA3" w14:textId="2F40F443" w:rsidR="00BA532A" w:rsidRPr="00771D2C" w:rsidRDefault="00BA532A" w:rsidP="00771D2C">
      <w:pPr>
        <w:pStyle w:val="NumberedParas"/>
        <w:rPr>
          <w:rStyle w:val="FootnoteReference"/>
          <w:vertAlign w:val="baseline"/>
        </w:rPr>
      </w:pPr>
      <w:r w:rsidRPr="00771D2C">
        <w:t xml:space="preserve">The Party concerned submits that article 6 of the Convention is not applicable to the operating permit in question, and therefore concludes that article </w:t>
      </w:r>
      <w:r w:rsidR="002142A1" w:rsidRPr="00771D2C">
        <w:t>3</w:t>
      </w:r>
      <w:r w:rsidRPr="00771D2C">
        <w:t>(</w:t>
      </w:r>
      <w:r w:rsidR="002142A1" w:rsidRPr="00771D2C">
        <w:t>1</w:t>
      </w:r>
      <w:r w:rsidRPr="00771D2C">
        <w:t>) is not applicable either.</w:t>
      </w:r>
      <w:r w:rsidRPr="00771D2C">
        <w:rPr>
          <w:rStyle w:val="FootnoteReference"/>
        </w:rPr>
        <w:footnoteReference w:id="124"/>
      </w:r>
    </w:p>
    <w:p w14:paraId="2D1F79C8" w14:textId="63C10FAD" w:rsidR="00816F95" w:rsidRPr="00771D2C" w:rsidRDefault="00C31E3F" w:rsidP="00771D2C">
      <w:pPr>
        <w:pStyle w:val="Heading1"/>
        <w:numPr>
          <w:ilvl w:val="0"/>
          <w:numId w:val="0"/>
        </w:numPr>
        <w:ind w:left="709"/>
        <w:rPr>
          <w:rFonts w:asciiTheme="majorBidi" w:hAnsiTheme="majorBidi"/>
        </w:rPr>
      </w:pPr>
      <w:r>
        <w:rPr>
          <w:rFonts w:asciiTheme="majorBidi" w:hAnsiTheme="majorBidi" w:cstheme="majorBidi"/>
        </w:rPr>
        <w:lastRenderedPageBreak/>
        <w:t>III.</w:t>
      </w:r>
      <w:r>
        <w:rPr>
          <w:rFonts w:asciiTheme="majorBidi" w:hAnsiTheme="majorBidi" w:cstheme="majorBidi"/>
        </w:rPr>
        <w:tab/>
      </w:r>
      <w:r w:rsidR="00816F95" w:rsidRPr="00771D2C">
        <w:rPr>
          <w:rFonts w:asciiTheme="majorBidi" w:hAnsiTheme="majorBidi"/>
        </w:rPr>
        <w:t>Consideration and evaluation by the Committee</w:t>
      </w:r>
    </w:p>
    <w:p w14:paraId="50CDFB25" w14:textId="3FA4CE3B" w:rsidR="006C7522" w:rsidRPr="00771D2C" w:rsidRDefault="0031536C" w:rsidP="00771D2C">
      <w:pPr>
        <w:pStyle w:val="NumberedParas"/>
      </w:pPr>
      <w:r w:rsidRPr="00771D2C">
        <w:rPr>
          <w:rStyle w:val="st"/>
        </w:rPr>
        <w:t>Czechia deposited its instrument of accession on 6 July 2004. The Convention entered into force on 4 October 2004.</w:t>
      </w:r>
      <w:r w:rsidR="006C7522" w:rsidRPr="00771D2C">
        <w:t xml:space="preserve"> </w:t>
      </w:r>
    </w:p>
    <w:p w14:paraId="3976631C" w14:textId="27A04560" w:rsidR="00A17461" w:rsidRPr="00771D2C" w:rsidRDefault="00A17461" w:rsidP="00771D2C">
      <w:pPr>
        <w:pStyle w:val="Heading3"/>
      </w:pPr>
      <w:r w:rsidRPr="00771D2C">
        <w:t>Admissibility</w:t>
      </w:r>
    </w:p>
    <w:p w14:paraId="0DC4F06F" w14:textId="4DE0B026" w:rsidR="00A17461" w:rsidRPr="00771D2C" w:rsidRDefault="00A17461" w:rsidP="00771D2C">
      <w:pPr>
        <w:pStyle w:val="NumberedParas"/>
      </w:pPr>
      <w:r w:rsidRPr="00771D2C">
        <w:t>The communicants claim that the Party concerned does not provide for access to either administrative or judicial review procedures to challenge the lack of public participation in the decision-making on the Dukovany NPP (see paras</w:t>
      </w:r>
      <w:r w:rsidR="00FA5B84">
        <w:t xml:space="preserve">. </w:t>
      </w:r>
      <w:r w:rsidR="00FA5B84">
        <w:fldChar w:fldCharType="begin"/>
      </w:r>
      <w:r w:rsidR="00FA5B84">
        <w:instrText xml:space="preserve"> REF _Ref74083653 \r \h </w:instrText>
      </w:r>
      <w:r w:rsidR="00FA5B84">
        <w:fldChar w:fldCharType="separate"/>
      </w:r>
      <w:r w:rsidR="009B2E8A">
        <w:rPr>
          <w:cs/>
        </w:rPr>
        <w:t>‎</w:t>
      </w:r>
      <w:r w:rsidR="009B2E8A">
        <w:t>78</w:t>
      </w:r>
      <w:r w:rsidR="00FA5B84">
        <w:fldChar w:fldCharType="end"/>
      </w:r>
      <w:r w:rsidR="00FA5B84">
        <w:t>-</w:t>
      </w:r>
      <w:r w:rsidR="00FA5B84">
        <w:fldChar w:fldCharType="begin"/>
      </w:r>
      <w:r w:rsidR="00FA5B84">
        <w:instrText xml:space="preserve"> REF _Ref74083644 \r \h </w:instrText>
      </w:r>
      <w:r w:rsidR="00FA5B84">
        <w:fldChar w:fldCharType="separate"/>
      </w:r>
      <w:r w:rsidR="009B2E8A">
        <w:rPr>
          <w:cs/>
        </w:rPr>
        <w:t>‎</w:t>
      </w:r>
      <w:r w:rsidR="009B2E8A">
        <w:t>83</w:t>
      </w:r>
      <w:r w:rsidR="00FA5B84">
        <w:fldChar w:fldCharType="end"/>
      </w:r>
      <w:r w:rsidRPr="00771D2C">
        <w:t xml:space="preserve"> above). To substantiate their claim, the communicants have provided examples of </w:t>
      </w:r>
      <w:r w:rsidR="00487A90">
        <w:t>the</w:t>
      </w:r>
      <w:r w:rsidR="00487A90" w:rsidRPr="00771D2C">
        <w:t xml:space="preserve"> unsuccessful attempts </w:t>
      </w:r>
      <w:r w:rsidR="00487A90">
        <w:t>by</w:t>
      </w:r>
      <w:r w:rsidR="00487A90" w:rsidRPr="00487A90">
        <w:t xml:space="preserve"> </w:t>
      </w:r>
      <w:r w:rsidR="00487A90" w:rsidRPr="003776DA">
        <w:t>Jihočeské matky</w:t>
      </w:r>
      <w:r w:rsidR="00487A90">
        <w:t xml:space="preserve">, one of the </w:t>
      </w:r>
      <w:r w:rsidR="00D60722">
        <w:t>communicants</w:t>
      </w:r>
      <w:r w:rsidR="00487A90">
        <w:t>,</w:t>
      </w:r>
      <w:r w:rsidRPr="003776DA">
        <w:t xml:space="preserve"> </w:t>
      </w:r>
      <w:r w:rsidRPr="00771D2C">
        <w:t xml:space="preserve">to </w:t>
      </w:r>
      <w:r w:rsidR="00487A90">
        <w:t>challenge an earlier 10-year extension</w:t>
      </w:r>
      <w:r w:rsidR="00487A90" w:rsidRPr="00771D2C">
        <w:t xml:space="preserve"> to </w:t>
      </w:r>
      <w:r w:rsidR="00487A90">
        <w:t>the operating permit for reactor 3 of Dukovany NPP granted in 2007</w:t>
      </w:r>
      <w:r w:rsidRPr="00771D2C">
        <w:t xml:space="preserve">. </w:t>
      </w:r>
    </w:p>
    <w:p w14:paraId="57487BD5" w14:textId="77777777" w:rsidR="00A17461" w:rsidRPr="00771D2C" w:rsidRDefault="00A17461" w:rsidP="00771D2C">
      <w:pPr>
        <w:pStyle w:val="NumberedParas"/>
      </w:pPr>
      <w:r w:rsidRPr="00771D2C">
        <w:t xml:space="preserve">The Party concerned has not contested the admissibility of the communication. </w:t>
      </w:r>
    </w:p>
    <w:p w14:paraId="12C38C59" w14:textId="3FD27521" w:rsidR="00A17461" w:rsidRPr="00771D2C" w:rsidRDefault="00A17461" w:rsidP="00771D2C">
      <w:pPr>
        <w:pStyle w:val="NumberedParas"/>
      </w:pPr>
      <w:r w:rsidRPr="00771D2C">
        <w:t xml:space="preserve">In </w:t>
      </w:r>
      <w:r w:rsidR="00514BFC">
        <w:t xml:space="preserve">the </w:t>
      </w:r>
      <w:r w:rsidRPr="00771D2C">
        <w:t xml:space="preserve">light of the </w:t>
      </w:r>
      <w:r w:rsidR="00514BFC">
        <w:t xml:space="preserve">outcomes of the various review procedures used by </w:t>
      </w:r>
      <w:r w:rsidR="00514BFC" w:rsidRPr="003776DA">
        <w:t>Jihočeské matky</w:t>
      </w:r>
      <w:r w:rsidR="00514BFC" w:rsidRPr="003776DA" w:rsidDel="00487A90">
        <w:t xml:space="preserve"> </w:t>
      </w:r>
      <w:r w:rsidR="00514BFC">
        <w:t>to challenge the 2007 extension and noting the Party concerned has not pointed the Committee to any other review procedures through which the communicants could clearly have challenged the indefinite operating permit at issue in this case</w:t>
      </w:r>
      <w:r w:rsidRPr="00771D2C">
        <w:t>, the Committee finds the communication to be admissible.</w:t>
      </w:r>
    </w:p>
    <w:p w14:paraId="607155A2" w14:textId="77777777" w:rsidR="00A17461" w:rsidRPr="00771D2C" w:rsidRDefault="00A17461" w:rsidP="00771D2C">
      <w:pPr>
        <w:pStyle w:val="Heading3"/>
      </w:pPr>
      <w:r w:rsidRPr="00771D2C">
        <w:t>Scope of consideration</w:t>
      </w:r>
    </w:p>
    <w:p w14:paraId="76EF220E" w14:textId="5D55062D" w:rsidR="00A17461" w:rsidRPr="00771D2C" w:rsidRDefault="00A17461" w:rsidP="00771D2C">
      <w:pPr>
        <w:pStyle w:val="NumberedParas"/>
        <w:rPr>
          <w:b/>
        </w:rPr>
      </w:pPr>
      <w:r w:rsidRPr="00771D2C">
        <w:t xml:space="preserve">The Committee notes that at the time of the submission of the communication, </w:t>
      </w:r>
      <w:r w:rsidR="00FD364B">
        <w:t>a</w:t>
      </w:r>
      <w:r w:rsidR="00FD364B" w:rsidRPr="00771D2C">
        <w:t xml:space="preserve"> </w:t>
      </w:r>
      <w:r w:rsidRPr="00771D2C">
        <w:t>permit for indefinite operation had been granted only to Dukovany reactor 1</w:t>
      </w:r>
      <w:r w:rsidRPr="003776DA">
        <w:t>.</w:t>
      </w:r>
      <w:r w:rsidRPr="00771D2C">
        <w:t xml:space="preserve"> The Committee recognizes that permits for the indefinite operation of reactors 2, 3 and 4 have been issued</w:t>
      </w:r>
      <w:r w:rsidR="00FD364B" w:rsidRPr="00FD364B">
        <w:t xml:space="preserve"> </w:t>
      </w:r>
      <w:r w:rsidR="00FD364B" w:rsidRPr="003776DA">
        <w:t>in the meantime</w:t>
      </w:r>
      <w:r w:rsidRPr="00771D2C">
        <w:t>. Since the</w:t>
      </w:r>
      <w:r w:rsidR="001F29DE" w:rsidRPr="00771D2C">
        <w:t xml:space="preserve"> </w:t>
      </w:r>
      <w:r w:rsidRPr="00771D2C">
        <w:t xml:space="preserve">public </w:t>
      </w:r>
      <w:r w:rsidR="001F29DE" w:rsidRPr="00771D2C">
        <w:t xml:space="preserve">was also denied to </w:t>
      </w:r>
      <w:r w:rsidRPr="00771D2C">
        <w:t>particip</w:t>
      </w:r>
      <w:r w:rsidR="00E01821" w:rsidRPr="00771D2C">
        <w:t>at</w:t>
      </w:r>
      <w:r w:rsidR="001F29DE" w:rsidRPr="00771D2C">
        <w:t>e</w:t>
      </w:r>
      <w:r w:rsidRPr="00771D2C">
        <w:t xml:space="preserve"> in the decision-making on those permits, the Committee’s conclusions in the present findings equally apply to reactors 2, 3, and 4. For</w:t>
      </w:r>
      <w:r w:rsidR="004776E4" w:rsidRPr="00771D2C">
        <w:t xml:space="preserve"> ease of reference</w:t>
      </w:r>
      <w:r w:rsidRPr="00771D2C">
        <w:t xml:space="preserve">, however, the Committee focuses its examination in the present findings on reactor 1. </w:t>
      </w:r>
    </w:p>
    <w:p w14:paraId="15D27CEE" w14:textId="21DAC2D1" w:rsidR="00862747" w:rsidRPr="00771D2C" w:rsidRDefault="00D37C29" w:rsidP="00771D2C">
      <w:pPr>
        <w:pStyle w:val="Heading3"/>
      </w:pPr>
      <w:r w:rsidRPr="00771D2C">
        <w:t>SONS’ p</w:t>
      </w:r>
      <w:r w:rsidR="00A17461" w:rsidRPr="00771D2C">
        <w:t xml:space="preserve">ermit </w:t>
      </w:r>
      <w:r w:rsidR="00CD0D42" w:rsidRPr="00771D2C">
        <w:t xml:space="preserve">of 30 March 2016 granting </w:t>
      </w:r>
      <w:r w:rsidR="00A17461" w:rsidRPr="00771D2C">
        <w:t xml:space="preserve">indefinite operation of Dukovany reactor 1 </w:t>
      </w:r>
    </w:p>
    <w:p w14:paraId="23DAA365" w14:textId="0F8FAC52" w:rsidR="00A17461" w:rsidRPr="00771D2C" w:rsidRDefault="00A17461" w:rsidP="00771D2C">
      <w:pPr>
        <w:pStyle w:val="Heading4"/>
      </w:pPr>
      <w:r w:rsidRPr="00771D2C">
        <w:t xml:space="preserve">Applicability of article 6  </w:t>
      </w:r>
    </w:p>
    <w:p w14:paraId="15BB2A8B" w14:textId="4E1CE87C" w:rsidR="00A17461" w:rsidRPr="00771D2C" w:rsidRDefault="00A17461" w:rsidP="00771D2C">
      <w:pPr>
        <w:pStyle w:val="NumberedParas"/>
      </w:pPr>
      <w:r w:rsidRPr="00771D2C">
        <w:t xml:space="preserve">It is common ground between the parties that </w:t>
      </w:r>
      <w:r w:rsidR="00E01821" w:rsidRPr="00771D2C">
        <w:t xml:space="preserve">a </w:t>
      </w:r>
      <w:r w:rsidRPr="00771D2C">
        <w:t>nuclear power station</w:t>
      </w:r>
      <w:r w:rsidR="00A0257A" w:rsidRPr="00771D2C">
        <w:t xml:space="preserve"> </w:t>
      </w:r>
      <w:r w:rsidR="00A8281E" w:rsidRPr="00771D2C">
        <w:t xml:space="preserve">is </w:t>
      </w:r>
      <w:r w:rsidR="00E01821" w:rsidRPr="00771D2C">
        <w:t xml:space="preserve">an activity </w:t>
      </w:r>
      <w:r w:rsidRPr="00771D2C">
        <w:t xml:space="preserve">listed in paragraph 1 of Annex I to the Convention. </w:t>
      </w:r>
    </w:p>
    <w:p w14:paraId="485BC999" w14:textId="607096ED" w:rsidR="00A17461" w:rsidRPr="00771D2C" w:rsidRDefault="00A17461" w:rsidP="00771D2C">
      <w:pPr>
        <w:pStyle w:val="NumberedParas"/>
      </w:pPr>
      <w:r w:rsidRPr="00771D2C">
        <w:t>It is also common ground that Dukovany reactor 1 was put into operation in 1985 and subject to 10</w:t>
      </w:r>
      <w:r w:rsidR="00A45A6F" w:rsidRPr="00771D2C">
        <w:t>-</w:t>
      </w:r>
      <w:r w:rsidRPr="00771D2C">
        <w:t>year operating permits. The last of these was due to e</w:t>
      </w:r>
      <w:r w:rsidR="003C0C21" w:rsidRPr="00771D2C">
        <w:t>xpire</w:t>
      </w:r>
      <w:r w:rsidRPr="00771D2C">
        <w:t xml:space="preserve"> on 31 December 2015. Following a three</w:t>
      </w:r>
      <w:r w:rsidR="00A45A6F" w:rsidRPr="00771D2C">
        <w:t>-</w:t>
      </w:r>
      <w:r w:rsidRPr="00771D2C">
        <w:t>month extension granted by SONS, that permit ceased to have effect on 31 March 2016. On 30 March 2016, SONS granted the NPP operator an indefinite period of operation to commence from 1 April 2016.</w:t>
      </w:r>
    </w:p>
    <w:p w14:paraId="0451C7C8" w14:textId="5A5AFB7B" w:rsidR="00A17461" w:rsidRPr="00771D2C" w:rsidRDefault="00A17461" w:rsidP="00771D2C">
      <w:pPr>
        <w:pStyle w:val="NumberedParas"/>
      </w:pPr>
      <w:r w:rsidRPr="00771D2C">
        <w:t>In its findings on communication ACCC/C/2014/104 (Netherlands), the Committee examined a licence amendment extending the operation of a</w:t>
      </w:r>
      <w:r w:rsidR="003776DA" w:rsidRPr="00771D2C">
        <w:t>n</w:t>
      </w:r>
      <w:r w:rsidRPr="00771D2C">
        <w:t xml:space="preserve"> NPP by a period of twenty years. In those findings, the Committee held:</w:t>
      </w:r>
    </w:p>
    <w:p w14:paraId="7E47230D" w14:textId="00260998" w:rsidR="00573261" w:rsidRPr="00771D2C" w:rsidRDefault="00697138" w:rsidP="00771D2C">
      <w:pPr>
        <w:pStyle w:val="Quote"/>
      </w:pPr>
      <w:r w:rsidRPr="00771D2C">
        <w:t xml:space="preserve">65. ... </w:t>
      </w:r>
      <w:r w:rsidR="00573261" w:rsidRPr="00771D2C">
        <w:t>It i</w:t>
      </w:r>
      <w:r w:rsidRPr="00771D2C">
        <w:t xml:space="preserve">s also </w:t>
      </w:r>
      <w:r w:rsidR="00573261" w:rsidRPr="00771D2C">
        <w:t xml:space="preserve">clear from the documentation that, without the 18 March 2013 decision, the plant was not permitted to operate beyond 2014. The Committee considers that the permitted duration of an activity is clearly an operating condition for that activity, and an important one at that. Accordingly, any change to the permitted duration of an activity, be it a reduction or an extension, is a reconsideration or update of that activity’s operating conditions. It follows that any decision permitting the nuclear power plant to operate beyond 2014 amounted to an update of the operating conditions. </w:t>
      </w:r>
    </w:p>
    <w:p w14:paraId="445917C3" w14:textId="11CC73E5" w:rsidR="00697138" w:rsidRPr="00771D2C" w:rsidRDefault="00697138" w:rsidP="00771D2C">
      <w:pPr>
        <w:pStyle w:val="Quote"/>
        <w:rPr>
          <w:rFonts w:asciiTheme="majorBidi" w:hAnsiTheme="majorBidi"/>
        </w:rPr>
      </w:pPr>
      <w:r w:rsidRPr="00771D2C">
        <w:lastRenderedPageBreak/>
        <w:t xml:space="preserve">66. </w:t>
      </w:r>
      <w:r w:rsidR="00573261" w:rsidRPr="00771D2C">
        <w:t xml:space="preserve">Based on the above, the Committee considers that the decision of 18 March 2013, by amending the licence to extend the design lifetime of the nuclear power plant until 31 December 2033, updated the operating conditions of the plant. Accordingly, under article 6, paragraph 10, of the Convention, the Party concerned was obliged to ensure that the provisions of article 6, paragraphs 2 to 9, were applied, mutatis mutandis, and where appropriate to that decision. </w:t>
      </w:r>
      <w:r w:rsidR="00A17461" w:rsidRPr="00771D2C">
        <w:rPr>
          <w:rFonts w:asciiTheme="majorBidi" w:hAnsiTheme="majorBidi"/>
        </w:rPr>
        <w:t xml:space="preserve">In the present case, </w:t>
      </w:r>
      <w:r w:rsidR="00D566C8" w:rsidRPr="00771D2C">
        <w:rPr>
          <w:rFonts w:asciiTheme="majorBidi" w:hAnsiTheme="majorBidi"/>
        </w:rPr>
        <w:t xml:space="preserve">permission was granted to continue operating </w:t>
      </w:r>
      <w:r w:rsidR="00A17461" w:rsidRPr="00771D2C">
        <w:rPr>
          <w:rFonts w:asciiTheme="majorBidi" w:hAnsiTheme="majorBidi"/>
        </w:rPr>
        <w:t xml:space="preserve">reactor 1 </w:t>
      </w:r>
      <w:r w:rsidR="00D566C8" w:rsidRPr="00771D2C">
        <w:rPr>
          <w:rFonts w:asciiTheme="majorBidi" w:hAnsiTheme="majorBidi"/>
        </w:rPr>
        <w:t xml:space="preserve">not merely </w:t>
      </w:r>
      <w:r w:rsidR="00A17461" w:rsidRPr="00771D2C">
        <w:rPr>
          <w:rFonts w:asciiTheme="majorBidi" w:hAnsiTheme="majorBidi"/>
        </w:rPr>
        <w:t xml:space="preserve">for a further twenty years, but indefinitely. </w:t>
      </w:r>
      <w:r w:rsidR="005E6BDA" w:rsidRPr="00771D2C">
        <w:rPr>
          <w:rFonts w:asciiTheme="majorBidi" w:hAnsiTheme="majorBidi"/>
        </w:rPr>
        <w:t>By definition, it f</w:t>
      </w:r>
      <w:r w:rsidR="00A17461" w:rsidRPr="00771D2C">
        <w:rPr>
          <w:rFonts w:asciiTheme="majorBidi" w:hAnsiTheme="majorBidi"/>
        </w:rPr>
        <w:t>ollow</w:t>
      </w:r>
      <w:r w:rsidR="005E6BDA" w:rsidRPr="00771D2C">
        <w:rPr>
          <w:rFonts w:asciiTheme="majorBidi" w:hAnsiTheme="majorBidi"/>
        </w:rPr>
        <w:t>s from</w:t>
      </w:r>
      <w:r w:rsidR="00A17461" w:rsidRPr="00771D2C">
        <w:rPr>
          <w:rFonts w:asciiTheme="majorBidi" w:hAnsiTheme="majorBidi"/>
        </w:rPr>
        <w:t xml:space="preserve"> the above findings that the grant of an indefinite operating licence </w:t>
      </w:r>
      <w:r w:rsidR="00353244" w:rsidRPr="00771D2C">
        <w:rPr>
          <w:rFonts w:asciiTheme="majorBidi" w:hAnsiTheme="majorBidi"/>
        </w:rPr>
        <w:t>for</w:t>
      </w:r>
      <w:r w:rsidR="00A17461" w:rsidRPr="00771D2C">
        <w:rPr>
          <w:rFonts w:asciiTheme="majorBidi" w:hAnsiTheme="majorBidi"/>
        </w:rPr>
        <w:t xml:space="preserve"> a</w:t>
      </w:r>
      <w:r w:rsidR="00353244" w:rsidRPr="00771D2C">
        <w:rPr>
          <w:rFonts w:asciiTheme="majorBidi" w:hAnsiTheme="majorBidi"/>
        </w:rPr>
        <w:t>n</w:t>
      </w:r>
      <w:r w:rsidR="00A17461" w:rsidRPr="00771D2C">
        <w:rPr>
          <w:rFonts w:asciiTheme="majorBidi" w:hAnsiTheme="majorBidi"/>
        </w:rPr>
        <w:t xml:space="preserve"> NPP requires the provisions of article 6(2)-(9) </w:t>
      </w:r>
      <w:r w:rsidR="005E6BDA" w:rsidRPr="00771D2C">
        <w:rPr>
          <w:rFonts w:asciiTheme="majorBidi" w:hAnsiTheme="majorBidi"/>
        </w:rPr>
        <w:t xml:space="preserve">to </w:t>
      </w:r>
      <w:r w:rsidR="00A17461" w:rsidRPr="00771D2C">
        <w:rPr>
          <w:rFonts w:asciiTheme="majorBidi" w:hAnsiTheme="majorBidi"/>
        </w:rPr>
        <w:t>be applied to that decision-making</w:t>
      </w:r>
      <w:r w:rsidR="005E6BDA" w:rsidRPr="00771D2C">
        <w:rPr>
          <w:rFonts w:asciiTheme="majorBidi" w:hAnsiTheme="majorBidi"/>
        </w:rPr>
        <w:t xml:space="preserve"> procedure</w:t>
      </w:r>
      <w:r w:rsidR="00A17461" w:rsidRPr="00771D2C">
        <w:rPr>
          <w:rFonts w:asciiTheme="majorBidi" w:hAnsiTheme="majorBidi"/>
        </w:rPr>
        <w:t>.</w:t>
      </w:r>
      <w:r w:rsidRPr="00771D2C">
        <w:rPr>
          <w:rStyle w:val="FootnoteReference"/>
          <w:rFonts w:asciiTheme="majorBidi" w:hAnsiTheme="majorBidi"/>
        </w:rPr>
        <w:footnoteReference w:id="125"/>
      </w:r>
    </w:p>
    <w:p w14:paraId="25D39298" w14:textId="7EE6F8BC" w:rsidR="00E551E6" w:rsidRPr="00771D2C" w:rsidRDefault="00697138" w:rsidP="00771D2C">
      <w:pPr>
        <w:pStyle w:val="NumberedParas"/>
      </w:pPr>
      <w:r w:rsidRPr="00771D2C">
        <w:t>In the present case</w:t>
      </w:r>
      <w:r w:rsidR="000F5518" w:rsidRPr="00771D2C">
        <w:t xml:space="preserve">, </w:t>
      </w:r>
      <w:r w:rsidR="00D37C29" w:rsidRPr="00771D2C">
        <w:t xml:space="preserve">the Party concerned does not dispute that the Dukovany NPP is an activity </w:t>
      </w:r>
      <w:r w:rsidR="00CD0D42" w:rsidRPr="00771D2C">
        <w:t>listed in</w:t>
      </w:r>
      <w:r w:rsidR="00D37C29" w:rsidRPr="00771D2C">
        <w:t xml:space="preserve"> </w:t>
      </w:r>
      <w:r w:rsidR="00CD0D42" w:rsidRPr="00771D2C">
        <w:t xml:space="preserve">paragraph 1 of annex I to the Convention and thus subject to </w:t>
      </w:r>
      <w:r w:rsidR="00D37C29" w:rsidRPr="00771D2C">
        <w:t xml:space="preserve">article 6(1)(a) of the Convention. </w:t>
      </w:r>
      <w:r w:rsidR="00E551E6" w:rsidRPr="00771D2C">
        <w:t xml:space="preserve">Likewise, it </w:t>
      </w:r>
      <w:r w:rsidR="00D33BBA" w:rsidRPr="00771D2C">
        <w:t>does not</w:t>
      </w:r>
      <w:r w:rsidR="00E551E6" w:rsidRPr="00771D2C">
        <w:t xml:space="preserve"> dispute</w:t>
      </w:r>
      <w:r w:rsidR="000F5518" w:rsidRPr="00771D2C">
        <w:t xml:space="preserve"> that, without </w:t>
      </w:r>
      <w:r w:rsidR="00FD3E42" w:rsidRPr="00771D2C">
        <w:t xml:space="preserve">the operating </w:t>
      </w:r>
      <w:r w:rsidR="000F5518" w:rsidRPr="00771D2C">
        <w:t>permit</w:t>
      </w:r>
      <w:r w:rsidR="00FD3E42" w:rsidRPr="00771D2C">
        <w:t xml:space="preserve"> granted by SONS on 30 March 2016</w:t>
      </w:r>
      <w:r w:rsidR="000F5518" w:rsidRPr="00771D2C">
        <w:t xml:space="preserve">, </w:t>
      </w:r>
      <w:r w:rsidR="00D37C29" w:rsidRPr="00771D2C">
        <w:t xml:space="preserve">the first reactor of </w:t>
      </w:r>
      <w:r w:rsidR="000F5518" w:rsidRPr="00771D2C">
        <w:t xml:space="preserve">Dukovany </w:t>
      </w:r>
      <w:r w:rsidR="00D37C29" w:rsidRPr="00771D2C">
        <w:t xml:space="preserve">NPP </w:t>
      </w:r>
      <w:r w:rsidR="00D14AB1" w:rsidRPr="00771D2C">
        <w:t>would have had to cease operati</w:t>
      </w:r>
      <w:r w:rsidR="00CD0D42" w:rsidRPr="00771D2C">
        <w:t>ons</w:t>
      </w:r>
      <w:r w:rsidR="00D14AB1" w:rsidRPr="00771D2C">
        <w:t xml:space="preserve"> on</w:t>
      </w:r>
      <w:r w:rsidR="000F5518" w:rsidRPr="00771D2C">
        <w:t xml:space="preserve"> 31 March 2016. </w:t>
      </w:r>
    </w:p>
    <w:p w14:paraId="004172A8" w14:textId="45956D4B" w:rsidR="00E551E6" w:rsidRPr="00771D2C" w:rsidRDefault="00E551E6" w:rsidP="00771D2C">
      <w:pPr>
        <w:pStyle w:val="NumberedParas"/>
      </w:pPr>
      <w:r w:rsidRPr="00771D2C">
        <w:t>In line with its findings on communication ACCC/C/2014/104 (Netherlands), t</w:t>
      </w:r>
      <w:r w:rsidR="00D37C29" w:rsidRPr="00771D2C">
        <w:t xml:space="preserve">he </w:t>
      </w:r>
      <w:r w:rsidRPr="00771D2C">
        <w:t>Committee reiterates that the permitted duration of an activity is clearly an operating condition for that activity, and an important one at that. Accordingly, any change to the permitted duration of an activity is a reconsideration or update of that activity’s operating conditions. It follows that any decision permitting the first reactor of Dukovany NPP to operate beyond 31 March 2016 amounted to an update of the NPP’s operating conditions.</w:t>
      </w:r>
    </w:p>
    <w:p w14:paraId="66F9BBFF" w14:textId="7D679047" w:rsidR="00573261" w:rsidRPr="00771D2C" w:rsidRDefault="00E551E6" w:rsidP="00771D2C">
      <w:pPr>
        <w:pStyle w:val="NumberedParas"/>
      </w:pPr>
      <w:r w:rsidRPr="00771D2C">
        <w:t xml:space="preserve">Based on the foregoing, the indefinite operating permit granted by SONS on </w:t>
      </w:r>
      <w:r w:rsidR="00CD0D42" w:rsidRPr="00771D2C">
        <w:t xml:space="preserve">30 March 2016 clearly </w:t>
      </w:r>
      <w:r w:rsidR="00D37C29" w:rsidRPr="00771D2C">
        <w:t xml:space="preserve">updated the operating conditions for the </w:t>
      </w:r>
      <w:r w:rsidRPr="00771D2C">
        <w:t xml:space="preserve">first reactor of </w:t>
      </w:r>
      <w:r w:rsidR="00D37C29" w:rsidRPr="00771D2C">
        <w:t>Dukovany NPP, an activity subject to article 6</w:t>
      </w:r>
      <w:r w:rsidR="00CD0D42" w:rsidRPr="00771D2C">
        <w:t>(1)(a)</w:t>
      </w:r>
      <w:r w:rsidR="00D37C29" w:rsidRPr="00771D2C">
        <w:t xml:space="preserve"> of the Convention.</w:t>
      </w:r>
      <w:r w:rsidR="00CD0D42" w:rsidRPr="00771D2C">
        <w:t xml:space="preserve"> </w:t>
      </w:r>
      <w:r w:rsidR="00573261" w:rsidRPr="00771D2C">
        <w:t>Accordingly, under article 6</w:t>
      </w:r>
      <w:r w:rsidR="00D14AB1" w:rsidRPr="00771D2C">
        <w:t>(</w:t>
      </w:r>
      <w:r w:rsidR="00573261" w:rsidRPr="00771D2C">
        <w:t>10</w:t>
      </w:r>
      <w:r w:rsidR="00D14AB1" w:rsidRPr="00771D2C">
        <w:t>)</w:t>
      </w:r>
      <w:r w:rsidR="00573261" w:rsidRPr="00771D2C">
        <w:t xml:space="preserve"> of the Convention, the Party concerned was obliged to ensure that the provisions of article 6</w:t>
      </w:r>
      <w:r w:rsidR="00D14AB1" w:rsidRPr="00771D2C">
        <w:t>(</w:t>
      </w:r>
      <w:r w:rsidR="00573261" w:rsidRPr="00771D2C">
        <w:t>2</w:t>
      </w:r>
      <w:r w:rsidR="00D14AB1" w:rsidRPr="00CD0D42">
        <w:rPr>
          <w:rFonts w:cstheme="majorBidi"/>
        </w:rPr>
        <w:t>)</w:t>
      </w:r>
      <w:r w:rsidR="00D60722">
        <w:rPr>
          <w:rFonts w:cstheme="majorBidi"/>
        </w:rPr>
        <w:t>-</w:t>
      </w:r>
      <w:r w:rsidR="00D60722">
        <w:t>(</w:t>
      </w:r>
      <w:r w:rsidR="00573261" w:rsidRPr="00771D2C">
        <w:t>9</w:t>
      </w:r>
      <w:r w:rsidR="00D14AB1" w:rsidRPr="00771D2C">
        <w:t>)</w:t>
      </w:r>
      <w:r w:rsidR="00573261" w:rsidRPr="00771D2C">
        <w:t xml:space="preserve"> were applied, mutatis mutandis, and where appropriate to that </w:t>
      </w:r>
      <w:r w:rsidR="00697138" w:rsidRPr="00771D2C">
        <w:t>permit</w:t>
      </w:r>
      <w:r w:rsidR="00573261" w:rsidRPr="00771D2C">
        <w:t xml:space="preserve">. </w:t>
      </w:r>
    </w:p>
    <w:p w14:paraId="365FF8B5" w14:textId="77777777" w:rsidR="00573261" w:rsidRPr="00771D2C" w:rsidRDefault="00573261" w:rsidP="00771D2C">
      <w:pPr>
        <w:pStyle w:val="Heading4"/>
      </w:pPr>
      <w:r w:rsidRPr="00771D2C">
        <w:t>Mutatis mutandis</w:t>
      </w:r>
    </w:p>
    <w:p w14:paraId="1AD4F93E" w14:textId="0916ECCE" w:rsidR="00573261" w:rsidRPr="00771D2C" w:rsidRDefault="00573261" w:rsidP="00771D2C">
      <w:pPr>
        <w:pStyle w:val="NumberedParas"/>
      </w:pPr>
      <w:bookmarkStart w:id="37" w:name="_Ref66795598"/>
      <w:r w:rsidRPr="00771D2C">
        <w:t>As the Committee has already clarified in previous findings,</w:t>
      </w:r>
      <w:r w:rsidR="00873E39">
        <w:rPr>
          <w:rStyle w:val="FootnoteReference"/>
        </w:rPr>
        <w:footnoteReference w:id="126"/>
      </w:r>
      <w:r w:rsidRPr="00771D2C">
        <w:t xml:space="preserve"> in this context “</w:t>
      </w:r>
      <w:r w:rsidRPr="00771D2C">
        <w:rPr>
          <w:i/>
        </w:rPr>
        <w:t>mutatis mutandis</w:t>
      </w:r>
      <w:r w:rsidRPr="00771D2C">
        <w:t>” simply means “with the necessary changes”. In other words, when applying the provisions of paragraphs (2</w:t>
      </w:r>
      <w:r w:rsidRPr="003776DA">
        <w:t>)</w:t>
      </w:r>
      <w:r w:rsidR="00D60722">
        <w:t>-</w:t>
      </w:r>
      <w:r w:rsidRPr="003776DA">
        <w:t>(</w:t>
      </w:r>
      <w:r w:rsidRPr="00771D2C">
        <w:t>9) of article 6 to a reconsideration or an update of the operating conditions for an article 6 activity, the public authority must apply those paragraphs with the necessary changes.</w:t>
      </w:r>
      <w:r w:rsidRPr="00771D2C">
        <w:rPr>
          <w:rStyle w:val="FootnoteReference"/>
        </w:rPr>
        <w:footnoteReference w:id="127"/>
      </w:r>
      <w:bookmarkEnd w:id="37"/>
      <w:r w:rsidRPr="00771D2C">
        <w:t xml:space="preserve"> </w:t>
      </w:r>
    </w:p>
    <w:p w14:paraId="776A8FEB" w14:textId="77777777" w:rsidR="00573261" w:rsidRPr="00771D2C" w:rsidRDefault="00573261" w:rsidP="00771D2C">
      <w:pPr>
        <w:pStyle w:val="Heading4"/>
      </w:pPr>
      <w:r w:rsidRPr="00771D2C">
        <w:t>Where appropriate</w:t>
      </w:r>
    </w:p>
    <w:p w14:paraId="0D0D7A84" w14:textId="16D98D75" w:rsidR="00C235A0" w:rsidRDefault="00573261" w:rsidP="00862747">
      <w:pPr>
        <w:pStyle w:val="NumberedParas"/>
      </w:pPr>
      <w:r w:rsidRPr="00771D2C">
        <w:t xml:space="preserve">The Committee has previously found that the clause “where appropriate” </w:t>
      </w:r>
      <w:r w:rsidR="00B36EF7">
        <w:t xml:space="preserve">in article 6(10) </w:t>
      </w:r>
      <w:r w:rsidRPr="00771D2C">
        <w:t>does not imply complete discretion for a Party to determine whether or not to provide for public participation.</w:t>
      </w:r>
      <w:r w:rsidRPr="003776DA">
        <w:t xml:space="preserve"> </w:t>
      </w:r>
      <w:r w:rsidR="00C235A0">
        <w:t>In its findings on</w:t>
      </w:r>
      <w:r w:rsidR="00CF6752">
        <w:t xml:space="preserve"> communication</w:t>
      </w:r>
      <w:r w:rsidR="00C235A0">
        <w:t xml:space="preserve"> ACCC/C/2014/121 (European Union), the Committee held:</w:t>
      </w:r>
    </w:p>
    <w:p w14:paraId="4E2026C0" w14:textId="5921D5D2" w:rsidR="00573261" w:rsidRPr="00771D2C" w:rsidRDefault="00573261" w:rsidP="00771D2C">
      <w:pPr>
        <w:pStyle w:val="Quote"/>
      </w:pPr>
      <w:r w:rsidRPr="00771D2C">
        <w:t xml:space="preserve">Rather, this term introduces an objective criterion to be applied in line with the goals of the Convention, recognizing that “access to information and public participation in decision-making enhance the quality and the implementation of decisions, contribute to public awareness of environmental issues, give the public the opportunity to express its concerns and enable public authorities to take due account of such concerns”, and </w:t>
      </w:r>
      <w:r w:rsidRPr="00771D2C">
        <w:lastRenderedPageBreak/>
        <w:t>“aiming thereby to further the accountability of and transparency in decision-making and strengthen public support for decisions on the environment”.</w:t>
      </w:r>
      <w:r w:rsidRPr="00771D2C">
        <w:rPr>
          <w:rStyle w:val="FootnoteReference"/>
          <w:rFonts w:asciiTheme="majorBidi" w:hAnsiTheme="majorBidi"/>
        </w:rPr>
        <w:footnoteReference w:id="128"/>
      </w:r>
      <w:r w:rsidRPr="00771D2C">
        <w:t xml:space="preserve"> </w:t>
      </w:r>
    </w:p>
    <w:p w14:paraId="1929A109" w14:textId="3698A7A9" w:rsidR="00573261" w:rsidRPr="00771D2C" w:rsidRDefault="00573261" w:rsidP="00771D2C">
      <w:pPr>
        <w:pStyle w:val="NumberedParas"/>
      </w:pPr>
      <w:r w:rsidRPr="00771D2C">
        <w:t xml:space="preserve">In its findings on communication ACCC/C/2014/104 (Netherlands), the Committee </w:t>
      </w:r>
      <w:r w:rsidR="00D14AB1" w:rsidRPr="00771D2C">
        <w:t xml:space="preserve">considered whether it was “appropriate”, and thus required, to apply the provisions of article  </w:t>
      </w:r>
      <w:r w:rsidR="00B81CBA" w:rsidRPr="00771D2C">
        <w:t>6</w:t>
      </w:r>
      <w:r w:rsidR="00D14AB1" w:rsidRPr="00771D2C">
        <w:t>(2</w:t>
      </w:r>
      <w:r w:rsidR="00D14AB1" w:rsidRPr="003776DA">
        <w:t>)</w:t>
      </w:r>
      <w:r w:rsidR="00D60722">
        <w:t>-</w:t>
      </w:r>
      <w:r w:rsidR="00D14AB1" w:rsidRPr="003776DA">
        <w:t>(</w:t>
      </w:r>
      <w:r w:rsidR="00D14AB1" w:rsidRPr="00771D2C">
        <w:t>9) on the decision-making to grant the</w:t>
      </w:r>
      <w:r w:rsidRPr="00771D2C">
        <w:t xml:space="preserve"> licence amendment extending the </w:t>
      </w:r>
      <w:r w:rsidR="00D14AB1" w:rsidRPr="00771D2C">
        <w:t xml:space="preserve">NPP’s </w:t>
      </w:r>
      <w:r w:rsidRPr="00771D2C">
        <w:t xml:space="preserve">operation </w:t>
      </w:r>
      <w:r w:rsidR="00D14AB1" w:rsidRPr="00771D2C">
        <w:t xml:space="preserve">by </w:t>
      </w:r>
      <w:r w:rsidRPr="00771D2C">
        <w:t xml:space="preserve">twenty years. In </w:t>
      </w:r>
      <w:r w:rsidR="00D14AB1" w:rsidRPr="00771D2C">
        <w:t>that case</w:t>
      </w:r>
      <w:r w:rsidRPr="00771D2C">
        <w:t>, the Committee held:</w:t>
      </w:r>
    </w:p>
    <w:p w14:paraId="6D13925C" w14:textId="77777777" w:rsidR="00573261" w:rsidRPr="00771D2C" w:rsidRDefault="00573261" w:rsidP="00771D2C">
      <w:pPr>
        <w:pStyle w:val="Quote"/>
      </w:pPr>
      <w:r w:rsidRPr="00771D2C">
        <w:t>The Committee considers that, except in cases where a change to the permitted duration is for a minimal time and obviously would have insignificant or no effects on the environment, it is appropriate for extensions of duration to be subject to the provisions of article 6. In this regard, the Committee considers it inconceivable that the operation of a nuclear power plant could be extended from 40 years to 60 years without the potential for significant environmental effects. The Committee accordingly concludes that it was appropriate, and thus required, to apply the provisions of article 6, paragraphs 2–9, to the 2013 decision amending the licence for the Borssele plant to extend its design lifetime until 2033.</w:t>
      </w:r>
      <w:r w:rsidRPr="00771D2C">
        <w:rPr>
          <w:rStyle w:val="FootnoteReference"/>
          <w:rFonts w:asciiTheme="majorBidi" w:hAnsiTheme="majorBidi"/>
        </w:rPr>
        <w:footnoteReference w:id="129"/>
      </w:r>
    </w:p>
    <w:p w14:paraId="62113513" w14:textId="745B836B" w:rsidR="00573261" w:rsidRPr="00771D2C" w:rsidRDefault="00573261" w:rsidP="00771D2C">
      <w:pPr>
        <w:pStyle w:val="NumberedParas"/>
      </w:pPr>
      <w:r w:rsidRPr="00771D2C">
        <w:t xml:space="preserve">In the present case, </w:t>
      </w:r>
      <w:r w:rsidR="00E551E6" w:rsidRPr="00771D2C">
        <w:t>the operating permit</w:t>
      </w:r>
      <w:r w:rsidRPr="00771D2C">
        <w:t xml:space="preserve"> </w:t>
      </w:r>
      <w:r w:rsidR="00E551E6" w:rsidRPr="00771D2C">
        <w:t xml:space="preserve">granted by SONS on 30 March 2016 did not </w:t>
      </w:r>
      <w:r w:rsidR="00D33BBA" w:rsidRPr="00771D2C">
        <w:t xml:space="preserve">merely </w:t>
      </w:r>
      <w:r w:rsidR="00E551E6" w:rsidRPr="00771D2C">
        <w:t xml:space="preserve">permit the continued operation of the first reactor of Dukovany </w:t>
      </w:r>
      <w:r w:rsidRPr="00771D2C">
        <w:t>for a further twenty years, but</w:t>
      </w:r>
      <w:r w:rsidR="00D33BBA" w:rsidRPr="00771D2C">
        <w:t xml:space="preserve"> in fact</w:t>
      </w:r>
      <w:r w:rsidR="00E551E6" w:rsidRPr="00771D2C">
        <w:t xml:space="preserve"> </w:t>
      </w:r>
      <w:r w:rsidRPr="00771D2C">
        <w:t xml:space="preserve">indefinitely. </w:t>
      </w:r>
      <w:r w:rsidR="00D14AB1" w:rsidRPr="00771D2C">
        <w:t xml:space="preserve">In </w:t>
      </w:r>
      <w:r w:rsidR="00E551E6" w:rsidRPr="00771D2C">
        <w:t xml:space="preserve">accordance </w:t>
      </w:r>
      <w:r w:rsidR="00D14AB1" w:rsidRPr="00771D2C">
        <w:t>with its findings on communication ACCC/C/201</w:t>
      </w:r>
      <w:r w:rsidR="00E551E6" w:rsidRPr="00771D2C">
        <w:t>4</w:t>
      </w:r>
      <w:r w:rsidR="00D14AB1" w:rsidRPr="00771D2C">
        <w:t xml:space="preserve">/104 (Netherlands), the </w:t>
      </w:r>
      <w:r w:rsidRPr="00771D2C">
        <w:t xml:space="preserve">Committee considers </w:t>
      </w:r>
      <w:r w:rsidR="00D20A53">
        <w:t xml:space="preserve">that </w:t>
      </w:r>
      <w:r w:rsidRPr="00771D2C">
        <w:t xml:space="preserve">it </w:t>
      </w:r>
      <w:r w:rsidR="00D14AB1" w:rsidRPr="00771D2C">
        <w:t>was</w:t>
      </w:r>
      <w:r w:rsidRPr="00771D2C">
        <w:t xml:space="preserve"> “appropriate” and thus required, for the Party concerned to apply the provisions of article 6(2)-(9) </w:t>
      </w:r>
      <w:r w:rsidR="00D14AB1" w:rsidRPr="00771D2C">
        <w:t>to the decision-making on the 30 March 2016 operating permit</w:t>
      </w:r>
      <w:r w:rsidRPr="00771D2C">
        <w:t>.</w:t>
      </w:r>
      <w:r w:rsidR="002E673A" w:rsidRPr="00771D2C">
        <w:t xml:space="preserve"> </w:t>
      </w:r>
    </w:p>
    <w:p w14:paraId="55CD6FCD" w14:textId="686BDA70" w:rsidR="00FD3E42" w:rsidRPr="00771D2C" w:rsidRDefault="00E551E6" w:rsidP="00771D2C">
      <w:pPr>
        <w:pStyle w:val="NumberedParas"/>
      </w:pPr>
      <w:r w:rsidRPr="00771D2C">
        <w:t xml:space="preserve">Having found that the Party concerned was required to apply the provisions of article 6(2)-(9) to SONS’ 30 March 2016 permit, the Committee </w:t>
      </w:r>
      <w:r w:rsidR="002E673A" w:rsidRPr="00771D2C">
        <w:t xml:space="preserve">considers </w:t>
      </w:r>
      <w:r w:rsidR="00D20A53">
        <w:t xml:space="preserve">that </w:t>
      </w:r>
      <w:r w:rsidR="002E673A" w:rsidRPr="00771D2C">
        <w:t>it</w:t>
      </w:r>
      <w:r w:rsidR="00FD3E42" w:rsidRPr="00771D2C">
        <w:t xml:space="preserve"> is not necessary in the present case to examine whether article 6(1)(a) of the Convention would also apply to the March 2016 permit for reactor 1, either in conjunction with paragraph 1 or paragraph 20 of annex I to the Convention.</w:t>
      </w:r>
      <w:r w:rsidR="00FD3E42">
        <w:rPr>
          <w:rStyle w:val="FootnoteReference"/>
          <w:szCs w:val="20"/>
        </w:rPr>
        <w:footnoteReference w:id="130"/>
      </w:r>
    </w:p>
    <w:p w14:paraId="655502FA" w14:textId="1964DC6F" w:rsidR="002E673A" w:rsidRPr="00771D2C" w:rsidRDefault="002E673A" w:rsidP="00771D2C">
      <w:pPr>
        <w:pStyle w:val="NumberedParas"/>
      </w:pPr>
      <w:r w:rsidRPr="00771D2C">
        <w:t>The Party concerned does not dispute that there was no opportunity for the public to participate in the decision-making by SONS to grant the 30 March 2016 indefinite operating permit.</w:t>
      </w:r>
    </w:p>
    <w:p w14:paraId="492DFA69" w14:textId="7840E511" w:rsidR="00573261" w:rsidRPr="00771D2C" w:rsidRDefault="00D14AB1" w:rsidP="00771D2C">
      <w:pPr>
        <w:pStyle w:val="NumberedParas"/>
      </w:pPr>
      <w:bookmarkStart w:id="38" w:name="_Ref66804905"/>
      <w:bookmarkStart w:id="39" w:name="_Ref62386107"/>
      <w:r w:rsidRPr="00771D2C">
        <w:t>Based on the foregoing</w:t>
      </w:r>
      <w:r w:rsidR="00573261" w:rsidRPr="00771D2C">
        <w:t>, the Committee finds that</w:t>
      </w:r>
      <w:r w:rsidR="002E673A" w:rsidRPr="00771D2C">
        <w:t>,</w:t>
      </w:r>
      <w:r w:rsidR="00573261" w:rsidRPr="00771D2C">
        <w:t xml:space="preserve"> by not providing for public participation meeting the requirements of article 6(2)-(9) in </w:t>
      </w:r>
      <w:r w:rsidR="002E673A" w:rsidRPr="00771D2C">
        <w:t xml:space="preserve">the </w:t>
      </w:r>
      <w:r w:rsidR="00FD3E42" w:rsidRPr="00771D2C">
        <w:t xml:space="preserve">decision-making </w:t>
      </w:r>
      <w:r w:rsidR="002E673A" w:rsidRPr="00771D2C">
        <w:t xml:space="preserve">to grant the first reactor of </w:t>
      </w:r>
      <w:r w:rsidR="00FD3E42" w:rsidRPr="00771D2C">
        <w:t xml:space="preserve">Dukovany </w:t>
      </w:r>
      <w:r w:rsidR="002E673A" w:rsidRPr="00771D2C">
        <w:t>NPP an indefinite operating permit</w:t>
      </w:r>
      <w:r w:rsidR="00573261" w:rsidRPr="00771D2C">
        <w:t>, the Party concerned fail</w:t>
      </w:r>
      <w:r w:rsidR="00FD3E42" w:rsidRPr="00771D2C">
        <w:t>ed</w:t>
      </w:r>
      <w:r w:rsidR="00573261" w:rsidRPr="00771D2C">
        <w:t xml:space="preserve"> to comply with article 6(10) of the Convention.</w:t>
      </w:r>
      <w:bookmarkEnd w:id="38"/>
      <w:bookmarkEnd w:id="39"/>
      <w:r w:rsidR="00573261" w:rsidRPr="00771D2C">
        <w:t xml:space="preserve">   </w:t>
      </w:r>
    </w:p>
    <w:p w14:paraId="3098A6E1" w14:textId="77777777" w:rsidR="00A17461" w:rsidRPr="00771D2C" w:rsidRDefault="00A17461" w:rsidP="00771D2C">
      <w:pPr>
        <w:pStyle w:val="Heading3"/>
      </w:pPr>
      <w:r w:rsidRPr="00771D2C">
        <w:t>Periodic safety reviews</w:t>
      </w:r>
    </w:p>
    <w:p w14:paraId="6B46CD11" w14:textId="6039E020" w:rsidR="00A17461" w:rsidRPr="00771D2C" w:rsidRDefault="00A17461" w:rsidP="00771D2C">
      <w:pPr>
        <w:pStyle w:val="NumberedParas"/>
        <w:rPr>
          <w:color w:val="000000"/>
        </w:rPr>
      </w:pPr>
      <w:r w:rsidRPr="00771D2C">
        <w:t xml:space="preserve">According to the terms of its </w:t>
      </w:r>
      <w:r w:rsidR="002E673A" w:rsidRPr="00771D2C">
        <w:t xml:space="preserve">30 March </w:t>
      </w:r>
      <w:r w:rsidRPr="00771D2C">
        <w:t xml:space="preserve">2016 indefinite operating permit, </w:t>
      </w:r>
      <w:r w:rsidR="002E673A" w:rsidRPr="00771D2C">
        <w:t xml:space="preserve">the first reactor of Dukovany NPP </w:t>
      </w:r>
      <w:r w:rsidRPr="00771D2C">
        <w:t>is subject to ten yearly periodic safety reviews (PSR).</w:t>
      </w:r>
      <w:r w:rsidRPr="00771D2C">
        <w:rPr>
          <w:rStyle w:val="FootnoteReference"/>
        </w:rPr>
        <w:footnoteReference w:id="131"/>
      </w:r>
      <w:r w:rsidRPr="00771D2C">
        <w:t xml:space="preserve"> </w:t>
      </w:r>
      <w:r w:rsidR="00535673">
        <w:t>The</w:t>
      </w:r>
      <w:r w:rsidRPr="00771D2C">
        <w:t xml:space="preserve"> legal framework of the Party concerned</w:t>
      </w:r>
      <w:r w:rsidR="00535673">
        <w:t xml:space="preserve"> does not provide for</w:t>
      </w:r>
      <w:r w:rsidR="00535673" w:rsidRPr="00771D2C">
        <w:t xml:space="preserve"> </w:t>
      </w:r>
      <w:r w:rsidRPr="00771D2C">
        <w:t xml:space="preserve">public participation in the </w:t>
      </w:r>
      <w:r w:rsidR="00ED536B">
        <w:t>PSRs</w:t>
      </w:r>
      <w:r w:rsidRPr="00771D2C">
        <w:t>.</w:t>
      </w:r>
    </w:p>
    <w:p w14:paraId="16360262" w14:textId="79AAD74F" w:rsidR="00A17461" w:rsidRPr="00771D2C" w:rsidRDefault="00A17461" w:rsidP="00771D2C">
      <w:pPr>
        <w:pStyle w:val="NumberedParas"/>
        <w:rPr>
          <w:color w:val="000000"/>
        </w:rPr>
      </w:pPr>
      <w:r w:rsidRPr="00771D2C">
        <w:rPr>
          <w:color w:val="000000"/>
        </w:rPr>
        <w:t xml:space="preserve">The communicants submit that the </w:t>
      </w:r>
      <w:r w:rsidR="00ED536B">
        <w:rPr>
          <w:color w:val="000000"/>
        </w:rPr>
        <w:t>PSRs</w:t>
      </w:r>
      <w:r w:rsidRPr="00771D2C">
        <w:rPr>
          <w:color w:val="000000"/>
        </w:rPr>
        <w:t xml:space="preserve"> qualify as “reconsiderations or update of operating conditions” within the meaning of article 6(10) of the Convention.</w:t>
      </w:r>
      <w:r w:rsidRPr="00771D2C">
        <w:rPr>
          <w:rStyle w:val="FootnoteReference"/>
          <w:color w:val="000000"/>
        </w:rPr>
        <w:footnoteReference w:id="132"/>
      </w:r>
      <w:r w:rsidRPr="00771D2C">
        <w:rPr>
          <w:color w:val="000000"/>
        </w:rPr>
        <w:t xml:space="preserve"> The Party concerned does not comment on this </w:t>
      </w:r>
      <w:r w:rsidR="000B383D">
        <w:rPr>
          <w:color w:val="000000"/>
        </w:rPr>
        <w:t>submission</w:t>
      </w:r>
      <w:r w:rsidRPr="00771D2C">
        <w:rPr>
          <w:color w:val="000000"/>
        </w:rPr>
        <w:t>.</w:t>
      </w:r>
    </w:p>
    <w:p w14:paraId="31063129" w14:textId="7FFCCFEC" w:rsidR="00A17461" w:rsidRPr="00771D2C" w:rsidRDefault="00A17461" w:rsidP="00771D2C">
      <w:pPr>
        <w:pStyle w:val="NumberedParas"/>
        <w:rPr>
          <w:color w:val="000000"/>
        </w:rPr>
      </w:pPr>
      <w:r w:rsidRPr="00771D2C">
        <w:lastRenderedPageBreak/>
        <w:t xml:space="preserve">The Committee </w:t>
      </w:r>
      <w:r w:rsidR="00B519CE">
        <w:t>first</w:t>
      </w:r>
      <w:r w:rsidRPr="00771D2C">
        <w:t xml:space="preserve"> determine</w:t>
      </w:r>
      <w:r w:rsidR="00B519CE">
        <w:t>s</w:t>
      </w:r>
      <w:r w:rsidRPr="00771D2C">
        <w:t xml:space="preserve"> whether a </w:t>
      </w:r>
      <w:r w:rsidR="00ED536B">
        <w:t>PSR</w:t>
      </w:r>
      <w:r w:rsidRPr="00771D2C">
        <w:t xml:space="preserve"> should be considered as a “reconsideration or update of the operating conditions” within the meaning of article 6(10).</w:t>
      </w:r>
    </w:p>
    <w:p w14:paraId="5598B747" w14:textId="043A143A" w:rsidR="00A17461" w:rsidRPr="00771D2C" w:rsidRDefault="00A17461" w:rsidP="00771D2C">
      <w:pPr>
        <w:pStyle w:val="NumberedParas"/>
        <w:rPr>
          <w:color w:val="000000"/>
        </w:rPr>
      </w:pPr>
      <w:r w:rsidRPr="00771D2C">
        <w:rPr>
          <w:color w:val="000000"/>
        </w:rPr>
        <w:t xml:space="preserve">The Committee notes that the </w:t>
      </w:r>
      <w:r w:rsidRPr="00771D2C">
        <w:rPr>
          <w:i/>
          <w:color w:val="000000"/>
        </w:rPr>
        <w:t xml:space="preserve">IAEA Safety Standards for protecting the environment </w:t>
      </w:r>
      <w:r w:rsidRPr="00771D2C">
        <w:rPr>
          <w:color w:val="000000"/>
        </w:rPr>
        <w:t xml:space="preserve">explains the purpose of a </w:t>
      </w:r>
      <w:r w:rsidR="004F2662">
        <w:rPr>
          <w:color w:val="000000"/>
        </w:rPr>
        <w:t>PSR as follows</w:t>
      </w:r>
      <w:r w:rsidRPr="00771D2C">
        <w:rPr>
          <w:color w:val="000000"/>
        </w:rPr>
        <w:t>:</w:t>
      </w:r>
    </w:p>
    <w:p w14:paraId="5EBC0046" w14:textId="77777777" w:rsidR="00A17461" w:rsidRPr="00771D2C" w:rsidRDefault="00A17461" w:rsidP="00771D2C">
      <w:pPr>
        <w:pStyle w:val="Quote"/>
      </w:pPr>
      <w:r w:rsidRPr="00771D2C">
        <w:t xml:space="preserve">The objective of PSR is to determine by means of a comprehensive assessment: </w:t>
      </w:r>
    </w:p>
    <w:p w14:paraId="6D636354" w14:textId="77777777" w:rsidR="00A17461" w:rsidRPr="00771D2C" w:rsidRDefault="00A17461" w:rsidP="00771D2C">
      <w:pPr>
        <w:pStyle w:val="Quote"/>
        <w:ind w:left="1701"/>
      </w:pPr>
      <w:r w:rsidRPr="00771D2C">
        <w:t xml:space="preserve">— The adequacy and effectiveness of the arrangements and the structures, systems and components (equipment) that are in place to ensure plant  safety until the next PSR or, where appropriate, until the end of planned operation (that is, if the nuclear power plant will cease operation before the next PSR is due); </w:t>
      </w:r>
    </w:p>
    <w:p w14:paraId="18E68EEB" w14:textId="77777777" w:rsidR="00A17461" w:rsidRPr="00771D2C" w:rsidRDefault="00A17461" w:rsidP="00771D2C">
      <w:pPr>
        <w:pStyle w:val="Quote"/>
        <w:ind w:left="1701"/>
      </w:pPr>
      <w:r w:rsidRPr="00771D2C">
        <w:t xml:space="preserve">— The extent to which the plant conforms to current national and/or international safety standards and operating practices; </w:t>
      </w:r>
    </w:p>
    <w:p w14:paraId="60059B85" w14:textId="77777777" w:rsidR="00A17461" w:rsidRPr="00771D2C" w:rsidRDefault="00A17461" w:rsidP="00771D2C">
      <w:pPr>
        <w:pStyle w:val="Quote"/>
        <w:ind w:firstLine="306"/>
      </w:pPr>
      <w:r w:rsidRPr="00771D2C">
        <w:t xml:space="preserve">— Safety improvements and timescales for their implementation; </w:t>
      </w:r>
    </w:p>
    <w:p w14:paraId="522C2877" w14:textId="77777777" w:rsidR="00A17461" w:rsidRPr="00771D2C" w:rsidRDefault="00A17461" w:rsidP="00771D2C">
      <w:pPr>
        <w:pStyle w:val="Quote"/>
        <w:ind w:left="1701"/>
        <w:rPr>
          <w:color w:val="000000"/>
        </w:rPr>
      </w:pPr>
      <w:r w:rsidRPr="00771D2C">
        <w:t>— The extent to which the safety documentation, including the licensing basis, remains valid.</w:t>
      </w:r>
      <w:r w:rsidRPr="00771D2C">
        <w:rPr>
          <w:rStyle w:val="FootnoteReference"/>
          <w:rFonts w:asciiTheme="majorBidi" w:hAnsiTheme="majorBidi"/>
          <w:color w:val="000000"/>
        </w:rPr>
        <w:t xml:space="preserve"> </w:t>
      </w:r>
      <w:r w:rsidRPr="00771D2C">
        <w:rPr>
          <w:rStyle w:val="FootnoteReference"/>
          <w:rFonts w:asciiTheme="majorBidi" w:hAnsiTheme="majorBidi"/>
          <w:color w:val="000000"/>
        </w:rPr>
        <w:footnoteReference w:id="133"/>
      </w:r>
    </w:p>
    <w:p w14:paraId="03192D55" w14:textId="0068BAA1" w:rsidR="00A17461" w:rsidRPr="00771D2C" w:rsidRDefault="00A17461" w:rsidP="00771D2C">
      <w:pPr>
        <w:pStyle w:val="NumberedParas"/>
      </w:pPr>
      <w:bookmarkStart w:id="40" w:name="_Ref74115877"/>
      <w:r w:rsidRPr="00771D2C">
        <w:t xml:space="preserve">The Espoo Convention’s 2020 </w:t>
      </w:r>
      <w:r w:rsidRPr="00771D2C">
        <w:rPr>
          <w:i/>
        </w:rPr>
        <w:t>Guidance on the applicability of the Convention to the lifetime extension of nuclear power plants</w:t>
      </w:r>
      <w:r w:rsidRPr="00771D2C">
        <w:t xml:space="preserve"> explains that PSRs, while not themselves qualifying as a </w:t>
      </w:r>
      <w:r w:rsidR="006B29FB">
        <w:t>“</w:t>
      </w:r>
      <w:r w:rsidRPr="00771D2C">
        <w:t>decision</w:t>
      </w:r>
      <w:r w:rsidR="006B29FB">
        <w:t>”</w:t>
      </w:r>
      <w:r w:rsidRPr="00771D2C">
        <w:t xml:space="preserve"> within the meaning of the Espoo Convention, may result in specific findings.</w:t>
      </w:r>
      <w:r w:rsidRPr="00771D2C">
        <w:rPr>
          <w:rStyle w:val="FootnoteReference"/>
          <w:color w:val="000000"/>
        </w:rPr>
        <w:footnoteReference w:id="134"/>
      </w:r>
      <w:r w:rsidRPr="00771D2C">
        <w:t xml:space="preserve"> For instance, the competent authority may find that: (a) the nuclear power plant is operating within its licence conditions and regulatory requirements and can continue operating unchanged; or (b) the operation should be provisionally suspended; or (c) certain measures should be applied.</w:t>
      </w:r>
      <w:r w:rsidRPr="00771D2C">
        <w:rPr>
          <w:rStyle w:val="FootnoteReference"/>
          <w:color w:val="000000"/>
        </w:rPr>
        <w:footnoteReference w:id="135"/>
      </w:r>
      <w:bookmarkEnd w:id="40"/>
      <w:r w:rsidRPr="00771D2C">
        <w:t xml:space="preserve"> </w:t>
      </w:r>
    </w:p>
    <w:p w14:paraId="77ECD005" w14:textId="3E30C81E" w:rsidR="00A17461" w:rsidRPr="00771D2C" w:rsidRDefault="00A17461" w:rsidP="00771D2C">
      <w:pPr>
        <w:pStyle w:val="NumberedParas"/>
      </w:pPr>
      <w:r w:rsidRPr="00771D2C">
        <w:t xml:space="preserve">In light of the above, the Committee understands that a </w:t>
      </w:r>
      <w:r w:rsidR="00ED536B">
        <w:t>PSR</w:t>
      </w:r>
      <w:r w:rsidRPr="00771D2C">
        <w:t xml:space="preserve"> entails a comprehensive assessment of, among other things, the adequacy and effectiveness of the arrangements and systems in place to ensure the NPP’s safety and its compliance with international and national safety standards</w:t>
      </w:r>
      <w:r w:rsidR="00F17F6C">
        <w:t>. M</w:t>
      </w:r>
      <w:r w:rsidRPr="003776DA">
        <w:t>oreover,</w:t>
      </w:r>
      <w:r w:rsidRPr="00771D2C">
        <w:t xml:space="preserve"> the PSR may result in certain further safety measures being applied as a condition for the NPP’s continued operation.</w:t>
      </w:r>
    </w:p>
    <w:p w14:paraId="18DAEC43" w14:textId="119DF9CE" w:rsidR="0053221B" w:rsidRPr="00771D2C" w:rsidRDefault="0053221B" w:rsidP="00771D2C">
      <w:pPr>
        <w:pStyle w:val="NumberedParas"/>
      </w:pPr>
      <w:bookmarkStart w:id="41" w:name="_Ref62386076"/>
      <w:r w:rsidRPr="00771D2C">
        <w:t xml:space="preserve">The Committee notes that article 6(10) of the Convention covers any type of reconsideration or update of a permit’s operating conditions. </w:t>
      </w:r>
      <w:r w:rsidR="00BE19D1">
        <w:t xml:space="preserve">Accordingly, any reconsideration or update of the conditions of the operating permit for Dukovany NPP is within the scope of article 6(10) of the Convention. </w:t>
      </w:r>
      <w:r w:rsidR="00B81CBA">
        <w:t>W</w:t>
      </w:r>
      <w:r>
        <w:t xml:space="preserve">hile the duration of a </w:t>
      </w:r>
      <w:r w:rsidR="00BE19D1">
        <w:t>NPP’s operating</w:t>
      </w:r>
      <w:r w:rsidR="00BE19D1" w:rsidRPr="00771D2C">
        <w:t xml:space="preserve"> </w:t>
      </w:r>
      <w:r w:rsidRPr="00771D2C">
        <w:t>permit is of a very different nature to its safety requirements, they are both operating conditions within the meaning of article 6(10).</w:t>
      </w:r>
    </w:p>
    <w:p w14:paraId="52F54E39" w14:textId="2205CD40" w:rsidR="00A17461" w:rsidRPr="00771D2C" w:rsidRDefault="0053221B" w:rsidP="00771D2C">
      <w:pPr>
        <w:pStyle w:val="NumberedParas"/>
      </w:pPr>
      <w:r w:rsidRPr="00771D2C">
        <w:t>Based on the foregoing, t</w:t>
      </w:r>
      <w:r w:rsidR="00A17461" w:rsidRPr="00771D2C">
        <w:t xml:space="preserve">he Committee considers that a </w:t>
      </w:r>
      <w:r w:rsidR="006B29FB">
        <w:t>PSR</w:t>
      </w:r>
      <w:r w:rsidR="006B29FB" w:rsidRPr="00771D2C">
        <w:t xml:space="preserve"> is a “reconsideration</w:t>
      </w:r>
      <w:r w:rsidR="006B29FB">
        <w:t>”</w:t>
      </w:r>
      <w:r w:rsidR="00A17461" w:rsidRPr="003776DA">
        <w:t xml:space="preserve"> of the NPP’s operating conditions within the meaning of article 6(10) of the Convention. </w:t>
      </w:r>
      <w:r w:rsidR="006B29FB">
        <w:t xml:space="preserve">Moreover, </w:t>
      </w:r>
      <w:r w:rsidR="00BF427C">
        <w:t xml:space="preserve">as noted in paragraph </w:t>
      </w:r>
      <w:r w:rsidR="00BF427C">
        <w:fldChar w:fldCharType="begin"/>
      </w:r>
      <w:r w:rsidR="00BF427C">
        <w:instrText xml:space="preserve"> REF _Ref74115877 \r \h </w:instrText>
      </w:r>
      <w:r w:rsidR="00BF427C">
        <w:fldChar w:fldCharType="separate"/>
      </w:r>
      <w:r w:rsidR="009B2E8A">
        <w:rPr>
          <w:cs/>
        </w:rPr>
        <w:t>‎</w:t>
      </w:r>
      <w:r w:rsidR="009B2E8A">
        <w:t>114</w:t>
      </w:r>
      <w:r w:rsidR="00BF427C">
        <w:fldChar w:fldCharType="end"/>
      </w:r>
      <w:r w:rsidR="00BF427C">
        <w:t xml:space="preserve"> above, the PSR may find that certain measures should be applied, in which case the PSR would constitute an “</w:t>
      </w:r>
      <w:r w:rsidR="00BF427C" w:rsidRPr="00771D2C">
        <w:t>update” of the NPP’s operating conditions within the meaning of article 6(10) of the Convention</w:t>
      </w:r>
      <w:r w:rsidR="00BF427C">
        <w:t xml:space="preserve"> too</w:t>
      </w:r>
      <w:r w:rsidR="00BF427C" w:rsidRPr="00771D2C">
        <w:t xml:space="preserve">. </w:t>
      </w:r>
      <w:r w:rsidR="00A17461" w:rsidRPr="00771D2C">
        <w:t xml:space="preserve">As such, the Party concerned is required to apply the </w:t>
      </w:r>
      <w:bookmarkEnd w:id="41"/>
      <w:r w:rsidR="00DF6901" w:rsidRPr="00771D2C">
        <w:t xml:space="preserve">test set out in article 6(10) to determine whether or not it </w:t>
      </w:r>
      <w:r w:rsidR="00DF6901" w:rsidRPr="00771D2C">
        <w:lastRenderedPageBreak/>
        <w:t xml:space="preserve">is “appropriate” and thus required to carry out public participation </w:t>
      </w:r>
      <w:r w:rsidR="00BE19D1">
        <w:t>under</w:t>
      </w:r>
      <w:r w:rsidR="00DF6901" w:rsidRPr="00771D2C">
        <w:t xml:space="preserve"> article 6(2)-(9</w:t>
      </w:r>
      <w:r w:rsidR="00DF6901">
        <w:t>)</w:t>
      </w:r>
      <w:r w:rsidR="00BE19D1">
        <w:t xml:space="preserve"> of the Convention</w:t>
      </w:r>
      <w:r w:rsidR="00BF427C">
        <w:t xml:space="preserve"> </w:t>
      </w:r>
      <w:r w:rsidR="000C7E1B">
        <w:t>on</w:t>
      </w:r>
      <w:r w:rsidR="00BE19D1">
        <w:t xml:space="preserve"> </w:t>
      </w:r>
      <w:r w:rsidR="000C7E1B">
        <w:t>the</w:t>
      </w:r>
      <w:r w:rsidR="00BE19D1">
        <w:t xml:space="preserve"> </w:t>
      </w:r>
      <w:r w:rsidR="00BF427C">
        <w:t>PSR</w:t>
      </w:r>
      <w:r w:rsidR="000C7E1B">
        <w:t>s</w:t>
      </w:r>
      <w:r w:rsidR="00BF427C">
        <w:t xml:space="preserve"> for the Dukovany NPP</w:t>
      </w:r>
      <w:r w:rsidR="00DF6901">
        <w:t>.</w:t>
      </w:r>
    </w:p>
    <w:p w14:paraId="27C6BB99" w14:textId="52C99A79" w:rsidR="00A17461" w:rsidRPr="00771D2C" w:rsidRDefault="00A17461" w:rsidP="00771D2C">
      <w:pPr>
        <w:pStyle w:val="Heading4"/>
      </w:pPr>
      <w:r w:rsidRPr="00771D2C">
        <w:t>Mutatis mutandis</w:t>
      </w:r>
    </w:p>
    <w:p w14:paraId="0E179CB9" w14:textId="539FE4FE" w:rsidR="00A17461" w:rsidRPr="00771D2C" w:rsidRDefault="00A17461" w:rsidP="00771D2C">
      <w:pPr>
        <w:pStyle w:val="NumberedParas"/>
      </w:pPr>
      <w:r w:rsidRPr="00771D2C">
        <w:t xml:space="preserve">As the Committee has already clarified in </w:t>
      </w:r>
      <w:r w:rsidR="002E673A" w:rsidRPr="00771D2C">
        <w:t xml:space="preserve">paragraph </w:t>
      </w:r>
      <w:r w:rsidR="002E673A" w:rsidRPr="00771D2C">
        <w:fldChar w:fldCharType="begin"/>
      </w:r>
      <w:r w:rsidR="002E673A">
        <w:instrText xml:space="preserve"> REF _Ref66795598 \r \h </w:instrText>
      </w:r>
      <w:r w:rsidR="002E673A" w:rsidRPr="00771D2C">
        <w:fldChar w:fldCharType="separate"/>
      </w:r>
      <w:r w:rsidR="009B2E8A" w:rsidRPr="00771D2C">
        <w:rPr>
          <w:cs/>
        </w:rPr>
        <w:t>‎</w:t>
      </w:r>
      <w:r w:rsidR="009B2E8A">
        <w:t>103</w:t>
      </w:r>
      <w:r w:rsidR="002E673A" w:rsidRPr="00771D2C">
        <w:fldChar w:fldCharType="end"/>
      </w:r>
      <w:r w:rsidR="002E673A" w:rsidRPr="00771D2C">
        <w:t xml:space="preserve"> above</w:t>
      </w:r>
      <w:r w:rsidRPr="00771D2C">
        <w:t xml:space="preserve">, “mutatis mutandis” simply means </w:t>
      </w:r>
      <w:r w:rsidR="002E673A" w:rsidRPr="00771D2C">
        <w:t>that</w:t>
      </w:r>
      <w:r w:rsidRPr="00771D2C">
        <w:t xml:space="preserve"> when applying the provisions of paragraphs (2) – (9) of article 6 to a reconsideration or an update of the operating conditions for an article 6 activity, the public authority </w:t>
      </w:r>
      <w:r w:rsidR="00241951" w:rsidRPr="00771D2C">
        <w:t xml:space="preserve">must </w:t>
      </w:r>
      <w:r w:rsidRPr="00771D2C">
        <w:t>appl</w:t>
      </w:r>
      <w:r w:rsidR="00241951" w:rsidRPr="00771D2C">
        <w:t>y</w:t>
      </w:r>
      <w:r w:rsidRPr="00771D2C">
        <w:t xml:space="preserve"> those paragraphs with the necessary changes.</w:t>
      </w:r>
      <w:r w:rsidRPr="00771D2C">
        <w:rPr>
          <w:rStyle w:val="FootnoteReference"/>
        </w:rPr>
        <w:footnoteReference w:id="136"/>
      </w:r>
      <w:r w:rsidRPr="00771D2C">
        <w:t xml:space="preserve"> </w:t>
      </w:r>
    </w:p>
    <w:p w14:paraId="3AE42B44" w14:textId="77777777" w:rsidR="00A17461" w:rsidRPr="00771D2C" w:rsidRDefault="00A17461" w:rsidP="00771D2C">
      <w:pPr>
        <w:pStyle w:val="Heading4"/>
      </w:pPr>
      <w:r w:rsidRPr="00771D2C">
        <w:t>Where appropriate</w:t>
      </w:r>
    </w:p>
    <w:p w14:paraId="22ECB62A" w14:textId="3BD3E517" w:rsidR="00A17461" w:rsidRPr="00771D2C" w:rsidRDefault="00A17461" w:rsidP="00771D2C">
      <w:pPr>
        <w:pStyle w:val="NumberedParas"/>
      </w:pPr>
      <w:r w:rsidRPr="00771D2C">
        <w:t xml:space="preserve">In its findings on communication ACCC/C/2014/121 (European Union), the Committee provided guidance on how the words “as appropriate” in article 6(10) should be applied in practice. </w:t>
      </w:r>
      <w:r w:rsidR="00882A8E" w:rsidRPr="00771D2C">
        <w:t xml:space="preserve">The </w:t>
      </w:r>
      <w:r w:rsidRPr="00771D2C">
        <w:t>Committee found that</w:t>
      </w:r>
      <w:r w:rsidR="00882A8E" w:rsidRPr="00771D2C">
        <w:t>,</w:t>
      </w:r>
      <w:r w:rsidRPr="00771D2C">
        <w:t xml:space="preserve"> “except in cases where the reconsideration or update is not capable of significantly changing the basic parameters of the activity and will not address significant environmental aspects of the activity, public participation meeting the requirements of article 6(2)–(9) is </w:t>
      </w:r>
      <w:r w:rsidR="00C06771">
        <w:t>‘</w:t>
      </w:r>
      <w:r w:rsidRPr="00771D2C">
        <w:t>appropriate</w:t>
      </w:r>
      <w:r w:rsidR="00C06771">
        <w:t>’</w:t>
      </w:r>
      <w:r w:rsidRPr="00771D2C">
        <w:t xml:space="preserve"> and thus required.”</w:t>
      </w:r>
      <w:r w:rsidRPr="00771D2C">
        <w:rPr>
          <w:rStyle w:val="FootnoteReference"/>
        </w:rPr>
        <w:footnoteReference w:id="137"/>
      </w:r>
      <w:r w:rsidRPr="00771D2C">
        <w:t xml:space="preserve"> </w:t>
      </w:r>
    </w:p>
    <w:p w14:paraId="3BAB8215" w14:textId="5DAB335E" w:rsidR="00A17461" w:rsidRPr="00771D2C" w:rsidRDefault="00A17461" w:rsidP="00771D2C">
      <w:pPr>
        <w:pStyle w:val="NumberedParas"/>
      </w:pPr>
      <w:r w:rsidRPr="00771D2C">
        <w:t>In those findings, the Committee considered whether public participation was “appropriate</w:t>
      </w:r>
      <w:r w:rsidR="00B6336A" w:rsidRPr="00771D2C">
        <w:t>”</w:t>
      </w:r>
      <w:r w:rsidRPr="00771D2C">
        <w:t>, and thus required, during the reconsideration of a permit’s conditions for operational safety requirements. The Committee held:</w:t>
      </w:r>
    </w:p>
    <w:p w14:paraId="432FA783" w14:textId="77777777" w:rsidR="00A17461" w:rsidRPr="00771D2C" w:rsidRDefault="00A17461" w:rsidP="00771D2C">
      <w:pPr>
        <w:pStyle w:val="Quote"/>
      </w:pPr>
      <w:r w:rsidRPr="00771D2C">
        <w:t>…operational safety requirements are understood as intended to ensure the safe operation of an installation and serve to prevent impacts on humans and the surrounding environment. Accordingly, at least some of a facility’s operational safety requirements will concern the facility’s potential for having impacts on the environment, human health and safety.</w:t>
      </w:r>
    </w:p>
    <w:p w14:paraId="163A2396" w14:textId="77777777" w:rsidR="00A17461" w:rsidRPr="00771D2C" w:rsidRDefault="00A17461" w:rsidP="00771D2C">
      <w:pPr>
        <w:pStyle w:val="Quote"/>
      </w:pPr>
      <w:r w:rsidRPr="00771D2C">
        <w:t>Based on the above, the Committee considers that where a public authority reconsiders and, where necessary, updates the operating conditions of an activity subject to article 6 of the Convention in order to meet operational safety requirements, except in cases where the reconsideration or update is not capable of significantly changing the basic parameters of the activity and will not address significant environmental aspects of the activity, public participation meeting the requirements of article 6 (2)–(9) is “appropriate”, and thus required.</w:t>
      </w:r>
      <w:r w:rsidRPr="00771D2C">
        <w:rPr>
          <w:rStyle w:val="FootnoteReference"/>
          <w:rFonts w:asciiTheme="majorBidi" w:hAnsiTheme="majorBidi"/>
        </w:rPr>
        <w:footnoteReference w:id="138"/>
      </w:r>
    </w:p>
    <w:p w14:paraId="4F73E08C" w14:textId="64A42A18" w:rsidR="00A17461" w:rsidRPr="00771D2C" w:rsidRDefault="00A17461" w:rsidP="00771D2C">
      <w:pPr>
        <w:pStyle w:val="NumberedParas"/>
      </w:pPr>
      <w:r w:rsidRPr="00771D2C">
        <w:t xml:space="preserve">In the present case, according to the IAEA, the periodic safety review should entail a “comprehensive assessment” of, among other things, the adequacy and effectiveness of the arrangements and systems in place to ensure the NPP’s safety and its compliance with international and national safety standards. </w:t>
      </w:r>
      <w:r w:rsidR="00825E13" w:rsidRPr="00771D2C">
        <w:t xml:space="preserve">The IAEA </w:t>
      </w:r>
      <w:r w:rsidRPr="00771D2C">
        <w:t xml:space="preserve">also notes that the PSR may result in certain further safety measures being applied as a condition for the NPP’s continued operation. </w:t>
      </w:r>
    </w:p>
    <w:p w14:paraId="2B7A3766" w14:textId="0597D4FC" w:rsidR="00A17461" w:rsidRPr="00771D2C" w:rsidRDefault="00A17461" w:rsidP="00771D2C">
      <w:pPr>
        <w:pStyle w:val="NumberedParas"/>
      </w:pPr>
      <w:r w:rsidRPr="00771D2C">
        <w:t>A PSR is accordingly capable of changing the basic parameters of the NPP (including the suspension or termination of its operations or the addition of further safety measures) and of addressing significant environmental aspects of the activity. The Committee th</w:t>
      </w:r>
      <w:r w:rsidR="00A51073" w:rsidRPr="00771D2C">
        <w:t>erefore</w:t>
      </w:r>
      <w:r w:rsidRPr="00771D2C">
        <w:t xml:space="preserve"> considers it is “appropriate” and thus required, for the Party concerned to apply the provisions of article 6(2)-(9) when carrying out each 10-year periodic safety review.</w:t>
      </w:r>
    </w:p>
    <w:p w14:paraId="0AAC040C" w14:textId="05138A24" w:rsidR="00A17461" w:rsidRPr="00771D2C" w:rsidRDefault="00A17461" w:rsidP="00771D2C">
      <w:pPr>
        <w:pStyle w:val="NumberedParas"/>
      </w:pPr>
      <w:bookmarkStart w:id="42" w:name="_Ref62386242"/>
      <w:bookmarkStart w:id="43" w:name="_Ref72491557"/>
      <w:r w:rsidRPr="00771D2C">
        <w:lastRenderedPageBreak/>
        <w:t>In the light of the above, the Committee finds that</w:t>
      </w:r>
      <w:r w:rsidR="003E3A7B" w:rsidRPr="00771D2C">
        <w:t>,</w:t>
      </w:r>
      <w:r w:rsidRPr="00771D2C">
        <w:t xml:space="preserve"> by </w:t>
      </w:r>
      <w:r w:rsidR="00DD6867">
        <w:t xml:space="preserve">establishing a legal framework that does </w:t>
      </w:r>
      <w:r w:rsidRPr="00771D2C">
        <w:t xml:space="preserve">not </w:t>
      </w:r>
      <w:r w:rsidRPr="003776DA">
        <w:t>provid</w:t>
      </w:r>
      <w:r w:rsidR="00DD6867">
        <w:t>e</w:t>
      </w:r>
      <w:r w:rsidRPr="00771D2C">
        <w:t xml:space="preserve"> for public participation meeting the requirements of article 6(2)-(9) in </w:t>
      </w:r>
      <w:r w:rsidR="000C7E1B">
        <w:t xml:space="preserve">each of </w:t>
      </w:r>
      <w:r w:rsidRPr="00771D2C">
        <w:t xml:space="preserve">the 10-year periodic safety reviews for </w:t>
      </w:r>
      <w:r w:rsidR="001C4BB5" w:rsidRPr="00771D2C">
        <w:t xml:space="preserve">the </w:t>
      </w:r>
      <w:r w:rsidRPr="00771D2C">
        <w:t xml:space="preserve">Dukovany </w:t>
      </w:r>
      <w:r w:rsidR="001C4BB5" w:rsidRPr="00771D2C">
        <w:t>NPP</w:t>
      </w:r>
      <w:r w:rsidRPr="00771D2C">
        <w:t>, the Party concerned fails to comply with article 6(10) of the Convention.</w:t>
      </w:r>
      <w:bookmarkEnd w:id="42"/>
      <w:r w:rsidRPr="00771D2C">
        <w:t xml:space="preserve">   </w:t>
      </w:r>
      <w:bookmarkEnd w:id="43"/>
    </w:p>
    <w:p w14:paraId="70CBA31E" w14:textId="77777777" w:rsidR="00A17461" w:rsidRPr="00771D2C" w:rsidRDefault="00A17461" w:rsidP="00771D2C">
      <w:pPr>
        <w:pStyle w:val="Heading3"/>
      </w:pPr>
      <w:r w:rsidRPr="00771D2C">
        <w:t xml:space="preserve">Article 9(2) – access to a review procedure to challenge decisions subject to article 6 </w:t>
      </w:r>
    </w:p>
    <w:p w14:paraId="4F3D9B6D" w14:textId="77777777" w:rsidR="00A17461" w:rsidRPr="00771D2C" w:rsidRDefault="00A17461" w:rsidP="00771D2C">
      <w:pPr>
        <w:pStyle w:val="Heading4"/>
      </w:pPr>
      <w:r w:rsidRPr="00771D2C">
        <w:t>Applicability of article 9(2)</w:t>
      </w:r>
    </w:p>
    <w:p w14:paraId="293BF44D" w14:textId="59A74B56" w:rsidR="007C1516" w:rsidRPr="00771D2C" w:rsidRDefault="00DF6901" w:rsidP="00771D2C">
      <w:pPr>
        <w:pStyle w:val="NumberedParas"/>
      </w:pPr>
      <w:r w:rsidRPr="00771D2C">
        <w:t>S</w:t>
      </w:r>
      <w:r w:rsidR="00EC46E6" w:rsidRPr="00771D2C">
        <w:t xml:space="preserve">ince </w:t>
      </w:r>
      <w:r w:rsidR="00A17461" w:rsidRPr="00771D2C">
        <w:t xml:space="preserve">the permit for indefinite operation for </w:t>
      </w:r>
      <w:r w:rsidR="001C4BB5" w:rsidRPr="00771D2C">
        <w:t xml:space="preserve">the first reactor of the </w:t>
      </w:r>
      <w:r w:rsidR="00A17461" w:rsidRPr="00771D2C">
        <w:t xml:space="preserve">Dukovany </w:t>
      </w:r>
      <w:r w:rsidR="001C4BB5" w:rsidRPr="00771D2C">
        <w:t xml:space="preserve">NPP </w:t>
      </w:r>
      <w:r w:rsidR="00A17461" w:rsidRPr="00771D2C">
        <w:t xml:space="preserve">and the 10-year periodic safety reviews are </w:t>
      </w:r>
      <w:r w:rsidR="001C4BB5" w:rsidRPr="00771D2C">
        <w:t>each</w:t>
      </w:r>
      <w:r w:rsidR="00EC46E6" w:rsidRPr="00771D2C">
        <w:t xml:space="preserve"> </w:t>
      </w:r>
      <w:r w:rsidR="00A17461" w:rsidRPr="00771D2C">
        <w:t xml:space="preserve">subject to the requirements of article 6, </w:t>
      </w:r>
      <w:r w:rsidR="00EC46E6" w:rsidRPr="00771D2C">
        <w:t xml:space="preserve">it follows </w:t>
      </w:r>
      <w:r w:rsidR="00A17461" w:rsidRPr="00771D2C">
        <w:t>that the Party concerned is required to</w:t>
      </w:r>
      <w:r w:rsidR="00C82064" w:rsidRPr="00771D2C">
        <w:t xml:space="preserve"> </w:t>
      </w:r>
      <w:r w:rsidR="00CC25BA" w:rsidRPr="00771D2C">
        <w:t xml:space="preserve">provide access to a review procedure to challenge the </w:t>
      </w:r>
      <w:r w:rsidR="00CC25BA">
        <w:t>substanti</w:t>
      </w:r>
      <w:r w:rsidR="008A7FB4">
        <w:t>ve</w:t>
      </w:r>
      <w:r w:rsidR="00CC25BA" w:rsidRPr="00771D2C">
        <w:t xml:space="preserve"> or </w:t>
      </w:r>
      <w:r w:rsidR="00C82064" w:rsidRPr="00771D2C">
        <w:t xml:space="preserve">procedural legality of those decisions in accordance with </w:t>
      </w:r>
      <w:r w:rsidR="00EC46E6" w:rsidRPr="00771D2C">
        <w:t>article 9(2)</w:t>
      </w:r>
      <w:r w:rsidRPr="00771D2C">
        <w:t xml:space="preserve"> of the Convention</w:t>
      </w:r>
      <w:r w:rsidR="00A17461" w:rsidRPr="00771D2C">
        <w:t xml:space="preserve">. </w:t>
      </w:r>
    </w:p>
    <w:p w14:paraId="403AFBD0" w14:textId="491A00E0" w:rsidR="00A17461" w:rsidRPr="00771D2C" w:rsidRDefault="001C4BB5" w:rsidP="00771D2C">
      <w:pPr>
        <w:pStyle w:val="NumberedParas"/>
      </w:pPr>
      <w:r w:rsidRPr="00771D2C">
        <w:t xml:space="preserve">Pursuant to the first subparagraph of article 9(2), the review procedure may be a court of law </w:t>
      </w:r>
      <w:r w:rsidR="007C1516" w:rsidRPr="00771D2C">
        <w:t xml:space="preserve">or another independent and impartial body established by law, or both. </w:t>
      </w:r>
      <w:r w:rsidR="00A17461" w:rsidRPr="00771D2C">
        <w:t xml:space="preserve">The Committee examines below the extent to which the legal framework of the Party concerned ensures that members of the public concerned have access to </w:t>
      </w:r>
      <w:r w:rsidR="007C1516" w:rsidRPr="00771D2C">
        <w:t xml:space="preserve">either form of </w:t>
      </w:r>
      <w:r w:rsidR="00A17461" w:rsidRPr="00771D2C">
        <w:t>review procedure to challenge such decisions.</w:t>
      </w:r>
    </w:p>
    <w:p w14:paraId="31DB40C4" w14:textId="77777777" w:rsidR="00A17461" w:rsidRPr="00771D2C" w:rsidRDefault="00A17461" w:rsidP="00771D2C">
      <w:pPr>
        <w:pStyle w:val="Heading4"/>
      </w:pPr>
      <w:r w:rsidRPr="00771D2C">
        <w:t>Access to a review procedure before an independent and impartial body established by law</w:t>
      </w:r>
    </w:p>
    <w:p w14:paraId="43506FC0" w14:textId="0A007DCD" w:rsidR="00A17461" w:rsidRPr="00771D2C" w:rsidRDefault="007C1516" w:rsidP="00771D2C">
      <w:pPr>
        <w:pStyle w:val="NumberedParas"/>
      </w:pPr>
      <w:r w:rsidRPr="00771D2C">
        <w:t>S</w:t>
      </w:r>
      <w:r w:rsidR="00A17461" w:rsidRPr="00771D2C">
        <w:t>ection 94 et seq of Act No. 500/2004 Coll. (Administrative Procedure Code)</w:t>
      </w:r>
      <w:r w:rsidRPr="00771D2C">
        <w:t xml:space="preserve"> provides that </w:t>
      </w:r>
      <w:r w:rsidR="00A17461" w:rsidRPr="00771D2C">
        <w:t xml:space="preserve">members of the public may </w:t>
      </w:r>
      <w:r w:rsidR="00977C16" w:rsidRPr="003776DA">
        <w:t>request</w:t>
      </w:r>
      <w:r w:rsidR="00977C16" w:rsidRPr="00771D2C">
        <w:t xml:space="preserve"> a</w:t>
      </w:r>
      <w:r w:rsidR="00BF427C" w:rsidRPr="00771D2C">
        <w:t>dministrative</w:t>
      </w:r>
      <w:r w:rsidR="00977C16" w:rsidRPr="00771D2C">
        <w:t xml:space="preserve"> </w:t>
      </w:r>
      <w:r w:rsidR="00977C16" w:rsidRPr="003776DA">
        <w:t xml:space="preserve">review of </w:t>
      </w:r>
      <w:r w:rsidR="00977C16">
        <w:t>a</w:t>
      </w:r>
      <w:r w:rsidR="00977C16" w:rsidRPr="003776DA">
        <w:t xml:space="preserve"> decision </w:t>
      </w:r>
      <w:r w:rsidR="00DB17FA">
        <w:t xml:space="preserve">by </w:t>
      </w:r>
      <w:r w:rsidR="00A17461" w:rsidRPr="003776DA">
        <w:t>apply</w:t>
      </w:r>
      <w:r w:rsidR="00DB17FA">
        <w:t>ing</w:t>
      </w:r>
      <w:r w:rsidR="00A17461" w:rsidRPr="003776DA">
        <w:t xml:space="preserve"> to the </w:t>
      </w:r>
      <w:r w:rsidR="00BF427C">
        <w:t>public</w:t>
      </w:r>
      <w:r w:rsidR="00BF427C" w:rsidRPr="003776DA">
        <w:t xml:space="preserve"> </w:t>
      </w:r>
      <w:r w:rsidR="00A17461" w:rsidRPr="00771D2C">
        <w:t>authority concerned</w:t>
      </w:r>
      <w:r w:rsidR="004013AF" w:rsidRPr="00771D2C">
        <w:t xml:space="preserve"> </w:t>
      </w:r>
      <w:r w:rsidR="00A17461" w:rsidRPr="00771D2C">
        <w:t>(see para.</w:t>
      </w:r>
      <w:r w:rsidR="008B4B4B" w:rsidRPr="00771D2C">
        <w:t xml:space="preserve"> </w:t>
      </w:r>
      <w:r w:rsidR="008B4B4B">
        <w:fldChar w:fldCharType="begin"/>
      </w:r>
      <w:r w:rsidR="008B4B4B">
        <w:instrText xml:space="preserve"> REF _Ref74116605 \r \h </w:instrText>
      </w:r>
      <w:r w:rsidR="008B4B4B">
        <w:fldChar w:fldCharType="separate"/>
      </w:r>
      <w:r w:rsidR="009B2E8A">
        <w:rPr>
          <w:cs/>
        </w:rPr>
        <w:t>‎</w:t>
      </w:r>
      <w:r w:rsidR="009B2E8A">
        <w:t>24</w:t>
      </w:r>
      <w:r w:rsidR="008B4B4B">
        <w:fldChar w:fldCharType="end"/>
      </w:r>
      <w:r w:rsidR="008B4B4B" w:rsidRPr="00771D2C">
        <w:t xml:space="preserve"> </w:t>
      </w:r>
      <w:r w:rsidR="00A17461" w:rsidRPr="00771D2C">
        <w:t xml:space="preserve">above). </w:t>
      </w:r>
    </w:p>
    <w:p w14:paraId="7FDBFCB3" w14:textId="75AA1D80" w:rsidR="00A17461" w:rsidRPr="00771D2C" w:rsidRDefault="00A17461" w:rsidP="00771D2C">
      <w:pPr>
        <w:pStyle w:val="NumberedParas"/>
      </w:pPr>
      <w:r w:rsidRPr="00771D2C">
        <w:t xml:space="preserve">The Committee notes that in 2007 </w:t>
      </w:r>
      <w:r w:rsidR="00ED536B" w:rsidRPr="003776DA">
        <w:t>Jihočeské matky</w:t>
      </w:r>
      <w:r w:rsidR="00ED536B">
        <w:t>, one of the communicants,</w:t>
      </w:r>
      <w:r w:rsidR="00ED536B" w:rsidRPr="00771D2C">
        <w:t xml:space="preserve"> </w:t>
      </w:r>
      <w:r w:rsidRPr="00771D2C">
        <w:t xml:space="preserve">had sought administrative review of </w:t>
      </w:r>
      <w:r w:rsidR="00582F41">
        <w:t xml:space="preserve">a </w:t>
      </w:r>
      <w:r w:rsidRPr="003776DA">
        <w:t>SONS</w:t>
      </w:r>
      <w:r w:rsidR="00582F41">
        <w:t xml:space="preserve"> decision</w:t>
      </w:r>
      <w:r w:rsidRPr="003776DA">
        <w:t xml:space="preserve"> </w:t>
      </w:r>
      <w:r w:rsidRPr="00771D2C">
        <w:t xml:space="preserve">that </w:t>
      </w:r>
      <w:r w:rsidR="00ED536B">
        <w:t xml:space="preserve">had decided </w:t>
      </w:r>
      <w:r w:rsidR="00ED536B" w:rsidRPr="00771D2C">
        <w:t xml:space="preserve">that </w:t>
      </w:r>
      <w:r w:rsidR="008B4B4B" w:rsidRPr="003776DA">
        <w:t>Jihočeské matky</w:t>
      </w:r>
      <w:r w:rsidR="00ED536B" w:rsidRPr="00771D2C">
        <w:t xml:space="preserve"> </w:t>
      </w:r>
      <w:r w:rsidRPr="00771D2C">
        <w:t>was not entitled to participate in the administrative procedure</w:t>
      </w:r>
      <w:r w:rsidR="001D5823" w:rsidRPr="00771D2C">
        <w:t xml:space="preserve"> </w:t>
      </w:r>
      <w:r w:rsidR="001D5823">
        <w:t>under the 1997 Atomic Act</w:t>
      </w:r>
      <w:r w:rsidRPr="003776DA">
        <w:t xml:space="preserve"> </w:t>
      </w:r>
      <w:r w:rsidRPr="00771D2C">
        <w:t xml:space="preserve">to grant </w:t>
      </w:r>
      <w:r w:rsidR="001D5823">
        <w:t>a 10-year</w:t>
      </w:r>
      <w:r w:rsidR="005F5602">
        <w:t xml:space="preserve"> extension to </w:t>
      </w:r>
      <w:r w:rsidR="005F5602" w:rsidRPr="00771D2C">
        <w:t xml:space="preserve">the </w:t>
      </w:r>
      <w:r w:rsidRPr="00771D2C">
        <w:t xml:space="preserve">operating </w:t>
      </w:r>
      <w:r w:rsidR="001D5823">
        <w:t xml:space="preserve">permit </w:t>
      </w:r>
      <w:r w:rsidR="005F5602">
        <w:t>for Dukovany reactor 3</w:t>
      </w:r>
      <w:r w:rsidR="00BD49DA" w:rsidRPr="00771D2C">
        <w:t xml:space="preserve"> </w:t>
      </w:r>
      <w:r w:rsidRPr="00771D2C">
        <w:t xml:space="preserve">(see </w:t>
      </w:r>
      <w:r w:rsidRPr="003776DA">
        <w:t xml:space="preserve">para. </w:t>
      </w:r>
      <w:r w:rsidR="004A45DF">
        <w:fldChar w:fldCharType="begin"/>
      </w:r>
      <w:r w:rsidR="004A45DF">
        <w:instrText xml:space="preserve"> REF _Ref6220647 \r \h </w:instrText>
      </w:r>
      <w:r w:rsidR="004A45DF">
        <w:fldChar w:fldCharType="separate"/>
      </w:r>
      <w:r w:rsidR="009B2E8A">
        <w:rPr>
          <w:cs/>
        </w:rPr>
        <w:t>‎</w:t>
      </w:r>
      <w:r w:rsidR="009B2E8A">
        <w:t>30</w:t>
      </w:r>
      <w:r w:rsidR="004A45DF">
        <w:fldChar w:fldCharType="end"/>
      </w:r>
      <w:r w:rsidRPr="00771D2C">
        <w:t xml:space="preserve"> above). The </w:t>
      </w:r>
      <w:r w:rsidR="00D5225F">
        <w:t xml:space="preserve">review of the </w:t>
      </w:r>
      <w:r w:rsidR="00D5225F" w:rsidRPr="00771D2C">
        <w:t>decision</w:t>
      </w:r>
      <w:r w:rsidRPr="00771D2C">
        <w:t xml:space="preserve"> was taken by the President of SONS, the body responsible for</w:t>
      </w:r>
      <w:r w:rsidR="00D55BD6" w:rsidRPr="00771D2C">
        <w:t xml:space="preserve"> taking the decision to grant the </w:t>
      </w:r>
      <w:r w:rsidR="001D5823">
        <w:t xml:space="preserve">10-year </w:t>
      </w:r>
      <w:r w:rsidR="00167F54">
        <w:t>extension</w:t>
      </w:r>
      <w:r w:rsidRPr="00771D2C">
        <w:t>.</w:t>
      </w:r>
    </w:p>
    <w:p w14:paraId="357A6B12" w14:textId="4B088776" w:rsidR="00A17461" w:rsidRPr="00771D2C" w:rsidRDefault="00DF6901" w:rsidP="00771D2C">
      <w:pPr>
        <w:pStyle w:val="NumberedParas"/>
      </w:pPr>
      <w:r w:rsidRPr="00771D2C">
        <w:t>Given that the review by the President of SONS is not independent or impartial from SONS</w:t>
      </w:r>
      <w:r w:rsidR="00B71E40" w:rsidRPr="00771D2C">
        <w:t xml:space="preserve">, </w:t>
      </w:r>
      <w:r w:rsidRPr="00771D2C">
        <w:t xml:space="preserve">this procedure </w:t>
      </w:r>
      <w:r w:rsidR="00B519CE">
        <w:t xml:space="preserve">does </w:t>
      </w:r>
      <w:r w:rsidRPr="00771D2C">
        <w:t>not meet</w:t>
      </w:r>
      <w:r w:rsidR="00B71E40" w:rsidRPr="00771D2C">
        <w:t xml:space="preserve"> </w:t>
      </w:r>
      <w:r w:rsidR="00A17461" w:rsidRPr="00771D2C">
        <w:t xml:space="preserve">the requirement </w:t>
      </w:r>
      <w:r w:rsidR="00B71E40" w:rsidRPr="00771D2C">
        <w:t>in</w:t>
      </w:r>
      <w:r w:rsidR="00A17461" w:rsidRPr="00771D2C">
        <w:t xml:space="preserve"> article 9(2) to provide access to a review procedure before an independent and impartial body established by law.</w:t>
      </w:r>
      <w:r w:rsidR="00431FC2" w:rsidRPr="00771D2C">
        <w:t xml:space="preserve"> </w:t>
      </w:r>
    </w:p>
    <w:p w14:paraId="64DC0C04" w14:textId="5872B3E6" w:rsidR="00431FC2" w:rsidRPr="00771D2C" w:rsidRDefault="007C1516" w:rsidP="00771D2C">
      <w:pPr>
        <w:pStyle w:val="NumberedParas"/>
      </w:pPr>
      <w:r w:rsidRPr="00771D2C">
        <w:t>Since t</w:t>
      </w:r>
      <w:r w:rsidR="00431FC2" w:rsidRPr="00771D2C">
        <w:t xml:space="preserve">he Party concerned has not pointed the Committee to any other independent and impartial body established by law through which members of the public concerned can challenge decisions </w:t>
      </w:r>
      <w:r w:rsidR="008B4B4B" w:rsidRPr="00372DEB">
        <w:t xml:space="preserve">under the 1997 and 2016 Atomic Acts </w:t>
      </w:r>
      <w:r w:rsidR="008B4B4B" w:rsidRPr="00771D2C">
        <w:t>subject to article 6</w:t>
      </w:r>
      <w:r w:rsidR="008B4B4B">
        <w:t xml:space="preserve"> of the Convention</w:t>
      </w:r>
      <w:r w:rsidRPr="00771D2C">
        <w:t xml:space="preserve">, the </w:t>
      </w:r>
      <w:r w:rsidR="00431FC2" w:rsidRPr="00771D2C">
        <w:t xml:space="preserve">Committee examines </w:t>
      </w:r>
      <w:r w:rsidRPr="00771D2C">
        <w:t xml:space="preserve">below the possibility for the public concerned to challenge the indefinite operating </w:t>
      </w:r>
      <w:r w:rsidRPr="00771D2C">
        <w:rPr>
          <w:color w:val="000000"/>
        </w:rPr>
        <w:t xml:space="preserve">permit for Dukovany reactor 1 and the 10-year periodic safety reviews </w:t>
      </w:r>
      <w:r w:rsidR="00431FC2" w:rsidRPr="00771D2C">
        <w:t>before a court of law.</w:t>
      </w:r>
    </w:p>
    <w:p w14:paraId="346A57BF" w14:textId="77777777" w:rsidR="00A17461" w:rsidRPr="00771D2C" w:rsidRDefault="00A17461" w:rsidP="00771D2C">
      <w:pPr>
        <w:pStyle w:val="Heading4"/>
      </w:pPr>
      <w:r w:rsidRPr="00771D2C">
        <w:t>Access to a review procedure before a court of law</w:t>
      </w:r>
    </w:p>
    <w:p w14:paraId="2D34A62E" w14:textId="547AF9D5" w:rsidR="00933074" w:rsidRPr="00771D2C" w:rsidDel="005B2A74" w:rsidRDefault="00126F39" w:rsidP="00771D2C">
      <w:pPr>
        <w:pStyle w:val="NumberedParas"/>
      </w:pPr>
      <w:r>
        <w:t>The Committee notes that the combined effect</w:t>
      </w:r>
      <w:r w:rsidRPr="00C06771">
        <w:rPr>
          <w:rFonts w:ascii="Times New Roman" w:hAnsi="Times New Roman"/>
          <w:color w:val="auto"/>
        </w:rPr>
        <w:t xml:space="preserve"> of </w:t>
      </w:r>
      <w:r>
        <w:t>s</w:t>
      </w:r>
      <w:r w:rsidR="00933074" w:rsidRPr="00933074" w:rsidDel="005B2A74">
        <w:t>ection</w:t>
      </w:r>
      <w:r w:rsidR="00933074" w:rsidRPr="00771D2C" w:rsidDel="005B2A74">
        <w:t xml:space="preserve"> 65(2) of the Code of Administrative Justice </w:t>
      </w:r>
      <w:r>
        <w:t>and</w:t>
      </w:r>
      <w:r w:rsidR="00933074" w:rsidRPr="00771D2C" w:rsidDel="005B2A74">
        <w:t xml:space="preserve"> section 19(1) of the 2016 Atomic Act </w:t>
      </w:r>
      <w:r>
        <w:t xml:space="preserve">(and equivalently previously section 14(1) of the 1997 Atomic Act) </w:t>
      </w:r>
      <w:r w:rsidR="00533850">
        <w:t>is</w:t>
      </w:r>
      <w:r w:rsidR="00533850" w:rsidRPr="00771D2C">
        <w:t xml:space="preserve"> that </w:t>
      </w:r>
      <w:r w:rsidR="00933074" w:rsidRPr="00771D2C" w:rsidDel="005B2A74">
        <w:t xml:space="preserve">only the applicant, but no members of the public concerned, can challenge decisions, acts or omissions in licensing procedures under section 9 of the </w:t>
      </w:r>
      <w:r w:rsidR="007C07D9" w:rsidRPr="00771D2C" w:rsidDel="005B2A74">
        <w:t xml:space="preserve">1997 or 2016 </w:t>
      </w:r>
      <w:r w:rsidR="00933074" w:rsidRPr="00771D2C" w:rsidDel="005B2A74">
        <w:t>Atomic Act</w:t>
      </w:r>
      <w:r w:rsidR="007C07D9" w:rsidRPr="00771D2C" w:rsidDel="005B2A74">
        <w:t>s</w:t>
      </w:r>
      <w:r w:rsidR="00471C34" w:rsidRPr="00771D2C">
        <w:t xml:space="preserve">. </w:t>
      </w:r>
      <w:r w:rsidR="00471C34">
        <w:t>This</w:t>
      </w:r>
      <w:r w:rsidR="00A35FAA">
        <w:t xml:space="preserve"> includes the operation of a nuclear installation and the carrying out of modifications affecting nuclear safety, technical safety and physical protection of a nuclear installation (see paras. </w:t>
      </w:r>
      <w:r w:rsidR="00D6687F">
        <w:fldChar w:fldCharType="begin"/>
      </w:r>
      <w:r w:rsidR="00D6687F">
        <w:instrText xml:space="preserve"> REF _Ref6237272 \r \h </w:instrText>
      </w:r>
      <w:r w:rsidR="00D6687F">
        <w:fldChar w:fldCharType="separate"/>
      </w:r>
      <w:r w:rsidR="009B2E8A">
        <w:rPr>
          <w:cs/>
        </w:rPr>
        <w:t>‎</w:t>
      </w:r>
      <w:r w:rsidR="009B2E8A">
        <w:t>15</w:t>
      </w:r>
      <w:r w:rsidR="00D6687F">
        <w:fldChar w:fldCharType="end"/>
      </w:r>
      <w:r w:rsidR="009B2E8A">
        <w:t xml:space="preserve"> and</w:t>
      </w:r>
      <w:r w:rsidR="00D6687F">
        <w:t xml:space="preserve"> </w:t>
      </w:r>
      <w:r w:rsidR="00D6687F">
        <w:fldChar w:fldCharType="begin"/>
      </w:r>
      <w:r w:rsidR="00D6687F">
        <w:instrText xml:space="preserve"> REF _Ref72491456 \r \h </w:instrText>
      </w:r>
      <w:r w:rsidR="00D6687F">
        <w:fldChar w:fldCharType="separate"/>
      </w:r>
      <w:r w:rsidR="009B2E8A">
        <w:rPr>
          <w:cs/>
        </w:rPr>
        <w:t>‎</w:t>
      </w:r>
      <w:r w:rsidR="009B2E8A">
        <w:t>18</w:t>
      </w:r>
      <w:r w:rsidR="00D6687F">
        <w:fldChar w:fldCharType="end"/>
      </w:r>
      <w:r w:rsidR="00D6687F">
        <w:t xml:space="preserve"> </w:t>
      </w:r>
      <w:r w:rsidR="00A35FAA">
        <w:t>above)</w:t>
      </w:r>
      <w:r w:rsidR="00471C34">
        <w:t xml:space="preserve">. </w:t>
      </w:r>
    </w:p>
    <w:p w14:paraId="3A2BEC4F" w14:textId="03E1DF7A" w:rsidR="009B2E8A" w:rsidRDefault="00A17461" w:rsidP="00465912">
      <w:pPr>
        <w:pStyle w:val="NumberedParas"/>
      </w:pPr>
      <w:r w:rsidRPr="00771D2C">
        <w:t xml:space="preserve">In its findings on communication ACCC/C/2008/31 (Germany) </w:t>
      </w:r>
      <w:r w:rsidR="005E37EA" w:rsidRPr="00771D2C">
        <w:t xml:space="preserve">the Committee found </w:t>
      </w:r>
      <w:r w:rsidRPr="00771D2C">
        <w:t>that</w:t>
      </w:r>
      <w:r w:rsidR="005E37EA" w:rsidRPr="00771D2C">
        <w:t xml:space="preserve">, </w:t>
      </w:r>
      <w:r w:rsidRPr="00771D2C">
        <w:t xml:space="preserve">when there is a clear contradiction between the provisions of national law and the requirements of the Convention it is for the Party concerned to bring evidence to show that </w:t>
      </w:r>
      <w:r w:rsidRPr="00771D2C">
        <w:lastRenderedPageBreak/>
        <w:t>its courts interpret those provisions in conformity with the Convention.</w:t>
      </w:r>
      <w:r w:rsidRPr="00771D2C">
        <w:rPr>
          <w:rStyle w:val="FootnoteReference"/>
        </w:rPr>
        <w:footnoteReference w:id="139"/>
      </w:r>
      <w:r w:rsidRPr="00771D2C">
        <w:t xml:space="preserve"> </w:t>
      </w:r>
      <w:r w:rsidR="00373B0D" w:rsidRPr="00771D2C">
        <w:t xml:space="preserve">In the present case, </w:t>
      </w:r>
      <w:r w:rsidR="000A7028" w:rsidRPr="00771D2C">
        <w:t>t</w:t>
      </w:r>
      <w:r w:rsidR="001657E3" w:rsidRPr="00771D2C">
        <w:t xml:space="preserve">he Party concerned </w:t>
      </w:r>
      <w:r w:rsidR="009B2E8A">
        <w:t>cites</w:t>
      </w:r>
      <w:r w:rsidR="000A7028">
        <w:t xml:space="preserve"> </w:t>
      </w:r>
      <w:r w:rsidR="001657E3">
        <w:t>decision</w:t>
      </w:r>
      <w:r w:rsidR="001657E3" w:rsidRPr="00771D2C">
        <w:t xml:space="preserve"> no</w:t>
      </w:r>
      <w:r w:rsidR="001657E3">
        <w:t xml:space="preserve">. 4 As 157/2013-33 of the Supreme Administrative Court </w:t>
      </w:r>
      <w:r w:rsidR="00465912">
        <w:t>as</w:t>
      </w:r>
      <w:r w:rsidR="00465912" w:rsidRPr="00771D2C">
        <w:t xml:space="preserve"> evidence </w:t>
      </w:r>
      <w:r w:rsidR="00465912">
        <w:t>that</w:t>
      </w:r>
      <w:r w:rsidR="009B2E8A">
        <w:t xml:space="preserve"> members of the public have standing under section 65(1) of the Code of Administrative Code to challenge procedures under the 1997 </w:t>
      </w:r>
      <w:r w:rsidR="009B2E8A" w:rsidRPr="00771D2C">
        <w:t>and</w:t>
      </w:r>
      <w:r w:rsidR="009B2E8A">
        <w:t xml:space="preserve"> 2016 Atomic Acts </w:t>
      </w:r>
      <w:r w:rsidR="00465912">
        <w:t xml:space="preserve">even though they are not a </w:t>
      </w:r>
      <w:r w:rsidR="009B2E8A">
        <w:t>part</w:t>
      </w:r>
      <w:r w:rsidR="00465912">
        <w:t>y</w:t>
      </w:r>
      <w:r w:rsidR="009B2E8A">
        <w:t xml:space="preserve"> to those procedures. </w:t>
      </w:r>
    </w:p>
    <w:p w14:paraId="249085F8" w14:textId="7B2D48B1" w:rsidR="007E1DE6" w:rsidRDefault="009B2E8A" w:rsidP="00465912">
      <w:pPr>
        <w:pStyle w:val="NumberedParas"/>
      </w:pPr>
      <w:r>
        <w:t xml:space="preserve">In its decision no. 4 As 157/2013-33, the Supreme Administrative Court </w:t>
      </w:r>
      <w:r w:rsidR="001657E3">
        <w:t xml:space="preserve">held that participation in an administrative proceeding under the Building Code cannot be stipulated as a condition for the applicant’s standing </w:t>
      </w:r>
      <w:r w:rsidR="00654B8E">
        <w:t xml:space="preserve">under section 65(1) of the Code of Administrative Justice </w:t>
      </w:r>
      <w:r w:rsidR="001657E3">
        <w:t>to bring an action against the decision</w:t>
      </w:r>
      <w:r w:rsidR="000A7028">
        <w:t xml:space="preserve"> resulting from that </w:t>
      </w:r>
      <w:r w:rsidR="00654B8E">
        <w:t xml:space="preserve">administrative </w:t>
      </w:r>
      <w:r w:rsidR="000A7028">
        <w:t>proceeding</w:t>
      </w:r>
      <w:r w:rsidR="001657E3">
        <w:t>.</w:t>
      </w:r>
      <w:r w:rsidR="000A7028">
        <w:t xml:space="preserve"> </w:t>
      </w:r>
      <w:r w:rsidR="00D50F66">
        <w:t xml:space="preserve">However, as the Court </w:t>
      </w:r>
      <w:r w:rsidR="00654B8E">
        <w:t>itself</w:t>
      </w:r>
      <w:r w:rsidR="00D50F66">
        <w:t xml:space="preserve"> states,</w:t>
      </w:r>
      <w:r w:rsidR="00FA0A88">
        <w:rPr>
          <w:rStyle w:val="FootnoteReference"/>
        </w:rPr>
        <w:footnoteReference w:id="140"/>
      </w:r>
      <w:r w:rsidR="00AB7F8F">
        <w:t xml:space="preserve"> the administrative proceeding </w:t>
      </w:r>
      <w:r w:rsidR="00D50F66">
        <w:t xml:space="preserve">under the Building Code in that case </w:t>
      </w:r>
      <w:r w:rsidR="00FA0A88">
        <w:t xml:space="preserve">was subject to the </w:t>
      </w:r>
      <w:r w:rsidR="00AB7F8F">
        <w:t xml:space="preserve">public participation </w:t>
      </w:r>
      <w:r w:rsidR="00FA0A88">
        <w:t xml:space="preserve">provisions of </w:t>
      </w:r>
      <w:r w:rsidR="00AB7F8F">
        <w:t>article 6 of the Convention</w:t>
      </w:r>
      <w:r w:rsidR="00465912">
        <w:t>.</w:t>
      </w:r>
      <w:r>
        <w:t xml:space="preserve"> </w:t>
      </w:r>
      <w:r w:rsidR="00465912">
        <w:t xml:space="preserve">Hence, the requirements of article </w:t>
      </w:r>
      <w:r>
        <w:t>9(2) of the Convention</w:t>
      </w:r>
      <w:r w:rsidR="00465912">
        <w:t xml:space="preserve"> applied in that case</w:t>
      </w:r>
      <w:r w:rsidR="00D50F66">
        <w:t>.</w:t>
      </w:r>
      <w:r>
        <w:t xml:space="preserve"> </w:t>
      </w:r>
      <w:r w:rsidR="00D50F66">
        <w:t xml:space="preserve">In contrast, </w:t>
      </w:r>
      <w:r w:rsidR="00654B8E">
        <w:t xml:space="preserve">the </w:t>
      </w:r>
      <w:r w:rsidR="00B475F2">
        <w:t>core</w:t>
      </w:r>
      <w:r w:rsidR="00654B8E">
        <w:t xml:space="preserve"> of the present communication is </w:t>
      </w:r>
      <w:r w:rsidR="00465912">
        <w:t xml:space="preserve">the Party concerned’s </w:t>
      </w:r>
      <w:r w:rsidR="00FA0A88">
        <w:t xml:space="preserve">position </w:t>
      </w:r>
      <w:r w:rsidR="00B475F2">
        <w:t xml:space="preserve">that </w:t>
      </w:r>
      <w:r w:rsidR="000A7028">
        <w:t xml:space="preserve">article 6 </w:t>
      </w:r>
      <w:r w:rsidR="00B475F2">
        <w:t xml:space="preserve">does not apply to </w:t>
      </w:r>
      <w:r w:rsidR="000A7028">
        <w:t xml:space="preserve">the extension of the </w:t>
      </w:r>
      <w:r w:rsidR="00B475F2">
        <w:t xml:space="preserve">Dukovany NPP’s operating </w:t>
      </w:r>
      <w:r w:rsidR="000A7028">
        <w:t xml:space="preserve">permit for a NPP or to </w:t>
      </w:r>
      <w:r w:rsidR="00B475F2">
        <w:t xml:space="preserve">the 10-year </w:t>
      </w:r>
      <w:r w:rsidR="000A7028">
        <w:t xml:space="preserve">PSRs. </w:t>
      </w:r>
      <w:r w:rsidR="00465912">
        <w:t>The Party concerned cannot thus rely on d</w:t>
      </w:r>
      <w:r w:rsidR="00B475F2">
        <w:t xml:space="preserve">ecision </w:t>
      </w:r>
      <w:r w:rsidR="00654B8E">
        <w:t>no. 4 As 157/2013-33</w:t>
      </w:r>
      <w:r w:rsidR="000A7028">
        <w:t xml:space="preserve"> </w:t>
      </w:r>
      <w:r w:rsidR="00654B8E">
        <w:t xml:space="preserve">of the Supreme Administrative Court </w:t>
      </w:r>
      <w:r w:rsidR="00B475F2">
        <w:t>as</w:t>
      </w:r>
      <w:r w:rsidR="00654B8E">
        <w:t xml:space="preserve"> evidence that members of the public have access </w:t>
      </w:r>
      <w:r w:rsidR="00B475F2">
        <w:t xml:space="preserve">under section 65(1) of the Code of Administrative Justice to challenge </w:t>
      </w:r>
      <w:r w:rsidR="00654B8E">
        <w:t>procedures under the 1997 or 2016 Atomic Acts.</w:t>
      </w:r>
    </w:p>
    <w:p w14:paraId="34F819AE" w14:textId="4DD2A4C8" w:rsidR="00A17461" w:rsidRPr="00771D2C" w:rsidRDefault="008C494C" w:rsidP="00771D2C">
      <w:pPr>
        <w:pStyle w:val="NumberedParas"/>
      </w:pPr>
      <w:r>
        <w:t>Indeed,</w:t>
      </w:r>
      <w:r w:rsidR="00A17461" w:rsidRPr="00771D2C">
        <w:t xml:space="preserve"> the evidence </w:t>
      </w:r>
      <w:r w:rsidR="005E37EA" w:rsidRPr="00771D2C">
        <w:t xml:space="preserve">provided </w:t>
      </w:r>
      <w:r w:rsidR="00A17461" w:rsidRPr="00771D2C">
        <w:t xml:space="preserve">by the communicants clearly indicates that courts of different instances have denied standing to environmental NGOs to challenge </w:t>
      </w:r>
      <w:r w:rsidR="0026352D" w:rsidRPr="00771D2C">
        <w:t xml:space="preserve">decisions taken under the 1997 Atomic Act (see paras. </w:t>
      </w:r>
      <w:r w:rsidR="0026352D">
        <w:fldChar w:fldCharType="begin"/>
      </w:r>
      <w:r w:rsidR="0026352D">
        <w:instrText xml:space="preserve"> REF _Ref66800198 \r \h </w:instrText>
      </w:r>
      <w:r w:rsidR="00862747">
        <w:instrText xml:space="preserve"> \* MERGEFORMAT </w:instrText>
      </w:r>
      <w:r w:rsidR="0026352D">
        <w:fldChar w:fldCharType="separate"/>
      </w:r>
      <w:r w:rsidR="009B2E8A">
        <w:rPr>
          <w:cs/>
        </w:rPr>
        <w:t>‎</w:t>
      </w:r>
      <w:r w:rsidR="009B2E8A">
        <w:t>28</w:t>
      </w:r>
      <w:r w:rsidR="0026352D">
        <w:fldChar w:fldCharType="end"/>
      </w:r>
      <w:r w:rsidR="0026352D" w:rsidRPr="00771D2C">
        <w:t xml:space="preserve"> - </w:t>
      </w:r>
      <w:r w:rsidR="0026352D">
        <w:fldChar w:fldCharType="begin"/>
      </w:r>
      <w:r w:rsidR="0026352D">
        <w:instrText xml:space="preserve"> REF _Ref6247875 \r \h </w:instrText>
      </w:r>
      <w:r w:rsidR="00862747">
        <w:instrText xml:space="preserve"> \* MERGEFORMAT </w:instrText>
      </w:r>
      <w:r w:rsidR="0026352D">
        <w:fldChar w:fldCharType="separate"/>
      </w:r>
      <w:r w:rsidR="009B2E8A">
        <w:rPr>
          <w:cs/>
        </w:rPr>
        <w:t>‎</w:t>
      </w:r>
      <w:r w:rsidR="009B2E8A">
        <w:t>33</w:t>
      </w:r>
      <w:r w:rsidR="0026352D">
        <w:fldChar w:fldCharType="end"/>
      </w:r>
      <w:r w:rsidR="0026352D" w:rsidRPr="00771D2C">
        <w:t xml:space="preserve"> above)</w:t>
      </w:r>
      <w:r w:rsidR="00A17461" w:rsidRPr="00771D2C">
        <w:t>.</w:t>
      </w:r>
      <w:r w:rsidR="007E1DE6">
        <w:t xml:space="preserve"> </w:t>
      </w:r>
      <w:r w:rsidR="0026352D" w:rsidRPr="00771D2C">
        <w:t xml:space="preserve">While no cases have been provided regarding the 2016 Atomic Act, </w:t>
      </w:r>
      <w:r w:rsidR="007C07D9" w:rsidRPr="00771D2C">
        <w:t xml:space="preserve">pursuant to </w:t>
      </w:r>
      <w:r w:rsidR="00823B31">
        <w:t xml:space="preserve">its </w:t>
      </w:r>
      <w:r w:rsidR="007C07D9" w:rsidRPr="00771D2C">
        <w:t>article 19(1</w:t>
      </w:r>
      <w:r w:rsidR="007C07D9" w:rsidRPr="00372DEB">
        <w:t>)</w:t>
      </w:r>
      <w:r w:rsidR="007C07D9" w:rsidRPr="00771D2C">
        <w:t xml:space="preserve"> the applicant remains the sole party to the procedure</w:t>
      </w:r>
      <w:r w:rsidR="0026352D" w:rsidRPr="00771D2C">
        <w:t xml:space="preserve"> and the Party concerned has provided no evidence that there has been a change in the jurisprudence of its courts.</w:t>
      </w:r>
      <w:r w:rsidR="00A17461" w:rsidRPr="00771D2C">
        <w:t xml:space="preserve"> </w:t>
      </w:r>
    </w:p>
    <w:p w14:paraId="2CFE0772" w14:textId="5375E578" w:rsidR="00A17461" w:rsidRDefault="00A17461" w:rsidP="00771D2C">
      <w:pPr>
        <w:pStyle w:val="NumberedParas"/>
      </w:pPr>
      <w:bookmarkStart w:id="44" w:name="_Ref62386258"/>
      <w:r w:rsidRPr="00771D2C">
        <w:t>Based on the foregoing, the Committee finds that</w:t>
      </w:r>
      <w:r w:rsidR="005E37EA" w:rsidRPr="00771D2C">
        <w:t>,</w:t>
      </w:r>
      <w:r w:rsidRPr="00771D2C">
        <w:t xml:space="preserve"> by </w:t>
      </w:r>
      <w:r w:rsidR="007C07D9" w:rsidRPr="00771D2C">
        <w:t xml:space="preserve">failing to provide environmental NGOs with access to a review procedure to challenge the substantive or procedural legality of decisions, acts and omissions under the </w:t>
      </w:r>
      <w:r w:rsidR="0005063E" w:rsidRPr="00771D2C">
        <w:t xml:space="preserve">1997 or </w:t>
      </w:r>
      <w:r w:rsidR="007C07D9" w:rsidRPr="00771D2C">
        <w:t xml:space="preserve">2016 Atomic Act subject to article 6 of the Convention, the Party concerned </w:t>
      </w:r>
      <w:r w:rsidR="00823B31">
        <w:t>fails</w:t>
      </w:r>
      <w:r w:rsidR="007C07D9" w:rsidRPr="00771D2C">
        <w:t xml:space="preserve"> to comply with article 9(2) of the Convention</w:t>
      </w:r>
      <w:r w:rsidRPr="00771D2C">
        <w:t>.</w:t>
      </w:r>
      <w:bookmarkEnd w:id="44"/>
    </w:p>
    <w:p w14:paraId="7D488A35" w14:textId="77777777" w:rsidR="00A17461" w:rsidRPr="00771D2C" w:rsidRDefault="00A17461" w:rsidP="00771D2C">
      <w:pPr>
        <w:pStyle w:val="Heading3"/>
      </w:pPr>
      <w:r w:rsidRPr="00771D2C">
        <w:t xml:space="preserve">Article 3(1) – necessary legislative, regulatory and other measures </w:t>
      </w:r>
    </w:p>
    <w:p w14:paraId="62EAFC74" w14:textId="464D4730" w:rsidR="00A17461" w:rsidRPr="00771D2C" w:rsidRDefault="00A17461" w:rsidP="00771D2C">
      <w:pPr>
        <w:pStyle w:val="NumberedParas"/>
      </w:pPr>
      <w:r w:rsidRPr="00771D2C">
        <w:t xml:space="preserve">Article 3(1) requires each Party to take the necessary legislative, regulatory and other measures to establish and maintain a clear, transparent and consistent framework to implement the provisions of the Convention. </w:t>
      </w:r>
      <w:r w:rsidR="00A404B6" w:rsidRPr="00771D2C">
        <w:t xml:space="preserve">While in </w:t>
      </w:r>
      <w:r w:rsidRPr="00771D2C">
        <w:t>paragraphs</w:t>
      </w:r>
      <w:r w:rsidR="00BE239D" w:rsidRPr="00771D2C">
        <w:t xml:space="preserve"> </w:t>
      </w:r>
      <w:r w:rsidR="00A404B6" w:rsidRPr="00771D2C">
        <w:t xml:space="preserve"> </w:t>
      </w:r>
      <w:r w:rsidRPr="00771D2C">
        <w:t xml:space="preserve">above, the Committee has found that the Party concerned </w:t>
      </w:r>
      <w:r w:rsidR="00A404B6" w:rsidRPr="00771D2C">
        <w:t>fails</w:t>
      </w:r>
      <w:r w:rsidRPr="00771D2C">
        <w:t xml:space="preserve"> </w:t>
      </w:r>
      <w:r w:rsidR="00A404B6" w:rsidRPr="00771D2C">
        <w:t>to</w:t>
      </w:r>
      <w:r w:rsidRPr="00771D2C">
        <w:t xml:space="preserve"> meet the requirements of article 6</w:t>
      </w:r>
      <w:r w:rsidR="00A404B6" w:rsidRPr="00771D2C">
        <w:t>(10)</w:t>
      </w:r>
      <w:r w:rsidRPr="00771D2C">
        <w:t xml:space="preserve"> </w:t>
      </w:r>
      <w:r w:rsidR="00A404B6" w:rsidRPr="00771D2C">
        <w:t>and article 9(2) of the Convention, noncompliance with those provisions does not automatically</w:t>
      </w:r>
      <w:r w:rsidR="00BE239D" w:rsidRPr="00771D2C">
        <w:t xml:space="preserve"> </w:t>
      </w:r>
      <w:r w:rsidR="00A404B6" w:rsidRPr="00771D2C">
        <w:t>result in noncompliance with article 3(1) of the Convention also</w:t>
      </w:r>
      <w:r w:rsidRPr="00771D2C">
        <w:t xml:space="preserve">. </w:t>
      </w:r>
      <w:r w:rsidR="00A404B6" w:rsidRPr="00771D2C">
        <w:t>Rather, the communicant</w:t>
      </w:r>
      <w:r w:rsidR="00BE239D" w:rsidRPr="00771D2C">
        <w:t>s</w:t>
      </w:r>
      <w:r w:rsidR="00A404B6" w:rsidRPr="00771D2C">
        <w:t xml:space="preserve"> would </w:t>
      </w:r>
      <w:r w:rsidR="00BB68E2" w:rsidRPr="00771D2C">
        <w:t xml:space="preserve">need </w:t>
      </w:r>
      <w:r w:rsidR="00A404B6" w:rsidRPr="00771D2C">
        <w:t xml:space="preserve">to show that the legal framework to implement these provisions </w:t>
      </w:r>
      <w:r w:rsidR="00BB68E2" w:rsidRPr="00771D2C">
        <w:t>was</w:t>
      </w:r>
      <w:r w:rsidR="00A404B6" w:rsidRPr="00771D2C">
        <w:t xml:space="preserve"> </w:t>
      </w:r>
      <w:r w:rsidR="00BB68E2" w:rsidRPr="00771D2C">
        <w:t xml:space="preserve">not </w:t>
      </w:r>
      <w:r w:rsidR="00A404B6" w:rsidRPr="00771D2C">
        <w:t xml:space="preserve">clear, transparent or consistent. </w:t>
      </w:r>
      <w:r w:rsidR="00BB68E2" w:rsidRPr="00771D2C">
        <w:t xml:space="preserve">Since no evidence has been provided to the Committee that the Party concerned’s legal framework </w:t>
      </w:r>
      <w:r w:rsidR="00DD6867">
        <w:t xml:space="preserve">is deficient </w:t>
      </w:r>
      <w:r w:rsidR="00BB68E2" w:rsidRPr="00771D2C">
        <w:t xml:space="preserve">in this respect, the Committee finds the allegation that the Party concerned fails to comply with article 3(1) of the Convention to be unsubstantiated. </w:t>
      </w:r>
    </w:p>
    <w:p w14:paraId="0928940F" w14:textId="1DB0E7D0" w:rsidR="006C7522" w:rsidRPr="00771D2C" w:rsidRDefault="00873E39" w:rsidP="00771D2C">
      <w:pPr>
        <w:pStyle w:val="Heading1"/>
        <w:numPr>
          <w:ilvl w:val="0"/>
          <w:numId w:val="0"/>
        </w:numPr>
        <w:ind w:left="851"/>
        <w:rPr>
          <w:rFonts w:ascii="Times New Roman" w:hAnsi="Times New Roman"/>
        </w:rPr>
      </w:pPr>
      <w:r w:rsidRPr="00771D2C">
        <w:rPr>
          <w:rFonts w:ascii="Times New Roman" w:hAnsi="Times New Roman"/>
          <w:sz w:val="24"/>
        </w:rPr>
        <w:lastRenderedPageBreak/>
        <w:t>IV.</w:t>
      </w:r>
      <w:r w:rsidRPr="00771D2C">
        <w:rPr>
          <w:rFonts w:ascii="Times New Roman" w:hAnsi="Times New Roman"/>
          <w:sz w:val="24"/>
        </w:rPr>
        <w:tab/>
      </w:r>
      <w:r w:rsidR="006C7522" w:rsidRPr="00771D2C">
        <w:rPr>
          <w:rFonts w:ascii="Times New Roman" w:hAnsi="Times New Roman"/>
        </w:rPr>
        <w:t>Conclusions and recommendations</w:t>
      </w:r>
    </w:p>
    <w:p w14:paraId="74C4C037" w14:textId="77777777" w:rsidR="006C7522" w:rsidRPr="00771D2C" w:rsidRDefault="006C7522" w:rsidP="00771D2C">
      <w:pPr>
        <w:pStyle w:val="NumberedParas"/>
      </w:pPr>
      <w:r w:rsidRPr="00771D2C">
        <w:t>Having considered the above, the Committee adopts the findings and recommendations set out in the following paragraphs:</w:t>
      </w:r>
    </w:p>
    <w:p w14:paraId="3B0EE3BC" w14:textId="77777777" w:rsidR="006C7522" w:rsidRPr="00771D2C" w:rsidRDefault="006C7522" w:rsidP="00771D2C">
      <w:pPr>
        <w:pStyle w:val="Heading2"/>
        <w:numPr>
          <w:ilvl w:val="0"/>
          <w:numId w:val="23"/>
        </w:numPr>
      </w:pPr>
      <w:r w:rsidRPr="00771D2C">
        <w:t>Main findings with regard to non-compliance</w:t>
      </w:r>
    </w:p>
    <w:p w14:paraId="47418F1D" w14:textId="69AE0379" w:rsidR="006C7522" w:rsidRPr="00771D2C" w:rsidRDefault="006C7522" w:rsidP="00771D2C">
      <w:pPr>
        <w:pStyle w:val="NumberedParas"/>
      </w:pPr>
      <w:r w:rsidRPr="00771D2C">
        <w:t>The Committee finds that:</w:t>
      </w:r>
    </w:p>
    <w:p w14:paraId="35A3A943" w14:textId="644ADABC" w:rsidR="002E673A" w:rsidRPr="00771D2C" w:rsidRDefault="002E673A" w:rsidP="00771D2C">
      <w:pPr>
        <w:pStyle w:val="NumberedParas"/>
        <w:numPr>
          <w:ilvl w:val="1"/>
          <w:numId w:val="28"/>
        </w:numPr>
        <w:ind w:left="851" w:firstLine="708"/>
      </w:pPr>
      <w:r w:rsidRPr="00771D2C">
        <w:t xml:space="preserve">By not providing for public participation meeting the requirements of article 6(2)-(9) in the decision-making to grant the first reactor of Dukovany NPP an indefinite operating permit, the Party concerned failed to comply with article 6(10) of the Convention;   </w:t>
      </w:r>
    </w:p>
    <w:p w14:paraId="3AFFF655" w14:textId="42350009" w:rsidR="003E3A7B" w:rsidRPr="00771D2C" w:rsidRDefault="003E3A7B" w:rsidP="00771D2C">
      <w:pPr>
        <w:pStyle w:val="NumberedParas"/>
        <w:numPr>
          <w:ilvl w:val="1"/>
          <w:numId w:val="28"/>
        </w:numPr>
        <w:ind w:left="851" w:firstLine="708"/>
      </w:pPr>
      <w:r>
        <w:rPr>
          <w:rFonts w:cstheme="majorBidi"/>
          <w:szCs w:val="20"/>
        </w:rPr>
        <w:t>B</w:t>
      </w:r>
      <w:r w:rsidRPr="003776DA">
        <w:rPr>
          <w:rFonts w:cstheme="majorBidi"/>
          <w:szCs w:val="20"/>
        </w:rPr>
        <w:t xml:space="preserve">y </w:t>
      </w:r>
      <w:r w:rsidR="00DD6867">
        <w:t>establishing a legal framework that does</w:t>
      </w:r>
      <w:r w:rsidR="00DD6867" w:rsidRPr="003776DA">
        <w:rPr>
          <w:rFonts w:cstheme="majorBidi"/>
          <w:szCs w:val="20"/>
        </w:rPr>
        <w:t xml:space="preserve"> </w:t>
      </w:r>
      <w:r w:rsidRPr="003776DA">
        <w:rPr>
          <w:rFonts w:cstheme="majorBidi"/>
          <w:szCs w:val="20"/>
        </w:rPr>
        <w:t xml:space="preserve">not </w:t>
      </w:r>
      <w:r w:rsidR="00DD6867" w:rsidRPr="003776DA">
        <w:rPr>
          <w:rFonts w:cstheme="majorBidi"/>
          <w:szCs w:val="20"/>
        </w:rPr>
        <w:t>provid</w:t>
      </w:r>
      <w:r w:rsidR="00DD6867">
        <w:rPr>
          <w:rFonts w:cstheme="majorBidi"/>
          <w:szCs w:val="20"/>
        </w:rPr>
        <w:t>e</w:t>
      </w:r>
      <w:r w:rsidR="00DD6867" w:rsidRPr="00771D2C">
        <w:t xml:space="preserve"> </w:t>
      </w:r>
      <w:r w:rsidRPr="00771D2C">
        <w:t xml:space="preserve">for public participation meeting the requirements of article 6(2)-(9) in the 10-year periodic safety reviews for the first reactor of the Dukovany NPP, the Party concerned fails to comply with article 6(10) of the Convention.   </w:t>
      </w:r>
    </w:p>
    <w:p w14:paraId="3F1002DE" w14:textId="280C4953" w:rsidR="007C07D9" w:rsidRDefault="007C07D9" w:rsidP="00771D2C">
      <w:pPr>
        <w:pStyle w:val="NumberedParas"/>
        <w:numPr>
          <w:ilvl w:val="1"/>
          <w:numId w:val="28"/>
        </w:numPr>
        <w:ind w:left="851" w:firstLine="708"/>
      </w:pPr>
      <w:r w:rsidRPr="00771D2C">
        <w:t xml:space="preserve">By failing to provide environmental NGOs with access to a review procedure to challenge the substantive or procedural legality of decisions, acts and omissions under the </w:t>
      </w:r>
      <w:r w:rsidR="0005063E" w:rsidRPr="00771D2C">
        <w:t xml:space="preserve">1997 </w:t>
      </w:r>
      <w:r w:rsidR="004013AF">
        <w:rPr>
          <w:szCs w:val="20"/>
        </w:rPr>
        <w:t>and</w:t>
      </w:r>
      <w:r w:rsidR="004013AF" w:rsidRPr="00771D2C">
        <w:t xml:space="preserve"> </w:t>
      </w:r>
      <w:r w:rsidRPr="00771D2C">
        <w:t xml:space="preserve">2016 Atomic Act subject to article 6 of the Convention, the Party concerned </w:t>
      </w:r>
      <w:r w:rsidR="00823B31">
        <w:rPr>
          <w:rFonts w:cstheme="majorBidi"/>
          <w:szCs w:val="20"/>
        </w:rPr>
        <w:t>fails</w:t>
      </w:r>
      <w:r w:rsidRPr="00771D2C">
        <w:t xml:space="preserve"> to comply with article 9(2) of the Convention.</w:t>
      </w:r>
    </w:p>
    <w:p w14:paraId="78193747" w14:textId="2BA67BC5" w:rsidR="006C7522" w:rsidRPr="00771D2C" w:rsidRDefault="006C7522" w:rsidP="00771D2C">
      <w:pPr>
        <w:pStyle w:val="Heading2"/>
      </w:pPr>
      <w:r w:rsidRPr="00771D2C">
        <w:tab/>
        <w:t>Recommendations</w:t>
      </w:r>
    </w:p>
    <w:p w14:paraId="7A6A9A1F" w14:textId="741407BE" w:rsidR="006C7522" w:rsidRPr="00771D2C" w:rsidRDefault="006C7522" w:rsidP="00771D2C">
      <w:pPr>
        <w:pStyle w:val="NumberedParas"/>
      </w:pPr>
      <w:r w:rsidRPr="00771D2C">
        <w:t xml:space="preserve">The Committee pursuant to paragraph 36 (b) of the annex to decision I/7 of the Meeting of the Parties, and [noting the agreement of the Party concerned that the Committee take the measures requested in paragraph 37 (b) of the annex to decision I/7,] </w:t>
      </w:r>
      <w:r w:rsidR="00632250" w:rsidRPr="00771D2C">
        <w:t xml:space="preserve">recommends that the Party concerned </w:t>
      </w:r>
      <w:r w:rsidR="00067D34" w:rsidRPr="00771D2C">
        <w:t>take the necessary legislative, regulatory, administrative or other procedures to ensure that:</w:t>
      </w:r>
    </w:p>
    <w:p w14:paraId="1A010908" w14:textId="5910EAC1" w:rsidR="00067D34" w:rsidRPr="00771D2C" w:rsidRDefault="0014007A" w:rsidP="00771D2C">
      <w:pPr>
        <w:pStyle w:val="NumberedParas"/>
        <w:numPr>
          <w:ilvl w:val="1"/>
          <w:numId w:val="29"/>
        </w:numPr>
        <w:ind w:left="851" w:firstLine="850"/>
      </w:pPr>
      <w:r w:rsidRPr="00771D2C">
        <w:t>Whe</w:t>
      </w:r>
      <w:r w:rsidR="009C7310" w:rsidRPr="00771D2C">
        <w:t>n</w:t>
      </w:r>
      <w:r w:rsidRPr="00771D2C">
        <w:t xml:space="preserve"> </w:t>
      </w:r>
      <w:r w:rsidR="00632250" w:rsidRPr="00771D2C">
        <w:t xml:space="preserve">the operating conditions of a permit issued under the 1997 or 2016 Atomic Act or any subsequent legislation are reconsidered within the meaning of article 6(10) of the Convention, the provisions of article 6(2)-(9) will be applied mutatis mutandis and where appropriate, bearing in mind the objectives of the Convention. This includes, but is not limited to, the reconsideration of </w:t>
      </w:r>
      <w:r w:rsidR="00AF1D0D" w:rsidRPr="00771D2C">
        <w:t>the duration of the permit or a periodic safety review</w:t>
      </w:r>
      <w:r w:rsidR="00067D34" w:rsidRPr="00771D2C">
        <w:t>.</w:t>
      </w:r>
    </w:p>
    <w:p w14:paraId="2479FC52" w14:textId="35AACE44" w:rsidR="00067D34" w:rsidRPr="00771D2C" w:rsidRDefault="00AF1D0D" w:rsidP="00771D2C">
      <w:pPr>
        <w:pStyle w:val="NumberedParas"/>
        <w:numPr>
          <w:ilvl w:val="1"/>
          <w:numId w:val="29"/>
        </w:numPr>
        <w:ind w:left="851" w:firstLine="850"/>
      </w:pPr>
      <w:r w:rsidRPr="00771D2C">
        <w:t>Members of the public concerned meeting the requirements of article 9(2), including environmental NGOs,</w:t>
      </w:r>
      <w:r w:rsidR="0014007A" w:rsidRPr="00771D2C">
        <w:t xml:space="preserve"> have access </w:t>
      </w:r>
      <w:r w:rsidR="00067D34" w:rsidRPr="00771D2C">
        <w:t xml:space="preserve">to a review procedure to challenge the substantive or procedural legality of decisions, acts and omissions </w:t>
      </w:r>
      <w:r w:rsidR="0014007A" w:rsidRPr="00771D2C">
        <w:t xml:space="preserve">under the </w:t>
      </w:r>
      <w:r w:rsidR="00632250" w:rsidRPr="00771D2C">
        <w:t xml:space="preserve">1997 or </w:t>
      </w:r>
      <w:r w:rsidR="0014007A" w:rsidRPr="00771D2C">
        <w:t>2016 Atomic Act</w:t>
      </w:r>
      <w:r w:rsidR="00372DEB">
        <w:t>,</w:t>
      </w:r>
      <w:r w:rsidR="00632250" w:rsidRPr="00771D2C">
        <w:t xml:space="preserve"> </w:t>
      </w:r>
      <w:r w:rsidR="0014007A" w:rsidRPr="00771D2C">
        <w:t xml:space="preserve">or any </w:t>
      </w:r>
      <w:r w:rsidR="00632250" w:rsidRPr="00771D2C">
        <w:t xml:space="preserve">subsequent </w:t>
      </w:r>
      <w:r w:rsidR="0014007A" w:rsidRPr="00771D2C">
        <w:t>legislation</w:t>
      </w:r>
      <w:r w:rsidR="00372DEB">
        <w:t>,</w:t>
      </w:r>
      <w:r w:rsidR="0014007A" w:rsidRPr="00771D2C">
        <w:t xml:space="preserve"> that are subject to the provisions of article 6 of the Convention. </w:t>
      </w:r>
    </w:p>
    <w:p w14:paraId="289C19AE" w14:textId="5D02D754" w:rsidR="00067D34" w:rsidRPr="00771D2C" w:rsidRDefault="00067D34" w:rsidP="00771D2C">
      <w:pPr>
        <w:tabs>
          <w:tab w:val="right" w:pos="567"/>
        </w:tabs>
        <w:suppressAutoHyphens/>
        <w:spacing w:line="240" w:lineRule="atLeast"/>
        <w:ind w:left="1134"/>
        <w:jc w:val="both"/>
      </w:pPr>
    </w:p>
    <w:p w14:paraId="2EDB1994" w14:textId="77777777" w:rsidR="000208B8" w:rsidRPr="00771D2C" w:rsidRDefault="000208B8" w:rsidP="000208B8">
      <w:pPr>
        <w:pStyle w:val="SingleTxtG"/>
        <w:tabs>
          <w:tab w:val="right" w:pos="567"/>
        </w:tabs>
        <w:ind w:right="0"/>
        <w:jc w:val="center"/>
        <w:rPr>
          <w:lang w:val="en-GB"/>
        </w:rPr>
      </w:pPr>
    </w:p>
    <w:p w14:paraId="602FA571" w14:textId="2ECAA2FA" w:rsidR="006A2002" w:rsidRPr="00771D2C" w:rsidRDefault="006C7522" w:rsidP="003130AB">
      <w:pPr>
        <w:pStyle w:val="SingleTxtG"/>
        <w:tabs>
          <w:tab w:val="right" w:pos="567"/>
        </w:tabs>
        <w:ind w:right="0"/>
        <w:jc w:val="center"/>
        <w:rPr>
          <w:lang w:val="en-GB"/>
        </w:rPr>
      </w:pPr>
      <w:r w:rsidRPr="00771D2C">
        <w:rPr>
          <w:lang w:val="en-GB"/>
        </w:rPr>
        <w:t>__________</w:t>
      </w:r>
    </w:p>
    <w:sectPr w:rsidR="006A2002" w:rsidRPr="00771D2C" w:rsidSect="00C163DD">
      <w:headerReference w:type="even" r:id="rId11"/>
      <w:headerReference w:type="default" r:id="rId12"/>
      <w:footerReference w:type="even" r:id="rId13"/>
      <w:footerReference w:type="default" r:id="rId14"/>
      <w:headerReference w:type="first" r:id="rId15"/>
      <w:footerReference w:type="first" r:id="rId16"/>
      <w:endnotePr>
        <w:numFmt w:val="decimal"/>
      </w:endnotePr>
      <w:pgSz w:w="11907" w:h="16840" w:code="9"/>
      <w:pgMar w:top="1440" w:right="1440" w:bottom="1440" w:left="1440" w:header="1134" w:footer="1701"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23851D" w14:textId="77777777" w:rsidR="00E112EA" w:rsidRDefault="00E112EA"/>
    <w:p w14:paraId="6EB69D26" w14:textId="77777777" w:rsidR="00E112EA" w:rsidRDefault="00E112EA"/>
  </w:endnote>
  <w:endnote w:type="continuationSeparator" w:id="0">
    <w:p w14:paraId="1560BD96" w14:textId="77777777" w:rsidR="00E112EA" w:rsidRDefault="00E112EA"/>
    <w:p w14:paraId="3B55DC10" w14:textId="77777777" w:rsidR="00E112EA" w:rsidRDefault="00E112EA"/>
  </w:endnote>
  <w:endnote w:type="continuationNotice" w:id="1">
    <w:p w14:paraId="51AB8E28" w14:textId="77777777" w:rsidR="00E112EA" w:rsidRDefault="00E112EA"/>
    <w:p w14:paraId="3D797C3C" w14:textId="77777777" w:rsidR="00E112EA" w:rsidRDefault="00E112E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64E388" w14:textId="77777777" w:rsidR="00C06771" w:rsidRPr="0023575C" w:rsidRDefault="00C06771" w:rsidP="0023575C">
    <w:pPr>
      <w:pStyle w:val="Footer"/>
      <w:tabs>
        <w:tab w:val="right" w:pos="9638"/>
      </w:tabs>
      <w:rPr>
        <w:sz w:val="18"/>
      </w:rPr>
    </w:pPr>
    <w:r w:rsidRPr="0023575C">
      <w:rPr>
        <w:b/>
        <w:sz w:val="18"/>
      </w:rPr>
      <w:fldChar w:fldCharType="begin"/>
    </w:r>
    <w:r w:rsidRPr="0023575C">
      <w:rPr>
        <w:b/>
        <w:sz w:val="18"/>
      </w:rPr>
      <w:instrText xml:space="preserve"> PAGE  \* MERGEFORMAT </w:instrText>
    </w:r>
    <w:r w:rsidRPr="0023575C">
      <w:rPr>
        <w:b/>
        <w:sz w:val="18"/>
      </w:rPr>
      <w:fldChar w:fldCharType="separate"/>
    </w:r>
    <w:r>
      <w:rPr>
        <w:b/>
        <w:noProof/>
        <w:sz w:val="18"/>
      </w:rPr>
      <w:t>10</w:t>
    </w:r>
    <w:r w:rsidRPr="0023575C">
      <w:rPr>
        <w:b/>
        <w:sz w:val="18"/>
      </w:rPr>
      <w:fldChar w:fldCharType="end"/>
    </w:r>
    <w:r>
      <w:rPr>
        <w:sz w:val="18"/>
      </w:rPr>
      <w:tab/>
    </w:r>
  </w:p>
  <w:p w14:paraId="70D5959B" w14:textId="77777777" w:rsidR="00C06771" w:rsidRDefault="00C0677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BD80CB" w14:textId="47F9530C" w:rsidR="00C06771" w:rsidRPr="0023575C" w:rsidRDefault="00C06771" w:rsidP="0023575C">
    <w:pPr>
      <w:pStyle w:val="Footer"/>
      <w:tabs>
        <w:tab w:val="right" w:pos="9638"/>
      </w:tabs>
      <w:rPr>
        <w:b/>
        <w:sz w:val="18"/>
      </w:rPr>
    </w:pPr>
    <w:r>
      <w:tab/>
    </w:r>
    <w:r w:rsidRPr="0023575C">
      <w:rPr>
        <w:b/>
        <w:sz w:val="18"/>
      </w:rPr>
      <w:fldChar w:fldCharType="begin"/>
    </w:r>
    <w:r w:rsidRPr="0023575C">
      <w:rPr>
        <w:b/>
        <w:sz w:val="18"/>
      </w:rPr>
      <w:instrText xml:space="preserve"> PAGE  \* MERGEFORMAT </w:instrText>
    </w:r>
    <w:r w:rsidRPr="0023575C">
      <w:rPr>
        <w:b/>
        <w:sz w:val="18"/>
      </w:rPr>
      <w:fldChar w:fldCharType="separate"/>
    </w:r>
    <w:r>
      <w:rPr>
        <w:b/>
        <w:noProof/>
        <w:sz w:val="18"/>
      </w:rPr>
      <w:t>23</w:t>
    </w:r>
    <w:r w:rsidRPr="0023575C">
      <w:rPr>
        <w:b/>
        <w:sz w:val="18"/>
      </w:rPr>
      <w:fldChar w:fldCharType="end"/>
    </w:r>
  </w:p>
  <w:p w14:paraId="7286A0E6" w14:textId="77777777" w:rsidR="00C06771" w:rsidRDefault="00C06771"/>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1805D1" w14:textId="77777777" w:rsidR="00C06771" w:rsidRPr="00771D2C" w:rsidRDefault="00C06771">
    <w:pPr>
      <w:pStyle w:val="Footer"/>
    </w:pPr>
    <w:r w:rsidRPr="00C55B35">
      <w:rPr>
        <w:noProof/>
        <w:lang w:val="sv-SE"/>
      </w:rPr>
      <w:drawing>
        <wp:anchor distT="0" distB="0" distL="114300" distR="114300" simplePos="0" relativeHeight="251657728" behindDoc="0" locked="1" layoutInCell="1" allowOverlap="1" wp14:anchorId="66E5B5A5" wp14:editId="157674B4">
          <wp:simplePos x="0" y="0"/>
          <wp:positionH relativeFrom="column">
            <wp:posOffset>5148580</wp:posOffset>
          </wp:positionH>
          <wp:positionV relativeFrom="paragraph">
            <wp:posOffset>-114935</wp:posOffset>
          </wp:positionV>
          <wp:extent cx="930275" cy="230505"/>
          <wp:effectExtent l="0" t="0" r="0" b="0"/>
          <wp:wrapNone/>
          <wp:docPr id="2"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2305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71D2C">
      <w:t>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37E1A4" w14:textId="77777777" w:rsidR="00E112EA" w:rsidRPr="000B175B" w:rsidRDefault="00E112EA" w:rsidP="000B175B">
      <w:pPr>
        <w:tabs>
          <w:tab w:val="right" w:pos="2155"/>
        </w:tabs>
        <w:spacing w:after="80"/>
        <w:ind w:left="680"/>
        <w:rPr>
          <w:u w:val="single"/>
        </w:rPr>
      </w:pPr>
      <w:r>
        <w:rPr>
          <w:u w:val="single"/>
        </w:rPr>
        <w:tab/>
      </w:r>
    </w:p>
    <w:p w14:paraId="7DD84144" w14:textId="77777777" w:rsidR="00E112EA" w:rsidRDefault="00E112EA"/>
  </w:footnote>
  <w:footnote w:type="continuationSeparator" w:id="0">
    <w:p w14:paraId="5A98029D" w14:textId="77777777" w:rsidR="00E112EA" w:rsidRPr="00FC68B7" w:rsidRDefault="00E112EA" w:rsidP="00FC68B7">
      <w:pPr>
        <w:tabs>
          <w:tab w:val="left" w:pos="2155"/>
        </w:tabs>
        <w:spacing w:after="80"/>
        <w:ind w:left="680"/>
        <w:rPr>
          <w:u w:val="single"/>
        </w:rPr>
      </w:pPr>
      <w:r>
        <w:rPr>
          <w:u w:val="single"/>
        </w:rPr>
        <w:tab/>
      </w:r>
    </w:p>
    <w:p w14:paraId="14A9157B" w14:textId="77777777" w:rsidR="00E112EA" w:rsidRDefault="00E112EA"/>
  </w:footnote>
  <w:footnote w:type="continuationNotice" w:id="1">
    <w:p w14:paraId="50C43E9F" w14:textId="77777777" w:rsidR="00E112EA" w:rsidRDefault="00E112EA"/>
    <w:p w14:paraId="13A33361" w14:textId="77777777" w:rsidR="00E112EA" w:rsidRDefault="00E112EA"/>
  </w:footnote>
  <w:footnote w:id="2">
    <w:p w14:paraId="7C67D73B" w14:textId="5D8FF1DF" w:rsidR="00C06771" w:rsidRPr="00771D2C" w:rsidRDefault="00C06771" w:rsidP="00771D2C">
      <w:pPr>
        <w:pStyle w:val="Footnotes"/>
        <w:ind w:left="993"/>
      </w:pPr>
      <w:r w:rsidRPr="00771D2C">
        <w:rPr>
          <w:rStyle w:val="FootnoteReference"/>
        </w:rPr>
        <w:footnoteRef/>
      </w:r>
      <w:r w:rsidRPr="00771D2C">
        <w:t xml:space="preserve"> This section summarizes only the main facts, evidence and issues considered to be relevant to the question of compliance, as presented to and considered by the Committee.</w:t>
      </w:r>
    </w:p>
  </w:footnote>
  <w:footnote w:id="3">
    <w:p w14:paraId="79452889" w14:textId="4CE5C67F" w:rsidR="00C06771" w:rsidRPr="00771D2C" w:rsidRDefault="00C06771" w:rsidP="00771D2C">
      <w:pPr>
        <w:pStyle w:val="Footnotes"/>
        <w:ind w:left="993"/>
        <w:rPr>
          <w:rFonts w:cstheme="majorBidi"/>
          <w:lang w:val="fr-CH"/>
        </w:rPr>
      </w:pPr>
      <w:r w:rsidRPr="00771D2C">
        <w:rPr>
          <w:rStyle w:val="FootnoteReference"/>
        </w:rPr>
        <w:footnoteRef/>
      </w:r>
      <w:r w:rsidRPr="00771D2C">
        <w:rPr>
          <w:rFonts w:cstheme="majorBidi"/>
          <w:lang w:val="fr-CH"/>
        </w:rPr>
        <w:t xml:space="preserve"> Communication, annex 4, p. 19.</w:t>
      </w:r>
    </w:p>
  </w:footnote>
  <w:footnote w:id="4">
    <w:p w14:paraId="3AE23FB1" w14:textId="01672CBE" w:rsidR="00C06771" w:rsidRPr="00771D2C" w:rsidRDefault="00C06771" w:rsidP="00771D2C">
      <w:pPr>
        <w:pStyle w:val="Footnotes"/>
        <w:ind w:left="993"/>
      </w:pPr>
      <w:r w:rsidRPr="00771D2C">
        <w:rPr>
          <w:rStyle w:val="FootnoteReference"/>
        </w:rPr>
        <w:footnoteRef/>
      </w:r>
      <w:r w:rsidRPr="00771D2C">
        <w:rPr>
          <w:rFonts w:cstheme="majorBidi"/>
          <w:lang w:val="fr-CH"/>
        </w:rPr>
        <w:t xml:space="preserve"> Communication, para. </w:t>
      </w:r>
      <w:r w:rsidRPr="00771D2C">
        <w:t>9, and annex 4, p. 23.</w:t>
      </w:r>
    </w:p>
  </w:footnote>
  <w:footnote w:id="5">
    <w:p w14:paraId="16F42FAB" w14:textId="4249FBD2" w:rsidR="00C06771" w:rsidRPr="00771D2C" w:rsidRDefault="00C06771" w:rsidP="00771D2C">
      <w:pPr>
        <w:pStyle w:val="Footnotes"/>
        <w:ind w:left="993"/>
      </w:pPr>
      <w:r w:rsidRPr="00771D2C">
        <w:rPr>
          <w:rStyle w:val="FootnoteReference"/>
        </w:rPr>
        <w:footnoteRef/>
      </w:r>
      <w:r w:rsidRPr="00771D2C">
        <w:t xml:space="preserve"> Communication, para. 4, and annex 4, p. 24.</w:t>
      </w:r>
    </w:p>
  </w:footnote>
  <w:footnote w:id="6">
    <w:p w14:paraId="455ACC76" w14:textId="6D64334C" w:rsidR="00C06771" w:rsidRPr="00771D2C" w:rsidRDefault="00C06771" w:rsidP="00FA0A88">
      <w:pPr>
        <w:pStyle w:val="Footnotes"/>
        <w:ind w:left="993"/>
        <w:rPr>
          <w:rFonts w:cstheme="majorBidi"/>
        </w:rPr>
      </w:pPr>
      <w:r w:rsidRPr="00771D2C">
        <w:rPr>
          <w:rStyle w:val="FootnoteReference"/>
          <w:rFonts w:cstheme="majorBidi"/>
          <w:szCs w:val="18"/>
        </w:rPr>
        <w:footnoteRef/>
      </w:r>
      <w:r w:rsidRPr="00771D2C">
        <w:rPr>
          <w:rFonts w:cstheme="majorBidi"/>
        </w:rPr>
        <w:t xml:space="preserve"> Communication, para. 4, annex 3, p. 1, and letter from communicant OEKOBUERO, annex, p. 1.</w:t>
      </w:r>
    </w:p>
  </w:footnote>
  <w:footnote w:id="7">
    <w:p w14:paraId="537B74B1" w14:textId="6EE7776C" w:rsidR="00C06771" w:rsidRPr="00771D2C" w:rsidRDefault="00C06771" w:rsidP="00771D2C">
      <w:pPr>
        <w:pStyle w:val="Footnotes"/>
        <w:ind w:left="993"/>
      </w:pPr>
      <w:r w:rsidRPr="00771D2C">
        <w:rPr>
          <w:rStyle w:val="FootnoteReference"/>
        </w:rPr>
        <w:footnoteRef/>
      </w:r>
      <w:r w:rsidRPr="00771D2C">
        <w:t xml:space="preserve"> Communication, para. 9, and annex 3, p. 1.</w:t>
      </w:r>
    </w:p>
  </w:footnote>
  <w:footnote w:id="8">
    <w:p w14:paraId="32DD2058" w14:textId="00042DAB" w:rsidR="00C06771" w:rsidRPr="00771D2C" w:rsidRDefault="00C06771" w:rsidP="00771D2C">
      <w:pPr>
        <w:pStyle w:val="Footnotes"/>
        <w:ind w:left="993"/>
      </w:pPr>
      <w:r w:rsidRPr="00771D2C">
        <w:rPr>
          <w:rStyle w:val="FootnoteReference"/>
        </w:rPr>
        <w:footnoteRef/>
      </w:r>
      <w:r w:rsidRPr="00771D2C">
        <w:t xml:space="preserve"> Communication, para. 4, and annex 3, p. 1.</w:t>
      </w:r>
    </w:p>
  </w:footnote>
  <w:footnote w:id="9">
    <w:p w14:paraId="382A4E58" w14:textId="3B5897B1" w:rsidR="00C06771" w:rsidRPr="00771D2C" w:rsidRDefault="00C06771" w:rsidP="00771D2C">
      <w:pPr>
        <w:pStyle w:val="Footnotes"/>
        <w:ind w:left="993"/>
        <w:rPr>
          <w:rFonts w:cstheme="majorBidi"/>
          <w:lang w:val="fr-CH"/>
        </w:rPr>
      </w:pPr>
      <w:r w:rsidRPr="00771D2C">
        <w:rPr>
          <w:rStyle w:val="FootnoteReference"/>
        </w:rPr>
        <w:footnoteRef/>
      </w:r>
      <w:r w:rsidRPr="00771D2C">
        <w:rPr>
          <w:rFonts w:cstheme="majorBidi"/>
          <w:lang w:val="fr-CH"/>
        </w:rPr>
        <w:t xml:space="preserve"> Communication, para. 8, and annex 3, p. 1.</w:t>
      </w:r>
    </w:p>
  </w:footnote>
  <w:footnote w:id="10">
    <w:p w14:paraId="14EBE165" w14:textId="2814D020" w:rsidR="00C06771" w:rsidRPr="00771D2C" w:rsidRDefault="00C06771" w:rsidP="00FA0A88">
      <w:pPr>
        <w:pStyle w:val="Footnotes"/>
        <w:ind w:left="993"/>
        <w:rPr>
          <w:rFonts w:cstheme="majorBidi"/>
        </w:rPr>
      </w:pPr>
      <w:r w:rsidRPr="00771D2C">
        <w:rPr>
          <w:rStyle w:val="FootnoteReference"/>
          <w:rFonts w:cstheme="majorBidi"/>
          <w:szCs w:val="18"/>
        </w:rPr>
        <w:footnoteRef/>
      </w:r>
      <w:r w:rsidRPr="00771D2C">
        <w:rPr>
          <w:rFonts w:cstheme="majorBidi"/>
          <w:lang w:val="fr-CH"/>
        </w:rPr>
        <w:t xml:space="preserve"> Communication, para. </w:t>
      </w:r>
      <w:r w:rsidRPr="00771D2C">
        <w:rPr>
          <w:rFonts w:cstheme="majorBidi"/>
        </w:rPr>
        <w:t>33, and annex 3 to the communication, p. 1.</w:t>
      </w:r>
    </w:p>
  </w:footnote>
  <w:footnote w:id="11">
    <w:p w14:paraId="35341538" w14:textId="765D4ADF" w:rsidR="00C06771" w:rsidRPr="00771D2C" w:rsidRDefault="00C06771" w:rsidP="00FA0A88">
      <w:pPr>
        <w:pStyle w:val="Footnotes"/>
        <w:ind w:left="993"/>
        <w:rPr>
          <w:rFonts w:cstheme="majorBidi"/>
          <w:lang w:val="en-US"/>
        </w:rPr>
      </w:pPr>
      <w:r w:rsidRPr="00771D2C">
        <w:rPr>
          <w:rStyle w:val="FootnoteReference"/>
          <w:rFonts w:cstheme="majorBidi"/>
          <w:szCs w:val="18"/>
        </w:rPr>
        <w:footnoteRef/>
      </w:r>
      <w:r w:rsidRPr="00771D2C">
        <w:rPr>
          <w:rFonts w:cstheme="majorBidi"/>
        </w:rPr>
        <w:t xml:space="preserve"> Party’s reply to Committee’s questions, 8 February 2021, p. 3.</w:t>
      </w:r>
    </w:p>
  </w:footnote>
  <w:footnote w:id="12">
    <w:p w14:paraId="31A18ED6" w14:textId="619953FB" w:rsidR="00C06771" w:rsidRPr="00771D2C" w:rsidRDefault="00C06771" w:rsidP="00771D2C">
      <w:pPr>
        <w:pStyle w:val="Footnotes"/>
        <w:ind w:left="993"/>
        <w:rPr>
          <w:rFonts w:cstheme="majorBidi"/>
          <w:lang w:val="fr-CH"/>
        </w:rPr>
      </w:pPr>
      <w:r w:rsidRPr="00771D2C">
        <w:rPr>
          <w:rStyle w:val="FootnoteReference"/>
        </w:rPr>
        <w:footnoteRef/>
      </w:r>
      <w:r w:rsidRPr="00771D2C">
        <w:rPr>
          <w:rFonts w:cstheme="majorBidi"/>
          <w:lang w:val="fr-CH"/>
        </w:rPr>
        <w:t xml:space="preserve"> Communication, para. 26, and annex 3, p. 1.</w:t>
      </w:r>
    </w:p>
  </w:footnote>
  <w:footnote w:id="13">
    <w:p w14:paraId="0786A97D" w14:textId="5237BCE4" w:rsidR="00C06771" w:rsidRPr="00771D2C" w:rsidRDefault="00C06771" w:rsidP="00771D2C">
      <w:pPr>
        <w:pStyle w:val="Footnotes"/>
        <w:ind w:left="993"/>
        <w:rPr>
          <w:rFonts w:cstheme="majorBidi"/>
        </w:rPr>
      </w:pPr>
      <w:r w:rsidRPr="00771D2C">
        <w:rPr>
          <w:rStyle w:val="FootnoteReference"/>
        </w:rPr>
        <w:footnoteRef/>
      </w:r>
      <w:r w:rsidRPr="00771D2C">
        <w:rPr>
          <w:rFonts w:cstheme="majorBidi"/>
          <w:lang w:val="fr-CH"/>
        </w:rPr>
        <w:t xml:space="preserve"> Communication, para. </w:t>
      </w:r>
      <w:r w:rsidRPr="00771D2C">
        <w:t>27, and annex 5, p. 25.</w:t>
      </w:r>
    </w:p>
  </w:footnote>
  <w:footnote w:id="14">
    <w:p w14:paraId="7514B941" w14:textId="77777777" w:rsidR="00C06771" w:rsidRPr="00771D2C" w:rsidRDefault="00C06771" w:rsidP="00771D2C">
      <w:pPr>
        <w:pStyle w:val="Footnotes"/>
        <w:ind w:left="993"/>
      </w:pPr>
      <w:r w:rsidRPr="00771D2C">
        <w:rPr>
          <w:rStyle w:val="FootnoteReference"/>
        </w:rPr>
        <w:footnoteRef/>
      </w:r>
      <w:r w:rsidRPr="00771D2C">
        <w:t xml:space="preserve"> Communication, para. 27, and annex 5, p. 25.</w:t>
      </w:r>
    </w:p>
  </w:footnote>
  <w:footnote w:id="15">
    <w:p w14:paraId="7A4D557F" w14:textId="3CAEFEA6" w:rsidR="00C06771" w:rsidRPr="00771D2C" w:rsidRDefault="00C06771" w:rsidP="00771D2C">
      <w:pPr>
        <w:pStyle w:val="Footnotes"/>
        <w:ind w:left="993"/>
        <w:rPr>
          <w:rFonts w:cstheme="majorBidi"/>
          <w:lang w:val="fr-CH"/>
        </w:rPr>
      </w:pPr>
      <w:r w:rsidRPr="00771D2C">
        <w:rPr>
          <w:rStyle w:val="FootnoteReference"/>
        </w:rPr>
        <w:footnoteRef/>
      </w:r>
      <w:r w:rsidRPr="00771D2C">
        <w:rPr>
          <w:rFonts w:cstheme="majorBidi"/>
          <w:lang w:val="fr-CH"/>
        </w:rPr>
        <w:t xml:space="preserve"> Communication, para. 28, and annex 5, p. 25.</w:t>
      </w:r>
    </w:p>
  </w:footnote>
  <w:footnote w:id="16">
    <w:p w14:paraId="6F6F0137" w14:textId="206BF847" w:rsidR="00C06771" w:rsidRPr="00771D2C" w:rsidRDefault="00C06771" w:rsidP="00771D2C">
      <w:pPr>
        <w:pStyle w:val="Footnotes"/>
        <w:ind w:left="993"/>
      </w:pPr>
      <w:r w:rsidRPr="00771D2C">
        <w:rPr>
          <w:rStyle w:val="FootnoteReference"/>
        </w:rPr>
        <w:footnoteRef/>
      </w:r>
      <w:r w:rsidRPr="00771D2C">
        <w:rPr>
          <w:rFonts w:cstheme="majorBidi"/>
          <w:lang w:val="fr-CH"/>
        </w:rPr>
        <w:t xml:space="preserve"> Communication, para. </w:t>
      </w:r>
      <w:r w:rsidRPr="00771D2C">
        <w:t>28, and annex 5, p. 25.</w:t>
      </w:r>
    </w:p>
  </w:footnote>
  <w:footnote w:id="17">
    <w:p w14:paraId="0F980F5B" w14:textId="77777777" w:rsidR="00C06771" w:rsidRPr="00771D2C" w:rsidRDefault="00C06771" w:rsidP="00771D2C">
      <w:pPr>
        <w:pStyle w:val="Footnotes"/>
        <w:ind w:left="993"/>
      </w:pPr>
      <w:r w:rsidRPr="00771D2C">
        <w:rPr>
          <w:rStyle w:val="FootnoteReference"/>
        </w:rPr>
        <w:footnoteRef/>
      </w:r>
      <w:r w:rsidRPr="00771D2C">
        <w:t xml:space="preserve"> Communication, para. 11, and annex 3, pp. 2 and 4.</w:t>
      </w:r>
    </w:p>
  </w:footnote>
  <w:footnote w:id="18">
    <w:p w14:paraId="5F6F0965" w14:textId="3F7C3D9C" w:rsidR="00C06771" w:rsidRPr="00771D2C" w:rsidRDefault="00C06771" w:rsidP="00FA0A88">
      <w:pPr>
        <w:pStyle w:val="Footnotes"/>
        <w:ind w:left="993"/>
        <w:rPr>
          <w:rFonts w:cstheme="majorBidi"/>
          <w:lang w:val="en-US"/>
        </w:rPr>
      </w:pPr>
      <w:r w:rsidRPr="00771D2C">
        <w:rPr>
          <w:rStyle w:val="FootnoteReference"/>
          <w:rFonts w:cstheme="majorBidi"/>
          <w:szCs w:val="18"/>
        </w:rPr>
        <w:footnoteRef/>
      </w:r>
      <w:r w:rsidRPr="00771D2C">
        <w:rPr>
          <w:rFonts w:cstheme="majorBidi"/>
        </w:rPr>
        <w:t xml:space="preserve"> Party’s reply to Committee’s questions, 8 February 2021, pp. 3-4 and annex 4, para. 23.</w:t>
      </w:r>
    </w:p>
  </w:footnote>
  <w:footnote w:id="19">
    <w:p w14:paraId="1586106E" w14:textId="77777777" w:rsidR="00C06771" w:rsidRPr="00771D2C" w:rsidRDefault="00C06771" w:rsidP="00771D2C">
      <w:pPr>
        <w:pStyle w:val="Footnotes"/>
        <w:ind w:left="993"/>
      </w:pPr>
      <w:r w:rsidRPr="00771D2C">
        <w:rPr>
          <w:rStyle w:val="FootnoteReference"/>
        </w:rPr>
        <w:footnoteRef/>
      </w:r>
      <w:r w:rsidRPr="00771D2C">
        <w:t xml:space="preserve"> Communication, para. 11, and annex 3, pp. 2 and 4.</w:t>
      </w:r>
    </w:p>
  </w:footnote>
  <w:footnote w:id="20">
    <w:p w14:paraId="56FD1EA0" w14:textId="77777777" w:rsidR="00C06771" w:rsidRPr="00771D2C" w:rsidRDefault="00C06771" w:rsidP="00FA0A88">
      <w:pPr>
        <w:pStyle w:val="Footnotes"/>
        <w:ind w:left="993"/>
        <w:rPr>
          <w:rFonts w:cstheme="majorBidi"/>
        </w:rPr>
      </w:pPr>
      <w:r w:rsidRPr="00771D2C">
        <w:rPr>
          <w:rStyle w:val="FootnoteReference"/>
          <w:rFonts w:cstheme="majorBidi"/>
          <w:szCs w:val="18"/>
        </w:rPr>
        <w:footnoteRef/>
      </w:r>
      <w:r w:rsidRPr="00771D2C">
        <w:rPr>
          <w:rFonts w:cstheme="majorBidi"/>
        </w:rPr>
        <w:t xml:space="preserve"> Communication, para. 10, and annex, pp. 1-2.</w:t>
      </w:r>
    </w:p>
  </w:footnote>
  <w:footnote w:id="21">
    <w:p w14:paraId="42E4CA84" w14:textId="3296D84B" w:rsidR="00C06771" w:rsidRPr="00F70CFE" w:rsidRDefault="00C06771" w:rsidP="00F70CFE">
      <w:pPr>
        <w:pStyle w:val="FootnoteText"/>
        <w:spacing w:after="0"/>
        <w:ind w:left="993"/>
        <w:rPr>
          <w:rFonts w:asciiTheme="majorBidi" w:hAnsiTheme="majorBidi" w:cstheme="majorBidi"/>
          <w:sz w:val="18"/>
          <w:szCs w:val="18"/>
          <w:lang w:val="fr-CH"/>
        </w:rPr>
      </w:pPr>
      <w:r w:rsidRPr="00F70CFE">
        <w:rPr>
          <w:rStyle w:val="FootnoteReference"/>
          <w:rFonts w:asciiTheme="majorBidi" w:hAnsiTheme="majorBidi" w:cstheme="majorBidi"/>
          <w:sz w:val="18"/>
          <w:szCs w:val="18"/>
        </w:rPr>
        <w:footnoteRef/>
      </w:r>
      <w:r w:rsidRPr="00F70CFE">
        <w:rPr>
          <w:rFonts w:asciiTheme="majorBidi" w:hAnsiTheme="majorBidi" w:cstheme="majorBidi"/>
          <w:sz w:val="18"/>
          <w:szCs w:val="18"/>
          <w:lang w:val="fr-CH"/>
        </w:rPr>
        <w:t xml:space="preserve"> Communication, para. 10, and annex 3, p. 2.</w:t>
      </w:r>
    </w:p>
  </w:footnote>
  <w:footnote w:id="22">
    <w:p w14:paraId="589C923F" w14:textId="77777777" w:rsidR="00C06771" w:rsidRPr="00771D2C" w:rsidRDefault="00C06771" w:rsidP="00FA0A88">
      <w:pPr>
        <w:pStyle w:val="Footnotes"/>
        <w:ind w:left="993"/>
        <w:rPr>
          <w:rFonts w:cstheme="majorBidi"/>
        </w:rPr>
      </w:pPr>
      <w:r w:rsidRPr="00F70CFE">
        <w:rPr>
          <w:rStyle w:val="FootnoteReference"/>
          <w:rFonts w:cstheme="majorBidi"/>
          <w:szCs w:val="18"/>
        </w:rPr>
        <w:footnoteRef/>
      </w:r>
      <w:r w:rsidRPr="00F70CFE">
        <w:rPr>
          <w:rFonts w:cstheme="majorBidi"/>
          <w:szCs w:val="18"/>
          <w:lang w:val="fr-CH"/>
        </w:rPr>
        <w:t xml:space="preserve"> Communication, para. </w:t>
      </w:r>
      <w:r w:rsidRPr="00F70CFE">
        <w:rPr>
          <w:rFonts w:cstheme="majorBidi"/>
          <w:szCs w:val="18"/>
        </w:rPr>
        <w:t>10, and annex 3, pp. 2-3.</w:t>
      </w:r>
    </w:p>
  </w:footnote>
  <w:footnote w:id="23">
    <w:p w14:paraId="25A03016" w14:textId="77777777" w:rsidR="00C06771" w:rsidRPr="00771D2C" w:rsidRDefault="00C06771" w:rsidP="00771D2C">
      <w:pPr>
        <w:pStyle w:val="Footnotes"/>
        <w:ind w:left="993"/>
      </w:pPr>
      <w:r w:rsidRPr="00771D2C">
        <w:rPr>
          <w:rStyle w:val="FootnoteReference"/>
        </w:rPr>
        <w:footnoteRef/>
      </w:r>
      <w:r w:rsidRPr="00771D2C">
        <w:t xml:space="preserve"> Communication, para. 12, and annex 3, pp. 4-5.</w:t>
      </w:r>
    </w:p>
  </w:footnote>
  <w:footnote w:id="24">
    <w:p w14:paraId="5C89C049" w14:textId="43A6429B" w:rsidR="00C06771" w:rsidRPr="00771D2C" w:rsidRDefault="00C06771" w:rsidP="00771D2C">
      <w:pPr>
        <w:pStyle w:val="Footnotes"/>
        <w:ind w:left="993"/>
        <w:rPr>
          <w:lang w:val="fr-CH"/>
        </w:rPr>
      </w:pPr>
      <w:r w:rsidRPr="00771D2C">
        <w:rPr>
          <w:rStyle w:val="FootnoteReference"/>
        </w:rPr>
        <w:footnoteRef/>
      </w:r>
      <w:r w:rsidRPr="00771D2C">
        <w:rPr>
          <w:rFonts w:cstheme="majorBidi"/>
          <w:lang w:val="fr-CH"/>
        </w:rPr>
        <w:t xml:space="preserve"> Communication, para. 1.</w:t>
      </w:r>
    </w:p>
  </w:footnote>
  <w:footnote w:id="25">
    <w:p w14:paraId="3F17BA7A" w14:textId="4B306052" w:rsidR="00C06771" w:rsidRPr="00771D2C" w:rsidRDefault="00C06771" w:rsidP="00771D2C">
      <w:pPr>
        <w:pStyle w:val="Footnotes"/>
        <w:ind w:left="993"/>
        <w:rPr>
          <w:lang w:val="fr-CH"/>
        </w:rPr>
      </w:pPr>
      <w:r w:rsidRPr="00771D2C">
        <w:rPr>
          <w:rStyle w:val="FootnoteReference"/>
        </w:rPr>
        <w:footnoteRef/>
      </w:r>
      <w:r w:rsidRPr="00771D2C">
        <w:rPr>
          <w:rFonts w:cstheme="majorBidi"/>
          <w:lang w:val="fr-CH"/>
        </w:rPr>
        <w:t xml:space="preserve"> Communication, para. 1.</w:t>
      </w:r>
    </w:p>
  </w:footnote>
  <w:footnote w:id="26">
    <w:p w14:paraId="4316906A" w14:textId="0707F870" w:rsidR="00C06771" w:rsidRPr="00771D2C" w:rsidRDefault="00C06771" w:rsidP="00771D2C">
      <w:pPr>
        <w:pStyle w:val="Footnotes"/>
        <w:ind w:left="993"/>
        <w:rPr>
          <w:lang w:val="fr-CH"/>
        </w:rPr>
      </w:pPr>
      <w:r w:rsidRPr="00771D2C">
        <w:rPr>
          <w:rStyle w:val="FootnoteReference"/>
        </w:rPr>
        <w:footnoteRef/>
      </w:r>
      <w:r w:rsidRPr="00771D2C">
        <w:rPr>
          <w:rFonts w:cstheme="majorBidi"/>
          <w:lang w:val="fr-CH"/>
        </w:rPr>
        <w:t xml:space="preserve"> Communication, para. 4.</w:t>
      </w:r>
    </w:p>
  </w:footnote>
  <w:footnote w:id="27">
    <w:p w14:paraId="029CDCD1" w14:textId="097D41B5" w:rsidR="00C06771" w:rsidRPr="00771D2C" w:rsidRDefault="00C06771" w:rsidP="00771D2C">
      <w:pPr>
        <w:pStyle w:val="Footnotes"/>
        <w:ind w:left="993"/>
        <w:rPr>
          <w:lang w:val="fr-CH"/>
        </w:rPr>
      </w:pPr>
      <w:r w:rsidRPr="00771D2C">
        <w:rPr>
          <w:rStyle w:val="FootnoteReference"/>
        </w:rPr>
        <w:footnoteRef/>
      </w:r>
      <w:r w:rsidRPr="00771D2C">
        <w:rPr>
          <w:rFonts w:cstheme="majorBidi"/>
          <w:lang w:val="fr-CH"/>
        </w:rPr>
        <w:t xml:space="preserve"> Communication, para. 1.</w:t>
      </w:r>
    </w:p>
  </w:footnote>
  <w:footnote w:id="28">
    <w:p w14:paraId="7CB2C91B" w14:textId="27A40764" w:rsidR="00C06771" w:rsidRPr="00771D2C" w:rsidRDefault="00C06771" w:rsidP="00771D2C">
      <w:pPr>
        <w:pStyle w:val="Footnotes"/>
        <w:ind w:left="993"/>
        <w:rPr>
          <w:lang w:val="fr-CH"/>
        </w:rPr>
      </w:pPr>
      <w:r w:rsidRPr="00771D2C">
        <w:rPr>
          <w:rStyle w:val="FootnoteReference"/>
        </w:rPr>
        <w:footnoteRef/>
      </w:r>
      <w:r w:rsidRPr="00771D2C">
        <w:rPr>
          <w:rFonts w:cstheme="majorBidi"/>
          <w:lang w:val="fr-CH"/>
        </w:rPr>
        <w:t xml:space="preserve"> Communication, para. 1, and Party’s response to the communication, p. 2.</w:t>
      </w:r>
    </w:p>
  </w:footnote>
  <w:footnote w:id="29">
    <w:p w14:paraId="71D9FFDA" w14:textId="77777777" w:rsidR="00C06771" w:rsidRPr="00771D2C" w:rsidRDefault="00C06771" w:rsidP="00771D2C">
      <w:pPr>
        <w:pStyle w:val="Footnotes"/>
        <w:ind w:left="993"/>
        <w:rPr>
          <w:lang w:val="fr-CH"/>
        </w:rPr>
      </w:pPr>
      <w:r w:rsidRPr="00771D2C">
        <w:rPr>
          <w:rStyle w:val="FootnoteReference"/>
        </w:rPr>
        <w:footnoteRef/>
      </w:r>
      <w:r w:rsidRPr="00771D2C">
        <w:rPr>
          <w:rFonts w:cstheme="majorBidi"/>
          <w:lang w:val="fr-CH"/>
        </w:rPr>
        <w:t xml:space="preserve"> Communication, para. 1.</w:t>
      </w:r>
    </w:p>
  </w:footnote>
  <w:footnote w:id="30">
    <w:p w14:paraId="4D4E5905" w14:textId="77777777" w:rsidR="00C06771" w:rsidRPr="00771D2C" w:rsidRDefault="00C06771" w:rsidP="00771D2C">
      <w:pPr>
        <w:pStyle w:val="Footnotes"/>
        <w:ind w:left="993"/>
        <w:rPr>
          <w:lang w:val="fr-CH"/>
        </w:rPr>
      </w:pPr>
      <w:r w:rsidRPr="00771D2C">
        <w:rPr>
          <w:rStyle w:val="FootnoteReference"/>
        </w:rPr>
        <w:footnoteRef/>
      </w:r>
      <w:r w:rsidRPr="00771D2C">
        <w:rPr>
          <w:rFonts w:cstheme="majorBidi"/>
          <w:lang w:val="fr-CH"/>
        </w:rPr>
        <w:t xml:space="preserve"> Communication, para. 2.</w:t>
      </w:r>
    </w:p>
  </w:footnote>
  <w:footnote w:id="31">
    <w:p w14:paraId="19256B41" w14:textId="0C7AF809" w:rsidR="00C06771" w:rsidRPr="00771D2C" w:rsidRDefault="00C06771" w:rsidP="00771D2C">
      <w:pPr>
        <w:pStyle w:val="Footnotes"/>
        <w:ind w:left="993"/>
        <w:rPr>
          <w:lang w:val="fr-CH"/>
        </w:rPr>
      </w:pPr>
      <w:r w:rsidRPr="00771D2C">
        <w:rPr>
          <w:rStyle w:val="FootnoteReference"/>
        </w:rPr>
        <w:footnoteRef/>
      </w:r>
      <w:r w:rsidRPr="00771D2C">
        <w:rPr>
          <w:rFonts w:cstheme="majorBidi"/>
          <w:lang w:val="fr-CH"/>
        </w:rPr>
        <w:t xml:space="preserve"> Communication, para. 3.</w:t>
      </w:r>
    </w:p>
  </w:footnote>
  <w:footnote w:id="32">
    <w:p w14:paraId="63E48192" w14:textId="1C8F2C0C" w:rsidR="00C06771" w:rsidRPr="00771D2C" w:rsidRDefault="00C06771" w:rsidP="00771D2C">
      <w:pPr>
        <w:pStyle w:val="Footnotes"/>
        <w:ind w:left="993"/>
        <w:rPr>
          <w:lang w:val="fr-CH"/>
        </w:rPr>
      </w:pPr>
      <w:r w:rsidRPr="00771D2C">
        <w:rPr>
          <w:rStyle w:val="FootnoteReference"/>
        </w:rPr>
        <w:footnoteRef/>
      </w:r>
      <w:r w:rsidRPr="00771D2C">
        <w:rPr>
          <w:rFonts w:cstheme="majorBidi"/>
          <w:lang w:val="fr-CH"/>
        </w:rPr>
        <w:t xml:space="preserve"> Communication, para. 3.</w:t>
      </w:r>
    </w:p>
  </w:footnote>
  <w:footnote w:id="33">
    <w:p w14:paraId="1E8E9EEF" w14:textId="77777777" w:rsidR="00C06771" w:rsidRPr="00771D2C" w:rsidRDefault="00C06771" w:rsidP="00FA0A88">
      <w:pPr>
        <w:pStyle w:val="Footnotes"/>
        <w:ind w:left="993"/>
        <w:rPr>
          <w:rFonts w:cstheme="majorBidi"/>
          <w:lang w:val="fr-CH"/>
        </w:rPr>
      </w:pPr>
      <w:r w:rsidRPr="00771D2C">
        <w:rPr>
          <w:rStyle w:val="FootnoteReference"/>
          <w:rFonts w:cstheme="majorBidi"/>
          <w:szCs w:val="18"/>
        </w:rPr>
        <w:footnoteRef/>
      </w:r>
      <w:r w:rsidRPr="00771D2C">
        <w:rPr>
          <w:rFonts w:cstheme="majorBidi"/>
          <w:lang w:val="fr-CH"/>
        </w:rPr>
        <w:t xml:space="preserve"> Communication, para. 4.</w:t>
      </w:r>
    </w:p>
  </w:footnote>
  <w:footnote w:id="34">
    <w:p w14:paraId="18721B88" w14:textId="11C7FF53" w:rsidR="00C06771" w:rsidRPr="00C06771" w:rsidRDefault="00C06771" w:rsidP="00FA0A88">
      <w:pPr>
        <w:pStyle w:val="Footnotes"/>
        <w:ind w:left="993"/>
        <w:rPr>
          <w:lang w:val="fr-CH"/>
        </w:rPr>
      </w:pPr>
      <w:r w:rsidRPr="00771D2C">
        <w:rPr>
          <w:rStyle w:val="FootnoteReference"/>
          <w:rFonts w:cstheme="majorBidi"/>
          <w:szCs w:val="18"/>
        </w:rPr>
        <w:footnoteRef/>
      </w:r>
      <w:r w:rsidRPr="00771D2C">
        <w:rPr>
          <w:rFonts w:cstheme="majorBidi"/>
          <w:lang w:val="fr-CH"/>
        </w:rPr>
        <w:t xml:space="preserve"> Communication, para. </w:t>
      </w:r>
      <w:r w:rsidRPr="00C06771">
        <w:rPr>
          <w:lang w:val="fr-CH"/>
        </w:rPr>
        <w:t>4, and annex 8.</w:t>
      </w:r>
    </w:p>
  </w:footnote>
  <w:footnote w:id="35">
    <w:p w14:paraId="4B281754" w14:textId="77777777" w:rsidR="00C06771" w:rsidRPr="00771D2C" w:rsidRDefault="00C06771" w:rsidP="00FA0A88">
      <w:pPr>
        <w:pStyle w:val="Footnotes"/>
        <w:ind w:left="993"/>
        <w:rPr>
          <w:rFonts w:cstheme="majorBidi"/>
        </w:rPr>
      </w:pPr>
      <w:r w:rsidRPr="00771D2C">
        <w:rPr>
          <w:rStyle w:val="FootnoteReference"/>
          <w:rFonts w:cstheme="majorBidi"/>
          <w:szCs w:val="18"/>
        </w:rPr>
        <w:footnoteRef/>
      </w:r>
      <w:r w:rsidRPr="00C06771">
        <w:rPr>
          <w:lang w:val="fr-CH"/>
        </w:rPr>
        <w:t xml:space="preserve"> Communication, para. </w:t>
      </w:r>
      <w:r w:rsidRPr="00771D2C">
        <w:rPr>
          <w:rFonts w:cstheme="majorBidi"/>
        </w:rPr>
        <w:t>4.</w:t>
      </w:r>
    </w:p>
  </w:footnote>
  <w:footnote w:id="36">
    <w:p w14:paraId="6AC1AB2C" w14:textId="77777777" w:rsidR="00C06771" w:rsidRPr="00771D2C" w:rsidRDefault="00C06771" w:rsidP="00FA0A88">
      <w:pPr>
        <w:pStyle w:val="Footnotes"/>
        <w:ind w:left="993"/>
        <w:rPr>
          <w:rFonts w:cstheme="majorBidi"/>
        </w:rPr>
      </w:pPr>
      <w:r w:rsidRPr="00771D2C">
        <w:rPr>
          <w:rStyle w:val="FootnoteReference"/>
          <w:rFonts w:cstheme="majorBidi"/>
        </w:rPr>
        <w:footnoteRef/>
      </w:r>
      <w:r w:rsidRPr="00771D2C">
        <w:rPr>
          <w:rFonts w:cstheme="majorBidi"/>
        </w:rPr>
        <w:t xml:space="preserve"> Communicant (Oekobuero), updated chronology, 28 June 2019; Party’s reply to Committee’s questions, 8 February 2021, pp. 2, 6-7 and annexes 9(e), 9(f) and 9(g). </w:t>
      </w:r>
    </w:p>
  </w:footnote>
  <w:footnote w:id="37">
    <w:p w14:paraId="6A4C122D" w14:textId="77777777" w:rsidR="00C06771" w:rsidRPr="00771D2C" w:rsidRDefault="00C06771" w:rsidP="00771D2C">
      <w:pPr>
        <w:pStyle w:val="Footnotes"/>
        <w:ind w:left="993"/>
        <w:rPr>
          <w:rFonts w:cstheme="majorBidi"/>
        </w:rPr>
      </w:pPr>
      <w:r w:rsidRPr="00771D2C">
        <w:rPr>
          <w:rStyle w:val="FootnoteReference"/>
        </w:rPr>
        <w:footnoteRef/>
      </w:r>
      <w:r w:rsidRPr="00771D2C">
        <w:t xml:space="preserve"> Communication, para. 7.</w:t>
      </w:r>
    </w:p>
  </w:footnote>
  <w:footnote w:id="38">
    <w:p w14:paraId="17DAC375" w14:textId="3774EAF8" w:rsidR="00C06771" w:rsidRPr="00771D2C" w:rsidRDefault="00C06771" w:rsidP="00771D2C">
      <w:pPr>
        <w:pStyle w:val="Footnotes"/>
        <w:ind w:left="993"/>
        <w:rPr>
          <w:rFonts w:cstheme="majorBidi"/>
          <w:lang w:val="en-US"/>
        </w:rPr>
      </w:pPr>
      <w:r w:rsidRPr="00771D2C">
        <w:rPr>
          <w:rStyle w:val="FootnoteReference"/>
          <w:rFonts w:cstheme="majorBidi"/>
          <w:szCs w:val="18"/>
        </w:rPr>
        <w:footnoteRef/>
      </w:r>
      <w:r w:rsidRPr="00771D2C">
        <w:rPr>
          <w:rFonts w:cstheme="majorBidi"/>
        </w:rPr>
        <w:t xml:space="preserve"> </w:t>
      </w:r>
      <w:r w:rsidRPr="00771D2C">
        <w:t>Letter from communicant OEKOBUERO, 27 February 2017, p. 1, and annex, p. 1.</w:t>
      </w:r>
    </w:p>
  </w:footnote>
  <w:footnote w:id="39">
    <w:p w14:paraId="584BA51B" w14:textId="0C20A8C1" w:rsidR="00C06771" w:rsidRPr="00771D2C" w:rsidRDefault="00C06771" w:rsidP="00771D2C">
      <w:pPr>
        <w:pStyle w:val="Footnotes"/>
        <w:ind w:left="993"/>
        <w:rPr>
          <w:rFonts w:cstheme="majorBidi"/>
          <w:lang w:val="en-US"/>
        </w:rPr>
      </w:pPr>
      <w:r w:rsidRPr="00771D2C">
        <w:rPr>
          <w:rStyle w:val="FootnoteReference"/>
          <w:rFonts w:cstheme="majorBidi"/>
          <w:szCs w:val="18"/>
        </w:rPr>
        <w:footnoteRef/>
      </w:r>
      <w:r w:rsidRPr="00771D2C">
        <w:rPr>
          <w:rFonts w:cstheme="majorBidi"/>
        </w:rPr>
        <w:t xml:space="preserve"> </w:t>
      </w:r>
      <w:r w:rsidRPr="00771D2C">
        <w:t>Letter from communicant OEKOBUERO, 27 February 2017, p. 2, and annex, p. 4-5.</w:t>
      </w:r>
    </w:p>
  </w:footnote>
  <w:footnote w:id="40">
    <w:p w14:paraId="385B5578" w14:textId="317F9D2C" w:rsidR="00C06771" w:rsidRPr="00771D2C" w:rsidRDefault="00C06771" w:rsidP="00771D2C">
      <w:pPr>
        <w:pStyle w:val="Footnotes"/>
        <w:ind w:left="993"/>
        <w:rPr>
          <w:rFonts w:cstheme="majorBidi"/>
          <w:lang w:val="fr-CH"/>
        </w:rPr>
      </w:pPr>
      <w:r w:rsidRPr="00771D2C">
        <w:rPr>
          <w:rStyle w:val="FootnoteReference"/>
          <w:rFonts w:cstheme="majorBidi"/>
          <w:szCs w:val="18"/>
        </w:rPr>
        <w:footnoteRef/>
      </w:r>
      <w:r w:rsidRPr="00771D2C">
        <w:rPr>
          <w:lang w:val="fr-CH"/>
        </w:rPr>
        <w:t xml:space="preserve"> </w:t>
      </w:r>
      <w:r w:rsidRPr="00771D2C">
        <w:rPr>
          <w:rFonts w:cstheme="majorBidi"/>
          <w:lang w:val="fr-CH"/>
        </w:rPr>
        <w:t>Communication, para. 14.</w:t>
      </w:r>
    </w:p>
  </w:footnote>
  <w:footnote w:id="41">
    <w:p w14:paraId="4EB402E2" w14:textId="6FF20AE7" w:rsidR="00C06771" w:rsidRPr="00771D2C" w:rsidRDefault="00C06771" w:rsidP="00771D2C">
      <w:pPr>
        <w:pStyle w:val="Footnotes"/>
        <w:ind w:left="993"/>
        <w:rPr>
          <w:rFonts w:cstheme="majorBidi"/>
          <w:lang w:val="fr-CH"/>
        </w:rPr>
      </w:pPr>
      <w:r w:rsidRPr="00771D2C">
        <w:rPr>
          <w:rStyle w:val="FootnoteReference"/>
        </w:rPr>
        <w:footnoteRef/>
      </w:r>
      <w:r w:rsidRPr="00771D2C">
        <w:rPr>
          <w:rFonts w:cstheme="majorBidi"/>
          <w:lang w:val="fr-CH"/>
        </w:rPr>
        <w:t xml:space="preserve"> Communication, para. 14.</w:t>
      </w:r>
    </w:p>
  </w:footnote>
  <w:footnote w:id="42">
    <w:p w14:paraId="4A171AA3" w14:textId="41265AAD" w:rsidR="00C06771" w:rsidRPr="00771D2C" w:rsidRDefault="00C06771" w:rsidP="00771D2C">
      <w:pPr>
        <w:pStyle w:val="Footnotes"/>
        <w:ind w:left="993"/>
        <w:rPr>
          <w:rFonts w:cstheme="majorBidi"/>
          <w:lang w:val="fr-CH"/>
        </w:rPr>
      </w:pPr>
      <w:r w:rsidRPr="00771D2C">
        <w:rPr>
          <w:rStyle w:val="FootnoteReference"/>
        </w:rPr>
        <w:footnoteRef/>
      </w:r>
      <w:r w:rsidRPr="00771D2C">
        <w:rPr>
          <w:rFonts w:cstheme="majorBidi"/>
          <w:lang w:val="fr-CH"/>
        </w:rPr>
        <w:t xml:space="preserve"> Communication, para. 15.</w:t>
      </w:r>
    </w:p>
  </w:footnote>
  <w:footnote w:id="43">
    <w:p w14:paraId="2F01CA5B" w14:textId="0345DFB6" w:rsidR="00C06771" w:rsidRPr="00771D2C" w:rsidRDefault="00C06771" w:rsidP="00771D2C">
      <w:pPr>
        <w:pStyle w:val="Footnotes"/>
        <w:ind w:left="993"/>
        <w:rPr>
          <w:rFonts w:cstheme="majorBidi"/>
          <w:lang w:val="fr-CH"/>
        </w:rPr>
      </w:pPr>
      <w:r w:rsidRPr="00771D2C">
        <w:rPr>
          <w:rStyle w:val="FootnoteReference"/>
        </w:rPr>
        <w:footnoteRef/>
      </w:r>
      <w:r w:rsidRPr="00771D2C">
        <w:rPr>
          <w:rFonts w:cstheme="majorBidi"/>
          <w:lang w:val="fr-CH"/>
        </w:rPr>
        <w:t xml:space="preserve"> Communication, para. 14.</w:t>
      </w:r>
    </w:p>
  </w:footnote>
  <w:footnote w:id="44">
    <w:p w14:paraId="4D2984A3" w14:textId="4DFDEF81" w:rsidR="00C06771" w:rsidRPr="00C55B35" w:rsidRDefault="00C06771" w:rsidP="00771D2C">
      <w:pPr>
        <w:pStyle w:val="Footnotes"/>
        <w:ind w:left="993"/>
        <w:rPr>
          <w:lang w:val="fr-FR"/>
        </w:rPr>
      </w:pPr>
      <w:r w:rsidRPr="00771D2C">
        <w:rPr>
          <w:rStyle w:val="FootnoteReference"/>
        </w:rPr>
        <w:footnoteRef/>
      </w:r>
      <w:r w:rsidRPr="00771D2C">
        <w:rPr>
          <w:lang w:val="fr-CH"/>
        </w:rPr>
        <w:t xml:space="preserve"> Communication, para. </w:t>
      </w:r>
      <w:r w:rsidRPr="00C55B35">
        <w:rPr>
          <w:lang w:val="fr-FR"/>
        </w:rPr>
        <w:t>4, and Party’s response to the communication, p. 3.</w:t>
      </w:r>
    </w:p>
  </w:footnote>
  <w:footnote w:id="45">
    <w:p w14:paraId="660FC0E3" w14:textId="77777777" w:rsidR="00C06771" w:rsidRPr="00771D2C" w:rsidRDefault="00C06771" w:rsidP="00771D2C">
      <w:pPr>
        <w:pStyle w:val="Footnotes"/>
        <w:ind w:left="993"/>
        <w:rPr>
          <w:rFonts w:cstheme="majorBidi"/>
          <w:lang w:val="fr-CH"/>
        </w:rPr>
      </w:pPr>
      <w:r w:rsidRPr="00771D2C">
        <w:rPr>
          <w:rStyle w:val="FootnoteReference"/>
        </w:rPr>
        <w:footnoteRef/>
      </w:r>
      <w:r w:rsidRPr="00771D2C">
        <w:rPr>
          <w:rFonts w:cstheme="majorBidi"/>
          <w:lang w:val="fr-CH"/>
        </w:rPr>
        <w:t xml:space="preserve"> Communication, para. 36.</w:t>
      </w:r>
    </w:p>
  </w:footnote>
  <w:footnote w:id="46">
    <w:p w14:paraId="0567ABCB" w14:textId="77777777" w:rsidR="00C06771" w:rsidRPr="00771D2C" w:rsidRDefault="00C06771" w:rsidP="00771D2C">
      <w:pPr>
        <w:pStyle w:val="Footnotes"/>
        <w:ind w:left="993"/>
        <w:rPr>
          <w:rFonts w:cstheme="majorBidi"/>
          <w:lang w:val="fr-CH"/>
        </w:rPr>
      </w:pPr>
      <w:r w:rsidRPr="00771D2C">
        <w:rPr>
          <w:rStyle w:val="FootnoteReference"/>
        </w:rPr>
        <w:footnoteRef/>
      </w:r>
      <w:r w:rsidRPr="00771D2C">
        <w:rPr>
          <w:rFonts w:cstheme="majorBidi"/>
          <w:lang w:val="fr-CH"/>
        </w:rPr>
        <w:t xml:space="preserve"> Communication, para. 36.</w:t>
      </w:r>
    </w:p>
  </w:footnote>
  <w:footnote w:id="47">
    <w:p w14:paraId="753650BA" w14:textId="77777777" w:rsidR="00C06771" w:rsidRPr="00771D2C" w:rsidRDefault="00C06771" w:rsidP="00771D2C">
      <w:pPr>
        <w:pStyle w:val="Footnotes"/>
        <w:ind w:left="993"/>
        <w:rPr>
          <w:rFonts w:cstheme="majorBidi"/>
          <w:lang w:val="fr-CH"/>
        </w:rPr>
      </w:pPr>
      <w:r w:rsidRPr="00771D2C">
        <w:rPr>
          <w:rStyle w:val="FootnoteReference"/>
        </w:rPr>
        <w:footnoteRef/>
      </w:r>
      <w:r w:rsidRPr="00771D2C">
        <w:rPr>
          <w:rFonts w:cstheme="majorBidi"/>
          <w:lang w:val="fr-CH"/>
        </w:rPr>
        <w:t xml:space="preserve"> Communication, para. 36.</w:t>
      </w:r>
    </w:p>
  </w:footnote>
  <w:footnote w:id="48">
    <w:p w14:paraId="2719E706" w14:textId="77777777" w:rsidR="00C06771" w:rsidRPr="00C55B35" w:rsidRDefault="00C06771" w:rsidP="00FA0A88">
      <w:pPr>
        <w:pStyle w:val="Footnotes"/>
        <w:ind w:left="993"/>
        <w:rPr>
          <w:rFonts w:cstheme="majorBidi"/>
        </w:rPr>
      </w:pPr>
      <w:r w:rsidRPr="00771D2C">
        <w:rPr>
          <w:rStyle w:val="FootnoteReference"/>
          <w:rFonts w:cstheme="majorBidi"/>
        </w:rPr>
        <w:footnoteRef/>
      </w:r>
      <w:r w:rsidRPr="00771D2C">
        <w:rPr>
          <w:rFonts w:cstheme="majorBidi"/>
          <w:lang w:val="fr-CH"/>
        </w:rPr>
        <w:t xml:space="preserve"> Communication, paras. </w:t>
      </w:r>
      <w:r w:rsidRPr="00C55B35">
        <w:rPr>
          <w:rFonts w:cstheme="majorBidi"/>
        </w:rPr>
        <w:t>17-29.</w:t>
      </w:r>
    </w:p>
  </w:footnote>
  <w:footnote w:id="49">
    <w:p w14:paraId="33E30F6C" w14:textId="77777777" w:rsidR="00C06771" w:rsidRPr="00C55B35" w:rsidRDefault="00C06771" w:rsidP="00FA0A88">
      <w:pPr>
        <w:pStyle w:val="Footnotes"/>
        <w:ind w:left="993"/>
        <w:rPr>
          <w:rFonts w:cstheme="majorBidi"/>
        </w:rPr>
      </w:pPr>
      <w:r w:rsidRPr="00771D2C">
        <w:rPr>
          <w:rStyle w:val="FootnoteReference"/>
          <w:rFonts w:cstheme="majorBidi"/>
        </w:rPr>
        <w:footnoteRef/>
      </w:r>
      <w:r w:rsidRPr="00C55B35">
        <w:rPr>
          <w:rFonts w:cstheme="majorBidi"/>
        </w:rPr>
        <w:t xml:space="preserve"> Communication, para. 21.</w:t>
      </w:r>
    </w:p>
  </w:footnote>
  <w:footnote w:id="50">
    <w:p w14:paraId="674F8C55" w14:textId="77777777" w:rsidR="00C06771" w:rsidRPr="00C55B35" w:rsidRDefault="00C06771" w:rsidP="00FA0A88">
      <w:pPr>
        <w:pStyle w:val="Footnotes"/>
        <w:ind w:left="993"/>
        <w:rPr>
          <w:rFonts w:cstheme="majorBidi"/>
        </w:rPr>
      </w:pPr>
      <w:r w:rsidRPr="00771D2C">
        <w:rPr>
          <w:rStyle w:val="FootnoteReference"/>
          <w:rFonts w:cstheme="majorBidi"/>
        </w:rPr>
        <w:footnoteRef/>
      </w:r>
      <w:r w:rsidRPr="00C55B35">
        <w:rPr>
          <w:rFonts w:cstheme="majorBidi"/>
        </w:rPr>
        <w:t xml:space="preserve"> Party’s reply to Committee’s questions, 8 February 2021, p. 2. </w:t>
      </w:r>
    </w:p>
  </w:footnote>
  <w:footnote w:id="51">
    <w:p w14:paraId="2BEB13CF" w14:textId="6649EDE3" w:rsidR="00C06771" w:rsidRPr="00771D2C" w:rsidRDefault="00C06771" w:rsidP="00771D2C">
      <w:pPr>
        <w:pStyle w:val="Footnotes"/>
        <w:ind w:left="993"/>
        <w:rPr>
          <w:rFonts w:cstheme="majorBidi"/>
          <w:lang w:val="fr-CH"/>
        </w:rPr>
      </w:pPr>
      <w:r w:rsidRPr="00771D2C">
        <w:rPr>
          <w:rStyle w:val="FootnoteReference"/>
        </w:rPr>
        <w:footnoteRef/>
      </w:r>
      <w:r w:rsidRPr="00771D2C">
        <w:rPr>
          <w:rFonts w:cstheme="majorBidi"/>
          <w:lang w:val="fr-CH"/>
        </w:rPr>
        <w:t xml:space="preserve"> Communication, para. 17.</w:t>
      </w:r>
    </w:p>
  </w:footnote>
  <w:footnote w:id="52">
    <w:p w14:paraId="66366DE6" w14:textId="77777777" w:rsidR="00C06771" w:rsidRPr="00771D2C" w:rsidRDefault="00C06771" w:rsidP="00771D2C">
      <w:pPr>
        <w:pStyle w:val="Footnotes"/>
        <w:ind w:left="993"/>
        <w:rPr>
          <w:rFonts w:cstheme="majorBidi"/>
          <w:lang w:val="fr-CH"/>
        </w:rPr>
      </w:pPr>
      <w:r w:rsidRPr="00771D2C">
        <w:rPr>
          <w:rStyle w:val="FootnoteReference"/>
        </w:rPr>
        <w:footnoteRef/>
      </w:r>
      <w:r w:rsidRPr="00771D2C">
        <w:rPr>
          <w:rFonts w:cstheme="majorBidi"/>
          <w:lang w:val="fr-CH"/>
        </w:rPr>
        <w:t xml:space="preserve"> Communication, para. 19.</w:t>
      </w:r>
    </w:p>
  </w:footnote>
  <w:footnote w:id="53">
    <w:p w14:paraId="59FA5C5F" w14:textId="77777777" w:rsidR="00C06771" w:rsidRPr="00C55B35" w:rsidRDefault="00C06771" w:rsidP="00771D2C">
      <w:pPr>
        <w:pStyle w:val="Footnotes"/>
        <w:ind w:left="993"/>
        <w:rPr>
          <w:rFonts w:cstheme="majorBidi"/>
        </w:rPr>
      </w:pPr>
      <w:r w:rsidRPr="00771D2C">
        <w:rPr>
          <w:rStyle w:val="FootnoteReference"/>
        </w:rPr>
        <w:footnoteRef/>
      </w:r>
      <w:r w:rsidRPr="00771D2C">
        <w:rPr>
          <w:rFonts w:cstheme="majorBidi"/>
          <w:lang w:val="fr-CH"/>
        </w:rPr>
        <w:t xml:space="preserve"> Communication, para. </w:t>
      </w:r>
      <w:r w:rsidRPr="00C55B35">
        <w:rPr>
          <w:rFonts w:cstheme="majorBidi"/>
        </w:rPr>
        <w:t>19.</w:t>
      </w:r>
    </w:p>
  </w:footnote>
  <w:footnote w:id="54">
    <w:p w14:paraId="0DC0D2B1" w14:textId="39394AC5" w:rsidR="00C06771" w:rsidRPr="00C55B35" w:rsidRDefault="00C06771" w:rsidP="00771D2C">
      <w:pPr>
        <w:pStyle w:val="Footnotes"/>
        <w:ind w:left="993"/>
      </w:pPr>
      <w:r w:rsidRPr="00771D2C">
        <w:rPr>
          <w:rStyle w:val="FootnoteReference"/>
          <w:rFonts w:cstheme="majorBidi"/>
          <w:szCs w:val="18"/>
        </w:rPr>
        <w:footnoteRef/>
      </w:r>
      <w:r w:rsidRPr="00C06771">
        <w:t xml:space="preserve"> Communication, para. </w:t>
      </w:r>
      <w:r w:rsidRPr="00771D2C">
        <w:t xml:space="preserve">19, citing annex 2 and </w:t>
      </w:r>
      <w:r w:rsidRPr="00771D2C">
        <w:rPr>
          <w:rFonts w:cstheme="majorBidi"/>
        </w:rPr>
        <w:t>ACCC/C/2006/17</w:t>
      </w:r>
      <w:r w:rsidRPr="00771D2C">
        <w:t xml:space="preserve"> (</w:t>
      </w:r>
      <w:r w:rsidRPr="00771D2C">
        <w:rPr>
          <w:rFonts w:cstheme="majorBidi"/>
        </w:rPr>
        <w:t>ECE/MP.PP/2008/5/Add. 10</w:t>
      </w:r>
      <w:r w:rsidRPr="00771D2C">
        <w:t>)</w:t>
      </w:r>
      <w:r w:rsidRPr="00771D2C">
        <w:rPr>
          <w:rFonts w:cstheme="majorBidi"/>
        </w:rPr>
        <w:t xml:space="preserve">, para. </w:t>
      </w:r>
      <w:r w:rsidRPr="00C55B35">
        <w:t>43.</w:t>
      </w:r>
    </w:p>
  </w:footnote>
  <w:footnote w:id="55">
    <w:p w14:paraId="395F971C" w14:textId="77777777" w:rsidR="00C06771" w:rsidRPr="00C55B35" w:rsidRDefault="00C06771" w:rsidP="00771D2C">
      <w:pPr>
        <w:pStyle w:val="Footnotes"/>
        <w:ind w:left="993"/>
      </w:pPr>
      <w:r w:rsidRPr="00771D2C">
        <w:rPr>
          <w:rStyle w:val="FootnoteReference"/>
        </w:rPr>
        <w:footnoteRef/>
      </w:r>
      <w:r w:rsidRPr="00C55B35">
        <w:t xml:space="preserve"> Communication, para. 19.</w:t>
      </w:r>
    </w:p>
  </w:footnote>
  <w:footnote w:id="56">
    <w:p w14:paraId="3D8CA6E9" w14:textId="77777777" w:rsidR="00C06771" w:rsidRPr="00C55B35" w:rsidRDefault="00C06771" w:rsidP="00771D2C">
      <w:pPr>
        <w:pStyle w:val="Footnotes"/>
        <w:ind w:left="993"/>
      </w:pPr>
      <w:r w:rsidRPr="00771D2C">
        <w:rPr>
          <w:rStyle w:val="FootnoteReference"/>
        </w:rPr>
        <w:footnoteRef/>
      </w:r>
      <w:r w:rsidRPr="00C55B35">
        <w:t xml:space="preserve"> Communication, para. 19.</w:t>
      </w:r>
    </w:p>
  </w:footnote>
  <w:footnote w:id="57">
    <w:p w14:paraId="17CD025E" w14:textId="77777777" w:rsidR="00C06771" w:rsidRPr="00771D2C" w:rsidRDefault="00C06771" w:rsidP="00771D2C">
      <w:pPr>
        <w:pStyle w:val="Footnotes"/>
        <w:ind w:left="993"/>
      </w:pPr>
      <w:r w:rsidRPr="00771D2C">
        <w:rPr>
          <w:rStyle w:val="FootnoteReference"/>
          <w:rFonts w:cstheme="majorBidi"/>
          <w:szCs w:val="18"/>
        </w:rPr>
        <w:footnoteRef/>
      </w:r>
      <w:r w:rsidRPr="00C55B35">
        <w:t xml:space="preserve"> ECE/MP.PP/2008/5/Add.6, para. </w:t>
      </w:r>
      <w:r w:rsidRPr="00771D2C">
        <w:rPr>
          <w:rFonts w:cstheme="majorBidi"/>
        </w:rPr>
        <w:t>57</w:t>
      </w:r>
      <w:r w:rsidRPr="00771D2C">
        <w:rPr>
          <w:rFonts w:cstheme="majorBidi"/>
          <w:lang w:val="en-US"/>
        </w:rPr>
        <w:t xml:space="preserve"> and </w:t>
      </w:r>
      <w:r w:rsidRPr="00771D2C">
        <w:rPr>
          <w:rFonts w:cstheme="majorBidi"/>
        </w:rPr>
        <w:t>ECE/MP.PP/C.1/2006/4/Add. 2, para. 29</w:t>
      </w:r>
      <w:r w:rsidRPr="00771D2C">
        <w:t>, respectively.</w:t>
      </w:r>
    </w:p>
  </w:footnote>
  <w:footnote w:id="58">
    <w:p w14:paraId="2EE08619" w14:textId="77777777" w:rsidR="00C06771" w:rsidRPr="00771D2C" w:rsidRDefault="00C06771" w:rsidP="00771D2C">
      <w:pPr>
        <w:pStyle w:val="Footnotes"/>
        <w:ind w:left="993"/>
      </w:pPr>
      <w:r w:rsidRPr="00771D2C">
        <w:rPr>
          <w:rStyle w:val="FootnoteReference"/>
        </w:rPr>
        <w:footnoteRef/>
      </w:r>
      <w:r w:rsidRPr="00771D2C">
        <w:t xml:space="preserve"> Communication, para. 19.</w:t>
      </w:r>
    </w:p>
  </w:footnote>
  <w:footnote w:id="59">
    <w:p w14:paraId="76853E87" w14:textId="77777777" w:rsidR="00C06771" w:rsidRPr="00771D2C" w:rsidRDefault="00C06771" w:rsidP="00771D2C">
      <w:pPr>
        <w:pStyle w:val="Footnotes"/>
        <w:ind w:left="993"/>
      </w:pPr>
      <w:r w:rsidRPr="00771D2C">
        <w:rPr>
          <w:rStyle w:val="FootnoteReference"/>
        </w:rPr>
        <w:footnoteRef/>
      </w:r>
      <w:r w:rsidRPr="00771D2C">
        <w:t xml:space="preserve"> Communication, para. 19.</w:t>
      </w:r>
    </w:p>
  </w:footnote>
  <w:footnote w:id="60">
    <w:p w14:paraId="5E3BCE42" w14:textId="77777777" w:rsidR="00C06771" w:rsidRPr="00771D2C" w:rsidRDefault="00C06771" w:rsidP="00FA0A88">
      <w:pPr>
        <w:pStyle w:val="Footnotes"/>
        <w:ind w:left="993"/>
        <w:rPr>
          <w:rFonts w:cstheme="majorBidi"/>
        </w:rPr>
      </w:pPr>
      <w:r w:rsidRPr="00771D2C">
        <w:rPr>
          <w:rStyle w:val="FootnoteReference"/>
          <w:rFonts w:cstheme="majorBidi"/>
        </w:rPr>
        <w:footnoteRef/>
      </w:r>
      <w:r w:rsidRPr="00771D2C">
        <w:rPr>
          <w:rFonts w:cstheme="majorBidi"/>
        </w:rPr>
        <w:t xml:space="preserve"> Party’s response to the communication, p. 1.</w:t>
      </w:r>
    </w:p>
  </w:footnote>
  <w:footnote w:id="61">
    <w:p w14:paraId="1D3FC216" w14:textId="77777777" w:rsidR="00C06771" w:rsidRPr="00771D2C" w:rsidRDefault="00C06771" w:rsidP="00FA0A88">
      <w:pPr>
        <w:pStyle w:val="Footnotes"/>
        <w:ind w:left="993"/>
        <w:rPr>
          <w:rFonts w:cstheme="majorBidi"/>
        </w:rPr>
      </w:pPr>
      <w:r w:rsidRPr="00771D2C">
        <w:rPr>
          <w:rStyle w:val="FootnoteReference"/>
          <w:rFonts w:cstheme="majorBidi"/>
        </w:rPr>
        <w:footnoteRef/>
      </w:r>
      <w:r w:rsidRPr="00771D2C">
        <w:rPr>
          <w:rFonts w:cstheme="majorBidi"/>
        </w:rPr>
        <w:t xml:space="preserve"> Party’s response to the communication, p. 2.</w:t>
      </w:r>
    </w:p>
  </w:footnote>
  <w:footnote w:id="62">
    <w:p w14:paraId="18FD639F" w14:textId="77777777" w:rsidR="00C06771" w:rsidRPr="00771D2C" w:rsidRDefault="00C06771" w:rsidP="00FA0A88">
      <w:pPr>
        <w:pStyle w:val="Footnotes"/>
        <w:ind w:left="993"/>
        <w:rPr>
          <w:rFonts w:cstheme="majorBidi"/>
        </w:rPr>
      </w:pPr>
      <w:r w:rsidRPr="00771D2C">
        <w:rPr>
          <w:rStyle w:val="FootnoteReference"/>
          <w:rFonts w:cstheme="majorBidi"/>
        </w:rPr>
        <w:footnoteRef/>
      </w:r>
      <w:r w:rsidRPr="00771D2C">
        <w:rPr>
          <w:rFonts w:cstheme="majorBidi"/>
        </w:rPr>
        <w:t xml:space="preserve"> Party’s response to the communication, p. 1.</w:t>
      </w:r>
    </w:p>
  </w:footnote>
  <w:footnote w:id="63">
    <w:p w14:paraId="4DE44345" w14:textId="5511C5CE" w:rsidR="00C06771" w:rsidRPr="00771D2C" w:rsidRDefault="00C06771" w:rsidP="00771D2C">
      <w:pPr>
        <w:pStyle w:val="Footnotes"/>
        <w:ind w:left="993"/>
        <w:rPr>
          <w:rFonts w:cstheme="majorBidi"/>
          <w:lang w:val="fr-CH"/>
        </w:rPr>
      </w:pPr>
      <w:r w:rsidRPr="00771D2C">
        <w:rPr>
          <w:rStyle w:val="FootnoteReference"/>
          <w:rFonts w:cstheme="majorBidi"/>
          <w:szCs w:val="18"/>
        </w:rPr>
        <w:footnoteRef/>
      </w:r>
      <w:r w:rsidRPr="00771D2C">
        <w:rPr>
          <w:lang w:val="es-ES"/>
        </w:rPr>
        <w:t xml:space="preserve"> </w:t>
      </w:r>
      <w:r w:rsidRPr="00771D2C">
        <w:rPr>
          <w:rFonts w:cstheme="majorBidi"/>
          <w:lang w:val="es-ES"/>
        </w:rPr>
        <w:t xml:space="preserve">ECE/MP.PP/2011/Add. 3, para. </w:t>
      </w:r>
      <w:r w:rsidRPr="00771D2C">
        <w:rPr>
          <w:rFonts w:cstheme="majorBidi"/>
          <w:lang w:val="fr-CH"/>
        </w:rPr>
        <w:t>44</w:t>
      </w:r>
    </w:p>
  </w:footnote>
  <w:footnote w:id="64">
    <w:p w14:paraId="3FA86EF3" w14:textId="1F75FB97" w:rsidR="00C06771" w:rsidRPr="00771D2C" w:rsidRDefault="00C06771" w:rsidP="00771D2C">
      <w:pPr>
        <w:pStyle w:val="Footnotes"/>
        <w:ind w:left="993"/>
        <w:rPr>
          <w:rFonts w:cstheme="majorBidi"/>
          <w:lang w:val="fr-CH"/>
        </w:rPr>
      </w:pPr>
      <w:r w:rsidRPr="00771D2C">
        <w:rPr>
          <w:rStyle w:val="FootnoteReference"/>
        </w:rPr>
        <w:footnoteRef/>
      </w:r>
      <w:r w:rsidRPr="00771D2C">
        <w:rPr>
          <w:rFonts w:cstheme="majorBidi"/>
          <w:lang w:val="fr-CH"/>
        </w:rPr>
        <w:t xml:space="preserve"> Communication, paras. 18 and 20.</w:t>
      </w:r>
    </w:p>
  </w:footnote>
  <w:footnote w:id="65">
    <w:p w14:paraId="5CE47593" w14:textId="29501608" w:rsidR="00C06771" w:rsidRPr="00C06771" w:rsidRDefault="00C06771" w:rsidP="00771D2C">
      <w:pPr>
        <w:pStyle w:val="Footnotes"/>
        <w:ind w:left="993"/>
      </w:pPr>
      <w:r w:rsidRPr="00771D2C">
        <w:rPr>
          <w:rStyle w:val="FootnoteReference"/>
          <w:rFonts w:cstheme="majorBidi"/>
          <w:szCs w:val="18"/>
        </w:rPr>
        <w:footnoteRef/>
      </w:r>
      <w:r w:rsidRPr="00771D2C">
        <w:rPr>
          <w:lang w:val="fr-CH"/>
        </w:rPr>
        <w:t xml:space="preserve"> </w:t>
      </w:r>
      <w:r w:rsidRPr="00771D2C">
        <w:rPr>
          <w:rFonts w:cstheme="majorBidi"/>
          <w:lang w:val="fr-CH"/>
        </w:rPr>
        <w:t xml:space="preserve">Communication, para. </w:t>
      </w:r>
      <w:r w:rsidRPr="00C06771">
        <w:t>20.</w:t>
      </w:r>
    </w:p>
  </w:footnote>
  <w:footnote w:id="66">
    <w:p w14:paraId="54591B61" w14:textId="74EA646B" w:rsidR="00C06771" w:rsidRPr="00C06771" w:rsidRDefault="00C06771" w:rsidP="00771D2C">
      <w:pPr>
        <w:pStyle w:val="Footnotes"/>
        <w:ind w:left="993"/>
      </w:pPr>
      <w:r w:rsidRPr="00771D2C">
        <w:rPr>
          <w:rStyle w:val="FootnoteReference"/>
        </w:rPr>
        <w:footnoteRef/>
      </w:r>
      <w:r w:rsidRPr="00C06771">
        <w:t xml:space="preserve"> Communication, para. 20, emphasis in original.</w:t>
      </w:r>
    </w:p>
  </w:footnote>
  <w:footnote w:id="67">
    <w:p w14:paraId="5044BEC8" w14:textId="77777777" w:rsidR="00C06771" w:rsidRPr="00771D2C" w:rsidRDefault="00C06771" w:rsidP="00771D2C">
      <w:pPr>
        <w:pStyle w:val="Footnotes"/>
        <w:ind w:left="993"/>
        <w:rPr>
          <w:rFonts w:cstheme="majorBidi"/>
          <w:lang w:val="fr-CH"/>
        </w:rPr>
      </w:pPr>
      <w:r w:rsidRPr="00771D2C">
        <w:rPr>
          <w:rStyle w:val="FootnoteReference"/>
        </w:rPr>
        <w:footnoteRef/>
      </w:r>
      <w:r w:rsidRPr="00771D2C">
        <w:rPr>
          <w:rFonts w:cstheme="majorBidi"/>
          <w:lang w:val="fr-CH"/>
        </w:rPr>
        <w:t xml:space="preserve"> Communication, para. 20.</w:t>
      </w:r>
    </w:p>
  </w:footnote>
  <w:footnote w:id="68">
    <w:p w14:paraId="70977398" w14:textId="77777777" w:rsidR="00C06771" w:rsidRPr="00771D2C" w:rsidRDefault="00C06771" w:rsidP="00771D2C">
      <w:pPr>
        <w:pStyle w:val="Footnotes"/>
        <w:ind w:left="993"/>
        <w:rPr>
          <w:rFonts w:cstheme="majorBidi"/>
          <w:lang w:val="fr-CH"/>
        </w:rPr>
      </w:pPr>
      <w:r w:rsidRPr="00771D2C">
        <w:rPr>
          <w:rStyle w:val="FootnoteReference"/>
        </w:rPr>
        <w:footnoteRef/>
      </w:r>
      <w:r w:rsidRPr="00771D2C">
        <w:rPr>
          <w:rFonts w:cstheme="majorBidi"/>
          <w:lang w:val="fr-CH"/>
        </w:rPr>
        <w:t xml:space="preserve"> Communication, para. 20.</w:t>
      </w:r>
    </w:p>
  </w:footnote>
  <w:footnote w:id="69">
    <w:p w14:paraId="1A5F5F52" w14:textId="10E5BA0F" w:rsidR="00C06771" w:rsidRPr="00771D2C" w:rsidRDefault="00C06771" w:rsidP="00771D2C">
      <w:pPr>
        <w:pStyle w:val="Footnotes"/>
        <w:ind w:left="993"/>
      </w:pPr>
      <w:r w:rsidRPr="00771D2C">
        <w:rPr>
          <w:rStyle w:val="FootnoteReference"/>
          <w:rFonts w:cstheme="majorBidi"/>
          <w:szCs w:val="18"/>
        </w:rPr>
        <w:footnoteRef/>
      </w:r>
      <w:r w:rsidRPr="00771D2C">
        <w:rPr>
          <w:lang w:val="fr-CH"/>
        </w:rPr>
        <w:t xml:space="preserve"> </w:t>
      </w:r>
      <w:r w:rsidRPr="00771D2C">
        <w:rPr>
          <w:rFonts w:cstheme="majorBidi"/>
          <w:lang w:val="fr-CH"/>
        </w:rPr>
        <w:t xml:space="preserve">Communication, para. </w:t>
      </w:r>
      <w:r w:rsidRPr="00771D2C">
        <w:t>20.</w:t>
      </w:r>
    </w:p>
  </w:footnote>
  <w:footnote w:id="70">
    <w:p w14:paraId="71764465" w14:textId="4A07E4C9" w:rsidR="00C06771" w:rsidRPr="00771D2C" w:rsidRDefault="00C06771" w:rsidP="00771D2C">
      <w:pPr>
        <w:pStyle w:val="Footnotes"/>
        <w:ind w:left="993"/>
      </w:pPr>
      <w:r w:rsidRPr="00771D2C">
        <w:rPr>
          <w:rStyle w:val="FootnoteReference"/>
          <w:rFonts w:cstheme="majorBidi"/>
          <w:szCs w:val="18"/>
        </w:rPr>
        <w:footnoteRef/>
      </w:r>
      <w:r w:rsidRPr="00771D2C">
        <w:rPr>
          <w:rFonts w:cstheme="majorBidi"/>
        </w:rPr>
        <w:t xml:space="preserve"> </w:t>
      </w:r>
      <w:r w:rsidRPr="00771D2C">
        <w:t>Party’s response to the communication, p. 1.</w:t>
      </w:r>
    </w:p>
  </w:footnote>
  <w:footnote w:id="71">
    <w:p w14:paraId="60AA86D5" w14:textId="5FFD8B05" w:rsidR="00C06771" w:rsidRPr="00771D2C" w:rsidRDefault="00C06771" w:rsidP="00771D2C">
      <w:pPr>
        <w:pStyle w:val="Footnotes"/>
        <w:ind w:left="993"/>
      </w:pPr>
      <w:r w:rsidRPr="00771D2C">
        <w:rPr>
          <w:rStyle w:val="FootnoteReference"/>
          <w:rFonts w:cstheme="majorBidi"/>
          <w:szCs w:val="18"/>
        </w:rPr>
        <w:footnoteRef/>
      </w:r>
      <w:r w:rsidRPr="00771D2C">
        <w:rPr>
          <w:rFonts w:cstheme="majorBidi"/>
        </w:rPr>
        <w:t xml:space="preserve"> </w:t>
      </w:r>
      <w:r w:rsidRPr="00771D2C">
        <w:t>Party’s response to the communication, p. 1.</w:t>
      </w:r>
    </w:p>
  </w:footnote>
  <w:footnote w:id="72">
    <w:p w14:paraId="39505CAD" w14:textId="61880AEE" w:rsidR="00C06771" w:rsidRPr="00771D2C" w:rsidRDefault="00C06771" w:rsidP="00771D2C">
      <w:pPr>
        <w:pStyle w:val="Footnotes"/>
        <w:ind w:left="993"/>
      </w:pPr>
      <w:r w:rsidRPr="00771D2C">
        <w:rPr>
          <w:rStyle w:val="FootnoteReference"/>
          <w:rFonts w:cstheme="majorBidi"/>
          <w:szCs w:val="18"/>
        </w:rPr>
        <w:footnoteRef/>
      </w:r>
      <w:r w:rsidRPr="00771D2C">
        <w:rPr>
          <w:rFonts w:cstheme="majorBidi"/>
        </w:rPr>
        <w:t xml:space="preserve"> </w:t>
      </w:r>
      <w:r w:rsidRPr="00771D2C">
        <w:t>Party’s response to the communication, p. 1.</w:t>
      </w:r>
    </w:p>
  </w:footnote>
  <w:footnote w:id="73">
    <w:p w14:paraId="36E527BF" w14:textId="0B7A8A19" w:rsidR="00C06771" w:rsidRPr="00771D2C" w:rsidRDefault="00C06771" w:rsidP="00771D2C">
      <w:pPr>
        <w:pStyle w:val="Footnotes"/>
        <w:ind w:left="993"/>
      </w:pPr>
      <w:r w:rsidRPr="00771D2C">
        <w:rPr>
          <w:rStyle w:val="FootnoteReference"/>
        </w:rPr>
        <w:footnoteRef/>
      </w:r>
      <w:r w:rsidRPr="00771D2C">
        <w:t xml:space="preserve"> Communication, para. 20, citing </w:t>
      </w:r>
      <w:r w:rsidRPr="00771D2C">
        <w:rPr>
          <w:rFonts w:cstheme="majorBidi"/>
        </w:rPr>
        <w:t>ACCC/C/2009/4</w:t>
      </w:r>
      <w:r w:rsidRPr="00771D2C">
        <w:t>1</w:t>
      </w:r>
      <w:r w:rsidRPr="00771D2C">
        <w:rPr>
          <w:rFonts w:cstheme="majorBidi"/>
          <w:lang w:val="en-US"/>
        </w:rPr>
        <w:t xml:space="preserve"> (</w:t>
      </w:r>
      <w:r w:rsidRPr="00771D2C">
        <w:rPr>
          <w:rFonts w:cstheme="majorBidi"/>
        </w:rPr>
        <w:t>ECE/MP.PP/2011/Add. 3</w:t>
      </w:r>
      <w:r w:rsidRPr="00771D2C">
        <w:rPr>
          <w:rFonts w:cstheme="majorBidi"/>
          <w:lang w:val="en-US"/>
        </w:rPr>
        <w:t>), para. 58</w:t>
      </w:r>
      <w:r w:rsidRPr="00771D2C">
        <w:t>.</w:t>
      </w:r>
    </w:p>
  </w:footnote>
  <w:footnote w:id="74">
    <w:p w14:paraId="4CBC960F" w14:textId="36FDAA21" w:rsidR="00C06771" w:rsidRPr="00771D2C" w:rsidRDefault="00C06771" w:rsidP="00771D2C">
      <w:pPr>
        <w:pStyle w:val="Footnotes"/>
        <w:ind w:left="993"/>
      </w:pPr>
      <w:r w:rsidRPr="00771D2C">
        <w:rPr>
          <w:rStyle w:val="FootnoteReference"/>
          <w:rFonts w:cstheme="majorBidi"/>
          <w:szCs w:val="18"/>
        </w:rPr>
        <w:footnoteRef/>
      </w:r>
      <w:r w:rsidRPr="00771D2C">
        <w:rPr>
          <w:rFonts w:cstheme="majorBidi"/>
        </w:rPr>
        <w:t xml:space="preserve"> </w:t>
      </w:r>
      <w:r w:rsidRPr="00771D2C">
        <w:t>Party’s response to the communication, p. 1.</w:t>
      </w:r>
    </w:p>
  </w:footnote>
  <w:footnote w:id="75">
    <w:p w14:paraId="2580DF3C" w14:textId="40433408" w:rsidR="00C06771" w:rsidRPr="00771D2C" w:rsidRDefault="00C06771" w:rsidP="00771D2C">
      <w:pPr>
        <w:pStyle w:val="Footnotes"/>
        <w:ind w:left="993"/>
      </w:pPr>
      <w:r w:rsidRPr="00771D2C">
        <w:rPr>
          <w:rStyle w:val="FootnoteReference"/>
          <w:rFonts w:cstheme="majorBidi"/>
          <w:szCs w:val="18"/>
        </w:rPr>
        <w:footnoteRef/>
      </w:r>
      <w:r w:rsidRPr="00771D2C">
        <w:rPr>
          <w:rFonts w:cstheme="majorBidi"/>
        </w:rPr>
        <w:t xml:space="preserve"> </w:t>
      </w:r>
      <w:r w:rsidRPr="00771D2C">
        <w:t>Party’s response to the communication, p. 1.</w:t>
      </w:r>
    </w:p>
  </w:footnote>
  <w:footnote w:id="76">
    <w:p w14:paraId="5CF49C07" w14:textId="7EA2DB20" w:rsidR="00C06771" w:rsidRPr="00771D2C" w:rsidRDefault="00C06771" w:rsidP="00771D2C">
      <w:pPr>
        <w:pStyle w:val="Footnotes"/>
        <w:ind w:left="993"/>
      </w:pPr>
      <w:r w:rsidRPr="00771D2C">
        <w:rPr>
          <w:rStyle w:val="FootnoteReference"/>
          <w:rFonts w:cstheme="majorBidi"/>
          <w:szCs w:val="18"/>
        </w:rPr>
        <w:footnoteRef/>
      </w:r>
      <w:r w:rsidRPr="00771D2C">
        <w:rPr>
          <w:rFonts w:cstheme="majorBidi"/>
        </w:rPr>
        <w:t xml:space="preserve"> </w:t>
      </w:r>
      <w:r w:rsidRPr="00771D2C">
        <w:t>Party’s response to the communication, p. 1.</w:t>
      </w:r>
    </w:p>
  </w:footnote>
  <w:footnote w:id="77">
    <w:p w14:paraId="2F1296E1" w14:textId="2147204D" w:rsidR="00C06771" w:rsidRPr="00771D2C" w:rsidRDefault="00C06771" w:rsidP="00771D2C">
      <w:pPr>
        <w:pStyle w:val="Footnotes"/>
        <w:ind w:left="993"/>
      </w:pPr>
      <w:r w:rsidRPr="00771D2C">
        <w:rPr>
          <w:rStyle w:val="FootnoteReference"/>
          <w:rFonts w:cstheme="majorBidi"/>
          <w:szCs w:val="18"/>
        </w:rPr>
        <w:footnoteRef/>
      </w:r>
      <w:r w:rsidRPr="00771D2C">
        <w:rPr>
          <w:rFonts w:cstheme="majorBidi"/>
        </w:rPr>
        <w:t xml:space="preserve"> </w:t>
      </w:r>
      <w:r w:rsidRPr="00771D2C">
        <w:t>Party’s response to the communication, p. 1.</w:t>
      </w:r>
    </w:p>
  </w:footnote>
  <w:footnote w:id="78">
    <w:p w14:paraId="77330383" w14:textId="139706BB" w:rsidR="00C06771" w:rsidRPr="00771D2C" w:rsidRDefault="00C06771" w:rsidP="00771D2C">
      <w:pPr>
        <w:pStyle w:val="Footnotes"/>
        <w:ind w:left="993"/>
      </w:pPr>
      <w:r w:rsidRPr="00771D2C">
        <w:rPr>
          <w:rStyle w:val="FootnoteReference"/>
          <w:rFonts w:cstheme="majorBidi"/>
          <w:szCs w:val="18"/>
        </w:rPr>
        <w:footnoteRef/>
      </w:r>
      <w:r w:rsidRPr="00771D2C">
        <w:rPr>
          <w:rFonts w:cstheme="majorBidi"/>
        </w:rPr>
        <w:t xml:space="preserve"> </w:t>
      </w:r>
      <w:r w:rsidRPr="00771D2C">
        <w:t>Party’s response to the communication, p. 1.</w:t>
      </w:r>
    </w:p>
  </w:footnote>
  <w:footnote w:id="79">
    <w:p w14:paraId="0E1038E6" w14:textId="7999DC07" w:rsidR="00C06771" w:rsidRPr="00771D2C" w:rsidRDefault="00C06771" w:rsidP="00FA0A88">
      <w:pPr>
        <w:pStyle w:val="Footnotes"/>
        <w:ind w:left="993"/>
        <w:rPr>
          <w:rFonts w:cstheme="majorBidi"/>
        </w:rPr>
      </w:pPr>
      <w:r w:rsidRPr="00771D2C">
        <w:rPr>
          <w:rStyle w:val="FootnoteReference"/>
          <w:rFonts w:cstheme="majorBidi"/>
          <w:szCs w:val="18"/>
        </w:rPr>
        <w:footnoteRef/>
      </w:r>
      <w:r w:rsidRPr="00771D2C">
        <w:rPr>
          <w:rFonts w:cstheme="majorBidi"/>
        </w:rPr>
        <w:t xml:space="preserve"> Communication, para. 21.</w:t>
      </w:r>
    </w:p>
  </w:footnote>
  <w:footnote w:id="80">
    <w:p w14:paraId="295765D0" w14:textId="23158BC9" w:rsidR="00C06771" w:rsidRPr="00771D2C" w:rsidRDefault="00C06771" w:rsidP="00771D2C">
      <w:pPr>
        <w:pStyle w:val="Footnotes"/>
        <w:ind w:left="993"/>
      </w:pPr>
      <w:r w:rsidRPr="00771D2C">
        <w:rPr>
          <w:rStyle w:val="FootnoteReference"/>
        </w:rPr>
        <w:footnoteRef/>
      </w:r>
      <w:r w:rsidRPr="00771D2C">
        <w:rPr>
          <w:rFonts w:cstheme="majorBidi"/>
        </w:rPr>
        <w:t xml:space="preserve"> Communicants’ comments on Party’s reply to Committee’s questions, 1 March 2021, p. 3.</w:t>
      </w:r>
    </w:p>
  </w:footnote>
  <w:footnote w:id="81">
    <w:p w14:paraId="5A5E6336" w14:textId="76FBDC7A" w:rsidR="00C06771" w:rsidRPr="00771D2C" w:rsidRDefault="00C06771" w:rsidP="00771D2C">
      <w:pPr>
        <w:pStyle w:val="Footnotes"/>
        <w:ind w:left="993"/>
      </w:pPr>
      <w:r w:rsidRPr="00771D2C">
        <w:rPr>
          <w:rStyle w:val="FootnoteReference"/>
          <w:rFonts w:cstheme="majorBidi"/>
          <w:szCs w:val="18"/>
        </w:rPr>
        <w:footnoteRef/>
      </w:r>
      <w:r w:rsidRPr="00771D2C">
        <w:rPr>
          <w:rFonts w:cstheme="majorBidi"/>
        </w:rPr>
        <w:t xml:space="preserve"> </w:t>
      </w:r>
      <w:r w:rsidRPr="00771D2C">
        <w:t xml:space="preserve">Communication, para. 21, citing </w:t>
      </w:r>
      <w:r w:rsidRPr="00771D2C">
        <w:rPr>
          <w:rFonts w:cstheme="majorBidi"/>
        </w:rPr>
        <w:t>ACCC/C/2009/4</w:t>
      </w:r>
      <w:r w:rsidRPr="00771D2C">
        <w:t>1</w:t>
      </w:r>
      <w:r w:rsidRPr="00771D2C">
        <w:rPr>
          <w:rFonts w:cstheme="majorBidi"/>
          <w:lang w:val="en-US"/>
        </w:rPr>
        <w:t xml:space="preserve"> (</w:t>
      </w:r>
      <w:r w:rsidRPr="00771D2C">
        <w:rPr>
          <w:rFonts w:cstheme="majorBidi"/>
        </w:rPr>
        <w:t>ECE/MP.PP/2011/Add. 3</w:t>
      </w:r>
      <w:r w:rsidRPr="00771D2C">
        <w:rPr>
          <w:rFonts w:cstheme="majorBidi"/>
          <w:lang w:val="en-US"/>
        </w:rPr>
        <w:t>), paras. 55-56</w:t>
      </w:r>
      <w:r w:rsidRPr="00771D2C">
        <w:t>.</w:t>
      </w:r>
    </w:p>
  </w:footnote>
  <w:footnote w:id="82">
    <w:p w14:paraId="794530D8" w14:textId="650EFAA2" w:rsidR="00C06771" w:rsidRPr="00771D2C" w:rsidRDefault="00C06771" w:rsidP="00FA0A88">
      <w:pPr>
        <w:pStyle w:val="Footnotes"/>
        <w:ind w:left="993"/>
        <w:rPr>
          <w:rFonts w:cstheme="majorBidi"/>
        </w:rPr>
      </w:pPr>
      <w:r w:rsidRPr="00771D2C">
        <w:rPr>
          <w:rStyle w:val="FootnoteReference"/>
          <w:rFonts w:cstheme="majorBidi"/>
          <w:szCs w:val="18"/>
        </w:rPr>
        <w:footnoteRef/>
      </w:r>
      <w:r w:rsidRPr="00771D2C">
        <w:rPr>
          <w:rFonts w:cstheme="majorBidi"/>
        </w:rPr>
        <w:t xml:space="preserve"> Party’s response to the communication, p. 2.</w:t>
      </w:r>
    </w:p>
  </w:footnote>
  <w:footnote w:id="83">
    <w:p w14:paraId="066A8734" w14:textId="7822B1B3" w:rsidR="00C06771" w:rsidRPr="00771D2C" w:rsidRDefault="00C06771" w:rsidP="00771D2C">
      <w:pPr>
        <w:pStyle w:val="Footnotes"/>
        <w:ind w:left="993"/>
      </w:pPr>
      <w:r w:rsidRPr="00771D2C">
        <w:rPr>
          <w:rStyle w:val="FootnoteReference"/>
          <w:rFonts w:cstheme="majorBidi"/>
          <w:szCs w:val="18"/>
        </w:rPr>
        <w:footnoteRef/>
      </w:r>
      <w:r w:rsidRPr="00771D2C">
        <w:rPr>
          <w:rFonts w:cstheme="majorBidi"/>
        </w:rPr>
        <w:t xml:space="preserve"> </w:t>
      </w:r>
      <w:r w:rsidRPr="00771D2C">
        <w:t>Party’s response to the communication, p. 2.</w:t>
      </w:r>
    </w:p>
  </w:footnote>
  <w:footnote w:id="84">
    <w:p w14:paraId="29496B74" w14:textId="5FF492C0" w:rsidR="00C06771" w:rsidRPr="00771D2C" w:rsidRDefault="00C06771" w:rsidP="00771D2C">
      <w:pPr>
        <w:pStyle w:val="Footnotes"/>
        <w:ind w:left="993"/>
      </w:pPr>
      <w:r w:rsidRPr="00771D2C">
        <w:rPr>
          <w:rStyle w:val="FootnoteReference"/>
          <w:rFonts w:cstheme="majorBidi"/>
          <w:szCs w:val="18"/>
        </w:rPr>
        <w:footnoteRef/>
      </w:r>
      <w:r w:rsidRPr="00771D2C">
        <w:rPr>
          <w:rFonts w:cstheme="majorBidi"/>
        </w:rPr>
        <w:t xml:space="preserve"> </w:t>
      </w:r>
      <w:r w:rsidRPr="00771D2C">
        <w:t>Party’s response to the communication, p. 2.</w:t>
      </w:r>
    </w:p>
  </w:footnote>
  <w:footnote w:id="85">
    <w:p w14:paraId="1066781A" w14:textId="77777777" w:rsidR="00C06771" w:rsidRPr="00771D2C" w:rsidRDefault="00C06771" w:rsidP="00771D2C">
      <w:pPr>
        <w:pStyle w:val="Footnotes"/>
        <w:ind w:left="993"/>
      </w:pPr>
      <w:r w:rsidRPr="00771D2C">
        <w:rPr>
          <w:rStyle w:val="FootnoteReference"/>
          <w:rFonts w:cstheme="majorBidi"/>
        </w:rPr>
        <w:footnoteRef/>
      </w:r>
      <w:r w:rsidRPr="00771D2C">
        <w:rPr>
          <w:rFonts w:cstheme="majorBidi"/>
        </w:rPr>
        <w:t xml:space="preserve"> </w:t>
      </w:r>
      <w:r w:rsidRPr="00771D2C">
        <w:t>Party’s response to the communication, p. 2.</w:t>
      </w:r>
    </w:p>
  </w:footnote>
  <w:footnote w:id="86">
    <w:p w14:paraId="45095A95" w14:textId="77777777" w:rsidR="00C06771" w:rsidRPr="00771D2C" w:rsidRDefault="00C06771" w:rsidP="00771D2C">
      <w:pPr>
        <w:pStyle w:val="Footnotes"/>
        <w:ind w:left="993"/>
      </w:pPr>
      <w:r w:rsidRPr="00771D2C">
        <w:rPr>
          <w:rStyle w:val="FootnoteReference"/>
          <w:rFonts w:cstheme="majorBidi"/>
        </w:rPr>
        <w:footnoteRef/>
      </w:r>
      <w:r w:rsidRPr="00771D2C">
        <w:rPr>
          <w:rFonts w:cstheme="majorBidi"/>
        </w:rPr>
        <w:t xml:space="preserve"> </w:t>
      </w:r>
      <w:r w:rsidRPr="00771D2C">
        <w:t>Party’s response to the communication, p. 2.</w:t>
      </w:r>
    </w:p>
  </w:footnote>
  <w:footnote w:id="87">
    <w:p w14:paraId="47063B35" w14:textId="77777777" w:rsidR="00C06771" w:rsidRPr="00771D2C" w:rsidRDefault="00C06771" w:rsidP="00771D2C">
      <w:pPr>
        <w:pStyle w:val="Footnotes"/>
        <w:ind w:left="993"/>
      </w:pPr>
      <w:r w:rsidRPr="00771D2C">
        <w:rPr>
          <w:rStyle w:val="FootnoteReference"/>
          <w:rFonts w:cstheme="majorBidi"/>
        </w:rPr>
        <w:footnoteRef/>
      </w:r>
      <w:r w:rsidRPr="00771D2C">
        <w:rPr>
          <w:rFonts w:cstheme="majorBidi"/>
        </w:rPr>
        <w:t xml:space="preserve"> </w:t>
      </w:r>
      <w:r w:rsidRPr="00771D2C">
        <w:t>Party’s response to the communication, p. 2.</w:t>
      </w:r>
    </w:p>
  </w:footnote>
  <w:footnote w:id="88">
    <w:p w14:paraId="3A6BEB76" w14:textId="77777777" w:rsidR="00C06771" w:rsidRPr="00771D2C" w:rsidRDefault="00C06771" w:rsidP="00771D2C">
      <w:pPr>
        <w:pStyle w:val="Footnotes"/>
        <w:ind w:left="993"/>
      </w:pPr>
      <w:r w:rsidRPr="00771D2C">
        <w:rPr>
          <w:rStyle w:val="FootnoteReference"/>
          <w:rFonts w:cstheme="majorBidi"/>
        </w:rPr>
        <w:footnoteRef/>
      </w:r>
      <w:r w:rsidRPr="00771D2C">
        <w:rPr>
          <w:rFonts w:cstheme="majorBidi"/>
        </w:rPr>
        <w:t xml:space="preserve"> </w:t>
      </w:r>
      <w:r w:rsidRPr="00771D2C">
        <w:t>Party’s response to the communication, p. 2.</w:t>
      </w:r>
    </w:p>
  </w:footnote>
  <w:footnote w:id="89">
    <w:p w14:paraId="01D7E5C2" w14:textId="6588D9E2" w:rsidR="00C06771" w:rsidRPr="00771D2C" w:rsidRDefault="00C06771" w:rsidP="00FA0A88">
      <w:pPr>
        <w:pStyle w:val="Footnotes"/>
        <w:ind w:left="993"/>
        <w:rPr>
          <w:rFonts w:cstheme="majorBidi"/>
        </w:rPr>
      </w:pPr>
      <w:r w:rsidRPr="00771D2C">
        <w:rPr>
          <w:rStyle w:val="FootnoteReference"/>
          <w:rFonts w:cstheme="majorBidi"/>
          <w:szCs w:val="18"/>
        </w:rPr>
        <w:footnoteRef/>
      </w:r>
      <w:r w:rsidRPr="00771D2C">
        <w:rPr>
          <w:rFonts w:cstheme="majorBidi"/>
        </w:rPr>
        <w:t xml:space="preserve"> Party’s response to the communication, p. 2.</w:t>
      </w:r>
    </w:p>
  </w:footnote>
  <w:footnote w:id="90">
    <w:p w14:paraId="01440235" w14:textId="77777777" w:rsidR="00C06771" w:rsidRPr="00771D2C" w:rsidRDefault="00C06771" w:rsidP="00FA0A88">
      <w:pPr>
        <w:pStyle w:val="Footnotes"/>
        <w:ind w:left="993"/>
        <w:rPr>
          <w:rFonts w:cstheme="majorBidi"/>
        </w:rPr>
      </w:pPr>
      <w:r w:rsidRPr="00771D2C">
        <w:rPr>
          <w:rStyle w:val="FootnoteReference"/>
          <w:rFonts w:cstheme="majorBidi"/>
          <w:szCs w:val="18"/>
        </w:rPr>
        <w:footnoteRef/>
      </w:r>
      <w:r w:rsidRPr="00771D2C">
        <w:rPr>
          <w:rFonts w:cstheme="majorBidi"/>
        </w:rPr>
        <w:t xml:space="preserve"> Party’s response to the communication, p. 2.</w:t>
      </w:r>
    </w:p>
  </w:footnote>
  <w:footnote w:id="91">
    <w:p w14:paraId="450549CB" w14:textId="650AB5F2" w:rsidR="00C06771" w:rsidRPr="00771D2C" w:rsidRDefault="00C06771" w:rsidP="00771D2C">
      <w:pPr>
        <w:pStyle w:val="Footnotes"/>
        <w:ind w:left="993"/>
      </w:pPr>
      <w:r w:rsidRPr="00771D2C">
        <w:rPr>
          <w:rStyle w:val="FootnoteReference"/>
          <w:rFonts w:cstheme="majorBidi"/>
          <w:szCs w:val="18"/>
        </w:rPr>
        <w:footnoteRef/>
      </w:r>
      <w:r w:rsidRPr="00771D2C">
        <w:rPr>
          <w:rFonts w:cstheme="majorBidi"/>
        </w:rPr>
        <w:t xml:space="preserve"> </w:t>
      </w:r>
      <w:r w:rsidRPr="00771D2C">
        <w:t>Party’s response to the communication, p. 3.</w:t>
      </w:r>
    </w:p>
  </w:footnote>
  <w:footnote w:id="92">
    <w:p w14:paraId="44FD5F3D" w14:textId="0EF39CCE" w:rsidR="00C06771" w:rsidRPr="00771D2C" w:rsidRDefault="00C06771" w:rsidP="00771D2C">
      <w:pPr>
        <w:pStyle w:val="Footnotes"/>
        <w:ind w:left="993"/>
      </w:pPr>
      <w:r w:rsidRPr="00771D2C">
        <w:rPr>
          <w:rStyle w:val="FootnoteReference"/>
          <w:rFonts w:cstheme="majorBidi"/>
          <w:szCs w:val="18"/>
        </w:rPr>
        <w:footnoteRef/>
      </w:r>
      <w:r w:rsidRPr="00771D2C">
        <w:rPr>
          <w:rFonts w:cstheme="majorBidi"/>
        </w:rPr>
        <w:t xml:space="preserve"> </w:t>
      </w:r>
      <w:r w:rsidRPr="00771D2C">
        <w:t>Party’s response to the communication, p. 3.</w:t>
      </w:r>
    </w:p>
  </w:footnote>
  <w:footnote w:id="93">
    <w:p w14:paraId="36C67F46" w14:textId="7D328691" w:rsidR="00C06771" w:rsidRPr="00771D2C" w:rsidRDefault="00C06771" w:rsidP="00771D2C">
      <w:pPr>
        <w:pStyle w:val="Footnotes"/>
        <w:ind w:left="993"/>
        <w:rPr>
          <w:rFonts w:cstheme="majorBidi"/>
          <w:lang w:val="fr-CH"/>
        </w:rPr>
      </w:pPr>
      <w:r w:rsidRPr="00771D2C">
        <w:rPr>
          <w:rStyle w:val="FootnoteReference"/>
        </w:rPr>
        <w:footnoteRef/>
      </w:r>
      <w:r w:rsidRPr="00771D2C">
        <w:rPr>
          <w:rFonts w:cstheme="majorBidi"/>
          <w:lang w:val="fr-CH"/>
        </w:rPr>
        <w:t xml:space="preserve"> Communication, para. 22.</w:t>
      </w:r>
    </w:p>
  </w:footnote>
  <w:footnote w:id="94">
    <w:p w14:paraId="34011E2C" w14:textId="77777777" w:rsidR="00C06771" w:rsidRPr="00771D2C" w:rsidRDefault="00C06771" w:rsidP="00771D2C">
      <w:pPr>
        <w:pStyle w:val="Footnotes"/>
        <w:ind w:left="993"/>
        <w:rPr>
          <w:rFonts w:cstheme="majorBidi"/>
          <w:lang w:val="fr-CH"/>
        </w:rPr>
      </w:pPr>
      <w:r w:rsidRPr="00771D2C">
        <w:rPr>
          <w:rStyle w:val="FootnoteReference"/>
        </w:rPr>
        <w:footnoteRef/>
      </w:r>
      <w:r w:rsidRPr="00771D2C">
        <w:rPr>
          <w:rFonts w:cstheme="majorBidi"/>
          <w:lang w:val="fr-CH"/>
        </w:rPr>
        <w:t xml:space="preserve"> Communication, para. 22.</w:t>
      </w:r>
    </w:p>
  </w:footnote>
  <w:footnote w:id="95">
    <w:p w14:paraId="39D80B38" w14:textId="27617B79" w:rsidR="00C06771" w:rsidRPr="00771D2C" w:rsidRDefault="00C06771" w:rsidP="00771D2C">
      <w:pPr>
        <w:pStyle w:val="Footnotes"/>
        <w:ind w:left="993"/>
      </w:pPr>
      <w:r w:rsidRPr="00771D2C">
        <w:rPr>
          <w:rStyle w:val="FootnoteReference"/>
        </w:rPr>
        <w:footnoteRef/>
      </w:r>
      <w:r w:rsidRPr="00771D2C">
        <w:rPr>
          <w:rFonts w:cstheme="majorBidi"/>
          <w:lang w:val="fr-CH"/>
        </w:rPr>
        <w:t xml:space="preserve"> Communication, paras. </w:t>
      </w:r>
      <w:r w:rsidRPr="00771D2C">
        <w:t>7 and 23.</w:t>
      </w:r>
    </w:p>
  </w:footnote>
  <w:footnote w:id="96">
    <w:p w14:paraId="62351134" w14:textId="2E0A9C63" w:rsidR="00C06771" w:rsidRPr="00771D2C" w:rsidRDefault="00C06771" w:rsidP="00FA0A88">
      <w:pPr>
        <w:pStyle w:val="Footnotes"/>
        <w:ind w:left="993"/>
        <w:rPr>
          <w:rFonts w:cstheme="majorBidi"/>
        </w:rPr>
      </w:pPr>
      <w:r w:rsidRPr="00771D2C">
        <w:rPr>
          <w:rStyle w:val="FootnoteReference"/>
          <w:rFonts w:cstheme="majorBidi"/>
          <w:szCs w:val="18"/>
        </w:rPr>
        <w:footnoteRef/>
      </w:r>
      <w:r w:rsidRPr="00771D2C">
        <w:rPr>
          <w:rFonts w:cstheme="majorBidi"/>
        </w:rPr>
        <w:t xml:space="preserve"> Communication, paras. 7 and 23.</w:t>
      </w:r>
    </w:p>
  </w:footnote>
  <w:footnote w:id="97">
    <w:p w14:paraId="34A268F9" w14:textId="4F2C12DF" w:rsidR="00C06771" w:rsidRPr="00771D2C" w:rsidRDefault="00C06771" w:rsidP="00771D2C">
      <w:pPr>
        <w:pStyle w:val="Footnotes"/>
        <w:ind w:left="993"/>
      </w:pPr>
      <w:r w:rsidRPr="00771D2C">
        <w:rPr>
          <w:rStyle w:val="FootnoteReference"/>
        </w:rPr>
        <w:footnoteRef/>
      </w:r>
      <w:r w:rsidRPr="00771D2C">
        <w:t xml:space="preserve"> </w:t>
      </w:r>
      <w:bookmarkStart w:id="34" w:name="_Hlk5617304"/>
      <w:r w:rsidRPr="00771D2C">
        <w:t xml:space="preserve">Communication, para. 24, citing </w:t>
      </w:r>
      <w:r w:rsidRPr="00771D2C">
        <w:rPr>
          <w:rFonts w:cstheme="majorBidi"/>
        </w:rPr>
        <w:t>ACCC/C/2010/50</w:t>
      </w:r>
      <w:r w:rsidRPr="00771D2C">
        <w:t xml:space="preserve"> (</w:t>
      </w:r>
      <w:r w:rsidRPr="00771D2C">
        <w:rPr>
          <w:rFonts w:cstheme="majorBidi"/>
        </w:rPr>
        <w:t>ECE/MP.PP/C.1/2012/11</w:t>
      </w:r>
      <w:r w:rsidRPr="00771D2C">
        <w:t>)</w:t>
      </w:r>
      <w:r w:rsidRPr="00771D2C">
        <w:rPr>
          <w:rFonts w:cstheme="majorBidi"/>
        </w:rPr>
        <w:t>, para. 70</w:t>
      </w:r>
      <w:r w:rsidRPr="00771D2C">
        <w:t>.</w:t>
      </w:r>
      <w:bookmarkEnd w:id="34"/>
    </w:p>
  </w:footnote>
  <w:footnote w:id="98">
    <w:p w14:paraId="3393E651" w14:textId="3FF92A92" w:rsidR="00C06771" w:rsidRPr="00771D2C" w:rsidRDefault="00C06771" w:rsidP="00771D2C">
      <w:pPr>
        <w:pStyle w:val="Footnotes"/>
        <w:ind w:left="993"/>
      </w:pPr>
      <w:r w:rsidRPr="00771D2C">
        <w:rPr>
          <w:rStyle w:val="FootnoteReference"/>
        </w:rPr>
        <w:footnoteRef/>
      </w:r>
      <w:r w:rsidRPr="00771D2C">
        <w:t xml:space="preserve"> Communication, para. 24.</w:t>
      </w:r>
    </w:p>
  </w:footnote>
  <w:footnote w:id="99">
    <w:p w14:paraId="22A0A051" w14:textId="401B10CC" w:rsidR="00C06771" w:rsidRPr="00771D2C" w:rsidRDefault="00C06771" w:rsidP="00771D2C">
      <w:pPr>
        <w:pStyle w:val="Footnotes"/>
        <w:ind w:left="993"/>
        <w:rPr>
          <w:rFonts w:cstheme="majorBidi"/>
          <w:lang w:val="fr-CH"/>
        </w:rPr>
      </w:pPr>
      <w:r w:rsidRPr="00771D2C">
        <w:rPr>
          <w:rStyle w:val="FootnoteReference"/>
        </w:rPr>
        <w:footnoteRef/>
      </w:r>
      <w:r w:rsidRPr="00771D2C">
        <w:t xml:space="preserve"> Communication, para. 24, citing </w:t>
      </w:r>
      <w:r w:rsidRPr="00771D2C">
        <w:rPr>
          <w:rFonts w:cstheme="majorBidi"/>
        </w:rPr>
        <w:t xml:space="preserve">ACCC/C/2004/3 and ACCC/S/2004/1 </w:t>
      </w:r>
      <w:r w:rsidRPr="00771D2C">
        <w:t>(</w:t>
      </w:r>
      <w:r w:rsidRPr="00771D2C">
        <w:rPr>
          <w:rFonts w:cstheme="majorBidi"/>
        </w:rPr>
        <w:t>ECE/MP.PP/C.1/2005/2/Add.3</w:t>
      </w:r>
      <w:r w:rsidRPr="00771D2C">
        <w:t>)</w:t>
      </w:r>
      <w:r w:rsidRPr="00771D2C">
        <w:rPr>
          <w:rFonts w:cstheme="majorBidi"/>
        </w:rPr>
        <w:t xml:space="preserve">, para. </w:t>
      </w:r>
      <w:r w:rsidRPr="00771D2C">
        <w:rPr>
          <w:lang w:val="fr-CH"/>
        </w:rPr>
        <w:t>28</w:t>
      </w:r>
      <w:r w:rsidRPr="00771D2C">
        <w:rPr>
          <w:rFonts w:cstheme="majorBidi"/>
          <w:lang w:val="fr-CH"/>
        </w:rPr>
        <w:t>.</w:t>
      </w:r>
    </w:p>
  </w:footnote>
  <w:footnote w:id="100">
    <w:p w14:paraId="2F81A49D" w14:textId="028BBE18" w:rsidR="00C06771" w:rsidRPr="00771D2C" w:rsidRDefault="00C06771" w:rsidP="00771D2C">
      <w:pPr>
        <w:pStyle w:val="Footnotes"/>
        <w:ind w:left="993"/>
        <w:rPr>
          <w:rFonts w:cstheme="majorBidi"/>
          <w:lang w:val="fr-CH"/>
        </w:rPr>
      </w:pPr>
      <w:r w:rsidRPr="00771D2C">
        <w:rPr>
          <w:rStyle w:val="FootnoteReference"/>
        </w:rPr>
        <w:footnoteRef/>
      </w:r>
      <w:r w:rsidRPr="00771D2C">
        <w:rPr>
          <w:rFonts w:cstheme="majorBidi"/>
          <w:lang w:val="fr-CH"/>
        </w:rPr>
        <w:t xml:space="preserve"> Communication, para. 24.</w:t>
      </w:r>
    </w:p>
  </w:footnote>
  <w:footnote w:id="101">
    <w:p w14:paraId="0C2B51D8" w14:textId="77777777" w:rsidR="00C06771" w:rsidRPr="00771D2C" w:rsidRDefault="00C06771" w:rsidP="00771D2C">
      <w:pPr>
        <w:pStyle w:val="Footnotes"/>
        <w:ind w:left="993"/>
        <w:rPr>
          <w:rFonts w:cstheme="majorBidi"/>
          <w:lang w:val="fr-CH"/>
        </w:rPr>
      </w:pPr>
      <w:r w:rsidRPr="00771D2C">
        <w:rPr>
          <w:rStyle w:val="FootnoteReference"/>
        </w:rPr>
        <w:footnoteRef/>
      </w:r>
      <w:r w:rsidRPr="00771D2C">
        <w:rPr>
          <w:rFonts w:cstheme="majorBidi"/>
          <w:lang w:val="fr-CH"/>
        </w:rPr>
        <w:t xml:space="preserve"> Communication, para. 24.</w:t>
      </w:r>
    </w:p>
  </w:footnote>
  <w:footnote w:id="102">
    <w:p w14:paraId="3EBF1402" w14:textId="77777777" w:rsidR="00C06771" w:rsidRPr="00771D2C" w:rsidRDefault="00C06771" w:rsidP="00771D2C">
      <w:pPr>
        <w:pStyle w:val="Footnotes"/>
        <w:ind w:left="993"/>
        <w:rPr>
          <w:rFonts w:cstheme="majorBidi"/>
          <w:lang w:val="fr-CH"/>
        </w:rPr>
      </w:pPr>
      <w:r w:rsidRPr="00771D2C">
        <w:rPr>
          <w:rStyle w:val="FootnoteReference"/>
        </w:rPr>
        <w:footnoteRef/>
      </w:r>
      <w:r w:rsidRPr="00771D2C">
        <w:rPr>
          <w:rFonts w:cstheme="majorBidi"/>
          <w:lang w:val="fr-CH"/>
        </w:rPr>
        <w:t xml:space="preserve"> Communication, para. 24.</w:t>
      </w:r>
    </w:p>
  </w:footnote>
  <w:footnote w:id="103">
    <w:p w14:paraId="4CD68D9F" w14:textId="60F45FB4" w:rsidR="00C06771" w:rsidRPr="00771D2C" w:rsidRDefault="00C06771" w:rsidP="00771D2C">
      <w:pPr>
        <w:pStyle w:val="Footnotes"/>
        <w:ind w:left="993"/>
        <w:rPr>
          <w:rFonts w:cstheme="majorBidi"/>
          <w:lang w:val="fr-CH"/>
        </w:rPr>
      </w:pPr>
      <w:r w:rsidRPr="00771D2C">
        <w:rPr>
          <w:rStyle w:val="FootnoteReference"/>
        </w:rPr>
        <w:footnoteRef/>
      </w:r>
      <w:r w:rsidRPr="00771D2C">
        <w:rPr>
          <w:rFonts w:cstheme="majorBidi"/>
          <w:lang w:val="fr-CH"/>
        </w:rPr>
        <w:t xml:space="preserve"> Communication, para. 24.</w:t>
      </w:r>
    </w:p>
  </w:footnote>
  <w:footnote w:id="104">
    <w:p w14:paraId="7E4FFF4E" w14:textId="2E058F13" w:rsidR="00C06771" w:rsidRPr="00C55B35" w:rsidRDefault="00C06771" w:rsidP="00771D2C">
      <w:pPr>
        <w:pStyle w:val="Footnotes"/>
        <w:ind w:left="993"/>
        <w:rPr>
          <w:lang w:val="fr-FR"/>
        </w:rPr>
      </w:pPr>
      <w:r w:rsidRPr="00771D2C">
        <w:rPr>
          <w:rStyle w:val="FootnoteReference"/>
          <w:rFonts w:cstheme="majorBidi"/>
          <w:szCs w:val="18"/>
        </w:rPr>
        <w:footnoteRef/>
      </w:r>
      <w:r w:rsidRPr="00C55B35">
        <w:rPr>
          <w:lang w:val="fr-FR"/>
        </w:rPr>
        <w:t xml:space="preserve"> Party’s response to the communication, p. 3.</w:t>
      </w:r>
    </w:p>
  </w:footnote>
  <w:footnote w:id="105">
    <w:p w14:paraId="46250EC6" w14:textId="02348D95" w:rsidR="00C06771" w:rsidRPr="00771D2C" w:rsidRDefault="00C06771" w:rsidP="00771D2C">
      <w:pPr>
        <w:pStyle w:val="Footnotes"/>
        <w:ind w:left="993"/>
        <w:rPr>
          <w:rFonts w:cstheme="majorBidi"/>
          <w:lang w:val="fr-CH"/>
        </w:rPr>
      </w:pPr>
      <w:r w:rsidRPr="00771D2C">
        <w:rPr>
          <w:rStyle w:val="FootnoteReference"/>
        </w:rPr>
        <w:footnoteRef/>
      </w:r>
      <w:r w:rsidRPr="00C55B35">
        <w:t xml:space="preserve"> Communication, para. 25, citing ACCC/C/2005/11 (ECE/MP.PP/C.1/2006/4/Add.2), para. </w:t>
      </w:r>
      <w:r w:rsidRPr="00771D2C">
        <w:rPr>
          <w:lang w:val="fr-CH"/>
        </w:rPr>
        <w:t>26</w:t>
      </w:r>
      <w:r w:rsidRPr="00771D2C">
        <w:rPr>
          <w:rFonts w:cstheme="majorBidi"/>
          <w:lang w:val="fr-CH"/>
        </w:rPr>
        <w:t>.</w:t>
      </w:r>
    </w:p>
  </w:footnote>
  <w:footnote w:id="106">
    <w:p w14:paraId="6028903C" w14:textId="77777777" w:rsidR="00C06771" w:rsidRPr="00771D2C" w:rsidRDefault="00C06771" w:rsidP="00FA0A88">
      <w:pPr>
        <w:pStyle w:val="Footnotes"/>
        <w:ind w:left="993"/>
        <w:rPr>
          <w:rFonts w:cstheme="majorBidi"/>
          <w:lang w:val="fr-CH"/>
        </w:rPr>
      </w:pPr>
      <w:r w:rsidRPr="00771D2C">
        <w:rPr>
          <w:rStyle w:val="FootnoteReference"/>
          <w:rFonts w:cstheme="majorBidi"/>
        </w:rPr>
        <w:footnoteRef/>
      </w:r>
      <w:r w:rsidRPr="00771D2C">
        <w:rPr>
          <w:rFonts w:cstheme="majorBidi"/>
          <w:lang w:val="fr-CH"/>
        </w:rPr>
        <w:t xml:space="preserve"> Communication, paras. 26-28.</w:t>
      </w:r>
    </w:p>
  </w:footnote>
  <w:footnote w:id="107">
    <w:p w14:paraId="32292FD0" w14:textId="77777777" w:rsidR="00C06771" w:rsidRPr="00771D2C" w:rsidRDefault="00C06771" w:rsidP="00771D2C">
      <w:pPr>
        <w:pStyle w:val="Footnotes"/>
        <w:ind w:left="993"/>
        <w:rPr>
          <w:rFonts w:cstheme="majorBidi"/>
          <w:lang w:val="fr-CH"/>
        </w:rPr>
      </w:pPr>
      <w:r w:rsidRPr="00771D2C">
        <w:rPr>
          <w:rStyle w:val="FootnoteReference"/>
        </w:rPr>
        <w:footnoteRef/>
      </w:r>
      <w:r w:rsidRPr="00771D2C">
        <w:rPr>
          <w:rFonts w:cstheme="majorBidi"/>
          <w:lang w:val="fr-CH"/>
        </w:rPr>
        <w:t xml:space="preserve"> Communication, para. 26.</w:t>
      </w:r>
    </w:p>
  </w:footnote>
  <w:footnote w:id="108">
    <w:p w14:paraId="2248845E" w14:textId="34BA4814" w:rsidR="00C06771" w:rsidRPr="00771D2C" w:rsidRDefault="00C06771" w:rsidP="00771D2C">
      <w:pPr>
        <w:pStyle w:val="Footnotes"/>
        <w:ind w:left="993"/>
        <w:rPr>
          <w:rFonts w:cstheme="majorBidi"/>
          <w:lang w:val="fr-CH"/>
        </w:rPr>
      </w:pPr>
      <w:r w:rsidRPr="00771D2C">
        <w:rPr>
          <w:rStyle w:val="FootnoteReference"/>
        </w:rPr>
        <w:footnoteRef/>
      </w:r>
      <w:r w:rsidRPr="00771D2C">
        <w:rPr>
          <w:rFonts w:cstheme="majorBidi"/>
          <w:lang w:val="fr-CH"/>
        </w:rPr>
        <w:t xml:space="preserve"> Communication, para. 27.</w:t>
      </w:r>
    </w:p>
  </w:footnote>
  <w:footnote w:id="109">
    <w:p w14:paraId="32632BCF" w14:textId="77777777" w:rsidR="00C06771" w:rsidRPr="00771D2C" w:rsidRDefault="00C06771" w:rsidP="00771D2C">
      <w:pPr>
        <w:pStyle w:val="Footnotes"/>
        <w:ind w:left="993"/>
        <w:rPr>
          <w:rFonts w:cstheme="majorBidi"/>
          <w:lang w:val="fr-CH"/>
        </w:rPr>
      </w:pPr>
      <w:r w:rsidRPr="00771D2C">
        <w:rPr>
          <w:rStyle w:val="FootnoteReference"/>
        </w:rPr>
        <w:footnoteRef/>
      </w:r>
      <w:r w:rsidRPr="00771D2C">
        <w:rPr>
          <w:rFonts w:cstheme="majorBidi"/>
          <w:lang w:val="fr-CH"/>
        </w:rPr>
        <w:t xml:space="preserve"> Communication, para. 27.</w:t>
      </w:r>
    </w:p>
  </w:footnote>
  <w:footnote w:id="110">
    <w:p w14:paraId="41D93C1A" w14:textId="77777777" w:rsidR="00C06771" w:rsidRPr="00C55B35" w:rsidRDefault="00C06771" w:rsidP="00771D2C">
      <w:pPr>
        <w:pStyle w:val="Footnotes"/>
        <w:ind w:left="993"/>
      </w:pPr>
      <w:r w:rsidRPr="00771D2C">
        <w:rPr>
          <w:rStyle w:val="FootnoteReference"/>
        </w:rPr>
        <w:footnoteRef/>
      </w:r>
      <w:r w:rsidRPr="00771D2C">
        <w:rPr>
          <w:rFonts w:cstheme="majorBidi"/>
          <w:lang w:val="fr-CH"/>
        </w:rPr>
        <w:t xml:space="preserve"> Communication, para. </w:t>
      </w:r>
      <w:r w:rsidRPr="00C55B35">
        <w:t>28.</w:t>
      </w:r>
    </w:p>
  </w:footnote>
  <w:footnote w:id="111">
    <w:p w14:paraId="3E51DF58" w14:textId="711D38EC" w:rsidR="00C06771" w:rsidRPr="00771D2C" w:rsidRDefault="00C06771" w:rsidP="00771D2C">
      <w:pPr>
        <w:pStyle w:val="Footnotes"/>
        <w:ind w:left="993"/>
      </w:pPr>
      <w:r w:rsidRPr="00771D2C">
        <w:rPr>
          <w:rStyle w:val="FootnoteReference"/>
        </w:rPr>
        <w:footnoteRef/>
      </w:r>
      <w:r w:rsidRPr="00C55B35">
        <w:t xml:space="preserve"> Communication, para. </w:t>
      </w:r>
      <w:r w:rsidRPr="00771D2C">
        <w:t>29.</w:t>
      </w:r>
    </w:p>
  </w:footnote>
  <w:footnote w:id="112">
    <w:p w14:paraId="0B171A8B" w14:textId="1C0FA603" w:rsidR="00C06771" w:rsidRPr="00771D2C" w:rsidRDefault="00C06771" w:rsidP="00771D2C">
      <w:pPr>
        <w:pStyle w:val="Footnotes"/>
        <w:ind w:left="993"/>
      </w:pPr>
      <w:r w:rsidRPr="00771D2C">
        <w:rPr>
          <w:rStyle w:val="FootnoteReference"/>
          <w:rFonts w:cstheme="majorBidi"/>
          <w:szCs w:val="18"/>
        </w:rPr>
        <w:footnoteRef/>
      </w:r>
      <w:r w:rsidRPr="00771D2C">
        <w:rPr>
          <w:rFonts w:cstheme="majorBidi"/>
        </w:rPr>
        <w:t xml:space="preserve"> </w:t>
      </w:r>
      <w:r w:rsidRPr="00771D2C">
        <w:t>Party’s response to the communication, p. 3.</w:t>
      </w:r>
    </w:p>
  </w:footnote>
  <w:footnote w:id="113">
    <w:p w14:paraId="6208D676" w14:textId="77777777" w:rsidR="00C06771" w:rsidRPr="00771D2C" w:rsidRDefault="00C06771" w:rsidP="00FA0A88">
      <w:pPr>
        <w:pStyle w:val="Footnotes"/>
        <w:ind w:left="993"/>
        <w:rPr>
          <w:rFonts w:cstheme="majorBidi"/>
        </w:rPr>
      </w:pPr>
      <w:r w:rsidRPr="00771D2C">
        <w:rPr>
          <w:rStyle w:val="FootnoteReference"/>
          <w:rFonts w:cstheme="majorBidi"/>
        </w:rPr>
        <w:footnoteRef/>
      </w:r>
      <w:r w:rsidRPr="00771D2C">
        <w:rPr>
          <w:rFonts w:cstheme="majorBidi"/>
        </w:rPr>
        <w:t xml:space="preserve"> Party’s reply to Committee’s questions, 8 February 2021, pp. 3-4. </w:t>
      </w:r>
    </w:p>
  </w:footnote>
  <w:footnote w:id="114">
    <w:p w14:paraId="318F19B1" w14:textId="7CDF398F" w:rsidR="00C06771" w:rsidRPr="00771D2C" w:rsidRDefault="00C06771" w:rsidP="00771D2C">
      <w:pPr>
        <w:pStyle w:val="Footnotes"/>
        <w:ind w:left="993"/>
        <w:rPr>
          <w:rFonts w:cstheme="majorBidi"/>
          <w:lang w:val="fr-CH"/>
        </w:rPr>
      </w:pPr>
      <w:r w:rsidRPr="00771D2C">
        <w:rPr>
          <w:rStyle w:val="FootnoteReference"/>
        </w:rPr>
        <w:footnoteRef/>
      </w:r>
      <w:r w:rsidRPr="00771D2C">
        <w:rPr>
          <w:rFonts w:cstheme="majorBidi"/>
          <w:lang w:val="fr-CH"/>
        </w:rPr>
        <w:t xml:space="preserve"> Communication, para. 30.</w:t>
      </w:r>
    </w:p>
  </w:footnote>
  <w:footnote w:id="115">
    <w:p w14:paraId="7D4DBC43" w14:textId="7A0269F1" w:rsidR="00C06771" w:rsidRPr="00771D2C" w:rsidRDefault="00C06771" w:rsidP="00771D2C">
      <w:pPr>
        <w:pStyle w:val="Footnotes"/>
        <w:ind w:left="993"/>
        <w:rPr>
          <w:rFonts w:cstheme="majorBidi"/>
          <w:lang w:val="fr-CH"/>
        </w:rPr>
      </w:pPr>
      <w:r w:rsidRPr="00771D2C">
        <w:rPr>
          <w:rStyle w:val="FootnoteReference"/>
        </w:rPr>
        <w:footnoteRef/>
      </w:r>
      <w:r w:rsidRPr="00771D2C">
        <w:rPr>
          <w:lang w:val="fr-CH"/>
        </w:rPr>
        <w:t xml:space="preserve"> Communication, para. 30, citing ACCC/C/2004/1 (ECE/MP.PP/C.1/2005/2/Add.1), para. 23</w:t>
      </w:r>
      <w:r w:rsidRPr="00771D2C">
        <w:rPr>
          <w:rFonts w:cstheme="majorBidi"/>
          <w:lang w:val="fr-CH"/>
        </w:rPr>
        <w:t>.</w:t>
      </w:r>
    </w:p>
  </w:footnote>
  <w:footnote w:id="116">
    <w:p w14:paraId="2B13215E" w14:textId="10279856" w:rsidR="00C06771" w:rsidRPr="00771D2C" w:rsidRDefault="00C06771" w:rsidP="00771D2C">
      <w:pPr>
        <w:pStyle w:val="Footnotes"/>
        <w:ind w:left="993"/>
        <w:rPr>
          <w:rFonts w:cstheme="majorBidi"/>
          <w:lang w:val="fr-CH"/>
        </w:rPr>
      </w:pPr>
      <w:r w:rsidRPr="00771D2C">
        <w:rPr>
          <w:rStyle w:val="FootnoteReference"/>
        </w:rPr>
        <w:footnoteRef/>
      </w:r>
      <w:r w:rsidRPr="00771D2C">
        <w:rPr>
          <w:rFonts w:cstheme="majorBidi"/>
          <w:lang w:val="fr-CH"/>
        </w:rPr>
        <w:t xml:space="preserve"> Communication, para. 31.</w:t>
      </w:r>
    </w:p>
  </w:footnote>
  <w:footnote w:id="117">
    <w:p w14:paraId="719D8769" w14:textId="3FF50608" w:rsidR="00C06771" w:rsidRPr="00771D2C" w:rsidRDefault="00C06771" w:rsidP="00771D2C">
      <w:pPr>
        <w:pStyle w:val="Footnotes"/>
        <w:ind w:left="993"/>
        <w:rPr>
          <w:rFonts w:cstheme="majorBidi"/>
          <w:lang w:val="fr-CH"/>
        </w:rPr>
      </w:pPr>
      <w:r w:rsidRPr="00771D2C">
        <w:rPr>
          <w:rStyle w:val="FootnoteReference"/>
        </w:rPr>
        <w:footnoteRef/>
      </w:r>
      <w:r w:rsidRPr="00771D2C">
        <w:rPr>
          <w:rFonts w:cstheme="majorBidi"/>
          <w:lang w:val="fr-CH"/>
        </w:rPr>
        <w:t xml:space="preserve"> Communication, para. 31.</w:t>
      </w:r>
    </w:p>
  </w:footnote>
  <w:footnote w:id="118">
    <w:p w14:paraId="7E9213AD" w14:textId="77777777" w:rsidR="00C06771" w:rsidRPr="00771D2C" w:rsidRDefault="00C06771" w:rsidP="00771D2C">
      <w:pPr>
        <w:pStyle w:val="Footnotes"/>
        <w:ind w:left="993"/>
        <w:rPr>
          <w:rFonts w:cstheme="majorBidi"/>
          <w:lang w:val="fr-CH"/>
        </w:rPr>
      </w:pPr>
      <w:r w:rsidRPr="00771D2C">
        <w:rPr>
          <w:rStyle w:val="FootnoteReference"/>
        </w:rPr>
        <w:footnoteRef/>
      </w:r>
      <w:r w:rsidRPr="00771D2C">
        <w:rPr>
          <w:rFonts w:cstheme="majorBidi"/>
          <w:lang w:val="fr-CH"/>
        </w:rPr>
        <w:t xml:space="preserve"> Communication, para. 31.</w:t>
      </w:r>
    </w:p>
  </w:footnote>
  <w:footnote w:id="119">
    <w:p w14:paraId="0CEDA319" w14:textId="77777777" w:rsidR="00C06771" w:rsidRPr="00771D2C" w:rsidRDefault="00C06771" w:rsidP="00771D2C">
      <w:pPr>
        <w:pStyle w:val="Footnotes"/>
        <w:ind w:left="993"/>
        <w:rPr>
          <w:rFonts w:cstheme="majorBidi"/>
          <w:lang w:val="fr-CH"/>
        </w:rPr>
      </w:pPr>
      <w:r w:rsidRPr="00771D2C">
        <w:rPr>
          <w:rStyle w:val="FootnoteReference"/>
        </w:rPr>
        <w:footnoteRef/>
      </w:r>
      <w:r w:rsidRPr="00771D2C">
        <w:rPr>
          <w:rFonts w:cstheme="majorBidi"/>
          <w:lang w:val="fr-CH"/>
        </w:rPr>
        <w:t xml:space="preserve"> Communication, para. 31.</w:t>
      </w:r>
    </w:p>
  </w:footnote>
  <w:footnote w:id="120">
    <w:p w14:paraId="06DA06F1" w14:textId="77777777" w:rsidR="00C06771" w:rsidRPr="00771D2C" w:rsidRDefault="00C06771" w:rsidP="00FA0A88">
      <w:pPr>
        <w:pStyle w:val="Footnotes"/>
        <w:ind w:left="993"/>
        <w:rPr>
          <w:rFonts w:cstheme="majorBidi"/>
          <w:lang w:val="fr-CH"/>
        </w:rPr>
      </w:pPr>
      <w:r w:rsidRPr="00771D2C">
        <w:rPr>
          <w:rStyle w:val="FootnoteReference"/>
          <w:rFonts w:cstheme="majorBidi"/>
          <w:szCs w:val="18"/>
        </w:rPr>
        <w:footnoteRef/>
      </w:r>
      <w:r w:rsidRPr="00771D2C">
        <w:rPr>
          <w:rFonts w:cstheme="majorBidi"/>
          <w:lang w:val="fr-CH"/>
        </w:rPr>
        <w:t xml:space="preserve"> Communication, para. 32.</w:t>
      </w:r>
    </w:p>
  </w:footnote>
  <w:footnote w:id="121">
    <w:p w14:paraId="533B8503" w14:textId="3F47F6F5" w:rsidR="00C06771" w:rsidRPr="00771D2C" w:rsidRDefault="00C06771" w:rsidP="00771D2C">
      <w:pPr>
        <w:pStyle w:val="Footnotes"/>
        <w:ind w:left="993"/>
        <w:rPr>
          <w:rFonts w:cstheme="majorBidi"/>
          <w:lang w:val="fr-CH"/>
        </w:rPr>
      </w:pPr>
      <w:r w:rsidRPr="00771D2C">
        <w:rPr>
          <w:rStyle w:val="FootnoteReference"/>
        </w:rPr>
        <w:footnoteRef/>
      </w:r>
      <w:r w:rsidRPr="00771D2C">
        <w:rPr>
          <w:rFonts w:cstheme="majorBidi"/>
          <w:lang w:val="fr-CH"/>
        </w:rPr>
        <w:t xml:space="preserve"> Communication, para. 32.</w:t>
      </w:r>
    </w:p>
  </w:footnote>
  <w:footnote w:id="122">
    <w:p w14:paraId="6DA53570" w14:textId="334EABBF" w:rsidR="00C06771" w:rsidRPr="00771D2C" w:rsidRDefault="00C06771" w:rsidP="00771D2C">
      <w:pPr>
        <w:pStyle w:val="Footnotes"/>
        <w:ind w:left="993"/>
        <w:rPr>
          <w:rFonts w:cstheme="majorBidi"/>
          <w:lang w:val="fr-CH"/>
        </w:rPr>
      </w:pPr>
      <w:r w:rsidRPr="00771D2C">
        <w:rPr>
          <w:rStyle w:val="FootnoteReference"/>
        </w:rPr>
        <w:footnoteRef/>
      </w:r>
      <w:r w:rsidRPr="00771D2C">
        <w:rPr>
          <w:rFonts w:cstheme="majorBidi"/>
          <w:lang w:val="fr-CH"/>
        </w:rPr>
        <w:t xml:space="preserve"> Communication, para. 34.</w:t>
      </w:r>
    </w:p>
  </w:footnote>
  <w:footnote w:id="123">
    <w:p w14:paraId="012E24A1" w14:textId="77777777" w:rsidR="00C06771" w:rsidRPr="00C55B35" w:rsidRDefault="00C06771" w:rsidP="00771D2C">
      <w:pPr>
        <w:pStyle w:val="Footnotes"/>
        <w:ind w:left="993"/>
      </w:pPr>
      <w:r w:rsidRPr="00771D2C">
        <w:rPr>
          <w:rStyle w:val="FootnoteReference"/>
        </w:rPr>
        <w:footnoteRef/>
      </w:r>
      <w:r w:rsidRPr="00771D2C">
        <w:rPr>
          <w:rFonts w:cstheme="majorBidi"/>
          <w:lang w:val="fr-CH"/>
        </w:rPr>
        <w:t xml:space="preserve"> Communication, para. </w:t>
      </w:r>
      <w:r w:rsidRPr="00C55B35">
        <w:t>34.</w:t>
      </w:r>
    </w:p>
  </w:footnote>
  <w:footnote w:id="124">
    <w:p w14:paraId="4F6D6094" w14:textId="77777777" w:rsidR="00C06771" w:rsidRPr="00663656" w:rsidRDefault="00C06771" w:rsidP="00771D2C">
      <w:pPr>
        <w:pStyle w:val="Footnotes"/>
        <w:ind w:left="993"/>
      </w:pPr>
      <w:r w:rsidRPr="00771D2C">
        <w:rPr>
          <w:rStyle w:val="FootnoteReference"/>
          <w:rFonts w:cstheme="majorBidi"/>
          <w:szCs w:val="18"/>
        </w:rPr>
        <w:footnoteRef/>
      </w:r>
      <w:r w:rsidRPr="00C06771">
        <w:t xml:space="preserve"> </w:t>
      </w:r>
      <w:r w:rsidRPr="00663656">
        <w:t>Party’s response to the communication, p. 3.</w:t>
      </w:r>
    </w:p>
  </w:footnote>
  <w:footnote w:id="125">
    <w:p w14:paraId="28F15FD2" w14:textId="77777777" w:rsidR="00C06771" w:rsidRPr="00771D2C" w:rsidRDefault="00C06771" w:rsidP="00771D2C">
      <w:pPr>
        <w:pStyle w:val="Footnotes"/>
        <w:ind w:left="993"/>
        <w:rPr>
          <w:rFonts w:cstheme="majorBidi"/>
          <w:lang w:val="es-ES"/>
        </w:rPr>
      </w:pPr>
      <w:r w:rsidRPr="00771D2C">
        <w:rPr>
          <w:rStyle w:val="FootnoteReference"/>
          <w:rFonts w:cstheme="majorBidi"/>
          <w:szCs w:val="18"/>
        </w:rPr>
        <w:footnoteRef/>
      </w:r>
      <w:r w:rsidRPr="00771D2C">
        <w:rPr>
          <w:lang w:val="es-ES"/>
        </w:rPr>
        <w:t xml:space="preserve"> ECE/MP.PP/C.1/2019/3</w:t>
      </w:r>
      <w:r w:rsidRPr="00771D2C">
        <w:rPr>
          <w:rFonts w:cstheme="majorBidi"/>
          <w:lang w:val="es-ES"/>
        </w:rPr>
        <w:t>, paras. 65-66.</w:t>
      </w:r>
    </w:p>
  </w:footnote>
  <w:footnote w:id="126">
    <w:p w14:paraId="3B00EEAF" w14:textId="17AE879E" w:rsidR="00C06771" w:rsidRPr="00771D2C" w:rsidRDefault="00C06771" w:rsidP="00771D2C">
      <w:pPr>
        <w:pStyle w:val="FootnoteText"/>
        <w:spacing w:after="0"/>
        <w:ind w:left="426" w:firstLine="567"/>
        <w:rPr>
          <w:rFonts w:asciiTheme="majorBidi" w:hAnsiTheme="majorBidi" w:cstheme="majorBidi"/>
          <w:sz w:val="18"/>
          <w:szCs w:val="18"/>
          <w:lang w:val="es-ES"/>
        </w:rPr>
      </w:pPr>
      <w:r w:rsidRPr="00771D2C">
        <w:rPr>
          <w:rStyle w:val="FootnoteReference"/>
          <w:rFonts w:asciiTheme="majorBidi" w:hAnsiTheme="majorBidi" w:cstheme="majorBidi"/>
          <w:sz w:val="18"/>
          <w:szCs w:val="18"/>
        </w:rPr>
        <w:footnoteRef/>
      </w:r>
      <w:r w:rsidRPr="00771D2C">
        <w:rPr>
          <w:rFonts w:asciiTheme="majorBidi" w:hAnsiTheme="majorBidi" w:cstheme="majorBidi"/>
          <w:sz w:val="18"/>
          <w:szCs w:val="18"/>
          <w:lang w:val="es-ES"/>
        </w:rPr>
        <w:t xml:space="preserve"> </w:t>
      </w:r>
      <w:r>
        <w:rPr>
          <w:rFonts w:asciiTheme="majorBidi" w:hAnsiTheme="majorBidi" w:cstheme="majorBidi"/>
          <w:sz w:val="18"/>
          <w:szCs w:val="18"/>
          <w:lang w:val="es-ES"/>
        </w:rPr>
        <w:t xml:space="preserve">E.g. </w:t>
      </w:r>
      <w:r w:rsidRPr="00771D2C">
        <w:rPr>
          <w:rFonts w:asciiTheme="majorBidi" w:hAnsiTheme="majorBidi" w:cstheme="majorBidi"/>
          <w:sz w:val="18"/>
          <w:szCs w:val="18"/>
          <w:lang w:val="es-ES"/>
        </w:rPr>
        <w:t>ECE/MP.PP/C.1/2019/3, para 70.</w:t>
      </w:r>
    </w:p>
  </w:footnote>
  <w:footnote w:id="127">
    <w:p w14:paraId="50949EA8" w14:textId="77777777" w:rsidR="00C06771" w:rsidRPr="00771D2C" w:rsidRDefault="00C06771" w:rsidP="00771D2C">
      <w:pPr>
        <w:pStyle w:val="Footnotes"/>
        <w:ind w:left="993"/>
        <w:rPr>
          <w:rFonts w:cstheme="majorBidi"/>
          <w:lang w:val="es-ES"/>
        </w:rPr>
      </w:pPr>
      <w:r w:rsidRPr="00771D2C">
        <w:rPr>
          <w:rStyle w:val="FootnoteReference"/>
          <w:rFonts w:cstheme="majorBidi"/>
          <w:szCs w:val="18"/>
        </w:rPr>
        <w:footnoteRef/>
      </w:r>
      <w:r w:rsidRPr="00771D2C">
        <w:rPr>
          <w:lang w:val="es-ES"/>
        </w:rPr>
        <w:t xml:space="preserve"> ECE/MP.PP/C.1/2019/3</w:t>
      </w:r>
      <w:r w:rsidRPr="00771D2C">
        <w:rPr>
          <w:rFonts w:cstheme="majorBidi"/>
          <w:lang w:val="es-ES"/>
        </w:rPr>
        <w:t>, para 70.</w:t>
      </w:r>
    </w:p>
  </w:footnote>
  <w:footnote w:id="128">
    <w:p w14:paraId="7B47038B" w14:textId="3867B1CB" w:rsidR="00C06771" w:rsidRPr="00771D2C" w:rsidRDefault="00C06771" w:rsidP="00771D2C">
      <w:pPr>
        <w:pStyle w:val="Footnotes"/>
        <w:ind w:left="993"/>
        <w:rPr>
          <w:rFonts w:cstheme="majorBidi"/>
          <w:lang w:val="es-ES"/>
        </w:rPr>
      </w:pPr>
      <w:r w:rsidRPr="00771D2C">
        <w:rPr>
          <w:rStyle w:val="FootnoteReference"/>
          <w:rFonts w:cstheme="majorBidi"/>
          <w:szCs w:val="18"/>
        </w:rPr>
        <w:footnoteRef/>
      </w:r>
      <w:r w:rsidRPr="00771D2C">
        <w:rPr>
          <w:lang w:val="es-ES"/>
        </w:rPr>
        <w:t xml:space="preserve"> </w:t>
      </w:r>
      <w:r w:rsidRPr="00771D2C">
        <w:rPr>
          <w:rFonts w:cstheme="majorBidi"/>
          <w:lang w:val="es-ES"/>
        </w:rPr>
        <w:t>Ibid.</w:t>
      </w:r>
    </w:p>
  </w:footnote>
  <w:footnote w:id="129">
    <w:p w14:paraId="32E40B85" w14:textId="77777777" w:rsidR="00C06771" w:rsidRPr="000F4DB6" w:rsidRDefault="00C06771" w:rsidP="00771D2C">
      <w:pPr>
        <w:pStyle w:val="Footnotes"/>
        <w:ind w:left="993"/>
      </w:pPr>
      <w:r w:rsidRPr="00771D2C">
        <w:rPr>
          <w:rStyle w:val="FootnoteReference"/>
          <w:rFonts w:cstheme="majorBidi"/>
          <w:szCs w:val="18"/>
        </w:rPr>
        <w:footnoteRef/>
      </w:r>
      <w:r w:rsidRPr="00771D2C">
        <w:rPr>
          <w:lang w:val="es-ES"/>
        </w:rPr>
        <w:t xml:space="preserve"> ECE/MP.PP/C.1/2019/3</w:t>
      </w:r>
      <w:r w:rsidRPr="00771D2C">
        <w:rPr>
          <w:rFonts w:cstheme="majorBidi"/>
          <w:lang w:val="es-ES"/>
        </w:rPr>
        <w:t xml:space="preserve">, para. </w:t>
      </w:r>
      <w:r w:rsidRPr="000F4DB6">
        <w:t>71.</w:t>
      </w:r>
    </w:p>
  </w:footnote>
  <w:footnote w:id="130">
    <w:p w14:paraId="4546F545" w14:textId="0CA07132" w:rsidR="00C06771" w:rsidRPr="00771D2C" w:rsidRDefault="00C06771" w:rsidP="00771D2C">
      <w:pPr>
        <w:pStyle w:val="Footnotes"/>
        <w:ind w:left="993"/>
        <w:rPr>
          <w:rFonts w:cstheme="majorBidi"/>
        </w:rPr>
      </w:pPr>
      <w:r w:rsidRPr="00771D2C">
        <w:rPr>
          <w:rStyle w:val="FootnoteReference"/>
          <w:rFonts w:cstheme="majorBidi"/>
          <w:szCs w:val="18"/>
        </w:rPr>
        <w:footnoteRef/>
      </w:r>
      <w:r w:rsidRPr="00771D2C">
        <w:rPr>
          <w:rFonts w:cstheme="majorBidi"/>
        </w:rPr>
        <w:t xml:space="preserve"> </w:t>
      </w:r>
      <w:r w:rsidRPr="00771D2C">
        <w:rPr>
          <w:rFonts w:cstheme="majorBidi"/>
          <w:lang w:val="en-US"/>
        </w:rPr>
        <w:t xml:space="preserve">See </w:t>
      </w:r>
      <w:r w:rsidRPr="00771D2C">
        <w:rPr>
          <w:rFonts w:cstheme="majorBidi"/>
        </w:rPr>
        <w:t>ECE/MP.PP/C.1/2019/3</w:t>
      </w:r>
      <w:r w:rsidRPr="00771D2C">
        <w:t>, para. 67.</w:t>
      </w:r>
    </w:p>
  </w:footnote>
  <w:footnote w:id="131">
    <w:p w14:paraId="375F120E" w14:textId="77777777" w:rsidR="00C06771" w:rsidRPr="00771D2C" w:rsidRDefault="00C06771" w:rsidP="00771D2C">
      <w:pPr>
        <w:pStyle w:val="Footnotes"/>
        <w:ind w:left="993"/>
        <w:rPr>
          <w:rFonts w:cstheme="majorBidi"/>
        </w:rPr>
      </w:pPr>
      <w:r w:rsidRPr="00771D2C">
        <w:rPr>
          <w:rStyle w:val="FootnoteReference"/>
        </w:rPr>
        <w:footnoteRef/>
      </w:r>
      <w:r w:rsidRPr="00771D2C">
        <w:t xml:space="preserve"> Communication, para. 4.</w:t>
      </w:r>
    </w:p>
  </w:footnote>
  <w:footnote w:id="132">
    <w:p w14:paraId="554465FF" w14:textId="77777777" w:rsidR="00C06771" w:rsidRPr="00771D2C" w:rsidRDefault="00C06771" w:rsidP="00771D2C">
      <w:pPr>
        <w:pStyle w:val="Footnotes"/>
        <w:ind w:left="993"/>
        <w:rPr>
          <w:rFonts w:cstheme="majorBidi"/>
        </w:rPr>
      </w:pPr>
      <w:r w:rsidRPr="00771D2C">
        <w:rPr>
          <w:rStyle w:val="FootnoteReference"/>
          <w:rFonts w:cstheme="majorBidi"/>
          <w:szCs w:val="18"/>
        </w:rPr>
        <w:footnoteRef/>
      </w:r>
      <w:r w:rsidRPr="00771D2C">
        <w:rPr>
          <w:rFonts w:cstheme="majorBidi"/>
        </w:rPr>
        <w:t xml:space="preserve"> </w:t>
      </w:r>
      <w:r w:rsidRPr="00771D2C">
        <w:t>Communication, para. 21.</w:t>
      </w:r>
    </w:p>
  </w:footnote>
  <w:footnote w:id="133">
    <w:p w14:paraId="3C09C958" w14:textId="77777777" w:rsidR="00C06771" w:rsidRPr="00771D2C" w:rsidRDefault="00C06771" w:rsidP="00771D2C">
      <w:pPr>
        <w:pStyle w:val="Footnotes"/>
        <w:ind w:left="993"/>
        <w:rPr>
          <w:rFonts w:cstheme="majorBidi"/>
          <w:lang w:val="en-US"/>
        </w:rPr>
      </w:pPr>
      <w:r w:rsidRPr="00771D2C">
        <w:rPr>
          <w:rStyle w:val="FootnoteReference"/>
          <w:rFonts w:cstheme="majorBidi"/>
          <w:szCs w:val="18"/>
        </w:rPr>
        <w:footnoteRef/>
      </w:r>
      <w:r w:rsidRPr="00771D2C">
        <w:rPr>
          <w:rFonts w:cstheme="majorBidi"/>
        </w:rPr>
        <w:t xml:space="preserve"> IAEA Safety Standards</w:t>
      </w:r>
      <w:r w:rsidRPr="00771D2C">
        <w:rPr>
          <w:rFonts w:cstheme="majorBidi"/>
          <w:lang w:val="en-US"/>
        </w:rPr>
        <w:t xml:space="preserve"> </w:t>
      </w:r>
      <w:r w:rsidRPr="00771D2C">
        <w:rPr>
          <w:rFonts w:cstheme="majorBidi"/>
        </w:rPr>
        <w:t>for protecting people and th</w:t>
      </w:r>
      <w:r w:rsidRPr="00771D2C">
        <w:rPr>
          <w:rFonts w:cstheme="majorBidi"/>
          <w:lang w:val="en-US"/>
        </w:rPr>
        <w:t xml:space="preserve">e </w:t>
      </w:r>
      <w:r w:rsidRPr="00771D2C">
        <w:rPr>
          <w:rFonts w:cstheme="majorBidi"/>
        </w:rPr>
        <w:t>environment</w:t>
      </w:r>
      <w:r w:rsidRPr="00771D2C">
        <w:rPr>
          <w:rFonts w:cstheme="majorBidi"/>
          <w:lang w:val="en-US"/>
        </w:rPr>
        <w:t>.</w:t>
      </w:r>
      <w:r w:rsidRPr="00771D2C">
        <w:rPr>
          <w:rFonts w:cstheme="majorBidi"/>
        </w:rPr>
        <w:t xml:space="preserve"> Periodic Safety</w:t>
      </w:r>
      <w:r w:rsidRPr="00771D2C">
        <w:rPr>
          <w:rFonts w:cstheme="majorBidi"/>
          <w:lang w:val="en-US"/>
        </w:rPr>
        <w:t xml:space="preserve"> </w:t>
      </w:r>
      <w:r w:rsidRPr="00771D2C">
        <w:rPr>
          <w:rFonts w:cstheme="majorBidi"/>
        </w:rPr>
        <w:t>Review for</w:t>
      </w:r>
      <w:r w:rsidRPr="00771D2C">
        <w:rPr>
          <w:rFonts w:cstheme="majorBidi"/>
          <w:lang w:val="en-US"/>
        </w:rPr>
        <w:t xml:space="preserve"> </w:t>
      </w:r>
      <w:r w:rsidRPr="00771D2C">
        <w:rPr>
          <w:rFonts w:cstheme="majorBidi"/>
        </w:rPr>
        <w:t>Nuclear Power Plants</w:t>
      </w:r>
      <w:r w:rsidRPr="00771D2C">
        <w:rPr>
          <w:rFonts w:cstheme="majorBidi"/>
          <w:lang w:val="en-US"/>
        </w:rPr>
        <w:t xml:space="preserve"> (2013), p.4, 5.</w:t>
      </w:r>
    </w:p>
  </w:footnote>
  <w:footnote w:id="134">
    <w:p w14:paraId="5E7E0969" w14:textId="77777777" w:rsidR="00C06771" w:rsidRPr="00771D2C" w:rsidRDefault="00C06771" w:rsidP="00771D2C">
      <w:pPr>
        <w:pStyle w:val="Footnotes"/>
        <w:ind w:left="993"/>
        <w:rPr>
          <w:rFonts w:cstheme="majorBidi"/>
          <w:lang w:val="en-US"/>
        </w:rPr>
      </w:pPr>
      <w:r w:rsidRPr="00771D2C">
        <w:rPr>
          <w:rStyle w:val="FootnoteReference"/>
          <w:rFonts w:cstheme="majorBidi"/>
          <w:szCs w:val="18"/>
        </w:rPr>
        <w:footnoteRef/>
      </w:r>
      <w:r w:rsidRPr="00771D2C">
        <w:rPr>
          <w:rFonts w:cstheme="majorBidi"/>
        </w:rPr>
        <w:t xml:space="preserve"> </w:t>
      </w:r>
      <w:r w:rsidRPr="00771D2C">
        <w:rPr>
          <w:rFonts w:cstheme="majorBidi"/>
          <w:lang w:val="en-US"/>
        </w:rPr>
        <w:t>UNECE, Meeting of the Parties to the Convention on Environmental Impact Assessment in a Transboundary Context, Guidance on the applicability of the Convention to the lifetime extension of nuclear power plants, ECE/MP.EIA/2020/9 (2020), p. 16.</w:t>
      </w:r>
    </w:p>
  </w:footnote>
  <w:footnote w:id="135">
    <w:p w14:paraId="243BF62F" w14:textId="77777777" w:rsidR="00C06771" w:rsidRPr="00771D2C" w:rsidRDefault="00C06771" w:rsidP="00771D2C">
      <w:pPr>
        <w:pStyle w:val="Footnotes"/>
        <w:ind w:left="993"/>
        <w:rPr>
          <w:rFonts w:cstheme="majorBidi"/>
          <w:lang w:val="es-ES"/>
        </w:rPr>
      </w:pPr>
      <w:r w:rsidRPr="00771D2C">
        <w:rPr>
          <w:rStyle w:val="FootnoteReference"/>
          <w:rFonts w:cstheme="majorBidi"/>
          <w:szCs w:val="18"/>
        </w:rPr>
        <w:footnoteRef/>
      </w:r>
      <w:r w:rsidRPr="00771D2C">
        <w:rPr>
          <w:lang w:val="es-ES"/>
        </w:rPr>
        <w:t xml:space="preserve"> </w:t>
      </w:r>
      <w:r w:rsidRPr="00771D2C">
        <w:rPr>
          <w:rFonts w:cstheme="majorBidi"/>
          <w:lang w:val="es-ES"/>
        </w:rPr>
        <w:t>Ibid.</w:t>
      </w:r>
    </w:p>
  </w:footnote>
  <w:footnote w:id="136">
    <w:p w14:paraId="2B603846" w14:textId="77777777" w:rsidR="00C06771" w:rsidRPr="00771D2C" w:rsidRDefault="00C06771" w:rsidP="00771D2C">
      <w:pPr>
        <w:pStyle w:val="Footnotes"/>
        <w:ind w:left="993"/>
        <w:rPr>
          <w:rFonts w:cstheme="majorBidi"/>
          <w:lang w:val="es-ES"/>
        </w:rPr>
      </w:pPr>
      <w:r w:rsidRPr="00771D2C">
        <w:rPr>
          <w:rStyle w:val="FootnoteReference"/>
          <w:rFonts w:cstheme="majorBidi"/>
          <w:szCs w:val="18"/>
        </w:rPr>
        <w:footnoteRef/>
      </w:r>
      <w:r w:rsidRPr="00771D2C">
        <w:rPr>
          <w:lang w:val="es-ES"/>
        </w:rPr>
        <w:t xml:space="preserve"> ECE/MP.PP/C.1/2019/3</w:t>
      </w:r>
      <w:r w:rsidRPr="00771D2C">
        <w:rPr>
          <w:rFonts w:cstheme="majorBidi"/>
          <w:lang w:val="es-ES"/>
        </w:rPr>
        <w:t>, para 70.</w:t>
      </w:r>
    </w:p>
  </w:footnote>
  <w:footnote w:id="137">
    <w:p w14:paraId="2DDEDD61" w14:textId="77777777" w:rsidR="00C06771" w:rsidRPr="00771D2C" w:rsidRDefault="00C06771" w:rsidP="00771D2C">
      <w:pPr>
        <w:pStyle w:val="Footnotes"/>
        <w:ind w:left="993"/>
        <w:rPr>
          <w:rFonts w:cstheme="majorBidi"/>
          <w:lang w:val="es-ES"/>
        </w:rPr>
      </w:pPr>
      <w:r w:rsidRPr="00771D2C">
        <w:rPr>
          <w:rStyle w:val="FootnoteReference"/>
          <w:rFonts w:cstheme="majorBidi"/>
          <w:szCs w:val="18"/>
        </w:rPr>
        <w:footnoteRef/>
      </w:r>
      <w:r w:rsidRPr="00771D2C">
        <w:rPr>
          <w:lang w:val="es-ES"/>
        </w:rPr>
        <w:t xml:space="preserve"> ECE/MP.PP/C.1/2020/8</w:t>
      </w:r>
      <w:r w:rsidRPr="00771D2C">
        <w:rPr>
          <w:rFonts w:cstheme="majorBidi"/>
          <w:lang w:val="es-ES"/>
        </w:rPr>
        <w:t>, para 108.</w:t>
      </w:r>
    </w:p>
  </w:footnote>
  <w:footnote w:id="138">
    <w:p w14:paraId="59DF9F57" w14:textId="77777777" w:rsidR="00C06771" w:rsidRPr="00771D2C" w:rsidRDefault="00C06771" w:rsidP="00771D2C">
      <w:pPr>
        <w:pStyle w:val="Footnotes"/>
        <w:ind w:left="993"/>
        <w:rPr>
          <w:lang w:val="es-ES"/>
        </w:rPr>
      </w:pPr>
      <w:r w:rsidRPr="00771D2C">
        <w:rPr>
          <w:rStyle w:val="FootnoteReference"/>
          <w:rFonts w:cstheme="majorBidi"/>
          <w:szCs w:val="18"/>
        </w:rPr>
        <w:footnoteRef/>
      </w:r>
      <w:r w:rsidRPr="00771D2C">
        <w:rPr>
          <w:lang w:val="es-ES"/>
        </w:rPr>
        <w:t xml:space="preserve"> ECE/MP.PP/C.1/2020/8</w:t>
      </w:r>
      <w:r w:rsidRPr="00771D2C">
        <w:rPr>
          <w:rFonts w:cstheme="majorBidi"/>
          <w:lang w:val="es-ES"/>
        </w:rPr>
        <w:t xml:space="preserve">, paras. </w:t>
      </w:r>
      <w:r w:rsidRPr="00771D2C">
        <w:rPr>
          <w:lang w:val="es-ES"/>
        </w:rPr>
        <w:t>110-111.</w:t>
      </w:r>
    </w:p>
  </w:footnote>
  <w:footnote w:id="139">
    <w:p w14:paraId="69C9F598" w14:textId="77777777" w:rsidR="00C06771" w:rsidRPr="00771D2C" w:rsidRDefault="00C06771" w:rsidP="00771D2C">
      <w:pPr>
        <w:pStyle w:val="Footnotes"/>
        <w:ind w:left="993"/>
        <w:rPr>
          <w:rFonts w:cstheme="majorBidi"/>
          <w:lang w:val="es-ES"/>
        </w:rPr>
      </w:pPr>
      <w:r w:rsidRPr="00771D2C">
        <w:rPr>
          <w:rStyle w:val="FootnoteReference"/>
          <w:rFonts w:cstheme="majorBidi"/>
          <w:szCs w:val="18"/>
        </w:rPr>
        <w:footnoteRef/>
      </w:r>
      <w:r w:rsidRPr="00771D2C">
        <w:rPr>
          <w:lang w:val="es-ES"/>
        </w:rPr>
        <w:t xml:space="preserve"> ECE/MP.PP/C.1/2014/8</w:t>
      </w:r>
      <w:r w:rsidRPr="00771D2C">
        <w:rPr>
          <w:rFonts w:cstheme="majorBidi"/>
          <w:lang w:val="es-ES"/>
        </w:rPr>
        <w:t>, para 79.</w:t>
      </w:r>
    </w:p>
  </w:footnote>
  <w:footnote w:id="140">
    <w:p w14:paraId="6C30A240" w14:textId="3C9AD788" w:rsidR="00C06771" w:rsidRPr="00771D2C" w:rsidRDefault="00C06771" w:rsidP="00771D2C">
      <w:pPr>
        <w:pStyle w:val="FootnoteText"/>
        <w:ind w:left="426" w:firstLine="567"/>
        <w:rPr>
          <w:rFonts w:asciiTheme="majorBidi" w:hAnsiTheme="majorBidi" w:cstheme="majorBidi"/>
          <w:lang w:val="en-US"/>
        </w:rPr>
      </w:pPr>
      <w:r w:rsidRPr="00771D2C">
        <w:rPr>
          <w:rStyle w:val="FootnoteReference"/>
          <w:rFonts w:asciiTheme="majorBidi" w:hAnsiTheme="majorBidi" w:cstheme="majorBidi"/>
        </w:rPr>
        <w:footnoteRef/>
      </w:r>
      <w:r w:rsidRPr="00771D2C">
        <w:rPr>
          <w:rFonts w:asciiTheme="majorBidi" w:hAnsiTheme="majorBidi" w:cstheme="majorBidi"/>
        </w:rPr>
        <w:t xml:space="preserve"> Party’s reply to Committee’s questions, 8 February 2021, annex 4, para. 37.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31DF41" w14:textId="77777777" w:rsidR="00C06771" w:rsidRPr="00F56A6B" w:rsidRDefault="00C06771" w:rsidP="00771D2C">
    <w:pPr>
      <w:pStyle w:val="Header"/>
    </w:pPr>
    <w:r w:rsidRPr="00771D2C">
      <w:t>ACCC/C/2012/77 (United Kingdom)</w:t>
    </w:r>
  </w:p>
  <w:p w14:paraId="54ED0B08" w14:textId="77777777" w:rsidR="00C06771" w:rsidRDefault="00C0677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75022F" w14:textId="77777777" w:rsidR="00C06771" w:rsidRDefault="00C06771" w:rsidP="00771D2C">
    <w:pPr>
      <w:pStyle w:val="Header"/>
      <w:spacing w:after="0"/>
    </w:pPr>
    <w:r w:rsidRPr="00771D2C">
      <w:t>ACCC/C/2016/143 (Czechia)</w:t>
    </w:r>
  </w:p>
  <w:p w14:paraId="69C0F95A" w14:textId="605AEB98" w:rsidR="00C06771" w:rsidRDefault="00C06771" w:rsidP="000F4DB6">
    <w:pPr>
      <w:pStyle w:val="Header"/>
      <w:spacing w:after="0"/>
    </w:pPr>
    <w:r w:rsidRPr="00771D2C">
      <w:t xml:space="preserve">Draft findings for </w:t>
    </w:r>
    <w:r w:rsidR="000F4DB6">
      <w:t>comment by the parties</w:t>
    </w:r>
  </w:p>
  <w:p w14:paraId="1B0D1FE8" w14:textId="77777777" w:rsidR="00AE5604" w:rsidRDefault="00AE5604" w:rsidP="000F4DB6">
    <w:pPr>
      <w:pStyle w:val="Header"/>
      <w:spacing w:after="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DC7149" w14:textId="77777777" w:rsidR="00C06771" w:rsidRPr="00C06771" w:rsidRDefault="00C06771" w:rsidP="00771D2C">
    <w:pPr>
      <w:pStyle w:val="Header"/>
      <w:rPr>
        <w:b/>
      </w:rPr>
    </w:pPr>
    <w:r w:rsidRPr="00771D2C">
      <w:t>ACCC/C/2014/104 (Netherlands)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D15848"/>
    <w:multiLevelType w:val="hybridMultilevel"/>
    <w:tmpl w:val="2AFC69E8"/>
    <w:lvl w:ilvl="0" w:tplc="872C20B4">
      <w:start w:val="1"/>
      <w:numFmt w:val="upperRoman"/>
      <w:lvlText w:val="%1."/>
      <w:lvlJc w:val="right"/>
      <w:pPr>
        <w:ind w:left="1605" w:hanging="360"/>
      </w:pPr>
    </w:lvl>
    <w:lvl w:ilvl="1" w:tplc="08090019" w:tentative="1">
      <w:start w:val="1"/>
      <w:numFmt w:val="lowerLetter"/>
      <w:lvlText w:val="%2."/>
      <w:lvlJc w:val="left"/>
      <w:pPr>
        <w:ind w:left="2325" w:hanging="360"/>
      </w:pPr>
    </w:lvl>
    <w:lvl w:ilvl="2" w:tplc="0809001B" w:tentative="1">
      <w:start w:val="1"/>
      <w:numFmt w:val="lowerRoman"/>
      <w:lvlText w:val="%3."/>
      <w:lvlJc w:val="right"/>
      <w:pPr>
        <w:ind w:left="3045" w:hanging="180"/>
      </w:pPr>
    </w:lvl>
    <w:lvl w:ilvl="3" w:tplc="0809000F" w:tentative="1">
      <w:start w:val="1"/>
      <w:numFmt w:val="decimal"/>
      <w:lvlText w:val="%4."/>
      <w:lvlJc w:val="left"/>
      <w:pPr>
        <w:ind w:left="3765" w:hanging="360"/>
      </w:pPr>
    </w:lvl>
    <w:lvl w:ilvl="4" w:tplc="08090019" w:tentative="1">
      <w:start w:val="1"/>
      <w:numFmt w:val="lowerLetter"/>
      <w:lvlText w:val="%5."/>
      <w:lvlJc w:val="left"/>
      <w:pPr>
        <w:ind w:left="4485" w:hanging="360"/>
      </w:pPr>
    </w:lvl>
    <w:lvl w:ilvl="5" w:tplc="0809001B" w:tentative="1">
      <w:start w:val="1"/>
      <w:numFmt w:val="lowerRoman"/>
      <w:lvlText w:val="%6."/>
      <w:lvlJc w:val="right"/>
      <w:pPr>
        <w:ind w:left="5205" w:hanging="180"/>
      </w:pPr>
    </w:lvl>
    <w:lvl w:ilvl="6" w:tplc="0809000F" w:tentative="1">
      <w:start w:val="1"/>
      <w:numFmt w:val="decimal"/>
      <w:lvlText w:val="%7."/>
      <w:lvlJc w:val="left"/>
      <w:pPr>
        <w:ind w:left="5925" w:hanging="360"/>
      </w:pPr>
    </w:lvl>
    <w:lvl w:ilvl="7" w:tplc="08090019" w:tentative="1">
      <w:start w:val="1"/>
      <w:numFmt w:val="lowerLetter"/>
      <w:lvlText w:val="%8."/>
      <w:lvlJc w:val="left"/>
      <w:pPr>
        <w:ind w:left="6645" w:hanging="360"/>
      </w:pPr>
    </w:lvl>
    <w:lvl w:ilvl="8" w:tplc="0809001B" w:tentative="1">
      <w:start w:val="1"/>
      <w:numFmt w:val="lowerRoman"/>
      <w:lvlText w:val="%9."/>
      <w:lvlJc w:val="right"/>
      <w:pPr>
        <w:ind w:left="7365" w:hanging="180"/>
      </w:pPr>
    </w:lvl>
  </w:abstractNum>
  <w:abstractNum w:abstractNumId="1" w15:restartNumberingAfterBreak="0">
    <w:nsid w:val="0780781F"/>
    <w:multiLevelType w:val="hybridMultilevel"/>
    <w:tmpl w:val="021E8182"/>
    <w:lvl w:ilvl="0" w:tplc="9DCC349A">
      <w:start w:val="1"/>
      <w:numFmt w:val="decimal"/>
      <w:lvlText w:val="%1."/>
      <w:lvlJc w:val="left"/>
      <w:pPr>
        <w:ind w:left="720" w:hanging="360"/>
      </w:pPr>
    </w:lvl>
    <w:lvl w:ilvl="1" w:tplc="C59EF05C">
      <w:start w:val="1"/>
      <w:numFmt w:val="lowerLetter"/>
      <w:lvlText w:val="(%2)"/>
      <w:lvlJc w:val="left"/>
      <w:pPr>
        <w:ind w:left="1440" w:firstLine="261"/>
      </w:pPr>
      <w:rPr>
        <w:rFonts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06D5A01"/>
    <w:multiLevelType w:val="multilevel"/>
    <w:tmpl w:val="CD3894A8"/>
    <w:lvl w:ilvl="0">
      <w:start w:val="1"/>
      <w:numFmt w:val="decimal"/>
      <w:lvlText w:val="%1."/>
      <w:lvlJc w:val="left"/>
      <w:pPr>
        <w:tabs>
          <w:tab w:val="num" w:pos="720"/>
        </w:tabs>
        <w:ind w:left="828" w:firstLine="0"/>
      </w:pPr>
      <w:rPr>
        <w:rFonts w:hint="default"/>
      </w:rPr>
    </w:lvl>
    <w:lvl w:ilvl="1">
      <w:start w:val="1"/>
      <w:numFmt w:val="lowerLetter"/>
      <w:lvlText w:val="%2."/>
      <w:lvlJc w:val="left"/>
      <w:pPr>
        <w:tabs>
          <w:tab w:val="num" w:pos="1548"/>
        </w:tabs>
        <w:ind w:left="1656" w:firstLine="0"/>
      </w:pPr>
      <w:rPr>
        <w:rFonts w:hint="default"/>
      </w:rPr>
    </w:lvl>
    <w:lvl w:ilvl="2">
      <w:start w:val="1"/>
      <w:numFmt w:val="lowerRoman"/>
      <w:lvlText w:val="%3."/>
      <w:lvlJc w:val="left"/>
      <w:pPr>
        <w:tabs>
          <w:tab w:val="num" w:pos="2376"/>
        </w:tabs>
        <w:ind w:left="2484" w:firstLine="0"/>
      </w:pPr>
      <w:rPr>
        <w:rFonts w:hint="default"/>
      </w:rPr>
    </w:lvl>
    <w:lvl w:ilvl="3">
      <w:start w:val="1"/>
      <w:numFmt w:val="decimal"/>
      <w:lvlText w:val="%4."/>
      <w:lvlJc w:val="left"/>
      <w:pPr>
        <w:tabs>
          <w:tab w:val="num" w:pos="3204"/>
        </w:tabs>
        <w:ind w:left="3312" w:firstLine="0"/>
      </w:pPr>
      <w:rPr>
        <w:rFonts w:hint="default"/>
      </w:rPr>
    </w:lvl>
    <w:lvl w:ilvl="4">
      <w:start w:val="1"/>
      <w:numFmt w:val="decimal"/>
      <w:lvlText w:val="%5."/>
      <w:lvlJc w:val="left"/>
      <w:pPr>
        <w:tabs>
          <w:tab w:val="num" w:pos="4032"/>
        </w:tabs>
        <w:ind w:left="4140" w:firstLine="0"/>
      </w:pPr>
      <w:rPr>
        <w:rFonts w:hint="default"/>
      </w:rPr>
    </w:lvl>
    <w:lvl w:ilvl="5">
      <w:start w:val="1"/>
      <w:numFmt w:val="decimal"/>
      <w:lvlText w:val="%6."/>
      <w:lvlJc w:val="left"/>
      <w:pPr>
        <w:tabs>
          <w:tab w:val="num" w:pos="4860"/>
        </w:tabs>
        <w:ind w:left="4968" w:firstLine="0"/>
      </w:pPr>
      <w:rPr>
        <w:rFonts w:hint="default"/>
      </w:rPr>
    </w:lvl>
    <w:lvl w:ilvl="6">
      <w:start w:val="1"/>
      <w:numFmt w:val="decimal"/>
      <w:lvlText w:val="%7."/>
      <w:lvlJc w:val="left"/>
      <w:pPr>
        <w:tabs>
          <w:tab w:val="num" w:pos="5688"/>
        </w:tabs>
        <w:ind w:left="5796" w:firstLine="0"/>
      </w:pPr>
      <w:rPr>
        <w:rFonts w:hint="default"/>
      </w:rPr>
    </w:lvl>
    <w:lvl w:ilvl="7">
      <w:start w:val="1"/>
      <w:numFmt w:val="decimal"/>
      <w:lvlText w:val="%8."/>
      <w:lvlJc w:val="left"/>
      <w:pPr>
        <w:tabs>
          <w:tab w:val="num" w:pos="6516"/>
        </w:tabs>
        <w:ind w:left="6624" w:firstLine="0"/>
      </w:pPr>
      <w:rPr>
        <w:rFonts w:hint="default"/>
      </w:rPr>
    </w:lvl>
    <w:lvl w:ilvl="8">
      <w:start w:val="1"/>
      <w:numFmt w:val="decimal"/>
      <w:lvlText w:val="%9."/>
      <w:lvlJc w:val="left"/>
      <w:pPr>
        <w:tabs>
          <w:tab w:val="num" w:pos="7344"/>
        </w:tabs>
        <w:ind w:left="7452" w:firstLine="0"/>
      </w:pPr>
      <w:rPr>
        <w:rFonts w:hint="default"/>
      </w:rPr>
    </w:lvl>
  </w:abstractNum>
  <w:abstractNum w:abstractNumId="3" w15:restartNumberingAfterBreak="0">
    <w:nsid w:val="1C7F6ED2"/>
    <w:multiLevelType w:val="hybridMultilevel"/>
    <w:tmpl w:val="703AF8DA"/>
    <w:lvl w:ilvl="0" w:tplc="42344FB4">
      <w:start w:val="1"/>
      <w:numFmt w:val="upperRoman"/>
      <w:lvlText w:val="%1."/>
      <w:lvlJc w:val="left"/>
      <w:pPr>
        <w:ind w:left="2685" w:hanging="360"/>
      </w:pPr>
      <w:rPr>
        <w:rFonts w:hint="default"/>
      </w:rPr>
    </w:lvl>
    <w:lvl w:ilvl="1" w:tplc="08090019" w:tentative="1">
      <w:start w:val="1"/>
      <w:numFmt w:val="lowerLetter"/>
      <w:lvlText w:val="%2."/>
      <w:lvlJc w:val="left"/>
      <w:pPr>
        <w:ind w:left="3405" w:hanging="360"/>
      </w:pPr>
    </w:lvl>
    <w:lvl w:ilvl="2" w:tplc="0809001B" w:tentative="1">
      <w:start w:val="1"/>
      <w:numFmt w:val="lowerRoman"/>
      <w:lvlText w:val="%3."/>
      <w:lvlJc w:val="right"/>
      <w:pPr>
        <w:ind w:left="4125" w:hanging="180"/>
      </w:pPr>
    </w:lvl>
    <w:lvl w:ilvl="3" w:tplc="0809000F" w:tentative="1">
      <w:start w:val="1"/>
      <w:numFmt w:val="decimal"/>
      <w:lvlText w:val="%4."/>
      <w:lvlJc w:val="left"/>
      <w:pPr>
        <w:ind w:left="4845" w:hanging="360"/>
      </w:pPr>
    </w:lvl>
    <w:lvl w:ilvl="4" w:tplc="08090019" w:tentative="1">
      <w:start w:val="1"/>
      <w:numFmt w:val="lowerLetter"/>
      <w:lvlText w:val="%5."/>
      <w:lvlJc w:val="left"/>
      <w:pPr>
        <w:ind w:left="5565" w:hanging="360"/>
      </w:pPr>
    </w:lvl>
    <w:lvl w:ilvl="5" w:tplc="0809001B" w:tentative="1">
      <w:start w:val="1"/>
      <w:numFmt w:val="lowerRoman"/>
      <w:lvlText w:val="%6."/>
      <w:lvlJc w:val="right"/>
      <w:pPr>
        <w:ind w:left="6285" w:hanging="180"/>
      </w:pPr>
    </w:lvl>
    <w:lvl w:ilvl="6" w:tplc="0809000F" w:tentative="1">
      <w:start w:val="1"/>
      <w:numFmt w:val="decimal"/>
      <w:lvlText w:val="%7."/>
      <w:lvlJc w:val="left"/>
      <w:pPr>
        <w:ind w:left="7005" w:hanging="360"/>
      </w:pPr>
    </w:lvl>
    <w:lvl w:ilvl="7" w:tplc="08090019" w:tentative="1">
      <w:start w:val="1"/>
      <w:numFmt w:val="lowerLetter"/>
      <w:lvlText w:val="%8."/>
      <w:lvlJc w:val="left"/>
      <w:pPr>
        <w:ind w:left="7725" w:hanging="360"/>
      </w:pPr>
    </w:lvl>
    <w:lvl w:ilvl="8" w:tplc="0809001B" w:tentative="1">
      <w:start w:val="1"/>
      <w:numFmt w:val="lowerRoman"/>
      <w:lvlText w:val="%9."/>
      <w:lvlJc w:val="right"/>
      <w:pPr>
        <w:ind w:left="8445" w:hanging="180"/>
      </w:pPr>
    </w:lvl>
  </w:abstractNum>
  <w:abstractNum w:abstractNumId="4" w15:restartNumberingAfterBreak="0">
    <w:nsid w:val="20797CFD"/>
    <w:multiLevelType w:val="hybridMultilevel"/>
    <w:tmpl w:val="8416D0AE"/>
    <w:lvl w:ilvl="0" w:tplc="147ADC84">
      <w:start w:val="1"/>
      <w:numFmt w:val="decimal"/>
      <w:lvlText w:val="%1."/>
      <w:lvlJc w:val="left"/>
      <w:pPr>
        <w:ind w:left="1548" w:hanging="360"/>
      </w:pPr>
    </w:lvl>
    <w:lvl w:ilvl="1" w:tplc="08090019" w:tentative="1">
      <w:start w:val="1"/>
      <w:numFmt w:val="lowerLetter"/>
      <w:lvlText w:val="%2."/>
      <w:lvlJc w:val="left"/>
      <w:pPr>
        <w:ind w:left="2268" w:hanging="360"/>
      </w:pPr>
    </w:lvl>
    <w:lvl w:ilvl="2" w:tplc="0809001B" w:tentative="1">
      <w:start w:val="1"/>
      <w:numFmt w:val="lowerRoman"/>
      <w:lvlText w:val="%3."/>
      <w:lvlJc w:val="right"/>
      <w:pPr>
        <w:ind w:left="2988" w:hanging="180"/>
      </w:pPr>
    </w:lvl>
    <w:lvl w:ilvl="3" w:tplc="0809000F" w:tentative="1">
      <w:start w:val="1"/>
      <w:numFmt w:val="decimal"/>
      <w:lvlText w:val="%4."/>
      <w:lvlJc w:val="left"/>
      <w:pPr>
        <w:ind w:left="3708" w:hanging="360"/>
      </w:pPr>
    </w:lvl>
    <w:lvl w:ilvl="4" w:tplc="08090019" w:tentative="1">
      <w:start w:val="1"/>
      <w:numFmt w:val="lowerLetter"/>
      <w:lvlText w:val="%5."/>
      <w:lvlJc w:val="left"/>
      <w:pPr>
        <w:ind w:left="4428" w:hanging="360"/>
      </w:pPr>
    </w:lvl>
    <w:lvl w:ilvl="5" w:tplc="0809001B" w:tentative="1">
      <w:start w:val="1"/>
      <w:numFmt w:val="lowerRoman"/>
      <w:lvlText w:val="%6."/>
      <w:lvlJc w:val="right"/>
      <w:pPr>
        <w:ind w:left="5148" w:hanging="180"/>
      </w:pPr>
    </w:lvl>
    <w:lvl w:ilvl="6" w:tplc="0809000F" w:tentative="1">
      <w:start w:val="1"/>
      <w:numFmt w:val="decimal"/>
      <w:lvlText w:val="%7."/>
      <w:lvlJc w:val="left"/>
      <w:pPr>
        <w:ind w:left="5868" w:hanging="360"/>
      </w:pPr>
    </w:lvl>
    <w:lvl w:ilvl="7" w:tplc="08090019" w:tentative="1">
      <w:start w:val="1"/>
      <w:numFmt w:val="lowerLetter"/>
      <w:lvlText w:val="%8."/>
      <w:lvlJc w:val="left"/>
      <w:pPr>
        <w:ind w:left="6588" w:hanging="360"/>
      </w:pPr>
    </w:lvl>
    <w:lvl w:ilvl="8" w:tplc="0809001B" w:tentative="1">
      <w:start w:val="1"/>
      <w:numFmt w:val="lowerRoman"/>
      <w:lvlText w:val="%9."/>
      <w:lvlJc w:val="right"/>
      <w:pPr>
        <w:ind w:left="7308" w:hanging="180"/>
      </w:pPr>
    </w:lvl>
  </w:abstractNum>
  <w:abstractNum w:abstractNumId="5" w15:restartNumberingAfterBreak="0">
    <w:nsid w:val="20DC6052"/>
    <w:multiLevelType w:val="hybridMultilevel"/>
    <w:tmpl w:val="C78AA5CE"/>
    <w:lvl w:ilvl="0" w:tplc="8D5C9F82">
      <w:start w:val="3"/>
      <w:numFmt w:val="lowerLetter"/>
      <w:lvlText w:val="(%1)"/>
      <w:lvlJc w:val="left"/>
      <w:pPr>
        <w:ind w:left="1188" w:hanging="360"/>
      </w:pPr>
      <w:rPr>
        <w:rFonts w:hint="default"/>
      </w:rPr>
    </w:lvl>
    <w:lvl w:ilvl="1" w:tplc="08090019" w:tentative="1">
      <w:start w:val="1"/>
      <w:numFmt w:val="lowerLetter"/>
      <w:lvlText w:val="%2."/>
      <w:lvlJc w:val="left"/>
      <w:pPr>
        <w:ind w:left="1908" w:hanging="360"/>
      </w:pPr>
    </w:lvl>
    <w:lvl w:ilvl="2" w:tplc="0809001B" w:tentative="1">
      <w:start w:val="1"/>
      <w:numFmt w:val="lowerRoman"/>
      <w:lvlText w:val="%3."/>
      <w:lvlJc w:val="right"/>
      <w:pPr>
        <w:ind w:left="2628" w:hanging="180"/>
      </w:pPr>
    </w:lvl>
    <w:lvl w:ilvl="3" w:tplc="0809000F" w:tentative="1">
      <w:start w:val="1"/>
      <w:numFmt w:val="decimal"/>
      <w:lvlText w:val="%4."/>
      <w:lvlJc w:val="left"/>
      <w:pPr>
        <w:ind w:left="3348" w:hanging="360"/>
      </w:pPr>
    </w:lvl>
    <w:lvl w:ilvl="4" w:tplc="08090019" w:tentative="1">
      <w:start w:val="1"/>
      <w:numFmt w:val="lowerLetter"/>
      <w:lvlText w:val="%5."/>
      <w:lvlJc w:val="left"/>
      <w:pPr>
        <w:ind w:left="4068" w:hanging="360"/>
      </w:pPr>
    </w:lvl>
    <w:lvl w:ilvl="5" w:tplc="0809001B" w:tentative="1">
      <w:start w:val="1"/>
      <w:numFmt w:val="lowerRoman"/>
      <w:lvlText w:val="%6."/>
      <w:lvlJc w:val="right"/>
      <w:pPr>
        <w:ind w:left="4788" w:hanging="180"/>
      </w:pPr>
    </w:lvl>
    <w:lvl w:ilvl="6" w:tplc="0809000F" w:tentative="1">
      <w:start w:val="1"/>
      <w:numFmt w:val="decimal"/>
      <w:lvlText w:val="%7."/>
      <w:lvlJc w:val="left"/>
      <w:pPr>
        <w:ind w:left="5508" w:hanging="360"/>
      </w:pPr>
    </w:lvl>
    <w:lvl w:ilvl="7" w:tplc="08090019" w:tentative="1">
      <w:start w:val="1"/>
      <w:numFmt w:val="lowerLetter"/>
      <w:lvlText w:val="%8."/>
      <w:lvlJc w:val="left"/>
      <w:pPr>
        <w:ind w:left="6228" w:hanging="360"/>
      </w:pPr>
    </w:lvl>
    <w:lvl w:ilvl="8" w:tplc="0809001B" w:tentative="1">
      <w:start w:val="1"/>
      <w:numFmt w:val="lowerRoman"/>
      <w:lvlText w:val="%9."/>
      <w:lvlJc w:val="right"/>
      <w:pPr>
        <w:ind w:left="6948" w:hanging="180"/>
      </w:pPr>
    </w:lvl>
  </w:abstractNum>
  <w:abstractNum w:abstractNumId="6" w15:restartNumberingAfterBreak="0">
    <w:nsid w:val="26B538EF"/>
    <w:multiLevelType w:val="hybridMultilevel"/>
    <w:tmpl w:val="5502B560"/>
    <w:lvl w:ilvl="0" w:tplc="172690D2">
      <w:start w:val="1"/>
      <w:numFmt w:val="lowerLetter"/>
      <w:lvlText w:val="(%1)"/>
      <w:lvlJc w:val="left"/>
      <w:pPr>
        <w:ind w:left="2271" w:hanging="570"/>
      </w:pPr>
      <w:rPr>
        <w:rFonts w:ascii="EUAlbertina" w:hAnsi="EUAlbertina" w:cs="EUAlbertina"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7" w15:restartNumberingAfterBreak="0">
    <w:nsid w:val="29EE483B"/>
    <w:multiLevelType w:val="hybridMultilevel"/>
    <w:tmpl w:val="7744F10E"/>
    <w:lvl w:ilvl="0" w:tplc="9DCC349A">
      <w:start w:val="1"/>
      <w:numFmt w:val="decimal"/>
      <w:pStyle w:val="NumberedParas"/>
      <w:lvlText w:val="%1."/>
      <w:lvlJc w:val="left"/>
      <w:pPr>
        <w:ind w:left="720" w:hanging="360"/>
      </w:pPr>
    </w:lvl>
    <w:lvl w:ilvl="1" w:tplc="08090019">
      <w:start w:val="1"/>
      <w:numFmt w:val="lowerLetter"/>
      <w:lvlText w:val="%2."/>
      <w:lvlJc w:val="left"/>
      <w:pPr>
        <w:ind w:left="1440" w:firstLine="261"/>
      </w:pPr>
      <w:rPr>
        <w:rFonts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B3259C2"/>
    <w:multiLevelType w:val="hybridMultilevel"/>
    <w:tmpl w:val="8522CE3C"/>
    <w:lvl w:ilvl="0" w:tplc="9DCC349A">
      <w:start w:val="1"/>
      <w:numFmt w:val="decimal"/>
      <w:lvlText w:val="%1."/>
      <w:lvlJc w:val="left"/>
      <w:pPr>
        <w:ind w:left="720" w:hanging="360"/>
      </w:pPr>
    </w:lvl>
    <w:lvl w:ilvl="1" w:tplc="C59EF05C">
      <w:start w:val="1"/>
      <w:numFmt w:val="lowerLetter"/>
      <w:lvlText w:val="(%2)"/>
      <w:lvlJc w:val="left"/>
      <w:pPr>
        <w:ind w:left="1440" w:firstLine="261"/>
      </w:pPr>
      <w:rPr>
        <w:rFonts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86E1414"/>
    <w:multiLevelType w:val="hybridMultilevel"/>
    <w:tmpl w:val="5B08DE46"/>
    <w:lvl w:ilvl="0" w:tplc="C73E0F46">
      <w:start w:val="1"/>
      <w:numFmt w:val="upperLetter"/>
      <w:lvlText w:val="%1."/>
      <w:lvlJc w:val="left"/>
      <w:pPr>
        <w:ind w:left="3648" w:hanging="504"/>
      </w:pPr>
      <w:rPr>
        <w:rFonts w:hint="default"/>
      </w:rPr>
    </w:lvl>
    <w:lvl w:ilvl="1" w:tplc="08090019" w:tentative="1">
      <w:start w:val="1"/>
      <w:numFmt w:val="lowerLetter"/>
      <w:lvlText w:val="%2."/>
      <w:lvlJc w:val="left"/>
      <w:pPr>
        <w:ind w:left="4224" w:hanging="360"/>
      </w:pPr>
    </w:lvl>
    <w:lvl w:ilvl="2" w:tplc="0809001B" w:tentative="1">
      <w:start w:val="1"/>
      <w:numFmt w:val="lowerRoman"/>
      <w:lvlText w:val="%3."/>
      <w:lvlJc w:val="right"/>
      <w:pPr>
        <w:ind w:left="4944" w:hanging="180"/>
      </w:pPr>
    </w:lvl>
    <w:lvl w:ilvl="3" w:tplc="0809000F" w:tentative="1">
      <w:start w:val="1"/>
      <w:numFmt w:val="decimal"/>
      <w:lvlText w:val="%4."/>
      <w:lvlJc w:val="left"/>
      <w:pPr>
        <w:ind w:left="5664" w:hanging="360"/>
      </w:pPr>
    </w:lvl>
    <w:lvl w:ilvl="4" w:tplc="08090019" w:tentative="1">
      <w:start w:val="1"/>
      <w:numFmt w:val="lowerLetter"/>
      <w:lvlText w:val="%5."/>
      <w:lvlJc w:val="left"/>
      <w:pPr>
        <w:ind w:left="6384" w:hanging="360"/>
      </w:pPr>
    </w:lvl>
    <w:lvl w:ilvl="5" w:tplc="0809001B" w:tentative="1">
      <w:start w:val="1"/>
      <w:numFmt w:val="lowerRoman"/>
      <w:lvlText w:val="%6."/>
      <w:lvlJc w:val="right"/>
      <w:pPr>
        <w:ind w:left="7104" w:hanging="180"/>
      </w:pPr>
    </w:lvl>
    <w:lvl w:ilvl="6" w:tplc="0809000F" w:tentative="1">
      <w:start w:val="1"/>
      <w:numFmt w:val="decimal"/>
      <w:lvlText w:val="%7."/>
      <w:lvlJc w:val="left"/>
      <w:pPr>
        <w:ind w:left="7824" w:hanging="360"/>
      </w:pPr>
    </w:lvl>
    <w:lvl w:ilvl="7" w:tplc="08090019" w:tentative="1">
      <w:start w:val="1"/>
      <w:numFmt w:val="lowerLetter"/>
      <w:lvlText w:val="%8."/>
      <w:lvlJc w:val="left"/>
      <w:pPr>
        <w:ind w:left="8544" w:hanging="360"/>
      </w:pPr>
    </w:lvl>
    <w:lvl w:ilvl="8" w:tplc="0809001B" w:tentative="1">
      <w:start w:val="1"/>
      <w:numFmt w:val="lowerRoman"/>
      <w:lvlText w:val="%9."/>
      <w:lvlJc w:val="right"/>
      <w:pPr>
        <w:ind w:left="9264" w:hanging="180"/>
      </w:pPr>
    </w:lvl>
  </w:abstractNum>
  <w:abstractNum w:abstractNumId="10" w15:restartNumberingAfterBreak="0">
    <w:nsid w:val="3B3061EE"/>
    <w:multiLevelType w:val="hybridMultilevel"/>
    <w:tmpl w:val="8C6EEFE8"/>
    <w:lvl w:ilvl="0" w:tplc="60B2FDEA">
      <w:start w:val="1"/>
      <w:numFmt w:val="decimal"/>
      <w:lvlText w:val="(%1)"/>
      <w:lvlJc w:val="left"/>
      <w:pPr>
        <w:ind w:left="1755" w:hanging="360"/>
      </w:pPr>
      <w:rPr>
        <w:rFonts w:hint="default"/>
      </w:rPr>
    </w:lvl>
    <w:lvl w:ilvl="1" w:tplc="08090019" w:tentative="1">
      <w:start w:val="1"/>
      <w:numFmt w:val="lowerLetter"/>
      <w:lvlText w:val="%2."/>
      <w:lvlJc w:val="left"/>
      <w:pPr>
        <w:ind w:left="2475" w:hanging="360"/>
      </w:pPr>
    </w:lvl>
    <w:lvl w:ilvl="2" w:tplc="0809001B" w:tentative="1">
      <w:start w:val="1"/>
      <w:numFmt w:val="lowerRoman"/>
      <w:lvlText w:val="%3."/>
      <w:lvlJc w:val="right"/>
      <w:pPr>
        <w:ind w:left="3195" w:hanging="180"/>
      </w:pPr>
    </w:lvl>
    <w:lvl w:ilvl="3" w:tplc="0809000F" w:tentative="1">
      <w:start w:val="1"/>
      <w:numFmt w:val="decimal"/>
      <w:lvlText w:val="%4."/>
      <w:lvlJc w:val="left"/>
      <w:pPr>
        <w:ind w:left="3915" w:hanging="360"/>
      </w:pPr>
    </w:lvl>
    <w:lvl w:ilvl="4" w:tplc="08090019" w:tentative="1">
      <w:start w:val="1"/>
      <w:numFmt w:val="lowerLetter"/>
      <w:lvlText w:val="%5."/>
      <w:lvlJc w:val="left"/>
      <w:pPr>
        <w:ind w:left="4635" w:hanging="360"/>
      </w:pPr>
    </w:lvl>
    <w:lvl w:ilvl="5" w:tplc="0809001B" w:tentative="1">
      <w:start w:val="1"/>
      <w:numFmt w:val="lowerRoman"/>
      <w:lvlText w:val="%6."/>
      <w:lvlJc w:val="right"/>
      <w:pPr>
        <w:ind w:left="5355" w:hanging="180"/>
      </w:pPr>
    </w:lvl>
    <w:lvl w:ilvl="6" w:tplc="0809000F" w:tentative="1">
      <w:start w:val="1"/>
      <w:numFmt w:val="decimal"/>
      <w:lvlText w:val="%7."/>
      <w:lvlJc w:val="left"/>
      <w:pPr>
        <w:ind w:left="6075" w:hanging="360"/>
      </w:pPr>
    </w:lvl>
    <w:lvl w:ilvl="7" w:tplc="08090019" w:tentative="1">
      <w:start w:val="1"/>
      <w:numFmt w:val="lowerLetter"/>
      <w:lvlText w:val="%8."/>
      <w:lvlJc w:val="left"/>
      <w:pPr>
        <w:ind w:left="6795" w:hanging="360"/>
      </w:pPr>
    </w:lvl>
    <w:lvl w:ilvl="8" w:tplc="0809001B" w:tentative="1">
      <w:start w:val="1"/>
      <w:numFmt w:val="lowerRoman"/>
      <w:lvlText w:val="%9."/>
      <w:lvlJc w:val="right"/>
      <w:pPr>
        <w:ind w:left="7515" w:hanging="180"/>
      </w:pPr>
    </w:lvl>
  </w:abstractNum>
  <w:abstractNum w:abstractNumId="11" w15:restartNumberingAfterBreak="0">
    <w:nsid w:val="3ECE1A2C"/>
    <w:multiLevelType w:val="hybridMultilevel"/>
    <w:tmpl w:val="A4169204"/>
    <w:lvl w:ilvl="0" w:tplc="9B16367C">
      <w:start w:val="1"/>
      <w:numFmt w:val="upperRoman"/>
      <w:lvlText w:val="%1."/>
      <w:lvlJc w:val="right"/>
      <w:pPr>
        <w:ind w:left="2214" w:hanging="360"/>
      </w:pPr>
    </w:lvl>
    <w:lvl w:ilvl="1" w:tplc="08090019" w:tentative="1">
      <w:start w:val="1"/>
      <w:numFmt w:val="lowerLetter"/>
      <w:lvlText w:val="%2."/>
      <w:lvlJc w:val="left"/>
      <w:pPr>
        <w:ind w:left="2934" w:hanging="360"/>
      </w:pPr>
    </w:lvl>
    <w:lvl w:ilvl="2" w:tplc="0809001B" w:tentative="1">
      <w:start w:val="1"/>
      <w:numFmt w:val="lowerRoman"/>
      <w:lvlText w:val="%3."/>
      <w:lvlJc w:val="right"/>
      <w:pPr>
        <w:ind w:left="3654" w:hanging="180"/>
      </w:pPr>
    </w:lvl>
    <w:lvl w:ilvl="3" w:tplc="0809000F" w:tentative="1">
      <w:start w:val="1"/>
      <w:numFmt w:val="decimal"/>
      <w:lvlText w:val="%4."/>
      <w:lvlJc w:val="left"/>
      <w:pPr>
        <w:ind w:left="4374" w:hanging="360"/>
      </w:pPr>
    </w:lvl>
    <w:lvl w:ilvl="4" w:tplc="08090019" w:tentative="1">
      <w:start w:val="1"/>
      <w:numFmt w:val="lowerLetter"/>
      <w:lvlText w:val="%5."/>
      <w:lvlJc w:val="left"/>
      <w:pPr>
        <w:ind w:left="5094" w:hanging="360"/>
      </w:pPr>
    </w:lvl>
    <w:lvl w:ilvl="5" w:tplc="0809001B" w:tentative="1">
      <w:start w:val="1"/>
      <w:numFmt w:val="lowerRoman"/>
      <w:lvlText w:val="%6."/>
      <w:lvlJc w:val="right"/>
      <w:pPr>
        <w:ind w:left="5814" w:hanging="180"/>
      </w:pPr>
    </w:lvl>
    <w:lvl w:ilvl="6" w:tplc="0809000F" w:tentative="1">
      <w:start w:val="1"/>
      <w:numFmt w:val="decimal"/>
      <w:lvlText w:val="%7."/>
      <w:lvlJc w:val="left"/>
      <w:pPr>
        <w:ind w:left="6534" w:hanging="360"/>
      </w:pPr>
    </w:lvl>
    <w:lvl w:ilvl="7" w:tplc="08090019" w:tentative="1">
      <w:start w:val="1"/>
      <w:numFmt w:val="lowerLetter"/>
      <w:lvlText w:val="%8."/>
      <w:lvlJc w:val="left"/>
      <w:pPr>
        <w:ind w:left="7254" w:hanging="360"/>
      </w:pPr>
    </w:lvl>
    <w:lvl w:ilvl="8" w:tplc="0809001B" w:tentative="1">
      <w:start w:val="1"/>
      <w:numFmt w:val="lowerRoman"/>
      <w:lvlText w:val="%9."/>
      <w:lvlJc w:val="right"/>
      <w:pPr>
        <w:ind w:left="7974" w:hanging="180"/>
      </w:pPr>
    </w:lvl>
  </w:abstractNum>
  <w:abstractNum w:abstractNumId="12" w15:restartNumberingAfterBreak="0">
    <w:nsid w:val="4394394A"/>
    <w:multiLevelType w:val="hybridMultilevel"/>
    <w:tmpl w:val="F62ECF04"/>
    <w:lvl w:ilvl="0" w:tplc="0CAC731A">
      <w:start w:val="1"/>
      <w:numFmt w:val="upperRoman"/>
      <w:lvlText w:val="%1."/>
      <w:lvlJc w:val="right"/>
      <w:pPr>
        <w:ind w:left="1395" w:hanging="510"/>
      </w:pPr>
      <w:rPr>
        <w:rFonts w:hint="default"/>
      </w:rPr>
    </w:lvl>
    <w:lvl w:ilvl="1" w:tplc="08090019" w:tentative="1">
      <w:start w:val="1"/>
      <w:numFmt w:val="lowerLetter"/>
      <w:lvlText w:val="%2."/>
      <w:lvlJc w:val="left"/>
      <w:pPr>
        <w:ind w:left="2858" w:hanging="360"/>
      </w:pPr>
    </w:lvl>
    <w:lvl w:ilvl="2" w:tplc="0809001B" w:tentative="1">
      <w:start w:val="1"/>
      <w:numFmt w:val="lowerRoman"/>
      <w:lvlText w:val="%3."/>
      <w:lvlJc w:val="right"/>
      <w:pPr>
        <w:ind w:left="3578" w:hanging="180"/>
      </w:pPr>
    </w:lvl>
    <w:lvl w:ilvl="3" w:tplc="0809000F" w:tentative="1">
      <w:start w:val="1"/>
      <w:numFmt w:val="decimal"/>
      <w:lvlText w:val="%4."/>
      <w:lvlJc w:val="left"/>
      <w:pPr>
        <w:ind w:left="4298" w:hanging="360"/>
      </w:pPr>
    </w:lvl>
    <w:lvl w:ilvl="4" w:tplc="08090019" w:tentative="1">
      <w:start w:val="1"/>
      <w:numFmt w:val="lowerLetter"/>
      <w:lvlText w:val="%5."/>
      <w:lvlJc w:val="left"/>
      <w:pPr>
        <w:ind w:left="5018" w:hanging="360"/>
      </w:pPr>
    </w:lvl>
    <w:lvl w:ilvl="5" w:tplc="0809001B" w:tentative="1">
      <w:start w:val="1"/>
      <w:numFmt w:val="lowerRoman"/>
      <w:lvlText w:val="%6."/>
      <w:lvlJc w:val="right"/>
      <w:pPr>
        <w:ind w:left="5738" w:hanging="180"/>
      </w:pPr>
    </w:lvl>
    <w:lvl w:ilvl="6" w:tplc="0809000F" w:tentative="1">
      <w:start w:val="1"/>
      <w:numFmt w:val="decimal"/>
      <w:lvlText w:val="%7."/>
      <w:lvlJc w:val="left"/>
      <w:pPr>
        <w:ind w:left="6458" w:hanging="360"/>
      </w:pPr>
    </w:lvl>
    <w:lvl w:ilvl="7" w:tplc="08090019" w:tentative="1">
      <w:start w:val="1"/>
      <w:numFmt w:val="lowerLetter"/>
      <w:lvlText w:val="%8."/>
      <w:lvlJc w:val="left"/>
      <w:pPr>
        <w:ind w:left="7178" w:hanging="360"/>
      </w:pPr>
    </w:lvl>
    <w:lvl w:ilvl="8" w:tplc="0809001B" w:tentative="1">
      <w:start w:val="1"/>
      <w:numFmt w:val="lowerRoman"/>
      <w:lvlText w:val="%9."/>
      <w:lvlJc w:val="right"/>
      <w:pPr>
        <w:ind w:left="7898" w:hanging="180"/>
      </w:pPr>
    </w:lvl>
  </w:abstractNum>
  <w:abstractNum w:abstractNumId="13" w15:restartNumberingAfterBreak="0">
    <w:nsid w:val="46340F0F"/>
    <w:multiLevelType w:val="hybridMultilevel"/>
    <w:tmpl w:val="66F67906"/>
    <w:lvl w:ilvl="0" w:tplc="706C7CA6">
      <w:start w:val="1"/>
      <w:numFmt w:val="upperLetter"/>
      <w:lvlText w:val="%1."/>
      <w:lvlJc w:val="left"/>
      <w:pPr>
        <w:ind w:left="1922" w:hanging="360"/>
      </w:pPr>
    </w:lvl>
    <w:lvl w:ilvl="1" w:tplc="08090019" w:tentative="1">
      <w:start w:val="1"/>
      <w:numFmt w:val="lowerLetter"/>
      <w:lvlText w:val="%2."/>
      <w:lvlJc w:val="left"/>
      <w:pPr>
        <w:ind w:left="2642" w:hanging="360"/>
      </w:pPr>
    </w:lvl>
    <w:lvl w:ilvl="2" w:tplc="0809001B" w:tentative="1">
      <w:start w:val="1"/>
      <w:numFmt w:val="lowerRoman"/>
      <w:lvlText w:val="%3."/>
      <w:lvlJc w:val="right"/>
      <w:pPr>
        <w:ind w:left="3362" w:hanging="180"/>
      </w:pPr>
    </w:lvl>
    <w:lvl w:ilvl="3" w:tplc="0809000F" w:tentative="1">
      <w:start w:val="1"/>
      <w:numFmt w:val="decimal"/>
      <w:lvlText w:val="%4."/>
      <w:lvlJc w:val="left"/>
      <w:pPr>
        <w:ind w:left="4082" w:hanging="360"/>
      </w:pPr>
    </w:lvl>
    <w:lvl w:ilvl="4" w:tplc="08090019" w:tentative="1">
      <w:start w:val="1"/>
      <w:numFmt w:val="lowerLetter"/>
      <w:lvlText w:val="%5."/>
      <w:lvlJc w:val="left"/>
      <w:pPr>
        <w:ind w:left="4802" w:hanging="360"/>
      </w:pPr>
    </w:lvl>
    <w:lvl w:ilvl="5" w:tplc="0809001B" w:tentative="1">
      <w:start w:val="1"/>
      <w:numFmt w:val="lowerRoman"/>
      <w:lvlText w:val="%6."/>
      <w:lvlJc w:val="right"/>
      <w:pPr>
        <w:ind w:left="5522" w:hanging="180"/>
      </w:pPr>
    </w:lvl>
    <w:lvl w:ilvl="6" w:tplc="0809000F" w:tentative="1">
      <w:start w:val="1"/>
      <w:numFmt w:val="decimal"/>
      <w:lvlText w:val="%7."/>
      <w:lvlJc w:val="left"/>
      <w:pPr>
        <w:ind w:left="6242" w:hanging="360"/>
      </w:pPr>
    </w:lvl>
    <w:lvl w:ilvl="7" w:tplc="08090019" w:tentative="1">
      <w:start w:val="1"/>
      <w:numFmt w:val="lowerLetter"/>
      <w:lvlText w:val="%8."/>
      <w:lvlJc w:val="left"/>
      <w:pPr>
        <w:ind w:left="6962" w:hanging="360"/>
      </w:pPr>
    </w:lvl>
    <w:lvl w:ilvl="8" w:tplc="0809001B" w:tentative="1">
      <w:start w:val="1"/>
      <w:numFmt w:val="lowerRoman"/>
      <w:lvlText w:val="%9."/>
      <w:lvlJc w:val="right"/>
      <w:pPr>
        <w:ind w:left="7682" w:hanging="180"/>
      </w:pPr>
    </w:lvl>
  </w:abstractNum>
  <w:abstractNum w:abstractNumId="14" w15:restartNumberingAfterBreak="0">
    <w:nsid w:val="49CF5266"/>
    <w:multiLevelType w:val="hybridMultilevel"/>
    <w:tmpl w:val="A7F85F78"/>
    <w:lvl w:ilvl="0" w:tplc="C59EF05C">
      <w:start w:val="1"/>
      <w:numFmt w:val="lowerLetter"/>
      <w:lvlText w:val="(%1)"/>
      <w:lvlJc w:val="left"/>
      <w:pPr>
        <w:ind w:left="2049" w:hanging="360"/>
      </w:pPr>
      <w:rPr>
        <w:rFonts w:hint="default"/>
      </w:rPr>
    </w:lvl>
    <w:lvl w:ilvl="1" w:tplc="08090019" w:tentative="1">
      <w:start w:val="1"/>
      <w:numFmt w:val="lowerLetter"/>
      <w:lvlText w:val="%2."/>
      <w:lvlJc w:val="left"/>
      <w:pPr>
        <w:ind w:left="2769" w:hanging="360"/>
      </w:pPr>
    </w:lvl>
    <w:lvl w:ilvl="2" w:tplc="0809001B" w:tentative="1">
      <w:start w:val="1"/>
      <w:numFmt w:val="lowerRoman"/>
      <w:lvlText w:val="%3."/>
      <w:lvlJc w:val="right"/>
      <w:pPr>
        <w:ind w:left="3489" w:hanging="180"/>
      </w:pPr>
    </w:lvl>
    <w:lvl w:ilvl="3" w:tplc="0809000F" w:tentative="1">
      <w:start w:val="1"/>
      <w:numFmt w:val="decimal"/>
      <w:lvlText w:val="%4."/>
      <w:lvlJc w:val="left"/>
      <w:pPr>
        <w:ind w:left="4209" w:hanging="360"/>
      </w:pPr>
    </w:lvl>
    <w:lvl w:ilvl="4" w:tplc="08090019" w:tentative="1">
      <w:start w:val="1"/>
      <w:numFmt w:val="lowerLetter"/>
      <w:lvlText w:val="%5."/>
      <w:lvlJc w:val="left"/>
      <w:pPr>
        <w:ind w:left="4929" w:hanging="360"/>
      </w:pPr>
    </w:lvl>
    <w:lvl w:ilvl="5" w:tplc="0809001B" w:tentative="1">
      <w:start w:val="1"/>
      <w:numFmt w:val="lowerRoman"/>
      <w:lvlText w:val="%6."/>
      <w:lvlJc w:val="right"/>
      <w:pPr>
        <w:ind w:left="5649" w:hanging="180"/>
      </w:pPr>
    </w:lvl>
    <w:lvl w:ilvl="6" w:tplc="0809000F" w:tentative="1">
      <w:start w:val="1"/>
      <w:numFmt w:val="decimal"/>
      <w:lvlText w:val="%7."/>
      <w:lvlJc w:val="left"/>
      <w:pPr>
        <w:ind w:left="6369" w:hanging="360"/>
      </w:pPr>
    </w:lvl>
    <w:lvl w:ilvl="7" w:tplc="08090019" w:tentative="1">
      <w:start w:val="1"/>
      <w:numFmt w:val="lowerLetter"/>
      <w:lvlText w:val="%8."/>
      <w:lvlJc w:val="left"/>
      <w:pPr>
        <w:ind w:left="7089" w:hanging="360"/>
      </w:pPr>
    </w:lvl>
    <w:lvl w:ilvl="8" w:tplc="0809001B" w:tentative="1">
      <w:start w:val="1"/>
      <w:numFmt w:val="lowerRoman"/>
      <w:lvlText w:val="%9."/>
      <w:lvlJc w:val="right"/>
      <w:pPr>
        <w:ind w:left="7809" w:hanging="180"/>
      </w:pPr>
    </w:lvl>
  </w:abstractNum>
  <w:abstractNum w:abstractNumId="15" w15:restartNumberingAfterBreak="0">
    <w:nsid w:val="57885649"/>
    <w:multiLevelType w:val="multilevel"/>
    <w:tmpl w:val="CAF4AB68"/>
    <w:lvl w:ilvl="0">
      <w:start w:val="1"/>
      <w:numFmt w:val="decimal"/>
      <w:lvlText w:val="%1."/>
      <w:lvlJc w:val="left"/>
      <w:pPr>
        <w:tabs>
          <w:tab w:val="num" w:pos="720"/>
        </w:tabs>
        <w:ind w:left="828" w:firstLine="0"/>
      </w:pPr>
      <w:rPr>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2."/>
      <w:lvlJc w:val="left"/>
      <w:pPr>
        <w:tabs>
          <w:tab w:val="num" w:pos="1287"/>
        </w:tabs>
        <w:ind w:left="1395" w:firstLine="0"/>
      </w:pPr>
      <w:rPr>
        <w:rFonts w:hint="default"/>
      </w:rPr>
    </w:lvl>
    <w:lvl w:ilvl="2">
      <w:start w:val="1"/>
      <w:numFmt w:val="decimal"/>
      <w:lvlText w:val="%3."/>
      <w:lvlJc w:val="left"/>
      <w:pPr>
        <w:tabs>
          <w:tab w:val="num" w:pos="1854"/>
        </w:tabs>
        <w:ind w:left="1962" w:firstLine="0"/>
      </w:pPr>
      <w:rPr>
        <w:rFonts w:hint="default"/>
      </w:rPr>
    </w:lvl>
    <w:lvl w:ilvl="3">
      <w:start w:val="1"/>
      <w:numFmt w:val="decimal"/>
      <w:lvlText w:val="%4."/>
      <w:lvlJc w:val="left"/>
      <w:pPr>
        <w:tabs>
          <w:tab w:val="num" w:pos="2421"/>
        </w:tabs>
        <w:ind w:left="2529" w:firstLine="0"/>
      </w:pPr>
      <w:rPr>
        <w:rFonts w:hint="default"/>
      </w:rPr>
    </w:lvl>
    <w:lvl w:ilvl="4">
      <w:start w:val="1"/>
      <w:numFmt w:val="decimal"/>
      <w:lvlText w:val="%5."/>
      <w:lvlJc w:val="left"/>
      <w:pPr>
        <w:tabs>
          <w:tab w:val="num" w:pos="2988"/>
        </w:tabs>
        <w:ind w:left="3096" w:firstLine="0"/>
      </w:pPr>
      <w:rPr>
        <w:rFonts w:hint="default"/>
      </w:rPr>
    </w:lvl>
    <w:lvl w:ilvl="5">
      <w:start w:val="1"/>
      <w:numFmt w:val="decimal"/>
      <w:lvlText w:val="%6."/>
      <w:lvlJc w:val="left"/>
      <w:pPr>
        <w:tabs>
          <w:tab w:val="num" w:pos="3555"/>
        </w:tabs>
        <w:ind w:left="3663" w:firstLine="0"/>
      </w:pPr>
      <w:rPr>
        <w:rFonts w:hint="default"/>
      </w:rPr>
    </w:lvl>
    <w:lvl w:ilvl="6">
      <w:start w:val="1"/>
      <w:numFmt w:val="decimal"/>
      <w:lvlText w:val="%7."/>
      <w:lvlJc w:val="left"/>
      <w:pPr>
        <w:tabs>
          <w:tab w:val="num" w:pos="4122"/>
        </w:tabs>
        <w:ind w:left="4230" w:firstLine="0"/>
      </w:pPr>
      <w:rPr>
        <w:rFonts w:hint="default"/>
      </w:rPr>
    </w:lvl>
    <w:lvl w:ilvl="7">
      <w:start w:val="1"/>
      <w:numFmt w:val="decimal"/>
      <w:lvlText w:val="%8."/>
      <w:lvlJc w:val="left"/>
      <w:pPr>
        <w:tabs>
          <w:tab w:val="num" w:pos="4689"/>
        </w:tabs>
        <w:ind w:left="4797" w:firstLine="0"/>
      </w:pPr>
      <w:rPr>
        <w:rFonts w:hint="default"/>
      </w:rPr>
    </w:lvl>
    <w:lvl w:ilvl="8">
      <w:start w:val="1"/>
      <w:numFmt w:val="decimal"/>
      <w:lvlText w:val="%9."/>
      <w:lvlJc w:val="left"/>
      <w:pPr>
        <w:tabs>
          <w:tab w:val="num" w:pos="5256"/>
        </w:tabs>
        <w:ind w:left="5364" w:firstLine="0"/>
      </w:pPr>
      <w:rPr>
        <w:rFonts w:hint="default"/>
      </w:rPr>
    </w:lvl>
  </w:abstractNum>
  <w:abstractNum w:abstractNumId="16" w15:restartNumberingAfterBreak="0">
    <w:nsid w:val="5A595C9A"/>
    <w:multiLevelType w:val="hybridMultilevel"/>
    <w:tmpl w:val="F8B6FF5A"/>
    <w:lvl w:ilvl="0" w:tplc="30EC1C24">
      <w:start w:val="1"/>
      <w:numFmt w:val="upperLetter"/>
      <w:pStyle w:val="Heading2"/>
      <w:lvlText w:val="%1."/>
      <w:lvlJc w:val="left"/>
      <w:pPr>
        <w:tabs>
          <w:tab w:val="num" w:pos="1200"/>
        </w:tabs>
        <w:ind w:left="885" w:hanging="57"/>
      </w:pPr>
      <w:rPr>
        <w:rFonts w:cs="Times New Roman" w:hint="default"/>
      </w:rPr>
    </w:lvl>
    <w:lvl w:ilvl="1" w:tplc="04090019">
      <w:start w:val="1"/>
      <w:numFmt w:val="lowerLetter"/>
      <w:lvlText w:val="%2."/>
      <w:lvlJc w:val="left"/>
      <w:pPr>
        <w:tabs>
          <w:tab w:val="num" w:pos="1755"/>
        </w:tabs>
        <w:ind w:left="1755" w:hanging="360"/>
      </w:pPr>
      <w:rPr>
        <w:rFonts w:cs="Times New Roman"/>
      </w:rPr>
    </w:lvl>
    <w:lvl w:ilvl="2" w:tplc="0409001B">
      <w:start w:val="1"/>
      <w:numFmt w:val="lowerRoman"/>
      <w:lvlText w:val="%3."/>
      <w:lvlJc w:val="right"/>
      <w:pPr>
        <w:tabs>
          <w:tab w:val="num" w:pos="2475"/>
        </w:tabs>
        <w:ind w:left="2475" w:hanging="180"/>
      </w:pPr>
      <w:rPr>
        <w:rFonts w:cs="Times New Roman"/>
      </w:rPr>
    </w:lvl>
    <w:lvl w:ilvl="3" w:tplc="0409000F">
      <w:start w:val="1"/>
      <w:numFmt w:val="decimal"/>
      <w:lvlText w:val="%4."/>
      <w:lvlJc w:val="left"/>
      <w:pPr>
        <w:tabs>
          <w:tab w:val="num" w:pos="3195"/>
        </w:tabs>
        <w:ind w:left="3195" w:hanging="360"/>
      </w:pPr>
      <w:rPr>
        <w:rFonts w:cs="Times New Roman"/>
      </w:rPr>
    </w:lvl>
    <w:lvl w:ilvl="4" w:tplc="04090019">
      <w:start w:val="1"/>
      <w:numFmt w:val="lowerLetter"/>
      <w:lvlText w:val="%5."/>
      <w:lvlJc w:val="left"/>
      <w:pPr>
        <w:tabs>
          <w:tab w:val="num" w:pos="3915"/>
        </w:tabs>
        <w:ind w:left="3915" w:hanging="360"/>
      </w:pPr>
      <w:rPr>
        <w:rFonts w:cs="Times New Roman"/>
      </w:rPr>
    </w:lvl>
    <w:lvl w:ilvl="5" w:tplc="0409001B">
      <w:start w:val="1"/>
      <w:numFmt w:val="lowerRoman"/>
      <w:lvlText w:val="%6."/>
      <w:lvlJc w:val="right"/>
      <w:pPr>
        <w:tabs>
          <w:tab w:val="num" w:pos="4635"/>
        </w:tabs>
        <w:ind w:left="4635" w:hanging="180"/>
      </w:pPr>
      <w:rPr>
        <w:rFonts w:cs="Times New Roman"/>
      </w:rPr>
    </w:lvl>
    <w:lvl w:ilvl="6" w:tplc="0409000F">
      <w:start w:val="1"/>
      <w:numFmt w:val="decimal"/>
      <w:lvlText w:val="%7."/>
      <w:lvlJc w:val="left"/>
      <w:pPr>
        <w:tabs>
          <w:tab w:val="num" w:pos="5355"/>
        </w:tabs>
        <w:ind w:left="5355" w:hanging="360"/>
      </w:pPr>
      <w:rPr>
        <w:rFonts w:cs="Times New Roman"/>
      </w:rPr>
    </w:lvl>
    <w:lvl w:ilvl="7" w:tplc="04090019">
      <w:start w:val="1"/>
      <w:numFmt w:val="lowerLetter"/>
      <w:lvlText w:val="%8."/>
      <w:lvlJc w:val="left"/>
      <w:pPr>
        <w:tabs>
          <w:tab w:val="num" w:pos="6075"/>
        </w:tabs>
        <w:ind w:left="6075" w:hanging="360"/>
      </w:pPr>
      <w:rPr>
        <w:rFonts w:cs="Times New Roman"/>
      </w:rPr>
    </w:lvl>
    <w:lvl w:ilvl="8" w:tplc="0409001B">
      <w:start w:val="1"/>
      <w:numFmt w:val="lowerRoman"/>
      <w:lvlText w:val="%9."/>
      <w:lvlJc w:val="right"/>
      <w:pPr>
        <w:tabs>
          <w:tab w:val="num" w:pos="6795"/>
        </w:tabs>
        <w:ind w:left="6795" w:hanging="180"/>
      </w:pPr>
      <w:rPr>
        <w:rFonts w:cs="Times New Roman"/>
      </w:rPr>
    </w:lvl>
  </w:abstractNum>
  <w:abstractNum w:abstractNumId="17" w15:restartNumberingAfterBreak="0">
    <w:nsid w:val="5E732D6A"/>
    <w:multiLevelType w:val="hybridMultilevel"/>
    <w:tmpl w:val="2E445874"/>
    <w:lvl w:ilvl="0" w:tplc="F3B28216">
      <w:start w:val="1"/>
      <w:numFmt w:val="decimal"/>
      <w:lvlText w:val="%1."/>
      <w:lvlJc w:val="left"/>
      <w:pPr>
        <w:tabs>
          <w:tab w:val="num" w:pos="1711"/>
        </w:tabs>
        <w:ind w:left="1711" w:hanging="576"/>
      </w:pPr>
      <w:rPr>
        <w:rFonts w:hint="default"/>
        <w:b w:val="0"/>
        <w:i w:val="0"/>
        <w:lang w:val="en-GB"/>
      </w:rPr>
    </w:lvl>
    <w:lvl w:ilvl="1" w:tplc="11BCA316">
      <w:start w:val="1"/>
      <w:numFmt w:val="bullet"/>
      <w:lvlText w:val=""/>
      <w:lvlJc w:val="left"/>
      <w:pPr>
        <w:tabs>
          <w:tab w:val="num" w:pos="2574"/>
        </w:tabs>
        <w:ind w:left="2574" w:hanging="720"/>
      </w:pPr>
      <w:rPr>
        <w:rFonts w:ascii="Symbol" w:hAnsi="Symbol" w:hint="default"/>
        <w:sz w:val="20"/>
        <w:szCs w:val="20"/>
      </w:rPr>
    </w:lvl>
    <w:lvl w:ilvl="2" w:tplc="0409001B">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18" w15:restartNumberingAfterBreak="0">
    <w:nsid w:val="62EE0F20"/>
    <w:multiLevelType w:val="hybridMultilevel"/>
    <w:tmpl w:val="19C03CEC"/>
    <w:lvl w:ilvl="0" w:tplc="B2C857E6">
      <w:start w:val="1"/>
      <w:numFmt w:val="upperRoman"/>
      <w:lvlText w:val="%1."/>
      <w:lvlJc w:val="left"/>
      <w:pPr>
        <w:ind w:left="1855" w:hanging="720"/>
      </w:pPr>
      <w:rPr>
        <w:rFonts w:cs="Times New Roman"/>
      </w:rPr>
    </w:lvl>
    <w:lvl w:ilvl="1" w:tplc="08090019">
      <w:start w:val="1"/>
      <w:numFmt w:val="lowerLetter"/>
      <w:lvlText w:val="%2."/>
      <w:lvlJc w:val="left"/>
      <w:pPr>
        <w:ind w:left="1755" w:hanging="360"/>
      </w:pPr>
      <w:rPr>
        <w:rFonts w:cs="Times New Roman"/>
      </w:rPr>
    </w:lvl>
    <w:lvl w:ilvl="2" w:tplc="0809001B">
      <w:start w:val="1"/>
      <w:numFmt w:val="lowerRoman"/>
      <w:lvlText w:val="%3."/>
      <w:lvlJc w:val="right"/>
      <w:pPr>
        <w:ind w:left="2475" w:hanging="180"/>
      </w:pPr>
      <w:rPr>
        <w:rFonts w:cs="Times New Roman"/>
      </w:rPr>
    </w:lvl>
    <w:lvl w:ilvl="3" w:tplc="0809000F">
      <w:start w:val="1"/>
      <w:numFmt w:val="decimal"/>
      <w:lvlText w:val="%4."/>
      <w:lvlJc w:val="left"/>
      <w:pPr>
        <w:ind w:left="3195" w:hanging="360"/>
      </w:pPr>
      <w:rPr>
        <w:rFonts w:cs="Times New Roman"/>
      </w:rPr>
    </w:lvl>
    <w:lvl w:ilvl="4" w:tplc="08090019">
      <w:start w:val="1"/>
      <w:numFmt w:val="lowerLetter"/>
      <w:lvlText w:val="%5."/>
      <w:lvlJc w:val="left"/>
      <w:pPr>
        <w:ind w:left="3915" w:hanging="360"/>
      </w:pPr>
      <w:rPr>
        <w:rFonts w:cs="Times New Roman"/>
      </w:rPr>
    </w:lvl>
    <w:lvl w:ilvl="5" w:tplc="0809001B">
      <w:start w:val="1"/>
      <w:numFmt w:val="lowerRoman"/>
      <w:lvlText w:val="%6."/>
      <w:lvlJc w:val="right"/>
      <w:pPr>
        <w:ind w:left="4635" w:hanging="180"/>
      </w:pPr>
      <w:rPr>
        <w:rFonts w:cs="Times New Roman"/>
      </w:rPr>
    </w:lvl>
    <w:lvl w:ilvl="6" w:tplc="0809000F">
      <w:start w:val="1"/>
      <w:numFmt w:val="decimal"/>
      <w:lvlText w:val="%7."/>
      <w:lvlJc w:val="left"/>
      <w:pPr>
        <w:ind w:left="5355" w:hanging="360"/>
      </w:pPr>
      <w:rPr>
        <w:rFonts w:cs="Times New Roman"/>
      </w:rPr>
    </w:lvl>
    <w:lvl w:ilvl="7" w:tplc="08090019">
      <w:start w:val="1"/>
      <w:numFmt w:val="lowerLetter"/>
      <w:lvlText w:val="%8."/>
      <w:lvlJc w:val="left"/>
      <w:pPr>
        <w:ind w:left="6075" w:hanging="360"/>
      </w:pPr>
      <w:rPr>
        <w:rFonts w:cs="Times New Roman"/>
      </w:rPr>
    </w:lvl>
    <w:lvl w:ilvl="8" w:tplc="0809001B">
      <w:start w:val="1"/>
      <w:numFmt w:val="lowerRoman"/>
      <w:lvlText w:val="%9."/>
      <w:lvlJc w:val="right"/>
      <w:pPr>
        <w:ind w:left="6795" w:hanging="180"/>
      </w:pPr>
      <w:rPr>
        <w:rFonts w:cs="Times New Roman"/>
      </w:rPr>
    </w:lvl>
  </w:abstractNum>
  <w:abstractNum w:abstractNumId="19"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EB146C3"/>
    <w:multiLevelType w:val="multilevel"/>
    <w:tmpl w:val="66B46DDA"/>
    <w:lvl w:ilvl="0">
      <w:start w:val="1"/>
      <w:numFmt w:val="upperRoman"/>
      <w:lvlText w:val="%1."/>
      <w:lvlJc w:val="right"/>
      <w:pPr>
        <w:ind w:left="1965" w:hanging="36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15:restartNumberingAfterBreak="0">
    <w:nsid w:val="714E0759"/>
    <w:multiLevelType w:val="hybridMultilevel"/>
    <w:tmpl w:val="A60EE4CE"/>
    <w:lvl w:ilvl="0" w:tplc="C8E6D674">
      <w:start w:val="1"/>
      <w:numFmt w:val="upperRoman"/>
      <w:lvlText w:val="%1."/>
      <w:lvlJc w:val="left"/>
      <w:pPr>
        <w:ind w:left="2934" w:hanging="720"/>
      </w:pPr>
      <w:rPr>
        <w:rFonts w:hint="default"/>
      </w:rPr>
    </w:lvl>
    <w:lvl w:ilvl="1" w:tplc="08090019" w:tentative="1">
      <w:start w:val="1"/>
      <w:numFmt w:val="lowerLetter"/>
      <w:lvlText w:val="%2."/>
      <w:lvlJc w:val="left"/>
      <w:pPr>
        <w:ind w:left="3294" w:hanging="360"/>
      </w:pPr>
    </w:lvl>
    <w:lvl w:ilvl="2" w:tplc="0809001B" w:tentative="1">
      <w:start w:val="1"/>
      <w:numFmt w:val="lowerRoman"/>
      <w:lvlText w:val="%3."/>
      <w:lvlJc w:val="right"/>
      <w:pPr>
        <w:ind w:left="4014" w:hanging="180"/>
      </w:pPr>
    </w:lvl>
    <w:lvl w:ilvl="3" w:tplc="0809000F" w:tentative="1">
      <w:start w:val="1"/>
      <w:numFmt w:val="decimal"/>
      <w:lvlText w:val="%4."/>
      <w:lvlJc w:val="left"/>
      <w:pPr>
        <w:ind w:left="4734" w:hanging="360"/>
      </w:pPr>
    </w:lvl>
    <w:lvl w:ilvl="4" w:tplc="08090019" w:tentative="1">
      <w:start w:val="1"/>
      <w:numFmt w:val="lowerLetter"/>
      <w:lvlText w:val="%5."/>
      <w:lvlJc w:val="left"/>
      <w:pPr>
        <w:ind w:left="5454" w:hanging="360"/>
      </w:pPr>
    </w:lvl>
    <w:lvl w:ilvl="5" w:tplc="0809001B" w:tentative="1">
      <w:start w:val="1"/>
      <w:numFmt w:val="lowerRoman"/>
      <w:lvlText w:val="%6."/>
      <w:lvlJc w:val="right"/>
      <w:pPr>
        <w:ind w:left="6174" w:hanging="180"/>
      </w:pPr>
    </w:lvl>
    <w:lvl w:ilvl="6" w:tplc="0809000F" w:tentative="1">
      <w:start w:val="1"/>
      <w:numFmt w:val="decimal"/>
      <w:lvlText w:val="%7."/>
      <w:lvlJc w:val="left"/>
      <w:pPr>
        <w:ind w:left="6894" w:hanging="360"/>
      </w:pPr>
    </w:lvl>
    <w:lvl w:ilvl="7" w:tplc="08090019" w:tentative="1">
      <w:start w:val="1"/>
      <w:numFmt w:val="lowerLetter"/>
      <w:lvlText w:val="%8."/>
      <w:lvlJc w:val="left"/>
      <w:pPr>
        <w:ind w:left="7614" w:hanging="360"/>
      </w:pPr>
    </w:lvl>
    <w:lvl w:ilvl="8" w:tplc="0809001B" w:tentative="1">
      <w:start w:val="1"/>
      <w:numFmt w:val="lowerRoman"/>
      <w:lvlText w:val="%9."/>
      <w:lvlJc w:val="right"/>
      <w:pPr>
        <w:ind w:left="8334" w:hanging="180"/>
      </w:pPr>
    </w:lvl>
  </w:abstractNum>
  <w:abstractNum w:abstractNumId="22" w15:restartNumberingAfterBreak="0">
    <w:nsid w:val="74E72239"/>
    <w:multiLevelType w:val="hybridMultilevel"/>
    <w:tmpl w:val="8E2CB9B4"/>
    <w:lvl w:ilvl="0" w:tplc="AA565440">
      <w:start w:val="43"/>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59C2FAC"/>
    <w:multiLevelType w:val="multilevel"/>
    <w:tmpl w:val="0F68760C"/>
    <w:lvl w:ilvl="0">
      <w:start w:val="1"/>
      <w:numFmt w:val="decimal"/>
      <w:pStyle w:val="Heading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A641F75"/>
    <w:multiLevelType w:val="multilevel"/>
    <w:tmpl w:val="3C66A004"/>
    <w:lvl w:ilvl="0">
      <w:start w:val="1"/>
      <w:numFmt w:val="upperRoman"/>
      <w:lvlText w:val="%1."/>
      <w:lvlJc w:val="left"/>
      <w:pPr>
        <w:ind w:left="1965" w:hanging="360"/>
      </w:pPr>
      <w:rPr>
        <w:rFont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15:restartNumberingAfterBreak="0">
    <w:nsid w:val="7B42687E"/>
    <w:multiLevelType w:val="hybridMultilevel"/>
    <w:tmpl w:val="112E6214"/>
    <w:lvl w:ilvl="0" w:tplc="E5D0FFE0">
      <w:start w:val="1"/>
      <w:numFmt w:val="upperRoman"/>
      <w:lvlText w:val="%1."/>
      <w:lvlJc w:val="right"/>
      <w:pPr>
        <w:ind w:left="1965" w:hanging="360"/>
      </w:pPr>
    </w:lvl>
    <w:lvl w:ilvl="1" w:tplc="08090019" w:tentative="1">
      <w:start w:val="1"/>
      <w:numFmt w:val="lowerLetter"/>
      <w:lvlText w:val="%2."/>
      <w:lvlJc w:val="left"/>
      <w:pPr>
        <w:ind w:left="2685" w:hanging="360"/>
      </w:pPr>
    </w:lvl>
    <w:lvl w:ilvl="2" w:tplc="0809001B" w:tentative="1">
      <w:start w:val="1"/>
      <w:numFmt w:val="lowerRoman"/>
      <w:lvlText w:val="%3."/>
      <w:lvlJc w:val="right"/>
      <w:pPr>
        <w:ind w:left="3405" w:hanging="180"/>
      </w:pPr>
    </w:lvl>
    <w:lvl w:ilvl="3" w:tplc="0809000F" w:tentative="1">
      <w:start w:val="1"/>
      <w:numFmt w:val="decimal"/>
      <w:lvlText w:val="%4."/>
      <w:lvlJc w:val="left"/>
      <w:pPr>
        <w:ind w:left="4125" w:hanging="360"/>
      </w:pPr>
    </w:lvl>
    <w:lvl w:ilvl="4" w:tplc="08090019" w:tentative="1">
      <w:start w:val="1"/>
      <w:numFmt w:val="lowerLetter"/>
      <w:lvlText w:val="%5."/>
      <w:lvlJc w:val="left"/>
      <w:pPr>
        <w:ind w:left="4845" w:hanging="360"/>
      </w:pPr>
    </w:lvl>
    <w:lvl w:ilvl="5" w:tplc="0809001B" w:tentative="1">
      <w:start w:val="1"/>
      <w:numFmt w:val="lowerRoman"/>
      <w:lvlText w:val="%6."/>
      <w:lvlJc w:val="right"/>
      <w:pPr>
        <w:ind w:left="5565" w:hanging="180"/>
      </w:pPr>
    </w:lvl>
    <w:lvl w:ilvl="6" w:tplc="0809000F" w:tentative="1">
      <w:start w:val="1"/>
      <w:numFmt w:val="decimal"/>
      <w:lvlText w:val="%7."/>
      <w:lvlJc w:val="left"/>
      <w:pPr>
        <w:ind w:left="6285" w:hanging="360"/>
      </w:pPr>
    </w:lvl>
    <w:lvl w:ilvl="7" w:tplc="08090019" w:tentative="1">
      <w:start w:val="1"/>
      <w:numFmt w:val="lowerLetter"/>
      <w:lvlText w:val="%8."/>
      <w:lvlJc w:val="left"/>
      <w:pPr>
        <w:ind w:left="7005" w:hanging="360"/>
      </w:pPr>
    </w:lvl>
    <w:lvl w:ilvl="8" w:tplc="0809001B" w:tentative="1">
      <w:start w:val="1"/>
      <w:numFmt w:val="lowerRoman"/>
      <w:lvlText w:val="%9."/>
      <w:lvlJc w:val="right"/>
      <w:pPr>
        <w:ind w:left="7725" w:hanging="180"/>
      </w:pPr>
    </w:lvl>
  </w:abstractNum>
  <w:num w:numId="1">
    <w:abstractNumId w:val="19"/>
  </w:num>
  <w:num w:numId="2">
    <w:abstractNumId w:val="24"/>
  </w:num>
  <w:num w:numId="3">
    <w:abstractNumId w:val="17"/>
  </w:num>
  <w:num w:numId="4">
    <w:abstractNumId w:val="16"/>
  </w:num>
  <w:num w:numId="5">
    <w:abstractNumId w:val="9"/>
  </w:num>
  <w:num w:numId="6">
    <w:abstractNumId w:val="18"/>
  </w:num>
  <w:num w:numId="7">
    <w:abstractNumId w:val="22"/>
  </w:num>
  <w:num w:numId="8">
    <w:abstractNumId w:val="14"/>
  </w:num>
  <w:num w:numId="9">
    <w:abstractNumId w:val="6"/>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12"/>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15"/>
  </w:num>
  <w:num w:numId="17">
    <w:abstractNumId w:val="2"/>
  </w:num>
  <w:num w:numId="18">
    <w:abstractNumId w:val="4"/>
  </w:num>
  <w:num w:numId="19">
    <w:abstractNumId w:val="0"/>
  </w:num>
  <w:num w:numId="20">
    <w:abstractNumId w:val="26"/>
  </w:num>
  <w:num w:numId="21">
    <w:abstractNumId w:val="20"/>
  </w:num>
  <w:num w:numId="22">
    <w:abstractNumId w:val="25"/>
  </w:num>
  <w:num w:numId="23">
    <w:abstractNumId w:val="16"/>
    <w:lvlOverride w:ilvl="0">
      <w:startOverride w:val="1"/>
    </w:lvlOverride>
  </w:num>
  <w:num w:numId="24">
    <w:abstractNumId w:val="3"/>
  </w:num>
  <w:num w:numId="25">
    <w:abstractNumId w:val="10"/>
  </w:num>
  <w:num w:numId="26">
    <w:abstractNumId w:val="11"/>
  </w:num>
  <w:num w:numId="27">
    <w:abstractNumId w:val="23"/>
  </w:num>
  <w:num w:numId="28">
    <w:abstractNumId w:val="1"/>
  </w:num>
  <w:num w:numId="29">
    <w:abstractNumId w:val="8"/>
  </w:num>
  <w:num w:numId="30">
    <w:abstractNumId w:val="21"/>
  </w:num>
  <w:num w:numId="31">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fr-CH" w:vendorID="64" w:dllVersion="6" w:nlCheck="1" w:checkStyle="0"/>
  <w:activeWritingStyle w:appName="MSWord" w:lang="en-GB" w:vendorID="64" w:dllVersion="4096" w:nlCheck="1" w:checkStyle="0"/>
  <w:activeWritingStyle w:appName="MSWord" w:lang="de-DE" w:vendorID="64" w:dllVersion="6" w:nlCheck="1" w:checkStyle="0"/>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activeWritingStyle w:appName="MSWord" w:lang="es-ES" w:vendorID="64" w:dllVersion="0" w:nlCheck="1" w:checkStyle="0"/>
  <w:activeWritingStyle w:appName="MSWord" w:lang="ar-SA" w:vendorID="64" w:dllVersion="0" w:nlCheck="1" w:checkStyle="0"/>
  <w:activeWritingStyle w:appName="MSWord" w:lang="ar-SA" w:vendorID="64" w:dllVersion="6" w:nlCheck="1" w:checkStyle="0"/>
  <w:activeWritingStyle w:appName="MSWord" w:lang="es-ES" w:vendorID="64" w:dllVersion="6" w:nlCheck="1" w:checkStyle="0"/>
  <w:activeWritingStyle w:appName="MSWord" w:lang="ar-SA" w:vendorID="64" w:dllVersion="4096" w:nlCheck="1" w:checkStyle="0"/>
  <w:activeWritingStyle w:appName="MSWord" w:lang="en-US" w:vendorID="64" w:dllVersion="4096" w:nlCheck="1" w:checkStyle="0"/>
  <w:activeWritingStyle w:appName="MSWord" w:lang="fr-CH" w:vendorID="64" w:dllVersion="4096" w:nlCheck="1" w:checkStyle="0"/>
  <w:activeWritingStyle w:appName="MSWord" w:lang="fr-FR" w:vendorID="64" w:dllVersion="4096" w:nlCheck="1" w:checkStyle="0"/>
  <w:activeWritingStyle w:appName="MSWord" w:lang="nl-NL" w:vendorID="64" w:dllVersion="4096" w:nlCheck="1" w:checkStyle="0"/>
  <w:activeWritingStyle w:appName="MSWord" w:lang="nl-NL" w:vendorID="64" w:dllVersion="0" w:nlCheck="1" w:checkStyle="0"/>
  <w:activeWritingStyle w:appName="MSWord" w:lang="fr-FR" w:vendorID="64" w:dllVersion="0" w:nlCheck="1" w:checkStyle="0"/>
  <w:attachedTemplate r:id="rId1"/>
  <w:linkStyle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575C"/>
    <w:rsid w:val="0000032F"/>
    <w:rsid w:val="00000A6C"/>
    <w:rsid w:val="00000DBE"/>
    <w:rsid w:val="000013C1"/>
    <w:rsid w:val="00001FB6"/>
    <w:rsid w:val="000022C2"/>
    <w:rsid w:val="00002A7D"/>
    <w:rsid w:val="0000309E"/>
    <w:rsid w:val="00003653"/>
    <w:rsid w:val="000038A8"/>
    <w:rsid w:val="00003B5C"/>
    <w:rsid w:val="00004967"/>
    <w:rsid w:val="00004FC3"/>
    <w:rsid w:val="0000669F"/>
    <w:rsid w:val="00006790"/>
    <w:rsid w:val="0000786C"/>
    <w:rsid w:val="00007E50"/>
    <w:rsid w:val="00010513"/>
    <w:rsid w:val="00010802"/>
    <w:rsid w:val="00010EE6"/>
    <w:rsid w:val="0001122D"/>
    <w:rsid w:val="00011249"/>
    <w:rsid w:val="000112F4"/>
    <w:rsid w:val="0001153E"/>
    <w:rsid w:val="00011690"/>
    <w:rsid w:val="00012205"/>
    <w:rsid w:val="000122BE"/>
    <w:rsid w:val="0001257F"/>
    <w:rsid w:val="00012CB3"/>
    <w:rsid w:val="00012E3A"/>
    <w:rsid w:val="00014A43"/>
    <w:rsid w:val="00015B5A"/>
    <w:rsid w:val="00016049"/>
    <w:rsid w:val="000163E1"/>
    <w:rsid w:val="00016DC3"/>
    <w:rsid w:val="00017DB8"/>
    <w:rsid w:val="00017E3D"/>
    <w:rsid w:val="00020583"/>
    <w:rsid w:val="00020611"/>
    <w:rsid w:val="000208B8"/>
    <w:rsid w:val="00021111"/>
    <w:rsid w:val="0002226C"/>
    <w:rsid w:val="00022B1E"/>
    <w:rsid w:val="00023283"/>
    <w:rsid w:val="00023E28"/>
    <w:rsid w:val="000246CE"/>
    <w:rsid w:val="00024C6B"/>
    <w:rsid w:val="0002612A"/>
    <w:rsid w:val="00026840"/>
    <w:rsid w:val="0002719F"/>
    <w:rsid w:val="000272E9"/>
    <w:rsid w:val="00027624"/>
    <w:rsid w:val="0002791C"/>
    <w:rsid w:val="00030613"/>
    <w:rsid w:val="000312A8"/>
    <w:rsid w:val="00032020"/>
    <w:rsid w:val="00032130"/>
    <w:rsid w:val="00032585"/>
    <w:rsid w:val="00033BB7"/>
    <w:rsid w:val="00033BBF"/>
    <w:rsid w:val="000342C4"/>
    <w:rsid w:val="00035055"/>
    <w:rsid w:val="00035A35"/>
    <w:rsid w:val="00035BA9"/>
    <w:rsid w:val="00036FF4"/>
    <w:rsid w:val="0003764F"/>
    <w:rsid w:val="00037CE9"/>
    <w:rsid w:val="00040312"/>
    <w:rsid w:val="0004065D"/>
    <w:rsid w:val="00040AE5"/>
    <w:rsid w:val="00040B1F"/>
    <w:rsid w:val="00040C34"/>
    <w:rsid w:val="00041144"/>
    <w:rsid w:val="0004116C"/>
    <w:rsid w:val="00041439"/>
    <w:rsid w:val="0004165F"/>
    <w:rsid w:val="000422AA"/>
    <w:rsid w:val="00042824"/>
    <w:rsid w:val="00042ECF"/>
    <w:rsid w:val="00043F32"/>
    <w:rsid w:val="0004421E"/>
    <w:rsid w:val="00044B03"/>
    <w:rsid w:val="00044DDA"/>
    <w:rsid w:val="00044EAE"/>
    <w:rsid w:val="00044F62"/>
    <w:rsid w:val="00045B8F"/>
    <w:rsid w:val="00045F75"/>
    <w:rsid w:val="000475DC"/>
    <w:rsid w:val="0005063E"/>
    <w:rsid w:val="000506B0"/>
    <w:rsid w:val="00050F6B"/>
    <w:rsid w:val="00051425"/>
    <w:rsid w:val="000516A4"/>
    <w:rsid w:val="00051700"/>
    <w:rsid w:val="000517FB"/>
    <w:rsid w:val="000522BE"/>
    <w:rsid w:val="00052B5A"/>
    <w:rsid w:val="00052E7B"/>
    <w:rsid w:val="00053308"/>
    <w:rsid w:val="00053653"/>
    <w:rsid w:val="00054A26"/>
    <w:rsid w:val="0005501C"/>
    <w:rsid w:val="00055094"/>
    <w:rsid w:val="000550B5"/>
    <w:rsid w:val="00055309"/>
    <w:rsid w:val="000562EA"/>
    <w:rsid w:val="000602AF"/>
    <w:rsid w:val="00060D95"/>
    <w:rsid w:val="00061BD7"/>
    <w:rsid w:val="00062DF2"/>
    <w:rsid w:val="00065EAE"/>
    <w:rsid w:val="00066E03"/>
    <w:rsid w:val="000678CD"/>
    <w:rsid w:val="00067D34"/>
    <w:rsid w:val="00070178"/>
    <w:rsid w:val="0007027F"/>
    <w:rsid w:val="000702E9"/>
    <w:rsid w:val="00070684"/>
    <w:rsid w:val="00070D34"/>
    <w:rsid w:val="00071080"/>
    <w:rsid w:val="000710CD"/>
    <w:rsid w:val="000712F7"/>
    <w:rsid w:val="00072085"/>
    <w:rsid w:val="000723D2"/>
    <w:rsid w:val="00072900"/>
    <w:rsid w:val="00072C8C"/>
    <w:rsid w:val="00072CF5"/>
    <w:rsid w:val="00072F30"/>
    <w:rsid w:val="00074009"/>
    <w:rsid w:val="00074606"/>
    <w:rsid w:val="00074DDC"/>
    <w:rsid w:val="00074F3B"/>
    <w:rsid w:val="00075812"/>
    <w:rsid w:val="0007593C"/>
    <w:rsid w:val="00075ED9"/>
    <w:rsid w:val="00075F4A"/>
    <w:rsid w:val="000768E3"/>
    <w:rsid w:val="000769FB"/>
    <w:rsid w:val="00076B2A"/>
    <w:rsid w:val="00076B99"/>
    <w:rsid w:val="000770BA"/>
    <w:rsid w:val="00077157"/>
    <w:rsid w:val="00077B30"/>
    <w:rsid w:val="000802FD"/>
    <w:rsid w:val="00081CE0"/>
    <w:rsid w:val="0008233D"/>
    <w:rsid w:val="0008357A"/>
    <w:rsid w:val="00083882"/>
    <w:rsid w:val="00084007"/>
    <w:rsid w:val="000845D0"/>
    <w:rsid w:val="000847F2"/>
    <w:rsid w:val="00084D30"/>
    <w:rsid w:val="000856D3"/>
    <w:rsid w:val="0008573B"/>
    <w:rsid w:val="0008623A"/>
    <w:rsid w:val="000871C7"/>
    <w:rsid w:val="000878D1"/>
    <w:rsid w:val="00087915"/>
    <w:rsid w:val="00090320"/>
    <w:rsid w:val="00090745"/>
    <w:rsid w:val="00090D28"/>
    <w:rsid w:val="000917E1"/>
    <w:rsid w:val="00091B80"/>
    <w:rsid w:val="000921EF"/>
    <w:rsid w:val="000923A0"/>
    <w:rsid w:val="00092AA4"/>
    <w:rsid w:val="00092E18"/>
    <w:rsid w:val="00092F94"/>
    <w:rsid w:val="000931C0"/>
    <w:rsid w:val="000931E4"/>
    <w:rsid w:val="0009337D"/>
    <w:rsid w:val="00093823"/>
    <w:rsid w:val="00093BB7"/>
    <w:rsid w:val="00093DB7"/>
    <w:rsid w:val="00093E66"/>
    <w:rsid w:val="00095435"/>
    <w:rsid w:val="0009618A"/>
    <w:rsid w:val="0009623C"/>
    <w:rsid w:val="00096E5C"/>
    <w:rsid w:val="00097280"/>
    <w:rsid w:val="000A0087"/>
    <w:rsid w:val="000A0552"/>
    <w:rsid w:val="000A0862"/>
    <w:rsid w:val="000A1778"/>
    <w:rsid w:val="000A2543"/>
    <w:rsid w:val="000A2A2D"/>
    <w:rsid w:val="000A2E09"/>
    <w:rsid w:val="000A4024"/>
    <w:rsid w:val="000A46FD"/>
    <w:rsid w:val="000A49F4"/>
    <w:rsid w:val="000A5344"/>
    <w:rsid w:val="000A6F91"/>
    <w:rsid w:val="000A7017"/>
    <w:rsid w:val="000A7028"/>
    <w:rsid w:val="000A7FAE"/>
    <w:rsid w:val="000B024F"/>
    <w:rsid w:val="000B06E0"/>
    <w:rsid w:val="000B0BDA"/>
    <w:rsid w:val="000B175B"/>
    <w:rsid w:val="000B1850"/>
    <w:rsid w:val="000B3003"/>
    <w:rsid w:val="000B3441"/>
    <w:rsid w:val="000B383D"/>
    <w:rsid w:val="000B3A0F"/>
    <w:rsid w:val="000B4422"/>
    <w:rsid w:val="000B5012"/>
    <w:rsid w:val="000B529E"/>
    <w:rsid w:val="000B53C7"/>
    <w:rsid w:val="000B53D9"/>
    <w:rsid w:val="000B76CF"/>
    <w:rsid w:val="000B78F5"/>
    <w:rsid w:val="000B7A65"/>
    <w:rsid w:val="000C0934"/>
    <w:rsid w:val="000C1072"/>
    <w:rsid w:val="000C118F"/>
    <w:rsid w:val="000C1309"/>
    <w:rsid w:val="000C149A"/>
    <w:rsid w:val="000C1802"/>
    <w:rsid w:val="000C2B8B"/>
    <w:rsid w:val="000C34C5"/>
    <w:rsid w:val="000C4CC5"/>
    <w:rsid w:val="000C5250"/>
    <w:rsid w:val="000C53BC"/>
    <w:rsid w:val="000C5BDF"/>
    <w:rsid w:val="000C6035"/>
    <w:rsid w:val="000C6193"/>
    <w:rsid w:val="000C6C2B"/>
    <w:rsid w:val="000C745F"/>
    <w:rsid w:val="000C75D3"/>
    <w:rsid w:val="000C7E1B"/>
    <w:rsid w:val="000D0450"/>
    <w:rsid w:val="000D0B6C"/>
    <w:rsid w:val="000D36B8"/>
    <w:rsid w:val="000D4149"/>
    <w:rsid w:val="000D42D4"/>
    <w:rsid w:val="000D449D"/>
    <w:rsid w:val="000D5100"/>
    <w:rsid w:val="000D6ADD"/>
    <w:rsid w:val="000D6BF6"/>
    <w:rsid w:val="000D6F5E"/>
    <w:rsid w:val="000D759F"/>
    <w:rsid w:val="000D791F"/>
    <w:rsid w:val="000D79EE"/>
    <w:rsid w:val="000E0415"/>
    <w:rsid w:val="000E0880"/>
    <w:rsid w:val="000E0A4B"/>
    <w:rsid w:val="000E0D55"/>
    <w:rsid w:val="000E170D"/>
    <w:rsid w:val="000E1A03"/>
    <w:rsid w:val="000E210B"/>
    <w:rsid w:val="000E26CA"/>
    <w:rsid w:val="000E282B"/>
    <w:rsid w:val="000E29C1"/>
    <w:rsid w:val="000E2A0D"/>
    <w:rsid w:val="000E2BD1"/>
    <w:rsid w:val="000E3633"/>
    <w:rsid w:val="000E3640"/>
    <w:rsid w:val="000E3C19"/>
    <w:rsid w:val="000E3C87"/>
    <w:rsid w:val="000E4AE6"/>
    <w:rsid w:val="000E5178"/>
    <w:rsid w:val="000E5A82"/>
    <w:rsid w:val="000E5C7E"/>
    <w:rsid w:val="000E60B6"/>
    <w:rsid w:val="000E6E46"/>
    <w:rsid w:val="000E7270"/>
    <w:rsid w:val="000E76AB"/>
    <w:rsid w:val="000F0B84"/>
    <w:rsid w:val="000F1B8C"/>
    <w:rsid w:val="000F231B"/>
    <w:rsid w:val="000F29EF"/>
    <w:rsid w:val="000F2CD3"/>
    <w:rsid w:val="000F2E36"/>
    <w:rsid w:val="000F3259"/>
    <w:rsid w:val="000F36D2"/>
    <w:rsid w:val="000F3C4E"/>
    <w:rsid w:val="000F3D59"/>
    <w:rsid w:val="000F4582"/>
    <w:rsid w:val="000F46FC"/>
    <w:rsid w:val="000F493B"/>
    <w:rsid w:val="000F4DB6"/>
    <w:rsid w:val="000F52C2"/>
    <w:rsid w:val="000F5518"/>
    <w:rsid w:val="000F587B"/>
    <w:rsid w:val="000F5C3E"/>
    <w:rsid w:val="000F5CF8"/>
    <w:rsid w:val="000F5D20"/>
    <w:rsid w:val="000F638F"/>
    <w:rsid w:val="000F64FD"/>
    <w:rsid w:val="000F68C7"/>
    <w:rsid w:val="000F7086"/>
    <w:rsid w:val="000F7715"/>
    <w:rsid w:val="000F7D09"/>
    <w:rsid w:val="000F7EF0"/>
    <w:rsid w:val="0010049B"/>
    <w:rsid w:val="001004F5"/>
    <w:rsid w:val="00100968"/>
    <w:rsid w:val="00101070"/>
    <w:rsid w:val="001017AB"/>
    <w:rsid w:val="001021DF"/>
    <w:rsid w:val="00102876"/>
    <w:rsid w:val="001030AD"/>
    <w:rsid w:val="001039CF"/>
    <w:rsid w:val="00104E45"/>
    <w:rsid w:val="00105428"/>
    <w:rsid w:val="001067DE"/>
    <w:rsid w:val="00106D0F"/>
    <w:rsid w:val="00107609"/>
    <w:rsid w:val="00107F74"/>
    <w:rsid w:val="0011047B"/>
    <w:rsid w:val="00111239"/>
    <w:rsid w:val="0011227A"/>
    <w:rsid w:val="00112E41"/>
    <w:rsid w:val="00113686"/>
    <w:rsid w:val="0011436D"/>
    <w:rsid w:val="001146DD"/>
    <w:rsid w:val="00114EF6"/>
    <w:rsid w:val="00115153"/>
    <w:rsid w:val="00115BC8"/>
    <w:rsid w:val="001160FD"/>
    <w:rsid w:val="00116F99"/>
    <w:rsid w:val="001175D6"/>
    <w:rsid w:val="001178E6"/>
    <w:rsid w:val="00117AF1"/>
    <w:rsid w:val="00117D37"/>
    <w:rsid w:val="00120134"/>
    <w:rsid w:val="00120725"/>
    <w:rsid w:val="00120AB9"/>
    <w:rsid w:val="001213CA"/>
    <w:rsid w:val="001216BF"/>
    <w:rsid w:val="001216E8"/>
    <w:rsid w:val="0012184B"/>
    <w:rsid w:val="00123597"/>
    <w:rsid w:val="001237BA"/>
    <w:rsid w:val="00123F6B"/>
    <w:rsid w:val="00124DF7"/>
    <w:rsid w:val="0012533D"/>
    <w:rsid w:val="0012554A"/>
    <w:rsid w:val="00126F39"/>
    <w:rsid w:val="001277F7"/>
    <w:rsid w:val="0012789D"/>
    <w:rsid w:val="00130080"/>
    <w:rsid w:val="001314D4"/>
    <w:rsid w:val="00131992"/>
    <w:rsid w:val="00132402"/>
    <w:rsid w:val="0013259A"/>
    <w:rsid w:val="00132C58"/>
    <w:rsid w:val="00134537"/>
    <w:rsid w:val="00134AB3"/>
    <w:rsid w:val="00134E0E"/>
    <w:rsid w:val="00134F28"/>
    <w:rsid w:val="00135200"/>
    <w:rsid w:val="00135446"/>
    <w:rsid w:val="00135C2F"/>
    <w:rsid w:val="001364FD"/>
    <w:rsid w:val="00136CAD"/>
    <w:rsid w:val="00137E80"/>
    <w:rsid w:val="00137EBB"/>
    <w:rsid w:val="00137FFA"/>
    <w:rsid w:val="0014007A"/>
    <w:rsid w:val="00140364"/>
    <w:rsid w:val="001403D7"/>
    <w:rsid w:val="0014046C"/>
    <w:rsid w:val="00140A90"/>
    <w:rsid w:val="00140F8C"/>
    <w:rsid w:val="00141372"/>
    <w:rsid w:val="00142444"/>
    <w:rsid w:val="00142F4C"/>
    <w:rsid w:val="00143B06"/>
    <w:rsid w:val="00143FFD"/>
    <w:rsid w:val="001449E7"/>
    <w:rsid w:val="00144EF4"/>
    <w:rsid w:val="00145131"/>
    <w:rsid w:val="0014516B"/>
    <w:rsid w:val="00145DB9"/>
    <w:rsid w:val="00145E4A"/>
    <w:rsid w:val="0014666E"/>
    <w:rsid w:val="001479BE"/>
    <w:rsid w:val="00147A34"/>
    <w:rsid w:val="00150BBB"/>
    <w:rsid w:val="00151E21"/>
    <w:rsid w:val="00152016"/>
    <w:rsid w:val="00152134"/>
    <w:rsid w:val="00152679"/>
    <w:rsid w:val="00152C18"/>
    <w:rsid w:val="00152F9E"/>
    <w:rsid w:val="00153186"/>
    <w:rsid w:val="0015334E"/>
    <w:rsid w:val="001534FA"/>
    <w:rsid w:val="00153941"/>
    <w:rsid w:val="00153ADF"/>
    <w:rsid w:val="00154132"/>
    <w:rsid w:val="00154195"/>
    <w:rsid w:val="00154857"/>
    <w:rsid w:val="00154C21"/>
    <w:rsid w:val="00154EBD"/>
    <w:rsid w:val="001552E7"/>
    <w:rsid w:val="00155F22"/>
    <w:rsid w:val="00156B99"/>
    <w:rsid w:val="00157BC2"/>
    <w:rsid w:val="0016011D"/>
    <w:rsid w:val="0016021D"/>
    <w:rsid w:val="0016030B"/>
    <w:rsid w:val="00161955"/>
    <w:rsid w:val="00161C00"/>
    <w:rsid w:val="001629D7"/>
    <w:rsid w:val="00162EA8"/>
    <w:rsid w:val="00163457"/>
    <w:rsid w:val="00163B55"/>
    <w:rsid w:val="00163CF3"/>
    <w:rsid w:val="00164515"/>
    <w:rsid w:val="001645C8"/>
    <w:rsid w:val="001646D7"/>
    <w:rsid w:val="001657E3"/>
    <w:rsid w:val="00165D2F"/>
    <w:rsid w:val="00166124"/>
    <w:rsid w:val="00166A23"/>
    <w:rsid w:val="00167825"/>
    <w:rsid w:val="00167F54"/>
    <w:rsid w:val="0017014E"/>
    <w:rsid w:val="00170D5A"/>
    <w:rsid w:val="00170D61"/>
    <w:rsid w:val="00170E55"/>
    <w:rsid w:val="00171894"/>
    <w:rsid w:val="00172920"/>
    <w:rsid w:val="0017317B"/>
    <w:rsid w:val="00173604"/>
    <w:rsid w:val="001750C6"/>
    <w:rsid w:val="001751A2"/>
    <w:rsid w:val="001756A4"/>
    <w:rsid w:val="00175AD0"/>
    <w:rsid w:val="001761A8"/>
    <w:rsid w:val="001769B7"/>
    <w:rsid w:val="001777F1"/>
    <w:rsid w:val="00177C51"/>
    <w:rsid w:val="00180299"/>
    <w:rsid w:val="00180354"/>
    <w:rsid w:val="00180616"/>
    <w:rsid w:val="0018098C"/>
    <w:rsid w:val="0018107A"/>
    <w:rsid w:val="0018126D"/>
    <w:rsid w:val="00181B99"/>
    <w:rsid w:val="00181F05"/>
    <w:rsid w:val="001826DB"/>
    <w:rsid w:val="00184486"/>
    <w:rsid w:val="00184DDA"/>
    <w:rsid w:val="00185938"/>
    <w:rsid w:val="001859D9"/>
    <w:rsid w:val="001863E9"/>
    <w:rsid w:val="00186760"/>
    <w:rsid w:val="00186CF2"/>
    <w:rsid w:val="001876CB"/>
    <w:rsid w:val="00187C43"/>
    <w:rsid w:val="00187DC3"/>
    <w:rsid w:val="00190063"/>
    <w:rsid w:val="001900CD"/>
    <w:rsid w:val="001904A2"/>
    <w:rsid w:val="0019156A"/>
    <w:rsid w:val="001932B1"/>
    <w:rsid w:val="001964EB"/>
    <w:rsid w:val="00196C26"/>
    <w:rsid w:val="00196CAA"/>
    <w:rsid w:val="001973AF"/>
    <w:rsid w:val="001978D9"/>
    <w:rsid w:val="00197A53"/>
    <w:rsid w:val="00197B31"/>
    <w:rsid w:val="001A0452"/>
    <w:rsid w:val="001A0CB5"/>
    <w:rsid w:val="001A0EEF"/>
    <w:rsid w:val="001A0F73"/>
    <w:rsid w:val="001A104B"/>
    <w:rsid w:val="001A1EF2"/>
    <w:rsid w:val="001A20E3"/>
    <w:rsid w:val="001A2E68"/>
    <w:rsid w:val="001A33D8"/>
    <w:rsid w:val="001A397D"/>
    <w:rsid w:val="001A39C4"/>
    <w:rsid w:val="001A405C"/>
    <w:rsid w:val="001A417A"/>
    <w:rsid w:val="001A43DA"/>
    <w:rsid w:val="001A4B8E"/>
    <w:rsid w:val="001A58EE"/>
    <w:rsid w:val="001A64A5"/>
    <w:rsid w:val="001A672C"/>
    <w:rsid w:val="001A6F06"/>
    <w:rsid w:val="001A7334"/>
    <w:rsid w:val="001A73DF"/>
    <w:rsid w:val="001A7D22"/>
    <w:rsid w:val="001B0663"/>
    <w:rsid w:val="001B0FB8"/>
    <w:rsid w:val="001B28EC"/>
    <w:rsid w:val="001B2D60"/>
    <w:rsid w:val="001B3792"/>
    <w:rsid w:val="001B37A4"/>
    <w:rsid w:val="001B46A5"/>
    <w:rsid w:val="001B4B04"/>
    <w:rsid w:val="001B4D5F"/>
    <w:rsid w:val="001B5875"/>
    <w:rsid w:val="001B59CE"/>
    <w:rsid w:val="001B5BC1"/>
    <w:rsid w:val="001B661B"/>
    <w:rsid w:val="001B693D"/>
    <w:rsid w:val="001B6C91"/>
    <w:rsid w:val="001B6CE5"/>
    <w:rsid w:val="001B6E49"/>
    <w:rsid w:val="001C0451"/>
    <w:rsid w:val="001C0752"/>
    <w:rsid w:val="001C089A"/>
    <w:rsid w:val="001C0DCE"/>
    <w:rsid w:val="001C148C"/>
    <w:rsid w:val="001C1FA9"/>
    <w:rsid w:val="001C2842"/>
    <w:rsid w:val="001C2A1C"/>
    <w:rsid w:val="001C2D82"/>
    <w:rsid w:val="001C3378"/>
    <w:rsid w:val="001C3436"/>
    <w:rsid w:val="001C3763"/>
    <w:rsid w:val="001C47A9"/>
    <w:rsid w:val="001C4B9C"/>
    <w:rsid w:val="001C4BB5"/>
    <w:rsid w:val="001C4E39"/>
    <w:rsid w:val="001C5458"/>
    <w:rsid w:val="001C5546"/>
    <w:rsid w:val="001C5783"/>
    <w:rsid w:val="001C5D99"/>
    <w:rsid w:val="001C6267"/>
    <w:rsid w:val="001C6301"/>
    <w:rsid w:val="001C6412"/>
    <w:rsid w:val="001C6663"/>
    <w:rsid w:val="001C698C"/>
    <w:rsid w:val="001C6C88"/>
    <w:rsid w:val="001C7253"/>
    <w:rsid w:val="001C7895"/>
    <w:rsid w:val="001D00F7"/>
    <w:rsid w:val="001D01E0"/>
    <w:rsid w:val="001D0BB9"/>
    <w:rsid w:val="001D0FF6"/>
    <w:rsid w:val="001D1A44"/>
    <w:rsid w:val="001D26DF"/>
    <w:rsid w:val="001D2752"/>
    <w:rsid w:val="001D34F9"/>
    <w:rsid w:val="001D4B92"/>
    <w:rsid w:val="001D5081"/>
    <w:rsid w:val="001D5823"/>
    <w:rsid w:val="001D7674"/>
    <w:rsid w:val="001E0834"/>
    <w:rsid w:val="001E0928"/>
    <w:rsid w:val="001E0F03"/>
    <w:rsid w:val="001E1C17"/>
    <w:rsid w:val="001E201E"/>
    <w:rsid w:val="001E2A84"/>
    <w:rsid w:val="001E30DD"/>
    <w:rsid w:val="001E31B1"/>
    <w:rsid w:val="001E38BC"/>
    <w:rsid w:val="001E39E9"/>
    <w:rsid w:val="001E48A9"/>
    <w:rsid w:val="001E4B4D"/>
    <w:rsid w:val="001E5EB3"/>
    <w:rsid w:val="001E5F28"/>
    <w:rsid w:val="001E60B5"/>
    <w:rsid w:val="001E6889"/>
    <w:rsid w:val="001E79E1"/>
    <w:rsid w:val="001F057D"/>
    <w:rsid w:val="001F1599"/>
    <w:rsid w:val="001F19C4"/>
    <w:rsid w:val="001F1D9A"/>
    <w:rsid w:val="001F21D9"/>
    <w:rsid w:val="001F245A"/>
    <w:rsid w:val="001F28AD"/>
    <w:rsid w:val="001F29DE"/>
    <w:rsid w:val="001F2C82"/>
    <w:rsid w:val="001F3962"/>
    <w:rsid w:val="001F3C59"/>
    <w:rsid w:val="001F4DDF"/>
    <w:rsid w:val="001F4EB0"/>
    <w:rsid w:val="001F58B9"/>
    <w:rsid w:val="001F59D4"/>
    <w:rsid w:val="001F6117"/>
    <w:rsid w:val="001F7BAC"/>
    <w:rsid w:val="002003A9"/>
    <w:rsid w:val="002007E9"/>
    <w:rsid w:val="00201105"/>
    <w:rsid w:val="00201624"/>
    <w:rsid w:val="00201E1C"/>
    <w:rsid w:val="00203B0F"/>
    <w:rsid w:val="002043F0"/>
    <w:rsid w:val="00204445"/>
    <w:rsid w:val="0020470F"/>
    <w:rsid w:val="002049A2"/>
    <w:rsid w:val="002059F6"/>
    <w:rsid w:val="00205C4A"/>
    <w:rsid w:val="00205C56"/>
    <w:rsid w:val="00205DF4"/>
    <w:rsid w:val="00206161"/>
    <w:rsid w:val="002069F4"/>
    <w:rsid w:val="00207089"/>
    <w:rsid w:val="00207586"/>
    <w:rsid w:val="002078B5"/>
    <w:rsid w:val="00207BFD"/>
    <w:rsid w:val="00207E3E"/>
    <w:rsid w:val="00210109"/>
    <w:rsid w:val="0021080A"/>
    <w:rsid w:val="00210BE7"/>
    <w:rsid w:val="00210C6F"/>
    <w:rsid w:val="00210E93"/>
    <w:rsid w:val="002113FB"/>
    <w:rsid w:val="00211C5A"/>
    <w:rsid w:val="00211D37"/>
    <w:rsid w:val="00211E0B"/>
    <w:rsid w:val="0021292E"/>
    <w:rsid w:val="00212C1E"/>
    <w:rsid w:val="00212EC6"/>
    <w:rsid w:val="00213D26"/>
    <w:rsid w:val="002140E7"/>
    <w:rsid w:val="002142A1"/>
    <w:rsid w:val="00214427"/>
    <w:rsid w:val="00215864"/>
    <w:rsid w:val="002158A4"/>
    <w:rsid w:val="00215A0A"/>
    <w:rsid w:val="00215D77"/>
    <w:rsid w:val="00215EE8"/>
    <w:rsid w:val="00216CFC"/>
    <w:rsid w:val="002171D0"/>
    <w:rsid w:val="002175B5"/>
    <w:rsid w:val="00217BAF"/>
    <w:rsid w:val="00217DC3"/>
    <w:rsid w:val="002205AF"/>
    <w:rsid w:val="002208DD"/>
    <w:rsid w:val="00220A8B"/>
    <w:rsid w:val="00221C91"/>
    <w:rsid w:val="00222283"/>
    <w:rsid w:val="00222E96"/>
    <w:rsid w:val="00222F34"/>
    <w:rsid w:val="002233F1"/>
    <w:rsid w:val="00223E1C"/>
    <w:rsid w:val="0022403E"/>
    <w:rsid w:val="002247BB"/>
    <w:rsid w:val="00224838"/>
    <w:rsid w:val="0022535B"/>
    <w:rsid w:val="00225888"/>
    <w:rsid w:val="00225BB8"/>
    <w:rsid w:val="00225D14"/>
    <w:rsid w:val="00225F25"/>
    <w:rsid w:val="00226E19"/>
    <w:rsid w:val="002274F3"/>
    <w:rsid w:val="00227ABC"/>
    <w:rsid w:val="00230279"/>
    <w:rsid w:val="00230A91"/>
    <w:rsid w:val="00231435"/>
    <w:rsid w:val="0023144C"/>
    <w:rsid w:val="0023150B"/>
    <w:rsid w:val="00231EEB"/>
    <w:rsid w:val="00231EFB"/>
    <w:rsid w:val="00232527"/>
    <w:rsid w:val="00232575"/>
    <w:rsid w:val="00232AED"/>
    <w:rsid w:val="00232D9C"/>
    <w:rsid w:val="00232DE8"/>
    <w:rsid w:val="00233233"/>
    <w:rsid w:val="00233D64"/>
    <w:rsid w:val="00233E38"/>
    <w:rsid w:val="00234657"/>
    <w:rsid w:val="0023575C"/>
    <w:rsid w:val="00235766"/>
    <w:rsid w:val="002359BA"/>
    <w:rsid w:val="00237127"/>
    <w:rsid w:val="002409E1"/>
    <w:rsid w:val="00240E76"/>
    <w:rsid w:val="00241951"/>
    <w:rsid w:val="002419AD"/>
    <w:rsid w:val="00241F6B"/>
    <w:rsid w:val="00242D8E"/>
    <w:rsid w:val="00243D15"/>
    <w:rsid w:val="00243EB0"/>
    <w:rsid w:val="00244878"/>
    <w:rsid w:val="00246C69"/>
    <w:rsid w:val="00247258"/>
    <w:rsid w:val="00247707"/>
    <w:rsid w:val="00247EC2"/>
    <w:rsid w:val="00250FF3"/>
    <w:rsid w:val="002516FB"/>
    <w:rsid w:val="00251AD5"/>
    <w:rsid w:val="0025336F"/>
    <w:rsid w:val="0025383C"/>
    <w:rsid w:val="002540EB"/>
    <w:rsid w:val="002541F3"/>
    <w:rsid w:val="00254825"/>
    <w:rsid w:val="00254B3C"/>
    <w:rsid w:val="00254BB2"/>
    <w:rsid w:val="00256423"/>
    <w:rsid w:val="0025668A"/>
    <w:rsid w:val="00256BD3"/>
    <w:rsid w:val="00257782"/>
    <w:rsid w:val="00257BA6"/>
    <w:rsid w:val="00257CAC"/>
    <w:rsid w:val="00260C6A"/>
    <w:rsid w:val="00260E1C"/>
    <w:rsid w:val="00261210"/>
    <w:rsid w:val="00261341"/>
    <w:rsid w:val="00261668"/>
    <w:rsid w:val="0026352D"/>
    <w:rsid w:val="002635EA"/>
    <w:rsid w:val="002637CE"/>
    <w:rsid w:val="00263D2D"/>
    <w:rsid w:val="002651FC"/>
    <w:rsid w:val="0026529C"/>
    <w:rsid w:val="00265360"/>
    <w:rsid w:val="00265FFC"/>
    <w:rsid w:val="002660E3"/>
    <w:rsid w:val="002664CF"/>
    <w:rsid w:val="00266E72"/>
    <w:rsid w:val="00267A4B"/>
    <w:rsid w:val="00267F15"/>
    <w:rsid w:val="00270973"/>
    <w:rsid w:val="0027166F"/>
    <w:rsid w:val="002721ED"/>
    <w:rsid w:val="0027237A"/>
    <w:rsid w:val="0027248C"/>
    <w:rsid w:val="002725A4"/>
    <w:rsid w:val="0027336C"/>
    <w:rsid w:val="00273381"/>
    <w:rsid w:val="002735E3"/>
    <w:rsid w:val="00273623"/>
    <w:rsid w:val="00274074"/>
    <w:rsid w:val="00276A0B"/>
    <w:rsid w:val="00276AA2"/>
    <w:rsid w:val="0027706D"/>
    <w:rsid w:val="002772C8"/>
    <w:rsid w:val="00277807"/>
    <w:rsid w:val="002800A0"/>
    <w:rsid w:val="00280BCA"/>
    <w:rsid w:val="002812F1"/>
    <w:rsid w:val="00281BEA"/>
    <w:rsid w:val="002820F2"/>
    <w:rsid w:val="002826AE"/>
    <w:rsid w:val="002830B3"/>
    <w:rsid w:val="00283712"/>
    <w:rsid w:val="002837CF"/>
    <w:rsid w:val="00283C2C"/>
    <w:rsid w:val="00284346"/>
    <w:rsid w:val="002848F0"/>
    <w:rsid w:val="002849A9"/>
    <w:rsid w:val="002862FD"/>
    <w:rsid w:val="0028649A"/>
    <w:rsid w:val="00286AFF"/>
    <w:rsid w:val="00286D5A"/>
    <w:rsid w:val="00287B29"/>
    <w:rsid w:val="0029192F"/>
    <w:rsid w:val="002925C9"/>
    <w:rsid w:val="00292743"/>
    <w:rsid w:val="0029274E"/>
    <w:rsid w:val="00292775"/>
    <w:rsid w:val="00292C55"/>
    <w:rsid w:val="00293149"/>
    <w:rsid w:val="00293250"/>
    <w:rsid w:val="00293365"/>
    <w:rsid w:val="0029366E"/>
    <w:rsid w:val="00293ADB"/>
    <w:rsid w:val="00294FBB"/>
    <w:rsid w:val="0029535D"/>
    <w:rsid w:val="002954B6"/>
    <w:rsid w:val="0029652F"/>
    <w:rsid w:val="00296EFE"/>
    <w:rsid w:val="00296F5C"/>
    <w:rsid w:val="002974E9"/>
    <w:rsid w:val="00297719"/>
    <w:rsid w:val="002A005F"/>
    <w:rsid w:val="002A025B"/>
    <w:rsid w:val="002A05EF"/>
    <w:rsid w:val="002A09EE"/>
    <w:rsid w:val="002A0BA7"/>
    <w:rsid w:val="002A1B2E"/>
    <w:rsid w:val="002A1BE4"/>
    <w:rsid w:val="002A2343"/>
    <w:rsid w:val="002A314F"/>
    <w:rsid w:val="002A3F43"/>
    <w:rsid w:val="002A5850"/>
    <w:rsid w:val="002A6750"/>
    <w:rsid w:val="002A67B1"/>
    <w:rsid w:val="002A6A42"/>
    <w:rsid w:val="002A72BE"/>
    <w:rsid w:val="002A7F39"/>
    <w:rsid w:val="002A7F94"/>
    <w:rsid w:val="002B0396"/>
    <w:rsid w:val="002B039C"/>
    <w:rsid w:val="002B049C"/>
    <w:rsid w:val="002B0547"/>
    <w:rsid w:val="002B05C5"/>
    <w:rsid w:val="002B109A"/>
    <w:rsid w:val="002B146A"/>
    <w:rsid w:val="002B1DAD"/>
    <w:rsid w:val="002B28DC"/>
    <w:rsid w:val="002B2A50"/>
    <w:rsid w:val="002B2CED"/>
    <w:rsid w:val="002B2E08"/>
    <w:rsid w:val="002B31AF"/>
    <w:rsid w:val="002B3EB7"/>
    <w:rsid w:val="002B44A2"/>
    <w:rsid w:val="002B4A1A"/>
    <w:rsid w:val="002B4A29"/>
    <w:rsid w:val="002B55A1"/>
    <w:rsid w:val="002B7B46"/>
    <w:rsid w:val="002B7ED9"/>
    <w:rsid w:val="002C01ED"/>
    <w:rsid w:val="002C0297"/>
    <w:rsid w:val="002C02E3"/>
    <w:rsid w:val="002C0D64"/>
    <w:rsid w:val="002C12B3"/>
    <w:rsid w:val="002C12DE"/>
    <w:rsid w:val="002C3127"/>
    <w:rsid w:val="002C3706"/>
    <w:rsid w:val="002C3FCF"/>
    <w:rsid w:val="002C4628"/>
    <w:rsid w:val="002C46A7"/>
    <w:rsid w:val="002C5B84"/>
    <w:rsid w:val="002C62D8"/>
    <w:rsid w:val="002C6D45"/>
    <w:rsid w:val="002C6E6E"/>
    <w:rsid w:val="002D074B"/>
    <w:rsid w:val="002D0DE5"/>
    <w:rsid w:val="002D182D"/>
    <w:rsid w:val="002D1A7D"/>
    <w:rsid w:val="002D209E"/>
    <w:rsid w:val="002D2C1E"/>
    <w:rsid w:val="002D34A0"/>
    <w:rsid w:val="002D3580"/>
    <w:rsid w:val="002D407F"/>
    <w:rsid w:val="002D4425"/>
    <w:rsid w:val="002D45EE"/>
    <w:rsid w:val="002D4DE8"/>
    <w:rsid w:val="002D5262"/>
    <w:rsid w:val="002D52C4"/>
    <w:rsid w:val="002D5788"/>
    <w:rsid w:val="002D5ADC"/>
    <w:rsid w:val="002D61BA"/>
    <w:rsid w:val="002D6221"/>
    <w:rsid w:val="002D6E46"/>
    <w:rsid w:val="002D6E53"/>
    <w:rsid w:val="002D6ECB"/>
    <w:rsid w:val="002D749B"/>
    <w:rsid w:val="002D7782"/>
    <w:rsid w:val="002E07BD"/>
    <w:rsid w:val="002E0ABD"/>
    <w:rsid w:val="002E156E"/>
    <w:rsid w:val="002E19CB"/>
    <w:rsid w:val="002E1BAB"/>
    <w:rsid w:val="002E26B2"/>
    <w:rsid w:val="002E2C75"/>
    <w:rsid w:val="002E31CB"/>
    <w:rsid w:val="002E3DC2"/>
    <w:rsid w:val="002E3E80"/>
    <w:rsid w:val="002E51BE"/>
    <w:rsid w:val="002E5250"/>
    <w:rsid w:val="002E5404"/>
    <w:rsid w:val="002E5F74"/>
    <w:rsid w:val="002E62EF"/>
    <w:rsid w:val="002E64E8"/>
    <w:rsid w:val="002E65C6"/>
    <w:rsid w:val="002E669F"/>
    <w:rsid w:val="002E673A"/>
    <w:rsid w:val="002E6EAA"/>
    <w:rsid w:val="002E7566"/>
    <w:rsid w:val="002E76F9"/>
    <w:rsid w:val="002F046D"/>
    <w:rsid w:val="002F11A3"/>
    <w:rsid w:val="002F1236"/>
    <w:rsid w:val="002F134E"/>
    <w:rsid w:val="002F1CC6"/>
    <w:rsid w:val="002F273C"/>
    <w:rsid w:val="002F2906"/>
    <w:rsid w:val="002F2C8C"/>
    <w:rsid w:val="002F3272"/>
    <w:rsid w:val="002F3BD5"/>
    <w:rsid w:val="002F3FF5"/>
    <w:rsid w:val="002F45A4"/>
    <w:rsid w:val="002F50DD"/>
    <w:rsid w:val="002F5E76"/>
    <w:rsid w:val="002F69B1"/>
    <w:rsid w:val="002F751E"/>
    <w:rsid w:val="0030001E"/>
    <w:rsid w:val="00300ABC"/>
    <w:rsid w:val="00301281"/>
    <w:rsid w:val="0030155D"/>
    <w:rsid w:val="00301764"/>
    <w:rsid w:val="0030193E"/>
    <w:rsid w:val="003019D0"/>
    <w:rsid w:val="00301DC8"/>
    <w:rsid w:val="0030310B"/>
    <w:rsid w:val="0030321D"/>
    <w:rsid w:val="0030343F"/>
    <w:rsid w:val="0030584D"/>
    <w:rsid w:val="0030626B"/>
    <w:rsid w:val="003065C2"/>
    <w:rsid w:val="00306F75"/>
    <w:rsid w:val="0030799C"/>
    <w:rsid w:val="00307D76"/>
    <w:rsid w:val="003101EA"/>
    <w:rsid w:val="003103CD"/>
    <w:rsid w:val="00310EB1"/>
    <w:rsid w:val="003110AB"/>
    <w:rsid w:val="0031195A"/>
    <w:rsid w:val="00312A1F"/>
    <w:rsid w:val="00312F23"/>
    <w:rsid w:val="003130AB"/>
    <w:rsid w:val="003133CB"/>
    <w:rsid w:val="00313422"/>
    <w:rsid w:val="003137D8"/>
    <w:rsid w:val="00313CBA"/>
    <w:rsid w:val="00313E62"/>
    <w:rsid w:val="003141B9"/>
    <w:rsid w:val="00314BCF"/>
    <w:rsid w:val="00314D0C"/>
    <w:rsid w:val="0031512A"/>
    <w:rsid w:val="0031536C"/>
    <w:rsid w:val="0031582E"/>
    <w:rsid w:val="00315974"/>
    <w:rsid w:val="00316575"/>
    <w:rsid w:val="003167EB"/>
    <w:rsid w:val="00317F2D"/>
    <w:rsid w:val="00320197"/>
    <w:rsid w:val="003219EC"/>
    <w:rsid w:val="00321AAF"/>
    <w:rsid w:val="00321BAC"/>
    <w:rsid w:val="00321F0C"/>
    <w:rsid w:val="003229D8"/>
    <w:rsid w:val="00323053"/>
    <w:rsid w:val="00323352"/>
    <w:rsid w:val="00323ACD"/>
    <w:rsid w:val="00323BCD"/>
    <w:rsid w:val="00324004"/>
    <w:rsid w:val="00324746"/>
    <w:rsid w:val="00326F0E"/>
    <w:rsid w:val="00330088"/>
    <w:rsid w:val="00330177"/>
    <w:rsid w:val="00330667"/>
    <w:rsid w:val="00330A8B"/>
    <w:rsid w:val="00330B76"/>
    <w:rsid w:val="003316AA"/>
    <w:rsid w:val="00331D29"/>
    <w:rsid w:val="00332658"/>
    <w:rsid w:val="003329BE"/>
    <w:rsid w:val="00332A58"/>
    <w:rsid w:val="00332E7C"/>
    <w:rsid w:val="0033340E"/>
    <w:rsid w:val="003335F9"/>
    <w:rsid w:val="00333C0C"/>
    <w:rsid w:val="00334271"/>
    <w:rsid w:val="003342FF"/>
    <w:rsid w:val="00335129"/>
    <w:rsid w:val="00335438"/>
    <w:rsid w:val="0033651D"/>
    <w:rsid w:val="00336C97"/>
    <w:rsid w:val="00336EDD"/>
    <w:rsid w:val="00336F59"/>
    <w:rsid w:val="00336FB4"/>
    <w:rsid w:val="003373DC"/>
    <w:rsid w:val="00337F88"/>
    <w:rsid w:val="003408C8"/>
    <w:rsid w:val="003411BB"/>
    <w:rsid w:val="00341582"/>
    <w:rsid w:val="00342432"/>
    <w:rsid w:val="0034244F"/>
    <w:rsid w:val="00342B5C"/>
    <w:rsid w:val="00342C05"/>
    <w:rsid w:val="00342E5A"/>
    <w:rsid w:val="00343D2D"/>
    <w:rsid w:val="00344265"/>
    <w:rsid w:val="00344FD8"/>
    <w:rsid w:val="00345594"/>
    <w:rsid w:val="00345A79"/>
    <w:rsid w:val="00345D3F"/>
    <w:rsid w:val="003470D4"/>
    <w:rsid w:val="00347DD4"/>
    <w:rsid w:val="00347F53"/>
    <w:rsid w:val="00350531"/>
    <w:rsid w:val="003505BD"/>
    <w:rsid w:val="0035078B"/>
    <w:rsid w:val="00352125"/>
    <w:rsid w:val="0035223F"/>
    <w:rsid w:val="00352795"/>
    <w:rsid w:val="00352AED"/>
    <w:rsid w:val="00352D4B"/>
    <w:rsid w:val="00353244"/>
    <w:rsid w:val="00353591"/>
    <w:rsid w:val="0035363D"/>
    <w:rsid w:val="003539FD"/>
    <w:rsid w:val="00353A0E"/>
    <w:rsid w:val="00353ABF"/>
    <w:rsid w:val="003542AC"/>
    <w:rsid w:val="00354614"/>
    <w:rsid w:val="00354CD1"/>
    <w:rsid w:val="00355E80"/>
    <w:rsid w:val="0035622B"/>
    <w:rsid w:val="0035638C"/>
    <w:rsid w:val="00356B89"/>
    <w:rsid w:val="00357611"/>
    <w:rsid w:val="0035773A"/>
    <w:rsid w:val="003577F3"/>
    <w:rsid w:val="003578B9"/>
    <w:rsid w:val="00357CDC"/>
    <w:rsid w:val="00360479"/>
    <w:rsid w:val="0036052C"/>
    <w:rsid w:val="00360541"/>
    <w:rsid w:val="00362BE0"/>
    <w:rsid w:val="003630F7"/>
    <w:rsid w:val="003630F8"/>
    <w:rsid w:val="00363B98"/>
    <w:rsid w:val="00364147"/>
    <w:rsid w:val="003649F6"/>
    <w:rsid w:val="003653A2"/>
    <w:rsid w:val="00365B88"/>
    <w:rsid w:val="00366108"/>
    <w:rsid w:val="00366575"/>
    <w:rsid w:val="00366898"/>
    <w:rsid w:val="003674A9"/>
    <w:rsid w:val="0036770A"/>
    <w:rsid w:val="003677F3"/>
    <w:rsid w:val="00367B12"/>
    <w:rsid w:val="0037058A"/>
    <w:rsid w:val="003706F2"/>
    <w:rsid w:val="003709B9"/>
    <w:rsid w:val="00370AF1"/>
    <w:rsid w:val="00370EE9"/>
    <w:rsid w:val="003714BE"/>
    <w:rsid w:val="0037190C"/>
    <w:rsid w:val="003723A5"/>
    <w:rsid w:val="00372DEB"/>
    <w:rsid w:val="00373014"/>
    <w:rsid w:val="003734FC"/>
    <w:rsid w:val="003736D4"/>
    <w:rsid w:val="00373726"/>
    <w:rsid w:val="00373760"/>
    <w:rsid w:val="00373B0D"/>
    <w:rsid w:val="00373B84"/>
    <w:rsid w:val="00373B9A"/>
    <w:rsid w:val="00373EF0"/>
    <w:rsid w:val="00374093"/>
    <w:rsid w:val="00374100"/>
    <w:rsid w:val="003749B2"/>
    <w:rsid w:val="00375989"/>
    <w:rsid w:val="00375A6B"/>
    <w:rsid w:val="00375F0B"/>
    <w:rsid w:val="00376157"/>
    <w:rsid w:val="00376575"/>
    <w:rsid w:val="0037673F"/>
    <w:rsid w:val="003768F4"/>
    <w:rsid w:val="00376E68"/>
    <w:rsid w:val="003776DA"/>
    <w:rsid w:val="003803CA"/>
    <w:rsid w:val="0038042A"/>
    <w:rsid w:val="00381399"/>
    <w:rsid w:val="00381B13"/>
    <w:rsid w:val="00381F6A"/>
    <w:rsid w:val="0038255E"/>
    <w:rsid w:val="003825D1"/>
    <w:rsid w:val="00382F50"/>
    <w:rsid w:val="00382F93"/>
    <w:rsid w:val="00383957"/>
    <w:rsid w:val="00384368"/>
    <w:rsid w:val="003849E1"/>
    <w:rsid w:val="0038526D"/>
    <w:rsid w:val="0038542F"/>
    <w:rsid w:val="00385DB5"/>
    <w:rsid w:val="003860C2"/>
    <w:rsid w:val="00386557"/>
    <w:rsid w:val="00386DF8"/>
    <w:rsid w:val="00387467"/>
    <w:rsid w:val="0038767F"/>
    <w:rsid w:val="00390575"/>
    <w:rsid w:val="00390910"/>
    <w:rsid w:val="00390C64"/>
    <w:rsid w:val="00390E9C"/>
    <w:rsid w:val="00390F0D"/>
    <w:rsid w:val="003918E6"/>
    <w:rsid w:val="00391A04"/>
    <w:rsid w:val="00392144"/>
    <w:rsid w:val="00393117"/>
    <w:rsid w:val="00393C64"/>
    <w:rsid w:val="00394743"/>
    <w:rsid w:val="00395158"/>
    <w:rsid w:val="00395B4D"/>
    <w:rsid w:val="0039668C"/>
    <w:rsid w:val="0039695D"/>
    <w:rsid w:val="0039740C"/>
    <w:rsid w:val="003975B8"/>
    <w:rsid w:val="00397F21"/>
    <w:rsid w:val="003A00E9"/>
    <w:rsid w:val="003A096F"/>
    <w:rsid w:val="003A124E"/>
    <w:rsid w:val="003A1D09"/>
    <w:rsid w:val="003A1DEE"/>
    <w:rsid w:val="003A2169"/>
    <w:rsid w:val="003A2415"/>
    <w:rsid w:val="003A27E9"/>
    <w:rsid w:val="003A383F"/>
    <w:rsid w:val="003A40ED"/>
    <w:rsid w:val="003A43B5"/>
    <w:rsid w:val="003A46BB"/>
    <w:rsid w:val="003A4EC7"/>
    <w:rsid w:val="003A4F16"/>
    <w:rsid w:val="003A51FF"/>
    <w:rsid w:val="003A5599"/>
    <w:rsid w:val="003A58FA"/>
    <w:rsid w:val="003A62D3"/>
    <w:rsid w:val="003A6563"/>
    <w:rsid w:val="003A70ED"/>
    <w:rsid w:val="003A7295"/>
    <w:rsid w:val="003A76A4"/>
    <w:rsid w:val="003A794E"/>
    <w:rsid w:val="003A7F75"/>
    <w:rsid w:val="003B02EA"/>
    <w:rsid w:val="003B0968"/>
    <w:rsid w:val="003B0BD0"/>
    <w:rsid w:val="003B10CB"/>
    <w:rsid w:val="003B1315"/>
    <w:rsid w:val="003B17C8"/>
    <w:rsid w:val="003B1F1C"/>
    <w:rsid w:val="003B1F60"/>
    <w:rsid w:val="003B2B81"/>
    <w:rsid w:val="003B3299"/>
    <w:rsid w:val="003B3919"/>
    <w:rsid w:val="003B3E25"/>
    <w:rsid w:val="003B4126"/>
    <w:rsid w:val="003B4D03"/>
    <w:rsid w:val="003B5440"/>
    <w:rsid w:val="003B5AC5"/>
    <w:rsid w:val="003B5C0C"/>
    <w:rsid w:val="003B5E44"/>
    <w:rsid w:val="003B6DAD"/>
    <w:rsid w:val="003B6EBB"/>
    <w:rsid w:val="003B7A60"/>
    <w:rsid w:val="003B7B9C"/>
    <w:rsid w:val="003C097D"/>
    <w:rsid w:val="003C0B02"/>
    <w:rsid w:val="003C0C21"/>
    <w:rsid w:val="003C0D69"/>
    <w:rsid w:val="003C140A"/>
    <w:rsid w:val="003C1BA9"/>
    <w:rsid w:val="003C1E65"/>
    <w:rsid w:val="003C2391"/>
    <w:rsid w:val="003C23C3"/>
    <w:rsid w:val="003C2650"/>
    <w:rsid w:val="003C28F2"/>
    <w:rsid w:val="003C2C05"/>
    <w:rsid w:val="003C2CC4"/>
    <w:rsid w:val="003C3820"/>
    <w:rsid w:val="003C3E36"/>
    <w:rsid w:val="003C43EE"/>
    <w:rsid w:val="003C4884"/>
    <w:rsid w:val="003C4B3A"/>
    <w:rsid w:val="003C4F24"/>
    <w:rsid w:val="003C56AA"/>
    <w:rsid w:val="003C730B"/>
    <w:rsid w:val="003D08F7"/>
    <w:rsid w:val="003D0BF1"/>
    <w:rsid w:val="003D1D31"/>
    <w:rsid w:val="003D356E"/>
    <w:rsid w:val="003D3C57"/>
    <w:rsid w:val="003D4B23"/>
    <w:rsid w:val="003D51B4"/>
    <w:rsid w:val="003D51B5"/>
    <w:rsid w:val="003D58C6"/>
    <w:rsid w:val="003D669F"/>
    <w:rsid w:val="003D6C6B"/>
    <w:rsid w:val="003D6CB9"/>
    <w:rsid w:val="003D6D1C"/>
    <w:rsid w:val="003D7558"/>
    <w:rsid w:val="003D75DE"/>
    <w:rsid w:val="003D7A0D"/>
    <w:rsid w:val="003D7E11"/>
    <w:rsid w:val="003E0528"/>
    <w:rsid w:val="003E0A3E"/>
    <w:rsid w:val="003E0FF1"/>
    <w:rsid w:val="003E1286"/>
    <w:rsid w:val="003E13D2"/>
    <w:rsid w:val="003E15E6"/>
    <w:rsid w:val="003E1946"/>
    <w:rsid w:val="003E278A"/>
    <w:rsid w:val="003E3387"/>
    <w:rsid w:val="003E3889"/>
    <w:rsid w:val="003E39BA"/>
    <w:rsid w:val="003E3A7B"/>
    <w:rsid w:val="003E4349"/>
    <w:rsid w:val="003E481A"/>
    <w:rsid w:val="003E5A96"/>
    <w:rsid w:val="003E5B12"/>
    <w:rsid w:val="003E5B33"/>
    <w:rsid w:val="003E6066"/>
    <w:rsid w:val="003E6188"/>
    <w:rsid w:val="003E692A"/>
    <w:rsid w:val="003E7E50"/>
    <w:rsid w:val="003F0B3C"/>
    <w:rsid w:val="003F0F2F"/>
    <w:rsid w:val="003F0FAD"/>
    <w:rsid w:val="003F2604"/>
    <w:rsid w:val="003F27B7"/>
    <w:rsid w:val="003F2EE5"/>
    <w:rsid w:val="003F3205"/>
    <w:rsid w:val="003F3377"/>
    <w:rsid w:val="003F4717"/>
    <w:rsid w:val="003F4962"/>
    <w:rsid w:val="003F5539"/>
    <w:rsid w:val="003F56A0"/>
    <w:rsid w:val="003F57D7"/>
    <w:rsid w:val="003F5DCA"/>
    <w:rsid w:val="003F601B"/>
    <w:rsid w:val="003F61CC"/>
    <w:rsid w:val="003F6209"/>
    <w:rsid w:val="003F63AE"/>
    <w:rsid w:val="003F6597"/>
    <w:rsid w:val="003F7208"/>
    <w:rsid w:val="003F7DFB"/>
    <w:rsid w:val="00400C03"/>
    <w:rsid w:val="004013AF"/>
    <w:rsid w:val="00401638"/>
    <w:rsid w:val="00402413"/>
    <w:rsid w:val="0040249C"/>
    <w:rsid w:val="00402587"/>
    <w:rsid w:val="004025BD"/>
    <w:rsid w:val="004038CC"/>
    <w:rsid w:val="00403E8B"/>
    <w:rsid w:val="00404753"/>
    <w:rsid w:val="00404810"/>
    <w:rsid w:val="00404846"/>
    <w:rsid w:val="00404D22"/>
    <w:rsid w:val="004053B9"/>
    <w:rsid w:val="00405633"/>
    <w:rsid w:val="00405C81"/>
    <w:rsid w:val="00405D04"/>
    <w:rsid w:val="00406BC0"/>
    <w:rsid w:val="00407035"/>
    <w:rsid w:val="00407587"/>
    <w:rsid w:val="00407BE2"/>
    <w:rsid w:val="00407D49"/>
    <w:rsid w:val="004100A9"/>
    <w:rsid w:val="0041082E"/>
    <w:rsid w:val="00410916"/>
    <w:rsid w:val="00410F0F"/>
    <w:rsid w:val="00412F48"/>
    <w:rsid w:val="004131FA"/>
    <w:rsid w:val="00413520"/>
    <w:rsid w:val="004135E8"/>
    <w:rsid w:val="004135F7"/>
    <w:rsid w:val="0041514C"/>
    <w:rsid w:val="004153CE"/>
    <w:rsid w:val="004155FD"/>
    <w:rsid w:val="0041795E"/>
    <w:rsid w:val="00417B63"/>
    <w:rsid w:val="00420303"/>
    <w:rsid w:val="00420E57"/>
    <w:rsid w:val="00421588"/>
    <w:rsid w:val="004218B2"/>
    <w:rsid w:val="00421962"/>
    <w:rsid w:val="00421F91"/>
    <w:rsid w:val="0042201F"/>
    <w:rsid w:val="00422328"/>
    <w:rsid w:val="00422915"/>
    <w:rsid w:val="00422974"/>
    <w:rsid w:val="004230AD"/>
    <w:rsid w:val="00424293"/>
    <w:rsid w:val="004244DF"/>
    <w:rsid w:val="00424945"/>
    <w:rsid w:val="00424995"/>
    <w:rsid w:val="00425BAA"/>
    <w:rsid w:val="00426489"/>
    <w:rsid w:val="004266D5"/>
    <w:rsid w:val="00426A82"/>
    <w:rsid w:val="00426B3F"/>
    <w:rsid w:val="00426CC2"/>
    <w:rsid w:val="004273C1"/>
    <w:rsid w:val="00427E4E"/>
    <w:rsid w:val="00430B15"/>
    <w:rsid w:val="00431FC2"/>
    <w:rsid w:val="0043225B"/>
    <w:rsid w:val="004325CB"/>
    <w:rsid w:val="0043280F"/>
    <w:rsid w:val="00432D79"/>
    <w:rsid w:val="00433085"/>
    <w:rsid w:val="00433627"/>
    <w:rsid w:val="004338EC"/>
    <w:rsid w:val="00433A14"/>
    <w:rsid w:val="00433C21"/>
    <w:rsid w:val="004350CA"/>
    <w:rsid w:val="004359DB"/>
    <w:rsid w:val="00435BB1"/>
    <w:rsid w:val="004360B9"/>
    <w:rsid w:val="0043656E"/>
    <w:rsid w:val="00436A97"/>
    <w:rsid w:val="00437F2F"/>
    <w:rsid w:val="004402D3"/>
    <w:rsid w:val="00440A07"/>
    <w:rsid w:val="00441CEE"/>
    <w:rsid w:val="00442421"/>
    <w:rsid w:val="0044280C"/>
    <w:rsid w:val="0044316D"/>
    <w:rsid w:val="00444B81"/>
    <w:rsid w:val="00444DFF"/>
    <w:rsid w:val="0044523D"/>
    <w:rsid w:val="00445DC2"/>
    <w:rsid w:val="004469A2"/>
    <w:rsid w:val="00446B0F"/>
    <w:rsid w:val="004479A2"/>
    <w:rsid w:val="0045180A"/>
    <w:rsid w:val="00452141"/>
    <w:rsid w:val="004524BA"/>
    <w:rsid w:val="004527AD"/>
    <w:rsid w:val="004528C2"/>
    <w:rsid w:val="00457B22"/>
    <w:rsid w:val="0046030A"/>
    <w:rsid w:val="00460440"/>
    <w:rsid w:val="00460A29"/>
    <w:rsid w:val="00460D56"/>
    <w:rsid w:val="00460E96"/>
    <w:rsid w:val="00461CF1"/>
    <w:rsid w:val="0046277B"/>
    <w:rsid w:val="00462880"/>
    <w:rsid w:val="00462C9D"/>
    <w:rsid w:val="00462DBF"/>
    <w:rsid w:val="004630FB"/>
    <w:rsid w:val="004635DB"/>
    <w:rsid w:val="004648FE"/>
    <w:rsid w:val="00464BFE"/>
    <w:rsid w:val="00465912"/>
    <w:rsid w:val="00465B0B"/>
    <w:rsid w:val="00466119"/>
    <w:rsid w:val="0046676F"/>
    <w:rsid w:val="00466792"/>
    <w:rsid w:val="0046767D"/>
    <w:rsid w:val="004676CA"/>
    <w:rsid w:val="004679F3"/>
    <w:rsid w:val="00467B52"/>
    <w:rsid w:val="00471092"/>
    <w:rsid w:val="004710F2"/>
    <w:rsid w:val="00471C34"/>
    <w:rsid w:val="004728FC"/>
    <w:rsid w:val="00472D62"/>
    <w:rsid w:val="00473843"/>
    <w:rsid w:val="00473A5C"/>
    <w:rsid w:val="00473B2F"/>
    <w:rsid w:val="00473EC1"/>
    <w:rsid w:val="004744B4"/>
    <w:rsid w:val="00474828"/>
    <w:rsid w:val="00474E7F"/>
    <w:rsid w:val="00475A52"/>
    <w:rsid w:val="00475B36"/>
    <w:rsid w:val="004761A3"/>
    <w:rsid w:val="00476422"/>
    <w:rsid w:val="00476674"/>
    <w:rsid w:val="00476D3B"/>
    <w:rsid w:val="00476E85"/>
    <w:rsid w:val="00476F24"/>
    <w:rsid w:val="00477630"/>
    <w:rsid w:val="004776E4"/>
    <w:rsid w:val="004777F3"/>
    <w:rsid w:val="00477BEB"/>
    <w:rsid w:val="004801A9"/>
    <w:rsid w:val="0048021F"/>
    <w:rsid w:val="004803AC"/>
    <w:rsid w:val="004807B7"/>
    <w:rsid w:val="0048082D"/>
    <w:rsid w:val="0048092E"/>
    <w:rsid w:val="004813EA"/>
    <w:rsid w:val="00481FAB"/>
    <w:rsid w:val="00482AFF"/>
    <w:rsid w:val="00482CA2"/>
    <w:rsid w:val="00484A79"/>
    <w:rsid w:val="00486632"/>
    <w:rsid w:val="00486D71"/>
    <w:rsid w:val="00487263"/>
    <w:rsid w:val="00487374"/>
    <w:rsid w:val="004875A7"/>
    <w:rsid w:val="00487A90"/>
    <w:rsid w:val="00487E5A"/>
    <w:rsid w:val="00490830"/>
    <w:rsid w:val="0049198C"/>
    <w:rsid w:val="004926F1"/>
    <w:rsid w:val="0049278B"/>
    <w:rsid w:val="00492C5B"/>
    <w:rsid w:val="0049326A"/>
    <w:rsid w:val="004939C6"/>
    <w:rsid w:val="0049499C"/>
    <w:rsid w:val="00495202"/>
    <w:rsid w:val="004957BF"/>
    <w:rsid w:val="0049582A"/>
    <w:rsid w:val="00495CE7"/>
    <w:rsid w:val="00496294"/>
    <w:rsid w:val="00496C12"/>
    <w:rsid w:val="004972BC"/>
    <w:rsid w:val="004A09F1"/>
    <w:rsid w:val="004A0BE4"/>
    <w:rsid w:val="004A0DC2"/>
    <w:rsid w:val="004A1832"/>
    <w:rsid w:val="004A294F"/>
    <w:rsid w:val="004A2FC2"/>
    <w:rsid w:val="004A38AC"/>
    <w:rsid w:val="004A3FF1"/>
    <w:rsid w:val="004A45DF"/>
    <w:rsid w:val="004A5152"/>
    <w:rsid w:val="004A53B0"/>
    <w:rsid w:val="004A5AC1"/>
    <w:rsid w:val="004A6307"/>
    <w:rsid w:val="004A65E6"/>
    <w:rsid w:val="004A6831"/>
    <w:rsid w:val="004A6D3B"/>
    <w:rsid w:val="004A7A5D"/>
    <w:rsid w:val="004B0700"/>
    <w:rsid w:val="004B08FB"/>
    <w:rsid w:val="004B1DF5"/>
    <w:rsid w:val="004B1E10"/>
    <w:rsid w:val="004B1E79"/>
    <w:rsid w:val="004B2844"/>
    <w:rsid w:val="004B2A89"/>
    <w:rsid w:val="004B3219"/>
    <w:rsid w:val="004B3786"/>
    <w:rsid w:val="004B38AB"/>
    <w:rsid w:val="004B3DC1"/>
    <w:rsid w:val="004B3F76"/>
    <w:rsid w:val="004B4FD4"/>
    <w:rsid w:val="004B57E5"/>
    <w:rsid w:val="004B5D5E"/>
    <w:rsid w:val="004B6F45"/>
    <w:rsid w:val="004B7CC0"/>
    <w:rsid w:val="004C010F"/>
    <w:rsid w:val="004C0195"/>
    <w:rsid w:val="004C07C5"/>
    <w:rsid w:val="004C1265"/>
    <w:rsid w:val="004C1C9F"/>
    <w:rsid w:val="004C3AFC"/>
    <w:rsid w:val="004C3FBE"/>
    <w:rsid w:val="004C4225"/>
    <w:rsid w:val="004C5018"/>
    <w:rsid w:val="004C517D"/>
    <w:rsid w:val="004C5542"/>
    <w:rsid w:val="004C55B0"/>
    <w:rsid w:val="004C74B4"/>
    <w:rsid w:val="004D0846"/>
    <w:rsid w:val="004D1198"/>
    <w:rsid w:val="004D13C5"/>
    <w:rsid w:val="004D14B9"/>
    <w:rsid w:val="004D22C3"/>
    <w:rsid w:val="004D24F1"/>
    <w:rsid w:val="004D28B0"/>
    <w:rsid w:val="004D2E2E"/>
    <w:rsid w:val="004D35BB"/>
    <w:rsid w:val="004D41BB"/>
    <w:rsid w:val="004D439C"/>
    <w:rsid w:val="004D4622"/>
    <w:rsid w:val="004D4789"/>
    <w:rsid w:val="004D48FE"/>
    <w:rsid w:val="004D4982"/>
    <w:rsid w:val="004D4A19"/>
    <w:rsid w:val="004D55E1"/>
    <w:rsid w:val="004D5887"/>
    <w:rsid w:val="004D5D5C"/>
    <w:rsid w:val="004D6048"/>
    <w:rsid w:val="004D6064"/>
    <w:rsid w:val="004D690B"/>
    <w:rsid w:val="004D742F"/>
    <w:rsid w:val="004D74CB"/>
    <w:rsid w:val="004D7552"/>
    <w:rsid w:val="004D79DC"/>
    <w:rsid w:val="004D7C5F"/>
    <w:rsid w:val="004D7FA4"/>
    <w:rsid w:val="004E05E2"/>
    <w:rsid w:val="004E097F"/>
    <w:rsid w:val="004E0F10"/>
    <w:rsid w:val="004E1921"/>
    <w:rsid w:val="004E1D34"/>
    <w:rsid w:val="004E2C9F"/>
    <w:rsid w:val="004E2D2F"/>
    <w:rsid w:val="004E3E62"/>
    <w:rsid w:val="004E4067"/>
    <w:rsid w:val="004E4B26"/>
    <w:rsid w:val="004E51B0"/>
    <w:rsid w:val="004E699D"/>
    <w:rsid w:val="004E6D06"/>
    <w:rsid w:val="004E6D18"/>
    <w:rsid w:val="004E777C"/>
    <w:rsid w:val="004E7E38"/>
    <w:rsid w:val="004E7F7F"/>
    <w:rsid w:val="004F0890"/>
    <w:rsid w:val="004F0913"/>
    <w:rsid w:val="004F0A6F"/>
    <w:rsid w:val="004F1240"/>
    <w:rsid w:val="004F129B"/>
    <w:rsid w:val="004F2662"/>
    <w:rsid w:val="004F325A"/>
    <w:rsid w:val="004F3504"/>
    <w:rsid w:val="004F3568"/>
    <w:rsid w:val="004F3831"/>
    <w:rsid w:val="004F3B0A"/>
    <w:rsid w:val="004F3DB7"/>
    <w:rsid w:val="004F4F12"/>
    <w:rsid w:val="004F5577"/>
    <w:rsid w:val="004F5AF3"/>
    <w:rsid w:val="004F64A2"/>
    <w:rsid w:val="004F6BA0"/>
    <w:rsid w:val="004F6C13"/>
    <w:rsid w:val="004F7058"/>
    <w:rsid w:val="004F7AA7"/>
    <w:rsid w:val="004F7FA5"/>
    <w:rsid w:val="005002E5"/>
    <w:rsid w:val="0050067E"/>
    <w:rsid w:val="00500BC5"/>
    <w:rsid w:val="00500FA8"/>
    <w:rsid w:val="00501C75"/>
    <w:rsid w:val="0050258C"/>
    <w:rsid w:val="005028B6"/>
    <w:rsid w:val="00503BEA"/>
    <w:rsid w:val="00504802"/>
    <w:rsid w:val="00504C95"/>
    <w:rsid w:val="0050603C"/>
    <w:rsid w:val="0050627E"/>
    <w:rsid w:val="0050669D"/>
    <w:rsid w:val="00506870"/>
    <w:rsid w:val="0050716D"/>
    <w:rsid w:val="0050725B"/>
    <w:rsid w:val="005074D1"/>
    <w:rsid w:val="00507700"/>
    <w:rsid w:val="00507B41"/>
    <w:rsid w:val="00507D24"/>
    <w:rsid w:val="005112F6"/>
    <w:rsid w:val="00511346"/>
    <w:rsid w:val="00511975"/>
    <w:rsid w:val="00512243"/>
    <w:rsid w:val="00512898"/>
    <w:rsid w:val="00512985"/>
    <w:rsid w:val="00513724"/>
    <w:rsid w:val="00513979"/>
    <w:rsid w:val="00513BDB"/>
    <w:rsid w:val="005142DE"/>
    <w:rsid w:val="00514BFC"/>
    <w:rsid w:val="00515B14"/>
    <w:rsid w:val="00515D78"/>
    <w:rsid w:val="005162E0"/>
    <w:rsid w:val="0051716A"/>
    <w:rsid w:val="00517998"/>
    <w:rsid w:val="00517CCE"/>
    <w:rsid w:val="005206F8"/>
    <w:rsid w:val="0052180E"/>
    <w:rsid w:val="00521817"/>
    <w:rsid w:val="0052195E"/>
    <w:rsid w:val="00521BEF"/>
    <w:rsid w:val="00522B7C"/>
    <w:rsid w:val="00522CB4"/>
    <w:rsid w:val="00523482"/>
    <w:rsid w:val="00523C3B"/>
    <w:rsid w:val="00524BB8"/>
    <w:rsid w:val="00525890"/>
    <w:rsid w:val="00525E51"/>
    <w:rsid w:val="005263A9"/>
    <w:rsid w:val="00526FE3"/>
    <w:rsid w:val="00527B42"/>
    <w:rsid w:val="00527EA4"/>
    <w:rsid w:val="00530758"/>
    <w:rsid w:val="0053101B"/>
    <w:rsid w:val="00531D2C"/>
    <w:rsid w:val="00531F0C"/>
    <w:rsid w:val="0053221B"/>
    <w:rsid w:val="00532240"/>
    <w:rsid w:val="0053288A"/>
    <w:rsid w:val="00532D61"/>
    <w:rsid w:val="00532F7F"/>
    <w:rsid w:val="005331E8"/>
    <w:rsid w:val="00533616"/>
    <w:rsid w:val="00533850"/>
    <w:rsid w:val="00533C11"/>
    <w:rsid w:val="00533DF2"/>
    <w:rsid w:val="00533E2A"/>
    <w:rsid w:val="005346F0"/>
    <w:rsid w:val="00534A36"/>
    <w:rsid w:val="00535664"/>
    <w:rsid w:val="00535673"/>
    <w:rsid w:val="00535807"/>
    <w:rsid w:val="00535ABA"/>
    <w:rsid w:val="00535D22"/>
    <w:rsid w:val="005360A3"/>
    <w:rsid w:val="005367D0"/>
    <w:rsid w:val="00536F3E"/>
    <w:rsid w:val="0053707D"/>
    <w:rsid w:val="0053768B"/>
    <w:rsid w:val="00537952"/>
    <w:rsid w:val="0054018E"/>
    <w:rsid w:val="00540A8F"/>
    <w:rsid w:val="00540C7C"/>
    <w:rsid w:val="0054163E"/>
    <w:rsid w:val="0054177F"/>
    <w:rsid w:val="00541BB7"/>
    <w:rsid w:val="00541F55"/>
    <w:rsid w:val="005420F2"/>
    <w:rsid w:val="0054214A"/>
    <w:rsid w:val="0054285C"/>
    <w:rsid w:val="005439ED"/>
    <w:rsid w:val="005441D4"/>
    <w:rsid w:val="005450D9"/>
    <w:rsid w:val="00545323"/>
    <w:rsid w:val="005458A9"/>
    <w:rsid w:val="00545E74"/>
    <w:rsid w:val="00546751"/>
    <w:rsid w:val="0054680F"/>
    <w:rsid w:val="00546C33"/>
    <w:rsid w:val="00546CA5"/>
    <w:rsid w:val="005472EB"/>
    <w:rsid w:val="00547C2C"/>
    <w:rsid w:val="00547EC6"/>
    <w:rsid w:val="00550864"/>
    <w:rsid w:val="00551641"/>
    <w:rsid w:val="00551DAF"/>
    <w:rsid w:val="00551E8F"/>
    <w:rsid w:val="00551F94"/>
    <w:rsid w:val="005521F0"/>
    <w:rsid w:val="00552878"/>
    <w:rsid w:val="00552AED"/>
    <w:rsid w:val="00552C73"/>
    <w:rsid w:val="00552F98"/>
    <w:rsid w:val="005533E9"/>
    <w:rsid w:val="00553474"/>
    <w:rsid w:val="00553502"/>
    <w:rsid w:val="00554594"/>
    <w:rsid w:val="005546EA"/>
    <w:rsid w:val="00555597"/>
    <w:rsid w:val="00555811"/>
    <w:rsid w:val="00555D44"/>
    <w:rsid w:val="00556146"/>
    <w:rsid w:val="00556A51"/>
    <w:rsid w:val="00557146"/>
    <w:rsid w:val="00557713"/>
    <w:rsid w:val="00557D94"/>
    <w:rsid w:val="00557DFB"/>
    <w:rsid w:val="0056000C"/>
    <w:rsid w:val="00560ACB"/>
    <w:rsid w:val="00561956"/>
    <w:rsid w:val="00561CED"/>
    <w:rsid w:val="00562958"/>
    <w:rsid w:val="00562BCC"/>
    <w:rsid w:val="00562C2B"/>
    <w:rsid w:val="005632F9"/>
    <w:rsid w:val="005633E6"/>
    <w:rsid w:val="00563E53"/>
    <w:rsid w:val="00564BC6"/>
    <w:rsid w:val="00565E16"/>
    <w:rsid w:val="00566FC6"/>
    <w:rsid w:val="0057005C"/>
    <w:rsid w:val="005708E4"/>
    <w:rsid w:val="0057123B"/>
    <w:rsid w:val="00571A50"/>
    <w:rsid w:val="00572DDF"/>
    <w:rsid w:val="00572F9C"/>
    <w:rsid w:val="00573261"/>
    <w:rsid w:val="00573A7D"/>
    <w:rsid w:val="00574CF4"/>
    <w:rsid w:val="00574DAB"/>
    <w:rsid w:val="0057564B"/>
    <w:rsid w:val="00575750"/>
    <w:rsid w:val="00575A19"/>
    <w:rsid w:val="00576298"/>
    <w:rsid w:val="005763D4"/>
    <w:rsid w:val="00576839"/>
    <w:rsid w:val="00576CC0"/>
    <w:rsid w:val="005770B2"/>
    <w:rsid w:val="005770E8"/>
    <w:rsid w:val="00577927"/>
    <w:rsid w:val="00577B1E"/>
    <w:rsid w:val="00577C01"/>
    <w:rsid w:val="0058019B"/>
    <w:rsid w:val="005811B3"/>
    <w:rsid w:val="00582F41"/>
    <w:rsid w:val="00582F9D"/>
    <w:rsid w:val="00582FDE"/>
    <w:rsid w:val="00583035"/>
    <w:rsid w:val="005834E2"/>
    <w:rsid w:val="00583D5F"/>
    <w:rsid w:val="00584173"/>
    <w:rsid w:val="00584A8D"/>
    <w:rsid w:val="00586CE1"/>
    <w:rsid w:val="005877E8"/>
    <w:rsid w:val="00587C4B"/>
    <w:rsid w:val="005907B8"/>
    <w:rsid w:val="00590DF6"/>
    <w:rsid w:val="00591788"/>
    <w:rsid w:val="00591B1F"/>
    <w:rsid w:val="0059230A"/>
    <w:rsid w:val="005929CF"/>
    <w:rsid w:val="00592A9F"/>
    <w:rsid w:val="005930B1"/>
    <w:rsid w:val="0059318E"/>
    <w:rsid w:val="005933F1"/>
    <w:rsid w:val="005934E9"/>
    <w:rsid w:val="00593522"/>
    <w:rsid w:val="005936FF"/>
    <w:rsid w:val="00593DB8"/>
    <w:rsid w:val="005942A8"/>
    <w:rsid w:val="0059486E"/>
    <w:rsid w:val="0059494E"/>
    <w:rsid w:val="00595182"/>
    <w:rsid w:val="00595520"/>
    <w:rsid w:val="00596749"/>
    <w:rsid w:val="005A0277"/>
    <w:rsid w:val="005A0648"/>
    <w:rsid w:val="005A0673"/>
    <w:rsid w:val="005A0D4D"/>
    <w:rsid w:val="005A0E9A"/>
    <w:rsid w:val="005A115F"/>
    <w:rsid w:val="005A1E24"/>
    <w:rsid w:val="005A2245"/>
    <w:rsid w:val="005A2255"/>
    <w:rsid w:val="005A269D"/>
    <w:rsid w:val="005A2ECE"/>
    <w:rsid w:val="005A372A"/>
    <w:rsid w:val="005A3B41"/>
    <w:rsid w:val="005A3BC2"/>
    <w:rsid w:val="005A44B9"/>
    <w:rsid w:val="005A467C"/>
    <w:rsid w:val="005A47CA"/>
    <w:rsid w:val="005A54DD"/>
    <w:rsid w:val="005A5C19"/>
    <w:rsid w:val="005A72E0"/>
    <w:rsid w:val="005A7327"/>
    <w:rsid w:val="005A7A2C"/>
    <w:rsid w:val="005B19C7"/>
    <w:rsid w:val="005B1A85"/>
    <w:rsid w:val="005B1BA0"/>
    <w:rsid w:val="005B1C89"/>
    <w:rsid w:val="005B1CF3"/>
    <w:rsid w:val="005B262E"/>
    <w:rsid w:val="005B2897"/>
    <w:rsid w:val="005B2A74"/>
    <w:rsid w:val="005B2D06"/>
    <w:rsid w:val="005B321C"/>
    <w:rsid w:val="005B3509"/>
    <w:rsid w:val="005B3C6A"/>
    <w:rsid w:val="005B3DB3"/>
    <w:rsid w:val="005B4931"/>
    <w:rsid w:val="005B4980"/>
    <w:rsid w:val="005B4BC6"/>
    <w:rsid w:val="005B5BBA"/>
    <w:rsid w:val="005C031E"/>
    <w:rsid w:val="005C2279"/>
    <w:rsid w:val="005C2A86"/>
    <w:rsid w:val="005C3540"/>
    <w:rsid w:val="005C3EB0"/>
    <w:rsid w:val="005C3FB5"/>
    <w:rsid w:val="005C410C"/>
    <w:rsid w:val="005C535B"/>
    <w:rsid w:val="005C5A1D"/>
    <w:rsid w:val="005C5CBB"/>
    <w:rsid w:val="005C655A"/>
    <w:rsid w:val="005C6884"/>
    <w:rsid w:val="005C7287"/>
    <w:rsid w:val="005C7AAF"/>
    <w:rsid w:val="005C7C2C"/>
    <w:rsid w:val="005C7CE7"/>
    <w:rsid w:val="005D000F"/>
    <w:rsid w:val="005D07F9"/>
    <w:rsid w:val="005D07FD"/>
    <w:rsid w:val="005D133C"/>
    <w:rsid w:val="005D15CA"/>
    <w:rsid w:val="005D2A2E"/>
    <w:rsid w:val="005D2FB3"/>
    <w:rsid w:val="005D32CB"/>
    <w:rsid w:val="005D3E4D"/>
    <w:rsid w:val="005D4A36"/>
    <w:rsid w:val="005D4D63"/>
    <w:rsid w:val="005D50CD"/>
    <w:rsid w:val="005D5440"/>
    <w:rsid w:val="005D5558"/>
    <w:rsid w:val="005D6C37"/>
    <w:rsid w:val="005D6E8E"/>
    <w:rsid w:val="005D7B26"/>
    <w:rsid w:val="005E00D5"/>
    <w:rsid w:val="005E23C5"/>
    <w:rsid w:val="005E37EA"/>
    <w:rsid w:val="005E3B52"/>
    <w:rsid w:val="005E4C40"/>
    <w:rsid w:val="005E4F88"/>
    <w:rsid w:val="005E5774"/>
    <w:rsid w:val="005E5F8F"/>
    <w:rsid w:val="005E6023"/>
    <w:rsid w:val="005E6BDA"/>
    <w:rsid w:val="005E7A93"/>
    <w:rsid w:val="005E7BF7"/>
    <w:rsid w:val="005F042C"/>
    <w:rsid w:val="005F0F7C"/>
    <w:rsid w:val="005F1854"/>
    <w:rsid w:val="005F213D"/>
    <w:rsid w:val="005F22F8"/>
    <w:rsid w:val="005F3066"/>
    <w:rsid w:val="005F37D4"/>
    <w:rsid w:val="005F39A3"/>
    <w:rsid w:val="005F3E08"/>
    <w:rsid w:val="005F3E61"/>
    <w:rsid w:val="005F3FA2"/>
    <w:rsid w:val="005F4FE7"/>
    <w:rsid w:val="005F53CC"/>
    <w:rsid w:val="005F5602"/>
    <w:rsid w:val="005F5A37"/>
    <w:rsid w:val="005F5F36"/>
    <w:rsid w:val="005F64E2"/>
    <w:rsid w:val="005F6F2D"/>
    <w:rsid w:val="00600384"/>
    <w:rsid w:val="0060207C"/>
    <w:rsid w:val="006033E9"/>
    <w:rsid w:val="00603A2F"/>
    <w:rsid w:val="006047AA"/>
    <w:rsid w:val="006047F0"/>
    <w:rsid w:val="00604DDD"/>
    <w:rsid w:val="00604E19"/>
    <w:rsid w:val="00604E1C"/>
    <w:rsid w:val="00604F3A"/>
    <w:rsid w:val="00606380"/>
    <w:rsid w:val="006064CA"/>
    <w:rsid w:val="006066EE"/>
    <w:rsid w:val="00606FE2"/>
    <w:rsid w:val="00610E99"/>
    <w:rsid w:val="00611587"/>
    <w:rsid w:val="006115CC"/>
    <w:rsid w:val="00611FC4"/>
    <w:rsid w:val="00612522"/>
    <w:rsid w:val="00612B47"/>
    <w:rsid w:val="00614380"/>
    <w:rsid w:val="006144A8"/>
    <w:rsid w:val="00614C26"/>
    <w:rsid w:val="00615223"/>
    <w:rsid w:val="0061523D"/>
    <w:rsid w:val="00615786"/>
    <w:rsid w:val="00615B65"/>
    <w:rsid w:val="00615C4F"/>
    <w:rsid w:val="00616E4A"/>
    <w:rsid w:val="00616F19"/>
    <w:rsid w:val="0061719E"/>
    <w:rsid w:val="006176FB"/>
    <w:rsid w:val="0062085E"/>
    <w:rsid w:val="006209D2"/>
    <w:rsid w:val="006216B1"/>
    <w:rsid w:val="0062192F"/>
    <w:rsid w:val="006227CA"/>
    <w:rsid w:val="00622F5A"/>
    <w:rsid w:val="006236BF"/>
    <w:rsid w:val="006236D0"/>
    <w:rsid w:val="0062483E"/>
    <w:rsid w:val="006248C5"/>
    <w:rsid w:val="00624F86"/>
    <w:rsid w:val="00625253"/>
    <w:rsid w:val="006253B4"/>
    <w:rsid w:val="0062578E"/>
    <w:rsid w:val="006258B0"/>
    <w:rsid w:val="00625B83"/>
    <w:rsid w:val="00625BBA"/>
    <w:rsid w:val="0062684A"/>
    <w:rsid w:val="00626B06"/>
    <w:rsid w:val="00627420"/>
    <w:rsid w:val="00627540"/>
    <w:rsid w:val="00627626"/>
    <w:rsid w:val="00627B82"/>
    <w:rsid w:val="00627E32"/>
    <w:rsid w:val="00630FCB"/>
    <w:rsid w:val="0063153F"/>
    <w:rsid w:val="0063163D"/>
    <w:rsid w:val="006318F1"/>
    <w:rsid w:val="00631C64"/>
    <w:rsid w:val="00632250"/>
    <w:rsid w:val="0063229B"/>
    <w:rsid w:val="0063258C"/>
    <w:rsid w:val="00632B72"/>
    <w:rsid w:val="00633916"/>
    <w:rsid w:val="00633B82"/>
    <w:rsid w:val="00635214"/>
    <w:rsid w:val="00636A7D"/>
    <w:rsid w:val="0063729E"/>
    <w:rsid w:val="006372AB"/>
    <w:rsid w:val="0064002E"/>
    <w:rsid w:val="006402F1"/>
    <w:rsid w:val="006403F0"/>
    <w:rsid w:val="00640587"/>
    <w:rsid w:val="00640B26"/>
    <w:rsid w:val="006411A3"/>
    <w:rsid w:val="00641DFE"/>
    <w:rsid w:val="00643B29"/>
    <w:rsid w:val="0064478E"/>
    <w:rsid w:val="00644905"/>
    <w:rsid w:val="00644D18"/>
    <w:rsid w:val="006459DE"/>
    <w:rsid w:val="00645E73"/>
    <w:rsid w:val="006462C9"/>
    <w:rsid w:val="0064635A"/>
    <w:rsid w:val="00646418"/>
    <w:rsid w:val="006469D2"/>
    <w:rsid w:val="0065006F"/>
    <w:rsid w:val="00651266"/>
    <w:rsid w:val="0065191F"/>
    <w:rsid w:val="00651A69"/>
    <w:rsid w:val="00651F0D"/>
    <w:rsid w:val="00652BF2"/>
    <w:rsid w:val="00652ED1"/>
    <w:rsid w:val="00653605"/>
    <w:rsid w:val="00653723"/>
    <w:rsid w:val="006537FD"/>
    <w:rsid w:val="006540FE"/>
    <w:rsid w:val="00654B8E"/>
    <w:rsid w:val="00654B99"/>
    <w:rsid w:val="00654FC5"/>
    <w:rsid w:val="006557EB"/>
    <w:rsid w:val="00655FDE"/>
    <w:rsid w:val="006560D9"/>
    <w:rsid w:val="0065739A"/>
    <w:rsid w:val="00660046"/>
    <w:rsid w:val="00660082"/>
    <w:rsid w:val="006607C3"/>
    <w:rsid w:val="00660C5D"/>
    <w:rsid w:val="00660E31"/>
    <w:rsid w:val="006613D3"/>
    <w:rsid w:val="00661A4B"/>
    <w:rsid w:val="00661C43"/>
    <w:rsid w:val="006621AD"/>
    <w:rsid w:val="00662D72"/>
    <w:rsid w:val="00663326"/>
    <w:rsid w:val="00663656"/>
    <w:rsid w:val="00663C2B"/>
    <w:rsid w:val="00663F89"/>
    <w:rsid w:val="00666846"/>
    <w:rsid w:val="00667870"/>
    <w:rsid w:val="00667E95"/>
    <w:rsid w:val="00667ED6"/>
    <w:rsid w:val="00667FA2"/>
    <w:rsid w:val="00671650"/>
    <w:rsid w:val="006722AC"/>
    <w:rsid w:val="00672571"/>
    <w:rsid w:val="00672CA1"/>
    <w:rsid w:val="00674271"/>
    <w:rsid w:val="00674374"/>
    <w:rsid w:val="00674AF8"/>
    <w:rsid w:val="00675DBD"/>
    <w:rsid w:val="0067652F"/>
    <w:rsid w:val="00676E81"/>
    <w:rsid w:val="00676ECE"/>
    <w:rsid w:val="006770B2"/>
    <w:rsid w:val="00677717"/>
    <w:rsid w:val="00677D70"/>
    <w:rsid w:val="00677DF4"/>
    <w:rsid w:val="00677E06"/>
    <w:rsid w:val="006807C4"/>
    <w:rsid w:val="00680ADA"/>
    <w:rsid w:val="00680EB7"/>
    <w:rsid w:val="00682C19"/>
    <w:rsid w:val="00683167"/>
    <w:rsid w:val="00683C0A"/>
    <w:rsid w:val="00683D1C"/>
    <w:rsid w:val="00684468"/>
    <w:rsid w:val="0068447C"/>
    <w:rsid w:val="00684A0B"/>
    <w:rsid w:val="00684ADC"/>
    <w:rsid w:val="00684BFA"/>
    <w:rsid w:val="00684F05"/>
    <w:rsid w:val="00685689"/>
    <w:rsid w:val="00685B0A"/>
    <w:rsid w:val="00685FDF"/>
    <w:rsid w:val="00686D42"/>
    <w:rsid w:val="0068707F"/>
    <w:rsid w:val="0068781C"/>
    <w:rsid w:val="0068782B"/>
    <w:rsid w:val="00690606"/>
    <w:rsid w:val="006909FF"/>
    <w:rsid w:val="00691361"/>
    <w:rsid w:val="006913E1"/>
    <w:rsid w:val="00691D1D"/>
    <w:rsid w:val="00691D51"/>
    <w:rsid w:val="006929EE"/>
    <w:rsid w:val="00693098"/>
    <w:rsid w:val="00693151"/>
    <w:rsid w:val="0069319A"/>
    <w:rsid w:val="006940E1"/>
    <w:rsid w:val="00694C82"/>
    <w:rsid w:val="006951D1"/>
    <w:rsid w:val="006952E3"/>
    <w:rsid w:val="00695543"/>
    <w:rsid w:val="00695D7A"/>
    <w:rsid w:val="00696DE4"/>
    <w:rsid w:val="00696E2F"/>
    <w:rsid w:val="006970FF"/>
    <w:rsid w:val="00697138"/>
    <w:rsid w:val="00697CB1"/>
    <w:rsid w:val="006A063A"/>
    <w:rsid w:val="006A0DCD"/>
    <w:rsid w:val="006A0F7A"/>
    <w:rsid w:val="006A10B8"/>
    <w:rsid w:val="006A15D7"/>
    <w:rsid w:val="006A17B5"/>
    <w:rsid w:val="006A2002"/>
    <w:rsid w:val="006A26FC"/>
    <w:rsid w:val="006A28A3"/>
    <w:rsid w:val="006A3287"/>
    <w:rsid w:val="006A3446"/>
    <w:rsid w:val="006A35DC"/>
    <w:rsid w:val="006A39C0"/>
    <w:rsid w:val="006A3C72"/>
    <w:rsid w:val="006A48F6"/>
    <w:rsid w:val="006A53F8"/>
    <w:rsid w:val="006A5423"/>
    <w:rsid w:val="006A60D7"/>
    <w:rsid w:val="006A65A1"/>
    <w:rsid w:val="006A71A2"/>
    <w:rsid w:val="006A7392"/>
    <w:rsid w:val="006A753F"/>
    <w:rsid w:val="006A7975"/>
    <w:rsid w:val="006B03A1"/>
    <w:rsid w:val="006B0BB1"/>
    <w:rsid w:val="006B16AB"/>
    <w:rsid w:val="006B29FB"/>
    <w:rsid w:val="006B2C24"/>
    <w:rsid w:val="006B3019"/>
    <w:rsid w:val="006B30FC"/>
    <w:rsid w:val="006B381B"/>
    <w:rsid w:val="006B3DDD"/>
    <w:rsid w:val="006B3ED4"/>
    <w:rsid w:val="006B3EFA"/>
    <w:rsid w:val="006B4559"/>
    <w:rsid w:val="006B4892"/>
    <w:rsid w:val="006B498B"/>
    <w:rsid w:val="006B49FB"/>
    <w:rsid w:val="006B4D0C"/>
    <w:rsid w:val="006B538F"/>
    <w:rsid w:val="006B53E2"/>
    <w:rsid w:val="006B5592"/>
    <w:rsid w:val="006B58B7"/>
    <w:rsid w:val="006B6179"/>
    <w:rsid w:val="006B6731"/>
    <w:rsid w:val="006B67D9"/>
    <w:rsid w:val="006B7AAA"/>
    <w:rsid w:val="006B7DBE"/>
    <w:rsid w:val="006C0A67"/>
    <w:rsid w:val="006C1168"/>
    <w:rsid w:val="006C12A8"/>
    <w:rsid w:val="006C1463"/>
    <w:rsid w:val="006C158E"/>
    <w:rsid w:val="006C1F82"/>
    <w:rsid w:val="006C2066"/>
    <w:rsid w:val="006C2544"/>
    <w:rsid w:val="006C2AA6"/>
    <w:rsid w:val="006C2E89"/>
    <w:rsid w:val="006C347B"/>
    <w:rsid w:val="006C3A5A"/>
    <w:rsid w:val="006C3FAF"/>
    <w:rsid w:val="006C4072"/>
    <w:rsid w:val="006C45BB"/>
    <w:rsid w:val="006C47E9"/>
    <w:rsid w:val="006C5535"/>
    <w:rsid w:val="006C5E47"/>
    <w:rsid w:val="006C6708"/>
    <w:rsid w:val="006C6C18"/>
    <w:rsid w:val="006C7522"/>
    <w:rsid w:val="006C7A45"/>
    <w:rsid w:val="006D0399"/>
    <w:rsid w:val="006D0447"/>
    <w:rsid w:val="006D0589"/>
    <w:rsid w:val="006D15BB"/>
    <w:rsid w:val="006D1D06"/>
    <w:rsid w:val="006D2529"/>
    <w:rsid w:val="006D293C"/>
    <w:rsid w:val="006D2C44"/>
    <w:rsid w:val="006D3751"/>
    <w:rsid w:val="006D3C48"/>
    <w:rsid w:val="006D40FA"/>
    <w:rsid w:val="006D45A0"/>
    <w:rsid w:val="006D46FC"/>
    <w:rsid w:val="006D48E4"/>
    <w:rsid w:val="006D4C43"/>
    <w:rsid w:val="006D4D22"/>
    <w:rsid w:val="006D5619"/>
    <w:rsid w:val="006D5624"/>
    <w:rsid w:val="006D6A2E"/>
    <w:rsid w:val="006E072C"/>
    <w:rsid w:val="006E0DA0"/>
    <w:rsid w:val="006E1283"/>
    <w:rsid w:val="006E1689"/>
    <w:rsid w:val="006E1CD1"/>
    <w:rsid w:val="006E1D45"/>
    <w:rsid w:val="006E2D53"/>
    <w:rsid w:val="006E3A52"/>
    <w:rsid w:val="006E40D1"/>
    <w:rsid w:val="006E470A"/>
    <w:rsid w:val="006E54C3"/>
    <w:rsid w:val="006E564B"/>
    <w:rsid w:val="006E6E23"/>
    <w:rsid w:val="006E6E42"/>
    <w:rsid w:val="006E7154"/>
    <w:rsid w:val="006E7A2A"/>
    <w:rsid w:val="006F0365"/>
    <w:rsid w:val="006F0B77"/>
    <w:rsid w:val="006F13B0"/>
    <w:rsid w:val="006F1BA8"/>
    <w:rsid w:val="006F2077"/>
    <w:rsid w:val="006F2F35"/>
    <w:rsid w:val="006F345D"/>
    <w:rsid w:val="006F417B"/>
    <w:rsid w:val="006F4909"/>
    <w:rsid w:val="006F4A1A"/>
    <w:rsid w:val="006F4F3A"/>
    <w:rsid w:val="006F53A7"/>
    <w:rsid w:val="006F5D5C"/>
    <w:rsid w:val="006F6884"/>
    <w:rsid w:val="006F7009"/>
    <w:rsid w:val="006F71C0"/>
    <w:rsid w:val="006F7379"/>
    <w:rsid w:val="006F7735"/>
    <w:rsid w:val="006F7A38"/>
    <w:rsid w:val="006F7E76"/>
    <w:rsid w:val="006F7E91"/>
    <w:rsid w:val="006F7EBA"/>
    <w:rsid w:val="007003CD"/>
    <w:rsid w:val="007007D3"/>
    <w:rsid w:val="00700B38"/>
    <w:rsid w:val="007010F4"/>
    <w:rsid w:val="007020B7"/>
    <w:rsid w:val="00702B6F"/>
    <w:rsid w:val="00703065"/>
    <w:rsid w:val="007037FA"/>
    <w:rsid w:val="00703DAE"/>
    <w:rsid w:val="00704D4E"/>
    <w:rsid w:val="00704EDB"/>
    <w:rsid w:val="0070604A"/>
    <w:rsid w:val="007062A9"/>
    <w:rsid w:val="0070701E"/>
    <w:rsid w:val="00707615"/>
    <w:rsid w:val="007078DA"/>
    <w:rsid w:val="0071002B"/>
    <w:rsid w:val="00710054"/>
    <w:rsid w:val="00710513"/>
    <w:rsid w:val="007108B4"/>
    <w:rsid w:val="00711956"/>
    <w:rsid w:val="00711B30"/>
    <w:rsid w:val="00712C76"/>
    <w:rsid w:val="00713686"/>
    <w:rsid w:val="00713D1E"/>
    <w:rsid w:val="007140EF"/>
    <w:rsid w:val="0071599B"/>
    <w:rsid w:val="00715FCC"/>
    <w:rsid w:val="00715FD2"/>
    <w:rsid w:val="00716CF5"/>
    <w:rsid w:val="00717079"/>
    <w:rsid w:val="007175C9"/>
    <w:rsid w:val="007200B5"/>
    <w:rsid w:val="0072095F"/>
    <w:rsid w:val="00720A6D"/>
    <w:rsid w:val="00721281"/>
    <w:rsid w:val="007221BF"/>
    <w:rsid w:val="007222B7"/>
    <w:rsid w:val="0072271A"/>
    <w:rsid w:val="00723470"/>
    <w:rsid w:val="00724127"/>
    <w:rsid w:val="00724CF9"/>
    <w:rsid w:val="00725045"/>
    <w:rsid w:val="00725447"/>
    <w:rsid w:val="00725577"/>
    <w:rsid w:val="007255F9"/>
    <w:rsid w:val="00726202"/>
    <w:rsid w:val="0072632A"/>
    <w:rsid w:val="007265E1"/>
    <w:rsid w:val="00727AD7"/>
    <w:rsid w:val="00727B0B"/>
    <w:rsid w:val="0073008A"/>
    <w:rsid w:val="00731556"/>
    <w:rsid w:val="00733127"/>
    <w:rsid w:val="007337AC"/>
    <w:rsid w:val="00734216"/>
    <w:rsid w:val="007358E8"/>
    <w:rsid w:val="00735F0D"/>
    <w:rsid w:val="007368AF"/>
    <w:rsid w:val="00736ECE"/>
    <w:rsid w:val="00737B3D"/>
    <w:rsid w:val="00737C78"/>
    <w:rsid w:val="00741850"/>
    <w:rsid w:val="0074232B"/>
    <w:rsid w:val="007423CC"/>
    <w:rsid w:val="00743572"/>
    <w:rsid w:val="00744391"/>
    <w:rsid w:val="0074533B"/>
    <w:rsid w:val="00746268"/>
    <w:rsid w:val="007464BC"/>
    <w:rsid w:val="007464D3"/>
    <w:rsid w:val="00746974"/>
    <w:rsid w:val="007474C1"/>
    <w:rsid w:val="00747B51"/>
    <w:rsid w:val="00747C77"/>
    <w:rsid w:val="00750324"/>
    <w:rsid w:val="00750827"/>
    <w:rsid w:val="007519A9"/>
    <w:rsid w:val="00752661"/>
    <w:rsid w:val="007528CB"/>
    <w:rsid w:val="0075326A"/>
    <w:rsid w:val="007534A9"/>
    <w:rsid w:val="00755751"/>
    <w:rsid w:val="00755A94"/>
    <w:rsid w:val="00755EE5"/>
    <w:rsid w:val="00755F86"/>
    <w:rsid w:val="00755FA3"/>
    <w:rsid w:val="00756759"/>
    <w:rsid w:val="00756EE1"/>
    <w:rsid w:val="00757C60"/>
    <w:rsid w:val="00760761"/>
    <w:rsid w:val="0076084A"/>
    <w:rsid w:val="007609F3"/>
    <w:rsid w:val="00761BF6"/>
    <w:rsid w:val="007628D4"/>
    <w:rsid w:val="00762A26"/>
    <w:rsid w:val="00762DC0"/>
    <w:rsid w:val="00763243"/>
    <w:rsid w:val="00763954"/>
    <w:rsid w:val="007643BC"/>
    <w:rsid w:val="0076481D"/>
    <w:rsid w:val="0076547E"/>
    <w:rsid w:val="00765662"/>
    <w:rsid w:val="00765F1E"/>
    <w:rsid w:val="00766375"/>
    <w:rsid w:val="00766A12"/>
    <w:rsid w:val="00766CE9"/>
    <w:rsid w:val="00766F80"/>
    <w:rsid w:val="00766F8D"/>
    <w:rsid w:val="00767CE7"/>
    <w:rsid w:val="00767E27"/>
    <w:rsid w:val="00767E99"/>
    <w:rsid w:val="00767F56"/>
    <w:rsid w:val="00770C32"/>
    <w:rsid w:val="00770D72"/>
    <w:rsid w:val="0077195C"/>
    <w:rsid w:val="00771D2C"/>
    <w:rsid w:val="00771DE6"/>
    <w:rsid w:val="00772B41"/>
    <w:rsid w:val="00772DC6"/>
    <w:rsid w:val="007735B9"/>
    <w:rsid w:val="007753BC"/>
    <w:rsid w:val="00776BB6"/>
    <w:rsid w:val="00776BBE"/>
    <w:rsid w:val="007775A8"/>
    <w:rsid w:val="00777FF7"/>
    <w:rsid w:val="0078059F"/>
    <w:rsid w:val="007813B8"/>
    <w:rsid w:val="0078235C"/>
    <w:rsid w:val="007826C3"/>
    <w:rsid w:val="00783265"/>
    <w:rsid w:val="00783E00"/>
    <w:rsid w:val="0078467F"/>
    <w:rsid w:val="007864DA"/>
    <w:rsid w:val="00786676"/>
    <w:rsid w:val="0078723A"/>
    <w:rsid w:val="00787941"/>
    <w:rsid w:val="007905EF"/>
    <w:rsid w:val="00791CAB"/>
    <w:rsid w:val="00792CD9"/>
    <w:rsid w:val="007934AC"/>
    <w:rsid w:val="00793C50"/>
    <w:rsid w:val="00793D3C"/>
    <w:rsid w:val="00795746"/>
    <w:rsid w:val="007959FE"/>
    <w:rsid w:val="0079625A"/>
    <w:rsid w:val="00796310"/>
    <w:rsid w:val="007963F1"/>
    <w:rsid w:val="00797748"/>
    <w:rsid w:val="00797D99"/>
    <w:rsid w:val="00797FEC"/>
    <w:rsid w:val="007A00A1"/>
    <w:rsid w:val="007A0CF1"/>
    <w:rsid w:val="007A111F"/>
    <w:rsid w:val="007A1337"/>
    <w:rsid w:val="007A14B3"/>
    <w:rsid w:val="007A18E8"/>
    <w:rsid w:val="007A1AC0"/>
    <w:rsid w:val="007A1E16"/>
    <w:rsid w:val="007A1E9B"/>
    <w:rsid w:val="007A31D5"/>
    <w:rsid w:val="007A371B"/>
    <w:rsid w:val="007A37C9"/>
    <w:rsid w:val="007A38D4"/>
    <w:rsid w:val="007A3A48"/>
    <w:rsid w:val="007A3B30"/>
    <w:rsid w:val="007A4067"/>
    <w:rsid w:val="007A5083"/>
    <w:rsid w:val="007A581E"/>
    <w:rsid w:val="007A5920"/>
    <w:rsid w:val="007A5963"/>
    <w:rsid w:val="007A5C94"/>
    <w:rsid w:val="007A5F11"/>
    <w:rsid w:val="007A6626"/>
    <w:rsid w:val="007A7467"/>
    <w:rsid w:val="007A7F20"/>
    <w:rsid w:val="007A7F2C"/>
    <w:rsid w:val="007A7F31"/>
    <w:rsid w:val="007B0100"/>
    <w:rsid w:val="007B02B5"/>
    <w:rsid w:val="007B061D"/>
    <w:rsid w:val="007B0B9B"/>
    <w:rsid w:val="007B0E21"/>
    <w:rsid w:val="007B1391"/>
    <w:rsid w:val="007B1529"/>
    <w:rsid w:val="007B186F"/>
    <w:rsid w:val="007B228B"/>
    <w:rsid w:val="007B2393"/>
    <w:rsid w:val="007B25B2"/>
    <w:rsid w:val="007B3257"/>
    <w:rsid w:val="007B3538"/>
    <w:rsid w:val="007B41FB"/>
    <w:rsid w:val="007B518F"/>
    <w:rsid w:val="007B5A23"/>
    <w:rsid w:val="007B5D39"/>
    <w:rsid w:val="007B5E74"/>
    <w:rsid w:val="007B69CF"/>
    <w:rsid w:val="007B6A03"/>
    <w:rsid w:val="007B6BA5"/>
    <w:rsid w:val="007B72A5"/>
    <w:rsid w:val="007B73D0"/>
    <w:rsid w:val="007B7D86"/>
    <w:rsid w:val="007C004B"/>
    <w:rsid w:val="007C07D9"/>
    <w:rsid w:val="007C0AD3"/>
    <w:rsid w:val="007C1516"/>
    <w:rsid w:val="007C15E4"/>
    <w:rsid w:val="007C16B4"/>
    <w:rsid w:val="007C1948"/>
    <w:rsid w:val="007C254C"/>
    <w:rsid w:val="007C3390"/>
    <w:rsid w:val="007C42D8"/>
    <w:rsid w:val="007C4F4B"/>
    <w:rsid w:val="007C5AD8"/>
    <w:rsid w:val="007C6059"/>
    <w:rsid w:val="007C652E"/>
    <w:rsid w:val="007C7022"/>
    <w:rsid w:val="007C7070"/>
    <w:rsid w:val="007C7A69"/>
    <w:rsid w:val="007D0659"/>
    <w:rsid w:val="007D11CE"/>
    <w:rsid w:val="007D13B0"/>
    <w:rsid w:val="007D13F9"/>
    <w:rsid w:val="007D1459"/>
    <w:rsid w:val="007D2258"/>
    <w:rsid w:val="007D23D7"/>
    <w:rsid w:val="007D2CD1"/>
    <w:rsid w:val="007D36F8"/>
    <w:rsid w:val="007D385D"/>
    <w:rsid w:val="007D4E5A"/>
    <w:rsid w:val="007D542B"/>
    <w:rsid w:val="007D59EE"/>
    <w:rsid w:val="007D5B8F"/>
    <w:rsid w:val="007D6472"/>
    <w:rsid w:val="007D66C3"/>
    <w:rsid w:val="007D66EB"/>
    <w:rsid w:val="007D6B2A"/>
    <w:rsid w:val="007D6B7E"/>
    <w:rsid w:val="007D6F48"/>
    <w:rsid w:val="007D7040"/>
    <w:rsid w:val="007D7362"/>
    <w:rsid w:val="007D7B8A"/>
    <w:rsid w:val="007D7D52"/>
    <w:rsid w:val="007E0837"/>
    <w:rsid w:val="007E09C7"/>
    <w:rsid w:val="007E0C26"/>
    <w:rsid w:val="007E115C"/>
    <w:rsid w:val="007E127C"/>
    <w:rsid w:val="007E180D"/>
    <w:rsid w:val="007E1B59"/>
    <w:rsid w:val="007E1DE6"/>
    <w:rsid w:val="007E2B3B"/>
    <w:rsid w:val="007E2F81"/>
    <w:rsid w:val="007E31B9"/>
    <w:rsid w:val="007E3BFD"/>
    <w:rsid w:val="007E460F"/>
    <w:rsid w:val="007E4739"/>
    <w:rsid w:val="007E4882"/>
    <w:rsid w:val="007E4E07"/>
    <w:rsid w:val="007E5AD3"/>
    <w:rsid w:val="007E74CD"/>
    <w:rsid w:val="007E7668"/>
    <w:rsid w:val="007E78C1"/>
    <w:rsid w:val="007E7BFE"/>
    <w:rsid w:val="007E7D0F"/>
    <w:rsid w:val="007F0303"/>
    <w:rsid w:val="007F09E7"/>
    <w:rsid w:val="007F0ADA"/>
    <w:rsid w:val="007F0BE6"/>
    <w:rsid w:val="007F1741"/>
    <w:rsid w:val="007F17D2"/>
    <w:rsid w:val="007F1A75"/>
    <w:rsid w:val="007F2094"/>
    <w:rsid w:val="007F3304"/>
    <w:rsid w:val="007F3849"/>
    <w:rsid w:val="007F3E3C"/>
    <w:rsid w:val="007F4298"/>
    <w:rsid w:val="007F4968"/>
    <w:rsid w:val="007F537E"/>
    <w:rsid w:val="007F5A77"/>
    <w:rsid w:val="007F5CE2"/>
    <w:rsid w:val="007F5D02"/>
    <w:rsid w:val="007F5FC8"/>
    <w:rsid w:val="007F6237"/>
    <w:rsid w:val="007F6371"/>
    <w:rsid w:val="007F6611"/>
    <w:rsid w:val="007F6C5B"/>
    <w:rsid w:val="00800135"/>
    <w:rsid w:val="008003E3"/>
    <w:rsid w:val="008009EC"/>
    <w:rsid w:val="00800BB7"/>
    <w:rsid w:val="00802B66"/>
    <w:rsid w:val="00802DCD"/>
    <w:rsid w:val="00803446"/>
    <w:rsid w:val="0080361F"/>
    <w:rsid w:val="00803856"/>
    <w:rsid w:val="00804B8A"/>
    <w:rsid w:val="00804F68"/>
    <w:rsid w:val="00805436"/>
    <w:rsid w:val="008054D8"/>
    <w:rsid w:val="008059D7"/>
    <w:rsid w:val="00806BA8"/>
    <w:rsid w:val="00806EED"/>
    <w:rsid w:val="00810004"/>
    <w:rsid w:val="00810171"/>
    <w:rsid w:val="00810B2C"/>
    <w:rsid w:val="00810BAC"/>
    <w:rsid w:val="00811150"/>
    <w:rsid w:val="0081268F"/>
    <w:rsid w:val="0081283D"/>
    <w:rsid w:val="008135A4"/>
    <w:rsid w:val="0081380A"/>
    <w:rsid w:val="008142D5"/>
    <w:rsid w:val="0081464B"/>
    <w:rsid w:val="00814853"/>
    <w:rsid w:val="00814D5E"/>
    <w:rsid w:val="00814F01"/>
    <w:rsid w:val="00815356"/>
    <w:rsid w:val="008154D4"/>
    <w:rsid w:val="008158C7"/>
    <w:rsid w:val="00816087"/>
    <w:rsid w:val="00816F95"/>
    <w:rsid w:val="008171D9"/>
    <w:rsid w:val="00817465"/>
    <w:rsid w:val="00817477"/>
    <w:rsid w:val="00817481"/>
    <w:rsid w:val="008175E9"/>
    <w:rsid w:val="00817F9A"/>
    <w:rsid w:val="00820453"/>
    <w:rsid w:val="00820586"/>
    <w:rsid w:val="00820626"/>
    <w:rsid w:val="00820A5B"/>
    <w:rsid w:val="00820CA5"/>
    <w:rsid w:val="00821700"/>
    <w:rsid w:val="00822477"/>
    <w:rsid w:val="008224BC"/>
    <w:rsid w:val="008227B6"/>
    <w:rsid w:val="00823669"/>
    <w:rsid w:val="0082376F"/>
    <w:rsid w:val="00823A2C"/>
    <w:rsid w:val="00823B31"/>
    <w:rsid w:val="00824165"/>
    <w:rsid w:val="008242D7"/>
    <w:rsid w:val="00824B3D"/>
    <w:rsid w:val="0082514B"/>
    <w:rsid w:val="00825265"/>
    <w:rsid w:val="0082577B"/>
    <w:rsid w:val="00825E13"/>
    <w:rsid w:val="00825F49"/>
    <w:rsid w:val="00826768"/>
    <w:rsid w:val="008302CB"/>
    <w:rsid w:val="008303E7"/>
    <w:rsid w:val="008307C4"/>
    <w:rsid w:val="00830F51"/>
    <w:rsid w:val="00831368"/>
    <w:rsid w:val="00831F6D"/>
    <w:rsid w:val="00833A91"/>
    <w:rsid w:val="00834430"/>
    <w:rsid w:val="008344C8"/>
    <w:rsid w:val="00836AF6"/>
    <w:rsid w:val="00837407"/>
    <w:rsid w:val="00837781"/>
    <w:rsid w:val="008405AA"/>
    <w:rsid w:val="008408DF"/>
    <w:rsid w:val="00840DCC"/>
    <w:rsid w:val="00841A60"/>
    <w:rsid w:val="00841ABA"/>
    <w:rsid w:val="0084227C"/>
    <w:rsid w:val="008422B3"/>
    <w:rsid w:val="00842725"/>
    <w:rsid w:val="00842764"/>
    <w:rsid w:val="0084289F"/>
    <w:rsid w:val="00843908"/>
    <w:rsid w:val="00844D58"/>
    <w:rsid w:val="008451FE"/>
    <w:rsid w:val="00845445"/>
    <w:rsid w:val="00845769"/>
    <w:rsid w:val="00845B5A"/>
    <w:rsid w:val="00846D33"/>
    <w:rsid w:val="00847498"/>
    <w:rsid w:val="008475C0"/>
    <w:rsid w:val="0085036B"/>
    <w:rsid w:val="00850374"/>
    <w:rsid w:val="008507FB"/>
    <w:rsid w:val="00850D47"/>
    <w:rsid w:val="00850F72"/>
    <w:rsid w:val="00852651"/>
    <w:rsid w:val="00852699"/>
    <w:rsid w:val="0085276B"/>
    <w:rsid w:val="00853811"/>
    <w:rsid w:val="00853AB8"/>
    <w:rsid w:val="00853E2A"/>
    <w:rsid w:val="00853F72"/>
    <w:rsid w:val="00854062"/>
    <w:rsid w:val="008544FF"/>
    <w:rsid w:val="008549DF"/>
    <w:rsid w:val="00855484"/>
    <w:rsid w:val="00855EA5"/>
    <w:rsid w:val="00855F1D"/>
    <w:rsid w:val="0085603B"/>
    <w:rsid w:val="0085639E"/>
    <w:rsid w:val="00856A92"/>
    <w:rsid w:val="0085746B"/>
    <w:rsid w:val="00857792"/>
    <w:rsid w:val="008578CE"/>
    <w:rsid w:val="008579BF"/>
    <w:rsid w:val="00861026"/>
    <w:rsid w:val="00861069"/>
    <w:rsid w:val="00861092"/>
    <w:rsid w:val="00862747"/>
    <w:rsid w:val="00862A98"/>
    <w:rsid w:val="00862BC3"/>
    <w:rsid w:val="008637AD"/>
    <w:rsid w:val="00864449"/>
    <w:rsid w:val="00864B3E"/>
    <w:rsid w:val="00864CDF"/>
    <w:rsid w:val="00864E00"/>
    <w:rsid w:val="00864FA0"/>
    <w:rsid w:val="00865CD1"/>
    <w:rsid w:val="0086603E"/>
    <w:rsid w:val="0086650F"/>
    <w:rsid w:val="00866893"/>
    <w:rsid w:val="00866A50"/>
    <w:rsid w:val="00866F02"/>
    <w:rsid w:val="008672C5"/>
    <w:rsid w:val="008674A4"/>
    <w:rsid w:val="00867BE1"/>
    <w:rsid w:val="00867D18"/>
    <w:rsid w:val="00870C04"/>
    <w:rsid w:val="00871F9A"/>
    <w:rsid w:val="00871FD5"/>
    <w:rsid w:val="00872E9C"/>
    <w:rsid w:val="0087352F"/>
    <w:rsid w:val="00873A4B"/>
    <w:rsid w:val="00873E39"/>
    <w:rsid w:val="0087418F"/>
    <w:rsid w:val="00874449"/>
    <w:rsid w:val="00875B84"/>
    <w:rsid w:val="0087634A"/>
    <w:rsid w:val="00877167"/>
    <w:rsid w:val="00877D39"/>
    <w:rsid w:val="008806E8"/>
    <w:rsid w:val="008807A5"/>
    <w:rsid w:val="00881096"/>
    <w:rsid w:val="00881286"/>
    <w:rsid w:val="0088172E"/>
    <w:rsid w:val="00881CC8"/>
    <w:rsid w:val="00881D94"/>
    <w:rsid w:val="00881E56"/>
    <w:rsid w:val="00881EAA"/>
    <w:rsid w:val="00881EFA"/>
    <w:rsid w:val="00881F5E"/>
    <w:rsid w:val="00882154"/>
    <w:rsid w:val="00882597"/>
    <w:rsid w:val="00882A8E"/>
    <w:rsid w:val="008831CB"/>
    <w:rsid w:val="008836A8"/>
    <w:rsid w:val="00883E6E"/>
    <w:rsid w:val="00883F7F"/>
    <w:rsid w:val="008847E6"/>
    <w:rsid w:val="00884A7D"/>
    <w:rsid w:val="0088510F"/>
    <w:rsid w:val="00885743"/>
    <w:rsid w:val="00885937"/>
    <w:rsid w:val="008859F2"/>
    <w:rsid w:val="00885C77"/>
    <w:rsid w:val="00885DE2"/>
    <w:rsid w:val="00885F19"/>
    <w:rsid w:val="00885F80"/>
    <w:rsid w:val="00886688"/>
    <w:rsid w:val="00887413"/>
    <w:rsid w:val="008874F9"/>
    <w:rsid w:val="008879CB"/>
    <w:rsid w:val="008904E9"/>
    <w:rsid w:val="008908EE"/>
    <w:rsid w:val="00890F81"/>
    <w:rsid w:val="00891042"/>
    <w:rsid w:val="008923B4"/>
    <w:rsid w:val="008925A3"/>
    <w:rsid w:val="00893207"/>
    <w:rsid w:val="00893219"/>
    <w:rsid w:val="00893507"/>
    <w:rsid w:val="00893AF8"/>
    <w:rsid w:val="00893B05"/>
    <w:rsid w:val="008941E5"/>
    <w:rsid w:val="00895489"/>
    <w:rsid w:val="0089593F"/>
    <w:rsid w:val="00896B65"/>
    <w:rsid w:val="00897625"/>
    <w:rsid w:val="00897705"/>
    <w:rsid w:val="008979B1"/>
    <w:rsid w:val="00897E72"/>
    <w:rsid w:val="008A0F1D"/>
    <w:rsid w:val="008A2131"/>
    <w:rsid w:val="008A2173"/>
    <w:rsid w:val="008A25C9"/>
    <w:rsid w:val="008A384E"/>
    <w:rsid w:val="008A4814"/>
    <w:rsid w:val="008A5817"/>
    <w:rsid w:val="008A5AF7"/>
    <w:rsid w:val="008A5C9D"/>
    <w:rsid w:val="008A6984"/>
    <w:rsid w:val="008A6B25"/>
    <w:rsid w:val="008A6C4F"/>
    <w:rsid w:val="008A7779"/>
    <w:rsid w:val="008A7FB4"/>
    <w:rsid w:val="008B0174"/>
    <w:rsid w:val="008B0F0C"/>
    <w:rsid w:val="008B1AEA"/>
    <w:rsid w:val="008B1E50"/>
    <w:rsid w:val="008B25D6"/>
    <w:rsid w:val="008B389E"/>
    <w:rsid w:val="008B3F05"/>
    <w:rsid w:val="008B41F1"/>
    <w:rsid w:val="008B4947"/>
    <w:rsid w:val="008B4B4B"/>
    <w:rsid w:val="008B4E57"/>
    <w:rsid w:val="008B5157"/>
    <w:rsid w:val="008B5460"/>
    <w:rsid w:val="008B5C79"/>
    <w:rsid w:val="008B64E9"/>
    <w:rsid w:val="008B6944"/>
    <w:rsid w:val="008B7E56"/>
    <w:rsid w:val="008C00A2"/>
    <w:rsid w:val="008C18EC"/>
    <w:rsid w:val="008C1ADD"/>
    <w:rsid w:val="008C20D9"/>
    <w:rsid w:val="008C24E3"/>
    <w:rsid w:val="008C2725"/>
    <w:rsid w:val="008C353E"/>
    <w:rsid w:val="008C3C59"/>
    <w:rsid w:val="008C494C"/>
    <w:rsid w:val="008C4E0A"/>
    <w:rsid w:val="008C5499"/>
    <w:rsid w:val="008C5BA0"/>
    <w:rsid w:val="008C6671"/>
    <w:rsid w:val="008C6C31"/>
    <w:rsid w:val="008D045E"/>
    <w:rsid w:val="008D069D"/>
    <w:rsid w:val="008D0F21"/>
    <w:rsid w:val="008D12BF"/>
    <w:rsid w:val="008D1D09"/>
    <w:rsid w:val="008D35EF"/>
    <w:rsid w:val="008D36DC"/>
    <w:rsid w:val="008D382C"/>
    <w:rsid w:val="008D3F25"/>
    <w:rsid w:val="008D41D8"/>
    <w:rsid w:val="008D465D"/>
    <w:rsid w:val="008D4D82"/>
    <w:rsid w:val="008D4E2B"/>
    <w:rsid w:val="008D56D8"/>
    <w:rsid w:val="008D589B"/>
    <w:rsid w:val="008D76BD"/>
    <w:rsid w:val="008D7CCE"/>
    <w:rsid w:val="008D7D1E"/>
    <w:rsid w:val="008E0B0A"/>
    <w:rsid w:val="008E0E46"/>
    <w:rsid w:val="008E15C0"/>
    <w:rsid w:val="008E2CB6"/>
    <w:rsid w:val="008E3426"/>
    <w:rsid w:val="008E34B9"/>
    <w:rsid w:val="008E4014"/>
    <w:rsid w:val="008E42CC"/>
    <w:rsid w:val="008E4581"/>
    <w:rsid w:val="008E466C"/>
    <w:rsid w:val="008E485E"/>
    <w:rsid w:val="008E4F31"/>
    <w:rsid w:val="008E504D"/>
    <w:rsid w:val="008E5435"/>
    <w:rsid w:val="008E56A6"/>
    <w:rsid w:val="008E58AB"/>
    <w:rsid w:val="008E5C48"/>
    <w:rsid w:val="008E5E0D"/>
    <w:rsid w:val="008E6834"/>
    <w:rsid w:val="008E697B"/>
    <w:rsid w:val="008E710B"/>
    <w:rsid w:val="008E7116"/>
    <w:rsid w:val="008E7771"/>
    <w:rsid w:val="008E7860"/>
    <w:rsid w:val="008E78C8"/>
    <w:rsid w:val="008E7C07"/>
    <w:rsid w:val="008E7E29"/>
    <w:rsid w:val="008F0000"/>
    <w:rsid w:val="008F0B41"/>
    <w:rsid w:val="008F143B"/>
    <w:rsid w:val="008F1A96"/>
    <w:rsid w:val="008F1F09"/>
    <w:rsid w:val="008F2685"/>
    <w:rsid w:val="008F2DEF"/>
    <w:rsid w:val="008F2E9A"/>
    <w:rsid w:val="008F3882"/>
    <w:rsid w:val="008F47F0"/>
    <w:rsid w:val="008F4A90"/>
    <w:rsid w:val="008F4B7C"/>
    <w:rsid w:val="008F6AC3"/>
    <w:rsid w:val="008F6BC2"/>
    <w:rsid w:val="008F6DB8"/>
    <w:rsid w:val="008F6F7E"/>
    <w:rsid w:val="008F77BD"/>
    <w:rsid w:val="008F78CE"/>
    <w:rsid w:val="009001BC"/>
    <w:rsid w:val="00900A0C"/>
    <w:rsid w:val="00900C29"/>
    <w:rsid w:val="009013EC"/>
    <w:rsid w:val="0090163B"/>
    <w:rsid w:val="00901D30"/>
    <w:rsid w:val="00902338"/>
    <w:rsid w:val="00902A20"/>
    <w:rsid w:val="009030FB"/>
    <w:rsid w:val="00903253"/>
    <w:rsid w:val="00903EA7"/>
    <w:rsid w:val="00904680"/>
    <w:rsid w:val="0090587A"/>
    <w:rsid w:val="0090593A"/>
    <w:rsid w:val="009070A9"/>
    <w:rsid w:val="00907E31"/>
    <w:rsid w:val="00910695"/>
    <w:rsid w:val="00910981"/>
    <w:rsid w:val="00910CCE"/>
    <w:rsid w:val="00910DBA"/>
    <w:rsid w:val="009110A6"/>
    <w:rsid w:val="009117C4"/>
    <w:rsid w:val="009119DD"/>
    <w:rsid w:val="0091279A"/>
    <w:rsid w:val="00912BF8"/>
    <w:rsid w:val="00912E09"/>
    <w:rsid w:val="009130BD"/>
    <w:rsid w:val="00913982"/>
    <w:rsid w:val="00913C16"/>
    <w:rsid w:val="00914E7A"/>
    <w:rsid w:val="0091505F"/>
    <w:rsid w:val="009152E4"/>
    <w:rsid w:val="009154AF"/>
    <w:rsid w:val="00915B42"/>
    <w:rsid w:val="0091665F"/>
    <w:rsid w:val="009173DA"/>
    <w:rsid w:val="00920B73"/>
    <w:rsid w:val="009217FC"/>
    <w:rsid w:val="00922269"/>
    <w:rsid w:val="0092262B"/>
    <w:rsid w:val="00922A35"/>
    <w:rsid w:val="00922C23"/>
    <w:rsid w:val="00922DF7"/>
    <w:rsid w:val="00922E62"/>
    <w:rsid w:val="00923616"/>
    <w:rsid w:val="00924239"/>
    <w:rsid w:val="00924C67"/>
    <w:rsid w:val="00924DAB"/>
    <w:rsid w:val="00925A4C"/>
    <w:rsid w:val="00926169"/>
    <w:rsid w:val="009268C7"/>
    <w:rsid w:val="00926E47"/>
    <w:rsid w:val="00927332"/>
    <w:rsid w:val="00930211"/>
    <w:rsid w:val="00930AE5"/>
    <w:rsid w:val="00930B8D"/>
    <w:rsid w:val="0093140F"/>
    <w:rsid w:val="00931716"/>
    <w:rsid w:val="00931813"/>
    <w:rsid w:val="00931D10"/>
    <w:rsid w:val="009326B1"/>
    <w:rsid w:val="00933074"/>
    <w:rsid w:val="00934683"/>
    <w:rsid w:val="0093482A"/>
    <w:rsid w:val="00934C66"/>
    <w:rsid w:val="0093525F"/>
    <w:rsid w:val="009354F5"/>
    <w:rsid w:val="00935D7A"/>
    <w:rsid w:val="009360D0"/>
    <w:rsid w:val="009373F7"/>
    <w:rsid w:val="00937A89"/>
    <w:rsid w:val="00937B95"/>
    <w:rsid w:val="0094032A"/>
    <w:rsid w:val="0094197C"/>
    <w:rsid w:val="00942D65"/>
    <w:rsid w:val="00942FE6"/>
    <w:rsid w:val="00944A8A"/>
    <w:rsid w:val="00944E98"/>
    <w:rsid w:val="00944F1C"/>
    <w:rsid w:val="00944FA0"/>
    <w:rsid w:val="009456D2"/>
    <w:rsid w:val="00945824"/>
    <w:rsid w:val="00945A74"/>
    <w:rsid w:val="0094605A"/>
    <w:rsid w:val="0094606D"/>
    <w:rsid w:val="00946753"/>
    <w:rsid w:val="00947162"/>
    <w:rsid w:val="00950346"/>
    <w:rsid w:val="00950367"/>
    <w:rsid w:val="009504C5"/>
    <w:rsid w:val="009508FC"/>
    <w:rsid w:val="00950E38"/>
    <w:rsid w:val="009516A0"/>
    <w:rsid w:val="00951A9A"/>
    <w:rsid w:val="00952E32"/>
    <w:rsid w:val="00953126"/>
    <w:rsid w:val="009542A2"/>
    <w:rsid w:val="00954A25"/>
    <w:rsid w:val="00954E99"/>
    <w:rsid w:val="009553E7"/>
    <w:rsid w:val="009557E7"/>
    <w:rsid w:val="00955D5F"/>
    <w:rsid w:val="00955E45"/>
    <w:rsid w:val="009568C4"/>
    <w:rsid w:val="00956F82"/>
    <w:rsid w:val="00957F0C"/>
    <w:rsid w:val="0096020E"/>
    <w:rsid w:val="009610D0"/>
    <w:rsid w:val="009616A0"/>
    <w:rsid w:val="00962DFB"/>
    <w:rsid w:val="00962E70"/>
    <w:rsid w:val="0096375C"/>
    <w:rsid w:val="00964018"/>
    <w:rsid w:val="009643D7"/>
    <w:rsid w:val="00964694"/>
    <w:rsid w:val="00965147"/>
    <w:rsid w:val="00965339"/>
    <w:rsid w:val="00965E8F"/>
    <w:rsid w:val="009662E6"/>
    <w:rsid w:val="0096778D"/>
    <w:rsid w:val="00967CFC"/>
    <w:rsid w:val="009705E2"/>
    <w:rsid w:val="00970606"/>
    <w:rsid w:val="0097095E"/>
    <w:rsid w:val="00970F16"/>
    <w:rsid w:val="00971357"/>
    <w:rsid w:val="009714DB"/>
    <w:rsid w:val="00972302"/>
    <w:rsid w:val="0097253F"/>
    <w:rsid w:val="009728E2"/>
    <w:rsid w:val="00972CB6"/>
    <w:rsid w:val="00972D7E"/>
    <w:rsid w:val="00972DFD"/>
    <w:rsid w:val="00973584"/>
    <w:rsid w:val="00973F91"/>
    <w:rsid w:val="009745AE"/>
    <w:rsid w:val="00974849"/>
    <w:rsid w:val="00974DF2"/>
    <w:rsid w:val="0097568A"/>
    <w:rsid w:val="00975768"/>
    <w:rsid w:val="00975F24"/>
    <w:rsid w:val="00976D18"/>
    <w:rsid w:val="0097709C"/>
    <w:rsid w:val="009772C4"/>
    <w:rsid w:val="00977C16"/>
    <w:rsid w:val="00980282"/>
    <w:rsid w:val="00980870"/>
    <w:rsid w:val="009819C8"/>
    <w:rsid w:val="00982676"/>
    <w:rsid w:val="00982750"/>
    <w:rsid w:val="00982A3B"/>
    <w:rsid w:val="00983A00"/>
    <w:rsid w:val="00983B9E"/>
    <w:rsid w:val="0098404F"/>
    <w:rsid w:val="0098480F"/>
    <w:rsid w:val="00984EF2"/>
    <w:rsid w:val="009850B3"/>
    <w:rsid w:val="00985262"/>
    <w:rsid w:val="00985506"/>
    <w:rsid w:val="0098592B"/>
    <w:rsid w:val="00985FC4"/>
    <w:rsid w:val="00986126"/>
    <w:rsid w:val="00986154"/>
    <w:rsid w:val="00986298"/>
    <w:rsid w:val="00987370"/>
    <w:rsid w:val="00987742"/>
    <w:rsid w:val="009879EE"/>
    <w:rsid w:val="00987BB1"/>
    <w:rsid w:val="00990766"/>
    <w:rsid w:val="00990CF5"/>
    <w:rsid w:val="00991198"/>
    <w:rsid w:val="00991261"/>
    <w:rsid w:val="00992282"/>
    <w:rsid w:val="009935D3"/>
    <w:rsid w:val="00993658"/>
    <w:rsid w:val="009936DE"/>
    <w:rsid w:val="009937FE"/>
    <w:rsid w:val="00993DA1"/>
    <w:rsid w:val="00994858"/>
    <w:rsid w:val="00994CD4"/>
    <w:rsid w:val="00994DCB"/>
    <w:rsid w:val="0099508E"/>
    <w:rsid w:val="009956F1"/>
    <w:rsid w:val="00995757"/>
    <w:rsid w:val="00995A0B"/>
    <w:rsid w:val="00995B54"/>
    <w:rsid w:val="009964C4"/>
    <w:rsid w:val="0099663D"/>
    <w:rsid w:val="0099693A"/>
    <w:rsid w:val="00996DFF"/>
    <w:rsid w:val="00996E71"/>
    <w:rsid w:val="00997A8D"/>
    <w:rsid w:val="00997D4F"/>
    <w:rsid w:val="009A06A7"/>
    <w:rsid w:val="009A14C2"/>
    <w:rsid w:val="009A1E45"/>
    <w:rsid w:val="009A26B4"/>
    <w:rsid w:val="009A30D2"/>
    <w:rsid w:val="009A380E"/>
    <w:rsid w:val="009A3C95"/>
    <w:rsid w:val="009A4790"/>
    <w:rsid w:val="009A4983"/>
    <w:rsid w:val="009A5026"/>
    <w:rsid w:val="009A53BA"/>
    <w:rsid w:val="009A5BAC"/>
    <w:rsid w:val="009A5F9B"/>
    <w:rsid w:val="009A7B81"/>
    <w:rsid w:val="009A7D21"/>
    <w:rsid w:val="009A7FF0"/>
    <w:rsid w:val="009B08B5"/>
    <w:rsid w:val="009B10BD"/>
    <w:rsid w:val="009B1804"/>
    <w:rsid w:val="009B201C"/>
    <w:rsid w:val="009B23FF"/>
    <w:rsid w:val="009B2E8A"/>
    <w:rsid w:val="009B333D"/>
    <w:rsid w:val="009B414B"/>
    <w:rsid w:val="009B4986"/>
    <w:rsid w:val="009B58C6"/>
    <w:rsid w:val="009B5E7F"/>
    <w:rsid w:val="009B63B6"/>
    <w:rsid w:val="009B6A8C"/>
    <w:rsid w:val="009B6AE2"/>
    <w:rsid w:val="009B7859"/>
    <w:rsid w:val="009B78F3"/>
    <w:rsid w:val="009C0203"/>
    <w:rsid w:val="009C0AB5"/>
    <w:rsid w:val="009C10D5"/>
    <w:rsid w:val="009C155E"/>
    <w:rsid w:val="009C1FDC"/>
    <w:rsid w:val="009C228E"/>
    <w:rsid w:val="009C237B"/>
    <w:rsid w:val="009C25D5"/>
    <w:rsid w:val="009C26FC"/>
    <w:rsid w:val="009C28BB"/>
    <w:rsid w:val="009C2E5B"/>
    <w:rsid w:val="009C393E"/>
    <w:rsid w:val="009C42BA"/>
    <w:rsid w:val="009C4BE1"/>
    <w:rsid w:val="009C5578"/>
    <w:rsid w:val="009C584E"/>
    <w:rsid w:val="009C5ADF"/>
    <w:rsid w:val="009C5CCD"/>
    <w:rsid w:val="009C5F29"/>
    <w:rsid w:val="009C61E6"/>
    <w:rsid w:val="009C7310"/>
    <w:rsid w:val="009C7522"/>
    <w:rsid w:val="009C7C0A"/>
    <w:rsid w:val="009C7EE4"/>
    <w:rsid w:val="009D01C0"/>
    <w:rsid w:val="009D0318"/>
    <w:rsid w:val="009D1A13"/>
    <w:rsid w:val="009D266E"/>
    <w:rsid w:val="009D2CB7"/>
    <w:rsid w:val="009D3174"/>
    <w:rsid w:val="009D34FA"/>
    <w:rsid w:val="009D43BC"/>
    <w:rsid w:val="009D47BC"/>
    <w:rsid w:val="009D4B15"/>
    <w:rsid w:val="009D4CF5"/>
    <w:rsid w:val="009D5933"/>
    <w:rsid w:val="009D6204"/>
    <w:rsid w:val="009D6771"/>
    <w:rsid w:val="009D6A08"/>
    <w:rsid w:val="009D7891"/>
    <w:rsid w:val="009E0004"/>
    <w:rsid w:val="009E02B0"/>
    <w:rsid w:val="009E04A1"/>
    <w:rsid w:val="009E0A16"/>
    <w:rsid w:val="009E0E0B"/>
    <w:rsid w:val="009E0EAD"/>
    <w:rsid w:val="009E11FC"/>
    <w:rsid w:val="009E29FD"/>
    <w:rsid w:val="009E2A46"/>
    <w:rsid w:val="009E2A5B"/>
    <w:rsid w:val="009E2A75"/>
    <w:rsid w:val="009E302C"/>
    <w:rsid w:val="009E38FD"/>
    <w:rsid w:val="009E3B7E"/>
    <w:rsid w:val="009E4016"/>
    <w:rsid w:val="009E4556"/>
    <w:rsid w:val="009E469B"/>
    <w:rsid w:val="009E4B7F"/>
    <w:rsid w:val="009E546A"/>
    <w:rsid w:val="009E58D3"/>
    <w:rsid w:val="009E5900"/>
    <w:rsid w:val="009E6268"/>
    <w:rsid w:val="009E6CB7"/>
    <w:rsid w:val="009E7970"/>
    <w:rsid w:val="009E7BFA"/>
    <w:rsid w:val="009E7C1D"/>
    <w:rsid w:val="009F0BFE"/>
    <w:rsid w:val="009F1488"/>
    <w:rsid w:val="009F2EAC"/>
    <w:rsid w:val="009F328D"/>
    <w:rsid w:val="009F39CA"/>
    <w:rsid w:val="009F3CB3"/>
    <w:rsid w:val="009F46DB"/>
    <w:rsid w:val="009F4F1E"/>
    <w:rsid w:val="009F4F59"/>
    <w:rsid w:val="009F5219"/>
    <w:rsid w:val="009F5370"/>
    <w:rsid w:val="009F53B9"/>
    <w:rsid w:val="009F57E3"/>
    <w:rsid w:val="009F6897"/>
    <w:rsid w:val="009F6ED2"/>
    <w:rsid w:val="009F7199"/>
    <w:rsid w:val="009F7F92"/>
    <w:rsid w:val="00A00249"/>
    <w:rsid w:val="00A0029B"/>
    <w:rsid w:val="00A00569"/>
    <w:rsid w:val="00A00D5A"/>
    <w:rsid w:val="00A0158F"/>
    <w:rsid w:val="00A01CD1"/>
    <w:rsid w:val="00A02329"/>
    <w:rsid w:val="00A0257A"/>
    <w:rsid w:val="00A031F3"/>
    <w:rsid w:val="00A044F7"/>
    <w:rsid w:val="00A046BA"/>
    <w:rsid w:val="00A04DB3"/>
    <w:rsid w:val="00A059BF"/>
    <w:rsid w:val="00A062C5"/>
    <w:rsid w:val="00A06A31"/>
    <w:rsid w:val="00A06ABF"/>
    <w:rsid w:val="00A070DF"/>
    <w:rsid w:val="00A07172"/>
    <w:rsid w:val="00A07BF6"/>
    <w:rsid w:val="00A10383"/>
    <w:rsid w:val="00A107AF"/>
    <w:rsid w:val="00A10853"/>
    <w:rsid w:val="00A108CF"/>
    <w:rsid w:val="00A10F4F"/>
    <w:rsid w:val="00A11067"/>
    <w:rsid w:val="00A112F8"/>
    <w:rsid w:val="00A116E0"/>
    <w:rsid w:val="00A1182E"/>
    <w:rsid w:val="00A120C9"/>
    <w:rsid w:val="00A122AD"/>
    <w:rsid w:val="00A1244D"/>
    <w:rsid w:val="00A13919"/>
    <w:rsid w:val="00A1431F"/>
    <w:rsid w:val="00A144B5"/>
    <w:rsid w:val="00A1574B"/>
    <w:rsid w:val="00A1591F"/>
    <w:rsid w:val="00A169CE"/>
    <w:rsid w:val="00A1704A"/>
    <w:rsid w:val="00A1724D"/>
    <w:rsid w:val="00A17461"/>
    <w:rsid w:val="00A17D9F"/>
    <w:rsid w:val="00A203DB"/>
    <w:rsid w:val="00A20684"/>
    <w:rsid w:val="00A209A7"/>
    <w:rsid w:val="00A20EC1"/>
    <w:rsid w:val="00A2157A"/>
    <w:rsid w:val="00A2290C"/>
    <w:rsid w:val="00A22B52"/>
    <w:rsid w:val="00A232E3"/>
    <w:rsid w:val="00A234B4"/>
    <w:rsid w:val="00A243B5"/>
    <w:rsid w:val="00A245C2"/>
    <w:rsid w:val="00A24608"/>
    <w:rsid w:val="00A25147"/>
    <w:rsid w:val="00A259B6"/>
    <w:rsid w:val="00A25DA2"/>
    <w:rsid w:val="00A26980"/>
    <w:rsid w:val="00A26B2C"/>
    <w:rsid w:val="00A272B5"/>
    <w:rsid w:val="00A27C21"/>
    <w:rsid w:val="00A27F84"/>
    <w:rsid w:val="00A3025E"/>
    <w:rsid w:val="00A30293"/>
    <w:rsid w:val="00A303C9"/>
    <w:rsid w:val="00A309CC"/>
    <w:rsid w:val="00A31CB1"/>
    <w:rsid w:val="00A3248B"/>
    <w:rsid w:val="00A335A7"/>
    <w:rsid w:val="00A345CA"/>
    <w:rsid w:val="00A34F21"/>
    <w:rsid w:val="00A35205"/>
    <w:rsid w:val="00A35887"/>
    <w:rsid w:val="00A35A4B"/>
    <w:rsid w:val="00A35C0F"/>
    <w:rsid w:val="00A35FAA"/>
    <w:rsid w:val="00A3696A"/>
    <w:rsid w:val="00A404B6"/>
    <w:rsid w:val="00A40D2A"/>
    <w:rsid w:val="00A419A3"/>
    <w:rsid w:val="00A42116"/>
    <w:rsid w:val="00A425EB"/>
    <w:rsid w:val="00A426DD"/>
    <w:rsid w:val="00A42733"/>
    <w:rsid w:val="00A433EA"/>
    <w:rsid w:val="00A436C6"/>
    <w:rsid w:val="00A43AAC"/>
    <w:rsid w:val="00A44100"/>
    <w:rsid w:val="00A447CB"/>
    <w:rsid w:val="00A44917"/>
    <w:rsid w:val="00A4590C"/>
    <w:rsid w:val="00A45A6F"/>
    <w:rsid w:val="00A47374"/>
    <w:rsid w:val="00A479BD"/>
    <w:rsid w:val="00A5044F"/>
    <w:rsid w:val="00A50502"/>
    <w:rsid w:val="00A50608"/>
    <w:rsid w:val="00A506DA"/>
    <w:rsid w:val="00A51073"/>
    <w:rsid w:val="00A513FC"/>
    <w:rsid w:val="00A514CA"/>
    <w:rsid w:val="00A5175A"/>
    <w:rsid w:val="00A5332A"/>
    <w:rsid w:val="00A54CCC"/>
    <w:rsid w:val="00A552BD"/>
    <w:rsid w:val="00A55FE1"/>
    <w:rsid w:val="00A56036"/>
    <w:rsid w:val="00A56138"/>
    <w:rsid w:val="00A5641D"/>
    <w:rsid w:val="00A56DA2"/>
    <w:rsid w:val="00A570E7"/>
    <w:rsid w:val="00A573E2"/>
    <w:rsid w:val="00A57E3C"/>
    <w:rsid w:val="00A6047A"/>
    <w:rsid w:val="00A605BF"/>
    <w:rsid w:val="00A606BC"/>
    <w:rsid w:val="00A614A5"/>
    <w:rsid w:val="00A61B39"/>
    <w:rsid w:val="00A61ECE"/>
    <w:rsid w:val="00A62114"/>
    <w:rsid w:val="00A6431E"/>
    <w:rsid w:val="00A65503"/>
    <w:rsid w:val="00A65C83"/>
    <w:rsid w:val="00A660D0"/>
    <w:rsid w:val="00A66C50"/>
    <w:rsid w:val="00A66F92"/>
    <w:rsid w:val="00A70C10"/>
    <w:rsid w:val="00A70C72"/>
    <w:rsid w:val="00A70E6B"/>
    <w:rsid w:val="00A71512"/>
    <w:rsid w:val="00A71909"/>
    <w:rsid w:val="00A71A35"/>
    <w:rsid w:val="00A71AA6"/>
    <w:rsid w:val="00A71E0D"/>
    <w:rsid w:val="00A721EB"/>
    <w:rsid w:val="00A727A4"/>
    <w:rsid w:val="00A72EA3"/>
    <w:rsid w:val="00A72F22"/>
    <w:rsid w:val="00A733BC"/>
    <w:rsid w:val="00A734E7"/>
    <w:rsid w:val="00A735BD"/>
    <w:rsid w:val="00A73841"/>
    <w:rsid w:val="00A73E56"/>
    <w:rsid w:val="00A7455C"/>
    <w:rsid w:val="00A747AC"/>
    <w:rsid w:val="00A748A6"/>
    <w:rsid w:val="00A763DE"/>
    <w:rsid w:val="00A7640E"/>
    <w:rsid w:val="00A765C3"/>
    <w:rsid w:val="00A76A69"/>
    <w:rsid w:val="00A77216"/>
    <w:rsid w:val="00A77238"/>
    <w:rsid w:val="00A777B9"/>
    <w:rsid w:val="00A77914"/>
    <w:rsid w:val="00A80825"/>
    <w:rsid w:val="00A80E88"/>
    <w:rsid w:val="00A8144A"/>
    <w:rsid w:val="00A81C17"/>
    <w:rsid w:val="00A8276E"/>
    <w:rsid w:val="00A8281E"/>
    <w:rsid w:val="00A82C67"/>
    <w:rsid w:val="00A830D2"/>
    <w:rsid w:val="00A8347A"/>
    <w:rsid w:val="00A8433D"/>
    <w:rsid w:val="00A8447E"/>
    <w:rsid w:val="00A84555"/>
    <w:rsid w:val="00A8472D"/>
    <w:rsid w:val="00A84BBC"/>
    <w:rsid w:val="00A84EA8"/>
    <w:rsid w:val="00A8521A"/>
    <w:rsid w:val="00A85723"/>
    <w:rsid w:val="00A857CD"/>
    <w:rsid w:val="00A86307"/>
    <w:rsid w:val="00A86686"/>
    <w:rsid w:val="00A86713"/>
    <w:rsid w:val="00A86996"/>
    <w:rsid w:val="00A873DF"/>
    <w:rsid w:val="00A875C9"/>
    <w:rsid w:val="00A879A4"/>
    <w:rsid w:val="00A87CAF"/>
    <w:rsid w:val="00A913C1"/>
    <w:rsid w:val="00A91484"/>
    <w:rsid w:val="00A9197D"/>
    <w:rsid w:val="00A930AA"/>
    <w:rsid w:val="00A93A88"/>
    <w:rsid w:val="00A93DC8"/>
    <w:rsid w:val="00A94276"/>
    <w:rsid w:val="00A9452A"/>
    <w:rsid w:val="00A950BE"/>
    <w:rsid w:val="00A95600"/>
    <w:rsid w:val="00A95699"/>
    <w:rsid w:val="00A9603A"/>
    <w:rsid w:val="00A96EE4"/>
    <w:rsid w:val="00A975BF"/>
    <w:rsid w:val="00AA0372"/>
    <w:rsid w:val="00AA0794"/>
    <w:rsid w:val="00AA0FF8"/>
    <w:rsid w:val="00AA1B50"/>
    <w:rsid w:val="00AA1E86"/>
    <w:rsid w:val="00AA1F26"/>
    <w:rsid w:val="00AA411D"/>
    <w:rsid w:val="00AA459D"/>
    <w:rsid w:val="00AA4727"/>
    <w:rsid w:val="00AA4914"/>
    <w:rsid w:val="00AA4B4A"/>
    <w:rsid w:val="00AA4B6A"/>
    <w:rsid w:val="00AA5047"/>
    <w:rsid w:val="00AA50AD"/>
    <w:rsid w:val="00AA56BF"/>
    <w:rsid w:val="00AA56D0"/>
    <w:rsid w:val="00AA5C5C"/>
    <w:rsid w:val="00AA60FA"/>
    <w:rsid w:val="00AA7277"/>
    <w:rsid w:val="00AA7C9D"/>
    <w:rsid w:val="00AB1544"/>
    <w:rsid w:val="00AB18D0"/>
    <w:rsid w:val="00AB1B2E"/>
    <w:rsid w:val="00AB245D"/>
    <w:rsid w:val="00AB2973"/>
    <w:rsid w:val="00AB3660"/>
    <w:rsid w:val="00AB4814"/>
    <w:rsid w:val="00AB4849"/>
    <w:rsid w:val="00AB5270"/>
    <w:rsid w:val="00AB5A2F"/>
    <w:rsid w:val="00AB5D70"/>
    <w:rsid w:val="00AB5DCD"/>
    <w:rsid w:val="00AB5E36"/>
    <w:rsid w:val="00AB66D0"/>
    <w:rsid w:val="00AB68DF"/>
    <w:rsid w:val="00AB7811"/>
    <w:rsid w:val="00AB7C5E"/>
    <w:rsid w:val="00AB7DFC"/>
    <w:rsid w:val="00AB7F84"/>
    <w:rsid w:val="00AB7F8F"/>
    <w:rsid w:val="00AC04B7"/>
    <w:rsid w:val="00AC0F2C"/>
    <w:rsid w:val="00AC1632"/>
    <w:rsid w:val="00AC1C0E"/>
    <w:rsid w:val="00AC25BB"/>
    <w:rsid w:val="00AC34B5"/>
    <w:rsid w:val="00AC4105"/>
    <w:rsid w:val="00AC4122"/>
    <w:rsid w:val="00AC4E3B"/>
    <w:rsid w:val="00AC4E41"/>
    <w:rsid w:val="00AC502A"/>
    <w:rsid w:val="00AC5157"/>
    <w:rsid w:val="00AC5650"/>
    <w:rsid w:val="00AC5C4B"/>
    <w:rsid w:val="00AC6037"/>
    <w:rsid w:val="00AC68E4"/>
    <w:rsid w:val="00AC692D"/>
    <w:rsid w:val="00AC7521"/>
    <w:rsid w:val="00AD0B69"/>
    <w:rsid w:val="00AD1000"/>
    <w:rsid w:val="00AD1277"/>
    <w:rsid w:val="00AD19D8"/>
    <w:rsid w:val="00AD295A"/>
    <w:rsid w:val="00AD47B0"/>
    <w:rsid w:val="00AD5909"/>
    <w:rsid w:val="00AD6A30"/>
    <w:rsid w:val="00AD6CA1"/>
    <w:rsid w:val="00AD6EBA"/>
    <w:rsid w:val="00AD6F03"/>
    <w:rsid w:val="00AD6F5D"/>
    <w:rsid w:val="00AD7935"/>
    <w:rsid w:val="00AD7EF2"/>
    <w:rsid w:val="00AE04CE"/>
    <w:rsid w:val="00AE13C9"/>
    <w:rsid w:val="00AE1BAE"/>
    <w:rsid w:val="00AE2806"/>
    <w:rsid w:val="00AE4195"/>
    <w:rsid w:val="00AE4311"/>
    <w:rsid w:val="00AE4566"/>
    <w:rsid w:val="00AE457D"/>
    <w:rsid w:val="00AE484E"/>
    <w:rsid w:val="00AE4A3E"/>
    <w:rsid w:val="00AE4C5D"/>
    <w:rsid w:val="00AE4C79"/>
    <w:rsid w:val="00AE557B"/>
    <w:rsid w:val="00AE5604"/>
    <w:rsid w:val="00AE5850"/>
    <w:rsid w:val="00AE5E98"/>
    <w:rsid w:val="00AE615F"/>
    <w:rsid w:val="00AE661D"/>
    <w:rsid w:val="00AE7265"/>
    <w:rsid w:val="00AE7D74"/>
    <w:rsid w:val="00AF0456"/>
    <w:rsid w:val="00AF0D3E"/>
    <w:rsid w:val="00AF131A"/>
    <w:rsid w:val="00AF1973"/>
    <w:rsid w:val="00AF1980"/>
    <w:rsid w:val="00AF1A1D"/>
    <w:rsid w:val="00AF1C47"/>
    <w:rsid w:val="00AF1D0D"/>
    <w:rsid w:val="00AF1E96"/>
    <w:rsid w:val="00AF1FCD"/>
    <w:rsid w:val="00AF2995"/>
    <w:rsid w:val="00AF353A"/>
    <w:rsid w:val="00AF3923"/>
    <w:rsid w:val="00AF44B4"/>
    <w:rsid w:val="00AF4532"/>
    <w:rsid w:val="00AF45A7"/>
    <w:rsid w:val="00AF58C1"/>
    <w:rsid w:val="00AF5BA2"/>
    <w:rsid w:val="00AF64F2"/>
    <w:rsid w:val="00AF68F6"/>
    <w:rsid w:val="00AF6907"/>
    <w:rsid w:val="00AF69F2"/>
    <w:rsid w:val="00AF6A11"/>
    <w:rsid w:val="00AF7409"/>
    <w:rsid w:val="00AF7C93"/>
    <w:rsid w:val="00B000A5"/>
    <w:rsid w:val="00B01630"/>
    <w:rsid w:val="00B01A8B"/>
    <w:rsid w:val="00B01B03"/>
    <w:rsid w:val="00B01D77"/>
    <w:rsid w:val="00B02197"/>
    <w:rsid w:val="00B032CE"/>
    <w:rsid w:val="00B036D4"/>
    <w:rsid w:val="00B03E3A"/>
    <w:rsid w:val="00B04772"/>
    <w:rsid w:val="00B04911"/>
    <w:rsid w:val="00B04A3F"/>
    <w:rsid w:val="00B05169"/>
    <w:rsid w:val="00B05FC7"/>
    <w:rsid w:val="00B06643"/>
    <w:rsid w:val="00B10D96"/>
    <w:rsid w:val="00B111FF"/>
    <w:rsid w:val="00B1195D"/>
    <w:rsid w:val="00B119D5"/>
    <w:rsid w:val="00B119D7"/>
    <w:rsid w:val="00B11BD9"/>
    <w:rsid w:val="00B11E4E"/>
    <w:rsid w:val="00B12491"/>
    <w:rsid w:val="00B126A6"/>
    <w:rsid w:val="00B12C56"/>
    <w:rsid w:val="00B131C2"/>
    <w:rsid w:val="00B13992"/>
    <w:rsid w:val="00B141B7"/>
    <w:rsid w:val="00B15055"/>
    <w:rsid w:val="00B157A7"/>
    <w:rsid w:val="00B1599C"/>
    <w:rsid w:val="00B15B6E"/>
    <w:rsid w:val="00B15C92"/>
    <w:rsid w:val="00B15D72"/>
    <w:rsid w:val="00B16113"/>
    <w:rsid w:val="00B16472"/>
    <w:rsid w:val="00B1659D"/>
    <w:rsid w:val="00B166F2"/>
    <w:rsid w:val="00B16BE4"/>
    <w:rsid w:val="00B16EEF"/>
    <w:rsid w:val="00B1757E"/>
    <w:rsid w:val="00B17C24"/>
    <w:rsid w:val="00B17D5A"/>
    <w:rsid w:val="00B20FD4"/>
    <w:rsid w:val="00B21038"/>
    <w:rsid w:val="00B21682"/>
    <w:rsid w:val="00B22A7D"/>
    <w:rsid w:val="00B230B1"/>
    <w:rsid w:val="00B24141"/>
    <w:rsid w:val="00B25428"/>
    <w:rsid w:val="00B25AE5"/>
    <w:rsid w:val="00B26A31"/>
    <w:rsid w:val="00B2744E"/>
    <w:rsid w:val="00B27F14"/>
    <w:rsid w:val="00B27FF5"/>
    <w:rsid w:val="00B300FE"/>
    <w:rsid w:val="00B30179"/>
    <w:rsid w:val="00B3058B"/>
    <w:rsid w:val="00B318F9"/>
    <w:rsid w:val="00B31C93"/>
    <w:rsid w:val="00B31EE0"/>
    <w:rsid w:val="00B32735"/>
    <w:rsid w:val="00B3294D"/>
    <w:rsid w:val="00B337CF"/>
    <w:rsid w:val="00B33CCB"/>
    <w:rsid w:val="00B3409D"/>
    <w:rsid w:val="00B34789"/>
    <w:rsid w:val="00B34AFF"/>
    <w:rsid w:val="00B35982"/>
    <w:rsid w:val="00B3636E"/>
    <w:rsid w:val="00B36EF7"/>
    <w:rsid w:val="00B370AC"/>
    <w:rsid w:val="00B37B15"/>
    <w:rsid w:val="00B406E8"/>
    <w:rsid w:val="00B408B0"/>
    <w:rsid w:val="00B40AC8"/>
    <w:rsid w:val="00B42144"/>
    <w:rsid w:val="00B43252"/>
    <w:rsid w:val="00B4439F"/>
    <w:rsid w:val="00B4494A"/>
    <w:rsid w:val="00B45592"/>
    <w:rsid w:val="00B45C02"/>
    <w:rsid w:val="00B463FC"/>
    <w:rsid w:val="00B46F69"/>
    <w:rsid w:val="00B471E6"/>
    <w:rsid w:val="00B4731D"/>
    <w:rsid w:val="00B475F2"/>
    <w:rsid w:val="00B50B05"/>
    <w:rsid w:val="00B50E09"/>
    <w:rsid w:val="00B50EFA"/>
    <w:rsid w:val="00B50F57"/>
    <w:rsid w:val="00B519CE"/>
    <w:rsid w:val="00B51BD5"/>
    <w:rsid w:val="00B51EEB"/>
    <w:rsid w:val="00B524B5"/>
    <w:rsid w:val="00B529BA"/>
    <w:rsid w:val="00B52F35"/>
    <w:rsid w:val="00B52F5F"/>
    <w:rsid w:val="00B53257"/>
    <w:rsid w:val="00B5390C"/>
    <w:rsid w:val="00B544FF"/>
    <w:rsid w:val="00B54B45"/>
    <w:rsid w:val="00B54C1B"/>
    <w:rsid w:val="00B55C22"/>
    <w:rsid w:val="00B55FCB"/>
    <w:rsid w:val="00B56D36"/>
    <w:rsid w:val="00B57077"/>
    <w:rsid w:val="00B57DC6"/>
    <w:rsid w:val="00B60E62"/>
    <w:rsid w:val="00B61720"/>
    <w:rsid w:val="00B6336A"/>
    <w:rsid w:val="00B63839"/>
    <w:rsid w:val="00B63F7E"/>
    <w:rsid w:val="00B649B0"/>
    <w:rsid w:val="00B65946"/>
    <w:rsid w:val="00B703D1"/>
    <w:rsid w:val="00B70624"/>
    <w:rsid w:val="00B7110F"/>
    <w:rsid w:val="00B71E40"/>
    <w:rsid w:val="00B72168"/>
    <w:rsid w:val="00B722E6"/>
    <w:rsid w:val="00B725E0"/>
    <w:rsid w:val="00B72A1E"/>
    <w:rsid w:val="00B73020"/>
    <w:rsid w:val="00B73ED1"/>
    <w:rsid w:val="00B74B81"/>
    <w:rsid w:val="00B75275"/>
    <w:rsid w:val="00B7551F"/>
    <w:rsid w:val="00B755A8"/>
    <w:rsid w:val="00B75733"/>
    <w:rsid w:val="00B75935"/>
    <w:rsid w:val="00B75C79"/>
    <w:rsid w:val="00B760B2"/>
    <w:rsid w:val="00B769FA"/>
    <w:rsid w:val="00B77BB5"/>
    <w:rsid w:val="00B8043B"/>
    <w:rsid w:val="00B8080B"/>
    <w:rsid w:val="00B80A81"/>
    <w:rsid w:val="00B80B94"/>
    <w:rsid w:val="00B80E30"/>
    <w:rsid w:val="00B8103B"/>
    <w:rsid w:val="00B81537"/>
    <w:rsid w:val="00B81915"/>
    <w:rsid w:val="00B81A88"/>
    <w:rsid w:val="00B81CBA"/>
    <w:rsid w:val="00B81DD8"/>
    <w:rsid w:val="00B81E12"/>
    <w:rsid w:val="00B8207C"/>
    <w:rsid w:val="00B824F0"/>
    <w:rsid w:val="00B827EB"/>
    <w:rsid w:val="00B837D1"/>
    <w:rsid w:val="00B8396F"/>
    <w:rsid w:val="00B83A3C"/>
    <w:rsid w:val="00B84118"/>
    <w:rsid w:val="00B84750"/>
    <w:rsid w:val="00B850B1"/>
    <w:rsid w:val="00B85CAD"/>
    <w:rsid w:val="00B85E58"/>
    <w:rsid w:val="00B863BD"/>
    <w:rsid w:val="00B86449"/>
    <w:rsid w:val="00B867C0"/>
    <w:rsid w:val="00B874EA"/>
    <w:rsid w:val="00B87690"/>
    <w:rsid w:val="00B87E88"/>
    <w:rsid w:val="00B90445"/>
    <w:rsid w:val="00B90509"/>
    <w:rsid w:val="00B923C5"/>
    <w:rsid w:val="00B92718"/>
    <w:rsid w:val="00B93B01"/>
    <w:rsid w:val="00B93CF5"/>
    <w:rsid w:val="00B9409A"/>
    <w:rsid w:val="00B940C1"/>
    <w:rsid w:val="00B95617"/>
    <w:rsid w:val="00B9565F"/>
    <w:rsid w:val="00B95AD2"/>
    <w:rsid w:val="00B961E3"/>
    <w:rsid w:val="00B9638D"/>
    <w:rsid w:val="00B96707"/>
    <w:rsid w:val="00B96BA8"/>
    <w:rsid w:val="00B975B1"/>
    <w:rsid w:val="00B97AC4"/>
    <w:rsid w:val="00B97B2E"/>
    <w:rsid w:val="00B97C62"/>
    <w:rsid w:val="00B97E5C"/>
    <w:rsid w:val="00BA049D"/>
    <w:rsid w:val="00BA0B1D"/>
    <w:rsid w:val="00BA115B"/>
    <w:rsid w:val="00BA16F2"/>
    <w:rsid w:val="00BA1855"/>
    <w:rsid w:val="00BA18D7"/>
    <w:rsid w:val="00BA2663"/>
    <w:rsid w:val="00BA2A93"/>
    <w:rsid w:val="00BA2AFD"/>
    <w:rsid w:val="00BA339B"/>
    <w:rsid w:val="00BA351A"/>
    <w:rsid w:val="00BA35D9"/>
    <w:rsid w:val="00BA42B0"/>
    <w:rsid w:val="00BA44EB"/>
    <w:rsid w:val="00BA45EB"/>
    <w:rsid w:val="00BA49B1"/>
    <w:rsid w:val="00BA532A"/>
    <w:rsid w:val="00BA5725"/>
    <w:rsid w:val="00BA5E1C"/>
    <w:rsid w:val="00BA5F89"/>
    <w:rsid w:val="00BA6443"/>
    <w:rsid w:val="00BA6449"/>
    <w:rsid w:val="00BA6AB0"/>
    <w:rsid w:val="00BA6C73"/>
    <w:rsid w:val="00BA6F69"/>
    <w:rsid w:val="00BA701A"/>
    <w:rsid w:val="00BA7054"/>
    <w:rsid w:val="00BA7833"/>
    <w:rsid w:val="00BB0410"/>
    <w:rsid w:val="00BB0878"/>
    <w:rsid w:val="00BB0B18"/>
    <w:rsid w:val="00BB0C86"/>
    <w:rsid w:val="00BB0DD7"/>
    <w:rsid w:val="00BB10B0"/>
    <w:rsid w:val="00BB1EBD"/>
    <w:rsid w:val="00BB2264"/>
    <w:rsid w:val="00BB2F69"/>
    <w:rsid w:val="00BB3E95"/>
    <w:rsid w:val="00BB3EC7"/>
    <w:rsid w:val="00BB4BAA"/>
    <w:rsid w:val="00BB503A"/>
    <w:rsid w:val="00BB57B1"/>
    <w:rsid w:val="00BB58ED"/>
    <w:rsid w:val="00BB5EA3"/>
    <w:rsid w:val="00BB6357"/>
    <w:rsid w:val="00BB646F"/>
    <w:rsid w:val="00BB64A8"/>
    <w:rsid w:val="00BB68E2"/>
    <w:rsid w:val="00BB7284"/>
    <w:rsid w:val="00BC015D"/>
    <w:rsid w:val="00BC1176"/>
    <w:rsid w:val="00BC1931"/>
    <w:rsid w:val="00BC1AEF"/>
    <w:rsid w:val="00BC1E7E"/>
    <w:rsid w:val="00BC29EA"/>
    <w:rsid w:val="00BC2A26"/>
    <w:rsid w:val="00BC2A67"/>
    <w:rsid w:val="00BC343F"/>
    <w:rsid w:val="00BC3BBA"/>
    <w:rsid w:val="00BC452C"/>
    <w:rsid w:val="00BC56BE"/>
    <w:rsid w:val="00BC5705"/>
    <w:rsid w:val="00BC5823"/>
    <w:rsid w:val="00BC658D"/>
    <w:rsid w:val="00BC7327"/>
    <w:rsid w:val="00BC739F"/>
    <w:rsid w:val="00BC74E9"/>
    <w:rsid w:val="00BC75BE"/>
    <w:rsid w:val="00BC75F3"/>
    <w:rsid w:val="00BC7D8B"/>
    <w:rsid w:val="00BD0876"/>
    <w:rsid w:val="00BD0DD2"/>
    <w:rsid w:val="00BD16A1"/>
    <w:rsid w:val="00BD1777"/>
    <w:rsid w:val="00BD2B7A"/>
    <w:rsid w:val="00BD2C50"/>
    <w:rsid w:val="00BD2E4E"/>
    <w:rsid w:val="00BD2E59"/>
    <w:rsid w:val="00BD3534"/>
    <w:rsid w:val="00BD4614"/>
    <w:rsid w:val="00BD49DA"/>
    <w:rsid w:val="00BD4C22"/>
    <w:rsid w:val="00BD51D4"/>
    <w:rsid w:val="00BD5C1C"/>
    <w:rsid w:val="00BD5DA7"/>
    <w:rsid w:val="00BD5DEC"/>
    <w:rsid w:val="00BD5E94"/>
    <w:rsid w:val="00BD5EF9"/>
    <w:rsid w:val="00BD6660"/>
    <w:rsid w:val="00BD68AE"/>
    <w:rsid w:val="00BD7094"/>
    <w:rsid w:val="00BD728C"/>
    <w:rsid w:val="00BD72D4"/>
    <w:rsid w:val="00BD786F"/>
    <w:rsid w:val="00BE0236"/>
    <w:rsid w:val="00BE19D1"/>
    <w:rsid w:val="00BE19DF"/>
    <w:rsid w:val="00BE239D"/>
    <w:rsid w:val="00BE282E"/>
    <w:rsid w:val="00BE363E"/>
    <w:rsid w:val="00BE36A9"/>
    <w:rsid w:val="00BE3A65"/>
    <w:rsid w:val="00BE509C"/>
    <w:rsid w:val="00BE5606"/>
    <w:rsid w:val="00BE5E0D"/>
    <w:rsid w:val="00BE618E"/>
    <w:rsid w:val="00BE668D"/>
    <w:rsid w:val="00BE6881"/>
    <w:rsid w:val="00BE76A6"/>
    <w:rsid w:val="00BE7BEC"/>
    <w:rsid w:val="00BF00CF"/>
    <w:rsid w:val="00BF08CC"/>
    <w:rsid w:val="00BF0A5A"/>
    <w:rsid w:val="00BF0E63"/>
    <w:rsid w:val="00BF11E3"/>
    <w:rsid w:val="00BF12A3"/>
    <w:rsid w:val="00BF16D7"/>
    <w:rsid w:val="00BF221A"/>
    <w:rsid w:val="00BF2236"/>
    <w:rsid w:val="00BF2373"/>
    <w:rsid w:val="00BF2628"/>
    <w:rsid w:val="00BF2F83"/>
    <w:rsid w:val="00BF3064"/>
    <w:rsid w:val="00BF3141"/>
    <w:rsid w:val="00BF3791"/>
    <w:rsid w:val="00BF3FF2"/>
    <w:rsid w:val="00BF4157"/>
    <w:rsid w:val="00BF427C"/>
    <w:rsid w:val="00BF50DE"/>
    <w:rsid w:val="00BF5343"/>
    <w:rsid w:val="00BF545B"/>
    <w:rsid w:val="00BF5761"/>
    <w:rsid w:val="00BF5BE8"/>
    <w:rsid w:val="00BF5C3B"/>
    <w:rsid w:val="00BF738F"/>
    <w:rsid w:val="00BF7C9F"/>
    <w:rsid w:val="00BF7F0E"/>
    <w:rsid w:val="00C00ABC"/>
    <w:rsid w:val="00C00EAF"/>
    <w:rsid w:val="00C027D2"/>
    <w:rsid w:val="00C02F04"/>
    <w:rsid w:val="00C0385B"/>
    <w:rsid w:val="00C0445B"/>
    <w:rsid w:val="00C044E2"/>
    <w:rsid w:val="00C048CB"/>
    <w:rsid w:val="00C04FF9"/>
    <w:rsid w:val="00C051A9"/>
    <w:rsid w:val="00C05E6F"/>
    <w:rsid w:val="00C0619B"/>
    <w:rsid w:val="00C063FB"/>
    <w:rsid w:val="00C066F3"/>
    <w:rsid w:val="00C06771"/>
    <w:rsid w:val="00C0682C"/>
    <w:rsid w:val="00C06A84"/>
    <w:rsid w:val="00C06B32"/>
    <w:rsid w:val="00C070BC"/>
    <w:rsid w:val="00C07248"/>
    <w:rsid w:val="00C0762E"/>
    <w:rsid w:val="00C077BE"/>
    <w:rsid w:val="00C111E6"/>
    <w:rsid w:val="00C118BB"/>
    <w:rsid w:val="00C11E80"/>
    <w:rsid w:val="00C124AC"/>
    <w:rsid w:val="00C12FB7"/>
    <w:rsid w:val="00C13016"/>
    <w:rsid w:val="00C1376F"/>
    <w:rsid w:val="00C13C46"/>
    <w:rsid w:val="00C1401F"/>
    <w:rsid w:val="00C15225"/>
    <w:rsid w:val="00C15354"/>
    <w:rsid w:val="00C1544B"/>
    <w:rsid w:val="00C163DD"/>
    <w:rsid w:val="00C16EBC"/>
    <w:rsid w:val="00C16FF5"/>
    <w:rsid w:val="00C17732"/>
    <w:rsid w:val="00C1776C"/>
    <w:rsid w:val="00C17C1E"/>
    <w:rsid w:val="00C202CB"/>
    <w:rsid w:val="00C22967"/>
    <w:rsid w:val="00C22B6E"/>
    <w:rsid w:val="00C22DB2"/>
    <w:rsid w:val="00C2340D"/>
    <w:rsid w:val="00C234CE"/>
    <w:rsid w:val="00C2351A"/>
    <w:rsid w:val="00C23575"/>
    <w:rsid w:val="00C235A0"/>
    <w:rsid w:val="00C2433C"/>
    <w:rsid w:val="00C24650"/>
    <w:rsid w:val="00C24DA6"/>
    <w:rsid w:val="00C26348"/>
    <w:rsid w:val="00C26781"/>
    <w:rsid w:val="00C275BD"/>
    <w:rsid w:val="00C27635"/>
    <w:rsid w:val="00C304E3"/>
    <w:rsid w:val="00C30AE0"/>
    <w:rsid w:val="00C31E3F"/>
    <w:rsid w:val="00C326D1"/>
    <w:rsid w:val="00C336C2"/>
    <w:rsid w:val="00C33B06"/>
    <w:rsid w:val="00C33D4E"/>
    <w:rsid w:val="00C33EFF"/>
    <w:rsid w:val="00C34438"/>
    <w:rsid w:val="00C34E1A"/>
    <w:rsid w:val="00C36108"/>
    <w:rsid w:val="00C362F8"/>
    <w:rsid w:val="00C364C0"/>
    <w:rsid w:val="00C407E7"/>
    <w:rsid w:val="00C40C0D"/>
    <w:rsid w:val="00C4105A"/>
    <w:rsid w:val="00C41100"/>
    <w:rsid w:val="00C419CF"/>
    <w:rsid w:val="00C423CD"/>
    <w:rsid w:val="00C42A74"/>
    <w:rsid w:val="00C42BBF"/>
    <w:rsid w:val="00C42DD1"/>
    <w:rsid w:val="00C43107"/>
    <w:rsid w:val="00C436DD"/>
    <w:rsid w:val="00C438AD"/>
    <w:rsid w:val="00C440A5"/>
    <w:rsid w:val="00C4422D"/>
    <w:rsid w:val="00C44341"/>
    <w:rsid w:val="00C44713"/>
    <w:rsid w:val="00C44E59"/>
    <w:rsid w:val="00C454CA"/>
    <w:rsid w:val="00C457DF"/>
    <w:rsid w:val="00C45BCF"/>
    <w:rsid w:val="00C46006"/>
    <w:rsid w:val="00C460B3"/>
    <w:rsid w:val="00C46399"/>
    <w:rsid w:val="00C463DD"/>
    <w:rsid w:val="00C47623"/>
    <w:rsid w:val="00C47AE0"/>
    <w:rsid w:val="00C500AE"/>
    <w:rsid w:val="00C51456"/>
    <w:rsid w:val="00C51623"/>
    <w:rsid w:val="00C51BEB"/>
    <w:rsid w:val="00C53266"/>
    <w:rsid w:val="00C536D7"/>
    <w:rsid w:val="00C536F3"/>
    <w:rsid w:val="00C53962"/>
    <w:rsid w:val="00C53D83"/>
    <w:rsid w:val="00C541D0"/>
    <w:rsid w:val="00C552B5"/>
    <w:rsid w:val="00C556CB"/>
    <w:rsid w:val="00C557B1"/>
    <w:rsid w:val="00C55B35"/>
    <w:rsid w:val="00C56583"/>
    <w:rsid w:val="00C567F3"/>
    <w:rsid w:val="00C57184"/>
    <w:rsid w:val="00C5741B"/>
    <w:rsid w:val="00C576B9"/>
    <w:rsid w:val="00C577C6"/>
    <w:rsid w:val="00C57AA6"/>
    <w:rsid w:val="00C57C4C"/>
    <w:rsid w:val="00C57CC4"/>
    <w:rsid w:val="00C606F0"/>
    <w:rsid w:val="00C61249"/>
    <w:rsid w:val="00C6280D"/>
    <w:rsid w:val="00C6376E"/>
    <w:rsid w:val="00C63EB4"/>
    <w:rsid w:val="00C63FEA"/>
    <w:rsid w:val="00C646AE"/>
    <w:rsid w:val="00C65421"/>
    <w:rsid w:val="00C65A0B"/>
    <w:rsid w:val="00C66820"/>
    <w:rsid w:val="00C66BC2"/>
    <w:rsid w:val="00C66E3C"/>
    <w:rsid w:val="00C6701E"/>
    <w:rsid w:val="00C67728"/>
    <w:rsid w:val="00C6787C"/>
    <w:rsid w:val="00C7031D"/>
    <w:rsid w:val="00C7035A"/>
    <w:rsid w:val="00C70AF1"/>
    <w:rsid w:val="00C7115A"/>
    <w:rsid w:val="00C71C8B"/>
    <w:rsid w:val="00C71EBD"/>
    <w:rsid w:val="00C71F55"/>
    <w:rsid w:val="00C72EBC"/>
    <w:rsid w:val="00C72F12"/>
    <w:rsid w:val="00C73CAD"/>
    <w:rsid w:val="00C745C3"/>
    <w:rsid w:val="00C763DD"/>
    <w:rsid w:val="00C77033"/>
    <w:rsid w:val="00C774D9"/>
    <w:rsid w:val="00C777E3"/>
    <w:rsid w:val="00C77C93"/>
    <w:rsid w:val="00C80587"/>
    <w:rsid w:val="00C81664"/>
    <w:rsid w:val="00C81767"/>
    <w:rsid w:val="00C8181D"/>
    <w:rsid w:val="00C8192C"/>
    <w:rsid w:val="00C82064"/>
    <w:rsid w:val="00C82862"/>
    <w:rsid w:val="00C82C81"/>
    <w:rsid w:val="00C8344B"/>
    <w:rsid w:val="00C83EF4"/>
    <w:rsid w:val="00C84321"/>
    <w:rsid w:val="00C848F3"/>
    <w:rsid w:val="00C84BED"/>
    <w:rsid w:val="00C84D75"/>
    <w:rsid w:val="00C84D79"/>
    <w:rsid w:val="00C85493"/>
    <w:rsid w:val="00C85A0D"/>
    <w:rsid w:val="00C8614C"/>
    <w:rsid w:val="00C863C1"/>
    <w:rsid w:val="00C86449"/>
    <w:rsid w:val="00C87697"/>
    <w:rsid w:val="00C87A84"/>
    <w:rsid w:val="00C90A8C"/>
    <w:rsid w:val="00C90CF7"/>
    <w:rsid w:val="00C90CFC"/>
    <w:rsid w:val="00C90D40"/>
    <w:rsid w:val="00C91083"/>
    <w:rsid w:val="00C91254"/>
    <w:rsid w:val="00C91989"/>
    <w:rsid w:val="00C91C8F"/>
    <w:rsid w:val="00C921C2"/>
    <w:rsid w:val="00C921F5"/>
    <w:rsid w:val="00C927BE"/>
    <w:rsid w:val="00C929C6"/>
    <w:rsid w:val="00C929D1"/>
    <w:rsid w:val="00C92E03"/>
    <w:rsid w:val="00C930C7"/>
    <w:rsid w:val="00C93589"/>
    <w:rsid w:val="00C93611"/>
    <w:rsid w:val="00C93789"/>
    <w:rsid w:val="00C93EF5"/>
    <w:rsid w:val="00C941AC"/>
    <w:rsid w:val="00C94883"/>
    <w:rsid w:val="00C94E27"/>
    <w:rsid w:val="00C95677"/>
    <w:rsid w:val="00C95CD1"/>
    <w:rsid w:val="00C96395"/>
    <w:rsid w:val="00C96B1A"/>
    <w:rsid w:val="00C97CD1"/>
    <w:rsid w:val="00CA069B"/>
    <w:rsid w:val="00CA09B8"/>
    <w:rsid w:val="00CA0ADA"/>
    <w:rsid w:val="00CA0B2B"/>
    <w:rsid w:val="00CA1F91"/>
    <w:rsid w:val="00CA20E7"/>
    <w:rsid w:val="00CA24A4"/>
    <w:rsid w:val="00CA2D74"/>
    <w:rsid w:val="00CA2FCC"/>
    <w:rsid w:val="00CA3740"/>
    <w:rsid w:val="00CA477F"/>
    <w:rsid w:val="00CA56D1"/>
    <w:rsid w:val="00CA5937"/>
    <w:rsid w:val="00CA5A30"/>
    <w:rsid w:val="00CA60BA"/>
    <w:rsid w:val="00CA64C5"/>
    <w:rsid w:val="00CA653F"/>
    <w:rsid w:val="00CA7DF5"/>
    <w:rsid w:val="00CB03F1"/>
    <w:rsid w:val="00CB0FE4"/>
    <w:rsid w:val="00CB147B"/>
    <w:rsid w:val="00CB1535"/>
    <w:rsid w:val="00CB23DD"/>
    <w:rsid w:val="00CB3435"/>
    <w:rsid w:val="00CB348D"/>
    <w:rsid w:val="00CB4603"/>
    <w:rsid w:val="00CB477C"/>
    <w:rsid w:val="00CB5DA6"/>
    <w:rsid w:val="00CB5EB6"/>
    <w:rsid w:val="00CB5F4A"/>
    <w:rsid w:val="00CB62CF"/>
    <w:rsid w:val="00CC0689"/>
    <w:rsid w:val="00CC1DE8"/>
    <w:rsid w:val="00CC215F"/>
    <w:rsid w:val="00CC25BA"/>
    <w:rsid w:val="00CC2F0E"/>
    <w:rsid w:val="00CC2FDF"/>
    <w:rsid w:val="00CC3703"/>
    <w:rsid w:val="00CC3B46"/>
    <w:rsid w:val="00CC43AB"/>
    <w:rsid w:val="00CC5303"/>
    <w:rsid w:val="00CC53A6"/>
    <w:rsid w:val="00CC5A76"/>
    <w:rsid w:val="00CC5AB7"/>
    <w:rsid w:val="00CC6061"/>
    <w:rsid w:val="00CC641A"/>
    <w:rsid w:val="00CC6695"/>
    <w:rsid w:val="00CC7D60"/>
    <w:rsid w:val="00CD0A96"/>
    <w:rsid w:val="00CD0AF2"/>
    <w:rsid w:val="00CD0C82"/>
    <w:rsid w:val="00CD0CFA"/>
    <w:rsid w:val="00CD0D42"/>
    <w:rsid w:val="00CD1522"/>
    <w:rsid w:val="00CD16F7"/>
    <w:rsid w:val="00CD1C78"/>
    <w:rsid w:val="00CD1DF5"/>
    <w:rsid w:val="00CD2147"/>
    <w:rsid w:val="00CD227C"/>
    <w:rsid w:val="00CD262E"/>
    <w:rsid w:val="00CD2A49"/>
    <w:rsid w:val="00CD316E"/>
    <w:rsid w:val="00CD3AD8"/>
    <w:rsid w:val="00CD3E37"/>
    <w:rsid w:val="00CD3F48"/>
    <w:rsid w:val="00CD46F5"/>
    <w:rsid w:val="00CD493B"/>
    <w:rsid w:val="00CD51A4"/>
    <w:rsid w:val="00CD52A3"/>
    <w:rsid w:val="00CD5919"/>
    <w:rsid w:val="00CD647F"/>
    <w:rsid w:val="00CD689F"/>
    <w:rsid w:val="00CD6D83"/>
    <w:rsid w:val="00CD7E94"/>
    <w:rsid w:val="00CE0102"/>
    <w:rsid w:val="00CE046B"/>
    <w:rsid w:val="00CE073E"/>
    <w:rsid w:val="00CE08AE"/>
    <w:rsid w:val="00CE1748"/>
    <w:rsid w:val="00CE19DA"/>
    <w:rsid w:val="00CE1AE5"/>
    <w:rsid w:val="00CE2850"/>
    <w:rsid w:val="00CE2E49"/>
    <w:rsid w:val="00CE32ED"/>
    <w:rsid w:val="00CE3524"/>
    <w:rsid w:val="00CE38E7"/>
    <w:rsid w:val="00CE3CA0"/>
    <w:rsid w:val="00CE42DB"/>
    <w:rsid w:val="00CE4A8F"/>
    <w:rsid w:val="00CE4DEA"/>
    <w:rsid w:val="00CE51E2"/>
    <w:rsid w:val="00CE697C"/>
    <w:rsid w:val="00CE7732"/>
    <w:rsid w:val="00CE7981"/>
    <w:rsid w:val="00CE7BFF"/>
    <w:rsid w:val="00CE7D77"/>
    <w:rsid w:val="00CE7FC2"/>
    <w:rsid w:val="00CF071D"/>
    <w:rsid w:val="00CF0F86"/>
    <w:rsid w:val="00CF209B"/>
    <w:rsid w:val="00CF25DF"/>
    <w:rsid w:val="00CF3431"/>
    <w:rsid w:val="00CF39D3"/>
    <w:rsid w:val="00CF4610"/>
    <w:rsid w:val="00CF4664"/>
    <w:rsid w:val="00CF542F"/>
    <w:rsid w:val="00CF660F"/>
    <w:rsid w:val="00CF6752"/>
    <w:rsid w:val="00CF7446"/>
    <w:rsid w:val="00CF7D6C"/>
    <w:rsid w:val="00CF7DA5"/>
    <w:rsid w:val="00D006BA"/>
    <w:rsid w:val="00D00C8C"/>
    <w:rsid w:val="00D010C9"/>
    <w:rsid w:val="00D01127"/>
    <w:rsid w:val="00D01622"/>
    <w:rsid w:val="00D02115"/>
    <w:rsid w:val="00D0263E"/>
    <w:rsid w:val="00D03165"/>
    <w:rsid w:val="00D03AB9"/>
    <w:rsid w:val="00D048C3"/>
    <w:rsid w:val="00D048DA"/>
    <w:rsid w:val="00D04AFC"/>
    <w:rsid w:val="00D05C17"/>
    <w:rsid w:val="00D0681E"/>
    <w:rsid w:val="00D06DED"/>
    <w:rsid w:val="00D073ED"/>
    <w:rsid w:val="00D07422"/>
    <w:rsid w:val="00D10334"/>
    <w:rsid w:val="00D10D2A"/>
    <w:rsid w:val="00D10F1F"/>
    <w:rsid w:val="00D12157"/>
    <w:rsid w:val="00D126DB"/>
    <w:rsid w:val="00D13359"/>
    <w:rsid w:val="00D135E1"/>
    <w:rsid w:val="00D13819"/>
    <w:rsid w:val="00D1415B"/>
    <w:rsid w:val="00D14AB1"/>
    <w:rsid w:val="00D15101"/>
    <w:rsid w:val="00D154FA"/>
    <w:rsid w:val="00D15B04"/>
    <w:rsid w:val="00D16117"/>
    <w:rsid w:val="00D161C7"/>
    <w:rsid w:val="00D16298"/>
    <w:rsid w:val="00D163A7"/>
    <w:rsid w:val="00D177F4"/>
    <w:rsid w:val="00D17ECA"/>
    <w:rsid w:val="00D2031B"/>
    <w:rsid w:val="00D20752"/>
    <w:rsid w:val="00D20808"/>
    <w:rsid w:val="00D20A53"/>
    <w:rsid w:val="00D21536"/>
    <w:rsid w:val="00D21E2C"/>
    <w:rsid w:val="00D220D1"/>
    <w:rsid w:val="00D22234"/>
    <w:rsid w:val="00D22426"/>
    <w:rsid w:val="00D228BA"/>
    <w:rsid w:val="00D231D3"/>
    <w:rsid w:val="00D23BFC"/>
    <w:rsid w:val="00D23D2C"/>
    <w:rsid w:val="00D2430C"/>
    <w:rsid w:val="00D25560"/>
    <w:rsid w:val="00D25702"/>
    <w:rsid w:val="00D25FE2"/>
    <w:rsid w:val="00D26210"/>
    <w:rsid w:val="00D26B97"/>
    <w:rsid w:val="00D26E06"/>
    <w:rsid w:val="00D27186"/>
    <w:rsid w:val="00D27655"/>
    <w:rsid w:val="00D27911"/>
    <w:rsid w:val="00D27DF2"/>
    <w:rsid w:val="00D305C3"/>
    <w:rsid w:val="00D30A48"/>
    <w:rsid w:val="00D31736"/>
    <w:rsid w:val="00D31EF1"/>
    <w:rsid w:val="00D32117"/>
    <w:rsid w:val="00D32E05"/>
    <w:rsid w:val="00D33831"/>
    <w:rsid w:val="00D33A3D"/>
    <w:rsid w:val="00D33BBA"/>
    <w:rsid w:val="00D34375"/>
    <w:rsid w:val="00D35288"/>
    <w:rsid w:val="00D355E5"/>
    <w:rsid w:val="00D35745"/>
    <w:rsid w:val="00D359A9"/>
    <w:rsid w:val="00D359D0"/>
    <w:rsid w:val="00D378B2"/>
    <w:rsid w:val="00D37C29"/>
    <w:rsid w:val="00D37CF5"/>
    <w:rsid w:val="00D37DA9"/>
    <w:rsid w:val="00D40074"/>
    <w:rsid w:val="00D406A7"/>
    <w:rsid w:val="00D407DB"/>
    <w:rsid w:val="00D40915"/>
    <w:rsid w:val="00D40FE6"/>
    <w:rsid w:val="00D41946"/>
    <w:rsid w:val="00D42CB6"/>
    <w:rsid w:val="00D43252"/>
    <w:rsid w:val="00D438B8"/>
    <w:rsid w:val="00D43E4D"/>
    <w:rsid w:val="00D44BF4"/>
    <w:rsid w:val="00D44D86"/>
    <w:rsid w:val="00D451AD"/>
    <w:rsid w:val="00D451E9"/>
    <w:rsid w:val="00D4617A"/>
    <w:rsid w:val="00D46497"/>
    <w:rsid w:val="00D465F9"/>
    <w:rsid w:val="00D473BF"/>
    <w:rsid w:val="00D474DD"/>
    <w:rsid w:val="00D47993"/>
    <w:rsid w:val="00D47EE2"/>
    <w:rsid w:val="00D5021E"/>
    <w:rsid w:val="00D50B7D"/>
    <w:rsid w:val="00D50B9C"/>
    <w:rsid w:val="00D50C29"/>
    <w:rsid w:val="00D50F66"/>
    <w:rsid w:val="00D516FE"/>
    <w:rsid w:val="00D51F89"/>
    <w:rsid w:val="00D52012"/>
    <w:rsid w:val="00D5225F"/>
    <w:rsid w:val="00D52CE2"/>
    <w:rsid w:val="00D53CB8"/>
    <w:rsid w:val="00D542C3"/>
    <w:rsid w:val="00D549BB"/>
    <w:rsid w:val="00D54A5D"/>
    <w:rsid w:val="00D55165"/>
    <w:rsid w:val="00D551E8"/>
    <w:rsid w:val="00D554F4"/>
    <w:rsid w:val="00D55BD6"/>
    <w:rsid w:val="00D566C8"/>
    <w:rsid w:val="00D569A0"/>
    <w:rsid w:val="00D5702E"/>
    <w:rsid w:val="00D57139"/>
    <w:rsid w:val="00D573BB"/>
    <w:rsid w:val="00D574BD"/>
    <w:rsid w:val="00D57A90"/>
    <w:rsid w:val="00D604EC"/>
    <w:rsid w:val="00D60722"/>
    <w:rsid w:val="00D60A37"/>
    <w:rsid w:val="00D60CCC"/>
    <w:rsid w:val="00D60D6D"/>
    <w:rsid w:val="00D6113E"/>
    <w:rsid w:val="00D61462"/>
    <w:rsid w:val="00D615C0"/>
    <w:rsid w:val="00D61BAC"/>
    <w:rsid w:val="00D61C42"/>
    <w:rsid w:val="00D620EE"/>
    <w:rsid w:val="00D62E39"/>
    <w:rsid w:val="00D632E6"/>
    <w:rsid w:val="00D63412"/>
    <w:rsid w:val="00D6355F"/>
    <w:rsid w:val="00D6426D"/>
    <w:rsid w:val="00D64460"/>
    <w:rsid w:val="00D648C3"/>
    <w:rsid w:val="00D64E0D"/>
    <w:rsid w:val="00D64E7C"/>
    <w:rsid w:val="00D64EAC"/>
    <w:rsid w:val="00D65493"/>
    <w:rsid w:val="00D6571E"/>
    <w:rsid w:val="00D6577D"/>
    <w:rsid w:val="00D65B4C"/>
    <w:rsid w:val="00D65E29"/>
    <w:rsid w:val="00D66087"/>
    <w:rsid w:val="00D66140"/>
    <w:rsid w:val="00D66492"/>
    <w:rsid w:val="00D6687F"/>
    <w:rsid w:val="00D670F0"/>
    <w:rsid w:val="00D67F31"/>
    <w:rsid w:val="00D701A8"/>
    <w:rsid w:val="00D704E5"/>
    <w:rsid w:val="00D707A1"/>
    <w:rsid w:val="00D70900"/>
    <w:rsid w:val="00D71183"/>
    <w:rsid w:val="00D71312"/>
    <w:rsid w:val="00D725F2"/>
    <w:rsid w:val="00D72727"/>
    <w:rsid w:val="00D72D75"/>
    <w:rsid w:val="00D737D7"/>
    <w:rsid w:val="00D738B9"/>
    <w:rsid w:val="00D73A19"/>
    <w:rsid w:val="00D73A85"/>
    <w:rsid w:val="00D7458A"/>
    <w:rsid w:val="00D74632"/>
    <w:rsid w:val="00D75043"/>
    <w:rsid w:val="00D756CA"/>
    <w:rsid w:val="00D766A7"/>
    <w:rsid w:val="00D76F1A"/>
    <w:rsid w:val="00D7736B"/>
    <w:rsid w:val="00D775BB"/>
    <w:rsid w:val="00D80AAE"/>
    <w:rsid w:val="00D81409"/>
    <w:rsid w:val="00D81BC0"/>
    <w:rsid w:val="00D81F5D"/>
    <w:rsid w:val="00D8205D"/>
    <w:rsid w:val="00D82BC9"/>
    <w:rsid w:val="00D82D50"/>
    <w:rsid w:val="00D8314F"/>
    <w:rsid w:val="00D83A0D"/>
    <w:rsid w:val="00D8550D"/>
    <w:rsid w:val="00D85555"/>
    <w:rsid w:val="00D85774"/>
    <w:rsid w:val="00D86462"/>
    <w:rsid w:val="00D87C88"/>
    <w:rsid w:val="00D87CAC"/>
    <w:rsid w:val="00D87CBD"/>
    <w:rsid w:val="00D904E3"/>
    <w:rsid w:val="00D9050E"/>
    <w:rsid w:val="00D91135"/>
    <w:rsid w:val="00D912E7"/>
    <w:rsid w:val="00D92512"/>
    <w:rsid w:val="00D929AC"/>
    <w:rsid w:val="00D93EF3"/>
    <w:rsid w:val="00D944D3"/>
    <w:rsid w:val="00D944FB"/>
    <w:rsid w:val="00D94A0D"/>
    <w:rsid w:val="00D95409"/>
    <w:rsid w:val="00D9552C"/>
    <w:rsid w:val="00D95E0D"/>
    <w:rsid w:val="00D95F7D"/>
    <w:rsid w:val="00D96302"/>
    <w:rsid w:val="00D96410"/>
    <w:rsid w:val="00D96854"/>
    <w:rsid w:val="00D96B11"/>
    <w:rsid w:val="00D971FB"/>
    <w:rsid w:val="00D976C4"/>
    <w:rsid w:val="00D978C6"/>
    <w:rsid w:val="00D97CA6"/>
    <w:rsid w:val="00DA0956"/>
    <w:rsid w:val="00DA0FD2"/>
    <w:rsid w:val="00DA13E8"/>
    <w:rsid w:val="00DA18B6"/>
    <w:rsid w:val="00DA1D76"/>
    <w:rsid w:val="00DA270A"/>
    <w:rsid w:val="00DA2ED2"/>
    <w:rsid w:val="00DA33B8"/>
    <w:rsid w:val="00DA357F"/>
    <w:rsid w:val="00DA3E12"/>
    <w:rsid w:val="00DA4FC1"/>
    <w:rsid w:val="00DA593D"/>
    <w:rsid w:val="00DA694A"/>
    <w:rsid w:val="00DA6A94"/>
    <w:rsid w:val="00DA6C4E"/>
    <w:rsid w:val="00DA6E01"/>
    <w:rsid w:val="00DA6E0B"/>
    <w:rsid w:val="00DB17FA"/>
    <w:rsid w:val="00DB19A0"/>
    <w:rsid w:val="00DB21DC"/>
    <w:rsid w:val="00DB2B4B"/>
    <w:rsid w:val="00DB2CD3"/>
    <w:rsid w:val="00DB4CB1"/>
    <w:rsid w:val="00DB4E71"/>
    <w:rsid w:val="00DB4E7C"/>
    <w:rsid w:val="00DB51E2"/>
    <w:rsid w:val="00DB5515"/>
    <w:rsid w:val="00DB5CC9"/>
    <w:rsid w:val="00DB6969"/>
    <w:rsid w:val="00DB6A3E"/>
    <w:rsid w:val="00DB6D2C"/>
    <w:rsid w:val="00DB7B78"/>
    <w:rsid w:val="00DC03DC"/>
    <w:rsid w:val="00DC086C"/>
    <w:rsid w:val="00DC177D"/>
    <w:rsid w:val="00DC18AD"/>
    <w:rsid w:val="00DC2168"/>
    <w:rsid w:val="00DC3FBA"/>
    <w:rsid w:val="00DC40AA"/>
    <w:rsid w:val="00DC40CE"/>
    <w:rsid w:val="00DC4657"/>
    <w:rsid w:val="00DC46A6"/>
    <w:rsid w:val="00DC4E06"/>
    <w:rsid w:val="00DC645A"/>
    <w:rsid w:val="00DC64EB"/>
    <w:rsid w:val="00DC6A5C"/>
    <w:rsid w:val="00DC6AB9"/>
    <w:rsid w:val="00DC7EDE"/>
    <w:rsid w:val="00DD0EB2"/>
    <w:rsid w:val="00DD10C2"/>
    <w:rsid w:val="00DD18D4"/>
    <w:rsid w:val="00DD25CB"/>
    <w:rsid w:val="00DD3433"/>
    <w:rsid w:val="00DD402C"/>
    <w:rsid w:val="00DD45A6"/>
    <w:rsid w:val="00DD4D81"/>
    <w:rsid w:val="00DD549A"/>
    <w:rsid w:val="00DD66B3"/>
    <w:rsid w:val="00DD6867"/>
    <w:rsid w:val="00DD6D98"/>
    <w:rsid w:val="00DD6DA5"/>
    <w:rsid w:val="00DD7274"/>
    <w:rsid w:val="00DD77BE"/>
    <w:rsid w:val="00DD7CF7"/>
    <w:rsid w:val="00DE098C"/>
    <w:rsid w:val="00DE0AD8"/>
    <w:rsid w:val="00DE1205"/>
    <w:rsid w:val="00DE131E"/>
    <w:rsid w:val="00DE1584"/>
    <w:rsid w:val="00DE1849"/>
    <w:rsid w:val="00DE19F3"/>
    <w:rsid w:val="00DE2297"/>
    <w:rsid w:val="00DE2566"/>
    <w:rsid w:val="00DE3945"/>
    <w:rsid w:val="00DE3C95"/>
    <w:rsid w:val="00DE4007"/>
    <w:rsid w:val="00DE4447"/>
    <w:rsid w:val="00DE4CAF"/>
    <w:rsid w:val="00DE4FE7"/>
    <w:rsid w:val="00DE554F"/>
    <w:rsid w:val="00DE6D7E"/>
    <w:rsid w:val="00DE7746"/>
    <w:rsid w:val="00DE7851"/>
    <w:rsid w:val="00DF018E"/>
    <w:rsid w:val="00DF0470"/>
    <w:rsid w:val="00DF2C4E"/>
    <w:rsid w:val="00DF2E6A"/>
    <w:rsid w:val="00DF3D7E"/>
    <w:rsid w:val="00DF401C"/>
    <w:rsid w:val="00DF4A0F"/>
    <w:rsid w:val="00DF522E"/>
    <w:rsid w:val="00DF54ED"/>
    <w:rsid w:val="00DF5DB7"/>
    <w:rsid w:val="00DF5FFC"/>
    <w:rsid w:val="00DF60D9"/>
    <w:rsid w:val="00DF61C0"/>
    <w:rsid w:val="00DF6901"/>
    <w:rsid w:val="00DF77BD"/>
    <w:rsid w:val="00DF7876"/>
    <w:rsid w:val="00DF7CAE"/>
    <w:rsid w:val="00E00DD1"/>
    <w:rsid w:val="00E012AA"/>
    <w:rsid w:val="00E01636"/>
    <w:rsid w:val="00E01821"/>
    <w:rsid w:val="00E01C8A"/>
    <w:rsid w:val="00E029F9"/>
    <w:rsid w:val="00E02C4B"/>
    <w:rsid w:val="00E03EE7"/>
    <w:rsid w:val="00E0489C"/>
    <w:rsid w:val="00E05119"/>
    <w:rsid w:val="00E05842"/>
    <w:rsid w:val="00E0593B"/>
    <w:rsid w:val="00E05C2B"/>
    <w:rsid w:val="00E073C8"/>
    <w:rsid w:val="00E10534"/>
    <w:rsid w:val="00E106C1"/>
    <w:rsid w:val="00E10B87"/>
    <w:rsid w:val="00E112EA"/>
    <w:rsid w:val="00E11595"/>
    <w:rsid w:val="00E12439"/>
    <w:rsid w:val="00E12DB9"/>
    <w:rsid w:val="00E1312F"/>
    <w:rsid w:val="00E13388"/>
    <w:rsid w:val="00E139D4"/>
    <w:rsid w:val="00E1429E"/>
    <w:rsid w:val="00E14A15"/>
    <w:rsid w:val="00E1506F"/>
    <w:rsid w:val="00E16805"/>
    <w:rsid w:val="00E16842"/>
    <w:rsid w:val="00E16DBC"/>
    <w:rsid w:val="00E16FAF"/>
    <w:rsid w:val="00E172E4"/>
    <w:rsid w:val="00E174AF"/>
    <w:rsid w:val="00E20211"/>
    <w:rsid w:val="00E20745"/>
    <w:rsid w:val="00E20D45"/>
    <w:rsid w:val="00E217BA"/>
    <w:rsid w:val="00E21F1E"/>
    <w:rsid w:val="00E23C86"/>
    <w:rsid w:val="00E23EDC"/>
    <w:rsid w:val="00E24361"/>
    <w:rsid w:val="00E2465B"/>
    <w:rsid w:val="00E246CE"/>
    <w:rsid w:val="00E251A0"/>
    <w:rsid w:val="00E2683B"/>
    <w:rsid w:val="00E26C68"/>
    <w:rsid w:val="00E27457"/>
    <w:rsid w:val="00E27927"/>
    <w:rsid w:val="00E27B58"/>
    <w:rsid w:val="00E30A7F"/>
    <w:rsid w:val="00E31057"/>
    <w:rsid w:val="00E31A0B"/>
    <w:rsid w:val="00E31C0C"/>
    <w:rsid w:val="00E31F35"/>
    <w:rsid w:val="00E3268A"/>
    <w:rsid w:val="00E3281C"/>
    <w:rsid w:val="00E32978"/>
    <w:rsid w:val="00E32A1D"/>
    <w:rsid w:val="00E335D7"/>
    <w:rsid w:val="00E339E8"/>
    <w:rsid w:val="00E34B8E"/>
    <w:rsid w:val="00E35579"/>
    <w:rsid w:val="00E356B5"/>
    <w:rsid w:val="00E358C4"/>
    <w:rsid w:val="00E35BED"/>
    <w:rsid w:val="00E363CD"/>
    <w:rsid w:val="00E36762"/>
    <w:rsid w:val="00E36991"/>
    <w:rsid w:val="00E36C6C"/>
    <w:rsid w:val="00E372BC"/>
    <w:rsid w:val="00E4207A"/>
    <w:rsid w:val="00E422E9"/>
    <w:rsid w:val="00E423C0"/>
    <w:rsid w:val="00E42776"/>
    <w:rsid w:val="00E427EE"/>
    <w:rsid w:val="00E4288A"/>
    <w:rsid w:val="00E4288C"/>
    <w:rsid w:val="00E4363E"/>
    <w:rsid w:val="00E437A2"/>
    <w:rsid w:val="00E43ED3"/>
    <w:rsid w:val="00E44C65"/>
    <w:rsid w:val="00E45327"/>
    <w:rsid w:val="00E46898"/>
    <w:rsid w:val="00E46A18"/>
    <w:rsid w:val="00E4723C"/>
    <w:rsid w:val="00E47E70"/>
    <w:rsid w:val="00E50D8C"/>
    <w:rsid w:val="00E50DE3"/>
    <w:rsid w:val="00E50F12"/>
    <w:rsid w:val="00E51042"/>
    <w:rsid w:val="00E51B18"/>
    <w:rsid w:val="00E52DCA"/>
    <w:rsid w:val="00E53706"/>
    <w:rsid w:val="00E53A51"/>
    <w:rsid w:val="00E53B30"/>
    <w:rsid w:val="00E551E6"/>
    <w:rsid w:val="00E55392"/>
    <w:rsid w:val="00E56618"/>
    <w:rsid w:val="00E56D6E"/>
    <w:rsid w:val="00E57668"/>
    <w:rsid w:val="00E61528"/>
    <w:rsid w:val="00E61BF3"/>
    <w:rsid w:val="00E62030"/>
    <w:rsid w:val="00E621C4"/>
    <w:rsid w:val="00E6231F"/>
    <w:rsid w:val="00E62CDE"/>
    <w:rsid w:val="00E62E2E"/>
    <w:rsid w:val="00E64130"/>
    <w:rsid w:val="00E6414C"/>
    <w:rsid w:val="00E64975"/>
    <w:rsid w:val="00E64CE8"/>
    <w:rsid w:val="00E653A2"/>
    <w:rsid w:val="00E66055"/>
    <w:rsid w:val="00E665FA"/>
    <w:rsid w:val="00E669E0"/>
    <w:rsid w:val="00E66D33"/>
    <w:rsid w:val="00E66E5F"/>
    <w:rsid w:val="00E670A1"/>
    <w:rsid w:val="00E67612"/>
    <w:rsid w:val="00E701AE"/>
    <w:rsid w:val="00E71C63"/>
    <w:rsid w:val="00E72186"/>
    <w:rsid w:val="00E7260F"/>
    <w:rsid w:val="00E747B2"/>
    <w:rsid w:val="00E74DBB"/>
    <w:rsid w:val="00E75C87"/>
    <w:rsid w:val="00E75E6C"/>
    <w:rsid w:val="00E76299"/>
    <w:rsid w:val="00E76DE4"/>
    <w:rsid w:val="00E77167"/>
    <w:rsid w:val="00E77B22"/>
    <w:rsid w:val="00E77D39"/>
    <w:rsid w:val="00E800BD"/>
    <w:rsid w:val="00E808AF"/>
    <w:rsid w:val="00E80CB0"/>
    <w:rsid w:val="00E81366"/>
    <w:rsid w:val="00E813D4"/>
    <w:rsid w:val="00E81674"/>
    <w:rsid w:val="00E822A0"/>
    <w:rsid w:val="00E828EC"/>
    <w:rsid w:val="00E82E5E"/>
    <w:rsid w:val="00E83121"/>
    <w:rsid w:val="00E83298"/>
    <w:rsid w:val="00E83390"/>
    <w:rsid w:val="00E85338"/>
    <w:rsid w:val="00E85B71"/>
    <w:rsid w:val="00E862AA"/>
    <w:rsid w:val="00E8702D"/>
    <w:rsid w:val="00E87A1B"/>
    <w:rsid w:val="00E911A7"/>
    <w:rsid w:val="00E9153A"/>
    <w:rsid w:val="00E916A9"/>
    <w:rsid w:val="00E916DE"/>
    <w:rsid w:val="00E91BED"/>
    <w:rsid w:val="00E91D7E"/>
    <w:rsid w:val="00E91E00"/>
    <w:rsid w:val="00E92492"/>
    <w:rsid w:val="00E925AD"/>
    <w:rsid w:val="00E9261A"/>
    <w:rsid w:val="00E927CD"/>
    <w:rsid w:val="00E9316D"/>
    <w:rsid w:val="00E93651"/>
    <w:rsid w:val="00E93730"/>
    <w:rsid w:val="00E93740"/>
    <w:rsid w:val="00E9436B"/>
    <w:rsid w:val="00E9445E"/>
    <w:rsid w:val="00E94B1B"/>
    <w:rsid w:val="00E95839"/>
    <w:rsid w:val="00E95D07"/>
    <w:rsid w:val="00E961E6"/>
    <w:rsid w:val="00E96630"/>
    <w:rsid w:val="00E96CE3"/>
    <w:rsid w:val="00E97433"/>
    <w:rsid w:val="00E97CC5"/>
    <w:rsid w:val="00EA0927"/>
    <w:rsid w:val="00EA123A"/>
    <w:rsid w:val="00EA1FAD"/>
    <w:rsid w:val="00EA2030"/>
    <w:rsid w:val="00EA2456"/>
    <w:rsid w:val="00EA329E"/>
    <w:rsid w:val="00EA5503"/>
    <w:rsid w:val="00EA58C1"/>
    <w:rsid w:val="00EA5D02"/>
    <w:rsid w:val="00EA6668"/>
    <w:rsid w:val="00EA66C5"/>
    <w:rsid w:val="00EA6825"/>
    <w:rsid w:val="00EA69F3"/>
    <w:rsid w:val="00EA6DE0"/>
    <w:rsid w:val="00EA6E87"/>
    <w:rsid w:val="00EA70EC"/>
    <w:rsid w:val="00EA7701"/>
    <w:rsid w:val="00EA7756"/>
    <w:rsid w:val="00EA7819"/>
    <w:rsid w:val="00EA7AF7"/>
    <w:rsid w:val="00EA7D7C"/>
    <w:rsid w:val="00EB054E"/>
    <w:rsid w:val="00EB0828"/>
    <w:rsid w:val="00EB13FA"/>
    <w:rsid w:val="00EB14E8"/>
    <w:rsid w:val="00EB1C29"/>
    <w:rsid w:val="00EB26C1"/>
    <w:rsid w:val="00EB2C73"/>
    <w:rsid w:val="00EB35F6"/>
    <w:rsid w:val="00EB37E9"/>
    <w:rsid w:val="00EB380E"/>
    <w:rsid w:val="00EB381A"/>
    <w:rsid w:val="00EB444A"/>
    <w:rsid w:val="00EB4561"/>
    <w:rsid w:val="00EB49DF"/>
    <w:rsid w:val="00EB5848"/>
    <w:rsid w:val="00EB5FDF"/>
    <w:rsid w:val="00EB68DC"/>
    <w:rsid w:val="00EB6A75"/>
    <w:rsid w:val="00EB72EE"/>
    <w:rsid w:val="00EB7931"/>
    <w:rsid w:val="00EB7C69"/>
    <w:rsid w:val="00EB7F35"/>
    <w:rsid w:val="00EC01C6"/>
    <w:rsid w:val="00EC033C"/>
    <w:rsid w:val="00EC0356"/>
    <w:rsid w:val="00EC0405"/>
    <w:rsid w:val="00EC1B6B"/>
    <w:rsid w:val="00EC1BA2"/>
    <w:rsid w:val="00EC230F"/>
    <w:rsid w:val="00EC2B10"/>
    <w:rsid w:val="00EC332D"/>
    <w:rsid w:val="00EC3B79"/>
    <w:rsid w:val="00EC4082"/>
    <w:rsid w:val="00EC4338"/>
    <w:rsid w:val="00EC46E6"/>
    <w:rsid w:val="00EC4DC5"/>
    <w:rsid w:val="00EC4DEA"/>
    <w:rsid w:val="00EC5581"/>
    <w:rsid w:val="00EC598D"/>
    <w:rsid w:val="00EC59D1"/>
    <w:rsid w:val="00EC60FD"/>
    <w:rsid w:val="00EC6B8B"/>
    <w:rsid w:val="00EC7867"/>
    <w:rsid w:val="00EC7EFB"/>
    <w:rsid w:val="00ED0599"/>
    <w:rsid w:val="00ED077F"/>
    <w:rsid w:val="00ED0A7B"/>
    <w:rsid w:val="00ED0C35"/>
    <w:rsid w:val="00ED139A"/>
    <w:rsid w:val="00ED157B"/>
    <w:rsid w:val="00ED18DC"/>
    <w:rsid w:val="00ED1A83"/>
    <w:rsid w:val="00ED28D4"/>
    <w:rsid w:val="00ED31CC"/>
    <w:rsid w:val="00ED39EB"/>
    <w:rsid w:val="00ED3BEE"/>
    <w:rsid w:val="00ED3C5F"/>
    <w:rsid w:val="00ED413A"/>
    <w:rsid w:val="00ED536B"/>
    <w:rsid w:val="00ED56C3"/>
    <w:rsid w:val="00ED59DF"/>
    <w:rsid w:val="00ED6181"/>
    <w:rsid w:val="00ED6201"/>
    <w:rsid w:val="00ED7539"/>
    <w:rsid w:val="00ED7A2A"/>
    <w:rsid w:val="00EE0648"/>
    <w:rsid w:val="00EE3023"/>
    <w:rsid w:val="00EE3633"/>
    <w:rsid w:val="00EE477D"/>
    <w:rsid w:val="00EE4CCD"/>
    <w:rsid w:val="00EE4DF8"/>
    <w:rsid w:val="00EE4F3D"/>
    <w:rsid w:val="00EE56C5"/>
    <w:rsid w:val="00EE5D85"/>
    <w:rsid w:val="00EE6AD5"/>
    <w:rsid w:val="00EE6F32"/>
    <w:rsid w:val="00EE7316"/>
    <w:rsid w:val="00EE7770"/>
    <w:rsid w:val="00EE7993"/>
    <w:rsid w:val="00EF06C3"/>
    <w:rsid w:val="00EF08D9"/>
    <w:rsid w:val="00EF0E7F"/>
    <w:rsid w:val="00EF0F0C"/>
    <w:rsid w:val="00EF19A7"/>
    <w:rsid w:val="00EF1D7F"/>
    <w:rsid w:val="00EF2030"/>
    <w:rsid w:val="00EF2072"/>
    <w:rsid w:val="00EF26EF"/>
    <w:rsid w:val="00EF2A09"/>
    <w:rsid w:val="00EF2B7E"/>
    <w:rsid w:val="00EF306E"/>
    <w:rsid w:val="00EF30B1"/>
    <w:rsid w:val="00EF37E7"/>
    <w:rsid w:val="00EF3A49"/>
    <w:rsid w:val="00EF3AED"/>
    <w:rsid w:val="00EF3F65"/>
    <w:rsid w:val="00EF4456"/>
    <w:rsid w:val="00EF56AE"/>
    <w:rsid w:val="00EF62DA"/>
    <w:rsid w:val="00EF6B26"/>
    <w:rsid w:val="00EF6E50"/>
    <w:rsid w:val="00EF707E"/>
    <w:rsid w:val="00EF7135"/>
    <w:rsid w:val="00EF737F"/>
    <w:rsid w:val="00EF7454"/>
    <w:rsid w:val="00EF79B9"/>
    <w:rsid w:val="00F0009D"/>
    <w:rsid w:val="00F005C1"/>
    <w:rsid w:val="00F00728"/>
    <w:rsid w:val="00F00BF0"/>
    <w:rsid w:val="00F00D39"/>
    <w:rsid w:val="00F00EAF"/>
    <w:rsid w:val="00F0102D"/>
    <w:rsid w:val="00F0137E"/>
    <w:rsid w:val="00F0159D"/>
    <w:rsid w:val="00F02CBB"/>
    <w:rsid w:val="00F03219"/>
    <w:rsid w:val="00F04826"/>
    <w:rsid w:val="00F05C18"/>
    <w:rsid w:val="00F067B3"/>
    <w:rsid w:val="00F06C9C"/>
    <w:rsid w:val="00F0709F"/>
    <w:rsid w:val="00F07190"/>
    <w:rsid w:val="00F073D5"/>
    <w:rsid w:val="00F07FCE"/>
    <w:rsid w:val="00F10CC5"/>
    <w:rsid w:val="00F10DB5"/>
    <w:rsid w:val="00F10DBA"/>
    <w:rsid w:val="00F11230"/>
    <w:rsid w:val="00F11A3E"/>
    <w:rsid w:val="00F11F27"/>
    <w:rsid w:val="00F12296"/>
    <w:rsid w:val="00F1243B"/>
    <w:rsid w:val="00F12A4A"/>
    <w:rsid w:val="00F12EB5"/>
    <w:rsid w:val="00F13012"/>
    <w:rsid w:val="00F1313B"/>
    <w:rsid w:val="00F13402"/>
    <w:rsid w:val="00F14377"/>
    <w:rsid w:val="00F143AB"/>
    <w:rsid w:val="00F15056"/>
    <w:rsid w:val="00F16167"/>
    <w:rsid w:val="00F16213"/>
    <w:rsid w:val="00F1624B"/>
    <w:rsid w:val="00F16508"/>
    <w:rsid w:val="00F1702E"/>
    <w:rsid w:val="00F1756C"/>
    <w:rsid w:val="00F17896"/>
    <w:rsid w:val="00F17916"/>
    <w:rsid w:val="00F17D15"/>
    <w:rsid w:val="00F17F6C"/>
    <w:rsid w:val="00F20286"/>
    <w:rsid w:val="00F2069D"/>
    <w:rsid w:val="00F21085"/>
    <w:rsid w:val="00F21204"/>
    <w:rsid w:val="00F21786"/>
    <w:rsid w:val="00F2206E"/>
    <w:rsid w:val="00F22882"/>
    <w:rsid w:val="00F22AB8"/>
    <w:rsid w:val="00F22B4D"/>
    <w:rsid w:val="00F2320B"/>
    <w:rsid w:val="00F23AE5"/>
    <w:rsid w:val="00F24333"/>
    <w:rsid w:val="00F2481B"/>
    <w:rsid w:val="00F24CB0"/>
    <w:rsid w:val="00F24EDE"/>
    <w:rsid w:val="00F26C09"/>
    <w:rsid w:val="00F2703B"/>
    <w:rsid w:val="00F27896"/>
    <w:rsid w:val="00F27914"/>
    <w:rsid w:val="00F27D44"/>
    <w:rsid w:val="00F312F1"/>
    <w:rsid w:val="00F31312"/>
    <w:rsid w:val="00F31D4C"/>
    <w:rsid w:val="00F324FB"/>
    <w:rsid w:val="00F32759"/>
    <w:rsid w:val="00F32953"/>
    <w:rsid w:val="00F32DD6"/>
    <w:rsid w:val="00F33F30"/>
    <w:rsid w:val="00F3447D"/>
    <w:rsid w:val="00F34727"/>
    <w:rsid w:val="00F349CF"/>
    <w:rsid w:val="00F34B41"/>
    <w:rsid w:val="00F35027"/>
    <w:rsid w:val="00F36254"/>
    <w:rsid w:val="00F3669E"/>
    <w:rsid w:val="00F36BCC"/>
    <w:rsid w:val="00F3742B"/>
    <w:rsid w:val="00F3788F"/>
    <w:rsid w:val="00F37D70"/>
    <w:rsid w:val="00F4049B"/>
    <w:rsid w:val="00F40BF3"/>
    <w:rsid w:val="00F40FEC"/>
    <w:rsid w:val="00F412B3"/>
    <w:rsid w:val="00F41FDB"/>
    <w:rsid w:val="00F42084"/>
    <w:rsid w:val="00F420DE"/>
    <w:rsid w:val="00F42246"/>
    <w:rsid w:val="00F43116"/>
    <w:rsid w:val="00F4455D"/>
    <w:rsid w:val="00F44B78"/>
    <w:rsid w:val="00F44BB5"/>
    <w:rsid w:val="00F44C3C"/>
    <w:rsid w:val="00F44CBB"/>
    <w:rsid w:val="00F44E37"/>
    <w:rsid w:val="00F45FD6"/>
    <w:rsid w:val="00F468C2"/>
    <w:rsid w:val="00F47141"/>
    <w:rsid w:val="00F47E67"/>
    <w:rsid w:val="00F507EC"/>
    <w:rsid w:val="00F5177E"/>
    <w:rsid w:val="00F51EA3"/>
    <w:rsid w:val="00F52494"/>
    <w:rsid w:val="00F53147"/>
    <w:rsid w:val="00F532EB"/>
    <w:rsid w:val="00F53A57"/>
    <w:rsid w:val="00F53B12"/>
    <w:rsid w:val="00F53CD9"/>
    <w:rsid w:val="00F54202"/>
    <w:rsid w:val="00F54925"/>
    <w:rsid w:val="00F55A3C"/>
    <w:rsid w:val="00F55EC8"/>
    <w:rsid w:val="00F56A6B"/>
    <w:rsid w:val="00F56CDB"/>
    <w:rsid w:val="00F56D63"/>
    <w:rsid w:val="00F57A4B"/>
    <w:rsid w:val="00F600F0"/>
    <w:rsid w:val="00F60603"/>
    <w:rsid w:val="00F609A9"/>
    <w:rsid w:val="00F60ACD"/>
    <w:rsid w:val="00F60BC3"/>
    <w:rsid w:val="00F60E7D"/>
    <w:rsid w:val="00F61037"/>
    <w:rsid w:val="00F61203"/>
    <w:rsid w:val="00F6145C"/>
    <w:rsid w:val="00F61922"/>
    <w:rsid w:val="00F61ADB"/>
    <w:rsid w:val="00F62AF6"/>
    <w:rsid w:val="00F62D61"/>
    <w:rsid w:val="00F6314C"/>
    <w:rsid w:val="00F64304"/>
    <w:rsid w:val="00F64D21"/>
    <w:rsid w:val="00F65190"/>
    <w:rsid w:val="00F651A8"/>
    <w:rsid w:val="00F65565"/>
    <w:rsid w:val="00F6574B"/>
    <w:rsid w:val="00F66360"/>
    <w:rsid w:val="00F67789"/>
    <w:rsid w:val="00F67ABA"/>
    <w:rsid w:val="00F705D1"/>
    <w:rsid w:val="00F708B5"/>
    <w:rsid w:val="00F70CFE"/>
    <w:rsid w:val="00F718B3"/>
    <w:rsid w:val="00F71E02"/>
    <w:rsid w:val="00F72324"/>
    <w:rsid w:val="00F730EE"/>
    <w:rsid w:val="00F7321E"/>
    <w:rsid w:val="00F73A7D"/>
    <w:rsid w:val="00F73B82"/>
    <w:rsid w:val="00F74CC4"/>
    <w:rsid w:val="00F75126"/>
    <w:rsid w:val="00F76112"/>
    <w:rsid w:val="00F76215"/>
    <w:rsid w:val="00F767D9"/>
    <w:rsid w:val="00F76F19"/>
    <w:rsid w:val="00F77793"/>
    <w:rsid w:val="00F77E25"/>
    <w:rsid w:val="00F805C2"/>
    <w:rsid w:val="00F80C99"/>
    <w:rsid w:val="00F83187"/>
    <w:rsid w:val="00F83364"/>
    <w:rsid w:val="00F835E8"/>
    <w:rsid w:val="00F83722"/>
    <w:rsid w:val="00F83802"/>
    <w:rsid w:val="00F83D52"/>
    <w:rsid w:val="00F8487A"/>
    <w:rsid w:val="00F84FD6"/>
    <w:rsid w:val="00F856C8"/>
    <w:rsid w:val="00F8580B"/>
    <w:rsid w:val="00F867EC"/>
    <w:rsid w:val="00F86B5F"/>
    <w:rsid w:val="00F86DD1"/>
    <w:rsid w:val="00F87137"/>
    <w:rsid w:val="00F87427"/>
    <w:rsid w:val="00F87A46"/>
    <w:rsid w:val="00F908A4"/>
    <w:rsid w:val="00F91619"/>
    <w:rsid w:val="00F91B2B"/>
    <w:rsid w:val="00F91F42"/>
    <w:rsid w:val="00F920E8"/>
    <w:rsid w:val="00F9214D"/>
    <w:rsid w:val="00F926EB"/>
    <w:rsid w:val="00F94049"/>
    <w:rsid w:val="00F94139"/>
    <w:rsid w:val="00F948CA"/>
    <w:rsid w:val="00F94D9D"/>
    <w:rsid w:val="00F95427"/>
    <w:rsid w:val="00F954AD"/>
    <w:rsid w:val="00F9555E"/>
    <w:rsid w:val="00F96489"/>
    <w:rsid w:val="00F96646"/>
    <w:rsid w:val="00F96824"/>
    <w:rsid w:val="00F96EB8"/>
    <w:rsid w:val="00F971B4"/>
    <w:rsid w:val="00F97802"/>
    <w:rsid w:val="00FA0906"/>
    <w:rsid w:val="00FA0A88"/>
    <w:rsid w:val="00FA1A75"/>
    <w:rsid w:val="00FA1F6F"/>
    <w:rsid w:val="00FA1FB4"/>
    <w:rsid w:val="00FA2E0B"/>
    <w:rsid w:val="00FA2F96"/>
    <w:rsid w:val="00FA3032"/>
    <w:rsid w:val="00FA3194"/>
    <w:rsid w:val="00FA3570"/>
    <w:rsid w:val="00FA3DC0"/>
    <w:rsid w:val="00FA43E2"/>
    <w:rsid w:val="00FA48C9"/>
    <w:rsid w:val="00FA5B84"/>
    <w:rsid w:val="00FA5B97"/>
    <w:rsid w:val="00FA635C"/>
    <w:rsid w:val="00FA74C4"/>
    <w:rsid w:val="00FA7E43"/>
    <w:rsid w:val="00FB0DF0"/>
    <w:rsid w:val="00FB0F68"/>
    <w:rsid w:val="00FB2092"/>
    <w:rsid w:val="00FB2858"/>
    <w:rsid w:val="00FB2A49"/>
    <w:rsid w:val="00FB2CE3"/>
    <w:rsid w:val="00FB322F"/>
    <w:rsid w:val="00FB33B4"/>
    <w:rsid w:val="00FB3C2C"/>
    <w:rsid w:val="00FB3D49"/>
    <w:rsid w:val="00FB40D5"/>
    <w:rsid w:val="00FB449A"/>
    <w:rsid w:val="00FB44F2"/>
    <w:rsid w:val="00FB4B5E"/>
    <w:rsid w:val="00FB4EB3"/>
    <w:rsid w:val="00FB53D9"/>
    <w:rsid w:val="00FB5797"/>
    <w:rsid w:val="00FC010E"/>
    <w:rsid w:val="00FC0166"/>
    <w:rsid w:val="00FC03CD"/>
    <w:rsid w:val="00FC0519"/>
    <w:rsid w:val="00FC05E1"/>
    <w:rsid w:val="00FC0646"/>
    <w:rsid w:val="00FC1034"/>
    <w:rsid w:val="00FC1954"/>
    <w:rsid w:val="00FC1D28"/>
    <w:rsid w:val="00FC1FEB"/>
    <w:rsid w:val="00FC26B3"/>
    <w:rsid w:val="00FC28AA"/>
    <w:rsid w:val="00FC2ED7"/>
    <w:rsid w:val="00FC3121"/>
    <w:rsid w:val="00FC370A"/>
    <w:rsid w:val="00FC44B0"/>
    <w:rsid w:val="00FC48B9"/>
    <w:rsid w:val="00FC54A5"/>
    <w:rsid w:val="00FC6142"/>
    <w:rsid w:val="00FC65E2"/>
    <w:rsid w:val="00FC670F"/>
    <w:rsid w:val="00FC68B7"/>
    <w:rsid w:val="00FC68D4"/>
    <w:rsid w:val="00FC6D92"/>
    <w:rsid w:val="00FC75E3"/>
    <w:rsid w:val="00FD0144"/>
    <w:rsid w:val="00FD0CA5"/>
    <w:rsid w:val="00FD0CE2"/>
    <w:rsid w:val="00FD1014"/>
    <w:rsid w:val="00FD1C2F"/>
    <w:rsid w:val="00FD1E4C"/>
    <w:rsid w:val="00FD1EA1"/>
    <w:rsid w:val="00FD2598"/>
    <w:rsid w:val="00FD2B4D"/>
    <w:rsid w:val="00FD2D36"/>
    <w:rsid w:val="00FD2E3F"/>
    <w:rsid w:val="00FD364B"/>
    <w:rsid w:val="00FD371C"/>
    <w:rsid w:val="00FD3E42"/>
    <w:rsid w:val="00FD3F47"/>
    <w:rsid w:val="00FD4AD4"/>
    <w:rsid w:val="00FD5793"/>
    <w:rsid w:val="00FD6240"/>
    <w:rsid w:val="00FD690A"/>
    <w:rsid w:val="00FD7030"/>
    <w:rsid w:val="00FD72DB"/>
    <w:rsid w:val="00FD778D"/>
    <w:rsid w:val="00FD7999"/>
    <w:rsid w:val="00FD7E87"/>
    <w:rsid w:val="00FE050D"/>
    <w:rsid w:val="00FE079F"/>
    <w:rsid w:val="00FE0B13"/>
    <w:rsid w:val="00FE10DF"/>
    <w:rsid w:val="00FE1578"/>
    <w:rsid w:val="00FE1635"/>
    <w:rsid w:val="00FE1B20"/>
    <w:rsid w:val="00FE1BB7"/>
    <w:rsid w:val="00FE1E54"/>
    <w:rsid w:val="00FE250B"/>
    <w:rsid w:val="00FE2CC0"/>
    <w:rsid w:val="00FE317D"/>
    <w:rsid w:val="00FE3217"/>
    <w:rsid w:val="00FE3254"/>
    <w:rsid w:val="00FE33E8"/>
    <w:rsid w:val="00FE349D"/>
    <w:rsid w:val="00FE3FA5"/>
    <w:rsid w:val="00FE41C3"/>
    <w:rsid w:val="00FE42DE"/>
    <w:rsid w:val="00FE4609"/>
    <w:rsid w:val="00FE4A99"/>
    <w:rsid w:val="00FE618E"/>
    <w:rsid w:val="00FE639B"/>
    <w:rsid w:val="00FE6985"/>
    <w:rsid w:val="00FE6EBA"/>
    <w:rsid w:val="00FE729D"/>
    <w:rsid w:val="00FE745D"/>
    <w:rsid w:val="00FE7CE3"/>
    <w:rsid w:val="00FF1082"/>
    <w:rsid w:val="00FF1163"/>
    <w:rsid w:val="00FF2280"/>
    <w:rsid w:val="00FF257E"/>
    <w:rsid w:val="00FF2660"/>
    <w:rsid w:val="00FF2736"/>
    <w:rsid w:val="00FF2F21"/>
    <w:rsid w:val="00FF454F"/>
    <w:rsid w:val="00FF4BC3"/>
    <w:rsid w:val="00FF4F90"/>
    <w:rsid w:val="00FF5593"/>
    <w:rsid w:val="00FF587E"/>
    <w:rsid w:val="00FF635C"/>
    <w:rsid w:val="00FF6D2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B9D1A3"/>
  <w15:chartTrackingRefBased/>
  <w15:docId w15:val="{933A754F-59D2-4608-BFC2-260499270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qFormat="1"/>
    <w:lsdException w:name="footer" w:uiPriority="99"/>
    <w:lsdException w:name="caption" w:semiHidden="1" w:unhideWhenUsed="1" w:qFormat="1"/>
    <w:lsdException w:name="annotation reference" w:uiPriority="99"/>
    <w:lsdException w:name="Title" w:uiPriority="11" w:qFormat="1"/>
    <w:lsdException w:name="Default Paragraph Font" w:uiPriority="1"/>
    <w:lsdException w:name="Subtitle" w:uiPriority="12" w:qFormat="1"/>
    <w:lsdException w:name="Strong" w:uiPriority="22" w:qFormat="1"/>
    <w:lsdException w:name="Emphasis" w:uiPriority="20" w:qFormat="1"/>
    <w:lsdException w:name="Normal (Web)" w:uiPriority="99"/>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8"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nhideWhenUsed="1"/>
    <w:lsdException w:name="Smart Link" w:semiHidden="1" w:uiPriority="99" w:unhideWhenUsed="1"/>
  </w:latentStyles>
  <w:style w:type="paragraph" w:default="1" w:styleId="Normal">
    <w:name w:val="Normal"/>
    <w:qFormat/>
    <w:rsid w:val="00771D2C"/>
    <w:pPr>
      <w:spacing w:after="120"/>
    </w:pPr>
    <w:rPr>
      <w:rFonts w:eastAsiaTheme="minorHAnsi" w:cs="Arial"/>
      <w:szCs w:val="22"/>
      <w:lang w:val="en-GB"/>
    </w:rPr>
  </w:style>
  <w:style w:type="paragraph" w:styleId="Heading1">
    <w:name w:val="heading 1"/>
    <w:aliases w:val="Table_G"/>
    <w:next w:val="NumberedParas"/>
    <w:link w:val="Heading1Char"/>
    <w:qFormat/>
    <w:rsid w:val="00771D2C"/>
    <w:pPr>
      <w:keepNext/>
      <w:keepLines/>
      <w:numPr>
        <w:numId w:val="27"/>
      </w:numPr>
      <w:tabs>
        <w:tab w:val="right" w:pos="1134"/>
        <w:tab w:val="left" w:pos="1701"/>
      </w:tabs>
      <w:suppressAutoHyphens/>
      <w:spacing w:before="360" w:after="240" w:line="300" w:lineRule="exact"/>
      <w:ind w:left="2214" w:right="873" w:hanging="360"/>
      <w:outlineLvl w:val="0"/>
    </w:pPr>
    <w:rPr>
      <w:rFonts w:ascii="Calibri" w:eastAsia="Calibri" w:hAnsi="Calibri" w:cs="Arial"/>
      <w:b/>
      <w:sz w:val="28"/>
      <w:szCs w:val="22"/>
      <w:lang w:val="en-GB"/>
    </w:rPr>
  </w:style>
  <w:style w:type="paragraph" w:styleId="Heading2">
    <w:name w:val="heading 2"/>
    <w:next w:val="NumberedParas"/>
    <w:link w:val="Heading2Char"/>
    <w:unhideWhenUsed/>
    <w:qFormat/>
    <w:rsid w:val="00771D2C"/>
    <w:pPr>
      <w:keepNext/>
      <w:keepLines/>
      <w:numPr>
        <w:numId w:val="11"/>
      </w:numPr>
      <w:tabs>
        <w:tab w:val="right" w:pos="851"/>
        <w:tab w:val="left" w:pos="1701"/>
      </w:tabs>
      <w:suppressAutoHyphens/>
      <w:spacing w:before="360" w:after="240" w:line="270" w:lineRule="exact"/>
      <w:ind w:right="1134"/>
      <w:outlineLvl w:val="1"/>
    </w:pPr>
    <w:rPr>
      <w:rFonts w:asciiTheme="majorBidi" w:eastAsia="Calibri" w:hAnsiTheme="majorBidi" w:cs="Arial"/>
      <w:b/>
      <w:sz w:val="24"/>
      <w:szCs w:val="22"/>
      <w:lang w:val="en-GB"/>
    </w:rPr>
  </w:style>
  <w:style w:type="paragraph" w:styleId="Heading3">
    <w:name w:val="heading 3"/>
    <w:next w:val="NumberedParas"/>
    <w:link w:val="Heading3Char"/>
    <w:unhideWhenUsed/>
    <w:qFormat/>
    <w:rsid w:val="00771D2C"/>
    <w:pPr>
      <w:keepNext/>
      <w:tabs>
        <w:tab w:val="left" w:pos="1701"/>
      </w:tabs>
      <w:suppressAutoHyphens/>
      <w:spacing w:after="120" w:line="240" w:lineRule="atLeast"/>
      <w:ind w:left="828" w:right="828"/>
      <w:jc w:val="both"/>
      <w:outlineLvl w:val="2"/>
    </w:pPr>
    <w:rPr>
      <w:rFonts w:asciiTheme="majorBidi" w:eastAsia="Calibri" w:hAnsiTheme="majorBidi" w:cs="Arial"/>
      <w:b/>
      <w:szCs w:val="22"/>
      <w:lang w:val="en-GB"/>
    </w:rPr>
  </w:style>
  <w:style w:type="paragraph" w:styleId="Heading4">
    <w:name w:val="heading 4"/>
    <w:next w:val="NumberedParas"/>
    <w:link w:val="Heading4Char"/>
    <w:unhideWhenUsed/>
    <w:qFormat/>
    <w:rsid w:val="00771D2C"/>
    <w:pPr>
      <w:keepNext/>
      <w:tabs>
        <w:tab w:val="left" w:pos="1701"/>
      </w:tabs>
      <w:suppressAutoHyphens/>
      <w:spacing w:after="120" w:line="240" w:lineRule="atLeast"/>
      <w:ind w:left="828" w:right="828"/>
      <w:jc w:val="both"/>
      <w:outlineLvl w:val="3"/>
    </w:pPr>
    <w:rPr>
      <w:rFonts w:asciiTheme="majorBidi" w:eastAsia="Calibri" w:hAnsiTheme="majorBidi" w:cs="Arial"/>
      <w:bCs/>
      <w:i/>
      <w:iCs/>
      <w:szCs w:val="22"/>
      <w:lang w:val="en-GB"/>
    </w:rPr>
  </w:style>
  <w:style w:type="paragraph" w:styleId="Heading5">
    <w:name w:val="heading 5"/>
    <w:basedOn w:val="Heading4"/>
    <w:next w:val="NumberedParas"/>
    <w:link w:val="Heading5Char"/>
    <w:unhideWhenUsed/>
    <w:qFormat/>
    <w:rsid w:val="00771D2C"/>
    <w:pPr>
      <w:outlineLvl w:val="4"/>
    </w:pPr>
    <w:rPr>
      <w:i w:val="0"/>
      <w:iCs w:val="0"/>
      <w:u w:val="single"/>
    </w:rPr>
  </w:style>
  <w:style w:type="paragraph" w:styleId="Heading6">
    <w:name w:val="heading 6"/>
    <w:basedOn w:val="Normal"/>
    <w:next w:val="Normal"/>
    <w:link w:val="Heading6Char"/>
    <w:autoRedefine/>
    <w:unhideWhenUsed/>
    <w:qFormat/>
    <w:rsid w:val="00771D2C"/>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qFormat/>
    <w:rsid w:val="00DD66B3"/>
    <w:pPr>
      <w:outlineLvl w:val="6"/>
    </w:pPr>
  </w:style>
  <w:style w:type="paragraph" w:styleId="Heading8">
    <w:name w:val="heading 8"/>
    <w:basedOn w:val="Normal"/>
    <w:next w:val="Normal"/>
    <w:qFormat/>
    <w:rsid w:val="00DD66B3"/>
    <w:pPr>
      <w:outlineLvl w:val="7"/>
    </w:pPr>
  </w:style>
  <w:style w:type="paragraph" w:styleId="Heading9">
    <w:name w:val="heading 9"/>
    <w:basedOn w:val="Normal"/>
    <w:next w:val="Normal"/>
    <w:qFormat/>
    <w:rsid w:val="00DD66B3"/>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771D2C"/>
    <w:pPr>
      <w:ind w:left="1134" w:right="1134"/>
      <w:jc w:val="both"/>
    </w:pPr>
    <w:rPr>
      <w:lang w:val="x-none"/>
    </w:rPr>
  </w:style>
  <w:style w:type="paragraph" w:customStyle="1" w:styleId="HMG">
    <w:name w:val="_ H __M_G"/>
    <w:basedOn w:val="Normal"/>
    <w:next w:val="Normal"/>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rsid w:val="00E925AD"/>
    <w:rPr>
      <w:rFonts w:ascii="Times New Roman" w:hAnsi="Times New Roman"/>
      <w:sz w:val="18"/>
      <w:vertAlign w:val="superscript"/>
    </w:rPr>
  </w:style>
  <w:style w:type="character" w:styleId="FootnoteReference">
    <w:name w:val="footnote reference"/>
    <w:aliases w:val="4_G"/>
    <w:basedOn w:val="DefaultParagraphFont"/>
    <w:unhideWhenUsed/>
    <w:rsid w:val="00771D2C"/>
    <w:rPr>
      <w:vertAlign w:val="superscript"/>
    </w:rPr>
  </w:style>
  <w:style w:type="paragraph" w:styleId="FootnoteText">
    <w:name w:val="footnote text"/>
    <w:aliases w:val="5_G"/>
    <w:basedOn w:val="Normal"/>
    <w:link w:val="FootnoteTextChar"/>
    <w:unhideWhenUsed/>
    <w:rsid w:val="00771D2C"/>
    <w:rPr>
      <w:rFonts w:eastAsiaTheme="minorEastAsia" w:cs="Times New Roman"/>
      <w:szCs w:val="20"/>
      <w:lang w:eastAsia="zh-CN"/>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rsid w:val="00771D2C"/>
    <w:pPr>
      <w:numPr>
        <w:numId w:val="1"/>
      </w:numPr>
      <w:ind w:right="1134"/>
      <w:jc w:val="both"/>
    </w:pPr>
  </w:style>
  <w:style w:type="paragraph" w:styleId="EndnoteText">
    <w:name w:val="endnote text"/>
    <w:aliases w:val="2_G"/>
    <w:basedOn w:val="FootnoteText"/>
    <w:rsid w:val="00E925AD"/>
  </w:style>
  <w:style w:type="paragraph" w:customStyle="1" w:styleId="Bullet2G">
    <w:name w:val="_Bullet 2_G"/>
    <w:basedOn w:val="Normal"/>
    <w:rsid w:val="00771D2C"/>
    <w:pPr>
      <w:numPr>
        <w:numId w:val="2"/>
      </w:numPr>
      <w:ind w:right="1134"/>
      <w:jc w:val="both"/>
    </w:pPr>
  </w:style>
  <w:style w:type="paragraph" w:customStyle="1" w:styleId="H1G">
    <w:name w:val="_ H_1_G"/>
    <w:basedOn w:val="Normal"/>
    <w:next w:val="Normal"/>
    <w:rsid w:val="00DD66B3"/>
    <w:pPr>
      <w:keepNext/>
      <w:keepLines/>
      <w:tabs>
        <w:tab w:val="right" w:pos="851"/>
      </w:tabs>
      <w:spacing w:before="360" w:after="240" w:line="270" w:lineRule="exact"/>
      <w:ind w:left="1134" w:right="1134" w:hanging="1134"/>
    </w:pPr>
    <w:rPr>
      <w:b/>
    </w:rPr>
  </w:style>
  <w:style w:type="paragraph" w:customStyle="1" w:styleId="H23G">
    <w:name w:val="_ H_2/3_G"/>
    <w:basedOn w:val="Normal"/>
    <w:next w:val="Normal"/>
    <w:rsid w:val="00771D2C"/>
    <w:pPr>
      <w:keepNext/>
      <w:keepLines/>
      <w:tabs>
        <w:tab w:val="right" w:pos="851"/>
      </w:tabs>
      <w:spacing w:before="240" w:line="240" w:lineRule="exact"/>
      <w:ind w:left="1134" w:right="1134" w:hanging="1134"/>
    </w:pPr>
    <w:rPr>
      <w:b/>
    </w:rPr>
  </w:style>
  <w:style w:type="paragraph" w:customStyle="1" w:styleId="H4G">
    <w:name w:val="_ H_4_G"/>
    <w:basedOn w:val="Normal"/>
    <w:next w:val="Normal"/>
    <w:rsid w:val="00771D2C"/>
    <w:pPr>
      <w:keepNext/>
      <w:keepLines/>
      <w:tabs>
        <w:tab w:val="right" w:pos="851"/>
      </w:tabs>
      <w:spacing w:before="240" w:line="240" w:lineRule="exact"/>
      <w:ind w:left="1134" w:right="1134" w:hanging="1134"/>
    </w:pPr>
    <w:rPr>
      <w:i/>
    </w:rPr>
  </w:style>
  <w:style w:type="paragraph" w:customStyle="1" w:styleId="H56G">
    <w:name w:val="_ H_5/6_G"/>
    <w:basedOn w:val="Normal"/>
    <w:next w:val="Normal"/>
    <w:rsid w:val="00771D2C"/>
    <w:pPr>
      <w:keepNext/>
      <w:keepLines/>
      <w:tabs>
        <w:tab w:val="right" w:pos="851"/>
      </w:tabs>
      <w:spacing w:before="240" w:line="240" w:lineRule="exact"/>
      <w:ind w:left="1134" w:right="1134" w:hanging="1134"/>
    </w:pPr>
  </w:style>
  <w:style w:type="character" w:styleId="Hyperlink">
    <w:name w:val="Hyperlink"/>
    <w:basedOn w:val="DefaultParagraphFont"/>
    <w:unhideWhenUsed/>
    <w:rsid w:val="00771D2C"/>
    <w:rPr>
      <w:color w:val="0563C1" w:themeColor="hyperlink"/>
      <w:u w:val="single"/>
    </w:rPr>
  </w:style>
  <w:style w:type="paragraph" w:styleId="Footer">
    <w:name w:val="footer"/>
    <w:aliases w:val="3_G"/>
    <w:basedOn w:val="Normal"/>
    <w:link w:val="FooterChar"/>
    <w:uiPriority w:val="99"/>
    <w:unhideWhenUsed/>
    <w:rsid w:val="00771D2C"/>
    <w:pPr>
      <w:tabs>
        <w:tab w:val="center" w:pos="4513"/>
        <w:tab w:val="right" w:pos="9026"/>
      </w:tabs>
      <w:spacing w:after="0"/>
    </w:pPr>
  </w:style>
  <w:style w:type="paragraph" w:styleId="Header">
    <w:name w:val="header"/>
    <w:aliases w:val="6_G"/>
    <w:basedOn w:val="Normal"/>
    <w:link w:val="HeaderChar"/>
    <w:uiPriority w:val="99"/>
    <w:unhideWhenUsed/>
    <w:qFormat/>
    <w:rsid w:val="00771D2C"/>
    <w:pPr>
      <w:tabs>
        <w:tab w:val="center" w:pos="4513"/>
        <w:tab w:val="right" w:pos="9026"/>
      </w:tabs>
      <w:jc w:val="right"/>
    </w:pPr>
    <w:rPr>
      <w:rFonts w:asciiTheme="majorBidi" w:hAnsiTheme="majorBidi" w:cstheme="majorBidi"/>
      <w:szCs w:val="20"/>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semiHidden/>
    <w:rsid w:val="00E925AD"/>
    <w:rPr>
      <w:color w:val="auto"/>
      <w:u w:val="none"/>
    </w:rPr>
  </w:style>
  <w:style w:type="character" w:styleId="CommentReference">
    <w:name w:val="annotation reference"/>
    <w:basedOn w:val="DefaultParagraphFont"/>
    <w:uiPriority w:val="99"/>
    <w:unhideWhenUsed/>
    <w:rsid w:val="00771D2C"/>
    <w:rPr>
      <w:sz w:val="16"/>
      <w:szCs w:val="16"/>
    </w:rPr>
  </w:style>
  <w:style w:type="paragraph" w:styleId="CommentText">
    <w:name w:val="annotation text"/>
    <w:basedOn w:val="Normal"/>
    <w:link w:val="CommentTextChar"/>
    <w:uiPriority w:val="99"/>
    <w:unhideWhenUsed/>
    <w:rsid w:val="00771D2C"/>
    <w:rPr>
      <w:szCs w:val="20"/>
    </w:rPr>
  </w:style>
  <w:style w:type="paragraph" w:styleId="CommentSubject">
    <w:name w:val="annotation subject"/>
    <w:basedOn w:val="CommentText"/>
    <w:next w:val="CommentText"/>
    <w:link w:val="CommentSubjectChar"/>
    <w:uiPriority w:val="99"/>
    <w:semiHidden/>
    <w:unhideWhenUsed/>
    <w:rsid w:val="00771D2C"/>
    <w:rPr>
      <w:b/>
      <w:bCs/>
    </w:rPr>
  </w:style>
  <w:style w:type="paragraph" w:styleId="BalloonText">
    <w:name w:val="Balloon Text"/>
    <w:basedOn w:val="Normal"/>
    <w:link w:val="BalloonTextChar"/>
    <w:uiPriority w:val="99"/>
    <w:semiHidden/>
    <w:unhideWhenUsed/>
    <w:rsid w:val="00771D2C"/>
    <w:pPr>
      <w:spacing w:after="0"/>
    </w:pPr>
    <w:rPr>
      <w:rFonts w:ascii="Segoe UI" w:hAnsi="Segoe UI" w:cs="Segoe UI"/>
      <w:sz w:val="18"/>
      <w:szCs w:val="18"/>
    </w:rPr>
  </w:style>
  <w:style w:type="paragraph" w:customStyle="1" w:styleId="Default">
    <w:name w:val="Default"/>
    <w:rsid w:val="00771D2C"/>
    <w:pPr>
      <w:autoSpaceDE w:val="0"/>
      <w:autoSpaceDN w:val="0"/>
      <w:adjustRightInd w:val="0"/>
    </w:pPr>
    <w:rPr>
      <w:rFonts w:ascii="Calibri" w:eastAsiaTheme="minorHAnsi" w:hAnsi="Calibri" w:cs="Calibri"/>
      <w:color w:val="000000"/>
      <w:sz w:val="24"/>
      <w:szCs w:val="24"/>
      <w:lang w:val="en-GB"/>
    </w:rPr>
  </w:style>
  <w:style w:type="paragraph" w:customStyle="1" w:styleId="CM4">
    <w:name w:val="CM4"/>
    <w:basedOn w:val="Default"/>
    <w:next w:val="Default"/>
    <w:rsid w:val="00A35C0F"/>
    <w:rPr>
      <w:rFonts w:cs="Times New Roman"/>
      <w:color w:val="auto"/>
    </w:rPr>
  </w:style>
  <w:style w:type="character" w:customStyle="1" w:styleId="dnindex">
    <w:name w:val="dnindex"/>
    <w:basedOn w:val="DefaultParagraphFont"/>
    <w:rsid w:val="009B08B5"/>
  </w:style>
  <w:style w:type="character" w:customStyle="1" w:styleId="labset">
    <w:name w:val="labset"/>
    <w:basedOn w:val="DefaultParagraphFont"/>
    <w:rsid w:val="009B08B5"/>
  </w:style>
  <w:style w:type="character" w:customStyle="1" w:styleId="ital-inline">
    <w:name w:val="ital-inline"/>
    <w:basedOn w:val="DefaultParagraphFont"/>
    <w:rsid w:val="009B08B5"/>
  </w:style>
  <w:style w:type="character" w:customStyle="1" w:styleId="apple-style-span">
    <w:name w:val="apple-style-span"/>
    <w:basedOn w:val="DefaultParagraphFont"/>
    <w:rsid w:val="002140E7"/>
  </w:style>
  <w:style w:type="paragraph" w:styleId="ListParagraph">
    <w:name w:val="List Paragraph"/>
    <w:basedOn w:val="Normal"/>
    <w:uiPriority w:val="34"/>
    <w:qFormat/>
    <w:rsid w:val="00771D2C"/>
    <w:pPr>
      <w:ind w:left="720"/>
      <w:contextualSpacing/>
    </w:pPr>
  </w:style>
  <w:style w:type="character" w:customStyle="1" w:styleId="FontStyle60">
    <w:name w:val="Font Style60"/>
    <w:rsid w:val="00535807"/>
    <w:rPr>
      <w:rFonts w:ascii="Times New Roman" w:hAnsi="Times New Roman" w:cs="Times New Roman"/>
      <w:sz w:val="20"/>
    </w:rPr>
  </w:style>
  <w:style w:type="paragraph" w:customStyle="1" w:styleId="Style3">
    <w:name w:val="Style3"/>
    <w:basedOn w:val="Normal"/>
    <w:rsid w:val="00DD66B3"/>
    <w:pPr>
      <w:widowControl w:val="0"/>
      <w:autoSpaceDE w:val="0"/>
      <w:spacing w:line="220" w:lineRule="exact"/>
      <w:ind w:firstLine="475"/>
      <w:jc w:val="both"/>
    </w:pPr>
    <w:rPr>
      <w:lang w:val="uk-UA" w:eastAsia="ar-SA"/>
    </w:rPr>
  </w:style>
  <w:style w:type="character" w:customStyle="1" w:styleId="CommentTextChar">
    <w:name w:val="Comment Text Char"/>
    <w:basedOn w:val="DefaultParagraphFont"/>
    <w:link w:val="CommentText"/>
    <w:uiPriority w:val="99"/>
    <w:rsid w:val="00BD2B7A"/>
    <w:rPr>
      <w:rFonts w:eastAsiaTheme="minorHAnsi" w:cs="Arial"/>
      <w:lang w:val="en-GB"/>
    </w:rPr>
  </w:style>
  <w:style w:type="character" w:styleId="Strong">
    <w:name w:val="Strong"/>
    <w:basedOn w:val="DefaultParagraphFont"/>
    <w:uiPriority w:val="22"/>
    <w:qFormat/>
    <w:rsid w:val="00BD2B7A"/>
    <w:rPr>
      <w:b/>
      <w:bCs/>
    </w:rPr>
  </w:style>
  <w:style w:type="character" w:styleId="Emphasis">
    <w:name w:val="Emphasis"/>
    <w:basedOn w:val="DefaultParagraphFont"/>
    <w:uiPriority w:val="20"/>
    <w:qFormat/>
    <w:rsid w:val="00BD2B7A"/>
    <w:rPr>
      <w:i/>
      <w:iCs/>
    </w:rPr>
  </w:style>
  <w:style w:type="character" w:customStyle="1" w:styleId="st">
    <w:name w:val="st"/>
    <w:rsid w:val="006B3ED4"/>
  </w:style>
  <w:style w:type="paragraph" w:customStyle="1" w:styleId="legclearfix">
    <w:name w:val="legclearfix"/>
    <w:basedOn w:val="Normal"/>
    <w:rsid w:val="00DD66B3"/>
    <w:pPr>
      <w:spacing w:before="100" w:beforeAutospacing="1" w:after="100" w:afterAutospacing="1"/>
    </w:pPr>
    <w:rPr>
      <w:lang w:val="fr-FR" w:eastAsia="fr-FR"/>
    </w:rPr>
  </w:style>
  <w:style w:type="character" w:customStyle="1" w:styleId="legds">
    <w:name w:val="legds"/>
    <w:rsid w:val="00F16213"/>
  </w:style>
  <w:style w:type="character" w:customStyle="1" w:styleId="apple-converted-space">
    <w:name w:val="apple-converted-space"/>
    <w:rsid w:val="00C336C2"/>
  </w:style>
  <w:style w:type="paragraph" w:styleId="NormalWeb">
    <w:name w:val="Normal (Web)"/>
    <w:basedOn w:val="Normal"/>
    <w:uiPriority w:val="99"/>
    <w:unhideWhenUsed/>
    <w:rsid w:val="00DD66B3"/>
    <w:pPr>
      <w:spacing w:before="100" w:beforeAutospacing="1" w:after="100" w:afterAutospacing="1"/>
    </w:pPr>
    <w:rPr>
      <w:lang w:val="fr-FR" w:eastAsia="fr-FR"/>
    </w:rPr>
  </w:style>
  <w:style w:type="character" w:customStyle="1" w:styleId="SingleTxtGChar">
    <w:name w:val="_ Single Txt_G Char"/>
    <w:link w:val="SingleTxtG"/>
    <w:locked/>
    <w:rsid w:val="00976D18"/>
    <w:rPr>
      <w:rFonts w:eastAsiaTheme="minorHAnsi" w:cs="Arial"/>
      <w:szCs w:val="22"/>
      <w:lang w:val="x-none"/>
    </w:rPr>
  </w:style>
  <w:style w:type="character" w:customStyle="1" w:styleId="FootnoteTextChar">
    <w:name w:val="Footnote Text Char"/>
    <w:aliases w:val="5_G Char"/>
    <w:basedOn w:val="DefaultParagraphFont"/>
    <w:link w:val="FootnoteText"/>
    <w:rsid w:val="00BD2B7A"/>
    <w:rPr>
      <w:rFonts w:eastAsiaTheme="minorEastAsia"/>
      <w:lang w:val="en-GB" w:eastAsia="zh-CN"/>
    </w:rPr>
  </w:style>
  <w:style w:type="character" w:customStyle="1" w:styleId="highlight">
    <w:name w:val="highlight"/>
    <w:basedOn w:val="DefaultParagraphFont"/>
    <w:rsid w:val="00471092"/>
  </w:style>
  <w:style w:type="paragraph" w:customStyle="1" w:styleId="c02alineaalta">
    <w:name w:val="c02alineaalta"/>
    <w:basedOn w:val="Normal"/>
    <w:rsid w:val="00DD66B3"/>
    <w:pPr>
      <w:spacing w:before="100" w:beforeAutospacing="1" w:after="100" w:afterAutospacing="1"/>
    </w:pPr>
    <w:rPr>
      <w:lang w:eastAsia="en-GB"/>
    </w:rPr>
  </w:style>
  <w:style w:type="paragraph" w:customStyle="1" w:styleId="c19centre">
    <w:name w:val="c19centre"/>
    <w:basedOn w:val="Normal"/>
    <w:rsid w:val="00DD66B3"/>
    <w:pPr>
      <w:spacing w:before="100" w:beforeAutospacing="1" w:after="100" w:afterAutospacing="1"/>
    </w:pPr>
    <w:rPr>
      <w:lang w:eastAsia="en-GB"/>
    </w:rPr>
  </w:style>
  <w:style w:type="paragraph" w:styleId="Revision">
    <w:name w:val="Revision"/>
    <w:hidden/>
    <w:uiPriority w:val="99"/>
    <w:semiHidden/>
    <w:rsid w:val="007C254C"/>
    <w:rPr>
      <w:lang w:val="en-GB"/>
    </w:rPr>
  </w:style>
  <w:style w:type="character" w:customStyle="1" w:styleId="UnresolvedMention1">
    <w:name w:val="Unresolved Mention1"/>
    <w:basedOn w:val="DefaultParagraphFont"/>
    <w:uiPriority w:val="99"/>
    <w:semiHidden/>
    <w:unhideWhenUsed/>
    <w:rsid w:val="0062192F"/>
    <w:rPr>
      <w:color w:val="808080"/>
      <w:shd w:val="clear" w:color="auto" w:fill="E6E6E6"/>
    </w:rPr>
  </w:style>
  <w:style w:type="character" w:customStyle="1" w:styleId="HeaderChar">
    <w:name w:val="Header Char"/>
    <w:aliases w:val="6_G Char"/>
    <w:basedOn w:val="DefaultParagraphFont"/>
    <w:link w:val="Header"/>
    <w:uiPriority w:val="99"/>
    <w:locked/>
    <w:rsid w:val="00BD2B7A"/>
    <w:rPr>
      <w:rFonts w:asciiTheme="majorBidi" w:eastAsiaTheme="minorHAnsi" w:hAnsiTheme="majorBidi" w:cstheme="majorBidi"/>
      <w:lang w:val="en-GB"/>
    </w:rPr>
  </w:style>
  <w:style w:type="character" w:customStyle="1" w:styleId="UnresolvedMention2">
    <w:name w:val="Unresolved Mention2"/>
    <w:basedOn w:val="DefaultParagraphFont"/>
    <w:unhideWhenUsed/>
    <w:rsid w:val="00771D2C"/>
    <w:rPr>
      <w:color w:val="605E5C"/>
      <w:shd w:val="clear" w:color="auto" w:fill="E1DFDD"/>
    </w:rPr>
  </w:style>
  <w:style w:type="character" w:customStyle="1" w:styleId="FooterChar">
    <w:name w:val="Footer Char"/>
    <w:aliases w:val="3_G Char"/>
    <w:basedOn w:val="DefaultParagraphFont"/>
    <w:link w:val="Footer"/>
    <w:uiPriority w:val="99"/>
    <w:rsid w:val="00BD2B7A"/>
    <w:rPr>
      <w:rFonts w:eastAsiaTheme="minorHAnsi" w:cs="Arial"/>
      <w:szCs w:val="22"/>
      <w:lang w:val="en-GB"/>
    </w:rPr>
  </w:style>
  <w:style w:type="character" w:customStyle="1" w:styleId="BalloonTextChar">
    <w:name w:val="Balloon Text Char"/>
    <w:basedOn w:val="DefaultParagraphFont"/>
    <w:link w:val="BalloonText"/>
    <w:uiPriority w:val="99"/>
    <w:semiHidden/>
    <w:rsid w:val="00BD2B7A"/>
    <w:rPr>
      <w:rFonts w:ascii="Segoe UI" w:eastAsiaTheme="minorHAnsi" w:hAnsi="Segoe UI" w:cs="Segoe UI"/>
      <w:sz w:val="18"/>
      <w:szCs w:val="18"/>
      <w:lang w:val="en-GB"/>
    </w:rPr>
  </w:style>
  <w:style w:type="character" w:customStyle="1" w:styleId="CommentSubjectChar">
    <w:name w:val="Comment Subject Char"/>
    <w:basedOn w:val="CommentTextChar"/>
    <w:link w:val="CommentSubject"/>
    <w:uiPriority w:val="99"/>
    <w:semiHidden/>
    <w:rsid w:val="00BD2B7A"/>
    <w:rPr>
      <w:rFonts w:eastAsiaTheme="minorHAnsi" w:cs="Arial"/>
      <w:b/>
      <w:bCs/>
      <w:lang w:val="en-GB"/>
    </w:rPr>
  </w:style>
  <w:style w:type="paragraph" w:styleId="Title">
    <w:name w:val="Title"/>
    <w:next w:val="NumberedParas"/>
    <w:link w:val="TitleChar"/>
    <w:uiPriority w:val="11"/>
    <w:qFormat/>
    <w:rsid w:val="00BD2B7A"/>
    <w:pPr>
      <w:keepNext/>
      <w:keepLines/>
      <w:tabs>
        <w:tab w:val="right" w:pos="851"/>
        <w:tab w:val="left" w:pos="1701"/>
      </w:tabs>
      <w:suppressAutoHyphens/>
      <w:spacing w:before="360" w:after="240" w:line="300" w:lineRule="exact"/>
      <w:ind w:left="1134" w:right="1134"/>
      <w:jc w:val="center"/>
    </w:pPr>
    <w:rPr>
      <w:rFonts w:asciiTheme="majorBidi" w:eastAsia="Calibri" w:hAnsiTheme="majorBidi" w:cs="Arial"/>
      <w:b/>
      <w:sz w:val="28"/>
      <w:szCs w:val="22"/>
      <w:lang w:val="en-GB"/>
    </w:rPr>
  </w:style>
  <w:style w:type="character" w:customStyle="1" w:styleId="TitleChar">
    <w:name w:val="Title Char"/>
    <w:basedOn w:val="DefaultParagraphFont"/>
    <w:link w:val="Title"/>
    <w:uiPriority w:val="11"/>
    <w:rsid w:val="00BD2B7A"/>
    <w:rPr>
      <w:rFonts w:asciiTheme="majorBidi" w:eastAsia="Calibri" w:hAnsiTheme="majorBidi" w:cs="Arial"/>
      <w:b/>
      <w:sz w:val="28"/>
      <w:szCs w:val="22"/>
      <w:lang w:val="en-GB"/>
    </w:rPr>
  </w:style>
  <w:style w:type="character" w:customStyle="1" w:styleId="Heading1Char">
    <w:name w:val="Heading 1 Char"/>
    <w:aliases w:val="Table_G Char"/>
    <w:link w:val="Heading1"/>
    <w:rsid w:val="00BD2B7A"/>
    <w:rPr>
      <w:rFonts w:ascii="Calibri" w:eastAsia="Calibri" w:hAnsi="Calibri" w:cs="Arial"/>
      <w:b/>
      <w:sz w:val="28"/>
      <w:szCs w:val="22"/>
      <w:lang w:val="en-GB"/>
    </w:rPr>
  </w:style>
  <w:style w:type="character" w:customStyle="1" w:styleId="Heading2Char">
    <w:name w:val="Heading 2 Char"/>
    <w:basedOn w:val="DefaultParagraphFont"/>
    <w:link w:val="Heading2"/>
    <w:rsid w:val="00BD2B7A"/>
    <w:rPr>
      <w:rFonts w:asciiTheme="majorBidi" w:eastAsia="Calibri" w:hAnsiTheme="majorBidi" w:cs="Arial"/>
      <w:b/>
      <w:sz w:val="24"/>
      <w:szCs w:val="22"/>
      <w:lang w:val="en-GB"/>
    </w:rPr>
  </w:style>
  <w:style w:type="character" w:customStyle="1" w:styleId="Heading3Char">
    <w:name w:val="Heading 3 Char"/>
    <w:basedOn w:val="DefaultParagraphFont"/>
    <w:link w:val="Heading3"/>
    <w:rsid w:val="00BD2B7A"/>
    <w:rPr>
      <w:rFonts w:asciiTheme="majorBidi" w:eastAsia="Calibri" w:hAnsiTheme="majorBidi" w:cs="Arial"/>
      <w:b/>
      <w:szCs w:val="22"/>
      <w:lang w:val="en-GB"/>
    </w:rPr>
  </w:style>
  <w:style w:type="character" w:customStyle="1" w:styleId="Heading4Char">
    <w:name w:val="Heading 4 Char"/>
    <w:basedOn w:val="DefaultParagraphFont"/>
    <w:link w:val="Heading4"/>
    <w:rsid w:val="00BD2B7A"/>
    <w:rPr>
      <w:rFonts w:asciiTheme="majorBidi" w:eastAsia="Calibri" w:hAnsiTheme="majorBidi" w:cs="Arial"/>
      <w:bCs/>
      <w:i/>
      <w:iCs/>
      <w:szCs w:val="22"/>
      <w:lang w:val="en-GB"/>
    </w:rPr>
  </w:style>
  <w:style w:type="paragraph" w:customStyle="1" w:styleId="Footnotes">
    <w:name w:val="Footnotes"/>
    <w:link w:val="FootnotesChar"/>
    <w:qFormat/>
    <w:rsid w:val="00BD2B7A"/>
    <w:pPr>
      <w:ind w:left="1134"/>
    </w:pPr>
    <w:rPr>
      <w:rFonts w:asciiTheme="majorBidi" w:eastAsia="Calibri" w:hAnsiTheme="majorBidi" w:cs="Arial"/>
      <w:sz w:val="18"/>
      <w:lang w:val="en-GB"/>
    </w:rPr>
  </w:style>
  <w:style w:type="character" w:customStyle="1" w:styleId="FootnotesChar">
    <w:name w:val="Footnotes Char"/>
    <w:basedOn w:val="DefaultParagraphFont"/>
    <w:link w:val="Footnotes"/>
    <w:rsid w:val="00BD2B7A"/>
    <w:rPr>
      <w:rFonts w:asciiTheme="majorBidi" w:eastAsia="Calibri" w:hAnsiTheme="majorBidi" w:cs="Arial"/>
      <w:sz w:val="18"/>
      <w:lang w:val="en-GB"/>
    </w:rPr>
  </w:style>
  <w:style w:type="paragraph" w:customStyle="1" w:styleId="NumberedParas">
    <w:name w:val="Numbered Paras"/>
    <w:basedOn w:val="Normal"/>
    <w:link w:val="NumberedParasChar"/>
    <w:qFormat/>
    <w:rsid w:val="00BD2B7A"/>
    <w:pPr>
      <w:numPr>
        <w:numId w:val="12"/>
      </w:numPr>
      <w:tabs>
        <w:tab w:val="num" w:pos="720"/>
        <w:tab w:val="left" w:pos="1701"/>
      </w:tabs>
      <w:suppressAutoHyphens/>
      <w:adjustRightInd w:val="0"/>
      <w:snapToGrid w:val="0"/>
      <w:spacing w:line="240" w:lineRule="atLeast"/>
      <w:ind w:left="828" w:right="828" w:firstLine="0"/>
      <w:jc w:val="lowKashida"/>
    </w:pPr>
    <w:rPr>
      <w:rFonts w:asciiTheme="majorBidi" w:eastAsia="Calibri" w:hAnsiTheme="majorBidi"/>
      <w:color w:val="000000" w:themeColor="text1"/>
    </w:rPr>
  </w:style>
  <w:style w:type="character" w:customStyle="1" w:styleId="NumberedParasChar">
    <w:name w:val="Numbered Paras Char"/>
    <w:basedOn w:val="DefaultParagraphFont"/>
    <w:link w:val="NumberedParas"/>
    <w:rsid w:val="00BD2B7A"/>
    <w:rPr>
      <w:rFonts w:asciiTheme="majorBidi" w:eastAsia="Calibri" w:hAnsiTheme="majorBidi" w:cs="Arial"/>
      <w:color w:val="000000" w:themeColor="text1"/>
      <w:szCs w:val="22"/>
      <w:lang w:val="en-GB"/>
    </w:rPr>
  </w:style>
  <w:style w:type="character" w:styleId="SubtleEmphasis">
    <w:name w:val="Subtle Emphasis"/>
    <w:basedOn w:val="DefaultParagraphFont"/>
    <w:uiPriority w:val="19"/>
    <w:rsid w:val="00BD2B7A"/>
    <w:rPr>
      <w:i/>
      <w:iCs/>
      <w:color w:val="404040" w:themeColor="text1" w:themeTint="BF"/>
    </w:rPr>
  </w:style>
  <w:style w:type="character" w:styleId="IntenseEmphasis">
    <w:name w:val="Intense Emphasis"/>
    <w:basedOn w:val="DefaultParagraphFont"/>
    <w:uiPriority w:val="21"/>
    <w:rsid w:val="00BD2B7A"/>
    <w:rPr>
      <w:i/>
      <w:iCs/>
      <w:color w:val="5B9BD5" w:themeColor="accent1"/>
    </w:rPr>
  </w:style>
  <w:style w:type="paragraph" w:styleId="Quote">
    <w:name w:val="Quote"/>
    <w:link w:val="QuoteChar"/>
    <w:uiPriority w:val="8"/>
    <w:qFormat/>
    <w:rsid w:val="00BD2B7A"/>
    <w:pPr>
      <w:spacing w:before="200" w:after="160"/>
      <w:ind w:left="1395" w:right="828"/>
      <w:jc w:val="both"/>
    </w:pPr>
    <w:rPr>
      <w:rFonts w:eastAsiaTheme="minorHAnsi" w:cs="Arial"/>
      <w:iCs/>
      <w:szCs w:val="22"/>
      <w:lang w:val="en-GB"/>
    </w:rPr>
  </w:style>
  <w:style w:type="character" w:customStyle="1" w:styleId="QuoteChar">
    <w:name w:val="Quote Char"/>
    <w:basedOn w:val="DefaultParagraphFont"/>
    <w:link w:val="Quote"/>
    <w:uiPriority w:val="8"/>
    <w:rsid w:val="00BD2B7A"/>
    <w:rPr>
      <w:rFonts w:eastAsiaTheme="minorHAnsi" w:cs="Arial"/>
      <w:iCs/>
      <w:szCs w:val="22"/>
      <w:lang w:val="en-GB"/>
    </w:rPr>
  </w:style>
  <w:style w:type="paragraph" w:styleId="IntenseQuote">
    <w:name w:val="Intense Quote"/>
    <w:basedOn w:val="Normal"/>
    <w:next w:val="Normal"/>
    <w:link w:val="IntenseQuoteChar"/>
    <w:uiPriority w:val="30"/>
    <w:rsid w:val="00BD2B7A"/>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BD2B7A"/>
    <w:rPr>
      <w:rFonts w:eastAsiaTheme="minorHAnsi" w:cs="Arial"/>
      <w:i/>
      <w:iCs/>
      <w:color w:val="5B9BD5" w:themeColor="accent1"/>
      <w:szCs w:val="22"/>
      <w:lang w:val="en-GB"/>
    </w:rPr>
  </w:style>
  <w:style w:type="paragraph" w:styleId="Subtitle">
    <w:name w:val="Subtitle"/>
    <w:basedOn w:val="Normal"/>
    <w:next w:val="Normal"/>
    <w:link w:val="SubtitleChar"/>
    <w:uiPriority w:val="12"/>
    <w:rsid w:val="00BD2B7A"/>
    <w:pPr>
      <w:numPr>
        <w:ilvl w:val="1"/>
      </w:numPr>
      <w:spacing w:after="160"/>
      <w:ind w:left="1134"/>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2"/>
    <w:rsid w:val="00BD2B7A"/>
    <w:rPr>
      <w:rFonts w:asciiTheme="minorHAnsi" w:eastAsiaTheme="minorEastAsia" w:hAnsiTheme="minorHAnsi" w:cstheme="minorBidi"/>
      <w:color w:val="5A5A5A" w:themeColor="text1" w:themeTint="A5"/>
      <w:spacing w:val="15"/>
      <w:szCs w:val="22"/>
      <w:lang w:val="en-GB"/>
    </w:rPr>
  </w:style>
  <w:style w:type="character" w:styleId="SubtleReference">
    <w:name w:val="Subtle Reference"/>
    <w:basedOn w:val="DefaultParagraphFont"/>
    <w:uiPriority w:val="31"/>
    <w:rsid w:val="00BD2B7A"/>
    <w:rPr>
      <w:smallCaps/>
      <w:color w:val="5A5A5A" w:themeColor="text1" w:themeTint="A5"/>
    </w:rPr>
  </w:style>
  <w:style w:type="character" w:styleId="IntenseReference">
    <w:name w:val="Intense Reference"/>
    <w:basedOn w:val="DefaultParagraphFont"/>
    <w:uiPriority w:val="32"/>
    <w:rsid w:val="00BD2B7A"/>
    <w:rPr>
      <w:b/>
      <w:bCs/>
      <w:smallCaps/>
      <w:color w:val="5B9BD5" w:themeColor="accent1"/>
      <w:spacing w:val="5"/>
    </w:rPr>
  </w:style>
  <w:style w:type="character" w:styleId="BookTitle">
    <w:name w:val="Book Title"/>
    <w:basedOn w:val="DefaultParagraphFont"/>
    <w:uiPriority w:val="33"/>
    <w:rsid w:val="00BD2B7A"/>
    <w:rPr>
      <w:b/>
      <w:bCs/>
      <w:i/>
      <w:iCs/>
      <w:spacing w:val="5"/>
    </w:rPr>
  </w:style>
  <w:style w:type="character" w:customStyle="1" w:styleId="Heading5Char">
    <w:name w:val="Heading 5 Char"/>
    <w:basedOn w:val="DefaultParagraphFont"/>
    <w:link w:val="Heading5"/>
    <w:rsid w:val="00BD2B7A"/>
    <w:rPr>
      <w:rFonts w:asciiTheme="majorBidi" w:eastAsia="Calibri" w:hAnsiTheme="majorBidi" w:cs="Arial"/>
      <w:bCs/>
      <w:szCs w:val="22"/>
      <w:u w:val="single"/>
      <w:lang w:val="en-GB"/>
    </w:rPr>
  </w:style>
  <w:style w:type="paragraph" w:styleId="NoSpacing">
    <w:name w:val="No Spacing"/>
    <w:uiPriority w:val="1"/>
    <w:rsid w:val="00BD2B7A"/>
    <w:rPr>
      <w:rFonts w:ascii="Calibri" w:eastAsiaTheme="minorHAnsi" w:hAnsi="Calibri" w:cs="Arial"/>
      <w:sz w:val="22"/>
      <w:szCs w:val="22"/>
      <w:lang w:val="en-GB"/>
    </w:rPr>
  </w:style>
  <w:style w:type="character" w:customStyle="1" w:styleId="Heading6Char">
    <w:name w:val="Heading 6 Char"/>
    <w:basedOn w:val="DefaultParagraphFont"/>
    <w:link w:val="Heading6"/>
    <w:rsid w:val="00BD2B7A"/>
    <w:rPr>
      <w:rFonts w:asciiTheme="majorHAnsi" w:eastAsiaTheme="majorEastAsia" w:hAnsiTheme="majorHAnsi" w:cstheme="majorBidi"/>
      <w:color w:val="1F4D78" w:themeColor="accent1" w:themeShade="7F"/>
      <w:szCs w:val="22"/>
      <w:lang w:val="en-GB"/>
    </w:rPr>
  </w:style>
  <w:style w:type="character" w:styleId="UnresolvedMention">
    <w:name w:val="Unresolved Mention"/>
    <w:basedOn w:val="DefaultParagraphFont"/>
    <w:unhideWhenUsed/>
    <w:rsid w:val="00C067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997162">
      <w:bodyDiv w:val="1"/>
      <w:marLeft w:val="0"/>
      <w:marRight w:val="0"/>
      <w:marTop w:val="0"/>
      <w:marBottom w:val="0"/>
      <w:divBdr>
        <w:top w:val="none" w:sz="0" w:space="0" w:color="auto"/>
        <w:left w:val="none" w:sz="0" w:space="0" w:color="auto"/>
        <w:bottom w:val="none" w:sz="0" w:space="0" w:color="auto"/>
        <w:right w:val="none" w:sz="0" w:space="0" w:color="auto"/>
      </w:divBdr>
    </w:div>
    <w:div w:id="36590192">
      <w:bodyDiv w:val="1"/>
      <w:marLeft w:val="0"/>
      <w:marRight w:val="0"/>
      <w:marTop w:val="0"/>
      <w:marBottom w:val="0"/>
      <w:divBdr>
        <w:top w:val="none" w:sz="0" w:space="0" w:color="auto"/>
        <w:left w:val="none" w:sz="0" w:space="0" w:color="auto"/>
        <w:bottom w:val="none" w:sz="0" w:space="0" w:color="auto"/>
        <w:right w:val="none" w:sz="0" w:space="0" w:color="auto"/>
      </w:divBdr>
    </w:div>
    <w:div w:id="38213721">
      <w:bodyDiv w:val="1"/>
      <w:marLeft w:val="0"/>
      <w:marRight w:val="0"/>
      <w:marTop w:val="0"/>
      <w:marBottom w:val="0"/>
      <w:divBdr>
        <w:top w:val="none" w:sz="0" w:space="0" w:color="auto"/>
        <w:left w:val="none" w:sz="0" w:space="0" w:color="auto"/>
        <w:bottom w:val="none" w:sz="0" w:space="0" w:color="auto"/>
        <w:right w:val="none" w:sz="0" w:space="0" w:color="auto"/>
      </w:divBdr>
      <w:divsChild>
        <w:div w:id="1238512687">
          <w:marLeft w:val="0"/>
          <w:marRight w:val="0"/>
          <w:marTop w:val="0"/>
          <w:marBottom w:val="0"/>
          <w:divBdr>
            <w:top w:val="none" w:sz="0" w:space="0" w:color="auto"/>
            <w:left w:val="none" w:sz="0" w:space="0" w:color="auto"/>
            <w:bottom w:val="none" w:sz="0" w:space="0" w:color="auto"/>
            <w:right w:val="none" w:sz="0" w:space="0" w:color="auto"/>
          </w:divBdr>
          <w:divsChild>
            <w:div w:id="429353879">
              <w:marLeft w:val="0"/>
              <w:marRight w:val="0"/>
              <w:marTop w:val="0"/>
              <w:marBottom w:val="0"/>
              <w:divBdr>
                <w:top w:val="none" w:sz="0" w:space="0" w:color="auto"/>
                <w:left w:val="none" w:sz="0" w:space="0" w:color="auto"/>
                <w:bottom w:val="none" w:sz="0" w:space="0" w:color="auto"/>
                <w:right w:val="none" w:sz="0" w:space="0" w:color="auto"/>
              </w:divBdr>
            </w:div>
            <w:div w:id="980623177">
              <w:marLeft w:val="0"/>
              <w:marRight w:val="0"/>
              <w:marTop w:val="0"/>
              <w:marBottom w:val="0"/>
              <w:divBdr>
                <w:top w:val="none" w:sz="0" w:space="0" w:color="auto"/>
                <w:left w:val="none" w:sz="0" w:space="0" w:color="auto"/>
                <w:bottom w:val="none" w:sz="0" w:space="0" w:color="auto"/>
                <w:right w:val="none" w:sz="0" w:space="0" w:color="auto"/>
              </w:divBdr>
            </w:div>
            <w:div w:id="1632394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39826">
      <w:bodyDiv w:val="1"/>
      <w:marLeft w:val="0"/>
      <w:marRight w:val="0"/>
      <w:marTop w:val="0"/>
      <w:marBottom w:val="0"/>
      <w:divBdr>
        <w:top w:val="none" w:sz="0" w:space="0" w:color="auto"/>
        <w:left w:val="none" w:sz="0" w:space="0" w:color="auto"/>
        <w:bottom w:val="none" w:sz="0" w:space="0" w:color="auto"/>
        <w:right w:val="none" w:sz="0" w:space="0" w:color="auto"/>
      </w:divBdr>
    </w:div>
    <w:div w:id="99883434">
      <w:bodyDiv w:val="1"/>
      <w:marLeft w:val="0"/>
      <w:marRight w:val="0"/>
      <w:marTop w:val="0"/>
      <w:marBottom w:val="0"/>
      <w:divBdr>
        <w:top w:val="none" w:sz="0" w:space="0" w:color="auto"/>
        <w:left w:val="none" w:sz="0" w:space="0" w:color="auto"/>
        <w:bottom w:val="none" w:sz="0" w:space="0" w:color="auto"/>
        <w:right w:val="none" w:sz="0" w:space="0" w:color="auto"/>
      </w:divBdr>
    </w:div>
    <w:div w:id="270018682">
      <w:bodyDiv w:val="1"/>
      <w:marLeft w:val="0"/>
      <w:marRight w:val="0"/>
      <w:marTop w:val="0"/>
      <w:marBottom w:val="0"/>
      <w:divBdr>
        <w:top w:val="none" w:sz="0" w:space="0" w:color="auto"/>
        <w:left w:val="none" w:sz="0" w:space="0" w:color="auto"/>
        <w:bottom w:val="none" w:sz="0" w:space="0" w:color="auto"/>
        <w:right w:val="none" w:sz="0" w:space="0" w:color="auto"/>
      </w:divBdr>
    </w:div>
    <w:div w:id="371998521">
      <w:bodyDiv w:val="1"/>
      <w:marLeft w:val="0"/>
      <w:marRight w:val="0"/>
      <w:marTop w:val="0"/>
      <w:marBottom w:val="0"/>
      <w:divBdr>
        <w:top w:val="none" w:sz="0" w:space="0" w:color="auto"/>
        <w:left w:val="none" w:sz="0" w:space="0" w:color="auto"/>
        <w:bottom w:val="none" w:sz="0" w:space="0" w:color="auto"/>
        <w:right w:val="none" w:sz="0" w:space="0" w:color="auto"/>
      </w:divBdr>
    </w:div>
    <w:div w:id="398944818">
      <w:bodyDiv w:val="1"/>
      <w:marLeft w:val="0"/>
      <w:marRight w:val="0"/>
      <w:marTop w:val="0"/>
      <w:marBottom w:val="0"/>
      <w:divBdr>
        <w:top w:val="none" w:sz="0" w:space="0" w:color="auto"/>
        <w:left w:val="none" w:sz="0" w:space="0" w:color="auto"/>
        <w:bottom w:val="none" w:sz="0" w:space="0" w:color="auto"/>
        <w:right w:val="none" w:sz="0" w:space="0" w:color="auto"/>
      </w:divBdr>
    </w:div>
    <w:div w:id="445999745">
      <w:bodyDiv w:val="1"/>
      <w:marLeft w:val="0"/>
      <w:marRight w:val="0"/>
      <w:marTop w:val="0"/>
      <w:marBottom w:val="0"/>
      <w:divBdr>
        <w:top w:val="none" w:sz="0" w:space="0" w:color="auto"/>
        <w:left w:val="none" w:sz="0" w:space="0" w:color="auto"/>
        <w:bottom w:val="none" w:sz="0" w:space="0" w:color="auto"/>
        <w:right w:val="none" w:sz="0" w:space="0" w:color="auto"/>
      </w:divBdr>
    </w:div>
    <w:div w:id="509419463">
      <w:bodyDiv w:val="1"/>
      <w:marLeft w:val="0"/>
      <w:marRight w:val="0"/>
      <w:marTop w:val="0"/>
      <w:marBottom w:val="0"/>
      <w:divBdr>
        <w:top w:val="none" w:sz="0" w:space="0" w:color="auto"/>
        <w:left w:val="none" w:sz="0" w:space="0" w:color="auto"/>
        <w:bottom w:val="none" w:sz="0" w:space="0" w:color="auto"/>
        <w:right w:val="none" w:sz="0" w:space="0" w:color="auto"/>
      </w:divBdr>
    </w:div>
    <w:div w:id="557667048">
      <w:bodyDiv w:val="1"/>
      <w:marLeft w:val="0"/>
      <w:marRight w:val="0"/>
      <w:marTop w:val="0"/>
      <w:marBottom w:val="0"/>
      <w:divBdr>
        <w:top w:val="none" w:sz="0" w:space="0" w:color="auto"/>
        <w:left w:val="none" w:sz="0" w:space="0" w:color="auto"/>
        <w:bottom w:val="none" w:sz="0" w:space="0" w:color="auto"/>
        <w:right w:val="none" w:sz="0" w:space="0" w:color="auto"/>
      </w:divBdr>
    </w:div>
    <w:div w:id="637494869">
      <w:bodyDiv w:val="1"/>
      <w:marLeft w:val="0"/>
      <w:marRight w:val="0"/>
      <w:marTop w:val="0"/>
      <w:marBottom w:val="0"/>
      <w:divBdr>
        <w:top w:val="none" w:sz="0" w:space="0" w:color="auto"/>
        <w:left w:val="none" w:sz="0" w:space="0" w:color="auto"/>
        <w:bottom w:val="none" w:sz="0" w:space="0" w:color="auto"/>
        <w:right w:val="none" w:sz="0" w:space="0" w:color="auto"/>
      </w:divBdr>
    </w:div>
    <w:div w:id="679044028">
      <w:bodyDiv w:val="1"/>
      <w:marLeft w:val="0"/>
      <w:marRight w:val="0"/>
      <w:marTop w:val="0"/>
      <w:marBottom w:val="0"/>
      <w:divBdr>
        <w:top w:val="none" w:sz="0" w:space="0" w:color="auto"/>
        <w:left w:val="none" w:sz="0" w:space="0" w:color="auto"/>
        <w:bottom w:val="none" w:sz="0" w:space="0" w:color="auto"/>
        <w:right w:val="none" w:sz="0" w:space="0" w:color="auto"/>
      </w:divBdr>
      <w:divsChild>
        <w:div w:id="4595600">
          <w:marLeft w:val="0"/>
          <w:marRight w:val="0"/>
          <w:marTop w:val="0"/>
          <w:marBottom w:val="0"/>
          <w:divBdr>
            <w:top w:val="none" w:sz="0" w:space="0" w:color="auto"/>
            <w:left w:val="none" w:sz="0" w:space="0" w:color="auto"/>
            <w:bottom w:val="none" w:sz="0" w:space="0" w:color="auto"/>
            <w:right w:val="none" w:sz="0" w:space="0" w:color="auto"/>
          </w:divBdr>
        </w:div>
        <w:div w:id="58136868">
          <w:marLeft w:val="0"/>
          <w:marRight w:val="0"/>
          <w:marTop w:val="0"/>
          <w:marBottom w:val="0"/>
          <w:divBdr>
            <w:top w:val="none" w:sz="0" w:space="0" w:color="auto"/>
            <w:left w:val="none" w:sz="0" w:space="0" w:color="auto"/>
            <w:bottom w:val="none" w:sz="0" w:space="0" w:color="auto"/>
            <w:right w:val="none" w:sz="0" w:space="0" w:color="auto"/>
          </w:divBdr>
        </w:div>
        <w:div w:id="85814030">
          <w:marLeft w:val="0"/>
          <w:marRight w:val="0"/>
          <w:marTop w:val="0"/>
          <w:marBottom w:val="0"/>
          <w:divBdr>
            <w:top w:val="none" w:sz="0" w:space="0" w:color="auto"/>
            <w:left w:val="none" w:sz="0" w:space="0" w:color="auto"/>
            <w:bottom w:val="none" w:sz="0" w:space="0" w:color="auto"/>
            <w:right w:val="none" w:sz="0" w:space="0" w:color="auto"/>
          </w:divBdr>
        </w:div>
        <w:div w:id="106121071">
          <w:marLeft w:val="0"/>
          <w:marRight w:val="0"/>
          <w:marTop w:val="0"/>
          <w:marBottom w:val="0"/>
          <w:divBdr>
            <w:top w:val="none" w:sz="0" w:space="0" w:color="auto"/>
            <w:left w:val="none" w:sz="0" w:space="0" w:color="auto"/>
            <w:bottom w:val="none" w:sz="0" w:space="0" w:color="auto"/>
            <w:right w:val="none" w:sz="0" w:space="0" w:color="auto"/>
          </w:divBdr>
        </w:div>
        <w:div w:id="121196017">
          <w:marLeft w:val="0"/>
          <w:marRight w:val="0"/>
          <w:marTop w:val="0"/>
          <w:marBottom w:val="0"/>
          <w:divBdr>
            <w:top w:val="none" w:sz="0" w:space="0" w:color="auto"/>
            <w:left w:val="none" w:sz="0" w:space="0" w:color="auto"/>
            <w:bottom w:val="none" w:sz="0" w:space="0" w:color="auto"/>
            <w:right w:val="none" w:sz="0" w:space="0" w:color="auto"/>
          </w:divBdr>
        </w:div>
        <w:div w:id="124472974">
          <w:marLeft w:val="0"/>
          <w:marRight w:val="0"/>
          <w:marTop w:val="0"/>
          <w:marBottom w:val="0"/>
          <w:divBdr>
            <w:top w:val="none" w:sz="0" w:space="0" w:color="auto"/>
            <w:left w:val="none" w:sz="0" w:space="0" w:color="auto"/>
            <w:bottom w:val="none" w:sz="0" w:space="0" w:color="auto"/>
            <w:right w:val="none" w:sz="0" w:space="0" w:color="auto"/>
          </w:divBdr>
        </w:div>
        <w:div w:id="145513786">
          <w:marLeft w:val="0"/>
          <w:marRight w:val="0"/>
          <w:marTop w:val="0"/>
          <w:marBottom w:val="0"/>
          <w:divBdr>
            <w:top w:val="none" w:sz="0" w:space="0" w:color="auto"/>
            <w:left w:val="none" w:sz="0" w:space="0" w:color="auto"/>
            <w:bottom w:val="none" w:sz="0" w:space="0" w:color="auto"/>
            <w:right w:val="none" w:sz="0" w:space="0" w:color="auto"/>
          </w:divBdr>
        </w:div>
        <w:div w:id="158888314">
          <w:marLeft w:val="0"/>
          <w:marRight w:val="0"/>
          <w:marTop w:val="0"/>
          <w:marBottom w:val="0"/>
          <w:divBdr>
            <w:top w:val="none" w:sz="0" w:space="0" w:color="auto"/>
            <w:left w:val="none" w:sz="0" w:space="0" w:color="auto"/>
            <w:bottom w:val="none" w:sz="0" w:space="0" w:color="auto"/>
            <w:right w:val="none" w:sz="0" w:space="0" w:color="auto"/>
          </w:divBdr>
        </w:div>
        <w:div w:id="196965253">
          <w:marLeft w:val="0"/>
          <w:marRight w:val="0"/>
          <w:marTop w:val="0"/>
          <w:marBottom w:val="0"/>
          <w:divBdr>
            <w:top w:val="none" w:sz="0" w:space="0" w:color="auto"/>
            <w:left w:val="none" w:sz="0" w:space="0" w:color="auto"/>
            <w:bottom w:val="none" w:sz="0" w:space="0" w:color="auto"/>
            <w:right w:val="none" w:sz="0" w:space="0" w:color="auto"/>
          </w:divBdr>
        </w:div>
        <w:div w:id="219218005">
          <w:marLeft w:val="0"/>
          <w:marRight w:val="0"/>
          <w:marTop w:val="0"/>
          <w:marBottom w:val="0"/>
          <w:divBdr>
            <w:top w:val="none" w:sz="0" w:space="0" w:color="auto"/>
            <w:left w:val="none" w:sz="0" w:space="0" w:color="auto"/>
            <w:bottom w:val="none" w:sz="0" w:space="0" w:color="auto"/>
            <w:right w:val="none" w:sz="0" w:space="0" w:color="auto"/>
          </w:divBdr>
        </w:div>
        <w:div w:id="331176758">
          <w:marLeft w:val="0"/>
          <w:marRight w:val="0"/>
          <w:marTop w:val="0"/>
          <w:marBottom w:val="0"/>
          <w:divBdr>
            <w:top w:val="none" w:sz="0" w:space="0" w:color="auto"/>
            <w:left w:val="none" w:sz="0" w:space="0" w:color="auto"/>
            <w:bottom w:val="none" w:sz="0" w:space="0" w:color="auto"/>
            <w:right w:val="none" w:sz="0" w:space="0" w:color="auto"/>
          </w:divBdr>
        </w:div>
        <w:div w:id="376248083">
          <w:marLeft w:val="0"/>
          <w:marRight w:val="0"/>
          <w:marTop w:val="0"/>
          <w:marBottom w:val="0"/>
          <w:divBdr>
            <w:top w:val="none" w:sz="0" w:space="0" w:color="auto"/>
            <w:left w:val="none" w:sz="0" w:space="0" w:color="auto"/>
            <w:bottom w:val="none" w:sz="0" w:space="0" w:color="auto"/>
            <w:right w:val="none" w:sz="0" w:space="0" w:color="auto"/>
          </w:divBdr>
        </w:div>
        <w:div w:id="429470351">
          <w:marLeft w:val="0"/>
          <w:marRight w:val="0"/>
          <w:marTop w:val="0"/>
          <w:marBottom w:val="0"/>
          <w:divBdr>
            <w:top w:val="none" w:sz="0" w:space="0" w:color="auto"/>
            <w:left w:val="none" w:sz="0" w:space="0" w:color="auto"/>
            <w:bottom w:val="none" w:sz="0" w:space="0" w:color="auto"/>
            <w:right w:val="none" w:sz="0" w:space="0" w:color="auto"/>
          </w:divBdr>
        </w:div>
        <w:div w:id="431166937">
          <w:marLeft w:val="0"/>
          <w:marRight w:val="0"/>
          <w:marTop w:val="0"/>
          <w:marBottom w:val="0"/>
          <w:divBdr>
            <w:top w:val="none" w:sz="0" w:space="0" w:color="auto"/>
            <w:left w:val="none" w:sz="0" w:space="0" w:color="auto"/>
            <w:bottom w:val="none" w:sz="0" w:space="0" w:color="auto"/>
            <w:right w:val="none" w:sz="0" w:space="0" w:color="auto"/>
          </w:divBdr>
        </w:div>
        <w:div w:id="432285324">
          <w:marLeft w:val="0"/>
          <w:marRight w:val="0"/>
          <w:marTop w:val="0"/>
          <w:marBottom w:val="0"/>
          <w:divBdr>
            <w:top w:val="none" w:sz="0" w:space="0" w:color="auto"/>
            <w:left w:val="none" w:sz="0" w:space="0" w:color="auto"/>
            <w:bottom w:val="none" w:sz="0" w:space="0" w:color="auto"/>
            <w:right w:val="none" w:sz="0" w:space="0" w:color="auto"/>
          </w:divBdr>
        </w:div>
        <w:div w:id="443841465">
          <w:marLeft w:val="0"/>
          <w:marRight w:val="0"/>
          <w:marTop w:val="0"/>
          <w:marBottom w:val="0"/>
          <w:divBdr>
            <w:top w:val="none" w:sz="0" w:space="0" w:color="auto"/>
            <w:left w:val="none" w:sz="0" w:space="0" w:color="auto"/>
            <w:bottom w:val="none" w:sz="0" w:space="0" w:color="auto"/>
            <w:right w:val="none" w:sz="0" w:space="0" w:color="auto"/>
          </w:divBdr>
        </w:div>
        <w:div w:id="448084719">
          <w:marLeft w:val="0"/>
          <w:marRight w:val="0"/>
          <w:marTop w:val="0"/>
          <w:marBottom w:val="0"/>
          <w:divBdr>
            <w:top w:val="none" w:sz="0" w:space="0" w:color="auto"/>
            <w:left w:val="none" w:sz="0" w:space="0" w:color="auto"/>
            <w:bottom w:val="none" w:sz="0" w:space="0" w:color="auto"/>
            <w:right w:val="none" w:sz="0" w:space="0" w:color="auto"/>
          </w:divBdr>
        </w:div>
        <w:div w:id="480662055">
          <w:marLeft w:val="0"/>
          <w:marRight w:val="0"/>
          <w:marTop w:val="0"/>
          <w:marBottom w:val="0"/>
          <w:divBdr>
            <w:top w:val="none" w:sz="0" w:space="0" w:color="auto"/>
            <w:left w:val="none" w:sz="0" w:space="0" w:color="auto"/>
            <w:bottom w:val="none" w:sz="0" w:space="0" w:color="auto"/>
            <w:right w:val="none" w:sz="0" w:space="0" w:color="auto"/>
          </w:divBdr>
        </w:div>
        <w:div w:id="485513675">
          <w:marLeft w:val="0"/>
          <w:marRight w:val="0"/>
          <w:marTop w:val="0"/>
          <w:marBottom w:val="0"/>
          <w:divBdr>
            <w:top w:val="none" w:sz="0" w:space="0" w:color="auto"/>
            <w:left w:val="none" w:sz="0" w:space="0" w:color="auto"/>
            <w:bottom w:val="none" w:sz="0" w:space="0" w:color="auto"/>
            <w:right w:val="none" w:sz="0" w:space="0" w:color="auto"/>
          </w:divBdr>
        </w:div>
        <w:div w:id="613637131">
          <w:marLeft w:val="0"/>
          <w:marRight w:val="0"/>
          <w:marTop w:val="0"/>
          <w:marBottom w:val="0"/>
          <w:divBdr>
            <w:top w:val="none" w:sz="0" w:space="0" w:color="auto"/>
            <w:left w:val="none" w:sz="0" w:space="0" w:color="auto"/>
            <w:bottom w:val="none" w:sz="0" w:space="0" w:color="auto"/>
            <w:right w:val="none" w:sz="0" w:space="0" w:color="auto"/>
          </w:divBdr>
        </w:div>
        <w:div w:id="686903327">
          <w:marLeft w:val="0"/>
          <w:marRight w:val="0"/>
          <w:marTop w:val="0"/>
          <w:marBottom w:val="0"/>
          <w:divBdr>
            <w:top w:val="none" w:sz="0" w:space="0" w:color="auto"/>
            <w:left w:val="none" w:sz="0" w:space="0" w:color="auto"/>
            <w:bottom w:val="none" w:sz="0" w:space="0" w:color="auto"/>
            <w:right w:val="none" w:sz="0" w:space="0" w:color="auto"/>
          </w:divBdr>
        </w:div>
        <w:div w:id="719091508">
          <w:marLeft w:val="0"/>
          <w:marRight w:val="0"/>
          <w:marTop w:val="0"/>
          <w:marBottom w:val="0"/>
          <w:divBdr>
            <w:top w:val="none" w:sz="0" w:space="0" w:color="auto"/>
            <w:left w:val="none" w:sz="0" w:space="0" w:color="auto"/>
            <w:bottom w:val="none" w:sz="0" w:space="0" w:color="auto"/>
            <w:right w:val="none" w:sz="0" w:space="0" w:color="auto"/>
          </w:divBdr>
        </w:div>
        <w:div w:id="744455050">
          <w:marLeft w:val="0"/>
          <w:marRight w:val="0"/>
          <w:marTop w:val="0"/>
          <w:marBottom w:val="0"/>
          <w:divBdr>
            <w:top w:val="none" w:sz="0" w:space="0" w:color="auto"/>
            <w:left w:val="none" w:sz="0" w:space="0" w:color="auto"/>
            <w:bottom w:val="none" w:sz="0" w:space="0" w:color="auto"/>
            <w:right w:val="none" w:sz="0" w:space="0" w:color="auto"/>
          </w:divBdr>
        </w:div>
        <w:div w:id="760562323">
          <w:marLeft w:val="0"/>
          <w:marRight w:val="0"/>
          <w:marTop w:val="0"/>
          <w:marBottom w:val="0"/>
          <w:divBdr>
            <w:top w:val="none" w:sz="0" w:space="0" w:color="auto"/>
            <w:left w:val="none" w:sz="0" w:space="0" w:color="auto"/>
            <w:bottom w:val="none" w:sz="0" w:space="0" w:color="auto"/>
            <w:right w:val="none" w:sz="0" w:space="0" w:color="auto"/>
          </w:divBdr>
        </w:div>
        <w:div w:id="770127430">
          <w:marLeft w:val="0"/>
          <w:marRight w:val="0"/>
          <w:marTop w:val="0"/>
          <w:marBottom w:val="0"/>
          <w:divBdr>
            <w:top w:val="none" w:sz="0" w:space="0" w:color="auto"/>
            <w:left w:val="none" w:sz="0" w:space="0" w:color="auto"/>
            <w:bottom w:val="none" w:sz="0" w:space="0" w:color="auto"/>
            <w:right w:val="none" w:sz="0" w:space="0" w:color="auto"/>
          </w:divBdr>
        </w:div>
        <w:div w:id="800804109">
          <w:marLeft w:val="0"/>
          <w:marRight w:val="0"/>
          <w:marTop w:val="0"/>
          <w:marBottom w:val="0"/>
          <w:divBdr>
            <w:top w:val="none" w:sz="0" w:space="0" w:color="auto"/>
            <w:left w:val="none" w:sz="0" w:space="0" w:color="auto"/>
            <w:bottom w:val="none" w:sz="0" w:space="0" w:color="auto"/>
            <w:right w:val="none" w:sz="0" w:space="0" w:color="auto"/>
          </w:divBdr>
        </w:div>
        <w:div w:id="823545490">
          <w:marLeft w:val="0"/>
          <w:marRight w:val="0"/>
          <w:marTop w:val="0"/>
          <w:marBottom w:val="0"/>
          <w:divBdr>
            <w:top w:val="none" w:sz="0" w:space="0" w:color="auto"/>
            <w:left w:val="none" w:sz="0" w:space="0" w:color="auto"/>
            <w:bottom w:val="none" w:sz="0" w:space="0" w:color="auto"/>
            <w:right w:val="none" w:sz="0" w:space="0" w:color="auto"/>
          </w:divBdr>
        </w:div>
        <w:div w:id="851455560">
          <w:marLeft w:val="0"/>
          <w:marRight w:val="0"/>
          <w:marTop w:val="0"/>
          <w:marBottom w:val="0"/>
          <w:divBdr>
            <w:top w:val="none" w:sz="0" w:space="0" w:color="auto"/>
            <w:left w:val="none" w:sz="0" w:space="0" w:color="auto"/>
            <w:bottom w:val="none" w:sz="0" w:space="0" w:color="auto"/>
            <w:right w:val="none" w:sz="0" w:space="0" w:color="auto"/>
          </w:divBdr>
        </w:div>
        <w:div w:id="896235984">
          <w:marLeft w:val="0"/>
          <w:marRight w:val="0"/>
          <w:marTop w:val="0"/>
          <w:marBottom w:val="0"/>
          <w:divBdr>
            <w:top w:val="none" w:sz="0" w:space="0" w:color="auto"/>
            <w:left w:val="none" w:sz="0" w:space="0" w:color="auto"/>
            <w:bottom w:val="none" w:sz="0" w:space="0" w:color="auto"/>
            <w:right w:val="none" w:sz="0" w:space="0" w:color="auto"/>
          </w:divBdr>
        </w:div>
        <w:div w:id="934944782">
          <w:marLeft w:val="0"/>
          <w:marRight w:val="0"/>
          <w:marTop w:val="0"/>
          <w:marBottom w:val="0"/>
          <w:divBdr>
            <w:top w:val="none" w:sz="0" w:space="0" w:color="auto"/>
            <w:left w:val="none" w:sz="0" w:space="0" w:color="auto"/>
            <w:bottom w:val="none" w:sz="0" w:space="0" w:color="auto"/>
            <w:right w:val="none" w:sz="0" w:space="0" w:color="auto"/>
          </w:divBdr>
        </w:div>
        <w:div w:id="986474572">
          <w:marLeft w:val="0"/>
          <w:marRight w:val="0"/>
          <w:marTop w:val="0"/>
          <w:marBottom w:val="0"/>
          <w:divBdr>
            <w:top w:val="none" w:sz="0" w:space="0" w:color="auto"/>
            <w:left w:val="none" w:sz="0" w:space="0" w:color="auto"/>
            <w:bottom w:val="none" w:sz="0" w:space="0" w:color="auto"/>
            <w:right w:val="none" w:sz="0" w:space="0" w:color="auto"/>
          </w:divBdr>
        </w:div>
        <w:div w:id="1047412701">
          <w:marLeft w:val="0"/>
          <w:marRight w:val="0"/>
          <w:marTop w:val="0"/>
          <w:marBottom w:val="0"/>
          <w:divBdr>
            <w:top w:val="none" w:sz="0" w:space="0" w:color="auto"/>
            <w:left w:val="none" w:sz="0" w:space="0" w:color="auto"/>
            <w:bottom w:val="none" w:sz="0" w:space="0" w:color="auto"/>
            <w:right w:val="none" w:sz="0" w:space="0" w:color="auto"/>
          </w:divBdr>
        </w:div>
        <w:div w:id="1069158492">
          <w:marLeft w:val="0"/>
          <w:marRight w:val="0"/>
          <w:marTop w:val="0"/>
          <w:marBottom w:val="0"/>
          <w:divBdr>
            <w:top w:val="none" w:sz="0" w:space="0" w:color="auto"/>
            <w:left w:val="none" w:sz="0" w:space="0" w:color="auto"/>
            <w:bottom w:val="none" w:sz="0" w:space="0" w:color="auto"/>
            <w:right w:val="none" w:sz="0" w:space="0" w:color="auto"/>
          </w:divBdr>
        </w:div>
        <w:div w:id="1096513186">
          <w:marLeft w:val="0"/>
          <w:marRight w:val="0"/>
          <w:marTop w:val="0"/>
          <w:marBottom w:val="0"/>
          <w:divBdr>
            <w:top w:val="none" w:sz="0" w:space="0" w:color="auto"/>
            <w:left w:val="none" w:sz="0" w:space="0" w:color="auto"/>
            <w:bottom w:val="none" w:sz="0" w:space="0" w:color="auto"/>
            <w:right w:val="none" w:sz="0" w:space="0" w:color="auto"/>
          </w:divBdr>
        </w:div>
        <w:div w:id="1140339194">
          <w:marLeft w:val="0"/>
          <w:marRight w:val="0"/>
          <w:marTop w:val="0"/>
          <w:marBottom w:val="0"/>
          <w:divBdr>
            <w:top w:val="none" w:sz="0" w:space="0" w:color="auto"/>
            <w:left w:val="none" w:sz="0" w:space="0" w:color="auto"/>
            <w:bottom w:val="none" w:sz="0" w:space="0" w:color="auto"/>
            <w:right w:val="none" w:sz="0" w:space="0" w:color="auto"/>
          </w:divBdr>
        </w:div>
        <w:div w:id="1190529306">
          <w:marLeft w:val="0"/>
          <w:marRight w:val="0"/>
          <w:marTop w:val="0"/>
          <w:marBottom w:val="0"/>
          <w:divBdr>
            <w:top w:val="none" w:sz="0" w:space="0" w:color="auto"/>
            <w:left w:val="none" w:sz="0" w:space="0" w:color="auto"/>
            <w:bottom w:val="none" w:sz="0" w:space="0" w:color="auto"/>
            <w:right w:val="none" w:sz="0" w:space="0" w:color="auto"/>
          </w:divBdr>
        </w:div>
        <w:div w:id="1210075814">
          <w:marLeft w:val="0"/>
          <w:marRight w:val="0"/>
          <w:marTop w:val="0"/>
          <w:marBottom w:val="0"/>
          <w:divBdr>
            <w:top w:val="none" w:sz="0" w:space="0" w:color="auto"/>
            <w:left w:val="none" w:sz="0" w:space="0" w:color="auto"/>
            <w:bottom w:val="none" w:sz="0" w:space="0" w:color="auto"/>
            <w:right w:val="none" w:sz="0" w:space="0" w:color="auto"/>
          </w:divBdr>
        </w:div>
        <w:div w:id="1235239540">
          <w:marLeft w:val="0"/>
          <w:marRight w:val="0"/>
          <w:marTop w:val="0"/>
          <w:marBottom w:val="0"/>
          <w:divBdr>
            <w:top w:val="none" w:sz="0" w:space="0" w:color="auto"/>
            <w:left w:val="none" w:sz="0" w:space="0" w:color="auto"/>
            <w:bottom w:val="none" w:sz="0" w:space="0" w:color="auto"/>
            <w:right w:val="none" w:sz="0" w:space="0" w:color="auto"/>
          </w:divBdr>
        </w:div>
        <w:div w:id="1244991045">
          <w:marLeft w:val="0"/>
          <w:marRight w:val="0"/>
          <w:marTop w:val="0"/>
          <w:marBottom w:val="0"/>
          <w:divBdr>
            <w:top w:val="none" w:sz="0" w:space="0" w:color="auto"/>
            <w:left w:val="none" w:sz="0" w:space="0" w:color="auto"/>
            <w:bottom w:val="none" w:sz="0" w:space="0" w:color="auto"/>
            <w:right w:val="none" w:sz="0" w:space="0" w:color="auto"/>
          </w:divBdr>
        </w:div>
        <w:div w:id="1334068072">
          <w:marLeft w:val="0"/>
          <w:marRight w:val="0"/>
          <w:marTop w:val="0"/>
          <w:marBottom w:val="0"/>
          <w:divBdr>
            <w:top w:val="none" w:sz="0" w:space="0" w:color="auto"/>
            <w:left w:val="none" w:sz="0" w:space="0" w:color="auto"/>
            <w:bottom w:val="none" w:sz="0" w:space="0" w:color="auto"/>
            <w:right w:val="none" w:sz="0" w:space="0" w:color="auto"/>
          </w:divBdr>
        </w:div>
        <w:div w:id="1359938293">
          <w:marLeft w:val="0"/>
          <w:marRight w:val="0"/>
          <w:marTop w:val="0"/>
          <w:marBottom w:val="0"/>
          <w:divBdr>
            <w:top w:val="none" w:sz="0" w:space="0" w:color="auto"/>
            <w:left w:val="none" w:sz="0" w:space="0" w:color="auto"/>
            <w:bottom w:val="none" w:sz="0" w:space="0" w:color="auto"/>
            <w:right w:val="none" w:sz="0" w:space="0" w:color="auto"/>
          </w:divBdr>
        </w:div>
        <w:div w:id="1413745445">
          <w:marLeft w:val="0"/>
          <w:marRight w:val="0"/>
          <w:marTop w:val="0"/>
          <w:marBottom w:val="0"/>
          <w:divBdr>
            <w:top w:val="none" w:sz="0" w:space="0" w:color="auto"/>
            <w:left w:val="none" w:sz="0" w:space="0" w:color="auto"/>
            <w:bottom w:val="none" w:sz="0" w:space="0" w:color="auto"/>
            <w:right w:val="none" w:sz="0" w:space="0" w:color="auto"/>
          </w:divBdr>
        </w:div>
        <w:div w:id="1418330930">
          <w:marLeft w:val="0"/>
          <w:marRight w:val="0"/>
          <w:marTop w:val="0"/>
          <w:marBottom w:val="0"/>
          <w:divBdr>
            <w:top w:val="none" w:sz="0" w:space="0" w:color="auto"/>
            <w:left w:val="none" w:sz="0" w:space="0" w:color="auto"/>
            <w:bottom w:val="none" w:sz="0" w:space="0" w:color="auto"/>
            <w:right w:val="none" w:sz="0" w:space="0" w:color="auto"/>
          </w:divBdr>
        </w:div>
        <w:div w:id="1453983215">
          <w:marLeft w:val="0"/>
          <w:marRight w:val="0"/>
          <w:marTop w:val="0"/>
          <w:marBottom w:val="0"/>
          <w:divBdr>
            <w:top w:val="none" w:sz="0" w:space="0" w:color="auto"/>
            <w:left w:val="none" w:sz="0" w:space="0" w:color="auto"/>
            <w:bottom w:val="none" w:sz="0" w:space="0" w:color="auto"/>
            <w:right w:val="none" w:sz="0" w:space="0" w:color="auto"/>
          </w:divBdr>
        </w:div>
        <w:div w:id="1467507340">
          <w:marLeft w:val="0"/>
          <w:marRight w:val="0"/>
          <w:marTop w:val="0"/>
          <w:marBottom w:val="0"/>
          <w:divBdr>
            <w:top w:val="none" w:sz="0" w:space="0" w:color="auto"/>
            <w:left w:val="none" w:sz="0" w:space="0" w:color="auto"/>
            <w:bottom w:val="none" w:sz="0" w:space="0" w:color="auto"/>
            <w:right w:val="none" w:sz="0" w:space="0" w:color="auto"/>
          </w:divBdr>
        </w:div>
        <w:div w:id="1584610801">
          <w:marLeft w:val="0"/>
          <w:marRight w:val="0"/>
          <w:marTop w:val="0"/>
          <w:marBottom w:val="0"/>
          <w:divBdr>
            <w:top w:val="none" w:sz="0" w:space="0" w:color="auto"/>
            <w:left w:val="none" w:sz="0" w:space="0" w:color="auto"/>
            <w:bottom w:val="none" w:sz="0" w:space="0" w:color="auto"/>
            <w:right w:val="none" w:sz="0" w:space="0" w:color="auto"/>
          </w:divBdr>
        </w:div>
        <w:div w:id="1605843025">
          <w:marLeft w:val="0"/>
          <w:marRight w:val="0"/>
          <w:marTop w:val="0"/>
          <w:marBottom w:val="0"/>
          <w:divBdr>
            <w:top w:val="none" w:sz="0" w:space="0" w:color="auto"/>
            <w:left w:val="none" w:sz="0" w:space="0" w:color="auto"/>
            <w:bottom w:val="none" w:sz="0" w:space="0" w:color="auto"/>
            <w:right w:val="none" w:sz="0" w:space="0" w:color="auto"/>
          </w:divBdr>
        </w:div>
        <w:div w:id="1668709653">
          <w:marLeft w:val="0"/>
          <w:marRight w:val="0"/>
          <w:marTop w:val="0"/>
          <w:marBottom w:val="0"/>
          <w:divBdr>
            <w:top w:val="none" w:sz="0" w:space="0" w:color="auto"/>
            <w:left w:val="none" w:sz="0" w:space="0" w:color="auto"/>
            <w:bottom w:val="none" w:sz="0" w:space="0" w:color="auto"/>
            <w:right w:val="none" w:sz="0" w:space="0" w:color="auto"/>
          </w:divBdr>
        </w:div>
        <w:div w:id="1679692815">
          <w:marLeft w:val="0"/>
          <w:marRight w:val="0"/>
          <w:marTop w:val="0"/>
          <w:marBottom w:val="0"/>
          <w:divBdr>
            <w:top w:val="none" w:sz="0" w:space="0" w:color="auto"/>
            <w:left w:val="none" w:sz="0" w:space="0" w:color="auto"/>
            <w:bottom w:val="none" w:sz="0" w:space="0" w:color="auto"/>
            <w:right w:val="none" w:sz="0" w:space="0" w:color="auto"/>
          </w:divBdr>
        </w:div>
        <w:div w:id="1769080509">
          <w:marLeft w:val="0"/>
          <w:marRight w:val="0"/>
          <w:marTop w:val="0"/>
          <w:marBottom w:val="0"/>
          <w:divBdr>
            <w:top w:val="none" w:sz="0" w:space="0" w:color="auto"/>
            <w:left w:val="none" w:sz="0" w:space="0" w:color="auto"/>
            <w:bottom w:val="none" w:sz="0" w:space="0" w:color="auto"/>
            <w:right w:val="none" w:sz="0" w:space="0" w:color="auto"/>
          </w:divBdr>
        </w:div>
        <w:div w:id="1783839587">
          <w:marLeft w:val="0"/>
          <w:marRight w:val="0"/>
          <w:marTop w:val="0"/>
          <w:marBottom w:val="0"/>
          <w:divBdr>
            <w:top w:val="none" w:sz="0" w:space="0" w:color="auto"/>
            <w:left w:val="none" w:sz="0" w:space="0" w:color="auto"/>
            <w:bottom w:val="none" w:sz="0" w:space="0" w:color="auto"/>
            <w:right w:val="none" w:sz="0" w:space="0" w:color="auto"/>
          </w:divBdr>
        </w:div>
        <w:div w:id="1787045635">
          <w:marLeft w:val="0"/>
          <w:marRight w:val="0"/>
          <w:marTop w:val="0"/>
          <w:marBottom w:val="0"/>
          <w:divBdr>
            <w:top w:val="none" w:sz="0" w:space="0" w:color="auto"/>
            <w:left w:val="none" w:sz="0" w:space="0" w:color="auto"/>
            <w:bottom w:val="none" w:sz="0" w:space="0" w:color="auto"/>
            <w:right w:val="none" w:sz="0" w:space="0" w:color="auto"/>
          </w:divBdr>
        </w:div>
        <w:div w:id="1793282519">
          <w:marLeft w:val="0"/>
          <w:marRight w:val="0"/>
          <w:marTop w:val="0"/>
          <w:marBottom w:val="0"/>
          <w:divBdr>
            <w:top w:val="none" w:sz="0" w:space="0" w:color="auto"/>
            <w:left w:val="none" w:sz="0" w:space="0" w:color="auto"/>
            <w:bottom w:val="none" w:sz="0" w:space="0" w:color="auto"/>
            <w:right w:val="none" w:sz="0" w:space="0" w:color="auto"/>
          </w:divBdr>
        </w:div>
        <w:div w:id="1826971284">
          <w:marLeft w:val="0"/>
          <w:marRight w:val="0"/>
          <w:marTop w:val="0"/>
          <w:marBottom w:val="0"/>
          <w:divBdr>
            <w:top w:val="none" w:sz="0" w:space="0" w:color="auto"/>
            <w:left w:val="none" w:sz="0" w:space="0" w:color="auto"/>
            <w:bottom w:val="none" w:sz="0" w:space="0" w:color="auto"/>
            <w:right w:val="none" w:sz="0" w:space="0" w:color="auto"/>
          </w:divBdr>
        </w:div>
        <w:div w:id="1828740533">
          <w:marLeft w:val="0"/>
          <w:marRight w:val="0"/>
          <w:marTop w:val="0"/>
          <w:marBottom w:val="0"/>
          <w:divBdr>
            <w:top w:val="none" w:sz="0" w:space="0" w:color="auto"/>
            <w:left w:val="none" w:sz="0" w:space="0" w:color="auto"/>
            <w:bottom w:val="none" w:sz="0" w:space="0" w:color="auto"/>
            <w:right w:val="none" w:sz="0" w:space="0" w:color="auto"/>
          </w:divBdr>
        </w:div>
        <w:div w:id="2138643553">
          <w:marLeft w:val="0"/>
          <w:marRight w:val="0"/>
          <w:marTop w:val="0"/>
          <w:marBottom w:val="0"/>
          <w:divBdr>
            <w:top w:val="none" w:sz="0" w:space="0" w:color="auto"/>
            <w:left w:val="none" w:sz="0" w:space="0" w:color="auto"/>
            <w:bottom w:val="none" w:sz="0" w:space="0" w:color="auto"/>
            <w:right w:val="none" w:sz="0" w:space="0" w:color="auto"/>
          </w:divBdr>
        </w:div>
        <w:div w:id="2144811129">
          <w:marLeft w:val="0"/>
          <w:marRight w:val="0"/>
          <w:marTop w:val="0"/>
          <w:marBottom w:val="0"/>
          <w:divBdr>
            <w:top w:val="none" w:sz="0" w:space="0" w:color="auto"/>
            <w:left w:val="none" w:sz="0" w:space="0" w:color="auto"/>
            <w:bottom w:val="none" w:sz="0" w:space="0" w:color="auto"/>
            <w:right w:val="none" w:sz="0" w:space="0" w:color="auto"/>
          </w:divBdr>
        </w:div>
      </w:divsChild>
    </w:div>
    <w:div w:id="698358140">
      <w:bodyDiv w:val="1"/>
      <w:marLeft w:val="0"/>
      <w:marRight w:val="0"/>
      <w:marTop w:val="0"/>
      <w:marBottom w:val="0"/>
      <w:divBdr>
        <w:top w:val="none" w:sz="0" w:space="0" w:color="auto"/>
        <w:left w:val="none" w:sz="0" w:space="0" w:color="auto"/>
        <w:bottom w:val="none" w:sz="0" w:space="0" w:color="auto"/>
        <w:right w:val="none" w:sz="0" w:space="0" w:color="auto"/>
      </w:divBdr>
    </w:div>
    <w:div w:id="728920368">
      <w:bodyDiv w:val="1"/>
      <w:marLeft w:val="0"/>
      <w:marRight w:val="0"/>
      <w:marTop w:val="0"/>
      <w:marBottom w:val="0"/>
      <w:divBdr>
        <w:top w:val="none" w:sz="0" w:space="0" w:color="auto"/>
        <w:left w:val="none" w:sz="0" w:space="0" w:color="auto"/>
        <w:bottom w:val="none" w:sz="0" w:space="0" w:color="auto"/>
        <w:right w:val="none" w:sz="0" w:space="0" w:color="auto"/>
      </w:divBdr>
    </w:div>
    <w:div w:id="754546878">
      <w:bodyDiv w:val="1"/>
      <w:marLeft w:val="0"/>
      <w:marRight w:val="0"/>
      <w:marTop w:val="0"/>
      <w:marBottom w:val="0"/>
      <w:divBdr>
        <w:top w:val="none" w:sz="0" w:space="0" w:color="auto"/>
        <w:left w:val="none" w:sz="0" w:space="0" w:color="auto"/>
        <w:bottom w:val="none" w:sz="0" w:space="0" w:color="auto"/>
        <w:right w:val="none" w:sz="0" w:space="0" w:color="auto"/>
      </w:divBdr>
      <w:divsChild>
        <w:div w:id="107353314">
          <w:marLeft w:val="0"/>
          <w:marRight w:val="0"/>
          <w:marTop w:val="0"/>
          <w:marBottom w:val="0"/>
          <w:divBdr>
            <w:top w:val="none" w:sz="0" w:space="0" w:color="auto"/>
            <w:left w:val="none" w:sz="0" w:space="0" w:color="auto"/>
            <w:bottom w:val="none" w:sz="0" w:space="0" w:color="auto"/>
            <w:right w:val="none" w:sz="0" w:space="0" w:color="auto"/>
          </w:divBdr>
        </w:div>
        <w:div w:id="764036106">
          <w:marLeft w:val="0"/>
          <w:marRight w:val="0"/>
          <w:marTop w:val="0"/>
          <w:marBottom w:val="0"/>
          <w:divBdr>
            <w:top w:val="none" w:sz="0" w:space="0" w:color="auto"/>
            <w:left w:val="none" w:sz="0" w:space="0" w:color="auto"/>
            <w:bottom w:val="none" w:sz="0" w:space="0" w:color="auto"/>
            <w:right w:val="none" w:sz="0" w:space="0" w:color="auto"/>
          </w:divBdr>
        </w:div>
        <w:div w:id="1336685688">
          <w:marLeft w:val="0"/>
          <w:marRight w:val="0"/>
          <w:marTop w:val="0"/>
          <w:marBottom w:val="0"/>
          <w:divBdr>
            <w:top w:val="none" w:sz="0" w:space="0" w:color="auto"/>
            <w:left w:val="none" w:sz="0" w:space="0" w:color="auto"/>
            <w:bottom w:val="none" w:sz="0" w:space="0" w:color="auto"/>
            <w:right w:val="none" w:sz="0" w:space="0" w:color="auto"/>
          </w:divBdr>
        </w:div>
        <w:div w:id="1492451749">
          <w:marLeft w:val="0"/>
          <w:marRight w:val="0"/>
          <w:marTop w:val="0"/>
          <w:marBottom w:val="0"/>
          <w:divBdr>
            <w:top w:val="none" w:sz="0" w:space="0" w:color="auto"/>
            <w:left w:val="none" w:sz="0" w:space="0" w:color="auto"/>
            <w:bottom w:val="none" w:sz="0" w:space="0" w:color="auto"/>
            <w:right w:val="none" w:sz="0" w:space="0" w:color="auto"/>
          </w:divBdr>
        </w:div>
        <w:div w:id="2060352132">
          <w:marLeft w:val="0"/>
          <w:marRight w:val="0"/>
          <w:marTop w:val="0"/>
          <w:marBottom w:val="0"/>
          <w:divBdr>
            <w:top w:val="none" w:sz="0" w:space="0" w:color="auto"/>
            <w:left w:val="none" w:sz="0" w:space="0" w:color="auto"/>
            <w:bottom w:val="none" w:sz="0" w:space="0" w:color="auto"/>
            <w:right w:val="none" w:sz="0" w:space="0" w:color="auto"/>
          </w:divBdr>
        </w:div>
      </w:divsChild>
    </w:div>
    <w:div w:id="865555826">
      <w:bodyDiv w:val="1"/>
      <w:marLeft w:val="0"/>
      <w:marRight w:val="0"/>
      <w:marTop w:val="0"/>
      <w:marBottom w:val="0"/>
      <w:divBdr>
        <w:top w:val="none" w:sz="0" w:space="0" w:color="auto"/>
        <w:left w:val="none" w:sz="0" w:space="0" w:color="auto"/>
        <w:bottom w:val="none" w:sz="0" w:space="0" w:color="auto"/>
        <w:right w:val="none" w:sz="0" w:space="0" w:color="auto"/>
      </w:divBdr>
      <w:divsChild>
        <w:div w:id="139657941">
          <w:marLeft w:val="0"/>
          <w:marRight w:val="0"/>
          <w:marTop w:val="0"/>
          <w:marBottom w:val="0"/>
          <w:divBdr>
            <w:top w:val="none" w:sz="0" w:space="0" w:color="auto"/>
            <w:left w:val="none" w:sz="0" w:space="0" w:color="auto"/>
            <w:bottom w:val="none" w:sz="0" w:space="0" w:color="auto"/>
            <w:right w:val="none" w:sz="0" w:space="0" w:color="auto"/>
          </w:divBdr>
          <w:divsChild>
            <w:div w:id="161424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825136">
      <w:bodyDiv w:val="1"/>
      <w:marLeft w:val="0"/>
      <w:marRight w:val="0"/>
      <w:marTop w:val="0"/>
      <w:marBottom w:val="0"/>
      <w:divBdr>
        <w:top w:val="none" w:sz="0" w:space="0" w:color="auto"/>
        <w:left w:val="none" w:sz="0" w:space="0" w:color="auto"/>
        <w:bottom w:val="none" w:sz="0" w:space="0" w:color="auto"/>
        <w:right w:val="none" w:sz="0" w:space="0" w:color="auto"/>
      </w:divBdr>
      <w:divsChild>
        <w:div w:id="607395320">
          <w:marLeft w:val="0"/>
          <w:marRight w:val="0"/>
          <w:marTop w:val="0"/>
          <w:marBottom w:val="0"/>
          <w:divBdr>
            <w:top w:val="none" w:sz="0" w:space="0" w:color="auto"/>
            <w:left w:val="none" w:sz="0" w:space="0" w:color="auto"/>
            <w:bottom w:val="none" w:sz="0" w:space="0" w:color="auto"/>
            <w:right w:val="none" w:sz="0" w:space="0" w:color="auto"/>
          </w:divBdr>
        </w:div>
        <w:div w:id="871456447">
          <w:marLeft w:val="0"/>
          <w:marRight w:val="0"/>
          <w:marTop w:val="0"/>
          <w:marBottom w:val="0"/>
          <w:divBdr>
            <w:top w:val="none" w:sz="0" w:space="0" w:color="auto"/>
            <w:left w:val="none" w:sz="0" w:space="0" w:color="auto"/>
            <w:bottom w:val="none" w:sz="0" w:space="0" w:color="auto"/>
            <w:right w:val="none" w:sz="0" w:space="0" w:color="auto"/>
          </w:divBdr>
        </w:div>
        <w:div w:id="1077895069">
          <w:marLeft w:val="0"/>
          <w:marRight w:val="0"/>
          <w:marTop w:val="0"/>
          <w:marBottom w:val="0"/>
          <w:divBdr>
            <w:top w:val="none" w:sz="0" w:space="0" w:color="auto"/>
            <w:left w:val="none" w:sz="0" w:space="0" w:color="auto"/>
            <w:bottom w:val="none" w:sz="0" w:space="0" w:color="auto"/>
            <w:right w:val="none" w:sz="0" w:space="0" w:color="auto"/>
          </w:divBdr>
        </w:div>
        <w:div w:id="1739016262">
          <w:marLeft w:val="0"/>
          <w:marRight w:val="0"/>
          <w:marTop w:val="0"/>
          <w:marBottom w:val="0"/>
          <w:divBdr>
            <w:top w:val="none" w:sz="0" w:space="0" w:color="auto"/>
            <w:left w:val="none" w:sz="0" w:space="0" w:color="auto"/>
            <w:bottom w:val="none" w:sz="0" w:space="0" w:color="auto"/>
            <w:right w:val="none" w:sz="0" w:space="0" w:color="auto"/>
          </w:divBdr>
        </w:div>
      </w:divsChild>
    </w:div>
    <w:div w:id="971984231">
      <w:bodyDiv w:val="1"/>
      <w:marLeft w:val="0"/>
      <w:marRight w:val="0"/>
      <w:marTop w:val="0"/>
      <w:marBottom w:val="0"/>
      <w:divBdr>
        <w:top w:val="none" w:sz="0" w:space="0" w:color="auto"/>
        <w:left w:val="none" w:sz="0" w:space="0" w:color="auto"/>
        <w:bottom w:val="none" w:sz="0" w:space="0" w:color="auto"/>
        <w:right w:val="none" w:sz="0" w:space="0" w:color="auto"/>
      </w:divBdr>
    </w:div>
    <w:div w:id="1051539131">
      <w:bodyDiv w:val="1"/>
      <w:marLeft w:val="0"/>
      <w:marRight w:val="0"/>
      <w:marTop w:val="0"/>
      <w:marBottom w:val="0"/>
      <w:divBdr>
        <w:top w:val="none" w:sz="0" w:space="0" w:color="auto"/>
        <w:left w:val="none" w:sz="0" w:space="0" w:color="auto"/>
        <w:bottom w:val="none" w:sz="0" w:space="0" w:color="auto"/>
        <w:right w:val="none" w:sz="0" w:space="0" w:color="auto"/>
      </w:divBdr>
    </w:div>
    <w:div w:id="1091469153">
      <w:bodyDiv w:val="1"/>
      <w:marLeft w:val="0"/>
      <w:marRight w:val="0"/>
      <w:marTop w:val="0"/>
      <w:marBottom w:val="0"/>
      <w:divBdr>
        <w:top w:val="none" w:sz="0" w:space="0" w:color="auto"/>
        <w:left w:val="none" w:sz="0" w:space="0" w:color="auto"/>
        <w:bottom w:val="none" w:sz="0" w:space="0" w:color="auto"/>
        <w:right w:val="none" w:sz="0" w:space="0" w:color="auto"/>
      </w:divBdr>
    </w:div>
    <w:div w:id="1140073675">
      <w:bodyDiv w:val="1"/>
      <w:marLeft w:val="0"/>
      <w:marRight w:val="0"/>
      <w:marTop w:val="0"/>
      <w:marBottom w:val="0"/>
      <w:divBdr>
        <w:top w:val="none" w:sz="0" w:space="0" w:color="auto"/>
        <w:left w:val="none" w:sz="0" w:space="0" w:color="auto"/>
        <w:bottom w:val="none" w:sz="0" w:space="0" w:color="auto"/>
        <w:right w:val="none" w:sz="0" w:space="0" w:color="auto"/>
      </w:divBdr>
    </w:div>
    <w:div w:id="1143277537">
      <w:bodyDiv w:val="1"/>
      <w:marLeft w:val="0"/>
      <w:marRight w:val="0"/>
      <w:marTop w:val="0"/>
      <w:marBottom w:val="0"/>
      <w:divBdr>
        <w:top w:val="none" w:sz="0" w:space="0" w:color="auto"/>
        <w:left w:val="none" w:sz="0" w:space="0" w:color="auto"/>
        <w:bottom w:val="none" w:sz="0" w:space="0" w:color="auto"/>
        <w:right w:val="none" w:sz="0" w:space="0" w:color="auto"/>
      </w:divBdr>
    </w:div>
    <w:div w:id="1159424979">
      <w:bodyDiv w:val="1"/>
      <w:marLeft w:val="0"/>
      <w:marRight w:val="0"/>
      <w:marTop w:val="0"/>
      <w:marBottom w:val="0"/>
      <w:divBdr>
        <w:top w:val="none" w:sz="0" w:space="0" w:color="auto"/>
        <w:left w:val="none" w:sz="0" w:space="0" w:color="auto"/>
        <w:bottom w:val="none" w:sz="0" w:space="0" w:color="auto"/>
        <w:right w:val="none" w:sz="0" w:space="0" w:color="auto"/>
      </w:divBdr>
      <w:divsChild>
        <w:div w:id="290793807">
          <w:marLeft w:val="0"/>
          <w:marRight w:val="0"/>
          <w:marTop w:val="0"/>
          <w:marBottom w:val="0"/>
          <w:divBdr>
            <w:top w:val="none" w:sz="0" w:space="0" w:color="auto"/>
            <w:left w:val="none" w:sz="0" w:space="0" w:color="auto"/>
            <w:bottom w:val="none" w:sz="0" w:space="0" w:color="auto"/>
            <w:right w:val="none" w:sz="0" w:space="0" w:color="auto"/>
          </w:divBdr>
          <w:divsChild>
            <w:div w:id="1802183499">
              <w:marLeft w:val="0"/>
              <w:marRight w:val="0"/>
              <w:marTop w:val="0"/>
              <w:marBottom w:val="0"/>
              <w:divBdr>
                <w:top w:val="none" w:sz="0" w:space="0" w:color="auto"/>
                <w:left w:val="none" w:sz="0" w:space="0" w:color="auto"/>
                <w:bottom w:val="none" w:sz="0" w:space="0" w:color="auto"/>
                <w:right w:val="none" w:sz="0" w:space="0" w:color="auto"/>
              </w:divBdr>
            </w:div>
          </w:divsChild>
        </w:div>
        <w:div w:id="336689870">
          <w:marLeft w:val="0"/>
          <w:marRight w:val="0"/>
          <w:marTop w:val="0"/>
          <w:marBottom w:val="0"/>
          <w:divBdr>
            <w:top w:val="none" w:sz="0" w:space="0" w:color="auto"/>
            <w:left w:val="none" w:sz="0" w:space="0" w:color="auto"/>
            <w:bottom w:val="none" w:sz="0" w:space="0" w:color="auto"/>
            <w:right w:val="none" w:sz="0" w:space="0" w:color="auto"/>
          </w:divBdr>
          <w:divsChild>
            <w:div w:id="1444154136">
              <w:marLeft w:val="0"/>
              <w:marRight w:val="0"/>
              <w:marTop w:val="0"/>
              <w:marBottom w:val="0"/>
              <w:divBdr>
                <w:top w:val="none" w:sz="0" w:space="0" w:color="auto"/>
                <w:left w:val="none" w:sz="0" w:space="0" w:color="auto"/>
                <w:bottom w:val="none" w:sz="0" w:space="0" w:color="auto"/>
                <w:right w:val="none" w:sz="0" w:space="0" w:color="auto"/>
              </w:divBdr>
            </w:div>
          </w:divsChild>
        </w:div>
        <w:div w:id="1820031293">
          <w:marLeft w:val="0"/>
          <w:marRight w:val="0"/>
          <w:marTop w:val="0"/>
          <w:marBottom w:val="0"/>
          <w:divBdr>
            <w:top w:val="none" w:sz="0" w:space="0" w:color="auto"/>
            <w:left w:val="none" w:sz="0" w:space="0" w:color="auto"/>
            <w:bottom w:val="none" w:sz="0" w:space="0" w:color="auto"/>
            <w:right w:val="none" w:sz="0" w:space="0" w:color="auto"/>
          </w:divBdr>
          <w:divsChild>
            <w:div w:id="1263606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078723">
      <w:bodyDiv w:val="1"/>
      <w:marLeft w:val="0"/>
      <w:marRight w:val="0"/>
      <w:marTop w:val="0"/>
      <w:marBottom w:val="0"/>
      <w:divBdr>
        <w:top w:val="none" w:sz="0" w:space="0" w:color="auto"/>
        <w:left w:val="none" w:sz="0" w:space="0" w:color="auto"/>
        <w:bottom w:val="none" w:sz="0" w:space="0" w:color="auto"/>
        <w:right w:val="none" w:sz="0" w:space="0" w:color="auto"/>
      </w:divBdr>
    </w:div>
    <w:div w:id="1252424827">
      <w:bodyDiv w:val="1"/>
      <w:marLeft w:val="0"/>
      <w:marRight w:val="0"/>
      <w:marTop w:val="0"/>
      <w:marBottom w:val="0"/>
      <w:divBdr>
        <w:top w:val="none" w:sz="0" w:space="0" w:color="auto"/>
        <w:left w:val="none" w:sz="0" w:space="0" w:color="auto"/>
        <w:bottom w:val="none" w:sz="0" w:space="0" w:color="auto"/>
        <w:right w:val="none" w:sz="0" w:space="0" w:color="auto"/>
      </w:divBdr>
      <w:divsChild>
        <w:div w:id="186678244">
          <w:marLeft w:val="0"/>
          <w:marRight w:val="0"/>
          <w:marTop w:val="0"/>
          <w:marBottom w:val="0"/>
          <w:divBdr>
            <w:top w:val="none" w:sz="0" w:space="0" w:color="auto"/>
            <w:left w:val="none" w:sz="0" w:space="0" w:color="auto"/>
            <w:bottom w:val="none" w:sz="0" w:space="0" w:color="auto"/>
            <w:right w:val="none" w:sz="0" w:space="0" w:color="auto"/>
          </w:divBdr>
        </w:div>
        <w:div w:id="433283213">
          <w:marLeft w:val="0"/>
          <w:marRight w:val="0"/>
          <w:marTop w:val="0"/>
          <w:marBottom w:val="0"/>
          <w:divBdr>
            <w:top w:val="none" w:sz="0" w:space="0" w:color="auto"/>
            <w:left w:val="none" w:sz="0" w:space="0" w:color="auto"/>
            <w:bottom w:val="none" w:sz="0" w:space="0" w:color="auto"/>
            <w:right w:val="none" w:sz="0" w:space="0" w:color="auto"/>
          </w:divBdr>
        </w:div>
        <w:div w:id="476724123">
          <w:marLeft w:val="0"/>
          <w:marRight w:val="0"/>
          <w:marTop w:val="0"/>
          <w:marBottom w:val="0"/>
          <w:divBdr>
            <w:top w:val="none" w:sz="0" w:space="0" w:color="auto"/>
            <w:left w:val="none" w:sz="0" w:space="0" w:color="auto"/>
            <w:bottom w:val="none" w:sz="0" w:space="0" w:color="auto"/>
            <w:right w:val="none" w:sz="0" w:space="0" w:color="auto"/>
          </w:divBdr>
        </w:div>
        <w:div w:id="616646556">
          <w:marLeft w:val="0"/>
          <w:marRight w:val="0"/>
          <w:marTop w:val="0"/>
          <w:marBottom w:val="0"/>
          <w:divBdr>
            <w:top w:val="none" w:sz="0" w:space="0" w:color="auto"/>
            <w:left w:val="none" w:sz="0" w:space="0" w:color="auto"/>
            <w:bottom w:val="none" w:sz="0" w:space="0" w:color="auto"/>
            <w:right w:val="none" w:sz="0" w:space="0" w:color="auto"/>
          </w:divBdr>
        </w:div>
        <w:div w:id="834304898">
          <w:marLeft w:val="0"/>
          <w:marRight w:val="0"/>
          <w:marTop w:val="0"/>
          <w:marBottom w:val="0"/>
          <w:divBdr>
            <w:top w:val="none" w:sz="0" w:space="0" w:color="auto"/>
            <w:left w:val="none" w:sz="0" w:space="0" w:color="auto"/>
            <w:bottom w:val="none" w:sz="0" w:space="0" w:color="auto"/>
            <w:right w:val="none" w:sz="0" w:space="0" w:color="auto"/>
          </w:divBdr>
        </w:div>
        <w:div w:id="1035153706">
          <w:marLeft w:val="0"/>
          <w:marRight w:val="0"/>
          <w:marTop w:val="0"/>
          <w:marBottom w:val="0"/>
          <w:divBdr>
            <w:top w:val="none" w:sz="0" w:space="0" w:color="auto"/>
            <w:left w:val="none" w:sz="0" w:space="0" w:color="auto"/>
            <w:bottom w:val="none" w:sz="0" w:space="0" w:color="auto"/>
            <w:right w:val="none" w:sz="0" w:space="0" w:color="auto"/>
          </w:divBdr>
        </w:div>
        <w:div w:id="1041133847">
          <w:marLeft w:val="0"/>
          <w:marRight w:val="0"/>
          <w:marTop w:val="0"/>
          <w:marBottom w:val="0"/>
          <w:divBdr>
            <w:top w:val="none" w:sz="0" w:space="0" w:color="auto"/>
            <w:left w:val="none" w:sz="0" w:space="0" w:color="auto"/>
            <w:bottom w:val="none" w:sz="0" w:space="0" w:color="auto"/>
            <w:right w:val="none" w:sz="0" w:space="0" w:color="auto"/>
          </w:divBdr>
        </w:div>
        <w:div w:id="1620987958">
          <w:marLeft w:val="0"/>
          <w:marRight w:val="0"/>
          <w:marTop w:val="0"/>
          <w:marBottom w:val="0"/>
          <w:divBdr>
            <w:top w:val="none" w:sz="0" w:space="0" w:color="auto"/>
            <w:left w:val="none" w:sz="0" w:space="0" w:color="auto"/>
            <w:bottom w:val="none" w:sz="0" w:space="0" w:color="auto"/>
            <w:right w:val="none" w:sz="0" w:space="0" w:color="auto"/>
          </w:divBdr>
        </w:div>
        <w:div w:id="1742097911">
          <w:marLeft w:val="0"/>
          <w:marRight w:val="0"/>
          <w:marTop w:val="0"/>
          <w:marBottom w:val="0"/>
          <w:divBdr>
            <w:top w:val="none" w:sz="0" w:space="0" w:color="auto"/>
            <w:left w:val="none" w:sz="0" w:space="0" w:color="auto"/>
            <w:bottom w:val="none" w:sz="0" w:space="0" w:color="auto"/>
            <w:right w:val="none" w:sz="0" w:space="0" w:color="auto"/>
          </w:divBdr>
        </w:div>
      </w:divsChild>
    </w:div>
    <w:div w:id="1282153725">
      <w:bodyDiv w:val="1"/>
      <w:marLeft w:val="0"/>
      <w:marRight w:val="0"/>
      <w:marTop w:val="0"/>
      <w:marBottom w:val="0"/>
      <w:divBdr>
        <w:top w:val="none" w:sz="0" w:space="0" w:color="auto"/>
        <w:left w:val="none" w:sz="0" w:space="0" w:color="auto"/>
        <w:bottom w:val="none" w:sz="0" w:space="0" w:color="auto"/>
        <w:right w:val="none" w:sz="0" w:space="0" w:color="auto"/>
      </w:divBdr>
    </w:div>
    <w:div w:id="1285191715">
      <w:bodyDiv w:val="1"/>
      <w:marLeft w:val="0"/>
      <w:marRight w:val="0"/>
      <w:marTop w:val="0"/>
      <w:marBottom w:val="0"/>
      <w:divBdr>
        <w:top w:val="none" w:sz="0" w:space="0" w:color="auto"/>
        <w:left w:val="none" w:sz="0" w:space="0" w:color="auto"/>
        <w:bottom w:val="none" w:sz="0" w:space="0" w:color="auto"/>
        <w:right w:val="none" w:sz="0" w:space="0" w:color="auto"/>
      </w:divBdr>
    </w:div>
    <w:div w:id="1410688752">
      <w:bodyDiv w:val="1"/>
      <w:marLeft w:val="0"/>
      <w:marRight w:val="0"/>
      <w:marTop w:val="0"/>
      <w:marBottom w:val="0"/>
      <w:divBdr>
        <w:top w:val="none" w:sz="0" w:space="0" w:color="auto"/>
        <w:left w:val="none" w:sz="0" w:space="0" w:color="auto"/>
        <w:bottom w:val="none" w:sz="0" w:space="0" w:color="auto"/>
        <w:right w:val="none" w:sz="0" w:space="0" w:color="auto"/>
      </w:divBdr>
      <w:divsChild>
        <w:div w:id="85656094">
          <w:marLeft w:val="0"/>
          <w:marRight w:val="0"/>
          <w:marTop w:val="0"/>
          <w:marBottom w:val="0"/>
          <w:divBdr>
            <w:top w:val="none" w:sz="0" w:space="0" w:color="auto"/>
            <w:left w:val="none" w:sz="0" w:space="0" w:color="auto"/>
            <w:bottom w:val="none" w:sz="0" w:space="0" w:color="auto"/>
            <w:right w:val="none" w:sz="0" w:space="0" w:color="auto"/>
          </w:divBdr>
        </w:div>
        <w:div w:id="114954421">
          <w:marLeft w:val="0"/>
          <w:marRight w:val="0"/>
          <w:marTop w:val="0"/>
          <w:marBottom w:val="0"/>
          <w:divBdr>
            <w:top w:val="none" w:sz="0" w:space="0" w:color="auto"/>
            <w:left w:val="none" w:sz="0" w:space="0" w:color="auto"/>
            <w:bottom w:val="none" w:sz="0" w:space="0" w:color="auto"/>
            <w:right w:val="none" w:sz="0" w:space="0" w:color="auto"/>
          </w:divBdr>
        </w:div>
      </w:divsChild>
    </w:div>
    <w:div w:id="1460107537">
      <w:bodyDiv w:val="1"/>
      <w:marLeft w:val="0"/>
      <w:marRight w:val="0"/>
      <w:marTop w:val="0"/>
      <w:marBottom w:val="0"/>
      <w:divBdr>
        <w:top w:val="none" w:sz="0" w:space="0" w:color="auto"/>
        <w:left w:val="none" w:sz="0" w:space="0" w:color="auto"/>
        <w:bottom w:val="none" w:sz="0" w:space="0" w:color="auto"/>
        <w:right w:val="none" w:sz="0" w:space="0" w:color="auto"/>
      </w:divBdr>
    </w:div>
    <w:div w:id="1508011289">
      <w:bodyDiv w:val="1"/>
      <w:marLeft w:val="0"/>
      <w:marRight w:val="0"/>
      <w:marTop w:val="0"/>
      <w:marBottom w:val="0"/>
      <w:divBdr>
        <w:top w:val="none" w:sz="0" w:space="0" w:color="auto"/>
        <w:left w:val="none" w:sz="0" w:space="0" w:color="auto"/>
        <w:bottom w:val="none" w:sz="0" w:space="0" w:color="auto"/>
        <w:right w:val="none" w:sz="0" w:space="0" w:color="auto"/>
      </w:divBdr>
      <w:divsChild>
        <w:div w:id="116291020">
          <w:marLeft w:val="0"/>
          <w:marRight w:val="0"/>
          <w:marTop w:val="0"/>
          <w:marBottom w:val="0"/>
          <w:divBdr>
            <w:top w:val="none" w:sz="0" w:space="0" w:color="auto"/>
            <w:left w:val="none" w:sz="0" w:space="0" w:color="auto"/>
            <w:bottom w:val="none" w:sz="0" w:space="0" w:color="auto"/>
            <w:right w:val="none" w:sz="0" w:space="0" w:color="auto"/>
          </w:divBdr>
        </w:div>
        <w:div w:id="132526941">
          <w:marLeft w:val="0"/>
          <w:marRight w:val="0"/>
          <w:marTop w:val="0"/>
          <w:marBottom w:val="0"/>
          <w:divBdr>
            <w:top w:val="none" w:sz="0" w:space="0" w:color="auto"/>
            <w:left w:val="none" w:sz="0" w:space="0" w:color="auto"/>
            <w:bottom w:val="none" w:sz="0" w:space="0" w:color="auto"/>
            <w:right w:val="none" w:sz="0" w:space="0" w:color="auto"/>
          </w:divBdr>
        </w:div>
        <w:div w:id="307789448">
          <w:marLeft w:val="0"/>
          <w:marRight w:val="0"/>
          <w:marTop w:val="0"/>
          <w:marBottom w:val="0"/>
          <w:divBdr>
            <w:top w:val="none" w:sz="0" w:space="0" w:color="auto"/>
            <w:left w:val="none" w:sz="0" w:space="0" w:color="auto"/>
            <w:bottom w:val="none" w:sz="0" w:space="0" w:color="auto"/>
            <w:right w:val="none" w:sz="0" w:space="0" w:color="auto"/>
          </w:divBdr>
        </w:div>
        <w:div w:id="463886514">
          <w:marLeft w:val="0"/>
          <w:marRight w:val="0"/>
          <w:marTop w:val="0"/>
          <w:marBottom w:val="0"/>
          <w:divBdr>
            <w:top w:val="none" w:sz="0" w:space="0" w:color="auto"/>
            <w:left w:val="none" w:sz="0" w:space="0" w:color="auto"/>
            <w:bottom w:val="none" w:sz="0" w:space="0" w:color="auto"/>
            <w:right w:val="none" w:sz="0" w:space="0" w:color="auto"/>
          </w:divBdr>
        </w:div>
        <w:div w:id="1330402495">
          <w:marLeft w:val="0"/>
          <w:marRight w:val="0"/>
          <w:marTop w:val="0"/>
          <w:marBottom w:val="0"/>
          <w:divBdr>
            <w:top w:val="none" w:sz="0" w:space="0" w:color="auto"/>
            <w:left w:val="none" w:sz="0" w:space="0" w:color="auto"/>
            <w:bottom w:val="none" w:sz="0" w:space="0" w:color="auto"/>
            <w:right w:val="none" w:sz="0" w:space="0" w:color="auto"/>
          </w:divBdr>
        </w:div>
        <w:div w:id="1396078568">
          <w:marLeft w:val="0"/>
          <w:marRight w:val="0"/>
          <w:marTop w:val="0"/>
          <w:marBottom w:val="0"/>
          <w:divBdr>
            <w:top w:val="none" w:sz="0" w:space="0" w:color="auto"/>
            <w:left w:val="none" w:sz="0" w:space="0" w:color="auto"/>
            <w:bottom w:val="none" w:sz="0" w:space="0" w:color="auto"/>
            <w:right w:val="none" w:sz="0" w:space="0" w:color="auto"/>
          </w:divBdr>
        </w:div>
        <w:div w:id="1433545838">
          <w:marLeft w:val="0"/>
          <w:marRight w:val="0"/>
          <w:marTop w:val="0"/>
          <w:marBottom w:val="0"/>
          <w:divBdr>
            <w:top w:val="none" w:sz="0" w:space="0" w:color="auto"/>
            <w:left w:val="none" w:sz="0" w:space="0" w:color="auto"/>
            <w:bottom w:val="none" w:sz="0" w:space="0" w:color="auto"/>
            <w:right w:val="none" w:sz="0" w:space="0" w:color="auto"/>
          </w:divBdr>
        </w:div>
        <w:div w:id="1481994720">
          <w:marLeft w:val="0"/>
          <w:marRight w:val="0"/>
          <w:marTop w:val="0"/>
          <w:marBottom w:val="0"/>
          <w:divBdr>
            <w:top w:val="none" w:sz="0" w:space="0" w:color="auto"/>
            <w:left w:val="none" w:sz="0" w:space="0" w:color="auto"/>
            <w:bottom w:val="none" w:sz="0" w:space="0" w:color="auto"/>
            <w:right w:val="none" w:sz="0" w:space="0" w:color="auto"/>
          </w:divBdr>
        </w:div>
        <w:div w:id="1501969231">
          <w:marLeft w:val="0"/>
          <w:marRight w:val="0"/>
          <w:marTop w:val="0"/>
          <w:marBottom w:val="0"/>
          <w:divBdr>
            <w:top w:val="none" w:sz="0" w:space="0" w:color="auto"/>
            <w:left w:val="none" w:sz="0" w:space="0" w:color="auto"/>
            <w:bottom w:val="none" w:sz="0" w:space="0" w:color="auto"/>
            <w:right w:val="none" w:sz="0" w:space="0" w:color="auto"/>
          </w:divBdr>
        </w:div>
      </w:divsChild>
    </w:div>
    <w:div w:id="1698431351">
      <w:bodyDiv w:val="1"/>
      <w:marLeft w:val="0"/>
      <w:marRight w:val="0"/>
      <w:marTop w:val="0"/>
      <w:marBottom w:val="0"/>
      <w:divBdr>
        <w:top w:val="none" w:sz="0" w:space="0" w:color="auto"/>
        <w:left w:val="none" w:sz="0" w:space="0" w:color="auto"/>
        <w:bottom w:val="none" w:sz="0" w:space="0" w:color="auto"/>
        <w:right w:val="none" w:sz="0" w:space="0" w:color="auto"/>
      </w:divBdr>
      <w:divsChild>
        <w:div w:id="1100376217">
          <w:marLeft w:val="0"/>
          <w:marRight w:val="0"/>
          <w:marTop w:val="0"/>
          <w:marBottom w:val="0"/>
          <w:divBdr>
            <w:top w:val="none" w:sz="0" w:space="0" w:color="auto"/>
            <w:left w:val="none" w:sz="0" w:space="0" w:color="auto"/>
            <w:bottom w:val="none" w:sz="0" w:space="0" w:color="auto"/>
            <w:right w:val="none" w:sz="0" w:space="0" w:color="auto"/>
          </w:divBdr>
        </w:div>
        <w:div w:id="1656253780">
          <w:marLeft w:val="0"/>
          <w:marRight w:val="0"/>
          <w:marTop w:val="0"/>
          <w:marBottom w:val="0"/>
          <w:divBdr>
            <w:top w:val="none" w:sz="0" w:space="0" w:color="auto"/>
            <w:left w:val="none" w:sz="0" w:space="0" w:color="auto"/>
            <w:bottom w:val="none" w:sz="0" w:space="0" w:color="auto"/>
            <w:right w:val="none" w:sz="0" w:space="0" w:color="auto"/>
          </w:divBdr>
        </w:div>
      </w:divsChild>
    </w:div>
    <w:div w:id="1724719370">
      <w:bodyDiv w:val="1"/>
      <w:marLeft w:val="0"/>
      <w:marRight w:val="0"/>
      <w:marTop w:val="0"/>
      <w:marBottom w:val="0"/>
      <w:divBdr>
        <w:top w:val="none" w:sz="0" w:space="0" w:color="auto"/>
        <w:left w:val="none" w:sz="0" w:space="0" w:color="auto"/>
        <w:bottom w:val="none" w:sz="0" w:space="0" w:color="auto"/>
        <w:right w:val="none" w:sz="0" w:space="0" w:color="auto"/>
      </w:divBdr>
    </w:div>
    <w:div w:id="1737819572">
      <w:bodyDiv w:val="1"/>
      <w:marLeft w:val="0"/>
      <w:marRight w:val="0"/>
      <w:marTop w:val="0"/>
      <w:marBottom w:val="0"/>
      <w:divBdr>
        <w:top w:val="none" w:sz="0" w:space="0" w:color="auto"/>
        <w:left w:val="none" w:sz="0" w:space="0" w:color="auto"/>
        <w:bottom w:val="none" w:sz="0" w:space="0" w:color="auto"/>
        <w:right w:val="none" w:sz="0" w:space="0" w:color="auto"/>
      </w:divBdr>
    </w:div>
    <w:div w:id="1762753935">
      <w:bodyDiv w:val="1"/>
      <w:marLeft w:val="0"/>
      <w:marRight w:val="0"/>
      <w:marTop w:val="0"/>
      <w:marBottom w:val="0"/>
      <w:divBdr>
        <w:top w:val="none" w:sz="0" w:space="0" w:color="auto"/>
        <w:left w:val="none" w:sz="0" w:space="0" w:color="auto"/>
        <w:bottom w:val="none" w:sz="0" w:space="0" w:color="auto"/>
        <w:right w:val="none" w:sz="0" w:space="0" w:color="auto"/>
      </w:divBdr>
    </w:div>
    <w:div w:id="1816484220">
      <w:bodyDiv w:val="1"/>
      <w:marLeft w:val="0"/>
      <w:marRight w:val="0"/>
      <w:marTop w:val="0"/>
      <w:marBottom w:val="0"/>
      <w:divBdr>
        <w:top w:val="none" w:sz="0" w:space="0" w:color="auto"/>
        <w:left w:val="none" w:sz="0" w:space="0" w:color="auto"/>
        <w:bottom w:val="none" w:sz="0" w:space="0" w:color="auto"/>
        <w:right w:val="none" w:sz="0" w:space="0" w:color="auto"/>
      </w:divBdr>
      <w:divsChild>
        <w:div w:id="665480085">
          <w:marLeft w:val="0"/>
          <w:marRight w:val="0"/>
          <w:marTop w:val="0"/>
          <w:marBottom w:val="0"/>
          <w:divBdr>
            <w:top w:val="none" w:sz="0" w:space="0" w:color="auto"/>
            <w:left w:val="none" w:sz="0" w:space="0" w:color="auto"/>
            <w:bottom w:val="none" w:sz="0" w:space="0" w:color="auto"/>
            <w:right w:val="none" w:sz="0" w:space="0" w:color="auto"/>
          </w:divBdr>
        </w:div>
        <w:div w:id="1784303673">
          <w:marLeft w:val="0"/>
          <w:marRight w:val="0"/>
          <w:marTop w:val="0"/>
          <w:marBottom w:val="0"/>
          <w:divBdr>
            <w:top w:val="none" w:sz="0" w:space="0" w:color="auto"/>
            <w:left w:val="none" w:sz="0" w:space="0" w:color="auto"/>
            <w:bottom w:val="none" w:sz="0" w:space="0" w:color="auto"/>
            <w:right w:val="none" w:sz="0" w:space="0" w:color="auto"/>
          </w:divBdr>
        </w:div>
      </w:divsChild>
    </w:div>
    <w:div w:id="1825855485">
      <w:bodyDiv w:val="1"/>
      <w:marLeft w:val="0"/>
      <w:marRight w:val="0"/>
      <w:marTop w:val="0"/>
      <w:marBottom w:val="0"/>
      <w:divBdr>
        <w:top w:val="none" w:sz="0" w:space="0" w:color="auto"/>
        <w:left w:val="none" w:sz="0" w:space="0" w:color="auto"/>
        <w:bottom w:val="none" w:sz="0" w:space="0" w:color="auto"/>
        <w:right w:val="none" w:sz="0" w:space="0" w:color="auto"/>
      </w:divBdr>
    </w:div>
    <w:div w:id="1893226167">
      <w:bodyDiv w:val="1"/>
      <w:marLeft w:val="0"/>
      <w:marRight w:val="0"/>
      <w:marTop w:val="0"/>
      <w:marBottom w:val="0"/>
      <w:divBdr>
        <w:top w:val="none" w:sz="0" w:space="0" w:color="auto"/>
        <w:left w:val="none" w:sz="0" w:space="0" w:color="auto"/>
        <w:bottom w:val="none" w:sz="0" w:space="0" w:color="auto"/>
        <w:right w:val="none" w:sz="0" w:space="0" w:color="auto"/>
      </w:divBdr>
      <w:divsChild>
        <w:div w:id="559707297">
          <w:marLeft w:val="0"/>
          <w:marRight w:val="0"/>
          <w:marTop w:val="0"/>
          <w:marBottom w:val="0"/>
          <w:divBdr>
            <w:top w:val="none" w:sz="0" w:space="0" w:color="auto"/>
            <w:left w:val="none" w:sz="0" w:space="0" w:color="auto"/>
            <w:bottom w:val="none" w:sz="0" w:space="0" w:color="auto"/>
            <w:right w:val="none" w:sz="0" w:space="0" w:color="auto"/>
          </w:divBdr>
          <w:divsChild>
            <w:div w:id="611863451">
              <w:marLeft w:val="0"/>
              <w:marRight w:val="0"/>
              <w:marTop w:val="0"/>
              <w:marBottom w:val="0"/>
              <w:divBdr>
                <w:top w:val="none" w:sz="0" w:space="0" w:color="auto"/>
                <w:left w:val="none" w:sz="0" w:space="0" w:color="auto"/>
                <w:bottom w:val="none" w:sz="0" w:space="0" w:color="auto"/>
                <w:right w:val="none" w:sz="0" w:space="0" w:color="auto"/>
              </w:divBdr>
              <w:divsChild>
                <w:div w:id="419758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607141">
          <w:marLeft w:val="0"/>
          <w:marRight w:val="0"/>
          <w:marTop w:val="0"/>
          <w:marBottom w:val="0"/>
          <w:divBdr>
            <w:top w:val="none" w:sz="0" w:space="0" w:color="auto"/>
            <w:left w:val="none" w:sz="0" w:space="0" w:color="auto"/>
            <w:bottom w:val="none" w:sz="0" w:space="0" w:color="auto"/>
            <w:right w:val="none" w:sz="0" w:space="0" w:color="auto"/>
          </w:divBdr>
          <w:divsChild>
            <w:div w:id="339352767">
              <w:marLeft w:val="0"/>
              <w:marRight w:val="0"/>
              <w:marTop w:val="0"/>
              <w:marBottom w:val="0"/>
              <w:divBdr>
                <w:top w:val="none" w:sz="0" w:space="0" w:color="auto"/>
                <w:left w:val="none" w:sz="0" w:space="0" w:color="auto"/>
                <w:bottom w:val="none" w:sz="0" w:space="0" w:color="auto"/>
                <w:right w:val="none" w:sz="0" w:space="0" w:color="auto"/>
              </w:divBdr>
              <w:divsChild>
                <w:div w:id="63720964">
                  <w:marLeft w:val="0"/>
                  <w:marRight w:val="0"/>
                  <w:marTop w:val="0"/>
                  <w:marBottom w:val="0"/>
                  <w:divBdr>
                    <w:top w:val="none" w:sz="0" w:space="0" w:color="auto"/>
                    <w:left w:val="none" w:sz="0" w:space="0" w:color="auto"/>
                    <w:bottom w:val="none" w:sz="0" w:space="0" w:color="auto"/>
                    <w:right w:val="none" w:sz="0" w:space="0" w:color="auto"/>
                  </w:divBdr>
                </w:div>
              </w:divsChild>
            </w:div>
            <w:div w:id="1322123951">
              <w:marLeft w:val="0"/>
              <w:marRight w:val="0"/>
              <w:marTop w:val="0"/>
              <w:marBottom w:val="0"/>
              <w:divBdr>
                <w:top w:val="none" w:sz="0" w:space="0" w:color="auto"/>
                <w:left w:val="none" w:sz="0" w:space="0" w:color="auto"/>
                <w:bottom w:val="none" w:sz="0" w:space="0" w:color="auto"/>
                <w:right w:val="none" w:sz="0" w:space="0" w:color="auto"/>
              </w:divBdr>
              <w:divsChild>
                <w:div w:id="885024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246687">
      <w:bodyDiv w:val="1"/>
      <w:marLeft w:val="0"/>
      <w:marRight w:val="0"/>
      <w:marTop w:val="0"/>
      <w:marBottom w:val="0"/>
      <w:divBdr>
        <w:top w:val="none" w:sz="0" w:space="0" w:color="auto"/>
        <w:left w:val="none" w:sz="0" w:space="0" w:color="auto"/>
        <w:bottom w:val="none" w:sz="0" w:space="0" w:color="auto"/>
        <w:right w:val="none" w:sz="0" w:space="0" w:color="auto"/>
      </w:divBdr>
      <w:divsChild>
        <w:div w:id="478420103">
          <w:marLeft w:val="0"/>
          <w:marRight w:val="0"/>
          <w:marTop w:val="0"/>
          <w:marBottom w:val="0"/>
          <w:divBdr>
            <w:top w:val="none" w:sz="0" w:space="0" w:color="auto"/>
            <w:left w:val="none" w:sz="0" w:space="0" w:color="auto"/>
            <w:bottom w:val="none" w:sz="0" w:space="0" w:color="auto"/>
            <w:right w:val="none" w:sz="0" w:space="0" w:color="auto"/>
          </w:divBdr>
        </w:div>
        <w:div w:id="1930698490">
          <w:marLeft w:val="0"/>
          <w:marRight w:val="0"/>
          <w:marTop w:val="0"/>
          <w:marBottom w:val="0"/>
          <w:divBdr>
            <w:top w:val="none" w:sz="0" w:space="0" w:color="auto"/>
            <w:left w:val="none" w:sz="0" w:space="0" w:color="auto"/>
            <w:bottom w:val="none" w:sz="0" w:space="0" w:color="auto"/>
            <w:right w:val="none" w:sz="0" w:space="0" w:color="auto"/>
          </w:divBdr>
        </w:div>
      </w:divsChild>
    </w:div>
    <w:div w:id="2010408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est01\OneDrive%20-%20United%20Nations\Documents\ACCC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5BAD6B90F990844849380189D456564" ma:contentTypeVersion="13" ma:contentTypeDescription="Create a new document." ma:contentTypeScope="" ma:versionID="67054ffb31da3b639da52eb4583cd4b6">
  <xsd:schema xmlns:xsd="http://www.w3.org/2001/XMLSchema" xmlns:xs="http://www.w3.org/2001/XMLSchema" xmlns:p="http://schemas.microsoft.com/office/2006/metadata/properties" xmlns:ns2="218fc245-16fb-4e80-b15a-44d5324d7fea" xmlns:ns3="c938e5d9-4d9f-46ad-8df2-2c223b949764" targetNamespace="http://schemas.microsoft.com/office/2006/metadata/properties" ma:root="true" ma:fieldsID="5ffddbfaf0273b59d943e87fa5e90f7c" ns2:_="" ns3:_="">
    <xsd:import namespace="218fc245-16fb-4e80-b15a-44d5324d7fea"/>
    <xsd:import namespace="c938e5d9-4d9f-46ad-8df2-2c223b94976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ServiceOCR" minOccurs="0"/>
                <xsd:element ref="ns3:SharedWithUsers" minOccurs="0"/>
                <xsd:element ref="ns3:SharedWithDetails" minOccurs="0"/>
                <xsd:element ref="ns2: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8fc245-16fb-4e80-b15a-44d5324d7f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date" ma:index="20" nillable="true" ma:displayName="date" ma:format="DateOnly" ma:internalNam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938e5d9-4d9f-46ad-8df2-2c223b94976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date xmlns="218fc245-16fb-4e80-b15a-44d5324d7fea" xsi:nil="true"/>
  </documentManagement>
</p:properties>
</file>

<file path=customXml/itemProps1.xml><?xml version="1.0" encoding="utf-8"?>
<ds:datastoreItem xmlns:ds="http://schemas.openxmlformats.org/officeDocument/2006/customXml" ds:itemID="{C14C1D22-E225-4D2F-BBE1-968D4D3D84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8fc245-16fb-4e80-b15a-44d5324d7fea"/>
    <ds:schemaRef ds:uri="c938e5d9-4d9f-46ad-8df2-2c223b9497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532B10-15AD-45AD-9606-3FDF01627643}">
  <ds:schemaRefs>
    <ds:schemaRef ds:uri="http://schemas.microsoft.com/sharepoint/v3/contenttype/forms"/>
  </ds:schemaRefs>
</ds:datastoreItem>
</file>

<file path=customXml/itemProps3.xml><?xml version="1.0" encoding="utf-8"?>
<ds:datastoreItem xmlns:ds="http://schemas.openxmlformats.org/officeDocument/2006/customXml" ds:itemID="{FE24628A-F1E6-44A7-9C31-257DA6D29A0E}">
  <ds:schemaRefs>
    <ds:schemaRef ds:uri="http://schemas.openxmlformats.org/officeDocument/2006/bibliography"/>
  </ds:schemaRefs>
</ds:datastoreItem>
</file>

<file path=customXml/itemProps4.xml><?xml version="1.0" encoding="utf-8"?>
<ds:datastoreItem xmlns:ds="http://schemas.openxmlformats.org/officeDocument/2006/customXml" ds:itemID="{548B4FC4-0A46-4025-866C-4A40152E4105}">
  <ds:schemaRefs>
    <ds:schemaRef ds:uri="http://schemas.microsoft.com/office/2006/metadata/properties"/>
    <ds:schemaRef ds:uri="http://schemas.microsoft.com/office/infopath/2007/PartnerControls"/>
    <ds:schemaRef ds:uri="218fc245-16fb-4e80-b15a-44d5324d7fea"/>
  </ds:schemaRefs>
</ds:datastoreItem>
</file>

<file path=docProps/app.xml><?xml version="1.0" encoding="utf-8"?>
<Properties xmlns="http://schemas.openxmlformats.org/officeDocument/2006/extended-properties" xmlns:vt="http://schemas.openxmlformats.org/officeDocument/2006/docPropsVTypes">
  <Template>ACCC2.dotx</Template>
  <TotalTime>5</TotalTime>
  <Pages>21</Pages>
  <Words>9052</Words>
  <Characters>51961</Characters>
  <Application>Microsoft Office Word</Application>
  <DocSecurity>0</DocSecurity>
  <Lines>1404</Lines>
  <Paragraphs>709</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United Nations</vt:lpstr>
      <vt:lpstr>United Nations</vt:lpstr>
    </vt:vector>
  </TitlesOfParts>
  <Company>CSD</Company>
  <LinksUpToDate>false</LinksUpToDate>
  <CharactersWithSpaces>60304</CharactersWithSpaces>
  <SharedDoc>false</SharedDoc>
  <HLinks>
    <vt:vector size="6" baseType="variant">
      <vt:variant>
        <vt:i4>1966173</vt:i4>
      </vt:variant>
      <vt:variant>
        <vt:i4>0</vt:i4>
      </vt:variant>
      <vt:variant>
        <vt:i4>0</vt:i4>
      </vt:variant>
      <vt:variant>
        <vt:i4>5</vt:i4>
      </vt:variant>
      <vt:variant>
        <vt:lpwstr>https://www.autoriteitnvs.nl/actueel/nieuws/2016/04/07/ontwerp-revisievergunning-epz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subject/>
  <dc:creator>De_La_Cruz</dc:creator>
  <cp:keywords/>
  <dc:description/>
  <cp:lastModifiedBy>Fiona Marshall</cp:lastModifiedBy>
  <cp:revision>4</cp:revision>
  <cp:lastPrinted>2019-03-07T13:19:00Z</cp:lastPrinted>
  <dcterms:created xsi:type="dcterms:W3CDTF">2021-06-10T18:07:00Z</dcterms:created>
  <dcterms:modified xsi:type="dcterms:W3CDTF">2021-06-10T18:14:00Z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0x010100B5BAD6B90F990844849380189D456564</vt:lpwstr>
  </property>
  <property fmtid="{D5CDD505-2E9C-101B-9397-08002B2CF9AE}" pid="3" name="Order">
    <vt:r8>4341800</vt:r8>
  </property>
</Properties>
</file>