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F921C09"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493651">
              <w:rPr>
                <w:b/>
                <w:sz w:val="40"/>
                <w:szCs w:val="40"/>
              </w:rPr>
              <w:t>3</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089D26E9"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21</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05859336" w:rsidR="00006E29" w:rsidRPr="00E44D34" w:rsidRDefault="00006E29" w:rsidP="00597048">
            <w:pPr>
              <w:rPr>
                <w:b/>
              </w:rPr>
            </w:pPr>
            <w:r w:rsidRPr="00345772">
              <w:t>Geneva, 28 June-2 July 2021</w:t>
            </w:r>
            <w:r w:rsidRPr="00345772">
              <w:br/>
            </w:r>
            <w:r w:rsidRPr="00345772">
              <w:rPr>
                <w:lang w:val="en-US"/>
              </w:rPr>
              <w:t xml:space="preserve">Item </w:t>
            </w:r>
            <w:r w:rsidR="00BC6FCC">
              <w:rPr>
                <w:lang w:val="en-US"/>
              </w:rPr>
              <w:t>2</w:t>
            </w:r>
            <w:r w:rsidRPr="00345772">
              <w:rPr>
                <w:lang w:val="en-US"/>
              </w:rPr>
              <w:t xml:space="preserve"> of the provisional agenda</w:t>
            </w:r>
            <w:r>
              <w:rPr>
                <w:lang w:val="en-US"/>
              </w:rPr>
              <w:br/>
            </w:r>
            <w:r w:rsidR="00CA4F3C" w:rsidRPr="00CA4F3C">
              <w:rPr>
                <w:b/>
                <w:bCs/>
              </w:rPr>
              <w:t>Explosives and related matters</w:t>
            </w:r>
          </w:p>
        </w:tc>
      </w:tr>
    </w:tbl>
    <w:p w14:paraId="65DCDCB0" w14:textId="77777777" w:rsidR="00C241C4" w:rsidRDefault="00C241C4" w:rsidP="00C241C4">
      <w:pPr>
        <w:pStyle w:val="HChG"/>
      </w:pPr>
      <w:r>
        <w:tab/>
      </w:r>
      <w:r>
        <w:tab/>
        <w:t>Report of the Working Group on Explosives</w:t>
      </w:r>
    </w:p>
    <w:p w14:paraId="650B2F24" w14:textId="4A8772D7" w:rsidR="00C241C4" w:rsidRDefault="00C241C4" w:rsidP="00C241C4">
      <w:pPr>
        <w:pStyle w:val="H1G"/>
      </w:pPr>
      <w:r>
        <w:tab/>
      </w:r>
      <w:r>
        <w:tab/>
        <w:t>Transmitted by the Chair of the Working Group</w:t>
      </w:r>
    </w:p>
    <w:p w14:paraId="791C64CC" w14:textId="77777777" w:rsidR="00C241C4" w:rsidRDefault="00C241C4" w:rsidP="00C241C4">
      <w:pPr>
        <w:pStyle w:val="HChG"/>
      </w:pPr>
      <w:r>
        <w:tab/>
      </w:r>
      <w:r>
        <w:tab/>
        <w:t>Introduction</w:t>
      </w:r>
    </w:p>
    <w:p w14:paraId="5153D574" w14:textId="5C9E4F32" w:rsidR="00C241C4" w:rsidRDefault="00C241C4" w:rsidP="00C241C4">
      <w:pPr>
        <w:pStyle w:val="SingleTxtG"/>
        <w:numPr>
          <w:ilvl w:val="0"/>
          <w:numId w:val="21"/>
        </w:numPr>
        <w:spacing w:line="240" w:lineRule="auto"/>
        <w:ind w:right="39"/>
      </w:pPr>
      <w:r>
        <w:t xml:space="preserve">Due to continuing travel restrictions related to the COVID-19 pandemic, the working group met via web conference on 14 – 16 and 18 June 2021 to conclude its business prior to and in support of the </w:t>
      </w:r>
      <w:proofErr w:type="spellStart"/>
      <w:r w:rsidR="00CA4F3C">
        <w:rPr>
          <w:lang w:val="fr-CH"/>
        </w:rPr>
        <w:t>fifty-eighth</w:t>
      </w:r>
      <w:proofErr w:type="spellEnd"/>
      <w:r>
        <w:t xml:space="preserve"> session of the TDG Sub-Committee. Participation in this meeting of the working group included 52 experts from </w:t>
      </w:r>
      <w:bookmarkStart w:id="0" w:name="_Hlk56152042"/>
      <w:r>
        <w:t>Belgium, Canada, Finland, France, Germany, Japan, Republic of Korea, Netherlands, New Zealand, Poland, Spain, Sweden, United Kingdom</w:t>
      </w:r>
      <w:r w:rsidR="00EA417C">
        <w:rPr>
          <w:lang w:val="fr-CH"/>
        </w:rPr>
        <w:t xml:space="preserve"> (UK)</w:t>
      </w:r>
      <w:r>
        <w:t>, United States of America</w:t>
      </w:r>
      <w:r w:rsidR="00F63F63">
        <w:rPr>
          <w:lang w:val="fr-CH"/>
        </w:rPr>
        <w:t xml:space="preserve"> (USA</w:t>
      </w:r>
      <w:r w:rsidR="002F415D">
        <w:rPr>
          <w:lang w:val="fr-CH"/>
        </w:rPr>
        <w:t>)</w:t>
      </w:r>
      <w:r>
        <w:t>, Association of European Manufacturers of Sporting Ammunition (AFEMS), Australasian Explosives Industry Safety Group (AEISG), Council on Safe Transportation of Hazardous Articles (COSTHA), European Association of Automotive Suppliers (CLEPA), European Chemical Industry Council (CEFIC), Institute of Makers of Explosives (IME), Responsible Packaging Management Association of Southern Africa (RPMASA), and Sporting Arms and Ammunition Manufacturers' Institute (SAAMI)</w:t>
      </w:r>
      <w:bookmarkEnd w:id="0"/>
      <w:r>
        <w:t>. Annex 1 of this report provides a list of participants</w:t>
      </w:r>
      <w:r>
        <w:rPr>
          <w:rStyle w:val="Appelnotedebasdep"/>
        </w:rPr>
        <w:footnoteReference w:id="2"/>
      </w:r>
      <w:r>
        <w:t>. The group discussed technical matters related to official papers and informal papers as time allowed. Mr. Ed de Jong (Netherlands) served as chair and Mr. David Boston (IME) as secretariat.</w:t>
      </w:r>
    </w:p>
    <w:p w14:paraId="183099FC" w14:textId="77777777" w:rsidR="00C241C4" w:rsidRDefault="00C241C4" w:rsidP="00C241C4">
      <w:pPr>
        <w:pStyle w:val="SingleTxtG"/>
        <w:numPr>
          <w:ilvl w:val="0"/>
          <w:numId w:val="21"/>
        </w:numPr>
        <w:spacing w:line="240" w:lineRule="auto"/>
        <w:ind w:right="1"/>
      </w:pPr>
      <w:r>
        <w:t>Throughout this report, the following abbreviations may be used:</w:t>
      </w:r>
    </w:p>
    <w:p w14:paraId="1B902008" w14:textId="77777777" w:rsidR="00C241C4" w:rsidRDefault="00C241C4" w:rsidP="00C241C4">
      <w:pPr>
        <w:pStyle w:val="SingleTxtG"/>
        <w:numPr>
          <w:ilvl w:val="0"/>
          <w:numId w:val="22"/>
        </w:numPr>
        <w:spacing w:after="0" w:line="240" w:lineRule="auto"/>
        <w:ind w:right="1"/>
        <w:contextualSpacing/>
      </w:pPr>
      <w:r>
        <w:t>EWG – Working Group on Explosives</w:t>
      </w:r>
    </w:p>
    <w:p w14:paraId="03299153" w14:textId="77777777" w:rsidR="00C241C4" w:rsidRDefault="00C241C4" w:rsidP="00C241C4">
      <w:pPr>
        <w:pStyle w:val="SingleTxtG"/>
        <w:numPr>
          <w:ilvl w:val="0"/>
          <w:numId w:val="22"/>
        </w:numPr>
        <w:spacing w:after="0" w:line="240" w:lineRule="auto"/>
        <w:ind w:right="1"/>
        <w:contextualSpacing/>
      </w:pPr>
      <w:r>
        <w:t>GHS – Globally Harmonized System</w:t>
      </w:r>
    </w:p>
    <w:p w14:paraId="6CB8DC64" w14:textId="77777777" w:rsidR="00C241C4" w:rsidRDefault="00C241C4" w:rsidP="00C241C4">
      <w:pPr>
        <w:pStyle w:val="SingleTxtG"/>
        <w:numPr>
          <w:ilvl w:val="0"/>
          <w:numId w:val="22"/>
        </w:numPr>
        <w:spacing w:after="0" w:line="240" w:lineRule="auto"/>
        <w:ind w:right="1"/>
        <w:contextualSpacing/>
      </w:pPr>
      <w:r>
        <w:t>ICG – Informal Correspondence Group</w:t>
      </w:r>
    </w:p>
    <w:p w14:paraId="0AEBCDDD" w14:textId="77777777" w:rsidR="00C241C4" w:rsidRDefault="00C241C4" w:rsidP="00C241C4">
      <w:pPr>
        <w:pStyle w:val="SingleTxtG"/>
        <w:numPr>
          <w:ilvl w:val="0"/>
          <w:numId w:val="22"/>
        </w:numPr>
        <w:spacing w:after="0" w:line="240" w:lineRule="auto"/>
        <w:ind w:right="1"/>
        <w:contextualSpacing/>
      </w:pPr>
      <w:r>
        <w:t>MR – Model Regulations</w:t>
      </w:r>
    </w:p>
    <w:p w14:paraId="13454020" w14:textId="77777777" w:rsidR="00C241C4" w:rsidRDefault="00C241C4" w:rsidP="00C241C4">
      <w:pPr>
        <w:pStyle w:val="SingleTxtG"/>
        <w:numPr>
          <w:ilvl w:val="0"/>
          <w:numId w:val="22"/>
        </w:numPr>
        <w:spacing w:after="0" w:line="240" w:lineRule="auto"/>
        <w:ind w:right="1"/>
        <w:contextualSpacing/>
      </w:pPr>
      <w:r>
        <w:t>MTC – Manual of Tests and Criteria</w:t>
      </w:r>
    </w:p>
    <w:p w14:paraId="62B9BEE0" w14:textId="77777777" w:rsidR="00C241C4" w:rsidRDefault="00C241C4" w:rsidP="00C241C4">
      <w:pPr>
        <w:pStyle w:val="SingleTxtG"/>
        <w:numPr>
          <w:ilvl w:val="0"/>
          <w:numId w:val="22"/>
        </w:numPr>
        <w:spacing w:after="0" w:line="240" w:lineRule="auto"/>
        <w:ind w:right="0"/>
        <w:contextualSpacing/>
      </w:pPr>
      <w:r>
        <w:t>TDG – Transport of Dangerous Goods</w:t>
      </w:r>
    </w:p>
    <w:p w14:paraId="0ADC7A82" w14:textId="77777777" w:rsidR="00C241C4" w:rsidRDefault="00C241C4" w:rsidP="00C241C4">
      <w:pPr>
        <w:pStyle w:val="SingleTxtG"/>
        <w:numPr>
          <w:ilvl w:val="0"/>
          <w:numId w:val="21"/>
        </w:numPr>
        <w:spacing w:before="240" w:line="240" w:lineRule="auto"/>
        <w:ind w:right="43"/>
      </w:pPr>
      <w:r>
        <w:t>As described below, the following documents identified in agenda items 2, 3, and 6(d) of the revised provisional agenda for the 58</w:t>
      </w:r>
      <w:r>
        <w:rPr>
          <w:vertAlign w:val="superscript"/>
        </w:rPr>
        <w:t>th</w:t>
      </w:r>
      <w:r>
        <w:t xml:space="preserve"> session</w:t>
      </w:r>
      <w:r>
        <w:rPr>
          <w:rStyle w:val="Appelnotedebasdep"/>
        </w:rPr>
        <w:footnoteReference w:id="3"/>
      </w:r>
      <w:r>
        <w:t xml:space="preserve"> were considered for discussion.</w:t>
      </w:r>
    </w:p>
    <w:tbl>
      <w:tblPr>
        <w:tblW w:w="8702" w:type="dxa"/>
        <w:tblInd w:w="1108" w:type="dxa"/>
        <w:tblCellMar>
          <w:top w:w="29" w:type="dxa"/>
          <w:left w:w="115" w:type="dxa"/>
          <w:bottom w:w="29" w:type="dxa"/>
          <w:right w:w="115" w:type="dxa"/>
        </w:tblCellMar>
        <w:tblLook w:val="04A0" w:firstRow="1" w:lastRow="0" w:firstColumn="1" w:lastColumn="0" w:noHBand="0" w:noVBand="1"/>
      </w:tblPr>
      <w:tblGrid>
        <w:gridCol w:w="2905"/>
        <w:gridCol w:w="4236"/>
        <w:gridCol w:w="1561"/>
      </w:tblGrid>
      <w:tr w:rsidR="00C241C4" w14:paraId="50222F5B" w14:textId="77777777" w:rsidTr="00C241C4">
        <w:trPr>
          <w:cantSplit/>
          <w:trHeight w:val="255"/>
          <w:tblHeader/>
        </w:trPr>
        <w:tc>
          <w:tcPr>
            <w:tcW w:w="2905" w:type="dxa"/>
            <w:hideMark/>
          </w:tcPr>
          <w:p w14:paraId="47548C9E" w14:textId="77777777" w:rsidR="00C241C4" w:rsidRDefault="00C241C4">
            <w:pPr>
              <w:keepNext/>
              <w:suppressAutoHyphens w:val="0"/>
              <w:spacing w:line="240" w:lineRule="auto"/>
              <w:ind w:left="216" w:hanging="216"/>
              <w:rPr>
                <w:b/>
                <w:bCs/>
              </w:rPr>
            </w:pPr>
            <w:r>
              <w:rPr>
                <w:b/>
                <w:bCs/>
              </w:rPr>
              <w:t>Document</w:t>
            </w:r>
          </w:p>
        </w:tc>
        <w:tc>
          <w:tcPr>
            <w:tcW w:w="4236" w:type="dxa"/>
            <w:hideMark/>
          </w:tcPr>
          <w:p w14:paraId="11A35681" w14:textId="77777777" w:rsidR="00C241C4" w:rsidRDefault="00C241C4">
            <w:pPr>
              <w:suppressAutoHyphens w:val="0"/>
              <w:spacing w:line="240" w:lineRule="auto"/>
              <w:ind w:left="264" w:hanging="264"/>
              <w:rPr>
                <w:b/>
                <w:bCs/>
              </w:rPr>
            </w:pPr>
            <w:r>
              <w:rPr>
                <w:b/>
                <w:bCs/>
              </w:rPr>
              <w:t>Title</w:t>
            </w:r>
          </w:p>
        </w:tc>
        <w:tc>
          <w:tcPr>
            <w:tcW w:w="1561" w:type="dxa"/>
            <w:hideMark/>
          </w:tcPr>
          <w:p w14:paraId="423A42D1" w14:textId="77777777" w:rsidR="00C241C4" w:rsidRDefault="00C241C4">
            <w:pPr>
              <w:suppressAutoHyphens w:val="0"/>
              <w:spacing w:line="240" w:lineRule="auto"/>
              <w:ind w:left="264" w:hanging="264"/>
              <w:jc w:val="center"/>
              <w:rPr>
                <w:b/>
                <w:bCs/>
              </w:rPr>
            </w:pPr>
            <w:r>
              <w:rPr>
                <w:b/>
                <w:bCs/>
              </w:rPr>
              <w:t>Paragraph</w:t>
            </w:r>
          </w:p>
        </w:tc>
      </w:tr>
      <w:tr w:rsidR="00C241C4" w14:paraId="1452AEF3" w14:textId="77777777" w:rsidTr="00C241C4">
        <w:trPr>
          <w:cantSplit/>
          <w:trHeight w:val="20"/>
        </w:trPr>
        <w:tc>
          <w:tcPr>
            <w:tcW w:w="2905" w:type="dxa"/>
            <w:shd w:val="clear" w:color="auto" w:fill="E6E6E6"/>
            <w:hideMark/>
          </w:tcPr>
          <w:p w14:paraId="4A7F9152" w14:textId="77777777" w:rsidR="00C241C4" w:rsidRDefault="00C241C4">
            <w:pPr>
              <w:keepNext/>
              <w:suppressAutoHyphens w:val="0"/>
              <w:spacing w:line="240" w:lineRule="auto"/>
              <w:ind w:left="216" w:hanging="216"/>
              <w:rPr>
                <w:iCs/>
                <w:sz w:val="18"/>
                <w:szCs w:val="18"/>
                <w:u w:val="single"/>
              </w:rPr>
            </w:pPr>
            <w:r>
              <w:rPr>
                <w:iCs/>
                <w:sz w:val="18"/>
                <w:szCs w:val="18"/>
                <w:u w:val="single"/>
              </w:rPr>
              <w:t>Agenda Item 2(a)</w:t>
            </w:r>
          </w:p>
        </w:tc>
        <w:tc>
          <w:tcPr>
            <w:tcW w:w="4236" w:type="dxa"/>
            <w:shd w:val="clear" w:color="auto" w:fill="E6E6E6"/>
            <w:hideMark/>
          </w:tcPr>
          <w:p w14:paraId="1AF6D9C6" w14:textId="77777777" w:rsidR="00C241C4" w:rsidRDefault="00C241C4">
            <w:pPr>
              <w:suppressAutoHyphens w:val="0"/>
              <w:spacing w:line="240" w:lineRule="auto"/>
              <w:rPr>
                <w:iCs/>
                <w:sz w:val="18"/>
                <w:szCs w:val="18"/>
                <w:u w:val="single"/>
              </w:rPr>
            </w:pPr>
            <w:r>
              <w:rPr>
                <w:iCs/>
                <w:sz w:val="18"/>
                <w:szCs w:val="18"/>
                <w:u w:val="single"/>
              </w:rPr>
              <w:t>Review of Test Series 6</w:t>
            </w:r>
          </w:p>
        </w:tc>
        <w:tc>
          <w:tcPr>
            <w:tcW w:w="1561" w:type="dxa"/>
            <w:shd w:val="clear" w:color="auto" w:fill="E6E6E6"/>
          </w:tcPr>
          <w:p w14:paraId="0B0D3263" w14:textId="77777777" w:rsidR="00C241C4" w:rsidRDefault="00C241C4">
            <w:pPr>
              <w:suppressAutoHyphens w:val="0"/>
              <w:spacing w:line="240" w:lineRule="auto"/>
              <w:jc w:val="center"/>
              <w:rPr>
                <w:iCs/>
                <w:sz w:val="18"/>
                <w:szCs w:val="18"/>
              </w:rPr>
            </w:pPr>
          </w:p>
        </w:tc>
      </w:tr>
      <w:tr w:rsidR="00C241C4" w14:paraId="2EF8CAD0" w14:textId="77777777" w:rsidTr="00C241C4">
        <w:trPr>
          <w:cantSplit/>
          <w:trHeight w:val="20"/>
        </w:trPr>
        <w:tc>
          <w:tcPr>
            <w:tcW w:w="2905" w:type="dxa"/>
            <w:hideMark/>
          </w:tcPr>
          <w:p w14:paraId="430E4F7B" w14:textId="77777777" w:rsidR="00C241C4" w:rsidRDefault="00C241C4">
            <w:pPr>
              <w:suppressAutoHyphens w:val="0"/>
              <w:spacing w:line="240" w:lineRule="auto"/>
              <w:rPr>
                <w:i/>
                <w:iCs/>
              </w:rPr>
            </w:pPr>
            <w:r>
              <w:rPr>
                <w:i/>
                <w:iCs/>
              </w:rPr>
              <w:t>ST/SG/AC.10/C.3/2021/14 (SAAMI)</w:t>
            </w:r>
          </w:p>
        </w:tc>
        <w:tc>
          <w:tcPr>
            <w:tcW w:w="4236" w:type="dxa"/>
            <w:hideMark/>
          </w:tcPr>
          <w:p w14:paraId="170C0C29" w14:textId="77777777" w:rsidR="00C241C4" w:rsidRDefault="00C241C4">
            <w:pPr>
              <w:suppressAutoHyphens w:val="0"/>
              <w:spacing w:line="240" w:lineRule="auto"/>
              <w:rPr>
                <w:i/>
                <w:iCs/>
              </w:rPr>
            </w:pPr>
            <w:r>
              <w:rPr>
                <w:i/>
                <w:iCs/>
              </w:rPr>
              <w:t>Report of the 6d-ICG</w:t>
            </w:r>
          </w:p>
        </w:tc>
        <w:tc>
          <w:tcPr>
            <w:tcW w:w="1561" w:type="dxa"/>
            <w:hideMark/>
          </w:tcPr>
          <w:p w14:paraId="443B38A4" w14:textId="77777777" w:rsidR="00C241C4" w:rsidRDefault="00C241C4">
            <w:pPr>
              <w:suppressAutoHyphens w:val="0"/>
              <w:spacing w:line="240" w:lineRule="auto"/>
              <w:jc w:val="center"/>
              <w:rPr>
                <w:i/>
                <w:iCs/>
              </w:rPr>
            </w:pPr>
            <w:r>
              <w:rPr>
                <w:i/>
                <w:iCs/>
              </w:rPr>
              <w:t>6</w:t>
            </w:r>
          </w:p>
        </w:tc>
      </w:tr>
      <w:tr w:rsidR="00C241C4" w14:paraId="58F81A9F" w14:textId="77777777" w:rsidTr="00C241C4">
        <w:trPr>
          <w:cantSplit/>
          <w:trHeight w:val="20"/>
        </w:trPr>
        <w:tc>
          <w:tcPr>
            <w:tcW w:w="2905" w:type="dxa"/>
            <w:hideMark/>
          </w:tcPr>
          <w:p w14:paraId="1989623C" w14:textId="77777777" w:rsidR="00C241C4" w:rsidRDefault="00C241C4">
            <w:pPr>
              <w:suppressAutoHyphens w:val="0"/>
              <w:spacing w:line="240" w:lineRule="auto"/>
              <w:ind w:left="215"/>
              <w:rPr>
                <w:i/>
                <w:iCs/>
              </w:rPr>
            </w:pPr>
            <w:r>
              <w:rPr>
                <w:i/>
                <w:iCs/>
              </w:rPr>
              <w:t>UN/SCETDG/58/INF.10 (SAAMI)</w:t>
            </w:r>
          </w:p>
        </w:tc>
        <w:tc>
          <w:tcPr>
            <w:tcW w:w="4236" w:type="dxa"/>
            <w:hideMark/>
          </w:tcPr>
          <w:p w14:paraId="468A5503" w14:textId="77777777" w:rsidR="00C241C4" w:rsidRDefault="00C241C4">
            <w:pPr>
              <w:suppressAutoHyphens w:val="0"/>
              <w:spacing w:line="240" w:lineRule="auto"/>
              <w:ind w:left="194"/>
              <w:rPr>
                <w:i/>
                <w:iCs/>
              </w:rPr>
            </w:pPr>
            <w:r>
              <w:rPr>
                <w:i/>
                <w:iCs/>
              </w:rPr>
              <w:t>Report of the 6d-ICG Meeting of 20 May 2021 related to ST/SG/AC.10/C.3/2021/14</w:t>
            </w:r>
          </w:p>
        </w:tc>
        <w:tc>
          <w:tcPr>
            <w:tcW w:w="1561" w:type="dxa"/>
          </w:tcPr>
          <w:p w14:paraId="43EC3D4A" w14:textId="77777777" w:rsidR="00C241C4" w:rsidRDefault="00C241C4">
            <w:pPr>
              <w:suppressAutoHyphens w:val="0"/>
              <w:spacing w:line="240" w:lineRule="auto"/>
              <w:jc w:val="center"/>
              <w:rPr>
                <w:i/>
                <w:iCs/>
              </w:rPr>
            </w:pPr>
          </w:p>
        </w:tc>
      </w:tr>
      <w:tr w:rsidR="00C241C4" w14:paraId="5064D629" w14:textId="77777777" w:rsidTr="00C241C4">
        <w:trPr>
          <w:cantSplit/>
          <w:trHeight w:val="20"/>
        </w:trPr>
        <w:tc>
          <w:tcPr>
            <w:tcW w:w="2905" w:type="dxa"/>
            <w:hideMark/>
          </w:tcPr>
          <w:p w14:paraId="41221E54" w14:textId="77777777" w:rsidR="00C241C4" w:rsidRDefault="00C241C4">
            <w:pPr>
              <w:suppressAutoHyphens w:val="0"/>
              <w:spacing w:line="240" w:lineRule="auto"/>
              <w:rPr>
                <w:i/>
                <w:iCs/>
              </w:rPr>
            </w:pPr>
            <w:r>
              <w:rPr>
                <w:i/>
                <w:iCs/>
              </w:rPr>
              <w:t>ST/SG/AC.10/C.3/2021/15 (IME, COSTHA, &amp; SAAMI)</w:t>
            </w:r>
          </w:p>
        </w:tc>
        <w:tc>
          <w:tcPr>
            <w:tcW w:w="4236" w:type="dxa"/>
            <w:hideMark/>
          </w:tcPr>
          <w:p w14:paraId="54F24AD1" w14:textId="77777777" w:rsidR="00C241C4" w:rsidRDefault="00C241C4">
            <w:pPr>
              <w:suppressAutoHyphens w:val="0"/>
              <w:spacing w:line="240" w:lineRule="auto"/>
              <w:rPr>
                <w:i/>
                <w:iCs/>
              </w:rPr>
            </w:pPr>
            <w:r>
              <w:rPr>
                <w:i/>
                <w:iCs/>
              </w:rPr>
              <w:t>Exit from Class 1 for Very Low Hazard Energetics</w:t>
            </w:r>
          </w:p>
        </w:tc>
        <w:tc>
          <w:tcPr>
            <w:tcW w:w="1561" w:type="dxa"/>
            <w:hideMark/>
          </w:tcPr>
          <w:p w14:paraId="6E2D06A5" w14:textId="77777777" w:rsidR="00C241C4" w:rsidRDefault="00C241C4">
            <w:pPr>
              <w:suppressAutoHyphens w:val="0"/>
              <w:spacing w:line="240" w:lineRule="auto"/>
              <w:jc w:val="center"/>
            </w:pPr>
            <w:r>
              <w:rPr>
                <w:i/>
                <w:iCs/>
              </w:rPr>
              <w:t>7</w:t>
            </w:r>
          </w:p>
        </w:tc>
      </w:tr>
      <w:tr w:rsidR="00C241C4" w14:paraId="37BF1FA0" w14:textId="77777777" w:rsidTr="00C241C4">
        <w:trPr>
          <w:cantSplit/>
          <w:trHeight w:val="20"/>
        </w:trPr>
        <w:tc>
          <w:tcPr>
            <w:tcW w:w="2905" w:type="dxa"/>
            <w:hideMark/>
          </w:tcPr>
          <w:p w14:paraId="4778C43A" w14:textId="77777777" w:rsidR="00C241C4" w:rsidRDefault="00C241C4">
            <w:pPr>
              <w:suppressAutoHyphens w:val="0"/>
              <w:spacing w:line="240" w:lineRule="auto"/>
              <w:rPr>
                <w:i/>
                <w:iCs/>
              </w:rPr>
            </w:pPr>
            <w:r>
              <w:rPr>
                <w:i/>
                <w:iCs/>
              </w:rPr>
              <w:t>ST/SG/AC.10/C.3/2021/19 (CHINA)</w:t>
            </w:r>
          </w:p>
        </w:tc>
        <w:tc>
          <w:tcPr>
            <w:tcW w:w="4236" w:type="dxa"/>
            <w:hideMark/>
          </w:tcPr>
          <w:p w14:paraId="7F0CBD08" w14:textId="77777777" w:rsidR="00C241C4" w:rsidRDefault="00C241C4">
            <w:pPr>
              <w:suppressAutoHyphens w:val="0"/>
              <w:spacing w:line="240" w:lineRule="auto"/>
              <w:rPr>
                <w:i/>
                <w:iCs/>
              </w:rPr>
            </w:pPr>
            <w:r>
              <w:rPr>
                <w:i/>
                <w:iCs/>
              </w:rPr>
              <w:t>Revision of Section 16.6.1.4.8 of Manual of Tests and Criteria</w:t>
            </w:r>
          </w:p>
        </w:tc>
        <w:tc>
          <w:tcPr>
            <w:tcW w:w="1561" w:type="dxa"/>
            <w:hideMark/>
          </w:tcPr>
          <w:p w14:paraId="26BCE58D" w14:textId="77777777" w:rsidR="00C241C4" w:rsidRDefault="00C241C4">
            <w:pPr>
              <w:suppressAutoHyphens w:val="0"/>
              <w:spacing w:line="240" w:lineRule="auto"/>
              <w:jc w:val="center"/>
              <w:rPr>
                <w:i/>
                <w:iCs/>
              </w:rPr>
            </w:pPr>
            <w:r>
              <w:rPr>
                <w:i/>
                <w:iCs/>
              </w:rPr>
              <w:t>8</w:t>
            </w:r>
          </w:p>
        </w:tc>
      </w:tr>
      <w:tr w:rsidR="00C241C4" w14:paraId="4BD610A8" w14:textId="77777777" w:rsidTr="00C241C4">
        <w:trPr>
          <w:cantSplit/>
          <w:trHeight w:val="20"/>
        </w:trPr>
        <w:tc>
          <w:tcPr>
            <w:tcW w:w="2905" w:type="dxa"/>
            <w:shd w:val="clear" w:color="auto" w:fill="E6E6E6"/>
            <w:hideMark/>
          </w:tcPr>
          <w:p w14:paraId="3A2D08F4" w14:textId="77777777" w:rsidR="00C241C4" w:rsidRDefault="00C241C4">
            <w:pPr>
              <w:suppressAutoHyphens w:val="0"/>
              <w:spacing w:line="240" w:lineRule="auto"/>
              <w:ind w:left="213" w:hanging="213"/>
              <w:rPr>
                <w:iCs/>
                <w:u w:val="single"/>
              </w:rPr>
            </w:pPr>
            <w:bookmarkStart w:id="1" w:name="_Hlk54861900"/>
            <w:r>
              <w:rPr>
                <w:iCs/>
                <w:u w:val="single"/>
              </w:rPr>
              <w:lastRenderedPageBreak/>
              <w:t>Agenda Item 2(b)</w:t>
            </w:r>
          </w:p>
        </w:tc>
        <w:tc>
          <w:tcPr>
            <w:tcW w:w="4236" w:type="dxa"/>
            <w:shd w:val="clear" w:color="auto" w:fill="E6E6E6"/>
            <w:hideMark/>
          </w:tcPr>
          <w:p w14:paraId="6CBD4B95" w14:textId="77777777" w:rsidR="00C241C4" w:rsidRDefault="00C241C4">
            <w:pPr>
              <w:suppressAutoHyphens w:val="0"/>
              <w:spacing w:line="240" w:lineRule="auto"/>
              <w:rPr>
                <w:iCs/>
                <w:u w:val="single"/>
              </w:rPr>
            </w:pPr>
            <w:r>
              <w:rPr>
                <w:iCs/>
                <w:u w:val="single"/>
              </w:rPr>
              <w:t>Improvement of Test Series 8</w:t>
            </w:r>
          </w:p>
        </w:tc>
        <w:tc>
          <w:tcPr>
            <w:tcW w:w="1561" w:type="dxa"/>
            <w:shd w:val="clear" w:color="auto" w:fill="E6E6E6"/>
          </w:tcPr>
          <w:p w14:paraId="35099641" w14:textId="77777777" w:rsidR="00C241C4" w:rsidRDefault="00C241C4">
            <w:pPr>
              <w:suppressAutoHyphens w:val="0"/>
              <w:spacing w:line="240" w:lineRule="auto"/>
              <w:jc w:val="center"/>
              <w:rPr>
                <w:i/>
                <w:iCs/>
              </w:rPr>
            </w:pPr>
          </w:p>
        </w:tc>
      </w:tr>
      <w:tr w:rsidR="00C241C4" w14:paraId="4D0A86A8" w14:textId="77777777" w:rsidTr="00C241C4">
        <w:trPr>
          <w:cantSplit/>
          <w:trHeight w:val="20"/>
        </w:trPr>
        <w:tc>
          <w:tcPr>
            <w:tcW w:w="2905" w:type="dxa"/>
            <w:hideMark/>
          </w:tcPr>
          <w:p w14:paraId="6E49DD16" w14:textId="77777777" w:rsidR="00C241C4" w:rsidRDefault="00C241C4">
            <w:pPr>
              <w:suppressAutoHyphens w:val="0"/>
              <w:spacing w:line="240" w:lineRule="auto"/>
              <w:rPr>
                <w:i/>
                <w:iCs/>
              </w:rPr>
            </w:pPr>
            <w:r>
              <w:rPr>
                <w:i/>
                <w:iCs/>
              </w:rPr>
              <w:t>UN/SCETDG/58/INF.8 (IME)</w:t>
            </w:r>
          </w:p>
        </w:tc>
        <w:tc>
          <w:tcPr>
            <w:tcW w:w="4236" w:type="dxa"/>
            <w:hideMark/>
          </w:tcPr>
          <w:p w14:paraId="22B38FF4" w14:textId="77777777" w:rsidR="00C241C4" w:rsidRDefault="00C241C4">
            <w:pPr>
              <w:suppressAutoHyphens w:val="0"/>
              <w:spacing w:line="240" w:lineRule="auto"/>
              <w:rPr>
                <w:i/>
                <w:iCs/>
              </w:rPr>
            </w:pPr>
            <w:r>
              <w:rPr>
                <w:i/>
                <w:iCs/>
              </w:rPr>
              <w:t>Recommendations on Test Series 8: Applicability of Test Series 8 (d)</w:t>
            </w:r>
          </w:p>
        </w:tc>
        <w:tc>
          <w:tcPr>
            <w:tcW w:w="1561" w:type="dxa"/>
            <w:hideMark/>
          </w:tcPr>
          <w:p w14:paraId="5DA639F6" w14:textId="77777777" w:rsidR="00C241C4" w:rsidRDefault="00C241C4">
            <w:pPr>
              <w:tabs>
                <w:tab w:val="left" w:pos="601"/>
                <w:tab w:val="center" w:pos="665"/>
              </w:tabs>
              <w:suppressAutoHyphens w:val="0"/>
              <w:spacing w:line="240" w:lineRule="auto"/>
              <w:rPr>
                <w:i/>
                <w:iCs/>
              </w:rPr>
            </w:pPr>
            <w:r>
              <w:rPr>
                <w:rStyle w:val="Lienhypertexte"/>
                <w:i/>
                <w:iCs/>
              </w:rPr>
              <w:tab/>
            </w:r>
            <w:hyperlink r:id="rId11" w:anchor="para09" w:history="1">
              <w:r>
                <w:rPr>
                  <w:rStyle w:val="Lienhypertexte"/>
                  <w:i/>
                  <w:iCs/>
                </w:rPr>
                <w:t>9</w:t>
              </w:r>
            </w:hyperlink>
          </w:p>
        </w:tc>
        <w:bookmarkEnd w:id="1"/>
      </w:tr>
      <w:tr w:rsidR="00C241C4" w14:paraId="33D45837" w14:textId="77777777" w:rsidTr="00C241C4">
        <w:trPr>
          <w:cantSplit/>
          <w:trHeight w:val="20"/>
        </w:trPr>
        <w:tc>
          <w:tcPr>
            <w:tcW w:w="2905" w:type="dxa"/>
            <w:shd w:val="clear" w:color="auto" w:fill="E6E6E6"/>
            <w:hideMark/>
          </w:tcPr>
          <w:p w14:paraId="27DCB147" w14:textId="77777777" w:rsidR="00C241C4" w:rsidRDefault="00C241C4">
            <w:pPr>
              <w:keepNext/>
              <w:suppressAutoHyphens w:val="0"/>
              <w:spacing w:line="240" w:lineRule="auto"/>
              <w:ind w:left="213" w:hanging="213"/>
              <w:rPr>
                <w:i/>
                <w:iCs/>
              </w:rPr>
            </w:pPr>
            <w:r>
              <w:rPr>
                <w:iCs/>
                <w:u w:val="single"/>
              </w:rPr>
              <w:t>Agenda Item 2(c)</w:t>
            </w:r>
          </w:p>
        </w:tc>
        <w:tc>
          <w:tcPr>
            <w:tcW w:w="5797" w:type="dxa"/>
            <w:gridSpan w:val="2"/>
            <w:shd w:val="clear" w:color="auto" w:fill="E6E6E6"/>
            <w:hideMark/>
          </w:tcPr>
          <w:p w14:paraId="5889A6E4" w14:textId="77777777" w:rsidR="00C241C4" w:rsidRDefault="00C241C4">
            <w:pPr>
              <w:suppressAutoHyphens w:val="0"/>
              <w:spacing w:line="240" w:lineRule="auto"/>
              <w:rPr>
                <w:i/>
                <w:iCs/>
              </w:rPr>
            </w:pPr>
            <w:r>
              <w:rPr>
                <w:iCs/>
                <w:u w:val="single"/>
              </w:rPr>
              <w:t>Review of tests in parts I, II and III of the Manual of Tests and Criteria</w:t>
            </w:r>
          </w:p>
        </w:tc>
      </w:tr>
      <w:tr w:rsidR="00C241C4" w14:paraId="7B4FBA7A" w14:textId="77777777" w:rsidTr="00C241C4">
        <w:trPr>
          <w:cantSplit/>
          <w:trHeight w:val="20"/>
        </w:trPr>
        <w:tc>
          <w:tcPr>
            <w:tcW w:w="2905" w:type="dxa"/>
            <w:hideMark/>
          </w:tcPr>
          <w:p w14:paraId="7448F238" w14:textId="77777777" w:rsidR="00C241C4" w:rsidRDefault="00C241C4">
            <w:pPr>
              <w:suppressAutoHyphens w:val="0"/>
              <w:spacing w:line="240" w:lineRule="auto"/>
              <w:rPr>
                <w:i/>
                <w:iCs/>
              </w:rPr>
            </w:pPr>
            <w:r>
              <w:rPr>
                <w:i/>
                <w:iCs/>
              </w:rPr>
              <w:t>No document</w:t>
            </w:r>
          </w:p>
        </w:tc>
        <w:tc>
          <w:tcPr>
            <w:tcW w:w="4236" w:type="dxa"/>
          </w:tcPr>
          <w:p w14:paraId="2D81500C" w14:textId="77777777" w:rsidR="00C241C4" w:rsidRDefault="00C241C4">
            <w:pPr>
              <w:suppressAutoHyphens w:val="0"/>
              <w:spacing w:line="240" w:lineRule="auto"/>
              <w:rPr>
                <w:i/>
                <w:iCs/>
              </w:rPr>
            </w:pPr>
          </w:p>
        </w:tc>
        <w:tc>
          <w:tcPr>
            <w:tcW w:w="1561" w:type="dxa"/>
          </w:tcPr>
          <w:p w14:paraId="54E8A005" w14:textId="77777777" w:rsidR="00C241C4" w:rsidRDefault="00C241C4">
            <w:pPr>
              <w:suppressAutoHyphens w:val="0"/>
              <w:spacing w:line="240" w:lineRule="auto"/>
              <w:jc w:val="center"/>
              <w:rPr>
                <w:i/>
                <w:iCs/>
              </w:rPr>
            </w:pPr>
          </w:p>
        </w:tc>
      </w:tr>
      <w:tr w:rsidR="00C241C4" w14:paraId="604D23CD" w14:textId="77777777" w:rsidTr="00C241C4">
        <w:trPr>
          <w:cantSplit/>
          <w:trHeight w:val="20"/>
        </w:trPr>
        <w:tc>
          <w:tcPr>
            <w:tcW w:w="2905" w:type="dxa"/>
            <w:shd w:val="clear" w:color="auto" w:fill="E6E6E6"/>
            <w:hideMark/>
          </w:tcPr>
          <w:p w14:paraId="3CB1D248" w14:textId="77777777" w:rsidR="00C241C4" w:rsidRDefault="00C241C4">
            <w:pPr>
              <w:suppressAutoHyphens w:val="0"/>
              <w:spacing w:line="240" w:lineRule="auto"/>
              <w:ind w:left="213" w:hanging="213"/>
              <w:rPr>
                <w:iCs/>
                <w:u w:val="single"/>
              </w:rPr>
            </w:pPr>
            <w:r>
              <w:rPr>
                <w:iCs/>
                <w:u w:val="single"/>
              </w:rPr>
              <w:t>Agenda Item 2(d)</w:t>
            </w:r>
          </w:p>
        </w:tc>
        <w:tc>
          <w:tcPr>
            <w:tcW w:w="4236" w:type="dxa"/>
            <w:shd w:val="clear" w:color="auto" w:fill="E6E6E6"/>
            <w:hideMark/>
          </w:tcPr>
          <w:p w14:paraId="0CDCE6A8" w14:textId="77777777" w:rsidR="00C241C4" w:rsidRDefault="00C241C4">
            <w:pPr>
              <w:suppressAutoHyphens w:val="0"/>
              <w:spacing w:line="240" w:lineRule="auto"/>
              <w:rPr>
                <w:iCs/>
                <w:u w:val="single"/>
              </w:rPr>
            </w:pPr>
            <w:r>
              <w:rPr>
                <w:iCs/>
                <w:u w:val="single"/>
              </w:rPr>
              <w:t>“UN” standard detonators</w:t>
            </w:r>
          </w:p>
        </w:tc>
        <w:tc>
          <w:tcPr>
            <w:tcW w:w="1561" w:type="dxa"/>
            <w:shd w:val="clear" w:color="auto" w:fill="E6E6E6"/>
          </w:tcPr>
          <w:p w14:paraId="11896DFC" w14:textId="77777777" w:rsidR="00C241C4" w:rsidRDefault="00C241C4">
            <w:pPr>
              <w:suppressAutoHyphens w:val="0"/>
              <w:spacing w:line="240" w:lineRule="auto"/>
              <w:jc w:val="center"/>
              <w:rPr>
                <w:i/>
                <w:iCs/>
              </w:rPr>
            </w:pPr>
          </w:p>
        </w:tc>
      </w:tr>
      <w:tr w:rsidR="00C241C4" w14:paraId="2A4EE703" w14:textId="77777777" w:rsidTr="00C241C4">
        <w:trPr>
          <w:cantSplit/>
          <w:trHeight w:val="20"/>
        </w:trPr>
        <w:tc>
          <w:tcPr>
            <w:tcW w:w="2905" w:type="dxa"/>
            <w:hideMark/>
          </w:tcPr>
          <w:p w14:paraId="0A6365B7" w14:textId="77777777" w:rsidR="00C241C4" w:rsidRDefault="00C241C4">
            <w:pPr>
              <w:suppressAutoHyphens w:val="0"/>
              <w:spacing w:line="240" w:lineRule="auto"/>
              <w:rPr>
                <w:i/>
                <w:iCs/>
              </w:rPr>
            </w:pPr>
            <w:r>
              <w:rPr>
                <w:i/>
                <w:iCs/>
              </w:rPr>
              <w:t>No document</w:t>
            </w:r>
          </w:p>
        </w:tc>
        <w:tc>
          <w:tcPr>
            <w:tcW w:w="4236" w:type="dxa"/>
          </w:tcPr>
          <w:p w14:paraId="2241C2B9" w14:textId="77777777" w:rsidR="00C241C4" w:rsidRDefault="00C241C4">
            <w:pPr>
              <w:suppressAutoHyphens w:val="0"/>
              <w:spacing w:line="240" w:lineRule="auto"/>
              <w:rPr>
                <w:i/>
                <w:iCs/>
              </w:rPr>
            </w:pPr>
          </w:p>
        </w:tc>
        <w:tc>
          <w:tcPr>
            <w:tcW w:w="1561" w:type="dxa"/>
          </w:tcPr>
          <w:p w14:paraId="4FD7F13F" w14:textId="77777777" w:rsidR="00C241C4" w:rsidRDefault="00C241C4">
            <w:pPr>
              <w:suppressAutoHyphens w:val="0"/>
              <w:spacing w:line="240" w:lineRule="auto"/>
              <w:jc w:val="center"/>
              <w:rPr>
                <w:i/>
                <w:iCs/>
              </w:rPr>
            </w:pPr>
          </w:p>
        </w:tc>
      </w:tr>
      <w:tr w:rsidR="00C241C4" w14:paraId="6FE9E2D2" w14:textId="77777777" w:rsidTr="00C241C4">
        <w:trPr>
          <w:cantSplit/>
          <w:trHeight w:val="20"/>
        </w:trPr>
        <w:tc>
          <w:tcPr>
            <w:tcW w:w="2905" w:type="dxa"/>
            <w:shd w:val="clear" w:color="auto" w:fill="E6E6E6"/>
            <w:hideMark/>
          </w:tcPr>
          <w:p w14:paraId="300131DC" w14:textId="77777777" w:rsidR="00C241C4" w:rsidRDefault="00C241C4">
            <w:pPr>
              <w:keepNext/>
              <w:suppressAutoHyphens w:val="0"/>
              <w:spacing w:line="240" w:lineRule="auto"/>
              <w:ind w:left="213" w:hanging="213"/>
              <w:rPr>
                <w:i/>
                <w:iCs/>
              </w:rPr>
            </w:pPr>
            <w:r>
              <w:rPr>
                <w:iCs/>
                <w:u w:val="single"/>
              </w:rPr>
              <w:t>Agenda Item 2(e)</w:t>
            </w:r>
          </w:p>
        </w:tc>
        <w:tc>
          <w:tcPr>
            <w:tcW w:w="4236" w:type="dxa"/>
            <w:shd w:val="clear" w:color="auto" w:fill="E6E6E6"/>
            <w:hideMark/>
          </w:tcPr>
          <w:p w14:paraId="38E2A19C" w14:textId="77777777" w:rsidR="00C241C4" w:rsidRDefault="00C241C4">
            <w:pPr>
              <w:suppressAutoHyphens w:val="0"/>
              <w:spacing w:line="240" w:lineRule="auto"/>
              <w:rPr>
                <w:i/>
                <w:iCs/>
              </w:rPr>
            </w:pPr>
            <w:r>
              <w:rPr>
                <w:iCs/>
                <w:u w:val="single"/>
              </w:rPr>
              <w:t>Review of packing instructions for explosives</w:t>
            </w:r>
          </w:p>
        </w:tc>
        <w:tc>
          <w:tcPr>
            <w:tcW w:w="1561" w:type="dxa"/>
            <w:shd w:val="clear" w:color="auto" w:fill="E6E6E6"/>
          </w:tcPr>
          <w:p w14:paraId="695EAB98" w14:textId="77777777" w:rsidR="00C241C4" w:rsidRDefault="00C241C4">
            <w:pPr>
              <w:suppressAutoHyphens w:val="0"/>
              <w:spacing w:line="240" w:lineRule="auto"/>
              <w:jc w:val="center"/>
              <w:rPr>
                <w:i/>
                <w:iCs/>
              </w:rPr>
            </w:pPr>
          </w:p>
        </w:tc>
      </w:tr>
      <w:tr w:rsidR="00C241C4" w14:paraId="5BE632CF" w14:textId="77777777" w:rsidTr="00C241C4">
        <w:trPr>
          <w:cantSplit/>
          <w:trHeight w:val="20"/>
        </w:trPr>
        <w:tc>
          <w:tcPr>
            <w:tcW w:w="2905" w:type="dxa"/>
            <w:hideMark/>
          </w:tcPr>
          <w:p w14:paraId="7AAF951C" w14:textId="77777777" w:rsidR="00C241C4" w:rsidRDefault="00C241C4">
            <w:pPr>
              <w:suppressAutoHyphens w:val="0"/>
              <w:spacing w:line="240" w:lineRule="auto"/>
              <w:rPr>
                <w:i/>
                <w:iCs/>
              </w:rPr>
            </w:pPr>
            <w:r>
              <w:rPr>
                <w:i/>
                <w:iCs/>
              </w:rPr>
              <w:t>ST/SG/AC.10/C.3/2021/13 (United Kingdom)</w:t>
            </w:r>
          </w:p>
        </w:tc>
        <w:tc>
          <w:tcPr>
            <w:tcW w:w="4236" w:type="dxa"/>
            <w:hideMark/>
          </w:tcPr>
          <w:p w14:paraId="3CF85912" w14:textId="77777777" w:rsidR="00C241C4" w:rsidRDefault="00C241C4">
            <w:pPr>
              <w:suppressAutoHyphens w:val="0"/>
              <w:spacing w:line="240" w:lineRule="auto"/>
              <w:rPr>
                <w:i/>
                <w:iCs/>
              </w:rPr>
            </w:pPr>
            <w:r>
              <w:rPr>
                <w:i/>
                <w:iCs/>
              </w:rPr>
              <w:t>Amendment to PP70 in packing instruction P137</w:t>
            </w:r>
          </w:p>
        </w:tc>
        <w:tc>
          <w:tcPr>
            <w:tcW w:w="1561" w:type="dxa"/>
            <w:hideMark/>
          </w:tcPr>
          <w:p w14:paraId="1E7DD1CC" w14:textId="77777777" w:rsidR="00C241C4" w:rsidRDefault="00C241C4">
            <w:pPr>
              <w:suppressAutoHyphens w:val="0"/>
              <w:spacing w:line="240" w:lineRule="auto"/>
              <w:jc w:val="center"/>
              <w:rPr>
                <w:i/>
                <w:iCs/>
              </w:rPr>
            </w:pPr>
            <w:r>
              <w:rPr>
                <w:i/>
                <w:iCs/>
              </w:rPr>
              <w:t>10</w:t>
            </w:r>
          </w:p>
        </w:tc>
      </w:tr>
      <w:tr w:rsidR="00C241C4" w14:paraId="07407B45" w14:textId="77777777" w:rsidTr="00C241C4">
        <w:trPr>
          <w:cantSplit/>
          <w:trHeight w:val="20"/>
        </w:trPr>
        <w:tc>
          <w:tcPr>
            <w:tcW w:w="2905" w:type="dxa"/>
            <w:shd w:val="clear" w:color="auto" w:fill="E6E6E6"/>
            <w:hideMark/>
          </w:tcPr>
          <w:p w14:paraId="293815C7" w14:textId="77777777" w:rsidR="00C241C4" w:rsidRDefault="00C241C4">
            <w:pPr>
              <w:keepNext/>
              <w:suppressAutoHyphens w:val="0"/>
              <w:spacing w:line="240" w:lineRule="auto"/>
              <w:ind w:left="213" w:hanging="213"/>
              <w:rPr>
                <w:i/>
                <w:iCs/>
              </w:rPr>
            </w:pPr>
            <w:r>
              <w:rPr>
                <w:iCs/>
                <w:u w:val="single"/>
              </w:rPr>
              <w:t>Agenda Item 2(f)</w:t>
            </w:r>
          </w:p>
        </w:tc>
        <w:tc>
          <w:tcPr>
            <w:tcW w:w="4236" w:type="dxa"/>
            <w:shd w:val="clear" w:color="auto" w:fill="E6E6E6"/>
            <w:hideMark/>
          </w:tcPr>
          <w:p w14:paraId="67A84051" w14:textId="77777777" w:rsidR="00C241C4" w:rsidRDefault="00C241C4">
            <w:pPr>
              <w:suppressAutoHyphens w:val="0"/>
              <w:spacing w:line="240" w:lineRule="auto"/>
              <w:rPr>
                <w:i/>
                <w:iCs/>
                <w:u w:val="single"/>
              </w:rPr>
            </w:pPr>
            <w:r>
              <w:rPr>
                <w:iCs/>
                <w:u w:val="single"/>
              </w:rPr>
              <w:t>Energetic samples</w:t>
            </w:r>
          </w:p>
        </w:tc>
        <w:tc>
          <w:tcPr>
            <w:tcW w:w="1561" w:type="dxa"/>
            <w:shd w:val="clear" w:color="auto" w:fill="E6E6E6"/>
          </w:tcPr>
          <w:p w14:paraId="3CB85923" w14:textId="77777777" w:rsidR="00C241C4" w:rsidRDefault="00C241C4">
            <w:pPr>
              <w:suppressAutoHyphens w:val="0"/>
              <w:spacing w:line="240" w:lineRule="auto"/>
              <w:jc w:val="center"/>
              <w:rPr>
                <w:i/>
                <w:iCs/>
              </w:rPr>
            </w:pPr>
          </w:p>
        </w:tc>
      </w:tr>
      <w:tr w:rsidR="00C241C4" w14:paraId="7DBBD63A" w14:textId="77777777" w:rsidTr="00C241C4">
        <w:trPr>
          <w:cantSplit/>
          <w:trHeight w:val="20"/>
        </w:trPr>
        <w:tc>
          <w:tcPr>
            <w:tcW w:w="2905" w:type="dxa"/>
            <w:hideMark/>
          </w:tcPr>
          <w:p w14:paraId="4FC5BA97" w14:textId="77777777" w:rsidR="00C241C4" w:rsidRDefault="00C241C4">
            <w:pPr>
              <w:suppressAutoHyphens w:val="0"/>
              <w:spacing w:line="240" w:lineRule="auto"/>
              <w:rPr>
                <w:i/>
                <w:iCs/>
              </w:rPr>
            </w:pPr>
            <w:r>
              <w:rPr>
                <w:i/>
                <w:iCs/>
              </w:rPr>
              <w:t>No document</w:t>
            </w:r>
          </w:p>
        </w:tc>
        <w:tc>
          <w:tcPr>
            <w:tcW w:w="4236" w:type="dxa"/>
          </w:tcPr>
          <w:p w14:paraId="6F94195B" w14:textId="77777777" w:rsidR="00C241C4" w:rsidRDefault="00C241C4">
            <w:pPr>
              <w:suppressAutoHyphens w:val="0"/>
              <w:spacing w:line="240" w:lineRule="auto"/>
              <w:rPr>
                <w:i/>
                <w:iCs/>
              </w:rPr>
            </w:pPr>
          </w:p>
        </w:tc>
        <w:tc>
          <w:tcPr>
            <w:tcW w:w="1561" w:type="dxa"/>
          </w:tcPr>
          <w:p w14:paraId="1F9DA47B" w14:textId="77777777" w:rsidR="00C241C4" w:rsidRDefault="00C241C4">
            <w:pPr>
              <w:suppressAutoHyphens w:val="0"/>
              <w:spacing w:line="240" w:lineRule="auto"/>
              <w:jc w:val="center"/>
              <w:rPr>
                <w:i/>
                <w:iCs/>
              </w:rPr>
            </w:pPr>
          </w:p>
        </w:tc>
      </w:tr>
      <w:tr w:rsidR="00C241C4" w14:paraId="6FF36AE1" w14:textId="77777777" w:rsidTr="00C241C4">
        <w:trPr>
          <w:cantSplit/>
          <w:trHeight w:val="20"/>
        </w:trPr>
        <w:tc>
          <w:tcPr>
            <w:tcW w:w="2905" w:type="dxa"/>
            <w:shd w:val="clear" w:color="auto" w:fill="E6E6E6"/>
            <w:hideMark/>
          </w:tcPr>
          <w:p w14:paraId="2A165D37" w14:textId="77777777" w:rsidR="00C241C4" w:rsidRDefault="00C241C4">
            <w:pPr>
              <w:keepNext/>
              <w:suppressAutoHyphens w:val="0"/>
              <w:spacing w:line="240" w:lineRule="auto"/>
              <w:ind w:left="213" w:hanging="213"/>
              <w:rPr>
                <w:iCs/>
                <w:u w:val="single"/>
              </w:rPr>
            </w:pPr>
            <w:r>
              <w:rPr>
                <w:iCs/>
                <w:u w:val="single"/>
              </w:rPr>
              <w:t>Agenda Item 2(g)</w:t>
            </w:r>
          </w:p>
        </w:tc>
        <w:tc>
          <w:tcPr>
            <w:tcW w:w="4236" w:type="dxa"/>
            <w:shd w:val="clear" w:color="auto" w:fill="E6E6E6"/>
            <w:hideMark/>
          </w:tcPr>
          <w:p w14:paraId="3702E16B" w14:textId="77777777" w:rsidR="00C241C4" w:rsidRDefault="00C241C4">
            <w:pPr>
              <w:keepNext/>
              <w:suppressAutoHyphens w:val="0"/>
              <w:spacing w:line="240" w:lineRule="auto"/>
              <w:ind w:left="213" w:hanging="213"/>
              <w:rPr>
                <w:iCs/>
                <w:u w:val="single"/>
              </w:rPr>
            </w:pPr>
            <w:r>
              <w:rPr>
                <w:iCs/>
                <w:u w:val="single"/>
              </w:rPr>
              <w:t>Issues related to the definition of explosives</w:t>
            </w:r>
          </w:p>
        </w:tc>
        <w:tc>
          <w:tcPr>
            <w:tcW w:w="1561" w:type="dxa"/>
            <w:shd w:val="clear" w:color="auto" w:fill="E6E6E6"/>
          </w:tcPr>
          <w:p w14:paraId="048EA8EE" w14:textId="77777777" w:rsidR="00C241C4" w:rsidRDefault="00C241C4">
            <w:pPr>
              <w:keepNext/>
              <w:suppressAutoHyphens w:val="0"/>
              <w:spacing w:line="240" w:lineRule="auto"/>
              <w:ind w:left="213" w:hanging="213"/>
              <w:rPr>
                <w:iCs/>
                <w:u w:val="single"/>
              </w:rPr>
            </w:pPr>
          </w:p>
        </w:tc>
      </w:tr>
      <w:tr w:rsidR="00C241C4" w14:paraId="5F859DFD" w14:textId="77777777" w:rsidTr="00C241C4">
        <w:trPr>
          <w:cantSplit/>
          <w:trHeight w:val="20"/>
        </w:trPr>
        <w:tc>
          <w:tcPr>
            <w:tcW w:w="2905" w:type="dxa"/>
            <w:hideMark/>
          </w:tcPr>
          <w:p w14:paraId="68583152" w14:textId="77777777" w:rsidR="00C241C4" w:rsidRDefault="00C241C4">
            <w:pPr>
              <w:suppressAutoHyphens w:val="0"/>
              <w:spacing w:line="240" w:lineRule="auto"/>
              <w:rPr>
                <w:i/>
                <w:iCs/>
              </w:rPr>
            </w:pPr>
            <w:r>
              <w:rPr>
                <w:i/>
                <w:iCs/>
              </w:rPr>
              <w:t>UN/SCETDG/58/INF.12 (Sweden)</w:t>
            </w:r>
          </w:p>
        </w:tc>
        <w:tc>
          <w:tcPr>
            <w:tcW w:w="4236" w:type="dxa"/>
            <w:hideMark/>
          </w:tcPr>
          <w:p w14:paraId="1A691319" w14:textId="77777777" w:rsidR="00C241C4" w:rsidRDefault="00C241C4">
            <w:pPr>
              <w:suppressAutoHyphens w:val="0"/>
              <w:spacing w:line="240" w:lineRule="auto"/>
              <w:rPr>
                <w:i/>
                <w:iCs/>
              </w:rPr>
            </w:pPr>
            <w:r>
              <w:rPr>
                <w:i/>
                <w:iCs/>
              </w:rPr>
              <w:t>Continuation of work on definition of explosive and definition of Class 1</w:t>
            </w:r>
          </w:p>
        </w:tc>
        <w:tc>
          <w:tcPr>
            <w:tcW w:w="1561" w:type="dxa"/>
            <w:hideMark/>
          </w:tcPr>
          <w:p w14:paraId="4C0E66AB" w14:textId="77777777" w:rsidR="00C241C4" w:rsidRDefault="00C241C4">
            <w:pPr>
              <w:tabs>
                <w:tab w:val="left" w:pos="564"/>
                <w:tab w:val="center" w:pos="665"/>
              </w:tabs>
              <w:suppressAutoHyphens w:val="0"/>
              <w:spacing w:line="240" w:lineRule="auto"/>
              <w:rPr>
                <w:i/>
                <w:iCs/>
              </w:rPr>
            </w:pPr>
            <w:r>
              <w:tab/>
            </w:r>
            <w:hyperlink r:id="rId12" w:anchor="para11" w:history="1">
              <w:r>
                <w:rPr>
                  <w:rStyle w:val="Lienhypertexte"/>
                  <w:i/>
                  <w:iCs/>
                </w:rPr>
                <w:t>1</w:t>
              </w:r>
              <w:r>
                <w:rPr>
                  <w:rStyle w:val="Lienhypertexte"/>
                  <w:i/>
                </w:rPr>
                <w:t>1</w:t>
              </w:r>
            </w:hyperlink>
          </w:p>
        </w:tc>
      </w:tr>
      <w:tr w:rsidR="00C241C4" w14:paraId="67672F04" w14:textId="77777777" w:rsidTr="00C241C4">
        <w:trPr>
          <w:cantSplit/>
          <w:trHeight w:val="20"/>
        </w:trPr>
        <w:tc>
          <w:tcPr>
            <w:tcW w:w="2905" w:type="dxa"/>
            <w:shd w:val="clear" w:color="auto" w:fill="E6E6E6"/>
            <w:hideMark/>
          </w:tcPr>
          <w:p w14:paraId="240AD405" w14:textId="77777777" w:rsidR="00C241C4" w:rsidRDefault="00C241C4">
            <w:pPr>
              <w:suppressAutoHyphens w:val="0"/>
              <w:spacing w:line="240" w:lineRule="auto"/>
              <w:ind w:left="213" w:hanging="213"/>
              <w:rPr>
                <w:iCs/>
                <w:u w:val="single"/>
              </w:rPr>
            </w:pPr>
            <w:r>
              <w:rPr>
                <w:iCs/>
                <w:u w:val="single"/>
              </w:rPr>
              <w:t>Agenda Item 2(h)</w:t>
            </w:r>
          </w:p>
        </w:tc>
        <w:tc>
          <w:tcPr>
            <w:tcW w:w="5797" w:type="dxa"/>
            <w:gridSpan w:val="2"/>
            <w:shd w:val="clear" w:color="auto" w:fill="E6E6E6"/>
            <w:hideMark/>
          </w:tcPr>
          <w:p w14:paraId="4E7486E0" w14:textId="77777777" w:rsidR="00C241C4" w:rsidRDefault="00C241C4">
            <w:pPr>
              <w:suppressAutoHyphens w:val="0"/>
              <w:spacing w:line="240" w:lineRule="auto"/>
              <w:ind w:left="264" w:hanging="264"/>
              <w:rPr>
                <w:i/>
                <w:iCs/>
                <w:u w:val="single"/>
              </w:rPr>
            </w:pPr>
            <w:r>
              <w:rPr>
                <w:iCs/>
                <w:u w:val="single"/>
              </w:rPr>
              <w:t>Review of packaging and transport requirements for ANEs</w:t>
            </w:r>
          </w:p>
        </w:tc>
      </w:tr>
      <w:tr w:rsidR="00C241C4" w14:paraId="79D9D5FA" w14:textId="77777777" w:rsidTr="00C241C4">
        <w:trPr>
          <w:cantSplit/>
          <w:trHeight w:val="20"/>
        </w:trPr>
        <w:tc>
          <w:tcPr>
            <w:tcW w:w="2905" w:type="dxa"/>
            <w:hideMark/>
          </w:tcPr>
          <w:p w14:paraId="7C839F04" w14:textId="77777777" w:rsidR="00C241C4" w:rsidRDefault="00C241C4">
            <w:pPr>
              <w:suppressAutoHyphens w:val="0"/>
              <w:spacing w:line="240" w:lineRule="auto"/>
              <w:rPr>
                <w:i/>
                <w:iCs/>
              </w:rPr>
            </w:pPr>
            <w:r>
              <w:rPr>
                <w:i/>
                <w:iCs/>
              </w:rPr>
              <w:t>No document</w:t>
            </w:r>
          </w:p>
        </w:tc>
        <w:tc>
          <w:tcPr>
            <w:tcW w:w="4236" w:type="dxa"/>
          </w:tcPr>
          <w:p w14:paraId="6078523D" w14:textId="77777777" w:rsidR="00C241C4" w:rsidRDefault="00C241C4">
            <w:pPr>
              <w:suppressAutoHyphens w:val="0"/>
              <w:spacing w:line="240" w:lineRule="auto"/>
              <w:rPr>
                <w:i/>
                <w:iCs/>
              </w:rPr>
            </w:pPr>
          </w:p>
        </w:tc>
        <w:tc>
          <w:tcPr>
            <w:tcW w:w="1561" w:type="dxa"/>
          </w:tcPr>
          <w:p w14:paraId="02F7DCAF" w14:textId="77777777" w:rsidR="00C241C4" w:rsidRDefault="00C241C4">
            <w:pPr>
              <w:suppressAutoHyphens w:val="0"/>
              <w:spacing w:line="240" w:lineRule="auto"/>
              <w:jc w:val="center"/>
              <w:rPr>
                <w:i/>
                <w:iCs/>
              </w:rPr>
            </w:pPr>
          </w:p>
        </w:tc>
      </w:tr>
      <w:tr w:rsidR="00C241C4" w14:paraId="50513B9D" w14:textId="77777777" w:rsidTr="00C241C4">
        <w:trPr>
          <w:cantSplit/>
          <w:trHeight w:val="20"/>
        </w:trPr>
        <w:tc>
          <w:tcPr>
            <w:tcW w:w="2905" w:type="dxa"/>
            <w:shd w:val="clear" w:color="auto" w:fill="E6E6E6"/>
            <w:hideMark/>
          </w:tcPr>
          <w:p w14:paraId="34F2BEB3" w14:textId="77777777" w:rsidR="00C241C4" w:rsidRDefault="00C241C4">
            <w:pPr>
              <w:suppressAutoHyphens w:val="0"/>
              <w:spacing w:line="240" w:lineRule="auto"/>
              <w:ind w:left="213" w:hanging="213"/>
              <w:rPr>
                <w:iCs/>
                <w:u w:val="single"/>
              </w:rPr>
            </w:pPr>
            <w:r>
              <w:rPr>
                <w:iCs/>
                <w:u w:val="single"/>
              </w:rPr>
              <w:t>Agenda Item 2(</w:t>
            </w:r>
            <w:proofErr w:type="spellStart"/>
            <w:r>
              <w:rPr>
                <w:iCs/>
                <w:u w:val="single"/>
              </w:rPr>
              <w:t>i</w:t>
            </w:r>
            <w:proofErr w:type="spellEnd"/>
            <w:r>
              <w:rPr>
                <w:iCs/>
                <w:u w:val="single"/>
              </w:rPr>
              <w:t>)</w:t>
            </w:r>
          </w:p>
        </w:tc>
        <w:tc>
          <w:tcPr>
            <w:tcW w:w="4236" w:type="dxa"/>
            <w:shd w:val="clear" w:color="auto" w:fill="E6E6E6"/>
            <w:hideMark/>
          </w:tcPr>
          <w:p w14:paraId="5F8AB291" w14:textId="77777777" w:rsidR="00C241C4" w:rsidRDefault="00C241C4">
            <w:pPr>
              <w:suppressAutoHyphens w:val="0"/>
              <w:spacing w:line="240" w:lineRule="auto"/>
              <w:ind w:left="264" w:hanging="264"/>
              <w:rPr>
                <w:iCs/>
                <w:u w:val="single"/>
              </w:rPr>
            </w:pPr>
            <w:r>
              <w:rPr>
                <w:iCs/>
                <w:u w:val="single"/>
              </w:rPr>
              <w:t>Miscellaneous</w:t>
            </w:r>
          </w:p>
        </w:tc>
        <w:tc>
          <w:tcPr>
            <w:tcW w:w="1561" w:type="dxa"/>
            <w:shd w:val="clear" w:color="auto" w:fill="E6E6E6"/>
          </w:tcPr>
          <w:p w14:paraId="66F140D6" w14:textId="77777777" w:rsidR="00C241C4" w:rsidRDefault="00C241C4">
            <w:pPr>
              <w:suppressAutoHyphens w:val="0"/>
              <w:spacing w:line="240" w:lineRule="auto"/>
              <w:ind w:left="264" w:hanging="264"/>
              <w:jc w:val="center"/>
              <w:rPr>
                <w:i/>
                <w:iCs/>
                <w:u w:val="single"/>
              </w:rPr>
            </w:pPr>
          </w:p>
        </w:tc>
      </w:tr>
      <w:tr w:rsidR="00C241C4" w14:paraId="1AB5DF76" w14:textId="77777777" w:rsidTr="00C241C4">
        <w:trPr>
          <w:cantSplit/>
          <w:trHeight w:val="20"/>
        </w:trPr>
        <w:tc>
          <w:tcPr>
            <w:tcW w:w="2905" w:type="dxa"/>
            <w:hideMark/>
          </w:tcPr>
          <w:p w14:paraId="5768E920" w14:textId="77777777" w:rsidR="00C241C4" w:rsidRDefault="00C241C4">
            <w:pPr>
              <w:suppressAutoHyphens w:val="0"/>
              <w:spacing w:line="240" w:lineRule="auto"/>
              <w:rPr>
                <w:i/>
                <w:iCs/>
              </w:rPr>
            </w:pPr>
            <w:r>
              <w:rPr>
                <w:i/>
                <w:iCs/>
              </w:rPr>
              <w:t>UN/SCETDG/58/INF.17 (United Kingdom)</w:t>
            </w:r>
          </w:p>
        </w:tc>
        <w:tc>
          <w:tcPr>
            <w:tcW w:w="4236" w:type="dxa"/>
            <w:hideMark/>
          </w:tcPr>
          <w:p w14:paraId="6EC44A76" w14:textId="77777777" w:rsidR="00C241C4" w:rsidRDefault="00C241C4">
            <w:pPr>
              <w:suppressAutoHyphens w:val="0"/>
              <w:spacing w:line="240" w:lineRule="auto"/>
              <w:rPr>
                <w:i/>
                <w:iCs/>
              </w:rPr>
            </w:pPr>
            <w:r>
              <w:rPr>
                <w:i/>
                <w:iCs/>
              </w:rPr>
              <w:t>Review of 2.1.3.5.5 Default firework classification table in relation to new and novel firework compositions</w:t>
            </w:r>
          </w:p>
        </w:tc>
        <w:tc>
          <w:tcPr>
            <w:tcW w:w="1561" w:type="dxa"/>
            <w:hideMark/>
          </w:tcPr>
          <w:p w14:paraId="7B6988E6" w14:textId="77777777" w:rsidR="00C241C4" w:rsidRDefault="00C241C4">
            <w:pPr>
              <w:tabs>
                <w:tab w:val="left" w:pos="530"/>
                <w:tab w:val="center" w:pos="665"/>
              </w:tabs>
              <w:suppressAutoHyphens w:val="0"/>
              <w:spacing w:line="240" w:lineRule="auto"/>
              <w:rPr>
                <w:i/>
                <w:iCs/>
              </w:rPr>
            </w:pPr>
            <w:r>
              <w:tab/>
            </w:r>
            <w:r>
              <w:tab/>
            </w:r>
            <w:hyperlink r:id="rId13" w:anchor="para12" w:history="1">
              <w:r>
                <w:rPr>
                  <w:rStyle w:val="Lienhypertexte"/>
                  <w:i/>
                  <w:iCs/>
                </w:rPr>
                <w:t>1</w:t>
              </w:r>
              <w:r>
                <w:rPr>
                  <w:rStyle w:val="Lienhypertexte"/>
                  <w:i/>
                </w:rPr>
                <w:t>2</w:t>
              </w:r>
            </w:hyperlink>
          </w:p>
        </w:tc>
      </w:tr>
      <w:tr w:rsidR="00C241C4" w14:paraId="0DDFFCD0" w14:textId="77777777" w:rsidTr="00C241C4">
        <w:trPr>
          <w:cantSplit/>
          <w:trHeight w:val="20"/>
        </w:trPr>
        <w:tc>
          <w:tcPr>
            <w:tcW w:w="2905" w:type="dxa"/>
            <w:hideMark/>
          </w:tcPr>
          <w:p w14:paraId="4E4A67BD" w14:textId="77777777" w:rsidR="00C241C4" w:rsidRDefault="00C241C4">
            <w:pPr>
              <w:suppressAutoHyphens w:val="0"/>
              <w:spacing w:line="240" w:lineRule="auto"/>
              <w:rPr>
                <w:i/>
                <w:iCs/>
              </w:rPr>
            </w:pPr>
            <w:r>
              <w:rPr>
                <w:i/>
                <w:iCs/>
              </w:rPr>
              <w:t>UN/SCETDG/58/INF.21 (CEFIC)</w:t>
            </w:r>
          </w:p>
        </w:tc>
        <w:tc>
          <w:tcPr>
            <w:tcW w:w="4236" w:type="dxa"/>
            <w:hideMark/>
          </w:tcPr>
          <w:p w14:paraId="177AAE81" w14:textId="77777777" w:rsidR="00C241C4" w:rsidRDefault="00C241C4">
            <w:pPr>
              <w:suppressAutoHyphens w:val="0"/>
              <w:spacing w:line="240" w:lineRule="auto"/>
              <w:rPr>
                <w:i/>
                <w:iCs/>
              </w:rPr>
            </w:pPr>
            <w:r>
              <w:rPr>
                <w:i/>
                <w:iCs/>
              </w:rPr>
              <w:t>Introduction of a new entry for 5</w:t>
            </w:r>
            <w:r>
              <w:rPr>
                <w:i/>
                <w:iCs/>
              </w:rPr>
              <w:noBreakHyphen/>
              <w:t>Trifluoromethyltetrazole, sodium salt (TFMT</w:t>
            </w:r>
            <w:r>
              <w:rPr>
                <w:i/>
                <w:iCs/>
              </w:rPr>
              <w:noBreakHyphen/>
              <w:t>Na) in acetone as a desensitized explosive in the Dangerous Goods List of the Model Regulations</w:t>
            </w:r>
          </w:p>
        </w:tc>
        <w:tc>
          <w:tcPr>
            <w:tcW w:w="1561" w:type="dxa"/>
            <w:hideMark/>
          </w:tcPr>
          <w:p w14:paraId="58855378" w14:textId="77777777" w:rsidR="00C241C4" w:rsidRDefault="00C241C4">
            <w:pPr>
              <w:tabs>
                <w:tab w:val="left" w:pos="530"/>
                <w:tab w:val="center" w:pos="665"/>
              </w:tabs>
              <w:suppressAutoHyphens w:val="0"/>
              <w:spacing w:line="240" w:lineRule="auto"/>
              <w:rPr>
                <w:i/>
                <w:iCs/>
              </w:rPr>
            </w:pPr>
            <w:r>
              <w:tab/>
            </w:r>
            <w:r>
              <w:tab/>
            </w:r>
            <w:hyperlink r:id="rId14" w:anchor="para13" w:history="1">
              <w:r>
                <w:rPr>
                  <w:rStyle w:val="Lienhypertexte"/>
                  <w:i/>
                  <w:iCs/>
                </w:rPr>
                <w:t>13</w:t>
              </w:r>
            </w:hyperlink>
          </w:p>
        </w:tc>
      </w:tr>
      <w:tr w:rsidR="00C241C4" w14:paraId="6146432A" w14:textId="77777777" w:rsidTr="00C241C4">
        <w:trPr>
          <w:cantSplit/>
          <w:trHeight w:val="20"/>
        </w:trPr>
        <w:tc>
          <w:tcPr>
            <w:tcW w:w="2905" w:type="dxa"/>
            <w:shd w:val="clear" w:color="auto" w:fill="E6E6E6"/>
            <w:hideMark/>
          </w:tcPr>
          <w:p w14:paraId="64F25F59" w14:textId="77777777" w:rsidR="00C241C4" w:rsidRDefault="00C241C4">
            <w:pPr>
              <w:suppressAutoHyphens w:val="0"/>
              <w:spacing w:line="240" w:lineRule="auto"/>
              <w:ind w:left="213" w:hanging="213"/>
              <w:rPr>
                <w:iCs/>
                <w:u w:val="single"/>
              </w:rPr>
            </w:pPr>
            <w:r>
              <w:rPr>
                <w:iCs/>
                <w:u w:val="single"/>
              </w:rPr>
              <w:t>Agenda Item 3</w:t>
            </w:r>
          </w:p>
        </w:tc>
        <w:tc>
          <w:tcPr>
            <w:tcW w:w="4236" w:type="dxa"/>
            <w:shd w:val="clear" w:color="auto" w:fill="E6E6E6"/>
            <w:hideMark/>
          </w:tcPr>
          <w:p w14:paraId="4140C47B" w14:textId="77777777" w:rsidR="00C241C4" w:rsidRDefault="00C241C4">
            <w:pPr>
              <w:suppressAutoHyphens w:val="0"/>
              <w:spacing w:line="240" w:lineRule="auto"/>
              <w:ind w:left="264" w:hanging="264"/>
              <w:rPr>
                <w:iCs/>
                <w:u w:val="single"/>
              </w:rPr>
            </w:pPr>
            <w:r>
              <w:rPr>
                <w:iCs/>
                <w:u w:val="single"/>
              </w:rPr>
              <w:t>Listing, classification, and packing</w:t>
            </w:r>
          </w:p>
        </w:tc>
        <w:tc>
          <w:tcPr>
            <w:tcW w:w="1561" w:type="dxa"/>
            <w:shd w:val="clear" w:color="auto" w:fill="E6E6E6"/>
          </w:tcPr>
          <w:p w14:paraId="6CBE72C8" w14:textId="77777777" w:rsidR="00C241C4" w:rsidRDefault="00C241C4">
            <w:pPr>
              <w:suppressAutoHyphens w:val="0"/>
              <w:spacing w:line="240" w:lineRule="auto"/>
              <w:ind w:left="264" w:hanging="264"/>
              <w:jc w:val="center"/>
              <w:rPr>
                <w:i/>
                <w:iCs/>
                <w:u w:val="single"/>
              </w:rPr>
            </w:pPr>
          </w:p>
        </w:tc>
      </w:tr>
      <w:tr w:rsidR="00C241C4" w14:paraId="524DAB39" w14:textId="77777777" w:rsidTr="00C241C4">
        <w:trPr>
          <w:cantSplit/>
          <w:trHeight w:val="20"/>
        </w:trPr>
        <w:tc>
          <w:tcPr>
            <w:tcW w:w="2905" w:type="dxa"/>
            <w:hideMark/>
          </w:tcPr>
          <w:p w14:paraId="5F8B7A4C" w14:textId="77777777" w:rsidR="00C241C4" w:rsidRDefault="00C241C4">
            <w:pPr>
              <w:suppressAutoHyphens w:val="0"/>
              <w:spacing w:line="240" w:lineRule="auto"/>
              <w:rPr>
                <w:i/>
                <w:iCs/>
              </w:rPr>
            </w:pPr>
            <w:r>
              <w:rPr>
                <w:i/>
                <w:iCs/>
              </w:rPr>
              <w:t>ST/SG/AC.10/C.3/2021/21 (Spain)</w:t>
            </w:r>
          </w:p>
        </w:tc>
        <w:tc>
          <w:tcPr>
            <w:tcW w:w="4236" w:type="dxa"/>
            <w:hideMark/>
          </w:tcPr>
          <w:p w14:paraId="04DF9FDD" w14:textId="77777777" w:rsidR="00C241C4" w:rsidRDefault="00C241C4">
            <w:pPr>
              <w:suppressAutoHyphens w:val="0"/>
              <w:spacing w:line="240" w:lineRule="auto"/>
              <w:rPr>
                <w:i/>
                <w:iCs/>
              </w:rPr>
            </w:pPr>
            <w:r>
              <w:rPr>
                <w:i/>
                <w:iCs/>
              </w:rPr>
              <w:t>Transport conditions for UN 2426 ammonium nitrate</w:t>
            </w:r>
          </w:p>
        </w:tc>
        <w:tc>
          <w:tcPr>
            <w:tcW w:w="1561" w:type="dxa"/>
            <w:hideMark/>
          </w:tcPr>
          <w:p w14:paraId="12048421" w14:textId="77777777" w:rsidR="00C241C4" w:rsidRDefault="00C241C4">
            <w:pPr>
              <w:tabs>
                <w:tab w:val="left" w:pos="530"/>
                <w:tab w:val="center" w:pos="665"/>
              </w:tabs>
              <w:suppressAutoHyphens w:val="0"/>
              <w:spacing w:line="240" w:lineRule="auto"/>
              <w:rPr>
                <w:i/>
                <w:iCs/>
              </w:rPr>
            </w:pPr>
            <w:r>
              <w:tab/>
            </w:r>
            <w:hyperlink r:id="rId15" w:anchor="para14" w:history="1">
              <w:r>
                <w:rPr>
                  <w:rStyle w:val="Lienhypertexte"/>
                </w:rPr>
                <w:tab/>
              </w:r>
              <w:r>
                <w:rPr>
                  <w:rStyle w:val="Lienhypertexte"/>
                  <w:i/>
                  <w:iCs/>
                </w:rPr>
                <w:t>14</w:t>
              </w:r>
            </w:hyperlink>
          </w:p>
        </w:tc>
      </w:tr>
      <w:tr w:rsidR="00C241C4" w14:paraId="3FB4DC4D" w14:textId="77777777" w:rsidTr="00C241C4">
        <w:trPr>
          <w:cantSplit/>
          <w:trHeight w:val="20"/>
        </w:trPr>
        <w:tc>
          <w:tcPr>
            <w:tcW w:w="2905" w:type="dxa"/>
            <w:hideMark/>
          </w:tcPr>
          <w:p w14:paraId="08AE7D41" w14:textId="77777777" w:rsidR="00C241C4" w:rsidRDefault="00C241C4">
            <w:pPr>
              <w:suppressAutoHyphens w:val="0"/>
              <w:spacing w:line="240" w:lineRule="auto"/>
              <w:rPr>
                <w:i/>
                <w:iCs/>
              </w:rPr>
            </w:pPr>
            <w:r>
              <w:rPr>
                <w:i/>
                <w:iCs/>
              </w:rPr>
              <w:t>ST/SG/AC.10/C.3/2021/27 (COSTHA)</w:t>
            </w:r>
          </w:p>
        </w:tc>
        <w:tc>
          <w:tcPr>
            <w:tcW w:w="4236" w:type="dxa"/>
            <w:hideMark/>
          </w:tcPr>
          <w:p w14:paraId="2907EE65" w14:textId="77777777" w:rsidR="00C241C4" w:rsidRDefault="00C241C4">
            <w:pPr>
              <w:suppressAutoHyphens w:val="0"/>
              <w:spacing w:line="240" w:lineRule="auto"/>
              <w:rPr>
                <w:i/>
                <w:iCs/>
              </w:rPr>
            </w:pPr>
            <w:r>
              <w:rPr>
                <w:i/>
                <w:iCs/>
              </w:rPr>
              <w:t>Fire suppression devices that contain a pyrotechnic material</w:t>
            </w:r>
          </w:p>
        </w:tc>
        <w:tc>
          <w:tcPr>
            <w:tcW w:w="1561" w:type="dxa"/>
            <w:hideMark/>
          </w:tcPr>
          <w:p w14:paraId="305172FB" w14:textId="77777777" w:rsidR="00C241C4" w:rsidRDefault="00C241C4">
            <w:pPr>
              <w:tabs>
                <w:tab w:val="left" w:pos="530"/>
                <w:tab w:val="center" w:pos="665"/>
              </w:tabs>
              <w:suppressAutoHyphens w:val="0"/>
              <w:spacing w:line="240" w:lineRule="auto"/>
              <w:rPr>
                <w:i/>
                <w:iCs/>
              </w:rPr>
            </w:pPr>
            <w:r>
              <w:tab/>
            </w:r>
            <w:hyperlink r:id="rId16" w:anchor="para13" w:history="1">
              <w:r>
                <w:rPr>
                  <w:rStyle w:val="Lienhypertexte"/>
                </w:rPr>
                <w:tab/>
              </w:r>
            </w:hyperlink>
            <w:r>
              <w:rPr>
                <w:i/>
                <w:iCs/>
              </w:rPr>
              <w:t>15</w:t>
            </w:r>
          </w:p>
        </w:tc>
      </w:tr>
      <w:tr w:rsidR="00C241C4" w14:paraId="54AC93F1" w14:textId="77777777" w:rsidTr="00C241C4">
        <w:trPr>
          <w:cantSplit/>
          <w:trHeight w:val="20"/>
        </w:trPr>
        <w:tc>
          <w:tcPr>
            <w:tcW w:w="2905" w:type="dxa"/>
            <w:shd w:val="clear" w:color="auto" w:fill="E6E6E6"/>
            <w:hideMark/>
          </w:tcPr>
          <w:p w14:paraId="18745D00" w14:textId="77777777" w:rsidR="00C241C4" w:rsidRDefault="00C241C4">
            <w:pPr>
              <w:keepNext/>
              <w:suppressAutoHyphens w:val="0"/>
              <w:spacing w:line="240" w:lineRule="auto"/>
              <w:ind w:left="216" w:hanging="216"/>
              <w:rPr>
                <w:iCs/>
                <w:u w:val="single"/>
              </w:rPr>
            </w:pPr>
            <w:r>
              <w:rPr>
                <w:iCs/>
                <w:u w:val="single"/>
              </w:rPr>
              <w:t>Agenda Item 6(d)</w:t>
            </w:r>
          </w:p>
        </w:tc>
        <w:tc>
          <w:tcPr>
            <w:tcW w:w="5797" w:type="dxa"/>
            <w:gridSpan w:val="2"/>
            <w:shd w:val="clear" w:color="auto" w:fill="E6E6E6"/>
            <w:hideMark/>
          </w:tcPr>
          <w:p w14:paraId="43209979" w14:textId="77777777" w:rsidR="00C241C4" w:rsidRDefault="00C241C4">
            <w:pPr>
              <w:suppressAutoHyphens w:val="0"/>
              <w:spacing w:line="240" w:lineRule="auto"/>
              <w:rPr>
                <w:i/>
                <w:iCs/>
                <w:u w:val="single"/>
              </w:rPr>
            </w:pPr>
            <w:r>
              <w:rPr>
                <w:iCs/>
                <w:u w:val="single"/>
              </w:rPr>
              <w:t>Miscellaneous proposals for amendments to the Model Regulations on the Transport of Dangerous Goods: other miscellaneous proposals</w:t>
            </w:r>
          </w:p>
        </w:tc>
      </w:tr>
      <w:tr w:rsidR="00C241C4" w14:paraId="655ECE9C" w14:textId="77777777" w:rsidTr="00C241C4">
        <w:trPr>
          <w:cantSplit/>
          <w:trHeight w:val="142"/>
        </w:trPr>
        <w:tc>
          <w:tcPr>
            <w:tcW w:w="2905" w:type="dxa"/>
            <w:hideMark/>
          </w:tcPr>
          <w:p w14:paraId="7BB46E59" w14:textId="77777777" w:rsidR="00C241C4" w:rsidRDefault="00C241C4">
            <w:pPr>
              <w:suppressAutoHyphens w:val="0"/>
              <w:spacing w:line="240" w:lineRule="auto"/>
              <w:rPr>
                <w:i/>
                <w:iCs/>
              </w:rPr>
            </w:pPr>
            <w:r>
              <w:rPr>
                <w:i/>
                <w:iCs/>
              </w:rPr>
              <w:t>ST/SG/AC.10/C.3/2021/25 (COSTHA)</w:t>
            </w:r>
          </w:p>
        </w:tc>
        <w:tc>
          <w:tcPr>
            <w:tcW w:w="4236" w:type="dxa"/>
            <w:hideMark/>
          </w:tcPr>
          <w:p w14:paraId="53FA3874" w14:textId="77777777" w:rsidR="00C241C4" w:rsidRDefault="00C241C4">
            <w:pPr>
              <w:suppressAutoHyphens w:val="0"/>
              <w:spacing w:line="240" w:lineRule="auto"/>
              <w:rPr>
                <w:i/>
                <w:iCs/>
              </w:rPr>
            </w:pPr>
            <w:r>
              <w:rPr>
                <w:i/>
                <w:iCs/>
              </w:rPr>
              <w:t>Interpretation problem in ADR 7.5.2.3</w:t>
            </w:r>
          </w:p>
        </w:tc>
        <w:tc>
          <w:tcPr>
            <w:tcW w:w="1561" w:type="dxa"/>
            <w:hideMark/>
          </w:tcPr>
          <w:p w14:paraId="4154982D" w14:textId="77777777" w:rsidR="00C241C4" w:rsidRDefault="00C241C4">
            <w:pPr>
              <w:tabs>
                <w:tab w:val="left" w:pos="530"/>
                <w:tab w:val="center" w:pos="665"/>
              </w:tabs>
              <w:suppressAutoHyphens w:val="0"/>
              <w:spacing w:line="240" w:lineRule="auto"/>
              <w:jc w:val="center"/>
              <w:rPr>
                <w:i/>
                <w:iCs/>
              </w:rPr>
            </w:pPr>
            <w:r>
              <w:rPr>
                <w:i/>
                <w:iCs/>
              </w:rPr>
              <w:t>16</w:t>
            </w:r>
          </w:p>
        </w:tc>
      </w:tr>
      <w:tr w:rsidR="00C241C4" w14:paraId="1B4DF6A4" w14:textId="77777777" w:rsidTr="00C241C4">
        <w:trPr>
          <w:cantSplit/>
          <w:trHeight w:val="142"/>
        </w:trPr>
        <w:tc>
          <w:tcPr>
            <w:tcW w:w="2905" w:type="dxa"/>
            <w:hideMark/>
          </w:tcPr>
          <w:p w14:paraId="012935D4" w14:textId="77777777" w:rsidR="00C241C4" w:rsidRDefault="00C241C4">
            <w:pPr>
              <w:suppressAutoHyphens w:val="0"/>
              <w:spacing w:line="240" w:lineRule="auto"/>
              <w:ind w:left="220"/>
              <w:rPr>
                <w:i/>
                <w:iCs/>
              </w:rPr>
            </w:pPr>
            <w:r>
              <w:rPr>
                <w:i/>
                <w:iCs/>
              </w:rPr>
              <w:t>UN/SCETDG/58/INF.13 (COSTHA)</w:t>
            </w:r>
          </w:p>
        </w:tc>
        <w:tc>
          <w:tcPr>
            <w:tcW w:w="4236" w:type="dxa"/>
            <w:hideMark/>
          </w:tcPr>
          <w:p w14:paraId="2502C2DC" w14:textId="77777777" w:rsidR="00C241C4" w:rsidRDefault="00C241C4">
            <w:pPr>
              <w:suppressAutoHyphens w:val="0"/>
              <w:spacing w:line="240" w:lineRule="auto"/>
              <w:ind w:left="190"/>
              <w:rPr>
                <w:i/>
                <w:iCs/>
              </w:rPr>
            </w:pPr>
            <w:r>
              <w:rPr>
                <w:i/>
                <w:iCs/>
              </w:rPr>
              <w:t>Interpretation problem in sub-section 7.5.2.3</w:t>
            </w:r>
          </w:p>
        </w:tc>
        <w:tc>
          <w:tcPr>
            <w:tcW w:w="1561" w:type="dxa"/>
            <w:hideMark/>
          </w:tcPr>
          <w:p w14:paraId="75FA3847" w14:textId="77777777" w:rsidR="00C241C4" w:rsidRDefault="00C241C4">
            <w:pPr>
              <w:tabs>
                <w:tab w:val="left" w:pos="530"/>
                <w:tab w:val="center" w:pos="665"/>
              </w:tabs>
              <w:suppressAutoHyphens w:val="0"/>
              <w:spacing w:line="240" w:lineRule="auto"/>
              <w:rPr>
                <w:i/>
                <w:iCs/>
              </w:rPr>
            </w:pPr>
            <w:r>
              <w:tab/>
            </w:r>
            <w:r>
              <w:tab/>
            </w:r>
          </w:p>
        </w:tc>
      </w:tr>
    </w:tbl>
    <w:p w14:paraId="18FBB098" w14:textId="77777777" w:rsidR="00C241C4" w:rsidRDefault="00C241C4" w:rsidP="00C241C4">
      <w:pPr>
        <w:pStyle w:val="SingleTxtG"/>
        <w:numPr>
          <w:ilvl w:val="0"/>
          <w:numId w:val="21"/>
        </w:numPr>
        <w:spacing w:before="240" w:line="240" w:lineRule="auto"/>
        <w:ind w:right="43"/>
        <w:rPr>
          <w:lang w:val="en-US"/>
        </w:rPr>
      </w:pPr>
      <w:r>
        <w:t>The EWG also discussed:</w:t>
      </w:r>
    </w:p>
    <w:p w14:paraId="0AB287D8" w14:textId="444D175C" w:rsidR="00C241C4" w:rsidRDefault="00C241C4" w:rsidP="00C241C4">
      <w:pPr>
        <w:pStyle w:val="SingleTxtG"/>
        <w:numPr>
          <w:ilvl w:val="0"/>
          <w:numId w:val="23"/>
        </w:numPr>
        <w:spacing w:before="240" w:after="0" w:line="240" w:lineRule="auto"/>
        <w:ind w:left="2059" w:right="43"/>
      </w:pPr>
      <w:r>
        <w:t>Document ST/SG/AC.10/C.4/2021/6 (Sweden, Alignment of Chapter 2.17 with Chapter 2.1 – correction to GHS Rev. 9) for the 40</w:t>
      </w:r>
      <w:r>
        <w:rPr>
          <w:vertAlign w:val="superscript"/>
        </w:rPr>
        <w:t>th</w:t>
      </w:r>
      <w:r>
        <w:t xml:space="preserve"> Session of the GHS Sub-Committee (see para. 17)</w:t>
      </w:r>
      <w:r w:rsidR="003C6CFB">
        <w:rPr>
          <w:lang w:val="fr-CH"/>
        </w:rPr>
        <w:t>;</w:t>
      </w:r>
      <w:r>
        <w:t xml:space="preserve"> and</w:t>
      </w:r>
    </w:p>
    <w:p w14:paraId="7E122E06" w14:textId="77777777" w:rsidR="00C241C4" w:rsidRDefault="00C241C4" w:rsidP="00C241C4">
      <w:pPr>
        <w:pStyle w:val="SingleTxtG"/>
        <w:numPr>
          <w:ilvl w:val="0"/>
          <w:numId w:val="23"/>
        </w:numPr>
        <w:spacing w:after="0" w:line="240" w:lineRule="auto"/>
        <w:ind w:left="2059" w:right="43"/>
        <w:contextualSpacing/>
      </w:pPr>
      <w:r>
        <w:t>Miscellaneous issues that were called to the attention of the EWG during the meeting (see para. 18).</w:t>
      </w:r>
    </w:p>
    <w:p w14:paraId="1A7CA41A" w14:textId="1D104FA6" w:rsidR="00C241C4" w:rsidRDefault="00C241C4" w:rsidP="00C241C4">
      <w:pPr>
        <w:pStyle w:val="SingleTxtG"/>
        <w:numPr>
          <w:ilvl w:val="0"/>
          <w:numId w:val="21"/>
        </w:numPr>
        <w:spacing w:before="240" w:line="240" w:lineRule="auto"/>
        <w:ind w:right="43"/>
      </w:pPr>
      <w:r>
        <w:t xml:space="preserve">There are two </w:t>
      </w:r>
      <w:r w:rsidR="003C6CFB">
        <w:rPr>
          <w:lang w:val="fr-CH"/>
        </w:rPr>
        <w:t>a</w:t>
      </w:r>
      <w:proofErr w:type="spellStart"/>
      <w:r>
        <w:t>nnexes</w:t>
      </w:r>
      <w:proofErr w:type="spellEnd"/>
      <w:r>
        <w:t xml:space="preserve"> to this report: </w:t>
      </w:r>
    </w:p>
    <w:p w14:paraId="3AB0401A" w14:textId="77777777" w:rsidR="00C241C4" w:rsidRDefault="00464FD2" w:rsidP="00C241C4">
      <w:pPr>
        <w:pStyle w:val="SingleTxtG"/>
        <w:numPr>
          <w:ilvl w:val="0"/>
          <w:numId w:val="24"/>
        </w:numPr>
        <w:spacing w:after="0" w:line="240" w:lineRule="auto"/>
        <w:ind w:left="2070" w:right="43"/>
        <w:contextualSpacing/>
      </w:pPr>
      <w:hyperlink r:id="rId17" w:anchor="annex1" w:history="1">
        <w:r w:rsidR="00C241C4">
          <w:rPr>
            <w:rStyle w:val="Lienhypertexte"/>
          </w:rPr>
          <w:t>Annex 1</w:t>
        </w:r>
      </w:hyperlink>
      <w:r w:rsidR="00C241C4">
        <w:t xml:space="preserve"> – List of Participants</w:t>
      </w:r>
    </w:p>
    <w:p w14:paraId="16980A4D" w14:textId="77777777" w:rsidR="00C241C4" w:rsidRDefault="00464FD2" w:rsidP="00C241C4">
      <w:pPr>
        <w:pStyle w:val="SingleTxtG"/>
        <w:numPr>
          <w:ilvl w:val="0"/>
          <w:numId w:val="24"/>
        </w:numPr>
        <w:spacing w:before="240" w:after="0" w:line="240" w:lineRule="auto"/>
        <w:ind w:left="2070" w:right="43"/>
        <w:contextualSpacing/>
      </w:pPr>
      <w:hyperlink r:id="rId18" w:anchor="annex2" w:history="1">
        <w:r w:rsidR="00C241C4">
          <w:rPr>
            <w:rStyle w:val="Lienhypertexte"/>
          </w:rPr>
          <w:t>Annex 2</w:t>
        </w:r>
      </w:hyperlink>
      <w:r w:rsidR="00C241C4">
        <w:t xml:space="preserve"> – Changes for the </w:t>
      </w:r>
      <w:r w:rsidR="00C241C4">
        <w:rPr>
          <w:i/>
          <w:iCs/>
        </w:rPr>
        <w:t>Manual of Tests and Criteria</w:t>
      </w:r>
      <w:r w:rsidR="00C241C4">
        <w:t xml:space="preserve"> (7th Revised Edition) </w:t>
      </w:r>
    </w:p>
    <w:p w14:paraId="61CFF22E" w14:textId="77777777" w:rsidR="00C241C4" w:rsidRDefault="00C241C4" w:rsidP="00C241C4">
      <w:pPr>
        <w:pStyle w:val="HChG"/>
        <w:shd w:val="pct10" w:color="auto" w:fill="auto"/>
        <w:ind w:left="1138" w:right="43" w:firstLine="0"/>
      </w:pPr>
      <w:r>
        <w:lastRenderedPageBreak/>
        <w:t>Agenda Item 2(a) – Review of Test Series 6</w:t>
      </w:r>
    </w:p>
    <w:p w14:paraId="018AB01F" w14:textId="77777777" w:rsidR="00C241C4" w:rsidRDefault="00C241C4" w:rsidP="00C241C4">
      <w:pPr>
        <w:pStyle w:val="SingleTxtG"/>
        <w:keepNext/>
        <w:numPr>
          <w:ilvl w:val="0"/>
          <w:numId w:val="21"/>
        </w:numPr>
        <w:spacing w:after="240"/>
        <w:ind w:right="43"/>
      </w:pPr>
      <w:r>
        <w:rPr>
          <w:b/>
          <w:u w:val="single"/>
        </w:rPr>
        <w:t>Subject.</w:t>
      </w:r>
      <w:r>
        <w:t xml:space="preserve">  Improvement of the 6(d) test</w:t>
      </w:r>
    </w:p>
    <w:p w14:paraId="40934DD5" w14:textId="3AC81931" w:rsidR="00C241C4" w:rsidRDefault="00C241C4" w:rsidP="00C241C4">
      <w:pPr>
        <w:pStyle w:val="SingleTxtG"/>
        <w:spacing w:after="240"/>
        <w:ind w:left="3700" w:right="43" w:hanging="2001"/>
        <w:jc w:val="left"/>
        <w:rPr>
          <w:i/>
        </w:rPr>
      </w:pPr>
      <w:r>
        <w:rPr>
          <w:i/>
        </w:rPr>
        <w:t>Document:</w:t>
      </w:r>
      <w:r>
        <w:rPr>
          <w:i/>
        </w:rPr>
        <w:tab/>
      </w:r>
      <w:hyperlink r:id="rId19" w:history="1">
        <w:r>
          <w:rPr>
            <w:rStyle w:val="Lienhypertexte"/>
            <w:i/>
            <w:iCs/>
          </w:rPr>
          <w:t>ST/SG/AC.10/C.3/2021/14</w:t>
        </w:r>
      </w:hyperlink>
      <w:r>
        <w:rPr>
          <w:i/>
          <w:iCs/>
        </w:rPr>
        <w:t xml:space="preserve"> (SAAMI)</w:t>
      </w:r>
    </w:p>
    <w:p w14:paraId="6E1DC389" w14:textId="297B460B" w:rsidR="00C241C4" w:rsidRDefault="00C241C4" w:rsidP="00C241C4">
      <w:pPr>
        <w:pStyle w:val="SingleTxtG"/>
        <w:spacing w:after="240"/>
        <w:ind w:left="3700" w:right="43" w:hanging="2001"/>
        <w:rPr>
          <w:i/>
        </w:rPr>
      </w:pPr>
      <w:r>
        <w:rPr>
          <w:i/>
        </w:rPr>
        <w:t xml:space="preserve">Informal document: </w:t>
      </w:r>
      <w:r>
        <w:rPr>
          <w:i/>
        </w:rPr>
        <w:tab/>
        <w:t>UN/SCETDG/58/INF.10 (SAAMI)</w:t>
      </w:r>
    </w:p>
    <w:p w14:paraId="06E35E4D" w14:textId="037EFA9B" w:rsidR="00C241C4" w:rsidRDefault="00C241C4" w:rsidP="00C241C4">
      <w:pPr>
        <w:pStyle w:val="SingleTxtG"/>
        <w:spacing w:after="240"/>
        <w:ind w:left="1699" w:right="43"/>
      </w:pPr>
      <w:r>
        <w:rPr>
          <w:b/>
          <w:u w:val="single"/>
        </w:rPr>
        <w:t>Discussion:</w:t>
      </w:r>
      <w:r>
        <w:t xml:space="preserve"> SAAMI reported on the ICG’s meeting during which it was agreed that the 6(d) test is intended to identify hazardous effects outside of the package resulting from an accidental initiation but that the current criteria may be identifying any effects rather than just hazardous effects. Clear guidance is desired as to what hazardous effects the 6(d) test is meant to identify, and then the criteria should be reviewed and updated so that they relate solely to hazardous effects as opposed to effects in general. The principal questions are for low-energy ruptures or projections in criteria (c) and (d).</w:t>
      </w:r>
    </w:p>
    <w:p w14:paraId="5BA56971" w14:textId="77777777" w:rsidR="00C241C4" w:rsidRDefault="00C241C4" w:rsidP="00C241C4">
      <w:pPr>
        <w:pStyle w:val="SingleTxtG"/>
        <w:spacing w:after="240"/>
        <w:ind w:left="1699" w:right="43"/>
        <w:rPr>
          <w:bCs/>
        </w:rPr>
      </w:pPr>
      <w:r>
        <w:rPr>
          <w:bCs/>
        </w:rPr>
        <w:t>The EWG agreed with the ICG finding that the purpose of the 6(d) test is to protect people, and that this protection applies to first responders or transportation workers in normal (street) clothing and is not limited to fire fighters with protective clothing and equipment.</w:t>
      </w:r>
    </w:p>
    <w:p w14:paraId="73CAFA1A" w14:textId="65FA06D7" w:rsidR="00C241C4" w:rsidRDefault="00C241C4" w:rsidP="00C241C4">
      <w:pPr>
        <w:pStyle w:val="SingleTxtG"/>
        <w:spacing w:after="240"/>
        <w:ind w:left="1699" w:right="43"/>
        <w:rPr>
          <w:bCs/>
        </w:rPr>
      </w:pPr>
      <w:r>
        <w:rPr>
          <w:bCs/>
        </w:rPr>
        <w:t>The EWG discussed if this level of protection also sufficiently protects objects. While it was generally agreed that this level of protection would do so, USA questioned whether that level of protection would also totally prevent any hazard that might lead to propagation to other packages. An example was given where thermal flux occurring slowly over a long period eventually set the package on fire. This should determine whether it is acceptable for the package to burn or not. There was no consensus on if the protection of people in normal clothing would also result in protection to adjacent objects.</w:t>
      </w:r>
    </w:p>
    <w:p w14:paraId="4CE9A06B" w14:textId="43E55F57" w:rsidR="00C241C4" w:rsidRDefault="00C241C4" w:rsidP="00C241C4">
      <w:pPr>
        <w:pStyle w:val="SingleTxtG"/>
        <w:spacing w:after="240"/>
        <w:ind w:left="1699" w:right="43"/>
        <w:rPr>
          <w:bCs/>
        </w:rPr>
      </w:pPr>
      <w:r>
        <w:rPr>
          <w:bCs/>
        </w:rPr>
        <w:t>Germany noted that the 6(d) test may also apply to limited quantities of energetics and not just 1.4S and that this should be remembered when considering revisions to the criteria of the 6(d) test.</w:t>
      </w:r>
    </w:p>
    <w:p w14:paraId="39BC1525" w14:textId="51876266" w:rsidR="00C241C4" w:rsidRDefault="00C241C4" w:rsidP="00C241C4">
      <w:pPr>
        <w:pStyle w:val="SingleTxtG"/>
        <w:spacing w:after="240"/>
        <w:ind w:left="1699" w:right="43"/>
        <w:rPr>
          <w:bCs/>
        </w:rPr>
      </w:pPr>
      <w:r>
        <w:rPr>
          <w:bCs/>
        </w:rPr>
        <w:t>Sweden stated that there are no criteria for hazardous fumes/smokes. USA pointed out that some understand “no hazardous effects” to encompass a low hazard effect, and that this should be resolved before assessing the criteria. Sweden appreciated looking back at the 1.4S definition and use of "no hazardous effect" in other test criteria. SAAMI noted that an approach of eliminating all hazard is beyond the intent of the test. Resolution is critical to the continuation of the work.</w:t>
      </w:r>
    </w:p>
    <w:p w14:paraId="7F83F1F9" w14:textId="77777777" w:rsidR="00C241C4" w:rsidRDefault="00C241C4" w:rsidP="00C241C4">
      <w:pPr>
        <w:pStyle w:val="SingleTxtG"/>
        <w:spacing w:after="240"/>
        <w:ind w:left="1699" w:right="43"/>
        <w:rPr>
          <w:bCs/>
        </w:rPr>
      </w:pPr>
      <w:r>
        <w:rPr>
          <w:bCs/>
        </w:rPr>
        <w:t>SAAMI noted that it is difficult to initiate these articles as intended in the package. It was noted that, in the Series 6 classification tests, risk of initiation is not a factor, and that initiation is assumed.</w:t>
      </w:r>
    </w:p>
    <w:p w14:paraId="03E6CCE1" w14:textId="619709CF" w:rsidR="00C241C4" w:rsidRDefault="00C241C4" w:rsidP="00C241C4">
      <w:pPr>
        <w:pStyle w:val="SingleTxtG"/>
        <w:spacing w:after="240"/>
        <w:ind w:left="1699" w:right="43"/>
        <w:rPr>
          <w:bCs/>
        </w:rPr>
      </w:pPr>
      <w:r>
        <w:rPr>
          <w:bCs/>
        </w:rPr>
        <w:t>AEISG supported the work of the ICG. They further emphasized the need for consistency in test interpretation and that clear and appropriate assessment criteria would greatly contribute to a successful outcome.</w:t>
      </w:r>
    </w:p>
    <w:p w14:paraId="484E8B1C" w14:textId="41A39E11" w:rsidR="00C241C4" w:rsidRDefault="00C241C4" w:rsidP="00B27E70">
      <w:pPr>
        <w:spacing w:line="240" w:lineRule="auto"/>
        <w:ind w:left="1699"/>
        <w:jc w:val="both"/>
        <w:rPr>
          <w:sz w:val="24"/>
          <w:szCs w:val="24"/>
        </w:rPr>
      </w:pPr>
      <w:r>
        <w:rPr>
          <w:b/>
          <w:u w:val="single"/>
        </w:rPr>
        <w:t>Conclusion:</w:t>
      </w:r>
      <w:r>
        <w:t xml:space="preserve">  The Sub-Committee is requested to consider the points reported above and to provide further any guidance it deems appropriate before the next steps in the review process commence. It should be noted that SAAMI may develop a formal proposal for the 59</w:t>
      </w:r>
      <w:r>
        <w:rPr>
          <w:vertAlign w:val="superscript"/>
        </w:rPr>
        <w:t>th</w:t>
      </w:r>
      <w:r>
        <w:t xml:space="preserve"> Session.</w:t>
      </w:r>
    </w:p>
    <w:p w14:paraId="083B93EE" w14:textId="3CF3D921" w:rsidR="00C241C4" w:rsidRDefault="00C241C4" w:rsidP="00C241C4">
      <w:pPr>
        <w:pStyle w:val="SingleTxtG"/>
        <w:spacing w:after="240"/>
        <w:ind w:left="1701" w:right="43"/>
      </w:pPr>
    </w:p>
    <w:p w14:paraId="70A6D45F" w14:textId="77777777" w:rsidR="00C241C4" w:rsidRDefault="00C241C4" w:rsidP="00C241C4">
      <w:pPr>
        <w:pStyle w:val="SingleTxtG"/>
        <w:numPr>
          <w:ilvl w:val="0"/>
          <w:numId w:val="21"/>
        </w:numPr>
        <w:spacing w:after="240"/>
        <w:ind w:right="43"/>
      </w:pPr>
      <w:r>
        <w:rPr>
          <w:b/>
          <w:u w:val="single"/>
        </w:rPr>
        <w:t>Subject.</w:t>
      </w:r>
      <w:r>
        <w:t xml:space="preserve">  Exit from Class 1</w:t>
      </w:r>
    </w:p>
    <w:p w14:paraId="4B2E2238" w14:textId="4DA7AD66" w:rsidR="00C241C4" w:rsidRDefault="00C241C4" w:rsidP="00C241C4">
      <w:pPr>
        <w:pStyle w:val="SingleTxtG"/>
        <w:spacing w:after="240"/>
        <w:ind w:left="3700" w:right="43" w:hanging="2001"/>
        <w:jc w:val="left"/>
        <w:rPr>
          <w:i/>
        </w:rPr>
      </w:pPr>
      <w:r>
        <w:rPr>
          <w:i/>
        </w:rPr>
        <w:t>Document:</w:t>
      </w:r>
      <w:r>
        <w:rPr>
          <w:i/>
        </w:rPr>
        <w:tab/>
      </w:r>
      <w:hyperlink r:id="rId20" w:history="1">
        <w:r>
          <w:rPr>
            <w:rStyle w:val="Lienhypertexte"/>
            <w:i/>
            <w:iCs/>
          </w:rPr>
          <w:t>ST/SG/AC.10/C.3/2021/15</w:t>
        </w:r>
      </w:hyperlink>
      <w:r>
        <w:rPr>
          <w:i/>
          <w:iCs/>
        </w:rPr>
        <w:t xml:space="preserve"> (IME, COSTHA, &amp; SAAMI)</w:t>
      </w:r>
    </w:p>
    <w:p w14:paraId="43E392CA" w14:textId="34B3FC7F" w:rsidR="00C241C4" w:rsidRDefault="00C241C4" w:rsidP="00C241C4">
      <w:pPr>
        <w:pStyle w:val="SingleTxtG"/>
        <w:spacing w:after="240"/>
        <w:ind w:left="3700" w:right="43" w:hanging="2001"/>
        <w:rPr>
          <w:i/>
        </w:rPr>
      </w:pPr>
      <w:r>
        <w:rPr>
          <w:i/>
        </w:rPr>
        <w:t xml:space="preserve">Informal document: </w:t>
      </w:r>
      <w:r>
        <w:rPr>
          <w:i/>
        </w:rPr>
        <w:tab/>
        <w:t>None submitted</w:t>
      </w:r>
    </w:p>
    <w:p w14:paraId="0C831E10" w14:textId="7F8CC61A" w:rsidR="00C241C4" w:rsidRDefault="00C241C4" w:rsidP="00C241C4">
      <w:pPr>
        <w:pStyle w:val="SingleTxtG"/>
        <w:spacing w:after="240"/>
        <w:ind w:left="1699" w:right="43"/>
      </w:pPr>
      <w:r>
        <w:rPr>
          <w:b/>
          <w:u w:val="single"/>
        </w:rPr>
        <w:t>Discussion:</w:t>
      </w:r>
      <w:r>
        <w:t xml:space="preserve">  As discussed in </w:t>
      </w:r>
      <w:r w:rsidR="000A12E4" w:rsidRPr="000A12E4">
        <w:t>ST/SG/AC.10/C.3/</w:t>
      </w:r>
      <w:r>
        <w:t xml:space="preserve">2021/15, it is desirable to classify very low hazard energetic articles outside of Class 1 to better facilitate their transportation. Presently these devices are classified in Class 1. That classification, including the safest classification (1.4S), often results in impediments to transport from carriers, facilities, and competent authorities. Therefore, IME, </w:t>
      </w:r>
      <w:r>
        <w:lastRenderedPageBreak/>
        <w:t xml:space="preserve">COSTHA, and SAAMI are seeking to establish a classification and criteria system commensurate with the very low hazard posed. As claimed in </w:t>
      </w:r>
      <w:r w:rsidR="000A12E4" w:rsidRPr="000A12E4">
        <w:t>ST/SG/AC.10/C.3/</w:t>
      </w:r>
      <w:r>
        <w:t>2021/15, the EWG considered and was sympathetic to the premise that no “… quantifiable, scientific method exists for classifying very low hazard energetic articles outside of Class 1, but still within the scope of the UN Model Regulations, when they are not directly intended to function as life-saving devices in transport conveyances.”</w:t>
      </w:r>
    </w:p>
    <w:p w14:paraId="1D24F4A7" w14:textId="219B505A" w:rsidR="00C241C4" w:rsidRDefault="00C241C4" w:rsidP="00C241C4">
      <w:pPr>
        <w:pStyle w:val="SingleTxtG"/>
        <w:spacing w:after="240"/>
        <w:ind w:left="1699" w:right="43"/>
      </w:pPr>
      <w:r>
        <w:t>The group considered whether the exclusion provisions found in MR 2.1.3.6.4 could be adapted with additional criteria for the new system. The existing exclusion provisions are used to exit Class 1. It was discussed that, once excluded, there is often no other applicable hazard class, in which case the product is no longer a dangerous good.</w:t>
      </w:r>
    </w:p>
    <w:p w14:paraId="2DCA5DEC" w14:textId="5F1A36A1" w:rsidR="00C241C4" w:rsidRDefault="00C241C4" w:rsidP="00C241C4">
      <w:pPr>
        <w:pStyle w:val="SingleTxtG"/>
        <w:spacing w:after="240"/>
        <w:ind w:left="1699" w:right="43"/>
        <w:rPr>
          <w:bCs/>
        </w:rPr>
      </w:pPr>
      <w:r>
        <w:rPr>
          <w:bCs/>
        </w:rPr>
        <w:t xml:space="preserve">Many of the group felt that the issue described in </w:t>
      </w:r>
      <w:r w:rsidR="009A798B" w:rsidRPr="009A798B">
        <w:rPr>
          <w:bCs/>
        </w:rPr>
        <w:t>ST/SG/AC.10/C.3/</w:t>
      </w:r>
      <w:r>
        <w:rPr>
          <w:bCs/>
        </w:rPr>
        <w:t>2021/15 was less of a classification issue, but was partially one of perception. Some in the group felt that this could be addressed by education rather than by creating a new entry for the Dangerous Goods List or by modifying current exclusion provisions. SAAMI commented that this had been tried extensively, but that prohibitions often do not differentiate between the varying hazard levels of different divisions within Class 1.</w:t>
      </w:r>
    </w:p>
    <w:p w14:paraId="4781E380" w14:textId="7D7F44D9" w:rsidR="00C241C4" w:rsidRDefault="00C241C4" w:rsidP="00C241C4">
      <w:pPr>
        <w:pStyle w:val="SingleTxtG"/>
        <w:spacing w:after="240"/>
        <w:ind w:left="1699" w:right="43"/>
        <w:rPr>
          <w:bCs/>
        </w:rPr>
      </w:pPr>
      <w:r>
        <w:rPr>
          <w:bCs/>
        </w:rPr>
        <w:t>The group discussed putting such devices into Class 9; however, opinions were divided on this possibility. The USA cautioned that this may create more problems and suggested an additional division within Class 1 with various additional distinctions. Germany suggested a new specific entry (new UN number) might be of assistance. It was pointed out that any solution that retained the subject articles in Class 1 may not resolve the automatic prohibitions described above.</w:t>
      </w:r>
    </w:p>
    <w:p w14:paraId="5D018B40" w14:textId="168145ED" w:rsidR="00C241C4" w:rsidRDefault="00C241C4" w:rsidP="00C241C4">
      <w:pPr>
        <w:pStyle w:val="SingleTxtG"/>
        <w:spacing w:after="240"/>
        <w:ind w:left="1699" w:right="43"/>
        <w:rPr>
          <w:bCs/>
        </w:rPr>
      </w:pPr>
      <w:r>
        <w:rPr>
          <w:bCs/>
        </w:rPr>
        <w:t>AEISG supported the possibility of revising MR 2.1.3.6.4 so that it addresses both classification into another dangerous goods class and exclusion outside of the dangerous goods regime. Any effort to that end must support safety but should not unnecessarily impede commerce.</w:t>
      </w:r>
    </w:p>
    <w:p w14:paraId="1F4809B8" w14:textId="786449C5" w:rsidR="00C241C4" w:rsidRDefault="00C241C4" w:rsidP="00C241C4">
      <w:pPr>
        <w:pStyle w:val="SingleTxtG"/>
        <w:spacing w:after="240"/>
        <w:ind w:left="1701" w:right="43"/>
      </w:pPr>
      <w:r>
        <w:rPr>
          <w:b/>
          <w:u w:val="single"/>
        </w:rPr>
        <w:t>Conclusion:</w:t>
      </w:r>
      <w:r>
        <w:t xml:space="preserve">  There was support for continuing the work; however, opinions were divided on possible solutions. IME, COSTHA, and SAAMI will consider the comments of the working group as it considers a way forward. </w:t>
      </w:r>
    </w:p>
    <w:p w14:paraId="29A987CD" w14:textId="77777777" w:rsidR="00C241C4" w:rsidRDefault="00C241C4" w:rsidP="00C241C4">
      <w:pPr>
        <w:pStyle w:val="SingleTxtG"/>
        <w:keepNext/>
        <w:numPr>
          <w:ilvl w:val="0"/>
          <w:numId w:val="21"/>
        </w:numPr>
        <w:spacing w:after="240"/>
        <w:ind w:right="43"/>
      </w:pPr>
      <w:r>
        <w:rPr>
          <w:b/>
          <w:u w:val="single"/>
        </w:rPr>
        <w:t>Subject.</w:t>
      </w:r>
      <w:r>
        <w:t xml:space="preserve">  Thermal flux calculation in the 6(c) test</w:t>
      </w:r>
    </w:p>
    <w:p w14:paraId="67CB808A" w14:textId="3A6EFF01" w:rsidR="00C241C4" w:rsidRDefault="00C241C4" w:rsidP="00C241C4">
      <w:pPr>
        <w:pStyle w:val="SingleTxtG"/>
        <w:keepNext/>
        <w:spacing w:after="240"/>
        <w:ind w:left="3700" w:right="43" w:hanging="2001"/>
        <w:jc w:val="left"/>
        <w:rPr>
          <w:i/>
        </w:rPr>
      </w:pPr>
      <w:r>
        <w:rPr>
          <w:i/>
        </w:rPr>
        <w:t>Document:</w:t>
      </w:r>
      <w:r>
        <w:rPr>
          <w:i/>
        </w:rPr>
        <w:tab/>
      </w:r>
      <w:hyperlink r:id="rId21" w:history="1">
        <w:r>
          <w:rPr>
            <w:rStyle w:val="Lienhypertexte"/>
            <w:i/>
            <w:iCs/>
          </w:rPr>
          <w:t>ST/SG/AC.10/C.3/2021/19</w:t>
        </w:r>
      </w:hyperlink>
      <w:r>
        <w:rPr>
          <w:i/>
          <w:iCs/>
        </w:rPr>
        <w:t xml:space="preserve"> (CHINA)</w:t>
      </w:r>
    </w:p>
    <w:p w14:paraId="050F0966" w14:textId="4019A3B1" w:rsidR="00C241C4" w:rsidRDefault="00C241C4" w:rsidP="00C241C4">
      <w:pPr>
        <w:pStyle w:val="SingleTxtG"/>
        <w:spacing w:after="240"/>
        <w:ind w:left="3700" w:right="43" w:hanging="2001"/>
        <w:rPr>
          <w:i/>
        </w:rPr>
      </w:pPr>
      <w:r>
        <w:rPr>
          <w:i/>
        </w:rPr>
        <w:t xml:space="preserve">Informal document: </w:t>
      </w:r>
      <w:r>
        <w:rPr>
          <w:i/>
        </w:rPr>
        <w:tab/>
        <w:t>None submitted</w:t>
      </w:r>
    </w:p>
    <w:p w14:paraId="2CE84AAC" w14:textId="0D3DDE15" w:rsidR="00C241C4" w:rsidRDefault="00C241C4" w:rsidP="00C241C4">
      <w:pPr>
        <w:pStyle w:val="SingleTxtG"/>
        <w:spacing w:after="240"/>
        <w:ind w:left="1701" w:right="43"/>
      </w:pPr>
      <w:r>
        <w:rPr>
          <w:b/>
          <w:u w:val="single"/>
        </w:rPr>
        <w:t>Discussion:</w:t>
      </w:r>
      <w:r>
        <w:t xml:space="preserve">  The EWG confirmed that the errors reported in </w:t>
      </w:r>
      <w:r w:rsidR="00B027F5" w:rsidRPr="00B027F5">
        <w:t>ST/SG/AC.10/C.3/</w:t>
      </w:r>
      <w:r>
        <w:t>2021/19 should be corrected, that option 2 was preferred, and that all language versions of the MTC should be checked for correctness. It was observed that, despite the errors noted, practical experience indicates that the thermal flux calculation, when used, was being interpreted correctly. The group noted that there are instances in the MR and the MTC where the unit of measure “metre” was sometime spelled “meter” and recommended a review of both documents to ensure consistent and correct spelling throughout.</w:t>
      </w:r>
    </w:p>
    <w:p w14:paraId="6685804C" w14:textId="585B42AC" w:rsidR="00C241C4" w:rsidRDefault="00C241C4" w:rsidP="00C241C4">
      <w:pPr>
        <w:pStyle w:val="SingleTxtG"/>
        <w:spacing w:after="240"/>
        <w:ind w:left="1701" w:right="43"/>
      </w:pPr>
      <w:r>
        <w:rPr>
          <w:b/>
          <w:u w:val="single"/>
        </w:rPr>
        <w:t>Conclusion:</w:t>
      </w:r>
      <w:r>
        <w:t xml:space="preserve">  Amend the description of parameters for the thermal flux calculation following MTC Table 16.2 as described in Option 2 (para. 5) of </w:t>
      </w:r>
      <w:r w:rsidR="00B027F5" w:rsidRPr="00B027F5">
        <w:t>ST/SG/AC.10/C.3/</w:t>
      </w:r>
      <w:r>
        <w:t xml:space="preserve">2021/19 (see Annex 2, Amendment 1).  Confirm correctness throughout all language versions of the MTC.  Confirm correct spelling of the unit of measure “metre” (as specified in Table 1.2.2.1 of the MR) throughout the MR and the MTC. </w:t>
      </w:r>
    </w:p>
    <w:p w14:paraId="2A97DF51" w14:textId="77777777" w:rsidR="00C241C4" w:rsidRDefault="00C241C4" w:rsidP="00C241C4">
      <w:pPr>
        <w:pStyle w:val="HChG"/>
        <w:shd w:val="pct10" w:color="auto" w:fill="auto"/>
        <w:ind w:left="1138" w:right="43" w:firstLine="0"/>
      </w:pPr>
      <w:r>
        <w:t>Agenda Item 2(b) – Improvement of Test Series 8</w:t>
      </w:r>
    </w:p>
    <w:p w14:paraId="1F5EFBFF" w14:textId="77777777" w:rsidR="00C241C4" w:rsidRDefault="00C241C4" w:rsidP="00C241C4">
      <w:pPr>
        <w:pStyle w:val="SingleTxtG"/>
        <w:numPr>
          <w:ilvl w:val="0"/>
          <w:numId w:val="21"/>
        </w:numPr>
        <w:spacing w:after="240"/>
        <w:ind w:right="43"/>
      </w:pPr>
      <w:r>
        <w:rPr>
          <w:b/>
          <w:u w:val="single"/>
        </w:rPr>
        <w:t>Subject.</w:t>
      </w:r>
      <w:r>
        <w:t xml:space="preserve">  Waiver of 8(d) test when UN 3375 assigned using 8(e) test</w:t>
      </w:r>
    </w:p>
    <w:p w14:paraId="19F629C0" w14:textId="53BD7326" w:rsidR="00C241C4" w:rsidRDefault="00C241C4" w:rsidP="00C241C4">
      <w:pPr>
        <w:pStyle w:val="SingleTxtG"/>
        <w:spacing w:after="240"/>
        <w:ind w:left="3700" w:right="43" w:hanging="2001"/>
        <w:jc w:val="left"/>
        <w:rPr>
          <w:i/>
        </w:rPr>
      </w:pPr>
      <w:r>
        <w:rPr>
          <w:i/>
        </w:rPr>
        <w:t>Document:</w:t>
      </w:r>
      <w:r>
        <w:rPr>
          <w:i/>
        </w:rPr>
        <w:tab/>
      </w:r>
      <w:r>
        <w:rPr>
          <w:i/>
          <w:iCs/>
        </w:rPr>
        <w:t>None submitted</w:t>
      </w:r>
    </w:p>
    <w:p w14:paraId="13AC6280" w14:textId="25F75DA9" w:rsidR="00C241C4" w:rsidRDefault="00C241C4" w:rsidP="00C241C4">
      <w:pPr>
        <w:pStyle w:val="SingleTxtG"/>
        <w:spacing w:after="240"/>
        <w:ind w:left="3700" w:right="43" w:hanging="2001"/>
        <w:rPr>
          <w:i/>
        </w:rPr>
      </w:pPr>
      <w:r>
        <w:rPr>
          <w:i/>
        </w:rPr>
        <w:lastRenderedPageBreak/>
        <w:t xml:space="preserve">Informal document: </w:t>
      </w:r>
      <w:r>
        <w:rPr>
          <w:i/>
        </w:rPr>
        <w:tab/>
      </w:r>
      <w:r>
        <w:rPr>
          <w:i/>
          <w:iCs/>
        </w:rPr>
        <w:t>UN/SCETDG/58/INF.8</w:t>
      </w:r>
    </w:p>
    <w:p w14:paraId="574B815F" w14:textId="77777777" w:rsidR="00C241C4" w:rsidRDefault="00C241C4" w:rsidP="00C241C4">
      <w:pPr>
        <w:pStyle w:val="SingleTxtG"/>
        <w:spacing w:after="240"/>
        <w:ind w:left="1701" w:right="43"/>
      </w:pPr>
      <w:r>
        <w:rPr>
          <w:b/>
          <w:u w:val="single"/>
        </w:rPr>
        <w:t>Discussion:</w:t>
      </w:r>
      <w:r>
        <w:t xml:space="preserve">  IME </w:t>
      </w:r>
      <w:r>
        <w:rPr>
          <w:bCs/>
        </w:rPr>
        <w:t xml:space="preserve">gave a prepared presentation on </w:t>
      </w:r>
      <w:proofErr w:type="spellStart"/>
      <w:r>
        <w:rPr>
          <w:bCs/>
        </w:rPr>
        <w:t>modeling</w:t>
      </w:r>
      <w:proofErr w:type="spellEnd"/>
      <w:r>
        <w:rPr>
          <w:bCs/>
        </w:rPr>
        <w:t xml:space="preserve"> work and full-scale events which support </w:t>
      </w:r>
      <w:r>
        <w:t xml:space="preserve">its proposal to waive the 8 (d) vented pipe Tests when UN 3375 ANEs are classified using the 8 (e) </w:t>
      </w:r>
      <w:proofErr w:type="spellStart"/>
      <w:r>
        <w:t>CanmetCERL</w:t>
      </w:r>
      <w:proofErr w:type="spellEnd"/>
      <w:r>
        <w:t xml:space="preserve"> Minimum Burning Pressure (MBP) test. This additional information using numerical </w:t>
      </w:r>
      <w:proofErr w:type="spellStart"/>
      <w:r>
        <w:t>modeling</w:t>
      </w:r>
      <w:proofErr w:type="spellEnd"/>
      <w:r>
        <w:t xml:space="preserve"> was offered to illustrate the heat and mass transport phenomena that take place within a tank containing an ANE that is subject to an external fire. The </w:t>
      </w:r>
      <w:proofErr w:type="spellStart"/>
      <w:r>
        <w:t>modeling</w:t>
      </w:r>
      <w:proofErr w:type="spellEnd"/>
      <w:r>
        <w:t xml:space="preserve"> is based on heat/fluid flow determined experimentally from truck tire and diesel fuel scenarios. Results from the </w:t>
      </w:r>
      <w:proofErr w:type="spellStart"/>
      <w:r>
        <w:t>modeling</w:t>
      </w:r>
      <w:proofErr w:type="spellEnd"/>
      <w:r>
        <w:t xml:space="preserve"> support observations in the field.</w:t>
      </w:r>
    </w:p>
    <w:p w14:paraId="06AEEE2F" w14:textId="77777777" w:rsidR="00C241C4" w:rsidRDefault="00C241C4" w:rsidP="00C241C4">
      <w:pPr>
        <w:pStyle w:val="SingleTxtG"/>
        <w:spacing w:after="240"/>
        <w:ind w:left="1701" w:right="43"/>
        <w:rPr>
          <w:bCs/>
        </w:rPr>
      </w:pPr>
      <w:r>
        <w:rPr>
          <w:bCs/>
        </w:rPr>
        <w:t xml:space="preserve">IME responded to several technical questions from participants. </w:t>
      </w:r>
    </w:p>
    <w:p w14:paraId="7FF43E49" w14:textId="00B96739" w:rsidR="00C241C4" w:rsidRDefault="00C241C4" w:rsidP="00C241C4">
      <w:pPr>
        <w:pStyle w:val="SingleTxtG"/>
        <w:numPr>
          <w:ilvl w:val="0"/>
          <w:numId w:val="25"/>
        </w:numPr>
        <w:spacing w:after="240"/>
        <w:ind w:right="43"/>
        <w:rPr>
          <w:bCs/>
        </w:rPr>
      </w:pPr>
      <w:r>
        <w:rPr>
          <w:bCs/>
        </w:rPr>
        <w:t>The Chair questioned if these calculations were run with much lower water content and the response was: No, but it would be possible if the physical characteristics of those products were known. The material parameters for the model were from peer reviewed published sources.</w:t>
      </w:r>
    </w:p>
    <w:p w14:paraId="58068615" w14:textId="6F40913A" w:rsidR="00C241C4" w:rsidRDefault="00C241C4" w:rsidP="00C241C4">
      <w:pPr>
        <w:pStyle w:val="SingleTxtG"/>
        <w:numPr>
          <w:ilvl w:val="0"/>
          <w:numId w:val="26"/>
        </w:numPr>
        <w:spacing w:after="240"/>
        <w:ind w:right="43"/>
        <w:rPr>
          <w:bCs/>
        </w:rPr>
      </w:pPr>
      <w:r>
        <w:rPr>
          <w:bCs/>
        </w:rPr>
        <w:t xml:space="preserve">United Kingdom asked if the tank degradation or contamination was </w:t>
      </w:r>
      <w:proofErr w:type="spellStart"/>
      <w:r>
        <w:rPr>
          <w:bCs/>
        </w:rPr>
        <w:t>modeled</w:t>
      </w:r>
      <w:proofErr w:type="spellEnd"/>
      <w:r>
        <w:rPr>
          <w:bCs/>
        </w:rPr>
        <w:t xml:space="preserve">. The response was: No; steel tanks were </w:t>
      </w:r>
      <w:proofErr w:type="spellStart"/>
      <w:r>
        <w:rPr>
          <w:bCs/>
        </w:rPr>
        <w:t>modeled</w:t>
      </w:r>
      <w:proofErr w:type="spellEnd"/>
      <w:r>
        <w:rPr>
          <w:bCs/>
        </w:rPr>
        <w:t xml:space="preserve"> as rigid and inert.</w:t>
      </w:r>
    </w:p>
    <w:p w14:paraId="0D52AE5F" w14:textId="1B104925" w:rsidR="00C241C4" w:rsidRDefault="00C241C4" w:rsidP="00C241C4">
      <w:pPr>
        <w:pStyle w:val="SingleTxtG"/>
        <w:numPr>
          <w:ilvl w:val="0"/>
          <w:numId w:val="26"/>
        </w:numPr>
        <w:spacing w:after="240"/>
        <w:ind w:right="43"/>
        <w:rPr>
          <w:bCs/>
        </w:rPr>
      </w:pPr>
      <w:r>
        <w:rPr>
          <w:bCs/>
        </w:rPr>
        <w:t xml:space="preserve">Sweden noted that violent ruptures occurred in steel tanks in the </w:t>
      </w:r>
      <w:proofErr w:type="spellStart"/>
      <w:r>
        <w:rPr>
          <w:u w:val="single"/>
        </w:rPr>
        <w:t>Kuosanen</w:t>
      </w:r>
      <w:proofErr w:type="spellEnd"/>
      <w:r>
        <w:rPr>
          <w:bCs/>
        </w:rPr>
        <w:t xml:space="preserve"> tests performed in 2007, but it was pointed out that the emulsion formulation used in those tests was Ammonium Nitrate-Sodium Nitrate which would result in a different and much lower minimum burning pressure.</w:t>
      </w:r>
    </w:p>
    <w:p w14:paraId="37F824B7" w14:textId="5AD2D9A5" w:rsidR="00C241C4" w:rsidRDefault="00C241C4" w:rsidP="00C241C4">
      <w:pPr>
        <w:pStyle w:val="SingleTxtG"/>
        <w:numPr>
          <w:ilvl w:val="0"/>
          <w:numId w:val="26"/>
        </w:numPr>
        <w:spacing w:after="240"/>
        <w:ind w:right="43"/>
        <w:rPr>
          <w:bCs/>
        </w:rPr>
      </w:pPr>
      <w:r>
        <w:rPr>
          <w:bCs/>
        </w:rPr>
        <w:t>Belgium noted that thermal diffusivity is important, but is not measured in the 8(e) test. Belgium suggested a modification of the 8(d) test to better account for real scenarios or that product properties might be an alternative solution to waving the test. IME responded that thermal diffusivity does play a role, but the important measure is the minimum burning pressure. It was also noted that modifying the test would be a very intensive undertaking.</w:t>
      </w:r>
    </w:p>
    <w:p w14:paraId="45A54EC8" w14:textId="77777777" w:rsidR="00C241C4" w:rsidRDefault="00C241C4" w:rsidP="00C241C4">
      <w:pPr>
        <w:pStyle w:val="SingleTxtG"/>
        <w:spacing w:after="240"/>
        <w:ind w:left="1701" w:right="43"/>
        <w:rPr>
          <w:bCs/>
        </w:rPr>
      </w:pPr>
      <w:r>
        <w:rPr>
          <w:bCs/>
        </w:rPr>
        <w:t xml:space="preserve">USA voiced support for further discussions, but did not agree with all assumptions in the model and would like to see further experimental validation of the model. Also noted was that </w:t>
      </w:r>
      <w:proofErr w:type="spellStart"/>
      <w:r>
        <w:rPr>
          <w:bCs/>
        </w:rPr>
        <w:t>modeling</w:t>
      </w:r>
      <w:proofErr w:type="spellEnd"/>
      <w:r>
        <w:rPr>
          <w:bCs/>
        </w:rPr>
        <w:t xml:space="preserve"> work from US testing laboratories has shown differing results to those from IME. USA is not opposed to the proposal if more work can be done in support.</w:t>
      </w:r>
    </w:p>
    <w:p w14:paraId="71CC2160" w14:textId="77777777" w:rsidR="00C241C4" w:rsidRDefault="00C241C4" w:rsidP="00C241C4">
      <w:pPr>
        <w:pStyle w:val="SingleTxtG"/>
        <w:spacing w:after="240"/>
        <w:ind w:left="1701" w:right="43"/>
        <w:rPr>
          <w:bCs/>
        </w:rPr>
      </w:pPr>
      <w:r>
        <w:rPr>
          <w:bCs/>
        </w:rPr>
        <w:t>The option to modify the 8 (d)(ii) test to closer reflect a transport fire scenario was discussed. AEISG noted that no consistency exists between 8 (d)(</w:t>
      </w:r>
      <w:proofErr w:type="spellStart"/>
      <w:r>
        <w:rPr>
          <w:bCs/>
        </w:rPr>
        <w:t>i</w:t>
      </w:r>
      <w:proofErr w:type="spellEnd"/>
      <w:r>
        <w:rPr>
          <w:bCs/>
        </w:rPr>
        <w:t>) and 8 (d)(ii). It was acknowledged that the 8 (d)(</w:t>
      </w:r>
      <w:proofErr w:type="spellStart"/>
      <w:r>
        <w:rPr>
          <w:bCs/>
        </w:rPr>
        <w:t>i</w:t>
      </w:r>
      <w:proofErr w:type="spellEnd"/>
      <w:r>
        <w:rPr>
          <w:bCs/>
        </w:rPr>
        <w:t>) and 8 (d)(ii) tests have different specifications and the results of either test are still considered acceptable.</w:t>
      </w:r>
    </w:p>
    <w:p w14:paraId="3F294E18" w14:textId="64A908B8" w:rsidR="00C241C4" w:rsidRDefault="00C241C4" w:rsidP="00C241C4">
      <w:pPr>
        <w:pStyle w:val="SingleTxtG"/>
        <w:spacing w:after="240"/>
        <w:ind w:left="1701" w:right="43"/>
      </w:pPr>
      <w:r>
        <w:rPr>
          <w:b/>
          <w:u w:val="single"/>
        </w:rPr>
        <w:t>Conclusion:</w:t>
      </w:r>
      <w:r>
        <w:t xml:space="preserve">  IME will incorporate feedback moving forward.</w:t>
      </w:r>
    </w:p>
    <w:p w14:paraId="2EA5D00D" w14:textId="77777777" w:rsidR="00C241C4" w:rsidRDefault="00C241C4" w:rsidP="00C241C4">
      <w:pPr>
        <w:pStyle w:val="HChG"/>
        <w:shd w:val="pct10" w:color="auto" w:fill="auto"/>
        <w:ind w:left="1138" w:right="43" w:firstLine="0"/>
      </w:pPr>
      <w:r>
        <w:t xml:space="preserve">Agenda Item 2(e) – Review of packing instructions for explosives </w:t>
      </w:r>
    </w:p>
    <w:p w14:paraId="2A2B5AB1" w14:textId="77777777" w:rsidR="00C241C4" w:rsidRDefault="00C241C4" w:rsidP="00C241C4">
      <w:pPr>
        <w:pStyle w:val="SingleTxtG"/>
        <w:numPr>
          <w:ilvl w:val="0"/>
          <w:numId w:val="21"/>
        </w:numPr>
        <w:spacing w:after="240"/>
        <w:ind w:right="43"/>
      </w:pPr>
      <w:r>
        <w:rPr>
          <w:b/>
          <w:u w:val="single"/>
        </w:rPr>
        <w:t>Subject.</w:t>
      </w:r>
      <w:r>
        <w:t xml:space="preserve">  PP70 of P137</w:t>
      </w:r>
    </w:p>
    <w:p w14:paraId="5C42F537" w14:textId="43C079B3" w:rsidR="00C241C4" w:rsidRDefault="00C241C4" w:rsidP="00C241C4">
      <w:pPr>
        <w:pStyle w:val="SingleTxtG"/>
        <w:spacing w:after="240"/>
        <w:ind w:left="3700" w:right="43" w:hanging="2001"/>
        <w:jc w:val="left"/>
        <w:rPr>
          <w:i/>
        </w:rPr>
      </w:pPr>
      <w:r>
        <w:rPr>
          <w:i/>
        </w:rPr>
        <w:t>Document:</w:t>
      </w:r>
      <w:r>
        <w:rPr>
          <w:i/>
        </w:rPr>
        <w:tab/>
      </w:r>
      <w:hyperlink r:id="rId22" w:history="1">
        <w:r>
          <w:rPr>
            <w:rStyle w:val="Lienhypertexte"/>
            <w:i/>
            <w:iCs/>
          </w:rPr>
          <w:t>ST/SG/AC.10/C.3/2021/13</w:t>
        </w:r>
      </w:hyperlink>
      <w:r>
        <w:rPr>
          <w:i/>
          <w:iCs/>
        </w:rPr>
        <w:t xml:space="preserve"> (United Kingdom)</w:t>
      </w:r>
    </w:p>
    <w:p w14:paraId="0FC632AC" w14:textId="4A098F5C" w:rsidR="00C241C4" w:rsidRDefault="00C241C4" w:rsidP="00C241C4">
      <w:pPr>
        <w:pStyle w:val="SingleTxtG"/>
        <w:spacing w:after="240"/>
        <w:ind w:left="3700" w:right="43" w:hanging="2001"/>
        <w:rPr>
          <w:i/>
        </w:rPr>
      </w:pPr>
      <w:r>
        <w:rPr>
          <w:i/>
        </w:rPr>
        <w:t xml:space="preserve">Informal document: </w:t>
      </w:r>
      <w:r>
        <w:rPr>
          <w:i/>
        </w:rPr>
        <w:tab/>
        <w:t>None submitted</w:t>
      </w:r>
    </w:p>
    <w:p w14:paraId="4192B558" w14:textId="1BB3E3BF" w:rsidR="00C241C4" w:rsidRDefault="00C241C4" w:rsidP="00C241C4">
      <w:pPr>
        <w:pStyle w:val="SingleTxtG"/>
        <w:spacing w:after="240"/>
        <w:ind w:left="1701" w:right="43"/>
      </w:pPr>
      <w:r>
        <w:rPr>
          <w:b/>
          <w:u w:val="single"/>
        </w:rPr>
        <w:t>Discussion:</w:t>
      </w:r>
      <w:r>
        <w:t xml:space="preserve">  Referring to the variety of packaging orientations that are used when packaging shaped charges under Packing Instruction P137, the UK is seeking to add clarity to PP70, which specifies when package orientation marks are required. Opinions were divided as to whether additional clarity was needed since no specific issues in the packaging shaped charges have been identified. It was pointed out that competent authorities will often include notes in explosives approval documents that describe the packaging, including orientation marks if required. However, in the UK, the </w:t>
      </w:r>
      <w:r>
        <w:lastRenderedPageBreak/>
        <w:t>packaging competent authority is not the same as the competent authority for classifying explosives and the former is not as familiar with explosives and desires more clarity.</w:t>
      </w:r>
    </w:p>
    <w:p w14:paraId="3443C809" w14:textId="5F34E2AA" w:rsidR="00C241C4" w:rsidRDefault="00C241C4" w:rsidP="00C241C4">
      <w:pPr>
        <w:pStyle w:val="SingleTxtG"/>
        <w:spacing w:after="240"/>
        <w:ind w:left="1701" w:right="43"/>
      </w:pPr>
      <w:r>
        <w:rPr>
          <w:bCs/>
        </w:rPr>
        <w:t>As the proposed amendment to PP70 is quite detailed and lengthy, it was suggested that a simpler amendment might be desirable. In response, the USA offered the following that could be added to the end of PP70</w:t>
      </w:r>
      <w:r>
        <w:t>:</w:t>
      </w:r>
    </w:p>
    <w:p w14:paraId="275DDDA8" w14:textId="6C7374B3" w:rsidR="00C241C4" w:rsidRPr="00032B85" w:rsidRDefault="00032B85" w:rsidP="00C241C4">
      <w:pPr>
        <w:pStyle w:val="SingleTxtG"/>
        <w:spacing w:after="240"/>
        <w:ind w:left="2275" w:right="576"/>
        <w:rPr>
          <w:i/>
          <w:iCs/>
          <w:lang w:val="fr-CH"/>
        </w:rPr>
      </w:pPr>
      <w:r>
        <w:rPr>
          <w:i/>
          <w:iCs/>
          <w:lang w:val="fr-CH"/>
        </w:rPr>
        <w:t>"</w:t>
      </w:r>
      <w:r w:rsidR="00C241C4">
        <w:rPr>
          <w:i/>
          <w:iCs/>
        </w:rPr>
        <w:t>Paired charge configurations may have both charges in the same or in separate inner packagings, as long as every charge in the configuration has their cone oriented toward the cone of a second charge to mitigate the jetting effect.</w:t>
      </w:r>
      <w:r>
        <w:rPr>
          <w:i/>
          <w:iCs/>
          <w:lang w:val="fr-CH"/>
        </w:rPr>
        <w:t>"</w:t>
      </w:r>
    </w:p>
    <w:p w14:paraId="570D4E72" w14:textId="2450F13D" w:rsidR="00C241C4" w:rsidRDefault="00C241C4" w:rsidP="00C241C4">
      <w:pPr>
        <w:pStyle w:val="SingleTxtG"/>
        <w:spacing w:after="240"/>
        <w:ind w:left="1701" w:right="43"/>
        <w:rPr>
          <w:bCs/>
        </w:rPr>
      </w:pPr>
      <w:r>
        <w:rPr>
          <w:b/>
          <w:u w:val="single"/>
        </w:rPr>
        <w:t>Conclusion:</w:t>
      </w:r>
      <w:r>
        <w:t xml:space="preserve">  While there was some support in principle for improvement of PP70, no consensus was reached as to what that improved wording might be. The UK </w:t>
      </w:r>
      <w:r>
        <w:rPr>
          <w:bCs/>
        </w:rPr>
        <w:t>advised they would consider the group’s comments as they work on an improved proposal.</w:t>
      </w:r>
    </w:p>
    <w:p w14:paraId="34875224" w14:textId="77777777" w:rsidR="00C241C4" w:rsidRDefault="00C241C4" w:rsidP="00C241C4">
      <w:pPr>
        <w:pStyle w:val="HChG"/>
        <w:shd w:val="pct10" w:color="auto" w:fill="auto"/>
        <w:ind w:left="1138" w:right="43" w:firstLine="0"/>
      </w:pPr>
      <w:bookmarkStart w:id="2" w:name="_Hlk56602095"/>
      <w:bookmarkStart w:id="3" w:name="_Hlk530583938"/>
      <w:r>
        <w:t>Agenda Item 2(g) – Issues related to the definition of explosives</w:t>
      </w:r>
    </w:p>
    <w:p w14:paraId="46670A0A" w14:textId="77777777" w:rsidR="00C241C4" w:rsidRDefault="00C241C4" w:rsidP="00C241C4">
      <w:pPr>
        <w:pStyle w:val="SingleTxtG"/>
        <w:keepNext/>
        <w:numPr>
          <w:ilvl w:val="0"/>
          <w:numId w:val="21"/>
        </w:numPr>
        <w:spacing w:after="240"/>
        <w:ind w:right="43"/>
      </w:pPr>
      <w:r>
        <w:rPr>
          <w:b/>
          <w:u w:val="single"/>
        </w:rPr>
        <w:t>Subject.</w:t>
      </w:r>
      <w:r>
        <w:t xml:space="preserve">  Definition of explosives</w:t>
      </w:r>
    </w:p>
    <w:p w14:paraId="79F90F1A" w14:textId="50436E87" w:rsidR="00C241C4" w:rsidRDefault="00C241C4" w:rsidP="00C241C4">
      <w:pPr>
        <w:pStyle w:val="SingleTxtG"/>
        <w:keepNext/>
        <w:spacing w:after="240"/>
        <w:ind w:left="3700" w:right="43" w:hanging="2001"/>
        <w:jc w:val="left"/>
        <w:rPr>
          <w:i/>
        </w:rPr>
      </w:pPr>
      <w:r>
        <w:rPr>
          <w:i/>
        </w:rPr>
        <w:t>Document:</w:t>
      </w:r>
      <w:r>
        <w:rPr>
          <w:i/>
        </w:rPr>
        <w:tab/>
      </w:r>
      <w:r>
        <w:rPr>
          <w:i/>
          <w:iCs/>
        </w:rPr>
        <w:t>None submitted</w:t>
      </w:r>
    </w:p>
    <w:p w14:paraId="62C540BE" w14:textId="45F401D1" w:rsidR="00C241C4" w:rsidRDefault="00C241C4" w:rsidP="00C241C4">
      <w:pPr>
        <w:pStyle w:val="SingleTxtG"/>
        <w:keepNext/>
        <w:spacing w:after="240"/>
        <w:ind w:left="3700" w:right="43" w:hanging="2001"/>
        <w:rPr>
          <w:i/>
        </w:rPr>
      </w:pPr>
      <w:r>
        <w:rPr>
          <w:i/>
        </w:rPr>
        <w:t xml:space="preserve">Informal document: </w:t>
      </w:r>
      <w:r>
        <w:rPr>
          <w:i/>
        </w:rPr>
        <w:tab/>
        <w:t>UN/SCETDG/58/INF.12 (Sweden)</w:t>
      </w:r>
    </w:p>
    <w:p w14:paraId="4451B33B" w14:textId="11C74BE2" w:rsidR="00C241C4" w:rsidRDefault="00C241C4" w:rsidP="00C241C4">
      <w:pPr>
        <w:pStyle w:val="SingleTxtG"/>
        <w:spacing w:after="240"/>
        <w:ind w:left="1699" w:right="43"/>
      </w:pPr>
      <w:r>
        <w:rPr>
          <w:b/>
          <w:u w:val="single"/>
        </w:rPr>
        <w:t>Discussion:</w:t>
      </w:r>
      <w:r>
        <w:t xml:space="preserve">  INF.12 reports on the progress of the work of an ICG (ICG-definition) assigned the task of evaluating the need for improvements to the definition of explosives and of Class 1 and development of proposals to address any issues identified. Little work has been done to date because the project was deferred until completion of the development of the new GHS chapter 2.1 (explosives). That project is now complete, and the review reported in INF.12 is restarting.</w:t>
      </w:r>
    </w:p>
    <w:p w14:paraId="0D55C217" w14:textId="77777777" w:rsidR="00C241C4" w:rsidRDefault="00C241C4" w:rsidP="00C241C4">
      <w:pPr>
        <w:pStyle w:val="SingleTxtG"/>
        <w:spacing w:after="240"/>
        <w:ind w:left="1699" w:right="43"/>
      </w:pPr>
      <w:r>
        <w:t>Based on recent correspondence within the ICG-definition, members’ opinions are divided regarding the continuation of the work. Some indicated that there is no need to continue the work, while some indicated that there are still issues to clarify. The leader of ICG-definition believed it was necessary to bring back the issue to EWG and ask EWG’s opinion whether or how the work in ICG-definition should continue.</w:t>
      </w:r>
    </w:p>
    <w:p w14:paraId="2E03B629" w14:textId="096ED5FC" w:rsidR="00C241C4" w:rsidRDefault="00C241C4" w:rsidP="00C241C4">
      <w:pPr>
        <w:pStyle w:val="SingleTxtG"/>
        <w:spacing w:after="240"/>
        <w:ind w:left="1699" w:right="43"/>
        <w:rPr>
          <w:bCs/>
        </w:rPr>
      </w:pPr>
      <w:r>
        <w:rPr>
          <w:bCs/>
        </w:rPr>
        <w:t>Much of the group was of the opinion that the definition provided in MR 2.1.1.1 is generally informative, but there are issues to clarify, correct, or amend, especially the hesitation with sub-paragraph (c) and understanding what is meant by “practical explosive or pyrotechnic effect”. A number of members cautioned to be very careful with changes in the definition as the current definition is used in various regulations and any amendment made will impact those regulations as well. The leader of the former GHS Chapter 2.1 ICG advised that this work will likely have impact upon GHS chapter 2.1 and that it therefore should be considered to submit future papers also to the GHS Sub-Committee.</w:t>
      </w:r>
    </w:p>
    <w:p w14:paraId="5F701983" w14:textId="7C13E2BC" w:rsidR="00C241C4" w:rsidRDefault="00C241C4" w:rsidP="00C241C4">
      <w:pPr>
        <w:pStyle w:val="SingleTxtG"/>
        <w:spacing w:after="240"/>
        <w:ind w:left="1701" w:right="43"/>
      </w:pPr>
      <w:r>
        <w:rPr>
          <w:b/>
          <w:u w:val="single"/>
        </w:rPr>
        <w:t>Conclusion:</w:t>
      </w:r>
      <w:r>
        <w:t xml:space="preserve">  The working group supported continuation of the work of ICG-definition. Sweden is willing to continue leading the ICG.</w:t>
      </w:r>
    </w:p>
    <w:p w14:paraId="6A8F8F87" w14:textId="77777777" w:rsidR="00C241C4" w:rsidRDefault="00C241C4" w:rsidP="00C241C4">
      <w:pPr>
        <w:pStyle w:val="HChG"/>
        <w:shd w:val="pct10" w:color="auto" w:fill="auto"/>
        <w:ind w:left="1138" w:right="43" w:firstLine="0"/>
      </w:pPr>
      <w:r>
        <w:t>Agenda Item 2(</w:t>
      </w:r>
      <w:proofErr w:type="spellStart"/>
      <w:r>
        <w:t>i</w:t>
      </w:r>
      <w:proofErr w:type="spellEnd"/>
      <w:r>
        <w:t>) – Miscellaneous</w:t>
      </w:r>
    </w:p>
    <w:p w14:paraId="20821F30" w14:textId="77777777" w:rsidR="00C241C4" w:rsidRDefault="00C241C4" w:rsidP="00C241C4">
      <w:pPr>
        <w:pStyle w:val="SingleTxtG"/>
        <w:numPr>
          <w:ilvl w:val="0"/>
          <w:numId w:val="21"/>
        </w:numPr>
        <w:spacing w:after="240"/>
        <w:ind w:right="43"/>
      </w:pPr>
      <w:r>
        <w:rPr>
          <w:b/>
          <w:u w:val="single"/>
        </w:rPr>
        <w:t>Subject.</w:t>
      </w:r>
      <w:r>
        <w:t xml:space="preserve">  Novel pyrotechnic formulations for fireworks</w:t>
      </w:r>
    </w:p>
    <w:p w14:paraId="3AF3328E" w14:textId="21EE3D5C" w:rsidR="00C241C4" w:rsidRDefault="00C241C4" w:rsidP="00C241C4">
      <w:pPr>
        <w:pStyle w:val="SingleTxtG"/>
        <w:spacing w:after="240"/>
        <w:ind w:left="3700" w:right="43" w:hanging="2001"/>
        <w:jc w:val="left"/>
        <w:rPr>
          <w:i/>
        </w:rPr>
      </w:pPr>
      <w:r>
        <w:rPr>
          <w:i/>
        </w:rPr>
        <w:t>Document:</w:t>
      </w:r>
      <w:r>
        <w:rPr>
          <w:i/>
        </w:rPr>
        <w:tab/>
      </w:r>
      <w:r>
        <w:rPr>
          <w:i/>
          <w:iCs/>
        </w:rPr>
        <w:t>None submitted</w:t>
      </w:r>
    </w:p>
    <w:p w14:paraId="1EE73B51" w14:textId="4BB4BE06" w:rsidR="00C241C4" w:rsidRDefault="00C241C4" w:rsidP="00C241C4">
      <w:pPr>
        <w:pStyle w:val="SingleTxtG"/>
        <w:spacing w:after="240"/>
        <w:ind w:left="3700" w:right="43" w:hanging="2001"/>
        <w:rPr>
          <w:i/>
        </w:rPr>
      </w:pPr>
      <w:r>
        <w:rPr>
          <w:i/>
        </w:rPr>
        <w:t xml:space="preserve">Informal document: </w:t>
      </w:r>
      <w:r>
        <w:rPr>
          <w:i/>
        </w:rPr>
        <w:tab/>
        <w:t>UN/SCETDG/58/INF.17 (United Kingdom)</w:t>
      </w:r>
    </w:p>
    <w:p w14:paraId="27DB6214" w14:textId="24D34F39" w:rsidR="00C241C4" w:rsidRDefault="00C241C4" w:rsidP="00C241C4">
      <w:pPr>
        <w:pStyle w:val="SingleTxtG"/>
        <w:spacing w:before="240" w:after="0"/>
        <w:ind w:left="1699" w:right="9"/>
      </w:pPr>
      <w:r>
        <w:rPr>
          <w:b/>
          <w:u w:val="single"/>
        </w:rPr>
        <w:t>Discussion:</w:t>
      </w:r>
      <w:r>
        <w:t xml:space="preserve">  The United Kingdom has seen an increase in approval applications containing new and novel firework compositions. These applications seek to apply the default fireworks classification table found in MR 2.1.3.5.5 to these compositions, which have a potential increase in the energetic </w:t>
      </w:r>
      <w:r>
        <w:lastRenderedPageBreak/>
        <w:t>performance compared to more traditional compositions. In INF.17, the UK is seeking input from others that may be having the same issues. The working group offered the following observations:</w:t>
      </w:r>
    </w:p>
    <w:p w14:paraId="264E4FF7" w14:textId="5992F1A2" w:rsidR="00C241C4" w:rsidRDefault="00C241C4" w:rsidP="00C241C4">
      <w:pPr>
        <w:pStyle w:val="SingleTxtG"/>
        <w:numPr>
          <w:ilvl w:val="0"/>
          <w:numId w:val="27"/>
        </w:numPr>
        <w:spacing w:before="240" w:after="0"/>
        <w:ind w:right="9"/>
      </w:pPr>
      <w:r>
        <w:t>In the USA, the American Pyrotechnics Association has a standard approved chemical list. Further, the UN default table has percent composition requirements, but these are probably based on traditional formulations and the new formulations potentially have greater energy content.</w:t>
      </w:r>
    </w:p>
    <w:p w14:paraId="255E8123" w14:textId="77777777" w:rsidR="00C241C4" w:rsidRDefault="00C241C4" w:rsidP="00C241C4">
      <w:pPr>
        <w:pStyle w:val="SingleTxtG"/>
        <w:numPr>
          <w:ilvl w:val="0"/>
          <w:numId w:val="27"/>
        </w:numPr>
        <w:spacing w:before="240" w:after="0"/>
        <w:ind w:right="9"/>
      </w:pPr>
      <w:r>
        <w:t xml:space="preserve">The European fireworks standards have additional requirements for nitrocellulose and oxidizers for indoor fountains, but this requirement does not apply to outdoor fountains. In the ongoing reviews of the European standards, it was decided to make a general requirement for nitrocellulose content instead of additional testing for nitrocellulose stability or nitrogen content. </w:t>
      </w:r>
    </w:p>
    <w:p w14:paraId="358CDD5A" w14:textId="484865B3" w:rsidR="00C241C4" w:rsidRDefault="00C241C4" w:rsidP="00C241C4">
      <w:pPr>
        <w:pStyle w:val="SingleTxtG"/>
        <w:numPr>
          <w:ilvl w:val="0"/>
          <w:numId w:val="27"/>
        </w:numPr>
        <w:spacing w:before="240" w:after="0"/>
        <w:ind w:right="9"/>
      </w:pPr>
      <w:r>
        <w:t xml:space="preserve">SAAMI noted that any list of substances for fireworks should take into consideration age, as nitrocellulose </w:t>
      </w:r>
      <w:r w:rsidR="003A753E">
        <w:rPr>
          <w:lang w:val="fr-CH"/>
        </w:rPr>
        <w:t xml:space="preserve">(NC) </w:t>
      </w:r>
      <w:r>
        <w:t>has aging and stability issues. So stabilized NC should be required, and a stability test should be prescribed in Appendix 10. SAAMI also noted that, since this is in relation to new energetic materials, the default table may not be appropriate and full classification testing should be required instead. Perhaps later, when enough data is developed through that testing, new inclusions could be made into the default tables.</w:t>
      </w:r>
    </w:p>
    <w:p w14:paraId="7814A407" w14:textId="593C5C7C" w:rsidR="00C241C4" w:rsidRDefault="00C241C4" w:rsidP="00C241C4">
      <w:pPr>
        <w:pStyle w:val="SingleTxtG"/>
        <w:numPr>
          <w:ilvl w:val="0"/>
          <w:numId w:val="27"/>
        </w:numPr>
        <w:spacing w:before="240" w:after="0"/>
        <w:ind w:right="9"/>
      </w:pPr>
      <w:r>
        <w:t>Canada commented that their testing of fireworks includes chemical analysis. Canada has come across formations, like those noted in the proposal, which were declared as black powder, but chemical analysis has shown to contain nitrocellulose and perchlorates. Canada also conducts heat stress tests and the only product known to have failed contained nitrocellulose. Canada voiced desire to participate in this work.</w:t>
      </w:r>
    </w:p>
    <w:p w14:paraId="4AE594AE" w14:textId="77777777" w:rsidR="00C241C4" w:rsidRDefault="00C241C4" w:rsidP="00C241C4">
      <w:pPr>
        <w:pStyle w:val="SingleTxtG"/>
        <w:numPr>
          <w:ilvl w:val="0"/>
          <w:numId w:val="27"/>
        </w:numPr>
        <w:spacing w:before="240"/>
        <w:ind w:right="9"/>
      </w:pPr>
      <w:r>
        <w:t xml:space="preserve">CEFIC commented that nitrocellulose should be stabilized, but perhaps this is not sufficient as other chemical components could still negatively interact with it. CEFIC further recommended analysis should include not just the stability of nitrocellulose, but also the stability of the entire formulation. </w:t>
      </w:r>
    </w:p>
    <w:p w14:paraId="6485C607" w14:textId="77777777" w:rsidR="00C241C4" w:rsidRDefault="00C241C4" w:rsidP="00C241C4">
      <w:pPr>
        <w:pStyle w:val="SingleTxtG"/>
        <w:spacing w:after="240"/>
        <w:ind w:left="1701" w:right="43"/>
      </w:pPr>
      <w:r>
        <w:rPr>
          <w:b/>
          <w:u w:val="single"/>
        </w:rPr>
        <w:t>Conclusion:</w:t>
      </w:r>
      <w:r>
        <w:t xml:space="preserve">  There was no opposition of the group to proceed with this work and there was a number of delegates interested in participating.  Others interested in participating in the work should contact the expert from the UK.</w:t>
      </w:r>
    </w:p>
    <w:p w14:paraId="7B0AED2E" w14:textId="77777777" w:rsidR="00C241C4" w:rsidRDefault="00C241C4" w:rsidP="00C241C4">
      <w:pPr>
        <w:pStyle w:val="SingleTxtG"/>
        <w:numPr>
          <w:ilvl w:val="0"/>
          <w:numId w:val="21"/>
        </w:numPr>
        <w:spacing w:after="240"/>
        <w:ind w:left="1710" w:right="43" w:hanging="572"/>
      </w:pPr>
      <w:r>
        <w:rPr>
          <w:b/>
          <w:u w:val="single"/>
        </w:rPr>
        <w:t>Subject.</w:t>
      </w:r>
      <w:r>
        <w:t xml:space="preserve">  New entry for 5-Trifluoromethyltetrazole, sodium salt (TFMT-Na) in acetone as a desensitized explosive</w:t>
      </w:r>
    </w:p>
    <w:p w14:paraId="6D39FA77" w14:textId="2770BAF3" w:rsidR="00C241C4" w:rsidRDefault="00C241C4" w:rsidP="00C241C4">
      <w:pPr>
        <w:pStyle w:val="SingleTxtG"/>
        <w:spacing w:after="240"/>
        <w:ind w:left="3700" w:right="43" w:hanging="2001"/>
        <w:jc w:val="left"/>
        <w:rPr>
          <w:i/>
        </w:rPr>
      </w:pPr>
      <w:r>
        <w:rPr>
          <w:i/>
        </w:rPr>
        <w:t>Document:</w:t>
      </w:r>
      <w:r>
        <w:rPr>
          <w:i/>
        </w:rPr>
        <w:tab/>
      </w:r>
      <w:r>
        <w:rPr>
          <w:i/>
          <w:iCs/>
        </w:rPr>
        <w:t>None submitted</w:t>
      </w:r>
    </w:p>
    <w:p w14:paraId="644A91B4" w14:textId="2AC0B96C" w:rsidR="00C241C4" w:rsidRDefault="00C241C4" w:rsidP="00C241C4">
      <w:pPr>
        <w:pStyle w:val="SingleTxtG"/>
        <w:spacing w:after="240"/>
        <w:ind w:left="3700" w:right="43" w:hanging="2001"/>
        <w:rPr>
          <w:i/>
        </w:rPr>
      </w:pPr>
      <w:r>
        <w:rPr>
          <w:i/>
        </w:rPr>
        <w:t xml:space="preserve">Informal document: </w:t>
      </w:r>
      <w:r>
        <w:rPr>
          <w:i/>
        </w:rPr>
        <w:tab/>
        <w:t>UN/SCETDG/58/INF.21 (CEFIC)</w:t>
      </w:r>
    </w:p>
    <w:p w14:paraId="1BC48494" w14:textId="3E96201A" w:rsidR="00C241C4" w:rsidRDefault="00C241C4" w:rsidP="00C241C4">
      <w:pPr>
        <w:pStyle w:val="SingleTxtG"/>
        <w:spacing w:after="240"/>
        <w:ind w:left="1699" w:right="43"/>
      </w:pPr>
      <w:r>
        <w:rPr>
          <w:b/>
          <w:u w:val="single"/>
        </w:rPr>
        <w:t>Discussion:</w:t>
      </w:r>
      <w:r>
        <w:t xml:space="preserve">  INF.21 was briefly introduced by CEFIC during which they pointed out that toxicity testing was difficult due to the fact that test institutes are not equipped to handle explosives or have no corresponding permits. Comments were invited </w:t>
      </w:r>
      <w:proofErr w:type="spellStart"/>
      <w:r>
        <w:t>intersessionially</w:t>
      </w:r>
      <w:proofErr w:type="spellEnd"/>
      <w:r>
        <w:t>, especially guidance on assessing biological hazards of similar substances is sought. Other comments are welcome as well.</w:t>
      </w:r>
    </w:p>
    <w:p w14:paraId="5D1EE19A" w14:textId="77777777" w:rsidR="00C241C4" w:rsidRDefault="00C241C4" w:rsidP="00C241C4">
      <w:pPr>
        <w:pStyle w:val="SingleTxtG"/>
        <w:spacing w:after="240"/>
        <w:ind w:left="1701" w:right="43"/>
      </w:pPr>
      <w:r>
        <w:rPr>
          <w:b/>
          <w:u w:val="single"/>
        </w:rPr>
        <w:t>Conclusion:</w:t>
      </w:r>
      <w:r>
        <w:t xml:space="preserve">  Members of the working group were invited to provide comments directly to CEFIC, especially with respect to experiences in toxicity testing of explosives or guidance how to proceed in such cases.</w:t>
      </w:r>
    </w:p>
    <w:p w14:paraId="04C1C7DC" w14:textId="77777777" w:rsidR="00C241C4" w:rsidRDefault="00C241C4" w:rsidP="00C241C4">
      <w:pPr>
        <w:pStyle w:val="HChG"/>
        <w:shd w:val="pct10" w:color="auto" w:fill="auto"/>
        <w:ind w:left="1138" w:right="43" w:firstLine="0"/>
      </w:pPr>
      <w:r>
        <w:t>Agenda Item 3 – Listing, classification and packing</w:t>
      </w:r>
    </w:p>
    <w:p w14:paraId="191D0084" w14:textId="77777777" w:rsidR="00C241C4" w:rsidRDefault="00C241C4" w:rsidP="00C241C4">
      <w:pPr>
        <w:pStyle w:val="SingleTxtG"/>
        <w:numPr>
          <w:ilvl w:val="0"/>
          <w:numId w:val="21"/>
        </w:numPr>
        <w:spacing w:after="240"/>
        <w:ind w:right="43"/>
      </w:pPr>
      <w:r>
        <w:rPr>
          <w:b/>
          <w:u w:val="single"/>
        </w:rPr>
        <w:t>Subject.</w:t>
      </w:r>
      <w:r>
        <w:t xml:space="preserve">  Transport conditions for UN 2426 ammonium nitrate</w:t>
      </w:r>
    </w:p>
    <w:p w14:paraId="08A98745" w14:textId="2A4B7933" w:rsidR="00C241C4" w:rsidRDefault="00C241C4" w:rsidP="00C241C4">
      <w:pPr>
        <w:pStyle w:val="SingleTxtG"/>
        <w:spacing w:after="240"/>
        <w:ind w:left="3700" w:right="43" w:hanging="2001"/>
        <w:jc w:val="left"/>
        <w:rPr>
          <w:i/>
        </w:rPr>
      </w:pPr>
      <w:r>
        <w:rPr>
          <w:i/>
        </w:rPr>
        <w:t>Document:</w:t>
      </w:r>
      <w:r>
        <w:rPr>
          <w:i/>
        </w:rPr>
        <w:tab/>
      </w:r>
      <w:hyperlink r:id="rId23" w:history="1">
        <w:r>
          <w:rPr>
            <w:rStyle w:val="Lienhypertexte"/>
            <w:i/>
            <w:iCs/>
          </w:rPr>
          <w:t>ST/SG/AC.10/C.3/2021/21</w:t>
        </w:r>
      </w:hyperlink>
      <w:r>
        <w:rPr>
          <w:i/>
          <w:iCs/>
        </w:rPr>
        <w:t xml:space="preserve"> (Spain)</w:t>
      </w:r>
    </w:p>
    <w:p w14:paraId="6AB72832" w14:textId="2C755313" w:rsidR="00C241C4" w:rsidRDefault="00C241C4" w:rsidP="00C241C4">
      <w:pPr>
        <w:pStyle w:val="SingleTxtG"/>
        <w:spacing w:after="240"/>
        <w:ind w:left="3700" w:right="43" w:hanging="2001"/>
        <w:rPr>
          <w:i/>
        </w:rPr>
      </w:pPr>
      <w:r>
        <w:rPr>
          <w:i/>
        </w:rPr>
        <w:t xml:space="preserve">Informal document: </w:t>
      </w:r>
      <w:r>
        <w:rPr>
          <w:i/>
        </w:rPr>
        <w:tab/>
        <w:t>None submitted</w:t>
      </w:r>
    </w:p>
    <w:p w14:paraId="0F8E06F8" w14:textId="16DC09E0" w:rsidR="00C241C4" w:rsidRDefault="00C241C4" w:rsidP="00C241C4">
      <w:pPr>
        <w:pStyle w:val="SingleTxtG"/>
        <w:spacing w:before="240"/>
        <w:ind w:left="1699" w:right="9"/>
      </w:pPr>
      <w:r>
        <w:rPr>
          <w:b/>
          <w:u w:val="single"/>
        </w:rPr>
        <w:lastRenderedPageBreak/>
        <w:t>Discussion:</w:t>
      </w:r>
      <w:r>
        <w:t xml:space="preserve">  At a recent meeting of WP.15/AC.1, Spain was invited to submit a proposal to the TDG Sub-Committee to see if additional amendments were needed to harmonize the transport conditions multimodally, specifically on the maximum temperature during transport and the water contents (see report ECE/TRANS/WP.15/AC.1/160, para. 23). Although </w:t>
      </w:r>
      <w:r w:rsidR="00601F8F" w:rsidRPr="00601F8F">
        <w:t>ST/SG/AC.10/C.3/</w:t>
      </w:r>
      <w:r>
        <w:t>2021/21 contains some proposals, Spain is presently seeking comments prior to development of a formal proposal. In response to Spain’s request:</w:t>
      </w:r>
    </w:p>
    <w:p w14:paraId="56AE14C9" w14:textId="0F3754B6" w:rsidR="00C241C4" w:rsidRDefault="00C241C4" w:rsidP="00C241C4">
      <w:pPr>
        <w:pStyle w:val="Paragraphedeliste"/>
        <w:numPr>
          <w:ilvl w:val="0"/>
          <w:numId w:val="25"/>
        </w:numPr>
        <w:spacing w:after="200" w:line="276" w:lineRule="auto"/>
        <w:contextualSpacing/>
        <w:jc w:val="left"/>
        <w:rPr>
          <w:bCs/>
          <w:sz w:val="20"/>
          <w:szCs w:val="20"/>
        </w:rPr>
      </w:pPr>
      <w:r>
        <w:rPr>
          <w:bCs/>
          <w:sz w:val="20"/>
          <w:szCs w:val="20"/>
        </w:rPr>
        <w:t xml:space="preserve">IME commented that the proposal adds clarification and noted that upper threshold needs to be reviewed as well as the </w:t>
      </w:r>
      <w:proofErr w:type="spellStart"/>
      <w:r>
        <w:rPr>
          <w:bCs/>
          <w:sz w:val="20"/>
          <w:szCs w:val="20"/>
        </w:rPr>
        <w:t>pH.</w:t>
      </w:r>
      <w:proofErr w:type="spellEnd"/>
      <w:r>
        <w:rPr>
          <w:bCs/>
          <w:sz w:val="20"/>
          <w:szCs w:val="20"/>
        </w:rPr>
        <w:t xml:space="preserve"> IME suggested that a pH limit of 4-7 versus the paper’s 5-7.</w:t>
      </w:r>
    </w:p>
    <w:p w14:paraId="6F6041CD" w14:textId="77777777" w:rsidR="00C241C4" w:rsidRDefault="00C241C4" w:rsidP="00C241C4">
      <w:pPr>
        <w:pStyle w:val="SingleTxtG"/>
        <w:numPr>
          <w:ilvl w:val="0"/>
          <w:numId w:val="25"/>
        </w:numPr>
        <w:spacing w:after="240"/>
        <w:ind w:right="43"/>
        <w:rPr>
          <w:bCs/>
        </w:rPr>
      </w:pPr>
      <w:r>
        <w:rPr>
          <w:bCs/>
        </w:rPr>
        <w:t>Germany recommended more review and suggested that more requirements may need to be defined.</w:t>
      </w:r>
    </w:p>
    <w:p w14:paraId="5AC94D0F" w14:textId="133D2127" w:rsidR="00C241C4" w:rsidRDefault="00C241C4" w:rsidP="00C241C4">
      <w:pPr>
        <w:pStyle w:val="SingleTxtG"/>
        <w:numPr>
          <w:ilvl w:val="0"/>
          <w:numId w:val="25"/>
        </w:numPr>
        <w:spacing w:after="240"/>
        <w:ind w:right="43"/>
        <w:rPr>
          <w:bCs/>
        </w:rPr>
      </w:pPr>
      <w:r>
        <w:rPr>
          <w:bCs/>
        </w:rPr>
        <w:t xml:space="preserve">USA stated that, if conditions are important across all modes, then they should be in one place together in the MR; however, if the conditions are modal specific requirements, they should not be placed within the MR. </w:t>
      </w:r>
      <w:r w:rsidR="00C20EC0">
        <w:rPr>
          <w:bCs/>
          <w:lang w:val="fr-CH"/>
        </w:rPr>
        <w:t>The</w:t>
      </w:r>
      <w:r>
        <w:rPr>
          <w:bCs/>
        </w:rPr>
        <w:t xml:space="preserve"> USA supported IME’s recommendation to review the various threshold limits.</w:t>
      </w:r>
    </w:p>
    <w:p w14:paraId="779E0E64" w14:textId="77777777" w:rsidR="00C241C4" w:rsidRDefault="00C241C4" w:rsidP="00C241C4">
      <w:pPr>
        <w:pStyle w:val="SingleTxtG"/>
        <w:numPr>
          <w:ilvl w:val="0"/>
          <w:numId w:val="25"/>
        </w:numPr>
        <w:spacing w:after="240"/>
        <w:ind w:right="43"/>
        <w:rPr>
          <w:bCs/>
        </w:rPr>
      </w:pPr>
      <w:r>
        <w:rPr>
          <w:bCs/>
        </w:rPr>
        <w:t>Since it views this as an issue mostly about the chemical, and not about transport, the requirements should be together in one place in the MR.</w:t>
      </w:r>
    </w:p>
    <w:p w14:paraId="059AF949" w14:textId="77777777" w:rsidR="00C241C4" w:rsidRDefault="00C241C4" w:rsidP="00C241C4">
      <w:pPr>
        <w:pStyle w:val="SingleTxtG"/>
        <w:numPr>
          <w:ilvl w:val="0"/>
          <w:numId w:val="25"/>
        </w:numPr>
        <w:spacing w:after="240"/>
        <w:ind w:right="43"/>
        <w:rPr>
          <w:bCs/>
        </w:rPr>
      </w:pPr>
      <w:r>
        <w:rPr>
          <w:bCs/>
        </w:rPr>
        <w:t>AIESG had no problems with the proposal if it provides consistency in movement of the product.</w:t>
      </w:r>
    </w:p>
    <w:p w14:paraId="255A08D0" w14:textId="0F135A45" w:rsidR="00C241C4" w:rsidRDefault="00C241C4" w:rsidP="00C241C4">
      <w:pPr>
        <w:pStyle w:val="SingleTxtG"/>
        <w:spacing w:after="240"/>
        <w:ind w:left="1701" w:right="43"/>
        <w:rPr>
          <w:bCs/>
        </w:rPr>
      </w:pPr>
      <w:r>
        <w:rPr>
          <w:b/>
          <w:u w:val="single"/>
        </w:rPr>
        <w:t>Conclusion:</w:t>
      </w:r>
      <w:r>
        <w:rPr>
          <w:bCs/>
        </w:rPr>
        <w:t xml:space="preserve">  There was no opposition to the proposal in para. 22 of </w:t>
      </w:r>
      <w:r w:rsidR="00C20EC0" w:rsidRPr="00C20EC0">
        <w:rPr>
          <w:bCs/>
        </w:rPr>
        <w:t>ST/SG/AC.10/C.3/</w:t>
      </w:r>
      <w:r>
        <w:rPr>
          <w:bCs/>
        </w:rPr>
        <w:t>2021/21. Those members of the working group with an interest in the topic were invited to provide further comments to Spain.</w:t>
      </w:r>
    </w:p>
    <w:p w14:paraId="0A10DC3F" w14:textId="77777777" w:rsidR="00C241C4" w:rsidRDefault="00C241C4" w:rsidP="00C241C4">
      <w:pPr>
        <w:pStyle w:val="SingleTxtG"/>
        <w:numPr>
          <w:ilvl w:val="0"/>
          <w:numId w:val="21"/>
        </w:numPr>
        <w:spacing w:after="240"/>
        <w:ind w:right="43"/>
      </w:pPr>
      <w:r>
        <w:rPr>
          <w:b/>
          <w:u w:val="single"/>
        </w:rPr>
        <w:t>Subject.</w:t>
      </w:r>
      <w:r>
        <w:t xml:space="preserve">  Exit from Class 1:  Pyrotechnic articles</w:t>
      </w:r>
    </w:p>
    <w:p w14:paraId="43DE17B5" w14:textId="14A7602F" w:rsidR="00C241C4" w:rsidRDefault="00C241C4" w:rsidP="00C241C4">
      <w:pPr>
        <w:pStyle w:val="SingleTxtG"/>
        <w:spacing w:after="240"/>
        <w:ind w:left="3700" w:right="43" w:hanging="2001"/>
        <w:jc w:val="left"/>
        <w:rPr>
          <w:i/>
        </w:rPr>
      </w:pPr>
      <w:r>
        <w:rPr>
          <w:i/>
        </w:rPr>
        <w:t>Document:</w:t>
      </w:r>
      <w:r>
        <w:rPr>
          <w:i/>
        </w:rPr>
        <w:tab/>
      </w:r>
      <w:hyperlink r:id="rId24" w:history="1">
        <w:r>
          <w:rPr>
            <w:rStyle w:val="Lienhypertexte"/>
            <w:i/>
            <w:iCs/>
          </w:rPr>
          <w:t>ST/SG/AC.10/C.3/2021/27</w:t>
        </w:r>
      </w:hyperlink>
      <w:r>
        <w:rPr>
          <w:i/>
          <w:iCs/>
        </w:rPr>
        <w:t xml:space="preserve"> (COSTHA)</w:t>
      </w:r>
    </w:p>
    <w:p w14:paraId="3A4044C9" w14:textId="7421B327" w:rsidR="00C241C4" w:rsidRDefault="00C241C4" w:rsidP="00C241C4">
      <w:pPr>
        <w:pStyle w:val="SingleTxtG"/>
        <w:spacing w:after="240"/>
        <w:ind w:left="3700" w:right="43" w:hanging="2001"/>
        <w:rPr>
          <w:i/>
        </w:rPr>
      </w:pPr>
      <w:r>
        <w:rPr>
          <w:i/>
        </w:rPr>
        <w:t xml:space="preserve">Informal document: </w:t>
      </w:r>
      <w:r>
        <w:rPr>
          <w:i/>
        </w:rPr>
        <w:tab/>
        <w:t>None submitted</w:t>
      </w:r>
    </w:p>
    <w:p w14:paraId="4E9B982E" w14:textId="4D1A55DC" w:rsidR="00C241C4" w:rsidRDefault="00C241C4" w:rsidP="00C241C4">
      <w:pPr>
        <w:pStyle w:val="SingleTxtG"/>
        <w:spacing w:before="240"/>
        <w:ind w:left="1699" w:right="9"/>
      </w:pPr>
      <w:r>
        <w:rPr>
          <w:b/>
          <w:u w:val="single"/>
        </w:rPr>
        <w:t>Discussion:</w:t>
      </w:r>
      <w:r>
        <w:t xml:space="preserve">  Containing no proposal, </w:t>
      </w:r>
      <w:r w:rsidR="00954D3B" w:rsidRPr="00954D3B">
        <w:t>ST/SG/AC.10/C.3/</w:t>
      </w:r>
      <w:r>
        <w:t xml:space="preserve">2021/27 provides examples of devices that would be described in </w:t>
      </w:r>
      <w:r w:rsidR="00954D3B" w:rsidRPr="00954D3B">
        <w:t>ST/SG/AC.10/C.3/</w:t>
      </w:r>
      <w:r>
        <w:t xml:space="preserve">2021/15. The devices are described as fire suppression safety devices that are used in many applications including vehicles, power generation plants, energy storage systems, and aircraft unit load devices, to name a few. Presently there is no clear indication in the MR as to how these devices are to be classified leading to inconsistencies in classification. In </w:t>
      </w:r>
      <w:r w:rsidR="00954D3B" w:rsidRPr="00954D3B">
        <w:t>ST/SG/AC.10/C.3/</w:t>
      </w:r>
      <w:r>
        <w:t>2021/27, COSTHA is seeking input from the EWG as it seeks to develop some guidance for inclusion in the MR to ensure consistency in their classification.</w:t>
      </w:r>
    </w:p>
    <w:p w14:paraId="4229E94A" w14:textId="7FF58C18" w:rsidR="00C241C4" w:rsidRDefault="00C241C4" w:rsidP="00C241C4">
      <w:pPr>
        <w:pStyle w:val="SingleTxtG"/>
        <w:spacing w:before="240"/>
        <w:ind w:left="1699" w:right="9"/>
        <w:rPr>
          <w:bCs/>
        </w:rPr>
      </w:pPr>
      <w:r>
        <w:rPr>
          <w:bCs/>
        </w:rPr>
        <w:t xml:space="preserve">The group acknowledged that classification of these devices should be clarified in the MR and suggested solutions such as use of an appropriate existing UN number, creation of a new UN number, and application of Class 1 exclusion criteria in MR 2.1.3.6.4. Regarding use of an appropriate existing UN number, CLEPA expressed the opinion that UN 3268 is for automotive devices and that they do not support adding other types of products to that entry. COSTHA agreed that UN 3268 was inappropriate and a new entry that addresses issues beyond UN 3268 safety devices is needed. SAAMI advised that the work described in </w:t>
      </w:r>
      <w:r w:rsidR="00E7063A" w:rsidRPr="00E7063A">
        <w:rPr>
          <w:bCs/>
        </w:rPr>
        <w:t>ST/SG/AC.10/C.3/</w:t>
      </w:r>
      <w:r>
        <w:rPr>
          <w:bCs/>
        </w:rPr>
        <w:t xml:space="preserve">2021/15 is intended to provide a comprehensive solution, but that project will likely not be completed this biennium and an immediate need exists for the devices described in </w:t>
      </w:r>
      <w:r w:rsidR="00E7063A" w:rsidRPr="00E7063A">
        <w:rPr>
          <w:bCs/>
        </w:rPr>
        <w:t>ST/SG/AC.10/C.3/</w:t>
      </w:r>
      <w:r>
        <w:rPr>
          <w:bCs/>
        </w:rPr>
        <w:t>2021/27 that should be addressed sooner.</w:t>
      </w:r>
    </w:p>
    <w:p w14:paraId="5CE787C9" w14:textId="77777777" w:rsidR="00C241C4" w:rsidRDefault="00C241C4" w:rsidP="00C241C4">
      <w:pPr>
        <w:pStyle w:val="SingleTxtG"/>
        <w:spacing w:after="240"/>
        <w:ind w:left="1701" w:right="43"/>
        <w:rPr>
          <w:bCs/>
        </w:rPr>
      </w:pPr>
      <w:r>
        <w:rPr>
          <w:b/>
          <w:u w:val="single"/>
        </w:rPr>
        <w:t>Conclusion:</w:t>
      </w:r>
      <w:r>
        <w:rPr>
          <w:bCs/>
        </w:rPr>
        <w:t xml:space="preserve">  No conclusion was reached by the EWG.  COSTHA will consider the comments provided by the group and will likely return with an updated proposal.</w:t>
      </w:r>
    </w:p>
    <w:p w14:paraId="395103EF" w14:textId="77777777" w:rsidR="00C241C4" w:rsidRDefault="00C241C4" w:rsidP="00C241C4">
      <w:pPr>
        <w:pStyle w:val="HChG"/>
        <w:shd w:val="pct10" w:color="auto" w:fill="auto"/>
        <w:ind w:left="1138" w:right="43" w:firstLine="0"/>
      </w:pPr>
      <w:r>
        <w:lastRenderedPageBreak/>
        <w:t>Agenda Item 6(d) – Miscellaneous proposals for amendments to the Model Regulations on the Transport of Dangerous Goods: other miscellaneous proposals</w:t>
      </w:r>
    </w:p>
    <w:p w14:paraId="7410C076" w14:textId="77777777" w:rsidR="00C241C4" w:rsidRDefault="00C241C4" w:rsidP="00C241C4">
      <w:pPr>
        <w:pStyle w:val="SingleTxtG"/>
        <w:numPr>
          <w:ilvl w:val="0"/>
          <w:numId w:val="21"/>
        </w:numPr>
        <w:spacing w:after="240"/>
        <w:ind w:right="43"/>
      </w:pPr>
      <w:r>
        <w:rPr>
          <w:b/>
          <w:u w:val="single"/>
        </w:rPr>
        <w:t>Subject.</w:t>
      </w:r>
      <w:r>
        <w:t xml:space="preserve">  Clarification of Section 7.5.2.3 of the ADR</w:t>
      </w:r>
    </w:p>
    <w:p w14:paraId="41B46A80" w14:textId="6E19862D" w:rsidR="00C241C4" w:rsidRDefault="00C241C4" w:rsidP="00C241C4">
      <w:pPr>
        <w:pStyle w:val="SingleTxtG"/>
        <w:spacing w:after="240"/>
        <w:ind w:left="3700" w:right="43" w:hanging="2001"/>
        <w:jc w:val="left"/>
        <w:rPr>
          <w:i/>
        </w:rPr>
      </w:pPr>
      <w:r>
        <w:rPr>
          <w:i/>
        </w:rPr>
        <w:t>Document:</w:t>
      </w:r>
      <w:r>
        <w:rPr>
          <w:i/>
        </w:rPr>
        <w:tab/>
      </w:r>
      <w:r>
        <w:rPr>
          <w:i/>
          <w:iCs/>
        </w:rPr>
        <w:t>ST/SG/AC.10/C.3/2021/25 (COSTHA)</w:t>
      </w:r>
    </w:p>
    <w:p w14:paraId="41667F40" w14:textId="643D62F5" w:rsidR="00C241C4" w:rsidRDefault="00C241C4" w:rsidP="00C241C4">
      <w:pPr>
        <w:pStyle w:val="SingleTxtG"/>
        <w:spacing w:after="240"/>
        <w:ind w:left="3700" w:right="43" w:hanging="2001"/>
        <w:rPr>
          <w:i/>
        </w:rPr>
      </w:pPr>
      <w:r>
        <w:rPr>
          <w:i/>
        </w:rPr>
        <w:t xml:space="preserve">Informal document: </w:t>
      </w:r>
      <w:r>
        <w:rPr>
          <w:i/>
        </w:rPr>
        <w:tab/>
        <w:t>UN/SCETDG/58/INF.13 (COSTHA)</w:t>
      </w:r>
    </w:p>
    <w:p w14:paraId="142C906C" w14:textId="220A3F86" w:rsidR="00C241C4" w:rsidRDefault="00C241C4" w:rsidP="00C241C4">
      <w:pPr>
        <w:pStyle w:val="SingleTxtG"/>
        <w:spacing w:before="240"/>
        <w:ind w:left="1699" w:right="9"/>
      </w:pPr>
      <w:r>
        <w:rPr>
          <w:b/>
          <w:u w:val="single"/>
        </w:rPr>
        <w:t>Discussion:</w:t>
      </w:r>
      <w:r>
        <w:t xml:space="preserve">  COSTHA introduced a set of proposals intended to clarify a perceived contradiction in Section 7.5.2.3 of the Agreement concerning the International Carriage of Dangerous Goods by Road (</w:t>
      </w:r>
      <w:r>
        <w:rPr>
          <w:rStyle w:val="Accentuation"/>
        </w:rPr>
        <w:t>ADR</w:t>
      </w:r>
      <w:r>
        <w:t>) regarding mixed loading. This potential inconsistency was brought about by the combination of language in separate sections from a previous revision of the document.</w:t>
      </w:r>
    </w:p>
    <w:p w14:paraId="0CAD2E5E" w14:textId="2483D24B" w:rsidR="00C241C4" w:rsidRDefault="00C241C4" w:rsidP="00C241C4">
      <w:pPr>
        <w:pStyle w:val="SingleTxtG"/>
        <w:spacing w:after="240"/>
        <w:ind w:left="1699" w:right="43"/>
      </w:pPr>
      <w:r>
        <w:t xml:space="preserve">After extensive discussion, the group could not agree whether this was an issue to be solved by the Sub-Committee or if it should be solved by WP.15. As to whether the EWG can evaluate the risk of self-reactive substances (HD 4.1) and organic peroxides (HD 5.2) with subsidiary hazard label 1 when transported as described in </w:t>
      </w:r>
      <w:r w:rsidR="00D97D41" w:rsidRPr="00D97D41">
        <w:t>ST/SG/AC.10/C.3/</w:t>
      </w:r>
      <w:r>
        <w:t>2021/25 and INF.13, specific examples and data are needed.</w:t>
      </w:r>
    </w:p>
    <w:p w14:paraId="6AD8894A" w14:textId="2B7F9570" w:rsidR="00C241C4" w:rsidRDefault="00C241C4" w:rsidP="00C241C4">
      <w:pPr>
        <w:pStyle w:val="SingleTxtG"/>
        <w:spacing w:after="240"/>
        <w:ind w:left="1701" w:right="43"/>
      </w:pPr>
      <w:r>
        <w:rPr>
          <w:b/>
          <w:u w:val="single"/>
        </w:rPr>
        <w:t>Conclusion:</w:t>
      </w:r>
      <w:r>
        <w:t xml:space="preserve">  The general consensus was that the text could use clarification as evidenced by diverging interpretations and debate. While the question at hand was made clear during the discussion, a recommendation was not decided upon. The EWG requested additional explanatory material or examples be prepared to support the proposal. COSTHA will work with interested parties through an informal working group.</w:t>
      </w:r>
    </w:p>
    <w:p w14:paraId="1017BE1E" w14:textId="77777777" w:rsidR="00C241C4" w:rsidRDefault="00C241C4" w:rsidP="00C241C4">
      <w:pPr>
        <w:pStyle w:val="HChG"/>
        <w:shd w:val="pct10" w:color="auto" w:fill="auto"/>
        <w:ind w:left="1138" w:right="43" w:firstLine="0"/>
      </w:pPr>
      <w:r>
        <w:t>40</w:t>
      </w:r>
      <w:r>
        <w:rPr>
          <w:vertAlign w:val="superscript"/>
        </w:rPr>
        <w:t>th</w:t>
      </w:r>
      <w:r>
        <w:t xml:space="preserve"> GHS Sub-Committee session, Agenda Item 2(</w:t>
      </w:r>
      <w:proofErr w:type="spellStart"/>
      <w:r>
        <w:t>i</w:t>
      </w:r>
      <w:proofErr w:type="spellEnd"/>
      <w:r>
        <w:t>) – Other matters</w:t>
      </w:r>
    </w:p>
    <w:bookmarkEnd w:id="2"/>
    <w:p w14:paraId="79E53D77" w14:textId="77777777" w:rsidR="00C241C4" w:rsidRDefault="00C241C4" w:rsidP="00C241C4">
      <w:pPr>
        <w:pStyle w:val="SingleTxtG"/>
        <w:numPr>
          <w:ilvl w:val="0"/>
          <w:numId w:val="21"/>
        </w:numPr>
        <w:spacing w:after="240"/>
        <w:ind w:right="43"/>
      </w:pPr>
      <w:r>
        <w:rPr>
          <w:b/>
          <w:u w:val="single"/>
        </w:rPr>
        <w:t>Subject.</w:t>
      </w:r>
      <w:r>
        <w:t xml:space="preserve">  Corrections to GHS Chapter 2.17 (desensitized explosives)</w:t>
      </w:r>
    </w:p>
    <w:p w14:paraId="6A7403C0" w14:textId="5894B31E" w:rsidR="00C241C4" w:rsidRDefault="00C241C4" w:rsidP="00C241C4">
      <w:pPr>
        <w:pStyle w:val="SingleTxtG"/>
        <w:spacing w:after="240"/>
        <w:ind w:left="3700" w:right="43" w:hanging="2001"/>
        <w:jc w:val="left"/>
        <w:rPr>
          <w:i/>
        </w:rPr>
      </w:pPr>
      <w:r>
        <w:rPr>
          <w:i/>
        </w:rPr>
        <w:t>Document:</w:t>
      </w:r>
      <w:r>
        <w:rPr>
          <w:i/>
        </w:rPr>
        <w:tab/>
      </w:r>
      <w:r>
        <w:rPr>
          <w:i/>
          <w:iCs/>
        </w:rPr>
        <w:t>ST/SG/AC.10/C.4/2021/6 (Sweden)</w:t>
      </w:r>
    </w:p>
    <w:p w14:paraId="7FC0D0F6" w14:textId="5BA86009" w:rsidR="00C241C4" w:rsidRDefault="00C241C4" w:rsidP="00C241C4">
      <w:pPr>
        <w:pStyle w:val="SingleTxtG"/>
        <w:spacing w:after="240"/>
        <w:ind w:left="3700" w:right="43" w:hanging="2001"/>
        <w:rPr>
          <w:i/>
        </w:rPr>
      </w:pPr>
      <w:r>
        <w:rPr>
          <w:i/>
        </w:rPr>
        <w:t xml:space="preserve">Informal document: </w:t>
      </w:r>
      <w:r>
        <w:rPr>
          <w:i/>
        </w:rPr>
        <w:tab/>
        <w:t>None submitted</w:t>
      </w:r>
    </w:p>
    <w:p w14:paraId="231D6302" w14:textId="77777777" w:rsidR="00C241C4" w:rsidRDefault="00C241C4" w:rsidP="00C241C4">
      <w:pPr>
        <w:pStyle w:val="SingleTxtG"/>
        <w:spacing w:after="240"/>
        <w:ind w:left="1699" w:right="43"/>
      </w:pPr>
      <w:r>
        <w:rPr>
          <w:b/>
          <w:u w:val="single"/>
        </w:rPr>
        <w:t>Discussion:</w:t>
      </w:r>
      <w:r>
        <w:t xml:space="preserve">  While only submitted to the GHS Subcommittee, the EWG discussed GHS document 2021/6, where Sweden seeks to make a few consequential amendments to GHS Chapter 2.17 (Desensitized Explosives) necessitated, but overlooked, by the rewrite of Chapter 2.1 (Explosives):</w:t>
      </w:r>
    </w:p>
    <w:p w14:paraId="396BFE19" w14:textId="77777777" w:rsidR="00C241C4" w:rsidRDefault="00C241C4" w:rsidP="00C241C4">
      <w:pPr>
        <w:pStyle w:val="Paragraphedeliste"/>
        <w:numPr>
          <w:ilvl w:val="0"/>
          <w:numId w:val="25"/>
        </w:numPr>
        <w:spacing w:after="200" w:line="276" w:lineRule="auto"/>
        <w:contextualSpacing/>
        <w:jc w:val="left"/>
        <w:rPr>
          <w:bCs/>
          <w:sz w:val="20"/>
          <w:szCs w:val="20"/>
        </w:rPr>
      </w:pPr>
      <w:r>
        <w:rPr>
          <w:bCs/>
          <w:sz w:val="20"/>
          <w:szCs w:val="20"/>
        </w:rPr>
        <w:t>Update/correct the Chapter 2.1 reference in the parenthetical text of paragraph 2.17.1.1.</w:t>
      </w:r>
    </w:p>
    <w:p w14:paraId="7EFFCBA9" w14:textId="77777777" w:rsidR="00C241C4" w:rsidRDefault="00C241C4" w:rsidP="00C241C4">
      <w:pPr>
        <w:pStyle w:val="Paragraphedeliste"/>
        <w:numPr>
          <w:ilvl w:val="0"/>
          <w:numId w:val="25"/>
        </w:numPr>
        <w:spacing w:after="200" w:line="276" w:lineRule="auto"/>
        <w:contextualSpacing/>
        <w:jc w:val="left"/>
        <w:rPr>
          <w:bCs/>
          <w:sz w:val="20"/>
          <w:szCs w:val="20"/>
        </w:rPr>
      </w:pPr>
      <w:r>
        <w:rPr>
          <w:bCs/>
          <w:sz w:val="20"/>
          <w:szCs w:val="20"/>
        </w:rPr>
        <w:t xml:space="preserve">Remove and replace a reference to “Unstable explosives” in footnote 1 to paragraph 2.17.1.1 with corrected references to relevant Chapter 2.1 terms. </w:t>
      </w:r>
    </w:p>
    <w:p w14:paraId="363516A5" w14:textId="77777777" w:rsidR="00C241C4" w:rsidRDefault="00C241C4" w:rsidP="00C241C4">
      <w:pPr>
        <w:pStyle w:val="Paragraphedeliste"/>
        <w:numPr>
          <w:ilvl w:val="0"/>
          <w:numId w:val="25"/>
        </w:numPr>
        <w:spacing w:after="200" w:line="276" w:lineRule="auto"/>
        <w:contextualSpacing/>
        <w:jc w:val="left"/>
        <w:rPr>
          <w:bCs/>
          <w:sz w:val="20"/>
          <w:szCs w:val="20"/>
        </w:rPr>
      </w:pPr>
      <w:r>
        <w:rPr>
          <w:bCs/>
          <w:sz w:val="20"/>
          <w:szCs w:val="20"/>
        </w:rPr>
        <w:t>Replace a reference to Division 1.1 in decision logic 2.17.1 with “Sub-category 2A”.</w:t>
      </w:r>
    </w:p>
    <w:p w14:paraId="2DB28259" w14:textId="77777777" w:rsidR="00C241C4" w:rsidRDefault="00C241C4" w:rsidP="00C241C4">
      <w:pPr>
        <w:pStyle w:val="SingleTxtG"/>
        <w:spacing w:after="240"/>
        <w:ind w:left="1699" w:right="43"/>
      </w:pPr>
      <w:r>
        <w:t>It was noted that these amendments are intended to be treated as corrections to the 9</w:t>
      </w:r>
      <w:r>
        <w:rPr>
          <w:vertAlign w:val="superscript"/>
        </w:rPr>
        <w:t>th</w:t>
      </w:r>
      <w:r>
        <w:t xml:space="preserve"> Rev. of the GHS, and that they do not change the classification of desensitized explosives.</w:t>
      </w:r>
    </w:p>
    <w:p w14:paraId="343F51F8" w14:textId="0E7B8FF6" w:rsidR="00C241C4" w:rsidRDefault="00C241C4" w:rsidP="00C241C4">
      <w:pPr>
        <w:pStyle w:val="SingleTxtG"/>
        <w:spacing w:after="240"/>
        <w:ind w:left="1701" w:right="43"/>
      </w:pPr>
      <w:r>
        <w:rPr>
          <w:b/>
          <w:u w:val="single"/>
        </w:rPr>
        <w:t>Conclusion:</w:t>
      </w:r>
      <w:r>
        <w:t xml:space="preserve">  There was very wide support within the EWG for the proposals in GHS </w:t>
      </w:r>
      <w:r w:rsidR="004C0BF6" w:rsidRPr="004C0BF6">
        <w:t>ST/SG/AC.10/C.3/</w:t>
      </w:r>
      <w:r>
        <w:t>2021/6 as summarized above.</w:t>
      </w:r>
    </w:p>
    <w:p w14:paraId="7C38756D" w14:textId="77777777" w:rsidR="00C241C4" w:rsidRDefault="00C241C4" w:rsidP="00C241C4">
      <w:pPr>
        <w:pStyle w:val="HChG"/>
        <w:shd w:val="pct10" w:color="auto" w:fill="auto"/>
        <w:ind w:left="1138" w:right="43" w:firstLine="0"/>
      </w:pPr>
      <w:r>
        <w:t>Miscellaneous issues</w:t>
      </w:r>
    </w:p>
    <w:p w14:paraId="1CFDCABD" w14:textId="77777777" w:rsidR="00C241C4" w:rsidRDefault="00C241C4" w:rsidP="00C241C4">
      <w:pPr>
        <w:pStyle w:val="SingleTxtG"/>
        <w:numPr>
          <w:ilvl w:val="0"/>
          <w:numId w:val="21"/>
        </w:numPr>
        <w:spacing w:after="240"/>
        <w:ind w:right="43"/>
      </w:pPr>
      <w:r>
        <w:rPr>
          <w:b/>
          <w:u w:val="single"/>
        </w:rPr>
        <w:t>Subject.</w:t>
      </w:r>
      <w:r>
        <w:t xml:space="preserve">  Miscellaneous issues</w:t>
      </w:r>
    </w:p>
    <w:p w14:paraId="4F577D1D" w14:textId="6B6A9E6E" w:rsidR="00C241C4" w:rsidRDefault="00C241C4" w:rsidP="00C241C4">
      <w:pPr>
        <w:pStyle w:val="Commentaire"/>
        <w:numPr>
          <w:ilvl w:val="1"/>
          <w:numId w:val="21"/>
        </w:numPr>
        <w:spacing w:after="240"/>
      </w:pPr>
      <w:r>
        <w:rPr>
          <w:u w:val="single"/>
        </w:rPr>
        <w:t xml:space="preserve">Correction to </w:t>
      </w:r>
      <w:proofErr w:type="spellStart"/>
      <w:r>
        <w:rPr>
          <w:u w:val="single"/>
        </w:rPr>
        <w:t>Koenen</w:t>
      </w:r>
      <w:proofErr w:type="spellEnd"/>
      <w:r>
        <w:rPr>
          <w:u w:val="single"/>
        </w:rPr>
        <w:t xml:space="preserve"> Tests.</w:t>
      </w:r>
      <w:r>
        <w:t xml:space="preserve">  Specification of silicone oil in the </w:t>
      </w:r>
      <w:proofErr w:type="spellStart"/>
      <w:r>
        <w:t>Koenen</w:t>
      </w:r>
      <w:proofErr w:type="spellEnd"/>
      <w:r>
        <w:t xml:space="preserve"> test. Currently the density specification given for the silicone oil is without units (apparent density 0.96 ± 0.02)</w:t>
      </w:r>
      <w:r w:rsidR="004C0BF6">
        <w:t>.</w:t>
      </w:r>
      <w:r>
        <w:t xml:space="preserve"> It </w:t>
      </w:r>
      <w:r>
        <w:lastRenderedPageBreak/>
        <w:t>was agreed to amend the specification to: “</w:t>
      </w:r>
      <w:r>
        <w:rPr>
          <w:strike/>
          <w:color w:val="FF0000"/>
        </w:rPr>
        <w:t xml:space="preserve">apparent </w:t>
      </w:r>
      <w:r>
        <w:t>density 0.96 ± 0.02 g/cm</w:t>
      </w:r>
      <w:r>
        <w:rPr>
          <w:vertAlign w:val="superscript"/>
        </w:rPr>
        <w:t>3</w:t>
      </w:r>
      <w:r>
        <w:t>. This applies to test 1(b), test 2(b), test 8(c), test E.1 and test series H (see Annex 2, Amendment 2).</w:t>
      </w:r>
    </w:p>
    <w:p w14:paraId="6A67B42C" w14:textId="3ABF8F54" w:rsidR="00C241C4" w:rsidRDefault="00C241C4" w:rsidP="00C241C4">
      <w:pPr>
        <w:pStyle w:val="Commentaire"/>
        <w:numPr>
          <w:ilvl w:val="1"/>
          <w:numId w:val="21"/>
        </w:numPr>
        <w:spacing w:after="240"/>
      </w:pPr>
      <w:r>
        <w:rPr>
          <w:u w:val="single"/>
        </w:rPr>
        <w:t>Calculation error.</w:t>
      </w:r>
      <w:r>
        <w:t xml:space="preserve">  In Appendix 10 A.10.2.3.8 there is a calculation error. The last term in the equation assumes that the mass used is always 1 gram. However, quantities of 2 and 3 gram are also used. The EWG agreed to delete the last part of the equation “= </w:t>
      </w:r>
      <w:proofErr w:type="spellStart"/>
      <w:r>
        <w:t>C</w:t>
      </w:r>
      <w:r>
        <w:rPr>
          <w:vertAlign w:val="subscript"/>
        </w:rPr>
        <w:t>NaOH</w:t>
      </w:r>
      <w:proofErr w:type="spellEnd"/>
      <w:r>
        <w:t xml:space="preserve"> x 0.224” (see Annex 2, Amendment 3). </w:t>
      </w:r>
      <w:proofErr w:type="gramStart"/>
      <w:r>
        <w:t>As a consequence</w:t>
      </w:r>
      <w:proofErr w:type="gramEnd"/>
      <w:r>
        <w:t>, the next equation should be amended as well to:</w:t>
      </w:r>
    </w:p>
    <w:p w14:paraId="2777F8BE" w14:textId="77777777" w:rsidR="00C241C4" w:rsidRDefault="00464FD2" w:rsidP="00C241C4">
      <w:pPr>
        <w:pStyle w:val="Commentaire"/>
        <w:spacing w:after="240"/>
        <w:ind w:left="1138"/>
        <w:jc w:val="center"/>
      </w:pPr>
      <m:oMathPara>
        <m:oMath>
          <m:sSub>
            <m:sSubPr>
              <m:ctrlPr>
                <w:rPr>
                  <w:rFonts w:ascii="Cambria Math" w:hAnsi="Cambria Math" w:cstheme="majorBidi"/>
                  <w:lang w:val="en-US" w:eastAsia="en-US"/>
                </w:rPr>
              </m:ctrlPr>
            </m:sSubPr>
            <m:e>
              <m:r>
                <m:rPr>
                  <m:sty m:val="p"/>
                </m:rPr>
                <w:rPr>
                  <w:rFonts w:ascii="Cambria Math" w:hAnsi="Cambria Math" w:cstheme="majorBidi"/>
                </w:rPr>
                <m:t>V</m:t>
              </m:r>
            </m:e>
            <m:sub>
              <m:r>
                <m:rPr>
                  <m:sty m:val="p"/>
                </m:rPr>
                <w:rPr>
                  <w:rFonts w:ascii="Cambria Math" w:hAnsi="Cambria Math" w:cstheme="majorBidi"/>
                </w:rPr>
                <m:t>NO</m:t>
              </m:r>
            </m:sub>
          </m:sSub>
          <m:r>
            <w:rPr>
              <w:rFonts w:ascii="Cambria Math" w:hAnsi="Cambria Math" w:cstheme="majorBidi"/>
            </w:rPr>
            <m:t>=</m:t>
          </m:r>
          <m:f>
            <m:fPr>
              <m:ctrlPr>
                <w:rPr>
                  <w:rFonts w:ascii="Cambria Math" w:hAnsi="Cambria Math" w:cstheme="majorBidi"/>
                  <w:i/>
                  <w:lang w:val="en-US" w:eastAsia="en-US"/>
                </w:rPr>
              </m:ctrlPr>
            </m:fPr>
            <m:num>
              <m:sSub>
                <m:sSubPr>
                  <m:ctrlPr>
                    <w:rPr>
                      <w:rFonts w:ascii="Cambria Math" w:hAnsi="Cambria Math" w:cstheme="majorBidi"/>
                      <w:lang w:val="en-US" w:eastAsia="en-US"/>
                    </w:rPr>
                  </m:ctrlPr>
                </m:sSubPr>
                <m:e>
                  <m:r>
                    <m:rPr>
                      <m:sty m:val="p"/>
                    </m:rPr>
                    <w:rPr>
                      <w:rFonts w:ascii="Cambria Math" w:hAnsi="Cambria Math" w:cstheme="majorBidi"/>
                    </w:rPr>
                    <m:t>C</m:t>
                  </m:r>
                </m:e>
                <m:sub>
                  <m:r>
                    <m:rPr>
                      <m:sty m:val="p"/>
                    </m:rPr>
                    <w:rPr>
                      <w:rFonts w:ascii="Cambria Math" w:hAnsi="Cambria Math" w:cstheme="majorBidi"/>
                    </w:rPr>
                    <m:t xml:space="preserve">NaOH </m:t>
                  </m:r>
                </m:sub>
              </m:sSub>
              <m:r>
                <w:rPr>
                  <w:rFonts w:ascii="Cambria Math" w:hAnsi="Cambria Math" w:cstheme="majorBidi"/>
                </w:rPr>
                <m:t>×2.24</m:t>
              </m:r>
            </m:num>
            <m:den>
              <m:sSub>
                <m:sSubPr>
                  <m:ctrlPr>
                    <w:rPr>
                      <w:rFonts w:ascii="Cambria Math" w:hAnsi="Cambria Math" w:cstheme="majorBidi"/>
                      <w:lang w:val="en-US" w:eastAsia="en-US"/>
                    </w:rPr>
                  </m:ctrlPr>
                </m:sSubPr>
                <m:e>
                  <m:r>
                    <m:rPr>
                      <m:sty m:val="p"/>
                    </m:rPr>
                    <w:rPr>
                      <w:rFonts w:ascii="Cambria Math" w:hAnsi="Cambria Math" w:cstheme="majorBidi"/>
                    </w:rPr>
                    <m:t>m</m:t>
                  </m:r>
                </m:e>
                <m:sub>
                  <m:r>
                    <m:rPr>
                      <m:sty m:val="p"/>
                    </m:rPr>
                    <w:rPr>
                      <w:rFonts w:ascii="Cambria Math" w:hAnsi="Cambria Math" w:cstheme="majorBidi"/>
                    </w:rPr>
                    <m:t>NC</m:t>
                  </m:r>
                </m:sub>
              </m:sSub>
            </m:den>
          </m:f>
        </m:oMath>
      </m:oMathPara>
    </w:p>
    <w:p w14:paraId="408E550F" w14:textId="1A8D0B1D" w:rsidR="00C241C4" w:rsidRDefault="00C241C4" w:rsidP="00C241C4">
      <w:pPr>
        <w:pStyle w:val="Commentaire"/>
        <w:numPr>
          <w:ilvl w:val="1"/>
          <w:numId w:val="21"/>
        </w:numPr>
        <w:spacing w:after="240"/>
      </w:pPr>
      <w:r>
        <w:rPr>
          <w:u w:val="single"/>
        </w:rPr>
        <w:t>Electronic detonators.</w:t>
      </w:r>
      <w:r>
        <w:t xml:space="preserve">  IME reported that, despite not being fully implemented worldwide, the new entries for electronic detonators (UN 0511, 0512, and 0513) are being required now by some Competent Authorities. Inconsistent implementation of the new entries causes issues related to existing stocks and transport into countries that have not yet implemented the new entries.</w:t>
      </w:r>
    </w:p>
    <w:p w14:paraId="2F61F798" w14:textId="77777777" w:rsidR="00C241C4" w:rsidRDefault="00C241C4" w:rsidP="00C241C4">
      <w:pPr>
        <w:pStyle w:val="Commentaire"/>
        <w:numPr>
          <w:ilvl w:val="2"/>
          <w:numId w:val="21"/>
        </w:numPr>
        <w:spacing w:after="240"/>
        <w:ind w:left="2700" w:hanging="212"/>
      </w:pPr>
      <w:r>
        <w:t xml:space="preserve">USA reported that the new entries have not yet been added to its </w:t>
      </w:r>
      <w:r>
        <w:rPr>
          <w:i/>
          <w:iCs/>
        </w:rPr>
        <w:t>Hazardous Materials Regulations</w:t>
      </w:r>
      <w:r>
        <w:t>. USA noted that detonators approved as electric detonators cannot simply be updated to electronic detonators without evaluation since the levels of safety are very different; electronic detonators having higher inherent safety.</w:t>
      </w:r>
    </w:p>
    <w:p w14:paraId="5C643F35" w14:textId="28578304" w:rsidR="00C241C4" w:rsidRDefault="00C241C4" w:rsidP="00C241C4">
      <w:pPr>
        <w:pStyle w:val="Commentaire"/>
        <w:numPr>
          <w:ilvl w:val="2"/>
          <w:numId w:val="21"/>
        </w:numPr>
        <w:spacing w:after="240"/>
        <w:ind w:left="2700" w:hanging="212"/>
      </w:pPr>
      <w:r>
        <w:t>It was noted that the issue is that certain countries are implementing based on new requirements in the ADR.</w:t>
      </w:r>
    </w:p>
    <w:p w14:paraId="0CD9CEEA" w14:textId="710B5CEA" w:rsidR="00C241C4" w:rsidRDefault="00C241C4" w:rsidP="00C241C4">
      <w:pPr>
        <w:pStyle w:val="Commentaire"/>
        <w:numPr>
          <w:ilvl w:val="2"/>
          <w:numId w:val="21"/>
        </w:numPr>
        <w:spacing w:after="240"/>
        <w:ind w:left="2700" w:hanging="212"/>
      </w:pPr>
      <w:r>
        <w:t xml:space="preserve">UK will continue to use the current UN numbers and will consider the use of the new UN numbers when CAD applications are received. Sweden is permitting a transition period to June 2022 to allow manufacturers to sell out the stocks of electronic detonators </w:t>
      </w:r>
      <w:proofErr w:type="spellStart"/>
      <w:r>
        <w:t>labeled</w:t>
      </w:r>
      <w:proofErr w:type="spellEnd"/>
      <w:r>
        <w:t xml:space="preserve"> with the old UN numbers.</w:t>
      </w:r>
    </w:p>
    <w:p w14:paraId="1AE3A7C0" w14:textId="77777777" w:rsidR="00C241C4" w:rsidRDefault="00C241C4" w:rsidP="00C241C4">
      <w:pPr>
        <w:pStyle w:val="Commentaire"/>
        <w:numPr>
          <w:ilvl w:val="2"/>
          <w:numId w:val="21"/>
        </w:numPr>
        <w:spacing w:after="240"/>
        <w:ind w:left="2700" w:hanging="212"/>
      </w:pPr>
      <w:r>
        <w:t>AEISG stated that the Australian states are considering a five-year transitional period.</w:t>
      </w:r>
    </w:p>
    <w:p w14:paraId="2AA721D4" w14:textId="28B6A46D" w:rsidR="00C241C4" w:rsidRDefault="00C241C4" w:rsidP="00C241C4">
      <w:pPr>
        <w:pStyle w:val="Commentaire"/>
        <w:numPr>
          <w:ilvl w:val="2"/>
          <w:numId w:val="21"/>
        </w:numPr>
        <w:spacing w:after="240"/>
        <w:ind w:left="2700" w:hanging="212"/>
      </w:pPr>
      <w:r>
        <w:t>The working group noted that sometimes transitional periods are very short and some suggested that they should be long enough to deal with existing stocks.</w:t>
      </w:r>
    </w:p>
    <w:p w14:paraId="68C99AE1" w14:textId="77777777" w:rsidR="00C241C4" w:rsidRDefault="00C241C4" w:rsidP="00C241C4">
      <w:pPr>
        <w:pStyle w:val="Commentaire"/>
        <w:spacing w:after="240"/>
        <w:ind w:left="1858"/>
      </w:pPr>
      <w:r>
        <w:rPr>
          <w:b/>
          <w:bCs/>
          <w:u w:val="single"/>
        </w:rPr>
        <w:t>Conclusion:</w:t>
      </w:r>
      <w:r>
        <w:t xml:space="preserve">  The Sub-Committee is invited to consider this issue.</w:t>
      </w:r>
    </w:p>
    <w:p w14:paraId="194793EA" w14:textId="77777777" w:rsidR="00C241C4" w:rsidRDefault="00C241C4" w:rsidP="00C241C4">
      <w:pPr>
        <w:pStyle w:val="Commentaire"/>
        <w:numPr>
          <w:ilvl w:val="1"/>
          <w:numId w:val="21"/>
        </w:numPr>
        <w:spacing w:after="240"/>
        <w:ind w:right="43"/>
      </w:pPr>
      <w:r>
        <w:rPr>
          <w:u w:val="single"/>
        </w:rPr>
        <w:t>Clarifying slide re. INF.8.</w:t>
      </w:r>
      <w:r>
        <w:t xml:space="preserve">  IME clarified that the heat flux used for the 24 kW/m</w:t>
      </w:r>
      <w:r>
        <w:rPr>
          <w:vertAlign w:val="superscript"/>
        </w:rPr>
        <w:t>2</w:t>
      </w:r>
      <w:r>
        <w:t xml:space="preserve"> case was transient, while that for 80 kW/m</w:t>
      </w:r>
      <w:r>
        <w:rPr>
          <w:vertAlign w:val="superscript"/>
        </w:rPr>
        <w:t>2</w:t>
      </w:r>
      <w:r>
        <w:t xml:space="preserve"> was constant and therefore very conservative. Even though the 24 kW/m</w:t>
      </w:r>
      <w:r>
        <w:rPr>
          <w:vertAlign w:val="superscript"/>
        </w:rPr>
        <w:t>2</w:t>
      </w:r>
      <w:r>
        <w:t xml:space="preserve"> case was transient, the tire used for the test was a front-end loader tire, which was 413 kg. In contrast, a tractor trailer tire is ~50 kg.</w:t>
      </w:r>
    </w:p>
    <w:p w14:paraId="6A023A3E" w14:textId="4B0058E5" w:rsidR="00C241C4" w:rsidRDefault="00C241C4" w:rsidP="00C241C4">
      <w:pPr>
        <w:pStyle w:val="SingleTxtG"/>
        <w:spacing w:before="240" w:after="0"/>
        <w:jc w:val="center"/>
        <w:rPr>
          <w:u w:val="single"/>
        </w:rPr>
      </w:pPr>
      <w:r>
        <w:rPr>
          <w:u w:val="single"/>
        </w:rPr>
        <w:tab/>
      </w:r>
    </w:p>
    <w:bookmarkEnd w:id="3"/>
    <w:p w14:paraId="7212D221" w14:textId="77777777" w:rsidR="00727F27" w:rsidRDefault="00C241C4" w:rsidP="00727F27">
      <w:pPr>
        <w:pStyle w:val="HChG"/>
        <w:spacing w:before="120" w:line="240" w:lineRule="auto"/>
        <w:ind w:left="0" w:right="1140" w:firstLine="0"/>
        <w:rPr>
          <w:rFonts w:eastAsia="MS Mincho"/>
          <w:szCs w:val="28"/>
          <w:lang w:eastAsia="ja-JP"/>
        </w:rPr>
      </w:pPr>
      <w:r>
        <w:rPr>
          <w:rFonts w:eastAsia="MS Mincho"/>
          <w:b w:val="0"/>
          <w:lang w:eastAsia="ja-JP"/>
        </w:rPr>
        <w:br w:type="page"/>
      </w:r>
      <w:bookmarkStart w:id="4" w:name="_Hlk56152968"/>
      <w:r>
        <w:rPr>
          <w:rFonts w:eastAsia="MS Mincho"/>
          <w:szCs w:val="28"/>
          <w:lang w:eastAsia="ja-JP"/>
        </w:rPr>
        <w:lastRenderedPageBreak/>
        <w:t>Annex 1</w:t>
      </w:r>
    </w:p>
    <w:p w14:paraId="72814C3D" w14:textId="2AD3CC15" w:rsidR="00C241C4" w:rsidRDefault="00EB03DC" w:rsidP="00EB03DC">
      <w:pPr>
        <w:pStyle w:val="HChG"/>
        <w:spacing w:before="120" w:after="360" w:line="240" w:lineRule="auto"/>
        <w:ind w:right="1140"/>
        <w:rPr>
          <w:rFonts w:eastAsia="MS Mincho"/>
          <w:lang w:eastAsia="ja-JP"/>
        </w:rPr>
      </w:pPr>
      <w:r>
        <w:rPr>
          <w:rFonts w:eastAsia="MS Mincho"/>
          <w:bCs/>
          <w:szCs w:val="28"/>
          <w:lang w:eastAsia="ja-JP"/>
        </w:rPr>
        <w:tab/>
      </w:r>
      <w:r>
        <w:rPr>
          <w:rFonts w:eastAsia="MS Mincho"/>
          <w:bCs/>
          <w:szCs w:val="28"/>
          <w:lang w:eastAsia="ja-JP"/>
        </w:rPr>
        <w:tab/>
      </w:r>
      <w:r w:rsidR="00C241C4">
        <w:rPr>
          <w:rFonts w:eastAsia="MS Mincho"/>
          <w:bCs/>
          <w:szCs w:val="28"/>
          <w:lang w:eastAsia="ja-JP"/>
        </w:rPr>
        <w:t xml:space="preserve">Working Group on Explosives (14 – 16 and 18 June 2021) </w:t>
      </w:r>
      <w:r w:rsidR="00C241C4">
        <w:rPr>
          <w:rFonts w:eastAsia="MS Mincho"/>
          <w:bCs/>
          <w:szCs w:val="28"/>
          <w:lang w:eastAsia="ja-JP"/>
        </w:rPr>
        <w:br/>
        <w:t>List of Participants</w:t>
      </w:r>
      <w:r w:rsidR="00C241C4">
        <w:rPr>
          <w:rStyle w:val="Appelnotedebasdep"/>
          <w:rFonts w:eastAsia="MS Mincho"/>
          <w:bCs/>
          <w:szCs w:val="28"/>
          <w:lang w:eastAsia="ja-JP"/>
        </w:rPr>
        <w:footnoteReference w:id="4"/>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711"/>
        <w:gridCol w:w="3745"/>
      </w:tblGrid>
      <w:tr w:rsidR="00C241C4" w14:paraId="36D39727" w14:textId="77777777" w:rsidTr="00C241C4">
        <w:trPr>
          <w:trHeight w:val="255"/>
          <w:tblHeader/>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556B9B1" w14:textId="77777777" w:rsidR="00C241C4" w:rsidRDefault="00C241C4">
            <w:pPr>
              <w:suppressAutoHyphens w:val="0"/>
              <w:spacing w:line="240" w:lineRule="auto"/>
              <w:jc w:val="center"/>
            </w:pPr>
            <w:bookmarkStart w:id="5" w:name="_Hlk56152917"/>
            <w:r>
              <w:t>Name</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4B1EAD1E" w14:textId="77777777" w:rsidR="00C241C4" w:rsidRDefault="00C241C4">
            <w:pPr>
              <w:suppressAutoHyphens w:val="0"/>
              <w:spacing w:line="240" w:lineRule="auto"/>
              <w:jc w:val="center"/>
            </w:pPr>
            <w:r>
              <w:t>Representing</w:t>
            </w:r>
          </w:p>
        </w:tc>
        <w:tc>
          <w:tcPr>
            <w:tcW w:w="3745" w:type="dxa"/>
            <w:tcBorders>
              <w:top w:val="single" w:sz="4" w:space="0" w:color="auto"/>
              <w:left w:val="single" w:sz="4" w:space="0" w:color="auto"/>
              <w:bottom w:val="single" w:sz="4" w:space="0" w:color="auto"/>
              <w:right w:val="single" w:sz="4" w:space="0" w:color="auto"/>
            </w:tcBorders>
            <w:noWrap/>
            <w:vAlign w:val="bottom"/>
            <w:hideMark/>
          </w:tcPr>
          <w:p w14:paraId="72E42E5D" w14:textId="77777777" w:rsidR="00C241C4" w:rsidRDefault="00C241C4">
            <w:pPr>
              <w:suppressAutoHyphens w:val="0"/>
              <w:spacing w:line="240" w:lineRule="auto"/>
              <w:jc w:val="center"/>
            </w:pPr>
            <w:r>
              <w:t>Email address</w:t>
            </w:r>
          </w:p>
        </w:tc>
      </w:tr>
      <w:tr w:rsidR="00C241C4" w14:paraId="63ED5A63"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E5A8643" w14:textId="77777777" w:rsidR="00C241C4" w:rsidRDefault="00C241C4">
            <w:pPr>
              <w:suppressAutoHyphens w:val="0"/>
              <w:spacing w:line="240" w:lineRule="auto"/>
              <w:rPr>
                <w:rFonts w:eastAsia="MS Mincho"/>
                <w:lang w:eastAsia="ja-JP"/>
              </w:rPr>
            </w:pPr>
            <w:bookmarkStart w:id="6" w:name="_Hlk56152113"/>
            <w:bookmarkStart w:id="7" w:name="_Hlk56515207"/>
            <w:r>
              <w:rPr>
                <w:rFonts w:ascii="Calibri" w:hAnsi="Calibri" w:cs="Calibri"/>
                <w:color w:val="000000"/>
              </w:rPr>
              <w:t xml:space="preserve">Arnaud </w:t>
            </w:r>
            <w:proofErr w:type="spellStart"/>
            <w:r>
              <w:rPr>
                <w:rFonts w:ascii="Calibri" w:hAnsi="Calibri" w:cs="Calibri"/>
                <w:color w:val="000000"/>
              </w:rPr>
              <w:t>Vandenbroucke</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1DDA30A" w14:textId="77777777" w:rsidR="00C241C4" w:rsidRDefault="00C241C4">
            <w:pPr>
              <w:suppressAutoHyphens w:val="0"/>
              <w:spacing w:line="240" w:lineRule="auto"/>
            </w:pPr>
            <w:r>
              <w:rPr>
                <w:rFonts w:ascii="Calibri" w:hAnsi="Calibri" w:cs="Calibri"/>
                <w:color w:val="000000"/>
              </w:rPr>
              <w:t>Belgium</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EC48349" w14:textId="77777777" w:rsidR="00C241C4" w:rsidRDefault="00C241C4">
            <w:pPr>
              <w:suppressAutoHyphens w:val="0"/>
              <w:spacing w:line="240" w:lineRule="auto"/>
            </w:pPr>
            <w:r>
              <w:rPr>
                <w:rFonts w:ascii="Calibri" w:hAnsi="Calibri" w:cs="Calibri"/>
                <w:color w:val="000000"/>
              </w:rPr>
              <w:t>arnaud.vandenbroucke@economie.fgov.be</w:t>
            </w:r>
          </w:p>
        </w:tc>
      </w:tr>
      <w:tr w:rsidR="00C241C4" w14:paraId="485E9191"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3B18420" w14:textId="77777777" w:rsidR="00C241C4" w:rsidRDefault="00C241C4">
            <w:pPr>
              <w:suppressAutoHyphens w:val="0"/>
              <w:spacing w:line="240" w:lineRule="auto"/>
              <w:rPr>
                <w:rFonts w:eastAsia="MS Mincho"/>
                <w:lang w:eastAsia="ja-JP"/>
              </w:rPr>
            </w:pPr>
            <w:r>
              <w:rPr>
                <w:rFonts w:ascii="Calibri" w:hAnsi="Calibri" w:cs="Calibri"/>
                <w:color w:val="000000"/>
              </w:rPr>
              <w:t>Richard Bowes</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6C267246" w14:textId="77777777" w:rsidR="00C241C4" w:rsidRDefault="00C241C4">
            <w:pPr>
              <w:suppressAutoHyphens w:val="0"/>
              <w:spacing w:line="240" w:lineRule="auto"/>
            </w:pPr>
            <w:r>
              <w:rPr>
                <w:rFonts w:ascii="Calibri" w:hAnsi="Calibri" w:cs="Calibri"/>
                <w:color w:val="000000"/>
              </w:rPr>
              <w:t>Canada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19FADF8B" w14:textId="77777777" w:rsidR="00C241C4" w:rsidRDefault="00C241C4">
            <w:pPr>
              <w:suppressAutoHyphens w:val="0"/>
              <w:spacing w:line="240" w:lineRule="auto"/>
            </w:pPr>
            <w:r>
              <w:rPr>
                <w:rFonts w:ascii="Calibri" w:hAnsi="Calibri" w:cs="Calibri"/>
                <w:color w:val="000000"/>
              </w:rPr>
              <w:t>richard.bowes@canada.ca</w:t>
            </w:r>
          </w:p>
        </w:tc>
      </w:tr>
      <w:tr w:rsidR="00C241C4" w14:paraId="3A5ADB53"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F0338BF" w14:textId="77777777" w:rsidR="00C241C4" w:rsidRDefault="00C241C4">
            <w:pPr>
              <w:suppressAutoHyphens w:val="0"/>
              <w:spacing w:line="240" w:lineRule="auto"/>
              <w:rPr>
                <w:rFonts w:eastAsia="MS Mincho"/>
                <w:lang w:eastAsia="ja-JP"/>
              </w:rPr>
            </w:pPr>
            <w:r>
              <w:rPr>
                <w:rFonts w:ascii="Calibri" w:hAnsi="Calibri" w:cs="Calibri"/>
                <w:color w:val="000000"/>
              </w:rPr>
              <w:t>Michael Lafleur</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69A4E5C1" w14:textId="77777777" w:rsidR="00C241C4" w:rsidRDefault="00C241C4">
            <w:pPr>
              <w:suppressAutoHyphens w:val="0"/>
              <w:spacing w:line="240" w:lineRule="auto"/>
            </w:pPr>
            <w:r>
              <w:rPr>
                <w:rFonts w:ascii="Calibri" w:hAnsi="Calibri" w:cs="Calibri"/>
                <w:color w:val="000000"/>
              </w:rPr>
              <w:t>Canada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760F0C61" w14:textId="77777777" w:rsidR="00C241C4" w:rsidRDefault="00C241C4">
            <w:pPr>
              <w:suppressAutoHyphens w:val="0"/>
              <w:spacing w:line="240" w:lineRule="auto"/>
            </w:pPr>
            <w:r>
              <w:rPr>
                <w:rFonts w:ascii="Calibri" w:hAnsi="Calibri" w:cs="Calibri"/>
                <w:color w:val="000000"/>
              </w:rPr>
              <w:t>michael.lafleur3@canada.ca</w:t>
            </w:r>
          </w:p>
        </w:tc>
      </w:tr>
      <w:tr w:rsidR="00C241C4" w14:paraId="56A88436"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4A9CE32E" w14:textId="01CEC04B" w:rsidR="00C241C4" w:rsidRDefault="00C241C4">
            <w:pPr>
              <w:suppressAutoHyphens w:val="0"/>
              <w:spacing w:line="240" w:lineRule="auto"/>
              <w:rPr>
                <w:color w:val="000000"/>
              </w:rPr>
            </w:pPr>
            <w:proofErr w:type="spellStart"/>
            <w:r>
              <w:rPr>
                <w:rFonts w:ascii="Calibri" w:hAnsi="Calibri" w:cs="Calibri"/>
                <w:color w:val="000000"/>
              </w:rPr>
              <w:t>Miina</w:t>
            </w:r>
            <w:proofErr w:type="spellEnd"/>
            <w:r>
              <w:rPr>
                <w:rFonts w:ascii="Calibri" w:hAnsi="Calibri" w:cs="Calibri"/>
                <w:color w:val="000000"/>
              </w:rPr>
              <w:t xml:space="preserve"> </w:t>
            </w:r>
            <w:proofErr w:type="spellStart"/>
            <w:r>
              <w:rPr>
                <w:rFonts w:ascii="Calibri" w:hAnsi="Calibri" w:cs="Calibri"/>
                <w:color w:val="000000"/>
              </w:rPr>
              <w:t>Grönlund</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FC4485A" w14:textId="77777777" w:rsidR="00C241C4" w:rsidRDefault="00C241C4">
            <w:pPr>
              <w:suppressAutoHyphens w:val="0"/>
              <w:spacing w:line="240" w:lineRule="auto"/>
              <w:rPr>
                <w:color w:val="000000"/>
              </w:rPr>
            </w:pPr>
            <w:r>
              <w:rPr>
                <w:rFonts w:ascii="Calibri" w:hAnsi="Calibri" w:cs="Calibri"/>
              </w:rPr>
              <w:t>Finland</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2818B36F" w14:textId="77777777" w:rsidR="00C241C4" w:rsidRDefault="00C241C4">
            <w:pPr>
              <w:suppressAutoHyphens w:val="0"/>
              <w:spacing w:line="240" w:lineRule="auto"/>
              <w:rPr>
                <w:color w:val="000000"/>
              </w:rPr>
            </w:pPr>
            <w:r>
              <w:rPr>
                <w:rFonts w:ascii="Calibri" w:hAnsi="Calibri" w:cs="Calibri"/>
                <w:color w:val="000000"/>
              </w:rPr>
              <w:t>miina.gronlund@traficom.fi</w:t>
            </w:r>
          </w:p>
        </w:tc>
      </w:tr>
      <w:tr w:rsidR="00C241C4" w14:paraId="73B9114D"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9E4F21F" w14:textId="77777777" w:rsidR="00C241C4" w:rsidRDefault="00C241C4">
            <w:pPr>
              <w:suppressAutoHyphens w:val="0"/>
              <w:spacing w:line="240" w:lineRule="auto"/>
            </w:pPr>
            <w:r>
              <w:rPr>
                <w:rFonts w:ascii="Calibri" w:hAnsi="Calibri" w:cs="Calibri"/>
                <w:color w:val="000000"/>
              </w:rPr>
              <w:t xml:space="preserve">Lionel </w:t>
            </w:r>
            <w:proofErr w:type="spellStart"/>
            <w:r>
              <w:rPr>
                <w:rFonts w:ascii="Calibri" w:hAnsi="Calibri" w:cs="Calibri"/>
                <w:color w:val="000000"/>
              </w:rPr>
              <w:t>Aufauvre</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F295551" w14:textId="77777777" w:rsidR="00C241C4" w:rsidRDefault="00C241C4">
            <w:pPr>
              <w:suppressAutoHyphens w:val="0"/>
              <w:spacing w:line="240" w:lineRule="auto"/>
            </w:pPr>
            <w:r>
              <w:rPr>
                <w:rFonts w:ascii="Calibri" w:hAnsi="Calibri" w:cs="Calibri"/>
              </w:rPr>
              <w:t>France</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6FBAFE42" w14:textId="77777777" w:rsidR="00C241C4" w:rsidRDefault="00C241C4">
            <w:pPr>
              <w:suppressAutoHyphens w:val="0"/>
              <w:spacing w:line="240" w:lineRule="auto"/>
            </w:pPr>
            <w:r>
              <w:rPr>
                <w:rFonts w:ascii="Calibri" w:hAnsi="Calibri" w:cs="Calibri"/>
                <w:color w:val="000000"/>
              </w:rPr>
              <w:t>lionel.aufauvre@ineris.fr</w:t>
            </w:r>
          </w:p>
        </w:tc>
      </w:tr>
      <w:tr w:rsidR="00C241C4" w14:paraId="2033ABD7"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DD9A365" w14:textId="77777777" w:rsidR="00C241C4" w:rsidRDefault="00C241C4">
            <w:pPr>
              <w:suppressAutoHyphens w:val="0"/>
              <w:spacing w:line="240" w:lineRule="auto"/>
              <w:rPr>
                <w:color w:val="000000"/>
              </w:rPr>
            </w:pPr>
            <w:r>
              <w:rPr>
                <w:rFonts w:ascii="Calibri" w:hAnsi="Calibri" w:cs="Calibri"/>
                <w:color w:val="000000"/>
              </w:rPr>
              <w:t>Heike Michael-Schulz</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415E2D3D" w14:textId="77777777" w:rsidR="00C241C4" w:rsidRDefault="00C241C4">
            <w:pPr>
              <w:suppressAutoHyphens w:val="0"/>
              <w:spacing w:line="240" w:lineRule="auto"/>
              <w:rPr>
                <w:color w:val="000000"/>
              </w:rPr>
            </w:pPr>
            <w:r>
              <w:rPr>
                <w:rFonts w:ascii="Calibri" w:hAnsi="Calibri" w:cs="Calibri"/>
                <w:color w:val="000000"/>
              </w:rPr>
              <w:t>Germany</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4FA44F1" w14:textId="77777777" w:rsidR="00C241C4" w:rsidRDefault="00C241C4">
            <w:pPr>
              <w:suppressAutoHyphens w:val="0"/>
              <w:spacing w:line="240" w:lineRule="auto"/>
              <w:rPr>
                <w:color w:val="000000"/>
              </w:rPr>
            </w:pPr>
            <w:r>
              <w:rPr>
                <w:rFonts w:ascii="Calibri" w:hAnsi="Calibri" w:cs="Calibri"/>
                <w:color w:val="000000"/>
              </w:rPr>
              <w:t>heike.michael-schulz@bam.de</w:t>
            </w:r>
          </w:p>
        </w:tc>
      </w:tr>
      <w:tr w:rsidR="00C241C4" w14:paraId="5AC0636C"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9542C39" w14:textId="77777777" w:rsidR="00C241C4" w:rsidRDefault="00C241C4">
            <w:pPr>
              <w:suppressAutoHyphens w:val="0"/>
              <w:spacing w:line="240" w:lineRule="auto"/>
            </w:pPr>
            <w:r>
              <w:rPr>
                <w:rFonts w:ascii="Calibri" w:hAnsi="Calibri" w:cs="Calibri"/>
                <w:color w:val="000000"/>
              </w:rPr>
              <w:t>Ken Okada</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D316DBC" w14:textId="77777777" w:rsidR="00C241C4" w:rsidRDefault="00C241C4">
            <w:pPr>
              <w:suppressAutoHyphens w:val="0"/>
              <w:spacing w:line="240" w:lineRule="auto"/>
            </w:pPr>
            <w:r>
              <w:rPr>
                <w:rFonts w:ascii="Calibri" w:hAnsi="Calibri" w:cs="Calibri"/>
                <w:color w:val="000000"/>
              </w:rPr>
              <w:t>Japan</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C4B95D8" w14:textId="77777777" w:rsidR="00C241C4" w:rsidRDefault="00C241C4">
            <w:pPr>
              <w:suppressAutoHyphens w:val="0"/>
              <w:spacing w:line="240" w:lineRule="auto"/>
            </w:pPr>
            <w:r>
              <w:rPr>
                <w:rFonts w:ascii="Calibri" w:hAnsi="Calibri" w:cs="Calibri"/>
                <w:color w:val="000000"/>
              </w:rPr>
              <w:t>ken.okada@aist.go.jp</w:t>
            </w:r>
          </w:p>
        </w:tc>
      </w:tr>
      <w:tr w:rsidR="00C241C4" w14:paraId="537D9415"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1B30BEA" w14:textId="77777777" w:rsidR="00C241C4" w:rsidRDefault="00C241C4">
            <w:pPr>
              <w:suppressAutoHyphens w:val="0"/>
              <w:spacing w:line="240" w:lineRule="auto"/>
              <w:rPr>
                <w:rFonts w:eastAsia="MS Mincho"/>
                <w:lang w:eastAsia="ja-JP"/>
              </w:rPr>
            </w:pPr>
            <w:r>
              <w:rPr>
                <w:rFonts w:ascii="Calibri" w:hAnsi="Calibri" w:cs="Calibri"/>
                <w:color w:val="000000"/>
              </w:rPr>
              <w:t>Jun-Hwa Ban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6CDCD623" w14:textId="77777777" w:rsidR="00C241C4" w:rsidRDefault="00C241C4">
            <w:pPr>
              <w:suppressAutoHyphens w:val="0"/>
              <w:spacing w:line="240" w:lineRule="auto"/>
            </w:pPr>
            <w:r>
              <w:rPr>
                <w:rFonts w:ascii="Calibri" w:hAnsi="Calibri" w:cs="Calibri"/>
              </w:rPr>
              <w:t>Korea, Rep. of</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6F0FFD84" w14:textId="77777777" w:rsidR="00C241C4" w:rsidRDefault="00C241C4">
            <w:pPr>
              <w:suppressAutoHyphens w:val="0"/>
              <w:spacing w:line="240" w:lineRule="auto"/>
            </w:pPr>
            <w:r>
              <w:rPr>
                <w:rFonts w:ascii="Calibri" w:hAnsi="Calibri" w:cs="Calibri"/>
                <w:color w:val="000000"/>
              </w:rPr>
              <w:t>warm2240@gmail.com</w:t>
            </w:r>
          </w:p>
        </w:tc>
      </w:tr>
      <w:tr w:rsidR="00C241C4" w14:paraId="4CBEED63"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3A6CF76" w14:textId="77777777" w:rsidR="00C241C4" w:rsidRDefault="00C241C4">
            <w:pPr>
              <w:suppressAutoHyphens w:val="0"/>
              <w:spacing w:line="240" w:lineRule="auto"/>
              <w:rPr>
                <w:rFonts w:eastAsia="MS Mincho"/>
                <w:lang w:eastAsia="ja-JP"/>
              </w:rPr>
            </w:pPr>
            <w:r>
              <w:rPr>
                <w:rFonts w:ascii="Calibri" w:hAnsi="Calibri" w:cs="Calibri"/>
                <w:color w:val="000000"/>
              </w:rPr>
              <w:t>Ed de Jong</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1718F94" w14:textId="77777777" w:rsidR="00C241C4" w:rsidRDefault="00C241C4">
            <w:pPr>
              <w:suppressAutoHyphens w:val="0"/>
              <w:spacing w:line="240" w:lineRule="auto"/>
            </w:pPr>
            <w:r>
              <w:rPr>
                <w:rFonts w:ascii="Calibri" w:hAnsi="Calibri" w:cs="Calibri"/>
                <w:color w:val="000000"/>
              </w:rPr>
              <w:t>Netherlands</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7C9DCC98" w14:textId="77777777" w:rsidR="00C241C4" w:rsidRDefault="00C241C4">
            <w:pPr>
              <w:suppressAutoHyphens w:val="0"/>
              <w:spacing w:line="240" w:lineRule="auto"/>
            </w:pPr>
            <w:r>
              <w:rPr>
                <w:rFonts w:ascii="Calibri" w:hAnsi="Calibri" w:cs="Calibri"/>
                <w:color w:val="000000"/>
              </w:rPr>
              <w:t>ed.dejong@tno.nl</w:t>
            </w:r>
          </w:p>
        </w:tc>
      </w:tr>
      <w:tr w:rsidR="00C241C4" w14:paraId="46A4912C"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53A5D23E" w14:textId="77777777" w:rsidR="00C241C4" w:rsidRDefault="00C241C4">
            <w:pPr>
              <w:suppressAutoHyphens w:val="0"/>
              <w:spacing w:line="240" w:lineRule="auto"/>
            </w:pPr>
            <w:r>
              <w:rPr>
                <w:rFonts w:ascii="Calibri" w:hAnsi="Calibri" w:cs="Calibri"/>
                <w:color w:val="000000"/>
              </w:rPr>
              <w:t>Soedesh Mahesh</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1B7F8837" w14:textId="77777777" w:rsidR="00C241C4" w:rsidRDefault="00C241C4">
            <w:pPr>
              <w:suppressAutoHyphens w:val="0"/>
              <w:spacing w:line="240" w:lineRule="auto"/>
            </w:pPr>
            <w:r>
              <w:rPr>
                <w:rFonts w:ascii="Calibri" w:hAnsi="Calibri" w:cs="Calibri"/>
              </w:rPr>
              <w:t>Netherlands</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6996AD8" w14:textId="77777777" w:rsidR="00C241C4" w:rsidRDefault="00C241C4">
            <w:pPr>
              <w:suppressAutoHyphens w:val="0"/>
              <w:spacing w:line="240" w:lineRule="auto"/>
            </w:pPr>
            <w:r>
              <w:rPr>
                <w:rFonts w:ascii="Calibri" w:hAnsi="Calibri" w:cs="Calibri"/>
                <w:color w:val="000000"/>
              </w:rPr>
              <w:t>soedesh.mahesh@rivm.nl</w:t>
            </w:r>
          </w:p>
        </w:tc>
      </w:tr>
      <w:tr w:rsidR="00C241C4" w14:paraId="363854B1"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262215F" w14:textId="77777777" w:rsidR="00C241C4" w:rsidRDefault="00C241C4">
            <w:pPr>
              <w:suppressAutoHyphens w:val="0"/>
              <w:spacing w:line="240" w:lineRule="auto"/>
            </w:pPr>
            <w:r>
              <w:rPr>
                <w:rFonts w:ascii="Calibri" w:hAnsi="Calibri" w:cs="Calibri"/>
                <w:color w:val="000000"/>
              </w:rPr>
              <w:t>Peter Dawson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9A711ED" w14:textId="77777777" w:rsidR="00C241C4" w:rsidRDefault="00C241C4">
            <w:pPr>
              <w:suppressAutoHyphens w:val="0"/>
              <w:spacing w:line="240" w:lineRule="auto"/>
            </w:pPr>
            <w:r>
              <w:rPr>
                <w:rFonts w:ascii="Calibri" w:hAnsi="Calibri" w:cs="Calibri"/>
                <w:color w:val="000000"/>
              </w:rPr>
              <w:t>New Zealand</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196797D4" w14:textId="77777777" w:rsidR="00C241C4" w:rsidRDefault="00C241C4">
            <w:pPr>
              <w:suppressAutoHyphens w:val="0"/>
              <w:spacing w:line="240" w:lineRule="auto"/>
            </w:pPr>
            <w:r>
              <w:rPr>
                <w:rFonts w:ascii="Calibri" w:hAnsi="Calibri" w:cs="Calibri"/>
                <w:color w:val="000000"/>
              </w:rPr>
              <w:t>peter.dawson@epa.govt.nz</w:t>
            </w:r>
          </w:p>
        </w:tc>
      </w:tr>
      <w:tr w:rsidR="00C241C4" w14:paraId="76B5A077"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A15D861" w14:textId="77777777" w:rsidR="00C241C4" w:rsidRDefault="00C241C4">
            <w:pPr>
              <w:suppressAutoHyphens w:val="0"/>
              <w:spacing w:line="240" w:lineRule="auto"/>
            </w:pPr>
            <w:r>
              <w:rPr>
                <w:rFonts w:ascii="Calibri" w:hAnsi="Calibri" w:cs="Calibri"/>
                <w:color w:val="000000"/>
              </w:rPr>
              <w:t xml:space="preserve">Patrycja </w:t>
            </w:r>
            <w:proofErr w:type="spellStart"/>
            <w:r>
              <w:rPr>
                <w:rFonts w:ascii="Calibri" w:hAnsi="Calibri" w:cs="Calibri"/>
                <w:color w:val="000000"/>
              </w:rPr>
              <w:t>Ruskowska</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31ABF0E" w14:textId="77777777" w:rsidR="00C241C4" w:rsidRDefault="00C241C4">
            <w:pPr>
              <w:suppressAutoHyphens w:val="0"/>
              <w:spacing w:line="240" w:lineRule="auto"/>
            </w:pPr>
            <w:r>
              <w:rPr>
                <w:rFonts w:ascii="Calibri" w:hAnsi="Calibri" w:cs="Calibri"/>
              </w:rPr>
              <w:t>Poland</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420504E" w14:textId="77777777" w:rsidR="00C241C4" w:rsidRDefault="00C241C4">
            <w:pPr>
              <w:suppressAutoHyphens w:val="0"/>
              <w:spacing w:line="240" w:lineRule="auto"/>
            </w:pPr>
            <w:r>
              <w:rPr>
                <w:rFonts w:ascii="Calibri" w:hAnsi="Calibri" w:cs="Calibri"/>
                <w:color w:val="000000"/>
              </w:rPr>
              <w:t>Patrycja.Ruskowska@mr.gov.pl</w:t>
            </w:r>
          </w:p>
        </w:tc>
      </w:tr>
      <w:tr w:rsidR="00C241C4" w14:paraId="3912C737"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0D9F728" w14:textId="77777777" w:rsidR="00C241C4" w:rsidRDefault="00C241C4">
            <w:pPr>
              <w:suppressAutoHyphens w:val="0"/>
              <w:spacing w:line="240" w:lineRule="auto"/>
            </w:pPr>
            <w:r>
              <w:rPr>
                <w:rFonts w:ascii="Calibri" w:hAnsi="Calibri" w:cs="Calibri"/>
                <w:color w:val="000000"/>
              </w:rPr>
              <w:t xml:space="preserve">Joanna </w:t>
            </w:r>
            <w:proofErr w:type="spellStart"/>
            <w:r>
              <w:rPr>
                <w:rFonts w:ascii="Calibri" w:hAnsi="Calibri" w:cs="Calibri"/>
                <w:color w:val="000000"/>
              </w:rPr>
              <w:t>Szczygielska</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34EB922C" w14:textId="77777777" w:rsidR="00C241C4" w:rsidRDefault="00C241C4">
            <w:pPr>
              <w:suppressAutoHyphens w:val="0"/>
              <w:spacing w:line="240" w:lineRule="auto"/>
            </w:pPr>
            <w:r>
              <w:rPr>
                <w:rFonts w:ascii="Calibri" w:hAnsi="Calibri" w:cs="Calibri"/>
                <w:color w:val="000000"/>
              </w:rPr>
              <w:t>Poland</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C537741" w14:textId="77777777" w:rsidR="00C241C4" w:rsidRDefault="00C241C4">
            <w:pPr>
              <w:suppressAutoHyphens w:val="0"/>
              <w:spacing w:line="240" w:lineRule="auto"/>
            </w:pPr>
            <w:r>
              <w:rPr>
                <w:rFonts w:ascii="Calibri" w:hAnsi="Calibri" w:cs="Calibri"/>
                <w:color w:val="000000"/>
              </w:rPr>
              <w:t>joanna.szczygielska@ipo.lukasiewicz.gov.pl</w:t>
            </w:r>
          </w:p>
        </w:tc>
      </w:tr>
      <w:tr w:rsidR="00C241C4" w14:paraId="51A09A0D"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0715137" w14:textId="77777777" w:rsidR="00C241C4" w:rsidRDefault="00C241C4">
            <w:pPr>
              <w:suppressAutoHyphens w:val="0"/>
              <w:spacing w:line="240" w:lineRule="auto"/>
              <w:rPr>
                <w:rFonts w:eastAsia="MS Mincho"/>
                <w:lang w:eastAsia="ja-JP"/>
              </w:rPr>
            </w:pPr>
            <w:r>
              <w:rPr>
                <w:rFonts w:ascii="Calibri" w:hAnsi="Calibri" w:cs="Calibri"/>
                <w:color w:val="000000"/>
              </w:rPr>
              <w:t xml:space="preserve">Augustin </w:t>
            </w:r>
            <w:proofErr w:type="spellStart"/>
            <w:r>
              <w:rPr>
                <w:rFonts w:ascii="Calibri" w:hAnsi="Calibri" w:cs="Calibri"/>
                <w:color w:val="000000"/>
              </w:rPr>
              <w:t>Chousa</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3645625A" w14:textId="77777777" w:rsidR="00C241C4" w:rsidRDefault="00C241C4">
            <w:pPr>
              <w:suppressAutoHyphens w:val="0"/>
              <w:spacing w:line="240" w:lineRule="auto"/>
            </w:pPr>
            <w:r>
              <w:rPr>
                <w:rFonts w:ascii="Calibri" w:hAnsi="Calibri" w:cs="Calibri"/>
              </w:rPr>
              <w:t>Spain</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1EDAF974" w14:textId="77777777" w:rsidR="00C241C4" w:rsidRDefault="00C241C4">
            <w:pPr>
              <w:suppressAutoHyphens w:val="0"/>
              <w:spacing w:line="240" w:lineRule="auto"/>
            </w:pPr>
            <w:r>
              <w:rPr>
                <w:rFonts w:ascii="Calibri" w:hAnsi="Calibri" w:cs="Calibri"/>
                <w:color w:val="000000"/>
              </w:rPr>
              <w:t>achousa@miteco.es</w:t>
            </w:r>
          </w:p>
        </w:tc>
      </w:tr>
      <w:tr w:rsidR="00C241C4" w14:paraId="245859B5"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942C66F" w14:textId="77777777" w:rsidR="00C241C4" w:rsidRDefault="00C241C4">
            <w:pPr>
              <w:suppressAutoHyphens w:val="0"/>
              <w:spacing w:line="240" w:lineRule="auto"/>
            </w:pPr>
            <w:r>
              <w:rPr>
                <w:rFonts w:ascii="Calibri" w:hAnsi="Calibri" w:cs="Calibri"/>
                <w:color w:val="000000"/>
              </w:rPr>
              <w:t xml:space="preserve">Ramón González </w:t>
            </w:r>
            <w:proofErr w:type="spellStart"/>
            <w:r>
              <w:rPr>
                <w:rFonts w:ascii="Calibri" w:hAnsi="Calibri" w:cs="Calibri"/>
                <w:color w:val="000000"/>
              </w:rPr>
              <w:t>Eguren</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31C33E68" w14:textId="77777777" w:rsidR="00C241C4" w:rsidRDefault="00C241C4">
            <w:pPr>
              <w:suppressAutoHyphens w:val="0"/>
              <w:spacing w:line="240" w:lineRule="auto"/>
            </w:pPr>
            <w:r>
              <w:rPr>
                <w:rFonts w:ascii="Calibri" w:hAnsi="Calibri" w:cs="Calibri"/>
                <w:color w:val="000000"/>
              </w:rPr>
              <w:t>Spain</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2A3DEA75" w14:textId="77777777" w:rsidR="00C241C4" w:rsidRDefault="00C241C4">
            <w:pPr>
              <w:suppressAutoHyphens w:val="0"/>
              <w:spacing w:line="240" w:lineRule="auto"/>
            </w:pPr>
            <w:r>
              <w:rPr>
                <w:rFonts w:ascii="Calibri" w:hAnsi="Calibri" w:cs="Calibri"/>
                <w:color w:val="000000"/>
              </w:rPr>
              <w:t>reguren@maxamcorp.com</w:t>
            </w:r>
          </w:p>
        </w:tc>
      </w:tr>
      <w:tr w:rsidR="00C241C4" w14:paraId="26A90C04"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C762801" w14:textId="77777777" w:rsidR="00C241C4" w:rsidRDefault="00C241C4">
            <w:pPr>
              <w:suppressAutoHyphens w:val="0"/>
              <w:spacing w:line="240" w:lineRule="auto"/>
            </w:pPr>
            <w:r>
              <w:rPr>
                <w:rFonts w:ascii="Calibri" w:hAnsi="Calibri" w:cs="Calibri"/>
                <w:color w:val="000000"/>
              </w:rPr>
              <w:t>Lorens van Dam</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BE9917F" w14:textId="77777777" w:rsidR="00C241C4" w:rsidRDefault="00C241C4">
            <w:pPr>
              <w:suppressAutoHyphens w:val="0"/>
              <w:spacing w:line="240" w:lineRule="auto"/>
            </w:pPr>
            <w:r>
              <w:rPr>
                <w:rFonts w:ascii="Calibri" w:hAnsi="Calibri" w:cs="Calibri"/>
                <w:color w:val="000000"/>
              </w:rPr>
              <w:t>Sweden</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1A7F749B" w14:textId="77777777" w:rsidR="00C241C4" w:rsidRDefault="00C241C4">
            <w:pPr>
              <w:suppressAutoHyphens w:val="0"/>
              <w:spacing w:line="240" w:lineRule="auto"/>
            </w:pPr>
            <w:r>
              <w:rPr>
                <w:rFonts w:ascii="Calibri" w:hAnsi="Calibri" w:cs="Calibri"/>
                <w:color w:val="000000"/>
              </w:rPr>
              <w:t>lorens.van.dam@msb.se</w:t>
            </w:r>
          </w:p>
        </w:tc>
      </w:tr>
      <w:tr w:rsidR="00C241C4" w14:paraId="2DC2EB62"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E3EC7A6" w14:textId="77777777" w:rsidR="00C241C4" w:rsidRDefault="00C241C4">
            <w:pPr>
              <w:suppressAutoHyphens w:val="0"/>
              <w:spacing w:line="240" w:lineRule="auto"/>
            </w:pPr>
            <w:proofErr w:type="spellStart"/>
            <w:r>
              <w:rPr>
                <w:rFonts w:ascii="Calibri" w:hAnsi="Calibri" w:cs="Calibri"/>
                <w:color w:val="000000"/>
              </w:rPr>
              <w:t>Shulin</w:t>
            </w:r>
            <w:proofErr w:type="spellEnd"/>
            <w:r>
              <w:rPr>
                <w:rFonts w:ascii="Calibri" w:hAnsi="Calibri" w:cs="Calibri"/>
                <w:color w:val="000000"/>
              </w:rPr>
              <w:t xml:space="preserve"> </w:t>
            </w:r>
            <w:proofErr w:type="spellStart"/>
            <w:r>
              <w:rPr>
                <w:rFonts w:ascii="Calibri" w:hAnsi="Calibri" w:cs="Calibri"/>
                <w:color w:val="000000"/>
              </w:rPr>
              <w:t>Nie</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97E0F1D" w14:textId="77777777" w:rsidR="00C241C4" w:rsidRDefault="00C241C4">
            <w:pPr>
              <w:suppressAutoHyphens w:val="0"/>
              <w:spacing w:line="240" w:lineRule="auto"/>
            </w:pPr>
            <w:r>
              <w:rPr>
                <w:rFonts w:ascii="Calibri" w:hAnsi="Calibri" w:cs="Calibri"/>
                <w:color w:val="000000"/>
              </w:rPr>
              <w:t>Sweden</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4167CEA" w14:textId="77777777" w:rsidR="00C241C4" w:rsidRDefault="00C241C4">
            <w:pPr>
              <w:suppressAutoHyphens w:val="0"/>
              <w:spacing w:line="240" w:lineRule="auto"/>
            </w:pPr>
            <w:r>
              <w:rPr>
                <w:rFonts w:ascii="Calibri" w:hAnsi="Calibri" w:cs="Calibri"/>
                <w:color w:val="000000"/>
              </w:rPr>
              <w:t>shulin.nie@msb.se</w:t>
            </w:r>
          </w:p>
        </w:tc>
      </w:tr>
      <w:tr w:rsidR="00C241C4" w14:paraId="17506D68"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9CCE84B" w14:textId="77777777" w:rsidR="00C241C4" w:rsidRDefault="00C241C4">
            <w:pPr>
              <w:suppressAutoHyphens w:val="0"/>
              <w:spacing w:line="240" w:lineRule="auto"/>
              <w:rPr>
                <w:rFonts w:eastAsia="MS Mincho"/>
                <w:lang w:eastAsia="ja-JP"/>
              </w:rPr>
            </w:pPr>
            <w:r>
              <w:rPr>
                <w:rFonts w:ascii="Calibri" w:hAnsi="Calibri" w:cs="Calibri"/>
                <w:color w:val="000000"/>
              </w:rPr>
              <w:t>Nathan Flood</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34F848FB" w14:textId="77777777" w:rsidR="00C241C4" w:rsidRDefault="00C241C4">
            <w:pPr>
              <w:suppressAutoHyphens w:val="0"/>
              <w:spacing w:line="240" w:lineRule="auto"/>
            </w:pPr>
            <w:r>
              <w:rPr>
                <w:rFonts w:ascii="Calibri" w:hAnsi="Calibri" w:cs="Calibri"/>
                <w:color w:val="000000"/>
              </w:rPr>
              <w:t>UK</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3414A6D1" w14:textId="77777777" w:rsidR="00C241C4" w:rsidRDefault="00C241C4">
            <w:pPr>
              <w:suppressAutoHyphens w:val="0"/>
              <w:spacing w:line="240" w:lineRule="auto"/>
            </w:pPr>
            <w:r>
              <w:rPr>
                <w:rFonts w:ascii="Calibri" w:hAnsi="Calibri" w:cs="Calibri"/>
                <w:color w:val="000000"/>
              </w:rPr>
              <w:t>nathan.flood@hse.gov.uk</w:t>
            </w:r>
          </w:p>
        </w:tc>
      </w:tr>
      <w:tr w:rsidR="00C241C4" w14:paraId="3EDAC3D4"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0381DB38" w14:textId="77777777" w:rsidR="00C241C4" w:rsidRDefault="00C241C4">
            <w:pPr>
              <w:suppressAutoHyphens w:val="0"/>
              <w:spacing w:line="240" w:lineRule="auto"/>
            </w:pPr>
            <w:r>
              <w:rPr>
                <w:rFonts w:ascii="Calibri" w:hAnsi="Calibri" w:cs="Calibri"/>
                <w:color w:val="000000"/>
              </w:rPr>
              <w:t>Keith White</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7C39BCF" w14:textId="77777777" w:rsidR="00C241C4" w:rsidRDefault="00C241C4">
            <w:pPr>
              <w:suppressAutoHyphens w:val="0"/>
              <w:spacing w:line="240" w:lineRule="auto"/>
            </w:pPr>
            <w:r>
              <w:rPr>
                <w:rFonts w:ascii="Calibri" w:hAnsi="Calibri" w:cs="Calibri"/>
                <w:color w:val="000000"/>
              </w:rPr>
              <w:t>UK</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163D0AFA" w14:textId="77777777" w:rsidR="00C241C4" w:rsidRDefault="00C241C4">
            <w:r>
              <w:rPr>
                <w:rFonts w:ascii="Calibri" w:hAnsi="Calibri" w:cs="Calibri"/>
                <w:color w:val="000000"/>
              </w:rPr>
              <w:t>keith.white@vca.gov.uk</w:t>
            </w:r>
          </w:p>
        </w:tc>
      </w:tr>
      <w:tr w:rsidR="00C241C4" w14:paraId="5BA89C1F"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9977FE5" w14:textId="77777777" w:rsidR="00C241C4" w:rsidRDefault="00C241C4">
            <w:pPr>
              <w:suppressAutoHyphens w:val="0"/>
              <w:spacing w:line="240" w:lineRule="auto"/>
            </w:pPr>
            <w:r>
              <w:rPr>
                <w:rFonts w:ascii="Calibri" w:hAnsi="Calibri" w:cs="Calibri"/>
                <w:color w:val="000000"/>
              </w:rPr>
              <w:t>Andrea Dunham</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41252E6" w14:textId="77777777" w:rsidR="00C241C4" w:rsidRDefault="00C241C4">
            <w:pPr>
              <w:suppressAutoHyphens w:val="0"/>
              <w:spacing w:line="240" w:lineRule="auto"/>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7E03322B" w14:textId="77777777" w:rsidR="00C241C4" w:rsidRDefault="00C241C4">
            <w:pPr>
              <w:suppressAutoHyphens w:val="0"/>
              <w:spacing w:line="240" w:lineRule="auto"/>
            </w:pPr>
            <w:r>
              <w:rPr>
                <w:rFonts w:ascii="Calibri" w:hAnsi="Calibri" w:cs="Calibri"/>
                <w:color w:val="000000"/>
              </w:rPr>
              <w:t>andrea.dunham@dot.gov</w:t>
            </w:r>
          </w:p>
        </w:tc>
      </w:tr>
      <w:tr w:rsidR="00C241C4" w14:paraId="1562D862"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E7A3EE1" w14:textId="77777777" w:rsidR="00C241C4" w:rsidRDefault="00C241C4">
            <w:pPr>
              <w:suppressAutoHyphens w:val="0"/>
              <w:spacing w:line="240" w:lineRule="auto"/>
              <w:rPr>
                <w:rFonts w:eastAsia="MS Mincho"/>
                <w:lang w:eastAsia="ja-JP"/>
              </w:rPr>
            </w:pPr>
            <w:r>
              <w:rPr>
                <w:rFonts w:ascii="Calibri" w:hAnsi="Calibri" w:cs="Calibri"/>
                <w:color w:val="000000"/>
              </w:rPr>
              <w:t>Michael Klem</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62CB33F9" w14:textId="77777777" w:rsidR="00C241C4" w:rsidRDefault="00C241C4">
            <w:pPr>
              <w:suppressAutoHyphens w:val="0"/>
              <w:spacing w:line="240" w:lineRule="auto"/>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2895C993" w14:textId="77777777" w:rsidR="00C241C4" w:rsidRDefault="00C241C4">
            <w:pPr>
              <w:suppressAutoHyphens w:val="0"/>
              <w:spacing w:line="240" w:lineRule="auto"/>
            </w:pPr>
            <w:r>
              <w:rPr>
                <w:rFonts w:ascii="Calibri" w:hAnsi="Calibri" w:cs="Calibri"/>
                <w:color w:val="000000"/>
              </w:rPr>
              <w:t>michael.klem@dot.gov</w:t>
            </w:r>
          </w:p>
        </w:tc>
      </w:tr>
      <w:tr w:rsidR="00C241C4" w14:paraId="4D399620"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0C13E220" w14:textId="77777777" w:rsidR="00C241C4" w:rsidRDefault="00C241C4">
            <w:pPr>
              <w:suppressAutoHyphens w:val="0"/>
              <w:spacing w:line="240" w:lineRule="auto"/>
            </w:pPr>
            <w:r>
              <w:rPr>
                <w:rFonts w:ascii="Calibri" w:hAnsi="Calibri" w:cs="Calibri"/>
                <w:color w:val="000000"/>
              </w:rPr>
              <w:t xml:space="preserve">Brent </w:t>
            </w:r>
            <w:proofErr w:type="spellStart"/>
            <w:r>
              <w:rPr>
                <w:rFonts w:ascii="Calibri" w:hAnsi="Calibri" w:cs="Calibri"/>
                <w:color w:val="000000"/>
              </w:rPr>
              <w:t>Knoblett</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1D693C7" w14:textId="77777777" w:rsidR="00C241C4" w:rsidRDefault="00C241C4">
            <w:pPr>
              <w:suppressAutoHyphens w:val="0"/>
              <w:spacing w:line="240" w:lineRule="auto"/>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FF0354C" w14:textId="77777777" w:rsidR="00C241C4" w:rsidRDefault="00C241C4">
            <w:pPr>
              <w:suppressAutoHyphens w:val="0"/>
              <w:spacing w:line="240" w:lineRule="auto"/>
            </w:pPr>
            <w:r>
              <w:rPr>
                <w:rFonts w:ascii="Calibri" w:hAnsi="Calibri" w:cs="Calibri"/>
                <w:color w:val="000000"/>
              </w:rPr>
              <w:t>brent.e.knoblett.civ@mail.mil</w:t>
            </w:r>
          </w:p>
        </w:tc>
      </w:tr>
      <w:tr w:rsidR="00C241C4" w14:paraId="4C8EA830"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5412A95" w14:textId="77777777" w:rsidR="00C241C4" w:rsidRDefault="00C241C4">
            <w:pPr>
              <w:suppressAutoHyphens w:val="0"/>
              <w:spacing w:line="240" w:lineRule="auto"/>
              <w:rPr>
                <w:rFonts w:eastAsia="MS Mincho"/>
                <w:lang w:eastAsia="ja-JP"/>
              </w:rPr>
            </w:pPr>
            <w:r>
              <w:rPr>
                <w:rFonts w:ascii="Calibri" w:hAnsi="Calibri" w:cs="Calibri"/>
                <w:color w:val="000000"/>
              </w:rPr>
              <w:t>Jennifer Lawless</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00B719E" w14:textId="77777777" w:rsidR="00C241C4" w:rsidRDefault="00C241C4">
            <w:pPr>
              <w:suppressAutoHyphens w:val="0"/>
              <w:spacing w:line="240" w:lineRule="auto"/>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72128BEB" w14:textId="77777777" w:rsidR="00C241C4" w:rsidRDefault="00C241C4">
            <w:pPr>
              <w:suppressAutoHyphens w:val="0"/>
              <w:spacing w:line="240" w:lineRule="auto"/>
            </w:pPr>
            <w:r>
              <w:rPr>
                <w:rFonts w:ascii="Calibri" w:hAnsi="Calibri" w:cs="Calibri"/>
                <w:color w:val="000000"/>
              </w:rPr>
              <w:t>lawless.jennifer@dol.gov</w:t>
            </w:r>
          </w:p>
        </w:tc>
      </w:tr>
      <w:tr w:rsidR="00C241C4" w14:paraId="7AD74B10"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7D70FFC" w14:textId="77777777" w:rsidR="00C241C4" w:rsidRDefault="00C241C4">
            <w:pPr>
              <w:suppressAutoHyphens w:val="0"/>
              <w:spacing w:line="240" w:lineRule="auto"/>
            </w:pPr>
            <w:r>
              <w:rPr>
                <w:rFonts w:ascii="Calibri" w:hAnsi="Calibri" w:cs="Calibri"/>
                <w:color w:val="000000"/>
              </w:rPr>
              <w:t xml:space="preserve">Joseph </w:t>
            </w:r>
            <w:proofErr w:type="spellStart"/>
            <w:r>
              <w:rPr>
                <w:rFonts w:ascii="Calibri" w:hAnsi="Calibri" w:cs="Calibri"/>
                <w:color w:val="000000"/>
              </w:rPr>
              <w:t>Nicklous</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308CE228" w14:textId="77777777" w:rsidR="00C241C4" w:rsidRDefault="00C241C4">
            <w:pPr>
              <w:suppressAutoHyphens w:val="0"/>
              <w:spacing w:line="240" w:lineRule="auto"/>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27CCE76F" w14:textId="77777777" w:rsidR="00C241C4" w:rsidRDefault="00C241C4">
            <w:pPr>
              <w:suppressAutoHyphens w:val="0"/>
              <w:spacing w:line="240" w:lineRule="auto"/>
            </w:pPr>
            <w:r>
              <w:rPr>
                <w:rFonts w:ascii="Calibri" w:hAnsi="Calibri" w:cs="Calibri"/>
                <w:color w:val="000000"/>
              </w:rPr>
              <w:t>joseph.nicklous@dot.gov</w:t>
            </w:r>
          </w:p>
        </w:tc>
      </w:tr>
      <w:tr w:rsidR="00C241C4" w14:paraId="379C5C81"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067986E" w14:textId="77777777" w:rsidR="00C241C4" w:rsidRDefault="00C241C4">
            <w:pPr>
              <w:suppressAutoHyphens w:val="0"/>
              <w:spacing w:line="240" w:lineRule="auto"/>
              <w:rPr>
                <w:color w:val="000000"/>
              </w:rPr>
            </w:pPr>
            <w:r>
              <w:rPr>
                <w:rFonts w:ascii="Calibri" w:hAnsi="Calibri" w:cs="Calibri"/>
                <w:color w:val="000000"/>
              </w:rPr>
              <w:t>Duane Pfund</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114F71EE" w14:textId="77777777" w:rsidR="00C241C4" w:rsidRDefault="00C241C4">
            <w:pPr>
              <w:suppressAutoHyphens w:val="0"/>
              <w:spacing w:line="240" w:lineRule="auto"/>
              <w:rPr>
                <w:color w:val="000000"/>
              </w:rPr>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2FD27341" w14:textId="77777777" w:rsidR="00C241C4" w:rsidRDefault="00C241C4">
            <w:pPr>
              <w:suppressAutoHyphens w:val="0"/>
              <w:spacing w:line="240" w:lineRule="auto"/>
              <w:rPr>
                <w:color w:val="000000"/>
              </w:rPr>
            </w:pPr>
            <w:r>
              <w:rPr>
                <w:rFonts w:ascii="Calibri" w:hAnsi="Calibri" w:cs="Calibri"/>
                <w:color w:val="000000"/>
              </w:rPr>
              <w:t>duane.pfund@dot.gov</w:t>
            </w:r>
          </w:p>
        </w:tc>
      </w:tr>
      <w:tr w:rsidR="00C241C4" w14:paraId="2D2837F5"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04959D2E" w14:textId="77777777" w:rsidR="00C241C4" w:rsidRDefault="00C241C4">
            <w:pPr>
              <w:suppressAutoHyphens w:val="0"/>
              <w:spacing w:line="240" w:lineRule="auto"/>
              <w:rPr>
                <w:color w:val="000000"/>
              </w:rPr>
            </w:pPr>
            <w:r>
              <w:rPr>
                <w:rFonts w:ascii="Calibri" w:hAnsi="Calibri" w:cs="Calibri"/>
                <w:color w:val="000000"/>
              </w:rPr>
              <w:t xml:space="preserve">Keith </w:t>
            </w:r>
            <w:proofErr w:type="spellStart"/>
            <w:r>
              <w:rPr>
                <w:rFonts w:ascii="Calibri" w:hAnsi="Calibri" w:cs="Calibri"/>
                <w:color w:val="000000"/>
              </w:rPr>
              <w:t>Ranck</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ABB98CB" w14:textId="77777777" w:rsidR="00C241C4" w:rsidRDefault="00C241C4">
            <w:pPr>
              <w:suppressAutoHyphens w:val="0"/>
              <w:spacing w:line="240" w:lineRule="auto"/>
              <w:rPr>
                <w:color w:val="000000"/>
              </w:rPr>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9E18E99" w14:textId="77777777" w:rsidR="00C241C4" w:rsidRDefault="00C241C4">
            <w:pPr>
              <w:suppressAutoHyphens w:val="0"/>
              <w:spacing w:line="240" w:lineRule="auto"/>
              <w:rPr>
                <w:color w:val="000000"/>
              </w:rPr>
            </w:pPr>
            <w:r>
              <w:rPr>
                <w:rFonts w:ascii="Calibri" w:hAnsi="Calibri" w:cs="Calibri"/>
                <w:color w:val="000000"/>
              </w:rPr>
              <w:t>keith.ranck@faa.gov</w:t>
            </w:r>
          </w:p>
        </w:tc>
      </w:tr>
      <w:tr w:rsidR="00C241C4" w14:paraId="4D3D433E"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AF78A91" w14:textId="77777777" w:rsidR="00C241C4" w:rsidRDefault="00C241C4">
            <w:pPr>
              <w:suppressAutoHyphens w:val="0"/>
              <w:spacing w:line="240" w:lineRule="auto"/>
              <w:rPr>
                <w:color w:val="000000"/>
              </w:rPr>
            </w:pPr>
            <w:r>
              <w:rPr>
                <w:rFonts w:ascii="Calibri" w:hAnsi="Calibri" w:cs="Calibri"/>
                <w:color w:val="000000"/>
              </w:rPr>
              <w:t>Brian Vos</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58BD158" w14:textId="77777777" w:rsidR="00C241C4" w:rsidRDefault="00C241C4">
            <w:pPr>
              <w:suppressAutoHyphens w:val="0"/>
              <w:spacing w:line="240" w:lineRule="auto"/>
              <w:rPr>
                <w:color w:val="000000"/>
              </w:rPr>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FEAC966" w14:textId="77777777" w:rsidR="00C241C4" w:rsidRDefault="00C241C4">
            <w:pPr>
              <w:suppressAutoHyphens w:val="0"/>
              <w:spacing w:line="240" w:lineRule="auto"/>
              <w:rPr>
                <w:color w:val="000000"/>
              </w:rPr>
            </w:pPr>
            <w:r>
              <w:rPr>
                <w:rFonts w:ascii="Calibri" w:hAnsi="Calibri" w:cs="Calibri"/>
                <w:color w:val="000000"/>
              </w:rPr>
              <w:t>brian.vos@dot.gov</w:t>
            </w:r>
          </w:p>
        </w:tc>
      </w:tr>
      <w:tr w:rsidR="00C241C4" w14:paraId="24C21557"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42497EA9" w14:textId="77777777" w:rsidR="00C241C4" w:rsidRDefault="00C241C4">
            <w:pPr>
              <w:suppressAutoHyphens w:val="0"/>
              <w:spacing w:line="240" w:lineRule="auto"/>
              <w:rPr>
                <w:color w:val="000000"/>
              </w:rPr>
            </w:pPr>
            <w:r>
              <w:rPr>
                <w:rFonts w:ascii="Calibri" w:hAnsi="Calibri" w:cs="Calibri"/>
                <w:color w:val="000000"/>
              </w:rPr>
              <w:t>Steven Webb</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188CEAC5" w14:textId="77777777" w:rsidR="00C241C4" w:rsidRDefault="00C241C4">
            <w:pPr>
              <w:suppressAutoHyphens w:val="0"/>
              <w:spacing w:line="240" w:lineRule="auto"/>
              <w:rPr>
                <w:color w:val="000000"/>
              </w:rPr>
            </w:pPr>
            <w:r>
              <w:rPr>
                <w:rFonts w:ascii="Calibri" w:hAnsi="Calibri" w:cs="Calibri"/>
                <w:color w:val="000000"/>
              </w:rPr>
              <w:t>USA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71174514" w14:textId="77777777" w:rsidR="00C241C4" w:rsidRDefault="00C241C4">
            <w:pPr>
              <w:suppressAutoHyphens w:val="0"/>
              <w:spacing w:line="240" w:lineRule="auto"/>
              <w:rPr>
                <w:color w:val="000000"/>
              </w:rPr>
            </w:pPr>
            <w:r>
              <w:rPr>
                <w:rFonts w:ascii="Calibri" w:hAnsi="Calibri" w:cs="Calibri"/>
                <w:color w:val="000000"/>
              </w:rPr>
              <w:t>steven.webb@dot.gov</w:t>
            </w:r>
          </w:p>
        </w:tc>
      </w:tr>
      <w:tr w:rsidR="00C241C4" w14:paraId="713AB7A6"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44B974DC" w14:textId="77777777" w:rsidR="00C241C4" w:rsidRDefault="00C241C4">
            <w:pPr>
              <w:suppressAutoHyphens w:val="0"/>
              <w:spacing w:line="240" w:lineRule="auto"/>
              <w:rPr>
                <w:rFonts w:eastAsia="MS Mincho"/>
                <w:lang w:eastAsia="ja-JP"/>
              </w:rPr>
            </w:pPr>
            <w:r>
              <w:rPr>
                <w:rFonts w:ascii="Calibri" w:hAnsi="Calibri" w:cs="Calibri"/>
                <w:color w:val="000000"/>
              </w:rPr>
              <w:t xml:space="preserve">Richard </w:t>
            </w:r>
            <w:proofErr w:type="spellStart"/>
            <w:r>
              <w:rPr>
                <w:rFonts w:ascii="Calibri" w:hAnsi="Calibri" w:cs="Calibri"/>
                <w:color w:val="000000"/>
              </w:rPr>
              <w:t>Bilman</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19C4F5FD" w14:textId="77777777" w:rsidR="00C241C4" w:rsidRDefault="00C241C4">
            <w:pPr>
              <w:suppressAutoHyphens w:val="0"/>
              <w:spacing w:line="240" w:lineRule="auto"/>
            </w:pPr>
            <w:r>
              <w:rPr>
                <w:rFonts w:ascii="Calibri" w:hAnsi="Calibri" w:cs="Calibri"/>
                <w:color w:val="000000"/>
              </w:rPr>
              <w:t>AEISG</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341DAB20" w14:textId="77777777" w:rsidR="00C241C4" w:rsidRDefault="00C241C4">
            <w:pPr>
              <w:suppressAutoHyphens w:val="0"/>
              <w:spacing w:line="240" w:lineRule="auto"/>
            </w:pPr>
            <w:r>
              <w:rPr>
                <w:rFonts w:ascii="Calibri" w:hAnsi="Calibri" w:cs="Calibri"/>
                <w:color w:val="000000"/>
              </w:rPr>
              <w:t>richard.bilman@aeisg.org.au</w:t>
            </w:r>
          </w:p>
        </w:tc>
      </w:tr>
      <w:tr w:rsidR="00C241C4" w14:paraId="29940284"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4A45104" w14:textId="77777777" w:rsidR="00C241C4" w:rsidRDefault="00C241C4">
            <w:pPr>
              <w:suppressAutoHyphens w:val="0"/>
              <w:spacing w:line="240" w:lineRule="auto"/>
              <w:rPr>
                <w:rFonts w:eastAsia="MS Mincho"/>
                <w:lang w:eastAsia="ja-JP"/>
              </w:rPr>
            </w:pPr>
            <w:r>
              <w:rPr>
                <w:rFonts w:ascii="Calibri" w:hAnsi="Calibri" w:cs="Calibri"/>
                <w:color w:val="000000"/>
              </w:rPr>
              <w:t>Ken Price</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5EC4EE14" w14:textId="77777777" w:rsidR="00C241C4" w:rsidRDefault="00C241C4">
            <w:pPr>
              <w:suppressAutoHyphens w:val="0"/>
              <w:spacing w:line="240" w:lineRule="auto"/>
            </w:pPr>
            <w:r>
              <w:rPr>
                <w:rFonts w:ascii="Calibri" w:hAnsi="Calibri" w:cs="Calibri"/>
              </w:rPr>
              <w:t>AEISG</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3EE5732" w14:textId="77777777" w:rsidR="00C241C4" w:rsidRDefault="00C241C4">
            <w:pPr>
              <w:suppressAutoHyphens w:val="0"/>
              <w:spacing w:line="240" w:lineRule="auto"/>
            </w:pPr>
            <w:r>
              <w:rPr>
                <w:rFonts w:ascii="Calibri" w:hAnsi="Calibri" w:cs="Calibri"/>
                <w:color w:val="000000"/>
              </w:rPr>
              <w:t>ken@riskom.com.au</w:t>
            </w:r>
          </w:p>
        </w:tc>
      </w:tr>
      <w:tr w:rsidR="00C241C4" w14:paraId="6D913EE5"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E314444" w14:textId="77777777" w:rsidR="00C241C4" w:rsidRDefault="00C241C4">
            <w:pPr>
              <w:suppressAutoHyphens w:val="0"/>
              <w:spacing w:line="240" w:lineRule="auto"/>
              <w:rPr>
                <w:rFonts w:eastAsia="MS Mincho"/>
                <w:lang w:eastAsia="ja-JP"/>
              </w:rPr>
            </w:pPr>
            <w:r>
              <w:rPr>
                <w:rFonts w:ascii="Calibri" w:hAnsi="Calibri" w:cs="Calibri"/>
                <w:color w:val="000000"/>
              </w:rPr>
              <w:t>Bob Sheridan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3314B507" w14:textId="77777777" w:rsidR="00C241C4" w:rsidRDefault="00C241C4">
            <w:pPr>
              <w:suppressAutoHyphens w:val="0"/>
              <w:spacing w:line="240" w:lineRule="auto"/>
            </w:pPr>
            <w:r>
              <w:rPr>
                <w:rFonts w:ascii="Calibri" w:hAnsi="Calibri" w:cs="Calibri"/>
                <w:color w:val="000000"/>
              </w:rPr>
              <w:t>AEISG</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3C719C98" w14:textId="77777777" w:rsidR="00C241C4" w:rsidRDefault="00C241C4">
            <w:pPr>
              <w:suppressAutoHyphens w:val="0"/>
              <w:spacing w:line="240" w:lineRule="auto"/>
            </w:pPr>
            <w:r>
              <w:rPr>
                <w:rFonts w:ascii="Calibri" w:hAnsi="Calibri" w:cs="Calibri"/>
                <w:color w:val="000000"/>
              </w:rPr>
              <w:t>bob.sheridan@aeisg.org.au</w:t>
            </w:r>
          </w:p>
        </w:tc>
      </w:tr>
      <w:tr w:rsidR="00C241C4" w14:paraId="24DF89F8"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826C290" w14:textId="77777777" w:rsidR="00C241C4" w:rsidRDefault="00C241C4">
            <w:pPr>
              <w:suppressAutoHyphens w:val="0"/>
              <w:spacing w:line="240" w:lineRule="auto"/>
              <w:rPr>
                <w:color w:val="000000"/>
              </w:rPr>
            </w:pPr>
            <w:r>
              <w:rPr>
                <w:rFonts w:ascii="Calibri" w:hAnsi="Calibri" w:cs="Calibri"/>
                <w:color w:val="000000"/>
              </w:rPr>
              <w:t xml:space="preserve">Johann </w:t>
            </w:r>
            <w:proofErr w:type="spellStart"/>
            <w:r>
              <w:rPr>
                <w:rFonts w:ascii="Calibri" w:hAnsi="Calibri" w:cs="Calibri"/>
                <w:color w:val="000000"/>
              </w:rPr>
              <w:t>Zank</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202F365" w14:textId="77777777" w:rsidR="00C241C4" w:rsidRDefault="00C241C4">
            <w:pPr>
              <w:suppressAutoHyphens w:val="0"/>
              <w:spacing w:line="240" w:lineRule="auto"/>
              <w:rPr>
                <w:color w:val="000000"/>
              </w:rPr>
            </w:pPr>
            <w:r>
              <w:rPr>
                <w:rFonts w:ascii="Calibri" w:hAnsi="Calibri" w:cs="Calibri"/>
                <w:color w:val="000000"/>
              </w:rPr>
              <w:t>AEISG</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6401E84" w14:textId="77777777" w:rsidR="00C241C4" w:rsidRDefault="00C241C4">
            <w:pPr>
              <w:suppressAutoHyphens w:val="0"/>
              <w:spacing w:line="240" w:lineRule="auto"/>
              <w:rPr>
                <w:color w:val="000000"/>
              </w:rPr>
            </w:pPr>
            <w:r>
              <w:rPr>
                <w:rFonts w:ascii="Calibri" w:hAnsi="Calibri" w:cs="Calibri"/>
                <w:color w:val="000000"/>
              </w:rPr>
              <w:t>johann.zank@orica.com</w:t>
            </w:r>
          </w:p>
        </w:tc>
      </w:tr>
      <w:tr w:rsidR="00C241C4" w14:paraId="46116C61"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EBCBBAC" w14:textId="77777777" w:rsidR="00C241C4" w:rsidRDefault="00C241C4">
            <w:pPr>
              <w:suppressAutoHyphens w:val="0"/>
              <w:spacing w:line="240" w:lineRule="auto"/>
              <w:rPr>
                <w:rFonts w:eastAsia="MS Mincho"/>
                <w:lang w:eastAsia="ja-JP"/>
              </w:rPr>
            </w:pPr>
            <w:proofErr w:type="spellStart"/>
            <w:r>
              <w:rPr>
                <w:rFonts w:ascii="Calibri" w:hAnsi="Calibri" w:cs="Calibri"/>
                <w:color w:val="000000"/>
              </w:rPr>
              <w:t>Fréréic</w:t>
            </w:r>
            <w:proofErr w:type="spellEnd"/>
            <w:r>
              <w:rPr>
                <w:rFonts w:ascii="Calibri" w:hAnsi="Calibri" w:cs="Calibri"/>
                <w:color w:val="000000"/>
              </w:rPr>
              <w:t xml:space="preserve"> </w:t>
            </w:r>
            <w:proofErr w:type="spellStart"/>
            <w:r>
              <w:rPr>
                <w:rFonts w:ascii="Calibri" w:hAnsi="Calibri" w:cs="Calibri"/>
                <w:color w:val="000000"/>
              </w:rPr>
              <w:t>Pavat</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19788164" w14:textId="77777777" w:rsidR="00C241C4" w:rsidRDefault="00C241C4">
            <w:pPr>
              <w:suppressAutoHyphens w:val="0"/>
              <w:spacing w:line="240" w:lineRule="auto"/>
            </w:pPr>
            <w:r>
              <w:rPr>
                <w:rFonts w:ascii="Calibri" w:hAnsi="Calibri" w:cs="Calibri"/>
                <w:color w:val="000000"/>
              </w:rPr>
              <w:t>AFEMS</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3F088CE1" w14:textId="77777777" w:rsidR="00C241C4" w:rsidRDefault="00C241C4">
            <w:pPr>
              <w:suppressAutoHyphens w:val="0"/>
              <w:spacing w:line="240" w:lineRule="auto"/>
            </w:pPr>
            <w:r>
              <w:rPr>
                <w:rFonts w:ascii="Calibri" w:hAnsi="Calibri" w:cs="Calibri"/>
                <w:color w:val="000000"/>
              </w:rPr>
              <w:t>fpavat@cheddite.com</w:t>
            </w:r>
          </w:p>
        </w:tc>
      </w:tr>
      <w:tr w:rsidR="00C241C4" w14:paraId="4A17DA9F"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5779A82" w14:textId="77777777" w:rsidR="00C241C4" w:rsidRDefault="00C241C4">
            <w:pPr>
              <w:suppressAutoHyphens w:val="0"/>
              <w:spacing w:line="240" w:lineRule="auto"/>
              <w:rPr>
                <w:rFonts w:eastAsia="MS Mincho"/>
                <w:lang w:eastAsia="ja-JP"/>
              </w:rPr>
            </w:pPr>
            <w:r>
              <w:rPr>
                <w:rFonts w:ascii="Calibri" w:hAnsi="Calibri" w:cs="Calibri"/>
                <w:color w:val="000000"/>
              </w:rPr>
              <w:t>Dieter Heitkamp</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86F3BD3" w14:textId="77777777" w:rsidR="00C241C4" w:rsidRDefault="00C241C4">
            <w:pPr>
              <w:suppressAutoHyphens w:val="0"/>
              <w:spacing w:line="240" w:lineRule="auto"/>
            </w:pPr>
            <w:r>
              <w:rPr>
                <w:rFonts w:ascii="Calibri" w:hAnsi="Calibri" w:cs="Calibri"/>
                <w:color w:val="000000"/>
              </w:rPr>
              <w:t>CEFIC</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E56FC3F" w14:textId="77777777" w:rsidR="00C241C4" w:rsidRDefault="00C241C4">
            <w:pPr>
              <w:suppressAutoHyphens w:val="0"/>
              <w:spacing w:line="240" w:lineRule="auto"/>
            </w:pPr>
            <w:r>
              <w:rPr>
                <w:rFonts w:ascii="Calibri" w:hAnsi="Calibri" w:cs="Calibri"/>
                <w:color w:val="000000"/>
              </w:rPr>
              <w:t>dieter.heitkamp@bayer.com</w:t>
            </w:r>
          </w:p>
        </w:tc>
      </w:tr>
      <w:tr w:rsidR="00C241C4" w14:paraId="321B31BD"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02AE885" w14:textId="77777777" w:rsidR="00C241C4" w:rsidRDefault="00C241C4">
            <w:pPr>
              <w:suppressAutoHyphens w:val="0"/>
              <w:spacing w:line="240" w:lineRule="auto"/>
              <w:rPr>
                <w:color w:val="000000"/>
              </w:rPr>
            </w:pPr>
            <w:r>
              <w:rPr>
                <w:rFonts w:ascii="Calibri" w:hAnsi="Calibri" w:cs="Calibri"/>
                <w:color w:val="000000"/>
              </w:rPr>
              <w:t>Werner Lange</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5926F93A" w14:textId="77777777" w:rsidR="00C241C4" w:rsidRDefault="00C241C4">
            <w:pPr>
              <w:suppressAutoHyphens w:val="0"/>
              <w:spacing w:line="240" w:lineRule="auto"/>
              <w:rPr>
                <w:color w:val="000000"/>
              </w:rPr>
            </w:pPr>
            <w:r>
              <w:rPr>
                <w:rFonts w:ascii="Calibri" w:hAnsi="Calibri" w:cs="Calibri"/>
                <w:color w:val="000000"/>
              </w:rPr>
              <w:t>CEFIC</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73407C7" w14:textId="77777777" w:rsidR="00C241C4" w:rsidRDefault="00C241C4">
            <w:pPr>
              <w:suppressAutoHyphens w:val="0"/>
              <w:spacing w:line="240" w:lineRule="auto"/>
              <w:rPr>
                <w:color w:val="000000"/>
              </w:rPr>
            </w:pPr>
            <w:r>
              <w:rPr>
                <w:rFonts w:ascii="Calibri" w:hAnsi="Calibri" w:cs="Calibri"/>
                <w:color w:val="000000"/>
              </w:rPr>
              <w:t>dr.werner.lange@icloud.com</w:t>
            </w:r>
          </w:p>
        </w:tc>
      </w:tr>
      <w:tr w:rsidR="00C241C4" w14:paraId="43BE6CE3"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584FEE55" w14:textId="77777777" w:rsidR="00C241C4" w:rsidRDefault="00C241C4">
            <w:pPr>
              <w:suppressAutoHyphens w:val="0"/>
              <w:spacing w:line="240" w:lineRule="auto"/>
              <w:rPr>
                <w:rFonts w:eastAsia="MS Mincho"/>
                <w:lang w:eastAsia="ja-JP"/>
              </w:rPr>
            </w:pPr>
            <w:r>
              <w:rPr>
                <w:rFonts w:ascii="Calibri" w:hAnsi="Calibri" w:cs="Calibri"/>
                <w:color w:val="000000"/>
              </w:rPr>
              <w:t>Peter Schuurman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D772872" w14:textId="77777777" w:rsidR="00C241C4" w:rsidRDefault="00C241C4">
            <w:pPr>
              <w:suppressAutoHyphens w:val="0"/>
              <w:spacing w:line="240" w:lineRule="auto"/>
            </w:pPr>
            <w:r>
              <w:rPr>
                <w:rFonts w:ascii="Calibri" w:hAnsi="Calibri" w:cs="Calibri"/>
                <w:color w:val="000000"/>
              </w:rPr>
              <w:t>CEFIC</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2F5750AB" w14:textId="77777777" w:rsidR="00C241C4" w:rsidRDefault="00C241C4">
            <w:pPr>
              <w:suppressAutoHyphens w:val="0"/>
              <w:spacing w:line="240" w:lineRule="auto"/>
            </w:pPr>
            <w:r>
              <w:rPr>
                <w:rFonts w:ascii="Calibri" w:hAnsi="Calibri" w:cs="Calibri"/>
                <w:color w:val="000000"/>
              </w:rPr>
              <w:t>peter.schuurman@nouryon.com</w:t>
            </w:r>
          </w:p>
        </w:tc>
      </w:tr>
      <w:tr w:rsidR="00C241C4" w14:paraId="56615F3C"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B642637" w14:textId="77777777" w:rsidR="00C241C4" w:rsidRDefault="00C241C4">
            <w:pPr>
              <w:suppressAutoHyphens w:val="0"/>
              <w:spacing w:line="240" w:lineRule="auto"/>
              <w:rPr>
                <w:rFonts w:eastAsia="MS Mincho"/>
                <w:lang w:eastAsia="ja-JP"/>
              </w:rPr>
            </w:pPr>
            <w:r>
              <w:rPr>
                <w:rFonts w:ascii="Calibri" w:hAnsi="Calibri" w:cs="Calibri"/>
                <w:color w:val="000000"/>
              </w:rPr>
              <w:t>Klaus Pilatus</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4C1AFF72" w14:textId="77777777" w:rsidR="00C241C4" w:rsidRDefault="00C241C4">
            <w:pPr>
              <w:suppressAutoHyphens w:val="0"/>
              <w:spacing w:line="240" w:lineRule="auto"/>
            </w:pPr>
            <w:r>
              <w:rPr>
                <w:rFonts w:ascii="Calibri" w:hAnsi="Calibri" w:cs="Calibri"/>
              </w:rPr>
              <w:t>CLEPA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2C68ECE" w14:textId="77777777" w:rsidR="00C241C4" w:rsidRDefault="00C241C4">
            <w:pPr>
              <w:suppressAutoHyphens w:val="0"/>
              <w:spacing w:line="240" w:lineRule="auto"/>
            </w:pPr>
            <w:r>
              <w:rPr>
                <w:rFonts w:ascii="Calibri" w:hAnsi="Calibri" w:cs="Calibri"/>
                <w:color w:val="000000"/>
              </w:rPr>
              <w:t>klaus.pilatus@autoliv.com</w:t>
            </w:r>
          </w:p>
        </w:tc>
      </w:tr>
      <w:tr w:rsidR="00C241C4" w14:paraId="696CD139"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08F57F0" w14:textId="77777777" w:rsidR="00C241C4" w:rsidRDefault="00C241C4">
            <w:pPr>
              <w:suppressAutoHyphens w:val="0"/>
              <w:spacing w:line="240" w:lineRule="auto"/>
            </w:pPr>
            <w:r>
              <w:rPr>
                <w:rFonts w:ascii="Calibri" w:hAnsi="Calibri" w:cs="Calibri"/>
                <w:color w:val="000000"/>
              </w:rPr>
              <w:t>Dave Madsen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462D758B" w14:textId="77777777" w:rsidR="00C241C4" w:rsidRDefault="00C241C4">
            <w:pPr>
              <w:suppressAutoHyphens w:val="0"/>
              <w:spacing w:line="240" w:lineRule="auto"/>
            </w:pPr>
            <w:r>
              <w:rPr>
                <w:rFonts w:ascii="Calibri" w:hAnsi="Calibri" w:cs="Calibri"/>
                <w:color w:val="000000"/>
              </w:rPr>
              <w:t>COSTHA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90329F0" w14:textId="77777777" w:rsidR="00C241C4" w:rsidRDefault="00C241C4">
            <w:pPr>
              <w:suppressAutoHyphens w:val="0"/>
              <w:spacing w:line="240" w:lineRule="auto"/>
            </w:pPr>
            <w:r>
              <w:rPr>
                <w:rFonts w:ascii="Calibri" w:hAnsi="Calibri" w:cs="Calibri"/>
                <w:color w:val="000000"/>
              </w:rPr>
              <w:t>dave.madsen@autoliv.com</w:t>
            </w:r>
          </w:p>
        </w:tc>
      </w:tr>
      <w:tr w:rsidR="00C241C4" w14:paraId="41C31E5C"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0EA36D46" w14:textId="77777777" w:rsidR="00C241C4" w:rsidRDefault="00C241C4">
            <w:pPr>
              <w:suppressAutoHyphens w:val="0"/>
              <w:spacing w:line="240" w:lineRule="auto"/>
              <w:rPr>
                <w:rFonts w:eastAsia="MS Mincho"/>
                <w:lang w:eastAsia="ja-JP"/>
              </w:rPr>
            </w:pPr>
            <w:r>
              <w:rPr>
                <w:rFonts w:ascii="Calibri" w:hAnsi="Calibri" w:cs="Calibri"/>
                <w:color w:val="000000"/>
              </w:rPr>
              <w:t>Jason Newell</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EA3C9AF" w14:textId="77777777" w:rsidR="00C241C4" w:rsidRDefault="00C241C4">
            <w:pPr>
              <w:suppressAutoHyphens w:val="0"/>
              <w:spacing w:line="240" w:lineRule="auto"/>
            </w:pPr>
            <w:r>
              <w:rPr>
                <w:rFonts w:ascii="Calibri" w:hAnsi="Calibri" w:cs="Calibri"/>
                <w:color w:val="000000"/>
              </w:rPr>
              <w:t>COSTHA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C7CFB57" w14:textId="77777777" w:rsidR="00C241C4" w:rsidRDefault="00C241C4">
            <w:pPr>
              <w:suppressAutoHyphens w:val="0"/>
              <w:spacing w:line="240" w:lineRule="auto"/>
            </w:pPr>
            <w:r>
              <w:rPr>
                <w:rFonts w:ascii="Calibri" w:hAnsi="Calibri" w:cs="Calibri"/>
                <w:color w:val="000000"/>
              </w:rPr>
              <w:t>jason.newell@joysonsafety.com</w:t>
            </w:r>
          </w:p>
        </w:tc>
      </w:tr>
      <w:tr w:rsidR="00C241C4" w14:paraId="2227FF84"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5707C85" w14:textId="77777777" w:rsidR="00C241C4" w:rsidRDefault="00C241C4">
            <w:pPr>
              <w:suppressAutoHyphens w:val="0"/>
              <w:spacing w:line="240" w:lineRule="auto"/>
              <w:rPr>
                <w:rFonts w:eastAsia="MS Mincho"/>
                <w:lang w:eastAsia="ja-JP"/>
              </w:rPr>
            </w:pPr>
            <w:r>
              <w:rPr>
                <w:rFonts w:ascii="Calibri" w:hAnsi="Calibri" w:cs="Calibri"/>
                <w:color w:val="000000"/>
              </w:rPr>
              <w:t>Ryan Paquet</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765F6FE" w14:textId="77777777" w:rsidR="00C241C4" w:rsidRDefault="00C241C4">
            <w:pPr>
              <w:suppressAutoHyphens w:val="0"/>
              <w:spacing w:line="240" w:lineRule="auto"/>
            </w:pPr>
            <w:r>
              <w:rPr>
                <w:rFonts w:ascii="Calibri" w:hAnsi="Calibri" w:cs="Calibri"/>
                <w:color w:val="000000"/>
              </w:rPr>
              <w:t>COSTHA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1DC17812" w14:textId="77777777" w:rsidR="00C241C4" w:rsidRDefault="00C241C4">
            <w:pPr>
              <w:suppressAutoHyphens w:val="0"/>
              <w:spacing w:line="240" w:lineRule="auto"/>
            </w:pPr>
            <w:r>
              <w:rPr>
                <w:rFonts w:ascii="Calibri" w:hAnsi="Calibri" w:cs="Calibri"/>
                <w:color w:val="000000"/>
              </w:rPr>
              <w:t>rpaquet@hazmatsafety.com</w:t>
            </w:r>
          </w:p>
        </w:tc>
      </w:tr>
      <w:tr w:rsidR="00C241C4" w14:paraId="4141FF37"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3822E89" w14:textId="77777777" w:rsidR="00C241C4" w:rsidRDefault="00C241C4">
            <w:pPr>
              <w:suppressAutoHyphens w:val="0"/>
              <w:spacing w:line="240" w:lineRule="auto"/>
              <w:rPr>
                <w:rFonts w:eastAsia="MS Mincho"/>
                <w:lang w:eastAsia="ja-JP"/>
              </w:rPr>
            </w:pPr>
            <w:proofErr w:type="gramStart"/>
            <w:r>
              <w:rPr>
                <w:rFonts w:ascii="Calibri" w:hAnsi="Calibri" w:cs="Calibri"/>
                <w:color w:val="000000"/>
              </w:rPr>
              <w:t xml:space="preserve">Ivan  </w:t>
            </w:r>
            <w:proofErr w:type="spellStart"/>
            <w:r>
              <w:rPr>
                <w:rFonts w:ascii="Calibri" w:hAnsi="Calibri" w:cs="Calibri"/>
                <w:color w:val="000000"/>
              </w:rPr>
              <w:t>Schmelczer</w:t>
            </w:r>
            <w:proofErr w:type="spellEnd"/>
            <w:proofErr w:type="gram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644037D3" w14:textId="77777777" w:rsidR="00C241C4" w:rsidRDefault="00C241C4">
            <w:pPr>
              <w:suppressAutoHyphens w:val="0"/>
              <w:spacing w:line="240" w:lineRule="auto"/>
            </w:pPr>
            <w:r>
              <w:rPr>
                <w:rFonts w:ascii="Calibri" w:hAnsi="Calibri" w:cs="Calibri"/>
              </w:rPr>
              <w:t>COSTHA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EAA95D0" w14:textId="77777777" w:rsidR="00C241C4" w:rsidRDefault="00C241C4">
            <w:pPr>
              <w:suppressAutoHyphens w:val="0"/>
              <w:spacing w:line="240" w:lineRule="auto"/>
            </w:pPr>
            <w:r>
              <w:rPr>
                <w:rFonts w:ascii="Calibri" w:hAnsi="Calibri" w:cs="Calibri"/>
                <w:color w:val="000000"/>
              </w:rPr>
              <w:t>schmelczer.ivan@trans-dgt.com</w:t>
            </w:r>
          </w:p>
        </w:tc>
      </w:tr>
      <w:tr w:rsidR="00C241C4" w14:paraId="22911BCE"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1BE8B2BB" w14:textId="77777777" w:rsidR="00C241C4" w:rsidRDefault="00C241C4">
            <w:pPr>
              <w:suppressAutoHyphens w:val="0"/>
              <w:spacing w:line="240" w:lineRule="auto"/>
            </w:pPr>
            <w:r>
              <w:rPr>
                <w:rFonts w:ascii="Calibri" w:hAnsi="Calibri" w:cs="Calibri"/>
                <w:color w:val="000000"/>
              </w:rPr>
              <w:t>David Boston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491D69EE" w14:textId="77777777" w:rsidR="00C241C4" w:rsidRDefault="00C241C4">
            <w:pPr>
              <w:suppressAutoHyphens w:val="0"/>
              <w:spacing w:line="240" w:lineRule="auto"/>
            </w:pPr>
            <w:r>
              <w:rPr>
                <w:rFonts w:ascii="Calibri" w:hAnsi="Calibri" w:cs="Calibri"/>
                <w:color w:val="000000"/>
              </w:rPr>
              <w:t>IME</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8759992" w14:textId="77777777" w:rsidR="00C241C4" w:rsidRDefault="00C241C4">
            <w:pPr>
              <w:suppressAutoHyphens w:val="0"/>
              <w:spacing w:line="240" w:lineRule="auto"/>
            </w:pPr>
            <w:r>
              <w:rPr>
                <w:rFonts w:ascii="Calibri" w:hAnsi="Calibri" w:cs="Calibri"/>
                <w:color w:val="000000"/>
              </w:rPr>
              <w:t>dboston@ime.org</w:t>
            </w:r>
          </w:p>
        </w:tc>
      </w:tr>
      <w:tr w:rsidR="00C241C4" w14:paraId="56115AF0"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3E4764B" w14:textId="77777777" w:rsidR="00C241C4" w:rsidRDefault="00C241C4">
            <w:pPr>
              <w:suppressAutoHyphens w:val="0"/>
              <w:spacing w:line="240" w:lineRule="auto"/>
              <w:rPr>
                <w:rFonts w:eastAsia="MS Mincho"/>
                <w:lang w:eastAsia="ja-JP"/>
              </w:rPr>
            </w:pPr>
            <w:r>
              <w:rPr>
                <w:rFonts w:ascii="Calibri" w:hAnsi="Calibri" w:cs="Calibri"/>
                <w:color w:val="000000"/>
              </w:rPr>
              <w:t>Josh Hoffman</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5E9AE786" w14:textId="77777777" w:rsidR="00C241C4" w:rsidRDefault="00C241C4">
            <w:pPr>
              <w:suppressAutoHyphens w:val="0"/>
              <w:spacing w:line="240" w:lineRule="auto"/>
            </w:pPr>
            <w:r>
              <w:rPr>
                <w:rFonts w:ascii="Calibri" w:hAnsi="Calibri" w:cs="Calibri"/>
                <w:color w:val="000000"/>
              </w:rPr>
              <w:t>IME</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77B0D612" w14:textId="77777777" w:rsidR="00C241C4" w:rsidRDefault="00C241C4">
            <w:pPr>
              <w:suppressAutoHyphens w:val="0"/>
              <w:spacing w:line="240" w:lineRule="auto"/>
            </w:pPr>
            <w:r>
              <w:rPr>
                <w:rFonts w:ascii="Calibri" w:hAnsi="Calibri" w:cs="Calibri"/>
                <w:color w:val="000000"/>
              </w:rPr>
              <w:t>jhoffman@ime.org</w:t>
            </w:r>
          </w:p>
        </w:tc>
      </w:tr>
      <w:tr w:rsidR="00C241C4" w14:paraId="26DEBB2E"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2DA8054" w14:textId="77777777" w:rsidR="00C241C4" w:rsidRDefault="00C241C4">
            <w:pPr>
              <w:suppressAutoHyphens w:val="0"/>
              <w:spacing w:line="240" w:lineRule="auto"/>
              <w:rPr>
                <w:rFonts w:eastAsia="MS Mincho"/>
                <w:lang w:eastAsia="ja-JP"/>
              </w:rPr>
            </w:pPr>
            <w:r>
              <w:rPr>
                <w:rFonts w:ascii="Calibri" w:hAnsi="Calibri" w:cs="Calibri"/>
                <w:color w:val="000000"/>
              </w:rPr>
              <w:t>Noel Hsu</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4379F9DF" w14:textId="77777777" w:rsidR="00C241C4" w:rsidRDefault="00C241C4">
            <w:pPr>
              <w:suppressAutoHyphens w:val="0"/>
              <w:spacing w:line="240" w:lineRule="auto"/>
            </w:pPr>
            <w:r>
              <w:rPr>
                <w:rFonts w:ascii="Calibri" w:hAnsi="Calibri" w:cs="Calibri"/>
                <w:color w:val="000000"/>
              </w:rPr>
              <w:t>IME</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3973B475" w14:textId="77777777" w:rsidR="00C241C4" w:rsidRDefault="00C241C4">
            <w:pPr>
              <w:suppressAutoHyphens w:val="0"/>
              <w:spacing w:line="240" w:lineRule="auto"/>
            </w:pPr>
            <w:r>
              <w:rPr>
                <w:rFonts w:ascii="Calibri" w:hAnsi="Calibri" w:cs="Calibri"/>
                <w:color w:val="000000"/>
              </w:rPr>
              <w:t>noel.hsu@orica.com</w:t>
            </w:r>
          </w:p>
        </w:tc>
      </w:tr>
      <w:tr w:rsidR="00C241C4" w14:paraId="59644A8F"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49BFA2E9" w14:textId="77777777" w:rsidR="00C241C4" w:rsidRDefault="00C241C4">
            <w:pPr>
              <w:suppressAutoHyphens w:val="0"/>
              <w:spacing w:line="240" w:lineRule="auto"/>
              <w:rPr>
                <w:rFonts w:eastAsia="MS Mincho"/>
                <w:lang w:eastAsia="ja-JP"/>
              </w:rPr>
            </w:pPr>
            <w:r>
              <w:rPr>
                <w:rFonts w:ascii="Calibri" w:hAnsi="Calibri" w:cs="Calibri"/>
                <w:color w:val="000000"/>
              </w:rPr>
              <w:lastRenderedPageBreak/>
              <w:t>Jackson Shaver</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57D99E42" w14:textId="77777777" w:rsidR="00C241C4" w:rsidRDefault="00C241C4">
            <w:pPr>
              <w:suppressAutoHyphens w:val="0"/>
              <w:spacing w:line="240" w:lineRule="auto"/>
            </w:pPr>
            <w:r>
              <w:rPr>
                <w:rFonts w:ascii="Calibri" w:hAnsi="Calibri" w:cs="Calibri"/>
                <w:color w:val="000000"/>
              </w:rPr>
              <w:t>IME</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2992D1B" w14:textId="77777777" w:rsidR="00C241C4" w:rsidRDefault="00C241C4">
            <w:pPr>
              <w:suppressAutoHyphens w:val="0"/>
              <w:spacing w:line="240" w:lineRule="auto"/>
            </w:pPr>
            <w:r>
              <w:rPr>
                <w:rFonts w:ascii="Calibri" w:hAnsi="Calibri" w:cs="Calibri"/>
                <w:color w:val="000000"/>
              </w:rPr>
              <w:t>jackson.shaver@dssa.daicel.com</w:t>
            </w:r>
          </w:p>
        </w:tc>
      </w:tr>
      <w:tr w:rsidR="00C241C4" w14:paraId="460601E5"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78D4369" w14:textId="77777777" w:rsidR="00C241C4" w:rsidRDefault="00C241C4">
            <w:pPr>
              <w:suppressAutoHyphens w:val="0"/>
              <w:spacing w:line="240" w:lineRule="auto"/>
              <w:rPr>
                <w:rFonts w:eastAsia="MS Mincho"/>
                <w:lang w:eastAsia="ja-JP"/>
              </w:rPr>
            </w:pPr>
            <w:r>
              <w:rPr>
                <w:rFonts w:ascii="Calibri" w:hAnsi="Calibri" w:cs="Calibri"/>
                <w:color w:val="000000"/>
              </w:rPr>
              <w:t>Kaylee Baker</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01600FD4" w14:textId="77777777" w:rsidR="00C241C4" w:rsidRDefault="00C241C4">
            <w:pPr>
              <w:suppressAutoHyphens w:val="0"/>
              <w:spacing w:line="240" w:lineRule="auto"/>
            </w:pPr>
            <w:r>
              <w:rPr>
                <w:rFonts w:ascii="Calibri" w:hAnsi="Calibri" w:cs="Calibri"/>
              </w:rPr>
              <w:t>RPMASA</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D4BF515" w14:textId="77777777" w:rsidR="00C241C4" w:rsidRDefault="00C241C4">
            <w:pPr>
              <w:suppressAutoHyphens w:val="0"/>
              <w:spacing w:line="240" w:lineRule="auto"/>
            </w:pPr>
            <w:r>
              <w:rPr>
                <w:rFonts w:ascii="Calibri" w:hAnsi="Calibri" w:cs="Calibri"/>
                <w:color w:val="000000"/>
              </w:rPr>
              <w:t>kaylee.baker@aeciworld.com</w:t>
            </w:r>
          </w:p>
        </w:tc>
        <w:bookmarkEnd w:id="6"/>
      </w:tr>
      <w:tr w:rsidR="00C241C4" w14:paraId="36F9C393"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F837645" w14:textId="77777777" w:rsidR="00C241C4" w:rsidRDefault="00C241C4">
            <w:pPr>
              <w:suppressAutoHyphens w:val="0"/>
              <w:spacing w:line="240" w:lineRule="auto"/>
              <w:rPr>
                <w:rFonts w:eastAsia="MS Mincho"/>
                <w:lang w:eastAsia="ja-JP"/>
              </w:rPr>
            </w:pPr>
            <w:r>
              <w:rPr>
                <w:rFonts w:ascii="Calibri" w:hAnsi="Calibri" w:cs="Calibri"/>
                <w:color w:val="000000"/>
              </w:rPr>
              <w:t xml:space="preserve">Jean-Luc </w:t>
            </w:r>
            <w:proofErr w:type="spellStart"/>
            <w:r>
              <w:rPr>
                <w:rFonts w:ascii="Calibri" w:hAnsi="Calibri" w:cs="Calibri"/>
                <w:color w:val="000000"/>
              </w:rPr>
              <w:t>Arpin</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15D2B3B" w14:textId="77777777" w:rsidR="00C241C4" w:rsidRDefault="00C241C4">
            <w:pPr>
              <w:suppressAutoHyphens w:val="0"/>
              <w:spacing w:line="240" w:lineRule="auto"/>
            </w:pPr>
            <w:r>
              <w:rPr>
                <w:rFonts w:ascii="Calibri" w:hAnsi="Calibri" w:cs="Calibri"/>
                <w:color w:val="000000"/>
              </w:rPr>
              <w:t>SAAMI</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E503B25" w14:textId="77777777" w:rsidR="00C241C4" w:rsidRDefault="00C241C4">
            <w:pPr>
              <w:suppressAutoHyphens w:val="0"/>
              <w:spacing w:line="240" w:lineRule="auto"/>
            </w:pPr>
            <w:r>
              <w:rPr>
                <w:rFonts w:ascii="Calibri" w:hAnsi="Calibri" w:cs="Calibri"/>
                <w:color w:val="000000"/>
              </w:rPr>
              <w:t>jlarpin98@gmail.com</w:t>
            </w:r>
          </w:p>
        </w:tc>
      </w:tr>
      <w:tr w:rsidR="00C241C4" w14:paraId="2D97FA32"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26D09CAB" w14:textId="77777777" w:rsidR="00C241C4" w:rsidRDefault="00C241C4">
            <w:pPr>
              <w:suppressAutoHyphens w:val="0"/>
              <w:spacing w:line="240" w:lineRule="auto"/>
              <w:rPr>
                <w:rFonts w:eastAsia="MS Mincho"/>
                <w:lang w:eastAsia="ja-JP"/>
              </w:rPr>
            </w:pPr>
            <w:r>
              <w:rPr>
                <w:rFonts w:ascii="Calibri" w:hAnsi="Calibri" w:cs="Calibri"/>
                <w:color w:val="000000"/>
              </w:rPr>
              <w:t>Ben Barrett</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2C1723CA" w14:textId="77777777" w:rsidR="00C241C4" w:rsidRDefault="00C241C4">
            <w:pPr>
              <w:suppressAutoHyphens w:val="0"/>
              <w:spacing w:line="240" w:lineRule="auto"/>
            </w:pPr>
            <w:r>
              <w:rPr>
                <w:rFonts w:ascii="Calibri" w:hAnsi="Calibri" w:cs="Calibri"/>
                <w:color w:val="000000"/>
              </w:rPr>
              <w:t>SAAMI</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EC4C3CB" w14:textId="77777777" w:rsidR="00C241C4" w:rsidRDefault="00C241C4">
            <w:pPr>
              <w:suppressAutoHyphens w:val="0"/>
              <w:spacing w:line="240" w:lineRule="auto"/>
            </w:pPr>
            <w:r>
              <w:rPr>
                <w:rFonts w:ascii="Calibri" w:hAnsi="Calibri" w:cs="Calibri"/>
                <w:color w:val="000000"/>
              </w:rPr>
              <w:t>ben.barrett@dgadvisor.com</w:t>
            </w:r>
          </w:p>
        </w:tc>
      </w:tr>
      <w:tr w:rsidR="00C241C4" w14:paraId="1861D8DE"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A661386" w14:textId="77777777" w:rsidR="00C241C4" w:rsidRDefault="00C241C4">
            <w:pPr>
              <w:suppressAutoHyphens w:val="0"/>
              <w:spacing w:line="240" w:lineRule="auto"/>
              <w:rPr>
                <w:rFonts w:ascii="Calibri" w:hAnsi="Calibri" w:cs="Calibri"/>
                <w:color w:val="000000"/>
              </w:rPr>
            </w:pPr>
            <w:r>
              <w:rPr>
                <w:rFonts w:ascii="Calibri" w:hAnsi="Calibri" w:cs="Calibri"/>
                <w:color w:val="000000"/>
              </w:rPr>
              <w:t>Marie-France Dagenais</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7907E0D4" w14:textId="77777777" w:rsidR="00C241C4" w:rsidRDefault="00C241C4">
            <w:pPr>
              <w:suppressAutoHyphens w:val="0"/>
              <w:spacing w:line="240" w:lineRule="auto"/>
              <w:rPr>
                <w:rFonts w:ascii="Calibri" w:hAnsi="Calibri" w:cs="Calibri"/>
                <w:color w:val="000000"/>
              </w:rPr>
            </w:pPr>
            <w:r>
              <w:rPr>
                <w:rFonts w:ascii="Calibri" w:hAnsi="Calibri" w:cs="Calibri"/>
                <w:color w:val="000000"/>
              </w:rPr>
              <w:t>SAAMI</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3E492D76" w14:textId="77777777" w:rsidR="00C241C4" w:rsidRDefault="00C241C4">
            <w:pPr>
              <w:suppressAutoHyphens w:val="0"/>
              <w:spacing w:line="240" w:lineRule="auto"/>
              <w:rPr>
                <w:rFonts w:ascii="Calibri" w:hAnsi="Calibri" w:cs="Calibri"/>
                <w:color w:val="000000"/>
              </w:rPr>
            </w:pPr>
            <w:r>
              <w:rPr>
                <w:rFonts w:ascii="Calibri" w:hAnsi="Calibri" w:cs="Calibri"/>
                <w:color w:val="000000"/>
              </w:rPr>
              <w:t>mfdagenais@dgadvisor.com</w:t>
            </w:r>
          </w:p>
        </w:tc>
      </w:tr>
      <w:tr w:rsidR="00C241C4" w14:paraId="650D00CB"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7CC97DAF" w14:textId="77777777" w:rsidR="00C241C4" w:rsidRDefault="00C241C4">
            <w:pPr>
              <w:suppressAutoHyphens w:val="0"/>
              <w:spacing w:line="240" w:lineRule="auto"/>
              <w:rPr>
                <w:rFonts w:eastAsia="MS Mincho"/>
                <w:lang w:eastAsia="ja-JP"/>
              </w:rPr>
            </w:pPr>
            <w:r>
              <w:rPr>
                <w:rFonts w:ascii="Calibri" w:hAnsi="Calibri" w:cs="Calibri"/>
                <w:color w:val="000000"/>
              </w:rPr>
              <w:t>Bob Ford</w:t>
            </w:r>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58E795E3" w14:textId="77777777" w:rsidR="00C241C4" w:rsidRDefault="00C241C4">
            <w:pPr>
              <w:suppressAutoHyphens w:val="0"/>
              <w:spacing w:line="240" w:lineRule="auto"/>
            </w:pPr>
            <w:r>
              <w:rPr>
                <w:rFonts w:ascii="Calibri" w:hAnsi="Calibri" w:cs="Calibri"/>
                <w:color w:val="000000"/>
              </w:rPr>
              <w:t>SAAMI</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476E1449" w14:textId="77777777" w:rsidR="00C241C4" w:rsidRDefault="00C241C4">
            <w:pPr>
              <w:suppressAutoHyphens w:val="0"/>
              <w:spacing w:line="240" w:lineRule="auto"/>
            </w:pPr>
            <w:r>
              <w:rPr>
                <w:rFonts w:ascii="Calibri" w:hAnsi="Calibri" w:cs="Calibri"/>
                <w:color w:val="000000"/>
              </w:rPr>
              <w:t>rford@smsenergetics.com</w:t>
            </w:r>
          </w:p>
        </w:tc>
      </w:tr>
      <w:tr w:rsidR="00C241C4" w14:paraId="4A8BC605"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3EE46881" w14:textId="77777777" w:rsidR="00C241C4" w:rsidRDefault="00C241C4">
            <w:pPr>
              <w:suppressAutoHyphens w:val="0"/>
              <w:spacing w:line="240" w:lineRule="auto"/>
              <w:rPr>
                <w:rFonts w:eastAsia="MS Mincho"/>
                <w:lang w:eastAsia="ja-JP"/>
              </w:rPr>
            </w:pPr>
            <w:r>
              <w:rPr>
                <w:rFonts w:ascii="Calibri" w:hAnsi="Calibri" w:cs="Calibri"/>
                <w:color w:val="000000"/>
              </w:rPr>
              <w:t xml:space="preserve">Brian </w:t>
            </w:r>
            <w:proofErr w:type="spellStart"/>
            <w:r>
              <w:rPr>
                <w:rFonts w:ascii="Calibri" w:hAnsi="Calibri" w:cs="Calibri"/>
                <w:color w:val="000000"/>
              </w:rPr>
              <w:t>Osowiecki</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5B89E0E6" w14:textId="77777777" w:rsidR="00C241C4" w:rsidRDefault="00C241C4">
            <w:pPr>
              <w:suppressAutoHyphens w:val="0"/>
              <w:spacing w:line="240" w:lineRule="auto"/>
            </w:pPr>
            <w:r>
              <w:rPr>
                <w:rFonts w:ascii="Calibri" w:hAnsi="Calibri" w:cs="Calibri"/>
                <w:color w:val="000000"/>
              </w:rPr>
              <w:t>SAAMI</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5385AEB2" w14:textId="77777777" w:rsidR="00C241C4" w:rsidRDefault="00C241C4">
            <w:pPr>
              <w:suppressAutoHyphens w:val="0"/>
              <w:spacing w:line="240" w:lineRule="auto"/>
            </w:pPr>
            <w:r>
              <w:rPr>
                <w:rFonts w:ascii="Calibri" w:hAnsi="Calibri" w:cs="Calibri"/>
                <w:color w:val="000000"/>
              </w:rPr>
              <w:t>bosowiecki@saami.org</w:t>
            </w:r>
          </w:p>
        </w:tc>
      </w:tr>
      <w:tr w:rsidR="00C241C4" w14:paraId="67ABF2E0" w14:textId="77777777" w:rsidTr="00C241C4">
        <w:trPr>
          <w:trHeight w:val="255"/>
          <w:jc w:val="center"/>
        </w:trPr>
        <w:tc>
          <w:tcPr>
            <w:tcW w:w="2774" w:type="dxa"/>
            <w:tcBorders>
              <w:top w:val="single" w:sz="4" w:space="0" w:color="auto"/>
              <w:left w:val="single" w:sz="4" w:space="0" w:color="auto"/>
              <w:bottom w:val="single" w:sz="4" w:space="0" w:color="auto"/>
              <w:right w:val="single" w:sz="4" w:space="0" w:color="auto"/>
            </w:tcBorders>
            <w:noWrap/>
            <w:vAlign w:val="bottom"/>
            <w:hideMark/>
          </w:tcPr>
          <w:p w14:paraId="6F38821C" w14:textId="77777777" w:rsidR="00C241C4" w:rsidRDefault="00C241C4">
            <w:pPr>
              <w:suppressAutoHyphens w:val="0"/>
              <w:spacing w:line="240" w:lineRule="auto"/>
              <w:rPr>
                <w:rFonts w:eastAsia="MS Mincho"/>
                <w:lang w:eastAsia="ja-JP"/>
              </w:rPr>
            </w:pPr>
            <w:r>
              <w:rPr>
                <w:rFonts w:ascii="Calibri" w:hAnsi="Calibri" w:cs="Calibri"/>
                <w:color w:val="000000"/>
              </w:rPr>
              <w:t xml:space="preserve">Pierre </w:t>
            </w:r>
            <w:proofErr w:type="spellStart"/>
            <w:r>
              <w:rPr>
                <w:rFonts w:ascii="Calibri" w:hAnsi="Calibri" w:cs="Calibri"/>
                <w:color w:val="000000"/>
              </w:rPr>
              <w:t>Thebault</w:t>
            </w:r>
            <w:proofErr w:type="spellEnd"/>
          </w:p>
        </w:tc>
        <w:tc>
          <w:tcPr>
            <w:tcW w:w="2711" w:type="dxa"/>
            <w:tcBorders>
              <w:top w:val="single" w:sz="4" w:space="0" w:color="auto"/>
              <w:left w:val="single" w:sz="4" w:space="0" w:color="auto"/>
              <w:bottom w:val="single" w:sz="4" w:space="0" w:color="auto"/>
              <w:right w:val="single" w:sz="4" w:space="0" w:color="auto"/>
            </w:tcBorders>
            <w:noWrap/>
            <w:vAlign w:val="bottom"/>
            <w:hideMark/>
          </w:tcPr>
          <w:p w14:paraId="65E45345" w14:textId="77777777" w:rsidR="00C241C4" w:rsidRDefault="00C241C4">
            <w:pPr>
              <w:suppressAutoHyphens w:val="0"/>
              <w:spacing w:line="240" w:lineRule="auto"/>
            </w:pPr>
            <w:r>
              <w:rPr>
                <w:rFonts w:ascii="Calibri" w:hAnsi="Calibri" w:cs="Calibri"/>
                <w:color w:val="000000"/>
              </w:rPr>
              <w:t>SAAMI</w:t>
            </w:r>
          </w:p>
        </w:tc>
        <w:tc>
          <w:tcPr>
            <w:tcW w:w="3745" w:type="dxa"/>
            <w:tcBorders>
              <w:top w:val="single" w:sz="4" w:space="0" w:color="auto"/>
              <w:left w:val="single" w:sz="4" w:space="0" w:color="auto"/>
              <w:bottom w:val="single" w:sz="4" w:space="0" w:color="auto"/>
              <w:right w:val="single" w:sz="4" w:space="0" w:color="auto"/>
            </w:tcBorders>
            <w:noWrap/>
            <w:vAlign w:val="center"/>
            <w:hideMark/>
          </w:tcPr>
          <w:p w14:paraId="035B7BE0" w14:textId="77777777" w:rsidR="00C241C4" w:rsidRDefault="00C241C4">
            <w:pPr>
              <w:suppressAutoHyphens w:val="0"/>
              <w:spacing w:line="240" w:lineRule="auto"/>
            </w:pPr>
            <w:r>
              <w:rPr>
                <w:rFonts w:ascii="Calibri" w:hAnsi="Calibri" w:cs="Calibri"/>
                <w:color w:val="000000"/>
              </w:rPr>
              <w:t>pthebault@pyroconsultant.com</w:t>
            </w:r>
          </w:p>
        </w:tc>
      </w:tr>
    </w:tbl>
    <w:p w14:paraId="4A91658C" w14:textId="77777777" w:rsidR="00C241C4" w:rsidRDefault="00C241C4" w:rsidP="00C241C4">
      <w:pPr>
        <w:rPr>
          <w:lang w:val="en-US"/>
        </w:rPr>
      </w:pPr>
    </w:p>
    <w:p w14:paraId="099B680B" w14:textId="77777777" w:rsidR="00C241C4" w:rsidRDefault="00C241C4" w:rsidP="00C241C4">
      <w:r>
        <w:rPr>
          <w:rFonts w:eastAsia="MS Mincho"/>
          <w:lang w:eastAsia="ja-JP"/>
        </w:rPr>
        <w:br w:type="page"/>
      </w:r>
    </w:p>
    <w:p w14:paraId="4C59AE4C" w14:textId="77777777" w:rsidR="00727F27" w:rsidRDefault="00C241C4" w:rsidP="00C241C4">
      <w:pPr>
        <w:pStyle w:val="HChG"/>
        <w:pageBreakBefore/>
        <w:ind w:left="0" w:right="43" w:firstLine="0"/>
        <w:rPr>
          <w:rFonts w:eastAsia="MS Mincho"/>
          <w:szCs w:val="28"/>
          <w:lang w:eastAsia="ja-JP"/>
        </w:rPr>
      </w:pPr>
      <w:bookmarkStart w:id="8" w:name="_Hlk56596257"/>
      <w:bookmarkEnd w:id="4"/>
      <w:bookmarkEnd w:id="5"/>
      <w:bookmarkEnd w:id="7"/>
      <w:r>
        <w:rPr>
          <w:rFonts w:eastAsia="MS Mincho"/>
          <w:szCs w:val="28"/>
          <w:lang w:eastAsia="ja-JP"/>
        </w:rPr>
        <w:lastRenderedPageBreak/>
        <w:t>Annex 2</w:t>
      </w:r>
    </w:p>
    <w:p w14:paraId="29F3369A" w14:textId="7E6B21E5" w:rsidR="00C241C4" w:rsidRDefault="00EB03DC" w:rsidP="002F1760">
      <w:pPr>
        <w:pStyle w:val="HChG"/>
        <w:keepNext w:val="0"/>
        <w:keepLines w:val="0"/>
        <w:ind w:right="43"/>
        <w:rPr>
          <w:rFonts w:eastAsia="MS Mincho"/>
          <w:szCs w:val="28"/>
          <w:lang w:eastAsia="ja-JP"/>
        </w:rPr>
      </w:pPr>
      <w:r>
        <w:rPr>
          <w:rFonts w:eastAsia="MS Mincho"/>
          <w:szCs w:val="28"/>
          <w:lang w:eastAsia="ja-JP"/>
        </w:rPr>
        <w:tab/>
      </w:r>
      <w:r>
        <w:rPr>
          <w:rFonts w:eastAsia="MS Mincho"/>
          <w:szCs w:val="28"/>
          <w:lang w:eastAsia="ja-JP"/>
        </w:rPr>
        <w:tab/>
      </w:r>
      <w:r w:rsidR="00C241C4">
        <w:rPr>
          <w:rFonts w:eastAsia="MS Mincho"/>
          <w:szCs w:val="28"/>
          <w:lang w:eastAsia="ja-JP"/>
        </w:rPr>
        <w:t>Working Group on Explosives (</w:t>
      </w:r>
      <w:r w:rsidR="00C241C4">
        <w:rPr>
          <w:rFonts w:eastAsia="MS Mincho"/>
          <w:bCs/>
          <w:szCs w:val="28"/>
          <w:lang w:eastAsia="ja-JP"/>
        </w:rPr>
        <w:t>14 – 16 and 18 June 2021</w:t>
      </w:r>
      <w:r w:rsidR="00C241C4">
        <w:rPr>
          <w:rFonts w:eastAsia="MS Mincho"/>
          <w:szCs w:val="28"/>
          <w:lang w:eastAsia="ja-JP"/>
        </w:rPr>
        <w:t>)</w:t>
      </w:r>
      <w:r w:rsidR="00C241C4">
        <w:rPr>
          <w:rFonts w:eastAsia="MS Mincho"/>
          <w:szCs w:val="28"/>
          <w:lang w:eastAsia="ja-JP"/>
        </w:rPr>
        <w:br/>
      </w:r>
      <w:bookmarkStart w:id="9" w:name="_Hlk56602230"/>
      <w:bookmarkEnd w:id="8"/>
      <w:r w:rsidR="00C241C4">
        <w:rPr>
          <w:rFonts w:eastAsia="MS Mincho"/>
          <w:szCs w:val="28"/>
          <w:lang w:eastAsia="ja-JP"/>
        </w:rPr>
        <w:t>Changes for the Manual of Tests and Criteria (7</w:t>
      </w:r>
      <w:r w:rsidR="00C241C4">
        <w:rPr>
          <w:rFonts w:eastAsia="MS Mincho"/>
          <w:szCs w:val="28"/>
          <w:vertAlign w:val="superscript"/>
          <w:lang w:eastAsia="ja-JP"/>
        </w:rPr>
        <w:t>th</w:t>
      </w:r>
      <w:r w:rsidR="00C241C4">
        <w:rPr>
          <w:rFonts w:eastAsia="MS Mincho"/>
          <w:szCs w:val="28"/>
          <w:lang w:eastAsia="ja-JP"/>
        </w:rPr>
        <w:t xml:space="preserve"> Revised Edition)</w:t>
      </w:r>
    </w:p>
    <w:p w14:paraId="72828C28" w14:textId="77777777" w:rsidR="00C241C4" w:rsidRDefault="00C241C4" w:rsidP="00EB03DC">
      <w:pPr>
        <w:tabs>
          <w:tab w:val="left" w:pos="720"/>
        </w:tabs>
        <w:spacing w:line="240" w:lineRule="auto"/>
        <w:ind w:right="43"/>
        <w:rPr>
          <w:b/>
        </w:rPr>
      </w:pPr>
      <w:r>
        <w:rPr>
          <w:rFonts w:eastAsia="MS Mincho"/>
          <w:lang w:eastAsia="ja-JP"/>
        </w:rPr>
        <w:t xml:space="preserve">Notes:  Source of proposed change is indicated by </w:t>
      </w:r>
      <w:r>
        <w:rPr>
          <w:rFonts w:eastAsia="MS Mincho"/>
          <w:i/>
          <w:lang w:eastAsia="ja-JP"/>
        </w:rPr>
        <w:t>italicized text (Source:  XXX)</w:t>
      </w:r>
      <w:r>
        <w:rPr>
          <w:b/>
        </w:rPr>
        <w:t xml:space="preserve">  </w:t>
      </w:r>
    </w:p>
    <w:p w14:paraId="1547CF0C" w14:textId="77777777" w:rsidR="00C241C4" w:rsidRDefault="00C241C4" w:rsidP="00EB03DC">
      <w:pPr>
        <w:tabs>
          <w:tab w:val="left" w:pos="630"/>
        </w:tabs>
        <w:spacing w:line="240" w:lineRule="auto"/>
        <w:ind w:right="43"/>
      </w:pPr>
      <w:r>
        <w:rPr>
          <w:color w:val="FF0000"/>
        </w:rPr>
        <w:tab/>
      </w:r>
      <w:r>
        <w:rPr>
          <w:strike/>
          <w:color w:val="FF0000"/>
        </w:rPr>
        <w:t>Red</w:t>
      </w:r>
      <w:r>
        <w:t xml:space="preserve"> indicates deleted text</w:t>
      </w:r>
    </w:p>
    <w:p w14:paraId="7EDEC437" w14:textId="77777777" w:rsidR="00C241C4" w:rsidRDefault="00C241C4" w:rsidP="00EB03DC">
      <w:pPr>
        <w:tabs>
          <w:tab w:val="left" w:pos="630"/>
        </w:tabs>
        <w:spacing w:after="120" w:line="240" w:lineRule="auto"/>
        <w:ind w:right="43"/>
        <w:rPr>
          <w:rFonts w:eastAsia="MS Mincho"/>
          <w:lang w:eastAsia="ja-JP"/>
        </w:rPr>
      </w:pPr>
      <w:r>
        <w:rPr>
          <w:color w:val="0070C0"/>
        </w:rPr>
        <w:tab/>
        <w:t xml:space="preserve">Blue </w:t>
      </w:r>
      <w:r>
        <w:t>indicates inserted text</w:t>
      </w:r>
    </w:p>
    <w:bookmarkEnd w:id="9"/>
    <w:p w14:paraId="431A6F69" w14:textId="77777777" w:rsidR="00C241C4" w:rsidRDefault="00C241C4" w:rsidP="00EB03DC">
      <w:pPr>
        <w:pStyle w:val="SingleTxtG"/>
        <w:numPr>
          <w:ilvl w:val="0"/>
          <w:numId w:val="28"/>
        </w:numPr>
        <w:pBdr>
          <w:top w:val="single" w:sz="4" w:space="1" w:color="auto"/>
        </w:pBdr>
        <w:spacing w:line="240" w:lineRule="auto"/>
        <w:ind w:right="43"/>
        <w:rPr>
          <w:b/>
        </w:rPr>
      </w:pPr>
    </w:p>
    <w:p w14:paraId="6830EBAE" w14:textId="77777777" w:rsidR="00C241C4" w:rsidRDefault="00C241C4" w:rsidP="00EB03DC">
      <w:pPr>
        <w:pStyle w:val="SingleTxtG"/>
        <w:spacing w:line="240" w:lineRule="auto"/>
        <w:ind w:left="0" w:right="43"/>
      </w:pPr>
      <w:r>
        <w:rPr>
          <w:b/>
          <w:u w:val="single"/>
        </w:rPr>
        <w:t>Section 16.6.1.4.8</w:t>
      </w:r>
      <w:r>
        <w:rPr>
          <w:b/>
        </w:rPr>
        <w:t xml:space="preserve"> </w:t>
      </w:r>
      <w:r>
        <w:t>– Amend the description of parameters for the thermal flux calculation following Table 16.2 as shown:</w:t>
      </w:r>
    </w:p>
    <w:p w14:paraId="37CE5890" w14:textId="77777777" w:rsidR="00C241C4" w:rsidRDefault="00C241C4" w:rsidP="00EB03DC">
      <w:pPr>
        <w:pStyle w:val="SingleTxtG"/>
        <w:spacing w:after="0"/>
        <w:ind w:left="1701" w:right="0"/>
      </w:pPr>
      <w:r>
        <w:t>F = thermal flux in kW/m</w:t>
      </w:r>
      <w:r>
        <w:rPr>
          <w:vertAlign w:val="superscript"/>
        </w:rPr>
        <w:t>2</w:t>
      </w:r>
      <w:r>
        <w:t>;</w:t>
      </w:r>
    </w:p>
    <w:p w14:paraId="02286ACD" w14:textId="77777777" w:rsidR="00C241C4" w:rsidRDefault="00C241C4" w:rsidP="00EB03DC">
      <w:pPr>
        <w:pStyle w:val="SingleTxtG"/>
        <w:spacing w:after="0"/>
        <w:ind w:left="1701" w:right="0"/>
      </w:pPr>
      <w:r>
        <w:t>C = constant=0.33;</w:t>
      </w:r>
    </w:p>
    <w:p w14:paraId="6395EFD2" w14:textId="77777777" w:rsidR="00C241C4" w:rsidRDefault="00C241C4" w:rsidP="00EB03DC">
      <w:pPr>
        <w:pStyle w:val="SingleTxtG"/>
        <w:spacing w:after="0"/>
        <w:ind w:left="1701" w:right="0"/>
      </w:pPr>
      <w:r>
        <w:t xml:space="preserve">E = total energy content in </w:t>
      </w:r>
      <w:proofErr w:type="spellStart"/>
      <w:r>
        <w:rPr>
          <w:color w:val="0070C0"/>
        </w:rPr>
        <w:t>kJ</w:t>
      </w:r>
      <w:r>
        <w:rPr>
          <w:strike/>
          <w:color w:val="FF0000"/>
        </w:rPr>
        <w:t>joules</w:t>
      </w:r>
      <w:proofErr w:type="spellEnd"/>
      <w:r>
        <w:t>;</w:t>
      </w:r>
    </w:p>
    <w:p w14:paraId="0A1E31B9" w14:textId="77777777" w:rsidR="00C241C4" w:rsidRDefault="00C241C4" w:rsidP="00EB03DC">
      <w:pPr>
        <w:pStyle w:val="SingleTxtG"/>
        <w:spacing w:after="0"/>
        <w:ind w:left="1701" w:right="0"/>
      </w:pPr>
      <w:r>
        <w:t>R = distance from fire to exposed position in meters;</w:t>
      </w:r>
    </w:p>
    <w:p w14:paraId="436635F0" w14:textId="77777777" w:rsidR="00C241C4" w:rsidRDefault="00C241C4" w:rsidP="00EB03DC">
      <w:pPr>
        <w:pStyle w:val="MBodyTxt"/>
        <w:tabs>
          <w:tab w:val="left" w:pos="900"/>
        </w:tabs>
        <w:spacing w:after="120"/>
        <w:ind w:left="1701" w:right="432"/>
        <w:rPr>
          <w:rFonts w:asciiTheme="majorBidi" w:hAnsiTheme="majorBidi" w:cstheme="majorBidi"/>
          <w:sz w:val="20"/>
          <w:szCs w:val="20"/>
        </w:rPr>
      </w:pPr>
      <w:r>
        <w:rPr>
          <w:strike/>
          <w:color w:val="FF0000"/>
          <w:sz w:val="20"/>
          <w:szCs w:val="20"/>
        </w:rPr>
        <w:t>T</w:t>
      </w:r>
      <w:r>
        <w:rPr>
          <w:color w:val="0070C0"/>
          <w:sz w:val="20"/>
          <w:szCs w:val="20"/>
        </w:rPr>
        <w:t>t</w:t>
      </w:r>
      <w:r>
        <w:rPr>
          <w:sz w:val="20"/>
          <w:szCs w:val="20"/>
        </w:rPr>
        <w:t xml:space="preserve"> = observed burn time in second</w:t>
      </w:r>
      <w:r>
        <w:rPr>
          <w:rFonts w:asciiTheme="majorBidi" w:hAnsiTheme="majorBidi" w:cstheme="majorBidi"/>
          <w:sz w:val="20"/>
          <w:szCs w:val="20"/>
        </w:rPr>
        <w:t xml:space="preserve"> </w:t>
      </w:r>
    </w:p>
    <w:p w14:paraId="433006B6" w14:textId="77777777" w:rsidR="00C241C4" w:rsidRDefault="00C241C4" w:rsidP="00EB03DC">
      <w:pPr>
        <w:pStyle w:val="SingleTxtG"/>
        <w:spacing w:after="0" w:line="240" w:lineRule="auto"/>
        <w:ind w:left="0" w:right="43"/>
        <w:rPr>
          <w:i/>
        </w:rPr>
      </w:pPr>
      <w:r>
        <w:rPr>
          <w:i/>
        </w:rPr>
        <w:t xml:space="preserve">Source:  </w:t>
      </w:r>
      <w:hyperlink r:id="rId25" w:history="1">
        <w:r>
          <w:rPr>
            <w:rStyle w:val="Lienhypertexte"/>
            <w:i/>
            <w:iCs/>
          </w:rPr>
          <w:t>ST/SG/AC.10/C.3/2021/19</w:t>
        </w:r>
      </w:hyperlink>
      <w:r>
        <w:rPr>
          <w:rStyle w:val="Lienhypertexte"/>
          <w:i/>
          <w:iCs/>
        </w:rPr>
        <w:t xml:space="preserve"> (Para. 5)</w:t>
      </w:r>
      <w:r>
        <w:rPr>
          <w:i/>
        </w:rPr>
        <w:t xml:space="preserve"> and Para. 8 of this report</w:t>
      </w:r>
    </w:p>
    <w:p w14:paraId="247E5BBF" w14:textId="77777777" w:rsidR="00C241C4" w:rsidRDefault="00C241C4" w:rsidP="00EB03DC">
      <w:pPr>
        <w:pStyle w:val="SingleTxtG"/>
        <w:numPr>
          <w:ilvl w:val="0"/>
          <w:numId w:val="28"/>
        </w:numPr>
        <w:pBdr>
          <w:top w:val="single" w:sz="4" w:space="1" w:color="auto"/>
        </w:pBdr>
        <w:spacing w:line="240" w:lineRule="auto"/>
        <w:ind w:right="43"/>
        <w:rPr>
          <w:b/>
        </w:rPr>
      </w:pPr>
    </w:p>
    <w:p w14:paraId="1E9269E2" w14:textId="77777777" w:rsidR="00C241C4" w:rsidRDefault="00C241C4" w:rsidP="00EB03DC">
      <w:pPr>
        <w:pStyle w:val="SingleTxtG"/>
        <w:spacing w:line="240" w:lineRule="auto"/>
        <w:ind w:left="0" w:right="43"/>
      </w:pPr>
      <w:proofErr w:type="spellStart"/>
      <w:r>
        <w:rPr>
          <w:b/>
          <w:u w:val="single"/>
        </w:rPr>
        <w:t>Koenen</w:t>
      </w:r>
      <w:proofErr w:type="spellEnd"/>
      <w:r>
        <w:rPr>
          <w:b/>
          <w:u w:val="single"/>
        </w:rPr>
        <w:t xml:space="preserve"> tests</w:t>
      </w:r>
      <w:r>
        <w:rPr>
          <w:b/>
        </w:rPr>
        <w:t xml:space="preserve"> </w:t>
      </w:r>
      <w:r>
        <w:t>– In sections 11.5.1.2.2 (1 (b) test), 12.5.1.2.2 (2 (b) test), 18.6.1.2.2 (8 (c) test), 25.4.1.2.2 (test E.1), 25.4.2.2.2 (test E.2), 28.3.6 (test series H), 28.4.2.3.1 (test H.2) amend the specification as shown below:</w:t>
      </w:r>
    </w:p>
    <w:p w14:paraId="71F4BF1E" w14:textId="77777777" w:rsidR="00C241C4" w:rsidRDefault="00C241C4" w:rsidP="00EB03DC">
      <w:pPr>
        <w:pStyle w:val="MBodyTxt"/>
        <w:tabs>
          <w:tab w:val="num" w:pos="360"/>
          <w:tab w:val="left" w:pos="900"/>
        </w:tabs>
        <w:spacing w:after="120"/>
        <w:ind w:right="432"/>
        <w:jc w:val="center"/>
        <w:rPr>
          <w:rFonts w:asciiTheme="majorBidi" w:hAnsiTheme="majorBidi" w:cstheme="majorBidi"/>
          <w:sz w:val="20"/>
          <w:szCs w:val="20"/>
        </w:rPr>
      </w:pPr>
      <w:r>
        <w:t xml:space="preserve">… </w:t>
      </w:r>
      <w:r>
        <w:rPr>
          <w:strike/>
          <w:color w:val="FF0000"/>
        </w:rPr>
        <w:t xml:space="preserve">apparent </w:t>
      </w:r>
      <w:r>
        <w:t>density 0.96 ± 0.</w:t>
      </w:r>
      <w:r>
        <w:rPr>
          <w:sz w:val="20"/>
          <w:szCs w:val="20"/>
          <w:lang w:val="en-US" w:eastAsia="en-US"/>
        </w:rPr>
        <w:t>02</w:t>
      </w:r>
      <w:r>
        <w:rPr>
          <w:color w:val="0070C0"/>
          <w:sz w:val="20"/>
          <w:szCs w:val="20"/>
          <w:lang w:val="en-US" w:eastAsia="en-US"/>
        </w:rPr>
        <w:t xml:space="preserve"> g/cm</w:t>
      </w:r>
      <w:r>
        <w:rPr>
          <w:color w:val="0070C0"/>
          <w:sz w:val="20"/>
          <w:szCs w:val="20"/>
          <w:vertAlign w:val="superscript"/>
          <w:lang w:val="en-US" w:eastAsia="en-US"/>
        </w:rPr>
        <w:t>3</w:t>
      </w:r>
      <w:r>
        <w:rPr>
          <w:sz w:val="20"/>
          <w:szCs w:val="20"/>
          <w:lang w:val="en-US" w:eastAsia="en-US"/>
        </w:rPr>
        <w:t xml:space="preserve"> at 20</w:t>
      </w:r>
      <w:r>
        <w:rPr>
          <w:rFonts w:ascii="Calibri" w:hAnsi="Calibri" w:cs="Calibri"/>
          <w:sz w:val="20"/>
          <w:szCs w:val="20"/>
          <w:lang w:val="en-US" w:eastAsia="en-US"/>
        </w:rPr>
        <w:t>°</w:t>
      </w:r>
      <w:r>
        <w:rPr>
          <w:sz w:val="20"/>
          <w:szCs w:val="20"/>
          <w:lang w:val="en-US" w:eastAsia="en-US"/>
        </w:rPr>
        <w:t>C</w:t>
      </w:r>
      <w:r>
        <w:rPr>
          <w:rFonts w:asciiTheme="majorBidi" w:hAnsiTheme="majorBidi" w:cstheme="majorBidi"/>
          <w:sz w:val="20"/>
          <w:szCs w:val="20"/>
        </w:rPr>
        <w:t>…</w:t>
      </w:r>
    </w:p>
    <w:p w14:paraId="5554CEB1" w14:textId="77777777" w:rsidR="00C241C4" w:rsidRDefault="00C241C4" w:rsidP="00BC0714">
      <w:pPr>
        <w:pStyle w:val="SingleTxtG"/>
        <w:spacing w:after="0" w:line="240" w:lineRule="auto"/>
        <w:ind w:left="0" w:right="43"/>
        <w:rPr>
          <w:i/>
        </w:rPr>
      </w:pPr>
      <w:r>
        <w:rPr>
          <w:i/>
        </w:rPr>
        <w:t xml:space="preserve">Source:  Para. </w:t>
      </w:r>
      <w:r w:rsidRPr="00BC0714">
        <w:rPr>
          <w:rStyle w:val="Lienhypertexte"/>
          <w:iCs/>
        </w:rPr>
        <w:t>18</w:t>
      </w:r>
      <w:r>
        <w:rPr>
          <w:i/>
        </w:rPr>
        <w:t>(a) of this report.</w:t>
      </w:r>
    </w:p>
    <w:p w14:paraId="318A529D" w14:textId="77777777" w:rsidR="00C241C4" w:rsidRDefault="00C241C4" w:rsidP="00EB03DC">
      <w:pPr>
        <w:pStyle w:val="SingleTxtG"/>
        <w:numPr>
          <w:ilvl w:val="0"/>
          <w:numId w:val="28"/>
        </w:numPr>
        <w:pBdr>
          <w:top w:val="single" w:sz="4" w:space="1" w:color="auto"/>
        </w:pBdr>
        <w:spacing w:line="240" w:lineRule="auto"/>
        <w:ind w:right="43"/>
        <w:rPr>
          <w:b/>
        </w:rPr>
      </w:pPr>
    </w:p>
    <w:p w14:paraId="2290239C" w14:textId="77777777" w:rsidR="00C241C4" w:rsidRDefault="00C241C4" w:rsidP="00EB03DC">
      <w:pPr>
        <w:pStyle w:val="SingleTxtG"/>
        <w:spacing w:after="240" w:line="240" w:lineRule="auto"/>
        <w:ind w:left="0" w:right="43"/>
      </w:pPr>
      <w:r>
        <w:rPr>
          <w:b/>
          <w:u w:val="single"/>
        </w:rPr>
        <w:t>Appendix 10</w:t>
      </w:r>
      <w:r>
        <w:rPr>
          <w:b/>
        </w:rPr>
        <w:t xml:space="preserve"> </w:t>
      </w:r>
      <w:r>
        <w:t xml:space="preserve">– In A.10.2.3.8, delete the last part of the equation “= </w:t>
      </w:r>
      <w:proofErr w:type="spellStart"/>
      <w:r>
        <w:t>C</w:t>
      </w:r>
      <w:r>
        <w:rPr>
          <w:vertAlign w:val="subscript"/>
        </w:rPr>
        <w:t>NaOH</w:t>
      </w:r>
      <w:proofErr w:type="spellEnd"/>
      <w:r>
        <w:t xml:space="preserve"> x 0.224” as shown below:</w:t>
      </w:r>
    </w:p>
    <w:p w14:paraId="0EB2D198" w14:textId="77777777" w:rsidR="00C241C4" w:rsidRDefault="00464FD2" w:rsidP="00EB03DC">
      <w:pPr>
        <w:pStyle w:val="MBodyTxt"/>
        <w:tabs>
          <w:tab w:val="num" w:pos="360"/>
        </w:tabs>
        <w:jc w:val="center"/>
        <w:rPr>
          <w:rFonts w:asciiTheme="majorBidi" w:hAnsiTheme="majorBidi" w:cstheme="majorBidi"/>
        </w:rPr>
      </w:pPr>
      <m:oMathPara>
        <m:oMath>
          <m:sSub>
            <m:sSubPr>
              <m:ctrlPr>
                <w:rPr>
                  <w:rFonts w:ascii="Cambria Math" w:hAnsi="Cambria Math" w:cstheme="majorBidi"/>
                </w:rPr>
              </m:ctrlPr>
            </m:sSubPr>
            <m:e>
              <m:r>
                <m:rPr>
                  <m:sty m:val="p"/>
                </m:rPr>
                <w:rPr>
                  <w:rFonts w:ascii="Cambria Math" w:hAnsi="Cambria Math" w:cstheme="majorBidi"/>
                </w:rPr>
                <m:t>V</m:t>
              </m:r>
            </m:e>
            <m:sub>
              <m:r>
                <m:rPr>
                  <m:sty m:val="p"/>
                </m:rPr>
                <w:rPr>
                  <w:rFonts w:ascii="Cambria Math" w:hAnsi="Cambria Math" w:cstheme="majorBidi"/>
                </w:rPr>
                <m:t>NO</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rPr>
                  </m:ctrlPr>
                </m:sSubPr>
                <m:e>
                  <m:r>
                    <m:rPr>
                      <m:sty m:val="p"/>
                    </m:rPr>
                    <w:rPr>
                      <w:rFonts w:ascii="Cambria Math" w:hAnsi="Cambria Math" w:cstheme="majorBidi"/>
                    </w:rPr>
                    <m:t>c</m:t>
                  </m:r>
                </m:e>
                <m:sub>
                  <m:r>
                    <m:rPr>
                      <m:sty m:val="p"/>
                    </m:rPr>
                    <w:rPr>
                      <w:rFonts w:ascii="Cambria Math" w:hAnsi="Cambria Math" w:cstheme="majorBidi"/>
                    </w:rPr>
                    <m:t xml:space="preserve">NaOH </m:t>
                  </m:r>
                </m:sub>
              </m:sSub>
              <m: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C</m:t>
                  </m:r>
                </m:e>
                <m:sub>
                  <m:r>
                    <m:rPr>
                      <m:sty m:val="p"/>
                    </m:rPr>
                    <w:rPr>
                      <w:rFonts w:ascii="Cambria Math" w:hAnsi="Cambria Math" w:cstheme="majorBidi"/>
                    </w:rPr>
                    <m:t xml:space="preserve">NaOH </m:t>
                  </m:r>
                </m:sub>
              </m:sSub>
              <m: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V</m:t>
                  </m:r>
                </m:e>
                <m:sub>
                  <m:r>
                    <m:rPr>
                      <m:sty m:val="p"/>
                    </m:rPr>
                    <w:rPr>
                      <w:rFonts w:ascii="Cambria Math" w:hAnsi="Cambria Math" w:cstheme="majorBidi"/>
                    </w:rPr>
                    <m:t xml:space="preserve">NO,m </m:t>
                  </m:r>
                </m:sub>
              </m:sSub>
            </m:num>
            <m:den>
              <m:sSub>
                <m:sSubPr>
                  <m:ctrlPr>
                    <w:rPr>
                      <w:rFonts w:ascii="Cambria Math" w:hAnsi="Cambria Math" w:cstheme="majorBidi"/>
                    </w:rPr>
                  </m:ctrlPr>
                </m:sSubPr>
                <m:e>
                  <m:r>
                    <m:rPr>
                      <m:sty m:val="p"/>
                    </m:rPr>
                    <w:rPr>
                      <w:rFonts w:ascii="Cambria Math" w:hAnsi="Cambria Math" w:cstheme="majorBidi"/>
                    </w:rPr>
                    <m:t>m</m:t>
                  </m:r>
                </m:e>
                <m:sub>
                  <m:r>
                    <m:rPr>
                      <m:sty m:val="p"/>
                    </m:rPr>
                    <w:rPr>
                      <w:rFonts w:ascii="Cambria Math" w:hAnsi="Cambria Math" w:cstheme="majorBidi"/>
                    </w:rPr>
                    <m:t>NC</m:t>
                  </m:r>
                </m:sub>
              </m:sSub>
            </m:den>
          </m:f>
          <m:r>
            <w:rPr>
              <w:rFonts w:ascii="Cambria Math" w:hAnsi="Cambria Math" w:cstheme="majorBidi"/>
            </w:rPr>
            <m:t xml:space="preserve">= </m:t>
          </m:r>
          <m:f>
            <m:fPr>
              <m:ctrlPr>
                <w:rPr>
                  <w:rFonts w:ascii="Cambria Math" w:hAnsi="Cambria Math" w:cstheme="majorBidi"/>
                  <w:i/>
                </w:rPr>
              </m:ctrlPr>
            </m:fPr>
            <m:num>
              <m:sSub>
                <m:sSubPr>
                  <m:ctrlPr>
                    <w:rPr>
                      <w:rFonts w:ascii="Cambria Math" w:hAnsi="Cambria Math" w:cstheme="majorBidi"/>
                    </w:rPr>
                  </m:ctrlPr>
                </m:sSubPr>
                <m:e>
                  <m:r>
                    <m:rPr>
                      <m:sty m:val="p"/>
                    </m:rPr>
                    <w:rPr>
                      <w:rFonts w:ascii="Cambria Math" w:hAnsi="Cambria Math" w:cstheme="majorBidi"/>
                    </w:rPr>
                    <m:t>C</m:t>
                  </m:r>
                </m:e>
                <m:sub>
                  <m:r>
                    <m:rPr>
                      <m:sty m:val="p"/>
                    </m:rPr>
                    <w:rPr>
                      <w:rFonts w:ascii="Cambria Math" w:hAnsi="Cambria Math" w:cstheme="majorBidi"/>
                    </w:rPr>
                    <m:t xml:space="preserve">NaOH </m:t>
                  </m:r>
                </m:sub>
              </m:sSub>
              <m:r>
                <w:rPr>
                  <w:rFonts w:ascii="Cambria Math" w:hAnsi="Cambria Math" w:cstheme="majorBidi"/>
                </w:rPr>
                <m:t>×0.224</m:t>
              </m:r>
            </m:num>
            <m:den>
              <m:sSub>
                <m:sSubPr>
                  <m:ctrlPr>
                    <w:rPr>
                      <w:rFonts w:ascii="Cambria Math" w:hAnsi="Cambria Math" w:cstheme="majorBidi"/>
                    </w:rPr>
                  </m:ctrlPr>
                </m:sSubPr>
                <m:e>
                  <m:r>
                    <m:rPr>
                      <m:sty m:val="p"/>
                    </m:rPr>
                    <w:rPr>
                      <w:rFonts w:ascii="Cambria Math" w:hAnsi="Cambria Math" w:cstheme="majorBidi"/>
                    </w:rPr>
                    <m:t>m</m:t>
                  </m:r>
                </m:e>
                <m:sub>
                  <m:r>
                    <m:rPr>
                      <m:sty m:val="p"/>
                    </m:rPr>
                    <w:rPr>
                      <w:rFonts w:ascii="Cambria Math" w:hAnsi="Cambria Math" w:cstheme="majorBidi"/>
                    </w:rPr>
                    <m:t>NC</m:t>
                  </m:r>
                </m:sub>
              </m:sSub>
            </m:den>
          </m:f>
          <m:r>
            <w:rPr>
              <w:rFonts w:ascii="Cambria Math" w:hAnsi="Cambria Math" w:cstheme="majorBidi"/>
              <w:strike/>
              <w:color w:val="FF0000"/>
            </w:rPr>
            <m:t>=</m:t>
          </m:r>
          <m:sSub>
            <m:sSubPr>
              <m:ctrlPr>
                <w:rPr>
                  <w:rFonts w:ascii="Cambria Math" w:hAnsi="Cambria Math" w:cstheme="majorBidi"/>
                  <w:strike/>
                  <w:color w:val="FF0000"/>
                </w:rPr>
              </m:ctrlPr>
            </m:sSubPr>
            <m:e>
              <m:r>
                <m:rPr>
                  <m:sty m:val="p"/>
                </m:rPr>
                <w:rPr>
                  <w:rFonts w:ascii="Cambria Math" w:hAnsi="Cambria Math" w:cstheme="majorBidi"/>
                  <w:strike/>
                  <w:color w:val="FF0000"/>
                </w:rPr>
                <m:t>C</m:t>
              </m:r>
            </m:e>
            <m:sub>
              <m:r>
                <m:rPr>
                  <m:sty m:val="p"/>
                </m:rPr>
                <w:rPr>
                  <w:rFonts w:ascii="Cambria Math" w:hAnsi="Cambria Math" w:cstheme="majorBidi"/>
                  <w:strike/>
                  <w:color w:val="FF0000"/>
                </w:rPr>
                <m:t xml:space="preserve">NaOH </m:t>
              </m:r>
            </m:sub>
          </m:sSub>
          <m:r>
            <w:rPr>
              <w:rFonts w:ascii="Cambria Math" w:hAnsi="Cambria Math" w:cstheme="majorBidi"/>
              <w:strike/>
              <w:color w:val="FF0000"/>
            </w:rPr>
            <m:t>×0.224</m:t>
          </m:r>
        </m:oMath>
      </m:oMathPara>
    </w:p>
    <w:p w14:paraId="7D1F775A" w14:textId="77777777" w:rsidR="00C241C4" w:rsidRDefault="00C241C4" w:rsidP="00EB03DC">
      <w:pPr>
        <w:pStyle w:val="MBodyTxt"/>
        <w:tabs>
          <w:tab w:val="num" w:pos="360"/>
          <w:tab w:val="left" w:pos="900"/>
        </w:tabs>
        <w:spacing w:after="120"/>
        <w:ind w:right="432"/>
        <w:jc w:val="left"/>
        <w:rPr>
          <w:rFonts w:asciiTheme="majorBidi" w:hAnsiTheme="majorBidi" w:cstheme="majorBidi"/>
          <w:sz w:val="20"/>
          <w:szCs w:val="20"/>
        </w:rPr>
      </w:pPr>
      <w:r>
        <w:rPr>
          <w:rFonts w:asciiTheme="majorBidi" w:hAnsiTheme="majorBidi" w:cstheme="majorBidi"/>
          <w:sz w:val="20"/>
          <w:szCs w:val="20"/>
        </w:rPr>
        <w:t>Replace the next equation as shown below:</w:t>
      </w:r>
    </w:p>
    <w:tbl>
      <w:tblPr>
        <w:tblStyle w:val="Grilledutableau"/>
        <w:tblW w:w="0" w:type="auto"/>
        <w:jc w:val="center"/>
        <w:tblBorders>
          <w:top w:val="none" w:sz="0" w:space="0" w:color="auto"/>
          <w:left w:val="none" w:sz="0" w:space="0" w:color="auto"/>
          <w:bottom w:val="single" w:sz="2" w:space="0" w:color="0070C0"/>
          <w:right w:val="none" w:sz="0" w:space="0" w:color="auto"/>
          <w:insideH w:val="none" w:sz="0" w:space="0" w:color="auto"/>
          <w:insideV w:val="none" w:sz="0" w:space="0" w:color="auto"/>
        </w:tblBorders>
        <w:tblLook w:val="04A0" w:firstRow="1" w:lastRow="0" w:firstColumn="1" w:lastColumn="0" w:noHBand="0" w:noVBand="1"/>
      </w:tblPr>
      <w:tblGrid>
        <w:gridCol w:w="2554"/>
        <w:gridCol w:w="2440"/>
      </w:tblGrid>
      <w:tr w:rsidR="00C241C4" w14:paraId="51D3AC53" w14:textId="77777777" w:rsidTr="00C241C4">
        <w:trPr>
          <w:jc w:val="center"/>
        </w:trPr>
        <w:tc>
          <w:tcPr>
            <w:tcW w:w="2554" w:type="dxa"/>
            <w:tcBorders>
              <w:top w:val="nil"/>
              <w:left w:val="nil"/>
              <w:bottom w:val="nil"/>
              <w:right w:val="nil"/>
            </w:tcBorders>
            <w:vAlign w:val="center"/>
            <w:hideMark/>
          </w:tcPr>
          <w:p w14:paraId="3B32AE4F" w14:textId="77777777" w:rsidR="00C241C4" w:rsidRDefault="00464FD2" w:rsidP="00EB03DC">
            <w:pPr>
              <w:pStyle w:val="MBodyTxt"/>
              <w:tabs>
                <w:tab w:val="num" w:pos="360"/>
                <w:tab w:val="left" w:pos="900"/>
              </w:tabs>
              <w:suppressAutoHyphens/>
              <w:spacing w:after="120" w:line="240" w:lineRule="atLeast"/>
              <w:ind w:right="432"/>
              <w:jc w:val="center"/>
              <w:rPr>
                <w:rFonts w:asciiTheme="majorBidi" w:hAnsiTheme="majorBidi" w:cstheme="majorBidi"/>
                <w:sz w:val="20"/>
                <w:szCs w:val="20"/>
              </w:rPr>
            </w:pPr>
            <m:oMathPara>
              <m:oMath>
                <m:sSub>
                  <m:sSubPr>
                    <m:ctrlPr>
                      <w:rPr>
                        <w:rFonts w:ascii="Cambria Math" w:hAnsi="Cambria Math" w:cstheme="majorBidi"/>
                        <w:strike/>
                        <w:color w:val="FF0000"/>
                      </w:rPr>
                    </m:ctrlPr>
                  </m:sSubPr>
                  <m:e>
                    <m:r>
                      <m:rPr>
                        <m:sty m:val="p"/>
                      </m:rPr>
                      <w:rPr>
                        <w:rFonts w:ascii="Cambria Math" w:hAnsi="Cambria Math" w:cstheme="majorBidi"/>
                        <w:strike/>
                        <w:color w:val="FF0000"/>
                      </w:rPr>
                      <m:t>V</m:t>
                    </m:r>
                  </m:e>
                  <m:sub>
                    <m:r>
                      <m:rPr>
                        <m:sty m:val="p"/>
                      </m:rPr>
                      <w:rPr>
                        <w:rFonts w:ascii="Cambria Math" w:hAnsi="Cambria Math" w:cstheme="majorBidi"/>
                        <w:strike/>
                        <w:color w:val="FF0000"/>
                      </w:rPr>
                      <m:t>NO</m:t>
                    </m:r>
                  </m:sub>
                </m:sSub>
                <m:r>
                  <w:rPr>
                    <w:rFonts w:ascii="Cambria Math" w:hAnsi="Cambria Math" w:cstheme="majorBidi"/>
                    <w:strike/>
                    <w:color w:val="FF0000"/>
                  </w:rPr>
                  <m:t>=</m:t>
                </m:r>
                <m:sSub>
                  <m:sSubPr>
                    <m:ctrlPr>
                      <w:rPr>
                        <w:rFonts w:ascii="Cambria Math" w:hAnsi="Cambria Math" w:cstheme="majorBidi"/>
                        <w:strike/>
                        <w:color w:val="FF0000"/>
                      </w:rPr>
                    </m:ctrlPr>
                  </m:sSubPr>
                  <m:e>
                    <m:r>
                      <m:rPr>
                        <m:sty m:val="p"/>
                      </m:rPr>
                      <w:rPr>
                        <w:rFonts w:ascii="Cambria Math" w:hAnsi="Cambria Math" w:cstheme="majorBidi"/>
                        <w:strike/>
                        <w:color w:val="FF0000"/>
                      </w:rPr>
                      <m:t>C</m:t>
                    </m:r>
                  </m:e>
                  <m:sub>
                    <m:r>
                      <m:rPr>
                        <m:sty m:val="p"/>
                      </m:rPr>
                      <w:rPr>
                        <w:rFonts w:ascii="Cambria Math" w:hAnsi="Cambria Math" w:cstheme="majorBidi"/>
                        <w:strike/>
                        <w:color w:val="FF0000"/>
                      </w:rPr>
                      <m:t xml:space="preserve">NaOH </m:t>
                    </m:r>
                  </m:sub>
                </m:sSub>
                <m:r>
                  <w:rPr>
                    <w:rFonts w:ascii="Cambria Math" w:hAnsi="Cambria Math" w:cstheme="majorBidi"/>
                    <w:strike/>
                    <w:color w:val="FF0000"/>
                  </w:rPr>
                  <m:t>×2.2</m:t>
                </m:r>
              </m:oMath>
            </m:oMathPara>
          </w:p>
        </w:tc>
        <w:tc>
          <w:tcPr>
            <w:tcW w:w="2440" w:type="dxa"/>
            <w:tcBorders>
              <w:top w:val="nil"/>
              <w:left w:val="nil"/>
              <w:bottom w:val="nil"/>
              <w:right w:val="nil"/>
            </w:tcBorders>
            <w:vAlign w:val="center"/>
            <w:hideMark/>
          </w:tcPr>
          <w:p w14:paraId="2255D4DB" w14:textId="77777777" w:rsidR="00C241C4" w:rsidRDefault="00464FD2" w:rsidP="00EB03DC">
            <w:pPr>
              <w:pStyle w:val="MBodyTxt"/>
              <w:tabs>
                <w:tab w:val="num" w:pos="360"/>
                <w:tab w:val="left" w:pos="900"/>
              </w:tabs>
              <w:suppressAutoHyphens/>
              <w:spacing w:after="120" w:line="240" w:lineRule="atLeast"/>
              <w:ind w:right="432"/>
              <w:jc w:val="center"/>
              <w:rPr>
                <w:rFonts w:asciiTheme="majorBidi" w:hAnsiTheme="majorBidi" w:cstheme="majorBidi"/>
                <w:sz w:val="20"/>
                <w:szCs w:val="20"/>
              </w:rPr>
            </w:pPr>
            <m:oMathPara>
              <m:oMath>
                <m:sSub>
                  <m:sSubPr>
                    <m:ctrlPr>
                      <w:rPr>
                        <w:rFonts w:ascii="Cambria Math" w:hAnsi="Cambria Math" w:cstheme="majorBidi"/>
                        <w:color w:val="0070C0"/>
                      </w:rPr>
                    </m:ctrlPr>
                  </m:sSubPr>
                  <m:e>
                    <m:r>
                      <m:rPr>
                        <m:sty m:val="p"/>
                      </m:rPr>
                      <w:rPr>
                        <w:rFonts w:ascii="Cambria Math" w:hAnsi="Cambria Math" w:cstheme="majorBidi"/>
                        <w:color w:val="0070C0"/>
                      </w:rPr>
                      <m:t>V</m:t>
                    </m:r>
                  </m:e>
                  <m:sub>
                    <m:r>
                      <m:rPr>
                        <m:sty m:val="p"/>
                      </m:rPr>
                      <w:rPr>
                        <w:rFonts w:ascii="Cambria Math" w:hAnsi="Cambria Math" w:cstheme="majorBidi"/>
                        <w:color w:val="0070C0"/>
                      </w:rPr>
                      <m:t>NO</m:t>
                    </m:r>
                  </m:sub>
                </m:sSub>
                <m:r>
                  <w:rPr>
                    <w:rFonts w:ascii="Cambria Math" w:hAnsi="Cambria Math" w:cstheme="majorBidi"/>
                    <w:color w:val="0070C0"/>
                  </w:rPr>
                  <m:t>=</m:t>
                </m:r>
                <m:f>
                  <m:fPr>
                    <m:ctrlPr>
                      <w:rPr>
                        <w:rFonts w:ascii="Cambria Math" w:hAnsi="Cambria Math" w:cstheme="majorBidi"/>
                        <w:i/>
                        <w:color w:val="0070C0"/>
                      </w:rPr>
                    </m:ctrlPr>
                  </m:fPr>
                  <m:num>
                    <m:sSub>
                      <m:sSubPr>
                        <m:ctrlPr>
                          <w:rPr>
                            <w:rFonts w:ascii="Cambria Math" w:hAnsi="Cambria Math" w:cstheme="majorBidi"/>
                            <w:color w:val="0070C0"/>
                          </w:rPr>
                        </m:ctrlPr>
                      </m:sSubPr>
                      <m:e>
                        <m:r>
                          <m:rPr>
                            <m:sty m:val="p"/>
                          </m:rPr>
                          <w:rPr>
                            <w:rFonts w:ascii="Cambria Math" w:hAnsi="Cambria Math" w:cstheme="majorBidi"/>
                            <w:color w:val="0070C0"/>
                          </w:rPr>
                          <m:t>C</m:t>
                        </m:r>
                      </m:e>
                      <m:sub>
                        <m:r>
                          <m:rPr>
                            <m:sty m:val="p"/>
                          </m:rPr>
                          <w:rPr>
                            <w:rFonts w:ascii="Cambria Math" w:hAnsi="Cambria Math" w:cstheme="majorBidi"/>
                            <w:color w:val="0070C0"/>
                          </w:rPr>
                          <m:t xml:space="preserve">NaOH </m:t>
                        </m:r>
                      </m:sub>
                    </m:sSub>
                    <m:r>
                      <w:rPr>
                        <w:rFonts w:ascii="Cambria Math" w:hAnsi="Cambria Math" w:cstheme="majorBidi"/>
                        <w:color w:val="0070C0"/>
                      </w:rPr>
                      <m:t>×2.24</m:t>
                    </m:r>
                  </m:num>
                  <m:den>
                    <m:sSub>
                      <m:sSubPr>
                        <m:ctrlPr>
                          <w:rPr>
                            <w:rFonts w:ascii="Cambria Math" w:hAnsi="Cambria Math" w:cstheme="majorBidi"/>
                            <w:color w:val="0070C0"/>
                          </w:rPr>
                        </m:ctrlPr>
                      </m:sSubPr>
                      <m:e>
                        <m:r>
                          <m:rPr>
                            <m:sty m:val="p"/>
                          </m:rPr>
                          <w:rPr>
                            <w:rFonts w:ascii="Cambria Math" w:hAnsi="Cambria Math" w:cstheme="majorBidi"/>
                            <w:color w:val="0070C0"/>
                          </w:rPr>
                          <m:t>m</m:t>
                        </m:r>
                      </m:e>
                      <m:sub>
                        <m:r>
                          <m:rPr>
                            <m:sty m:val="p"/>
                          </m:rPr>
                          <w:rPr>
                            <w:rFonts w:ascii="Cambria Math" w:hAnsi="Cambria Math" w:cstheme="majorBidi"/>
                            <w:color w:val="0070C0"/>
                          </w:rPr>
                          <m:t>NC</m:t>
                        </m:r>
                      </m:sub>
                    </m:sSub>
                  </m:den>
                </m:f>
              </m:oMath>
            </m:oMathPara>
          </w:p>
        </w:tc>
      </w:tr>
    </w:tbl>
    <w:p w14:paraId="4086D307" w14:textId="77777777" w:rsidR="00C241C4" w:rsidRDefault="00C241C4" w:rsidP="00EB03DC">
      <w:pPr>
        <w:pStyle w:val="MBodyTxt"/>
        <w:tabs>
          <w:tab w:val="num" w:pos="360"/>
          <w:tab w:val="left" w:pos="900"/>
        </w:tabs>
        <w:spacing w:after="120"/>
        <w:ind w:right="432"/>
        <w:jc w:val="left"/>
        <w:rPr>
          <w:rFonts w:asciiTheme="majorBidi" w:hAnsiTheme="majorBidi" w:cstheme="majorBidi"/>
          <w:sz w:val="20"/>
          <w:szCs w:val="20"/>
        </w:rPr>
      </w:pPr>
    </w:p>
    <w:p w14:paraId="0F5A9C72" w14:textId="2EB9A27F" w:rsidR="00C241C4" w:rsidRPr="00BC0714" w:rsidRDefault="00C241C4" w:rsidP="00EB03DC">
      <w:pPr>
        <w:pStyle w:val="SingleTxtG"/>
        <w:pBdr>
          <w:bottom w:val="single" w:sz="8" w:space="1" w:color="auto"/>
        </w:pBdr>
        <w:spacing w:after="0" w:line="240" w:lineRule="auto"/>
        <w:ind w:left="0" w:right="43"/>
        <w:rPr>
          <w:i/>
          <w:lang w:val="fr-CH"/>
        </w:rPr>
      </w:pPr>
      <w:r>
        <w:rPr>
          <w:i/>
        </w:rPr>
        <w:t>Source:  Para. 18(b) of this report</w:t>
      </w:r>
      <w:r w:rsidR="00BC0714">
        <w:rPr>
          <w:rFonts w:asciiTheme="majorBidi" w:hAnsiTheme="majorBidi" w:cstheme="majorBidi"/>
          <w:lang w:val="fr-CH"/>
        </w:rPr>
        <w:t>.</w:t>
      </w:r>
    </w:p>
    <w:p w14:paraId="18178746" w14:textId="77777777" w:rsidR="00C241C4" w:rsidRDefault="00C241C4" w:rsidP="00EB03DC">
      <w:pPr>
        <w:pStyle w:val="SingleTxtG"/>
        <w:spacing w:before="240" w:after="0"/>
        <w:jc w:val="center"/>
        <w:rPr>
          <w:u w:val="single"/>
        </w:rPr>
      </w:pPr>
      <w:r>
        <w:rPr>
          <w:u w:val="single"/>
        </w:rPr>
        <w:tab/>
      </w:r>
      <w:r>
        <w:rPr>
          <w:u w:val="single"/>
        </w:rPr>
        <w:tab/>
      </w:r>
      <w:r>
        <w:rPr>
          <w:u w:val="single"/>
        </w:rPr>
        <w:tab/>
      </w:r>
    </w:p>
    <w:p w14:paraId="59AD42DF" w14:textId="77777777" w:rsidR="00C241C4" w:rsidRDefault="00C241C4" w:rsidP="00C241C4">
      <w:pPr>
        <w:pStyle w:val="SingleTxtG"/>
        <w:keepNext/>
        <w:keepLines/>
        <w:spacing w:line="240" w:lineRule="auto"/>
        <w:ind w:left="0" w:right="43"/>
        <w:rPr>
          <w:i/>
        </w:rPr>
      </w:pPr>
    </w:p>
    <w:sectPr w:rsidR="00C241C4" w:rsidSect="009710AB">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91B6" w14:textId="77777777" w:rsidR="00464FD2" w:rsidRDefault="00464FD2"/>
  </w:endnote>
  <w:endnote w:type="continuationSeparator" w:id="0">
    <w:p w14:paraId="62BA01F5" w14:textId="77777777" w:rsidR="00464FD2" w:rsidRDefault="00464FD2"/>
  </w:endnote>
  <w:endnote w:type="continuationNotice" w:id="1">
    <w:p w14:paraId="718C38A4" w14:textId="77777777" w:rsidR="00464FD2" w:rsidRDefault="0046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F30A" w14:textId="77777777" w:rsidR="005E2425" w:rsidRDefault="005E24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293E" w14:textId="77777777" w:rsidR="00464FD2" w:rsidRPr="000B175B" w:rsidRDefault="00464FD2" w:rsidP="000B175B">
      <w:pPr>
        <w:tabs>
          <w:tab w:val="right" w:pos="2155"/>
        </w:tabs>
        <w:spacing w:after="80"/>
        <w:ind w:left="680"/>
        <w:rPr>
          <w:u w:val="single"/>
        </w:rPr>
      </w:pPr>
      <w:r>
        <w:rPr>
          <w:u w:val="single"/>
        </w:rPr>
        <w:tab/>
      </w:r>
    </w:p>
  </w:footnote>
  <w:footnote w:type="continuationSeparator" w:id="0">
    <w:p w14:paraId="703E1C3D" w14:textId="77777777" w:rsidR="00464FD2" w:rsidRPr="00FC68B7" w:rsidRDefault="00464FD2" w:rsidP="00FC68B7">
      <w:pPr>
        <w:tabs>
          <w:tab w:val="left" w:pos="2155"/>
        </w:tabs>
        <w:spacing w:after="80"/>
        <w:ind w:left="680"/>
        <w:rPr>
          <w:u w:val="single"/>
        </w:rPr>
      </w:pPr>
      <w:r>
        <w:rPr>
          <w:u w:val="single"/>
        </w:rPr>
        <w:tab/>
      </w:r>
    </w:p>
  </w:footnote>
  <w:footnote w:type="continuationNotice" w:id="1">
    <w:p w14:paraId="1810D270" w14:textId="77777777" w:rsidR="00464FD2" w:rsidRDefault="00464FD2"/>
  </w:footnote>
  <w:footnote w:id="2">
    <w:p w14:paraId="66EB58EC" w14:textId="77777777" w:rsidR="00C241C4" w:rsidRDefault="00C241C4" w:rsidP="00C241C4">
      <w:pPr>
        <w:pStyle w:val="Notedebasdepage"/>
        <w:ind w:hanging="954"/>
        <w:rPr>
          <w:rStyle w:val="Appelnotedebasdep"/>
        </w:rPr>
      </w:pPr>
      <w:r>
        <w:rPr>
          <w:rStyle w:val="Appelnotedebasdep"/>
        </w:rPr>
        <w:footnoteRef/>
      </w:r>
      <w:r>
        <w:rPr>
          <w:rStyle w:val="Appelnotedebasdep"/>
        </w:rPr>
        <w:t xml:space="preserve"> It is recognized that some experts only participated in part(s) of the session.</w:t>
      </w:r>
    </w:p>
  </w:footnote>
  <w:footnote w:id="3">
    <w:p w14:paraId="6DBF55DC" w14:textId="77777777" w:rsidR="00C241C4" w:rsidRDefault="00C241C4" w:rsidP="00C241C4">
      <w:pPr>
        <w:pStyle w:val="Notedebasdepage"/>
        <w:ind w:hanging="954"/>
      </w:pPr>
      <w:r>
        <w:rPr>
          <w:rStyle w:val="Appelnotedebasdep"/>
        </w:rPr>
        <w:footnoteRef/>
      </w:r>
      <w:r>
        <w:t xml:space="preserve"> </w:t>
      </w:r>
      <w:r>
        <w:t>ST/SG/AC.10/C.3/115/Add.1</w:t>
      </w:r>
    </w:p>
  </w:footnote>
  <w:footnote w:id="4">
    <w:p w14:paraId="604DC9FD" w14:textId="77777777" w:rsidR="00C241C4" w:rsidRDefault="00C241C4" w:rsidP="00C241C4">
      <w:pPr>
        <w:pStyle w:val="Notedebasdepage"/>
      </w:pPr>
      <w:r>
        <w:rPr>
          <w:rStyle w:val="Appelnotedebasdep"/>
        </w:rPr>
        <w:footnoteRef/>
      </w:r>
      <w:r>
        <w:t xml:space="preserve"> </w:t>
      </w:r>
      <w:r>
        <w:rPr>
          <w:lang w:val="en-GB"/>
        </w:rPr>
        <w:t>It is recognized that some experts only participated in part(s) of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C5821E0"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5E2425">
      <w:rPr>
        <w:b/>
        <w:b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30C4C44"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E2425">
      <w:rPr>
        <w:b/>
        <w:bCs/>
        <w:sz w:val="18"/>
        <w:szCs w:val="18"/>
      </w:rPr>
      <w:t>3</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7"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8"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19"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1"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0"/>
  </w:num>
  <w:num w:numId="14">
    <w:abstractNumId w:val="24"/>
  </w:num>
  <w:num w:numId="15">
    <w:abstractNumId w:val="26"/>
  </w:num>
  <w:num w:numId="16">
    <w:abstractNumId w:val="11"/>
  </w:num>
  <w:num w:numId="17">
    <w:abstractNumId w:val="15"/>
  </w:num>
  <w:num w:numId="18">
    <w:abstractNumId w:val="16"/>
  </w:num>
  <w:num w:numId="19">
    <w:abstractNumId w:val="14"/>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7"/>
  </w:num>
  <w:num w:numId="25">
    <w:abstractNumId w:val="25"/>
  </w:num>
  <w:num w:numId="26">
    <w:abstractNumId w:val="20"/>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2B85"/>
    <w:rsid w:val="00033414"/>
    <w:rsid w:val="0003375D"/>
    <w:rsid w:val="00043180"/>
    <w:rsid w:val="00045941"/>
    <w:rsid w:val="000504CE"/>
    <w:rsid w:val="00050922"/>
    <w:rsid w:val="00050F6B"/>
    <w:rsid w:val="00053492"/>
    <w:rsid w:val="000556F5"/>
    <w:rsid w:val="0005710C"/>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316D"/>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8C9"/>
    <w:rsid w:val="003C2CC4"/>
    <w:rsid w:val="003C4369"/>
    <w:rsid w:val="003C655D"/>
    <w:rsid w:val="003C6CFB"/>
    <w:rsid w:val="003D1BF8"/>
    <w:rsid w:val="003D23B5"/>
    <w:rsid w:val="003D293B"/>
    <w:rsid w:val="003D2F59"/>
    <w:rsid w:val="003D4B23"/>
    <w:rsid w:val="003E6A6E"/>
    <w:rsid w:val="003F23A4"/>
    <w:rsid w:val="003F3A8A"/>
    <w:rsid w:val="003F54D8"/>
    <w:rsid w:val="003F5B52"/>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3C15"/>
    <w:rsid w:val="004A52F4"/>
    <w:rsid w:val="004B25F8"/>
    <w:rsid w:val="004B2C9D"/>
    <w:rsid w:val="004B5939"/>
    <w:rsid w:val="004B73D6"/>
    <w:rsid w:val="004B7537"/>
    <w:rsid w:val="004C0BF6"/>
    <w:rsid w:val="004C39D0"/>
    <w:rsid w:val="004C4F1A"/>
    <w:rsid w:val="004C6D6D"/>
    <w:rsid w:val="004D27A5"/>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29"/>
    <w:rsid w:val="005470EF"/>
    <w:rsid w:val="005475D4"/>
    <w:rsid w:val="00552CEE"/>
    <w:rsid w:val="00555CDB"/>
    <w:rsid w:val="00555FEA"/>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B09F0"/>
    <w:rsid w:val="005B0CED"/>
    <w:rsid w:val="005B3DB3"/>
    <w:rsid w:val="005B528A"/>
    <w:rsid w:val="005B6088"/>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632A"/>
    <w:rsid w:val="00727720"/>
    <w:rsid w:val="00727F27"/>
    <w:rsid w:val="00734B63"/>
    <w:rsid w:val="00734F20"/>
    <w:rsid w:val="00736E6A"/>
    <w:rsid w:val="00741F59"/>
    <w:rsid w:val="007427C1"/>
    <w:rsid w:val="00745598"/>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CDB"/>
    <w:rsid w:val="007A334C"/>
    <w:rsid w:val="007A44D6"/>
    <w:rsid w:val="007A62EC"/>
    <w:rsid w:val="007A737C"/>
    <w:rsid w:val="007B06F2"/>
    <w:rsid w:val="007B1A7E"/>
    <w:rsid w:val="007B2BA8"/>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2A54"/>
    <w:rsid w:val="007F5104"/>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2A1D"/>
    <w:rsid w:val="008330A1"/>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B013E6"/>
    <w:rsid w:val="00B027F5"/>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0714"/>
    <w:rsid w:val="00BC43AB"/>
    <w:rsid w:val="00BC5CA8"/>
    <w:rsid w:val="00BC6FCC"/>
    <w:rsid w:val="00BC74E9"/>
    <w:rsid w:val="00BD2077"/>
    <w:rsid w:val="00BD3308"/>
    <w:rsid w:val="00BE1FF8"/>
    <w:rsid w:val="00BE382C"/>
    <w:rsid w:val="00BE50CA"/>
    <w:rsid w:val="00BE618E"/>
    <w:rsid w:val="00BF16FB"/>
    <w:rsid w:val="00C015FE"/>
    <w:rsid w:val="00C0263F"/>
    <w:rsid w:val="00C03B44"/>
    <w:rsid w:val="00C05987"/>
    <w:rsid w:val="00C135D6"/>
    <w:rsid w:val="00C13A85"/>
    <w:rsid w:val="00C14370"/>
    <w:rsid w:val="00C17563"/>
    <w:rsid w:val="00C20EC0"/>
    <w:rsid w:val="00C218A4"/>
    <w:rsid w:val="00C241C4"/>
    <w:rsid w:val="00C246E2"/>
    <w:rsid w:val="00C31519"/>
    <w:rsid w:val="00C36D37"/>
    <w:rsid w:val="00C40803"/>
    <w:rsid w:val="00C415CF"/>
    <w:rsid w:val="00C42730"/>
    <w:rsid w:val="00C463DD"/>
    <w:rsid w:val="00C4684B"/>
    <w:rsid w:val="00C46D5B"/>
    <w:rsid w:val="00C476A8"/>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D7A79"/>
    <w:rsid w:val="00CE09DE"/>
    <w:rsid w:val="00CE2D21"/>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B32"/>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D56"/>
    <w:rsid w:val="00DB7A95"/>
    <w:rsid w:val="00DD1E65"/>
    <w:rsid w:val="00DD3F15"/>
    <w:rsid w:val="00DD42A0"/>
    <w:rsid w:val="00DD725C"/>
    <w:rsid w:val="00DE15E0"/>
    <w:rsid w:val="00DE1EFB"/>
    <w:rsid w:val="00DE236F"/>
    <w:rsid w:val="00DE2969"/>
    <w:rsid w:val="00DE3ECB"/>
    <w:rsid w:val="00DE41F2"/>
    <w:rsid w:val="00DE4413"/>
    <w:rsid w:val="00DE4785"/>
    <w:rsid w:val="00DE7267"/>
    <w:rsid w:val="00DF0A4D"/>
    <w:rsid w:val="00DF3039"/>
    <w:rsid w:val="00DF3A04"/>
    <w:rsid w:val="00DF4518"/>
    <w:rsid w:val="00DF69A6"/>
    <w:rsid w:val="00E03260"/>
    <w:rsid w:val="00E07210"/>
    <w:rsid w:val="00E130AB"/>
    <w:rsid w:val="00E160F2"/>
    <w:rsid w:val="00E1679E"/>
    <w:rsid w:val="00E239A0"/>
    <w:rsid w:val="00E247BA"/>
    <w:rsid w:val="00E3141C"/>
    <w:rsid w:val="00E33D2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81230"/>
    <w:rsid w:val="00E82A4A"/>
    <w:rsid w:val="00E8535A"/>
    <w:rsid w:val="00E859FF"/>
    <w:rsid w:val="00E864BE"/>
    <w:rsid w:val="00E90647"/>
    <w:rsid w:val="00E90B62"/>
    <w:rsid w:val="00E9396C"/>
    <w:rsid w:val="00E96630"/>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3F63"/>
    <w:rsid w:val="00F64C95"/>
    <w:rsid w:val="00F742D7"/>
    <w:rsid w:val="00F75E96"/>
    <w:rsid w:val="00F87B50"/>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rthet\AppData\Local\Microsoft\Windows\INetCache\Content.Outlook\C0P6ATNC\UN-SCETDG-58-INFXXe%20(FINAL).docx" TargetMode="External"/><Relationship Id="rId18" Type="http://schemas.openxmlformats.org/officeDocument/2006/relationships/hyperlink" Target="file:///C:\Users\Berthet\AppData\Local\Microsoft\Windows\INetCache\Content.Outlook\C0P6ATNC\UN-SCETDG-58-INFXXe%20(FINAL).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ece.org/sites/default/files/2021-04/ST-SG-AC.10-C.3-2021-19e.docx" TargetMode="External"/><Relationship Id="rId7" Type="http://schemas.openxmlformats.org/officeDocument/2006/relationships/settings" Target="settings.xml"/><Relationship Id="rId12" Type="http://schemas.openxmlformats.org/officeDocument/2006/relationships/hyperlink" Target="file:///C:\Users\Berthet\AppData\Local\Microsoft\Windows\INetCache\Content.Outlook\C0P6ATNC\UN-SCETDG-58-INFXXe%20(FINAL).docx" TargetMode="External"/><Relationship Id="rId17" Type="http://schemas.openxmlformats.org/officeDocument/2006/relationships/hyperlink" Target="file:///C:\Users\Berthet\AppData\Local\Microsoft\Windows\INetCache\Content.Outlook\C0P6ATNC\UN-SCETDG-58-INFXXe%20(FINAL).docx" TargetMode="External"/><Relationship Id="rId25" Type="http://schemas.openxmlformats.org/officeDocument/2006/relationships/hyperlink" Target="file:///H:\UN\undocs\AC10\C3\2020\57th%20Session\ST-SG-AC10-C3-2020-17e.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Berthet\AppData\Local\Microsoft\Windows\INetCache\Content.Outlook\C0P6ATNC\UN-SCETDG-58-INFXXe%20(FINAL).docx" TargetMode="External"/><Relationship Id="rId20" Type="http://schemas.openxmlformats.org/officeDocument/2006/relationships/hyperlink" Target="https://unece.org/sites/default/files/2021-04/ST-SG-AC.10-C.3-2021-15e_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erthet\AppData\Local\Microsoft\Windows\INetCache\Content.Outlook\C0P6ATNC\UN-SCETDG-58-INFXXe%20(FINAL).docx" TargetMode="External"/><Relationship Id="rId24" Type="http://schemas.openxmlformats.org/officeDocument/2006/relationships/hyperlink" Target="https://unece.org/sites/default/files/2021-04/ST-SG-AC.10-C.3-2021-27e.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Berthet\AppData\Local\Microsoft\Windows\INetCache\Content.Outlook\C0P6ATNC\UN-SCETDG-58-INFXXe%20(FINAL).docx" TargetMode="External"/><Relationship Id="rId23" Type="http://schemas.openxmlformats.org/officeDocument/2006/relationships/hyperlink" Target="https://unece.org/sites/default/files/2021-04/ST-SG-AC.10-C.3-2021-27e.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sites/default/files/2021-04/ST-SG-AC.10-C.3-2021-14e.doc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erthet\AppData\Local\Microsoft\Windows\INetCache\Content.Outlook\C0P6ATNC\UN-SCETDG-58-INFXXe%20(FINAL).docx" TargetMode="External"/><Relationship Id="rId22" Type="http://schemas.openxmlformats.org/officeDocument/2006/relationships/hyperlink" Target="https://unece.org/sites/default/files/2021-04/ST-SG-AC.10-C.3-2021-13e.docx"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52</TotalTime>
  <Pages>13</Pages>
  <Words>5374</Words>
  <Characters>30636</Characters>
  <Application>Microsoft Office Word</Application>
  <DocSecurity>0</DocSecurity>
  <Lines>255</Lines>
  <Paragraphs>71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52</cp:revision>
  <cp:lastPrinted>2021-06-15T10:55:00Z</cp:lastPrinted>
  <dcterms:created xsi:type="dcterms:W3CDTF">2021-06-18T19:23:00Z</dcterms:created>
  <dcterms:modified xsi:type="dcterms:W3CDTF">2021-06-18T20:50:00Z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