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22FD33DB"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AF04FA">
              <w:rPr>
                <w:b/>
                <w:sz w:val="40"/>
                <w:szCs w:val="40"/>
              </w:rPr>
              <w:t>2</w:t>
            </w:r>
            <w:r w:rsidR="009B78B2">
              <w:rPr>
                <w:b/>
                <w:sz w:val="40"/>
                <w:szCs w:val="40"/>
              </w:rPr>
              <w:t>2</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1DD7B46C"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B82563">
              <w:rPr>
                <w:b/>
              </w:rPr>
              <w:t>1</w:t>
            </w:r>
            <w:r w:rsidR="00FD053A">
              <w:rPr>
                <w:b/>
              </w:rPr>
              <w:t>6</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5E560F8A" w:rsidR="00006E29" w:rsidRPr="00E44D34" w:rsidRDefault="00006E29" w:rsidP="00597048">
            <w:pPr>
              <w:rPr>
                <w:b/>
              </w:rPr>
            </w:pPr>
            <w:r w:rsidRPr="00345772">
              <w:t>Geneva, 28 June-2 July 2021</w:t>
            </w:r>
            <w:r w:rsidRPr="00345772">
              <w:br/>
            </w:r>
            <w:r w:rsidRPr="00345772">
              <w:rPr>
                <w:lang w:val="en-US"/>
              </w:rPr>
              <w:t xml:space="preserve">Item </w:t>
            </w:r>
            <w:r w:rsidR="00745598">
              <w:rPr>
                <w:lang w:val="en-US"/>
              </w:rPr>
              <w:t>6</w:t>
            </w:r>
            <w:r w:rsidR="00DA498B">
              <w:rPr>
                <w:lang w:val="en-US"/>
              </w:rPr>
              <w:t xml:space="preserve"> (</w:t>
            </w:r>
            <w:r w:rsidR="00745598">
              <w:rPr>
                <w:lang w:val="en-US"/>
              </w:rPr>
              <w:t>b</w:t>
            </w:r>
            <w:r w:rsidR="00DA498B">
              <w:rPr>
                <w:lang w:val="en-US"/>
              </w:rPr>
              <w:t>)</w:t>
            </w:r>
            <w:r w:rsidRPr="00345772">
              <w:rPr>
                <w:lang w:val="en-US"/>
              </w:rPr>
              <w:t xml:space="preserve"> of the provisional agenda</w:t>
            </w:r>
            <w:r>
              <w:rPr>
                <w:lang w:val="en-US"/>
              </w:rPr>
              <w:br/>
            </w:r>
            <w:r w:rsidR="00491861" w:rsidRPr="007E5C1B">
              <w:rPr>
                <w:b/>
                <w:bCs/>
              </w:rPr>
              <w:t xml:space="preserve">Miscellaneous proposals for amendments to the Model Regulations </w:t>
            </w:r>
            <w:r w:rsidR="00491861" w:rsidRPr="007E5C1B">
              <w:rPr>
                <w:b/>
                <w:bCs/>
              </w:rPr>
              <w:br/>
              <w:t xml:space="preserve">on the Transport of Dangerous Goods: </w:t>
            </w:r>
            <w:r w:rsidR="007E5C1B" w:rsidRPr="007E5C1B">
              <w:rPr>
                <w:b/>
                <w:bCs/>
              </w:rPr>
              <w:t>packagings including the use of recycled plastics material</w:t>
            </w:r>
          </w:p>
        </w:tc>
      </w:tr>
    </w:tbl>
    <w:p w14:paraId="1762B2F6" w14:textId="77777777" w:rsidR="007C013C" w:rsidRDefault="007C013C" w:rsidP="007C013C">
      <w:pPr>
        <w:pStyle w:val="HChG"/>
        <w:spacing w:before="120"/>
        <w:rPr>
          <w:lang w:val="en-US"/>
        </w:rPr>
      </w:pPr>
      <w:r>
        <w:rPr>
          <w:rFonts w:eastAsia="Arial Unicode MS"/>
          <w:lang w:val="en-US"/>
        </w:rPr>
        <w:tab/>
      </w:r>
      <w:r>
        <w:rPr>
          <w:rFonts w:eastAsia="Arial Unicode MS"/>
          <w:lang w:val="en-US"/>
        </w:rPr>
        <w:tab/>
      </w:r>
      <w:r>
        <w:rPr>
          <w:rFonts w:eastAsia="Arial Unicode MS"/>
        </w:rPr>
        <w:t>Comment on ST/SG/AC.10/C.3/202</w:t>
      </w:r>
      <w:r>
        <w:rPr>
          <w:rFonts w:eastAsia="Arial Unicode MS"/>
          <w:lang w:val="en-GB"/>
        </w:rPr>
        <w:t>1</w:t>
      </w:r>
      <w:r>
        <w:rPr>
          <w:rFonts w:eastAsia="Arial Unicode MS"/>
        </w:rPr>
        <w:t>/</w:t>
      </w:r>
      <w:r>
        <w:rPr>
          <w:rFonts w:eastAsia="Arial Unicode MS"/>
          <w:lang w:val="en-GB"/>
        </w:rPr>
        <w:t>20</w:t>
      </w:r>
      <w:r>
        <w:rPr>
          <w:rFonts w:eastAsia="Arial Unicode MS"/>
        </w:rPr>
        <w:t xml:space="preserve"> - Testing the non-combustibility related to packages for lithium batteries</w:t>
      </w:r>
    </w:p>
    <w:p w14:paraId="407835E6" w14:textId="77777777" w:rsidR="007C013C" w:rsidRDefault="007C013C" w:rsidP="007C013C">
      <w:pPr>
        <w:pStyle w:val="H1G"/>
        <w:rPr>
          <w:rFonts w:eastAsia="Arial Unicode MS"/>
          <w:lang w:val="en-US"/>
        </w:rPr>
      </w:pPr>
      <w:r>
        <w:rPr>
          <w:rFonts w:eastAsia="Arial Unicode MS" w:cs="Arial Unicode MS"/>
          <w:lang w:val="en-US"/>
        </w:rPr>
        <w:tab/>
      </w:r>
      <w:r>
        <w:rPr>
          <w:rFonts w:eastAsia="Arial Unicode MS" w:cs="Arial Unicode MS"/>
          <w:lang w:val="en-US"/>
        </w:rPr>
        <w:tab/>
      </w:r>
      <w:r>
        <w:rPr>
          <w:rFonts w:eastAsia="Arial Unicode MS"/>
        </w:rPr>
        <w:t>Transmitted by the expert from Sweden</w:t>
      </w:r>
    </w:p>
    <w:p w14:paraId="5EB88AAD" w14:textId="77777777" w:rsidR="007C013C" w:rsidRDefault="007C013C" w:rsidP="007C013C">
      <w:pPr>
        <w:pStyle w:val="HChG"/>
        <w:rPr>
          <w:lang w:val="en-GB"/>
        </w:rPr>
      </w:pPr>
      <w:r>
        <w:rPr>
          <w:sz w:val="24"/>
          <w:szCs w:val="24"/>
          <w:lang w:val="en-US"/>
        </w:rPr>
        <w:tab/>
      </w:r>
      <w:r>
        <w:rPr>
          <w:lang w:eastAsia="ja-JP"/>
        </w:rPr>
        <w:tab/>
      </w:r>
      <w:r>
        <w:rPr>
          <w:lang w:val="en-GB" w:eastAsia="ja-JP"/>
        </w:rPr>
        <w:t>Introduction</w:t>
      </w:r>
    </w:p>
    <w:p w14:paraId="68ACEBAF" w14:textId="0844045B" w:rsidR="007C013C" w:rsidRDefault="007C013C" w:rsidP="007C013C">
      <w:pPr>
        <w:pStyle w:val="SingleTxtG"/>
        <w:numPr>
          <w:ilvl w:val="0"/>
          <w:numId w:val="19"/>
        </w:numPr>
        <w:tabs>
          <w:tab w:val="left" w:pos="1701"/>
        </w:tabs>
        <w:ind w:left="1134"/>
        <w:rPr>
          <w:lang w:val="en-GB"/>
        </w:rPr>
      </w:pPr>
      <w:r>
        <w:rPr>
          <w:lang w:val="en-GB"/>
        </w:rPr>
        <w:t>Sweden would like to thank Belgium for submitting document ST/SG/AC.10/C.3/2021/20. We welcome the proposal aiming to clarify the requirements on non-combustibility of the thermal insulation material and the cushioning material. Furthermore, we are also supportive to the inclusion of standard ISO 1182 in the notes to the four packing instructions as proposed.</w:t>
      </w:r>
    </w:p>
    <w:p w14:paraId="4CDA7470" w14:textId="0B591CA6" w:rsidR="007C013C" w:rsidRDefault="007C013C" w:rsidP="007C013C">
      <w:pPr>
        <w:pStyle w:val="SingleTxtG"/>
        <w:tabs>
          <w:tab w:val="left" w:pos="1701"/>
        </w:tabs>
        <w:rPr>
          <w:lang w:val="en-GB"/>
        </w:rPr>
      </w:pPr>
      <w:r>
        <w:rPr>
          <w:lang w:val="en-GB"/>
        </w:rPr>
        <w:t>2.</w:t>
      </w:r>
      <w:r>
        <w:rPr>
          <w:lang w:val="en-GB"/>
        </w:rPr>
        <w:tab/>
        <w:t>However, standard ISO 1182 only refers to how testing should be carried out and there are no actual acceptance criteria of the non-combustibility. We believe it might be appropriate to also include such criteria together with the inclusion of standard ISO 1182. According to the IMO Resolution MSC. 307(88) ”INTERNATIONAL CODE FOR APPLICATION OF FIRE TEST PROCEDURES, 2010” (”2010 FTP CODE”)</w:t>
      </w:r>
      <w:r w:rsidR="00996D7F">
        <w:rPr>
          <w:rStyle w:val="FootnoteReference"/>
          <w:lang w:val="en-GB"/>
        </w:rPr>
        <w:footnoteReference w:id="2"/>
      </w:r>
      <w:r>
        <w:rPr>
          <w:lang w:val="en-GB"/>
        </w:rPr>
        <w:t>, the determining of the non-combustibility for materials is carried out in accordance with ISO 1182, and on page 13 in the FTP CODE, there is a list of acceptance criteria that could be incorporated into the UN Model Regulations, where requirements on non-combustibility are stated.</w:t>
      </w:r>
    </w:p>
    <w:p w14:paraId="73B1BAAF" w14:textId="77777777" w:rsidR="007C013C" w:rsidRDefault="007C013C" w:rsidP="007C013C">
      <w:pPr>
        <w:pStyle w:val="SingleTxtG"/>
        <w:tabs>
          <w:tab w:val="left" w:pos="1701"/>
        </w:tabs>
        <w:rPr>
          <w:lang w:val="en-GB"/>
        </w:rPr>
      </w:pPr>
      <w:r>
        <w:rPr>
          <w:lang w:val="en-GB"/>
        </w:rPr>
        <w:t>3.</w:t>
      </w:r>
      <w:r>
        <w:rPr>
          <w:lang w:val="en-GB"/>
        </w:rPr>
        <w:tab/>
        <w:t>In addition, there are further packing instructions where the requirement concerning non-combustible cushioning material is stated. However, in these places there is no requirement for a competent authority approval of a standard. We wonder if it would be suitable to also insert a reference to standard ISO 1182 in these packing instructions as well, together with acceptance criteria.</w:t>
      </w:r>
    </w:p>
    <w:p w14:paraId="0453CF27" w14:textId="77777777" w:rsidR="007C013C" w:rsidRDefault="007C013C" w:rsidP="007C013C">
      <w:pPr>
        <w:pStyle w:val="SingleTxtG"/>
        <w:tabs>
          <w:tab w:val="left" w:pos="1701"/>
        </w:tabs>
        <w:rPr>
          <w:lang w:val="en-GB"/>
        </w:rPr>
      </w:pPr>
      <w:r>
        <w:rPr>
          <w:lang w:val="en-GB"/>
        </w:rPr>
        <w:t>4.</w:t>
      </w:r>
      <w:r>
        <w:rPr>
          <w:lang w:val="en-GB"/>
        </w:rPr>
        <w:tab/>
        <w:t>The following packing instructions contain requirements about non-combustible cushioning material:</w:t>
      </w:r>
    </w:p>
    <w:p w14:paraId="1E3EBD26" w14:textId="77777777" w:rsidR="007C013C" w:rsidRDefault="007C013C" w:rsidP="001657D3">
      <w:pPr>
        <w:pStyle w:val="Bullet1G"/>
      </w:pPr>
      <w:r>
        <w:t>- P115, PP53 and PP54;</w:t>
      </w:r>
    </w:p>
    <w:p w14:paraId="67EB1433" w14:textId="77777777" w:rsidR="007C013C" w:rsidRDefault="007C013C" w:rsidP="001657D3">
      <w:pPr>
        <w:pStyle w:val="Bullet1G"/>
      </w:pPr>
      <w:r>
        <w:t>- P301 (1) and (2);</w:t>
      </w:r>
    </w:p>
    <w:p w14:paraId="4072C79D" w14:textId="77777777" w:rsidR="007C013C" w:rsidRDefault="007C013C" w:rsidP="001657D3">
      <w:pPr>
        <w:pStyle w:val="Bullet1G"/>
      </w:pPr>
      <w:r>
        <w:t>- P400 (2) and (3);</w:t>
      </w:r>
    </w:p>
    <w:p w14:paraId="0E6098C5" w14:textId="77777777" w:rsidR="007C013C" w:rsidRDefault="007C013C" w:rsidP="001657D3">
      <w:pPr>
        <w:pStyle w:val="Bullet1G"/>
      </w:pPr>
      <w:r>
        <w:t>- P405 (1)(a)(ii);</w:t>
      </w:r>
    </w:p>
    <w:p w14:paraId="2AD18307" w14:textId="77777777" w:rsidR="007C013C" w:rsidRDefault="007C013C" w:rsidP="001657D3">
      <w:pPr>
        <w:pStyle w:val="Bullet1G"/>
      </w:pPr>
      <w:r>
        <w:t>- (P520, Additional requirements, point 3 (“not be readily combustible” is stated));</w:t>
      </w:r>
    </w:p>
    <w:p w14:paraId="429C65A1" w14:textId="77777777" w:rsidR="007C013C" w:rsidRDefault="007C013C" w:rsidP="001657D3">
      <w:pPr>
        <w:pStyle w:val="Bullet1G"/>
      </w:pPr>
      <w:r>
        <w:t>- P909, Additional requirements, points 2 and 3;</w:t>
      </w:r>
    </w:p>
    <w:p w14:paraId="04F3B346" w14:textId="77777777" w:rsidR="007C013C" w:rsidRDefault="007C013C" w:rsidP="001657D3">
      <w:pPr>
        <w:pStyle w:val="Bullet1G"/>
      </w:pPr>
      <w:r>
        <w:t xml:space="preserve">- P911, Footnote </w:t>
      </w:r>
      <w:r>
        <w:rPr>
          <w:b/>
        </w:rPr>
        <w:t>a</w:t>
      </w:r>
      <w:r>
        <w:t xml:space="preserve"> (b);</w:t>
      </w:r>
    </w:p>
    <w:p w14:paraId="1431397B" w14:textId="5D0BB91E" w:rsidR="007C013C" w:rsidRDefault="007C013C" w:rsidP="001657D3">
      <w:pPr>
        <w:pStyle w:val="Bullet1G"/>
      </w:pPr>
      <w:r>
        <w:t xml:space="preserve">- LP906, Footnote </w:t>
      </w:r>
      <w:r>
        <w:rPr>
          <w:b/>
        </w:rPr>
        <w:t>a</w:t>
      </w:r>
      <w:r>
        <w:t xml:space="preserve"> (b).</w:t>
      </w:r>
    </w:p>
    <w:p w14:paraId="3F76EE3D" w14:textId="1AEB3C1D" w:rsidR="007C013C" w:rsidRDefault="007C013C" w:rsidP="007C013C">
      <w:pPr>
        <w:pStyle w:val="SingleTxtG"/>
        <w:tabs>
          <w:tab w:val="left" w:pos="1701"/>
        </w:tabs>
        <w:rPr>
          <w:lang w:val="en-GB"/>
        </w:rPr>
      </w:pPr>
      <w:r>
        <w:rPr>
          <w:lang w:val="en-GB"/>
        </w:rPr>
        <w:lastRenderedPageBreak/>
        <w:t>5.</w:t>
      </w:r>
      <w:r>
        <w:rPr>
          <w:lang w:val="en-GB"/>
        </w:rPr>
        <w:tab/>
        <w:t>On the other hand, another alternative is to move in the opposite direction. Then the requirement for an approved standard concerning non-combustibility in P908 5., P910 (1)(e), P910 (2)(d), LP904 5., LP905 (1)(e) and LP905 (2)(d) could be deleted and the text would instead be aligned with the text in the packing instructions listed in paragraph 4</w:t>
      </w:r>
      <w:r w:rsidR="00AE792D">
        <w:rPr>
          <w:lang w:val="en-GB"/>
        </w:rPr>
        <w:t xml:space="preserve"> above</w:t>
      </w:r>
      <w:r>
        <w:rPr>
          <w:lang w:val="en-GB"/>
        </w:rPr>
        <w:t>.</w:t>
      </w:r>
    </w:p>
    <w:p w14:paraId="509E69BC" w14:textId="77777777" w:rsidR="007C013C" w:rsidRDefault="007C013C" w:rsidP="007C013C">
      <w:pPr>
        <w:pStyle w:val="HChG"/>
        <w:rPr>
          <w:lang w:val="en-GB"/>
        </w:rPr>
      </w:pPr>
      <w:r>
        <w:tab/>
      </w:r>
      <w:r>
        <w:tab/>
      </w:r>
      <w:r>
        <w:rPr>
          <w:lang w:val="en-GB"/>
        </w:rPr>
        <w:t>Discussion</w:t>
      </w:r>
    </w:p>
    <w:p w14:paraId="684B2763" w14:textId="77777777" w:rsidR="007C013C" w:rsidRDefault="007C013C" w:rsidP="007C013C">
      <w:pPr>
        <w:pStyle w:val="SingleTxtG"/>
        <w:tabs>
          <w:tab w:val="left" w:pos="1701"/>
        </w:tabs>
        <w:rPr>
          <w:lang w:val="en-GB"/>
        </w:rPr>
      </w:pPr>
      <w:r>
        <w:rPr>
          <w:lang w:val="en-GB"/>
        </w:rPr>
        <w:t>6</w:t>
      </w:r>
      <w:r>
        <w:t>.</w:t>
      </w:r>
      <w:r>
        <w:tab/>
        <w:t xml:space="preserve">The expert from </w:t>
      </w:r>
      <w:r>
        <w:rPr>
          <w:lang w:val="en-GB"/>
        </w:rPr>
        <w:t>Sweden</w:t>
      </w:r>
      <w:r>
        <w:t xml:space="preserve"> </w:t>
      </w:r>
      <w:r>
        <w:rPr>
          <w:lang w:val="en-GB"/>
        </w:rPr>
        <w:t>would like to hear the views from the Sub-Committee concerning:</w:t>
      </w:r>
    </w:p>
    <w:p w14:paraId="2632F5DB" w14:textId="4E2B73A6" w:rsidR="007C013C" w:rsidRPr="0072170F" w:rsidRDefault="001657D3" w:rsidP="001657D3">
      <w:pPr>
        <w:pStyle w:val="SingleTxtG"/>
        <w:ind w:left="1701"/>
        <w:rPr>
          <w:lang w:val="en-GB"/>
        </w:rPr>
      </w:pPr>
      <w:r w:rsidRPr="0072170F">
        <w:rPr>
          <w:lang w:val="en-GB"/>
        </w:rPr>
        <w:t>-</w:t>
      </w:r>
      <w:r w:rsidRPr="0072170F">
        <w:rPr>
          <w:lang w:val="en-GB"/>
        </w:rPr>
        <w:tab/>
      </w:r>
      <w:r w:rsidR="007C013C" w:rsidRPr="0072170F">
        <w:rPr>
          <w:lang w:val="en-GB"/>
        </w:rPr>
        <w:t>If acceptance criteria should be included</w:t>
      </w:r>
      <w:r w:rsidR="0072170F" w:rsidRPr="0072170F">
        <w:rPr>
          <w:lang w:val="en-GB"/>
        </w:rPr>
        <w:t xml:space="preserve">, which </w:t>
      </w:r>
      <w:r w:rsidR="007C013C" w:rsidRPr="0072170F">
        <w:rPr>
          <w:lang w:val="en-GB"/>
        </w:rPr>
        <w:t>are in line with the “2010 FTP CODE” (see excerpt from the “2010 FTP CODE”), into the UN Model Regulations in the relevant packing instructions or preferably as a general text, if ISO 1182 is inserted in the packing instructions as proposed by Belgium:</w:t>
      </w:r>
    </w:p>
    <w:p w14:paraId="0C0E93D3" w14:textId="11D1DB8D" w:rsidR="007C013C" w:rsidRPr="0072170F" w:rsidRDefault="007C013C" w:rsidP="001657D3">
      <w:pPr>
        <w:pStyle w:val="SingleTxtG"/>
        <w:tabs>
          <w:tab w:val="left" w:pos="1701"/>
        </w:tabs>
        <w:ind w:left="1701"/>
        <w:rPr>
          <w:i/>
          <w:u w:val="single"/>
          <w:lang w:val="en-GB"/>
        </w:rPr>
      </w:pPr>
      <w:r w:rsidRPr="0072170F">
        <w:rPr>
          <w:lang w:val="en-GB"/>
        </w:rPr>
        <w:t>“</w:t>
      </w:r>
      <w:r w:rsidRPr="0072170F">
        <w:rPr>
          <w:i/>
          <w:u w:val="single"/>
          <w:lang w:val="en-GB"/>
        </w:rPr>
        <w:t>Acceptance criteria of non-combustibility</w:t>
      </w:r>
    </w:p>
    <w:p w14:paraId="2649C126" w14:textId="77777777" w:rsidR="007C013C" w:rsidRPr="0072170F" w:rsidRDefault="007C013C" w:rsidP="001657D3">
      <w:pPr>
        <w:pStyle w:val="SingleTxtG"/>
        <w:tabs>
          <w:tab w:val="left" w:pos="1701"/>
        </w:tabs>
        <w:ind w:left="1701"/>
        <w:rPr>
          <w:i/>
          <w:lang w:val="en-GB"/>
        </w:rPr>
      </w:pPr>
      <w:r w:rsidRPr="0072170F">
        <w:rPr>
          <w:i/>
          <w:lang w:val="en-GB"/>
        </w:rPr>
        <w:t xml:space="preserve">Materials to be classified as non-combustible shall satisfy the following criteria: </w:t>
      </w:r>
    </w:p>
    <w:p w14:paraId="76838AD2" w14:textId="5DEBEB08" w:rsidR="007C013C" w:rsidRPr="0072170F" w:rsidRDefault="007A026F" w:rsidP="001657D3">
      <w:pPr>
        <w:pStyle w:val="SingleTxtG"/>
        <w:ind w:left="1701"/>
        <w:rPr>
          <w:i/>
          <w:iCs/>
          <w:lang w:val="en-GB"/>
        </w:rPr>
      </w:pPr>
      <w:r w:rsidRPr="0072170F">
        <w:rPr>
          <w:i/>
          <w:iCs/>
          <w:lang w:val="en-GB"/>
        </w:rPr>
        <w:tab/>
        <w:t>1.</w:t>
      </w:r>
      <w:r w:rsidRPr="0072170F">
        <w:rPr>
          <w:i/>
          <w:iCs/>
          <w:lang w:val="en-GB"/>
        </w:rPr>
        <w:tab/>
      </w:r>
      <w:r w:rsidR="007C013C" w:rsidRPr="0072170F">
        <w:rPr>
          <w:i/>
          <w:iCs/>
          <w:lang w:val="en-GB"/>
        </w:rPr>
        <w:t>the average furnace thermocouple temperature rise as calculated in paragraphs 8.4 and 8.5 of the appendix does not exceed 30°C;</w:t>
      </w:r>
    </w:p>
    <w:p w14:paraId="2F718716" w14:textId="45E2E341" w:rsidR="007C013C" w:rsidRPr="0072170F" w:rsidRDefault="007A026F" w:rsidP="001657D3">
      <w:pPr>
        <w:pStyle w:val="SingleTxtG"/>
        <w:ind w:left="1701"/>
        <w:rPr>
          <w:i/>
          <w:iCs/>
          <w:lang w:val="en-GB"/>
        </w:rPr>
      </w:pPr>
      <w:r w:rsidRPr="0072170F">
        <w:rPr>
          <w:i/>
          <w:iCs/>
          <w:lang w:val="en-GB"/>
        </w:rPr>
        <w:t>2.</w:t>
      </w:r>
      <w:r w:rsidRPr="0072170F">
        <w:rPr>
          <w:i/>
          <w:iCs/>
          <w:lang w:val="en-GB"/>
        </w:rPr>
        <w:tab/>
      </w:r>
      <w:r w:rsidR="007C013C" w:rsidRPr="0072170F">
        <w:rPr>
          <w:i/>
          <w:iCs/>
          <w:lang w:val="en-GB"/>
        </w:rPr>
        <w:t>the average specimen surface thermocouple temperature rise as calculated in paragraphs 8.4 and 8.5 of the appendix does not exceed 30°C;</w:t>
      </w:r>
    </w:p>
    <w:p w14:paraId="315826F1" w14:textId="33CAEB5E" w:rsidR="007C013C" w:rsidRPr="0072170F" w:rsidRDefault="007A026F" w:rsidP="001657D3">
      <w:pPr>
        <w:pStyle w:val="SingleTxtG"/>
        <w:ind w:left="1701"/>
        <w:rPr>
          <w:i/>
          <w:iCs/>
          <w:lang w:val="en-GB"/>
        </w:rPr>
      </w:pPr>
      <w:r w:rsidRPr="0072170F">
        <w:rPr>
          <w:i/>
          <w:iCs/>
          <w:lang w:val="en-GB"/>
        </w:rPr>
        <w:tab/>
        <w:t>3.</w:t>
      </w:r>
      <w:r w:rsidRPr="0072170F">
        <w:rPr>
          <w:i/>
          <w:iCs/>
          <w:lang w:val="en-GB"/>
        </w:rPr>
        <w:tab/>
      </w:r>
      <w:r w:rsidR="007C013C" w:rsidRPr="0072170F">
        <w:rPr>
          <w:i/>
          <w:iCs/>
          <w:lang w:val="en-GB"/>
        </w:rPr>
        <w:t>the average duration of sustained flaming as calculated in paragraph 8.3 of the appendix does not exceed 10 s; and</w:t>
      </w:r>
    </w:p>
    <w:p w14:paraId="1DDABE20" w14:textId="3E619E75" w:rsidR="007C013C" w:rsidRPr="0072170F" w:rsidRDefault="007A026F" w:rsidP="001657D3">
      <w:pPr>
        <w:pStyle w:val="SingleTxtG"/>
        <w:ind w:left="1701"/>
        <w:rPr>
          <w:i/>
          <w:iCs/>
          <w:lang w:val="en-GB"/>
        </w:rPr>
      </w:pPr>
      <w:r w:rsidRPr="0072170F">
        <w:rPr>
          <w:i/>
          <w:iCs/>
          <w:lang w:val="en-GB"/>
        </w:rPr>
        <w:tab/>
        <w:t>4.</w:t>
      </w:r>
      <w:r w:rsidRPr="0072170F">
        <w:rPr>
          <w:i/>
          <w:iCs/>
          <w:lang w:val="en-GB"/>
        </w:rPr>
        <w:tab/>
      </w:r>
      <w:r w:rsidR="007C013C" w:rsidRPr="0072170F">
        <w:rPr>
          <w:i/>
          <w:iCs/>
          <w:lang w:val="en-GB"/>
        </w:rPr>
        <w:t>the average mass loss as calculated in paragraph 8.2 of the appendix does not exceed 50%.”</w:t>
      </w:r>
    </w:p>
    <w:p w14:paraId="6BBC8B8B" w14:textId="77777777" w:rsidR="007C013C" w:rsidRDefault="007C013C" w:rsidP="0057069B">
      <w:pPr>
        <w:pStyle w:val="SingleTxtG"/>
        <w:tabs>
          <w:tab w:val="left" w:pos="1701"/>
        </w:tabs>
        <w:ind w:left="1701"/>
        <w:rPr>
          <w:lang w:val="en-CA"/>
        </w:rPr>
      </w:pPr>
      <w:r>
        <w:rPr>
          <w:lang w:val="en-CA"/>
        </w:rPr>
        <w:t xml:space="preserve">These </w:t>
      </w:r>
      <w:r>
        <w:rPr>
          <w:lang w:val="en-GB"/>
        </w:rPr>
        <w:t>acceptance criteria would have to be adjusted in accordance with ISO 1182 to obtain the correct references and requirements.</w:t>
      </w:r>
    </w:p>
    <w:p w14:paraId="3B423CFF" w14:textId="0831E824" w:rsidR="007C013C" w:rsidRPr="00655474" w:rsidRDefault="00655474" w:rsidP="00655474">
      <w:pPr>
        <w:pStyle w:val="SingleTxtG"/>
        <w:ind w:left="1701"/>
      </w:pPr>
      <w:r>
        <w:rPr>
          <w:lang w:val="fr-CH"/>
        </w:rPr>
        <w:t>-</w:t>
      </w:r>
      <w:r>
        <w:rPr>
          <w:lang w:val="fr-CH"/>
        </w:rPr>
        <w:tab/>
      </w:r>
      <w:r w:rsidR="007C013C" w:rsidRPr="00655474">
        <w:t>If a reference to standard ISO 1182 should be inserted in all packing instructions containing requirements about non-combustibility.</w:t>
      </w:r>
    </w:p>
    <w:p w14:paraId="772AD2E2" w14:textId="5949A515" w:rsidR="007C013C" w:rsidRPr="00655474" w:rsidRDefault="00655474" w:rsidP="00655474">
      <w:pPr>
        <w:pStyle w:val="SingleTxtG"/>
        <w:ind w:left="1701"/>
      </w:pPr>
      <w:r>
        <w:rPr>
          <w:lang w:val="fr-CH"/>
        </w:rPr>
        <w:t>-</w:t>
      </w:r>
      <w:r>
        <w:rPr>
          <w:lang w:val="fr-CH"/>
        </w:rPr>
        <w:tab/>
      </w:r>
      <w:r w:rsidR="007C013C" w:rsidRPr="00655474">
        <w:t>If the requirement for a competent authority approval of a standard concerning non-combustibility should be removed from packing instructions P908 5., P910 (1)(e), P910 (2)(d), LP904 5., LP905 (1)(e) and LP905 (2)(d).</w:t>
      </w:r>
    </w:p>
    <w:p w14:paraId="40E9168C" w14:textId="75A8AE04" w:rsidR="007C013C" w:rsidRPr="00655474" w:rsidRDefault="00655474" w:rsidP="00655474">
      <w:pPr>
        <w:spacing w:before="240"/>
        <w:jc w:val="center"/>
        <w:rPr>
          <w:u w:val="single"/>
          <w:lang w:val="en-US"/>
        </w:rPr>
      </w:pPr>
      <w:r>
        <w:rPr>
          <w:u w:val="single"/>
          <w:lang w:val="en-US"/>
        </w:rPr>
        <w:tab/>
      </w:r>
      <w:r>
        <w:rPr>
          <w:u w:val="single"/>
          <w:lang w:val="en-US"/>
        </w:rPr>
        <w:tab/>
      </w:r>
      <w:r>
        <w:rPr>
          <w:u w:val="single"/>
          <w:lang w:val="en-US"/>
        </w:rPr>
        <w:tab/>
      </w:r>
    </w:p>
    <w:sectPr w:rsidR="007C013C" w:rsidRPr="00655474"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D868F" w14:textId="77777777" w:rsidR="00AC5F60" w:rsidRDefault="00AC5F60"/>
  </w:endnote>
  <w:endnote w:type="continuationSeparator" w:id="0">
    <w:p w14:paraId="02330570" w14:textId="77777777" w:rsidR="00AC5F60" w:rsidRDefault="00AC5F60"/>
  </w:endnote>
  <w:endnote w:type="continuationNotice" w:id="1">
    <w:p w14:paraId="7233B57C" w14:textId="77777777" w:rsidR="00AC5F60" w:rsidRDefault="00AC5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D2635" w14:textId="77777777" w:rsidR="00AC5F60" w:rsidRPr="000B175B" w:rsidRDefault="00AC5F60" w:rsidP="000B175B">
      <w:pPr>
        <w:tabs>
          <w:tab w:val="right" w:pos="2155"/>
        </w:tabs>
        <w:spacing w:after="80"/>
        <w:ind w:left="680"/>
        <w:rPr>
          <w:u w:val="single"/>
        </w:rPr>
      </w:pPr>
      <w:r>
        <w:rPr>
          <w:u w:val="single"/>
        </w:rPr>
        <w:tab/>
      </w:r>
    </w:p>
  </w:footnote>
  <w:footnote w:type="continuationSeparator" w:id="0">
    <w:p w14:paraId="47BAEEC8" w14:textId="77777777" w:rsidR="00AC5F60" w:rsidRPr="00FC68B7" w:rsidRDefault="00AC5F60" w:rsidP="00FC68B7">
      <w:pPr>
        <w:tabs>
          <w:tab w:val="left" w:pos="2155"/>
        </w:tabs>
        <w:spacing w:after="80"/>
        <w:ind w:left="680"/>
        <w:rPr>
          <w:u w:val="single"/>
        </w:rPr>
      </w:pPr>
      <w:r>
        <w:rPr>
          <w:u w:val="single"/>
        </w:rPr>
        <w:tab/>
      </w:r>
    </w:p>
  </w:footnote>
  <w:footnote w:type="continuationNotice" w:id="1">
    <w:p w14:paraId="390790D0" w14:textId="77777777" w:rsidR="00AC5F60" w:rsidRDefault="00AC5F60"/>
  </w:footnote>
  <w:footnote w:id="2">
    <w:p w14:paraId="74ACD129" w14:textId="31852C60" w:rsidR="00996D7F" w:rsidRPr="00996D7F" w:rsidRDefault="00996D7F" w:rsidP="00996D7F">
      <w:pPr>
        <w:pStyle w:val="FootnoteText"/>
        <w:tabs>
          <w:tab w:val="left" w:pos="1418"/>
        </w:tabs>
        <w:ind w:firstLine="0"/>
        <w:rPr>
          <w:lang w:val="fr-CH"/>
        </w:rPr>
      </w:pPr>
      <w:r>
        <w:rPr>
          <w:rStyle w:val="FootnoteReference"/>
        </w:rPr>
        <w:footnoteRef/>
      </w:r>
      <w:r>
        <w:t xml:space="preserve"> </w:t>
      </w:r>
      <w:r>
        <w:tab/>
      </w:r>
      <w:hyperlink r:id="rId1" w:history="1">
        <w:r w:rsidR="0057069B" w:rsidRPr="009F1AA6">
          <w:rPr>
            <w:rStyle w:val="Hyperlink"/>
            <w:szCs w:val="18"/>
          </w:rPr>
          <w:t>https://wwwcdn.imo.org/localresources/en/KnowledgeCentre/IndexofIMOResolutions/</w:t>
        </w:r>
        <w:r w:rsidR="0057069B" w:rsidRPr="009F1AA6">
          <w:rPr>
            <w:rStyle w:val="Hyperlink"/>
            <w:szCs w:val="18"/>
          </w:rPr>
          <w:br/>
          <w:t>MSCResolutions/MSC.307(88).pdf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72AB2455"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87007">
      <w:rPr>
        <w:b/>
        <w:bCs/>
        <w:sz w:val="18"/>
        <w:szCs w:val="18"/>
      </w:rPr>
      <w:t>2</w:t>
    </w:r>
    <w:r w:rsidR="00655474">
      <w:rPr>
        <w:b/>
        <w:bCs/>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4334F3A1"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w:t>
    </w:r>
    <w:r w:rsidR="00787007">
      <w:rPr>
        <w:b/>
        <w:bCs/>
        <w:sz w:val="18"/>
        <w:szCs w:val="18"/>
      </w:rPr>
      <w:t>21</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C4FEE1"/>
    <w:multiLevelType w:val="singleLevel"/>
    <w:tmpl w:val="1FC4FEE1"/>
    <w:lvl w:ilvl="0">
      <w:start w:val="1"/>
      <w:numFmt w:val="decimal"/>
      <w:lvlText w:val="%1."/>
      <w:lvlJc w:val="left"/>
      <w:pPr>
        <w:ind w:left="0" w:firstLine="0"/>
      </w:pPr>
    </w:lvl>
  </w:abstractNum>
  <w:abstractNum w:abstractNumId="14"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1"/>
  </w:num>
  <w:num w:numId="17">
    <w:abstractNumId w:val="14"/>
  </w:num>
  <w:num w:numId="18">
    <w:abstractNumId w:val="15"/>
  </w:num>
  <w:num w:numId="19">
    <w:abstractNumId w:val="13"/>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45941"/>
    <w:rsid w:val="000504CE"/>
    <w:rsid w:val="00050922"/>
    <w:rsid w:val="00050F6B"/>
    <w:rsid w:val="00053492"/>
    <w:rsid w:val="000556F5"/>
    <w:rsid w:val="0005710C"/>
    <w:rsid w:val="000577F8"/>
    <w:rsid w:val="00057ABF"/>
    <w:rsid w:val="00060C1F"/>
    <w:rsid w:val="00064402"/>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A2236"/>
    <w:rsid w:val="000A35F2"/>
    <w:rsid w:val="000A3A48"/>
    <w:rsid w:val="000A4C38"/>
    <w:rsid w:val="000A4F3B"/>
    <w:rsid w:val="000B175B"/>
    <w:rsid w:val="000B3A0F"/>
    <w:rsid w:val="000B4919"/>
    <w:rsid w:val="000B6AD1"/>
    <w:rsid w:val="000B7AF2"/>
    <w:rsid w:val="000C1ED8"/>
    <w:rsid w:val="000C5D4B"/>
    <w:rsid w:val="000C6F83"/>
    <w:rsid w:val="000C717F"/>
    <w:rsid w:val="000D0B8F"/>
    <w:rsid w:val="000D316D"/>
    <w:rsid w:val="000D481F"/>
    <w:rsid w:val="000D6D97"/>
    <w:rsid w:val="000D7830"/>
    <w:rsid w:val="000E0415"/>
    <w:rsid w:val="000E772F"/>
    <w:rsid w:val="000F0347"/>
    <w:rsid w:val="000F24D4"/>
    <w:rsid w:val="000F52D6"/>
    <w:rsid w:val="000F6A20"/>
    <w:rsid w:val="001016F4"/>
    <w:rsid w:val="0010461A"/>
    <w:rsid w:val="00115303"/>
    <w:rsid w:val="00117787"/>
    <w:rsid w:val="00117D0D"/>
    <w:rsid w:val="001207BB"/>
    <w:rsid w:val="00120B41"/>
    <w:rsid w:val="00121EB7"/>
    <w:rsid w:val="00123BFF"/>
    <w:rsid w:val="00124DB4"/>
    <w:rsid w:val="00126151"/>
    <w:rsid w:val="00131B10"/>
    <w:rsid w:val="00131D42"/>
    <w:rsid w:val="00133C50"/>
    <w:rsid w:val="001406F4"/>
    <w:rsid w:val="00140F48"/>
    <w:rsid w:val="001418B6"/>
    <w:rsid w:val="00146A01"/>
    <w:rsid w:val="001518B1"/>
    <w:rsid w:val="00161334"/>
    <w:rsid w:val="00161886"/>
    <w:rsid w:val="001633FB"/>
    <w:rsid w:val="00163A1B"/>
    <w:rsid w:val="00165735"/>
    <w:rsid w:val="001657D3"/>
    <w:rsid w:val="00167786"/>
    <w:rsid w:val="0017489D"/>
    <w:rsid w:val="001802FD"/>
    <w:rsid w:val="00180633"/>
    <w:rsid w:val="00181019"/>
    <w:rsid w:val="0018162F"/>
    <w:rsid w:val="0018168F"/>
    <w:rsid w:val="001835BF"/>
    <w:rsid w:val="00184120"/>
    <w:rsid w:val="00184B86"/>
    <w:rsid w:val="00187513"/>
    <w:rsid w:val="001877D7"/>
    <w:rsid w:val="00193474"/>
    <w:rsid w:val="00195229"/>
    <w:rsid w:val="001A02A4"/>
    <w:rsid w:val="001A2D19"/>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435D"/>
    <w:rsid w:val="001E797C"/>
    <w:rsid w:val="002015A3"/>
    <w:rsid w:val="002062DE"/>
    <w:rsid w:val="00207304"/>
    <w:rsid w:val="00211B12"/>
    <w:rsid w:val="00211B28"/>
    <w:rsid w:val="00211E0B"/>
    <w:rsid w:val="0021481D"/>
    <w:rsid w:val="00216B28"/>
    <w:rsid w:val="00221589"/>
    <w:rsid w:val="00221AC2"/>
    <w:rsid w:val="00224CD9"/>
    <w:rsid w:val="0022724D"/>
    <w:rsid w:val="002309A7"/>
    <w:rsid w:val="0023231C"/>
    <w:rsid w:val="00235381"/>
    <w:rsid w:val="002363DF"/>
    <w:rsid w:val="00237785"/>
    <w:rsid w:val="00241178"/>
    <w:rsid w:val="00241466"/>
    <w:rsid w:val="002440E7"/>
    <w:rsid w:val="00244C52"/>
    <w:rsid w:val="00245792"/>
    <w:rsid w:val="00247570"/>
    <w:rsid w:val="00250078"/>
    <w:rsid w:val="00254330"/>
    <w:rsid w:val="00257C1E"/>
    <w:rsid w:val="00261B1B"/>
    <w:rsid w:val="00261B71"/>
    <w:rsid w:val="002621F5"/>
    <w:rsid w:val="002622A9"/>
    <w:rsid w:val="002708B5"/>
    <w:rsid w:val="002711B7"/>
    <w:rsid w:val="002725CA"/>
    <w:rsid w:val="00273A92"/>
    <w:rsid w:val="002766A5"/>
    <w:rsid w:val="00277896"/>
    <w:rsid w:val="00280EB7"/>
    <w:rsid w:val="00281F8C"/>
    <w:rsid w:val="00282699"/>
    <w:rsid w:val="00290234"/>
    <w:rsid w:val="002905C1"/>
    <w:rsid w:val="00293E31"/>
    <w:rsid w:val="002944C2"/>
    <w:rsid w:val="00294B51"/>
    <w:rsid w:val="00295C28"/>
    <w:rsid w:val="00295FEA"/>
    <w:rsid w:val="002976CF"/>
    <w:rsid w:val="0029796E"/>
    <w:rsid w:val="002A0BD2"/>
    <w:rsid w:val="002A18AB"/>
    <w:rsid w:val="002A5B17"/>
    <w:rsid w:val="002A5B84"/>
    <w:rsid w:val="002B067A"/>
    <w:rsid w:val="002B1514"/>
    <w:rsid w:val="002B1CDA"/>
    <w:rsid w:val="002C2E9A"/>
    <w:rsid w:val="002C7F25"/>
    <w:rsid w:val="002D2D04"/>
    <w:rsid w:val="002D44DB"/>
    <w:rsid w:val="002D5A85"/>
    <w:rsid w:val="002D5C7D"/>
    <w:rsid w:val="002E35BB"/>
    <w:rsid w:val="002F4CCA"/>
    <w:rsid w:val="002F68FD"/>
    <w:rsid w:val="00301284"/>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5AA6"/>
    <w:rsid w:val="00372F06"/>
    <w:rsid w:val="00374B43"/>
    <w:rsid w:val="00382452"/>
    <w:rsid w:val="00384A0B"/>
    <w:rsid w:val="00391647"/>
    <w:rsid w:val="00391A13"/>
    <w:rsid w:val="0039260F"/>
    <w:rsid w:val="0039277A"/>
    <w:rsid w:val="00393B99"/>
    <w:rsid w:val="00396F6A"/>
    <w:rsid w:val="003972E0"/>
    <w:rsid w:val="003A1EC2"/>
    <w:rsid w:val="003A52D7"/>
    <w:rsid w:val="003A5A16"/>
    <w:rsid w:val="003B0C98"/>
    <w:rsid w:val="003B236E"/>
    <w:rsid w:val="003B4EAD"/>
    <w:rsid w:val="003B5166"/>
    <w:rsid w:val="003C0657"/>
    <w:rsid w:val="003C18C9"/>
    <w:rsid w:val="003C2CC4"/>
    <w:rsid w:val="003C4369"/>
    <w:rsid w:val="003C655D"/>
    <w:rsid w:val="003D23B5"/>
    <w:rsid w:val="003D293B"/>
    <w:rsid w:val="003D2F59"/>
    <w:rsid w:val="003D4B23"/>
    <w:rsid w:val="003E6A6E"/>
    <w:rsid w:val="003F23A4"/>
    <w:rsid w:val="003F3A8A"/>
    <w:rsid w:val="003F54D8"/>
    <w:rsid w:val="003F5B52"/>
    <w:rsid w:val="00400408"/>
    <w:rsid w:val="004021B7"/>
    <w:rsid w:val="00403EC6"/>
    <w:rsid w:val="00406A80"/>
    <w:rsid w:val="00406CD4"/>
    <w:rsid w:val="00410600"/>
    <w:rsid w:val="004108CE"/>
    <w:rsid w:val="00415B93"/>
    <w:rsid w:val="00415BB6"/>
    <w:rsid w:val="00417D37"/>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60B22"/>
    <w:rsid w:val="004624DA"/>
    <w:rsid w:val="0046443A"/>
    <w:rsid w:val="004653B3"/>
    <w:rsid w:val="004654C4"/>
    <w:rsid w:val="004656A9"/>
    <w:rsid w:val="0046668F"/>
    <w:rsid w:val="0046773D"/>
    <w:rsid w:val="0046788D"/>
    <w:rsid w:val="004814C2"/>
    <w:rsid w:val="004822C0"/>
    <w:rsid w:val="0048304D"/>
    <w:rsid w:val="00484A9B"/>
    <w:rsid w:val="0049065C"/>
    <w:rsid w:val="00491861"/>
    <w:rsid w:val="0049211A"/>
    <w:rsid w:val="00492AF9"/>
    <w:rsid w:val="00494C77"/>
    <w:rsid w:val="00497291"/>
    <w:rsid w:val="00497711"/>
    <w:rsid w:val="004A004F"/>
    <w:rsid w:val="004A3C15"/>
    <w:rsid w:val="004A52F4"/>
    <w:rsid w:val="004B25F8"/>
    <w:rsid w:val="004B2C9D"/>
    <w:rsid w:val="004B5939"/>
    <w:rsid w:val="004B73D6"/>
    <w:rsid w:val="004B7537"/>
    <w:rsid w:val="004C39D0"/>
    <w:rsid w:val="004C4F1A"/>
    <w:rsid w:val="004C6D6D"/>
    <w:rsid w:val="004D27A5"/>
    <w:rsid w:val="004E0C5D"/>
    <w:rsid w:val="004E2CEA"/>
    <w:rsid w:val="004E460D"/>
    <w:rsid w:val="004E5DE8"/>
    <w:rsid w:val="004F4240"/>
    <w:rsid w:val="004F6D33"/>
    <w:rsid w:val="004F6DF4"/>
    <w:rsid w:val="004F7738"/>
    <w:rsid w:val="004F77CD"/>
    <w:rsid w:val="0050042A"/>
    <w:rsid w:val="00504855"/>
    <w:rsid w:val="00507CF1"/>
    <w:rsid w:val="005134A0"/>
    <w:rsid w:val="00522177"/>
    <w:rsid w:val="00526AFD"/>
    <w:rsid w:val="00527910"/>
    <w:rsid w:val="005318BF"/>
    <w:rsid w:val="00532D57"/>
    <w:rsid w:val="005420F2"/>
    <w:rsid w:val="00542505"/>
    <w:rsid w:val="005434D7"/>
    <w:rsid w:val="00547029"/>
    <w:rsid w:val="005470EF"/>
    <w:rsid w:val="005475D4"/>
    <w:rsid w:val="00552CEE"/>
    <w:rsid w:val="00555CDB"/>
    <w:rsid w:val="00555FEA"/>
    <w:rsid w:val="00561B6D"/>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682C"/>
    <w:rsid w:val="00597048"/>
    <w:rsid w:val="005A3F48"/>
    <w:rsid w:val="005A6020"/>
    <w:rsid w:val="005A6301"/>
    <w:rsid w:val="005A64DD"/>
    <w:rsid w:val="005B09F0"/>
    <w:rsid w:val="005B0CED"/>
    <w:rsid w:val="005B3DB3"/>
    <w:rsid w:val="005B528A"/>
    <w:rsid w:val="005B6088"/>
    <w:rsid w:val="005C12D2"/>
    <w:rsid w:val="005C3490"/>
    <w:rsid w:val="005C4CB5"/>
    <w:rsid w:val="005D0C6C"/>
    <w:rsid w:val="005D1BB4"/>
    <w:rsid w:val="005D2A88"/>
    <w:rsid w:val="005E010D"/>
    <w:rsid w:val="005E0BF6"/>
    <w:rsid w:val="005E28E0"/>
    <w:rsid w:val="005E3563"/>
    <w:rsid w:val="005E3AAD"/>
    <w:rsid w:val="005E5946"/>
    <w:rsid w:val="005E64CA"/>
    <w:rsid w:val="005E75CA"/>
    <w:rsid w:val="005F3A39"/>
    <w:rsid w:val="005F5C2F"/>
    <w:rsid w:val="005F6EEB"/>
    <w:rsid w:val="005F7BB1"/>
    <w:rsid w:val="00602490"/>
    <w:rsid w:val="00603E3C"/>
    <w:rsid w:val="0060673A"/>
    <w:rsid w:val="00611DFE"/>
    <w:rsid w:val="00611FC4"/>
    <w:rsid w:val="00612812"/>
    <w:rsid w:val="006147E0"/>
    <w:rsid w:val="006176FB"/>
    <w:rsid w:val="006216A1"/>
    <w:rsid w:val="00626B06"/>
    <w:rsid w:val="006279AC"/>
    <w:rsid w:val="0063419C"/>
    <w:rsid w:val="00635381"/>
    <w:rsid w:val="00636986"/>
    <w:rsid w:val="00636F58"/>
    <w:rsid w:val="00637542"/>
    <w:rsid w:val="006404CB"/>
    <w:rsid w:val="00640B26"/>
    <w:rsid w:val="00641194"/>
    <w:rsid w:val="00645A0B"/>
    <w:rsid w:val="006500BA"/>
    <w:rsid w:val="006506DB"/>
    <w:rsid w:val="0065465F"/>
    <w:rsid w:val="00655474"/>
    <w:rsid w:val="00661EBA"/>
    <w:rsid w:val="00662121"/>
    <w:rsid w:val="00662E09"/>
    <w:rsid w:val="0066373E"/>
    <w:rsid w:val="00670CF0"/>
    <w:rsid w:val="006719CA"/>
    <w:rsid w:val="006729AE"/>
    <w:rsid w:val="00675F87"/>
    <w:rsid w:val="00683BEF"/>
    <w:rsid w:val="0068461F"/>
    <w:rsid w:val="006870AE"/>
    <w:rsid w:val="00690CD6"/>
    <w:rsid w:val="006A098A"/>
    <w:rsid w:val="006A3932"/>
    <w:rsid w:val="006A4684"/>
    <w:rsid w:val="006A53DC"/>
    <w:rsid w:val="006A63E3"/>
    <w:rsid w:val="006A7392"/>
    <w:rsid w:val="006B083A"/>
    <w:rsid w:val="006B1148"/>
    <w:rsid w:val="006B1C55"/>
    <w:rsid w:val="006C0D34"/>
    <w:rsid w:val="006C251B"/>
    <w:rsid w:val="006C2F7E"/>
    <w:rsid w:val="006D3560"/>
    <w:rsid w:val="006E3B65"/>
    <w:rsid w:val="006E4E78"/>
    <w:rsid w:val="006E564B"/>
    <w:rsid w:val="006E6B76"/>
    <w:rsid w:val="007025C0"/>
    <w:rsid w:val="007032D3"/>
    <w:rsid w:val="00707F04"/>
    <w:rsid w:val="00711498"/>
    <w:rsid w:val="00711637"/>
    <w:rsid w:val="0071184D"/>
    <w:rsid w:val="007125B8"/>
    <w:rsid w:val="00714F4F"/>
    <w:rsid w:val="0071611E"/>
    <w:rsid w:val="0072170F"/>
    <w:rsid w:val="0072632A"/>
    <w:rsid w:val="00727720"/>
    <w:rsid w:val="00734B63"/>
    <w:rsid w:val="00734F20"/>
    <w:rsid w:val="00736E6A"/>
    <w:rsid w:val="00741F59"/>
    <w:rsid w:val="007427C1"/>
    <w:rsid w:val="00745598"/>
    <w:rsid w:val="0074697D"/>
    <w:rsid w:val="007510F5"/>
    <w:rsid w:val="00754F09"/>
    <w:rsid w:val="00755EBE"/>
    <w:rsid w:val="0075661B"/>
    <w:rsid w:val="00757C56"/>
    <w:rsid w:val="00761619"/>
    <w:rsid w:val="0076177C"/>
    <w:rsid w:val="00763AE6"/>
    <w:rsid w:val="00763C33"/>
    <w:rsid w:val="00766322"/>
    <w:rsid w:val="00767680"/>
    <w:rsid w:val="00770621"/>
    <w:rsid w:val="00770BCD"/>
    <w:rsid w:val="00771904"/>
    <w:rsid w:val="00773353"/>
    <w:rsid w:val="00773ED7"/>
    <w:rsid w:val="00774129"/>
    <w:rsid w:val="00774E8F"/>
    <w:rsid w:val="00774EAA"/>
    <w:rsid w:val="0077553A"/>
    <w:rsid w:val="00776C93"/>
    <w:rsid w:val="00777E41"/>
    <w:rsid w:val="0078123B"/>
    <w:rsid w:val="00781B57"/>
    <w:rsid w:val="00786434"/>
    <w:rsid w:val="00787007"/>
    <w:rsid w:val="00787961"/>
    <w:rsid w:val="00790791"/>
    <w:rsid w:val="00794292"/>
    <w:rsid w:val="00796F36"/>
    <w:rsid w:val="007A026F"/>
    <w:rsid w:val="007A2CDB"/>
    <w:rsid w:val="007A334C"/>
    <w:rsid w:val="007A44D6"/>
    <w:rsid w:val="007A62EC"/>
    <w:rsid w:val="007A737C"/>
    <w:rsid w:val="007B06F2"/>
    <w:rsid w:val="007B1A7E"/>
    <w:rsid w:val="007B2BA8"/>
    <w:rsid w:val="007B4133"/>
    <w:rsid w:val="007B63C1"/>
    <w:rsid w:val="007B6BA5"/>
    <w:rsid w:val="007B7E1E"/>
    <w:rsid w:val="007C013C"/>
    <w:rsid w:val="007C2C0D"/>
    <w:rsid w:val="007C3162"/>
    <w:rsid w:val="007C3390"/>
    <w:rsid w:val="007C45AA"/>
    <w:rsid w:val="007C4F4B"/>
    <w:rsid w:val="007C644D"/>
    <w:rsid w:val="007D1406"/>
    <w:rsid w:val="007D2AC1"/>
    <w:rsid w:val="007D384C"/>
    <w:rsid w:val="007D5760"/>
    <w:rsid w:val="007D7BC6"/>
    <w:rsid w:val="007E277E"/>
    <w:rsid w:val="007E4BD3"/>
    <w:rsid w:val="007E5C1B"/>
    <w:rsid w:val="007E5D7C"/>
    <w:rsid w:val="007F10BF"/>
    <w:rsid w:val="007F2A54"/>
    <w:rsid w:val="007F5104"/>
    <w:rsid w:val="007F6611"/>
    <w:rsid w:val="007F67C2"/>
    <w:rsid w:val="00800024"/>
    <w:rsid w:val="008008BF"/>
    <w:rsid w:val="008037A2"/>
    <w:rsid w:val="008071B7"/>
    <w:rsid w:val="00816582"/>
    <w:rsid w:val="008175E9"/>
    <w:rsid w:val="00820A2D"/>
    <w:rsid w:val="008242D7"/>
    <w:rsid w:val="008247E7"/>
    <w:rsid w:val="00826C09"/>
    <w:rsid w:val="0083043E"/>
    <w:rsid w:val="0083055C"/>
    <w:rsid w:val="0083069A"/>
    <w:rsid w:val="00832A1D"/>
    <w:rsid w:val="008330A1"/>
    <w:rsid w:val="00834479"/>
    <w:rsid w:val="00836D65"/>
    <w:rsid w:val="00843AB2"/>
    <w:rsid w:val="00846809"/>
    <w:rsid w:val="00846900"/>
    <w:rsid w:val="00857789"/>
    <w:rsid w:val="0086107D"/>
    <w:rsid w:val="0086247E"/>
    <w:rsid w:val="00864251"/>
    <w:rsid w:val="00866808"/>
    <w:rsid w:val="00871FD5"/>
    <w:rsid w:val="00872FA8"/>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F2101"/>
    <w:rsid w:val="008F2D9A"/>
    <w:rsid w:val="008F44B8"/>
    <w:rsid w:val="008F504A"/>
    <w:rsid w:val="008F5C0B"/>
    <w:rsid w:val="0090092A"/>
    <w:rsid w:val="009045EE"/>
    <w:rsid w:val="00904EBC"/>
    <w:rsid w:val="0090535C"/>
    <w:rsid w:val="00906C3D"/>
    <w:rsid w:val="0091056A"/>
    <w:rsid w:val="00912044"/>
    <w:rsid w:val="00923019"/>
    <w:rsid w:val="00924B63"/>
    <w:rsid w:val="0093487F"/>
    <w:rsid w:val="009363B6"/>
    <w:rsid w:val="00940036"/>
    <w:rsid w:val="00940F46"/>
    <w:rsid w:val="00941ECC"/>
    <w:rsid w:val="00941FFD"/>
    <w:rsid w:val="00945A5D"/>
    <w:rsid w:val="00946A0D"/>
    <w:rsid w:val="009547DD"/>
    <w:rsid w:val="00955109"/>
    <w:rsid w:val="0095595D"/>
    <w:rsid w:val="00956AD7"/>
    <w:rsid w:val="0096156F"/>
    <w:rsid w:val="00963B67"/>
    <w:rsid w:val="00963CBA"/>
    <w:rsid w:val="00964682"/>
    <w:rsid w:val="00970059"/>
    <w:rsid w:val="009701ED"/>
    <w:rsid w:val="009710AB"/>
    <w:rsid w:val="00972A01"/>
    <w:rsid w:val="00980BD7"/>
    <w:rsid w:val="00982F08"/>
    <w:rsid w:val="00984471"/>
    <w:rsid w:val="00985F37"/>
    <w:rsid w:val="009879EA"/>
    <w:rsid w:val="0099044A"/>
    <w:rsid w:val="009908A5"/>
    <w:rsid w:val="0099124E"/>
    <w:rsid w:val="00991261"/>
    <w:rsid w:val="00991CC2"/>
    <w:rsid w:val="009953D5"/>
    <w:rsid w:val="00996D7F"/>
    <w:rsid w:val="009A1D29"/>
    <w:rsid w:val="009A65D9"/>
    <w:rsid w:val="009B78B2"/>
    <w:rsid w:val="009C5690"/>
    <w:rsid w:val="009C6394"/>
    <w:rsid w:val="009D0E2A"/>
    <w:rsid w:val="009D0F0E"/>
    <w:rsid w:val="009D1AAE"/>
    <w:rsid w:val="009D634E"/>
    <w:rsid w:val="009E1560"/>
    <w:rsid w:val="009F0F06"/>
    <w:rsid w:val="009F10AB"/>
    <w:rsid w:val="009F1220"/>
    <w:rsid w:val="009F28BC"/>
    <w:rsid w:val="009F4FC5"/>
    <w:rsid w:val="00A002C1"/>
    <w:rsid w:val="00A0152E"/>
    <w:rsid w:val="00A11954"/>
    <w:rsid w:val="00A12B58"/>
    <w:rsid w:val="00A1427D"/>
    <w:rsid w:val="00A1790D"/>
    <w:rsid w:val="00A21BD5"/>
    <w:rsid w:val="00A233BB"/>
    <w:rsid w:val="00A235F1"/>
    <w:rsid w:val="00A23F62"/>
    <w:rsid w:val="00A2460E"/>
    <w:rsid w:val="00A34B00"/>
    <w:rsid w:val="00A35D0C"/>
    <w:rsid w:val="00A3777A"/>
    <w:rsid w:val="00A378DF"/>
    <w:rsid w:val="00A43D4D"/>
    <w:rsid w:val="00A44269"/>
    <w:rsid w:val="00A50077"/>
    <w:rsid w:val="00A53982"/>
    <w:rsid w:val="00A54CA8"/>
    <w:rsid w:val="00A559E2"/>
    <w:rsid w:val="00A60196"/>
    <w:rsid w:val="00A61585"/>
    <w:rsid w:val="00A6199C"/>
    <w:rsid w:val="00A61CB2"/>
    <w:rsid w:val="00A622AF"/>
    <w:rsid w:val="00A65F4A"/>
    <w:rsid w:val="00A66636"/>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9283B"/>
    <w:rsid w:val="00AA1D9A"/>
    <w:rsid w:val="00AA275E"/>
    <w:rsid w:val="00AA32EB"/>
    <w:rsid w:val="00AB1DA6"/>
    <w:rsid w:val="00AB382F"/>
    <w:rsid w:val="00AB4CF1"/>
    <w:rsid w:val="00AC353B"/>
    <w:rsid w:val="00AC5F60"/>
    <w:rsid w:val="00AD1151"/>
    <w:rsid w:val="00AD34EE"/>
    <w:rsid w:val="00AD7C5F"/>
    <w:rsid w:val="00AD7C88"/>
    <w:rsid w:val="00AE38A4"/>
    <w:rsid w:val="00AE3D48"/>
    <w:rsid w:val="00AE45DE"/>
    <w:rsid w:val="00AE792D"/>
    <w:rsid w:val="00AF04FA"/>
    <w:rsid w:val="00AF0878"/>
    <w:rsid w:val="00AF2F9D"/>
    <w:rsid w:val="00AF47AA"/>
    <w:rsid w:val="00AF6710"/>
    <w:rsid w:val="00B013E6"/>
    <w:rsid w:val="00B036FE"/>
    <w:rsid w:val="00B04D66"/>
    <w:rsid w:val="00B06AAF"/>
    <w:rsid w:val="00B10C19"/>
    <w:rsid w:val="00B1157C"/>
    <w:rsid w:val="00B1501F"/>
    <w:rsid w:val="00B22971"/>
    <w:rsid w:val="00B26710"/>
    <w:rsid w:val="00B26B3C"/>
    <w:rsid w:val="00B30179"/>
    <w:rsid w:val="00B304E1"/>
    <w:rsid w:val="00B3317B"/>
    <w:rsid w:val="00B37554"/>
    <w:rsid w:val="00B37AAE"/>
    <w:rsid w:val="00B40A23"/>
    <w:rsid w:val="00B41384"/>
    <w:rsid w:val="00B4398E"/>
    <w:rsid w:val="00B45BCD"/>
    <w:rsid w:val="00B46383"/>
    <w:rsid w:val="00B4782A"/>
    <w:rsid w:val="00B5392B"/>
    <w:rsid w:val="00B56472"/>
    <w:rsid w:val="00B56612"/>
    <w:rsid w:val="00B61C6F"/>
    <w:rsid w:val="00B63370"/>
    <w:rsid w:val="00B64D17"/>
    <w:rsid w:val="00B666B2"/>
    <w:rsid w:val="00B71E2B"/>
    <w:rsid w:val="00B73DA8"/>
    <w:rsid w:val="00B74F7C"/>
    <w:rsid w:val="00B75E05"/>
    <w:rsid w:val="00B81E12"/>
    <w:rsid w:val="00B82563"/>
    <w:rsid w:val="00B829E9"/>
    <w:rsid w:val="00B8417C"/>
    <w:rsid w:val="00B84AAC"/>
    <w:rsid w:val="00B877E1"/>
    <w:rsid w:val="00B90F54"/>
    <w:rsid w:val="00B9125C"/>
    <w:rsid w:val="00B91CC3"/>
    <w:rsid w:val="00B92A0C"/>
    <w:rsid w:val="00B93068"/>
    <w:rsid w:val="00B934CF"/>
    <w:rsid w:val="00BB02D9"/>
    <w:rsid w:val="00BB176D"/>
    <w:rsid w:val="00BB3B28"/>
    <w:rsid w:val="00BB3CA8"/>
    <w:rsid w:val="00BC43AB"/>
    <w:rsid w:val="00BC5CA8"/>
    <w:rsid w:val="00BC74E9"/>
    <w:rsid w:val="00BD2077"/>
    <w:rsid w:val="00BD3308"/>
    <w:rsid w:val="00BE1FF8"/>
    <w:rsid w:val="00BE382C"/>
    <w:rsid w:val="00BE50CA"/>
    <w:rsid w:val="00BE618E"/>
    <w:rsid w:val="00BF16FB"/>
    <w:rsid w:val="00C015FE"/>
    <w:rsid w:val="00C0263F"/>
    <w:rsid w:val="00C03B44"/>
    <w:rsid w:val="00C05987"/>
    <w:rsid w:val="00C135D6"/>
    <w:rsid w:val="00C13A85"/>
    <w:rsid w:val="00C14370"/>
    <w:rsid w:val="00C17563"/>
    <w:rsid w:val="00C218A4"/>
    <w:rsid w:val="00C246E2"/>
    <w:rsid w:val="00C31519"/>
    <w:rsid w:val="00C36D37"/>
    <w:rsid w:val="00C40803"/>
    <w:rsid w:val="00C415CF"/>
    <w:rsid w:val="00C42730"/>
    <w:rsid w:val="00C463DD"/>
    <w:rsid w:val="00C4684B"/>
    <w:rsid w:val="00C46D5B"/>
    <w:rsid w:val="00C52899"/>
    <w:rsid w:val="00C537D5"/>
    <w:rsid w:val="00C57EF0"/>
    <w:rsid w:val="00C61EEF"/>
    <w:rsid w:val="00C62F76"/>
    <w:rsid w:val="00C63D9D"/>
    <w:rsid w:val="00C65342"/>
    <w:rsid w:val="00C66D78"/>
    <w:rsid w:val="00C72B97"/>
    <w:rsid w:val="00C737DA"/>
    <w:rsid w:val="00C745C3"/>
    <w:rsid w:val="00C81212"/>
    <w:rsid w:val="00C81FCB"/>
    <w:rsid w:val="00C84FF1"/>
    <w:rsid w:val="00C87478"/>
    <w:rsid w:val="00C91180"/>
    <w:rsid w:val="00C93C11"/>
    <w:rsid w:val="00C971F6"/>
    <w:rsid w:val="00CA049C"/>
    <w:rsid w:val="00CA381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392C"/>
    <w:rsid w:val="00CD5526"/>
    <w:rsid w:val="00CE09DE"/>
    <w:rsid w:val="00CE2D21"/>
    <w:rsid w:val="00CE33D5"/>
    <w:rsid w:val="00CE4083"/>
    <w:rsid w:val="00CE46BA"/>
    <w:rsid w:val="00CE4A8F"/>
    <w:rsid w:val="00CE52AD"/>
    <w:rsid w:val="00CE74ED"/>
    <w:rsid w:val="00CF02AD"/>
    <w:rsid w:val="00CF4FE1"/>
    <w:rsid w:val="00CF6F32"/>
    <w:rsid w:val="00CF778D"/>
    <w:rsid w:val="00D01017"/>
    <w:rsid w:val="00D0631B"/>
    <w:rsid w:val="00D06C3A"/>
    <w:rsid w:val="00D13793"/>
    <w:rsid w:val="00D164BA"/>
    <w:rsid w:val="00D16C2F"/>
    <w:rsid w:val="00D179E7"/>
    <w:rsid w:val="00D2031B"/>
    <w:rsid w:val="00D24A58"/>
    <w:rsid w:val="00D25E8C"/>
    <w:rsid w:val="00D25FE2"/>
    <w:rsid w:val="00D27E89"/>
    <w:rsid w:val="00D35123"/>
    <w:rsid w:val="00D37E80"/>
    <w:rsid w:val="00D40730"/>
    <w:rsid w:val="00D40D94"/>
    <w:rsid w:val="00D43252"/>
    <w:rsid w:val="00D46231"/>
    <w:rsid w:val="00D477C4"/>
    <w:rsid w:val="00D50DF8"/>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A498B"/>
    <w:rsid w:val="00DA6620"/>
    <w:rsid w:val="00DA67AD"/>
    <w:rsid w:val="00DA7D8F"/>
    <w:rsid w:val="00DA7E44"/>
    <w:rsid w:val="00DB39FA"/>
    <w:rsid w:val="00DB7A95"/>
    <w:rsid w:val="00DD1E65"/>
    <w:rsid w:val="00DD3F15"/>
    <w:rsid w:val="00DD42A0"/>
    <w:rsid w:val="00DD725C"/>
    <w:rsid w:val="00DE15E0"/>
    <w:rsid w:val="00DE1EFB"/>
    <w:rsid w:val="00DE236F"/>
    <w:rsid w:val="00DE2969"/>
    <w:rsid w:val="00DE3ECB"/>
    <w:rsid w:val="00DE41F2"/>
    <w:rsid w:val="00DE4413"/>
    <w:rsid w:val="00DE4785"/>
    <w:rsid w:val="00DE7267"/>
    <w:rsid w:val="00DF0A4D"/>
    <w:rsid w:val="00DF3039"/>
    <w:rsid w:val="00DF3A04"/>
    <w:rsid w:val="00DF4518"/>
    <w:rsid w:val="00DF69A6"/>
    <w:rsid w:val="00E03260"/>
    <w:rsid w:val="00E07210"/>
    <w:rsid w:val="00E130AB"/>
    <w:rsid w:val="00E160F2"/>
    <w:rsid w:val="00E1679E"/>
    <w:rsid w:val="00E239A0"/>
    <w:rsid w:val="00E3141C"/>
    <w:rsid w:val="00E33D2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577C9"/>
    <w:rsid w:val="00E60903"/>
    <w:rsid w:val="00E631BA"/>
    <w:rsid w:val="00E631FE"/>
    <w:rsid w:val="00E63481"/>
    <w:rsid w:val="00E63DE8"/>
    <w:rsid w:val="00E6613A"/>
    <w:rsid w:val="00E7260F"/>
    <w:rsid w:val="00E730D8"/>
    <w:rsid w:val="00E81230"/>
    <w:rsid w:val="00E82A4A"/>
    <w:rsid w:val="00E8535A"/>
    <w:rsid w:val="00E859FF"/>
    <w:rsid w:val="00E864BE"/>
    <w:rsid w:val="00E90647"/>
    <w:rsid w:val="00E90B62"/>
    <w:rsid w:val="00E9396C"/>
    <w:rsid w:val="00E96630"/>
    <w:rsid w:val="00EA0364"/>
    <w:rsid w:val="00EA04DA"/>
    <w:rsid w:val="00EA48C4"/>
    <w:rsid w:val="00EA772F"/>
    <w:rsid w:val="00EB2AE3"/>
    <w:rsid w:val="00EB4C06"/>
    <w:rsid w:val="00EB51D5"/>
    <w:rsid w:val="00EB5F0B"/>
    <w:rsid w:val="00EB65EF"/>
    <w:rsid w:val="00EB6832"/>
    <w:rsid w:val="00EB71BA"/>
    <w:rsid w:val="00EB798F"/>
    <w:rsid w:val="00EC14E9"/>
    <w:rsid w:val="00EC1F27"/>
    <w:rsid w:val="00EC271A"/>
    <w:rsid w:val="00EC4EDF"/>
    <w:rsid w:val="00EC525D"/>
    <w:rsid w:val="00EC526C"/>
    <w:rsid w:val="00EC6BFD"/>
    <w:rsid w:val="00EC755A"/>
    <w:rsid w:val="00ED2B14"/>
    <w:rsid w:val="00ED3508"/>
    <w:rsid w:val="00ED3F6F"/>
    <w:rsid w:val="00ED7377"/>
    <w:rsid w:val="00ED769C"/>
    <w:rsid w:val="00ED7A2A"/>
    <w:rsid w:val="00ED7B73"/>
    <w:rsid w:val="00EE0EA7"/>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14F86"/>
    <w:rsid w:val="00F164C7"/>
    <w:rsid w:val="00F16FE9"/>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42D7"/>
    <w:rsid w:val="00F75E96"/>
    <w:rsid w:val="00F87B50"/>
    <w:rsid w:val="00F9439A"/>
    <w:rsid w:val="00FA00A0"/>
    <w:rsid w:val="00FA02CA"/>
    <w:rsid w:val="00FA032F"/>
    <w:rsid w:val="00FA3FB7"/>
    <w:rsid w:val="00FA5D08"/>
    <w:rsid w:val="00FB2CDB"/>
    <w:rsid w:val="00FB5A37"/>
    <w:rsid w:val="00FB7793"/>
    <w:rsid w:val="00FC18AA"/>
    <w:rsid w:val="00FC215C"/>
    <w:rsid w:val="00FC3E63"/>
    <w:rsid w:val="00FC6351"/>
    <w:rsid w:val="00FC68B7"/>
    <w:rsid w:val="00FD053A"/>
    <w:rsid w:val="00FD3C5D"/>
    <w:rsid w:val="00FD3E70"/>
    <w:rsid w:val="00FD6B2B"/>
    <w:rsid w:val="00FE326D"/>
    <w:rsid w:val="00FE3EEA"/>
    <w:rsid w:val="00FE4618"/>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99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dn.imo.org/localresources/en/KnowledgeCentre/IndexofIMOResolutions/MSCResolutions/MSC.307(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5D5BFA-643B-4B84-82A4-49E7BE3E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1EE30045-1B47-4AD0-B127-027B6064C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37</TotalTime>
  <Pages>2</Pages>
  <Words>645</Words>
  <Characters>3680</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25</cp:revision>
  <cp:lastPrinted>2021-06-15T10:55:00Z</cp:lastPrinted>
  <dcterms:created xsi:type="dcterms:W3CDTF">2021-06-15T13:01:00Z</dcterms:created>
  <dcterms:modified xsi:type="dcterms:W3CDTF">2021-06-15T19:15:00Z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