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6C984EF"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136D08">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44259A1A" w14:textId="77777777" w:rsidR="00645A0B" w:rsidRPr="00BC7315" w:rsidRDefault="003C34FA" w:rsidP="00EE2966">
            <w:pPr>
              <w:tabs>
                <w:tab w:val="right" w:pos="9214"/>
              </w:tabs>
              <w:rPr>
                <w:b/>
                <w:sz w:val="24"/>
                <w:szCs w:val="24"/>
                <w:lang w:val="fr-FR"/>
              </w:rPr>
            </w:pPr>
            <w:r w:rsidRPr="00BC7315">
              <w:rPr>
                <w:b/>
                <w:sz w:val="24"/>
                <w:szCs w:val="24"/>
                <w:lang w:val="fr-FR"/>
              </w:rPr>
              <w:t>Comité d’experts du transport des marchandises dangereuses</w:t>
            </w:r>
            <w:r w:rsidRPr="00BC7315">
              <w:rPr>
                <w:b/>
                <w:sz w:val="24"/>
                <w:szCs w:val="24"/>
                <w:lang w:val="fr-FR"/>
              </w:rPr>
              <w:br/>
              <w:t>et du Système général harmonisé de classification</w:t>
            </w:r>
            <w:r w:rsidRPr="00BC7315">
              <w:rPr>
                <w:b/>
                <w:sz w:val="24"/>
                <w:szCs w:val="24"/>
                <w:lang w:val="fr-FR"/>
              </w:rPr>
              <w:br/>
              <w:t>et d’étiquetage des produits chimiques</w:t>
            </w:r>
          </w:p>
          <w:p w14:paraId="1412EDF9" w14:textId="77777777" w:rsidR="00CF7219" w:rsidRPr="00BC7315" w:rsidRDefault="00CF7219" w:rsidP="00EE2966">
            <w:pPr>
              <w:tabs>
                <w:tab w:val="right" w:pos="9214"/>
              </w:tabs>
              <w:rPr>
                <w:b/>
                <w:sz w:val="24"/>
                <w:szCs w:val="24"/>
                <w:lang w:val="fr-FR"/>
              </w:rPr>
            </w:pPr>
          </w:p>
          <w:p w14:paraId="3D21E37C" w14:textId="77777777" w:rsidR="00CF7219" w:rsidRPr="00BC7315" w:rsidRDefault="00CF7219" w:rsidP="00EE2966">
            <w:pPr>
              <w:tabs>
                <w:tab w:val="right" w:pos="9214"/>
              </w:tabs>
              <w:rPr>
                <w:b/>
                <w:lang w:val="fr-FR"/>
              </w:rPr>
            </w:pPr>
            <w:r w:rsidRPr="00BC7315">
              <w:rPr>
                <w:b/>
                <w:lang w:val="fr-FR"/>
              </w:rPr>
              <w:t>Sous-Comité d’experts du transport des marchandises dangereuses</w:t>
            </w:r>
          </w:p>
          <w:p w14:paraId="011487A8" w14:textId="77777777" w:rsidR="00CF7219" w:rsidRPr="00BC7315" w:rsidRDefault="00CF7219" w:rsidP="00EE2966">
            <w:pPr>
              <w:tabs>
                <w:tab w:val="right" w:pos="9214"/>
              </w:tabs>
              <w:rPr>
                <w:b/>
                <w:lang w:val="fr-FR"/>
              </w:rPr>
            </w:pPr>
          </w:p>
          <w:p w14:paraId="71F8AEFB" w14:textId="77777777" w:rsidR="006F6502" w:rsidRPr="00BC7315" w:rsidRDefault="006F6502" w:rsidP="006F6502">
            <w:pPr>
              <w:spacing w:before="120"/>
              <w:rPr>
                <w:b/>
                <w:lang w:val="fr-FR"/>
              </w:rPr>
            </w:pPr>
            <w:r w:rsidRPr="00BC7315">
              <w:rPr>
                <w:b/>
                <w:bCs/>
                <w:lang w:val="fr-FR"/>
              </w:rPr>
              <w:t>Cinquante-huitième</w:t>
            </w:r>
            <w:r w:rsidRPr="00BC7315">
              <w:rPr>
                <w:b/>
                <w:lang w:val="fr-FR"/>
              </w:rPr>
              <w:t xml:space="preserve"> session</w:t>
            </w:r>
          </w:p>
          <w:p w14:paraId="6C5DCDFD" w14:textId="77777777" w:rsidR="006F6502" w:rsidRPr="00BC7315" w:rsidRDefault="006F6502" w:rsidP="006F6502">
            <w:pPr>
              <w:rPr>
                <w:lang w:val="fr-FR"/>
              </w:rPr>
            </w:pPr>
            <w:r w:rsidRPr="00BC7315">
              <w:rPr>
                <w:lang w:val="fr-FR"/>
              </w:rPr>
              <w:t xml:space="preserve">Genève, 28 juin-2 juillet 2021 </w:t>
            </w:r>
          </w:p>
          <w:p w14:paraId="38BDDA9C" w14:textId="77777777" w:rsidR="00CF7219" w:rsidRPr="00BC7315" w:rsidRDefault="006F6502" w:rsidP="006F6502">
            <w:pPr>
              <w:tabs>
                <w:tab w:val="right" w:pos="9214"/>
              </w:tabs>
              <w:rPr>
                <w:b/>
                <w:lang w:val="fr-FR"/>
              </w:rPr>
            </w:pPr>
            <w:r w:rsidRPr="00BC7315">
              <w:rPr>
                <w:lang w:val="fr-FR"/>
              </w:rPr>
              <w:t xml:space="preserve">Point </w:t>
            </w:r>
            <w:r w:rsidR="00B14FB7" w:rsidRPr="00BC7315">
              <w:rPr>
                <w:lang w:val="fr-FR"/>
              </w:rPr>
              <w:t>4 (f)</w:t>
            </w:r>
            <w:r w:rsidRPr="00BC7315">
              <w:rPr>
                <w:lang w:val="fr-FR"/>
              </w:rPr>
              <w:t xml:space="preserve"> de l’ordre du jour provisoire</w:t>
            </w:r>
            <w:r w:rsidR="00B14FB7" w:rsidRPr="00BC7315">
              <w:rPr>
                <w:lang w:val="fr-FR"/>
              </w:rPr>
              <w:br/>
            </w:r>
            <w:r w:rsidR="003B18C8" w:rsidRPr="00BC7315">
              <w:rPr>
                <w:b/>
                <w:lang w:val="fr-FR"/>
              </w:rPr>
              <w:t>Systèmes de stockage de l’électricité</w:t>
            </w:r>
            <w:r w:rsidR="00AE0F0F" w:rsidRPr="00BC7315">
              <w:rPr>
                <w:b/>
                <w:lang w:val="fr-FR"/>
              </w:rPr>
              <w:t xml:space="preserve">: </w:t>
            </w:r>
            <w:r w:rsidR="00767949" w:rsidRPr="00BC7315">
              <w:rPr>
                <w:b/>
                <w:lang w:val="fr-FR"/>
              </w:rPr>
              <w:t>questions diverses</w:t>
            </w:r>
          </w:p>
          <w:p w14:paraId="2AD2D582" w14:textId="77777777" w:rsidR="00EC65DB" w:rsidRPr="00BC7315" w:rsidRDefault="00EC65DB" w:rsidP="00EC65DB">
            <w:pPr>
              <w:pStyle w:val="HChG"/>
              <w:rPr>
                <w:lang w:val="fr-FR"/>
              </w:rPr>
            </w:pPr>
            <w:r w:rsidRPr="00BC7315">
              <w:rPr>
                <w:lang w:val="fr-FR"/>
              </w:rPr>
              <w:tab/>
            </w:r>
            <w:r w:rsidRPr="00BC7315">
              <w:rPr>
                <w:lang w:val="fr-FR"/>
              </w:rPr>
              <w:tab/>
              <w:t>Piles et batteries installées dans un engin de transport et 2.9.4</w:t>
            </w:r>
          </w:p>
          <w:p w14:paraId="75559C83" w14:textId="1E881570" w:rsidR="00EC65DB" w:rsidRDefault="00EC65DB" w:rsidP="00EC65DB">
            <w:pPr>
              <w:pStyle w:val="HChG"/>
              <w:rPr>
                <w:rFonts w:eastAsia="Arial"/>
                <w:lang w:val="fr-FR"/>
              </w:rPr>
            </w:pPr>
            <w:r>
              <w:rPr>
                <w:rFonts w:eastAsia="Arial"/>
                <w:lang w:val="fr-FR"/>
              </w:rPr>
              <w:tab/>
            </w:r>
            <w:r>
              <w:rPr>
                <w:rFonts w:eastAsia="Arial"/>
                <w:lang w:val="fr-FR"/>
              </w:rPr>
              <w:tab/>
              <w:t>Communication de l’expert de la Suisse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EC65DB" w14:paraId="056F0096" w14:textId="77777777" w:rsidTr="00EC65DB">
              <w:trPr>
                <w:jc w:val="center"/>
              </w:trPr>
              <w:tc>
                <w:tcPr>
                  <w:tcW w:w="9637" w:type="dxa"/>
                  <w:tcBorders>
                    <w:top w:val="single" w:sz="4" w:space="0" w:color="auto"/>
                    <w:left w:val="single" w:sz="4" w:space="0" w:color="auto"/>
                    <w:bottom w:val="nil"/>
                    <w:right w:val="single" w:sz="4" w:space="0" w:color="auto"/>
                  </w:tcBorders>
                  <w:hideMark/>
                </w:tcPr>
                <w:p w14:paraId="706247F2" w14:textId="77777777" w:rsidR="00EC65DB" w:rsidRDefault="00EC65DB" w:rsidP="00EC65DB">
                  <w:pPr>
                    <w:tabs>
                      <w:tab w:val="right" w:pos="8505"/>
                    </w:tabs>
                    <w:spacing w:before="240" w:after="120"/>
                    <w:ind w:left="255"/>
                    <w:rPr>
                      <w:i/>
                      <w:color w:val="FF0000"/>
                      <w:sz w:val="24"/>
                      <w:lang w:val="fr-CH"/>
                    </w:rPr>
                  </w:pPr>
                  <w:r>
                    <w:rPr>
                      <w:i/>
                      <w:sz w:val="24"/>
                    </w:rPr>
                    <w:t>Résumé</w:t>
                  </w:r>
                  <w:r>
                    <w:rPr>
                      <w:i/>
                      <w:sz w:val="24"/>
                    </w:rPr>
                    <w:tab/>
                  </w:r>
                </w:p>
              </w:tc>
            </w:tr>
            <w:tr w:rsidR="00EC65DB" w14:paraId="64393282" w14:textId="77777777" w:rsidTr="00EC65DB">
              <w:trPr>
                <w:jc w:val="center"/>
              </w:trPr>
              <w:tc>
                <w:tcPr>
                  <w:tcW w:w="9637" w:type="dxa"/>
                  <w:tcBorders>
                    <w:top w:val="nil"/>
                    <w:left w:val="single" w:sz="4" w:space="0" w:color="auto"/>
                    <w:bottom w:val="nil"/>
                    <w:right w:val="single" w:sz="4" w:space="0" w:color="auto"/>
                  </w:tcBorders>
                  <w:hideMark/>
                </w:tcPr>
                <w:p w14:paraId="0E761CBD" w14:textId="77777777" w:rsidR="00EC65DB" w:rsidRDefault="00EC65DB" w:rsidP="00EC65DB">
                  <w:pPr>
                    <w:pStyle w:val="SingleTxtG"/>
                    <w:ind w:left="2552" w:hanging="2268"/>
                  </w:pPr>
                  <w:r>
                    <w:rPr>
                      <w:b/>
                    </w:rPr>
                    <w:t xml:space="preserve">Résumé </w:t>
                  </w:r>
                  <w:proofErr w:type="spellStart"/>
                  <w:r>
                    <w:rPr>
                      <w:b/>
                    </w:rPr>
                    <w:t>analytique</w:t>
                  </w:r>
                  <w:proofErr w:type="spellEnd"/>
                  <w:r>
                    <w:rPr>
                      <w:b/>
                    </w:rPr>
                    <w:t>:</w:t>
                  </w:r>
                  <w:r>
                    <w:rPr>
                      <w:b/>
                    </w:rPr>
                    <w:tab/>
                  </w:r>
                  <w:r>
                    <w:t xml:space="preserve">Les piles et batteries </w:t>
                  </w:r>
                  <w:proofErr w:type="spellStart"/>
                  <w:r>
                    <w:t>installées</w:t>
                  </w:r>
                  <w:proofErr w:type="spellEnd"/>
                  <w:r>
                    <w:t xml:space="preserve"> dans un </w:t>
                  </w:r>
                  <w:proofErr w:type="spellStart"/>
                  <w:r>
                    <w:t>engin</w:t>
                  </w:r>
                  <w:proofErr w:type="spellEnd"/>
                  <w:r>
                    <w:t xml:space="preserve"> de transport </w:t>
                  </w:r>
                  <w:proofErr w:type="spellStart"/>
                  <w:r>
                    <w:t>satisfont</w:t>
                  </w:r>
                  <w:proofErr w:type="spellEnd"/>
                  <w:r>
                    <w:t xml:space="preserve"> à </w:t>
                  </w:r>
                  <w:proofErr w:type="spellStart"/>
                  <w:r>
                    <w:t>toutes</w:t>
                  </w:r>
                  <w:proofErr w:type="spellEnd"/>
                  <w:r>
                    <w:t xml:space="preserve"> les exigences du 2.9.4 et </w:t>
                  </w:r>
                  <w:proofErr w:type="spellStart"/>
                  <w:r>
                    <w:t>doivent</w:t>
                  </w:r>
                  <w:proofErr w:type="spellEnd"/>
                  <w:r>
                    <w:t xml:space="preserve"> figurer dans la </w:t>
                  </w:r>
                  <w:proofErr w:type="spellStart"/>
                  <w:r>
                    <w:t>liste</w:t>
                  </w:r>
                  <w:proofErr w:type="spellEnd"/>
                  <w:r>
                    <w:t xml:space="preserve"> de </w:t>
                  </w:r>
                  <w:proofErr w:type="spellStart"/>
                  <w:r>
                    <w:t>celles</w:t>
                  </w:r>
                  <w:proofErr w:type="spellEnd"/>
                  <w:r>
                    <w:t xml:space="preserve"> </w:t>
                  </w:r>
                  <w:proofErr w:type="spellStart"/>
                  <w:r>
                    <w:t>citées</w:t>
                  </w:r>
                  <w:proofErr w:type="spellEnd"/>
                  <w:r>
                    <w:t xml:space="preserve"> dans la première phrase du 2.9.4</w:t>
                  </w:r>
                  <w:r>
                    <w:rPr>
                      <w:bCs/>
                    </w:rPr>
                    <w:t>.</w:t>
                  </w:r>
                </w:p>
              </w:tc>
            </w:tr>
            <w:tr w:rsidR="00EC65DB" w14:paraId="7F3DD2CE" w14:textId="77777777" w:rsidTr="00EC65DB">
              <w:trPr>
                <w:jc w:val="center"/>
              </w:trPr>
              <w:tc>
                <w:tcPr>
                  <w:tcW w:w="9637" w:type="dxa"/>
                  <w:tcBorders>
                    <w:top w:val="nil"/>
                    <w:left w:val="single" w:sz="4" w:space="0" w:color="auto"/>
                    <w:bottom w:val="nil"/>
                    <w:right w:val="single" w:sz="4" w:space="0" w:color="auto"/>
                  </w:tcBorders>
                  <w:hideMark/>
                </w:tcPr>
                <w:p w14:paraId="015399BF" w14:textId="0936D780" w:rsidR="00EC65DB" w:rsidRDefault="00EC65DB" w:rsidP="00EC65DB">
                  <w:pPr>
                    <w:pStyle w:val="SingleTxtG"/>
                    <w:ind w:left="2552" w:hanging="2268"/>
                  </w:pPr>
                  <w:proofErr w:type="spellStart"/>
                  <w:r>
                    <w:rPr>
                      <w:b/>
                    </w:rPr>
                    <w:t>Mesure</w:t>
                  </w:r>
                  <w:proofErr w:type="spellEnd"/>
                  <w:r>
                    <w:rPr>
                      <w:b/>
                    </w:rPr>
                    <w:t xml:space="preserve"> à prendre:</w:t>
                  </w:r>
                  <w:r>
                    <w:rPr>
                      <w:b/>
                    </w:rPr>
                    <w:tab/>
                  </w:r>
                  <w:r>
                    <w:t xml:space="preserve">Modifier le </w:t>
                  </w:r>
                  <w:proofErr w:type="spellStart"/>
                  <w:r>
                    <w:t>texte</w:t>
                  </w:r>
                  <w:proofErr w:type="spellEnd"/>
                  <w:r>
                    <w:t xml:space="preserve"> de la première phrase de du 2.9.4 et de la </w:t>
                  </w:r>
                  <w:proofErr w:type="spellStart"/>
                  <w:r>
                    <w:t>deuxième</w:t>
                  </w:r>
                  <w:proofErr w:type="spellEnd"/>
                  <w:r>
                    <w:t xml:space="preserve"> phrase de la DS</w:t>
                  </w:r>
                  <w:r w:rsidR="00CE213F">
                    <w:rPr>
                      <w:lang w:val="fr-CH"/>
                    </w:rPr>
                    <w:t xml:space="preserve"> </w:t>
                  </w:r>
                  <w:r>
                    <w:t xml:space="preserve">389. </w:t>
                  </w:r>
                </w:p>
              </w:tc>
            </w:tr>
            <w:tr w:rsidR="00EC65DB" w14:paraId="353692BB" w14:textId="77777777" w:rsidTr="00EC65DB">
              <w:trPr>
                <w:jc w:val="center"/>
              </w:trPr>
              <w:tc>
                <w:tcPr>
                  <w:tcW w:w="9637" w:type="dxa"/>
                  <w:tcBorders>
                    <w:top w:val="nil"/>
                    <w:left w:val="single" w:sz="4" w:space="0" w:color="auto"/>
                    <w:bottom w:val="nil"/>
                    <w:right w:val="single" w:sz="4" w:space="0" w:color="auto"/>
                  </w:tcBorders>
                </w:tcPr>
                <w:p w14:paraId="01CD1F4E" w14:textId="77777777" w:rsidR="00EC65DB" w:rsidRDefault="00EC65DB" w:rsidP="00EC65DB">
                  <w:pPr>
                    <w:pStyle w:val="SingleTxtG"/>
                    <w:ind w:left="0"/>
                    <w:jc w:val="left"/>
                  </w:pPr>
                </w:p>
              </w:tc>
            </w:tr>
            <w:tr w:rsidR="00EC65DB" w14:paraId="0A5E527F" w14:textId="77777777" w:rsidTr="007C111B">
              <w:trPr>
                <w:trHeight w:val="49"/>
                <w:jc w:val="center"/>
              </w:trPr>
              <w:tc>
                <w:tcPr>
                  <w:tcW w:w="9637" w:type="dxa"/>
                  <w:tcBorders>
                    <w:top w:val="nil"/>
                    <w:left w:val="single" w:sz="4" w:space="0" w:color="auto"/>
                    <w:bottom w:val="single" w:sz="4" w:space="0" w:color="auto"/>
                    <w:right w:val="single" w:sz="4" w:space="0" w:color="auto"/>
                  </w:tcBorders>
                </w:tcPr>
                <w:p w14:paraId="09A7EDE6" w14:textId="77777777" w:rsidR="00EC65DB" w:rsidRDefault="00EC65DB" w:rsidP="007C111B">
                  <w:pPr>
                    <w:rPr>
                      <w:b/>
                      <w:color w:val="FF0000"/>
                    </w:rPr>
                  </w:pPr>
                </w:p>
              </w:tc>
            </w:tr>
          </w:tbl>
          <w:p w14:paraId="5F8F7F9E" w14:textId="77777777" w:rsidR="00EC65DB" w:rsidRDefault="00EC65DB" w:rsidP="00EC65DB">
            <w:pPr>
              <w:pStyle w:val="HChG"/>
              <w:rPr>
                <w:lang w:val="fr-CH" w:eastAsia="x-none"/>
              </w:rPr>
            </w:pPr>
            <w:r>
              <w:rPr>
                <w:b w:val="0"/>
                <w:lang w:eastAsia="x-none"/>
              </w:rPr>
              <w:br w:type="page"/>
            </w:r>
            <w:r>
              <w:tab/>
            </w:r>
            <w:r>
              <w:tab/>
              <w:t>Introduction</w:t>
            </w:r>
          </w:p>
          <w:p w14:paraId="1F1FB40E" w14:textId="77777777" w:rsidR="00EC65DB" w:rsidRPr="007C111B" w:rsidRDefault="00EC65DB" w:rsidP="00EC65DB">
            <w:pPr>
              <w:pStyle w:val="SingleTxtG"/>
              <w:numPr>
                <w:ilvl w:val="0"/>
                <w:numId w:val="50"/>
              </w:numPr>
              <w:ind w:left="1134" w:firstLine="0"/>
              <w:rPr>
                <w:lang w:val="fr-CH"/>
              </w:rPr>
            </w:pPr>
            <w:r w:rsidRPr="007C111B">
              <w:rPr>
                <w:lang w:val="fr-CH"/>
              </w:rPr>
              <w:t>Au cours d'un examen dans le cadre du transport terrestre du RID/ADR/ADN des possibilités d’exemption de la rubrique UN 3536 nous avons observé une contraction qu’il nous semble opportun de lever. La rubrique UN 3536 est désignée comme « BATTERIES AU LITHIUM INSTALLÉES DANS DES ENGINS DE TRANSPORT » et la disposition spéciale 389 qui lui est assignée définit à son tour le champ d’application comme s’appliquant aux batteries au lithium qui répondent aux prescriptions des 2.9.4 a) à g) :</w:t>
            </w:r>
          </w:p>
          <w:p w14:paraId="1E4B46E5" w14:textId="77777777" w:rsidR="00EC65DB" w:rsidRPr="007C111B" w:rsidRDefault="00EC65DB" w:rsidP="00EC65DB">
            <w:pPr>
              <w:pStyle w:val="SingleTxtG"/>
              <w:ind w:left="1560"/>
              <w:rPr>
                <w:lang w:val="fr-CH"/>
              </w:rPr>
            </w:pPr>
            <w:r w:rsidRPr="007C111B">
              <w:rPr>
                <w:lang w:val="fr-CH"/>
              </w:rPr>
              <w:t xml:space="preserve"> « 389</w:t>
            </w:r>
            <w:r w:rsidRPr="007C111B">
              <w:rPr>
                <w:lang w:val="fr-CH"/>
              </w:rPr>
              <w:tab/>
              <w:t xml:space="preserve">Cette rubrique s’applique uniquement aux batteries au lithium ionique ou batteries au lithium métal installées dans un engin de transport et conçues uniquement pour fournir de l’énergie hors de l’engin de transport. Les batteries au lithium doivent répondre aux prescriptions des 2.9.4 a) à g) et contenir les systèmes nécessaires pour prévenir la surcharge et la décharge excessive des </w:t>
            </w:r>
            <w:proofErr w:type="gramStart"/>
            <w:r w:rsidRPr="007C111B">
              <w:rPr>
                <w:lang w:val="fr-CH"/>
              </w:rPr>
              <w:t>batteries….</w:t>
            </w:r>
            <w:proofErr w:type="gramEnd"/>
            <w:r w:rsidRPr="007C111B">
              <w:rPr>
                <w:lang w:val="fr-CH"/>
              </w:rPr>
              <w:t> »</w:t>
            </w:r>
          </w:p>
          <w:p w14:paraId="48EB6F72" w14:textId="51DCF4BC" w:rsidR="00EC65DB" w:rsidRPr="007C111B" w:rsidRDefault="00EC65DB" w:rsidP="00EC65DB">
            <w:pPr>
              <w:pStyle w:val="SingleTxtG"/>
              <w:numPr>
                <w:ilvl w:val="0"/>
                <w:numId w:val="50"/>
              </w:numPr>
              <w:ind w:left="1134" w:firstLine="0"/>
              <w:rPr>
                <w:lang w:val="fr-CH"/>
              </w:rPr>
            </w:pPr>
            <w:r w:rsidRPr="007C111B">
              <w:rPr>
                <w:lang w:val="fr-CH"/>
              </w:rPr>
              <w:t>Nous soupçonnons que la raison qui au départ a conduit à cibler les paragraphes a) à g) du 2.9.4 tout en excluant le paragraphe d’introduction du 2.9.4 provient du fait que les experts à l’origine de ces textes avaient pour but en premier lieu davantage de résoudre la question des engins de transport qui contiennent les batteries au lithium que de définir les dispositions concernant les piles et batteries elles-mêmes. Dans l’esprit des auteurs l’assimilation du concept d’engin de transport à celui de pile et batterie n’était pas évidente et pour cette raison il était peu concevable de faire figurer dans la première phrase du 2.9.4 sur le même plan des objets qui sont en général des conteneurs et des objets qui sont des piles et des batteries. C’est pourquoi le texte de la première phrase du 2.9.4 qui ne se réfère qu’aux « piles et batteries contenues dans un équipement, » ou aux « piles emballées avec l’équipement » n’a pas été adapté à la nouvelle rubrique UN 3536.</w:t>
            </w:r>
          </w:p>
          <w:p w14:paraId="0B1F415C" w14:textId="77777777" w:rsidR="00EC65DB" w:rsidRPr="007C111B" w:rsidRDefault="00EC65DB" w:rsidP="00EC65DB">
            <w:pPr>
              <w:pStyle w:val="SingleTxtG"/>
              <w:numPr>
                <w:ilvl w:val="0"/>
                <w:numId w:val="50"/>
              </w:numPr>
              <w:ind w:left="1134" w:firstLine="0"/>
              <w:rPr>
                <w:lang w:val="fr-CH"/>
              </w:rPr>
            </w:pPr>
            <w:r w:rsidRPr="007C111B">
              <w:rPr>
                <w:lang w:val="fr-CH"/>
              </w:rPr>
              <w:lastRenderedPageBreak/>
              <w:t xml:space="preserve">Maintenant que les textes sont définitifs et que les mêmes dispositions </w:t>
            </w:r>
            <w:proofErr w:type="gramStart"/>
            <w:r w:rsidRPr="007C111B">
              <w:rPr>
                <w:lang w:val="fr-CH"/>
              </w:rPr>
              <w:t>a</w:t>
            </w:r>
            <w:proofErr w:type="gramEnd"/>
            <w:r w:rsidRPr="007C111B">
              <w:rPr>
                <w:lang w:val="fr-CH"/>
              </w:rPr>
              <w:t xml:space="preserve">) à g) du 2.9.4 sont applicables au UN 3536 il devient évident que cette rubrique devrait être considérée comme une rubrique de plus de piles et batteries au lithium et figurer dans la liste de la première phrase du 2.9.4. </w:t>
            </w:r>
          </w:p>
          <w:p w14:paraId="491B0AD6" w14:textId="24A5AAE3" w:rsidR="00EC65DB" w:rsidRPr="007C111B" w:rsidRDefault="00EC65DB" w:rsidP="00EC65DB">
            <w:pPr>
              <w:pStyle w:val="SingleTxtG"/>
              <w:numPr>
                <w:ilvl w:val="0"/>
                <w:numId w:val="50"/>
              </w:numPr>
              <w:ind w:left="1134" w:firstLine="0"/>
              <w:rPr>
                <w:lang w:val="fr-CH"/>
              </w:rPr>
            </w:pPr>
            <w:r w:rsidRPr="007C111B">
              <w:rPr>
                <w:lang w:val="fr-CH"/>
              </w:rPr>
              <w:t>Prenant en compte que la rubrique UN 3536 et la DS</w:t>
            </w:r>
            <w:r w:rsidR="00EF2839">
              <w:rPr>
                <w:lang w:val="fr-CH"/>
              </w:rPr>
              <w:t xml:space="preserve"> </w:t>
            </w:r>
            <w:r w:rsidRPr="007C111B">
              <w:rPr>
                <w:lang w:val="fr-CH"/>
              </w:rPr>
              <w:t>389 s’adressent bien à des batteries au lithium, que celles-ci satisfont à toutes les exigences des 2.9.4 a) à g) et considérant le libellé du premier paragraphe du 2.9.4, il n’est pas évident pour quel motif la rubrique UN 3536 ne devrait pas être citée parmi les rubriques qui y sont énumérées.</w:t>
            </w:r>
          </w:p>
          <w:p w14:paraId="2D7B9839" w14:textId="77777777" w:rsidR="00EC65DB" w:rsidRPr="007C111B" w:rsidRDefault="00EC65DB" w:rsidP="00EC65DB">
            <w:pPr>
              <w:pStyle w:val="SingleTxtG"/>
              <w:numPr>
                <w:ilvl w:val="0"/>
                <w:numId w:val="50"/>
              </w:numPr>
              <w:ind w:left="1134" w:firstLine="0"/>
              <w:rPr>
                <w:lang w:val="fr-CH"/>
              </w:rPr>
            </w:pPr>
            <w:r w:rsidRPr="007C111B">
              <w:rPr>
                <w:lang w:val="fr-CH"/>
              </w:rPr>
              <w:t>Si les experts sont du même avis, nous proposons d’ajouter la mention à la rubrique UN 3536 dans le premier paragraphe du 2.9.4.</w:t>
            </w:r>
          </w:p>
          <w:p w14:paraId="798B8C6F" w14:textId="77777777" w:rsidR="00EC65DB" w:rsidRPr="007C111B" w:rsidRDefault="00EC65DB" w:rsidP="00EC65DB">
            <w:pPr>
              <w:pStyle w:val="HChG"/>
              <w:ind w:firstLine="0"/>
              <w:rPr>
                <w:lang w:val="fr-CH"/>
              </w:rPr>
            </w:pPr>
            <w:r w:rsidRPr="007C111B">
              <w:rPr>
                <w:lang w:val="fr-CH"/>
              </w:rPr>
              <w:t>Proposition</w:t>
            </w:r>
          </w:p>
          <w:p w14:paraId="79977455" w14:textId="77777777" w:rsidR="00EC65DB" w:rsidRPr="007C111B" w:rsidRDefault="00EC65DB" w:rsidP="00EC65DB">
            <w:pPr>
              <w:pStyle w:val="SingleTxtG"/>
              <w:numPr>
                <w:ilvl w:val="0"/>
                <w:numId w:val="50"/>
              </w:numPr>
              <w:rPr>
                <w:lang w:val="fr-CH"/>
              </w:rPr>
            </w:pPr>
            <w:r w:rsidRPr="007C111B">
              <w:rPr>
                <w:lang w:val="fr-CH"/>
              </w:rPr>
              <w:t xml:space="preserve">Modifier le texte de la première phrase du 2.9.4 comme suit : (nouveau texte </w:t>
            </w:r>
            <w:r w:rsidRPr="007C111B">
              <w:rPr>
                <w:b/>
                <w:bCs/>
                <w:u w:val="single"/>
                <w:lang w:val="fr-CH"/>
              </w:rPr>
              <w:t>souligné en gras</w:t>
            </w:r>
            <w:r w:rsidRPr="007C111B">
              <w:rPr>
                <w:lang w:val="fr-CH"/>
              </w:rPr>
              <w:t xml:space="preserve"> , texte éliminé </w:t>
            </w:r>
            <w:r w:rsidRPr="007C111B">
              <w:rPr>
                <w:strike/>
                <w:lang w:val="fr-CH"/>
              </w:rPr>
              <w:t>barré</w:t>
            </w:r>
            <w:r w:rsidRPr="007C111B">
              <w:rPr>
                <w:lang w:val="fr-CH"/>
              </w:rPr>
              <w:t>)</w:t>
            </w:r>
          </w:p>
          <w:p w14:paraId="4256E461" w14:textId="77777777" w:rsidR="00EC65DB" w:rsidRPr="007C111B" w:rsidRDefault="00EC65DB" w:rsidP="00EC65DB">
            <w:pPr>
              <w:spacing w:after="200"/>
              <w:ind w:left="1701"/>
              <w:rPr>
                <w:lang w:val="fr-CH"/>
              </w:rPr>
            </w:pPr>
            <w:r w:rsidRPr="007C111B">
              <w:rPr>
                <w:lang w:val="fr-CH"/>
              </w:rPr>
              <w:t xml:space="preserve">«Les piles et batteries, </w:t>
            </w:r>
            <w:r w:rsidRPr="007C111B">
              <w:rPr>
                <w:b/>
                <w:u w:val="single"/>
                <w:lang w:val="fr-CH"/>
              </w:rPr>
              <w:t>les piles et batteries</w:t>
            </w:r>
            <w:r w:rsidRPr="007C111B">
              <w:rPr>
                <w:lang w:val="fr-CH"/>
              </w:rPr>
              <w:t xml:space="preserve"> </w:t>
            </w:r>
            <w:r w:rsidRPr="007C111B">
              <w:rPr>
                <w:b/>
                <w:u w:val="single"/>
                <w:lang w:val="fr-CH"/>
              </w:rPr>
              <w:t>installées dans un engin de transport,</w:t>
            </w:r>
            <w:r w:rsidRPr="007C111B">
              <w:rPr>
                <w:lang w:val="fr-CH"/>
              </w:rPr>
              <w:t xml:space="preserve"> les piles et batteries contenues dans un équipement, ou les piles et batteries emballées avec un équipement, contenant du lithium sous quelque forme que ce soit doivent être classées sous les Nos ONU 3090, 3091, 3480</w:t>
            </w:r>
            <w:r w:rsidRPr="007C111B">
              <w:rPr>
                <w:b/>
                <w:u w:val="single"/>
                <w:lang w:val="fr-CH"/>
              </w:rPr>
              <w:t>,</w:t>
            </w:r>
            <w:r w:rsidRPr="007C111B">
              <w:rPr>
                <w:strike/>
                <w:lang w:val="fr-CH"/>
              </w:rPr>
              <w:t xml:space="preserve"> ou</w:t>
            </w:r>
            <w:r w:rsidRPr="007C111B">
              <w:rPr>
                <w:lang w:val="fr-CH"/>
              </w:rPr>
              <w:t xml:space="preserve"> 3481 </w:t>
            </w:r>
            <w:r w:rsidRPr="007C111B">
              <w:rPr>
                <w:b/>
                <w:u w:val="single"/>
                <w:lang w:val="fr-CH"/>
              </w:rPr>
              <w:t>ou 3536</w:t>
            </w:r>
            <w:r w:rsidRPr="007C111B">
              <w:rPr>
                <w:lang w:val="fr-CH"/>
              </w:rPr>
              <w:t>, selon qu’il convient. »</w:t>
            </w:r>
          </w:p>
          <w:p w14:paraId="1A842EB0" w14:textId="77777777" w:rsidR="00EC65DB" w:rsidRPr="007C111B" w:rsidRDefault="00EC65DB" w:rsidP="00EC65DB">
            <w:pPr>
              <w:pStyle w:val="SingleTxtG"/>
              <w:numPr>
                <w:ilvl w:val="0"/>
                <w:numId w:val="50"/>
              </w:numPr>
              <w:ind w:left="1134" w:firstLine="0"/>
              <w:rPr>
                <w:lang w:val="fr-CH"/>
              </w:rPr>
            </w:pPr>
            <w:r w:rsidRPr="007C111B">
              <w:rPr>
                <w:lang w:val="fr-CH"/>
              </w:rPr>
              <w:t>Amendement de conséquence :</w:t>
            </w:r>
          </w:p>
          <w:p w14:paraId="5BFFDA6C" w14:textId="77777777" w:rsidR="00EC65DB" w:rsidRPr="007C111B" w:rsidRDefault="00EC65DB" w:rsidP="00EC65DB">
            <w:pPr>
              <w:pStyle w:val="SingleTxtG"/>
              <w:rPr>
                <w:lang w:val="fr-CH"/>
              </w:rPr>
            </w:pPr>
            <w:r w:rsidRPr="007C111B">
              <w:rPr>
                <w:lang w:val="fr-CH"/>
              </w:rPr>
              <w:t xml:space="preserve">Modifier la deuxième phrase de disposition spéciale 389 comme suit : (nouveau texte </w:t>
            </w:r>
            <w:r w:rsidRPr="007C111B">
              <w:rPr>
                <w:b/>
                <w:bCs/>
                <w:u w:val="single"/>
                <w:lang w:val="fr-CH"/>
              </w:rPr>
              <w:t>souligné en gras</w:t>
            </w:r>
            <w:r w:rsidRPr="007C111B">
              <w:rPr>
                <w:lang w:val="fr-CH"/>
              </w:rPr>
              <w:t xml:space="preserve"> , texte éliminé </w:t>
            </w:r>
            <w:r w:rsidRPr="007C111B">
              <w:rPr>
                <w:strike/>
                <w:lang w:val="fr-CH"/>
              </w:rPr>
              <w:t>barré</w:t>
            </w:r>
            <w:r w:rsidRPr="007C111B">
              <w:rPr>
                <w:lang w:val="fr-CH"/>
              </w:rPr>
              <w:t>)</w:t>
            </w:r>
          </w:p>
          <w:p w14:paraId="016B3BD4" w14:textId="77777777" w:rsidR="00EC65DB" w:rsidRDefault="00EC65DB" w:rsidP="00EC65DB">
            <w:pPr>
              <w:pStyle w:val="SingleTxtG"/>
              <w:ind w:left="1560"/>
            </w:pPr>
            <w:r w:rsidRPr="007C111B">
              <w:rPr>
                <w:lang w:val="fr-CH"/>
              </w:rPr>
              <w:t>« 389</w:t>
            </w:r>
            <w:r w:rsidRPr="007C111B">
              <w:rPr>
                <w:lang w:val="fr-CH"/>
              </w:rPr>
              <w:tab/>
              <w:t xml:space="preserve">…. Les batteries au lithium doivent répondre aux prescriptions </w:t>
            </w:r>
            <w:r w:rsidRPr="007C111B">
              <w:rPr>
                <w:b/>
                <w:u w:val="single"/>
                <w:lang w:val="fr-CH"/>
              </w:rPr>
              <w:t xml:space="preserve">du </w:t>
            </w:r>
            <w:proofErr w:type="spellStart"/>
            <w:r w:rsidRPr="007C111B">
              <w:rPr>
                <w:strike/>
                <w:lang w:val="fr-CH"/>
              </w:rPr>
              <w:t>des</w:t>
            </w:r>
            <w:proofErr w:type="spellEnd"/>
            <w:r w:rsidRPr="007C111B">
              <w:rPr>
                <w:lang w:val="fr-CH"/>
              </w:rPr>
              <w:t xml:space="preserve"> 2.9.4 </w:t>
            </w:r>
            <w:r w:rsidRPr="007C111B">
              <w:rPr>
                <w:strike/>
                <w:lang w:val="fr-CH"/>
              </w:rPr>
              <w:t>a) à g)</w:t>
            </w:r>
            <w:r w:rsidRPr="007C111B">
              <w:rPr>
                <w:lang w:val="fr-CH"/>
              </w:rPr>
              <w:t xml:space="preserve"> et contenir les systèmes nécessaires pour prévenir la surcharge et la décharge excessive des </w:t>
            </w:r>
            <w:proofErr w:type="gramStart"/>
            <w:r w:rsidRPr="007C111B">
              <w:rPr>
                <w:lang w:val="fr-CH"/>
              </w:rPr>
              <w:t>batteries….</w:t>
            </w:r>
            <w:proofErr w:type="gramEnd"/>
            <w:r w:rsidRPr="007C111B">
              <w:rPr>
                <w:lang w:val="fr-CH"/>
              </w:rPr>
              <w:t> »</w:t>
            </w:r>
          </w:p>
          <w:p w14:paraId="1E40B88B" w14:textId="593B9B4B" w:rsidR="00767949" w:rsidRPr="007C111B" w:rsidRDefault="007C111B" w:rsidP="007C111B">
            <w:pPr>
              <w:spacing w:before="240"/>
              <w:jc w:val="center"/>
              <w:rPr>
                <w:u w:val="single"/>
                <w:lang w:val="fr-FR"/>
              </w:rPr>
            </w:pPr>
            <w:r>
              <w:rPr>
                <w:u w:val="single"/>
                <w:lang w:val="fr-FR"/>
              </w:rPr>
              <w:tab/>
            </w:r>
            <w:r>
              <w:rPr>
                <w:u w:val="single"/>
                <w:lang w:val="fr-FR"/>
              </w:rPr>
              <w:tab/>
            </w:r>
            <w:r>
              <w:rPr>
                <w:u w:val="single"/>
                <w:lang w:val="fr-FR"/>
              </w:rPr>
              <w:tab/>
            </w:r>
          </w:p>
          <w:p w14:paraId="42B6523F" w14:textId="77777777" w:rsidR="00767949" w:rsidRDefault="00767949" w:rsidP="006F6502">
            <w:pPr>
              <w:tabs>
                <w:tab w:val="right" w:pos="9214"/>
              </w:tabs>
              <w:rPr>
                <w:b/>
                <w:lang w:val="fr-FR"/>
              </w:rPr>
            </w:pPr>
          </w:p>
          <w:p w14:paraId="6CAE6111" w14:textId="77777777" w:rsidR="00767949" w:rsidRDefault="00767949" w:rsidP="006F6502">
            <w:pPr>
              <w:tabs>
                <w:tab w:val="right" w:pos="9214"/>
              </w:tabs>
              <w:rPr>
                <w:b/>
                <w:lang w:val="fr-FR"/>
              </w:rPr>
            </w:pPr>
          </w:p>
          <w:p w14:paraId="2BA3D2F1" w14:textId="77777777" w:rsidR="00767949" w:rsidRDefault="00767949" w:rsidP="006F6502">
            <w:pPr>
              <w:tabs>
                <w:tab w:val="right" w:pos="9214"/>
              </w:tabs>
              <w:rPr>
                <w:b/>
                <w:lang w:val="fr-FR"/>
              </w:rPr>
            </w:pPr>
          </w:p>
          <w:p w14:paraId="2153CC5E" w14:textId="77777777" w:rsidR="00767949" w:rsidRDefault="00767949" w:rsidP="006F6502">
            <w:pPr>
              <w:tabs>
                <w:tab w:val="right" w:pos="9214"/>
              </w:tabs>
              <w:rPr>
                <w:b/>
                <w:lang w:val="fr-FR"/>
              </w:rPr>
            </w:pPr>
          </w:p>
          <w:p w14:paraId="659610D8" w14:textId="46E02E0F" w:rsidR="00767949" w:rsidRPr="00E44D34" w:rsidRDefault="00767949" w:rsidP="006F6502">
            <w:pPr>
              <w:tabs>
                <w:tab w:val="right" w:pos="9214"/>
              </w:tabs>
            </w:pP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3BDE97DE" w14:textId="5C55A146" w:rsidR="00006E29" w:rsidRPr="00E44D34" w:rsidRDefault="00006E29" w:rsidP="00884B7C">
            <w:pPr>
              <w:spacing w:before="40"/>
              <w:rPr>
                <w:b/>
              </w:rPr>
            </w:pPr>
          </w:p>
        </w:tc>
      </w:tr>
    </w:tbl>
    <w:p w14:paraId="436CE50E" w14:textId="21AFD298" w:rsidR="004D1988" w:rsidRDefault="004D1988" w:rsidP="004D1988">
      <w:pPr>
        <w:rPr>
          <w:lang w:val="en-US"/>
        </w:rPr>
      </w:pPr>
    </w:p>
    <w:p w14:paraId="712EE6A2" w14:textId="2F52D7C1" w:rsidR="00464B81" w:rsidRDefault="00464B81" w:rsidP="004D1988">
      <w:pPr>
        <w:rPr>
          <w:lang w:val="en-US"/>
        </w:rPr>
      </w:pPr>
    </w:p>
    <w:p w14:paraId="182BC72E" w14:textId="6284EECC" w:rsidR="00464B81" w:rsidRDefault="00464B81" w:rsidP="004D1988">
      <w:pPr>
        <w:rPr>
          <w:lang w:val="en-US"/>
        </w:rPr>
      </w:pPr>
    </w:p>
    <w:p w14:paraId="20CA0611" w14:textId="01577A9E" w:rsidR="00464B81" w:rsidRDefault="00464B81" w:rsidP="004D1988">
      <w:pPr>
        <w:rPr>
          <w:lang w:val="en-US"/>
        </w:rPr>
      </w:pPr>
    </w:p>
    <w:p w14:paraId="1407BAF8" w14:textId="079C7F16" w:rsidR="00464B81" w:rsidRDefault="00464B81" w:rsidP="004D1988">
      <w:pPr>
        <w:rPr>
          <w:lang w:val="en-US"/>
        </w:rPr>
      </w:pPr>
    </w:p>
    <w:p w14:paraId="19C41672" w14:textId="77777777" w:rsidR="00464B81" w:rsidRPr="004D1988" w:rsidRDefault="00464B81" w:rsidP="004D1988">
      <w:pPr>
        <w:rPr>
          <w:lang w:val="en-US"/>
        </w:rPr>
      </w:pPr>
    </w:p>
    <w:sectPr w:rsidR="00464B81" w:rsidRPr="004D1988"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2E4A" w14:textId="77777777" w:rsidR="009813C8" w:rsidRDefault="009813C8"/>
  </w:endnote>
  <w:endnote w:type="continuationSeparator" w:id="0">
    <w:p w14:paraId="1B084EF1" w14:textId="77777777" w:rsidR="009813C8" w:rsidRDefault="009813C8"/>
  </w:endnote>
  <w:endnote w:type="continuationNotice" w:id="1">
    <w:p w14:paraId="4901DCAC" w14:textId="77777777" w:rsidR="009813C8" w:rsidRDefault="0098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E94F" w14:textId="77777777" w:rsidR="009813C8" w:rsidRPr="000B175B" w:rsidRDefault="009813C8" w:rsidP="000B175B">
      <w:pPr>
        <w:tabs>
          <w:tab w:val="right" w:pos="2155"/>
        </w:tabs>
        <w:spacing w:after="80"/>
        <w:ind w:left="680"/>
        <w:rPr>
          <w:u w:val="single"/>
        </w:rPr>
      </w:pPr>
      <w:r>
        <w:rPr>
          <w:u w:val="single"/>
        </w:rPr>
        <w:tab/>
      </w:r>
    </w:p>
  </w:footnote>
  <w:footnote w:type="continuationSeparator" w:id="0">
    <w:p w14:paraId="4B609074" w14:textId="77777777" w:rsidR="009813C8" w:rsidRPr="00FC68B7" w:rsidRDefault="009813C8" w:rsidP="00FC68B7">
      <w:pPr>
        <w:tabs>
          <w:tab w:val="left" w:pos="2155"/>
        </w:tabs>
        <w:spacing w:after="80"/>
        <w:ind w:left="680"/>
        <w:rPr>
          <w:u w:val="single"/>
        </w:rPr>
      </w:pPr>
      <w:r>
        <w:rPr>
          <w:u w:val="single"/>
        </w:rPr>
        <w:tab/>
      </w:r>
    </w:p>
  </w:footnote>
  <w:footnote w:type="continuationNotice" w:id="1">
    <w:p w14:paraId="5AFFAEA1" w14:textId="77777777" w:rsidR="009813C8" w:rsidRDefault="00981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12018F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726A23">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CE6890"/>
    <w:multiLevelType w:val="hybridMultilevel"/>
    <w:tmpl w:val="02F6DE12"/>
    <w:lvl w:ilvl="0" w:tplc="FC5260B4">
      <w:start w:val="1"/>
      <w:numFmt w:val="decimal"/>
      <w:lvlText w:val="%1."/>
      <w:lvlJc w:val="left"/>
      <w:pPr>
        <w:ind w:left="1704" w:hanging="570"/>
      </w:pPr>
    </w:lvl>
    <w:lvl w:ilvl="1" w:tplc="04090019">
      <w:start w:val="1"/>
      <w:numFmt w:val="lowerLetter"/>
      <w:lvlText w:val="%2."/>
      <w:lvlJc w:val="left"/>
      <w:pPr>
        <w:ind w:left="3054" w:hanging="360"/>
      </w:pPr>
    </w:lvl>
    <w:lvl w:ilvl="2" w:tplc="FE2C7CB6">
      <w:start w:val="389"/>
      <w:numFmt w:val="decimal"/>
      <w:lvlText w:val="%3"/>
      <w:lvlJc w:val="left"/>
      <w:pPr>
        <w:ind w:left="5322" w:hanging="36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4"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7"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5"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6"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3"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5"/>
  </w:num>
  <w:num w:numId="14">
    <w:abstractNumId w:val="39"/>
  </w:num>
  <w:num w:numId="15">
    <w:abstractNumId w:val="44"/>
  </w:num>
  <w:num w:numId="16">
    <w:abstractNumId w:val="20"/>
  </w:num>
  <w:num w:numId="17">
    <w:abstractNumId w:val="11"/>
  </w:num>
  <w:num w:numId="18">
    <w:abstractNumId w:val="45"/>
  </w:num>
  <w:num w:numId="19">
    <w:abstractNumId w:val="42"/>
  </w:num>
  <w:num w:numId="20">
    <w:abstractNumId w:val="12"/>
  </w:num>
  <w:num w:numId="21">
    <w:abstractNumId w:val="40"/>
  </w:num>
  <w:num w:numId="22">
    <w:abstractNumId w:val="16"/>
  </w:num>
  <w:num w:numId="23">
    <w:abstractNumId w:val="41"/>
  </w:num>
  <w:num w:numId="24">
    <w:abstractNumId w:val="31"/>
  </w:num>
  <w:num w:numId="25">
    <w:abstractNumId w:val="21"/>
  </w:num>
  <w:num w:numId="26">
    <w:abstractNumId w:val="22"/>
  </w:num>
  <w:num w:numId="27">
    <w:abstractNumId w:val="28"/>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19"/>
  </w:num>
  <w:num w:numId="34">
    <w:abstractNumId w:val="29"/>
  </w:num>
  <w:num w:numId="35">
    <w:abstractNumId w:val="38"/>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6"/>
  </w:num>
  <w:num w:numId="41">
    <w:abstractNumId w:val="33"/>
  </w:num>
  <w:num w:numId="42">
    <w:abstractNumId w:val="34"/>
  </w:num>
  <w:num w:numId="43">
    <w:abstractNumId w:val="36"/>
  </w:num>
  <w:num w:numId="44">
    <w:abstractNumId w:val="30"/>
  </w:num>
  <w:num w:numId="45">
    <w:abstractNumId w:val="35"/>
  </w:num>
  <w:num w:numId="46">
    <w:abstractNumId w:val="18"/>
  </w:num>
  <w:num w:numId="47">
    <w:abstractNumId w:val="32"/>
  </w:num>
  <w:num w:numId="48">
    <w:abstractNumId w:val="14"/>
  </w:num>
  <w:num w:numId="49">
    <w:abstractNumId w:val="43"/>
  </w:num>
  <w:num w:numId="50">
    <w:abstractNumId w:val="23"/>
    <w:lvlOverride w:ilvl="0">
      <w:startOverride w:val="1"/>
    </w:lvlOverride>
    <w:lvlOverride w:ilvl="1">
      <w:startOverride w:val="1"/>
    </w:lvlOverride>
    <w:lvlOverride w:ilvl="2">
      <w:startOverride w:val="38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5B86"/>
    <w:rsid w:val="0005710C"/>
    <w:rsid w:val="000577F8"/>
    <w:rsid w:val="00057ABF"/>
    <w:rsid w:val="00064402"/>
    <w:rsid w:val="000663B1"/>
    <w:rsid w:val="00067E6D"/>
    <w:rsid w:val="00072C03"/>
    <w:rsid w:val="00072C8C"/>
    <w:rsid w:val="00073129"/>
    <w:rsid w:val="00075F99"/>
    <w:rsid w:val="00076A0A"/>
    <w:rsid w:val="0007744B"/>
    <w:rsid w:val="00082CE1"/>
    <w:rsid w:val="00083598"/>
    <w:rsid w:val="00084632"/>
    <w:rsid w:val="00087152"/>
    <w:rsid w:val="000909AD"/>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848"/>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36D08"/>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855E9"/>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44A9C"/>
    <w:rsid w:val="00345912"/>
    <w:rsid w:val="003517C3"/>
    <w:rsid w:val="00354595"/>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18C8"/>
    <w:rsid w:val="003B236E"/>
    <w:rsid w:val="003B5166"/>
    <w:rsid w:val="003C0657"/>
    <w:rsid w:val="003C18C9"/>
    <w:rsid w:val="003C2CC4"/>
    <w:rsid w:val="003C34FA"/>
    <w:rsid w:val="003C655D"/>
    <w:rsid w:val="003D23B5"/>
    <w:rsid w:val="003D293B"/>
    <w:rsid w:val="003D4B23"/>
    <w:rsid w:val="003E6A6E"/>
    <w:rsid w:val="003F23A4"/>
    <w:rsid w:val="003F3A8A"/>
    <w:rsid w:val="003F5489"/>
    <w:rsid w:val="003F54D8"/>
    <w:rsid w:val="003F5B52"/>
    <w:rsid w:val="00400408"/>
    <w:rsid w:val="004021B7"/>
    <w:rsid w:val="00403EC6"/>
    <w:rsid w:val="00406A80"/>
    <w:rsid w:val="00406AC5"/>
    <w:rsid w:val="00406CD4"/>
    <w:rsid w:val="00410600"/>
    <w:rsid w:val="004108CE"/>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443A"/>
    <w:rsid w:val="00464B81"/>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D1988"/>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641E3"/>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6F6502"/>
    <w:rsid w:val="007025C0"/>
    <w:rsid w:val="007032D3"/>
    <w:rsid w:val="00707F04"/>
    <w:rsid w:val="00711498"/>
    <w:rsid w:val="00711637"/>
    <w:rsid w:val="0071184D"/>
    <w:rsid w:val="00714F4F"/>
    <w:rsid w:val="0071611E"/>
    <w:rsid w:val="0072632A"/>
    <w:rsid w:val="00726A23"/>
    <w:rsid w:val="00727720"/>
    <w:rsid w:val="00734B63"/>
    <w:rsid w:val="00734F20"/>
    <w:rsid w:val="00736E6A"/>
    <w:rsid w:val="00741F59"/>
    <w:rsid w:val="007427C1"/>
    <w:rsid w:val="0074697D"/>
    <w:rsid w:val="007510F5"/>
    <w:rsid w:val="007539DC"/>
    <w:rsid w:val="00754F09"/>
    <w:rsid w:val="00755EBE"/>
    <w:rsid w:val="00757C56"/>
    <w:rsid w:val="00761619"/>
    <w:rsid w:val="0076177C"/>
    <w:rsid w:val="00763AE6"/>
    <w:rsid w:val="00763C33"/>
    <w:rsid w:val="00766322"/>
    <w:rsid w:val="00767680"/>
    <w:rsid w:val="00767949"/>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111B"/>
    <w:rsid w:val="007C2C0D"/>
    <w:rsid w:val="007C3162"/>
    <w:rsid w:val="007C3390"/>
    <w:rsid w:val="007C4F4B"/>
    <w:rsid w:val="007C644D"/>
    <w:rsid w:val="007D1406"/>
    <w:rsid w:val="007D2AC1"/>
    <w:rsid w:val="007D384C"/>
    <w:rsid w:val="007D52C7"/>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84B7C"/>
    <w:rsid w:val="00885746"/>
    <w:rsid w:val="00886201"/>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DAE"/>
    <w:rsid w:val="008E295A"/>
    <w:rsid w:val="008E464A"/>
    <w:rsid w:val="008E49EC"/>
    <w:rsid w:val="008F2101"/>
    <w:rsid w:val="008F2D9A"/>
    <w:rsid w:val="008F3DF2"/>
    <w:rsid w:val="008F44B8"/>
    <w:rsid w:val="008F504A"/>
    <w:rsid w:val="008F5C0B"/>
    <w:rsid w:val="0090092A"/>
    <w:rsid w:val="009038B1"/>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4F4"/>
    <w:rsid w:val="009547DD"/>
    <w:rsid w:val="00955109"/>
    <w:rsid w:val="0095595D"/>
    <w:rsid w:val="00956AD7"/>
    <w:rsid w:val="0096156F"/>
    <w:rsid w:val="00963B67"/>
    <w:rsid w:val="00963CBA"/>
    <w:rsid w:val="00964682"/>
    <w:rsid w:val="00970059"/>
    <w:rsid w:val="009701ED"/>
    <w:rsid w:val="009710AB"/>
    <w:rsid w:val="00972A01"/>
    <w:rsid w:val="00980BD7"/>
    <w:rsid w:val="009813C8"/>
    <w:rsid w:val="00982F08"/>
    <w:rsid w:val="00984471"/>
    <w:rsid w:val="00985F37"/>
    <w:rsid w:val="00986CE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378ED"/>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0F0F"/>
    <w:rsid w:val="00AE3D48"/>
    <w:rsid w:val="00AE45DE"/>
    <w:rsid w:val="00AF0878"/>
    <w:rsid w:val="00AF2F9D"/>
    <w:rsid w:val="00AF6710"/>
    <w:rsid w:val="00B013E6"/>
    <w:rsid w:val="00B036FE"/>
    <w:rsid w:val="00B04D66"/>
    <w:rsid w:val="00B06AAF"/>
    <w:rsid w:val="00B10C19"/>
    <w:rsid w:val="00B1157C"/>
    <w:rsid w:val="00B14FB7"/>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94ACE"/>
    <w:rsid w:val="00BB02D9"/>
    <w:rsid w:val="00BB176D"/>
    <w:rsid w:val="00BB3B28"/>
    <w:rsid w:val="00BB3CA8"/>
    <w:rsid w:val="00BC277C"/>
    <w:rsid w:val="00BC43AB"/>
    <w:rsid w:val="00BC5CA8"/>
    <w:rsid w:val="00BC7315"/>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2DB"/>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13F"/>
    <w:rsid w:val="00CE2D21"/>
    <w:rsid w:val="00CE33D5"/>
    <w:rsid w:val="00CE4083"/>
    <w:rsid w:val="00CE46BA"/>
    <w:rsid w:val="00CE4A8F"/>
    <w:rsid w:val="00CE52AD"/>
    <w:rsid w:val="00CE74ED"/>
    <w:rsid w:val="00CF02AD"/>
    <w:rsid w:val="00CF4FE1"/>
    <w:rsid w:val="00CF6F32"/>
    <w:rsid w:val="00CF7219"/>
    <w:rsid w:val="00CF778D"/>
    <w:rsid w:val="00D01017"/>
    <w:rsid w:val="00D0631B"/>
    <w:rsid w:val="00D06C3A"/>
    <w:rsid w:val="00D1397C"/>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5DB"/>
    <w:rsid w:val="00EC6BFD"/>
    <w:rsid w:val="00EC755A"/>
    <w:rsid w:val="00ED12B6"/>
    <w:rsid w:val="00ED2B14"/>
    <w:rsid w:val="00ED3508"/>
    <w:rsid w:val="00ED3F6F"/>
    <w:rsid w:val="00ED769C"/>
    <w:rsid w:val="00ED7A2A"/>
    <w:rsid w:val="00ED7B73"/>
    <w:rsid w:val="00EE2966"/>
    <w:rsid w:val="00EE4D59"/>
    <w:rsid w:val="00EE73C3"/>
    <w:rsid w:val="00EF1D7F"/>
    <w:rsid w:val="00EF2839"/>
    <w:rsid w:val="00EF4AAC"/>
    <w:rsid w:val="00EF5645"/>
    <w:rsid w:val="00EF7078"/>
    <w:rsid w:val="00F01C57"/>
    <w:rsid w:val="00F03FA2"/>
    <w:rsid w:val="00F05283"/>
    <w:rsid w:val="00F0579D"/>
    <w:rsid w:val="00F07537"/>
    <w:rsid w:val="00F07E12"/>
    <w:rsid w:val="00F1150D"/>
    <w:rsid w:val="00F1200D"/>
    <w:rsid w:val="00F14F86"/>
    <w:rsid w:val="00F164C7"/>
    <w:rsid w:val="00F21A22"/>
    <w:rsid w:val="00F22D71"/>
    <w:rsid w:val="00F257D1"/>
    <w:rsid w:val="00F30A8A"/>
    <w:rsid w:val="00F34267"/>
    <w:rsid w:val="00F3574D"/>
    <w:rsid w:val="00F40295"/>
    <w:rsid w:val="00F40E75"/>
    <w:rsid w:val="00F412D3"/>
    <w:rsid w:val="00F444E3"/>
    <w:rsid w:val="00F45FE5"/>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D3C5D"/>
    <w:rsid w:val="00FD3E70"/>
    <w:rsid w:val="00FD6B2B"/>
    <w:rsid w:val="00FE24D9"/>
    <w:rsid w:val="00FE31B8"/>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TableauGrille1Clair">
    <w:name w:val="Grid Table 1 Light"/>
    <w:basedOn w:val="Tableau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6488390">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5D3EE-4239-4E01-A432-2BA6A9C43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95B55F51-ED73-4C31-AF0A-9D60892160F5}">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AC10_C3_bis_E.dotm</Template>
  <TotalTime>18</TotalTime>
  <Pages>2</Pages>
  <Words>649</Words>
  <Characters>3700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22</cp:revision>
  <cp:lastPrinted>2020-09-24T07:01:00Z</cp:lastPrinted>
  <dcterms:created xsi:type="dcterms:W3CDTF">2021-06-08T10:23:00Z</dcterms:created>
  <dcterms:modified xsi:type="dcterms:W3CDTF">2021-06-10T22:01:00Z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