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735" w:type="dxa"/>
        <w:tblLayout w:type="fixed"/>
        <w:tblCellMar>
          <w:left w:w="0" w:type="dxa"/>
          <w:right w:w="0" w:type="dxa"/>
        </w:tblCellMar>
        <w:tblLook w:val="01E0" w:firstRow="1" w:lastRow="1" w:firstColumn="1" w:lastColumn="1" w:noHBand="0" w:noVBand="0"/>
      </w:tblPr>
      <w:tblGrid>
        <w:gridCol w:w="9735"/>
      </w:tblGrid>
      <w:tr w:rsidR="0099001C" w:rsidRPr="006942D1" w14:paraId="3EEA5169" w14:textId="77777777" w:rsidTr="00EE7E6D">
        <w:trPr>
          <w:cantSplit/>
          <w:trHeight w:hRule="exact" w:val="913"/>
        </w:trPr>
        <w:tc>
          <w:tcPr>
            <w:tcW w:w="9735" w:type="dxa"/>
            <w:tcBorders>
              <w:bottom w:val="single" w:sz="4" w:space="0" w:color="auto"/>
            </w:tcBorders>
            <w:vAlign w:val="bottom"/>
          </w:tcPr>
          <w:p w14:paraId="737A8918" w14:textId="64BA694F" w:rsidR="0099001C" w:rsidRPr="006942D1" w:rsidRDefault="0099001C" w:rsidP="00D32A5A">
            <w:pPr>
              <w:ind w:right="96"/>
              <w:jc w:val="right"/>
              <w:rPr>
                <w:rFonts w:asciiTheme="majorBidi" w:hAnsiTheme="majorBidi" w:cstheme="majorBidi"/>
                <w:b/>
                <w:sz w:val="40"/>
                <w:szCs w:val="40"/>
              </w:rPr>
            </w:pPr>
            <w:r w:rsidRPr="006942D1">
              <w:rPr>
                <w:rFonts w:asciiTheme="majorBidi" w:hAnsiTheme="majorBidi" w:cstheme="majorBidi"/>
                <w:b/>
                <w:sz w:val="40"/>
                <w:szCs w:val="40"/>
              </w:rPr>
              <w:t>UN/SCEGHS/</w:t>
            </w:r>
            <w:r w:rsidR="004F6FA2" w:rsidRPr="006942D1">
              <w:rPr>
                <w:rFonts w:asciiTheme="majorBidi" w:hAnsiTheme="majorBidi" w:cstheme="majorBidi"/>
                <w:b/>
                <w:sz w:val="40"/>
                <w:szCs w:val="40"/>
              </w:rPr>
              <w:t>3</w:t>
            </w:r>
            <w:r w:rsidR="009D555E" w:rsidRPr="006942D1">
              <w:rPr>
                <w:rFonts w:asciiTheme="majorBidi" w:hAnsiTheme="majorBidi" w:cstheme="majorBidi"/>
                <w:b/>
                <w:sz w:val="40"/>
                <w:szCs w:val="40"/>
              </w:rPr>
              <w:t>9</w:t>
            </w:r>
            <w:r w:rsidRPr="006942D1">
              <w:rPr>
                <w:rFonts w:asciiTheme="majorBidi" w:hAnsiTheme="majorBidi" w:cstheme="majorBidi"/>
                <w:b/>
                <w:sz w:val="40"/>
                <w:szCs w:val="40"/>
              </w:rPr>
              <w:t>/INF.</w:t>
            </w:r>
            <w:r w:rsidR="001247D0" w:rsidRPr="006942D1">
              <w:rPr>
                <w:rFonts w:asciiTheme="majorBidi" w:hAnsiTheme="majorBidi" w:cstheme="majorBidi"/>
                <w:b/>
                <w:sz w:val="40"/>
                <w:szCs w:val="40"/>
              </w:rPr>
              <w:t>3</w:t>
            </w:r>
            <w:r w:rsidR="00BC7805">
              <w:rPr>
                <w:rFonts w:asciiTheme="majorBidi" w:hAnsiTheme="majorBidi" w:cstheme="majorBidi"/>
                <w:b/>
                <w:sz w:val="40"/>
                <w:szCs w:val="40"/>
              </w:rPr>
              <w:t>6</w:t>
            </w:r>
          </w:p>
        </w:tc>
      </w:tr>
      <w:tr w:rsidR="0099001C" w:rsidRPr="00C62212" w14:paraId="0CF18C10" w14:textId="77777777" w:rsidTr="00472290">
        <w:trPr>
          <w:cantSplit/>
          <w:trHeight w:hRule="exact" w:val="2781"/>
        </w:trPr>
        <w:tc>
          <w:tcPr>
            <w:tcW w:w="9735" w:type="dxa"/>
            <w:tcBorders>
              <w:top w:val="single" w:sz="4" w:space="0" w:color="auto"/>
            </w:tcBorders>
          </w:tcPr>
          <w:p w14:paraId="3E41EE01" w14:textId="77777777" w:rsidR="00965932" w:rsidRPr="00C62212" w:rsidRDefault="00965932" w:rsidP="00965932">
            <w:pPr>
              <w:spacing w:before="120"/>
              <w:rPr>
                <w:rFonts w:asciiTheme="majorBidi" w:hAnsiTheme="majorBidi" w:cstheme="majorBidi"/>
                <w:b/>
                <w:sz w:val="24"/>
                <w:szCs w:val="24"/>
              </w:rPr>
            </w:pPr>
            <w:r w:rsidRPr="00C62212">
              <w:rPr>
                <w:rFonts w:asciiTheme="majorBidi" w:hAnsiTheme="majorBidi" w:cstheme="majorBidi"/>
                <w:b/>
                <w:sz w:val="24"/>
                <w:szCs w:val="24"/>
              </w:rPr>
              <w:t>Committee of Experts on the Transport of Dangerous Goods</w:t>
            </w:r>
            <w:r w:rsidRPr="00C62212">
              <w:rPr>
                <w:rFonts w:asciiTheme="majorBidi" w:hAnsiTheme="majorBidi" w:cstheme="majorBidi"/>
                <w:b/>
                <w:sz w:val="24"/>
                <w:szCs w:val="24"/>
              </w:rPr>
              <w:br/>
              <w:t>and on the Globally Harmonized System of Classification</w:t>
            </w:r>
            <w:r w:rsidRPr="00C62212">
              <w:rPr>
                <w:rFonts w:asciiTheme="majorBidi" w:hAnsiTheme="majorBidi" w:cstheme="majorBidi"/>
                <w:b/>
                <w:sz w:val="24"/>
                <w:szCs w:val="24"/>
              </w:rPr>
              <w:br/>
              <w:t>and Labelling of Chemicals</w:t>
            </w:r>
          </w:p>
          <w:p w14:paraId="0254736F" w14:textId="37E5461E" w:rsidR="00965932" w:rsidRPr="00C62212" w:rsidRDefault="00085D2B" w:rsidP="00587E3B">
            <w:pPr>
              <w:tabs>
                <w:tab w:val="left" w:pos="7230"/>
                <w:tab w:val="right" w:pos="9300"/>
              </w:tabs>
              <w:spacing w:before="120"/>
              <w:rPr>
                <w:rFonts w:asciiTheme="majorBidi" w:hAnsiTheme="majorBidi" w:cstheme="majorBidi"/>
                <w:b/>
                <w:color w:val="000000"/>
              </w:rPr>
            </w:pPr>
            <w:r w:rsidRPr="00C62212">
              <w:rPr>
                <w:rFonts w:asciiTheme="majorBidi" w:hAnsiTheme="majorBidi" w:cstheme="majorBidi"/>
                <w:b/>
              </w:rPr>
              <w:t xml:space="preserve">Sub-Committee </w:t>
            </w:r>
            <w:r w:rsidR="00965932" w:rsidRPr="00C62212">
              <w:rPr>
                <w:rFonts w:asciiTheme="majorBidi" w:hAnsiTheme="majorBidi" w:cstheme="majorBidi"/>
                <w:b/>
              </w:rPr>
              <w:t>of Experts on the Globally Harmonized</w:t>
            </w:r>
            <w:r w:rsidR="00965932" w:rsidRPr="00C62212">
              <w:rPr>
                <w:rFonts w:asciiTheme="majorBidi" w:hAnsiTheme="majorBidi" w:cstheme="majorBidi"/>
                <w:b/>
              </w:rPr>
              <w:br/>
              <w:t>System of Classification and Labelling of Chemicals</w:t>
            </w:r>
            <w:r w:rsidR="00965932" w:rsidRPr="00C62212">
              <w:rPr>
                <w:rFonts w:asciiTheme="majorBidi" w:hAnsiTheme="majorBidi" w:cstheme="majorBidi"/>
                <w:b/>
              </w:rPr>
              <w:tab/>
            </w:r>
            <w:r w:rsidR="007C1201" w:rsidRPr="00C62212">
              <w:rPr>
                <w:rFonts w:asciiTheme="majorBidi" w:hAnsiTheme="majorBidi" w:cstheme="majorBidi"/>
                <w:b/>
              </w:rPr>
              <w:tab/>
            </w:r>
            <w:r w:rsidR="00450736">
              <w:rPr>
                <w:rFonts w:asciiTheme="majorBidi" w:hAnsiTheme="majorBidi" w:cstheme="majorBidi"/>
                <w:b/>
              </w:rPr>
              <w:t>8</w:t>
            </w:r>
            <w:r w:rsidR="006E3197" w:rsidRPr="00AC6A2A">
              <w:rPr>
                <w:rFonts w:asciiTheme="majorBidi" w:hAnsiTheme="majorBidi" w:cstheme="majorBidi"/>
                <w:b/>
              </w:rPr>
              <w:t xml:space="preserve"> </w:t>
            </w:r>
            <w:r w:rsidR="001247D0" w:rsidRPr="00AC6A2A">
              <w:rPr>
                <w:rFonts w:asciiTheme="majorBidi" w:hAnsiTheme="majorBidi" w:cstheme="majorBidi"/>
                <w:b/>
              </w:rPr>
              <w:t>December</w:t>
            </w:r>
            <w:r w:rsidR="00416D20" w:rsidRPr="00AC6A2A">
              <w:rPr>
                <w:rFonts w:asciiTheme="majorBidi" w:hAnsiTheme="majorBidi" w:cstheme="majorBidi"/>
                <w:b/>
              </w:rPr>
              <w:t xml:space="preserve"> </w:t>
            </w:r>
            <w:r w:rsidR="00AD67E3" w:rsidRPr="00AC6A2A">
              <w:rPr>
                <w:rFonts w:asciiTheme="majorBidi" w:hAnsiTheme="majorBidi" w:cstheme="majorBidi"/>
                <w:b/>
              </w:rPr>
              <w:t>20</w:t>
            </w:r>
            <w:r w:rsidR="001F0115" w:rsidRPr="00AC6A2A">
              <w:rPr>
                <w:rFonts w:asciiTheme="majorBidi" w:hAnsiTheme="majorBidi" w:cstheme="majorBidi"/>
                <w:b/>
              </w:rPr>
              <w:t>20</w:t>
            </w:r>
          </w:p>
          <w:p w14:paraId="5B162A31" w14:textId="0BBF2CFE" w:rsidR="00450736" w:rsidRPr="00283442" w:rsidRDefault="00450736" w:rsidP="00450736">
            <w:pPr>
              <w:spacing w:before="120"/>
              <w:rPr>
                <w:b/>
              </w:rPr>
            </w:pPr>
            <w:r w:rsidRPr="00283442">
              <w:rPr>
                <w:b/>
                <w:bCs/>
              </w:rPr>
              <w:t>T</w:t>
            </w:r>
            <w:r>
              <w:rPr>
                <w:b/>
                <w:bCs/>
              </w:rPr>
              <w:t>hirty-ninth</w:t>
            </w:r>
            <w:r w:rsidRPr="00283442">
              <w:rPr>
                <w:b/>
                <w:bCs/>
              </w:rPr>
              <w:t xml:space="preserve"> session</w:t>
            </w:r>
          </w:p>
          <w:p w14:paraId="7C5D8399" w14:textId="77777777" w:rsidR="00450736" w:rsidRPr="00283442" w:rsidRDefault="00450736" w:rsidP="00450736">
            <w:pPr>
              <w:jc w:val="both"/>
            </w:pPr>
            <w:r w:rsidRPr="00283442">
              <w:t xml:space="preserve">Geneva, </w:t>
            </w:r>
            <w:r>
              <w:t>9-11 December 2020</w:t>
            </w:r>
          </w:p>
          <w:p w14:paraId="2A8E70B5" w14:textId="2B535322" w:rsidR="00450736" w:rsidRPr="00062B1F" w:rsidRDefault="00450736" w:rsidP="00450736">
            <w:pPr>
              <w:jc w:val="both"/>
              <w:rPr>
                <w:lang w:val="en-US"/>
              </w:rPr>
            </w:pPr>
            <w:r w:rsidRPr="00062B1F">
              <w:rPr>
                <w:lang w:val="en-US"/>
              </w:rPr>
              <w:t>Items 3 (a), 3 (b) and 3 (c) of the provisional agenda</w:t>
            </w:r>
          </w:p>
          <w:p w14:paraId="65ED2A2F" w14:textId="77777777" w:rsidR="00D36906" w:rsidRDefault="00D36906" w:rsidP="00271E2A">
            <w:pPr>
              <w:spacing w:line="240" w:lineRule="exact"/>
              <w:rPr>
                <w:rFonts w:asciiTheme="majorBidi" w:hAnsiTheme="majorBidi" w:cstheme="majorBidi"/>
                <w:b/>
                <w:bCs/>
              </w:rPr>
            </w:pPr>
          </w:p>
          <w:p w14:paraId="4DA34DEE" w14:textId="71BFCB75" w:rsidR="00450736" w:rsidRPr="00C62212" w:rsidRDefault="00450736" w:rsidP="00271E2A">
            <w:pPr>
              <w:spacing w:line="240" w:lineRule="exact"/>
              <w:rPr>
                <w:rFonts w:asciiTheme="majorBidi" w:hAnsiTheme="majorBidi" w:cstheme="majorBidi"/>
                <w:b/>
                <w:bCs/>
              </w:rPr>
            </w:pPr>
          </w:p>
        </w:tc>
      </w:tr>
    </w:tbl>
    <w:p w14:paraId="056F5414" w14:textId="61CA89FD" w:rsidR="00451383" w:rsidRDefault="005745F6" w:rsidP="00451383">
      <w:pPr>
        <w:pStyle w:val="HChG"/>
        <w:spacing w:before="240"/>
      </w:pPr>
      <w:r w:rsidRPr="00C62212">
        <w:rPr>
          <w:rFonts w:asciiTheme="majorBidi" w:eastAsia="MS Mincho" w:hAnsiTheme="majorBidi" w:cstheme="majorBidi"/>
          <w:lang w:eastAsia="ja-JP"/>
        </w:rPr>
        <w:tab/>
      </w:r>
      <w:r w:rsidR="00331C5E" w:rsidRPr="00C62212">
        <w:rPr>
          <w:rFonts w:asciiTheme="majorBidi" w:hAnsiTheme="majorBidi" w:cstheme="majorBidi"/>
          <w:lang w:eastAsia="en-GB"/>
        </w:rPr>
        <w:t xml:space="preserve"> </w:t>
      </w:r>
      <w:r w:rsidR="00451383">
        <w:rPr>
          <w:rFonts w:asciiTheme="majorBidi" w:hAnsiTheme="majorBidi" w:cstheme="majorBidi"/>
          <w:lang w:eastAsia="en-GB"/>
        </w:rPr>
        <w:tab/>
      </w:r>
      <w:bookmarkStart w:id="0" w:name="_GoBack"/>
      <w:r w:rsidR="00451383">
        <w:t>Work of the Sub-Committee of Experts on the Transport of Dangerous Goods (TDG) on matters of interest to the GHS Sub-Committee</w:t>
      </w:r>
      <w:bookmarkEnd w:id="0"/>
      <w:r w:rsidR="00451383">
        <w:t xml:space="preserve"> </w:t>
      </w:r>
      <w:r w:rsidR="00451383" w:rsidRPr="003823CD">
        <w:t xml:space="preserve"> </w:t>
      </w:r>
    </w:p>
    <w:p w14:paraId="1AF93E04" w14:textId="77777777" w:rsidR="00451383" w:rsidRDefault="00451383" w:rsidP="00451383">
      <w:pPr>
        <w:pStyle w:val="H1G"/>
        <w:rPr>
          <w:rFonts w:eastAsia="MS Mincho"/>
        </w:rPr>
      </w:pPr>
      <w:r w:rsidRPr="003823CD">
        <w:rPr>
          <w:rFonts w:eastAsia="MS Mincho"/>
        </w:rPr>
        <w:tab/>
      </w:r>
      <w:r w:rsidRPr="003823CD">
        <w:rPr>
          <w:rFonts w:eastAsia="MS Mincho"/>
        </w:rPr>
        <w:tab/>
        <w:t>Note by the secretariat</w:t>
      </w:r>
    </w:p>
    <w:p w14:paraId="66CCD324" w14:textId="77777777" w:rsidR="00451383" w:rsidRDefault="00451383" w:rsidP="00451383">
      <w:pPr>
        <w:pStyle w:val="SingleTxtG"/>
        <w:tabs>
          <w:tab w:val="left" w:pos="1701"/>
        </w:tabs>
      </w:pPr>
      <w:r w:rsidRPr="00E3141C">
        <w:rPr>
          <w:lang w:eastAsia="ja-JP"/>
        </w:rPr>
        <w:t xml:space="preserve">1. </w:t>
      </w:r>
      <w:r w:rsidRPr="00E3141C">
        <w:rPr>
          <w:lang w:eastAsia="ja-JP"/>
        </w:rPr>
        <w:tab/>
      </w:r>
      <w:r>
        <w:t>At its fifty-seventh session, the Sub-Committee of Experts on the Transport of Dangerous Goods (TDG Sub-Committee) considered matters of interest to the GHS Sub-Committee under items 2 (b) and 11 of its agenda</w:t>
      </w:r>
      <w:r>
        <w:rPr>
          <w:rStyle w:val="FootnoteReference"/>
        </w:rPr>
        <w:footnoteReference w:id="2"/>
      </w:r>
      <w:r>
        <w:t xml:space="preserve"> (“explosives and related matters” and “Issues relating to the Globally Harmonized System of Classification and Labelling of Chemicals” respectively). </w:t>
      </w:r>
    </w:p>
    <w:p w14:paraId="5ACD09C5" w14:textId="679681C5" w:rsidR="00451383" w:rsidRDefault="00451383" w:rsidP="00451383">
      <w:pPr>
        <w:pStyle w:val="SingleTxtG"/>
        <w:tabs>
          <w:tab w:val="left" w:pos="1701"/>
        </w:tabs>
      </w:pPr>
      <w:r>
        <w:t>2.</w:t>
      </w:r>
      <w:r>
        <w:tab/>
        <w:t xml:space="preserve">Questions under the agenda item </w:t>
      </w:r>
      <w:r w:rsidR="001A12F9">
        <w:t xml:space="preserve">“Explosives and related matters” </w:t>
      </w:r>
      <w:r>
        <w:t xml:space="preserve">were referred to the Working Group on Explosives, which met via web conference on 17 and 18 November 2020 to conclude its business prior to and in support of the </w:t>
      </w:r>
      <w:r w:rsidR="00160A63">
        <w:t xml:space="preserve">work of the </w:t>
      </w:r>
      <w:r>
        <w:t xml:space="preserve">sub-committees. The report of the Working Group on Explosives </w:t>
      </w:r>
      <w:r w:rsidR="00160A63">
        <w:t>has been</w:t>
      </w:r>
      <w:r>
        <w:t xml:space="preserve"> circulated as informal document INF.38 (TDG Sub-Committee)</w:t>
      </w:r>
      <w:r>
        <w:rPr>
          <w:rStyle w:val="FootnoteReference"/>
        </w:rPr>
        <w:footnoteReference w:id="3"/>
      </w:r>
      <w:r>
        <w:t>.</w:t>
      </w:r>
    </w:p>
    <w:p w14:paraId="06FCAC20" w14:textId="60A7DED5" w:rsidR="00451383" w:rsidRDefault="00451383" w:rsidP="00451383">
      <w:pPr>
        <w:pStyle w:val="SingleTxtG"/>
        <w:tabs>
          <w:tab w:val="left" w:pos="1701"/>
        </w:tabs>
      </w:pPr>
      <w:r>
        <w:t xml:space="preserve">3. </w:t>
      </w:r>
      <w:r>
        <w:tab/>
        <w:t xml:space="preserve">Having considered the report of the Working Group on Explosives and the explanations provided by its Chairman, the TDG Sub-Committee reached the conclusions listed below for each matter of interest to the GHS Sub-Committee under consideration under agenda items 2 (b) and 11 of </w:t>
      </w:r>
      <w:r w:rsidR="00C73FDB">
        <w:t xml:space="preserve">its </w:t>
      </w:r>
      <w:r>
        <w:t xml:space="preserve">agenda. </w:t>
      </w:r>
    </w:p>
    <w:p w14:paraId="26640E22" w14:textId="1C2F91CC" w:rsidR="00451383" w:rsidRDefault="00451383" w:rsidP="00451383">
      <w:pPr>
        <w:pStyle w:val="SingleTxtG"/>
        <w:tabs>
          <w:tab w:val="left" w:pos="1701"/>
        </w:tabs>
      </w:pPr>
      <w:r>
        <w:t>4.</w:t>
      </w:r>
      <w:r>
        <w:tab/>
        <w:t xml:space="preserve">For all other matters considered by the Working Group on Explosives and the decisions taken by the TDG Sub-Committee (e.g. amendments to test series 6, 8 and N.1, packing instructions for explosives etc) refer to informal document INF.38 and the </w:t>
      </w:r>
      <w:r w:rsidR="00F24D6E">
        <w:t>re</w:t>
      </w:r>
      <w:r>
        <w:t>port of the TDG Sub-Committee.</w:t>
      </w:r>
    </w:p>
    <w:p w14:paraId="677F0544" w14:textId="77777777" w:rsidR="00451383" w:rsidRDefault="00451383" w:rsidP="00451383">
      <w:pPr>
        <w:pStyle w:val="HChG"/>
      </w:pPr>
      <w:r>
        <w:tab/>
      </w:r>
      <w:r>
        <w:tab/>
        <w:t>GHS agenda item 3 (a)</w:t>
      </w:r>
      <w:r>
        <w:tab/>
      </w:r>
    </w:p>
    <w:p w14:paraId="0EF9F685" w14:textId="77777777" w:rsidR="00451383" w:rsidRPr="00D01787" w:rsidRDefault="00451383" w:rsidP="00451383">
      <w:pPr>
        <w:pStyle w:val="H1G"/>
      </w:pPr>
      <w:r>
        <w:tab/>
      </w:r>
      <w:r>
        <w:tab/>
      </w:r>
      <w:r w:rsidRPr="00D01787">
        <w:t xml:space="preserve">Manual of Tests and Criteria, review of Test Series H: determination of self-accelerating decomposition temperature </w:t>
      </w:r>
    </w:p>
    <w:p w14:paraId="2673069D" w14:textId="77777777" w:rsidR="00451383" w:rsidRDefault="00451383" w:rsidP="00451383">
      <w:pPr>
        <w:pStyle w:val="SingleTxtG"/>
        <w:ind w:left="2835" w:hanging="1701"/>
      </w:pPr>
      <w:r w:rsidRPr="00D90033">
        <w:rPr>
          <w:i/>
          <w:iCs/>
        </w:rPr>
        <w:t>Documents:</w:t>
      </w:r>
      <w:r>
        <w:tab/>
        <w:t>ST/SG/AC.10/C.4/2020/4 and Add.1 (Chairman of the Working Group on Explosives)</w:t>
      </w:r>
    </w:p>
    <w:p w14:paraId="25D174A7" w14:textId="7970BFB9" w:rsidR="00451383" w:rsidRDefault="00451383" w:rsidP="00451383">
      <w:pPr>
        <w:pStyle w:val="SingleTxtG"/>
        <w:ind w:left="2552" w:hanging="1418"/>
      </w:pPr>
      <w:r w:rsidRPr="00D90033">
        <w:rPr>
          <w:i/>
          <w:iCs/>
        </w:rPr>
        <w:t>Informal document:</w:t>
      </w:r>
      <w:r>
        <w:t xml:space="preserve"> </w:t>
      </w:r>
      <w:r>
        <w:tab/>
        <w:t>INF.3 (Chairman of the Working Group on Explosives)</w:t>
      </w:r>
    </w:p>
    <w:p w14:paraId="72B45504" w14:textId="758EC5EA" w:rsidR="00451383" w:rsidRDefault="0099623E" w:rsidP="0053460E">
      <w:pPr>
        <w:pStyle w:val="SingleTxtG"/>
        <w:tabs>
          <w:tab w:val="left" w:pos="1701"/>
        </w:tabs>
      </w:pPr>
      <w:r>
        <w:t>5.</w:t>
      </w:r>
      <w:r>
        <w:tab/>
      </w:r>
      <w:r w:rsidR="00994614">
        <w:t xml:space="preserve">The TDG Sub-Committee </w:t>
      </w:r>
      <w:r w:rsidR="0053460E">
        <w:t xml:space="preserve">endorsed the recommendation of its Explosives Working Group and </w:t>
      </w:r>
      <w:r w:rsidR="00994614">
        <w:t>adopted the amendment</w:t>
      </w:r>
      <w:r w:rsidR="0053460E">
        <w:t xml:space="preserve">s to Tests Series H of </w:t>
      </w:r>
      <w:r w:rsidR="00994614">
        <w:t>the Manual of Tests and Criteria</w:t>
      </w:r>
      <w:r w:rsidR="0053460E">
        <w:t>, proposed in ST/SG/AC.10/C.4/2020/4 and Add.1.</w:t>
      </w:r>
    </w:p>
    <w:p w14:paraId="0B2E5F16" w14:textId="77777777" w:rsidR="00451383" w:rsidRDefault="00451383" w:rsidP="00451383">
      <w:pPr>
        <w:pStyle w:val="H1G"/>
      </w:pPr>
      <w:r>
        <w:lastRenderedPageBreak/>
        <w:tab/>
      </w:r>
      <w:r>
        <w:tab/>
      </w:r>
      <w:r w:rsidRPr="005E67A5">
        <w:t>Tests for oxidizing liquids and oxidizing solids</w:t>
      </w:r>
      <w:r>
        <w:t xml:space="preserve">: </w:t>
      </w:r>
      <w:r w:rsidRPr="005E67A5">
        <w:t>improvement regarding consideration for particle size, friable or coated materials</w:t>
      </w:r>
      <w:r>
        <w:t xml:space="preserve"> </w:t>
      </w:r>
    </w:p>
    <w:p w14:paraId="0D028060" w14:textId="2B41ABAB" w:rsidR="00451383" w:rsidRDefault="00451383" w:rsidP="001D08B7">
      <w:pPr>
        <w:pStyle w:val="SingleTxtG"/>
        <w:tabs>
          <w:tab w:val="left" w:pos="1701"/>
        </w:tabs>
      </w:pPr>
      <w:r w:rsidRPr="00D90033">
        <w:rPr>
          <w:i/>
          <w:iCs/>
        </w:rPr>
        <w:t>Document:</w:t>
      </w:r>
      <w:r>
        <w:tab/>
        <w:t>ST/SG/AC.10/C.4/2020/</w:t>
      </w:r>
      <w:r w:rsidR="00654463">
        <w:t>9</w:t>
      </w:r>
      <w:r>
        <w:t xml:space="preserve"> (</w:t>
      </w:r>
      <w:r w:rsidR="00982533">
        <w:t>France</w:t>
      </w:r>
      <w:r>
        <w:t>)</w:t>
      </w:r>
    </w:p>
    <w:p w14:paraId="06F40028" w14:textId="7C3C37EA" w:rsidR="00451383" w:rsidRDefault="0099623E" w:rsidP="00350E63">
      <w:pPr>
        <w:pStyle w:val="SingleTxtG"/>
      </w:pPr>
      <w:r>
        <w:t>6.</w:t>
      </w:r>
      <w:r>
        <w:tab/>
      </w:r>
      <w:r w:rsidR="006C6324">
        <w:t>The TDG Sub-Committee adopte</w:t>
      </w:r>
      <w:r w:rsidR="00982533">
        <w:t xml:space="preserve">d the </w:t>
      </w:r>
      <w:r w:rsidR="00F57205">
        <w:t xml:space="preserve">proposed </w:t>
      </w:r>
      <w:r w:rsidR="00982533">
        <w:t xml:space="preserve">note </w:t>
      </w:r>
      <w:r w:rsidR="00F57205">
        <w:t xml:space="preserve">in relation </w:t>
      </w:r>
      <w:r w:rsidR="001F2242">
        <w:t xml:space="preserve">paragraphs 34.4.1.2.6 and 34.4.3.2.3 of the Manual of Tests and Criteria. The note </w:t>
      </w:r>
      <w:r w:rsidR="00F61CAA">
        <w:t xml:space="preserve">takes account of the results of the Round Robin Tests conducted so far and aims at </w:t>
      </w:r>
      <w:r w:rsidR="00C040C4">
        <w:t>imp</w:t>
      </w:r>
      <w:r w:rsidR="00350E63">
        <w:t>r</w:t>
      </w:r>
      <w:r w:rsidR="00C040C4">
        <w:t xml:space="preserve">oving the approach to </w:t>
      </w:r>
      <w:r w:rsidR="00350E63">
        <w:t xml:space="preserve">properly asses the oxidizing potential of coated materials. </w:t>
      </w:r>
    </w:p>
    <w:p w14:paraId="53478C55" w14:textId="77777777" w:rsidR="00451383" w:rsidRDefault="00451383" w:rsidP="00451383">
      <w:pPr>
        <w:pStyle w:val="HChG"/>
      </w:pPr>
      <w:r>
        <w:tab/>
      </w:r>
      <w:r>
        <w:tab/>
        <w:t>GHS agenda item 3 (b)</w:t>
      </w:r>
    </w:p>
    <w:p w14:paraId="7ADF8CB7" w14:textId="77777777" w:rsidR="00451383" w:rsidRPr="00D01787" w:rsidRDefault="00451383" w:rsidP="00451383">
      <w:pPr>
        <w:pStyle w:val="H1G"/>
      </w:pPr>
      <w:r>
        <w:tab/>
      </w:r>
      <w:r>
        <w:tab/>
      </w:r>
      <w:r w:rsidRPr="00D01787">
        <w:t>Review of Chapter 2.1</w:t>
      </w:r>
    </w:p>
    <w:p w14:paraId="6D2641A3" w14:textId="77777777" w:rsidR="00451383" w:rsidRDefault="00451383" w:rsidP="00451383">
      <w:pPr>
        <w:tabs>
          <w:tab w:val="left" w:pos="1134"/>
          <w:tab w:val="left" w:pos="3119"/>
        </w:tabs>
        <w:spacing w:before="40" w:after="40"/>
        <w:rPr>
          <w:b/>
        </w:rPr>
      </w:pPr>
      <w:r>
        <w:rPr>
          <w:i/>
        </w:rPr>
        <w:tab/>
      </w:r>
      <w:r w:rsidRPr="00A7198A">
        <w:rPr>
          <w:i/>
        </w:rPr>
        <w:t>Document</w:t>
      </w:r>
      <w:r>
        <w:rPr>
          <w:i/>
        </w:rPr>
        <w:t>s</w:t>
      </w:r>
      <w:r w:rsidRPr="00A7198A">
        <w:rPr>
          <w:i/>
        </w:rPr>
        <w:t>:</w:t>
      </w:r>
      <w:r w:rsidRPr="00A7198A">
        <w:t xml:space="preserve"> </w:t>
      </w:r>
      <w:r w:rsidRPr="00A7198A">
        <w:tab/>
      </w:r>
      <w:r>
        <w:t>ST/SG/AC.10/C.4/2020/5 and ST/SG/AC.10/C.4/2020/5/Add.1 (Sweden)</w:t>
      </w:r>
    </w:p>
    <w:p w14:paraId="6FB0FF7A" w14:textId="77777777" w:rsidR="00451383" w:rsidRDefault="00451383" w:rsidP="00451383">
      <w:pPr>
        <w:tabs>
          <w:tab w:val="left" w:pos="3119"/>
        </w:tabs>
        <w:spacing w:before="40" w:after="40"/>
        <w:rPr>
          <w:b/>
        </w:rPr>
      </w:pPr>
      <w:r>
        <w:tab/>
        <w:t>ST/SG/AC.10/C.4/2020/8 and ST/SG/AC.10/C.4/2020/8/Add.1 (Sweden)</w:t>
      </w:r>
    </w:p>
    <w:p w14:paraId="7445CF7F" w14:textId="77777777" w:rsidR="00451383" w:rsidRDefault="00451383" w:rsidP="00451383">
      <w:pPr>
        <w:tabs>
          <w:tab w:val="left" w:pos="3119"/>
        </w:tabs>
        <w:spacing w:before="40"/>
        <w:rPr>
          <w:b/>
        </w:rPr>
      </w:pPr>
      <w:r>
        <w:tab/>
        <w:t>ST/SG/AC.10/C.4/2020/16 (Sweden)</w:t>
      </w:r>
    </w:p>
    <w:p w14:paraId="353635CC" w14:textId="77777777" w:rsidR="00451383" w:rsidRDefault="00451383" w:rsidP="00451383">
      <w:pPr>
        <w:tabs>
          <w:tab w:val="left" w:pos="3119"/>
        </w:tabs>
        <w:spacing w:before="40" w:after="120"/>
        <w:rPr>
          <w:b/>
        </w:rPr>
      </w:pPr>
      <w:r>
        <w:tab/>
        <w:t>ST/SG/AC.10/C.4/2020/18 (Sweden)</w:t>
      </w:r>
    </w:p>
    <w:p w14:paraId="7BBA93EB" w14:textId="77777777" w:rsidR="00451383" w:rsidRDefault="00451383" w:rsidP="00451383">
      <w:pPr>
        <w:pStyle w:val="SingleTxtG"/>
        <w:tabs>
          <w:tab w:val="left" w:pos="3119"/>
        </w:tabs>
        <w:spacing w:after="0"/>
        <w:ind w:left="3402" w:hanging="2268"/>
        <w:jc w:val="left"/>
      </w:pPr>
      <w:r w:rsidRPr="00A7198A">
        <w:rPr>
          <w:i/>
        </w:rPr>
        <w:t>Informal documents</w:t>
      </w:r>
      <w:r w:rsidRPr="00A7198A">
        <w:t xml:space="preserve">: </w:t>
      </w:r>
      <w:r w:rsidRPr="00A7198A">
        <w:tab/>
        <w:t>INF.</w:t>
      </w:r>
      <w:r>
        <w:t>14 (Sweden)</w:t>
      </w:r>
    </w:p>
    <w:p w14:paraId="3FC9A325" w14:textId="77777777" w:rsidR="00451383" w:rsidRDefault="00451383" w:rsidP="00451383">
      <w:pPr>
        <w:pStyle w:val="SingleTxtG"/>
        <w:tabs>
          <w:tab w:val="left" w:pos="3119"/>
        </w:tabs>
        <w:spacing w:after="0"/>
        <w:ind w:left="3402" w:hanging="2268"/>
        <w:jc w:val="left"/>
      </w:pPr>
      <w:r>
        <w:tab/>
        <w:t>INF.16 (Sweden)</w:t>
      </w:r>
    </w:p>
    <w:p w14:paraId="35849730" w14:textId="77777777" w:rsidR="00451383" w:rsidRDefault="00451383" w:rsidP="00451383">
      <w:pPr>
        <w:pStyle w:val="SingleTxtG"/>
        <w:tabs>
          <w:tab w:val="left" w:pos="3119"/>
        </w:tabs>
        <w:spacing w:after="0"/>
        <w:ind w:left="3402" w:hanging="2268"/>
        <w:jc w:val="left"/>
      </w:pPr>
      <w:r>
        <w:tab/>
        <w:t>INF.19 (Sweden)</w:t>
      </w:r>
    </w:p>
    <w:p w14:paraId="3AA8D09F" w14:textId="77777777" w:rsidR="00451383" w:rsidRDefault="00451383" w:rsidP="00451383">
      <w:pPr>
        <w:pStyle w:val="SingleTxtG"/>
        <w:tabs>
          <w:tab w:val="left" w:pos="3119"/>
        </w:tabs>
        <w:spacing w:after="0"/>
        <w:ind w:left="3402" w:hanging="2268"/>
        <w:jc w:val="left"/>
      </w:pPr>
      <w:r>
        <w:tab/>
        <w:t>INF.22 (Germany)</w:t>
      </w:r>
    </w:p>
    <w:p w14:paraId="795848D6" w14:textId="77777777" w:rsidR="00451383" w:rsidRDefault="00451383" w:rsidP="00451383">
      <w:pPr>
        <w:pStyle w:val="SingleTxtG"/>
        <w:tabs>
          <w:tab w:val="left" w:pos="3119"/>
        </w:tabs>
        <w:spacing w:after="0"/>
        <w:ind w:left="3402" w:hanging="2268"/>
        <w:jc w:val="left"/>
      </w:pPr>
      <w:r>
        <w:tab/>
        <w:t xml:space="preserve">INF.25 (Sweden) </w:t>
      </w:r>
    </w:p>
    <w:p w14:paraId="4AEF3B38" w14:textId="77777777" w:rsidR="00451383" w:rsidRDefault="00451383" w:rsidP="00451383">
      <w:pPr>
        <w:pStyle w:val="SingleTxtG"/>
        <w:tabs>
          <w:tab w:val="left" w:pos="3119"/>
        </w:tabs>
        <w:spacing w:after="0"/>
        <w:ind w:left="3402" w:hanging="2268"/>
        <w:jc w:val="left"/>
      </w:pPr>
      <w:r>
        <w:tab/>
        <w:t>INF.29 (Sweden)</w:t>
      </w:r>
    </w:p>
    <w:p w14:paraId="56BFA863" w14:textId="77777777" w:rsidR="00451383" w:rsidRDefault="00451383" w:rsidP="00451383">
      <w:pPr>
        <w:pStyle w:val="SingleTxtG"/>
        <w:tabs>
          <w:tab w:val="left" w:pos="3119"/>
        </w:tabs>
        <w:spacing w:after="0"/>
        <w:ind w:left="3402" w:hanging="2268"/>
        <w:jc w:val="left"/>
      </w:pPr>
      <w:r>
        <w:tab/>
        <w:t>INF.30 (Sweden)</w:t>
      </w:r>
    </w:p>
    <w:p w14:paraId="7D7A0242" w14:textId="77777777" w:rsidR="004A6487" w:rsidRDefault="004A6487" w:rsidP="00451383">
      <w:pPr>
        <w:tabs>
          <w:tab w:val="left" w:pos="1134"/>
          <w:tab w:val="left" w:pos="3119"/>
        </w:tabs>
        <w:spacing w:before="40" w:after="40"/>
      </w:pPr>
    </w:p>
    <w:p w14:paraId="04A5C0C7" w14:textId="503E34BC" w:rsidR="00451383" w:rsidRDefault="00451383" w:rsidP="00451383">
      <w:pPr>
        <w:tabs>
          <w:tab w:val="left" w:pos="1134"/>
          <w:tab w:val="left" w:pos="3119"/>
        </w:tabs>
        <w:spacing w:before="40" w:after="40"/>
        <w:rPr>
          <w:b/>
        </w:rPr>
      </w:pPr>
      <w:r>
        <w:tab/>
      </w:r>
      <w:r w:rsidRPr="0070665D">
        <w:rPr>
          <w:i/>
          <w:iCs/>
        </w:rPr>
        <w:t>Background documents:</w:t>
      </w:r>
      <w:r>
        <w:t xml:space="preserve"> ST/SG/AC.10/C.4/2020/7 (Sweden)</w:t>
      </w:r>
    </w:p>
    <w:p w14:paraId="65E1488A" w14:textId="4D500793" w:rsidR="00451383" w:rsidRDefault="00451383" w:rsidP="00451383">
      <w:pPr>
        <w:tabs>
          <w:tab w:val="left" w:pos="1134"/>
          <w:tab w:val="left" w:pos="3119"/>
        </w:tabs>
        <w:spacing w:before="40" w:after="40"/>
        <w:rPr>
          <w:b/>
        </w:rPr>
      </w:pPr>
      <w:r>
        <w:tab/>
      </w:r>
      <w:r>
        <w:tab/>
        <w:t>INF.10 (IME, SAAMI) and INF.13 (Sweden)</w:t>
      </w:r>
    </w:p>
    <w:p w14:paraId="0EA8C375" w14:textId="77777777" w:rsidR="00451383" w:rsidRDefault="00451383" w:rsidP="00451383"/>
    <w:p w14:paraId="6EFD4331" w14:textId="4744DA5E" w:rsidR="006B34F0" w:rsidRDefault="0099623E" w:rsidP="00B02E43">
      <w:pPr>
        <w:pStyle w:val="SingleTxtG"/>
      </w:pPr>
      <w:r>
        <w:tab/>
        <w:t>7.</w:t>
      </w:r>
      <w:r w:rsidR="00A448E2">
        <w:tab/>
      </w:r>
      <w:r w:rsidR="00B02E43">
        <w:t xml:space="preserve">The expert from Sweden provided a brief summary of the discussions on the review of Chapter 2.1 of the GHS. After consideration of the recommendations of the Working Group on Explosives in informal document INF.38 (paragraphs 13 to 15), the Sub-Committee endorsed them and adopted, between square brackets and subject to the adoption by the GHS Sub-Committee of the revised Chapter 2.1 of the GHS, the consequential amendments to the Manual of Tests and Criteria in document </w:t>
      </w:r>
      <w:r w:rsidR="00B02E43" w:rsidRPr="00D96B24">
        <w:t>ST/SG/AC.10/C.3/20</w:t>
      </w:r>
      <w:r w:rsidR="00B02E43">
        <w:t>20</w:t>
      </w:r>
      <w:r w:rsidR="00B02E43" w:rsidRPr="00D96B24">
        <w:t>/</w:t>
      </w:r>
      <w:r w:rsidR="00B02E43">
        <w:t>60 as amended by informal document INF.38 (paragraph 14).</w:t>
      </w:r>
    </w:p>
    <w:p w14:paraId="78AFA841" w14:textId="22DF639D" w:rsidR="00451383" w:rsidRDefault="00451383" w:rsidP="006B34F0">
      <w:pPr>
        <w:pStyle w:val="HChG"/>
      </w:pPr>
      <w:r>
        <w:tab/>
      </w:r>
      <w:r>
        <w:tab/>
        <w:t>GHS agenda item 3 (c)</w:t>
      </w:r>
    </w:p>
    <w:p w14:paraId="05D6C3CC" w14:textId="77777777" w:rsidR="00451383" w:rsidRDefault="00451383" w:rsidP="00451383">
      <w:pPr>
        <w:pStyle w:val="H1G"/>
      </w:pPr>
      <w:r w:rsidRPr="00D01787">
        <w:t xml:space="preserve"> </w:t>
      </w:r>
      <w:bookmarkStart w:id="1" w:name="_Hlk38294103"/>
      <w:bookmarkStart w:id="2" w:name="_Hlk38287150"/>
      <w:r>
        <w:tab/>
      </w:r>
      <w:r>
        <w:tab/>
      </w:r>
      <w:r w:rsidRPr="00D01787">
        <w:t>Clarification of 2.9.3.4.3.4 of the Model Regulations and 4.1.3.3.4 of the GHS</w:t>
      </w:r>
      <w:bookmarkEnd w:id="1"/>
      <w:bookmarkEnd w:id="2"/>
    </w:p>
    <w:p w14:paraId="1B221818" w14:textId="77777777" w:rsidR="00451383" w:rsidRDefault="00451383" w:rsidP="00451383">
      <w:pPr>
        <w:spacing w:before="40" w:after="120"/>
      </w:pPr>
      <w:r>
        <w:rPr>
          <w:i/>
        </w:rPr>
        <w:tab/>
      </w:r>
      <w:r>
        <w:rPr>
          <w:i/>
        </w:rPr>
        <w:tab/>
      </w:r>
      <w:r w:rsidRPr="00A7198A">
        <w:rPr>
          <w:i/>
        </w:rPr>
        <w:t>Document:</w:t>
      </w:r>
      <w:r w:rsidRPr="00A7198A">
        <w:t xml:space="preserve"> </w:t>
      </w:r>
      <w:r w:rsidRPr="00A7198A">
        <w:tab/>
      </w:r>
      <w:r w:rsidRPr="00A7198A">
        <w:tab/>
      </w:r>
      <w:r>
        <w:t xml:space="preserve">ST/SG/AC.10/C.4/2020/10 and ST/SG/AC.10/C.4/2020/10/Add.1 (China) </w:t>
      </w:r>
    </w:p>
    <w:p w14:paraId="6110428C" w14:textId="148990CB" w:rsidR="0099623E" w:rsidRDefault="0099623E" w:rsidP="004939A3">
      <w:pPr>
        <w:pStyle w:val="SingleTxtG"/>
      </w:pPr>
      <w:r>
        <w:tab/>
        <w:t>8.</w:t>
      </w:r>
      <w:r>
        <w:tab/>
        <w:t xml:space="preserve">After some discussion, the TDG Sub-Committee adopted the amendments to </w:t>
      </w:r>
      <w:r w:rsidRPr="00D01787">
        <w:t>2.9.3.4.3.4 of the Model Regulations</w:t>
      </w:r>
      <w:r>
        <w:t xml:space="preserve"> in option 2 </w:t>
      </w:r>
      <w:r w:rsidR="004939A3">
        <w:t>in document ST/SG/AC.10/C.4/2020/10.</w:t>
      </w:r>
    </w:p>
    <w:p w14:paraId="7FAA38FF" w14:textId="16BC99D2" w:rsidR="00A13A7A" w:rsidRPr="00C62212" w:rsidRDefault="00451383" w:rsidP="006B34F0">
      <w:pPr>
        <w:spacing w:before="240"/>
        <w:jc w:val="center"/>
        <w:rPr>
          <w:rFonts w:asciiTheme="majorBidi" w:hAnsiTheme="majorBidi" w:cstheme="majorBidi"/>
        </w:rPr>
      </w:pPr>
      <w:r>
        <w:rPr>
          <w:u w:val="single"/>
        </w:rPr>
        <w:tab/>
      </w:r>
      <w:r>
        <w:rPr>
          <w:u w:val="single"/>
        </w:rPr>
        <w:tab/>
      </w:r>
      <w:r>
        <w:rPr>
          <w:u w:val="single"/>
        </w:rPr>
        <w:tab/>
      </w:r>
    </w:p>
    <w:sectPr w:rsidR="00A13A7A" w:rsidRPr="00C62212" w:rsidSect="002B37B6">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49379" w14:textId="77777777" w:rsidR="00CE10F6" w:rsidRDefault="00CE10F6"/>
  </w:endnote>
  <w:endnote w:type="continuationSeparator" w:id="0">
    <w:p w14:paraId="7C9472F9" w14:textId="77777777" w:rsidR="00CE10F6" w:rsidRDefault="00CE10F6"/>
  </w:endnote>
  <w:endnote w:type="continuationNotice" w:id="1">
    <w:p w14:paraId="67C03CB3" w14:textId="77777777" w:rsidR="00CE10F6" w:rsidRDefault="00CE1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1E8C" w14:textId="57D21F3A" w:rsidR="006A7757" w:rsidRPr="0099001C" w:rsidRDefault="006A7757"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BD1504">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F98B" w14:textId="1FF21CA0" w:rsidR="006A7757" w:rsidRPr="0099001C" w:rsidRDefault="006A7757"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F64BCC">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CA155" w14:textId="77777777" w:rsidR="00CE10F6" w:rsidRPr="000B175B" w:rsidRDefault="00CE10F6" w:rsidP="000B175B">
      <w:pPr>
        <w:tabs>
          <w:tab w:val="right" w:pos="2155"/>
        </w:tabs>
        <w:spacing w:after="80"/>
        <w:ind w:left="680"/>
        <w:rPr>
          <w:u w:val="single"/>
        </w:rPr>
      </w:pPr>
      <w:r>
        <w:rPr>
          <w:u w:val="single"/>
        </w:rPr>
        <w:tab/>
      </w:r>
    </w:p>
  </w:footnote>
  <w:footnote w:type="continuationSeparator" w:id="0">
    <w:p w14:paraId="658AE5F4" w14:textId="77777777" w:rsidR="00CE10F6" w:rsidRPr="00FC68B7" w:rsidRDefault="00CE10F6" w:rsidP="00FC68B7">
      <w:pPr>
        <w:tabs>
          <w:tab w:val="left" w:pos="2155"/>
        </w:tabs>
        <w:spacing w:after="80"/>
        <w:ind w:left="680"/>
        <w:rPr>
          <w:u w:val="single"/>
        </w:rPr>
      </w:pPr>
      <w:r>
        <w:rPr>
          <w:u w:val="single"/>
        </w:rPr>
        <w:tab/>
      </w:r>
    </w:p>
  </w:footnote>
  <w:footnote w:type="continuationNotice" w:id="1">
    <w:p w14:paraId="740CD6E9" w14:textId="77777777" w:rsidR="00CE10F6" w:rsidRDefault="00CE10F6"/>
  </w:footnote>
  <w:footnote w:id="2">
    <w:p w14:paraId="14EAE57D" w14:textId="77777777" w:rsidR="00451383" w:rsidRPr="009600BA" w:rsidRDefault="00451383" w:rsidP="00451383">
      <w:pPr>
        <w:pStyle w:val="FootnoteText"/>
        <w:rPr>
          <w:lang w:val="fr-CH"/>
        </w:rPr>
      </w:pPr>
      <w:r>
        <w:tab/>
      </w:r>
      <w:r>
        <w:rPr>
          <w:rStyle w:val="FootnoteReference"/>
        </w:rPr>
        <w:footnoteRef/>
      </w:r>
      <w:r>
        <w:t xml:space="preserve"> </w:t>
      </w:r>
      <w:r>
        <w:tab/>
        <w:t>ST/SG/AC.10/C.3/113/Add.1/Rev.1.</w:t>
      </w:r>
    </w:p>
  </w:footnote>
  <w:footnote w:id="3">
    <w:p w14:paraId="1272A9A1" w14:textId="77777777" w:rsidR="00451383" w:rsidRPr="00054722" w:rsidRDefault="00451383" w:rsidP="00451383">
      <w:pPr>
        <w:pStyle w:val="FootnoteText"/>
        <w:rPr>
          <w:lang w:val="fr-CH"/>
        </w:rPr>
      </w:pPr>
      <w:r>
        <w:tab/>
      </w:r>
      <w:r>
        <w:rPr>
          <w:rStyle w:val="FootnoteReference"/>
        </w:rPr>
        <w:footnoteRef/>
      </w:r>
      <w:r>
        <w:t xml:space="preserve"> </w:t>
      </w:r>
      <w:r>
        <w:tab/>
      </w:r>
      <w:r w:rsidRPr="00413A2A">
        <w:t>http://www.unece.org/trans/main/dgdb/dgsubc3/c3inf57.html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FFE2" w14:textId="2F1FE416" w:rsidR="006A7757" w:rsidRPr="0099001C" w:rsidRDefault="006A7757" w:rsidP="00366CA7">
    <w:pPr>
      <w:pStyle w:val="Header"/>
    </w:pPr>
    <w:r w:rsidRPr="009E5D6A">
      <w:t>UN/SCEGHS/</w:t>
    </w:r>
    <w:r w:rsidR="00727A68" w:rsidRPr="009E5D6A">
      <w:t>3</w:t>
    </w:r>
    <w:r w:rsidR="009D555E" w:rsidRPr="009E5D6A">
      <w:t>9</w:t>
    </w:r>
    <w:r w:rsidRPr="009E5D6A">
      <w:t>/INF.</w:t>
    </w:r>
    <w:r w:rsidR="009E5D6A" w:rsidRPr="009E5D6A">
      <w:t>3</w:t>
    </w:r>
    <w:r w:rsidR="00682406">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E8B9" w14:textId="69FAEB6C" w:rsidR="006A7757" w:rsidRPr="0099001C" w:rsidRDefault="006A7757" w:rsidP="0099001C">
    <w:pPr>
      <w:pStyle w:val="Header"/>
      <w:jc w:val="right"/>
    </w:pPr>
    <w:r>
      <w:t>UN/SCEGHS/</w:t>
    </w:r>
    <w:r w:rsidR="00727A68">
      <w:t>3</w:t>
    </w:r>
    <w:r w:rsidR="006942D1">
      <w:t>9</w:t>
    </w:r>
    <w:r>
      <w:t>/INF.</w:t>
    </w:r>
    <w:r w:rsidR="00DD525E">
      <w:t>3</w:t>
    </w:r>
    <w:r w:rsidR="006942D1">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4577" w14:textId="5549C634" w:rsidR="00A90064" w:rsidRDefault="00A90064" w:rsidP="00E458F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start w:val="1"/>
      <w:numFmt w:val="decimal"/>
      <w:lvlText w:val="%1."/>
      <w:lvlJc w:val="left"/>
      <w:pPr>
        <w:tabs>
          <w:tab w:val="num" w:pos="1689"/>
        </w:tabs>
        <w:ind w:left="1689" w:hanging="555"/>
      </w:pPr>
      <w:rPr>
        <w:bCs/>
        <w:color w:val="000000"/>
        <w:lang w:val="en-US"/>
      </w:rPr>
    </w:lvl>
    <w:lvl w:ilvl="1">
      <w:start w:val="1"/>
      <w:numFmt w:val="lowerLetter"/>
      <w:lvlText w:val="%2."/>
      <w:lvlJc w:val="left"/>
      <w:pPr>
        <w:tabs>
          <w:tab w:val="num" w:pos="2214"/>
        </w:tabs>
        <w:ind w:left="2214" w:hanging="360"/>
      </w:pPr>
      <w:rPr>
        <w:b/>
        <w:bCs/>
        <w:sz w:val="28"/>
      </w:rPr>
    </w:lvl>
    <w:lvl w:ilvl="2">
      <w:start w:val="1"/>
      <w:numFmt w:val="lowerLetter"/>
      <w:lvlText w:val="(%3)"/>
      <w:lvlJc w:val="left"/>
      <w:pPr>
        <w:tabs>
          <w:tab w:val="num" w:pos="3324"/>
        </w:tabs>
        <w:ind w:left="3324" w:hanging="570"/>
      </w:pPr>
      <w:rPr>
        <w:bCs/>
        <w:color w:val="000000"/>
        <w:lang w:val="en-US"/>
      </w:r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E63C0"/>
    <w:multiLevelType w:val="hybridMultilevel"/>
    <w:tmpl w:val="0F8E0432"/>
    <w:lvl w:ilvl="0" w:tplc="F90E470C">
      <w:start w:val="1"/>
      <w:numFmt w:val="lowerLetter"/>
      <w:lvlText w:val="(%1)"/>
      <w:lvlJc w:val="left"/>
      <w:pPr>
        <w:ind w:left="2424" w:hanging="360"/>
      </w:pPr>
      <w:rPr>
        <w:rFonts w:hint="default"/>
      </w:rPr>
    </w:lvl>
    <w:lvl w:ilvl="1" w:tplc="10090019" w:tentative="1">
      <w:start w:val="1"/>
      <w:numFmt w:val="lowerLetter"/>
      <w:lvlText w:val="%2."/>
      <w:lvlJc w:val="left"/>
      <w:pPr>
        <w:ind w:left="3144" w:hanging="360"/>
      </w:pPr>
    </w:lvl>
    <w:lvl w:ilvl="2" w:tplc="1009001B" w:tentative="1">
      <w:start w:val="1"/>
      <w:numFmt w:val="lowerRoman"/>
      <w:lvlText w:val="%3."/>
      <w:lvlJc w:val="right"/>
      <w:pPr>
        <w:ind w:left="3864" w:hanging="180"/>
      </w:pPr>
    </w:lvl>
    <w:lvl w:ilvl="3" w:tplc="1009000F" w:tentative="1">
      <w:start w:val="1"/>
      <w:numFmt w:val="decimal"/>
      <w:lvlText w:val="%4."/>
      <w:lvlJc w:val="left"/>
      <w:pPr>
        <w:ind w:left="4584" w:hanging="360"/>
      </w:pPr>
    </w:lvl>
    <w:lvl w:ilvl="4" w:tplc="10090019" w:tentative="1">
      <w:start w:val="1"/>
      <w:numFmt w:val="lowerLetter"/>
      <w:lvlText w:val="%5."/>
      <w:lvlJc w:val="left"/>
      <w:pPr>
        <w:ind w:left="5304" w:hanging="360"/>
      </w:pPr>
    </w:lvl>
    <w:lvl w:ilvl="5" w:tplc="1009001B" w:tentative="1">
      <w:start w:val="1"/>
      <w:numFmt w:val="lowerRoman"/>
      <w:lvlText w:val="%6."/>
      <w:lvlJc w:val="right"/>
      <w:pPr>
        <w:ind w:left="6024" w:hanging="180"/>
      </w:pPr>
    </w:lvl>
    <w:lvl w:ilvl="6" w:tplc="1009000F" w:tentative="1">
      <w:start w:val="1"/>
      <w:numFmt w:val="decimal"/>
      <w:lvlText w:val="%7."/>
      <w:lvlJc w:val="left"/>
      <w:pPr>
        <w:ind w:left="6744" w:hanging="360"/>
      </w:pPr>
    </w:lvl>
    <w:lvl w:ilvl="7" w:tplc="10090019" w:tentative="1">
      <w:start w:val="1"/>
      <w:numFmt w:val="lowerLetter"/>
      <w:lvlText w:val="%8."/>
      <w:lvlJc w:val="left"/>
      <w:pPr>
        <w:ind w:left="7464" w:hanging="360"/>
      </w:pPr>
    </w:lvl>
    <w:lvl w:ilvl="8" w:tplc="1009001B" w:tentative="1">
      <w:start w:val="1"/>
      <w:numFmt w:val="lowerRoman"/>
      <w:lvlText w:val="%9."/>
      <w:lvlJc w:val="right"/>
      <w:pPr>
        <w:ind w:left="8184" w:hanging="180"/>
      </w:pPr>
    </w:lvl>
  </w:abstractNum>
  <w:abstractNum w:abstractNumId="3" w15:restartNumberingAfterBreak="0">
    <w:nsid w:val="0B5E48FE"/>
    <w:multiLevelType w:val="hybridMultilevel"/>
    <w:tmpl w:val="E4F656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2CE1077"/>
    <w:multiLevelType w:val="hybridMultilevel"/>
    <w:tmpl w:val="D236F57E"/>
    <w:lvl w:ilvl="0" w:tplc="A768C694">
      <w:numFmt w:val="bullet"/>
      <w:lvlText w:val="•"/>
      <w:lvlJc w:val="left"/>
      <w:pPr>
        <w:ind w:left="2838" w:hanging="564"/>
      </w:pPr>
      <w:rPr>
        <w:rFonts w:ascii="Times New Roman" w:eastAsia="Times New Roman" w:hAnsi="Times New Roman" w:cs="Times New Roman" w:hint="default"/>
      </w:rPr>
    </w:lvl>
    <w:lvl w:ilvl="1" w:tplc="10090003" w:tentative="1">
      <w:start w:val="1"/>
      <w:numFmt w:val="bullet"/>
      <w:lvlText w:val="o"/>
      <w:lvlJc w:val="left"/>
      <w:pPr>
        <w:ind w:left="3354" w:hanging="360"/>
      </w:pPr>
      <w:rPr>
        <w:rFonts w:ascii="Courier New" w:hAnsi="Courier New" w:cs="Courier New" w:hint="default"/>
      </w:rPr>
    </w:lvl>
    <w:lvl w:ilvl="2" w:tplc="10090005" w:tentative="1">
      <w:start w:val="1"/>
      <w:numFmt w:val="bullet"/>
      <w:lvlText w:val=""/>
      <w:lvlJc w:val="left"/>
      <w:pPr>
        <w:ind w:left="4074" w:hanging="360"/>
      </w:pPr>
      <w:rPr>
        <w:rFonts w:ascii="Wingdings" w:hAnsi="Wingdings" w:hint="default"/>
      </w:rPr>
    </w:lvl>
    <w:lvl w:ilvl="3" w:tplc="10090001" w:tentative="1">
      <w:start w:val="1"/>
      <w:numFmt w:val="bullet"/>
      <w:lvlText w:val=""/>
      <w:lvlJc w:val="left"/>
      <w:pPr>
        <w:ind w:left="4794" w:hanging="360"/>
      </w:pPr>
      <w:rPr>
        <w:rFonts w:ascii="Symbol" w:hAnsi="Symbol" w:hint="default"/>
      </w:rPr>
    </w:lvl>
    <w:lvl w:ilvl="4" w:tplc="10090003" w:tentative="1">
      <w:start w:val="1"/>
      <w:numFmt w:val="bullet"/>
      <w:lvlText w:val="o"/>
      <w:lvlJc w:val="left"/>
      <w:pPr>
        <w:ind w:left="5514" w:hanging="360"/>
      </w:pPr>
      <w:rPr>
        <w:rFonts w:ascii="Courier New" w:hAnsi="Courier New" w:cs="Courier New" w:hint="default"/>
      </w:rPr>
    </w:lvl>
    <w:lvl w:ilvl="5" w:tplc="10090005" w:tentative="1">
      <w:start w:val="1"/>
      <w:numFmt w:val="bullet"/>
      <w:lvlText w:val=""/>
      <w:lvlJc w:val="left"/>
      <w:pPr>
        <w:ind w:left="6234" w:hanging="360"/>
      </w:pPr>
      <w:rPr>
        <w:rFonts w:ascii="Wingdings" w:hAnsi="Wingdings" w:hint="default"/>
      </w:rPr>
    </w:lvl>
    <w:lvl w:ilvl="6" w:tplc="10090001" w:tentative="1">
      <w:start w:val="1"/>
      <w:numFmt w:val="bullet"/>
      <w:lvlText w:val=""/>
      <w:lvlJc w:val="left"/>
      <w:pPr>
        <w:ind w:left="6954" w:hanging="360"/>
      </w:pPr>
      <w:rPr>
        <w:rFonts w:ascii="Symbol" w:hAnsi="Symbol" w:hint="default"/>
      </w:rPr>
    </w:lvl>
    <w:lvl w:ilvl="7" w:tplc="10090003" w:tentative="1">
      <w:start w:val="1"/>
      <w:numFmt w:val="bullet"/>
      <w:lvlText w:val="o"/>
      <w:lvlJc w:val="left"/>
      <w:pPr>
        <w:ind w:left="7674" w:hanging="360"/>
      </w:pPr>
      <w:rPr>
        <w:rFonts w:ascii="Courier New" w:hAnsi="Courier New" w:cs="Courier New" w:hint="default"/>
      </w:rPr>
    </w:lvl>
    <w:lvl w:ilvl="8" w:tplc="10090005" w:tentative="1">
      <w:start w:val="1"/>
      <w:numFmt w:val="bullet"/>
      <w:lvlText w:val=""/>
      <w:lvlJc w:val="left"/>
      <w:pPr>
        <w:ind w:left="8394" w:hanging="360"/>
      </w:pPr>
      <w:rPr>
        <w:rFonts w:ascii="Wingdings" w:hAnsi="Wingdings" w:hint="default"/>
      </w:rPr>
    </w:lvl>
  </w:abstractNum>
  <w:abstractNum w:abstractNumId="5" w15:restartNumberingAfterBreak="0">
    <w:nsid w:val="133C2596"/>
    <w:multiLevelType w:val="hybridMultilevel"/>
    <w:tmpl w:val="5010D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A07C4"/>
    <w:multiLevelType w:val="hybridMultilevel"/>
    <w:tmpl w:val="2DC8D026"/>
    <w:lvl w:ilvl="0" w:tplc="5EE2654E">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238C77AB"/>
    <w:multiLevelType w:val="hybridMultilevel"/>
    <w:tmpl w:val="7304EA0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2B686A4B"/>
    <w:multiLevelType w:val="hybridMultilevel"/>
    <w:tmpl w:val="2CF4107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2F186A1D"/>
    <w:multiLevelType w:val="hybridMultilevel"/>
    <w:tmpl w:val="8612F4E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344870D6"/>
    <w:multiLevelType w:val="hybridMultilevel"/>
    <w:tmpl w:val="B4803ED4"/>
    <w:lvl w:ilvl="0" w:tplc="F90E470C">
      <w:start w:val="1"/>
      <w:numFmt w:val="lowerLetter"/>
      <w:lvlText w:val="(%1)"/>
      <w:lvlJc w:val="left"/>
      <w:pPr>
        <w:ind w:left="1854" w:hanging="360"/>
      </w:pPr>
      <w:rPr>
        <w:rFonts w:hint="default"/>
      </w:rPr>
    </w:lvl>
    <w:lvl w:ilvl="1" w:tplc="11C290A0">
      <w:start w:val="1"/>
      <w:numFmt w:val="lowerRoman"/>
      <w:lvlText w:val="(%2)"/>
      <w:lvlJc w:val="right"/>
      <w:pPr>
        <w:ind w:left="2574" w:hanging="360"/>
      </w:pPr>
      <w:rPr>
        <w:rFonts w:hint="default"/>
      </w:r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1" w15:restartNumberingAfterBreak="0">
    <w:nsid w:val="36300BB6"/>
    <w:multiLevelType w:val="hybridMultilevel"/>
    <w:tmpl w:val="DEB4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43636"/>
    <w:multiLevelType w:val="hybridMultilevel"/>
    <w:tmpl w:val="D43A5FDC"/>
    <w:lvl w:ilvl="0" w:tplc="D81C2A86">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3" w15:restartNumberingAfterBreak="0">
    <w:nsid w:val="3DEF3213"/>
    <w:multiLevelType w:val="hybridMultilevel"/>
    <w:tmpl w:val="A5F4F4B4"/>
    <w:lvl w:ilvl="0" w:tplc="F90E470C">
      <w:start w:val="1"/>
      <w:numFmt w:val="lowerLetter"/>
      <w:lvlText w:val="(%1)"/>
      <w:lvlJc w:val="left"/>
      <w:pPr>
        <w:ind w:left="1854" w:hanging="360"/>
      </w:pPr>
      <w:rPr>
        <w:rFonts w:hint="default"/>
      </w:rPr>
    </w:lvl>
    <w:lvl w:ilvl="1" w:tplc="041D001B">
      <w:start w:val="1"/>
      <w:numFmt w:val="lowerRoman"/>
      <w:lvlText w:val="%2."/>
      <w:lvlJc w:val="righ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4" w15:restartNumberingAfterBreak="0">
    <w:nsid w:val="51502AF8"/>
    <w:multiLevelType w:val="hybridMultilevel"/>
    <w:tmpl w:val="7CA2B210"/>
    <w:lvl w:ilvl="0" w:tplc="E3C6E98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5A4C5983"/>
    <w:multiLevelType w:val="hybridMultilevel"/>
    <w:tmpl w:val="43441492"/>
    <w:lvl w:ilvl="0" w:tplc="5EE265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B45A0E"/>
    <w:multiLevelType w:val="hybridMultilevel"/>
    <w:tmpl w:val="C2001A22"/>
    <w:lvl w:ilvl="0" w:tplc="6C5466F8">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7" w15:restartNumberingAfterBreak="0">
    <w:nsid w:val="62F4007A"/>
    <w:multiLevelType w:val="hybridMultilevel"/>
    <w:tmpl w:val="C2A4BB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7282859"/>
    <w:multiLevelType w:val="hybridMultilevel"/>
    <w:tmpl w:val="4F420252"/>
    <w:lvl w:ilvl="0" w:tplc="F90E470C">
      <w:start w:val="1"/>
      <w:numFmt w:val="lowerLetter"/>
      <w:lvlText w:val="(%1)"/>
      <w:lvlJc w:val="left"/>
      <w:pPr>
        <w:ind w:left="1854" w:hanging="360"/>
      </w:pPr>
      <w:rPr>
        <w:rFonts w:hint="default"/>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BF2D3B"/>
    <w:multiLevelType w:val="hybridMultilevel"/>
    <w:tmpl w:val="E8C44654"/>
    <w:lvl w:ilvl="0" w:tplc="5EE265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D967DA"/>
    <w:multiLevelType w:val="hybridMultilevel"/>
    <w:tmpl w:val="118C6788"/>
    <w:lvl w:ilvl="0" w:tplc="F90E470C">
      <w:start w:val="1"/>
      <w:numFmt w:val="lowerLetter"/>
      <w:lvlText w:val="(%1)"/>
      <w:lvlJc w:val="left"/>
      <w:pPr>
        <w:ind w:left="1854" w:hanging="360"/>
      </w:pPr>
      <w:rPr>
        <w:rFonts w:hint="default"/>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2" w15:restartNumberingAfterBreak="0">
    <w:nsid w:val="6D687645"/>
    <w:multiLevelType w:val="hybridMultilevel"/>
    <w:tmpl w:val="2DB02938"/>
    <w:lvl w:ilvl="0" w:tplc="F90E470C">
      <w:start w:val="1"/>
      <w:numFmt w:val="lowerLetter"/>
      <w:lvlText w:val="(%1)"/>
      <w:lvlJc w:val="left"/>
      <w:pPr>
        <w:ind w:left="1854" w:hanging="360"/>
      </w:pPr>
      <w:rPr>
        <w:rFonts w:hint="default"/>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3" w15:restartNumberingAfterBreak="0">
    <w:nsid w:val="72BA0BC1"/>
    <w:multiLevelType w:val="hybridMultilevel"/>
    <w:tmpl w:val="4E687A88"/>
    <w:lvl w:ilvl="0" w:tplc="08090017">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15:restartNumberingAfterBreak="0">
    <w:nsid w:val="78D97F58"/>
    <w:multiLevelType w:val="multilevel"/>
    <w:tmpl w:val="2E68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1713B7"/>
    <w:multiLevelType w:val="multilevel"/>
    <w:tmpl w:val="257C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14"/>
  </w:num>
  <w:num w:numId="4">
    <w:abstractNumId w:val="7"/>
  </w:num>
  <w:num w:numId="5">
    <w:abstractNumId w:val="8"/>
  </w:num>
  <w:num w:numId="6">
    <w:abstractNumId w:val="9"/>
  </w:num>
  <w:num w:numId="7">
    <w:abstractNumId w:val="23"/>
  </w:num>
  <w:num w:numId="8">
    <w:abstractNumId w:val="1"/>
  </w:num>
  <w:num w:numId="9">
    <w:abstractNumId w:val="3"/>
  </w:num>
  <w:num w:numId="10">
    <w:abstractNumId w:val="17"/>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6"/>
  </w:num>
  <w:num w:numId="15">
    <w:abstractNumId w:val="21"/>
  </w:num>
  <w:num w:numId="16">
    <w:abstractNumId w:val="22"/>
  </w:num>
  <w:num w:numId="17">
    <w:abstractNumId w:val="13"/>
  </w:num>
  <w:num w:numId="18">
    <w:abstractNumId w:val="10"/>
  </w:num>
  <w:num w:numId="19">
    <w:abstractNumId w:val="18"/>
  </w:num>
  <w:num w:numId="20">
    <w:abstractNumId w:val="2"/>
  </w:num>
  <w:num w:numId="21">
    <w:abstractNumId w:val="4"/>
  </w:num>
  <w:num w:numId="22">
    <w:abstractNumId w:val="24"/>
  </w:num>
  <w:num w:numId="23">
    <w:abstractNumId w:val="25"/>
  </w:num>
  <w:num w:numId="24">
    <w:abstractNumId w:val="1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9"/>
  </w:num>
  <w:num w:numId="33">
    <w:abstractNumId w:val="1"/>
  </w:num>
  <w:num w:numId="34">
    <w:abstractNumId w:val="1"/>
  </w:num>
  <w:num w:numId="35">
    <w:abstractNumId w:val="20"/>
  </w:num>
  <w:num w:numId="36">
    <w:abstractNumId w:val="15"/>
  </w:num>
  <w:num w:numId="37">
    <w:abstractNumId w:val="6"/>
  </w:num>
  <w:num w:numId="38">
    <w:abstractNumId w:val="1"/>
  </w:num>
  <w:num w:numId="39">
    <w:abstractNumId w:val="1"/>
  </w:num>
  <w:num w:numId="40">
    <w:abstractNumId w:val="1"/>
  </w:num>
  <w:num w:numId="4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CH"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en-CA" w:vendorID="64" w:dllVersion="6" w:nlCheck="1" w:checkStyle="0"/>
  <w:activeWritingStyle w:appName="MSWord" w:lang="en-CA"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1C"/>
    <w:rsid w:val="00002EFA"/>
    <w:rsid w:val="000061C7"/>
    <w:rsid w:val="00010278"/>
    <w:rsid w:val="0001139F"/>
    <w:rsid w:val="00012269"/>
    <w:rsid w:val="00013453"/>
    <w:rsid w:val="00016322"/>
    <w:rsid w:val="00016F90"/>
    <w:rsid w:val="00021F69"/>
    <w:rsid w:val="0002269F"/>
    <w:rsid w:val="000247DA"/>
    <w:rsid w:val="00025EA6"/>
    <w:rsid w:val="00027C0B"/>
    <w:rsid w:val="000309E1"/>
    <w:rsid w:val="00030DD3"/>
    <w:rsid w:val="000314AE"/>
    <w:rsid w:val="0003215B"/>
    <w:rsid w:val="00032D5C"/>
    <w:rsid w:val="00033B3D"/>
    <w:rsid w:val="0003412D"/>
    <w:rsid w:val="000351FA"/>
    <w:rsid w:val="00035799"/>
    <w:rsid w:val="00036288"/>
    <w:rsid w:val="00040EDC"/>
    <w:rsid w:val="00041A5B"/>
    <w:rsid w:val="00042690"/>
    <w:rsid w:val="00050F6B"/>
    <w:rsid w:val="00051E14"/>
    <w:rsid w:val="00056ADD"/>
    <w:rsid w:val="0006093B"/>
    <w:rsid w:val="00062B1F"/>
    <w:rsid w:val="00065B7E"/>
    <w:rsid w:val="00065DE6"/>
    <w:rsid w:val="00066C18"/>
    <w:rsid w:val="00072C8C"/>
    <w:rsid w:val="00073D8C"/>
    <w:rsid w:val="0007485E"/>
    <w:rsid w:val="00074E61"/>
    <w:rsid w:val="000812C9"/>
    <w:rsid w:val="00081647"/>
    <w:rsid w:val="00082642"/>
    <w:rsid w:val="00085D2B"/>
    <w:rsid w:val="00092477"/>
    <w:rsid w:val="000931C0"/>
    <w:rsid w:val="00093AA0"/>
    <w:rsid w:val="000A1ED4"/>
    <w:rsid w:val="000A37AA"/>
    <w:rsid w:val="000A48A1"/>
    <w:rsid w:val="000A6544"/>
    <w:rsid w:val="000B0443"/>
    <w:rsid w:val="000B175B"/>
    <w:rsid w:val="000B3A0F"/>
    <w:rsid w:val="000B3D62"/>
    <w:rsid w:val="000B4BAE"/>
    <w:rsid w:val="000B735B"/>
    <w:rsid w:val="000C25BD"/>
    <w:rsid w:val="000C2D91"/>
    <w:rsid w:val="000C33ED"/>
    <w:rsid w:val="000C55C9"/>
    <w:rsid w:val="000C5F85"/>
    <w:rsid w:val="000C6544"/>
    <w:rsid w:val="000D10AA"/>
    <w:rsid w:val="000D4174"/>
    <w:rsid w:val="000E0415"/>
    <w:rsid w:val="000F170A"/>
    <w:rsid w:val="000F2D92"/>
    <w:rsid w:val="000F3F9C"/>
    <w:rsid w:val="000F599C"/>
    <w:rsid w:val="000F72F9"/>
    <w:rsid w:val="00111760"/>
    <w:rsid w:val="0011178C"/>
    <w:rsid w:val="001131FD"/>
    <w:rsid w:val="0011552F"/>
    <w:rsid w:val="00115ECB"/>
    <w:rsid w:val="001164A2"/>
    <w:rsid w:val="001220B8"/>
    <w:rsid w:val="001247D0"/>
    <w:rsid w:val="00130005"/>
    <w:rsid w:val="00135B50"/>
    <w:rsid w:val="00140DE6"/>
    <w:rsid w:val="0014428E"/>
    <w:rsid w:val="0015005D"/>
    <w:rsid w:val="00151F32"/>
    <w:rsid w:val="00152788"/>
    <w:rsid w:val="00154704"/>
    <w:rsid w:val="00154E1C"/>
    <w:rsid w:val="00155A0A"/>
    <w:rsid w:val="00156F3C"/>
    <w:rsid w:val="00160A63"/>
    <w:rsid w:val="001615C0"/>
    <w:rsid w:val="00162BF7"/>
    <w:rsid w:val="0016504F"/>
    <w:rsid w:val="00170A0F"/>
    <w:rsid w:val="0017226D"/>
    <w:rsid w:val="001748C5"/>
    <w:rsid w:val="00181192"/>
    <w:rsid w:val="00184C60"/>
    <w:rsid w:val="00190AEA"/>
    <w:rsid w:val="00191F6F"/>
    <w:rsid w:val="001944E5"/>
    <w:rsid w:val="00195834"/>
    <w:rsid w:val="0019681E"/>
    <w:rsid w:val="00196E86"/>
    <w:rsid w:val="00196FE0"/>
    <w:rsid w:val="001976A3"/>
    <w:rsid w:val="001A0F7B"/>
    <w:rsid w:val="001A12F9"/>
    <w:rsid w:val="001A295D"/>
    <w:rsid w:val="001A2E4F"/>
    <w:rsid w:val="001A2FA5"/>
    <w:rsid w:val="001A7554"/>
    <w:rsid w:val="001A7F6C"/>
    <w:rsid w:val="001B130E"/>
    <w:rsid w:val="001B2187"/>
    <w:rsid w:val="001B4B04"/>
    <w:rsid w:val="001B5DB6"/>
    <w:rsid w:val="001B69DC"/>
    <w:rsid w:val="001B791E"/>
    <w:rsid w:val="001C25E7"/>
    <w:rsid w:val="001C6663"/>
    <w:rsid w:val="001C712D"/>
    <w:rsid w:val="001C7895"/>
    <w:rsid w:val="001D08B7"/>
    <w:rsid w:val="001D26DF"/>
    <w:rsid w:val="001D2AE4"/>
    <w:rsid w:val="001D310D"/>
    <w:rsid w:val="001D3206"/>
    <w:rsid w:val="001E1A8A"/>
    <w:rsid w:val="001E47FD"/>
    <w:rsid w:val="001E4BBA"/>
    <w:rsid w:val="001F0115"/>
    <w:rsid w:val="001F2242"/>
    <w:rsid w:val="001F5503"/>
    <w:rsid w:val="001F70DF"/>
    <w:rsid w:val="00202318"/>
    <w:rsid w:val="002057B6"/>
    <w:rsid w:val="002115B7"/>
    <w:rsid w:val="00211E0B"/>
    <w:rsid w:val="00213E9F"/>
    <w:rsid w:val="00220617"/>
    <w:rsid w:val="00222D67"/>
    <w:rsid w:val="00223A50"/>
    <w:rsid w:val="00225B2C"/>
    <w:rsid w:val="00226304"/>
    <w:rsid w:val="00231C90"/>
    <w:rsid w:val="002366A3"/>
    <w:rsid w:val="00236881"/>
    <w:rsid w:val="00236B77"/>
    <w:rsid w:val="002405A7"/>
    <w:rsid w:val="00240D60"/>
    <w:rsid w:val="00251A87"/>
    <w:rsid w:val="00251D0A"/>
    <w:rsid w:val="0025322D"/>
    <w:rsid w:val="002545C5"/>
    <w:rsid w:val="00254E2E"/>
    <w:rsid w:val="00257E45"/>
    <w:rsid w:val="00262488"/>
    <w:rsid w:val="00266483"/>
    <w:rsid w:val="00267629"/>
    <w:rsid w:val="00271E2A"/>
    <w:rsid w:val="0027295D"/>
    <w:rsid w:val="00273022"/>
    <w:rsid w:val="0028112B"/>
    <w:rsid w:val="002821A4"/>
    <w:rsid w:val="00282F8D"/>
    <w:rsid w:val="00284C59"/>
    <w:rsid w:val="00285190"/>
    <w:rsid w:val="0028528B"/>
    <w:rsid w:val="0028578C"/>
    <w:rsid w:val="00290974"/>
    <w:rsid w:val="00290B20"/>
    <w:rsid w:val="002932FF"/>
    <w:rsid w:val="002933A2"/>
    <w:rsid w:val="00297F8A"/>
    <w:rsid w:val="002B1884"/>
    <w:rsid w:val="002B37B6"/>
    <w:rsid w:val="002C275F"/>
    <w:rsid w:val="002C5815"/>
    <w:rsid w:val="002D037D"/>
    <w:rsid w:val="002D191C"/>
    <w:rsid w:val="002D3600"/>
    <w:rsid w:val="002D59D3"/>
    <w:rsid w:val="002D5FD3"/>
    <w:rsid w:val="002D6144"/>
    <w:rsid w:val="002E20A6"/>
    <w:rsid w:val="002E769D"/>
    <w:rsid w:val="002F0CD6"/>
    <w:rsid w:val="002F3420"/>
    <w:rsid w:val="00300E7D"/>
    <w:rsid w:val="003107FA"/>
    <w:rsid w:val="0031161F"/>
    <w:rsid w:val="003127A2"/>
    <w:rsid w:val="00314D47"/>
    <w:rsid w:val="003229D8"/>
    <w:rsid w:val="00322FAA"/>
    <w:rsid w:val="0032550E"/>
    <w:rsid w:val="00325B9F"/>
    <w:rsid w:val="00327615"/>
    <w:rsid w:val="00331C5E"/>
    <w:rsid w:val="00333190"/>
    <w:rsid w:val="0033333D"/>
    <w:rsid w:val="00334D1B"/>
    <w:rsid w:val="003354D1"/>
    <w:rsid w:val="00335925"/>
    <w:rsid w:val="0033745A"/>
    <w:rsid w:val="00337A81"/>
    <w:rsid w:val="00341051"/>
    <w:rsid w:val="00343711"/>
    <w:rsid w:val="00344875"/>
    <w:rsid w:val="00350E63"/>
    <w:rsid w:val="00357B6E"/>
    <w:rsid w:val="00357D6F"/>
    <w:rsid w:val="0036214E"/>
    <w:rsid w:val="00362894"/>
    <w:rsid w:val="0036405C"/>
    <w:rsid w:val="003642AF"/>
    <w:rsid w:val="003644DA"/>
    <w:rsid w:val="00366CA7"/>
    <w:rsid w:val="0037026E"/>
    <w:rsid w:val="00370421"/>
    <w:rsid w:val="00377514"/>
    <w:rsid w:val="00382548"/>
    <w:rsid w:val="003834F7"/>
    <w:rsid w:val="003843A2"/>
    <w:rsid w:val="00386B95"/>
    <w:rsid w:val="0039277A"/>
    <w:rsid w:val="00392EEE"/>
    <w:rsid w:val="003936C1"/>
    <w:rsid w:val="0039696D"/>
    <w:rsid w:val="003972E0"/>
    <w:rsid w:val="003A1E77"/>
    <w:rsid w:val="003B3A99"/>
    <w:rsid w:val="003C1005"/>
    <w:rsid w:val="003C1EFC"/>
    <w:rsid w:val="003C2CC4"/>
    <w:rsid w:val="003C3936"/>
    <w:rsid w:val="003C4335"/>
    <w:rsid w:val="003C4C3F"/>
    <w:rsid w:val="003C542E"/>
    <w:rsid w:val="003C591B"/>
    <w:rsid w:val="003C60C1"/>
    <w:rsid w:val="003C772D"/>
    <w:rsid w:val="003D0D56"/>
    <w:rsid w:val="003D2C17"/>
    <w:rsid w:val="003D4954"/>
    <w:rsid w:val="003D4B23"/>
    <w:rsid w:val="003D6697"/>
    <w:rsid w:val="003E3FFE"/>
    <w:rsid w:val="003E6173"/>
    <w:rsid w:val="003E7C95"/>
    <w:rsid w:val="003F1ED3"/>
    <w:rsid w:val="003F71B3"/>
    <w:rsid w:val="00403848"/>
    <w:rsid w:val="00404110"/>
    <w:rsid w:val="004074F5"/>
    <w:rsid w:val="00416D20"/>
    <w:rsid w:val="004178A7"/>
    <w:rsid w:val="00421612"/>
    <w:rsid w:val="00422AA7"/>
    <w:rsid w:val="00425919"/>
    <w:rsid w:val="00425CB5"/>
    <w:rsid w:val="00425EFD"/>
    <w:rsid w:val="00426F57"/>
    <w:rsid w:val="00427C61"/>
    <w:rsid w:val="00431FEC"/>
    <w:rsid w:val="004325CB"/>
    <w:rsid w:val="004421A6"/>
    <w:rsid w:val="004448E1"/>
    <w:rsid w:val="0044499F"/>
    <w:rsid w:val="004450A2"/>
    <w:rsid w:val="00446392"/>
    <w:rsid w:val="00446CCB"/>
    <w:rsid w:val="00446DE4"/>
    <w:rsid w:val="00450136"/>
    <w:rsid w:val="00450736"/>
    <w:rsid w:val="00451383"/>
    <w:rsid w:val="004518EA"/>
    <w:rsid w:val="00454096"/>
    <w:rsid w:val="00455EE5"/>
    <w:rsid w:val="00456453"/>
    <w:rsid w:val="00456F34"/>
    <w:rsid w:val="00460165"/>
    <w:rsid w:val="00460DD9"/>
    <w:rsid w:val="004630E3"/>
    <w:rsid w:val="00466E8E"/>
    <w:rsid w:val="00466FBF"/>
    <w:rsid w:val="00467F71"/>
    <w:rsid w:val="00472290"/>
    <w:rsid w:val="0047269B"/>
    <w:rsid w:val="0047442B"/>
    <w:rsid w:val="00474F1C"/>
    <w:rsid w:val="00477371"/>
    <w:rsid w:val="004776DD"/>
    <w:rsid w:val="00477DA4"/>
    <w:rsid w:val="00481686"/>
    <w:rsid w:val="0048687D"/>
    <w:rsid w:val="00492FBB"/>
    <w:rsid w:val="004939A3"/>
    <w:rsid w:val="004960FE"/>
    <w:rsid w:val="00497EF1"/>
    <w:rsid w:val="004A0A31"/>
    <w:rsid w:val="004A0C94"/>
    <w:rsid w:val="004A2B37"/>
    <w:rsid w:val="004A2C74"/>
    <w:rsid w:val="004A41CA"/>
    <w:rsid w:val="004A4F3D"/>
    <w:rsid w:val="004A6487"/>
    <w:rsid w:val="004A6A2D"/>
    <w:rsid w:val="004B036A"/>
    <w:rsid w:val="004B6B22"/>
    <w:rsid w:val="004B748C"/>
    <w:rsid w:val="004C4A56"/>
    <w:rsid w:val="004D0C85"/>
    <w:rsid w:val="004D1006"/>
    <w:rsid w:val="004D54D2"/>
    <w:rsid w:val="004D54D4"/>
    <w:rsid w:val="004D6A8E"/>
    <w:rsid w:val="004E1611"/>
    <w:rsid w:val="004E33F9"/>
    <w:rsid w:val="004E36F5"/>
    <w:rsid w:val="004E7ED6"/>
    <w:rsid w:val="004F2223"/>
    <w:rsid w:val="004F33BF"/>
    <w:rsid w:val="004F3795"/>
    <w:rsid w:val="004F4FE6"/>
    <w:rsid w:val="004F5256"/>
    <w:rsid w:val="004F56B4"/>
    <w:rsid w:val="004F6FA2"/>
    <w:rsid w:val="004F7D12"/>
    <w:rsid w:val="005014A3"/>
    <w:rsid w:val="00503228"/>
    <w:rsid w:val="00504661"/>
    <w:rsid w:val="00505384"/>
    <w:rsid w:val="005064F3"/>
    <w:rsid w:val="00507E7D"/>
    <w:rsid w:val="005124CB"/>
    <w:rsid w:val="00515C5D"/>
    <w:rsid w:val="0052570A"/>
    <w:rsid w:val="00525D41"/>
    <w:rsid w:val="00526101"/>
    <w:rsid w:val="0053092F"/>
    <w:rsid w:val="00532141"/>
    <w:rsid w:val="00532617"/>
    <w:rsid w:val="00532EF8"/>
    <w:rsid w:val="00533DBE"/>
    <w:rsid w:val="0053460E"/>
    <w:rsid w:val="00535116"/>
    <w:rsid w:val="00535BDE"/>
    <w:rsid w:val="005360AE"/>
    <w:rsid w:val="0053769E"/>
    <w:rsid w:val="00540050"/>
    <w:rsid w:val="00540D9D"/>
    <w:rsid w:val="0054112F"/>
    <w:rsid w:val="0054173D"/>
    <w:rsid w:val="005417BC"/>
    <w:rsid w:val="00541C4F"/>
    <w:rsid w:val="005420F2"/>
    <w:rsid w:val="00543A6D"/>
    <w:rsid w:val="00543FE4"/>
    <w:rsid w:val="00544CFE"/>
    <w:rsid w:val="00546218"/>
    <w:rsid w:val="005547AA"/>
    <w:rsid w:val="005560AA"/>
    <w:rsid w:val="005566D4"/>
    <w:rsid w:val="00560662"/>
    <w:rsid w:val="0056349A"/>
    <w:rsid w:val="00564263"/>
    <w:rsid w:val="00564F2A"/>
    <w:rsid w:val="0056520F"/>
    <w:rsid w:val="00567F11"/>
    <w:rsid w:val="00571486"/>
    <w:rsid w:val="00573AE3"/>
    <w:rsid w:val="005745F6"/>
    <w:rsid w:val="00575CF4"/>
    <w:rsid w:val="00576ABE"/>
    <w:rsid w:val="00583B10"/>
    <w:rsid w:val="00587E3B"/>
    <w:rsid w:val="0059434A"/>
    <w:rsid w:val="00596B88"/>
    <w:rsid w:val="00597B29"/>
    <w:rsid w:val="005A3BFC"/>
    <w:rsid w:val="005A5BD3"/>
    <w:rsid w:val="005B0D15"/>
    <w:rsid w:val="005B2C89"/>
    <w:rsid w:val="005B3DB3"/>
    <w:rsid w:val="005C2039"/>
    <w:rsid w:val="005D57CC"/>
    <w:rsid w:val="005D6BAA"/>
    <w:rsid w:val="005D7387"/>
    <w:rsid w:val="005E22FE"/>
    <w:rsid w:val="005F7D6B"/>
    <w:rsid w:val="006010AD"/>
    <w:rsid w:val="006012AB"/>
    <w:rsid w:val="006035BF"/>
    <w:rsid w:val="0060668D"/>
    <w:rsid w:val="00611326"/>
    <w:rsid w:val="00611FC4"/>
    <w:rsid w:val="006131ED"/>
    <w:rsid w:val="0061427C"/>
    <w:rsid w:val="00614D26"/>
    <w:rsid w:val="006176FB"/>
    <w:rsid w:val="00617FFE"/>
    <w:rsid w:val="006226EE"/>
    <w:rsid w:val="00627ED0"/>
    <w:rsid w:val="006302A5"/>
    <w:rsid w:val="00635219"/>
    <w:rsid w:val="00635D6B"/>
    <w:rsid w:val="00636B53"/>
    <w:rsid w:val="00640B26"/>
    <w:rsid w:val="0064185D"/>
    <w:rsid w:val="006425F1"/>
    <w:rsid w:val="0064266D"/>
    <w:rsid w:val="00642B90"/>
    <w:rsid w:val="00645B5D"/>
    <w:rsid w:val="006460B5"/>
    <w:rsid w:val="00651A23"/>
    <w:rsid w:val="00654463"/>
    <w:rsid w:val="006606FE"/>
    <w:rsid w:val="006653E5"/>
    <w:rsid w:val="00665595"/>
    <w:rsid w:val="00672C6B"/>
    <w:rsid w:val="006767EE"/>
    <w:rsid w:val="00680CDA"/>
    <w:rsid w:val="00682268"/>
    <w:rsid w:val="00682406"/>
    <w:rsid w:val="00686631"/>
    <w:rsid w:val="006908E2"/>
    <w:rsid w:val="00690CD9"/>
    <w:rsid w:val="00691F20"/>
    <w:rsid w:val="00693543"/>
    <w:rsid w:val="0069377B"/>
    <w:rsid w:val="006942D1"/>
    <w:rsid w:val="0069592C"/>
    <w:rsid w:val="00695DB7"/>
    <w:rsid w:val="006A7392"/>
    <w:rsid w:val="006A7757"/>
    <w:rsid w:val="006A7B18"/>
    <w:rsid w:val="006A7DFD"/>
    <w:rsid w:val="006B1B5A"/>
    <w:rsid w:val="006B3416"/>
    <w:rsid w:val="006B34F0"/>
    <w:rsid w:val="006B3CA0"/>
    <w:rsid w:val="006B531B"/>
    <w:rsid w:val="006B6238"/>
    <w:rsid w:val="006B6AC8"/>
    <w:rsid w:val="006C16AC"/>
    <w:rsid w:val="006C2521"/>
    <w:rsid w:val="006C2F5D"/>
    <w:rsid w:val="006C6324"/>
    <w:rsid w:val="006C64F0"/>
    <w:rsid w:val="006C7A35"/>
    <w:rsid w:val="006D7053"/>
    <w:rsid w:val="006E0C64"/>
    <w:rsid w:val="006E16A5"/>
    <w:rsid w:val="006E18CD"/>
    <w:rsid w:val="006E3197"/>
    <w:rsid w:val="006E49FC"/>
    <w:rsid w:val="006E564B"/>
    <w:rsid w:val="006E5764"/>
    <w:rsid w:val="006E6C64"/>
    <w:rsid w:val="006F02D2"/>
    <w:rsid w:val="006F0395"/>
    <w:rsid w:val="006F4CE1"/>
    <w:rsid w:val="006F6A63"/>
    <w:rsid w:val="006F7152"/>
    <w:rsid w:val="007057D6"/>
    <w:rsid w:val="007107D8"/>
    <w:rsid w:val="0071248A"/>
    <w:rsid w:val="0071349F"/>
    <w:rsid w:val="00716C5A"/>
    <w:rsid w:val="00717623"/>
    <w:rsid w:val="00720DEB"/>
    <w:rsid w:val="0072106F"/>
    <w:rsid w:val="00721676"/>
    <w:rsid w:val="0072230A"/>
    <w:rsid w:val="00724C6E"/>
    <w:rsid w:val="0072632A"/>
    <w:rsid w:val="00727A68"/>
    <w:rsid w:val="00730F63"/>
    <w:rsid w:val="0073155D"/>
    <w:rsid w:val="00732654"/>
    <w:rsid w:val="007326E2"/>
    <w:rsid w:val="00733AAE"/>
    <w:rsid w:val="00734415"/>
    <w:rsid w:val="00734A5D"/>
    <w:rsid w:val="007361DA"/>
    <w:rsid w:val="00736FA4"/>
    <w:rsid w:val="007439EB"/>
    <w:rsid w:val="00744E85"/>
    <w:rsid w:val="00745882"/>
    <w:rsid w:val="007470AA"/>
    <w:rsid w:val="007506A8"/>
    <w:rsid w:val="0076103A"/>
    <w:rsid w:val="00761CB2"/>
    <w:rsid w:val="0076223F"/>
    <w:rsid w:val="007662FC"/>
    <w:rsid w:val="007673C7"/>
    <w:rsid w:val="00767CFD"/>
    <w:rsid w:val="0077450E"/>
    <w:rsid w:val="00781A60"/>
    <w:rsid w:val="00781B4B"/>
    <w:rsid w:val="00784208"/>
    <w:rsid w:val="00784F5A"/>
    <w:rsid w:val="0079208E"/>
    <w:rsid w:val="00792358"/>
    <w:rsid w:val="00792C45"/>
    <w:rsid w:val="00793314"/>
    <w:rsid w:val="00797F1D"/>
    <w:rsid w:val="007A0B22"/>
    <w:rsid w:val="007A2348"/>
    <w:rsid w:val="007A2ED9"/>
    <w:rsid w:val="007A5AA2"/>
    <w:rsid w:val="007A736C"/>
    <w:rsid w:val="007B3BF7"/>
    <w:rsid w:val="007B413A"/>
    <w:rsid w:val="007B6BA5"/>
    <w:rsid w:val="007C1201"/>
    <w:rsid w:val="007C3390"/>
    <w:rsid w:val="007C3C0D"/>
    <w:rsid w:val="007C3E38"/>
    <w:rsid w:val="007C4F4B"/>
    <w:rsid w:val="007C710E"/>
    <w:rsid w:val="007C7C5B"/>
    <w:rsid w:val="007D4D7A"/>
    <w:rsid w:val="007D6896"/>
    <w:rsid w:val="007E0557"/>
    <w:rsid w:val="007E0F73"/>
    <w:rsid w:val="007E2718"/>
    <w:rsid w:val="007E4E60"/>
    <w:rsid w:val="007F0B83"/>
    <w:rsid w:val="007F2302"/>
    <w:rsid w:val="007F414A"/>
    <w:rsid w:val="007F48EF"/>
    <w:rsid w:val="007F4FCD"/>
    <w:rsid w:val="007F6611"/>
    <w:rsid w:val="00807005"/>
    <w:rsid w:val="0080705C"/>
    <w:rsid w:val="0081004A"/>
    <w:rsid w:val="00811719"/>
    <w:rsid w:val="0081174F"/>
    <w:rsid w:val="008121E9"/>
    <w:rsid w:val="00815255"/>
    <w:rsid w:val="00815700"/>
    <w:rsid w:val="0081732C"/>
    <w:rsid w:val="008175E9"/>
    <w:rsid w:val="008242D7"/>
    <w:rsid w:val="00826F10"/>
    <w:rsid w:val="0082702F"/>
    <w:rsid w:val="00827E05"/>
    <w:rsid w:val="008308E6"/>
    <w:rsid w:val="008311A3"/>
    <w:rsid w:val="00836AF7"/>
    <w:rsid w:val="0084016C"/>
    <w:rsid w:val="0084467B"/>
    <w:rsid w:val="00850069"/>
    <w:rsid w:val="00851935"/>
    <w:rsid w:val="00853E9A"/>
    <w:rsid w:val="00857EB8"/>
    <w:rsid w:val="00861F83"/>
    <w:rsid w:val="00864A63"/>
    <w:rsid w:val="00871FD5"/>
    <w:rsid w:val="00877165"/>
    <w:rsid w:val="00882B2B"/>
    <w:rsid w:val="00883D22"/>
    <w:rsid w:val="00887F74"/>
    <w:rsid w:val="00891141"/>
    <w:rsid w:val="00893050"/>
    <w:rsid w:val="00893960"/>
    <w:rsid w:val="0089738F"/>
    <w:rsid w:val="008979B1"/>
    <w:rsid w:val="00897D5D"/>
    <w:rsid w:val="008A583E"/>
    <w:rsid w:val="008A6B25"/>
    <w:rsid w:val="008A6C4F"/>
    <w:rsid w:val="008A6DDA"/>
    <w:rsid w:val="008B2492"/>
    <w:rsid w:val="008B354D"/>
    <w:rsid w:val="008B50AB"/>
    <w:rsid w:val="008B5B4D"/>
    <w:rsid w:val="008B6E26"/>
    <w:rsid w:val="008D309F"/>
    <w:rsid w:val="008E0E46"/>
    <w:rsid w:val="008E1048"/>
    <w:rsid w:val="008E4C4C"/>
    <w:rsid w:val="008E5168"/>
    <w:rsid w:val="008F2E36"/>
    <w:rsid w:val="008F4575"/>
    <w:rsid w:val="008F5985"/>
    <w:rsid w:val="008F6FE3"/>
    <w:rsid w:val="0090012A"/>
    <w:rsid w:val="00904AD9"/>
    <w:rsid w:val="00907AD2"/>
    <w:rsid w:val="00911047"/>
    <w:rsid w:val="00915107"/>
    <w:rsid w:val="00917E75"/>
    <w:rsid w:val="00921AB9"/>
    <w:rsid w:val="00923EBB"/>
    <w:rsid w:val="009302FB"/>
    <w:rsid w:val="0094089A"/>
    <w:rsid w:val="00944E97"/>
    <w:rsid w:val="009464AD"/>
    <w:rsid w:val="00947761"/>
    <w:rsid w:val="00950624"/>
    <w:rsid w:val="009507CF"/>
    <w:rsid w:val="0095165C"/>
    <w:rsid w:val="00951A9B"/>
    <w:rsid w:val="0096014D"/>
    <w:rsid w:val="00961A01"/>
    <w:rsid w:val="00963CBA"/>
    <w:rsid w:val="009650E6"/>
    <w:rsid w:val="00965574"/>
    <w:rsid w:val="00965932"/>
    <w:rsid w:val="00971BB4"/>
    <w:rsid w:val="009725FB"/>
    <w:rsid w:val="00974A8D"/>
    <w:rsid w:val="00976E2F"/>
    <w:rsid w:val="00982533"/>
    <w:rsid w:val="00986735"/>
    <w:rsid w:val="00987400"/>
    <w:rsid w:val="0099001C"/>
    <w:rsid w:val="00990310"/>
    <w:rsid w:val="00990E36"/>
    <w:rsid w:val="00991261"/>
    <w:rsid w:val="00993414"/>
    <w:rsid w:val="00994614"/>
    <w:rsid w:val="009949B5"/>
    <w:rsid w:val="00994D24"/>
    <w:rsid w:val="009959AF"/>
    <w:rsid w:val="0099623E"/>
    <w:rsid w:val="00996436"/>
    <w:rsid w:val="009A1558"/>
    <w:rsid w:val="009A1717"/>
    <w:rsid w:val="009A276C"/>
    <w:rsid w:val="009B0638"/>
    <w:rsid w:val="009B0B0F"/>
    <w:rsid w:val="009B102B"/>
    <w:rsid w:val="009B1B85"/>
    <w:rsid w:val="009B7011"/>
    <w:rsid w:val="009B73DD"/>
    <w:rsid w:val="009C127C"/>
    <w:rsid w:val="009C12F6"/>
    <w:rsid w:val="009C21BE"/>
    <w:rsid w:val="009D26EF"/>
    <w:rsid w:val="009D555E"/>
    <w:rsid w:val="009E0FCB"/>
    <w:rsid w:val="009E2F92"/>
    <w:rsid w:val="009E46E9"/>
    <w:rsid w:val="009E4994"/>
    <w:rsid w:val="009E5D6A"/>
    <w:rsid w:val="009F05E1"/>
    <w:rsid w:val="009F0F7F"/>
    <w:rsid w:val="009F1B31"/>
    <w:rsid w:val="009F1D14"/>
    <w:rsid w:val="009F2530"/>
    <w:rsid w:val="009F3A17"/>
    <w:rsid w:val="009F3D53"/>
    <w:rsid w:val="009F4066"/>
    <w:rsid w:val="009F40EE"/>
    <w:rsid w:val="009F427D"/>
    <w:rsid w:val="009F4654"/>
    <w:rsid w:val="00A00230"/>
    <w:rsid w:val="00A01958"/>
    <w:rsid w:val="00A02F4C"/>
    <w:rsid w:val="00A04A70"/>
    <w:rsid w:val="00A10E05"/>
    <w:rsid w:val="00A136E8"/>
    <w:rsid w:val="00A13A7A"/>
    <w:rsid w:val="00A1427D"/>
    <w:rsid w:val="00A14D06"/>
    <w:rsid w:val="00A166F2"/>
    <w:rsid w:val="00A1753F"/>
    <w:rsid w:val="00A17D12"/>
    <w:rsid w:val="00A2158F"/>
    <w:rsid w:val="00A22D6B"/>
    <w:rsid w:val="00A230AE"/>
    <w:rsid w:val="00A31083"/>
    <w:rsid w:val="00A31356"/>
    <w:rsid w:val="00A32DB8"/>
    <w:rsid w:val="00A34B13"/>
    <w:rsid w:val="00A37265"/>
    <w:rsid w:val="00A426FB"/>
    <w:rsid w:val="00A448E2"/>
    <w:rsid w:val="00A47476"/>
    <w:rsid w:val="00A504F4"/>
    <w:rsid w:val="00A51337"/>
    <w:rsid w:val="00A55FB2"/>
    <w:rsid w:val="00A56CAF"/>
    <w:rsid w:val="00A57424"/>
    <w:rsid w:val="00A57C03"/>
    <w:rsid w:val="00A6090C"/>
    <w:rsid w:val="00A60B20"/>
    <w:rsid w:val="00A650E9"/>
    <w:rsid w:val="00A677E3"/>
    <w:rsid w:val="00A71C04"/>
    <w:rsid w:val="00A72F22"/>
    <w:rsid w:val="00A73939"/>
    <w:rsid w:val="00A748A6"/>
    <w:rsid w:val="00A80459"/>
    <w:rsid w:val="00A805EB"/>
    <w:rsid w:val="00A80F63"/>
    <w:rsid w:val="00A84108"/>
    <w:rsid w:val="00A84E01"/>
    <w:rsid w:val="00A8573F"/>
    <w:rsid w:val="00A8760B"/>
    <w:rsid w:val="00A87771"/>
    <w:rsid w:val="00A879A4"/>
    <w:rsid w:val="00A90064"/>
    <w:rsid w:val="00A9364F"/>
    <w:rsid w:val="00AA3853"/>
    <w:rsid w:val="00AA3854"/>
    <w:rsid w:val="00AA38B2"/>
    <w:rsid w:val="00AA496B"/>
    <w:rsid w:val="00AB19FE"/>
    <w:rsid w:val="00AB533E"/>
    <w:rsid w:val="00AB5EF7"/>
    <w:rsid w:val="00AC12C1"/>
    <w:rsid w:val="00AC5C02"/>
    <w:rsid w:val="00AC6A2A"/>
    <w:rsid w:val="00AC6CF5"/>
    <w:rsid w:val="00AC7E2D"/>
    <w:rsid w:val="00AD0BDD"/>
    <w:rsid w:val="00AD275E"/>
    <w:rsid w:val="00AD2BAE"/>
    <w:rsid w:val="00AD30B7"/>
    <w:rsid w:val="00AD6396"/>
    <w:rsid w:val="00AD67E3"/>
    <w:rsid w:val="00AE3D49"/>
    <w:rsid w:val="00AE460C"/>
    <w:rsid w:val="00AE5CB1"/>
    <w:rsid w:val="00AE5F9C"/>
    <w:rsid w:val="00AE71F3"/>
    <w:rsid w:val="00AF2F27"/>
    <w:rsid w:val="00AF39DD"/>
    <w:rsid w:val="00AF3DD5"/>
    <w:rsid w:val="00AF5A3B"/>
    <w:rsid w:val="00AF74FC"/>
    <w:rsid w:val="00B0106F"/>
    <w:rsid w:val="00B02E43"/>
    <w:rsid w:val="00B150D8"/>
    <w:rsid w:val="00B24BD4"/>
    <w:rsid w:val="00B30179"/>
    <w:rsid w:val="00B30D47"/>
    <w:rsid w:val="00B30E8F"/>
    <w:rsid w:val="00B32782"/>
    <w:rsid w:val="00B33EC0"/>
    <w:rsid w:val="00B40837"/>
    <w:rsid w:val="00B46FEC"/>
    <w:rsid w:val="00B52233"/>
    <w:rsid w:val="00B5428F"/>
    <w:rsid w:val="00B543C9"/>
    <w:rsid w:val="00B60F83"/>
    <w:rsid w:val="00B71E0B"/>
    <w:rsid w:val="00B724A0"/>
    <w:rsid w:val="00B735E2"/>
    <w:rsid w:val="00B75675"/>
    <w:rsid w:val="00B76F60"/>
    <w:rsid w:val="00B776DF"/>
    <w:rsid w:val="00B80297"/>
    <w:rsid w:val="00B80CCF"/>
    <w:rsid w:val="00B81E12"/>
    <w:rsid w:val="00B825CA"/>
    <w:rsid w:val="00B82861"/>
    <w:rsid w:val="00B8484B"/>
    <w:rsid w:val="00B90CA2"/>
    <w:rsid w:val="00B91C47"/>
    <w:rsid w:val="00B963D4"/>
    <w:rsid w:val="00B9730B"/>
    <w:rsid w:val="00B97D28"/>
    <w:rsid w:val="00BA4F5C"/>
    <w:rsid w:val="00BB1B26"/>
    <w:rsid w:val="00BB335B"/>
    <w:rsid w:val="00BB7681"/>
    <w:rsid w:val="00BC74E9"/>
    <w:rsid w:val="00BC7805"/>
    <w:rsid w:val="00BD1504"/>
    <w:rsid w:val="00BD1EA1"/>
    <w:rsid w:val="00BD2146"/>
    <w:rsid w:val="00BD2A17"/>
    <w:rsid w:val="00BD65B6"/>
    <w:rsid w:val="00BE4F74"/>
    <w:rsid w:val="00BE59FB"/>
    <w:rsid w:val="00BE618E"/>
    <w:rsid w:val="00BF414D"/>
    <w:rsid w:val="00BF4542"/>
    <w:rsid w:val="00BF6809"/>
    <w:rsid w:val="00C01530"/>
    <w:rsid w:val="00C040C4"/>
    <w:rsid w:val="00C11757"/>
    <w:rsid w:val="00C164A6"/>
    <w:rsid w:val="00C17699"/>
    <w:rsid w:val="00C1778D"/>
    <w:rsid w:val="00C21B2E"/>
    <w:rsid w:val="00C21C71"/>
    <w:rsid w:val="00C22EE1"/>
    <w:rsid w:val="00C232DC"/>
    <w:rsid w:val="00C31445"/>
    <w:rsid w:val="00C3770A"/>
    <w:rsid w:val="00C41A28"/>
    <w:rsid w:val="00C43228"/>
    <w:rsid w:val="00C463DD"/>
    <w:rsid w:val="00C465B5"/>
    <w:rsid w:val="00C51676"/>
    <w:rsid w:val="00C51B20"/>
    <w:rsid w:val="00C52634"/>
    <w:rsid w:val="00C544E7"/>
    <w:rsid w:val="00C5653C"/>
    <w:rsid w:val="00C56F3F"/>
    <w:rsid w:val="00C575D4"/>
    <w:rsid w:val="00C5783A"/>
    <w:rsid w:val="00C6210B"/>
    <w:rsid w:val="00C62212"/>
    <w:rsid w:val="00C6256B"/>
    <w:rsid w:val="00C63D37"/>
    <w:rsid w:val="00C6484F"/>
    <w:rsid w:val="00C717F1"/>
    <w:rsid w:val="00C73FDB"/>
    <w:rsid w:val="00C745C3"/>
    <w:rsid w:val="00C81317"/>
    <w:rsid w:val="00C8562E"/>
    <w:rsid w:val="00C86AA8"/>
    <w:rsid w:val="00C86EEF"/>
    <w:rsid w:val="00C92FE0"/>
    <w:rsid w:val="00C945EB"/>
    <w:rsid w:val="00C97671"/>
    <w:rsid w:val="00CA2305"/>
    <w:rsid w:val="00CA6496"/>
    <w:rsid w:val="00CA6D6B"/>
    <w:rsid w:val="00CB1749"/>
    <w:rsid w:val="00CB3C6A"/>
    <w:rsid w:val="00CC028C"/>
    <w:rsid w:val="00CC4CCF"/>
    <w:rsid w:val="00CC65B7"/>
    <w:rsid w:val="00CD049B"/>
    <w:rsid w:val="00CD1C5B"/>
    <w:rsid w:val="00CD38DF"/>
    <w:rsid w:val="00CD3BE4"/>
    <w:rsid w:val="00CD3E32"/>
    <w:rsid w:val="00CD6C80"/>
    <w:rsid w:val="00CD7685"/>
    <w:rsid w:val="00CD7D8E"/>
    <w:rsid w:val="00CE10F6"/>
    <w:rsid w:val="00CE3620"/>
    <w:rsid w:val="00CE4865"/>
    <w:rsid w:val="00CE4A8F"/>
    <w:rsid w:val="00CE6E0A"/>
    <w:rsid w:val="00CE7F1C"/>
    <w:rsid w:val="00CF17F6"/>
    <w:rsid w:val="00CF1B7E"/>
    <w:rsid w:val="00CF22A3"/>
    <w:rsid w:val="00CF3AA2"/>
    <w:rsid w:val="00CF6AE6"/>
    <w:rsid w:val="00D03FFD"/>
    <w:rsid w:val="00D04557"/>
    <w:rsid w:val="00D04E00"/>
    <w:rsid w:val="00D055EB"/>
    <w:rsid w:val="00D0666B"/>
    <w:rsid w:val="00D071D0"/>
    <w:rsid w:val="00D15E6E"/>
    <w:rsid w:val="00D16719"/>
    <w:rsid w:val="00D175BA"/>
    <w:rsid w:val="00D2031B"/>
    <w:rsid w:val="00D20D65"/>
    <w:rsid w:val="00D22C96"/>
    <w:rsid w:val="00D23216"/>
    <w:rsid w:val="00D25302"/>
    <w:rsid w:val="00D25E17"/>
    <w:rsid w:val="00D25FE2"/>
    <w:rsid w:val="00D27AEC"/>
    <w:rsid w:val="00D317BB"/>
    <w:rsid w:val="00D32A5A"/>
    <w:rsid w:val="00D350A0"/>
    <w:rsid w:val="00D35D8F"/>
    <w:rsid w:val="00D36906"/>
    <w:rsid w:val="00D37411"/>
    <w:rsid w:val="00D40F32"/>
    <w:rsid w:val="00D426DB"/>
    <w:rsid w:val="00D43252"/>
    <w:rsid w:val="00D50D80"/>
    <w:rsid w:val="00D55E97"/>
    <w:rsid w:val="00D62155"/>
    <w:rsid w:val="00D63812"/>
    <w:rsid w:val="00D63881"/>
    <w:rsid w:val="00D639EB"/>
    <w:rsid w:val="00D63E78"/>
    <w:rsid w:val="00D64CC6"/>
    <w:rsid w:val="00D654C2"/>
    <w:rsid w:val="00D6703D"/>
    <w:rsid w:val="00D67677"/>
    <w:rsid w:val="00D67894"/>
    <w:rsid w:val="00D700AD"/>
    <w:rsid w:val="00D727A9"/>
    <w:rsid w:val="00D72DA4"/>
    <w:rsid w:val="00D7387D"/>
    <w:rsid w:val="00D7613C"/>
    <w:rsid w:val="00D80C88"/>
    <w:rsid w:val="00D833D0"/>
    <w:rsid w:val="00D87BB9"/>
    <w:rsid w:val="00D978C6"/>
    <w:rsid w:val="00D979F5"/>
    <w:rsid w:val="00D97A43"/>
    <w:rsid w:val="00DA0723"/>
    <w:rsid w:val="00DA1089"/>
    <w:rsid w:val="00DA284A"/>
    <w:rsid w:val="00DA3873"/>
    <w:rsid w:val="00DA3D30"/>
    <w:rsid w:val="00DA5706"/>
    <w:rsid w:val="00DA67AD"/>
    <w:rsid w:val="00DB2139"/>
    <w:rsid w:val="00DB4CDB"/>
    <w:rsid w:val="00DB5D0F"/>
    <w:rsid w:val="00DC0FBB"/>
    <w:rsid w:val="00DC1F4B"/>
    <w:rsid w:val="00DC2036"/>
    <w:rsid w:val="00DC3242"/>
    <w:rsid w:val="00DD2C3E"/>
    <w:rsid w:val="00DD3925"/>
    <w:rsid w:val="00DD525E"/>
    <w:rsid w:val="00DD70D1"/>
    <w:rsid w:val="00DE1167"/>
    <w:rsid w:val="00DE167F"/>
    <w:rsid w:val="00DE2EE7"/>
    <w:rsid w:val="00DE3781"/>
    <w:rsid w:val="00DE7F20"/>
    <w:rsid w:val="00DF03A4"/>
    <w:rsid w:val="00DF059F"/>
    <w:rsid w:val="00DF12F7"/>
    <w:rsid w:val="00DF1C69"/>
    <w:rsid w:val="00DF2C64"/>
    <w:rsid w:val="00DF6FA5"/>
    <w:rsid w:val="00E024BA"/>
    <w:rsid w:val="00E02C27"/>
    <w:rsid w:val="00E02C81"/>
    <w:rsid w:val="00E0428F"/>
    <w:rsid w:val="00E04A75"/>
    <w:rsid w:val="00E06EAB"/>
    <w:rsid w:val="00E104A9"/>
    <w:rsid w:val="00E120AF"/>
    <w:rsid w:val="00E130AB"/>
    <w:rsid w:val="00E131DD"/>
    <w:rsid w:val="00E137B8"/>
    <w:rsid w:val="00E14501"/>
    <w:rsid w:val="00E21221"/>
    <w:rsid w:val="00E21963"/>
    <w:rsid w:val="00E21BBE"/>
    <w:rsid w:val="00E22E6E"/>
    <w:rsid w:val="00E2519A"/>
    <w:rsid w:val="00E25D0C"/>
    <w:rsid w:val="00E266F3"/>
    <w:rsid w:val="00E26C00"/>
    <w:rsid w:val="00E27E33"/>
    <w:rsid w:val="00E31C87"/>
    <w:rsid w:val="00E3393A"/>
    <w:rsid w:val="00E34740"/>
    <w:rsid w:val="00E36A82"/>
    <w:rsid w:val="00E40C85"/>
    <w:rsid w:val="00E40F55"/>
    <w:rsid w:val="00E421B7"/>
    <w:rsid w:val="00E458FC"/>
    <w:rsid w:val="00E46312"/>
    <w:rsid w:val="00E46DE6"/>
    <w:rsid w:val="00E54C89"/>
    <w:rsid w:val="00E55B0F"/>
    <w:rsid w:val="00E57CFD"/>
    <w:rsid w:val="00E6485D"/>
    <w:rsid w:val="00E665B1"/>
    <w:rsid w:val="00E66CF7"/>
    <w:rsid w:val="00E677EC"/>
    <w:rsid w:val="00E70DF5"/>
    <w:rsid w:val="00E7260F"/>
    <w:rsid w:val="00E72804"/>
    <w:rsid w:val="00E762B0"/>
    <w:rsid w:val="00E77D00"/>
    <w:rsid w:val="00E804BE"/>
    <w:rsid w:val="00E80DD1"/>
    <w:rsid w:val="00E80F5F"/>
    <w:rsid w:val="00E81B89"/>
    <w:rsid w:val="00E82B4A"/>
    <w:rsid w:val="00E87921"/>
    <w:rsid w:val="00E9403F"/>
    <w:rsid w:val="00E95364"/>
    <w:rsid w:val="00E96630"/>
    <w:rsid w:val="00EA2115"/>
    <w:rsid w:val="00EA264E"/>
    <w:rsid w:val="00EA3A41"/>
    <w:rsid w:val="00EA612C"/>
    <w:rsid w:val="00EA678D"/>
    <w:rsid w:val="00EB0C6E"/>
    <w:rsid w:val="00EB30AB"/>
    <w:rsid w:val="00EB4B49"/>
    <w:rsid w:val="00ED0B36"/>
    <w:rsid w:val="00ED1541"/>
    <w:rsid w:val="00ED344B"/>
    <w:rsid w:val="00ED499E"/>
    <w:rsid w:val="00ED6DFA"/>
    <w:rsid w:val="00ED71D9"/>
    <w:rsid w:val="00ED7A2A"/>
    <w:rsid w:val="00EE3ACE"/>
    <w:rsid w:val="00EE7E6D"/>
    <w:rsid w:val="00EF17EB"/>
    <w:rsid w:val="00EF1D7F"/>
    <w:rsid w:val="00EF358F"/>
    <w:rsid w:val="00F012BE"/>
    <w:rsid w:val="00F0166B"/>
    <w:rsid w:val="00F02CCD"/>
    <w:rsid w:val="00F05CA3"/>
    <w:rsid w:val="00F064BC"/>
    <w:rsid w:val="00F07968"/>
    <w:rsid w:val="00F124A0"/>
    <w:rsid w:val="00F127B1"/>
    <w:rsid w:val="00F24D6E"/>
    <w:rsid w:val="00F33F07"/>
    <w:rsid w:val="00F34A88"/>
    <w:rsid w:val="00F37663"/>
    <w:rsid w:val="00F40D25"/>
    <w:rsid w:val="00F415F9"/>
    <w:rsid w:val="00F41CFC"/>
    <w:rsid w:val="00F440DD"/>
    <w:rsid w:val="00F451D9"/>
    <w:rsid w:val="00F452A5"/>
    <w:rsid w:val="00F47732"/>
    <w:rsid w:val="00F50569"/>
    <w:rsid w:val="00F53EDA"/>
    <w:rsid w:val="00F57205"/>
    <w:rsid w:val="00F57837"/>
    <w:rsid w:val="00F600EF"/>
    <w:rsid w:val="00F61319"/>
    <w:rsid w:val="00F61CAA"/>
    <w:rsid w:val="00F64BCC"/>
    <w:rsid w:val="00F712FB"/>
    <w:rsid w:val="00F71C6C"/>
    <w:rsid w:val="00F726A8"/>
    <w:rsid w:val="00F73015"/>
    <w:rsid w:val="00F7753D"/>
    <w:rsid w:val="00F85F34"/>
    <w:rsid w:val="00F903D4"/>
    <w:rsid w:val="00F90657"/>
    <w:rsid w:val="00F911C3"/>
    <w:rsid w:val="00F92A9B"/>
    <w:rsid w:val="00F94D9D"/>
    <w:rsid w:val="00F95D52"/>
    <w:rsid w:val="00FA06F7"/>
    <w:rsid w:val="00FA0FC0"/>
    <w:rsid w:val="00FA13A2"/>
    <w:rsid w:val="00FA2ED9"/>
    <w:rsid w:val="00FA6214"/>
    <w:rsid w:val="00FB171A"/>
    <w:rsid w:val="00FB4017"/>
    <w:rsid w:val="00FB7A7B"/>
    <w:rsid w:val="00FC09B8"/>
    <w:rsid w:val="00FC0D04"/>
    <w:rsid w:val="00FC0DEE"/>
    <w:rsid w:val="00FC2A48"/>
    <w:rsid w:val="00FC4E3B"/>
    <w:rsid w:val="00FC68B7"/>
    <w:rsid w:val="00FC6DFC"/>
    <w:rsid w:val="00FD10AB"/>
    <w:rsid w:val="00FD27F5"/>
    <w:rsid w:val="00FD4F7E"/>
    <w:rsid w:val="00FD7BF6"/>
    <w:rsid w:val="00FF2251"/>
    <w:rsid w:val="00FF71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4E7D61"/>
  <w15:docId w15:val="{1C8FCC14-8F81-4A81-87F3-87BC7523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rsid w:val="006A7757"/>
    <w:rPr>
      <w:sz w:val="18"/>
      <w:lang w:eastAsia="en-US"/>
    </w:rPr>
  </w:style>
  <w:style w:type="table" w:customStyle="1" w:styleId="TableGrid1">
    <w:name w:val="Table Grid1"/>
    <w:basedOn w:val="TableNormal"/>
    <w:next w:val="TableGrid"/>
    <w:rsid w:val="0096593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80C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80CCF"/>
    <w:rPr>
      <w:rFonts w:ascii="Segoe UI" w:hAnsi="Segoe UI" w:cs="Segoe UI"/>
      <w:sz w:val="18"/>
      <w:szCs w:val="18"/>
      <w:lang w:eastAsia="en-US"/>
    </w:rPr>
  </w:style>
  <w:style w:type="character" w:styleId="CommentReference">
    <w:name w:val="annotation reference"/>
    <w:basedOn w:val="DefaultParagraphFont"/>
    <w:semiHidden/>
    <w:unhideWhenUsed/>
    <w:rsid w:val="00A2158F"/>
    <w:rPr>
      <w:sz w:val="16"/>
      <w:szCs w:val="16"/>
    </w:rPr>
  </w:style>
  <w:style w:type="paragraph" w:styleId="CommentText">
    <w:name w:val="annotation text"/>
    <w:basedOn w:val="Normal"/>
    <w:link w:val="CommentTextChar"/>
    <w:semiHidden/>
    <w:unhideWhenUsed/>
    <w:rsid w:val="00A2158F"/>
    <w:pPr>
      <w:spacing w:line="240" w:lineRule="auto"/>
    </w:pPr>
  </w:style>
  <w:style w:type="character" w:customStyle="1" w:styleId="CommentTextChar">
    <w:name w:val="Comment Text Char"/>
    <w:basedOn w:val="DefaultParagraphFont"/>
    <w:link w:val="CommentText"/>
    <w:semiHidden/>
    <w:rsid w:val="00A2158F"/>
    <w:rPr>
      <w:lang w:eastAsia="en-US"/>
    </w:rPr>
  </w:style>
  <w:style w:type="paragraph" w:styleId="CommentSubject">
    <w:name w:val="annotation subject"/>
    <w:basedOn w:val="CommentText"/>
    <w:next w:val="CommentText"/>
    <w:link w:val="CommentSubjectChar"/>
    <w:semiHidden/>
    <w:unhideWhenUsed/>
    <w:rsid w:val="00A2158F"/>
    <w:rPr>
      <w:b/>
      <w:bCs/>
    </w:rPr>
  </w:style>
  <w:style w:type="character" w:customStyle="1" w:styleId="CommentSubjectChar">
    <w:name w:val="Comment Subject Char"/>
    <w:basedOn w:val="CommentTextChar"/>
    <w:link w:val="CommentSubject"/>
    <w:semiHidden/>
    <w:rsid w:val="00A2158F"/>
    <w:rPr>
      <w:b/>
      <w:bCs/>
      <w:lang w:eastAsia="en-US"/>
    </w:rPr>
  </w:style>
  <w:style w:type="paragraph" w:customStyle="1" w:styleId="Default">
    <w:name w:val="Default"/>
    <w:rsid w:val="00C21C71"/>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5A3BFC"/>
    <w:pPr>
      <w:ind w:left="720"/>
      <w:contextualSpacing/>
    </w:pPr>
  </w:style>
  <w:style w:type="paragraph" w:styleId="PlainText">
    <w:name w:val="Plain Text"/>
    <w:basedOn w:val="Normal"/>
    <w:link w:val="PlainTextChar"/>
    <w:uiPriority w:val="99"/>
    <w:unhideWhenUsed/>
    <w:rsid w:val="000F599C"/>
    <w:pPr>
      <w:suppressAutoHyphens w:val="0"/>
      <w:spacing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F599C"/>
    <w:rPr>
      <w:rFonts w:ascii="Calibri" w:eastAsiaTheme="minorHAnsi" w:hAnsi="Calibri" w:cs="Consolas"/>
      <w:sz w:val="22"/>
      <w:szCs w:val="21"/>
      <w:lang w:eastAsia="en-US"/>
    </w:rPr>
  </w:style>
  <w:style w:type="character" w:customStyle="1" w:styleId="UnresolvedMention1">
    <w:name w:val="Unresolved Mention1"/>
    <w:basedOn w:val="DefaultParagraphFont"/>
    <w:uiPriority w:val="99"/>
    <w:semiHidden/>
    <w:unhideWhenUsed/>
    <w:rsid w:val="00E024BA"/>
    <w:rPr>
      <w:color w:val="605E5C"/>
      <w:shd w:val="clear" w:color="auto" w:fill="E1DFDD"/>
    </w:rPr>
  </w:style>
  <w:style w:type="paragraph" w:styleId="Revision">
    <w:name w:val="Revision"/>
    <w:hidden/>
    <w:uiPriority w:val="99"/>
    <w:semiHidden/>
    <w:rsid w:val="00732654"/>
    <w:rPr>
      <w:lang w:eastAsia="en-US"/>
    </w:rPr>
  </w:style>
  <w:style w:type="character" w:customStyle="1" w:styleId="SingleTxtGCar">
    <w:name w:val="_ Single Txt_G Car"/>
    <w:rsid w:val="005745F6"/>
    <w:rPr>
      <w:lang w:eastAsia="en-US"/>
    </w:rPr>
  </w:style>
  <w:style w:type="character" w:customStyle="1" w:styleId="H1GChar">
    <w:name w:val="_ H_1_G Char"/>
    <w:link w:val="H1G"/>
    <w:rsid w:val="005745F6"/>
    <w:rPr>
      <w:b/>
      <w:sz w:val="24"/>
      <w:lang w:eastAsia="en-US"/>
    </w:rPr>
  </w:style>
  <w:style w:type="paragraph" w:customStyle="1" w:styleId="SingleTxt">
    <w:name w:val="__Single Txt"/>
    <w:basedOn w:val="Normal"/>
    <w:rsid w:val="00F0166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character" w:styleId="UnresolvedMention">
    <w:name w:val="Unresolved Mention"/>
    <w:basedOn w:val="DefaultParagraphFont"/>
    <w:uiPriority w:val="99"/>
    <w:semiHidden/>
    <w:unhideWhenUsed/>
    <w:rsid w:val="006012AB"/>
    <w:rPr>
      <w:color w:val="605E5C"/>
      <w:shd w:val="clear" w:color="auto" w:fill="E1DFDD"/>
    </w:rPr>
  </w:style>
  <w:style w:type="character" w:styleId="Strong">
    <w:name w:val="Strong"/>
    <w:basedOn w:val="DefaultParagraphFont"/>
    <w:uiPriority w:val="22"/>
    <w:qFormat/>
    <w:rsid w:val="002E2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47106">
      <w:bodyDiv w:val="1"/>
      <w:marLeft w:val="0"/>
      <w:marRight w:val="0"/>
      <w:marTop w:val="0"/>
      <w:marBottom w:val="0"/>
      <w:divBdr>
        <w:top w:val="none" w:sz="0" w:space="0" w:color="auto"/>
        <w:left w:val="none" w:sz="0" w:space="0" w:color="auto"/>
        <w:bottom w:val="none" w:sz="0" w:space="0" w:color="auto"/>
        <w:right w:val="none" w:sz="0" w:space="0" w:color="auto"/>
      </w:divBdr>
    </w:div>
    <w:div w:id="563641561">
      <w:bodyDiv w:val="1"/>
      <w:marLeft w:val="0"/>
      <w:marRight w:val="0"/>
      <w:marTop w:val="0"/>
      <w:marBottom w:val="0"/>
      <w:divBdr>
        <w:top w:val="none" w:sz="0" w:space="0" w:color="auto"/>
        <w:left w:val="none" w:sz="0" w:space="0" w:color="auto"/>
        <w:bottom w:val="none" w:sz="0" w:space="0" w:color="auto"/>
        <w:right w:val="none" w:sz="0" w:space="0" w:color="auto"/>
      </w:divBdr>
    </w:div>
    <w:div w:id="1435974636">
      <w:bodyDiv w:val="1"/>
      <w:marLeft w:val="0"/>
      <w:marRight w:val="0"/>
      <w:marTop w:val="0"/>
      <w:marBottom w:val="0"/>
      <w:divBdr>
        <w:top w:val="none" w:sz="0" w:space="0" w:color="auto"/>
        <w:left w:val="none" w:sz="0" w:space="0" w:color="auto"/>
        <w:bottom w:val="none" w:sz="0" w:space="0" w:color="auto"/>
        <w:right w:val="none" w:sz="0" w:space="0" w:color="auto"/>
      </w:divBdr>
    </w:div>
    <w:div w:id="1801068081">
      <w:bodyDiv w:val="1"/>
      <w:marLeft w:val="0"/>
      <w:marRight w:val="0"/>
      <w:marTop w:val="0"/>
      <w:marBottom w:val="0"/>
      <w:divBdr>
        <w:top w:val="none" w:sz="0" w:space="0" w:color="auto"/>
        <w:left w:val="none" w:sz="0" w:space="0" w:color="auto"/>
        <w:bottom w:val="none" w:sz="0" w:space="0" w:color="auto"/>
        <w:right w:val="none" w:sz="0" w:space="0" w:color="auto"/>
      </w:divBdr>
    </w:div>
    <w:div w:id="19232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6CED-1725-4CB2-8183-7D31F935E5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929778-5BA2-44A3-820E-ABAED5080E92}"/>
</file>

<file path=customXml/itemProps3.xml><?xml version="1.0" encoding="utf-8"?>
<ds:datastoreItem xmlns:ds="http://schemas.openxmlformats.org/officeDocument/2006/customXml" ds:itemID="{33D3B00F-B97A-4A7F-8CB9-D959CD62CF91}">
  <ds:schemaRefs>
    <ds:schemaRef ds:uri="http://schemas.microsoft.com/sharepoint/v3/contenttype/forms"/>
  </ds:schemaRefs>
</ds:datastoreItem>
</file>

<file path=customXml/itemProps4.xml><?xml version="1.0" encoding="utf-8"?>
<ds:datastoreItem xmlns:ds="http://schemas.openxmlformats.org/officeDocument/2006/customXml" ds:itemID="{20262E50-250F-48E4-A135-623262EE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1375</TotalTime>
  <Pages>2</Pages>
  <Words>639</Words>
  <Characters>3647</Characters>
  <Application>Microsoft Office Word</Application>
  <DocSecurity>0</DocSecurity>
  <Lines>30</Lines>
  <Paragraphs>8</Paragraphs>
  <ScaleCrop>false</ScaleCrop>
  <HeadingPairs>
    <vt:vector size="8" baseType="variant">
      <vt:variant>
        <vt:lpstr>Title</vt:lpstr>
      </vt:variant>
      <vt:variant>
        <vt:i4>1</vt:i4>
      </vt:variant>
      <vt:variant>
        <vt:lpstr>Headings</vt:lpstr>
      </vt:variant>
      <vt:variant>
        <vt:i4>2</vt:i4>
      </vt:variant>
      <vt:variant>
        <vt:lpstr>Otsikko</vt:lpstr>
      </vt:variant>
      <vt:variant>
        <vt:i4>1</vt:i4>
      </vt:variant>
      <vt:variant>
        <vt:lpstr>Titre</vt:lpstr>
      </vt:variant>
      <vt:variant>
        <vt:i4>1</vt:i4>
      </vt:variant>
    </vt:vector>
  </HeadingPairs>
  <TitlesOfParts>
    <vt:vector size="5" baseType="lpstr">
      <vt:lpstr>UN/SCEGHS/19/INF</vt:lpstr>
      <vt:lpstr>Implementation by country/region</vt:lpstr>
      <vt:lpstr>[to be completed]</vt:lpstr>
      <vt:lpstr>UN/SCEGHS/19/INF</vt:lpstr>
      <vt:lpstr>UN/SCEGHS/19/INF</vt:lpstr>
    </vt:vector>
  </TitlesOfParts>
  <Company>CSD</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UN/SCEGHS/19/INF</dc:title>
  <dc:creator>Garcia_Couto</dc:creator>
  <cp:lastModifiedBy>Laurence Berthet</cp:lastModifiedBy>
  <cp:revision>604</cp:revision>
  <cp:lastPrinted>2020-12-02T09:57:00Z</cp:lastPrinted>
  <dcterms:created xsi:type="dcterms:W3CDTF">2020-10-21T05:53:00Z</dcterms:created>
  <dcterms:modified xsi:type="dcterms:W3CDTF">2020-12-08T18:55:00Z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_dlc_DocIdItemGuid">
    <vt:lpwstr>5ea73172-9699-4f99-bdd8-2bbfd8c4f413</vt:lpwstr>
  </property>
  <property fmtid="{D5CDD505-2E9C-101B-9397-08002B2CF9AE}" pid="4" name="Julkisuusluokka metatiedot">
    <vt:lpwstr/>
  </property>
  <property fmtid="{D5CDD505-2E9C-101B-9397-08002B2CF9AE}" pid="5" name="TukesAliprosessi">
    <vt:lpwstr/>
  </property>
  <property fmtid="{D5CDD505-2E9C-101B-9397-08002B2CF9AE}" pid="6" name="TukesYksikko">
    <vt:lpwstr>1;#Kemikaalit|0942c221-4d4d-461d-93ae-771caa12d25c</vt:lpwstr>
  </property>
  <property fmtid="{D5CDD505-2E9C-101B-9397-08002B2CF9AE}" pid="7" name="TukesProsessi">
    <vt:lpwstr/>
  </property>
  <property fmtid="{D5CDD505-2E9C-101B-9397-08002B2CF9AE}" pid="8" name="TukesRyhma">
    <vt:lpwstr>2;#Teollisuuskemikaalit|0bd4db02-3435-4ac2-8af6-66ffb14a4002</vt:lpwstr>
  </property>
  <property fmtid="{D5CDD505-2E9C-101B-9397-08002B2CF9AE}" pid="9" name="Suojaustaso metatiedot">
    <vt:lpwstr/>
  </property>
</Properties>
</file>