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682"/>
        <w:gridCol w:w="1858"/>
        <w:gridCol w:w="2819"/>
      </w:tblGrid>
      <w:tr w:rsidR="002D5AAC" w14:paraId="1C91C622" w14:textId="77777777" w:rsidTr="00D5211F">
        <w:trPr>
          <w:trHeight w:hRule="exact" w:val="851"/>
        </w:trPr>
        <w:tc>
          <w:tcPr>
            <w:tcW w:w="142" w:type="dxa"/>
            <w:tcBorders>
              <w:bottom w:val="single" w:sz="4" w:space="0" w:color="auto"/>
            </w:tcBorders>
          </w:tcPr>
          <w:p w14:paraId="25ED25D4" w14:textId="77777777" w:rsidR="002D5AAC" w:rsidRPr="00E8708A" w:rsidRDefault="002D5AAC" w:rsidP="002C7354">
            <w:pPr>
              <w:kinsoku w:val="0"/>
              <w:overflowPunct w:val="0"/>
              <w:autoSpaceDE w:val="0"/>
              <w:autoSpaceDN w:val="0"/>
              <w:adjustRightInd w:val="0"/>
              <w:snapToGrid w:val="0"/>
              <w:rPr>
                <w:lang w:val="fr-CH"/>
              </w:rPr>
            </w:pPr>
          </w:p>
        </w:tc>
        <w:tc>
          <w:tcPr>
            <w:tcW w:w="4820" w:type="dxa"/>
            <w:gridSpan w:val="2"/>
            <w:tcBorders>
              <w:bottom w:val="single" w:sz="4" w:space="0" w:color="auto"/>
            </w:tcBorders>
            <w:vAlign w:val="bottom"/>
          </w:tcPr>
          <w:p w14:paraId="15D1055E" w14:textId="77777777" w:rsidR="002D5AAC" w:rsidRPr="00BD33EE" w:rsidRDefault="00DF71B9" w:rsidP="00D5211F">
            <w:pPr>
              <w:spacing w:after="80" w:line="300" w:lineRule="exact"/>
              <w:rPr>
                <w:sz w:val="28"/>
              </w:rPr>
            </w:pPr>
            <w:r>
              <w:rPr>
                <w:sz w:val="28"/>
              </w:rPr>
              <w:t>Организация Объединенных Наций</w:t>
            </w:r>
          </w:p>
        </w:tc>
        <w:tc>
          <w:tcPr>
            <w:tcW w:w="4677" w:type="dxa"/>
            <w:gridSpan w:val="2"/>
            <w:tcBorders>
              <w:bottom w:val="single" w:sz="4" w:space="0" w:color="auto"/>
            </w:tcBorders>
            <w:vAlign w:val="bottom"/>
          </w:tcPr>
          <w:p w14:paraId="0EC7A857" w14:textId="77777777" w:rsidR="002D5AAC" w:rsidRDefault="002C7354" w:rsidP="002C7354">
            <w:pPr>
              <w:jc w:val="right"/>
            </w:pPr>
            <w:r w:rsidRPr="002C7354">
              <w:rPr>
                <w:sz w:val="40"/>
              </w:rPr>
              <w:t>ST</w:t>
            </w:r>
            <w:r>
              <w:t>/SG/AC.10/48</w:t>
            </w:r>
          </w:p>
        </w:tc>
      </w:tr>
      <w:tr w:rsidR="002D5AAC" w:rsidRPr="00667866" w14:paraId="3012480E" w14:textId="77777777" w:rsidTr="00D5211F">
        <w:trPr>
          <w:trHeight w:hRule="exact" w:val="2835"/>
        </w:trPr>
        <w:tc>
          <w:tcPr>
            <w:tcW w:w="1280" w:type="dxa"/>
            <w:gridSpan w:val="2"/>
            <w:tcBorders>
              <w:top w:val="single" w:sz="4" w:space="0" w:color="auto"/>
              <w:bottom w:val="single" w:sz="12" w:space="0" w:color="auto"/>
            </w:tcBorders>
          </w:tcPr>
          <w:p w14:paraId="1F6AC67E" w14:textId="77777777" w:rsidR="002D5AAC" w:rsidRDefault="002E5067" w:rsidP="00D5211F">
            <w:pPr>
              <w:spacing w:before="120"/>
              <w:jc w:val="center"/>
            </w:pPr>
            <w:r>
              <w:rPr>
                <w:noProof/>
                <w:lang w:val="fr-CH" w:eastAsia="fr-CH"/>
              </w:rPr>
              <w:drawing>
                <wp:inline distT="0" distB="0" distL="0" distR="0" wp14:anchorId="0A78D88D" wp14:editId="5918515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5E4D95D4" w14:textId="77777777" w:rsidR="002D5AAC" w:rsidRPr="00033EE1" w:rsidRDefault="000F27D6" w:rsidP="00D5211F">
            <w:pPr>
              <w:spacing w:before="200" w:line="360" w:lineRule="exact"/>
              <w:rPr>
                <w:b/>
                <w:sz w:val="34"/>
                <w:szCs w:val="34"/>
              </w:rPr>
            </w:pPr>
            <w:r w:rsidRPr="005E11A6">
              <w:rPr>
                <w:b/>
                <w:spacing w:val="-4"/>
                <w:sz w:val="40"/>
                <w:szCs w:val="40"/>
              </w:rPr>
              <w:t>Секретариат</w:t>
            </w:r>
          </w:p>
        </w:tc>
        <w:tc>
          <w:tcPr>
            <w:tcW w:w="2819" w:type="dxa"/>
            <w:tcBorders>
              <w:top w:val="single" w:sz="4" w:space="0" w:color="auto"/>
              <w:bottom w:val="single" w:sz="12" w:space="0" w:color="auto"/>
            </w:tcBorders>
          </w:tcPr>
          <w:p w14:paraId="6179DFD9" w14:textId="77777777" w:rsidR="002D5AAC" w:rsidRDefault="002C7354" w:rsidP="00D5211F">
            <w:pPr>
              <w:spacing w:before="240"/>
              <w:rPr>
                <w:lang w:val="en-US"/>
              </w:rPr>
            </w:pPr>
            <w:r>
              <w:rPr>
                <w:lang w:val="en-US"/>
              </w:rPr>
              <w:t xml:space="preserve">Distr.: </w:t>
            </w:r>
            <w:r w:rsidRPr="00D87FC3">
              <w:rPr>
                <w:lang w:val="en-US"/>
              </w:rPr>
              <w:t xml:space="preserve"> General</w:t>
            </w:r>
          </w:p>
          <w:p w14:paraId="1B8D6F03" w14:textId="77777777" w:rsidR="002C7354" w:rsidRPr="002C7354" w:rsidRDefault="002C7354" w:rsidP="002C7354">
            <w:pPr>
              <w:spacing w:line="240" w:lineRule="exact"/>
              <w:rPr>
                <w:lang w:val="en-US"/>
              </w:rPr>
            </w:pPr>
            <w:r w:rsidRPr="002C7354">
              <w:rPr>
                <w:lang w:val="en-US"/>
              </w:rPr>
              <w:t>18 January 2021</w:t>
            </w:r>
          </w:p>
          <w:p w14:paraId="1BE87E24" w14:textId="77777777" w:rsidR="002C7354" w:rsidRDefault="002C7354" w:rsidP="002C7354">
            <w:pPr>
              <w:spacing w:line="240" w:lineRule="exact"/>
              <w:rPr>
                <w:lang w:val="en-US"/>
              </w:rPr>
            </w:pPr>
            <w:r>
              <w:rPr>
                <w:lang w:val="en-US"/>
              </w:rPr>
              <w:t>Russian</w:t>
            </w:r>
          </w:p>
          <w:p w14:paraId="413BD976" w14:textId="77777777" w:rsidR="002C7354" w:rsidRPr="00133FDC" w:rsidRDefault="002C7354" w:rsidP="002C7354">
            <w:pPr>
              <w:spacing w:line="240" w:lineRule="exact"/>
              <w:rPr>
                <w:lang w:val="en-US"/>
              </w:rPr>
            </w:pPr>
            <w:r>
              <w:rPr>
                <w:lang w:val="en-US"/>
              </w:rPr>
              <w:t>Original: English</w:t>
            </w:r>
          </w:p>
        </w:tc>
      </w:tr>
    </w:tbl>
    <w:p w14:paraId="4862FFCD" w14:textId="77777777" w:rsidR="00C81C4F" w:rsidRPr="00C81C4F" w:rsidRDefault="00C81C4F" w:rsidP="00C81C4F">
      <w:pPr>
        <w:spacing w:before="120"/>
        <w:rPr>
          <w:b/>
          <w:sz w:val="24"/>
          <w:szCs w:val="24"/>
        </w:rPr>
      </w:pPr>
      <w:r w:rsidRPr="00C81C4F">
        <w:rPr>
          <w:b/>
          <w:bCs/>
          <w:sz w:val="24"/>
          <w:szCs w:val="24"/>
        </w:rPr>
        <w:t>Комитет экспертов по перевозке опасных грузов</w:t>
      </w:r>
      <w:r>
        <w:rPr>
          <w:b/>
          <w:bCs/>
          <w:sz w:val="24"/>
          <w:szCs w:val="24"/>
        </w:rPr>
        <w:br/>
      </w:r>
      <w:r w:rsidRPr="00C81C4F">
        <w:rPr>
          <w:b/>
          <w:bCs/>
          <w:sz w:val="24"/>
          <w:szCs w:val="24"/>
        </w:rPr>
        <w:t>и Согласованной на глобальном уровне</w:t>
      </w:r>
      <w:r>
        <w:rPr>
          <w:b/>
          <w:bCs/>
          <w:sz w:val="24"/>
          <w:szCs w:val="24"/>
        </w:rPr>
        <w:br/>
      </w:r>
      <w:r w:rsidRPr="00C81C4F">
        <w:rPr>
          <w:b/>
          <w:bCs/>
          <w:sz w:val="24"/>
          <w:szCs w:val="24"/>
        </w:rPr>
        <w:t>системе классификации опасности</w:t>
      </w:r>
      <w:r>
        <w:rPr>
          <w:b/>
          <w:bCs/>
          <w:sz w:val="24"/>
          <w:szCs w:val="24"/>
        </w:rPr>
        <w:br/>
      </w:r>
      <w:r w:rsidRPr="00C81C4F">
        <w:rPr>
          <w:b/>
          <w:bCs/>
          <w:sz w:val="24"/>
          <w:szCs w:val="24"/>
        </w:rPr>
        <w:t>и маркировки химической продукции</w:t>
      </w:r>
    </w:p>
    <w:p w14:paraId="18FC3697" w14:textId="77777777" w:rsidR="00C81C4F" w:rsidRPr="00C81C4F" w:rsidRDefault="00C81C4F" w:rsidP="00C81C4F">
      <w:pPr>
        <w:pStyle w:val="HChG"/>
        <w:rPr>
          <w:bCs/>
        </w:rPr>
      </w:pPr>
      <w:r w:rsidRPr="00C81C4F">
        <w:tab/>
      </w:r>
      <w:r w:rsidRPr="00C81C4F">
        <w:tab/>
      </w:r>
      <w:r w:rsidRPr="00C81C4F">
        <w:rPr>
          <w:bCs/>
        </w:rPr>
        <w:t>Доклад Комитета экспертов по перевозке опасных грузов и Согласованной на глобальном уровне системе классификации опасности и маркировки химической продукции о работе его десятой сессии,</w:t>
      </w:r>
    </w:p>
    <w:p w14:paraId="1EC6ED8A" w14:textId="77777777" w:rsidR="00C81C4F" w:rsidRDefault="00C81C4F" w:rsidP="00C81C4F">
      <w:pPr>
        <w:pStyle w:val="SingleTxtG"/>
      </w:pPr>
      <w:r w:rsidRPr="00C81C4F">
        <w:t>состоявшейся в Женеве 11 декабря 2020 года</w:t>
      </w:r>
    </w:p>
    <w:p w14:paraId="509380D4" w14:textId="77777777" w:rsidR="00C81C4F" w:rsidRDefault="00C81C4F" w:rsidP="006032C4">
      <w:pPr>
        <w:spacing w:before="360" w:after="120"/>
        <w:rPr>
          <w:sz w:val="28"/>
        </w:rPr>
      </w:pPr>
      <w:r>
        <w:rPr>
          <w:sz w:val="28"/>
        </w:rPr>
        <w:t>Содержание</w:t>
      </w:r>
    </w:p>
    <w:p w14:paraId="45C2199C" w14:textId="77777777" w:rsidR="00C81C4F" w:rsidRDefault="00C81C4F" w:rsidP="00F1583A">
      <w:pPr>
        <w:tabs>
          <w:tab w:val="right" w:pos="8929"/>
          <w:tab w:val="right" w:pos="9638"/>
        </w:tabs>
        <w:spacing w:after="120"/>
        <w:ind w:left="283"/>
        <w:rPr>
          <w:sz w:val="18"/>
        </w:rPr>
      </w:pPr>
      <w:r>
        <w:rPr>
          <w:i/>
          <w:sz w:val="18"/>
        </w:rPr>
        <w:tab/>
        <w:t>Пункты</w:t>
      </w:r>
      <w:r>
        <w:rPr>
          <w:i/>
          <w:sz w:val="18"/>
        </w:rPr>
        <w:tab/>
        <w:t>Стр.</w:t>
      </w:r>
    </w:p>
    <w:p w14:paraId="425D5249"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pPr>
      <w:r>
        <w:tab/>
      </w:r>
      <w:r w:rsidRPr="00C81C4F">
        <w:t>I.</w:t>
      </w:r>
      <w:r w:rsidRPr="00C81C4F">
        <w:tab/>
        <w:t xml:space="preserve">Участники </w:t>
      </w:r>
      <w:r w:rsidRPr="00C81C4F">
        <w:tab/>
      </w:r>
      <w:r w:rsidRPr="00C81C4F">
        <w:tab/>
        <w:t>1–4</w:t>
      </w:r>
      <w:r>
        <w:tab/>
      </w:r>
      <w:r w:rsidR="00E8708A" w:rsidRPr="00E8708A">
        <w:t>3</w:t>
      </w:r>
    </w:p>
    <w:p w14:paraId="112A817B"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pPr>
      <w:r>
        <w:tab/>
      </w:r>
      <w:r w:rsidRPr="00C81C4F">
        <w:t>II.</w:t>
      </w:r>
      <w:r w:rsidRPr="00C81C4F">
        <w:tab/>
        <w:t xml:space="preserve">Утверждение повестки дня (пункт 1 повестки дня) </w:t>
      </w:r>
      <w:r w:rsidRPr="00C81C4F">
        <w:tab/>
      </w:r>
      <w:r w:rsidRPr="00C81C4F">
        <w:tab/>
        <w:t>5</w:t>
      </w:r>
      <w:r w:rsidR="00E8708A">
        <w:tab/>
      </w:r>
      <w:r w:rsidR="00E8708A" w:rsidRPr="00E8708A">
        <w:t>3</w:t>
      </w:r>
    </w:p>
    <w:p w14:paraId="26B5FFB0"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pPr>
      <w:r>
        <w:tab/>
      </w:r>
      <w:r w:rsidRPr="00C81C4F">
        <w:t>III.</w:t>
      </w:r>
      <w:r w:rsidRPr="00C81C4F">
        <w:tab/>
        <w:t>Выборы должностных лиц (пункт 2 повестки дня)</w:t>
      </w:r>
      <w:r w:rsidRPr="00C81C4F">
        <w:tab/>
      </w:r>
      <w:r w:rsidRPr="00C81C4F">
        <w:tab/>
        <w:t>6</w:t>
      </w:r>
      <w:r w:rsidRPr="00C81C4F">
        <w:tab/>
      </w:r>
      <w:r w:rsidR="00E8708A" w:rsidRPr="00E8708A">
        <w:t>3</w:t>
      </w:r>
    </w:p>
    <w:p w14:paraId="2F1EB8AA"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ind w:left="1134" w:hanging="1134"/>
      </w:pPr>
      <w:r>
        <w:tab/>
      </w:r>
      <w:r w:rsidRPr="00C81C4F">
        <w:t>IV.</w:t>
      </w:r>
      <w:r w:rsidRPr="00C81C4F">
        <w:tab/>
        <w:t>Резолюции и решения Экономического и Социального Совета</w:t>
      </w:r>
      <w:r>
        <w:br/>
      </w:r>
      <w:r w:rsidRPr="00C81C4F">
        <w:t xml:space="preserve">(пункт 3 повестки дня) </w:t>
      </w:r>
      <w:r w:rsidRPr="00C81C4F">
        <w:tab/>
      </w:r>
      <w:r w:rsidRPr="00C81C4F">
        <w:tab/>
        <w:t>7–9</w:t>
      </w:r>
      <w:r w:rsidRPr="00C81C4F">
        <w:tab/>
      </w:r>
      <w:r w:rsidR="00E8708A" w:rsidRPr="00E8708A">
        <w:t>3</w:t>
      </w:r>
    </w:p>
    <w:p w14:paraId="489F0E4D"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ind w:left="1134" w:hanging="1134"/>
      </w:pPr>
      <w:r>
        <w:tab/>
      </w:r>
      <w:r w:rsidRPr="00C81C4F">
        <w:t>V.</w:t>
      </w:r>
      <w:r w:rsidRPr="00C81C4F">
        <w:tab/>
        <w:t>Работа Подкомитета экспертов по перевозке опасных грузов в течение</w:t>
      </w:r>
      <w:r>
        <w:br/>
      </w:r>
      <w:r w:rsidRPr="00C81C4F">
        <w:t xml:space="preserve">двухгодичного периода 2019–2020 годов (пункт 4 повестки дня) </w:t>
      </w:r>
      <w:r w:rsidRPr="00C81C4F">
        <w:tab/>
      </w:r>
      <w:r w:rsidRPr="00C81C4F">
        <w:tab/>
        <w:t>10–11</w:t>
      </w:r>
      <w:r w:rsidRPr="00C81C4F">
        <w:tab/>
      </w:r>
      <w:r w:rsidR="00E8708A" w:rsidRPr="00E8708A">
        <w:t>4</w:t>
      </w:r>
    </w:p>
    <w:p w14:paraId="18F470D3"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ind w:left="1134" w:hanging="1134"/>
      </w:pPr>
      <w:r>
        <w:tab/>
      </w:r>
      <w:r w:rsidRPr="00C81C4F">
        <w:t>VI.</w:t>
      </w:r>
      <w:r w:rsidRPr="00C81C4F">
        <w:tab/>
        <w:t>Работа Подкомитета экспертов по Согласованной на глобальном уровне</w:t>
      </w:r>
      <w:r>
        <w:br/>
      </w:r>
      <w:r w:rsidRPr="00C81C4F">
        <w:t>системе классификации опасности и маркировки химической продукции</w:t>
      </w:r>
      <w:r>
        <w:br/>
      </w:r>
      <w:r w:rsidRPr="00C81C4F">
        <w:t>в течение двухгодичного периода 2019–2020 годов</w:t>
      </w:r>
      <w:r>
        <w:br/>
      </w:r>
      <w:r w:rsidRPr="00C81C4F">
        <w:t xml:space="preserve">(пункт 5 повестки дня) </w:t>
      </w:r>
      <w:r w:rsidRPr="00C81C4F">
        <w:tab/>
      </w:r>
      <w:r w:rsidRPr="00C81C4F">
        <w:tab/>
        <w:t>12–13</w:t>
      </w:r>
      <w:r>
        <w:tab/>
      </w:r>
      <w:r w:rsidR="00E8708A" w:rsidRPr="00E8708A">
        <w:t>4</w:t>
      </w:r>
    </w:p>
    <w:p w14:paraId="749901C0"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ind w:left="1134" w:hanging="1134"/>
      </w:pPr>
      <w:r>
        <w:tab/>
      </w:r>
      <w:r w:rsidRPr="00C81C4F">
        <w:t>VII.</w:t>
      </w:r>
      <w:r w:rsidRPr="00C81C4F">
        <w:tab/>
        <w:t>Программа работы на двухгодичный период 2021–2022 годов</w:t>
      </w:r>
      <w:r>
        <w:br/>
      </w:r>
      <w:r w:rsidRPr="00C81C4F">
        <w:t xml:space="preserve">(пункт 6 повестки дня) </w:t>
      </w:r>
      <w:r w:rsidRPr="00C81C4F">
        <w:tab/>
      </w:r>
      <w:r w:rsidRPr="00C81C4F">
        <w:tab/>
        <w:t>14–17</w:t>
      </w:r>
      <w:r w:rsidRPr="00C81C4F">
        <w:tab/>
      </w:r>
      <w:r w:rsidR="00E8708A" w:rsidRPr="00E8708A">
        <w:t>5</w:t>
      </w:r>
    </w:p>
    <w:p w14:paraId="2CE51E4F"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pPr>
      <w:r w:rsidRPr="00C81C4F">
        <w:tab/>
      </w:r>
      <w:r>
        <w:tab/>
      </w:r>
      <w:r w:rsidRPr="00C81C4F">
        <w:t>A.</w:t>
      </w:r>
      <w:r w:rsidRPr="00C81C4F">
        <w:tab/>
        <w:t xml:space="preserve">Программа работы </w:t>
      </w:r>
      <w:r w:rsidRPr="00C81C4F">
        <w:tab/>
      </w:r>
      <w:r w:rsidRPr="00C81C4F">
        <w:tab/>
        <w:t>14</w:t>
      </w:r>
      <w:r>
        <w:tab/>
      </w:r>
      <w:r w:rsidR="00E8708A" w:rsidRPr="00E8708A">
        <w:t>5</w:t>
      </w:r>
    </w:p>
    <w:p w14:paraId="6CC88467"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pPr>
      <w:r w:rsidRPr="00C81C4F">
        <w:tab/>
      </w:r>
      <w:r>
        <w:tab/>
      </w:r>
      <w:r w:rsidRPr="00C81C4F">
        <w:t>B.</w:t>
      </w:r>
      <w:r w:rsidRPr="00C81C4F">
        <w:tab/>
        <w:t xml:space="preserve">Расписание совещаний </w:t>
      </w:r>
      <w:r w:rsidRPr="00C81C4F">
        <w:tab/>
      </w:r>
      <w:r w:rsidRPr="00C81C4F">
        <w:tab/>
        <w:t>15–17</w:t>
      </w:r>
      <w:r w:rsidRPr="00C81C4F">
        <w:tab/>
      </w:r>
      <w:r w:rsidR="00E8708A" w:rsidRPr="00E8708A">
        <w:t>5</w:t>
      </w:r>
    </w:p>
    <w:p w14:paraId="638C5D1A"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ind w:left="1134" w:hanging="1134"/>
      </w:pPr>
      <w:r>
        <w:tab/>
      </w:r>
      <w:r w:rsidRPr="00C81C4F">
        <w:t>VIII.</w:t>
      </w:r>
      <w:r w:rsidRPr="00C81C4F">
        <w:tab/>
        <w:t>Проект резолюции 2021/… Экономического и Социального Совета</w:t>
      </w:r>
      <w:r>
        <w:br/>
      </w:r>
      <w:r w:rsidRPr="00C81C4F">
        <w:t xml:space="preserve">(пункт 7 повестки дня) </w:t>
      </w:r>
      <w:r w:rsidRPr="00C81C4F">
        <w:tab/>
      </w:r>
      <w:r>
        <w:tab/>
      </w:r>
      <w:r w:rsidRPr="00C81C4F">
        <w:t>18</w:t>
      </w:r>
      <w:r w:rsidRPr="00C81C4F">
        <w:tab/>
      </w:r>
      <w:r w:rsidR="00E8708A" w:rsidRPr="00E8708A">
        <w:t>6</w:t>
      </w:r>
    </w:p>
    <w:p w14:paraId="1ADC87B0"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pPr>
      <w:r>
        <w:tab/>
      </w:r>
      <w:r w:rsidRPr="00C81C4F">
        <w:t>IX.</w:t>
      </w:r>
      <w:r w:rsidRPr="00C81C4F">
        <w:tab/>
        <w:t xml:space="preserve">Прочие вопросы (пункт 8 повестки дня) </w:t>
      </w:r>
      <w:r w:rsidRPr="00C81C4F">
        <w:tab/>
      </w:r>
      <w:r w:rsidRPr="00C81C4F">
        <w:tab/>
        <w:t>19</w:t>
      </w:r>
      <w:r w:rsidRPr="00C81C4F">
        <w:tab/>
      </w:r>
      <w:r w:rsidR="00E8708A" w:rsidRPr="00E8708A">
        <w:t>6</w:t>
      </w:r>
    </w:p>
    <w:p w14:paraId="194E2B3B" w14:textId="77777777" w:rsidR="00C81C4F" w:rsidRPr="00E8708A" w:rsidRDefault="00C81C4F" w:rsidP="00C81C4F">
      <w:pPr>
        <w:tabs>
          <w:tab w:val="right" w:pos="850"/>
          <w:tab w:val="left" w:pos="1134"/>
          <w:tab w:val="left" w:pos="1559"/>
          <w:tab w:val="left" w:pos="1984"/>
          <w:tab w:val="left" w:leader="dot" w:pos="7654"/>
          <w:tab w:val="right" w:pos="8929"/>
          <w:tab w:val="right" w:pos="9638"/>
        </w:tabs>
        <w:spacing w:after="120"/>
      </w:pPr>
      <w:r>
        <w:tab/>
      </w:r>
      <w:r w:rsidRPr="00C81C4F">
        <w:t>X.</w:t>
      </w:r>
      <w:r w:rsidRPr="00C81C4F">
        <w:tab/>
        <w:t xml:space="preserve">Утверждение доклада (пункт 9 повестки дня) </w:t>
      </w:r>
      <w:r w:rsidRPr="00C81C4F">
        <w:tab/>
      </w:r>
      <w:r w:rsidRPr="00C81C4F">
        <w:tab/>
        <w:t>20</w:t>
      </w:r>
      <w:r w:rsidRPr="00C81C4F">
        <w:tab/>
      </w:r>
      <w:r w:rsidR="00E8708A" w:rsidRPr="00E8708A">
        <w:t>6</w:t>
      </w:r>
    </w:p>
    <w:p w14:paraId="66DD2410" w14:textId="77777777" w:rsidR="00C81C4F" w:rsidRPr="00C81C4F" w:rsidRDefault="00C81C4F" w:rsidP="00C81C4F">
      <w:pPr>
        <w:pageBreakBefore/>
        <w:tabs>
          <w:tab w:val="right" w:pos="850"/>
          <w:tab w:val="left" w:pos="1134"/>
          <w:tab w:val="left" w:pos="1559"/>
          <w:tab w:val="left" w:pos="1984"/>
          <w:tab w:val="left" w:leader="dot" w:pos="7654"/>
          <w:tab w:val="right" w:pos="8929"/>
          <w:tab w:val="right" w:pos="9638"/>
        </w:tabs>
        <w:spacing w:after="120"/>
      </w:pPr>
      <w:r w:rsidRPr="00C81C4F">
        <w:lastRenderedPageBreak/>
        <w:t>Приложения</w:t>
      </w:r>
    </w:p>
    <w:p w14:paraId="4CBD6B67" w14:textId="77777777" w:rsidR="00C81C4F" w:rsidRPr="00797FE6" w:rsidRDefault="00C81C4F" w:rsidP="006032C4">
      <w:pPr>
        <w:tabs>
          <w:tab w:val="right" w:pos="850"/>
          <w:tab w:val="left" w:pos="1134"/>
          <w:tab w:val="left" w:pos="1559"/>
          <w:tab w:val="left" w:pos="1984"/>
          <w:tab w:val="left" w:leader="dot" w:pos="8945"/>
          <w:tab w:val="right" w:pos="9638"/>
        </w:tabs>
        <w:spacing w:after="120"/>
        <w:ind w:left="1134" w:hanging="1134"/>
      </w:pPr>
      <w:r w:rsidRPr="00C81C4F">
        <w:tab/>
        <w:t>I.</w:t>
      </w:r>
      <w:r w:rsidRPr="00C81C4F">
        <w:tab/>
        <w:t>Поправки к двадцать первому пересмотренному изданию Рекомендаций по перевозке</w:t>
      </w:r>
      <w:r w:rsidR="006032C4">
        <w:br/>
      </w:r>
      <w:r w:rsidRPr="00C81C4F">
        <w:t>опасных грузов, Типовые правила (ST/SG/AC.10/1/Rev.21)</w:t>
      </w:r>
      <w:r w:rsidR="006032C4" w:rsidRPr="006032C4">
        <w:rPr>
          <w:rStyle w:val="FootnoteReference"/>
          <w:szCs w:val="18"/>
          <w:vertAlign w:val="baseline"/>
        </w:rPr>
        <w:footnoteReference w:customMarkFollows="1" w:id="1"/>
        <w:t>*</w:t>
      </w:r>
      <w:r w:rsidR="006032C4" w:rsidRPr="006032C4">
        <w:t xml:space="preserve"> </w:t>
      </w:r>
      <w:r w:rsidR="006032C4">
        <w:tab/>
      </w:r>
      <w:r w:rsidRPr="00C81C4F">
        <w:tab/>
      </w:r>
      <w:r w:rsidR="00797FE6" w:rsidRPr="00797FE6">
        <w:t>7</w:t>
      </w:r>
    </w:p>
    <w:p w14:paraId="19CE3659" w14:textId="77777777" w:rsidR="00C81C4F" w:rsidRPr="00797FE6" w:rsidRDefault="00C81C4F" w:rsidP="006032C4">
      <w:pPr>
        <w:tabs>
          <w:tab w:val="right" w:pos="850"/>
          <w:tab w:val="left" w:pos="1134"/>
          <w:tab w:val="left" w:pos="1559"/>
          <w:tab w:val="left" w:pos="1984"/>
          <w:tab w:val="left" w:leader="dot" w:pos="8945"/>
          <w:tab w:val="right" w:pos="9638"/>
        </w:tabs>
        <w:spacing w:after="120"/>
        <w:ind w:left="1134" w:hanging="1134"/>
      </w:pPr>
      <w:r w:rsidRPr="00C81C4F">
        <w:tab/>
        <w:t>II.</w:t>
      </w:r>
      <w:r w:rsidRPr="00C81C4F">
        <w:tab/>
        <w:t>Поправки к седьмому пересмотренному изданию Руководства по испытаниям</w:t>
      </w:r>
      <w:r w:rsidR="006032C4">
        <w:br/>
      </w:r>
      <w:r w:rsidRPr="00C81C4F">
        <w:t>и критериям (ST/SG/AC.10/11/Rev.7)</w:t>
      </w:r>
      <w:r w:rsidRPr="006032C4">
        <w:rPr>
          <w:sz w:val="18"/>
          <w:szCs w:val="18"/>
        </w:rPr>
        <w:footnoteReference w:customMarkFollows="1" w:id="2"/>
        <w:t>**</w:t>
      </w:r>
      <w:r w:rsidR="006032C4" w:rsidRPr="006032C4">
        <w:rPr>
          <w:sz w:val="18"/>
          <w:szCs w:val="18"/>
        </w:rPr>
        <w:t xml:space="preserve"> </w:t>
      </w:r>
      <w:r w:rsidRPr="00C81C4F">
        <w:tab/>
      </w:r>
      <w:r w:rsidRPr="00C81C4F">
        <w:tab/>
      </w:r>
      <w:r w:rsidR="00797FE6" w:rsidRPr="00797FE6">
        <w:t>7</w:t>
      </w:r>
    </w:p>
    <w:p w14:paraId="1707A557" w14:textId="77777777" w:rsidR="00C81C4F" w:rsidRPr="00797FE6" w:rsidRDefault="00C81C4F" w:rsidP="006032C4">
      <w:pPr>
        <w:tabs>
          <w:tab w:val="right" w:pos="850"/>
          <w:tab w:val="left" w:pos="1134"/>
          <w:tab w:val="left" w:pos="1559"/>
          <w:tab w:val="left" w:pos="1984"/>
          <w:tab w:val="left" w:leader="dot" w:pos="8945"/>
          <w:tab w:val="right" w:pos="9638"/>
        </w:tabs>
        <w:spacing w:after="120"/>
        <w:ind w:left="1134" w:hanging="1134"/>
      </w:pPr>
      <w:r w:rsidRPr="00C81C4F">
        <w:tab/>
        <w:t>III.</w:t>
      </w:r>
      <w:r w:rsidRPr="00C81C4F">
        <w:tab/>
        <w:t>Поправки к восьмому пересмотренному изданию Согласованной на глобальном</w:t>
      </w:r>
      <w:r w:rsidR="006032C4">
        <w:br/>
      </w:r>
      <w:r w:rsidRPr="00C81C4F">
        <w:t>уровне</w:t>
      </w:r>
      <w:r w:rsidR="006032C4" w:rsidRPr="006032C4">
        <w:t xml:space="preserve"> </w:t>
      </w:r>
      <w:r w:rsidRPr="00C81C4F">
        <w:t>системы классификации опасности и маркировки химической</w:t>
      </w:r>
      <w:r w:rsidR="006032C4">
        <w:br/>
      </w:r>
      <w:r w:rsidRPr="00C81C4F">
        <w:t>продукции (СГС) (ST/SG/AC.10/30/Rev.8)</w:t>
      </w:r>
      <w:r w:rsidRPr="00E8708A">
        <w:rPr>
          <w:sz w:val="18"/>
          <w:szCs w:val="18"/>
        </w:rPr>
        <w:footnoteReference w:customMarkFollows="1" w:id="3"/>
        <w:t>***</w:t>
      </w:r>
      <w:r w:rsidR="00E8708A" w:rsidRPr="00E8708A">
        <w:t xml:space="preserve"> </w:t>
      </w:r>
      <w:r w:rsidRPr="00C81C4F">
        <w:tab/>
      </w:r>
      <w:r w:rsidR="006032C4">
        <w:tab/>
      </w:r>
      <w:r w:rsidR="00797FE6" w:rsidRPr="00797FE6">
        <w:t>7</w:t>
      </w:r>
    </w:p>
    <w:p w14:paraId="1B5EA624" w14:textId="77777777" w:rsidR="00C81C4F" w:rsidRPr="00797FE6" w:rsidRDefault="00C81C4F" w:rsidP="006032C4">
      <w:pPr>
        <w:tabs>
          <w:tab w:val="right" w:pos="850"/>
          <w:tab w:val="left" w:pos="1134"/>
          <w:tab w:val="left" w:pos="1559"/>
          <w:tab w:val="left" w:pos="1984"/>
          <w:tab w:val="left" w:leader="dot" w:pos="8945"/>
          <w:tab w:val="right" w:pos="9638"/>
        </w:tabs>
        <w:spacing w:after="120"/>
        <w:ind w:left="1134" w:hanging="1134"/>
      </w:pPr>
      <w:r w:rsidRPr="00C81C4F">
        <w:tab/>
        <w:t>IV.</w:t>
      </w:r>
      <w:r w:rsidRPr="00C81C4F">
        <w:tab/>
        <w:t>Проект резолюции 2021/… Экономического и Социального Совета</w:t>
      </w:r>
      <w:r w:rsidR="006032C4" w:rsidRPr="006032C4">
        <w:t xml:space="preserve"> </w:t>
      </w:r>
      <w:r w:rsidRPr="00C81C4F">
        <w:tab/>
      </w:r>
      <w:r w:rsidRPr="00C81C4F">
        <w:tab/>
      </w:r>
      <w:r w:rsidR="00797FE6" w:rsidRPr="00797FE6">
        <w:t>8</w:t>
      </w:r>
    </w:p>
    <w:p w14:paraId="19187B03" w14:textId="77777777" w:rsidR="00C81C4F" w:rsidRPr="00C81C4F" w:rsidRDefault="00C81C4F" w:rsidP="006032C4">
      <w:pPr>
        <w:pStyle w:val="HChG"/>
        <w:pageBreakBefore/>
      </w:pPr>
      <w:r w:rsidRPr="00C81C4F">
        <w:lastRenderedPageBreak/>
        <w:t>Доклад</w:t>
      </w:r>
    </w:p>
    <w:p w14:paraId="5B33E3F3" w14:textId="77777777" w:rsidR="00C81C4F" w:rsidRPr="00C81C4F" w:rsidRDefault="00C81C4F" w:rsidP="00C81C4F">
      <w:pPr>
        <w:pStyle w:val="HChG"/>
      </w:pPr>
      <w:r w:rsidRPr="00C81C4F">
        <w:tab/>
        <w:t>I.</w:t>
      </w:r>
      <w:r w:rsidRPr="00C81C4F">
        <w:tab/>
      </w:r>
      <w:r w:rsidRPr="00C81C4F">
        <w:rPr>
          <w:bCs/>
        </w:rPr>
        <w:t>Участники</w:t>
      </w:r>
    </w:p>
    <w:p w14:paraId="70BCD484" w14:textId="77777777" w:rsidR="00C81C4F" w:rsidRPr="00C81C4F" w:rsidRDefault="00C81C4F" w:rsidP="00C81C4F">
      <w:pPr>
        <w:pStyle w:val="SingleTxtG"/>
      </w:pPr>
      <w:r w:rsidRPr="00C81C4F">
        <w:t>1.</w:t>
      </w:r>
      <w:r w:rsidRPr="00C81C4F">
        <w:tab/>
        <w:t>Комитет экспертов по перевозке опасных грузов и Согласованной на глобальном уровне системе классификации опасности и маркировки химической продукции провел свою десятую сессию в Женеве 11 декабря 2020 года.</w:t>
      </w:r>
    </w:p>
    <w:p w14:paraId="1731B3BB" w14:textId="77777777" w:rsidR="00C81C4F" w:rsidRPr="00C81C4F" w:rsidRDefault="00C81C4F" w:rsidP="00C81C4F">
      <w:pPr>
        <w:pStyle w:val="SingleTxtG"/>
      </w:pPr>
      <w:r w:rsidRPr="00C81C4F">
        <w:t>2.</w:t>
      </w:r>
      <w:r w:rsidRPr="00C81C4F">
        <w:tab/>
        <w:t>В работе сессии приняли участие эксперты из следующих стран: Австралии, Австрии, Бразилии, Германии, Италии, Канады, Китая, Нидерландов, Республики Корея, Соединенного Королевства, Соединенных Штатов Америки, Франции, Швейцарии, Швеции и Японии.</w:t>
      </w:r>
    </w:p>
    <w:p w14:paraId="68C8D670" w14:textId="77777777" w:rsidR="00C81C4F" w:rsidRPr="00C81C4F" w:rsidRDefault="00C81C4F" w:rsidP="00C81C4F">
      <w:pPr>
        <w:pStyle w:val="SingleTxtG"/>
      </w:pPr>
      <w:r w:rsidRPr="00C81C4F">
        <w:t>3.</w:t>
      </w:r>
      <w:r w:rsidRPr="00C81C4F">
        <w:tab/>
        <w:t>На сессии был представлен Европейский союз.</w:t>
      </w:r>
    </w:p>
    <w:p w14:paraId="7BD767CB" w14:textId="77777777" w:rsidR="00C81C4F" w:rsidRPr="00C81C4F" w:rsidRDefault="00C81C4F" w:rsidP="00C81C4F">
      <w:pPr>
        <w:pStyle w:val="SingleTxtG"/>
      </w:pPr>
      <w:r w:rsidRPr="00C81C4F">
        <w:t>4.</w:t>
      </w:r>
      <w:r w:rsidRPr="00C81C4F">
        <w:tab/>
        <w:t xml:space="preserve">На сессии присутствовали также представители следующих неправительственных организаций: австралийской компании </w:t>
      </w:r>
      <w:r w:rsidR="006032C4">
        <w:t>«</w:t>
      </w:r>
      <w:proofErr w:type="spellStart"/>
      <w:r w:rsidRPr="00C81C4F">
        <w:t>Australian</w:t>
      </w:r>
      <w:proofErr w:type="spellEnd"/>
      <w:r w:rsidRPr="00C81C4F">
        <w:t xml:space="preserve"> </w:t>
      </w:r>
      <w:proofErr w:type="spellStart"/>
      <w:r w:rsidRPr="00C81C4F">
        <w:t>Explosives</w:t>
      </w:r>
      <w:proofErr w:type="spellEnd"/>
      <w:r w:rsidRPr="00C81C4F">
        <w:t xml:space="preserve"> </w:t>
      </w:r>
      <w:proofErr w:type="spellStart"/>
      <w:r w:rsidRPr="00C81C4F">
        <w:t>Industry</w:t>
      </w:r>
      <w:proofErr w:type="spellEnd"/>
      <w:r w:rsidRPr="00C81C4F">
        <w:t xml:space="preserve"> and </w:t>
      </w:r>
      <w:proofErr w:type="spellStart"/>
      <w:r w:rsidRPr="00C81C4F">
        <w:t>Safety</w:t>
      </w:r>
      <w:proofErr w:type="spellEnd"/>
      <w:r w:rsidRPr="00C81C4F">
        <w:t xml:space="preserve"> </w:t>
      </w:r>
      <w:proofErr w:type="spellStart"/>
      <w:r w:rsidRPr="00C81C4F">
        <w:t>Group</w:t>
      </w:r>
      <w:proofErr w:type="spellEnd"/>
      <w:r w:rsidRPr="00C81C4F">
        <w:t xml:space="preserve"> </w:t>
      </w:r>
      <w:proofErr w:type="spellStart"/>
      <w:r w:rsidRPr="00C81C4F">
        <w:t>Incorporated</w:t>
      </w:r>
      <w:proofErr w:type="spellEnd"/>
      <w:r w:rsidR="00797FE6">
        <w:t>»</w:t>
      </w:r>
      <w:r w:rsidRPr="00C81C4F">
        <w:t xml:space="preserve"> (AEISG), Ассоциации производителей портативных перезаряжаемых батарей (PRBA), Европейского совета химической промышленности (ЕСФХП) и Института производителей взрывчатых веществ (IME).</w:t>
      </w:r>
    </w:p>
    <w:p w14:paraId="11B5C02C" w14:textId="77777777" w:rsidR="00C81C4F" w:rsidRPr="00C81C4F" w:rsidRDefault="00C81C4F" w:rsidP="00C81C4F">
      <w:pPr>
        <w:pStyle w:val="HChG"/>
      </w:pPr>
      <w:r w:rsidRPr="00C81C4F">
        <w:tab/>
        <w:t>II.</w:t>
      </w:r>
      <w:r w:rsidRPr="00C81C4F">
        <w:tab/>
      </w:r>
      <w:r w:rsidRPr="00C81C4F">
        <w:rPr>
          <w:bCs/>
        </w:rPr>
        <w:t>Утверждение повестки дня (пункт 1 повестки дня)</w:t>
      </w:r>
    </w:p>
    <w:p w14:paraId="049A2158" w14:textId="77777777" w:rsidR="00C81C4F" w:rsidRPr="00C81C4F" w:rsidRDefault="00C81C4F" w:rsidP="00535088">
      <w:pPr>
        <w:pStyle w:val="SingleTxtG"/>
        <w:tabs>
          <w:tab w:val="clear" w:pos="2268"/>
          <w:tab w:val="left" w:pos="2552"/>
          <w:tab w:val="left" w:pos="2800"/>
          <w:tab w:val="left" w:pos="3402"/>
        </w:tabs>
      </w:pPr>
      <w:r w:rsidRPr="00C81C4F">
        <w:rPr>
          <w:i/>
          <w:iCs/>
        </w:rPr>
        <w:t>Документ</w:t>
      </w:r>
      <w:r w:rsidRPr="00C81C4F">
        <w:t>:</w:t>
      </w:r>
      <w:r w:rsidRPr="00C81C4F">
        <w:tab/>
        <w:t>ST/SG/AC.10/47 (секретариат)</w:t>
      </w:r>
    </w:p>
    <w:p w14:paraId="27FDD9C7" w14:textId="77777777" w:rsidR="00C81C4F" w:rsidRPr="00C81C4F" w:rsidRDefault="00C81C4F" w:rsidP="00C81C4F">
      <w:pPr>
        <w:pStyle w:val="SingleTxtG"/>
      </w:pPr>
      <w:r w:rsidRPr="00C81C4F">
        <w:t>5.</w:t>
      </w:r>
      <w:r w:rsidRPr="00C81C4F">
        <w:tab/>
        <w:t>Комитет утвердил подготовленную секретариатом предварительную повестку дня.</w:t>
      </w:r>
    </w:p>
    <w:p w14:paraId="50987298" w14:textId="77777777" w:rsidR="00C81C4F" w:rsidRPr="00C81C4F" w:rsidRDefault="00C81C4F" w:rsidP="00C81C4F">
      <w:pPr>
        <w:pStyle w:val="HChG"/>
      </w:pPr>
      <w:r w:rsidRPr="00C81C4F">
        <w:tab/>
        <w:t>III.</w:t>
      </w:r>
      <w:r w:rsidRPr="00C81C4F">
        <w:tab/>
      </w:r>
      <w:r w:rsidRPr="00C81C4F">
        <w:rPr>
          <w:bCs/>
        </w:rPr>
        <w:t>Выборы должностных лиц (пункт 2 повестки дня)</w:t>
      </w:r>
    </w:p>
    <w:p w14:paraId="0371201E" w14:textId="77777777" w:rsidR="00C81C4F" w:rsidRPr="00D87FC3" w:rsidRDefault="00C81C4F" w:rsidP="00C81C4F">
      <w:pPr>
        <w:pStyle w:val="SingleTxtG"/>
      </w:pPr>
      <w:r w:rsidRPr="00C81C4F">
        <w:t>6.</w:t>
      </w:r>
      <w:r w:rsidRPr="00C81C4F">
        <w:tab/>
        <w:t>Председателем и заместителем Председателя были избраны соответственно</w:t>
      </w:r>
      <w:r w:rsidR="00535088">
        <w:br/>
      </w:r>
      <w:r w:rsidRPr="00C81C4F">
        <w:t xml:space="preserve">г-н Д. </w:t>
      </w:r>
      <w:proofErr w:type="spellStart"/>
      <w:r w:rsidRPr="00C81C4F">
        <w:t>Пфунд</w:t>
      </w:r>
      <w:proofErr w:type="spellEnd"/>
      <w:r w:rsidRPr="00C81C4F">
        <w:t xml:space="preserve"> (Соединенные Штаты Америки) и г-жа М. Раскин (Соединенные Штаты Америки).</w:t>
      </w:r>
    </w:p>
    <w:p w14:paraId="25E9CBC8" w14:textId="77777777" w:rsidR="00C81C4F" w:rsidRPr="00C81C4F" w:rsidRDefault="00C81C4F" w:rsidP="00C81C4F">
      <w:pPr>
        <w:pStyle w:val="HChG"/>
      </w:pPr>
      <w:r w:rsidRPr="00C81C4F">
        <w:tab/>
        <w:t>IV.</w:t>
      </w:r>
      <w:r w:rsidRPr="00C81C4F">
        <w:tab/>
      </w:r>
      <w:r w:rsidRPr="00C81C4F">
        <w:rPr>
          <w:bCs/>
        </w:rPr>
        <w:t>Резолюции и решения Экономического и Социального Совета (пункт 3 повестки дня)</w:t>
      </w:r>
    </w:p>
    <w:p w14:paraId="153B89EE" w14:textId="77777777" w:rsidR="00C81C4F" w:rsidRPr="00C81C4F" w:rsidRDefault="00C81C4F" w:rsidP="00C81C4F">
      <w:pPr>
        <w:pStyle w:val="SingleTxtG"/>
      </w:pPr>
      <w:r w:rsidRPr="00C81C4F">
        <w:t>7.</w:t>
      </w:r>
      <w:r w:rsidRPr="00C81C4F">
        <w:tab/>
        <w:t>Комитет отметил, что резолюция, подготовленная Комитетом на его девятой сессии, была принята без изменений Экономическим и Социальным Советом 6 июня 2019 года (E/RES/2019/7). Было также отмечено, что, поскольку в течение двухгодичного периода 2019–2020 годов не было получено никаких заявок на членство в Комитете или каком-либо из его подкомитетов, их состав, указанный в пояснительных примечаниях к повестке дня, остается следующим:</w:t>
      </w:r>
    </w:p>
    <w:p w14:paraId="282733DF" w14:textId="77777777" w:rsidR="00C81C4F" w:rsidRPr="00C81C4F" w:rsidRDefault="00C81C4F" w:rsidP="00C81C4F">
      <w:pPr>
        <w:pStyle w:val="Bullet1G"/>
        <w:numPr>
          <w:ilvl w:val="0"/>
          <w:numId w:val="22"/>
        </w:numPr>
      </w:pPr>
      <w:r w:rsidRPr="00C81C4F">
        <w:t>Комитет экспертов: 40 членов;</w:t>
      </w:r>
    </w:p>
    <w:p w14:paraId="02FDC5A3" w14:textId="77777777" w:rsidR="00C81C4F" w:rsidRPr="00C81C4F" w:rsidRDefault="00C81C4F" w:rsidP="00C81C4F">
      <w:pPr>
        <w:pStyle w:val="Bullet1G"/>
        <w:numPr>
          <w:ilvl w:val="0"/>
          <w:numId w:val="22"/>
        </w:numPr>
      </w:pPr>
      <w:r w:rsidRPr="00C81C4F">
        <w:t>Подкомитет экспертов по перевозке опасных грузов: 30 членов;</w:t>
      </w:r>
    </w:p>
    <w:p w14:paraId="5C93A69A" w14:textId="77777777" w:rsidR="00C81C4F" w:rsidRPr="00C81C4F" w:rsidRDefault="00C81C4F" w:rsidP="00C81C4F">
      <w:pPr>
        <w:pStyle w:val="Bullet1G"/>
        <w:numPr>
          <w:ilvl w:val="0"/>
          <w:numId w:val="22"/>
        </w:numPr>
      </w:pPr>
      <w:r w:rsidRPr="00C81C4F">
        <w:t>Подкомитет экспертов по Согласованной на глобальном уровне системе классификации опасности и маркировки химической продукции: 36 членов.</w:t>
      </w:r>
    </w:p>
    <w:p w14:paraId="276B381E" w14:textId="77777777" w:rsidR="00C81C4F" w:rsidRPr="00C81C4F" w:rsidRDefault="00C81C4F" w:rsidP="00C81C4F">
      <w:pPr>
        <w:pStyle w:val="SingleTxtG"/>
      </w:pPr>
      <w:r w:rsidRPr="00C81C4F">
        <w:t>8.</w:t>
      </w:r>
      <w:r w:rsidRPr="00C81C4F">
        <w:tab/>
        <w:t>Комитет с удовлетворением отметил, что секретариат опубликовал двадцать первое пересмотренное издание Рекомендаций по перевозке опасных грузов, Типовые правила (ST/SG/AC.10/1/Rev.21), седьмое пересмотренное издание Руководства по испытаниям и критериям (ST/SG/AC.10/11/Rev.7) и восьмое пересмотренное издание Согласованной на глобальном уровне системы классификации опасности и маркировки химической продукции (СГС) (ST/SG/AC.10/30/Rev.8) на всех официальных языках Организации Объединенных Наций.</w:t>
      </w:r>
    </w:p>
    <w:p w14:paraId="57549D08" w14:textId="77777777" w:rsidR="00C81C4F" w:rsidRPr="00C81C4F" w:rsidRDefault="00C81C4F" w:rsidP="00535088">
      <w:pPr>
        <w:pStyle w:val="SingleTxtG"/>
        <w:pageBreakBefore/>
      </w:pPr>
      <w:r w:rsidRPr="00C81C4F">
        <w:lastRenderedPageBreak/>
        <w:t>9.</w:t>
      </w:r>
      <w:r w:rsidRPr="00C81C4F">
        <w:tab/>
        <w:t>Было также отмечено, что эти три издания имеются также в электронной форме:</w:t>
      </w:r>
    </w:p>
    <w:p w14:paraId="64191658" w14:textId="59053DE0" w:rsidR="00C81C4F" w:rsidRPr="00C81C4F" w:rsidRDefault="00535088" w:rsidP="007475BF">
      <w:pPr>
        <w:pStyle w:val="SingleTxtG"/>
      </w:pPr>
      <w:r>
        <w:tab/>
      </w:r>
      <w:r w:rsidR="00C81C4F" w:rsidRPr="00C81C4F">
        <w:t>a)</w:t>
      </w:r>
      <w:r w:rsidR="00C81C4F" w:rsidRPr="00C81C4F">
        <w:tab/>
        <w:t xml:space="preserve">на веб-сайте Отдела </w:t>
      </w:r>
      <w:r w:rsidR="00C81C4F" w:rsidRPr="007475BF">
        <w:t>устойчивого</w:t>
      </w:r>
      <w:r w:rsidR="00C81C4F" w:rsidRPr="00C81C4F">
        <w:t xml:space="preserve"> транспорта Европейской экономической комиссии Организации Объединенных Наций (</w:t>
      </w:r>
      <w:r w:rsidR="00C81C4F" w:rsidRPr="00D87FC3">
        <w:t>unece.org/</w:t>
      </w:r>
      <w:proofErr w:type="spellStart"/>
      <w:r w:rsidR="00C81C4F" w:rsidRPr="00D87FC3">
        <w:t>transport</w:t>
      </w:r>
      <w:proofErr w:type="spellEnd"/>
      <w:r w:rsidR="00C81C4F" w:rsidRPr="00D87FC3">
        <w:t>/</w:t>
      </w:r>
      <w:r w:rsidR="007475BF" w:rsidRPr="00D87FC3">
        <w:t xml:space="preserve"> </w:t>
      </w:r>
      <w:proofErr w:type="spellStart"/>
      <w:r w:rsidR="00C81C4F" w:rsidRPr="00D87FC3">
        <w:t>dangerous-goods</w:t>
      </w:r>
      <w:proofErr w:type="spellEnd"/>
      <w:r w:rsidR="00C81C4F" w:rsidRPr="00C81C4F">
        <w:t>); и</w:t>
      </w:r>
    </w:p>
    <w:p w14:paraId="317B1106" w14:textId="77777777" w:rsidR="00C81C4F" w:rsidRPr="00C81C4F" w:rsidRDefault="00C81C4F" w:rsidP="00C81C4F">
      <w:pPr>
        <w:pStyle w:val="SingleTxtG"/>
        <w:ind w:left="2268" w:hanging="567"/>
      </w:pPr>
      <w:r w:rsidRPr="00C81C4F">
        <w:t>b)</w:t>
      </w:r>
      <w:r w:rsidRPr="00C81C4F">
        <w:tab/>
        <w:t xml:space="preserve">отдельно в формате </w:t>
      </w:r>
      <w:proofErr w:type="spellStart"/>
      <w:r w:rsidRPr="00C81C4F">
        <w:t>pdf</w:t>
      </w:r>
      <w:proofErr w:type="spellEnd"/>
      <w:r w:rsidRPr="00C81C4F">
        <w:t xml:space="preserve"> в качестве изданий для продажи.</w:t>
      </w:r>
    </w:p>
    <w:p w14:paraId="5948F1F6" w14:textId="77777777" w:rsidR="00C81C4F" w:rsidRPr="00C81C4F" w:rsidRDefault="00C81C4F" w:rsidP="00C81C4F">
      <w:pPr>
        <w:pStyle w:val="HChG"/>
      </w:pPr>
      <w:r w:rsidRPr="00C81C4F">
        <w:tab/>
        <w:t>V.</w:t>
      </w:r>
      <w:r w:rsidRPr="00C81C4F">
        <w:tab/>
      </w:r>
      <w:r w:rsidRPr="00C81C4F">
        <w:rPr>
          <w:bCs/>
        </w:rPr>
        <w:t>Работа Подкомитета экспертов по перевозке опасных грузов в течение двухгодичного периода 2019−2020 годов (пункт 4 повестки дня)</w:t>
      </w:r>
    </w:p>
    <w:p w14:paraId="5E7761F4" w14:textId="7569A9D8" w:rsidR="00C81C4F" w:rsidRPr="00C81C4F" w:rsidRDefault="00C81C4F" w:rsidP="007475BF">
      <w:pPr>
        <w:pStyle w:val="SingleTxtG"/>
        <w:tabs>
          <w:tab w:val="clear" w:pos="2268"/>
          <w:tab w:val="left" w:pos="2552"/>
          <w:tab w:val="left" w:pos="2800"/>
          <w:tab w:val="left" w:pos="3402"/>
        </w:tabs>
        <w:ind w:left="2552" w:hanging="1418"/>
        <w:jc w:val="left"/>
        <w:rPr>
          <w:lang w:val="en-US"/>
        </w:rPr>
      </w:pPr>
      <w:r w:rsidRPr="00C81C4F">
        <w:rPr>
          <w:i/>
          <w:iCs/>
        </w:rPr>
        <w:t>Документы</w:t>
      </w:r>
      <w:r w:rsidRPr="007475BF">
        <w:rPr>
          <w:lang w:val="en-US"/>
        </w:rPr>
        <w:t>:</w:t>
      </w:r>
      <w:r w:rsidRPr="007475BF">
        <w:rPr>
          <w:lang w:val="en-US"/>
        </w:rPr>
        <w:tab/>
      </w:r>
      <w:r w:rsidRPr="00C81C4F">
        <w:rPr>
          <w:lang w:val="en-US"/>
        </w:rPr>
        <w:t>ST</w:t>
      </w:r>
      <w:r w:rsidRPr="007475BF">
        <w:rPr>
          <w:lang w:val="en-US"/>
        </w:rPr>
        <w:t>/</w:t>
      </w:r>
      <w:r w:rsidRPr="00C81C4F">
        <w:rPr>
          <w:lang w:val="en-US"/>
        </w:rPr>
        <w:t>SG</w:t>
      </w:r>
      <w:r w:rsidRPr="007475BF">
        <w:rPr>
          <w:lang w:val="en-US"/>
        </w:rPr>
        <w:t>/</w:t>
      </w:r>
      <w:r w:rsidRPr="00C81C4F">
        <w:rPr>
          <w:lang w:val="en-US"/>
        </w:rPr>
        <w:t>AC</w:t>
      </w:r>
      <w:r w:rsidRPr="007475BF">
        <w:rPr>
          <w:lang w:val="en-US"/>
        </w:rPr>
        <w:t>.10/</w:t>
      </w:r>
      <w:r w:rsidRPr="00C81C4F">
        <w:rPr>
          <w:lang w:val="en-US"/>
        </w:rPr>
        <w:t>C</w:t>
      </w:r>
      <w:r w:rsidRPr="007475BF">
        <w:rPr>
          <w:lang w:val="en-US"/>
        </w:rPr>
        <w:t xml:space="preserve">.3/108 </w:t>
      </w:r>
      <w:r w:rsidRPr="00C81C4F">
        <w:t>и</w:t>
      </w:r>
      <w:r w:rsidRPr="007475BF">
        <w:rPr>
          <w:lang w:val="en-US"/>
        </w:rPr>
        <w:t xml:space="preserve"> </w:t>
      </w:r>
      <w:r w:rsidRPr="00C81C4F">
        <w:rPr>
          <w:lang w:val="en-US"/>
        </w:rPr>
        <w:t>Add</w:t>
      </w:r>
      <w:r w:rsidRPr="007475BF">
        <w:rPr>
          <w:lang w:val="en-US"/>
        </w:rPr>
        <w:t>.1</w:t>
      </w:r>
      <w:r w:rsidR="00535088" w:rsidRPr="007475BF">
        <w:rPr>
          <w:lang w:val="en-US"/>
        </w:rPr>
        <w:br/>
      </w:r>
      <w:r w:rsidRPr="00C81C4F">
        <w:rPr>
          <w:lang w:val="en-US"/>
        </w:rPr>
        <w:t xml:space="preserve">ST/SG/AC.10/C.3/110 </w:t>
      </w:r>
      <w:r w:rsidRPr="00C81C4F">
        <w:t>и</w:t>
      </w:r>
      <w:r w:rsidRPr="00C81C4F">
        <w:rPr>
          <w:lang w:val="en-US"/>
        </w:rPr>
        <w:t xml:space="preserve"> Add.1</w:t>
      </w:r>
      <w:r w:rsidR="00535088">
        <w:rPr>
          <w:lang w:val="en-US"/>
        </w:rPr>
        <w:br/>
      </w:r>
      <w:r w:rsidRPr="00C81C4F">
        <w:rPr>
          <w:lang w:val="en-US"/>
        </w:rPr>
        <w:t xml:space="preserve">ST/SG/AC.10/C.3/112 </w:t>
      </w:r>
      <w:r w:rsidRPr="00C81C4F">
        <w:t>и</w:t>
      </w:r>
      <w:r w:rsidRPr="00C81C4F">
        <w:rPr>
          <w:lang w:val="en-US"/>
        </w:rPr>
        <w:t xml:space="preserve"> Add.1</w:t>
      </w:r>
      <w:r w:rsidR="00535088">
        <w:rPr>
          <w:lang w:val="en-US"/>
        </w:rPr>
        <w:br/>
      </w:r>
      <w:r w:rsidRPr="00C81C4F">
        <w:rPr>
          <w:lang w:val="en-US"/>
        </w:rPr>
        <w:t xml:space="preserve">ST/SG/AC.10/C.3/2020/R.1 </w:t>
      </w:r>
      <w:r w:rsidRPr="00C81C4F">
        <w:t>и</w:t>
      </w:r>
      <w:r w:rsidRPr="00C81C4F">
        <w:rPr>
          <w:lang w:val="en-US"/>
        </w:rPr>
        <w:t xml:space="preserve"> Add.1–7</w:t>
      </w:r>
      <w:r w:rsidR="00535088">
        <w:rPr>
          <w:lang w:val="en-US"/>
        </w:rPr>
        <w:br/>
      </w:r>
      <w:r w:rsidRPr="00C81C4F">
        <w:rPr>
          <w:lang w:val="en-US"/>
        </w:rPr>
        <w:t xml:space="preserve">ST/SG/AC.10/C.3/2020/R.2 </w:t>
      </w:r>
      <w:r w:rsidRPr="00C81C4F">
        <w:t>и</w:t>
      </w:r>
      <w:r w:rsidRPr="00C81C4F">
        <w:rPr>
          <w:lang w:val="en-US"/>
        </w:rPr>
        <w:t xml:space="preserve"> Add.1–3</w:t>
      </w:r>
    </w:p>
    <w:p w14:paraId="24F5A396" w14:textId="7B82CE11" w:rsidR="00C81C4F" w:rsidRPr="00C81C4F" w:rsidRDefault="00C81C4F" w:rsidP="00C81C4F">
      <w:pPr>
        <w:pStyle w:val="SingleTxtG"/>
      </w:pPr>
      <w:r w:rsidRPr="00C81C4F">
        <w:t>10.</w:t>
      </w:r>
      <w:r w:rsidRPr="00C81C4F">
        <w:tab/>
        <w:t xml:space="preserve">Комитет принял к сведению доклады Подкомитета экспертов по перевозке опасных грузов (Подкомитет по ПОГ) о работе его пятьдесят четвертой, пятьдесят пятой и пятьдесят шестой сессий. Комитет также отметил, что Подкомитет утвердил доклад о работе своей пятьдесят седьмой сессии (30 ноября </w:t>
      </w:r>
      <w:r w:rsidR="007475BF" w:rsidRPr="005D7DAA">
        <w:t>—</w:t>
      </w:r>
      <w:r w:rsidRPr="00C81C4F">
        <w:t xml:space="preserve"> 8 декабря 2020 года)</w:t>
      </w:r>
      <w:r w:rsidR="00220598">
        <w:br/>
      </w:r>
      <w:r w:rsidRPr="00C81C4F">
        <w:t>на основе проекта, подготовленного секретариатом (ST/SG/AC.10/C.3/2020/R.1</w:t>
      </w:r>
      <w:r w:rsidR="00220598">
        <w:br/>
      </w:r>
      <w:r w:rsidRPr="00C81C4F">
        <w:t>и Add.1–7 и -/R.2 и Add.1–3), с некоторыми дополнительными изменениями. Окончательный доклад см. в документе ST/SG/AC.10/C.3/114 и Add.1.</w:t>
      </w:r>
    </w:p>
    <w:p w14:paraId="7E917214" w14:textId="77777777" w:rsidR="00C81C4F" w:rsidRPr="00C81C4F" w:rsidRDefault="00C81C4F" w:rsidP="00C81C4F">
      <w:pPr>
        <w:pStyle w:val="SingleTxtG"/>
      </w:pPr>
      <w:r w:rsidRPr="00C81C4F">
        <w:t>11.</w:t>
      </w:r>
      <w:r w:rsidRPr="00C81C4F">
        <w:tab/>
        <w:t>Комитет одобрил доклады Подкомитета, включая поправки к существующим рекомендациям по перевозке опасных грузов и предложенные новые рекомендации (см. приложения I и II).</w:t>
      </w:r>
    </w:p>
    <w:p w14:paraId="2CD25923" w14:textId="77777777" w:rsidR="00C81C4F" w:rsidRPr="00C81C4F" w:rsidRDefault="00C81C4F" w:rsidP="00C81C4F">
      <w:pPr>
        <w:pStyle w:val="HChG"/>
      </w:pPr>
      <w:r w:rsidRPr="00C81C4F">
        <w:tab/>
        <w:t>VI.</w:t>
      </w:r>
      <w:r w:rsidRPr="00C81C4F">
        <w:tab/>
      </w:r>
      <w:r w:rsidRPr="00C81C4F">
        <w:rPr>
          <w:bCs/>
        </w:rPr>
        <w:t>Работа Подкомитета экспертов по Согласованной</w:t>
      </w:r>
      <w:r w:rsidR="00311DA8">
        <w:rPr>
          <w:bCs/>
        </w:rPr>
        <w:br/>
      </w:r>
      <w:r w:rsidRPr="00C81C4F">
        <w:rPr>
          <w:bCs/>
        </w:rPr>
        <w:t>на глобальном уровне системе классификации опасности и маркировки химической продукции в течение двухгодичного периода 2019−2020 годов</w:t>
      </w:r>
      <w:r w:rsidR="00311DA8">
        <w:rPr>
          <w:bCs/>
        </w:rPr>
        <w:br/>
      </w:r>
      <w:r w:rsidRPr="00C81C4F">
        <w:rPr>
          <w:bCs/>
        </w:rPr>
        <w:t>(пункт 5 повестки дня)</w:t>
      </w:r>
    </w:p>
    <w:p w14:paraId="1CB24E89" w14:textId="77777777" w:rsidR="00C81C4F" w:rsidRPr="00C81C4F" w:rsidRDefault="00C81C4F" w:rsidP="00EF0865">
      <w:pPr>
        <w:pStyle w:val="SingleTxtG"/>
        <w:tabs>
          <w:tab w:val="clear" w:pos="2268"/>
          <w:tab w:val="left" w:pos="2552"/>
          <w:tab w:val="left" w:pos="2800"/>
          <w:tab w:val="left" w:pos="3402"/>
        </w:tabs>
        <w:ind w:left="2552" w:hanging="1418"/>
        <w:jc w:val="left"/>
        <w:rPr>
          <w:lang w:val="en-US"/>
        </w:rPr>
      </w:pPr>
      <w:r w:rsidRPr="00C81C4F">
        <w:rPr>
          <w:i/>
          <w:iCs/>
        </w:rPr>
        <w:t>Документы</w:t>
      </w:r>
      <w:r w:rsidRPr="00EF0865">
        <w:rPr>
          <w:lang w:val="en-US"/>
        </w:rPr>
        <w:t>:</w:t>
      </w:r>
      <w:r w:rsidRPr="00EF0865">
        <w:rPr>
          <w:lang w:val="en-US"/>
        </w:rPr>
        <w:tab/>
      </w:r>
      <w:r w:rsidRPr="00C81C4F">
        <w:rPr>
          <w:lang w:val="en-US"/>
        </w:rPr>
        <w:t>ST</w:t>
      </w:r>
      <w:r w:rsidRPr="00EF0865">
        <w:rPr>
          <w:lang w:val="en-US"/>
        </w:rPr>
        <w:t>/</w:t>
      </w:r>
      <w:r w:rsidRPr="00C81C4F">
        <w:rPr>
          <w:lang w:val="en-US"/>
        </w:rPr>
        <w:t>SG</w:t>
      </w:r>
      <w:r w:rsidRPr="00EF0865">
        <w:rPr>
          <w:lang w:val="en-US"/>
        </w:rPr>
        <w:t>/</w:t>
      </w:r>
      <w:r w:rsidRPr="00C81C4F">
        <w:rPr>
          <w:lang w:val="en-US"/>
        </w:rPr>
        <w:t>AC</w:t>
      </w:r>
      <w:r w:rsidRPr="00EF0865">
        <w:rPr>
          <w:lang w:val="en-US"/>
        </w:rPr>
        <w:t>.10/</w:t>
      </w:r>
      <w:r w:rsidRPr="00C81C4F">
        <w:rPr>
          <w:lang w:val="en-US"/>
        </w:rPr>
        <w:t>C</w:t>
      </w:r>
      <w:r w:rsidRPr="00EF0865">
        <w:rPr>
          <w:lang w:val="en-US"/>
        </w:rPr>
        <w:t>.4/72</w:t>
      </w:r>
      <w:r w:rsidR="00EF0865" w:rsidRPr="00EF0865">
        <w:rPr>
          <w:lang w:val="en-US"/>
        </w:rPr>
        <w:br/>
      </w:r>
      <w:r w:rsidRPr="00C81C4F">
        <w:rPr>
          <w:lang w:val="en-US"/>
        </w:rPr>
        <w:t>ST/SG/AC.10/C.4/74</w:t>
      </w:r>
      <w:r w:rsidR="00EF0865">
        <w:rPr>
          <w:lang w:val="en-US"/>
        </w:rPr>
        <w:br/>
      </w:r>
      <w:r w:rsidRPr="00C81C4F">
        <w:rPr>
          <w:lang w:val="en-US"/>
        </w:rPr>
        <w:t>ST/SG/AC.10/C.4/76</w:t>
      </w:r>
      <w:r w:rsidR="00EF0865">
        <w:rPr>
          <w:lang w:val="en-US"/>
        </w:rPr>
        <w:br/>
      </w:r>
      <w:r w:rsidRPr="00C81C4F">
        <w:rPr>
          <w:lang w:val="en-US"/>
        </w:rPr>
        <w:t xml:space="preserve">ST/SG/AC.10/C.4/2020/R.1 </w:t>
      </w:r>
      <w:r w:rsidRPr="00C81C4F">
        <w:t>и</w:t>
      </w:r>
      <w:r w:rsidRPr="00C81C4F">
        <w:rPr>
          <w:lang w:val="en-US"/>
        </w:rPr>
        <w:t xml:space="preserve"> Add.1</w:t>
      </w:r>
      <w:r w:rsidR="00EF0865">
        <w:rPr>
          <w:lang w:val="en-US"/>
        </w:rPr>
        <w:br/>
      </w:r>
      <w:r w:rsidRPr="00C81C4F">
        <w:rPr>
          <w:lang w:val="en-US"/>
        </w:rPr>
        <w:t xml:space="preserve">ST/SG/AC.10/C.4/2020/R.2, Add.1 </w:t>
      </w:r>
      <w:r w:rsidRPr="00C81C4F">
        <w:t>и</w:t>
      </w:r>
      <w:r w:rsidRPr="00C81C4F">
        <w:rPr>
          <w:lang w:val="en-US"/>
        </w:rPr>
        <w:t xml:space="preserve"> Add.2</w:t>
      </w:r>
    </w:p>
    <w:p w14:paraId="7F7BA7CC" w14:textId="77777777" w:rsidR="00C81C4F" w:rsidRPr="00C81C4F" w:rsidRDefault="00C81C4F" w:rsidP="00C81C4F">
      <w:pPr>
        <w:pStyle w:val="SingleTxtG"/>
      </w:pPr>
      <w:r w:rsidRPr="00C81C4F">
        <w:t>12.</w:t>
      </w:r>
      <w:r w:rsidRPr="00C81C4F">
        <w:tab/>
        <w:t>Комитет принял к сведению доклады Подкомитета экспертов по Согласованной на глобальном уровне системе классификации опасности и маркировки химической продукции (Подкомитет по СГС) о работе его тридцать шестой, тридцать седьмой и тридцать восьмой сессий. Комитет также отметил, что Подкомитет утвердил доклад о работе своей тридцать девятой сессии (9–11 декабря 2020 года) на основе проекта, подготовленного секретариатом (ST/SG/AC.10/C.4/2020/R.1 и Add.1 и -/R.2, Add.1</w:t>
      </w:r>
      <w:r w:rsidR="00EF0865">
        <w:br/>
      </w:r>
      <w:r w:rsidRPr="00C81C4F">
        <w:t>и Add.2), с некоторыми изменениями. Окончательный доклад см. в документе ST/SG/ ST/SG/AC.10/C.4/78.</w:t>
      </w:r>
    </w:p>
    <w:p w14:paraId="45E128A2" w14:textId="77777777" w:rsidR="002C7354" w:rsidRDefault="00C81C4F" w:rsidP="00EF0865">
      <w:pPr>
        <w:pStyle w:val="SingleTxtG"/>
      </w:pPr>
      <w:r w:rsidRPr="00C81C4F">
        <w:t>13.</w:t>
      </w:r>
      <w:r w:rsidRPr="00C81C4F">
        <w:tab/>
        <w:t>Комитет одобрил доклады Подкомитета, включая поправки к существующему тексту СГС и принятые новые положения (см. приложение III).</w:t>
      </w:r>
    </w:p>
    <w:p w14:paraId="69E09B80" w14:textId="77777777" w:rsidR="00311DA8" w:rsidRPr="000F7C94" w:rsidRDefault="00311DA8" w:rsidP="00311DA8">
      <w:pPr>
        <w:pStyle w:val="HChG"/>
        <w:keepNext w:val="0"/>
        <w:keepLines w:val="0"/>
        <w:pageBreakBefore/>
        <w:rPr>
          <w:bCs/>
        </w:rPr>
      </w:pPr>
      <w:r>
        <w:lastRenderedPageBreak/>
        <w:tab/>
        <w:t>VII.</w:t>
      </w:r>
      <w:r>
        <w:tab/>
      </w:r>
      <w:r>
        <w:rPr>
          <w:bCs/>
        </w:rPr>
        <w:t>Программа работы на двухгодичный период</w:t>
      </w:r>
      <w:r>
        <w:rPr>
          <w:bCs/>
        </w:rPr>
        <w:br/>
        <w:t>2021</w:t>
      </w:r>
      <w:r w:rsidRPr="009D03ED">
        <w:rPr>
          <w:bCs/>
        </w:rPr>
        <w:t>–</w:t>
      </w:r>
      <w:r>
        <w:rPr>
          <w:bCs/>
        </w:rPr>
        <w:t>2022 годов (пункт 6 повестки дня)</w:t>
      </w:r>
    </w:p>
    <w:p w14:paraId="68BA76BB" w14:textId="77777777" w:rsidR="00311DA8" w:rsidRPr="000F7C94" w:rsidRDefault="00311DA8" w:rsidP="00311DA8">
      <w:pPr>
        <w:pStyle w:val="H1G"/>
        <w:keepNext w:val="0"/>
        <w:keepLines w:val="0"/>
      </w:pPr>
      <w:r>
        <w:tab/>
        <w:t>a)</w:t>
      </w:r>
      <w:r>
        <w:tab/>
      </w:r>
      <w:r>
        <w:rPr>
          <w:bCs/>
        </w:rPr>
        <w:t>Программа работы</w:t>
      </w:r>
    </w:p>
    <w:p w14:paraId="5469E017" w14:textId="77777777" w:rsidR="00311DA8" w:rsidRPr="000F7C94" w:rsidRDefault="00311DA8" w:rsidP="00311DA8">
      <w:pPr>
        <w:pStyle w:val="SingleTxtG"/>
        <w:tabs>
          <w:tab w:val="clear" w:pos="2268"/>
          <w:tab w:val="left" w:pos="2552"/>
          <w:tab w:val="left" w:pos="2800"/>
          <w:tab w:val="left" w:pos="3402"/>
        </w:tabs>
        <w:ind w:left="1701" w:hanging="567"/>
        <w:jc w:val="left"/>
      </w:pPr>
      <w:r>
        <w:rPr>
          <w:i/>
          <w:iCs/>
        </w:rPr>
        <w:t>Неофициальный документ</w:t>
      </w:r>
      <w:r>
        <w:t>:</w:t>
      </w:r>
      <w:r>
        <w:tab/>
        <w:t>INF.1 (секретариат)</w:t>
      </w:r>
    </w:p>
    <w:p w14:paraId="7CC6AB5E" w14:textId="77777777" w:rsidR="00311DA8" w:rsidRPr="000F7C94" w:rsidRDefault="00311DA8" w:rsidP="00311DA8">
      <w:pPr>
        <w:pStyle w:val="SingleTxtG"/>
      </w:pPr>
      <w:r>
        <w:t>14.</w:t>
      </w:r>
      <w:r>
        <w:tab/>
        <w:t>Комитет одобрил программу работы обоих подкомитетов, содержащуюся в документе ST/SG/AC.10/C.3/114, пункт 120, и документе ST/SG/AC.10/C.4/78, приложение II.</w:t>
      </w:r>
    </w:p>
    <w:p w14:paraId="6CA92D42" w14:textId="77777777" w:rsidR="00311DA8" w:rsidRPr="000F7C94" w:rsidRDefault="00311DA8" w:rsidP="00311DA8">
      <w:pPr>
        <w:pStyle w:val="H1G"/>
      </w:pPr>
      <w:r>
        <w:tab/>
        <w:t>b)</w:t>
      </w:r>
      <w:r>
        <w:tab/>
      </w:r>
      <w:r w:rsidRPr="00311DA8">
        <w:t>Расписание</w:t>
      </w:r>
      <w:r>
        <w:t xml:space="preserve"> совещаний</w:t>
      </w:r>
    </w:p>
    <w:p w14:paraId="313A1D69" w14:textId="77777777" w:rsidR="00311DA8" w:rsidRPr="000F7C94" w:rsidRDefault="00311DA8" w:rsidP="00311DA8">
      <w:pPr>
        <w:pStyle w:val="SingleTxtG"/>
      </w:pPr>
      <w:r>
        <w:t>15.</w:t>
      </w:r>
      <w:r>
        <w:tab/>
        <w:t>На своей седьмой сессии Комитет согласился предоставить подкомитетам по ПОГ и СГС возможность для проведения совместных заседаний, с тем чтобы избежать дублирования обсуждений и содействовать обмену знаниями и опытом по вопросам, представляющим общий интерес</w:t>
      </w:r>
      <w:r>
        <w:rPr>
          <w:rStyle w:val="FootnoteReference"/>
        </w:rPr>
        <w:footnoteReference w:id="4"/>
      </w:r>
      <w:r>
        <w:t>. Впоследствии подкомитеты провели три совместных заседания (9 декабря 2015 года</w:t>
      </w:r>
      <w:r>
        <w:rPr>
          <w:rStyle w:val="FootnoteReference"/>
        </w:rPr>
        <w:footnoteReference w:id="5"/>
      </w:r>
      <w:r>
        <w:t>, 5 июля 2016 года</w:t>
      </w:r>
      <w:r>
        <w:rPr>
          <w:rStyle w:val="FootnoteReference"/>
        </w:rPr>
        <w:footnoteReference w:id="6"/>
      </w:r>
      <w:r>
        <w:t>, 3 июля 2018 года</w:t>
      </w:r>
      <w:r>
        <w:rPr>
          <w:rStyle w:val="FootnoteReference"/>
        </w:rPr>
        <w:footnoteReference w:id="7"/>
      </w:r>
      <w:r>
        <w:t>).</w:t>
      </w:r>
    </w:p>
    <w:p w14:paraId="1D87164B" w14:textId="77777777" w:rsidR="00311DA8" w:rsidRPr="000F7C94" w:rsidRDefault="00311DA8" w:rsidP="00311DA8">
      <w:pPr>
        <w:pStyle w:val="SingleTxtG"/>
      </w:pPr>
      <w:r>
        <w:t>16.</w:t>
      </w:r>
      <w:r>
        <w:tab/>
        <w:t xml:space="preserve">С учетом того, что совместные заседания оказались успешными в плане расширения сотрудничества между двумя подкомитетами и решения вопросов, представляющих общий интерес, Комитет постановил, что совместные заседания двух подкомитетов могут по-прежнему созываться на второй и третьей сессиях каждого двухгодичного периода. Время, выделяемое для совместных заседаний, будет определяться председателями обоих подкомитетов и секретариатом на основе числа вопросов, подлежащих рассмотрению. Это не повлечет за собой каких-либо дополнительных расходов по </w:t>
      </w:r>
      <w:proofErr w:type="spellStart"/>
      <w:r>
        <w:t>конференционному</w:t>
      </w:r>
      <w:proofErr w:type="spellEnd"/>
      <w:r>
        <w:t xml:space="preserve"> обслуживанию, поскольку не скажется на общем количестве предусмотренных заседаний.</w:t>
      </w:r>
    </w:p>
    <w:p w14:paraId="626F0A38" w14:textId="77777777" w:rsidR="00311DA8" w:rsidRPr="000F7C94" w:rsidRDefault="00311DA8" w:rsidP="00311DA8">
      <w:pPr>
        <w:pStyle w:val="SingleTxtG"/>
      </w:pPr>
      <w:r>
        <w:t>17.</w:t>
      </w:r>
      <w:r>
        <w:tab/>
        <w:t xml:space="preserve">Будучи проинформирован секретариатом о наличии </w:t>
      </w:r>
      <w:proofErr w:type="spellStart"/>
      <w:r>
        <w:t>конференционных</w:t>
      </w:r>
      <w:proofErr w:type="spellEnd"/>
      <w:r>
        <w:t xml:space="preserve"> помещений, Комитет договорился о следующем графике совещаний</w:t>
      </w:r>
      <w:r>
        <w:br/>
        <w:t>на 2021</w:t>
      </w:r>
      <w:r w:rsidRPr="009D03ED">
        <w:t>–</w:t>
      </w:r>
      <w:r>
        <w:t>2022 годы:</w:t>
      </w:r>
    </w:p>
    <w:p w14:paraId="58E7F16A" w14:textId="77777777" w:rsidR="00311DA8" w:rsidRDefault="00311DA8" w:rsidP="00311DA8">
      <w:pPr>
        <w:pStyle w:val="H4G"/>
        <w:rPr>
          <w:b/>
          <w:bCs/>
          <w:i w:val="0"/>
          <w:iCs/>
        </w:rPr>
      </w:pPr>
      <w:r>
        <w:tab/>
      </w:r>
      <w:r>
        <w:tab/>
      </w:r>
      <w:r w:rsidRPr="00311DA8">
        <w:rPr>
          <w:b/>
          <w:bCs/>
          <w:i w:val="0"/>
          <w:iCs/>
        </w:rPr>
        <w:t>2021 год</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8"/>
      </w:tblGrid>
      <w:tr w:rsidR="00311DA8" w14:paraId="2B266328" w14:textId="77777777" w:rsidTr="00971FDB">
        <w:trPr>
          <w:trHeight w:val="607"/>
        </w:trPr>
        <w:tc>
          <w:tcPr>
            <w:tcW w:w="3544" w:type="dxa"/>
          </w:tcPr>
          <w:p w14:paraId="55255F00" w14:textId="77777777" w:rsidR="00311DA8" w:rsidRDefault="00311DA8" w:rsidP="00971FDB">
            <w:pPr>
              <w:pStyle w:val="SingleTxtG"/>
              <w:ind w:left="0" w:right="0"/>
              <w:jc w:val="left"/>
              <w:rPr>
                <w:lang w:eastAsia="ru-RU"/>
              </w:rPr>
            </w:pPr>
            <w:bookmarkStart w:id="0" w:name="_Hlk62809268"/>
            <w:r>
              <w:t xml:space="preserve">28 июня </w:t>
            </w:r>
            <w:r w:rsidR="00971FDB" w:rsidRPr="005D7DAA">
              <w:t>—</w:t>
            </w:r>
            <w:r>
              <w:t xml:space="preserve"> 2 июля 2021 года</w:t>
            </w:r>
          </w:p>
        </w:tc>
        <w:tc>
          <w:tcPr>
            <w:tcW w:w="3968" w:type="dxa"/>
          </w:tcPr>
          <w:p w14:paraId="15BA67A2" w14:textId="2492584F" w:rsidR="00311DA8" w:rsidRDefault="00311DA8" w:rsidP="00D87FC3">
            <w:pPr>
              <w:pStyle w:val="SingleTxtG"/>
              <w:ind w:left="0" w:right="0"/>
              <w:jc w:val="left"/>
              <w:rPr>
                <w:lang w:eastAsia="ru-RU"/>
              </w:rPr>
            </w:pPr>
            <w:r>
              <w:t>Подкомитет по ПОГ, пятьдесят восьмая сессия</w:t>
            </w:r>
            <w:r w:rsidR="00D87FC3" w:rsidRPr="00D87FC3">
              <w:t xml:space="preserve"> </w:t>
            </w:r>
            <w:r>
              <w:t>(10 заседаний)</w:t>
            </w:r>
          </w:p>
        </w:tc>
      </w:tr>
      <w:tr w:rsidR="00311DA8" w14:paraId="41ADC05C" w14:textId="77777777" w:rsidTr="00971FDB">
        <w:trPr>
          <w:trHeight w:val="607"/>
        </w:trPr>
        <w:tc>
          <w:tcPr>
            <w:tcW w:w="3544" w:type="dxa"/>
          </w:tcPr>
          <w:p w14:paraId="7AB6BCEF" w14:textId="77777777" w:rsidR="00311DA8" w:rsidRDefault="00311DA8" w:rsidP="00311DA8">
            <w:pPr>
              <w:pStyle w:val="SingleTxtG"/>
              <w:ind w:left="0" w:right="0"/>
              <w:jc w:val="left"/>
              <w:rPr>
                <w:lang w:eastAsia="ru-RU"/>
              </w:rPr>
            </w:pPr>
            <w:r>
              <w:t>5–7 (первая половина дня) июля</w:t>
            </w:r>
            <w:r w:rsidR="00971FDB">
              <w:br/>
            </w:r>
            <w:r>
              <w:t>2021 года</w:t>
            </w:r>
          </w:p>
        </w:tc>
        <w:tc>
          <w:tcPr>
            <w:tcW w:w="3968" w:type="dxa"/>
          </w:tcPr>
          <w:p w14:paraId="4F7B20FF" w14:textId="77777777" w:rsidR="00311DA8" w:rsidRDefault="00311DA8" w:rsidP="00D87FC3">
            <w:pPr>
              <w:pStyle w:val="SingleTxtG"/>
              <w:ind w:left="0" w:right="0"/>
              <w:jc w:val="left"/>
              <w:rPr>
                <w:lang w:eastAsia="ru-RU"/>
              </w:rPr>
            </w:pPr>
            <w:r>
              <w:t>Подкомитет по СГС, сороковая сессия</w:t>
            </w:r>
            <w:r w:rsidR="00971FDB">
              <w:br/>
            </w:r>
            <w:r>
              <w:t>(5 заседаний)</w:t>
            </w:r>
          </w:p>
        </w:tc>
      </w:tr>
      <w:tr w:rsidR="00311DA8" w14:paraId="383168F8" w14:textId="77777777" w:rsidTr="00971FDB">
        <w:trPr>
          <w:trHeight w:val="849"/>
        </w:trPr>
        <w:tc>
          <w:tcPr>
            <w:tcW w:w="3544" w:type="dxa"/>
          </w:tcPr>
          <w:p w14:paraId="41B96E93" w14:textId="77777777" w:rsidR="00311DA8" w:rsidRDefault="00311DA8" w:rsidP="00311DA8">
            <w:pPr>
              <w:pStyle w:val="SingleTxtG"/>
              <w:ind w:left="0" w:right="0"/>
              <w:jc w:val="left"/>
              <w:rPr>
                <w:lang w:eastAsia="ru-RU"/>
              </w:rPr>
            </w:pPr>
            <w:r>
              <w:t xml:space="preserve">29 ноября </w:t>
            </w:r>
            <w:r w:rsidR="00971FDB" w:rsidRPr="005D7DAA">
              <w:t>—</w:t>
            </w:r>
            <w:r w:rsidR="00971FDB">
              <w:br/>
            </w:r>
            <w:r>
              <w:t>8 (первая половина дня)</w:t>
            </w:r>
            <w:r w:rsidRPr="00E21CAA">
              <w:rPr>
                <w:vertAlign w:val="superscript"/>
              </w:rPr>
              <w:footnoteReference w:id="8"/>
            </w:r>
            <w:r>
              <w:t xml:space="preserve"> декабря</w:t>
            </w:r>
            <w:r>
              <w:br/>
              <w:t>2021 года</w:t>
            </w:r>
          </w:p>
        </w:tc>
        <w:tc>
          <w:tcPr>
            <w:tcW w:w="3968" w:type="dxa"/>
          </w:tcPr>
          <w:p w14:paraId="01D3DF7D" w14:textId="0643D161" w:rsidR="00311DA8" w:rsidRDefault="00971FDB" w:rsidP="00D87FC3">
            <w:pPr>
              <w:pStyle w:val="SingleTxtG"/>
              <w:ind w:left="0" w:right="0"/>
              <w:jc w:val="left"/>
              <w:rPr>
                <w:lang w:eastAsia="ru-RU"/>
              </w:rPr>
            </w:pPr>
            <w:r>
              <w:t>Подкомитет по ПОГ, пятьдесят девятая сессия</w:t>
            </w:r>
            <w:r w:rsidR="00D87FC3" w:rsidRPr="00D87FC3">
              <w:t xml:space="preserve"> </w:t>
            </w:r>
            <w:r>
              <w:t>(15 заседаний)</w:t>
            </w:r>
          </w:p>
        </w:tc>
      </w:tr>
      <w:tr w:rsidR="00311DA8" w14:paraId="0D2FFD34" w14:textId="77777777" w:rsidTr="00971FDB">
        <w:trPr>
          <w:trHeight w:val="607"/>
        </w:trPr>
        <w:tc>
          <w:tcPr>
            <w:tcW w:w="3544" w:type="dxa"/>
          </w:tcPr>
          <w:p w14:paraId="5A94D287" w14:textId="58D605EC" w:rsidR="00311DA8" w:rsidRDefault="00971FDB" w:rsidP="00971FDB">
            <w:pPr>
              <w:pStyle w:val="SingleTxtG"/>
              <w:ind w:left="0" w:right="0"/>
              <w:jc w:val="left"/>
              <w:rPr>
                <w:lang w:eastAsia="ru-RU"/>
              </w:rPr>
            </w:pPr>
            <w:r>
              <w:lastRenderedPageBreak/>
              <w:t>8 (вторая половина дня)</w:t>
            </w:r>
            <w:r w:rsidR="000A2F42" w:rsidRPr="000A2F42">
              <w:rPr>
                <w:sz w:val="18"/>
                <w:szCs w:val="18"/>
                <w:vertAlign w:val="superscript"/>
              </w:rPr>
              <w:t>5</w:t>
            </w:r>
            <w:r>
              <w:t xml:space="preserve"> </w:t>
            </w:r>
            <w:r w:rsidRPr="005D7DAA">
              <w:t>—</w:t>
            </w:r>
            <w:r>
              <w:br/>
              <w:t>10 декабря 2021 года</w:t>
            </w:r>
          </w:p>
        </w:tc>
        <w:tc>
          <w:tcPr>
            <w:tcW w:w="3968" w:type="dxa"/>
          </w:tcPr>
          <w:p w14:paraId="1A5D6D1F" w14:textId="77777777" w:rsidR="00311DA8" w:rsidRDefault="00971FDB" w:rsidP="00D87FC3">
            <w:pPr>
              <w:pStyle w:val="SingleTxtG"/>
              <w:ind w:left="0" w:right="0"/>
              <w:jc w:val="left"/>
              <w:rPr>
                <w:lang w:eastAsia="ru-RU"/>
              </w:rPr>
            </w:pPr>
            <w:r>
              <w:t>Подкомитет по СГС, сорок первая сессия</w:t>
            </w:r>
            <w:r>
              <w:br/>
              <w:t>(5 заседаний)</w:t>
            </w:r>
          </w:p>
        </w:tc>
      </w:tr>
    </w:tbl>
    <w:p w14:paraId="05117D8D" w14:textId="77777777" w:rsidR="00311DA8" w:rsidRPr="000F7C94" w:rsidRDefault="00311DA8" w:rsidP="00971FDB">
      <w:pPr>
        <w:pStyle w:val="SingleTxtG"/>
        <w:tabs>
          <w:tab w:val="left" w:pos="3969"/>
        </w:tabs>
        <w:ind w:right="992"/>
        <w:jc w:val="left"/>
      </w:pPr>
      <w:bookmarkStart w:id="1" w:name="_Ref530389642"/>
      <w:bookmarkEnd w:id="0"/>
      <w:bookmarkEnd w:id="1"/>
      <w:r w:rsidRPr="00971FDB">
        <w:rPr>
          <w:i/>
        </w:rPr>
        <w:t>Итого</w:t>
      </w:r>
      <w:r>
        <w:rPr>
          <w:iCs/>
        </w:rPr>
        <w:t>:</w:t>
      </w:r>
    </w:p>
    <w:p w14:paraId="0B0A2C8B" w14:textId="246E5454" w:rsidR="00311DA8" w:rsidRPr="00667866" w:rsidRDefault="00311DA8" w:rsidP="00311DA8">
      <w:pPr>
        <w:pStyle w:val="SingleTxtG"/>
      </w:pPr>
      <w:r>
        <w:t>ПОГ: 25 заседаний</w:t>
      </w:r>
      <w:r w:rsidR="000A2F42" w:rsidRPr="00667866">
        <w:rPr>
          <w:sz w:val="18"/>
          <w:szCs w:val="18"/>
          <w:vertAlign w:val="superscript"/>
        </w:rPr>
        <w:t>5</w:t>
      </w:r>
    </w:p>
    <w:p w14:paraId="205B8B51" w14:textId="5BD276C0" w:rsidR="00311DA8" w:rsidRPr="00667866" w:rsidRDefault="00311DA8" w:rsidP="00311DA8">
      <w:pPr>
        <w:pStyle w:val="SingleTxtG"/>
        <w:jc w:val="left"/>
        <w:rPr>
          <w:sz w:val="18"/>
          <w:szCs w:val="18"/>
        </w:rPr>
      </w:pPr>
      <w:r>
        <w:t>СГС: 10 заседаний</w:t>
      </w:r>
      <w:r w:rsidR="000A2F42" w:rsidRPr="00667866">
        <w:rPr>
          <w:sz w:val="18"/>
          <w:szCs w:val="18"/>
          <w:vertAlign w:val="superscript"/>
        </w:rPr>
        <w:t>5</w:t>
      </w:r>
    </w:p>
    <w:p w14:paraId="72FC6C74" w14:textId="77777777" w:rsidR="00311DA8" w:rsidRDefault="00311DA8" w:rsidP="00971FDB">
      <w:pPr>
        <w:pStyle w:val="H4G"/>
        <w:rPr>
          <w:b/>
          <w:bCs/>
          <w:i w:val="0"/>
          <w:iCs/>
        </w:rPr>
      </w:pPr>
      <w:r>
        <w:tab/>
      </w:r>
      <w:r w:rsidRPr="00971FDB">
        <w:rPr>
          <w:b/>
          <w:bCs/>
          <w:i w:val="0"/>
          <w:iCs/>
        </w:rPr>
        <w:tab/>
        <w:t>2022 год</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8"/>
      </w:tblGrid>
      <w:tr w:rsidR="008B43D6" w14:paraId="3A598E04" w14:textId="77777777" w:rsidTr="00E775C0">
        <w:trPr>
          <w:trHeight w:val="607"/>
        </w:trPr>
        <w:tc>
          <w:tcPr>
            <w:tcW w:w="3544" w:type="dxa"/>
          </w:tcPr>
          <w:p w14:paraId="58D989A9" w14:textId="7839519A" w:rsidR="008B43D6" w:rsidRDefault="008B43D6" w:rsidP="00E775C0">
            <w:pPr>
              <w:pStyle w:val="SingleTxtG"/>
              <w:ind w:left="0" w:right="0"/>
              <w:jc w:val="left"/>
              <w:rPr>
                <w:lang w:eastAsia="ru-RU"/>
              </w:rPr>
            </w:pPr>
            <w:r>
              <w:t xml:space="preserve">27 июня </w:t>
            </w:r>
            <w:r w:rsidRPr="005D7DAA">
              <w:t>—</w:t>
            </w:r>
            <w:r>
              <w:t xml:space="preserve"> 6 (первая половина дня)</w:t>
            </w:r>
            <w:r w:rsidR="000A2F42" w:rsidRPr="00DB303C">
              <w:rPr>
                <w:rStyle w:val="FootnoteReference"/>
              </w:rPr>
              <w:t>5</w:t>
            </w:r>
            <w:r>
              <w:t xml:space="preserve"> июля 2022 года</w:t>
            </w:r>
          </w:p>
        </w:tc>
        <w:tc>
          <w:tcPr>
            <w:tcW w:w="3968" w:type="dxa"/>
          </w:tcPr>
          <w:p w14:paraId="2C830B69" w14:textId="77777777" w:rsidR="008B43D6" w:rsidRDefault="008B43D6" w:rsidP="00D87FC3">
            <w:pPr>
              <w:pStyle w:val="SingleTxtG"/>
              <w:ind w:left="0" w:right="0"/>
              <w:jc w:val="left"/>
              <w:rPr>
                <w:lang w:eastAsia="ru-RU"/>
              </w:rPr>
            </w:pPr>
            <w:r>
              <w:t>Подкомитет по ПОГ, шестидесятая сессия</w:t>
            </w:r>
            <w:r>
              <w:br/>
              <w:t>(15 заседаний)</w:t>
            </w:r>
          </w:p>
        </w:tc>
      </w:tr>
      <w:tr w:rsidR="008B43D6" w14:paraId="5F4CE1AA" w14:textId="77777777" w:rsidTr="00E775C0">
        <w:trPr>
          <w:trHeight w:val="607"/>
        </w:trPr>
        <w:tc>
          <w:tcPr>
            <w:tcW w:w="3544" w:type="dxa"/>
          </w:tcPr>
          <w:p w14:paraId="18AA0540" w14:textId="77777777" w:rsidR="008B43D6" w:rsidRDefault="008B43D6" w:rsidP="00E775C0">
            <w:pPr>
              <w:pStyle w:val="SingleTxtG"/>
              <w:ind w:left="0" w:right="0"/>
              <w:jc w:val="left"/>
              <w:rPr>
                <w:lang w:eastAsia="ru-RU"/>
              </w:rPr>
            </w:pPr>
            <w:r>
              <w:t>6 (вторая половина дня)</w:t>
            </w:r>
            <w:r>
              <w:rPr>
                <w:vertAlign w:val="superscript"/>
              </w:rPr>
              <w:t xml:space="preserve">5 </w:t>
            </w:r>
            <w:r w:rsidRPr="005D7DAA">
              <w:t>—</w:t>
            </w:r>
            <w:r>
              <w:t xml:space="preserve"> 8 июля</w:t>
            </w:r>
            <w:r>
              <w:br/>
              <w:t>2022 года</w:t>
            </w:r>
          </w:p>
        </w:tc>
        <w:tc>
          <w:tcPr>
            <w:tcW w:w="3968" w:type="dxa"/>
          </w:tcPr>
          <w:p w14:paraId="4D981AE7" w14:textId="77777777" w:rsidR="008B43D6" w:rsidRDefault="008B43D6" w:rsidP="00D87FC3">
            <w:pPr>
              <w:pStyle w:val="SingleTxtG"/>
              <w:ind w:left="0" w:right="0"/>
              <w:jc w:val="left"/>
              <w:rPr>
                <w:lang w:eastAsia="ru-RU"/>
              </w:rPr>
            </w:pPr>
            <w:r>
              <w:t>Подкомитет по СГС, сорок вторая сессия</w:t>
            </w:r>
            <w:r>
              <w:br/>
              <w:t>(5 заседаний)</w:t>
            </w:r>
          </w:p>
        </w:tc>
      </w:tr>
      <w:tr w:rsidR="008B43D6" w14:paraId="2801867E" w14:textId="77777777" w:rsidTr="00E37504">
        <w:trPr>
          <w:trHeight w:val="581"/>
        </w:trPr>
        <w:tc>
          <w:tcPr>
            <w:tcW w:w="3544" w:type="dxa"/>
          </w:tcPr>
          <w:p w14:paraId="237A171E" w14:textId="5208509A" w:rsidR="008B43D6" w:rsidRDefault="00641688" w:rsidP="00E775C0">
            <w:pPr>
              <w:pStyle w:val="SingleTxtG"/>
              <w:ind w:left="0" w:right="0"/>
              <w:jc w:val="left"/>
              <w:rPr>
                <w:lang w:eastAsia="ru-RU"/>
              </w:rPr>
            </w:pPr>
            <w:r>
              <w:t xml:space="preserve">28 ноября </w:t>
            </w:r>
            <w:r w:rsidRPr="005D7DAA">
              <w:t>—</w:t>
            </w:r>
            <w:r>
              <w:t xml:space="preserve"> 6 декабря 2022 года</w:t>
            </w:r>
          </w:p>
        </w:tc>
        <w:tc>
          <w:tcPr>
            <w:tcW w:w="3968" w:type="dxa"/>
          </w:tcPr>
          <w:p w14:paraId="1DD5A401" w14:textId="77777777" w:rsidR="008B43D6" w:rsidRDefault="00641688" w:rsidP="00D87FC3">
            <w:pPr>
              <w:pStyle w:val="SingleTxtG"/>
              <w:ind w:left="0" w:right="0"/>
              <w:jc w:val="left"/>
              <w:rPr>
                <w:lang w:eastAsia="ru-RU"/>
              </w:rPr>
            </w:pPr>
            <w:r>
              <w:t>Подкомитет по ПОГ, шестьдесят первая сессия (14 заседаний)</w:t>
            </w:r>
          </w:p>
        </w:tc>
      </w:tr>
      <w:tr w:rsidR="008B43D6" w14:paraId="154C6B83" w14:textId="77777777" w:rsidTr="00E775C0">
        <w:trPr>
          <w:trHeight w:val="607"/>
        </w:trPr>
        <w:tc>
          <w:tcPr>
            <w:tcW w:w="3544" w:type="dxa"/>
          </w:tcPr>
          <w:p w14:paraId="5D91583A" w14:textId="77777777" w:rsidR="008B43D6" w:rsidRDefault="00641688" w:rsidP="00E775C0">
            <w:pPr>
              <w:pStyle w:val="SingleTxtG"/>
              <w:ind w:left="0" w:right="0"/>
              <w:jc w:val="left"/>
              <w:rPr>
                <w:lang w:eastAsia="ru-RU"/>
              </w:rPr>
            </w:pPr>
            <w:r>
              <w:t>7</w:t>
            </w:r>
            <w:r w:rsidRPr="009D03ED">
              <w:t>–</w:t>
            </w:r>
            <w:r>
              <w:t>9 (первая половина дня) декабря</w:t>
            </w:r>
            <w:r>
              <w:br/>
              <w:t>2022 года</w:t>
            </w:r>
          </w:p>
        </w:tc>
        <w:tc>
          <w:tcPr>
            <w:tcW w:w="3968" w:type="dxa"/>
          </w:tcPr>
          <w:p w14:paraId="2BF29BB6" w14:textId="77777777" w:rsidR="008B43D6" w:rsidRDefault="00641688" w:rsidP="00D87FC3">
            <w:pPr>
              <w:pStyle w:val="SingleTxtG"/>
              <w:ind w:left="0" w:right="0"/>
              <w:jc w:val="left"/>
              <w:rPr>
                <w:lang w:eastAsia="ru-RU"/>
              </w:rPr>
            </w:pPr>
            <w:r>
              <w:t>Подкомитет по СГС, сорок третья сессия</w:t>
            </w:r>
            <w:r>
              <w:br/>
              <w:t>(5 заседаний)</w:t>
            </w:r>
          </w:p>
        </w:tc>
      </w:tr>
      <w:tr w:rsidR="00E37504" w14:paraId="4F93650F" w14:textId="77777777" w:rsidTr="00E775C0">
        <w:trPr>
          <w:trHeight w:val="607"/>
        </w:trPr>
        <w:tc>
          <w:tcPr>
            <w:tcW w:w="3544" w:type="dxa"/>
          </w:tcPr>
          <w:p w14:paraId="2FC544A0" w14:textId="39ABD587" w:rsidR="00E37504" w:rsidRDefault="00E37504" w:rsidP="00E775C0">
            <w:pPr>
              <w:pStyle w:val="SingleTxtG"/>
              <w:ind w:left="0" w:right="0"/>
              <w:jc w:val="left"/>
            </w:pPr>
            <w:r>
              <w:t>9 (вторая половина дня) декабря</w:t>
            </w:r>
            <w:r w:rsidR="00D01E22">
              <w:br/>
            </w:r>
            <w:r>
              <w:t>2022 года</w:t>
            </w:r>
          </w:p>
        </w:tc>
        <w:tc>
          <w:tcPr>
            <w:tcW w:w="3968" w:type="dxa"/>
          </w:tcPr>
          <w:p w14:paraId="3DE68544" w14:textId="77777777" w:rsidR="00E37504" w:rsidRDefault="00E37504" w:rsidP="00D87FC3">
            <w:pPr>
              <w:pStyle w:val="SingleTxtG"/>
              <w:ind w:left="0" w:right="0"/>
              <w:jc w:val="left"/>
            </w:pPr>
            <w:r>
              <w:t>Комитет по ПОГ-СГС, одиннадцатая сессия</w:t>
            </w:r>
            <w:r>
              <w:br/>
              <w:t>(1 заседание)</w:t>
            </w:r>
          </w:p>
        </w:tc>
      </w:tr>
    </w:tbl>
    <w:p w14:paraId="6498C4BE" w14:textId="77777777" w:rsidR="00311DA8" w:rsidRPr="000F7C94" w:rsidRDefault="00311DA8" w:rsidP="00E37504">
      <w:pPr>
        <w:pStyle w:val="H4G"/>
        <w:keepNext w:val="0"/>
        <w:keepLines w:val="0"/>
        <w:spacing w:before="120"/>
      </w:pPr>
      <w:r>
        <w:tab/>
      </w:r>
      <w:r>
        <w:tab/>
        <w:t>Итого:</w:t>
      </w:r>
    </w:p>
    <w:p w14:paraId="53C09420" w14:textId="77777777" w:rsidR="00311DA8" w:rsidRPr="000F7C94" w:rsidRDefault="00311DA8" w:rsidP="00E37504">
      <w:pPr>
        <w:pStyle w:val="SingleTxtG"/>
        <w:tabs>
          <w:tab w:val="clear" w:pos="1701"/>
        </w:tabs>
      </w:pPr>
      <w:r>
        <w:t>ПОГ:</w:t>
      </w:r>
      <w:r>
        <w:tab/>
        <w:t>29 заседаний</w:t>
      </w:r>
      <w:r>
        <w:rPr>
          <w:vertAlign w:val="superscript"/>
        </w:rPr>
        <w:t>5</w:t>
      </w:r>
    </w:p>
    <w:p w14:paraId="1DFF6712" w14:textId="77777777" w:rsidR="00311DA8" w:rsidRPr="000F7C94" w:rsidRDefault="00311DA8" w:rsidP="00E37504">
      <w:pPr>
        <w:pStyle w:val="SingleTxtG"/>
        <w:tabs>
          <w:tab w:val="clear" w:pos="1701"/>
        </w:tabs>
      </w:pPr>
      <w:r>
        <w:t>СГС:</w:t>
      </w:r>
      <w:r>
        <w:tab/>
        <w:t>10 заседаний</w:t>
      </w:r>
      <w:r>
        <w:rPr>
          <w:vertAlign w:val="superscript"/>
        </w:rPr>
        <w:t>5</w:t>
      </w:r>
    </w:p>
    <w:p w14:paraId="6A21D00A" w14:textId="77777777" w:rsidR="00311DA8" w:rsidRPr="000F7C94" w:rsidRDefault="00311DA8" w:rsidP="00311DA8">
      <w:pPr>
        <w:pStyle w:val="SingleTxtG"/>
      </w:pPr>
      <w:r>
        <w:t>Комитет:</w:t>
      </w:r>
      <w:r>
        <w:tab/>
        <w:t>1 заседание</w:t>
      </w:r>
    </w:p>
    <w:p w14:paraId="2E36F9CF" w14:textId="77777777" w:rsidR="00311DA8" w:rsidRPr="000F7C94" w:rsidRDefault="00311DA8" w:rsidP="00311DA8">
      <w:pPr>
        <w:pStyle w:val="HChG"/>
      </w:pPr>
      <w:r>
        <w:tab/>
        <w:t>VIII.</w:t>
      </w:r>
      <w:r>
        <w:tab/>
      </w:r>
      <w:r>
        <w:rPr>
          <w:bCs/>
        </w:rPr>
        <w:t>Проект резолюции 2021/… Экономического</w:t>
      </w:r>
      <w:r w:rsidR="00E37504">
        <w:rPr>
          <w:bCs/>
        </w:rPr>
        <w:br/>
      </w:r>
      <w:r>
        <w:rPr>
          <w:bCs/>
        </w:rPr>
        <w:t>и Социального Совета (пункт 7 повестки дня)</w:t>
      </w:r>
    </w:p>
    <w:p w14:paraId="0E1A3C70" w14:textId="77777777" w:rsidR="00311DA8" w:rsidRPr="000F7C94" w:rsidRDefault="00311DA8" w:rsidP="00E37504">
      <w:pPr>
        <w:pStyle w:val="SingleTxtG"/>
        <w:tabs>
          <w:tab w:val="clear" w:pos="1701"/>
          <w:tab w:val="clear" w:pos="2268"/>
          <w:tab w:val="left" w:pos="2552"/>
          <w:tab w:val="left" w:pos="2800"/>
          <w:tab w:val="left" w:pos="3402"/>
        </w:tabs>
        <w:ind w:left="3969" w:hanging="2835"/>
        <w:jc w:val="left"/>
      </w:pPr>
      <w:r>
        <w:rPr>
          <w:i/>
          <w:iCs/>
        </w:rPr>
        <w:t>Неофициальный документ</w:t>
      </w:r>
      <w:r>
        <w:t xml:space="preserve">: </w:t>
      </w:r>
      <w:r>
        <w:tab/>
        <w:t>INF.36 (пятьдесят седьмая сессия Подкомитета</w:t>
      </w:r>
      <w:r w:rsidR="00E37504">
        <w:br/>
      </w:r>
      <w:r>
        <w:t>по ПОГ)/INF.24 (тридцать девятая сессия Подкомитета по СГС)</w:t>
      </w:r>
    </w:p>
    <w:p w14:paraId="1F8D5E0B" w14:textId="77777777" w:rsidR="00311DA8" w:rsidRPr="000F7C94" w:rsidRDefault="00311DA8" w:rsidP="00311DA8">
      <w:pPr>
        <w:pStyle w:val="SingleTxtG"/>
      </w:pPr>
      <w:r>
        <w:t>18.</w:t>
      </w:r>
      <w:r>
        <w:tab/>
        <w:t>Комитет принял проект резолюции, который должен быть рассмотрен Советом на его сессии 2021 года (см. приложение IV).</w:t>
      </w:r>
    </w:p>
    <w:p w14:paraId="0D5D9F2B" w14:textId="77777777" w:rsidR="00311DA8" w:rsidRPr="000F7C94" w:rsidRDefault="00311DA8" w:rsidP="00311DA8">
      <w:pPr>
        <w:pStyle w:val="HChG"/>
        <w:rPr>
          <w:bCs/>
        </w:rPr>
      </w:pPr>
      <w:r>
        <w:tab/>
        <w:t>IX.</w:t>
      </w:r>
      <w:r>
        <w:tab/>
      </w:r>
      <w:r>
        <w:rPr>
          <w:bCs/>
        </w:rPr>
        <w:t>Прочие вопросы (пункт 8 повестки дня)</w:t>
      </w:r>
    </w:p>
    <w:p w14:paraId="5BAFFFEC" w14:textId="77777777" w:rsidR="00311DA8" w:rsidRPr="000F7C94" w:rsidRDefault="00311DA8" w:rsidP="00311DA8">
      <w:pPr>
        <w:pStyle w:val="SingleTxtG"/>
      </w:pPr>
      <w:r>
        <w:t>19.</w:t>
      </w:r>
      <w:r>
        <w:tab/>
        <w:t>По этому пункту повестки дня никакие вопросы не обсуждались.</w:t>
      </w:r>
    </w:p>
    <w:p w14:paraId="09F9EFA2" w14:textId="77777777" w:rsidR="00311DA8" w:rsidRPr="000F7C94" w:rsidRDefault="00311DA8" w:rsidP="00311DA8">
      <w:pPr>
        <w:pStyle w:val="HChG"/>
        <w:rPr>
          <w:bCs/>
        </w:rPr>
      </w:pPr>
      <w:r>
        <w:tab/>
        <w:t>X.</w:t>
      </w:r>
      <w:r>
        <w:tab/>
      </w:r>
      <w:r>
        <w:rPr>
          <w:bCs/>
        </w:rPr>
        <w:t>Утверждение доклада (пункт 9 повестки дня)</w:t>
      </w:r>
    </w:p>
    <w:p w14:paraId="546AC6BC" w14:textId="77777777" w:rsidR="00311DA8" w:rsidRPr="00C81C4F" w:rsidRDefault="00311DA8" w:rsidP="00311DA8">
      <w:pPr>
        <w:pStyle w:val="SingleTxtG"/>
      </w:pPr>
      <w:r>
        <w:t>20.</w:t>
      </w:r>
      <w:r>
        <w:tab/>
        <w:t>Комитет утвердил доклад о работе своей десятой сессии и приложения к нему на основе проекта, подготовленного секретариатом.</w:t>
      </w:r>
    </w:p>
    <w:p w14:paraId="1F56EC92" w14:textId="77777777" w:rsidR="00E37504" w:rsidRPr="000F7C94" w:rsidRDefault="00E37504" w:rsidP="00E37504">
      <w:pPr>
        <w:pStyle w:val="HChG"/>
      </w:pPr>
      <w:r>
        <w:rPr>
          <w:bCs/>
        </w:rPr>
        <w:lastRenderedPageBreak/>
        <w:t>Приложение I</w:t>
      </w:r>
    </w:p>
    <w:p w14:paraId="64BE6172" w14:textId="77777777" w:rsidR="00E37504" w:rsidRPr="000F7C94" w:rsidRDefault="00E37504" w:rsidP="00E37504">
      <w:pPr>
        <w:pStyle w:val="HChG"/>
      </w:pPr>
      <w:r>
        <w:tab/>
      </w:r>
      <w:r>
        <w:tab/>
      </w:r>
      <w:r>
        <w:rPr>
          <w:bCs/>
        </w:rPr>
        <w:t xml:space="preserve">Поправки к двадцатому </w:t>
      </w:r>
      <w:r w:rsidR="00AD14EB">
        <w:rPr>
          <w:bCs/>
        </w:rPr>
        <w:t xml:space="preserve">первому </w:t>
      </w:r>
      <w:r>
        <w:rPr>
          <w:bCs/>
        </w:rPr>
        <w:t>пересмотренному изданию Рекомендаций по перевозке опасных грузов,</w:t>
      </w:r>
      <w:r>
        <w:rPr>
          <w:bCs/>
        </w:rPr>
        <w:br/>
        <w:t>Типовые правила (ST/SG/AC.10/1/Rev.21)</w:t>
      </w:r>
    </w:p>
    <w:p w14:paraId="76AD4C65" w14:textId="77777777" w:rsidR="00E37504" w:rsidRPr="00E37504" w:rsidRDefault="00E37504" w:rsidP="00E37504">
      <w:pPr>
        <w:pStyle w:val="H1G"/>
        <w:rPr>
          <w:lang w:val="en-US"/>
        </w:rPr>
      </w:pPr>
      <w:r>
        <w:tab/>
      </w:r>
      <w:r>
        <w:tab/>
      </w:r>
      <w:r w:rsidRPr="000F7C94">
        <w:rPr>
          <w:bCs/>
          <w:lang w:val="en-US"/>
        </w:rPr>
        <w:t>(</w:t>
      </w:r>
      <w:r>
        <w:rPr>
          <w:bCs/>
        </w:rPr>
        <w:t>См</w:t>
      </w:r>
      <w:r w:rsidRPr="000F7C94">
        <w:rPr>
          <w:bCs/>
          <w:lang w:val="en-US"/>
        </w:rPr>
        <w:t>. ST/SG/AC.10/48/Add.1)</w:t>
      </w:r>
    </w:p>
    <w:p w14:paraId="7158B3CD" w14:textId="77777777" w:rsidR="00E37504" w:rsidRPr="000F7C94" w:rsidRDefault="00E37504" w:rsidP="00E37504">
      <w:pPr>
        <w:pStyle w:val="HChG"/>
      </w:pPr>
      <w:r w:rsidRPr="00E37504">
        <w:t>Приложение</w:t>
      </w:r>
      <w:r>
        <w:t xml:space="preserve"> II</w:t>
      </w:r>
    </w:p>
    <w:p w14:paraId="72F6BC13" w14:textId="77777777" w:rsidR="00E37504" w:rsidRPr="000F7C94" w:rsidRDefault="00E37504" w:rsidP="00E37504">
      <w:pPr>
        <w:pStyle w:val="HChG"/>
      </w:pPr>
      <w:r>
        <w:tab/>
      </w:r>
      <w:r>
        <w:tab/>
      </w:r>
      <w:r>
        <w:rPr>
          <w:bCs/>
        </w:rPr>
        <w:t>Поправки к седьмому пересмотренному изданию Руководства по испытаниям и критериям (ST/SG/AC.10/11/Rev.7)</w:t>
      </w:r>
    </w:p>
    <w:p w14:paraId="7E9A27CC" w14:textId="77777777" w:rsidR="00E37504" w:rsidRPr="00E37504" w:rsidRDefault="00E37504" w:rsidP="00E37504">
      <w:pPr>
        <w:pStyle w:val="H1G"/>
        <w:rPr>
          <w:lang w:val="en-US"/>
        </w:rPr>
      </w:pPr>
      <w:r>
        <w:tab/>
      </w:r>
      <w:r>
        <w:tab/>
      </w:r>
      <w:r w:rsidRPr="000F7C94">
        <w:rPr>
          <w:bCs/>
          <w:lang w:val="en-US"/>
        </w:rPr>
        <w:t>(</w:t>
      </w:r>
      <w:r>
        <w:rPr>
          <w:bCs/>
        </w:rPr>
        <w:t>См</w:t>
      </w:r>
      <w:r w:rsidRPr="000F7C94">
        <w:rPr>
          <w:bCs/>
          <w:lang w:val="en-US"/>
        </w:rPr>
        <w:t>. ST/SG/AC.10/48/Add.2)</w:t>
      </w:r>
    </w:p>
    <w:p w14:paraId="7AF5C9E5" w14:textId="77777777" w:rsidR="00E37504" w:rsidRPr="000F7C94" w:rsidRDefault="00E37504" w:rsidP="00E37504">
      <w:pPr>
        <w:pStyle w:val="HChG"/>
      </w:pPr>
      <w:r w:rsidRPr="000F7C94">
        <w:rPr>
          <w:lang w:val="en-US"/>
        </w:rPr>
        <w:tab/>
      </w:r>
      <w:r>
        <w:rPr>
          <w:bCs/>
        </w:rPr>
        <w:t>Приложение III</w:t>
      </w:r>
    </w:p>
    <w:p w14:paraId="424F6215" w14:textId="77777777" w:rsidR="00E37504" w:rsidRPr="000F7C94" w:rsidRDefault="00E37504" w:rsidP="00E37504">
      <w:pPr>
        <w:pStyle w:val="HChG"/>
      </w:pPr>
      <w:r>
        <w:tab/>
      </w:r>
      <w:r>
        <w:tab/>
      </w:r>
      <w:r>
        <w:rPr>
          <w:bCs/>
        </w:rPr>
        <w:t>Поправки к восьмому пересмотренному изданию Согласованной на глобальном уровне системы классификации опасности и маркировки химической продукции (СГС) (ST/SG/AC.10/30/Rev.8)</w:t>
      </w:r>
    </w:p>
    <w:p w14:paraId="7A729E43" w14:textId="77777777" w:rsidR="00381C24" w:rsidRDefault="00E37504" w:rsidP="00E37504">
      <w:pPr>
        <w:pStyle w:val="H1G"/>
        <w:rPr>
          <w:lang w:val="en-US"/>
        </w:rPr>
      </w:pPr>
      <w:r>
        <w:tab/>
      </w:r>
      <w:r>
        <w:tab/>
      </w:r>
      <w:r w:rsidRPr="000F7C94">
        <w:rPr>
          <w:lang w:val="en-US"/>
        </w:rPr>
        <w:t>(</w:t>
      </w:r>
      <w:r>
        <w:t>См</w:t>
      </w:r>
      <w:r w:rsidRPr="000F7C94">
        <w:rPr>
          <w:lang w:val="en-US"/>
        </w:rPr>
        <w:t>. ST/SG/AC.10/48/Add.3)</w:t>
      </w:r>
    </w:p>
    <w:p w14:paraId="1A2E59FE" w14:textId="77777777" w:rsidR="00B506A4" w:rsidRPr="00D87FC3" w:rsidRDefault="00B506A4" w:rsidP="005349A5">
      <w:pPr>
        <w:pStyle w:val="SingleTxtG"/>
        <w:rPr>
          <w:lang w:val="en-US" w:eastAsia="ru-RU"/>
        </w:rPr>
        <w:sectPr w:rsidR="00B506A4" w:rsidRPr="00D87FC3" w:rsidSect="002C7354">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pPr>
    </w:p>
    <w:p w14:paraId="7F3F1D3E" w14:textId="77777777" w:rsidR="00B506A4" w:rsidRPr="00BE6E2C" w:rsidRDefault="00B506A4" w:rsidP="00A852F7">
      <w:pPr>
        <w:pStyle w:val="HChG"/>
      </w:pPr>
      <w:bookmarkStart w:id="2" w:name="_Hlk62812662"/>
      <w:r w:rsidRPr="00BE6E2C">
        <w:rPr>
          <w:bCs/>
        </w:rPr>
        <w:lastRenderedPageBreak/>
        <w:t>Приложение IV</w:t>
      </w:r>
    </w:p>
    <w:p w14:paraId="3351C7AA" w14:textId="77777777" w:rsidR="00B506A4" w:rsidRPr="00BE6E2C" w:rsidRDefault="00B506A4" w:rsidP="00A852F7">
      <w:pPr>
        <w:pStyle w:val="HChG"/>
      </w:pPr>
      <w:r w:rsidRPr="00BE6E2C">
        <w:tab/>
      </w:r>
      <w:r w:rsidRPr="00BE6E2C">
        <w:tab/>
      </w:r>
      <w:r w:rsidRPr="00BE6E2C">
        <w:rPr>
          <w:bCs/>
        </w:rPr>
        <w:t>Проект резолюции 2021/… Экономического</w:t>
      </w:r>
      <w:r>
        <w:rPr>
          <w:bCs/>
        </w:rPr>
        <w:br/>
      </w:r>
      <w:r w:rsidRPr="00BE6E2C">
        <w:rPr>
          <w:bCs/>
        </w:rPr>
        <w:t>и Социального Совета</w:t>
      </w:r>
    </w:p>
    <w:p w14:paraId="63658D36" w14:textId="77777777" w:rsidR="00B506A4" w:rsidRPr="00BE6E2C" w:rsidRDefault="00B506A4" w:rsidP="00A852F7">
      <w:pPr>
        <w:pStyle w:val="HChG"/>
      </w:pPr>
      <w:r w:rsidRPr="00BE6E2C">
        <w:tab/>
      </w:r>
      <w:r w:rsidRPr="00BE6E2C">
        <w:tab/>
      </w:r>
      <w:r>
        <w:rPr>
          <w:bCs/>
        </w:rPr>
        <w:t>«</w:t>
      </w:r>
      <w:r w:rsidRPr="00BE6E2C">
        <w:rPr>
          <w:bCs/>
        </w:rPr>
        <w:t>Резолюция 2021/…</w:t>
      </w:r>
    </w:p>
    <w:p w14:paraId="49E74342" w14:textId="77777777" w:rsidR="00B506A4" w:rsidRPr="00BE6E2C" w:rsidRDefault="00B506A4" w:rsidP="00A852F7">
      <w:pPr>
        <w:pStyle w:val="H1G"/>
      </w:pPr>
      <w:r w:rsidRPr="00BE6E2C">
        <w:tab/>
      </w:r>
      <w:r>
        <w:tab/>
      </w:r>
      <w:r w:rsidRPr="00BE6E2C">
        <w:t>Работа Комитета экспертов по перевозке опасных грузов</w:t>
      </w:r>
      <w:r>
        <w:br/>
      </w:r>
      <w:r w:rsidRPr="00BE6E2C">
        <w:t>и Согласованной на глобальном уровне системе классификации опасности и маркировки химической продукции</w:t>
      </w:r>
    </w:p>
    <w:p w14:paraId="480C115E" w14:textId="77777777" w:rsidR="00B506A4" w:rsidRPr="00BE6E2C" w:rsidRDefault="00B506A4" w:rsidP="00A852F7">
      <w:pPr>
        <w:pStyle w:val="SingleTxtG"/>
        <w:spacing w:after="160"/>
      </w:pPr>
      <w:r w:rsidRPr="00BE6E2C">
        <w:tab/>
      </w:r>
      <w:r w:rsidRPr="00B506A4">
        <w:rPr>
          <w:i/>
          <w:iCs/>
        </w:rPr>
        <w:t>Экономический и Социальный Совет</w:t>
      </w:r>
      <w:r w:rsidRPr="00BE6E2C">
        <w:t>,</w:t>
      </w:r>
    </w:p>
    <w:p w14:paraId="12032D8D" w14:textId="77777777" w:rsidR="00B506A4" w:rsidRPr="00BE6E2C" w:rsidRDefault="00B506A4" w:rsidP="00A852F7">
      <w:pPr>
        <w:pStyle w:val="SingleTxt"/>
        <w:spacing w:after="160" w:line="240" w:lineRule="atLeast"/>
        <w:rPr>
          <w:spacing w:val="0"/>
          <w:w w:val="100"/>
          <w:kern w:val="0"/>
          <w:lang w:val="ru-RU"/>
        </w:rPr>
      </w:pPr>
      <w:r w:rsidRPr="00BE6E2C">
        <w:rPr>
          <w:spacing w:val="0"/>
          <w:w w:val="100"/>
          <w:kern w:val="0"/>
          <w:lang w:val="ru-RU"/>
        </w:rPr>
        <w:tab/>
      </w:r>
      <w:r w:rsidRPr="00BE6E2C">
        <w:rPr>
          <w:i/>
          <w:iCs/>
          <w:spacing w:val="0"/>
          <w:w w:val="100"/>
          <w:kern w:val="0"/>
          <w:lang w:val="ru-RU"/>
        </w:rPr>
        <w:t>ссылаясь</w:t>
      </w:r>
      <w:r w:rsidRPr="00BE6E2C">
        <w:rPr>
          <w:spacing w:val="0"/>
          <w:w w:val="100"/>
          <w:kern w:val="0"/>
          <w:lang w:val="ru-RU"/>
        </w:rPr>
        <w:t xml:space="preserve"> на свои резолюции 1999/65 от 26 октября 1999 года и 2019/7</w:t>
      </w:r>
      <w:r>
        <w:rPr>
          <w:spacing w:val="0"/>
          <w:w w:val="100"/>
          <w:kern w:val="0"/>
          <w:lang w:val="ru-RU"/>
        </w:rPr>
        <w:br/>
      </w:r>
      <w:r w:rsidRPr="00BE6E2C">
        <w:rPr>
          <w:spacing w:val="0"/>
          <w:w w:val="100"/>
          <w:kern w:val="0"/>
          <w:lang w:val="ru-RU"/>
        </w:rPr>
        <w:t>от 6 июня 2019 года,</w:t>
      </w:r>
    </w:p>
    <w:p w14:paraId="1EF72B01" w14:textId="77777777" w:rsidR="00B506A4" w:rsidRPr="00D87FC3" w:rsidRDefault="00B506A4" w:rsidP="00A852F7">
      <w:pPr>
        <w:pStyle w:val="SingleTxt"/>
        <w:spacing w:after="160" w:line="240" w:lineRule="atLeast"/>
        <w:rPr>
          <w:spacing w:val="0"/>
          <w:w w:val="100"/>
          <w:kern w:val="0"/>
          <w:lang w:val="ru-RU"/>
        </w:rPr>
      </w:pPr>
      <w:r w:rsidRPr="00BE6E2C">
        <w:rPr>
          <w:spacing w:val="0"/>
          <w:w w:val="100"/>
          <w:kern w:val="0"/>
          <w:lang w:val="ru-RU"/>
        </w:rPr>
        <w:tab/>
      </w:r>
      <w:r w:rsidRPr="00BE6E2C">
        <w:rPr>
          <w:i/>
          <w:iCs/>
          <w:spacing w:val="0"/>
          <w:w w:val="100"/>
          <w:kern w:val="0"/>
          <w:lang w:val="ru-RU"/>
        </w:rPr>
        <w:t xml:space="preserve">рассмотрев </w:t>
      </w:r>
      <w:r w:rsidRPr="00BE6E2C">
        <w:rPr>
          <w:spacing w:val="0"/>
          <w:w w:val="100"/>
          <w:kern w:val="0"/>
          <w:lang w:val="ru-RU"/>
        </w:rPr>
        <w:t>доклад Генерального секретаря о работе Комитета экспертов по перевозке опасных грузов и Согласованной на глобальном уровне системе классификации опасности и маркировки химической продукции за двухгодичный период 2019–2020 годов</w:t>
      </w:r>
      <w:r w:rsidRPr="00BE6E2C">
        <w:rPr>
          <w:rStyle w:val="FootnoteReference"/>
          <w:spacing w:val="0"/>
          <w:w w:val="100"/>
          <w:kern w:val="0"/>
          <w:lang w:val="ru-RU"/>
        </w:rPr>
        <w:footnoteReference w:id="9"/>
      </w:r>
      <w:r w:rsidRPr="00BE6E2C">
        <w:rPr>
          <w:spacing w:val="0"/>
          <w:w w:val="100"/>
          <w:kern w:val="0"/>
          <w:lang w:val="ru-RU"/>
        </w:rPr>
        <w:t>,</w:t>
      </w:r>
      <w:bookmarkStart w:id="3" w:name="_Ref11159630"/>
      <w:bookmarkEnd w:id="3"/>
    </w:p>
    <w:p w14:paraId="0B39825C" w14:textId="77777777" w:rsidR="00B506A4" w:rsidRPr="00BE6E2C" w:rsidRDefault="00B506A4" w:rsidP="00A852F7">
      <w:pPr>
        <w:pStyle w:val="H1G"/>
      </w:pPr>
      <w:r w:rsidRPr="00BE6E2C">
        <w:tab/>
        <w:t>A.</w:t>
      </w:r>
      <w:r w:rsidRPr="00BE6E2C">
        <w:tab/>
        <w:t>Работа Комитета, касающаяся перевозки опасных грузов</w:t>
      </w:r>
    </w:p>
    <w:p w14:paraId="384AB15B" w14:textId="77777777" w:rsidR="00B506A4" w:rsidRPr="00BE6E2C" w:rsidRDefault="00B506A4" w:rsidP="00A852F7">
      <w:pPr>
        <w:pStyle w:val="SingleTxt"/>
        <w:spacing w:after="160" w:line="240" w:lineRule="atLeast"/>
        <w:ind w:left="1264" w:right="1264"/>
        <w:rPr>
          <w:spacing w:val="0"/>
          <w:w w:val="100"/>
          <w:kern w:val="0"/>
          <w:lang w:val="ru-RU"/>
        </w:rPr>
      </w:pPr>
      <w:r w:rsidRPr="00BE6E2C">
        <w:rPr>
          <w:spacing w:val="0"/>
          <w:w w:val="100"/>
          <w:kern w:val="0"/>
          <w:lang w:val="ru-RU"/>
        </w:rPr>
        <w:tab/>
      </w:r>
      <w:r w:rsidR="00A852F7">
        <w:rPr>
          <w:spacing w:val="0"/>
          <w:w w:val="100"/>
          <w:kern w:val="0"/>
          <w:lang w:val="ru-RU"/>
        </w:rPr>
        <w:tab/>
      </w:r>
      <w:r w:rsidRPr="00BE6E2C">
        <w:rPr>
          <w:i/>
          <w:iCs/>
          <w:spacing w:val="0"/>
          <w:w w:val="100"/>
          <w:kern w:val="0"/>
          <w:lang w:val="ru-RU"/>
        </w:rPr>
        <w:t>признавая</w:t>
      </w:r>
      <w:r w:rsidRPr="00BE6E2C">
        <w:rPr>
          <w:spacing w:val="0"/>
          <w:w w:val="100"/>
          <w:kern w:val="0"/>
          <w:lang w:val="ru-RU"/>
        </w:rPr>
        <w:t xml:space="preserve"> важное значение работы Комитета по согласованию кодексов и правил, касающихся перевозки опасных грузов,</w:t>
      </w:r>
    </w:p>
    <w:p w14:paraId="2482B0CC" w14:textId="77777777" w:rsidR="00B506A4" w:rsidRPr="00BE6E2C" w:rsidRDefault="00A852F7" w:rsidP="00A852F7">
      <w:pPr>
        <w:pStyle w:val="SingleTxt"/>
        <w:spacing w:after="160" w:line="240" w:lineRule="atLeast"/>
        <w:ind w:left="1264" w:right="1264"/>
        <w:rPr>
          <w:spacing w:val="0"/>
          <w:w w:val="100"/>
          <w:kern w:val="0"/>
          <w:lang w:val="ru-RU"/>
        </w:rPr>
      </w:pPr>
      <w:r>
        <w:rPr>
          <w:spacing w:val="0"/>
          <w:w w:val="100"/>
          <w:kern w:val="0"/>
          <w:lang w:val="ru-RU"/>
        </w:rPr>
        <w:tab/>
      </w:r>
      <w:r w:rsidR="00B506A4" w:rsidRPr="00BE6E2C">
        <w:rPr>
          <w:spacing w:val="0"/>
          <w:w w:val="100"/>
          <w:kern w:val="0"/>
          <w:lang w:val="ru-RU"/>
        </w:rPr>
        <w:tab/>
      </w:r>
      <w:r w:rsidR="00B506A4" w:rsidRPr="00BE6E2C">
        <w:rPr>
          <w:i/>
          <w:iCs/>
          <w:spacing w:val="0"/>
          <w:w w:val="100"/>
          <w:kern w:val="0"/>
          <w:lang w:val="ru-RU"/>
        </w:rPr>
        <w:t>памятуя</w:t>
      </w:r>
      <w:r w:rsidR="00B506A4" w:rsidRPr="00BE6E2C">
        <w:rPr>
          <w:spacing w:val="0"/>
          <w:w w:val="100"/>
          <w:kern w:val="0"/>
          <w:lang w:val="ru-RU"/>
        </w:rPr>
        <w:t xml:space="preserve"> о необходимости постоянного поддержания стандартов безопасности и содействия развитию торговли, а также о важности этих вопросов для различных организаций, отвечающих за разработку правил перевозок различными видами транспорта, с должным учетом растущей озабоченности по поводу охраны жизни, имущества и окружающей среды путем обеспечения безопасности и надежности перевозки опасных грузов,</w:t>
      </w:r>
    </w:p>
    <w:p w14:paraId="44C5598D" w14:textId="77777777" w:rsidR="00B506A4" w:rsidRPr="00BE6E2C" w:rsidRDefault="00A852F7" w:rsidP="00A852F7">
      <w:pPr>
        <w:pStyle w:val="SingleTxt"/>
        <w:spacing w:after="160" w:line="240" w:lineRule="atLeast"/>
        <w:ind w:left="1264" w:right="1264"/>
        <w:rPr>
          <w:spacing w:val="0"/>
          <w:w w:val="100"/>
          <w:kern w:val="0"/>
          <w:lang w:val="ru-RU"/>
        </w:rPr>
      </w:pPr>
      <w:r>
        <w:rPr>
          <w:spacing w:val="0"/>
          <w:w w:val="100"/>
          <w:kern w:val="0"/>
          <w:lang w:val="ru-RU"/>
        </w:rPr>
        <w:tab/>
      </w:r>
      <w:r w:rsidR="00B506A4" w:rsidRPr="00BE6E2C">
        <w:rPr>
          <w:spacing w:val="0"/>
          <w:w w:val="100"/>
          <w:kern w:val="0"/>
          <w:lang w:val="ru-RU"/>
        </w:rPr>
        <w:tab/>
      </w:r>
      <w:r w:rsidR="00B506A4" w:rsidRPr="00BE6E2C">
        <w:rPr>
          <w:i/>
          <w:iCs/>
          <w:spacing w:val="0"/>
          <w:w w:val="100"/>
          <w:kern w:val="0"/>
          <w:lang w:val="ru-RU"/>
        </w:rPr>
        <w:t>отмечая</w:t>
      </w:r>
      <w:r w:rsidR="00B506A4" w:rsidRPr="00BE6E2C">
        <w:rPr>
          <w:spacing w:val="0"/>
          <w:w w:val="100"/>
          <w:kern w:val="0"/>
          <w:lang w:val="ru-RU"/>
        </w:rPr>
        <w:t xml:space="preserve"> постоянный рост объема опасных грузов в мировом товарообороте и динамичное развитие технологий и инновационных подходов,</w:t>
      </w:r>
    </w:p>
    <w:p w14:paraId="62094F16" w14:textId="77777777" w:rsidR="00B506A4" w:rsidRPr="00BE6E2C" w:rsidRDefault="00A852F7" w:rsidP="00A852F7">
      <w:pPr>
        <w:pStyle w:val="SingleTxt"/>
        <w:spacing w:after="160" w:line="240" w:lineRule="atLeast"/>
        <w:ind w:left="1264" w:right="1264"/>
        <w:rPr>
          <w:spacing w:val="0"/>
          <w:w w:val="100"/>
          <w:kern w:val="0"/>
          <w:lang w:val="ru-RU"/>
        </w:rPr>
      </w:pPr>
      <w:r>
        <w:rPr>
          <w:spacing w:val="0"/>
          <w:w w:val="100"/>
          <w:kern w:val="0"/>
          <w:lang w:val="ru-RU"/>
        </w:rPr>
        <w:tab/>
      </w:r>
      <w:r w:rsidR="00B506A4" w:rsidRPr="00BE6E2C">
        <w:rPr>
          <w:spacing w:val="0"/>
          <w:w w:val="100"/>
          <w:kern w:val="0"/>
          <w:lang w:val="ru-RU"/>
        </w:rPr>
        <w:tab/>
      </w:r>
      <w:r w:rsidR="00B506A4" w:rsidRPr="00BE6E2C">
        <w:rPr>
          <w:i/>
          <w:iCs/>
          <w:spacing w:val="0"/>
          <w:w w:val="100"/>
          <w:kern w:val="0"/>
          <w:lang w:val="ru-RU"/>
        </w:rPr>
        <w:t>напоминая</w:t>
      </w:r>
      <w:r w:rsidR="00B506A4" w:rsidRPr="00BE6E2C">
        <w:rPr>
          <w:spacing w:val="0"/>
          <w:w w:val="100"/>
          <w:kern w:val="0"/>
          <w:lang w:val="ru-RU"/>
        </w:rPr>
        <w:t>, что, хотя основные международные документы, регулирующие перевозку опасных грузов различными видами транспорта, и многие национальные правила в настоящее время в большей степени согласованы с Типовыми правилами, прилагаемыми к рекомендациям Комитета по перевозке опасных грузов, требуется проведение дальнейшей работы по согласованию этих документов для укрепления безопасности и содействия развитию торговли, и напоминая также, что неравномерный прогресс в обновлении национального законодательства по внутренним перевозкам в некоторых странах мира продолжает создавать серьезные затруднения для международных мультимодальных перевозок,</w:t>
      </w:r>
    </w:p>
    <w:p w14:paraId="1A2BE92B" w14:textId="77777777" w:rsidR="00B506A4" w:rsidRPr="00BE6E2C" w:rsidRDefault="00A852F7" w:rsidP="00A852F7">
      <w:pPr>
        <w:pStyle w:val="SingleTxt"/>
        <w:spacing w:after="160" w:line="240" w:lineRule="atLeast"/>
        <w:ind w:left="1264" w:right="1264"/>
        <w:rPr>
          <w:spacing w:val="0"/>
          <w:w w:val="100"/>
          <w:kern w:val="0"/>
          <w:lang w:val="ru-RU"/>
        </w:rPr>
      </w:pPr>
      <w:r>
        <w:rPr>
          <w:spacing w:val="0"/>
          <w:w w:val="100"/>
          <w:kern w:val="0"/>
          <w:lang w:val="ru-RU"/>
        </w:rPr>
        <w:tab/>
      </w:r>
      <w:r w:rsidR="00B506A4" w:rsidRPr="00BE6E2C">
        <w:rPr>
          <w:spacing w:val="0"/>
          <w:w w:val="100"/>
          <w:kern w:val="0"/>
          <w:lang w:val="ru-RU"/>
        </w:rPr>
        <w:tab/>
        <w:t>1.</w:t>
      </w:r>
      <w:r w:rsidR="00B506A4" w:rsidRPr="00BE6E2C">
        <w:rPr>
          <w:spacing w:val="0"/>
          <w:w w:val="100"/>
          <w:kern w:val="0"/>
          <w:lang w:val="ru-RU"/>
        </w:rPr>
        <w:tab/>
      </w:r>
      <w:r w:rsidR="00B506A4" w:rsidRPr="00BE6E2C">
        <w:rPr>
          <w:i/>
          <w:iCs/>
          <w:spacing w:val="0"/>
          <w:w w:val="100"/>
          <w:kern w:val="0"/>
          <w:lang w:val="ru-RU"/>
        </w:rPr>
        <w:t>выражает свою признательность</w:t>
      </w:r>
      <w:r w:rsidR="00B506A4" w:rsidRPr="00BE6E2C">
        <w:rPr>
          <w:spacing w:val="0"/>
          <w:w w:val="100"/>
          <w:kern w:val="0"/>
          <w:lang w:val="ru-RU"/>
        </w:rPr>
        <w:t xml:space="preserve"> Комитету экспертов по перевозке опасных грузов и Согласованной на глобальном уровне системе классификации опасности и маркировки химической продукции за работу по вопросам, касающимся перевозки опасных грузов, включая обеспечение безопасности в процессе их перевозки;</w:t>
      </w:r>
    </w:p>
    <w:p w14:paraId="219CD8DC" w14:textId="77777777" w:rsidR="00B506A4" w:rsidRPr="00BE6E2C" w:rsidRDefault="00A852F7" w:rsidP="00A852F7">
      <w:pPr>
        <w:pStyle w:val="SingleTxt"/>
        <w:keepNext/>
        <w:keepLines/>
        <w:spacing w:after="160" w:line="240" w:lineRule="atLeast"/>
        <w:ind w:left="1264" w:right="1264"/>
        <w:rPr>
          <w:spacing w:val="0"/>
          <w:w w:val="100"/>
          <w:kern w:val="0"/>
          <w:lang w:val="ru-RU"/>
        </w:rPr>
      </w:pPr>
      <w:r>
        <w:rPr>
          <w:spacing w:val="0"/>
          <w:w w:val="100"/>
          <w:kern w:val="0"/>
          <w:lang w:val="ru-RU"/>
        </w:rPr>
        <w:lastRenderedPageBreak/>
        <w:tab/>
      </w:r>
      <w:r w:rsidR="00B506A4" w:rsidRPr="00BE6E2C">
        <w:rPr>
          <w:spacing w:val="0"/>
          <w:w w:val="100"/>
          <w:kern w:val="0"/>
          <w:lang w:val="ru-RU"/>
        </w:rPr>
        <w:tab/>
        <w:t>2.</w:t>
      </w:r>
      <w:r w:rsidR="00B506A4" w:rsidRPr="00BE6E2C">
        <w:rPr>
          <w:spacing w:val="0"/>
          <w:w w:val="100"/>
          <w:kern w:val="0"/>
          <w:lang w:val="ru-RU"/>
        </w:rPr>
        <w:tab/>
      </w:r>
      <w:r w:rsidR="00B506A4" w:rsidRPr="00BE6E2C">
        <w:rPr>
          <w:i/>
          <w:iCs/>
          <w:spacing w:val="0"/>
          <w:w w:val="100"/>
          <w:kern w:val="0"/>
          <w:lang w:val="ru-RU"/>
        </w:rPr>
        <w:t>просит</w:t>
      </w:r>
      <w:r w:rsidR="00B506A4" w:rsidRPr="00BE6E2C">
        <w:rPr>
          <w:spacing w:val="0"/>
          <w:w w:val="100"/>
          <w:kern w:val="0"/>
          <w:lang w:val="ru-RU"/>
        </w:rPr>
        <w:t xml:space="preserve"> Генерального секретаря:</w:t>
      </w:r>
    </w:p>
    <w:p w14:paraId="19383948" w14:textId="77777777" w:rsidR="00B506A4" w:rsidRPr="00BE6E2C" w:rsidRDefault="00D26FD3" w:rsidP="00A852F7">
      <w:pPr>
        <w:pStyle w:val="SingleTxt"/>
        <w:spacing w:after="160" w:line="240" w:lineRule="atLeast"/>
        <w:ind w:left="1264" w:right="1264"/>
        <w:rPr>
          <w:spacing w:val="0"/>
          <w:w w:val="100"/>
          <w:kern w:val="0"/>
          <w:lang w:val="ru-RU"/>
        </w:rPr>
      </w:pPr>
      <w:r>
        <w:rPr>
          <w:spacing w:val="0"/>
          <w:w w:val="100"/>
          <w:kern w:val="0"/>
          <w:lang w:val="ru-RU"/>
        </w:rPr>
        <w:tab/>
      </w:r>
      <w:r w:rsidR="00B506A4" w:rsidRPr="00BE6E2C">
        <w:rPr>
          <w:spacing w:val="0"/>
          <w:w w:val="100"/>
          <w:kern w:val="0"/>
          <w:lang w:val="ru-RU"/>
        </w:rPr>
        <w:tab/>
        <w:t>а)</w:t>
      </w:r>
      <w:r w:rsidR="00B506A4" w:rsidRPr="00BE6E2C">
        <w:rPr>
          <w:spacing w:val="0"/>
          <w:w w:val="100"/>
          <w:kern w:val="0"/>
          <w:lang w:val="ru-RU"/>
        </w:rPr>
        <w:tab/>
        <w:t>направить новые и измененные рекомендации по перевозке опасных грузов</w:t>
      </w:r>
      <w:r w:rsidR="00B506A4" w:rsidRPr="00BE6E2C">
        <w:rPr>
          <w:rStyle w:val="FootnoteReference"/>
          <w:spacing w:val="0"/>
          <w:w w:val="100"/>
          <w:kern w:val="0"/>
          <w:lang w:val="ru-RU"/>
        </w:rPr>
        <w:footnoteReference w:id="10"/>
      </w:r>
      <w:r w:rsidR="00B506A4" w:rsidRPr="00BE6E2C">
        <w:rPr>
          <w:spacing w:val="0"/>
          <w:w w:val="100"/>
          <w:kern w:val="0"/>
          <w:lang w:val="ru-RU"/>
        </w:rPr>
        <w:t xml:space="preserve"> правительствам государств-членов, специализированным учреждениям, Международному агентству по атомной энергии и другим заинтересованным международным организациям;</w:t>
      </w:r>
    </w:p>
    <w:p w14:paraId="1CFA2BF7" w14:textId="77777777" w:rsidR="00B506A4" w:rsidRPr="00BE6E2C" w:rsidRDefault="00B506A4" w:rsidP="00A852F7">
      <w:pPr>
        <w:pStyle w:val="SingleTxt"/>
        <w:spacing w:after="160" w:line="240" w:lineRule="atLeast"/>
        <w:rPr>
          <w:spacing w:val="0"/>
          <w:w w:val="100"/>
          <w:kern w:val="0"/>
          <w:lang w:val="ru-RU"/>
        </w:rPr>
      </w:pPr>
      <w:r w:rsidRPr="00BE6E2C">
        <w:rPr>
          <w:spacing w:val="0"/>
          <w:w w:val="100"/>
          <w:kern w:val="0"/>
          <w:lang w:val="ru-RU"/>
        </w:rPr>
        <w:tab/>
        <w:t>b)</w:t>
      </w:r>
      <w:r w:rsidRPr="00BE6E2C">
        <w:rPr>
          <w:spacing w:val="0"/>
          <w:w w:val="100"/>
          <w:kern w:val="0"/>
          <w:lang w:val="ru-RU"/>
        </w:rPr>
        <w:tab/>
        <w:t xml:space="preserve">опубликовать наиболее экономичным способом двадцать второе пересмотренное издание </w:t>
      </w:r>
      <w:r>
        <w:rPr>
          <w:spacing w:val="0"/>
          <w:w w:val="100"/>
          <w:kern w:val="0"/>
          <w:lang w:val="ru-RU"/>
        </w:rPr>
        <w:t>«</w:t>
      </w:r>
      <w:r w:rsidRPr="00BE6E2C">
        <w:rPr>
          <w:spacing w:val="0"/>
          <w:w w:val="100"/>
          <w:kern w:val="0"/>
          <w:lang w:val="ru-RU"/>
        </w:rPr>
        <w:t>Рекомендаций по перевозке опасных грузов: Типовые правила</w:t>
      </w:r>
      <w:r>
        <w:rPr>
          <w:spacing w:val="0"/>
          <w:w w:val="100"/>
          <w:kern w:val="0"/>
          <w:lang w:val="ru-RU"/>
        </w:rPr>
        <w:t>»</w:t>
      </w:r>
      <w:r w:rsidRPr="00BE6E2C">
        <w:rPr>
          <w:spacing w:val="0"/>
          <w:w w:val="100"/>
          <w:kern w:val="0"/>
          <w:lang w:val="ru-RU"/>
        </w:rPr>
        <w:t xml:space="preserve"> и поправку 1 к седьмому пересмотренному изданию </w:t>
      </w:r>
      <w:r>
        <w:rPr>
          <w:spacing w:val="0"/>
          <w:w w:val="100"/>
          <w:kern w:val="0"/>
          <w:lang w:val="ru-RU"/>
        </w:rPr>
        <w:t>«</w:t>
      </w:r>
      <w:r w:rsidRPr="00BE6E2C">
        <w:rPr>
          <w:spacing w:val="0"/>
          <w:w w:val="100"/>
          <w:kern w:val="0"/>
          <w:lang w:val="ru-RU"/>
        </w:rPr>
        <w:t>Руководства по испытаниям и критериям</w:t>
      </w:r>
      <w:r>
        <w:rPr>
          <w:spacing w:val="0"/>
          <w:w w:val="100"/>
          <w:kern w:val="0"/>
          <w:lang w:val="ru-RU"/>
        </w:rPr>
        <w:t>»</w:t>
      </w:r>
      <w:r w:rsidRPr="00BE6E2C">
        <w:rPr>
          <w:spacing w:val="0"/>
          <w:w w:val="100"/>
          <w:kern w:val="0"/>
          <w:lang w:val="ru-RU"/>
        </w:rPr>
        <w:t xml:space="preserve"> на всех официальных языках Организации Объединенных Наций не позднее конца 2021 года;</w:t>
      </w:r>
    </w:p>
    <w:p w14:paraId="44756E09" w14:textId="77777777" w:rsidR="00B506A4" w:rsidRPr="00BE6E2C" w:rsidRDefault="00B506A4" w:rsidP="00A852F7">
      <w:pPr>
        <w:pStyle w:val="SingleTxt"/>
        <w:spacing w:after="160" w:line="240" w:lineRule="atLeast"/>
        <w:rPr>
          <w:spacing w:val="0"/>
          <w:w w:val="100"/>
          <w:kern w:val="0"/>
          <w:lang w:val="ru-RU"/>
        </w:rPr>
      </w:pPr>
      <w:r w:rsidRPr="00BE6E2C">
        <w:rPr>
          <w:spacing w:val="0"/>
          <w:w w:val="100"/>
          <w:kern w:val="0"/>
          <w:lang w:val="ru-RU"/>
        </w:rPr>
        <w:tab/>
        <w:t>с)</w:t>
      </w:r>
      <w:r w:rsidRPr="00BE6E2C">
        <w:rPr>
          <w:spacing w:val="0"/>
          <w:w w:val="100"/>
          <w:kern w:val="0"/>
          <w:lang w:val="ru-RU"/>
        </w:rPr>
        <w:tab/>
        <w:t xml:space="preserve">выпустить эти публикации в книжном и электронном формате и разместить их на веб-сайте Европейской экономической комиссии, которая оказывает Комитету </w:t>
      </w:r>
      <w:proofErr w:type="spellStart"/>
      <w:r w:rsidRPr="00BE6E2C">
        <w:rPr>
          <w:spacing w:val="0"/>
          <w:w w:val="100"/>
          <w:kern w:val="0"/>
          <w:lang w:val="ru-RU"/>
        </w:rPr>
        <w:t>секретариатские</w:t>
      </w:r>
      <w:proofErr w:type="spellEnd"/>
      <w:r w:rsidRPr="00BE6E2C">
        <w:rPr>
          <w:spacing w:val="0"/>
          <w:w w:val="100"/>
          <w:kern w:val="0"/>
          <w:lang w:val="ru-RU"/>
        </w:rPr>
        <w:t xml:space="preserve"> услуги;</w:t>
      </w:r>
    </w:p>
    <w:p w14:paraId="680B17CC" w14:textId="77777777" w:rsidR="00B506A4" w:rsidRPr="00BE6E2C" w:rsidRDefault="00B506A4" w:rsidP="00A852F7">
      <w:pPr>
        <w:pStyle w:val="SingleTxt"/>
        <w:spacing w:after="160" w:line="240" w:lineRule="atLeast"/>
        <w:rPr>
          <w:spacing w:val="0"/>
          <w:w w:val="100"/>
          <w:kern w:val="0"/>
          <w:lang w:val="ru-RU"/>
        </w:rPr>
      </w:pPr>
      <w:r w:rsidRPr="00BE6E2C">
        <w:rPr>
          <w:spacing w:val="0"/>
          <w:w w:val="100"/>
          <w:kern w:val="0"/>
          <w:lang w:val="ru-RU"/>
        </w:rPr>
        <w:tab/>
        <w:t>3.</w:t>
      </w:r>
      <w:r w:rsidRPr="00BE6E2C">
        <w:rPr>
          <w:spacing w:val="0"/>
          <w:w w:val="100"/>
          <w:kern w:val="0"/>
          <w:lang w:val="ru-RU"/>
        </w:rPr>
        <w:tab/>
      </w:r>
      <w:r w:rsidRPr="00BE6E2C">
        <w:rPr>
          <w:i/>
          <w:iCs/>
          <w:spacing w:val="0"/>
          <w:w w:val="100"/>
          <w:kern w:val="0"/>
          <w:lang w:val="ru-RU"/>
        </w:rPr>
        <w:t>предлагает</w:t>
      </w:r>
      <w:r w:rsidRPr="00BE6E2C">
        <w:rPr>
          <w:spacing w:val="0"/>
          <w:w w:val="100"/>
          <w:kern w:val="0"/>
          <w:lang w:val="ru-RU"/>
        </w:rPr>
        <w:t xml:space="preserve"> всем правительствам, региональным комиссиям, специализированным учреждениям, Международному агентству по атомной энергии и другим соответствующим международным организациям препроводить секретариату Комитета свои мнения о работе Комитета вместе с любыми замечаниями, которые они, возможно, пожелают высказать в отношении рекомендаций по перевозке опасных грузов;</w:t>
      </w:r>
    </w:p>
    <w:p w14:paraId="0C9CE6B9" w14:textId="77777777" w:rsidR="00B506A4" w:rsidRPr="00BE6E2C" w:rsidRDefault="00B506A4" w:rsidP="00A852F7">
      <w:pPr>
        <w:pStyle w:val="SingleTxt"/>
        <w:spacing w:after="160" w:line="240" w:lineRule="atLeast"/>
        <w:rPr>
          <w:spacing w:val="0"/>
          <w:w w:val="100"/>
          <w:kern w:val="0"/>
          <w:lang w:val="ru-RU"/>
        </w:rPr>
      </w:pPr>
      <w:r w:rsidRPr="00BE6E2C">
        <w:rPr>
          <w:spacing w:val="0"/>
          <w:w w:val="100"/>
          <w:kern w:val="0"/>
          <w:lang w:val="ru-RU"/>
        </w:rPr>
        <w:tab/>
        <w:t>4.</w:t>
      </w:r>
      <w:r w:rsidRPr="00BE6E2C">
        <w:rPr>
          <w:spacing w:val="0"/>
          <w:w w:val="100"/>
          <w:kern w:val="0"/>
          <w:lang w:val="ru-RU"/>
        </w:rPr>
        <w:tab/>
      </w:r>
      <w:r w:rsidRPr="00BE6E2C">
        <w:rPr>
          <w:i/>
          <w:iCs/>
          <w:spacing w:val="0"/>
          <w:w w:val="100"/>
          <w:kern w:val="0"/>
          <w:lang w:val="ru-RU"/>
        </w:rPr>
        <w:t>предлагает</w:t>
      </w:r>
      <w:r w:rsidRPr="00BE6E2C">
        <w:rPr>
          <w:spacing w:val="0"/>
          <w:w w:val="100"/>
          <w:kern w:val="0"/>
          <w:lang w:val="ru-RU"/>
        </w:rPr>
        <w:t xml:space="preserve"> всем заинтересованным правительствам, региональным комиссиям, специализированным учреждениям и соответствующим международным организациям принимать во внимание рекомендации Комитета при разработке или обновлении соответствующих кодексов и правил;</w:t>
      </w:r>
    </w:p>
    <w:p w14:paraId="7A4BF31D" w14:textId="77777777" w:rsidR="00B506A4" w:rsidRPr="00BE6E2C" w:rsidRDefault="00B506A4" w:rsidP="00A852F7">
      <w:pPr>
        <w:pStyle w:val="SingleTxt"/>
        <w:spacing w:after="160" w:line="240" w:lineRule="atLeast"/>
        <w:rPr>
          <w:spacing w:val="0"/>
          <w:w w:val="100"/>
          <w:kern w:val="0"/>
          <w:lang w:val="ru-RU"/>
        </w:rPr>
      </w:pPr>
      <w:r w:rsidRPr="00BE6E2C">
        <w:rPr>
          <w:spacing w:val="0"/>
          <w:w w:val="100"/>
          <w:kern w:val="0"/>
          <w:lang w:val="ru-RU"/>
        </w:rPr>
        <w:tab/>
        <w:t>5.</w:t>
      </w:r>
      <w:r w:rsidRPr="00BE6E2C">
        <w:rPr>
          <w:spacing w:val="0"/>
          <w:w w:val="100"/>
          <w:kern w:val="0"/>
          <w:lang w:val="ru-RU"/>
        </w:rPr>
        <w:tab/>
      </w:r>
      <w:r w:rsidRPr="00BE6E2C">
        <w:rPr>
          <w:i/>
          <w:iCs/>
          <w:spacing w:val="0"/>
          <w:w w:val="100"/>
          <w:kern w:val="0"/>
          <w:lang w:val="ru-RU"/>
        </w:rPr>
        <w:t>просит</w:t>
      </w:r>
      <w:r w:rsidRPr="00BE6E2C">
        <w:rPr>
          <w:spacing w:val="0"/>
          <w:w w:val="100"/>
          <w:kern w:val="0"/>
          <w:lang w:val="ru-RU"/>
        </w:rPr>
        <w:t xml:space="preserve"> Комитет изучить в консультации с Международной морской организацией, Международной организацией гражданской авиации, региональными комиссиями и соответствующими межправительственными организациями возможности для более эффективного внедрения Типовых правил перевозки опасных грузов во всех странах с целью обеспечения высокого уровня безопасности и устранения технических препятствий на пути развития международной торговли, в том числе на основе дальнейшего согласования международных соглашений или конвенций, регламентирующих международную перевозку опасных грузов;</w:t>
      </w:r>
    </w:p>
    <w:p w14:paraId="4EBA8A4F" w14:textId="77777777" w:rsidR="00B506A4" w:rsidRPr="00BE6E2C" w:rsidRDefault="00B506A4" w:rsidP="00A852F7">
      <w:pPr>
        <w:pStyle w:val="SingleTxt"/>
        <w:spacing w:after="160" w:line="240" w:lineRule="atLeast"/>
        <w:rPr>
          <w:spacing w:val="0"/>
          <w:w w:val="100"/>
          <w:kern w:val="0"/>
          <w:lang w:val="ru-RU"/>
        </w:rPr>
      </w:pPr>
      <w:r w:rsidRPr="00BE6E2C">
        <w:rPr>
          <w:spacing w:val="0"/>
          <w:w w:val="100"/>
          <w:kern w:val="0"/>
          <w:lang w:val="ru-RU"/>
        </w:rPr>
        <w:tab/>
        <w:t>6.</w:t>
      </w:r>
      <w:r w:rsidRPr="00BE6E2C">
        <w:rPr>
          <w:spacing w:val="0"/>
          <w:w w:val="100"/>
          <w:kern w:val="0"/>
          <w:lang w:val="ru-RU"/>
        </w:rPr>
        <w:tab/>
      </w:r>
      <w:r w:rsidRPr="00BE6E2C">
        <w:rPr>
          <w:i/>
          <w:iCs/>
          <w:spacing w:val="0"/>
          <w:w w:val="100"/>
          <w:kern w:val="0"/>
          <w:lang w:val="ru-RU"/>
        </w:rPr>
        <w:t>предлагает</w:t>
      </w:r>
      <w:r w:rsidRPr="00BE6E2C">
        <w:rPr>
          <w:spacing w:val="0"/>
          <w:w w:val="100"/>
          <w:kern w:val="0"/>
          <w:lang w:val="ru-RU"/>
        </w:rPr>
        <w:t xml:space="preserve"> всем правительствам, а также региональным комиссиям и соответствующим организациям, Международной морской организации и Международной организации гражданской авиации проинформировать Комитет о различиях между положениями национальных, региональных или международных правовых документов и положениями Типовых правил, с тем чтобы он мог разработать взаимоувязанные руководящие принципы для обеспечения большей согласованности между этими требованиями и уменьшения излишних препятствий; выявить имеющиеся различия по существу между международными, региональными и национальными правилами перевозки различными видами транспорта с целью уменьшения таких различий в максимально возможной степени и обеспечения того, чтобы в тех случаях, когда такие различия необходимы, они не препятствовали безопасной и эффективной перевозке опасных грузов; и провести редакторскую проверку Типовых правил и документов, регулирующих перевозки различными видами транспорта, с целью обеспечения четкости изложения, удобства пользования и простоты для перевода;</w:t>
      </w:r>
    </w:p>
    <w:p w14:paraId="6558CC64" w14:textId="77777777" w:rsidR="00B506A4" w:rsidRPr="00BE6E2C" w:rsidRDefault="00B506A4" w:rsidP="00A852F7">
      <w:pPr>
        <w:pStyle w:val="H1G"/>
        <w:pageBreakBefore/>
      </w:pPr>
      <w:r w:rsidRPr="00BE6E2C">
        <w:lastRenderedPageBreak/>
        <w:tab/>
        <w:t>B.</w:t>
      </w:r>
      <w:r w:rsidRPr="00BE6E2C">
        <w:tab/>
        <w:t>Работа Комитета по вопросам, касающимся Согласованной</w:t>
      </w:r>
      <w:r w:rsidR="00B87FF2">
        <w:br/>
      </w:r>
      <w:r w:rsidRPr="00BE6E2C">
        <w:t>на глобальном уровне системы классификации опасности</w:t>
      </w:r>
      <w:r w:rsidR="00B87FF2">
        <w:br/>
      </w:r>
      <w:r w:rsidRPr="00BE6E2C">
        <w:t>и маркировки химической продукции</w:t>
      </w:r>
    </w:p>
    <w:p w14:paraId="1AA61469"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памятуя</w:t>
      </w:r>
      <w:r w:rsidRPr="00BE6E2C">
        <w:rPr>
          <w:spacing w:val="0"/>
          <w:w w:val="100"/>
          <w:kern w:val="0"/>
          <w:lang w:val="ru-RU"/>
        </w:rPr>
        <w:t xml:space="preserve"> о том, что в пункте 23 с) Плана выполнения решений Всемирной встречи на высшем уровне по устойчивому развитию (Йоханнесбургский план выполнения решений)</w:t>
      </w:r>
      <w:r w:rsidRPr="00BE6E2C">
        <w:rPr>
          <w:rStyle w:val="FootnoteReference"/>
          <w:spacing w:val="0"/>
          <w:w w:val="100"/>
          <w:kern w:val="0"/>
          <w:lang w:val="ru-RU"/>
        </w:rPr>
        <w:footnoteReference w:id="11"/>
      </w:r>
      <w:r w:rsidRPr="00BE6E2C">
        <w:rPr>
          <w:spacing w:val="0"/>
          <w:w w:val="100"/>
          <w:kern w:val="0"/>
          <w:lang w:val="ru-RU"/>
        </w:rPr>
        <w:t xml:space="preserve"> содержался призыв к странам стремиться к возможно более оперативному внедрению Согласованной на глобальном уровне системы классификации опасности и маркировки химической продукции с целью обеспечить ее применение в полном объеме к 2008 году,</w:t>
      </w:r>
    </w:p>
    <w:p w14:paraId="7069D230"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памятуя также</w:t>
      </w:r>
      <w:r w:rsidRPr="00BE6E2C">
        <w:rPr>
          <w:spacing w:val="0"/>
          <w:w w:val="100"/>
          <w:kern w:val="0"/>
          <w:lang w:val="ru-RU"/>
        </w:rPr>
        <w:t xml:space="preserve"> о том, что Генеральная Ассамблея в своей резолюции 57/253 от 20 декабря 2002 года одобрила Йоханнесбургский план выполнения решений и просила Экономический и Социальный Совет осуществить положения этого плана, имеющие отношение к его мандату, и, в частности, способствовать выполнению Повестки дня на XXI век</w:t>
      </w:r>
      <w:r w:rsidRPr="00BE6E2C">
        <w:rPr>
          <w:rStyle w:val="FootnoteReference"/>
          <w:spacing w:val="0"/>
          <w:w w:val="100"/>
          <w:kern w:val="0"/>
          <w:lang w:val="ru-RU"/>
        </w:rPr>
        <w:footnoteReference w:id="12"/>
      </w:r>
      <w:r w:rsidRPr="00BE6E2C">
        <w:rPr>
          <w:spacing w:val="0"/>
          <w:w w:val="100"/>
          <w:kern w:val="0"/>
          <w:lang w:val="ru-RU"/>
        </w:rPr>
        <w:t xml:space="preserve"> путем усиления общесистемной координации,</w:t>
      </w:r>
    </w:p>
    <w:p w14:paraId="26B177AC"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памятуя далее</w:t>
      </w:r>
      <w:r w:rsidRPr="00BE6E2C">
        <w:rPr>
          <w:spacing w:val="0"/>
          <w:w w:val="100"/>
          <w:kern w:val="0"/>
          <w:lang w:val="ru-RU"/>
        </w:rPr>
        <w:t xml:space="preserve"> обязательство государств-членов прилагать усилия для полного достижения к 2030 году целей в области устойчивого развития и связанных с ними задач, одобренных Генеральной Ассамблеей в ее резолюции 70/1</w:t>
      </w:r>
      <w:r w:rsidR="00D26FD3">
        <w:rPr>
          <w:spacing w:val="0"/>
          <w:w w:val="100"/>
          <w:kern w:val="0"/>
          <w:lang w:val="ru-RU"/>
        </w:rPr>
        <w:br/>
      </w:r>
      <w:r w:rsidRPr="00BE6E2C">
        <w:rPr>
          <w:spacing w:val="0"/>
          <w:w w:val="100"/>
          <w:kern w:val="0"/>
          <w:lang w:val="ru-RU"/>
        </w:rPr>
        <w:t>от 25 сентября 2015 года</w:t>
      </w:r>
      <w:r w:rsidRPr="00BE6E2C">
        <w:rPr>
          <w:rStyle w:val="FootnoteReference"/>
          <w:spacing w:val="0"/>
          <w:w w:val="100"/>
          <w:kern w:val="0"/>
          <w:lang w:val="ru-RU"/>
        </w:rPr>
        <w:footnoteReference w:id="13"/>
      </w:r>
      <w:r w:rsidRPr="00BE6E2C">
        <w:rPr>
          <w:spacing w:val="0"/>
          <w:w w:val="100"/>
          <w:kern w:val="0"/>
          <w:lang w:val="ru-RU"/>
        </w:rPr>
        <w:t>, и в частности задачи 12.4, касающейся достижения экологически рационального использования химических веществ и отходов на протяжении всего их жизненного цикла в соответствии с согласованными международными принципами,</w:t>
      </w:r>
    </w:p>
    <w:p w14:paraId="0148BB42"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с удовлетворением отмечая</w:t>
      </w:r>
      <w:r w:rsidRPr="00BE6E2C">
        <w:rPr>
          <w:spacing w:val="0"/>
          <w:w w:val="100"/>
          <w:kern w:val="0"/>
          <w:lang w:val="ru-RU"/>
        </w:rPr>
        <w:t>, что:</w:t>
      </w:r>
    </w:p>
    <w:p w14:paraId="5E44882D" w14:textId="77777777" w:rsidR="00B506A4" w:rsidRPr="00BE6E2C" w:rsidRDefault="00B506A4" w:rsidP="00B506A4">
      <w:pPr>
        <w:pStyle w:val="SingleTxt"/>
        <w:rPr>
          <w:spacing w:val="0"/>
          <w:w w:val="100"/>
          <w:kern w:val="0"/>
          <w:lang w:val="ru-RU"/>
        </w:rPr>
      </w:pPr>
      <w:r w:rsidRPr="00BE6E2C">
        <w:rPr>
          <w:spacing w:val="0"/>
          <w:w w:val="100"/>
          <w:kern w:val="0"/>
          <w:lang w:val="ru-RU"/>
        </w:rPr>
        <w:tab/>
        <w:t>а)</w:t>
      </w:r>
      <w:r w:rsidRPr="00BE6E2C">
        <w:rPr>
          <w:spacing w:val="0"/>
          <w:w w:val="100"/>
          <w:kern w:val="0"/>
          <w:lang w:val="ru-RU"/>
        </w:rPr>
        <w:tab/>
        <w:t>Европейская экономическая комиссия и все программы и специализированные учреждения Организации Объединенных Наций, занимающиеся вопросами химической безопасности в области транспорта или окружающей среды, в частности Программа Организации Объединенных Наций</w:t>
      </w:r>
      <w:r w:rsidR="00D26FD3">
        <w:rPr>
          <w:spacing w:val="0"/>
          <w:w w:val="100"/>
          <w:kern w:val="0"/>
          <w:lang w:val="ru-RU"/>
        </w:rPr>
        <w:br/>
      </w:r>
      <w:r w:rsidRPr="00BE6E2C">
        <w:rPr>
          <w:spacing w:val="0"/>
          <w:w w:val="100"/>
          <w:kern w:val="0"/>
          <w:lang w:val="ru-RU"/>
        </w:rPr>
        <w:t>по окружающей среде, Международная морская организация и Международная организация гражданской авиации, либо уже предприняли надлежащие шаги к изменению или обновлению своих правовых документов с целью внедрения Согласованной на глобальном уровне системы, либо рассматривают возможность изменения таких документов в ближайшее время,</w:t>
      </w:r>
    </w:p>
    <w:p w14:paraId="0628FED8" w14:textId="77777777" w:rsidR="00B506A4" w:rsidRPr="00BE6E2C" w:rsidRDefault="00B506A4" w:rsidP="00B506A4">
      <w:pPr>
        <w:pStyle w:val="SingleTxt"/>
        <w:rPr>
          <w:spacing w:val="0"/>
          <w:w w:val="100"/>
          <w:kern w:val="0"/>
          <w:lang w:val="ru-RU"/>
        </w:rPr>
      </w:pPr>
      <w:r w:rsidRPr="00BE6E2C">
        <w:rPr>
          <w:spacing w:val="0"/>
          <w:w w:val="100"/>
          <w:kern w:val="0"/>
          <w:lang w:val="ru-RU"/>
        </w:rPr>
        <w:tab/>
        <w:t>b)</w:t>
      </w:r>
      <w:r w:rsidRPr="00BE6E2C">
        <w:rPr>
          <w:spacing w:val="0"/>
          <w:w w:val="100"/>
          <w:kern w:val="0"/>
          <w:lang w:val="ru-RU"/>
        </w:rPr>
        <w:tab/>
        <w:t>Международная организация труда, Продовольственная и сельскохозяйственная организация Объединенных Наций и Всемирная организация здравоохранения также предпринимают надлежащие шаги с целью изменения своих существующих рекомендаций, кодексов и руководящих принципов в области химической безопасности в соответствии с Согласованной</w:t>
      </w:r>
      <w:r w:rsidR="00D26FD3">
        <w:rPr>
          <w:spacing w:val="0"/>
          <w:w w:val="100"/>
          <w:kern w:val="0"/>
          <w:lang w:val="ru-RU"/>
        </w:rPr>
        <w:br/>
      </w:r>
      <w:r w:rsidRPr="00BE6E2C">
        <w:rPr>
          <w:spacing w:val="0"/>
          <w:w w:val="100"/>
          <w:kern w:val="0"/>
          <w:lang w:val="ru-RU"/>
        </w:rPr>
        <w:t>на глобальном уровне системой, в частности в таких областях, как гигиена и охрана труда, обращение с пестицидами и предупреждение и лечение отравлений,</w:t>
      </w:r>
    </w:p>
    <w:p w14:paraId="6DC550E6" w14:textId="77777777" w:rsidR="00B506A4" w:rsidRPr="00BE6E2C" w:rsidRDefault="00B506A4" w:rsidP="00B506A4">
      <w:pPr>
        <w:pStyle w:val="SingleTxt"/>
        <w:rPr>
          <w:spacing w:val="0"/>
          <w:w w:val="100"/>
          <w:kern w:val="0"/>
          <w:lang w:val="ru-RU"/>
        </w:rPr>
      </w:pPr>
      <w:r w:rsidRPr="00BE6E2C">
        <w:rPr>
          <w:spacing w:val="0"/>
          <w:w w:val="100"/>
          <w:kern w:val="0"/>
          <w:lang w:val="ru-RU"/>
        </w:rPr>
        <w:tab/>
        <w:t>с)</w:t>
      </w:r>
      <w:r w:rsidRPr="00BE6E2C">
        <w:rPr>
          <w:spacing w:val="0"/>
          <w:w w:val="100"/>
          <w:kern w:val="0"/>
          <w:lang w:val="ru-RU"/>
        </w:rPr>
        <w:tab/>
        <w:t>многие государства-члены уже приняли национальное законодательство или стандарты, которые внедряют Согласованную на глобальном уровне систему или допускают ее применение в одном или нескольких секторах, помимо транспортного,</w:t>
      </w:r>
    </w:p>
    <w:p w14:paraId="45BD7CBE" w14:textId="77777777" w:rsidR="00B506A4" w:rsidRPr="00BE6E2C" w:rsidRDefault="00B506A4" w:rsidP="00B506A4">
      <w:pPr>
        <w:pStyle w:val="SingleTxt"/>
        <w:rPr>
          <w:spacing w:val="0"/>
          <w:w w:val="100"/>
          <w:kern w:val="0"/>
          <w:lang w:val="ru-RU"/>
        </w:rPr>
      </w:pPr>
      <w:r w:rsidRPr="00BE6E2C">
        <w:rPr>
          <w:spacing w:val="0"/>
          <w:w w:val="100"/>
          <w:kern w:val="0"/>
          <w:lang w:val="ru-RU"/>
        </w:rPr>
        <w:tab/>
        <w:t>d)</w:t>
      </w:r>
      <w:r w:rsidRPr="00BE6E2C">
        <w:rPr>
          <w:spacing w:val="0"/>
          <w:w w:val="100"/>
          <w:kern w:val="0"/>
          <w:lang w:val="ru-RU"/>
        </w:rPr>
        <w:tab/>
        <w:t xml:space="preserve">работа по подготовке или пересмотру национального законодательства, стандартов или руководящих принципов с целью внедрения Согласованной на глобальном уровне системы продолжается в других странах, в то время как в </w:t>
      </w:r>
      <w:r w:rsidRPr="00BE6E2C">
        <w:rPr>
          <w:spacing w:val="0"/>
          <w:w w:val="100"/>
          <w:kern w:val="0"/>
          <w:lang w:val="ru-RU"/>
        </w:rPr>
        <w:lastRenderedPageBreak/>
        <w:t>некоторых других странах деятельность, связанная с разработкой секторальных планов внедрения или национальных стратегий внедрения, либо осуществляется в настоящее время, либо предположительно начнется в ближайшее время,</w:t>
      </w:r>
    </w:p>
    <w:p w14:paraId="1167622A" w14:textId="77777777" w:rsidR="00B506A4" w:rsidRPr="00BE6E2C" w:rsidRDefault="00B506A4" w:rsidP="00B506A4">
      <w:pPr>
        <w:pStyle w:val="SingleTxt"/>
        <w:rPr>
          <w:spacing w:val="0"/>
          <w:w w:val="100"/>
          <w:kern w:val="0"/>
          <w:lang w:val="ru-RU"/>
        </w:rPr>
      </w:pPr>
      <w:r w:rsidRPr="00BE6E2C">
        <w:rPr>
          <w:spacing w:val="0"/>
          <w:w w:val="100"/>
          <w:kern w:val="0"/>
          <w:lang w:val="ru-RU"/>
        </w:rPr>
        <w:tab/>
        <w:t>e)</w:t>
      </w:r>
      <w:r w:rsidRPr="00BE6E2C">
        <w:rPr>
          <w:spacing w:val="0"/>
          <w:w w:val="100"/>
          <w:kern w:val="0"/>
          <w:lang w:val="ru-RU"/>
        </w:rPr>
        <w:tab/>
        <w:t xml:space="preserve">ряд программ и специализированных учреждений Организации Объединенных Наций и региональных организаций, в частности Учебный и научно-исследовательский институт Организации Объединенных Наций, Международная организация труда, Всемирная организация здравоохранения, Организация Объединенных Наций по вопросам образования, науки и культуры, Европейская экономическая комиссия, форум </w:t>
      </w:r>
      <w:r w:rsidR="00D26FD3">
        <w:rPr>
          <w:spacing w:val="0"/>
          <w:w w:val="100"/>
          <w:kern w:val="0"/>
          <w:lang w:val="ru-RU"/>
        </w:rPr>
        <w:t>«</w:t>
      </w:r>
      <w:r w:rsidRPr="00BE6E2C">
        <w:rPr>
          <w:spacing w:val="0"/>
          <w:w w:val="100"/>
          <w:kern w:val="0"/>
          <w:lang w:val="ru-RU"/>
        </w:rPr>
        <w:t>Азиатско-Тихоокеанское экономическое сотрудничество</w:t>
      </w:r>
      <w:r w:rsidR="00D26FD3">
        <w:rPr>
          <w:spacing w:val="0"/>
          <w:w w:val="100"/>
          <w:kern w:val="0"/>
          <w:lang w:val="ru-RU"/>
        </w:rPr>
        <w:t>»</w:t>
      </w:r>
      <w:r w:rsidRPr="00BE6E2C">
        <w:rPr>
          <w:spacing w:val="0"/>
          <w:w w:val="100"/>
          <w:kern w:val="0"/>
          <w:lang w:val="ru-RU"/>
        </w:rPr>
        <w:t>, Организация экономического сотрудничества и развития и Европейский союз, правительства и неправительственные организации, представляющие химическую промышленность, организовали или внесли вклад в организацию многочисленных рабочих совещаний, семинаров и других мероприятий по созданию потенциала на международном, региональном, субрегиональном и национальном уровнях с целью улучшения осведомленности в административных структурах, сфере здравоохранения и секторе промышленности о Согласованной на глобальном уровне системе и обеспечения содействия или готовности к ее внедрению,</w:t>
      </w:r>
    </w:p>
    <w:p w14:paraId="462D9044"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сознавая</w:t>
      </w:r>
      <w:r w:rsidRPr="00BE6E2C">
        <w:rPr>
          <w:spacing w:val="0"/>
          <w:w w:val="100"/>
          <w:kern w:val="0"/>
          <w:lang w:val="ru-RU"/>
        </w:rPr>
        <w:t>, что для эффективного внедрения потребуются дальнейшее сотрудничество между Подкомитетом экспертов по Согласованной на глобальном уровне системе классификации опасности и маркировки химической продукции и соответствующими международными органами, непрерывные усилия правительств государств-членов, сотрудничество с промышленными кругами и другими заинтересованными сторонами и значительная поддержка деятельности по созданию потенциала в странах с переходной экономикой и развивающихся странах,</w:t>
      </w:r>
    </w:p>
    <w:p w14:paraId="5D046495"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напоминая</w:t>
      </w:r>
      <w:r w:rsidRPr="00BE6E2C">
        <w:rPr>
          <w:spacing w:val="0"/>
          <w:w w:val="100"/>
          <w:kern w:val="0"/>
          <w:lang w:val="ru-RU"/>
        </w:rPr>
        <w:t xml:space="preserve"> об особом значении глобального партнерства Учебного и научно-исследовательского института Организации Объединенных Наций, Международной организации труда и Организации экономического сотрудничества и развития для внедрения Согласованной на глобальном уровне системы классификации опасности и маркировки химической продукции с целью создания потенциала на всех уровнях,</w:t>
      </w:r>
    </w:p>
    <w:p w14:paraId="0C9386D7" w14:textId="77777777" w:rsidR="00B506A4" w:rsidRPr="00BE6E2C" w:rsidRDefault="00B506A4" w:rsidP="00B506A4">
      <w:pPr>
        <w:pStyle w:val="SingleTxt"/>
        <w:rPr>
          <w:spacing w:val="0"/>
          <w:w w:val="100"/>
          <w:kern w:val="0"/>
          <w:lang w:val="ru-RU"/>
        </w:rPr>
      </w:pPr>
      <w:r w:rsidRPr="00BE6E2C">
        <w:rPr>
          <w:spacing w:val="0"/>
          <w:w w:val="100"/>
          <w:kern w:val="0"/>
          <w:lang w:val="ru-RU"/>
        </w:rPr>
        <w:tab/>
        <w:t>1.</w:t>
      </w:r>
      <w:r w:rsidRPr="00BE6E2C">
        <w:rPr>
          <w:spacing w:val="0"/>
          <w:w w:val="100"/>
          <w:kern w:val="0"/>
          <w:lang w:val="ru-RU"/>
        </w:rPr>
        <w:tab/>
      </w:r>
      <w:r w:rsidRPr="00BE6E2C">
        <w:rPr>
          <w:i/>
          <w:iCs/>
          <w:spacing w:val="0"/>
          <w:w w:val="100"/>
          <w:kern w:val="0"/>
          <w:lang w:val="ru-RU"/>
        </w:rPr>
        <w:t>выражает признательность</w:t>
      </w:r>
      <w:r w:rsidRPr="00BE6E2C">
        <w:rPr>
          <w:spacing w:val="0"/>
          <w:w w:val="100"/>
          <w:kern w:val="0"/>
          <w:lang w:val="ru-RU"/>
        </w:rPr>
        <w:t xml:space="preserve"> Генеральному секретарю за выпуск восьмого пересмотренного издания </w:t>
      </w:r>
      <w:r w:rsidR="00581A47">
        <w:rPr>
          <w:spacing w:val="0"/>
          <w:w w:val="100"/>
          <w:kern w:val="0"/>
          <w:lang w:val="ru-RU"/>
        </w:rPr>
        <w:t>«</w:t>
      </w:r>
      <w:r w:rsidRPr="00BE6E2C">
        <w:rPr>
          <w:spacing w:val="0"/>
          <w:w w:val="100"/>
          <w:kern w:val="0"/>
          <w:lang w:val="ru-RU"/>
        </w:rPr>
        <w:t>Согласованной на глобальном уровне системы классификации опасности и маркировки химической продукции</w:t>
      </w:r>
      <w:r w:rsidR="00581A47">
        <w:rPr>
          <w:spacing w:val="0"/>
          <w:w w:val="100"/>
          <w:kern w:val="0"/>
          <w:lang w:val="ru-RU"/>
        </w:rPr>
        <w:t>»</w:t>
      </w:r>
      <w:r w:rsidRPr="00BE6E2C">
        <w:rPr>
          <w:rStyle w:val="FootnoteReference"/>
          <w:spacing w:val="0"/>
          <w:w w:val="100"/>
          <w:kern w:val="0"/>
          <w:lang w:val="ru-RU"/>
        </w:rPr>
        <w:footnoteReference w:id="14"/>
      </w:r>
      <w:r w:rsidRPr="00BE6E2C">
        <w:rPr>
          <w:spacing w:val="0"/>
          <w:w w:val="100"/>
          <w:kern w:val="0"/>
          <w:lang w:val="ru-RU"/>
        </w:rPr>
        <w:t xml:space="preserve"> на шести официальных языках Организации Объединенных Наций в электронном формате и в виде публикации и за ее размещение вместе с соответствующими информационными материалами на веб-сайте Европейской экономической комиссии, которая оказывает Комитету </w:t>
      </w:r>
      <w:proofErr w:type="spellStart"/>
      <w:r w:rsidRPr="00BE6E2C">
        <w:rPr>
          <w:spacing w:val="0"/>
          <w:w w:val="100"/>
          <w:kern w:val="0"/>
          <w:lang w:val="ru-RU"/>
        </w:rPr>
        <w:t>секретариатские</w:t>
      </w:r>
      <w:proofErr w:type="spellEnd"/>
      <w:r w:rsidRPr="00BE6E2C">
        <w:rPr>
          <w:spacing w:val="0"/>
          <w:w w:val="100"/>
          <w:kern w:val="0"/>
          <w:lang w:val="ru-RU"/>
        </w:rPr>
        <w:t xml:space="preserve"> услуги;</w:t>
      </w:r>
    </w:p>
    <w:p w14:paraId="12A8B05D" w14:textId="77777777" w:rsidR="00B506A4" w:rsidRPr="00BE6E2C" w:rsidRDefault="00B506A4" w:rsidP="00B506A4">
      <w:pPr>
        <w:pStyle w:val="SingleTxt"/>
        <w:rPr>
          <w:spacing w:val="0"/>
          <w:w w:val="100"/>
          <w:kern w:val="0"/>
          <w:lang w:val="ru-RU"/>
        </w:rPr>
      </w:pPr>
      <w:r w:rsidRPr="00BE6E2C">
        <w:rPr>
          <w:spacing w:val="0"/>
          <w:w w:val="100"/>
          <w:kern w:val="0"/>
          <w:lang w:val="ru-RU"/>
        </w:rPr>
        <w:tab/>
        <w:t>2.</w:t>
      </w:r>
      <w:r w:rsidRPr="00BE6E2C">
        <w:rPr>
          <w:spacing w:val="0"/>
          <w:w w:val="100"/>
          <w:kern w:val="0"/>
          <w:lang w:val="ru-RU"/>
        </w:rPr>
        <w:tab/>
      </w:r>
      <w:r w:rsidRPr="00BE6E2C">
        <w:rPr>
          <w:i/>
          <w:iCs/>
          <w:spacing w:val="0"/>
          <w:w w:val="100"/>
          <w:kern w:val="0"/>
          <w:lang w:val="ru-RU"/>
        </w:rPr>
        <w:t>выражает глубокую признательность</w:t>
      </w:r>
      <w:r w:rsidRPr="00BE6E2C">
        <w:rPr>
          <w:spacing w:val="0"/>
          <w:w w:val="100"/>
          <w:kern w:val="0"/>
          <w:lang w:val="ru-RU"/>
        </w:rPr>
        <w:t xml:space="preserve"> Комитету, Комиссии и программам Организации Объединенных Наций, специализированным учреждениям и другим соответствующим организациям за их плодотворное сотрудничество и приверженность внедрению Согласованной на глобальном уровне системы;</w:t>
      </w:r>
    </w:p>
    <w:p w14:paraId="6C82937C" w14:textId="77777777" w:rsidR="00B506A4" w:rsidRPr="00BE6E2C" w:rsidRDefault="00B506A4" w:rsidP="00B506A4">
      <w:pPr>
        <w:pStyle w:val="SingleTxt"/>
        <w:rPr>
          <w:spacing w:val="0"/>
          <w:w w:val="100"/>
          <w:kern w:val="0"/>
          <w:lang w:val="ru-RU"/>
        </w:rPr>
      </w:pPr>
      <w:r w:rsidRPr="00BE6E2C">
        <w:rPr>
          <w:spacing w:val="0"/>
          <w:w w:val="100"/>
          <w:kern w:val="0"/>
          <w:lang w:val="ru-RU"/>
        </w:rPr>
        <w:tab/>
        <w:t>3.</w:t>
      </w:r>
      <w:r w:rsidRPr="00BE6E2C">
        <w:rPr>
          <w:spacing w:val="0"/>
          <w:w w:val="100"/>
          <w:kern w:val="0"/>
          <w:lang w:val="ru-RU"/>
        </w:rPr>
        <w:tab/>
      </w:r>
      <w:r w:rsidRPr="00BE6E2C">
        <w:rPr>
          <w:i/>
          <w:iCs/>
          <w:spacing w:val="0"/>
          <w:w w:val="100"/>
          <w:kern w:val="0"/>
          <w:lang w:val="ru-RU"/>
        </w:rPr>
        <w:t>просит</w:t>
      </w:r>
      <w:r w:rsidRPr="00BE6E2C">
        <w:rPr>
          <w:spacing w:val="0"/>
          <w:w w:val="100"/>
          <w:kern w:val="0"/>
          <w:lang w:val="ru-RU"/>
        </w:rPr>
        <w:t xml:space="preserve"> Генерального секретаря:</w:t>
      </w:r>
    </w:p>
    <w:p w14:paraId="6860E29F" w14:textId="77777777" w:rsidR="00B506A4" w:rsidRPr="00BE6E2C" w:rsidRDefault="00B506A4" w:rsidP="00B506A4">
      <w:pPr>
        <w:pStyle w:val="SingleTxt"/>
        <w:rPr>
          <w:spacing w:val="0"/>
          <w:w w:val="100"/>
          <w:kern w:val="0"/>
          <w:lang w:val="ru-RU"/>
        </w:rPr>
      </w:pPr>
      <w:r w:rsidRPr="00BE6E2C">
        <w:rPr>
          <w:spacing w:val="0"/>
          <w:w w:val="100"/>
          <w:kern w:val="0"/>
          <w:lang w:val="ru-RU"/>
        </w:rPr>
        <w:tab/>
        <w:t>а)</w:t>
      </w:r>
      <w:r w:rsidRPr="00BE6E2C">
        <w:rPr>
          <w:spacing w:val="0"/>
          <w:w w:val="100"/>
          <w:kern w:val="0"/>
          <w:lang w:val="ru-RU"/>
        </w:rPr>
        <w:tab/>
        <w:t>распространить поправки</w:t>
      </w:r>
      <w:r w:rsidRPr="00BE6E2C">
        <w:rPr>
          <w:rStyle w:val="FootnoteReference"/>
          <w:spacing w:val="0"/>
          <w:w w:val="100"/>
          <w:kern w:val="0"/>
          <w:lang w:val="ru-RU"/>
        </w:rPr>
        <w:footnoteReference w:id="15"/>
      </w:r>
      <w:r w:rsidRPr="00BE6E2C">
        <w:rPr>
          <w:spacing w:val="0"/>
          <w:w w:val="100"/>
          <w:kern w:val="0"/>
          <w:lang w:val="ru-RU"/>
        </w:rPr>
        <w:t xml:space="preserve"> к восьмому пересмотренному изданию </w:t>
      </w:r>
      <w:r w:rsidR="00581A47">
        <w:rPr>
          <w:spacing w:val="0"/>
          <w:w w:val="100"/>
          <w:kern w:val="0"/>
          <w:lang w:val="ru-RU"/>
        </w:rPr>
        <w:t>«</w:t>
      </w:r>
      <w:r w:rsidRPr="00BE6E2C">
        <w:rPr>
          <w:spacing w:val="0"/>
          <w:w w:val="100"/>
          <w:kern w:val="0"/>
          <w:lang w:val="ru-RU"/>
        </w:rPr>
        <w:t>Согласованной на глобальном уровне системы</w:t>
      </w:r>
      <w:r w:rsidR="00581A47">
        <w:rPr>
          <w:spacing w:val="0"/>
          <w:w w:val="100"/>
          <w:kern w:val="0"/>
          <w:lang w:val="ru-RU"/>
        </w:rPr>
        <w:t>»</w:t>
      </w:r>
      <w:r w:rsidRPr="00BE6E2C">
        <w:rPr>
          <w:spacing w:val="0"/>
          <w:w w:val="100"/>
          <w:kern w:val="0"/>
          <w:lang w:val="ru-RU"/>
        </w:rPr>
        <w:t xml:space="preserve"> среди правительств государств-членов, специализированных учреждений и других соответствующих международных организаций;</w:t>
      </w:r>
    </w:p>
    <w:p w14:paraId="67E2E139" w14:textId="77777777" w:rsidR="00B506A4" w:rsidRPr="00BE6E2C" w:rsidRDefault="00B506A4" w:rsidP="00B506A4">
      <w:pPr>
        <w:pStyle w:val="SingleTxt"/>
        <w:rPr>
          <w:spacing w:val="0"/>
          <w:w w:val="100"/>
          <w:kern w:val="0"/>
          <w:lang w:val="ru-RU"/>
        </w:rPr>
      </w:pPr>
      <w:r w:rsidRPr="00BE6E2C">
        <w:rPr>
          <w:spacing w:val="0"/>
          <w:w w:val="100"/>
          <w:kern w:val="0"/>
          <w:lang w:val="ru-RU"/>
        </w:rPr>
        <w:tab/>
        <w:t>b)</w:t>
      </w:r>
      <w:r w:rsidRPr="00BE6E2C">
        <w:rPr>
          <w:spacing w:val="0"/>
          <w:w w:val="100"/>
          <w:kern w:val="0"/>
          <w:lang w:val="ru-RU"/>
        </w:rPr>
        <w:tab/>
        <w:t xml:space="preserve">опубликовать наиболее экономичным способом девятое пересмотренное издание </w:t>
      </w:r>
      <w:r w:rsidR="00A852F7">
        <w:rPr>
          <w:spacing w:val="0"/>
          <w:w w:val="100"/>
          <w:kern w:val="0"/>
          <w:lang w:val="ru-RU"/>
        </w:rPr>
        <w:t>«</w:t>
      </w:r>
      <w:r w:rsidRPr="00BE6E2C">
        <w:rPr>
          <w:spacing w:val="0"/>
          <w:w w:val="100"/>
          <w:kern w:val="0"/>
          <w:lang w:val="ru-RU"/>
        </w:rPr>
        <w:t>Согласованной на глобальном уровне системы</w:t>
      </w:r>
      <w:r w:rsidR="00A852F7">
        <w:rPr>
          <w:spacing w:val="0"/>
          <w:w w:val="100"/>
          <w:kern w:val="0"/>
          <w:lang w:val="ru-RU"/>
        </w:rPr>
        <w:t>»</w:t>
      </w:r>
      <w:r w:rsidRPr="00BE6E2C">
        <w:rPr>
          <w:spacing w:val="0"/>
          <w:w w:val="100"/>
          <w:kern w:val="0"/>
          <w:lang w:val="ru-RU"/>
        </w:rPr>
        <w:t xml:space="preserve"> на всех официальных языках Организации Объединенных Наций не позднее конца</w:t>
      </w:r>
      <w:r w:rsidR="00A852F7">
        <w:rPr>
          <w:spacing w:val="0"/>
          <w:w w:val="100"/>
          <w:kern w:val="0"/>
          <w:lang w:val="ru-RU"/>
        </w:rPr>
        <w:br/>
      </w:r>
      <w:r w:rsidRPr="00BE6E2C">
        <w:rPr>
          <w:spacing w:val="0"/>
          <w:w w:val="100"/>
          <w:kern w:val="0"/>
          <w:lang w:val="ru-RU"/>
        </w:rPr>
        <w:lastRenderedPageBreak/>
        <w:t>2021 года, а также выпустить его в книжном и электронном формате и разместить его на веб-сайте Комиссии;</w:t>
      </w:r>
    </w:p>
    <w:p w14:paraId="05E74464" w14:textId="77777777" w:rsidR="00B506A4" w:rsidRPr="00BE6E2C" w:rsidRDefault="00B506A4" w:rsidP="00B506A4">
      <w:pPr>
        <w:pStyle w:val="SingleTxt"/>
        <w:rPr>
          <w:spacing w:val="0"/>
          <w:w w:val="100"/>
          <w:kern w:val="0"/>
          <w:lang w:val="ru-RU"/>
        </w:rPr>
      </w:pPr>
      <w:r w:rsidRPr="00BE6E2C">
        <w:rPr>
          <w:spacing w:val="0"/>
          <w:w w:val="100"/>
          <w:kern w:val="0"/>
          <w:lang w:val="ru-RU"/>
        </w:rPr>
        <w:tab/>
        <w:t>с)</w:t>
      </w:r>
      <w:r w:rsidRPr="00BE6E2C">
        <w:rPr>
          <w:spacing w:val="0"/>
          <w:w w:val="100"/>
          <w:kern w:val="0"/>
          <w:lang w:val="ru-RU"/>
        </w:rPr>
        <w:tab/>
        <w:t>продолжать размещать информацию о внедрении Согласованной на глобальном уровне системы на веб-сайте Комиссии</w:t>
      </w:r>
      <w:r w:rsidRPr="00BE6E2C">
        <w:rPr>
          <w:rStyle w:val="FootnoteReference"/>
          <w:spacing w:val="0"/>
          <w:w w:val="100"/>
          <w:kern w:val="0"/>
          <w:lang w:val="ru-RU"/>
        </w:rPr>
        <w:footnoteReference w:id="16"/>
      </w:r>
      <w:r w:rsidRPr="00BE6E2C">
        <w:rPr>
          <w:spacing w:val="0"/>
          <w:w w:val="100"/>
          <w:kern w:val="0"/>
          <w:lang w:val="ru-RU"/>
        </w:rPr>
        <w:t>;</w:t>
      </w:r>
    </w:p>
    <w:p w14:paraId="14376D66" w14:textId="77777777" w:rsidR="00B506A4" w:rsidRPr="00BE6E2C" w:rsidRDefault="00B506A4" w:rsidP="00B506A4">
      <w:pPr>
        <w:pStyle w:val="SingleTxt"/>
        <w:rPr>
          <w:spacing w:val="0"/>
          <w:w w:val="100"/>
          <w:kern w:val="0"/>
          <w:lang w:val="ru-RU"/>
        </w:rPr>
      </w:pPr>
      <w:bookmarkStart w:id="4" w:name="_Hlk55985540"/>
      <w:r w:rsidRPr="00BE6E2C">
        <w:rPr>
          <w:spacing w:val="0"/>
          <w:w w:val="100"/>
          <w:kern w:val="0"/>
          <w:lang w:val="ru-RU"/>
        </w:rPr>
        <w:tab/>
        <w:t>4.</w:t>
      </w:r>
      <w:r w:rsidRPr="00BE6E2C">
        <w:rPr>
          <w:spacing w:val="0"/>
          <w:w w:val="100"/>
          <w:kern w:val="0"/>
          <w:lang w:val="ru-RU"/>
        </w:rPr>
        <w:tab/>
      </w:r>
      <w:r w:rsidRPr="00BE6E2C">
        <w:rPr>
          <w:i/>
          <w:iCs/>
          <w:spacing w:val="0"/>
          <w:w w:val="100"/>
          <w:kern w:val="0"/>
          <w:lang w:val="ru-RU"/>
        </w:rPr>
        <w:t>предлагает</w:t>
      </w:r>
      <w:r w:rsidRPr="00BE6E2C">
        <w:rPr>
          <w:spacing w:val="0"/>
          <w:w w:val="100"/>
          <w:kern w:val="0"/>
          <w:lang w:val="ru-RU"/>
        </w:rPr>
        <w:t xml:space="preserve"> правительствам, которые еще не сделали этого, принять необходимые меры к внедрению Согласованной на глобальном уровне системы в кратчайшие сроки, действуя при этом в рамках надлежащих национальных процедур и/или законодательства, и постоянно обновлять их с учетом рекомендаций, выносимых Комитетом каждые два года;</w:t>
      </w:r>
    </w:p>
    <w:bookmarkEnd w:id="4"/>
    <w:p w14:paraId="2D6C96F5" w14:textId="77777777" w:rsidR="00B506A4" w:rsidRPr="00BE6E2C" w:rsidRDefault="00B506A4" w:rsidP="00B506A4">
      <w:pPr>
        <w:pStyle w:val="SingleTxt"/>
        <w:rPr>
          <w:spacing w:val="0"/>
          <w:w w:val="100"/>
          <w:kern w:val="0"/>
          <w:lang w:val="ru-RU"/>
        </w:rPr>
      </w:pPr>
      <w:r w:rsidRPr="00BE6E2C">
        <w:rPr>
          <w:spacing w:val="0"/>
          <w:w w:val="100"/>
          <w:kern w:val="0"/>
          <w:lang w:val="ru-RU"/>
        </w:rPr>
        <w:tab/>
        <w:t>5.</w:t>
      </w:r>
      <w:r w:rsidRPr="00BE6E2C">
        <w:rPr>
          <w:spacing w:val="0"/>
          <w:w w:val="100"/>
          <w:kern w:val="0"/>
          <w:lang w:val="ru-RU"/>
        </w:rPr>
        <w:tab/>
      </w:r>
      <w:r w:rsidRPr="00BE6E2C">
        <w:rPr>
          <w:i/>
          <w:iCs/>
          <w:spacing w:val="0"/>
          <w:w w:val="100"/>
          <w:kern w:val="0"/>
          <w:lang w:val="ru-RU"/>
        </w:rPr>
        <w:t>вновь предлагает</w:t>
      </w:r>
      <w:r w:rsidRPr="00BE6E2C">
        <w:rPr>
          <w:spacing w:val="0"/>
          <w:w w:val="100"/>
          <w:kern w:val="0"/>
          <w:lang w:val="ru-RU"/>
        </w:rPr>
        <w:t xml:space="preserve"> региональным комиссиям, программам Организации Объединенных Наций, специализированным учреждениям и другим соответствующим организациям оказывать содействие внедрению Согласованной на глобальном уровне системы и, в соответствующих случаях, внести поправки в свои международные правовые документы по вопросам безопасности перевозок, охраны труда, защиты прав потребителей и охраны окружающей среды в целях введения в действие Согласованной на глобальном уровне системы при помощи таких документов;</w:t>
      </w:r>
    </w:p>
    <w:p w14:paraId="39E7F19F" w14:textId="77777777" w:rsidR="00B506A4" w:rsidRPr="00BE6E2C" w:rsidRDefault="00B506A4" w:rsidP="00B506A4">
      <w:pPr>
        <w:pStyle w:val="SingleTxt"/>
        <w:rPr>
          <w:spacing w:val="0"/>
          <w:w w:val="100"/>
          <w:kern w:val="0"/>
          <w:lang w:val="ru-RU"/>
        </w:rPr>
      </w:pPr>
      <w:r w:rsidRPr="00BE6E2C">
        <w:rPr>
          <w:spacing w:val="0"/>
          <w:w w:val="100"/>
          <w:kern w:val="0"/>
          <w:lang w:val="ru-RU"/>
        </w:rPr>
        <w:tab/>
        <w:t>6.</w:t>
      </w:r>
      <w:r w:rsidRPr="00BE6E2C">
        <w:rPr>
          <w:spacing w:val="0"/>
          <w:w w:val="100"/>
          <w:kern w:val="0"/>
          <w:lang w:val="ru-RU"/>
        </w:rPr>
        <w:tab/>
      </w:r>
      <w:r w:rsidRPr="00BE6E2C">
        <w:rPr>
          <w:i/>
          <w:iCs/>
          <w:spacing w:val="0"/>
          <w:w w:val="100"/>
          <w:kern w:val="0"/>
          <w:lang w:val="ru-RU"/>
        </w:rPr>
        <w:t xml:space="preserve">предлагает </w:t>
      </w:r>
      <w:r w:rsidRPr="00BE6E2C">
        <w:rPr>
          <w:spacing w:val="0"/>
          <w:w w:val="100"/>
          <w:kern w:val="0"/>
          <w:lang w:val="ru-RU"/>
        </w:rPr>
        <w:t xml:space="preserve">правительствам, региональным комиссиям, программам Организации Объединенных Наций, специализированным учреждениям и другим соответствующим организациям предоставлять Подкомитету экспертов по </w:t>
      </w:r>
      <w:bookmarkStart w:id="5" w:name="_Hlk62121127"/>
      <w:r w:rsidRPr="00BE6E2C">
        <w:rPr>
          <w:spacing w:val="0"/>
          <w:w w:val="100"/>
          <w:kern w:val="0"/>
          <w:lang w:val="ru-RU"/>
        </w:rPr>
        <w:t>Согласованной на глобальном уровне системе классификации опасности и маркировки химической продукции</w:t>
      </w:r>
      <w:bookmarkEnd w:id="5"/>
      <w:r w:rsidRPr="00BE6E2C">
        <w:rPr>
          <w:spacing w:val="0"/>
          <w:w w:val="100"/>
          <w:kern w:val="0"/>
          <w:lang w:val="ru-RU"/>
        </w:rPr>
        <w:t xml:space="preserve"> информацию о принимаемых мерах по внедрению Согласованной на глобальном уровне системы во всех соответствующих секторах при помощи международных, региональных или национальных правовых документов, рекомендаций, кодексов и руководящих принципов, включая, когда это применимо, сведения о переходных периодах для ее внедрения;</w:t>
      </w:r>
    </w:p>
    <w:p w14:paraId="122D3895" w14:textId="77777777" w:rsidR="00B506A4" w:rsidRPr="00BE6E2C" w:rsidRDefault="00B506A4" w:rsidP="00B506A4">
      <w:pPr>
        <w:pStyle w:val="SingleTxt"/>
        <w:rPr>
          <w:spacing w:val="0"/>
          <w:w w:val="100"/>
          <w:kern w:val="0"/>
          <w:lang w:val="ru-RU"/>
        </w:rPr>
      </w:pPr>
      <w:r w:rsidRPr="00BE6E2C">
        <w:rPr>
          <w:spacing w:val="0"/>
          <w:w w:val="100"/>
          <w:kern w:val="0"/>
          <w:lang w:val="ru-RU"/>
        </w:rPr>
        <w:tab/>
        <w:t>7.</w:t>
      </w:r>
      <w:r w:rsidRPr="00BE6E2C">
        <w:rPr>
          <w:spacing w:val="0"/>
          <w:w w:val="100"/>
          <w:kern w:val="0"/>
          <w:lang w:val="ru-RU"/>
        </w:rPr>
        <w:tab/>
      </w:r>
      <w:r w:rsidRPr="00BE6E2C">
        <w:rPr>
          <w:i/>
          <w:iCs/>
          <w:spacing w:val="0"/>
          <w:w w:val="100"/>
          <w:kern w:val="0"/>
          <w:lang w:val="ru-RU"/>
        </w:rPr>
        <w:t>рекомендует</w:t>
      </w:r>
      <w:r w:rsidRPr="00BE6E2C">
        <w:rPr>
          <w:spacing w:val="0"/>
          <w:w w:val="100"/>
          <w:kern w:val="0"/>
          <w:lang w:val="ru-RU"/>
        </w:rPr>
        <w:t xml:space="preserve"> правительствам, региональным комиссиям, программам Организации Объединенных Наций, специализированным учреждениям и другим соответствующим международным и неправительственным организациям, представляющим, в частности, интересы промышленных кругов, усилить свое содействие внедрению Согласованной на глобальном уровне системы в форме внесения финансовых взносов и/или предоставления технической помощи для осуществления мероприятий по созданию потенциала в развивающихся странах и странах с переходной экономикой;</w:t>
      </w:r>
    </w:p>
    <w:p w14:paraId="6BE05B1B" w14:textId="77777777" w:rsidR="00B506A4" w:rsidRPr="00BE6E2C" w:rsidRDefault="00B506A4" w:rsidP="00A852F7">
      <w:pPr>
        <w:pStyle w:val="H1G"/>
      </w:pPr>
      <w:r w:rsidRPr="00BE6E2C">
        <w:tab/>
        <w:t>C.</w:t>
      </w:r>
      <w:r w:rsidRPr="00BE6E2C">
        <w:tab/>
        <w:t>Программа работы Комитета</w:t>
      </w:r>
    </w:p>
    <w:p w14:paraId="191416BE"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 xml:space="preserve">принимая к сведению </w:t>
      </w:r>
      <w:r w:rsidRPr="00BE6E2C">
        <w:rPr>
          <w:spacing w:val="0"/>
          <w:w w:val="100"/>
          <w:kern w:val="0"/>
          <w:lang w:val="ru-RU"/>
        </w:rPr>
        <w:t>программу работы Комитета на двухгодичный период 2021–2022 годов, приводимую в пунктах […] и […] доклада Генерального секретаря</w:t>
      </w:r>
      <w:r w:rsidRPr="00A852F7">
        <w:rPr>
          <w:spacing w:val="0"/>
          <w:w w:val="100"/>
          <w:kern w:val="0"/>
          <w:sz w:val="18"/>
          <w:szCs w:val="18"/>
          <w:vertAlign w:val="superscript"/>
          <w:lang w:val="ru-RU"/>
        </w:rPr>
        <w:t>1</w:t>
      </w:r>
      <w:r w:rsidRPr="00BE6E2C">
        <w:rPr>
          <w:spacing w:val="0"/>
          <w:w w:val="100"/>
          <w:kern w:val="0"/>
          <w:lang w:val="ru-RU"/>
        </w:rPr>
        <w:t>,</w:t>
      </w:r>
    </w:p>
    <w:p w14:paraId="32B93B49" w14:textId="77777777" w:rsidR="00B506A4" w:rsidRPr="00BE6E2C" w:rsidRDefault="00B506A4" w:rsidP="00B506A4">
      <w:pPr>
        <w:pStyle w:val="SingleTxt"/>
        <w:rPr>
          <w:spacing w:val="0"/>
          <w:w w:val="100"/>
          <w:kern w:val="0"/>
          <w:lang w:val="ru-RU"/>
        </w:rPr>
      </w:pPr>
      <w:r w:rsidRPr="00BE6E2C">
        <w:rPr>
          <w:spacing w:val="0"/>
          <w:w w:val="100"/>
          <w:kern w:val="0"/>
          <w:lang w:val="ru-RU"/>
        </w:rPr>
        <w:tab/>
      </w:r>
      <w:r w:rsidRPr="00BE6E2C">
        <w:rPr>
          <w:i/>
          <w:iCs/>
          <w:spacing w:val="0"/>
          <w:w w:val="100"/>
          <w:kern w:val="0"/>
          <w:lang w:val="ru-RU"/>
        </w:rPr>
        <w:t>отмечая</w:t>
      </w:r>
      <w:r w:rsidRPr="00BE6E2C">
        <w:rPr>
          <w:spacing w:val="0"/>
          <w:w w:val="100"/>
          <w:kern w:val="0"/>
          <w:lang w:val="ru-RU"/>
        </w:rPr>
        <w:t xml:space="preserve"> относительно низкий уровень участия экспертов из развивающихся стран и стран с переходной экономикой в работе Комитета и необходимость содействия их более широкому участию в его работе,</w:t>
      </w:r>
    </w:p>
    <w:p w14:paraId="07242535" w14:textId="77777777" w:rsidR="00B506A4" w:rsidRPr="00BE6E2C" w:rsidRDefault="00B506A4" w:rsidP="00B506A4">
      <w:pPr>
        <w:pStyle w:val="SingleTxt"/>
        <w:rPr>
          <w:spacing w:val="0"/>
          <w:w w:val="100"/>
          <w:kern w:val="0"/>
          <w:lang w:val="ru-RU"/>
        </w:rPr>
      </w:pPr>
      <w:r w:rsidRPr="00BE6E2C">
        <w:rPr>
          <w:spacing w:val="0"/>
          <w:w w:val="100"/>
          <w:kern w:val="0"/>
          <w:lang w:val="ru-RU"/>
        </w:rPr>
        <w:tab/>
        <w:t>1.</w:t>
      </w:r>
      <w:r w:rsidRPr="00BE6E2C">
        <w:rPr>
          <w:spacing w:val="0"/>
          <w:w w:val="100"/>
          <w:kern w:val="0"/>
          <w:lang w:val="ru-RU"/>
        </w:rPr>
        <w:tab/>
      </w:r>
      <w:r w:rsidRPr="00BE6E2C">
        <w:rPr>
          <w:i/>
          <w:iCs/>
          <w:spacing w:val="0"/>
          <w:w w:val="100"/>
          <w:kern w:val="0"/>
          <w:lang w:val="ru-RU"/>
        </w:rPr>
        <w:t>постановляет</w:t>
      </w:r>
      <w:r w:rsidRPr="00BE6E2C">
        <w:rPr>
          <w:spacing w:val="0"/>
          <w:w w:val="100"/>
          <w:kern w:val="0"/>
          <w:lang w:val="ru-RU"/>
        </w:rPr>
        <w:t xml:space="preserve"> утвердить программу работы Комитета</w:t>
      </w:r>
      <w:r w:rsidRPr="00A852F7">
        <w:rPr>
          <w:spacing w:val="0"/>
          <w:w w:val="100"/>
          <w:kern w:val="0"/>
          <w:sz w:val="18"/>
          <w:szCs w:val="18"/>
          <w:vertAlign w:val="superscript"/>
          <w:lang w:val="ru-RU"/>
        </w:rPr>
        <w:t>1</w:t>
      </w:r>
      <w:r w:rsidRPr="00BE6E2C">
        <w:rPr>
          <w:spacing w:val="0"/>
          <w:w w:val="100"/>
          <w:kern w:val="0"/>
          <w:lang w:val="ru-RU"/>
        </w:rPr>
        <w:t>;</w:t>
      </w:r>
    </w:p>
    <w:p w14:paraId="10B412E3" w14:textId="77777777" w:rsidR="00B506A4" w:rsidRPr="00BE6E2C" w:rsidRDefault="00B506A4" w:rsidP="00B506A4">
      <w:pPr>
        <w:pStyle w:val="SingleTxt"/>
        <w:rPr>
          <w:spacing w:val="0"/>
          <w:w w:val="100"/>
          <w:kern w:val="0"/>
          <w:lang w:val="ru-RU"/>
        </w:rPr>
      </w:pPr>
      <w:r w:rsidRPr="00BE6E2C">
        <w:rPr>
          <w:spacing w:val="0"/>
          <w:w w:val="100"/>
          <w:kern w:val="0"/>
          <w:lang w:val="ru-RU"/>
        </w:rPr>
        <w:tab/>
        <w:t>2.</w:t>
      </w:r>
      <w:r w:rsidRPr="00BE6E2C">
        <w:rPr>
          <w:spacing w:val="0"/>
          <w:w w:val="100"/>
          <w:kern w:val="0"/>
          <w:lang w:val="ru-RU"/>
        </w:rPr>
        <w:tab/>
      </w:r>
      <w:r w:rsidRPr="00BE6E2C">
        <w:rPr>
          <w:i/>
          <w:iCs/>
          <w:spacing w:val="0"/>
          <w:w w:val="100"/>
          <w:kern w:val="0"/>
          <w:lang w:val="ru-RU"/>
        </w:rPr>
        <w:t>подчеркивает</w:t>
      </w:r>
      <w:r w:rsidRPr="00BE6E2C">
        <w:rPr>
          <w:spacing w:val="0"/>
          <w:w w:val="100"/>
          <w:kern w:val="0"/>
          <w:lang w:val="ru-RU"/>
        </w:rPr>
        <w:t xml:space="preserve"> важное значение участия экспертов из развивающихся стран и стран с переходной экономикой в работе Комитета, призывает в этой связи вносить добровольные взносы для обеспечения их участия, в том числе путем оплаты их путевых расходов и суточных, и предлагает государствам-членам и международным организациям, которые в состоянии делать это, вносить такие взносы;</w:t>
      </w:r>
    </w:p>
    <w:p w14:paraId="67453D85" w14:textId="77777777" w:rsidR="00B506A4" w:rsidRPr="00DF35B9" w:rsidRDefault="00B506A4" w:rsidP="00A852F7">
      <w:pPr>
        <w:pStyle w:val="SingleTxt"/>
        <w:rPr>
          <w:spacing w:val="0"/>
          <w:w w:val="100"/>
          <w:kern w:val="0"/>
          <w:lang w:val="ru-RU"/>
        </w:rPr>
      </w:pPr>
      <w:r w:rsidRPr="00BE6E2C">
        <w:rPr>
          <w:w w:val="100"/>
          <w:lang w:val="ru-RU"/>
        </w:rPr>
        <w:lastRenderedPageBreak/>
        <w:tab/>
      </w:r>
      <w:r w:rsidRPr="00A852F7">
        <w:rPr>
          <w:spacing w:val="0"/>
          <w:w w:val="100"/>
          <w:kern w:val="0"/>
          <w:lang w:val="ru-RU"/>
        </w:rPr>
        <w:t>3.</w:t>
      </w:r>
      <w:r w:rsidRPr="00A852F7">
        <w:rPr>
          <w:spacing w:val="0"/>
          <w:w w:val="100"/>
          <w:kern w:val="0"/>
          <w:lang w:val="ru-RU"/>
        </w:rPr>
        <w:tab/>
      </w:r>
      <w:r w:rsidRPr="00A852F7">
        <w:rPr>
          <w:i/>
          <w:iCs/>
          <w:spacing w:val="0"/>
          <w:w w:val="100"/>
          <w:kern w:val="0"/>
          <w:lang w:val="ru-RU"/>
        </w:rPr>
        <w:t>просит</w:t>
      </w:r>
      <w:r w:rsidRPr="00A852F7">
        <w:rPr>
          <w:spacing w:val="0"/>
          <w:w w:val="100"/>
          <w:kern w:val="0"/>
          <w:lang w:val="ru-RU"/>
        </w:rPr>
        <w:t xml:space="preserve"> Генерального секретаря представить Экономическому и Социальному Совету в 2023 году доклад о выполнении настоящей резолюции и рекомендаций по перевозке опасных грузов и внедрении Согласованной на глобальном уровне системы классификации опасности и маркировки химической продукции.</w:t>
      </w:r>
      <w:r w:rsidR="00DF35B9">
        <w:rPr>
          <w:spacing w:val="0"/>
          <w:w w:val="100"/>
          <w:kern w:val="0"/>
          <w:lang w:val="ru-RU"/>
        </w:rPr>
        <w:t>»</w:t>
      </w:r>
    </w:p>
    <w:bookmarkEnd w:id="2"/>
    <w:p w14:paraId="6655F3DA" w14:textId="77777777" w:rsidR="00B506A4" w:rsidRPr="00DF35B9" w:rsidRDefault="00A852F7" w:rsidP="00A852F7">
      <w:pPr>
        <w:pStyle w:val="SingleTxtG"/>
        <w:spacing w:before="240" w:after="0"/>
        <w:jc w:val="center"/>
        <w:rPr>
          <w:u w:val="single"/>
          <w:lang w:eastAsia="ru-RU"/>
        </w:rPr>
      </w:pPr>
      <w:r>
        <w:rPr>
          <w:u w:val="single"/>
          <w:lang w:eastAsia="ru-RU"/>
        </w:rPr>
        <w:tab/>
      </w:r>
      <w:r>
        <w:rPr>
          <w:u w:val="single"/>
          <w:lang w:eastAsia="ru-RU"/>
        </w:rPr>
        <w:tab/>
      </w:r>
      <w:r>
        <w:rPr>
          <w:u w:val="single"/>
          <w:lang w:eastAsia="ru-RU"/>
        </w:rPr>
        <w:tab/>
      </w:r>
    </w:p>
    <w:sectPr w:rsidR="00B506A4" w:rsidRPr="00DF35B9" w:rsidSect="00B506A4">
      <w:headerReference w:type="default" r:id="rId14"/>
      <w:footerReference w:type="default" r:id="rId15"/>
      <w:headerReference w:type="first" r:id="rId16"/>
      <w:footerReference w:type="first" r:id="rId17"/>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FE8A6" w14:textId="77777777" w:rsidR="001B59B8" w:rsidRPr="00A312BC" w:rsidRDefault="001B59B8" w:rsidP="00A312BC"/>
  </w:endnote>
  <w:endnote w:type="continuationSeparator" w:id="0">
    <w:p w14:paraId="7A10AC52" w14:textId="77777777" w:rsidR="001B59B8" w:rsidRPr="00A312BC" w:rsidRDefault="001B59B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9377" w14:textId="77777777" w:rsidR="004A79D2" w:rsidRPr="00B506A4" w:rsidRDefault="00B506A4" w:rsidP="00B506A4">
    <w:pPr>
      <w:pStyle w:val="Footer"/>
      <w:rPr>
        <w:b/>
        <w:sz w:val="18"/>
      </w:rPr>
    </w:pPr>
    <w:r>
      <w:rPr>
        <w:b/>
        <w:sz w:val="18"/>
      </w:rPr>
      <w:fldChar w:fldCharType="begin"/>
    </w:r>
    <w:r>
      <w:rPr>
        <w:b/>
        <w:sz w:val="18"/>
      </w:rPr>
      <w:instrText xml:space="preserve"> PAGE  \* MERGEFORMAT </w:instrText>
    </w:r>
    <w:r>
      <w:rPr>
        <w:b/>
        <w:sz w:val="18"/>
      </w:rPr>
      <w:fldChar w:fldCharType="separate"/>
    </w:r>
    <w:r>
      <w:rPr>
        <w:b/>
        <w:noProof/>
        <w:sz w:val="18"/>
      </w:rPr>
      <w:t>8</w:t>
    </w:r>
    <w:r>
      <w:rPr>
        <w:b/>
        <w:sz w:val="18"/>
      </w:rPr>
      <w:fldChar w:fldCharType="end"/>
    </w:r>
    <w:r>
      <w:rPr>
        <w:b/>
        <w:sz w:val="18"/>
      </w:rPr>
      <w:tab/>
    </w:r>
    <w:r w:rsidRPr="00B506A4">
      <w:t>GE.21-00567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BC26" w14:textId="77777777" w:rsidR="004A79D2" w:rsidRDefault="002C7354" w:rsidP="006032C4">
    <w:pPr>
      <w:pStyle w:val="Footer"/>
    </w:pPr>
    <w:r>
      <w:t>GE.21-00567</w:t>
    </w:r>
    <w:r>
      <w:tab/>
    </w:r>
    <w:r w:rsidRPr="002C7354">
      <w:rPr>
        <w:b/>
        <w:sz w:val="18"/>
      </w:rPr>
      <w:fldChar w:fldCharType="begin"/>
    </w:r>
    <w:r w:rsidRPr="002C7354">
      <w:rPr>
        <w:b/>
        <w:sz w:val="18"/>
      </w:rPr>
      <w:instrText xml:space="preserve"> PAGE  \* MERGEFORMAT </w:instrText>
    </w:r>
    <w:r w:rsidRPr="002C7354">
      <w:rPr>
        <w:b/>
        <w:sz w:val="18"/>
      </w:rPr>
      <w:fldChar w:fldCharType="separate"/>
    </w:r>
    <w:r w:rsidRPr="002C7354">
      <w:rPr>
        <w:b/>
        <w:noProof/>
        <w:sz w:val="18"/>
      </w:rPr>
      <w:t>3</w:t>
    </w:r>
    <w:r w:rsidRPr="002C735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5F1D" w14:textId="53230EA0" w:rsidR="00042B72" w:rsidRPr="002C7354" w:rsidRDefault="002C7354" w:rsidP="002C7354">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72686B33" wp14:editId="2AE56E60">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21-00567  (R)</w:t>
    </w:r>
    <w:r>
      <w:rPr>
        <w:noProof/>
      </w:rPr>
      <w:drawing>
        <wp:anchor distT="0" distB="0" distL="114300" distR="114300" simplePos="0" relativeHeight="251659264" behindDoc="0" locked="0" layoutInCell="1" allowOverlap="1" wp14:anchorId="3EC8339D" wp14:editId="2170E69A">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220121  </w:t>
    </w:r>
    <w:r w:rsidR="007A24E1">
      <w:rPr>
        <w:lang w:val="fr-CH"/>
      </w:rPr>
      <w:t>01</w:t>
    </w:r>
    <w:r>
      <w:rPr>
        <w:lang w:val="fr-CH"/>
      </w:rPr>
      <w:t>0</w:t>
    </w:r>
    <w:r w:rsidR="007A24E1">
      <w:rPr>
        <w:lang w:val="fr-CH"/>
      </w:rPr>
      <w:t>2</w:t>
    </w:r>
    <w:r>
      <w:rPr>
        <w:lang w:val="fr-CH"/>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ED56" w14:textId="77777777" w:rsidR="00B506A4" w:rsidRPr="00B506A4" w:rsidRDefault="00B506A4" w:rsidP="00B506A4">
    <w:pPr>
      <w:pStyle w:val="Footer"/>
      <w:rPr>
        <w:b/>
        <w:sz w:val="18"/>
      </w:rPr>
    </w:pPr>
    <w:r>
      <w:t>GE.</w:t>
    </w:r>
    <w:r w:rsidRPr="00B506A4">
      <w:t>21</w:t>
    </w:r>
    <w:r>
      <w:t>-</w:t>
    </w:r>
    <w:r w:rsidRPr="00B506A4">
      <w:t>00567</w:t>
    </w:r>
    <w:r>
      <w:tab/>
    </w:r>
    <w:r>
      <w:rPr>
        <w:b/>
        <w:sz w:val="18"/>
      </w:rPr>
      <w:fldChar w:fldCharType="begin"/>
    </w:r>
    <w:r>
      <w:rPr>
        <w:b/>
        <w:sz w:val="18"/>
      </w:rPr>
      <w:instrText xml:space="preserve"> PAGE  \* MERGEFORMAT </w:instrText>
    </w:r>
    <w:r>
      <w:rPr>
        <w:b/>
        <w:sz w:val="18"/>
      </w:rPr>
      <w:fldChar w:fldCharType="separate"/>
    </w:r>
    <w:r>
      <w:rPr>
        <w:b/>
        <w:noProof/>
        <w:sz w:val="18"/>
      </w:rPr>
      <w:t>9</w:t>
    </w:r>
    <w:r>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FEBD1" w14:textId="77777777" w:rsidR="00B506A4" w:rsidRPr="002C7354" w:rsidRDefault="00B506A4" w:rsidP="002C7354">
    <w:pPr>
      <w:spacing w:before="120" w:line="240" w:lineRule="auto"/>
      <w:rPr>
        <w:lang w:val="fr-CH"/>
      </w:rPr>
    </w:pPr>
    <w:r>
      <w:t>GE.</w:t>
    </w:r>
    <w:r>
      <w:rPr>
        <w:b/>
        <w:noProof/>
        <w:lang w:val="fr-CH" w:eastAsia="fr-CH"/>
      </w:rPr>
      <w:drawing>
        <wp:anchor distT="0" distB="0" distL="114300" distR="114300" simplePos="0" relativeHeight="251661312" behindDoc="0" locked="0" layoutInCell="1" allowOverlap="1" wp14:anchorId="6141F382" wp14:editId="3A27B1F2">
          <wp:simplePos x="0" y="0"/>
          <wp:positionH relativeFrom="margin">
            <wp:posOffset>2699385</wp:posOffset>
          </wp:positionH>
          <wp:positionV relativeFrom="margin">
            <wp:posOffset>9179560</wp:posOffset>
          </wp:positionV>
          <wp:extent cx="2656800" cy="277200"/>
          <wp:effectExtent l="0" t="0" r="0" b="8890"/>
          <wp:wrapNone/>
          <wp:docPr id="4"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21-00567  (R)</w:t>
    </w:r>
    <w:r>
      <w:rPr>
        <w:noProof/>
      </w:rPr>
      <w:drawing>
        <wp:anchor distT="0" distB="0" distL="114300" distR="114300" simplePos="0" relativeHeight="251662336" behindDoc="0" locked="0" layoutInCell="1" allowOverlap="1" wp14:anchorId="1FE26416" wp14:editId="4B266B4B">
          <wp:simplePos x="0" y="0"/>
          <wp:positionH relativeFrom="margin">
            <wp:posOffset>5489575</wp:posOffset>
          </wp:positionH>
          <wp:positionV relativeFrom="margin">
            <wp:posOffset>8855710</wp:posOffset>
          </wp:positionV>
          <wp:extent cx="561975" cy="56197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220121  290121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17BAF" w14:textId="77777777" w:rsidR="001B59B8" w:rsidRPr="001075E9" w:rsidRDefault="001B59B8" w:rsidP="001075E9">
      <w:pPr>
        <w:tabs>
          <w:tab w:val="right" w:pos="2155"/>
        </w:tabs>
        <w:spacing w:after="80" w:line="240" w:lineRule="auto"/>
        <w:ind w:left="680"/>
        <w:rPr>
          <w:u w:val="single"/>
        </w:rPr>
      </w:pPr>
      <w:r>
        <w:rPr>
          <w:u w:val="single"/>
        </w:rPr>
        <w:tab/>
      </w:r>
    </w:p>
  </w:footnote>
  <w:footnote w:type="continuationSeparator" w:id="0">
    <w:p w14:paraId="32A161F8" w14:textId="77777777" w:rsidR="001B59B8" w:rsidRDefault="001B59B8" w:rsidP="00407B78">
      <w:pPr>
        <w:tabs>
          <w:tab w:val="right" w:pos="2155"/>
        </w:tabs>
        <w:spacing w:after="80"/>
        <w:ind w:left="680"/>
        <w:rPr>
          <w:u w:val="single"/>
        </w:rPr>
      </w:pPr>
      <w:r>
        <w:rPr>
          <w:u w:val="single"/>
        </w:rPr>
        <w:tab/>
      </w:r>
    </w:p>
  </w:footnote>
  <w:footnote w:id="1">
    <w:p w14:paraId="350A2BED" w14:textId="77777777" w:rsidR="006032C4" w:rsidRPr="006032C4" w:rsidRDefault="006032C4">
      <w:pPr>
        <w:pStyle w:val="FootnoteText"/>
        <w:rPr>
          <w:szCs w:val="18"/>
        </w:rPr>
      </w:pPr>
      <w:r>
        <w:tab/>
      </w:r>
      <w:r w:rsidRPr="006032C4">
        <w:rPr>
          <w:rStyle w:val="FootnoteReference"/>
          <w:szCs w:val="18"/>
          <w:vertAlign w:val="baseline"/>
        </w:rPr>
        <w:t>*</w:t>
      </w:r>
      <w:r w:rsidRPr="006032C4">
        <w:rPr>
          <w:rStyle w:val="FootnoteReference"/>
          <w:szCs w:val="18"/>
          <w:vertAlign w:val="baseline"/>
        </w:rPr>
        <w:tab/>
      </w:r>
      <w:r w:rsidRPr="006032C4">
        <w:rPr>
          <w:szCs w:val="18"/>
        </w:rPr>
        <w:t>По соображениям практического характера это приложение опубликовано в виде добавления под условным обозначением ST/SG/AC.10/48/Add.1.</w:t>
      </w:r>
    </w:p>
  </w:footnote>
  <w:footnote w:id="2">
    <w:p w14:paraId="6243E63B" w14:textId="77777777" w:rsidR="00C81C4F" w:rsidRPr="000F7C94" w:rsidRDefault="006032C4" w:rsidP="006032C4">
      <w:pPr>
        <w:pStyle w:val="FootnoteText"/>
      </w:pPr>
      <w:r>
        <w:rPr>
          <w:vertAlign w:val="superscript"/>
        </w:rPr>
        <w:tab/>
      </w:r>
      <w:r w:rsidR="00C81C4F" w:rsidRPr="006032C4">
        <w:t>**</w:t>
      </w:r>
      <w:r>
        <w:tab/>
      </w:r>
      <w:r w:rsidR="00C81C4F">
        <w:tab/>
        <w:t>По соображениям практического характера это приложение опубликовано в виде добавления под условным обозначением ST/SG/AC.10/48/Add.2.</w:t>
      </w:r>
    </w:p>
  </w:footnote>
  <w:footnote w:id="3">
    <w:p w14:paraId="61E45C0B" w14:textId="77777777" w:rsidR="00C81C4F" w:rsidRPr="000F7C94" w:rsidRDefault="006032C4" w:rsidP="006032C4">
      <w:pPr>
        <w:pStyle w:val="FootnoteText"/>
      </w:pPr>
      <w:r>
        <w:rPr>
          <w:vertAlign w:val="superscript"/>
        </w:rPr>
        <w:tab/>
      </w:r>
      <w:r w:rsidR="00C81C4F" w:rsidRPr="006032C4">
        <w:t>***</w:t>
      </w:r>
      <w:r>
        <w:tab/>
      </w:r>
      <w:r w:rsidR="00C81C4F">
        <w:t>По соображениям практического характера это приложение опубликовано в виде добавления под условным обозначением ST/SG/AC.10/48/Add.3.</w:t>
      </w:r>
    </w:p>
  </w:footnote>
  <w:footnote w:id="4">
    <w:p w14:paraId="10AC0072" w14:textId="77777777" w:rsidR="00311DA8" w:rsidRPr="000F7C94" w:rsidRDefault="00971FDB" w:rsidP="00971FDB">
      <w:pPr>
        <w:pStyle w:val="FootnoteText"/>
      </w:pPr>
      <w:r>
        <w:tab/>
      </w:r>
      <w:r w:rsidR="00311DA8">
        <w:rPr>
          <w:rStyle w:val="FootnoteReference"/>
        </w:rPr>
        <w:footnoteRef/>
      </w:r>
      <w:r>
        <w:tab/>
      </w:r>
      <w:r w:rsidR="00311DA8">
        <w:tab/>
        <w:t>См. доклад Комитета о работе его седьмой сессии (ST/SG/AC.10/42, п. 16).</w:t>
      </w:r>
    </w:p>
  </w:footnote>
  <w:footnote w:id="5">
    <w:p w14:paraId="3199BEDA" w14:textId="77777777" w:rsidR="00311DA8" w:rsidRPr="000F7C94" w:rsidRDefault="00971FDB" w:rsidP="00971FDB">
      <w:pPr>
        <w:pStyle w:val="FootnoteText"/>
      </w:pPr>
      <w:r>
        <w:tab/>
      </w:r>
      <w:r w:rsidR="00311DA8">
        <w:rPr>
          <w:rStyle w:val="FootnoteReference"/>
        </w:rPr>
        <w:footnoteRef/>
      </w:r>
      <w:r>
        <w:tab/>
      </w:r>
      <w:r w:rsidR="00311DA8">
        <w:tab/>
        <w:t>См. доклад Подкомитета по СГС о работе его тридцатой сессии (ST/SG/AC.10/C.4/60, приложение II).</w:t>
      </w:r>
    </w:p>
  </w:footnote>
  <w:footnote w:id="6">
    <w:p w14:paraId="723B75D4" w14:textId="77777777" w:rsidR="00311DA8" w:rsidRPr="000F7C94" w:rsidRDefault="00971FDB" w:rsidP="00971FDB">
      <w:pPr>
        <w:pStyle w:val="FootnoteText"/>
      </w:pPr>
      <w:r>
        <w:tab/>
      </w:r>
      <w:r w:rsidR="00311DA8">
        <w:rPr>
          <w:rStyle w:val="FootnoteReference"/>
        </w:rPr>
        <w:footnoteRef/>
      </w:r>
      <w:r>
        <w:tab/>
      </w:r>
      <w:r w:rsidR="00311DA8">
        <w:tab/>
        <w:t>См. доклад Подкомитета по СГС о работе его тридцать первой сессии (ST/SG/AC.10/C.4/62, приложение II).</w:t>
      </w:r>
    </w:p>
  </w:footnote>
  <w:footnote w:id="7">
    <w:p w14:paraId="6E242E8A" w14:textId="77777777" w:rsidR="00311DA8" w:rsidRPr="000F7C94" w:rsidRDefault="00971FDB" w:rsidP="00971FDB">
      <w:pPr>
        <w:pStyle w:val="FootnoteText"/>
      </w:pPr>
      <w:r>
        <w:tab/>
      </w:r>
      <w:r w:rsidR="00311DA8">
        <w:rPr>
          <w:rStyle w:val="FootnoteReference"/>
        </w:rPr>
        <w:footnoteRef/>
      </w:r>
      <w:r>
        <w:tab/>
      </w:r>
      <w:r>
        <w:tab/>
      </w:r>
      <w:r w:rsidR="00311DA8">
        <w:t xml:space="preserve">См. доклад Подкомитета по ПОГ о работе его пятьдесят третьей сессии (ST/SG/AC.10/C.3/106, </w:t>
      </w:r>
      <w:r w:rsidR="00311DA8">
        <w:t>пп. 162–176).</w:t>
      </w:r>
    </w:p>
  </w:footnote>
  <w:footnote w:id="8">
    <w:p w14:paraId="7D1A4CF4" w14:textId="77777777" w:rsidR="00311DA8" w:rsidRPr="000F7C94" w:rsidRDefault="00971FDB" w:rsidP="00971FDB">
      <w:pPr>
        <w:pStyle w:val="FootnoteText"/>
      </w:pPr>
      <w:r>
        <w:tab/>
      </w:r>
      <w:r w:rsidR="00311DA8" w:rsidRPr="00B0766F">
        <w:rPr>
          <w:rStyle w:val="FootnoteReference"/>
          <w:sz w:val="20"/>
        </w:rPr>
        <w:footnoteRef/>
      </w:r>
      <w:r>
        <w:tab/>
      </w:r>
      <w:r w:rsidR="00311DA8">
        <w:tab/>
        <w:t>С возможностью совместного использования двумя подкомитетами времени, выделенного на заседания в ходе их соответствующих сессий, для проведения совместных заседаний в течение всего дня 8 декабря 2021 года и 6 июля 2022 года. В ожидании подтверждения того, что 8 июля 2022 года будет выходным днем в Организации Объединенных Наций, возможно, потребуется перенести начало сессии Подкомитета по СГС на первую половину дня в среду, 6 июля (вместо второй половины дня в среду). В этом случае сессия Подкомитета по ПОГ должна будет завершиться во вторник, 5 июля (вместо среды, 6 июля (в первой половине дня)).</w:t>
      </w:r>
    </w:p>
  </w:footnote>
  <w:footnote w:id="9">
    <w:p w14:paraId="2FFCA475" w14:textId="77777777" w:rsidR="00B506A4" w:rsidRPr="00B506A4" w:rsidRDefault="00B506A4" w:rsidP="00D26FD3">
      <w:pPr>
        <w:pStyle w:val="FootnoteText"/>
        <w:rPr>
          <w:lang w:val="en-US"/>
        </w:rPr>
      </w:pPr>
      <w:r>
        <w:tab/>
      </w:r>
      <w:r>
        <w:rPr>
          <w:rStyle w:val="FootnoteReference"/>
        </w:rPr>
        <w:footnoteRef/>
      </w:r>
      <w:r w:rsidRPr="000F7C94">
        <w:rPr>
          <w:lang w:val="en-US"/>
        </w:rPr>
        <w:tab/>
        <w:t>[E/</w:t>
      </w:r>
      <w:r w:rsidRPr="00D87FC3">
        <w:rPr>
          <w:lang w:val="en-US"/>
        </w:rPr>
        <w:t>2021</w:t>
      </w:r>
      <w:r w:rsidRPr="000F7C94">
        <w:rPr>
          <w:lang w:val="en-US"/>
        </w:rPr>
        <w:t>/…].</w:t>
      </w:r>
    </w:p>
  </w:footnote>
  <w:footnote w:id="10">
    <w:p w14:paraId="0A3DEBDB" w14:textId="77777777" w:rsidR="00B506A4" w:rsidRPr="00B506A4" w:rsidRDefault="00B506A4" w:rsidP="00D26FD3">
      <w:pPr>
        <w:pStyle w:val="FootnoteText"/>
        <w:rPr>
          <w:lang w:val="en-US"/>
        </w:rPr>
      </w:pPr>
      <w:r w:rsidRPr="000F7C94">
        <w:rPr>
          <w:lang w:val="en-US"/>
        </w:rPr>
        <w:tab/>
      </w:r>
      <w:r>
        <w:rPr>
          <w:rStyle w:val="FootnoteReference"/>
        </w:rPr>
        <w:footnoteRef/>
      </w:r>
      <w:r w:rsidRPr="000F7C94">
        <w:rPr>
          <w:lang w:val="en-US"/>
        </w:rPr>
        <w:tab/>
      </w:r>
      <w:r>
        <w:t>См</w:t>
      </w:r>
      <w:r w:rsidRPr="000F7C94">
        <w:rPr>
          <w:lang w:val="en-US"/>
        </w:rPr>
        <w:t xml:space="preserve">. ST/SG/AC.10/48/Add.1 </w:t>
      </w:r>
      <w:r>
        <w:t>и</w:t>
      </w:r>
      <w:r w:rsidRPr="000F7C94">
        <w:rPr>
          <w:lang w:val="en-US"/>
        </w:rPr>
        <w:t xml:space="preserve"> ST/SG/AC.10/48/Add.2.</w:t>
      </w:r>
    </w:p>
  </w:footnote>
  <w:footnote w:id="11">
    <w:p w14:paraId="048DF1C0" w14:textId="77777777" w:rsidR="00B506A4" w:rsidRPr="000F7C94" w:rsidRDefault="00B506A4" w:rsidP="00D26FD3">
      <w:pPr>
        <w:pStyle w:val="FootnoteText"/>
      </w:pPr>
      <w:r w:rsidRPr="000F7C94">
        <w:rPr>
          <w:lang w:val="en-US"/>
        </w:rPr>
        <w:tab/>
      </w:r>
      <w:r>
        <w:rPr>
          <w:rStyle w:val="FootnoteReference"/>
        </w:rPr>
        <w:footnoteRef/>
      </w:r>
      <w:r>
        <w:tab/>
      </w:r>
      <w:r>
        <w:tab/>
      </w:r>
      <w:r>
        <w:rPr>
          <w:i/>
          <w:iCs/>
        </w:rPr>
        <w:t>Доклад Всемирной встречи на высшем уровне по устойчивому развитию, Йоханнесбург, Южная Африка, 26 августа — 4 сентября 2002 года</w:t>
      </w:r>
      <w:r>
        <w:t xml:space="preserve"> (издание Организации Объединенных Наций, в </w:t>
      </w:r>
      <w:r w:rsidRPr="00D87FC3">
        <w:t>продаже</w:t>
      </w:r>
      <w:r>
        <w:t xml:space="preserve"> под № R.03.II.A.1 и исправление), гл. I, резолюция 2, приложение.</w:t>
      </w:r>
    </w:p>
  </w:footnote>
  <w:footnote w:id="12">
    <w:p w14:paraId="54800746" w14:textId="77777777" w:rsidR="00B506A4" w:rsidRPr="000F7C94" w:rsidRDefault="00B506A4" w:rsidP="00A852F7">
      <w:pPr>
        <w:pStyle w:val="FootnoteText"/>
      </w:pPr>
      <w:r>
        <w:tab/>
      </w:r>
      <w:r>
        <w:rPr>
          <w:rStyle w:val="FootnoteReference"/>
        </w:rPr>
        <w:footnoteRef/>
      </w:r>
      <w:r>
        <w:tab/>
      </w:r>
      <w:r>
        <w:tab/>
      </w:r>
      <w:r>
        <w:rPr>
          <w:i/>
          <w:iCs/>
        </w:rPr>
        <w:t xml:space="preserve">Доклад Конференции Организации Объединенных Наций по окружающей среде и развитию, Рио-де-Жанейро, 3–14 июня 1992 года, </w:t>
      </w:r>
      <w:r w:rsidRPr="00DE798C">
        <w:t>т. I,</w:t>
      </w:r>
      <w:r>
        <w:rPr>
          <w:i/>
          <w:iCs/>
        </w:rPr>
        <w:t xml:space="preserve"> Резолюции, принятые на Конференции</w:t>
      </w:r>
      <w:r>
        <w:t xml:space="preserve"> (издание Организации Объединенных Наций, в продаже под № R.93.I.8 и исправление), резолюция 1, приложение II.</w:t>
      </w:r>
    </w:p>
  </w:footnote>
  <w:footnote w:id="13">
    <w:p w14:paraId="4EA3EEEE" w14:textId="77777777" w:rsidR="00B506A4" w:rsidRPr="000F7C94" w:rsidRDefault="00B506A4" w:rsidP="00A852F7">
      <w:pPr>
        <w:pStyle w:val="FootnoteText"/>
      </w:pPr>
      <w:r>
        <w:tab/>
      </w:r>
      <w:r>
        <w:rPr>
          <w:rStyle w:val="FootnoteReference"/>
        </w:rPr>
        <w:footnoteRef/>
      </w:r>
      <w:r>
        <w:tab/>
      </w:r>
      <w:r>
        <w:tab/>
        <w:t xml:space="preserve">Резолюция 70/1 Генеральной Ассамблеи </w:t>
      </w:r>
      <w:r w:rsidR="00A852F7">
        <w:t>«</w:t>
      </w:r>
      <w:r>
        <w:t>Преобразование нашего мира: Повестка дня</w:t>
      </w:r>
      <w:r w:rsidR="00A852F7">
        <w:br/>
      </w:r>
      <w:r>
        <w:t>в области устойчивого развития на период до 2030 года</w:t>
      </w:r>
      <w:r w:rsidR="00A852F7">
        <w:t>»</w:t>
      </w:r>
      <w:r>
        <w:t xml:space="preserve"> (A/RES/70/1).</w:t>
      </w:r>
    </w:p>
  </w:footnote>
  <w:footnote w:id="14">
    <w:p w14:paraId="02120CE3" w14:textId="77777777" w:rsidR="00B506A4" w:rsidRPr="000F7C94" w:rsidRDefault="00B506A4" w:rsidP="00A852F7">
      <w:pPr>
        <w:pStyle w:val="FootnoteText"/>
      </w:pPr>
      <w:r>
        <w:tab/>
      </w:r>
      <w:r>
        <w:rPr>
          <w:rStyle w:val="FootnoteReference"/>
        </w:rPr>
        <w:footnoteRef/>
      </w:r>
      <w:r>
        <w:tab/>
        <w:t>Издание Организации Объединенных Наций, в продаже под № R.19.II.E.21.</w:t>
      </w:r>
    </w:p>
  </w:footnote>
  <w:footnote w:id="15">
    <w:p w14:paraId="09850D93" w14:textId="77777777" w:rsidR="00B506A4" w:rsidRPr="00D87FC3" w:rsidRDefault="00B506A4" w:rsidP="00A852F7">
      <w:pPr>
        <w:pStyle w:val="FootnoteText"/>
      </w:pPr>
      <w:r>
        <w:tab/>
      </w:r>
      <w:r>
        <w:rPr>
          <w:rStyle w:val="FootnoteReference"/>
        </w:rPr>
        <w:footnoteRef/>
      </w:r>
      <w:r w:rsidRPr="00D87FC3">
        <w:tab/>
      </w:r>
      <w:r w:rsidRPr="000F7C94">
        <w:rPr>
          <w:lang w:val="en-US"/>
        </w:rPr>
        <w:t>ST</w:t>
      </w:r>
      <w:r w:rsidRPr="00D87FC3">
        <w:t>/</w:t>
      </w:r>
      <w:r w:rsidRPr="000F7C94">
        <w:rPr>
          <w:lang w:val="en-US"/>
        </w:rPr>
        <w:t>SG</w:t>
      </w:r>
      <w:r w:rsidRPr="00D87FC3">
        <w:t>/</w:t>
      </w:r>
      <w:r w:rsidRPr="000F7C94">
        <w:rPr>
          <w:lang w:val="en-US"/>
        </w:rPr>
        <w:t>AC</w:t>
      </w:r>
      <w:r w:rsidRPr="00D87FC3">
        <w:t>.10/48/</w:t>
      </w:r>
      <w:r w:rsidRPr="000F7C94">
        <w:rPr>
          <w:lang w:val="en-US"/>
        </w:rPr>
        <w:t>Add</w:t>
      </w:r>
      <w:r w:rsidRPr="00D87FC3">
        <w:t>.3.</w:t>
      </w:r>
    </w:p>
  </w:footnote>
  <w:footnote w:id="16">
    <w:p w14:paraId="50668138" w14:textId="77777777" w:rsidR="00B506A4" w:rsidRPr="00D87FC3" w:rsidRDefault="00A852F7" w:rsidP="00A852F7">
      <w:pPr>
        <w:pStyle w:val="FootnoteText"/>
      </w:pPr>
      <w:r w:rsidRPr="00D87FC3">
        <w:tab/>
      </w:r>
      <w:r w:rsidR="00B506A4">
        <w:rPr>
          <w:rStyle w:val="FootnoteReference"/>
        </w:rPr>
        <w:footnoteRef/>
      </w:r>
      <w:r w:rsidRPr="00D87FC3">
        <w:tab/>
      </w:r>
      <w:hyperlink r:id="rId1" w:history="1">
        <w:r w:rsidR="00B506A4" w:rsidRPr="00A852F7">
          <w:rPr>
            <w:rStyle w:val="Hyperlink"/>
            <w:lang w:val="en-US"/>
          </w:rPr>
          <w:t>https</w:t>
        </w:r>
        <w:r w:rsidR="00B506A4" w:rsidRPr="00D87FC3">
          <w:rPr>
            <w:rStyle w:val="Hyperlink"/>
          </w:rPr>
          <w:t>://</w:t>
        </w:r>
        <w:r w:rsidR="00B506A4" w:rsidRPr="00A852F7">
          <w:rPr>
            <w:rStyle w:val="Hyperlink"/>
            <w:lang w:val="en-US"/>
          </w:rPr>
          <w:t>unece</w:t>
        </w:r>
        <w:r w:rsidR="00B506A4" w:rsidRPr="00D87FC3">
          <w:rPr>
            <w:rStyle w:val="Hyperlink"/>
          </w:rPr>
          <w:t>.</w:t>
        </w:r>
        <w:r w:rsidR="00B506A4" w:rsidRPr="00A852F7">
          <w:rPr>
            <w:rStyle w:val="Hyperlink"/>
            <w:lang w:val="en-US"/>
          </w:rPr>
          <w:t>org</w:t>
        </w:r>
        <w:r w:rsidR="00B506A4" w:rsidRPr="00D87FC3">
          <w:rPr>
            <w:rStyle w:val="Hyperlink"/>
          </w:rPr>
          <w:t>/</w:t>
        </w:r>
        <w:r w:rsidR="00B506A4" w:rsidRPr="00A852F7">
          <w:rPr>
            <w:rStyle w:val="Hyperlink"/>
            <w:lang w:val="en-US"/>
          </w:rPr>
          <w:t>ghs</w:t>
        </w:r>
        <w:r w:rsidR="00B506A4" w:rsidRPr="00D87FC3">
          <w:rPr>
            <w:rStyle w:val="Hyperlink"/>
          </w:rPr>
          <w:t>-</w:t>
        </w:r>
        <w:r w:rsidR="00B506A4" w:rsidRPr="00A852F7">
          <w:rPr>
            <w:rStyle w:val="Hyperlink"/>
            <w:lang w:val="en-US"/>
          </w:rPr>
          <w:t>implementation</w:t>
        </w:r>
        <w:r w:rsidR="00B506A4" w:rsidRPr="00D87FC3">
          <w:rPr>
            <w:rStyle w:val="Hyperlink"/>
          </w:rPr>
          <w:t>-0</w:t>
        </w:r>
      </w:hyperlink>
      <w:r w:rsidRPr="00D87F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C39C" w14:textId="7F61C6BD" w:rsidR="002C7354" w:rsidRPr="002C7354" w:rsidRDefault="00667866">
    <w:pPr>
      <w:pStyle w:val="Header"/>
    </w:pPr>
    <w:fldSimple w:instr=" TITLE  \* MERGEFORMAT ">
      <w:r w:rsidR="00DC1C96">
        <w:t>ST/SG/AC.10/48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2A08" w14:textId="0604CA6B" w:rsidR="002C7354" w:rsidRPr="002C7354" w:rsidRDefault="00667866" w:rsidP="002C7354">
    <w:pPr>
      <w:pStyle w:val="Header"/>
      <w:jc w:val="right"/>
    </w:pPr>
    <w:fldSimple w:instr=" TITLE  \* MERGEFORMAT ">
      <w:r w:rsidR="00DC1C96">
        <w:t>ST/SG/AC.10/48</w:t>
      </w:r>
    </w:fldSimple>
  </w:p>
  <w:p w14:paraId="33A3690C" w14:textId="77777777" w:rsidR="004A79D2" w:rsidRDefault="004A79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8596" w14:textId="31D2A872" w:rsidR="00B506A4" w:rsidRPr="00B506A4" w:rsidRDefault="00667866" w:rsidP="00B506A4">
    <w:pPr>
      <w:pStyle w:val="Header"/>
      <w:jc w:val="right"/>
    </w:pPr>
    <w:fldSimple w:instr=" TITLE  \* MERGEFORMAT ">
      <w:r w:rsidR="00DC1C96">
        <w:t>ST/SG/AC.10/48</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DF67B" w14:textId="5F3DDF8F" w:rsidR="00B506A4" w:rsidRPr="00B506A4" w:rsidRDefault="00667866" w:rsidP="00B506A4">
    <w:pPr>
      <w:pStyle w:val="Header"/>
    </w:pPr>
    <w:fldSimple w:instr=" TITLE  \* MERGEFORMAT ">
      <w:r w:rsidR="00DC1C96">
        <w:t>ST/SG/AC.10/48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1"/>
  </w:num>
  <w:num w:numId="3">
    <w:abstractNumId w:val="10"/>
  </w:num>
  <w:num w:numId="4">
    <w:abstractNumId w:val="18"/>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2"/>
  </w:num>
  <w:num w:numId="18">
    <w:abstractNumId w:val="14"/>
  </w:num>
  <w:num w:numId="19">
    <w:abstractNumId w:val="16"/>
  </w:num>
  <w:num w:numId="20">
    <w:abstractNumId w:val="12"/>
  </w:num>
  <w:num w:numId="21">
    <w:abstractNumId w:val="14"/>
  </w:num>
  <w:num w:numId="22">
    <w:abstractNumId w:val="15"/>
    <w:lvlOverride w:ilvl="0">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FF"/>
    <w:rsid w:val="000307FB"/>
    <w:rsid w:val="00033EE1"/>
    <w:rsid w:val="00042B72"/>
    <w:rsid w:val="000558BD"/>
    <w:rsid w:val="000A2F42"/>
    <w:rsid w:val="000B57E7"/>
    <w:rsid w:val="000B6373"/>
    <w:rsid w:val="000D260F"/>
    <w:rsid w:val="000F09DF"/>
    <w:rsid w:val="000F25E4"/>
    <w:rsid w:val="000F27D6"/>
    <w:rsid w:val="000F50F0"/>
    <w:rsid w:val="000F61B2"/>
    <w:rsid w:val="001013D5"/>
    <w:rsid w:val="001075E9"/>
    <w:rsid w:val="00133FDC"/>
    <w:rsid w:val="00180183"/>
    <w:rsid w:val="0018024D"/>
    <w:rsid w:val="0018649F"/>
    <w:rsid w:val="00196389"/>
    <w:rsid w:val="001B3EF6"/>
    <w:rsid w:val="001B59B8"/>
    <w:rsid w:val="001C7A89"/>
    <w:rsid w:val="001D5AA0"/>
    <w:rsid w:val="00220598"/>
    <w:rsid w:val="002A00CC"/>
    <w:rsid w:val="002A2EFC"/>
    <w:rsid w:val="002C0E18"/>
    <w:rsid w:val="002C7354"/>
    <w:rsid w:val="002D5AAC"/>
    <w:rsid w:val="002E078B"/>
    <w:rsid w:val="002E5067"/>
    <w:rsid w:val="002F405F"/>
    <w:rsid w:val="002F7EEC"/>
    <w:rsid w:val="00301299"/>
    <w:rsid w:val="00301721"/>
    <w:rsid w:val="00305C08"/>
    <w:rsid w:val="00307FB6"/>
    <w:rsid w:val="00311DA8"/>
    <w:rsid w:val="00317339"/>
    <w:rsid w:val="00322004"/>
    <w:rsid w:val="0032326A"/>
    <w:rsid w:val="003402C2"/>
    <w:rsid w:val="00381C24"/>
    <w:rsid w:val="003958D0"/>
    <w:rsid w:val="003B00E5"/>
    <w:rsid w:val="003C4CA0"/>
    <w:rsid w:val="00407B78"/>
    <w:rsid w:val="00424203"/>
    <w:rsid w:val="00452493"/>
    <w:rsid w:val="00454E07"/>
    <w:rsid w:val="00472C5C"/>
    <w:rsid w:val="004969B2"/>
    <w:rsid w:val="004A79D2"/>
    <w:rsid w:val="004C47CF"/>
    <w:rsid w:val="004F595F"/>
    <w:rsid w:val="0050108D"/>
    <w:rsid w:val="00513081"/>
    <w:rsid w:val="00517901"/>
    <w:rsid w:val="00526683"/>
    <w:rsid w:val="005349A5"/>
    <w:rsid w:val="00535088"/>
    <w:rsid w:val="005709E0"/>
    <w:rsid w:val="00572E19"/>
    <w:rsid w:val="00581A47"/>
    <w:rsid w:val="005961C8"/>
    <w:rsid w:val="005D7914"/>
    <w:rsid w:val="005E2B41"/>
    <w:rsid w:val="005F0B42"/>
    <w:rsid w:val="005F3F83"/>
    <w:rsid w:val="006021A7"/>
    <w:rsid w:val="006032C4"/>
    <w:rsid w:val="0060424E"/>
    <w:rsid w:val="00641688"/>
    <w:rsid w:val="00667866"/>
    <w:rsid w:val="00681A10"/>
    <w:rsid w:val="006A1ED8"/>
    <w:rsid w:val="006C2031"/>
    <w:rsid w:val="006D461A"/>
    <w:rsid w:val="006D4D4B"/>
    <w:rsid w:val="006F35EE"/>
    <w:rsid w:val="007021FF"/>
    <w:rsid w:val="00705139"/>
    <w:rsid w:val="00712895"/>
    <w:rsid w:val="007475BF"/>
    <w:rsid w:val="00757357"/>
    <w:rsid w:val="00797FE6"/>
    <w:rsid w:val="007A24E1"/>
    <w:rsid w:val="00825F8D"/>
    <w:rsid w:val="00834B71"/>
    <w:rsid w:val="0086445C"/>
    <w:rsid w:val="00894693"/>
    <w:rsid w:val="00896523"/>
    <w:rsid w:val="008A08D7"/>
    <w:rsid w:val="008B43D6"/>
    <w:rsid w:val="008B6909"/>
    <w:rsid w:val="008C6137"/>
    <w:rsid w:val="00906890"/>
    <w:rsid w:val="00911BE4"/>
    <w:rsid w:val="00951972"/>
    <w:rsid w:val="009608F3"/>
    <w:rsid w:val="00971FDB"/>
    <w:rsid w:val="009810A3"/>
    <w:rsid w:val="009A24AC"/>
    <w:rsid w:val="00A14DA8"/>
    <w:rsid w:val="00A312BC"/>
    <w:rsid w:val="00A84021"/>
    <w:rsid w:val="00A84D35"/>
    <w:rsid w:val="00A852F7"/>
    <w:rsid w:val="00A917B3"/>
    <w:rsid w:val="00AB4B51"/>
    <w:rsid w:val="00AD14EB"/>
    <w:rsid w:val="00AF0CD9"/>
    <w:rsid w:val="00AF244F"/>
    <w:rsid w:val="00AF3772"/>
    <w:rsid w:val="00B10CC7"/>
    <w:rsid w:val="00B136DB"/>
    <w:rsid w:val="00B40EB6"/>
    <w:rsid w:val="00B506A4"/>
    <w:rsid w:val="00B539E7"/>
    <w:rsid w:val="00B62458"/>
    <w:rsid w:val="00B87FF2"/>
    <w:rsid w:val="00BC18B2"/>
    <w:rsid w:val="00BD33EE"/>
    <w:rsid w:val="00C106D6"/>
    <w:rsid w:val="00C11FC1"/>
    <w:rsid w:val="00C1492D"/>
    <w:rsid w:val="00C60F0C"/>
    <w:rsid w:val="00C805C9"/>
    <w:rsid w:val="00C81C4F"/>
    <w:rsid w:val="00C92939"/>
    <w:rsid w:val="00CA1679"/>
    <w:rsid w:val="00CB151C"/>
    <w:rsid w:val="00CE5A1A"/>
    <w:rsid w:val="00CF1A8F"/>
    <w:rsid w:val="00CF4E75"/>
    <w:rsid w:val="00CF55F6"/>
    <w:rsid w:val="00D01E22"/>
    <w:rsid w:val="00D26FD3"/>
    <w:rsid w:val="00D33D63"/>
    <w:rsid w:val="00D5211F"/>
    <w:rsid w:val="00D630F2"/>
    <w:rsid w:val="00D82C20"/>
    <w:rsid w:val="00D87FC3"/>
    <w:rsid w:val="00D90028"/>
    <w:rsid w:val="00D90138"/>
    <w:rsid w:val="00DB303C"/>
    <w:rsid w:val="00DC1C96"/>
    <w:rsid w:val="00DD78D1"/>
    <w:rsid w:val="00DE32CD"/>
    <w:rsid w:val="00DF35B9"/>
    <w:rsid w:val="00DF71B9"/>
    <w:rsid w:val="00E37504"/>
    <w:rsid w:val="00E73F76"/>
    <w:rsid w:val="00E8708A"/>
    <w:rsid w:val="00EA2C9F"/>
    <w:rsid w:val="00EA420E"/>
    <w:rsid w:val="00EC79AA"/>
    <w:rsid w:val="00ED0BDA"/>
    <w:rsid w:val="00EF0865"/>
    <w:rsid w:val="00EF1360"/>
    <w:rsid w:val="00EF3220"/>
    <w:rsid w:val="00F43903"/>
    <w:rsid w:val="00F469FF"/>
    <w:rsid w:val="00F94155"/>
    <w:rsid w:val="00F9783F"/>
    <w:rsid w:val="00FC636C"/>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0762"/>
  <w15:docId w15:val="{E6060E91-86E5-4D6D-BE5E-B635C1B0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523"/>
    <w:pPr>
      <w:suppressAutoHyphens/>
      <w:spacing w:line="240" w:lineRule="atLeast"/>
    </w:pPr>
    <w:rPr>
      <w:rFonts w:eastAsiaTheme="minorHAnsi" w:cstheme="minorBidi"/>
      <w:szCs w:val="22"/>
      <w:lang w:val="ru-RU" w:eastAsia="en-US"/>
    </w:rPr>
  </w:style>
  <w:style w:type="paragraph" w:styleId="Heading1">
    <w:name w:val="heading 1"/>
    <w:aliases w:val="Table_G"/>
    <w:basedOn w:val="Normal"/>
    <w:next w:val="Normal"/>
    <w:link w:val="Heading1Char"/>
    <w:qFormat/>
    <w:rsid w:val="00301721"/>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810A3"/>
    <w:pPr>
      <w:keepNext/>
      <w:outlineLvl w:val="1"/>
    </w:pPr>
    <w:rPr>
      <w:rFonts w:cs="Arial"/>
      <w:bCs/>
      <w:iCs/>
      <w:szCs w:val="28"/>
    </w:rPr>
  </w:style>
  <w:style w:type="paragraph" w:styleId="Heading3">
    <w:name w:val="heading 3"/>
    <w:basedOn w:val="Normal"/>
    <w:next w:val="Normal"/>
    <w:semiHidden/>
    <w:rsid w:val="009810A3"/>
    <w:pPr>
      <w:keepNext/>
      <w:spacing w:before="240" w:after="60"/>
      <w:outlineLvl w:val="2"/>
    </w:pPr>
    <w:rPr>
      <w:rFonts w:ascii="Arial" w:hAnsi="Arial" w:cs="Arial"/>
      <w:b/>
      <w:bCs/>
      <w:sz w:val="26"/>
      <w:szCs w:val="26"/>
    </w:rPr>
  </w:style>
  <w:style w:type="paragraph" w:styleId="Heading4">
    <w:name w:val="heading 4"/>
    <w:basedOn w:val="Normal"/>
    <w:next w:val="Normal"/>
    <w:semiHidden/>
    <w:rsid w:val="009810A3"/>
    <w:pPr>
      <w:keepNext/>
      <w:spacing w:before="240" w:after="60"/>
      <w:outlineLvl w:val="3"/>
    </w:pPr>
    <w:rPr>
      <w:b/>
      <w:bCs/>
      <w:sz w:val="28"/>
      <w:szCs w:val="28"/>
    </w:rPr>
  </w:style>
  <w:style w:type="paragraph" w:styleId="Heading5">
    <w:name w:val="heading 5"/>
    <w:basedOn w:val="Normal"/>
    <w:next w:val="Normal"/>
    <w:semiHidden/>
    <w:rsid w:val="009810A3"/>
    <w:pPr>
      <w:spacing w:before="240" w:after="60"/>
      <w:outlineLvl w:val="4"/>
    </w:pPr>
    <w:rPr>
      <w:b/>
      <w:bCs/>
      <w:i/>
      <w:iCs/>
      <w:sz w:val="26"/>
      <w:szCs w:val="26"/>
    </w:rPr>
  </w:style>
  <w:style w:type="paragraph" w:styleId="Heading6">
    <w:name w:val="heading 6"/>
    <w:basedOn w:val="Normal"/>
    <w:next w:val="Normal"/>
    <w:semiHidden/>
    <w:rsid w:val="009810A3"/>
    <w:pPr>
      <w:spacing w:before="240" w:after="60"/>
      <w:outlineLvl w:val="5"/>
    </w:pPr>
    <w:rPr>
      <w:b/>
      <w:bCs/>
      <w:sz w:val="22"/>
    </w:rPr>
  </w:style>
  <w:style w:type="paragraph" w:styleId="Heading7">
    <w:name w:val="heading 7"/>
    <w:basedOn w:val="Normal"/>
    <w:next w:val="Normal"/>
    <w:semiHidden/>
    <w:rsid w:val="009810A3"/>
    <w:pPr>
      <w:spacing w:before="240" w:after="60"/>
      <w:outlineLvl w:val="6"/>
    </w:pPr>
    <w:rPr>
      <w:sz w:val="24"/>
      <w:szCs w:val="24"/>
    </w:rPr>
  </w:style>
  <w:style w:type="paragraph" w:styleId="Heading8">
    <w:name w:val="heading 8"/>
    <w:basedOn w:val="Normal"/>
    <w:next w:val="Normal"/>
    <w:semiHidden/>
    <w:rsid w:val="009810A3"/>
    <w:pPr>
      <w:spacing w:before="240" w:after="60"/>
      <w:outlineLvl w:val="7"/>
    </w:pPr>
    <w:rPr>
      <w:i/>
      <w:iCs/>
      <w:sz w:val="24"/>
      <w:szCs w:val="24"/>
    </w:rPr>
  </w:style>
  <w:style w:type="paragraph" w:styleId="Heading9">
    <w:name w:val="heading 9"/>
    <w:basedOn w:val="Normal"/>
    <w:next w:val="Normal"/>
    <w:semiHidden/>
    <w:rsid w:val="009810A3"/>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1"/>
    <w:semiHidden/>
    <w:rsid w:val="009810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C1492D"/>
    <w:rPr>
      <w:rFonts w:ascii="Tahoma" w:eastAsiaTheme="minorHAnsi" w:hAnsi="Tahoma" w:cs="Tahoma"/>
      <w:sz w:val="16"/>
      <w:szCs w:val="16"/>
      <w:lang w:val="ru-RU" w:eastAsia="en-US"/>
    </w:rPr>
  </w:style>
  <w:style w:type="paragraph" w:customStyle="1" w:styleId="HMG">
    <w:name w:val="_ H __M_G"/>
    <w:basedOn w:val="Normal"/>
    <w:next w:val="Normal"/>
    <w:qFormat/>
    <w:rsid w:val="00301721"/>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Normal"/>
    <w:next w:val="Normal"/>
    <w:link w:val="HChGChar"/>
    <w:qFormat/>
    <w:rsid w:val="00301721"/>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Normal"/>
    <w:next w:val="Normal"/>
    <w:qFormat/>
    <w:rsid w:val="00301721"/>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Normal"/>
    <w:next w:val="Normal"/>
    <w:qFormat/>
    <w:rsid w:val="00301721"/>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Normal"/>
    <w:next w:val="Normal"/>
    <w:qFormat/>
    <w:rsid w:val="00301721"/>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Normal"/>
    <w:next w:val="Normal"/>
    <w:qFormat/>
    <w:rsid w:val="00301721"/>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Normal"/>
    <w:link w:val="SingleTxtGCar"/>
    <w:qFormat/>
    <w:rsid w:val="00C1492D"/>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Normal"/>
    <w:next w:val="Normal"/>
    <w:qFormat/>
    <w:rsid w:val="00301721"/>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Normal"/>
    <w:next w:val="Normal"/>
    <w:qFormat/>
    <w:rsid w:val="00301721"/>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Normal"/>
    <w:next w:val="Normal"/>
    <w:qFormat/>
    <w:rsid w:val="00301721"/>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Normal"/>
    <w:next w:val="Normal"/>
    <w:qFormat/>
    <w:rsid w:val="00301721"/>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Normal"/>
    <w:qFormat/>
    <w:rsid w:val="00301721"/>
    <w:pPr>
      <w:numPr>
        <w:numId w:val="19"/>
      </w:numPr>
      <w:spacing w:after="120"/>
      <w:ind w:right="1134"/>
      <w:jc w:val="both"/>
    </w:pPr>
    <w:rPr>
      <w:rFonts w:eastAsia="Times New Roman" w:cs="Times New Roman"/>
      <w:szCs w:val="20"/>
      <w:lang w:eastAsia="ru-RU"/>
    </w:rPr>
  </w:style>
  <w:style w:type="paragraph" w:customStyle="1" w:styleId="Bullet2G">
    <w:name w:val="_Bullet 2_G"/>
    <w:basedOn w:val="Normal"/>
    <w:qFormat/>
    <w:rsid w:val="00301721"/>
    <w:pPr>
      <w:numPr>
        <w:numId w:val="20"/>
      </w:numPr>
      <w:spacing w:after="120"/>
      <w:ind w:right="1134"/>
      <w:jc w:val="both"/>
    </w:pPr>
    <w:rPr>
      <w:rFonts w:eastAsia="Times New Roman" w:cs="Times New Roman"/>
      <w:szCs w:val="20"/>
      <w:lang w:eastAsia="ru-RU"/>
    </w:rPr>
  </w:style>
  <w:style w:type="paragraph" w:customStyle="1" w:styleId="ParaNoG">
    <w:name w:val="_ParaNo._G"/>
    <w:basedOn w:val="Normal"/>
    <w:next w:val="Normal"/>
    <w:qFormat/>
    <w:rsid w:val="00C1492D"/>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301721"/>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301721"/>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
    <w:basedOn w:val="Normal"/>
    <w:next w:val="Normal"/>
    <w:link w:val="HeaderChar"/>
    <w:qFormat/>
    <w:rsid w:val="00301721"/>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 Char"/>
    <w:basedOn w:val="DefaultParagraphFont"/>
    <w:link w:val="Header"/>
    <w:rsid w:val="00301721"/>
    <w:rPr>
      <w:b/>
      <w:sz w:val="18"/>
      <w:lang w:val="en-GB" w:eastAsia="ru-RU"/>
    </w:rPr>
  </w:style>
  <w:style w:type="character" w:styleId="PageNumber">
    <w:name w:val="page number"/>
    <w:aliases w:val="7_G"/>
    <w:basedOn w:val="DefaultParagraphFont"/>
    <w:qFormat/>
    <w:rsid w:val="00301721"/>
    <w:rPr>
      <w:rFonts w:ascii="Times New Roman" w:hAnsi="Times New Roman"/>
      <w:b/>
      <w:sz w:val="18"/>
    </w:rPr>
  </w:style>
  <w:style w:type="paragraph" w:styleId="Footer">
    <w:name w:val="footer"/>
    <w:aliases w:val="3_G"/>
    <w:basedOn w:val="Normal"/>
    <w:link w:val="FooterChar"/>
    <w:qFormat/>
    <w:rsid w:val="00301721"/>
    <w:pPr>
      <w:tabs>
        <w:tab w:val="right" w:pos="9639"/>
      </w:tabs>
    </w:pPr>
    <w:rPr>
      <w:rFonts w:eastAsia="Times New Roman" w:cs="Times New Roman"/>
      <w:sz w:val="16"/>
      <w:szCs w:val="20"/>
      <w:lang w:val="en-GB" w:eastAsia="ru-RU"/>
    </w:rPr>
  </w:style>
  <w:style w:type="character" w:customStyle="1" w:styleId="FooterChar">
    <w:name w:val="Footer Char"/>
    <w:aliases w:val="3_G Char"/>
    <w:basedOn w:val="DefaultParagraphFont"/>
    <w:link w:val="Footer"/>
    <w:rsid w:val="00301721"/>
    <w:rPr>
      <w:sz w:val="16"/>
      <w:lang w:val="en-GB" w:eastAsia="ru-RU"/>
    </w:rPr>
  </w:style>
  <w:style w:type="character" w:styleId="FootnoteReference">
    <w:name w:val="footnote reference"/>
    <w:aliases w:val="4_G,Footnote Reference/"/>
    <w:basedOn w:val="DefaultParagraphFont"/>
    <w:qFormat/>
    <w:rsid w:val="00301721"/>
    <w:rPr>
      <w:rFonts w:ascii="Times New Roman" w:hAnsi="Times New Roman"/>
      <w:dstrike w:val="0"/>
      <w:sz w:val="18"/>
      <w:vertAlign w:val="superscript"/>
    </w:rPr>
  </w:style>
  <w:style w:type="character" w:styleId="EndnoteReference">
    <w:name w:val="endnote reference"/>
    <w:aliases w:val="1_G"/>
    <w:basedOn w:val="FootnoteReference"/>
    <w:qFormat/>
    <w:rsid w:val="00301721"/>
    <w:rPr>
      <w:rFonts w:ascii="Times New Roman" w:hAnsi="Times New Roman"/>
      <w:dstrike w:val="0"/>
      <w:sz w:val="18"/>
      <w:vertAlign w:val="superscript"/>
    </w:rPr>
  </w:style>
  <w:style w:type="table" w:styleId="TableGrid">
    <w:name w:val="Table Grid"/>
    <w:basedOn w:val="TableNormal"/>
    <w:uiPriority w:val="59"/>
    <w:rsid w:val="00896523"/>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Char,Footnote Text Char2,Footnote Text Char1 Char,Footnote Text Char Char Char,Footnote Text Char Char1,Footnote Text Char1,Footnote Text Char Char,Footnote Text Char1 Char Char"/>
    <w:basedOn w:val="Normal"/>
    <w:link w:val="FootnoteTextChar"/>
    <w:qFormat/>
    <w:rsid w:val="00301721"/>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 Char,Char Char,Footnote Text Char2 Char,Footnote Text Char1 Char Char1,Footnote Text Char Char Char Char,Footnote Text Char Char1 Char,Footnote Text Char1 Char1,Footnote Text Char Char Char1,Footnote Text Char1 Char Char Char"/>
    <w:basedOn w:val="DefaultParagraphFont"/>
    <w:link w:val="FootnoteText"/>
    <w:rsid w:val="00301721"/>
    <w:rPr>
      <w:sz w:val="18"/>
      <w:lang w:val="ru-RU" w:eastAsia="ru-RU"/>
    </w:rPr>
  </w:style>
  <w:style w:type="paragraph" w:styleId="EndnoteText">
    <w:name w:val="endnote text"/>
    <w:aliases w:val="2_G"/>
    <w:basedOn w:val="FootnoteText"/>
    <w:link w:val="EndnoteTextChar"/>
    <w:qFormat/>
    <w:rsid w:val="00301721"/>
  </w:style>
  <w:style w:type="character" w:customStyle="1" w:styleId="EndnoteTextChar">
    <w:name w:val="Endnote Text Char"/>
    <w:aliases w:val="2_G Char"/>
    <w:basedOn w:val="DefaultParagraphFont"/>
    <w:link w:val="EndnoteText"/>
    <w:rsid w:val="00301721"/>
    <w:rPr>
      <w:sz w:val="18"/>
      <w:lang w:val="ru-RU" w:eastAsia="ru-RU"/>
    </w:rPr>
  </w:style>
  <w:style w:type="character" w:customStyle="1" w:styleId="Heading1Char">
    <w:name w:val="Heading 1 Char"/>
    <w:aliases w:val="Table_G Char"/>
    <w:basedOn w:val="DefaultParagraphFont"/>
    <w:link w:val="Heading1"/>
    <w:rsid w:val="00301721"/>
    <w:rPr>
      <w:rFonts w:cs="Arial"/>
      <w:b/>
      <w:bCs/>
      <w:szCs w:val="32"/>
      <w:lang w:val="ru-RU" w:eastAsia="ru-RU"/>
    </w:rPr>
  </w:style>
  <w:style w:type="character" w:styleId="Hyperlink">
    <w:name w:val="Hyperlink"/>
    <w:basedOn w:val="DefaultParagraphFont"/>
    <w:rsid w:val="00301721"/>
    <w:rPr>
      <w:color w:val="0000FF" w:themeColor="hyperlink"/>
      <w:u w:val="none"/>
    </w:rPr>
  </w:style>
  <w:style w:type="character" w:styleId="FollowedHyperlink">
    <w:name w:val="FollowedHyperlink"/>
    <w:basedOn w:val="DefaultParagraphFont"/>
    <w:rsid w:val="00301721"/>
    <w:rPr>
      <w:color w:val="800080" w:themeColor="followedHyperlink"/>
      <w:u w:val="none"/>
    </w:rPr>
  </w:style>
  <w:style w:type="character" w:customStyle="1" w:styleId="SingleTxtGCar">
    <w:name w:val="_ Single Txt_G Car"/>
    <w:link w:val="SingleTxtG"/>
    <w:rsid w:val="00C81C4F"/>
    <w:rPr>
      <w:lang w:val="ru-RU" w:eastAsia="en-US"/>
    </w:rPr>
  </w:style>
  <w:style w:type="character" w:customStyle="1" w:styleId="HChGChar">
    <w:name w:val="_ H _Ch_G Char"/>
    <w:link w:val="HChG"/>
    <w:rsid w:val="00C81C4F"/>
    <w:rPr>
      <w:b/>
      <w:sz w:val="28"/>
      <w:lang w:val="ru-RU" w:eastAsia="ru-RU"/>
    </w:rPr>
  </w:style>
  <w:style w:type="character" w:styleId="UnresolvedMention">
    <w:name w:val="Unresolved Mention"/>
    <w:basedOn w:val="DefaultParagraphFont"/>
    <w:uiPriority w:val="99"/>
    <w:semiHidden/>
    <w:unhideWhenUsed/>
    <w:rsid w:val="00535088"/>
    <w:rPr>
      <w:color w:val="605E5C"/>
      <w:shd w:val="clear" w:color="auto" w:fill="E1DFDD"/>
    </w:rPr>
  </w:style>
  <w:style w:type="paragraph" w:styleId="BlockText">
    <w:name w:val="Block Text"/>
    <w:basedOn w:val="Normal"/>
    <w:semiHidden/>
    <w:rsid w:val="00311DA8"/>
    <w:pPr>
      <w:ind w:left="1440" w:right="1440"/>
    </w:pPr>
    <w:rPr>
      <w:rFonts w:eastAsia="Times New Roman" w:cs="Times New Roman"/>
      <w:szCs w:val="20"/>
      <w:lang w:val="en-GB"/>
    </w:rPr>
  </w:style>
  <w:style w:type="paragraph" w:customStyle="1" w:styleId="SingleTxt">
    <w:name w:val="__Single Txt"/>
    <w:basedOn w:val="Normal"/>
    <w:rsid w:val="005349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imes New Roman" w:cs="Times New Roman"/>
      <w:spacing w:val="4"/>
      <w:w w:val="103"/>
      <w:kern w:val="14"/>
      <w:szCs w:val="20"/>
      <w:lang w:val="en-GB"/>
    </w:rPr>
  </w:style>
  <w:style w:type="paragraph" w:customStyle="1" w:styleId="H23">
    <w:name w:val="_ H_2/3"/>
    <w:basedOn w:val="Normal"/>
    <w:next w:val="SingleTxt"/>
    <w:rsid w:val="005349A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Times New Roman" w:cs="Times New Roman"/>
      <w:b/>
      <w:spacing w:val="2"/>
      <w:w w:val="103"/>
      <w:kern w:val="14"/>
      <w:szCs w:val="20"/>
      <w:lang w:val="en-GB"/>
    </w:rPr>
  </w:style>
  <w:style w:type="paragraph" w:customStyle="1" w:styleId="TitleH1">
    <w:name w:val="Title_H1"/>
    <w:basedOn w:val="Normal"/>
    <w:next w:val="SingleTxt"/>
    <w:qFormat/>
    <w:rsid w:val="005349A5"/>
    <w:pPr>
      <w:keepNext/>
      <w:keepLines/>
      <w:spacing w:line="270" w:lineRule="exact"/>
      <w:ind w:left="1267" w:right="1267" w:hanging="1267"/>
      <w:outlineLvl w:val="0"/>
    </w:pPr>
    <w:rPr>
      <w:rFonts w:eastAsia="Calibri" w:cs="Times New Roman"/>
      <w:b/>
      <w:spacing w:val="4"/>
      <w:w w:val="103"/>
      <w:kern w:val="14"/>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ghs-implementation-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BA07C-131B-4EC8-B696-4AD1D13EC753}">
  <ds:schemaRefs>
    <ds:schemaRef ds:uri="http://schemas.openxmlformats.org/officeDocument/2006/bibliography"/>
  </ds:schemaRefs>
</ds:datastoreItem>
</file>

<file path=customXml/itemProps2.xml><?xml version="1.0" encoding="utf-8"?>
<ds:datastoreItem xmlns:ds="http://schemas.openxmlformats.org/officeDocument/2006/customXml" ds:itemID="{901A32E3-9B14-40EC-B25D-5B1DC52EB756}"/>
</file>

<file path=customXml/itemProps3.xml><?xml version="1.0" encoding="utf-8"?>
<ds:datastoreItem xmlns:ds="http://schemas.openxmlformats.org/officeDocument/2006/customXml" ds:itemID="{ED3DFE6C-CE4D-41C7-AEB6-C6D2213ED4FE}"/>
</file>

<file path=customXml/itemProps4.xml><?xml version="1.0" encoding="utf-8"?>
<ds:datastoreItem xmlns:ds="http://schemas.openxmlformats.org/officeDocument/2006/customXml" ds:itemID="{67DE5C78-3F2E-47D5-8E18-CB9B2F7B4313}"/>
</file>

<file path=docProps/app.xml><?xml version="1.0" encoding="utf-8"?>
<Properties xmlns="http://schemas.openxmlformats.org/officeDocument/2006/extended-properties" xmlns:vt="http://schemas.openxmlformats.org/officeDocument/2006/docPropsVTypes">
  <Template>ST.dotm</Template>
  <TotalTime>1</TotalTime>
  <Pages>13</Pages>
  <Words>3809</Words>
  <Characters>21714</Characters>
  <Application>Microsoft Office Word</Application>
  <DocSecurity>0</DocSecurity>
  <Lines>180</Lines>
  <Paragraphs>50</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ST/SG/AC.10/48</vt:lpstr>
      <vt:lpstr>A/</vt:lpstr>
      <vt:lpstr>A/</vt:lpstr>
    </vt:vector>
  </TitlesOfParts>
  <Company>DCM</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ST/SG/AC.10/48</dc:title>
  <dc:subject/>
  <dc:creator>Anna KISSELEVA</dc:creator>
  <cp:keywords/>
  <cp:lastModifiedBy>Laurence Berthet</cp:lastModifiedBy>
  <cp:revision>3</cp:revision>
  <cp:lastPrinted>2021-06-07T11:35:00Z</cp:lastPrinted>
  <dcterms:created xsi:type="dcterms:W3CDTF">2021-06-07T11:35:00Z</dcterms:created>
  <dcterms:modified xsi:type="dcterms:W3CDTF">2021-06-07T11:35:00Z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