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715EC" w14:textId="0C244B5D" w:rsidR="000715AD" w:rsidRPr="00BD0F6A" w:rsidRDefault="000715AD" w:rsidP="000715AD">
      <w:pPr>
        <w:widowControl/>
        <w:jc w:val="right"/>
        <w:rPr>
          <w:szCs w:val="22"/>
          <w:lang w:val="fr-FR" w:eastAsia="fr-FR"/>
        </w:rPr>
      </w:pPr>
      <w:r w:rsidRPr="00BD0F6A">
        <w:rPr>
          <w:szCs w:val="22"/>
          <w:lang w:val="fr-FR" w:eastAsia="fr-FR"/>
        </w:rPr>
        <w:t>ST/SG/AC.10/11/Rev.</w:t>
      </w:r>
      <w:r w:rsidR="004E0CD5" w:rsidRPr="00BD0F6A">
        <w:rPr>
          <w:szCs w:val="22"/>
          <w:lang w:val="fr-FR" w:eastAsia="fr-FR"/>
        </w:rPr>
        <w:t>7</w:t>
      </w:r>
      <w:r w:rsidR="005A40AD">
        <w:rPr>
          <w:szCs w:val="22"/>
          <w:lang w:val="fr-FR" w:eastAsia="fr-FR"/>
        </w:rPr>
        <w:t>/Amend.1</w:t>
      </w:r>
    </w:p>
    <w:p w14:paraId="4AE5FE26" w14:textId="77777777" w:rsidR="00125D3C" w:rsidRPr="00AA40E6" w:rsidRDefault="000A07B0" w:rsidP="00125D3C">
      <w:pPr>
        <w:tabs>
          <w:tab w:val="left" w:pos="0"/>
          <w:tab w:val="left" w:pos="1418"/>
          <w:tab w:val="left" w:pos="1985"/>
          <w:tab w:val="left" w:pos="2154"/>
          <w:tab w:val="left" w:pos="2552"/>
          <w:tab w:val="left" w:pos="3119"/>
          <w:tab w:val="left" w:pos="3686"/>
        </w:tabs>
        <w:autoSpaceDE/>
        <w:autoSpaceDN/>
        <w:adjustRightInd/>
        <w:rPr>
          <w:rFonts w:ascii="Univers" w:hAnsi="Univers"/>
          <w:snapToGrid w:val="0"/>
          <w:sz w:val="18"/>
          <w:lang w:val="fr-FR"/>
        </w:rPr>
      </w:pPr>
      <w:r w:rsidRPr="00BD0F6A">
        <w:rPr>
          <w:rFonts w:ascii="Univers" w:hAnsi="Univers"/>
          <w:snapToGrid w:val="0"/>
          <w:lang w:val="fr-FR"/>
        </w:rPr>
        <w:fldChar w:fldCharType="begin"/>
      </w:r>
      <w:r w:rsidRPr="00BD0F6A">
        <w:rPr>
          <w:rFonts w:ascii="Univers" w:hAnsi="Univers"/>
          <w:snapToGrid w:val="0"/>
          <w:lang w:val="fr-FR"/>
        </w:rPr>
        <w:instrText>ADVANCE \y255</w:instrText>
      </w:r>
      <w:r w:rsidRPr="00BD0F6A">
        <w:rPr>
          <w:rFonts w:ascii="Univers" w:hAnsi="Univers"/>
          <w:snapToGrid w:val="0"/>
          <w:lang w:val="fr-FR"/>
        </w:rPr>
        <w:fldChar w:fldCharType="end"/>
      </w:r>
    </w:p>
    <w:p w14:paraId="7453E4BF" w14:textId="77777777" w:rsidR="00125D3C" w:rsidRPr="00AA40E6" w:rsidRDefault="00125D3C" w:rsidP="00125D3C">
      <w:pPr>
        <w:tabs>
          <w:tab w:val="left" w:pos="0"/>
          <w:tab w:val="left" w:pos="1418"/>
          <w:tab w:val="left" w:pos="1985"/>
          <w:tab w:val="left" w:pos="2154"/>
          <w:tab w:val="left" w:pos="2552"/>
          <w:tab w:val="left" w:pos="3119"/>
          <w:tab w:val="left" w:pos="3686"/>
        </w:tabs>
        <w:autoSpaceDE/>
        <w:autoSpaceDN/>
        <w:adjustRightInd/>
        <w:rPr>
          <w:rFonts w:ascii="Arial" w:hAnsi="Arial"/>
          <w:b/>
          <w:sz w:val="40"/>
          <w:lang w:val="fr-FR"/>
        </w:rPr>
      </w:pPr>
    </w:p>
    <w:p w14:paraId="517B77A2" w14:textId="77777777" w:rsidR="00125D3C" w:rsidRPr="00AA40E6" w:rsidRDefault="00125D3C" w:rsidP="00125D3C">
      <w:pPr>
        <w:tabs>
          <w:tab w:val="left" w:pos="0"/>
          <w:tab w:val="left" w:pos="1418"/>
          <w:tab w:val="left" w:pos="1985"/>
          <w:tab w:val="left" w:pos="2154"/>
          <w:tab w:val="left" w:pos="2552"/>
          <w:tab w:val="left" w:pos="3119"/>
          <w:tab w:val="left" w:pos="3686"/>
        </w:tabs>
        <w:autoSpaceDE/>
        <w:autoSpaceDN/>
        <w:adjustRightInd/>
        <w:rPr>
          <w:rFonts w:ascii="Arial" w:hAnsi="Arial"/>
          <w:b/>
          <w:sz w:val="40"/>
          <w:lang w:val="fr-FR"/>
        </w:rPr>
      </w:pPr>
    </w:p>
    <w:p w14:paraId="08A9729F" w14:textId="77777777" w:rsidR="00125D3C" w:rsidRPr="00AA40E6" w:rsidRDefault="00125D3C" w:rsidP="00125D3C">
      <w:pPr>
        <w:tabs>
          <w:tab w:val="left" w:pos="0"/>
          <w:tab w:val="left" w:pos="1418"/>
          <w:tab w:val="left" w:pos="1985"/>
          <w:tab w:val="left" w:pos="2154"/>
          <w:tab w:val="left" w:pos="2552"/>
          <w:tab w:val="left" w:pos="3119"/>
          <w:tab w:val="left" w:pos="3686"/>
        </w:tabs>
        <w:autoSpaceDE/>
        <w:autoSpaceDN/>
        <w:adjustRightInd/>
        <w:rPr>
          <w:rFonts w:ascii="Arial" w:hAnsi="Arial"/>
          <w:b/>
          <w:sz w:val="40"/>
          <w:lang w:val="fr-FR"/>
        </w:rPr>
      </w:pPr>
    </w:p>
    <w:p w14:paraId="679EFF66" w14:textId="77777777" w:rsidR="00125D3C" w:rsidRPr="00AA40E6" w:rsidRDefault="00125D3C" w:rsidP="00125D3C">
      <w:pPr>
        <w:tabs>
          <w:tab w:val="left" w:pos="0"/>
          <w:tab w:val="left" w:pos="1418"/>
          <w:tab w:val="left" w:pos="1985"/>
          <w:tab w:val="left" w:pos="2154"/>
          <w:tab w:val="left" w:pos="2552"/>
          <w:tab w:val="left" w:pos="3119"/>
          <w:tab w:val="left" w:pos="3686"/>
        </w:tabs>
        <w:autoSpaceDE/>
        <w:autoSpaceDN/>
        <w:adjustRightInd/>
        <w:rPr>
          <w:rFonts w:ascii="Arial" w:hAnsi="Arial"/>
          <w:b/>
          <w:sz w:val="40"/>
          <w:lang w:val="fr-FR"/>
        </w:rPr>
      </w:pPr>
    </w:p>
    <w:p w14:paraId="59B8CA63" w14:textId="77777777" w:rsidR="00125D3C" w:rsidRPr="00AA40E6" w:rsidRDefault="00125D3C" w:rsidP="00125D3C">
      <w:pPr>
        <w:tabs>
          <w:tab w:val="left" w:pos="0"/>
          <w:tab w:val="left" w:pos="1418"/>
          <w:tab w:val="left" w:pos="1985"/>
          <w:tab w:val="left" w:pos="2154"/>
          <w:tab w:val="left" w:pos="2552"/>
          <w:tab w:val="left" w:pos="3119"/>
          <w:tab w:val="left" w:pos="3686"/>
        </w:tabs>
        <w:autoSpaceDE/>
        <w:autoSpaceDN/>
        <w:adjustRightInd/>
        <w:rPr>
          <w:rFonts w:ascii="Arial" w:hAnsi="Arial"/>
          <w:b/>
          <w:sz w:val="40"/>
          <w:lang w:val="fr-FR"/>
        </w:rPr>
      </w:pPr>
    </w:p>
    <w:p w14:paraId="21392C1B" w14:textId="77777777" w:rsidR="00125D3C" w:rsidRPr="00AA40E6" w:rsidRDefault="00125D3C" w:rsidP="00125D3C">
      <w:pPr>
        <w:tabs>
          <w:tab w:val="left" w:pos="0"/>
          <w:tab w:val="left" w:pos="1418"/>
          <w:tab w:val="left" w:pos="1985"/>
          <w:tab w:val="left" w:pos="2154"/>
          <w:tab w:val="left" w:pos="2552"/>
          <w:tab w:val="left" w:pos="3119"/>
          <w:tab w:val="left" w:pos="3686"/>
        </w:tabs>
        <w:autoSpaceDE/>
        <w:autoSpaceDN/>
        <w:adjustRightInd/>
        <w:rPr>
          <w:rFonts w:ascii="Arial" w:hAnsi="Arial"/>
          <w:b/>
          <w:sz w:val="40"/>
          <w:lang w:val="fr-FR"/>
        </w:rPr>
      </w:pPr>
    </w:p>
    <w:p w14:paraId="295DD01E" w14:textId="77777777" w:rsidR="00125D3C" w:rsidRPr="00AA40E6" w:rsidRDefault="00125D3C" w:rsidP="00125D3C">
      <w:pPr>
        <w:tabs>
          <w:tab w:val="left" w:pos="0"/>
          <w:tab w:val="left" w:pos="1418"/>
          <w:tab w:val="left" w:pos="1985"/>
          <w:tab w:val="left" w:pos="2154"/>
          <w:tab w:val="left" w:pos="2552"/>
          <w:tab w:val="left" w:pos="3119"/>
          <w:tab w:val="left" w:pos="3686"/>
        </w:tabs>
        <w:autoSpaceDE/>
        <w:autoSpaceDN/>
        <w:adjustRightInd/>
        <w:rPr>
          <w:rFonts w:ascii="Arial" w:hAnsi="Arial"/>
          <w:b/>
          <w:sz w:val="72"/>
          <w:lang w:val="fr-FR"/>
        </w:rPr>
      </w:pPr>
    </w:p>
    <w:p w14:paraId="4FE98AD3" w14:textId="2196D931" w:rsidR="000A07B0" w:rsidRPr="00BD0F6A" w:rsidRDefault="000A07B0" w:rsidP="00C95A39">
      <w:pPr>
        <w:widowControl/>
        <w:autoSpaceDE/>
        <w:autoSpaceDN/>
        <w:adjustRightInd/>
        <w:jc w:val="left"/>
        <w:rPr>
          <w:rFonts w:ascii="Arial" w:hAnsi="Arial" w:cs="Arial"/>
          <w:b/>
          <w:snapToGrid w:val="0"/>
          <w:sz w:val="72"/>
          <w:szCs w:val="20"/>
          <w:lang w:val="fr-FR"/>
        </w:rPr>
      </w:pPr>
      <w:r w:rsidRPr="00BD0F6A">
        <w:rPr>
          <w:rFonts w:ascii="Arial" w:hAnsi="Arial" w:cs="Arial"/>
          <w:b/>
          <w:snapToGrid w:val="0"/>
          <w:sz w:val="72"/>
          <w:szCs w:val="20"/>
          <w:lang w:val="fr-FR"/>
        </w:rPr>
        <w:fldChar w:fldCharType="begin"/>
      </w:r>
      <w:r w:rsidRPr="00BD0F6A">
        <w:rPr>
          <w:rFonts w:ascii="Arial" w:hAnsi="Arial" w:cs="Arial"/>
          <w:b/>
          <w:snapToGrid w:val="0"/>
          <w:sz w:val="72"/>
          <w:szCs w:val="20"/>
          <w:lang w:val="fr-FR"/>
        </w:rPr>
        <w:instrText>ADVANCE \y481</w:instrText>
      </w:r>
      <w:r w:rsidRPr="00BD0F6A">
        <w:rPr>
          <w:rFonts w:ascii="Arial" w:hAnsi="Arial" w:cs="Arial"/>
          <w:b/>
          <w:snapToGrid w:val="0"/>
          <w:sz w:val="72"/>
          <w:szCs w:val="20"/>
          <w:lang w:val="fr-FR"/>
        </w:rPr>
        <w:fldChar w:fldCharType="end"/>
      </w:r>
      <w:r w:rsidR="003570F0" w:rsidRPr="00BD0F6A">
        <w:rPr>
          <w:rFonts w:ascii="Arial" w:hAnsi="Arial" w:cs="Arial"/>
          <w:b/>
          <w:snapToGrid w:val="0"/>
          <w:sz w:val="72"/>
          <w:szCs w:val="20"/>
          <w:lang w:val="fr-FR"/>
        </w:rPr>
        <w:t>Manuel d'</w:t>
      </w:r>
      <w:r w:rsidR="003570F0">
        <w:rPr>
          <w:rFonts w:ascii="Arial" w:hAnsi="Arial" w:cs="Arial"/>
          <w:b/>
          <w:snapToGrid w:val="0"/>
          <w:sz w:val="72"/>
          <w:szCs w:val="20"/>
          <w:lang w:val="fr-FR"/>
        </w:rPr>
        <w:t>é</w:t>
      </w:r>
      <w:r w:rsidR="003570F0" w:rsidRPr="00BD0F6A">
        <w:rPr>
          <w:rFonts w:ascii="Arial" w:hAnsi="Arial" w:cs="Arial"/>
          <w:b/>
          <w:snapToGrid w:val="0"/>
          <w:sz w:val="72"/>
          <w:szCs w:val="20"/>
          <w:lang w:val="fr-FR"/>
        </w:rPr>
        <w:t xml:space="preserve">preuves </w:t>
      </w:r>
      <w:r w:rsidR="003570F0" w:rsidRPr="00BD0F6A">
        <w:rPr>
          <w:rFonts w:ascii="Arial" w:hAnsi="Arial" w:cs="Arial"/>
          <w:b/>
          <w:snapToGrid w:val="0"/>
          <w:sz w:val="72"/>
          <w:szCs w:val="20"/>
          <w:lang w:val="fr-FR"/>
        </w:rPr>
        <w:br/>
        <w:t>et de crit</w:t>
      </w:r>
      <w:r w:rsidR="003570F0">
        <w:rPr>
          <w:rFonts w:ascii="Arial" w:hAnsi="Arial" w:cs="Arial"/>
          <w:b/>
          <w:snapToGrid w:val="0"/>
          <w:sz w:val="72"/>
          <w:szCs w:val="20"/>
          <w:lang w:val="fr-FR"/>
        </w:rPr>
        <w:t>è</w:t>
      </w:r>
      <w:r w:rsidR="003570F0" w:rsidRPr="00BD0F6A">
        <w:rPr>
          <w:rFonts w:ascii="Arial" w:hAnsi="Arial" w:cs="Arial"/>
          <w:b/>
          <w:snapToGrid w:val="0"/>
          <w:sz w:val="72"/>
          <w:szCs w:val="20"/>
          <w:lang w:val="fr-FR"/>
        </w:rPr>
        <w:t>res</w:t>
      </w:r>
    </w:p>
    <w:p w14:paraId="4D7FACB3" w14:textId="77777777" w:rsidR="000A07B0" w:rsidRPr="00BD0F6A" w:rsidRDefault="000A07B0" w:rsidP="000A07B0">
      <w:pPr>
        <w:tabs>
          <w:tab w:val="left" w:pos="0"/>
          <w:tab w:val="left" w:pos="2154"/>
          <w:tab w:val="left" w:pos="3686"/>
        </w:tabs>
        <w:autoSpaceDE/>
        <w:autoSpaceDN/>
        <w:adjustRightInd/>
        <w:rPr>
          <w:rFonts w:ascii="Arial" w:hAnsi="Arial" w:cs="Arial"/>
          <w:b/>
          <w:i/>
          <w:snapToGrid w:val="0"/>
          <w:sz w:val="32"/>
          <w:szCs w:val="32"/>
          <w:lang w:val="fr-FR"/>
        </w:rPr>
      </w:pPr>
    </w:p>
    <w:p w14:paraId="69A7D155" w14:textId="77777777" w:rsidR="000A07B0" w:rsidRPr="00BD0F6A" w:rsidRDefault="000A07B0" w:rsidP="000A07B0">
      <w:pPr>
        <w:tabs>
          <w:tab w:val="left" w:pos="0"/>
          <w:tab w:val="left" w:pos="2154"/>
          <w:tab w:val="left" w:pos="3686"/>
        </w:tabs>
        <w:autoSpaceDE/>
        <w:autoSpaceDN/>
        <w:adjustRightInd/>
        <w:rPr>
          <w:rFonts w:ascii="Arial" w:hAnsi="Arial" w:cs="Arial"/>
          <w:i/>
          <w:snapToGrid w:val="0"/>
          <w:lang w:val="fr-FR"/>
        </w:rPr>
      </w:pPr>
    </w:p>
    <w:p w14:paraId="6616903B" w14:textId="77777777" w:rsidR="000A07B0" w:rsidRPr="00BD0F6A" w:rsidRDefault="000A07B0" w:rsidP="000A07B0">
      <w:pPr>
        <w:tabs>
          <w:tab w:val="left" w:pos="0"/>
          <w:tab w:val="left" w:pos="2154"/>
          <w:tab w:val="left" w:pos="3686"/>
        </w:tabs>
        <w:autoSpaceDE/>
        <w:autoSpaceDN/>
        <w:adjustRightInd/>
        <w:rPr>
          <w:rFonts w:ascii="Arial" w:hAnsi="Arial" w:cs="Arial"/>
          <w:i/>
          <w:snapToGrid w:val="0"/>
          <w:lang w:val="fr-FR"/>
        </w:rPr>
      </w:pPr>
    </w:p>
    <w:p w14:paraId="0AA805EC" w14:textId="688AC60B" w:rsidR="000A07B0" w:rsidRPr="00125D3C" w:rsidRDefault="004E0CD5" w:rsidP="000A07B0">
      <w:pPr>
        <w:widowControl/>
        <w:autoSpaceDE/>
        <w:autoSpaceDN/>
        <w:adjustRightInd/>
        <w:rPr>
          <w:rFonts w:ascii="Arial" w:hAnsi="Arial" w:cs="Arial"/>
          <w:b/>
          <w:bCs/>
          <w:snapToGrid w:val="0"/>
          <w:sz w:val="24"/>
          <w:szCs w:val="22"/>
          <w:lang w:val="fr-FR"/>
        </w:rPr>
      </w:pPr>
      <w:r w:rsidRPr="00125D3C">
        <w:rPr>
          <w:rFonts w:ascii="Arial" w:hAnsi="Arial" w:cs="Arial"/>
          <w:b/>
          <w:bCs/>
          <w:i/>
          <w:snapToGrid w:val="0"/>
          <w:sz w:val="32"/>
          <w:szCs w:val="22"/>
          <w:lang w:val="fr-FR"/>
        </w:rPr>
        <w:t>Sep</w:t>
      </w:r>
      <w:r w:rsidR="00C95A39" w:rsidRPr="00125D3C">
        <w:rPr>
          <w:rFonts w:ascii="Arial" w:hAnsi="Arial" w:cs="Arial"/>
          <w:b/>
          <w:bCs/>
          <w:i/>
          <w:snapToGrid w:val="0"/>
          <w:sz w:val="32"/>
          <w:szCs w:val="22"/>
          <w:lang w:val="fr-FR"/>
        </w:rPr>
        <w:t>tième</w:t>
      </w:r>
      <w:r w:rsidR="0005371D" w:rsidRPr="00125D3C">
        <w:rPr>
          <w:rFonts w:ascii="Arial" w:hAnsi="Arial" w:cs="Arial"/>
          <w:b/>
          <w:bCs/>
          <w:i/>
          <w:snapToGrid w:val="0"/>
          <w:sz w:val="32"/>
          <w:szCs w:val="22"/>
          <w:lang w:val="fr-FR"/>
        </w:rPr>
        <w:t xml:space="preserve"> </w:t>
      </w:r>
      <w:r w:rsidR="000A07B0" w:rsidRPr="00125D3C">
        <w:rPr>
          <w:rFonts w:ascii="Arial" w:hAnsi="Arial" w:cs="Arial"/>
          <w:b/>
          <w:bCs/>
          <w:i/>
          <w:snapToGrid w:val="0"/>
          <w:sz w:val="32"/>
          <w:szCs w:val="22"/>
          <w:lang w:val="fr-FR"/>
        </w:rPr>
        <w:t>édition révisée</w:t>
      </w:r>
    </w:p>
    <w:p w14:paraId="6AF7E415" w14:textId="77777777" w:rsidR="000A07B0" w:rsidRPr="00BD0F6A" w:rsidRDefault="000A07B0" w:rsidP="000A07B0">
      <w:pPr>
        <w:widowControl/>
        <w:autoSpaceDE/>
        <w:autoSpaceDN/>
        <w:adjustRightInd/>
        <w:rPr>
          <w:rFonts w:ascii="Arial" w:hAnsi="Arial" w:cs="Arial"/>
          <w:snapToGrid w:val="0"/>
          <w:lang w:val="fr-FR"/>
        </w:rPr>
      </w:pPr>
    </w:p>
    <w:p w14:paraId="42F5E00E" w14:textId="77777777" w:rsidR="000A07B0" w:rsidRPr="00BD0F6A" w:rsidRDefault="000A07B0" w:rsidP="000A07B0">
      <w:pPr>
        <w:widowControl/>
        <w:autoSpaceDE/>
        <w:autoSpaceDN/>
        <w:adjustRightInd/>
        <w:rPr>
          <w:rFonts w:ascii="Arial" w:hAnsi="Arial" w:cs="Arial"/>
          <w:snapToGrid w:val="0"/>
          <w:lang w:val="fr-FR"/>
        </w:rPr>
      </w:pPr>
    </w:p>
    <w:p w14:paraId="0BC748E1" w14:textId="30C256A0" w:rsidR="00903584" w:rsidRPr="004A0B6E" w:rsidRDefault="005A40AD" w:rsidP="00923AEC">
      <w:pPr>
        <w:widowControl/>
        <w:autoSpaceDE/>
        <w:autoSpaceDN/>
        <w:adjustRightInd/>
        <w:rPr>
          <w:rFonts w:ascii="Arial" w:hAnsi="Arial" w:cs="Arial"/>
          <w:b/>
          <w:bCs/>
          <w:i/>
          <w:snapToGrid w:val="0"/>
          <w:sz w:val="32"/>
          <w:szCs w:val="22"/>
          <w:lang w:val="fr-FR"/>
        </w:rPr>
      </w:pPr>
      <w:r w:rsidRPr="004A0B6E">
        <w:rPr>
          <w:rFonts w:ascii="Arial" w:hAnsi="Arial" w:cs="Arial"/>
          <w:b/>
          <w:bCs/>
          <w:i/>
          <w:snapToGrid w:val="0"/>
          <w:sz w:val="32"/>
          <w:szCs w:val="22"/>
          <w:lang w:val="fr-FR"/>
        </w:rPr>
        <w:t>Amendement</w:t>
      </w:r>
      <w:r w:rsidR="00AC138B" w:rsidRPr="004A0B6E">
        <w:rPr>
          <w:rFonts w:ascii="Arial" w:hAnsi="Arial" w:cs="Arial"/>
          <w:b/>
          <w:bCs/>
          <w:i/>
          <w:snapToGrid w:val="0"/>
          <w:sz w:val="32"/>
          <w:szCs w:val="22"/>
          <w:lang w:val="fr-FR"/>
        </w:rPr>
        <w:t xml:space="preserve"> 1</w:t>
      </w:r>
    </w:p>
    <w:p w14:paraId="4ACDCD37" w14:textId="77777777" w:rsidR="00A72B64" w:rsidRPr="00BD0F6A" w:rsidRDefault="00A72B64" w:rsidP="000A07B0">
      <w:pPr>
        <w:widowControl/>
        <w:autoSpaceDE/>
        <w:autoSpaceDN/>
        <w:adjustRightInd/>
        <w:rPr>
          <w:rFonts w:ascii="Arial" w:hAnsi="Arial" w:cs="Arial"/>
          <w:snapToGrid w:val="0"/>
          <w:sz w:val="18"/>
          <w:szCs w:val="20"/>
          <w:lang w:val="fr-FR"/>
        </w:rPr>
      </w:pPr>
    </w:p>
    <w:p w14:paraId="545531EB" w14:textId="77777777" w:rsidR="000B6EE6" w:rsidRDefault="000B6EE6" w:rsidP="00464A34">
      <w:pPr>
        <w:widowControl/>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b/>
          <w:bCs/>
          <w:szCs w:val="22"/>
          <w:lang w:val="fr-FR"/>
        </w:rPr>
        <w:sectPr w:rsidR="000B6EE6" w:rsidSect="000B6EE6">
          <w:footerReference w:type="first" r:id="rId11"/>
          <w:footnotePr>
            <w:numRestart w:val="eachPage"/>
          </w:footnotePr>
          <w:endnotePr>
            <w:numFmt w:val="decimal"/>
          </w:endnotePr>
          <w:type w:val="oddPage"/>
          <w:pgSz w:w="11906" w:h="16838" w:code="9"/>
          <w:pgMar w:top="1134" w:right="1134" w:bottom="1134" w:left="1134" w:header="851" w:footer="851" w:gutter="0"/>
          <w:cols w:space="720"/>
          <w:noEndnote/>
          <w:titlePg/>
        </w:sectPr>
      </w:pPr>
    </w:p>
    <w:p w14:paraId="490F4A35" w14:textId="3BDFC48A" w:rsidR="009958B8" w:rsidRPr="003867E9" w:rsidRDefault="009958B8" w:rsidP="009958B8">
      <w:pPr>
        <w:spacing w:after="200"/>
        <w:jc w:val="center"/>
        <w:rPr>
          <w:sz w:val="20"/>
          <w:szCs w:val="20"/>
          <w:lang w:val="fr-FR"/>
        </w:rPr>
      </w:pPr>
      <w:r w:rsidRPr="003867E9">
        <w:rPr>
          <w:sz w:val="20"/>
          <w:szCs w:val="20"/>
          <w:lang w:val="fr-FR"/>
        </w:rPr>
        <w:lastRenderedPageBreak/>
        <w:t>© 2021 Nations Unies</w:t>
      </w:r>
      <w:r w:rsidRPr="003867E9">
        <w:rPr>
          <w:sz w:val="20"/>
          <w:szCs w:val="20"/>
          <w:lang w:val="fr-FR"/>
        </w:rPr>
        <w:br/>
        <w:t>Tous droits réservés dans le monde entier</w:t>
      </w:r>
    </w:p>
    <w:p w14:paraId="1283C81D" w14:textId="77777777" w:rsidR="003208F0" w:rsidRPr="003867E9" w:rsidRDefault="003208F0" w:rsidP="009958B8">
      <w:pPr>
        <w:spacing w:after="200"/>
        <w:jc w:val="center"/>
        <w:rPr>
          <w:sz w:val="20"/>
          <w:szCs w:val="20"/>
          <w:lang w:val="fr-FR"/>
        </w:rPr>
      </w:pPr>
    </w:p>
    <w:p w14:paraId="6A9EB3E9" w14:textId="5D511709" w:rsidR="009958B8" w:rsidRPr="003867E9" w:rsidRDefault="009958B8" w:rsidP="0034465A">
      <w:pPr>
        <w:spacing w:after="200"/>
        <w:ind w:left="709" w:right="707"/>
        <w:rPr>
          <w:sz w:val="20"/>
          <w:szCs w:val="20"/>
          <w:lang w:val="fr-FR"/>
        </w:rPr>
      </w:pPr>
      <w:r w:rsidRPr="003867E9">
        <w:rPr>
          <w:sz w:val="20"/>
          <w:szCs w:val="20"/>
          <w:lang w:val="fr-FR"/>
        </w:rPr>
        <w:t xml:space="preserve">Les demandes de reproduction d'extraits ou de photocopie doivent être adressées au Copyright Clearance Center sur </w:t>
      </w:r>
      <w:r w:rsidRPr="003867E9">
        <w:rPr>
          <w:sz w:val="20"/>
          <w:szCs w:val="22"/>
        </w:rPr>
        <w:t>copyright.com</w:t>
      </w:r>
      <w:r w:rsidRPr="003867E9">
        <w:rPr>
          <w:sz w:val="20"/>
          <w:szCs w:val="20"/>
          <w:lang w:val="fr-FR"/>
        </w:rPr>
        <w:t xml:space="preserve">. </w:t>
      </w:r>
    </w:p>
    <w:p w14:paraId="6568D79F" w14:textId="77777777" w:rsidR="009958B8" w:rsidRPr="003867E9" w:rsidRDefault="009958B8" w:rsidP="0034465A">
      <w:pPr>
        <w:spacing w:after="200"/>
        <w:ind w:left="709" w:right="707"/>
        <w:rPr>
          <w:sz w:val="20"/>
          <w:szCs w:val="20"/>
        </w:rPr>
      </w:pPr>
      <w:r w:rsidRPr="003867E9">
        <w:rPr>
          <w:sz w:val="20"/>
          <w:szCs w:val="20"/>
          <w:lang w:val="fr-FR"/>
        </w:rPr>
        <w:t>Toutes les autres questions su</w:t>
      </w:r>
      <w:r w:rsidRPr="003867E9">
        <w:rPr>
          <w:sz w:val="20"/>
          <w:szCs w:val="20"/>
        </w:rPr>
        <w:t xml:space="preserve">r les droits et </w:t>
      </w:r>
      <w:proofErr w:type="spellStart"/>
      <w:r w:rsidRPr="003867E9">
        <w:rPr>
          <w:sz w:val="20"/>
          <w:szCs w:val="20"/>
        </w:rPr>
        <w:t>licences</w:t>
      </w:r>
      <w:proofErr w:type="spellEnd"/>
      <w:r w:rsidRPr="003867E9">
        <w:rPr>
          <w:sz w:val="20"/>
          <w:szCs w:val="20"/>
        </w:rPr>
        <w:t xml:space="preserve">, y </w:t>
      </w:r>
      <w:proofErr w:type="spellStart"/>
      <w:r w:rsidRPr="003867E9">
        <w:rPr>
          <w:sz w:val="20"/>
          <w:szCs w:val="20"/>
        </w:rPr>
        <w:t>compris</w:t>
      </w:r>
      <w:proofErr w:type="spellEnd"/>
      <w:r w:rsidRPr="003867E9">
        <w:rPr>
          <w:sz w:val="20"/>
          <w:szCs w:val="20"/>
        </w:rPr>
        <w:t xml:space="preserve"> les droits </w:t>
      </w:r>
      <w:proofErr w:type="spellStart"/>
      <w:r w:rsidRPr="003867E9">
        <w:rPr>
          <w:sz w:val="20"/>
          <w:szCs w:val="20"/>
        </w:rPr>
        <w:t>subsidiaires</w:t>
      </w:r>
      <w:proofErr w:type="spellEnd"/>
      <w:r w:rsidRPr="003867E9">
        <w:rPr>
          <w:sz w:val="20"/>
          <w:szCs w:val="20"/>
        </w:rPr>
        <w:t xml:space="preserve">, </w:t>
      </w:r>
      <w:proofErr w:type="spellStart"/>
      <w:r w:rsidRPr="003867E9">
        <w:rPr>
          <w:sz w:val="20"/>
          <w:szCs w:val="20"/>
        </w:rPr>
        <w:t>doivent</w:t>
      </w:r>
      <w:proofErr w:type="spellEnd"/>
      <w:r w:rsidRPr="003867E9">
        <w:rPr>
          <w:sz w:val="20"/>
          <w:szCs w:val="20"/>
        </w:rPr>
        <w:t xml:space="preserve"> </w:t>
      </w:r>
      <w:proofErr w:type="spellStart"/>
      <w:r w:rsidRPr="003867E9">
        <w:rPr>
          <w:sz w:val="20"/>
          <w:szCs w:val="20"/>
        </w:rPr>
        <w:t>être</w:t>
      </w:r>
      <w:proofErr w:type="spellEnd"/>
      <w:r w:rsidRPr="003867E9">
        <w:rPr>
          <w:sz w:val="20"/>
          <w:szCs w:val="20"/>
        </w:rPr>
        <w:t xml:space="preserve"> </w:t>
      </w:r>
      <w:proofErr w:type="spellStart"/>
      <w:r w:rsidRPr="003867E9">
        <w:rPr>
          <w:sz w:val="20"/>
          <w:szCs w:val="20"/>
        </w:rPr>
        <w:t>adressées</w:t>
      </w:r>
      <w:proofErr w:type="spellEnd"/>
      <w:r w:rsidRPr="003867E9">
        <w:rPr>
          <w:sz w:val="20"/>
          <w:szCs w:val="20"/>
        </w:rPr>
        <w:t xml:space="preserve"> à : </w:t>
      </w:r>
    </w:p>
    <w:p w14:paraId="0224D0C6" w14:textId="77777777" w:rsidR="009958B8" w:rsidRPr="003867E9" w:rsidRDefault="009958B8" w:rsidP="0034465A">
      <w:pPr>
        <w:spacing w:after="200"/>
        <w:ind w:left="709" w:right="707"/>
        <w:jc w:val="center"/>
        <w:rPr>
          <w:sz w:val="20"/>
          <w:szCs w:val="20"/>
        </w:rPr>
      </w:pPr>
      <w:r w:rsidRPr="003867E9">
        <w:rPr>
          <w:sz w:val="20"/>
          <w:szCs w:val="20"/>
        </w:rPr>
        <w:t xml:space="preserve">Publications des Nations </w:t>
      </w:r>
      <w:proofErr w:type="spellStart"/>
      <w:r w:rsidRPr="003867E9">
        <w:rPr>
          <w:sz w:val="20"/>
          <w:szCs w:val="20"/>
        </w:rPr>
        <w:t>Unies</w:t>
      </w:r>
      <w:proofErr w:type="spellEnd"/>
      <w:r w:rsidRPr="003867E9">
        <w:rPr>
          <w:sz w:val="20"/>
          <w:szCs w:val="20"/>
        </w:rPr>
        <w:t xml:space="preserve"> </w:t>
      </w:r>
      <w:r w:rsidRPr="003867E9">
        <w:rPr>
          <w:sz w:val="20"/>
          <w:szCs w:val="20"/>
        </w:rPr>
        <w:br/>
        <w:t>405 East 42nd Street, S-09FW001</w:t>
      </w:r>
      <w:r w:rsidRPr="003867E9">
        <w:rPr>
          <w:sz w:val="20"/>
          <w:szCs w:val="20"/>
        </w:rPr>
        <w:br/>
        <w:t xml:space="preserve"> New York, NY 10017</w:t>
      </w:r>
      <w:r w:rsidRPr="003867E9">
        <w:rPr>
          <w:sz w:val="20"/>
          <w:szCs w:val="20"/>
        </w:rPr>
        <w:br/>
      </w:r>
      <w:proofErr w:type="spellStart"/>
      <w:r w:rsidRPr="003867E9">
        <w:rPr>
          <w:sz w:val="20"/>
          <w:szCs w:val="20"/>
        </w:rPr>
        <w:t>États</w:t>
      </w:r>
      <w:proofErr w:type="spellEnd"/>
      <w:r w:rsidRPr="003867E9">
        <w:rPr>
          <w:sz w:val="20"/>
          <w:szCs w:val="20"/>
        </w:rPr>
        <w:t xml:space="preserve">-Unis </w:t>
      </w:r>
      <w:proofErr w:type="spellStart"/>
      <w:r w:rsidRPr="003867E9">
        <w:rPr>
          <w:sz w:val="20"/>
          <w:szCs w:val="20"/>
        </w:rPr>
        <w:t>d'Amérique</w:t>
      </w:r>
      <w:proofErr w:type="spellEnd"/>
    </w:p>
    <w:p w14:paraId="5969DF85" w14:textId="15AC6F91" w:rsidR="009958B8" w:rsidRPr="003867E9" w:rsidRDefault="009958B8" w:rsidP="0034465A">
      <w:pPr>
        <w:spacing w:after="200"/>
        <w:ind w:left="709" w:right="707"/>
        <w:jc w:val="center"/>
        <w:rPr>
          <w:sz w:val="20"/>
          <w:szCs w:val="22"/>
        </w:rPr>
      </w:pPr>
      <w:proofErr w:type="spellStart"/>
      <w:r w:rsidRPr="003867E9">
        <w:rPr>
          <w:sz w:val="20"/>
          <w:szCs w:val="20"/>
        </w:rPr>
        <w:t>Courriel</w:t>
      </w:r>
      <w:proofErr w:type="spellEnd"/>
      <w:r w:rsidRPr="003867E9">
        <w:rPr>
          <w:sz w:val="20"/>
          <w:szCs w:val="20"/>
        </w:rPr>
        <w:t xml:space="preserve"> : </w:t>
      </w:r>
      <w:hyperlink r:id="rId12" w:history="1">
        <w:r w:rsidRPr="003867E9">
          <w:rPr>
            <w:rStyle w:val="Hyperlink"/>
            <w:rFonts w:asciiTheme="majorBidi" w:hAnsiTheme="majorBidi" w:cstheme="majorBidi"/>
            <w:sz w:val="20"/>
            <w:szCs w:val="22"/>
          </w:rPr>
          <w:t>permissions@un.org</w:t>
        </w:r>
      </w:hyperlink>
      <w:r w:rsidRPr="003867E9">
        <w:rPr>
          <w:sz w:val="20"/>
          <w:szCs w:val="22"/>
        </w:rPr>
        <w:br/>
      </w:r>
      <w:r w:rsidRPr="003867E9">
        <w:rPr>
          <w:sz w:val="20"/>
          <w:szCs w:val="20"/>
        </w:rPr>
        <w:t xml:space="preserve">Site Web : </w:t>
      </w:r>
      <w:hyperlink r:id="rId13" w:history="1">
        <w:r w:rsidRPr="003867E9">
          <w:rPr>
            <w:rStyle w:val="Hyperlink"/>
            <w:rFonts w:asciiTheme="majorBidi" w:hAnsiTheme="majorBidi" w:cstheme="majorBidi"/>
            <w:sz w:val="20"/>
            <w:szCs w:val="22"/>
          </w:rPr>
          <w:t>https://shop.un.org</w:t>
        </w:r>
      </w:hyperlink>
    </w:p>
    <w:p w14:paraId="4DB0D5DF" w14:textId="77777777" w:rsidR="009958B8" w:rsidRPr="003867E9" w:rsidRDefault="009958B8" w:rsidP="0034465A">
      <w:pPr>
        <w:spacing w:after="200"/>
        <w:ind w:left="709" w:right="707"/>
        <w:rPr>
          <w:sz w:val="20"/>
          <w:szCs w:val="20"/>
        </w:rPr>
      </w:pPr>
      <w:r w:rsidRPr="003867E9">
        <w:rPr>
          <w:sz w:val="20"/>
          <w:szCs w:val="20"/>
        </w:rPr>
        <w:t xml:space="preserve">Les appellations </w:t>
      </w:r>
      <w:proofErr w:type="spellStart"/>
      <w:r w:rsidRPr="003867E9">
        <w:rPr>
          <w:sz w:val="20"/>
          <w:szCs w:val="20"/>
        </w:rPr>
        <w:t>employées</w:t>
      </w:r>
      <w:proofErr w:type="spellEnd"/>
      <w:r w:rsidRPr="003867E9">
        <w:rPr>
          <w:sz w:val="20"/>
          <w:szCs w:val="20"/>
        </w:rPr>
        <w:t xml:space="preserve"> dans la </w:t>
      </w:r>
      <w:proofErr w:type="spellStart"/>
      <w:r w:rsidRPr="003867E9">
        <w:rPr>
          <w:sz w:val="20"/>
          <w:szCs w:val="20"/>
        </w:rPr>
        <w:t>présente</w:t>
      </w:r>
      <w:proofErr w:type="spellEnd"/>
      <w:r w:rsidRPr="003867E9">
        <w:rPr>
          <w:sz w:val="20"/>
          <w:szCs w:val="20"/>
        </w:rPr>
        <w:t xml:space="preserve"> publication et la </w:t>
      </w:r>
      <w:proofErr w:type="spellStart"/>
      <w:r w:rsidRPr="003867E9">
        <w:rPr>
          <w:sz w:val="20"/>
          <w:szCs w:val="20"/>
        </w:rPr>
        <w:t>présentation</w:t>
      </w:r>
      <w:proofErr w:type="spellEnd"/>
      <w:r w:rsidRPr="003867E9">
        <w:rPr>
          <w:sz w:val="20"/>
          <w:szCs w:val="20"/>
        </w:rPr>
        <w:t xml:space="preserve"> des </w:t>
      </w:r>
      <w:proofErr w:type="spellStart"/>
      <w:r w:rsidRPr="003867E9">
        <w:rPr>
          <w:sz w:val="20"/>
          <w:szCs w:val="20"/>
        </w:rPr>
        <w:t>données</w:t>
      </w:r>
      <w:proofErr w:type="spellEnd"/>
      <w:r w:rsidRPr="003867E9">
        <w:rPr>
          <w:sz w:val="20"/>
          <w:szCs w:val="20"/>
        </w:rPr>
        <w:t xml:space="preserve"> qui y </w:t>
      </w:r>
      <w:proofErr w:type="spellStart"/>
      <w:r w:rsidRPr="003867E9">
        <w:rPr>
          <w:sz w:val="20"/>
          <w:szCs w:val="20"/>
        </w:rPr>
        <w:t>figurent</w:t>
      </w:r>
      <w:proofErr w:type="spellEnd"/>
      <w:r w:rsidRPr="003867E9">
        <w:rPr>
          <w:sz w:val="20"/>
          <w:szCs w:val="20"/>
        </w:rPr>
        <w:t xml:space="preserve"> </w:t>
      </w:r>
      <w:proofErr w:type="spellStart"/>
      <w:r w:rsidRPr="003867E9">
        <w:rPr>
          <w:sz w:val="20"/>
          <w:szCs w:val="20"/>
        </w:rPr>
        <w:t>n'impliquent</w:t>
      </w:r>
      <w:proofErr w:type="spellEnd"/>
      <w:r w:rsidRPr="003867E9">
        <w:rPr>
          <w:sz w:val="20"/>
          <w:szCs w:val="20"/>
        </w:rPr>
        <w:t xml:space="preserve"> de la part du </w:t>
      </w:r>
      <w:proofErr w:type="spellStart"/>
      <w:r w:rsidRPr="003867E9">
        <w:rPr>
          <w:sz w:val="20"/>
          <w:szCs w:val="20"/>
        </w:rPr>
        <w:t>Secrétariat</w:t>
      </w:r>
      <w:proofErr w:type="spellEnd"/>
      <w:r w:rsidRPr="003867E9">
        <w:rPr>
          <w:sz w:val="20"/>
          <w:szCs w:val="20"/>
        </w:rPr>
        <w:t xml:space="preserve"> de </w:t>
      </w:r>
      <w:proofErr w:type="spellStart"/>
      <w:r w:rsidRPr="003867E9">
        <w:rPr>
          <w:sz w:val="20"/>
          <w:szCs w:val="20"/>
        </w:rPr>
        <w:t>l'Organisation</w:t>
      </w:r>
      <w:proofErr w:type="spellEnd"/>
      <w:r w:rsidRPr="003867E9">
        <w:rPr>
          <w:sz w:val="20"/>
          <w:szCs w:val="20"/>
        </w:rPr>
        <w:t xml:space="preserve"> des Nations </w:t>
      </w:r>
      <w:proofErr w:type="spellStart"/>
      <w:r w:rsidRPr="003867E9">
        <w:rPr>
          <w:sz w:val="20"/>
          <w:szCs w:val="20"/>
        </w:rPr>
        <w:t>Unies</w:t>
      </w:r>
      <w:proofErr w:type="spellEnd"/>
      <w:r w:rsidRPr="003867E9">
        <w:rPr>
          <w:sz w:val="20"/>
          <w:szCs w:val="20"/>
        </w:rPr>
        <w:t xml:space="preserve"> </w:t>
      </w:r>
      <w:proofErr w:type="spellStart"/>
      <w:r w:rsidRPr="003867E9">
        <w:rPr>
          <w:sz w:val="20"/>
          <w:szCs w:val="20"/>
        </w:rPr>
        <w:t>aucune</w:t>
      </w:r>
      <w:proofErr w:type="spellEnd"/>
      <w:r w:rsidRPr="003867E9">
        <w:rPr>
          <w:sz w:val="20"/>
          <w:szCs w:val="20"/>
        </w:rPr>
        <w:t xml:space="preserve"> </w:t>
      </w:r>
      <w:proofErr w:type="spellStart"/>
      <w:r w:rsidRPr="003867E9">
        <w:rPr>
          <w:sz w:val="20"/>
          <w:szCs w:val="20"/>
        </w:rPr>
        <w:t>prise</w:t>
      </w:r>
      <w:proofErr w:type="spellEnd"/>
      <w:r w:rsidRPr="003867E9">
        <w:rPr>
          <w:sz w:val="20"/>
          <w:szCs w:val="20"/>
        </w:rPr>
        <w:t xml:space="preserve"> de position quant au </w:t>
      </w:r>
      <w:proofErr w:type="spellStart"/>
      <w:r w:rsidRPr="003867E9">
        <w:rPr>
          <w:sz w:val="20"/>
          <w:szCs w:val="20"/>
        </w:rPr>
        <w:t>statut</w:t>
      </w:r>
      <w:proofErr w:type="spellEnd"/>
      <w:r w:rsidRPr="003867E9">
        <w:rPr>
          <w:sz w:val="20"/>
          <w:szCs w:val="20"/>
        </w:rPr>
        <w:t xml:space="preserve"> </w:t>
      </w:r>
      <w:proofErr w:type="spellStart"/>
      <w:r w:rsidRPr="003867E9">
        <w:rPr>
          <w:sz w:val="20"/>
          <w:szCs w:val="20"/>
        </w:rPr>
        <w:t>juridique</w:t>
      </w:r>
      <w:proofErr w:type="spellEnd"/>
      <w:r w:rsidRPr="003867E9">
        <w:rPr>
          <w:sz w:val="20"/>
          <w:szCs w:val="20"/>
        </w:rPr>
        <w:t xml:space="preserve"> des pays, </w:t>
      </w:r>
      <w:proofErr w:type="spellStart"/>
      <w:r w:rsidRPr="003867E9">
        <w:rPr>
          <w:sz w:val="20"/>
          <w:szCs w:val="20"/>
        </w:rPr>
        <w:t>territoires</w:t>
      </w:r>
      <w:proofErr w:type="spellEnd"/>
      <w:r w:rsidRPr="003867E9">
        <w:rPr>
          <w:sz w:val="20"/>
          <w:szCs w:val="20"/>
        </w:rPr>
        <w:t xml:space="preserve">, </w:t>
      </w:r>
      <w:proofErr w:type="spellStart"/>
      <w:r w:rsidRPr="003867E9">
        <w:rPr>
          <w:sz w:val="20"/>
          <w:szCs w:val="20"/>
        </w:rPr>
        <w:t>villes</w:t>
      </w:r>
      <w:proofErr w:type="spellEnd"/>
      <w:r w:rsidRPr="003867E9">
        <w:rPr>
          <w:sz w:val="20"/>
          <w:szCs w:val="20"/>
        </w:rPr>
        <w:t xml:space="preserve"> </w:t>
      </w:r>
      <w:proofErr w:type="spellStart"/>
      <w:r w:rsidRPr="003867E9">
        <w:rPr>
          <w:sz w:val="20"/>
          <w:szCs w:val="20"/>
        </w:rPr>
        <w:t>ou</w:t>
      </w:r>
      <w:proofErr w:type="spellEnd"/>
      <w:r w:rsidRPr="003867E9">
        <w:rPr>
          <w:sz w:val="20"/>
          <w:szCs w:val="20"/>
        </w:rPr>
        <w:t xml:space="preserve"> zones, </w:t>
      </w:r>
      <w:proofErr w:type="spellStart"/>
      <w:r w:rsidRPr="003867E9">
        <w:rPr>
          <w:sz w:val="20"/>
          <w:szCs w:val="20"/>
        </w:rPr>
        <w:t>ou</w:t>
      </w:r>
      <w:proofErr w:type="spellEnd"/>
      <w:r w:rsidRPr="003867E9">
        <w:rPr>
          <w:sz w:val="20"/>
          <w:szCs w:val="20"/>
        </w:rPr>
        <w:t xml:space="preserve"> de </w:t>
      </w:r>
      <w:proofErr w:type="spellStart"/>
      <w:r w:rsidRPr="003867E9">
        <w:rPr>
          <w:sz w:val="20"/>
          <w:szCs w:val="20"/>
        </w:rPr>
        <w:t>leurs</w:t>
      </w:r>
      <w:proofErr w:type="spellEnd"/>
      <w:r w:rsidRPr="003867E9">
        <w:rPr>
          <w:sz w:val="20"/>
          <w:szCs w:val="20"/>
        </w:rPr>
        <w:t xml:space="preserve"> </w:t>
      </w:r>
      <w:proofErr w:type="spellStart"/>
      <w:r w:rsidRPr="003867E9">
        <w:rPr>
          <w:sz w:val="20"/>
          <w:szCs w:val="20"/>
        </w:rPr>
        <w:t>autorités</w:t>
      </w:r>
      <w:proofErr w:type="spellEnd"/>
      <w:r w:rsidRPr="003867E9">
        <w:rPr>
          <w:sz w:val="20"/>
          <w:szCs w:val="20"/>
        </w:rPr>
        <w:t xml:space="preserve">, </w:t>
      </w:r>
      <w:proofErr w:type="spellStart"/>
      <w:r w:rsidRPr="003867E9">
        <w:rPr>
          <w:sz w:val="20"/>
          <w:szCs w:val="20"/>
        </w:rPr>
        <w:t>ni</w:t>
      </w:r>
      <w:proofErr w:type="spellEnd"/>
      <w:r w:rsidRPr="003867E9">
        <w:rPr>
          <w:sz w:val="20"/>
          <w:szCs w:val="20"/>
        </w:rPr>
        <w:t xml:space="preserve"> quant au </w:t>
      </w:r>
      <w:proofErr w:type="spellStart"/>
      <w:r w:rsidRPr="003867E9">
        <w:rPr>
          <w:sz w:val="20"/>
          <w:szCs w:val="20"/>
        </w:rPr>
        <w:t>tracé</w:t>
      </w:r>
      <w:proofErr w:type="spellEnd"/>
      <w:r w:rsidRPr="003867E9">
        <w:rPr>
          <w:sz w:val="20"/>
          <w:szCs w:val="20"/>
        </w:rPr>
        <w:t xml:space="preserve"> de </w:t>
      </w:r>
      <w:proofErr w:type="spellStart"/>
      <w:r w:rsidRPr="003867E9">
        <w:rPr>
          <w:sz w:val="20"/>
          <w:szCs w:val="20"/>
        </w:rPr>
        <w:t>leurs</w:t>
      </w:r>
      <w:proofErr w:type="spellEnd"/>
      <w:r w:rsidRPr="003867E9">
        <w:rPr>
          <w:sz w:val="20"/>
          <w:szCs w:val="20"/>
        </w:rPr>
        <w:t xml:space="preserve"> </w:t>
      </w:r>
      <w:proofErr w:type="spellStart"/>
      <w:r w:rsidRPr="003867E9">
        <w:rPr>
          <w:sz w:val="20"/>
          <w:szCs w:val="20"/>
        </w:rPr>
        <w:t>frontières</w:t>
      </w:r>
      <w:proofErr w:type="spellEnd"/>
      <w:r w:rsidRPr="003867E9">
        <w:rPr>
          <w:sz w:val="20"/>
          <w:szCs w:val="20"/>
        </w:rPr>
        <w:t xml:space="preserve"> </w:t>
      </w:r>
      <w:proofErr w:type="spellStart"/>
      <w:r w:rsidRPr="003867E9">
        <w:rPr>
          <w:sz w:val="20"/>
          <w:szCs w:val="20"/>
        </w:rPr>
        <w:t>ou</w:t>
      </w:r>
      <w:proofErr w:type="spellEnd"/>
      <w:r w:rsidRPr="003867E9">
        <w:rPr>
          <w:sz w:val="20"/>
          <w:szCs w:val="20"/>
        </w:rPr>
        <w:t xml:space="preserve"> </w:t>
      </w:r>
      <w:proofErr w:type="spellStart"/>
      <w:r w:rsidRPr="003867E9">
        <w:rPr>
          <w:sz w:val="20"/>
          <w:szCs w:val="20"/>
        </w:rPr>
        <w:t>limites</w:t>
      </w:r>
      <w:proofErr w:type="spellEnd"/>
      <w:r w:rsidRPr="003867E9">
        <w:rPr>
          <w:sz w:val="20"/>
          <w:szCs w:val="20"/>
        </w:rPr>
        <w:t>.</w:t>
      </w:r>
    </w:p>
    <w:p w14:paraId="1409B3B7" w14:textId="77777777" w:rsidR="009958B8" w:rsidRPr="003867E9" w:rsidRDefault="009958B8" w:rsidP="0034465A">
      <w:pPr>
        <w:spacing w:after="200"/>
        <w:ind w:left="709" w:right="707"/>
        <w:rPr>
          <w:sz w:val="20"/>
          <w:szCs w:val="20"/>
        </w:rPr>
      </w:pPr>
      <w:r w:rsidRPr="003867E9">
        <w:rPr>
          <w:sz w:val="20"/>
          <w:szCs w:val="20"/>
        </w:rPr>
        <w:t xml:space="preserve">Publication des Nations </w:t>
      </w:r>
      <w:proofErr w:type="spellStart"/>
      <w:r w:rsidRPr="003867E9">
        <w:rPr>
          <w:sz w:val="20"/>
          <w:szCs w:val="20"/>
        </w:rPr>
        <w:t>Unies</w:t>
      </w:r>
      <w:proofErr w:type="spellEnd"/>
      <w:r w:rsidRPr="003867E9">
        <w:rPr>
          <w:sz w:val="20"/>
          <w:szCs w:val="20"/>
        </w:rPr>
        <w:t xml:space="preserve"> </w:t>
      </w:r>
      <w:proofErr w:type="spellStart"/>
      <w:r w:rsidRPr="003867E9">
        <w:rPr>
          <w:sz w:val="20"/>
          <w:szCs w:val="20"/>
        </w:rPr>
        <w:t>établie</w:t>
      </w:r>
      <w:proofErr w:type="spellEnd"/>
      <w:r w:rsidRPr="003867E9">
        <w:rPr>
          <w:sz w:val="20"/>
          <w:szCs w:val="20"/>
        </w:rPr>
        <w:t xml:space="preserve"> par la Commission </w:t>
      </w:r>
      <w:proofErr w:type="spellStart"/>
      <w:r w:rsidRPr="003867E9">
        <w:rPr>
          <w:sz w:val="20"/>
          <w:szCs w:val="20"/>
        </w:rPr>
        <w:t>Économique</w:t>
      </w:r>
      <w:proofErr w:type="spellEnd"/>
      <w:r w:rsidRPr="003867E9">
        <w:rPr>
          <w:sz w:val="20"/>
          <w:szCs w:val="20"/>
        </w:rPr>
        <w:t xml:space="preserve"> des Nations </w:t>
      </w:r>
      <w:proofErr w:type="spellStart"/>
      <w:r w:rsidRPr="003867E9">
        <w:rPr>
          <w:sz w:val="20"/>
          <w:szCs w:val="20"/>
        </w:rPr>
        <w:t>Unies</w:t>
      </w:r>
      <w:proofErr w:type="spellEnd"/>
      <w:r w:rsidRPr="003867E9">
        <w:rPr>
          <w:sz w:val="20"/>
          <w:szCs w:val="20"/>
        </w:rPr>
        <w:t xml:space="preserve"> pour </w:t>
      </w:r>
      <w:proofErr w:type="spellStart"/>
      <w:r w:rsidRPr="003867E9">
        <w:rPr>
          <w:sz w:val="20"/>
          <w:szCs w:val="20"/>
        </w:rPr>
        <w:t>l’Europe</w:t>
      </w:r>
      <w:proofErr w:type="spellEnd"/>
      <w:r w:rsidRPr="003867E9">
        <w:rPr>
          <w:sz w:val="20"/>
          <w:szCs w:val="20"/>
        </w:rPr>
        <w:t>.</w:t>
      </w:r>
    </w:p>
    <w:p w14:paraId="55F81320" w14:textId="77777777" w:rsidR="009958B8" w:rsidRPr="003867E9" w:rsidRDefault="009958B8" w:rsidP="0034465A">
      <w:pPr>
        <w:spacing w:after="200"/>
        <w:ind w:left="709" w:right="707"/>
        <w:jc w:val="center"/>
        <w:rPr>
          <w:sz w:val="20"/>
          <w:szCs w:val="20"/>
        </w:rPr>
      </w:pPr>
    </w:p>
    <w:p w14:paraId="29028413" w14:textId="77777777" w:rsidR="009958B8" w:rsidRPr="003867E9" w:rsidRDefault="009958B8" w:rsidP="0034465A">
      <w:pPr>
        <w:spacing w:after="200"/>
        <w:ind w:left="709" w:right="707"/>
        <w:jc w:val="center"/>
        <w:rPr>
          <w:sz w:val="20"/>
          <w:szCs w:val="20"/>
        </w:rPr>
      </w:pPr>
    </w:p>
    <w:p w14:paraId="60919163" w14:textId="78B5171B" w:rsidR="009958B8" w:rsidRPr="003867E9" w:rsidRDefault="009958B8" w:rsidP="0034465A">
      <w:pPr>
        <w:spacing w:after="200"/>
        <w:ind w:left="709" w:right="707"/>
        <w:jc w:val="center"/>
        <w:rPr>
          <w:sz w:val="20"/>
          <w:szCs w:val="20"/>
        </w:rPr>
      </w:pPr>
      <w:r w:rsidRPr="003867E9">
        <w:rPr>
          <w:sz w:val="20"/>
          <w:szCs w:val="20"/>
        </w:rPr>
        <w:t>ST/SG/AC.10/1</w:t>
      </w:r>
      <w:r w:rsidR="00E70954" w:rsidRPr="003867E9">
        <w:rPr>
          <w:sz w:val="20"/>
          <w:szCs w:val="20"/>
          <w:lang w:val="fr-FR"/>
        </w:rPr>
        <w:t>1/Rev.7/Amend.1</w:t>
      </w:r>
    </w:p>
    <w:p w14:paraId="4B835D8E" w14:textId="7363A5D9" w:rsidR="009958B8" w:rsidRPr="003867E9" w:rsidRDefault="009958B8" w:rsidP="0034465A">
      <w:pPr>
        <w:spacing w:after="200"/>
        <w:ind w:left="709" w:right="707"/>
        <w:jc w:val="center"/>
        <w:rPr>
          <w:sz w:val="20"/>
          <w:szCs w:val="20"/>
        </w:rPr>
      </w:pPr>
      <w:r w:rsidRPr="003867E9">
        <w:rPr>
          <w:sz w:val="20"/>
          <w:szCs w:val="20"/>
        </w:rPr>
        <w:t xml:space="preserve">ISBN : </w:t>
      </w:r>
      <w:r w:rsidR="008B0617" w:rsidRPr="003867E9">
        <w:rPr>
          <w:sz w:val="20"/>
          <w:szCs w:val="20"/>
        </w:rPr>
        <w:t>978-92-1-139187-9</w:t>
      </w:r>
      <w:r w:rsidRPr="003867E9">
        <w:rPr>
          <w:sz w:val="20"/>
          <w:szCs w:val="20"/>
        </w:rPr>
        <w:br/>
      </w:r>
      <w:proofErr w:type="spellStart"/>
      <w:r w:rsidRPr="003867E9">
        <w:rPr>
          <w:sz w:val="20"/>
          <w:szCs w:val="20"/>
        </w:rPr>
        <w:t>eISBN</w:t>
      </w:r>
      <w:proofErr w:type="spellEnd"/>
      <w:r w:rsidRPr="003867E9">
        <w:rPr>
          <w:sz w:val="20"/>
          <w:szCs w:val="20"/>
        </w:rPr>
        <w:t xml:space="preserve"> : </w:t>
      </w:r>
      <w:r w:rsidR="00983FD1" w:rsidRPr="003867E9">
        <w:rPr>
          <w:sz w:val="20"/>
          <w:szCs w:val="20"/>
        </w:rPr>
        <w:t>978-92-1-005208-5</w:t>
      </w:r>
    </w:p>
    <w:p w14:paraId="09A8DB38" w14:textId="28082E7D" w:rsidR="009958B8" w:rsidRPr="003867E9" w:rsidRDefault="009958B8" w:rsidP="0034465A">
      <w:pPr>
        <w:spacing w:after="200"/>
        <w:ind w:left="709" w:right="707"/>
        <w:jc w:val="center"/>
        <w:rPr>
          <w:sz w:val="20"/>
          <w:szCs w:val="20"/>
        </w:rPr>
      </w:pPr>
      <w:r w:rsidRPr="003867E9">
        <w:rPr>
          <w:sz w:val="20"/>
          <w:szCs w:val="20"/>
        </w:rPr>
        <w:t>ISSN : 1014-</w:t>
      </w:r>
      <w:r w:rsidR="00983FD1" w:rsidRPr="003867E9">
        <w:rPr>
          <w:sz w:val="20"/>
          <w:szCs w:val="20"/>
        </w:rPr>
        <w:t>7179</w:t>
      </w:r>
      <w:r w:rsidRPr="003867E9">
        <w:rPr>
          <w:sz w:val="20"/>
          <w:szCs w:val="20"/>
        </w:rPr>
        <w:br/>
      </w:r>
      <w:proofErr w:type="spellStart"/>
      <w:r w:rsidRPr="003867E9">
        <w:rPr>
          <w:sz w:val="20"/>
          <w:szCs w:val="20"/>
        </w:rPr>
        <w:t>eISSN</w:t>
      </w:r>
      <w:proofErr w:type="spellEnd"/>
      <w:r w:rsidRPr="003867E9">
        <w:rPr>
          <w:sz w:val="20"/>
          <w:szCs w:val="20"/>
        </w:rPr>
        <w:t> : 2412-</w:t>
      </w:r>
      <w:r w:rsidR="00983FD1" w:rsidRPr="003867E9">
        <w:rPr>
          <w:sz w:val="20"/>
          <w:szCs w:val="20"/>
        </w:rPr>
        <w:t>4672</w:t>
      </w:r>
    </w:p>
    <w:p w14:paraId="2DEEA386" w14:textId="70436597" w:rsidR="009958B8" w:rsidRPr="003867E9" w:rsidRDefault="009958B8" w:rsidP="0034465A">
      <w:pPr>
        <w:spacing w:after="200"/>
        <w:ind w:left="709" w:right="707"/>
        <w:jc w:val="center"/>
        <w:rPr>
          <w:sz w:val="20"/>
          <w:szCs w:val="20"/>
        </w:rPr>
      </w:pPr>
      <w:proofErr w:type="spellStart"/>
      <w:r w:rsidRPr="003867E9">
        <w:rPr>
          <w:sz w:val="20"/>
          <w:szCs w:val="20"/>
        </w:rPr>
        <w:t>Numéro</w:t>
      </w:r>
      <w:proofErr w:type="spellEnd"/>
      <w:r w:rsidRPr="003867E9">
        <w:rPr>
          <w:sz w:val="20"/>
          <w:szCs w:val="20"/>
        </w:rPr>
        <w:t xml:space="preserve"> de vente :  F.21.VIII.</w:t>
      </w:r>
      <w:r w:rsidR="00983FD1" w:rsidRPr="003867E9">
        <w:rPr>
          <w:sz w:val="20"/>
          <w:szCs w:val="20"/>
        </w:rPr>
        <w:t>2</w:t>
      </w:r>
    </w:p>
    <w:p w14:paraId="12C08886" w14:textId="77777777" w:rsidR="00514C0C" w:rsidRPr="00BD0F6A" w:rsidRDefault="00514C0C">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2"/>
          <w:lang w:val="fr-FR"/>
        </w:rPr>
      </w:pPr>
    </w:p>
    <w:p w14:paraId="7F423F70" w14:textId="77777777" w:rsidR="00514C0C" w:rsidRPr="00BD0F6A" w:rsidRDefault="00514C0C">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2"/>
          <w:lang w:val="fr-FR"/>
        </w:rPr>
        <w:sectPr w:rsidR="00514C0C" w:rsidRPr="00BD0F6A" w:rsidSect="000B6EE6">
          <w:footerReference w:type="first" r:id="rId14"/>
          <w:footnotePr>
            <w:numRestart w:val="eachPage"/>
          </w:footnotePr>
          <w:endnotePr>
            <w:numFmt w:val="decimal"/>
          </w:endnotePr>
          <w:pgSz w:w="11906" w:h="16838" w:code="9"/>
          <w:pgMar w:top="1134" w:right="1134" w:bottom="1134" w:left="1134" w:header="851" w:footer="851" w:gutter="0"/>
          <w:cols w:space="720"/>
          <w:vAlign w:val="center"/>
          <w:noEndnote/>
          <w:docGrid w:linePitch="299"/>
        </w:sectPr>
      </w:pPr>
    </w:p>
    <w:p w14:paraId="2B88A5D2" w14:textId="1312D47F" w:rsidR="00514C0C" w:rsidRPr="00BD0F6A" w:rsidRDefault="0032023F" w:rsidP="006D2424">
      <w:pPr>
        <w:pStyle w:val="ManSect"/>
      </w:pPr>
      <w:r w:rsidRPr="00BD0F6A">
        <w:lastRenderedPageBreak/>
        <w:t>INTRODUCTION</w:t>
      </w:r>
    </w:p>
    <w:p w14:paraId="01584403" w14:textId="2399E673" w:rsidR="0032023F" w:rsidRPr="00BD0F6A" w:rsidRDefault="006D2424" w:rsidP="006D2424">
      <w:pPr>
        <w:pStyle w:val="Manbodytext10ptafter"/>
      </w:pPr>
      <w:r w:rsidRPr="00BD0F6A">
        <w:tab/>
      </w:r>
      <w:r w:rsidR="0032023F" w:rsidRPr="00BD0F6A">
        <w:t>Le « </w:t>
      </w:r>
      <w:r w:rsidR="0032023F" w:rsidRPr="00BD0F6A">
        <w:rPr>
          <w:i/>
          <w:iCs/>
        </w:rPr>
        <w:t>Manuel d’épreuves et de critères</w:t>
      </w:r>
      <w:r w:rsidR="0032023F" w:rsidRPr="00BD0F6A">
        <w:t> » contient des critères, des méthodes d’épreuve et des procédures qu’il convient d’appliquer pour classer les marchandises dangereuses conformément aux dispositions des « </w:t>
      </w:r>
      <w:r w:rsidR="0032023F" w:rsidRPr="00BD0F6A">
        <w:rPr>
          <w:i/>
          <w:iCs/>
        </w:rPr>
        <w:t>Recommandations des Nations Unies relatives au transport des marchandises dangereuses, Règlement type</w:t>
      </w:r>
      <w:r w:rsidR="0032023F" w:rsidRPr="00BD0F6A">
        <w:t> », ainsi que les produits chimiques qui présentent des dangers physiques selon le « </w:t>
      </w:r>
      <w:r w:rsidR="0032023F" w:rsidRPr="00BD0F6A">
        <w:rPr>
          <w:i/>
          <w:iCs/>
        </w:rPr>
        <w:t>Système général harmonisé de classification et d’étiquetage des produits chimiques, SGH</w:t>
      </w:r>
      <w:r w:rsidR="0032023F" w:rsidRPr="00BD0F6A">
        <w:t> ». Il complète donc également les règlements nationaux et internationaux qui ont été établis sur la base du Règlement type ou du SGH.</w:t>
      </w:r>
    </w:p>
    <w:p w14:paraId="55EF4B48" w14:textId="42D5027C" w:rsidR="0032023F" w:rsidRPr="00BD0F6A" w:rsidRDefault="006D2424" w:rsidP="006D2424">
      <w:pPr>
        <w:pStyle w:val="Manbodytext10ptafter"/>
      </w:pPr>
      <w:r w:rsidRPr="00BD0F6A">
        <w:tab/>
      </w:r>
      <w:r w:rsidR="0032023F" w:rsidRPr="00BD0F6A">
        <w:t>Élaboré à l’origine par le Comité d’experts du transport de marchandises dangereuses du Conseil économique et social, qui a adopté la première version en 1984, le Manuel d'épreuves et de critères a été régulièrement mis à jour et modifié. Actuellement, sa mise à jour est effectuée sous l’égide du Comité d’experts du transport des marchandises dangereuses et du système général harmonisé de classification et d’étiquetage des produits chimiques, qui remplace le comité d’origine depuis 2001.</w:t>
      </w:r>
    </w:p>
    <w:p w14:paraId="0D68B058" w14:textId="39C1819D" w:rsidR="0032023F" w:rsidRPr="00BD0F6A" w:rsidRDefault="006D2424" w:rsidP="006D2424">
      <w:pPr>
        <w:pStyle w:val="Manbodytext10ptafter"/>
      </w:pPr>
      <w:r w:rsidRPr="00BD0F6A">
        <w:tab/>
      </w:r>
      <w:r w:rsidR="0032023F" w:rsidRPr="00BD0F6A">
        <w:t xml:space="preserve">À sa </w:t>
      </w:r>
      <w:r w:rsidR="0057541F">
        <w:t>dixi</w:t>
      </w:r>
      <w:r w:rsidR="00F016BE">
        <w:t>ème</w:t>
      </w:r>
      <w:r w:rsidR="0057541F" w:rsidRPr="00BD0F6A">
        <w:t xml:space="preserve"> </w:t>
      </w:r>
      <w:r w:rsidR="0032023F" w:rsidRPr="00BD0F6A">
        <w:t>session (</w:t>
      </w:r>
      <w:r w:rsidR="00F016BE">
        <w:t>11</w:t>
      </w:r>
      <w:r w:rsidR="0032023F" w:rsidRPr="00BD0F6A">
        <w:t xml:space="preserve"> décembre </w:t>
      </w:r>
      <w:r w:rsidR="00F016BE" w:rsidRPr="00BD0F6A">
        <w:t>20</w:t>
      </w:r>
      <w:r w:rsidR="00F016BE">
        <w:t>20</w:t>
      </w:r>
      <w:r w:rsidR="0032023F" w:rsidRPr="00BD0F6A">
        <w:t xml:space="preserve">), le Comité a adopté une série d’amendements à la </w:t>
      </w:r>
      <w:r w:rsidR="00F016BE">
        <w:t>septième</w:t>
      </w:r>
      <w:r w:rsidR="00F016BE" w:rsidRPr="00BD0F6A">
        <w:t xml:space="preserve"> </w:t>
      </w:r>
      <w:r w:rsidR="0032023F" w:rsidRPr="00BD0F6A">
        <w:t xml:space="preserve">édition </w:t>
      </w:r>
      <w:r w:rsidR="00E61151">
        <w:t xml:space="preserve">révisée </w:t>
      </w:r>
      <w:r w:rsidR="0032023F" w:rsidRPr="00BD0F6A">
        <w:t>du Manuel, qui ont été circulés sous la cote ST/SG/AC.10/</w:t>
      </w:r>
      <w:r w:rsidR="0065309B" w:rsidRPr="00BD0F6A">
        <w:t>4</w:t>
      </w:r>
      <w:r w:rsidR="0065309B">
        <w:t>8</w:t>
      </w:r>
      <w:r w:rsidR="0032023F" w:rsidRPr="00BD0F6A">
        <w:t>/Add.2.</w:t>
      </w:r>
      <w:r w:rsidR="00EA0980">
        <w:t xml:space="preserve"> </w:t>
      </w:r>
      <w:r w:rsidR="00EA0980" w:rsidRPr="00EA0980">
        <w:t>Cette publication reprend ces amendements. Le chapitre 28, qui a été révisé de manière plus significative, est reproduit ici, tel que modifié, dans son intégralité.</w:t>
      </w:r>
    </w:p>
    <w:p w14:paraId="32CFD7E4" w14:textId="34AC8E34" w:rsidR="0032023F" w:rsidRPr="00BD0F6A" w:rsidRDefault="006D2424" w:rsidP="006D2424">
      <w:pPr>
        <w:pStyle w:val="Manbodytext10ptafter"/>
      </w:pPr>
      <w:r w:rsidRPr="00BD0F6A">
        <w:tab/>
      </w:r>
      <w:r w:rsidR="0032023F" w:rsidRPr="00BD0F6A">
        <w:t xml:space="preserve">Les nouveaux amendements adoptés en </w:t>
      </w:r>
      <w:r w:rsidR="00EA0980" w:rsidRPr="00BD0F6A">
        <w:t>20</w:t>
      </w:r>
      <w:r w:rsidR="00EA0980">
        <w:t>20</w:t>
      </w:r>
      <w:r w:rsidR="00EA0980" w:rsidRPr="00BD0F6A">
        <w:t xml:space="preserve"> </w:t>
      </w:r>
      <w:r w:rsidR="0032023F" w:rsidRPr="00BD0F6A">
        <w:t>comprennent :</w:t>
      </w:r>
    </w:p>
    <w:p w14:paraId="53D5054F" w14:textId="161A70AD" w:rsidR="00485AF4" w:rsidRDefault="0032023F" w:rsidP="00083022">
      <w:pPr>
        <w:pStyle w:val="Man1subpara"/>
      </w:pPr>
      <w:r w:rsidRPr="00BD0F6A">
        <w:t>-</w:t>
      </w:r>
      <w:r w:rsidRPr="00BD0F6A">
        <w:tab/>
      </w:r>
      <w:r w:rsidR="00083022" w:rsidRPr="00083022">
        <w:t xml:space="preserve">le transport des matières </w:t>
      </w:r>
      <w:r w:rsidR="003867E9">
        <w:t xml:space="preserve">et objets </w:t>
      </w:r>
      <w:r w:rsidR="00083022" w:rsidRPr="00083022">
        <w:t xml:space="preserve">explosives, y compris l'alignement sur le chapitre 2.1 révisé du </w:t>
      </w:r>
      <w:r w:rsidR="00922B13">
        <w:t>SGH</w:t>
      </w:r>
      <w:r w:rsidR="00083022" w:rsidRPr="00083022">
        <w:t xml:space="preserve"> ;</w:t>
      </w:r>
    </w:p>
    <w:p w14:paraId="5868DD9A" w14:textId="7D48C1C6" w:rsidR="002A7296" w:rsidRDefault="00485AF4" w:rsidP="002A7296">
      <w:pPr>
        <w:pStyle w:val="Man1subpara"/>
      </w:pPr>
      <w:r>
        <w:t>-</w:t>
      </w:r>
      <w:r>
        <w:tab/>
      </w:r>
      <w:r w:rsidR="002A7296">
        <w:t xml:space="preserve">la classification des </w:t>
      </w:r>
      <w:r w:rsidR="002A7296" w:rsidRPr="00AA40E6">
        <w:t>m</w:t>
      </w:r>
      <w:r w:rsidR="00922B13">
        <w:t>a</w:t>
      </w:r>
      <w:r w:rsidR="002A7296" w:rsidRPr="00AA40E6">
        <w:t xml:space="preserve">tières </w:t>
      </w:r>
      <w:proofErr w:type="spellStart"/>
      <w:r w:rsidR="002A7296">
        <w:t>autoréactives</w:t>
      </w:r>
      <w:proofErr w:type="spellEnd"/>
      <w:r w:rsidR="002A7296">
        <w:t xml:space="preserve"> et des matières qui polymérisent ; et</w:t>
      </w:r>
    </w:p>
    <w:p w14:paraId="1321A613" w14:textId="4BC293F5" w:rsidR="00485AF4" w:rsidRPr="00BD0F6A" w:rsidRDefault="002A7296" w:rsidP="002A7296">
      <w:pPr>
        <w:pStyle w:val="Man1subpara"/>
      </w:pPr>
      <w:r>
        <w:t>-</w:t>
      </w:r>
      <w:r>
        <w:tab/>
        <w:t xml:space="preserve">l'évaluation de la stabilité thermique des échantillons et l'évaluation de la régulation de la température pour le transport des matières </w:t>
      </w:r>
      <w:proofErr w:type="spellStart"/>
      <w:r>
        <w:t>autoréactives</w:t>
      </w:r>
      <w:proofErr w:type="spellEnd"/>
      <w:r>
        <w:t xml:space="preserve"> et des peroxydes organiques.</w:t>
      </w:r>
    </w:p>
    <w:p w14:paraId="00F1C13C" w14:textId="0C4B0371" w:rsidR="00B871AD" w:rsidRDefault="00B871AD" w:rsidP="00083022">
      <w:pPr>
        <w:pStyle w:val="Man1subpara"/>
        <w:rPr>
          <w:rFonts w:asciiTheme="majorBidi" w:hAnsiTheme="majorBidi" w:cstheme="majorBidi"/>
        </w:rPr>
      </w:pPr>
    </w:p>
    <w:p w14:paraId="63161EE5" w14:textId="77777777" w:rsidR="00B871AD" w:rsidRDefault="00B871AD" w:rsidP="006D2424">
      <w:pPr>
        <w:pStyle w:val="Man1subpara"/>
        <w:rPr>
          <w:rFonts w:asciiTheme="majorBidi" w:hAnsiTheme="majorBidi" w:cstheme="majorBidi"/>
        </w:rPr>
      </w:pPr>
    </w:p>
    <w:p w14:paraId="3240CFC5" w14:textId="77777777" w:rsidR="00B871AD" w:rsidRDefault="00B871AD" w:rsidP="006D2424">
      <w:pPr>
        <w:pStyle w:val="ManSect"/>
        <w:sectPr w:rsidR="00B871AD" w:rsidSect="001908CD">
          <w:headerReference w:type="default" r:id="rId15"/>
          <w:footerReference w:type="even" r:id="rId16"/>
          <w:footerReference w:type="default" r:id="rId17"/>
          <w:footnotePr>
            <w:numRestart w:val="eachPage"/>
          </w:footnotePr>
          <w:endnotePr>
            <w:numFmt w:val="decimal"/>
          </w:endnotePr>
          <w:pgSz w:w="11906" w:h="16838" w:code="9"/>
          <w:pgMar w:top="1134" w:right="1134" w:bottom="1134" w:left="1134" w:header="851" w:footer="851" w:gutter="0"/>
          <w:pgNumType w:fmt="lowerRoman"/>
          <w:cols w:space="720"/>
          <w:noEndnote/>
        </w:sectPr>
      </w:pPr>
    </w:p>
    <w:p w14:paraId="41499960" w14:textId="6CC23528" w:rsidR="00514C0C" w:rsidRPr="00BD0F6A" w:rsidRDefault="00514C0C" w:rsidP="006D2424">
      <w:pPr>
        <w:pStyle w:val="ManSect"/>
      </w:pPr>
      <w:r w:rsidRPr="00BD0F6A">
        <w:lastRenderedPageBreak/>
        <w:t>TABLE DES MATIÈRES</w:t>
      </w:r>
    </w:p>
    <w:p w14:paraId="3BB96D6D" w14:textId="1D3E1B7B" w:rsidR="00514C0C" w:rsidRPr="00BD0F6A" w:rsidRDefault="00514C0C" w:rsidP="0061000D">
      <w:pPr>
        <w:widowControl/>
        <w:tabs>
          <w:tab w:val="right" w:pos="9640"/>
        </w:tabs>
        <w:spacing w:after="120"/>
        <w:rPr>
          <w:b/>
          <w:bCs/>
          <w:szCs w:val="22"/>
          <w:lang w:val="fr-FR"/>
        </w:rPr>
      </w:pPr>
      <w:r w:rsidRPr="00BD0F6A">
        <w:rPr>
          <w:b/>
          <w:bCs/>
          <w:szCs w:val="22"/>
          <w:lang w:val="fr-FR"/>
        </w:rPr>
        <w:tab/>
      </w:r>
      <w:r w:rsidRPr="00BD0F6A">
        <w:rPr>
          <w:b/>
          <w:bCs/>
          <w:szCs w:val="22"/>
          <w:u w:val="single"/>
          <w:lang w:val="fr-FR"/>
        </w:rPr>
        <w:t>Page</w:t>
      </w:r>
    </w:p>
    <w:p w14:paraId="28909C05" w14:textId="111B7B32" w:rsidR="00B43EE1" w:rsidRPr="00C032D6" w:rsidRDefault="00B43EE1" w:rsidP="00B43EE1">
      <w:pPr>
        <w:pStyle w:val="MTOC1"/>
        <w:rPr>
          <w:rFonts w:asciiTheme="majorBidi" w:hAnsiTheme="majorBidi" w:cstheme="majorBidi"/>
          <w:lang w:val="fr-FR"/>
        </w:rPr>
      </w:pPr>
      <w:r w:rsidRPr="00C032D6">
        <w:rPr>
          <w:rFonts w:asciiTheme="majorBidi" w:hAnsiTheme="majorBidi" w:cstheme="majorBidi"/>
          <w:lang w:val="fr-FR"/>
        </w:rPr>
        <w:t>AMEND</w:t>
      </w:r>
      <w:r w:rsidR="0026656F" w:rsidRPr="00C032D6">
        <w:rPr>
          <w:rFonts w:asciiTheme="majorBidi" w:hAnsiTheme="majorBidi" w:cstheme="majorBidi"/>
          <w:lang w:val="fr-FR"/>
        </w:rPr>
        <w:t>E</w:t>
      </w:r>
      <w:r w:rsidRPr="00C032D6">
        <w:rPr>
          <w:rFonts w:asciiTheme="majorBidi" w:hAnsiTheme="majorBidi" w:cstheme="majorBidi"/>
          <w:lang w:val="fr-FR"/>
        </w:rPr>
        <w:t xml:space="preserve">MENTS </w:t>
      </w:r>
      <w:r w:rsidR="00057E61" w:rsidRPr="00C032D6">
        <w:rPr>
          <w:rFonts w:asciiTheme="majorBidi" w:hAnsiTheme="majorBidi" w:cstheme="majorBidi"/>
          <w:lang w:val="fr-FR"/>
        </w:rPr>
        <w:t>À LA PREMIÈRE</w:t>
      </w:r>
      <w:r w:rsidRPr="00C032D6">
        <w:rPr>
          <w:rFonts w:asciiTheme="majorBidi" w:hAnsiTheme="majorBidi" w:cstheme="majorBidi"/>
          <w:lang w:val="fr-FR"/>
        </w:rPr>
        <w:t xml:space="preserve"> PART</w:t>
      </w:r>
      <w:r w:rsidR="00057E61" w:rsidRPr="00C032D6">
        <w:rPr>
          <w:rFonts w:asciiTheme="majorBidi" w:hAnsiTheme="majorBidi" w:cstheme="majorBidi"/>
          <w:lang w:val="fr-FR"/>
        </w:rPr>
        <w:t>IE</w:t>
      </w:r>
    </w:p>
    <w:p w14:paraId="4EBE31B9" w14:textId="77777777" w:rsidR="00B43EE1" w:rsidRPr="00C032D6" w:rsidRDefault="00B43EE1" w:rsidP="00B43EE1">
      <w:pPr>
        <w:pStyle w:val="MTOC2"/>
        <w:rPr>
          <w:rFonts w:asciiTheme="majorBidi" w:hAnsiTheme="majorBidi" w:cstheme="majorBidi"/>
          <w:lang w:val="fr-FR"/>
        </w:rPr>
      </w:pPr>
    </w:p>
    <w:p w14:paraId="7186721A" w14:textId="74BB1A5A" w:rsidR="00B43EE1" w:rsidRPr="00C032D6" w:rsidRDefault="00C72BBA" w:rsidP="00B43EE1">
      <w:pPr>
        <w:pStyle w:val="MTOC2"/>
        <w:rPr>
          <w:rFonts w:asciiTheme="majorBidi" w:hAnsiTheme="majorBidi" w:cstheme="majorBidi"/>
          <w:lang w:val="fr-FR"/>
        </w:rPr>
      </w:pPr>
      <w:r w:rsidRPr="00C032D6">
        <w:rPr>
          <w:rFonts w:asciiTheme="majorBidi" w:hAnsiTheme="majorBidi" w:cstheme="majorBidi"/>
          <w:lang w:val="fr-FR"/>
        </w:rPr>
        <w:t>Section 10</w:t>
      </w:r>
      <w:r w:rsidRPr="00C032D6">
        <w:rPr>
          <w:rFonts w:asciiTheme="majorBidi" w:hAnsiTheme="majorBidi" w:cstheme="majorBidi"/>
          <w:lang w:val="fr-FR"/>
        </w:rPr>
        <w:tab/>
      </w:r>
      <w:r w:rsidRPr="00C032D6">
        <w:rPr>
          <w:rFonts w:asciiTheme="majorBidi" w:hAnsiTheme="majorBidi" w:cstheme="majorBidi"/>
          <w:lang w:val="fr-FR"/>
        </w:rPr>
        <w:tab/>
        <w:t>1</w:t>
      </w:r>
    </w:p>
    <w:p w14:paraId="4DD43EDD" w14:textId="4BFBBA52" w:rsidR="00B43EE1" w:rsidRPr="00C032D6" w:rsidRDefault="00C72BBA" w:rsidP="00B43EE1">
      <w:pPr>
        <w:pStyle w:val="MTOC2"/>
        <w:rPr>
          <w:rFonts w:asciiTheme="majorBidi" w:hAnsiTheme="majorBidi" w:cstheme="majorBidi"/>
          <w:lang w:val="fr-FR"/>
        </w:rPr>
      </w:pPr>
      <w:r w:rsidRPr="00C032D6">
        <w:rPr>
          <w:rFonts w:asciiTheme="majorBidi" w:hAnsiTheme="majorBidi" w:cstheme="majorBidi"/>
          <w:lang w:val="fr-FR"/>
        </w:rPr>
        <w:t>Section 13</w:t>
      </w:r>
      <w:r w:rsidRPr="00C032D6">
        <w:rPr>
          <w:rFonts w:asciiTheme="majorBidi" w:hAnsiTheme="majorBidi" w:cstheme="majorBidi"/>
          <w:lang w:val="fr-FR"/>
        </w:rPr>
        <w:tab/>
      </w:r>
      <w:r w:rsidRPr="00C032D6">
        <w:rPr>
          <w:rFonts w:asciiTheme="majorBidi" w:hAnsiTheme="majorBidi" w:cstheme="majorBidi"/>
          <w:lang w:val="fr-FR"/>
        </w:rPr>
        <w:tab/>
      </w:r>
      <w:r w:rsidR="009E6950">
        <w:rPr>
          <w:rFonts w:asciiTheme="majorBidi" w:hAnsiTheme="majorBidi" w:cstheme="majorBidi"/>
          <w:lang w:val="fr-FR"/>
        </w:rPr>
        <w:t>3</w:t>
      </w:r>
    </w:p>
    <w:p w14:paraId="627C8205" w14:textId="24331160" w:rsidR="00B43EE1" w:rsidRPr="00C032D6" w:rsidRDefault="00C72BBA" w:rsidP="00B43EE1">
      <w:pPr>
        <w:pStyle w:val="MTOC2"/>
        <w:rPr>
          <w:rFonts w:asciiTheme="majorBidi" w:hAnsiTheme="majorBidi" w:cstheme="majorBidi"/>
          <w:lang w:val="fr-FR"/>
        </w:rPr>
      </w:pPr>
      <w:r w:rsidRPr="00C032D6">
        <w:rPr>
          <w:rFonts w:asciiTheme="majorBidi" w:hAnsiTheme="majorBidi" w:cstheme="majorBidi"/>
          <w:lang w:val="fr-FR"/>
        </w:rPr>
        <w:t>Section 14</w:t>
      </w:r>
      <w:r w:rsidRPr="00C032D6">
        <w:rPr>
          <w:rFonts w:asciiTheme="majorBidi" w:hAnsiTheme="majorBidi" w:cstheme="majorBidi"/>
          <w:lang w:val="fr-FR"/>
        </w:rPr>
        <w:tab/>
      </w:r>
      <w:r w:rsidRPr="00C032D6">
        <w:rPr>
          <w:rFonts w:asciiTheme="majorBidi" w:hAnsiTheme="majorBidi" w:cstheme="majorBidi"/>
          <w:lang w:val="fr-FR"/>
        </w:rPr>
        <w:tab/>
      </w:r>
      <w:r w:rsidR="009E6950">
        <w:rPr>
          <w:rFonts w:asciiTheme="majorBidi" w:hAnsiTheme="majorBidi" w:cstheme="majorBidi"/>
          <w:lang w:val="fr-FR"/>
        </w:rPr>
        <w:t>5</w:t>
      </w:r>
    </w:p>
    <w:p w14:paraId="5D94DC92" w14:textId="77777777" w:rsidR="00B43EE1" w:rsidRPr="00C032D6" w:rsidRDefault="00B43EE1" w:rsidP="00B43EE1">
      <w:pPr>
        <w:pStyle w:val="MTOC2"/>
        <w:rPr>
          <w:rFonts w:asciiTheme="majorBidi" w:hAnsiTheme="majorBidi" w:cstheme="majorBidi"/>
          <w:lang w:val="fr-FR"/>
        </w:rPr>
      </w:pPr>
    </w:p>
    <w:p w14:paraId="32DEB650" w14:textId="7CBB0E21" w:rsidR="00B43EE1" w:rsidRPr="00C032D6" w:rsidRDefault="00B43EE1" w:rsidP="00B43EE1">
      <w:pPr>
        <w:pStyle w:val="MTOC1"/>
        <w:rPr>
          <w:rFonts w:asciiTheme="majorBidi" w:hAnsiTheme="majorBidi" w:cstheme="majorBidi"/>
          <w:lang w:val="fr-FR"/>
        </w:rPr>
      </w:pPr>
      <w:r w:rsidRPr="00C032D6">
        <w:rPr>
          <w:rFonts w:asciiTheme="majorBidi" w:hAnsiTheme="majorBidi" w:cstheme="majorBidi"/>
          <w:lang w:val="fr-FR"/>
        </w:rPr>
        <w:t>AMEND</w:t>
      </w:r>
      <w:r w:rsidR="0026656F" w:rsidRPr="00C032D6">
        <w:rPr>
          <w:rFonts w:asciiTheme="majorBidi" w:hAnsiTheme="majorBidi" w:cstheme="majorBidi"/>
          <w:lang w:val="fr-FR"/>
        </w:rPr>
        <w:t>E</w:t>
      </w:r>
      <w:r w:rsidRPr="00C032D6">
        <w:rPr>
          <w:rFonts w:asciiTheme="majorBidi" w:hAnsiTheme="majorBidi" w:cstheme="majorBidi"/>
          <w:lang w:val="fr-FR"/>
        </w:rPr>
        <w:t xml:space="preserve">MENTS </w:t>
      </w:r>
      <w:r w:rsidR="00057E61" w:rsidRPr="00C032D6">
        <w:rPr>
          <w:rFonts w:asciiTheme="majorBidi" w:hAnsiTheme="majorBidi" w:cstheme="majorBidi"/>
          <w:lang w:val="fr-FR"/>
        </w:rPr>
        <w:t xml:space="preserve">À LA DEUXIÈME </w:t>
      </w:r>
      <w:r w:rsidRPr="00C032D6">
        <w:rPr>
          <w:rFonts w:asciiTheme="majorBidi" w:hAnsiTheme="majorBidi" w:cstheme="majorBidi"/>
          <w:lang w:val="fr-FR"/>
        </w:rPr>
        <w:t>PART</w:t>
      </w:r>
      <w:r w:rsidR="00057E61" w:rsidRPr="00C032D6">
        <w:rPr>
          <w:rFonts w:asciiTheme="majorBidi" w:hAnsiTheme="majorBidi" w:cstheme="majorBidi"/>
          <w:lang w:val="fr-FR"/>
        </w:rPr>
        <w:t>IE</w:t>
      </w:r>
    </w:p>
    <w:p w14:paraId="2504FCC5" w14:textId="77777777" w:rsidR="00B43EE1" w:rsidRPr="00C032D6" w:rsidRDefault="00B43EE1" w:rsidP="00B43EE1">
      <w:pPr>
        <w:pStyle w:val="MTOC2"/>
        <w:rPr>
          <w:rFonts w:asciiTheme="majorBidi" w:hAnsiTheme="majorBidi" w:cstheme="majorBidi"/>
          <w:lang w:val="fr-FR"/>
        </w:rPr>
      </w:pPr>
    </w:p>
    <w:p w14:paraId="4B61E603" w14:textId="65E6FBAF" w:rsidR="00B43EE1" w:rsidRPr="00C032D6" w:rsidRDefault="00442771" w:rsidP="00B43EE1">
      <w:pPr>
        <w:pStyle w:val="MTOC2"/>
        <w:rPr>
          <w:rFonts w:asciiTheme="majorBidi" w:hAnsiTheme="majorBidi" w:cstheme="majorBidi"/>
          <w:lang w:val="fr-FR"/>
        </w:rPr>
      </w:pPr>
      <w:r w:rsidRPr="00C032D6">
        <w:rPr>
          <w:rFonts w:asciiTheme="majorBidi" w:hAnsiTheme="majorBidi" w:cstheme="majorBidi"/>
          <w:lang w:val="fr-FR"/>
        </w:rPr>
        <w:t>Section 20</w:t>
      </w:r>
      <w:r w:rsidRPr="00C032D6">
        <w:rPr>
          <w:rFonts w:asciiTheme="majorBidi" w:hAnsiTheme="majorBidi" w:cstheme="majorBidi"/>
          <w:lang w:val="fr-FR"/>
        </w:rPr>
        <w:tab/>
      </w:r>
      <w:r w:rsidRPr="00C032D6">
        <w:rPr>
          <w:rFonts w:asciiTheme="majorBidi" w:hAnsiTheme="majorBidi" w:cstheme="majorBidi"/>
          <w:lang w:val="fr-FR"/>
        </w:rPr>
        <w:tab/>
      </w:r>
      <w:r w:rsidR="009E6950">
        <w:rPr>
          <w:rFonts w:asciiTheme="majorBidi" w:hAnsiTheme="majorBidi" w:cstheme="majorBidi"/>
          <w:lang w:val="fr-FR"/>
        </w:rPr>
        <w:t>5</w:t>
      </w:r>
    </w:p>
    <w:p w14:paraId="05C1CFC5" w14:textId="6710C3F2" w:rsidR="00B43EE1" w:rsidRPr="00C032D6" w:rsidRDefault="00442771" w:rsidP="00B43EE1">
      <w:pPr>
        <w:pStyle w:val="MTOC2"/>
        <w:rPr>
          <w:rFonts w:asciiTheme="majorBidi" w:hAnsiTheme="majorBidi" w:cstheme="majorBidi"/>
          <w:lang w:val="fr-FR"/>
        </w:rPr>
      </w:pPr>
      <w:r w:rsidRPr="00C032D6">
        <w:rPr>
          <w:rFonts w:asciiTheme="majorBidi" w:hAnsiTheme="majorBidi" w:cstheme="majorBidi"/>
          <w:lang w:val="fr-FR"/>
        </w:rPr>
        <w:t>Section 28</w:t>
      </w:r>
      <w:r w:rsidRPr="00C032D6">
        <w:rPr>
          <w:rFonts w:asciiTheme="majorBidi" w:hAnsiTheme="majorBidi" w:cstheme="majorBidi"/>
          <w:lang w:val="fr-FR"/>
        </w:rPr>
        <w:tab/>
      </w:r>
      <w:r w:rsidRPr="00C032D6">
        <w:rPr>
          <w:rFonts w:asciiTheme="majorBidi" w:hAnsiTheme="majorBidi" w:cstheme="majorBidi"/>
          <w:lang w:val="fr-FR"/>
        </w:rPr>
        <w:tab/>
      </w:r>
      <w:r w:rsidR="009E6950">
        <w:rPr>
          <w:rFonts w:asciiTheme="majorBidi" w:hAnsiTheme="majorBidi" w:cstheme="majorBidi"/>
          <w:lang w:val="fr-FR"/>
        </w:rPr>
        <w:t>10</w:t>
      </w:r>
    </w:p>
    <w:p w14:paraId="774C6166" w14:textId="77777777" w:rsidR="00B43EE1" w:rsidRPr="00C032D6" w:rsidRDefault="00B43EE1" w:rsidP="00B43EE1">
      <w:pPr>
        <w:pStyle w:val="MTOC2"/>
        <w:rPr>
          <w:rFonts w:asciiTheme="majorBidi" w:hAnsiTheme="majorBidi" w:cstheme="majorBidi"/>
          <w:lang w:val="fr-FR"/>
        </w:rPr>
      </w:pPr>
    </w:p>
    <w:p w14:paraId="48418608" w14:textId="19C05AF9" w:rsidR="00B43EE1" w:rsidRPr="00C032D6" w:rsidRDefault="00B43EE1" w:rsidP="00B43EE1">
      <w:pPr>
        <w:pStyle w:val="MTOC1"/>
        <w:rPr>
          <w:rFonts w:asciiTheme="majorBidi" w:hAnsiTheme="majorBidi" w:cstheme="majorBidi"/>
          <w:lang w:val="fr-FR"/>
        </w:rPr>
      </w:pPr>
      <w:r w:rsidRPr="00C032D6">
        <w:rPr>
          <w:rFonts w:asciiTheme="majorBidi" w:hAnsiTheme="majorBidi" w:cstheme="majorBidi"/>
          <w:lang w:val="fr-FR"/>
        </w:rPr>
        <w:t>AMEND</w:t>
      </w:r>
      <w:r w:rsidR="0026656F" w:rsidRPr="00C032D6">
        <w:rPr>
          <w:rFonts w:asciiTheme="majorBidi" w:hAnsiTheme="majorBidi" w:cstheme="majorBidi"/>
          <w:lang w:val="fr-FR"/>
        </w:rPr>
        <w:t>E</w:t>
      </w:r>
      <w:r w:rsidRPr="00C032D6">
        <w:rPr>
          <w:rFonts w:asciiTheme="majorBidi" w:hAnsiTheme="majorBidi" w:cstheme="majorBidi"/>
          <w:lang w:val="fr-FR"/>
        </w:rPr>
        <w:t xml:space="preserve">MENTS </w:t>
      </w:r>
      <w:r w:rsidR="00057E61" w:rsidRPr="00C032D6">
        <w:rPr>
          <w:rFonts w:asciiTheme="majorBidi" w:hAnsiTheme="majorBidi" w:cstheme="majorBidi"/>
          <w:lang w:val="fr-FR"/>
        </w:rPr>
        <w:t>À LA TROISIÈME</w:t>
      </w:r>
      <w:r w:rsidRPr="00C032D6">
        <w:rPr>
          <w:rFonts w:asciiTheme="majorBidi" w:hAnsiTheme="majorBidi" w:cstheme="majorBidi"/>
          <w:lang w:val="fr-FR"/>
        </w:rPr>
        <w:t xml:space="preserve"> PART</w:t>
      </w:r>
      <w:r w:rsidR="00057E61" w:rsidRPr="00C032D6">
        <w:rPr>
          <w:rFonts w:asciiTheme="majorBidi" w:hAnsiTheme="majorBidi" w:cstheme="majorBidi"/>
          <w:lang w:val="fr-FR"/>
        </w:rPr>
        <w:t>IE</w:t>
      </w:r>
    </w:p>
    <w:p w14:paraId="14BFC40A" w14:textId="77777777" w:rsidR="00B43EE1" w:rsidRPr="00C032D6" w:rsidRDefault="00B43EE1" w:rsidP="00B43EE1">
      <w:pPr>
        <w:pStyle w:val="MTOC2"/>
        <w:rPr>
          <w:rFonts w:asciiTheme="majorBidi" w:hAnsiTheme="majorBidi" w:cstheme="majorBidi"/>
          <w:lang w:val="fr-FR"/>
        </w:rPr>
      </w:pPr>
    </w:p>
    <w:p w14:paraId="1BD07306" w14:textId="0763AFD2" w:rsidR="00B43EE1" w:rsidRPr="00C032D6" w:rsidRDefault="00C72BBA" w:rsidP="00B43EE1">
      <w:pPr>
        <w:pStyle w:val="MTOC2"/>
        <w:rPr>
          <w:rFonts w:asciiTheme="majorBidi" w:hAnsiTheme="majorBidi" w:cstheme="majorBidi"/>
          <w:lang w:val="fr-FR"/>
        </w:rPr>
      </w:pPr>
      <w:r w:rsidRPr="00C032D6">
        <w:rPr>
          <w:rFonts w:asciiTheme="majorBidi" w:hAnsiTheme="majorBidi" w:cstheme="majorBidi"/>
          <w:lang w:val="fr-FR"/>
        </w:rPr>
        <w:t>Section 33</w:t>
      </w:r>
      <w:r w:rsidRPr="00C032D6">
        <w:rPr>
          <w:rFonts w:asciiTheme="majorBidi" w:hAnsiTheme="majorBidi" w:cstheme="majorBidi"/>
          <w:lang w:val="fr-FR"/>
        </w:rPr>
        <w:tab/>
      </w:r>
      <w:r w:rsidRPr="00C032D6">
        <w:rPr>
          <w:rFonts w:asciiTheme="majorBidi" w:hAnsiTheme="majorBidi" w:cstheme="majorBidi"/>
          <w:lang w:val="fr-FR"/>
        </w:rPr>
        <w:tab/>
        <w:t>3</w:t>
      </w:r>
      <w:r w:rsidR="00A17E4D">
        <w:rPr>
          <w:rFonts w:asciiTheme="majorBidi" w:hAnsiTheme="majorBidi" w:cstheme="majorBidi"/>
          <w:lang w:val="fr-FR"/>
        </w:rPr>
        <w:t>4</w:t>
      </w:r>
    </w:p>
    <w:p w14:paraId="26D97A48" w14:textId="01793B13" w:rsidR="00B43EE1" w:rsidRPr="00C032D6" w:rsidRDefault="00C72BBA" w:rsidP="00B43EE1">
      <w:pPr>
        <w:pStyle w:val="MTOC2"/>
        <w:rPr>
          <w:rFonts w:asciiTheme="majorBidi" w:hAnsiTheme="majorBidi" w:cstheme="majorBidi"/>
          <w:lang w:val="fr-FR"/>
        </w:rPr>
      </w:pPr>
      <w:r w:rsidRPr="00C032D6">
        <w:rPr>
          <w:rFonts w:asciiTheme="majorBidi" w:hAnsiTheme="majorBidi" w:cstheme="majorBidi"/>
          <w:lang w:val="fr-FR"/>
        </w:rPr>
        <w:t>Section 34</w:t>
      </w:r>
      <w:r w:rsidRPr="00C032D6">
        <w:rPr>
          <w:rFonts w:asciiTheme="majorBidi" w:hAnsiTheme="majorBidi" w:cstheme="majorBidi"/>
          <w:lang w:val="fr-FR"/>
        </w:rPr>
        <w:tab/>
      </w:r>
      <w:r w:rsidRPr="00C032D6">
        <w:rPr>
          <w:rFonts w:asciiTheme="majorBidi" w:hAnsiTheme="majorBidi" w:cstheme="majorBidi"/>
          <w:lang w:val="fr-FR"/>
        </w:rPr>
        <w:tab/>
        <w:t>3</w:t>
      </w:r>
      <w:r w:rsidR="00A17E4D">
        <w:rPr>
          <w:rFonts w:asciiTheme="majorBidi" w:hAnsiTheme="majorBidi" w:cstheme="majorBidi"/>
          <w:lang w:val="fr-FR"/>
        </w:rPr>
        <w:t>4</w:t>
      </w:r>
    </w:p>
    <w:p w14:paraId="0034F27A" w14:textId="6BA97106" w:rsidR="00B43EE1" w:rsidRPr="00C032D6" w:rsidRDefault="00C72BBA" w:rsidP="00B43EE1">
      <w:pPr>
        <w:pStyle w:val="MTOC2"/>
        <w:rPr>
          <w:rFonts w:asciiTheme="majorBidi" w:hAnsiTheme="majorBidi" w:cstheme="majorBidi"/>
          <w:lang w:val="fr-FR"/>
        </w:rPr>
      </w:pPr>
      <w:r w:rsidRPr="00C032D6">
        <w:rPr>
          <w:rFonts w:asciiTheme="majorBidi" w:hAnsiTheme="majorBidi" w:cstheme="majorBidi"/>
          <w:lang w:val="fr-FR"/>
        </w:rPr>
        <w:t>Section 37</w:t>
      </w:r>
      <w:r w:rsidRPr="00C032D6">
        <w:rPr>
          <w:rFonts w:asciiTheme="majorBidi" w:hAnsiTheme="majorBidi" w:cstheme="majorBidi"/>
          <w:lang w:val="fr-FR"/>
        </w:rPr>
        <w:tab/>
      </w:r>
      <w:r w:rsidRPr="00C032D6">
        <w:rPr>
          <w:rFonts w:asciiTheme="majorBidi" w:hAnsiTheme="majorBidi" w:cstheme="majorBidi"/>
          <w:lang w:val="fr-FR"/>
        </w:rPr>
        <w:tab/>
        <w:t>3</w:t>
      </w:r>
      <w:r w:rsidR="00A17E4D">
        <w:rPr>
          <w:rFonts w:asciiTheme="majorBidi" w:hAnsiTheme="majorBidi" w:cstheme="majorBidi"/>
          <w:lang w:val="fr-FR"/>
        </w:rPr>
        <w:t>4</w:t>
      </w:r>
    </w:p>
    <w:p w14:paraId="0A46EF64" w14:textId="6A23ED87" w:rsidR="00B43EE1" w:rsidRPr="00C032D6" w:rsidRDefault="00C72BBA" w:rsidP="00B43EE1">
      <w:pPr>
        <w:pStyle w:val="MTOC2"/>
        <w:rPr>
          <w:rFonts w:asciiTheme="majorBidi" w:hAnsiTheme="majorBidi" w:cstheme="majorBidi"/>
          <w:lang w:val="fr-FR"/>
        </w:rPr>
      </w:pPr>
      <w:r w:rsidRPr="00C032D6">
        <w:rPr>
          <w:rFonts w:asciiTheme="majorBidi" w:hAnsiTheme="majorBidi" w:cstheme="majorBidi"/>
          <w:lang w:val="fr-FR"/>
        </w:rPr>
        <w:t>Section 38</w:t>
      </w:r>
      <w:r w:rsidRPr="00C032D6">
        <w:rPr>
          <w:rFonts w:asciiTheme="majorBidi" w:hAnsiTheme="majorBidi" w:cstheme="majorBidi"/>
          <w:lang w:val="fr-FR"/>
        </w:rPr>
        <w:tab/>
      </w:r>
      <w:r w:rsidRPr="00C032D6">
        <w:rPr>
          <w:rFonts w:asciiTheme="majorBidi" w:hAnsiTheme="majorBidi" w:cstheme="majorBidi"/>
          <w:lang w:val="fr-FR"/>
        </w:rPr>
        <w:tab/>
        <w:t>3</w:t>
      </w:r>
      <w:r w:rsidR="00A17E4D">
        <w:rPr>
          <w:rFonts w:asciiTheme="majorBidi" w:hAnsiTheme="majorBidi" w:cstheme="majorBidi"/>
          <w:lang w:val="fr-FR"/>
        </w:rPr>
        <w:t>5</w:t>
      </w:r>
    </w:p>
    <w:p w14:paraId="5E5A843A" w14:textId="77777777" w:rsidR="00B43EE1" w:rsidRPr="00C032D6" w:rsidRDefault="00B43EE1" w:rsidP="00B43EE1">
      <w:pPr>
        <w:pStyle w:val="MTOC2"/>
        <w:rPr>
          <w:rFonts w:asciiTheme="majorBidi" w:hAnsiTheme="majorBidi" w:cstheme="majorBidi"/>
          <w:lang w:val="fr-FR"/>
        </w:rPr>
      </w:pPr>
    </w:p>
    <w:p w14:paraId="518F966D" w14:textId="2F9D285A" w:rsidR="00B43EE1" w:rsidRPr="00C032D6" w:rsidRDefault="00B43EE1" w:rsidP="00B43EE1">
      <w:pPr>
        <w:pStyle w:val="MTOC1"/>
        <w:rPr>
          <w:rFonts w:asciiTheme="majorBidi" w:hAnsiTheme="majorBidi" w:cstheme="majorBidi"/>
          <w:lang w:val="fr-FR"/>
        </w:rPr>
      </w:pPr>
      <w:r w:rsidRPr="00C032D6">
        <w:rPr>
          <w:rFonts w:asciiTheme="majorBidi" w:hAnsiTheme="majorBidi" w:cstheme="majorBidi"/>
          <w:lang w:val="fr-FR"/>
        </w:rPr>
        <w:t>AMEND</w:t>
      </w:r>
      <w:r w:rsidR="0026656F" w:rsidRPr="00C032D6">
        <w:rPr>
          <w:rFonts w:asciiTheme="majorBidi" w:hAnsiTheme="majorBidi" w:cstheme="majorBidi"/>
          <w:lang w:val="fr-FR"/>
        </w:rPr>
        <w:t>E</w:t>
      </w:r>
      <w:r w:rsidRPr="00C032D6">
        <w:rPr>
          <w:rFonts w:asciiTheme="majorBidi" w:hAnsiTheme="majorBidi" w:cstheme="majorBidi"/>
          <w:lang w:val="fr-FR"/>
        </w:rPr>
        <w:t xml:space="preserve">MENTS </w:t>
      </w:r>
      <w:r w:rsidR="00057E61" w:rsidRPr="00C032D6">
        <w:rPr>
          <w:rFonts w:asciiTheme="majorBidi" w:hAnsiTheme="majorBidi" w:cstheme="majorBidi"/>
          <w:lang w:val="fr-FR"/>
        </w:rPr>
        <w:t xml:space="preserve">À LA QUATRIÈME </w:t>
      </w:r>
      <w:r w:rsidRPr="00C032D6">
        <w:rPr>
          <w:rFonts w:asciiTheme="majorBidi" w:hAnsiTheme="majorBidi" w:cstheme="majorBidi"/>
          <w:lang w:val="fr-FR"/>
        </w:rPr>
        <w:t>PART</w:t>
      </w:r>
      <w:r w:rsidR="00057E61" w:rsidRPr="00C032D6">
        <w:rPr>
          <w:rFonts w:asciiTheme="majorBidi" w:hAnsiTheme="majorBidi" w:cstheme="majorBidi"/>
          <w:lang w:val="fr-FR"/>
        </w:rPr>
        <w:t>IE</w:t>
      </w:r>
    </w:p>
    <w:p w14:paraId="0C8ABDB3" w14:textId="77777777" w:rsidR="00B43EE1" w:rsidRPr="00C032D6" w:rsidRDefault="00B43EE1" w:rsidP="00B43EE1">
      <w:pPr>
        <w:pStyle w:val="MTOC2"/>
        <w:rPr>
          <w:rFonts w:asciiTheme="majorBidi" w:hAnsiTheme="majorBidi" w:cstheme="majorBidi"/>
          <w:lang w:val="fr-FR"/>
        </w:rPr>
      </w:pPr>
    </w:p>
    <w:p w14:paraId="419C374C" w14:textId="0FF9D606" w:rsidR="00B43EE1" w:rsidRPr="00C032D6" w:rsidRDefault="00C72BBA" w:rsidP="00B43EE1">
      <w:pPr>
        <w:pStyle w:val="MTOC2"/>
        <w:rPr>
          <w:rFonts w:asciiTheme="majorBidi" w:hAnsiTheme="majorBidi" w:cstheme="majorBidi"/>
          <w:lang w:val="fr-FR"/>
        </w:rPr>
      </w:pPr>
      <w:r w:rsidRPr="00C032D6">
        <w:rPr>
          <w:rFonts w:asciiTheme="majorBidi" w:hAnsiTheme="majorBidi" w:cstheme="majorBidi"/>
          <w:lang w:val="fr-FR"/>
        </w:rPr>
        <w:t>Section 41</w:t>
      </w:r>
      <w:r w:rsidRPr="00C032D6">
        <w:rPr>
          <w:rFonts w:asciiTheme="majorBidi" w:hAnsiTheme="majorBidi" w:cstheme="majorBidi"/>
          <w:lang w:val="fr-FR"/>
        </w:rPr>
        <w:tab/>
      </w:r>
      <w:r w:rsidRPr="00C032D6">
        <w:rPr>
          <w:rFonts w:asciiTheme="majorBidi" w:hAnsiTheme="majorBidi" w:cstheme="majorBidi"/>
          <w:lang w:val="fr-FR"/>
        </w:rPr>
        <w:tab/>
        <w:t>3</w:t>
      </w:r>
      <w:r w:rsidR="00A17E4D">
        <w:rPr>
          <w:rFonts w:asciiTheme="majorBidi" w:hAnsiTheme="majorBidi" w:cstheme="majorBidi"/>
          <w:lang w:val="fr-FR"/>
        </w:rPr>
        <w:t>5</w:t>
      </w:r>
    </w:p>
    <w:p w14:paraId="21022C16" w14:textId="77777777" w:rsidR="00B43EE1" w:rsidRPr="00C032D6" w:rsidRDefault="00B43EE1" w:rsidP="00B43EE1">
      <w:pPr>
        <w:pStyle w:val="MTOC2"/>
        <w:rPr>
          <w:rFonts w:asciiTheme="majorBidi" w:hAnsiTheme="majorBidi" w:cstheme="majorBidi"/>
          <w:lang w:val="fr-FR"/>
        </w:rPr>
      </w:pPr>
    </w:p>
    <w:p w14:paraId="6B621AC9" w14:textId="701911F9" w:rsidR="00B43EE1" w:rsidRPr="00C032D6" w:rsidRDefault="00B43EE1" w:rsidP="00B43EE1">
      <w:pPr>
        <w:pStyle w:val="MTOC1"/>
        <w:rPr>
          <w:rFonts w:asciiTheme="majorBidi" w:hAnsiTheme="majorBidi" w:cstheme="majorBidi"/>
          <w:lang w:val="fr-FR"/>
        </w:rPr>
      </w:pPr>
      <w:r w:rsidRPr="00C032D6">
        <w:rPr>
          <w:rFonts w:asciiTheme="majorBidi" w:hAnsiTheme="majorBidi" w:cstheme="majorBidi"/>
          <w:lang w:val="fr-FR"/>
        </w:rPr>
        <w:t>AMEND</w:t>
      </w:r>
      <w:r w:rsidR="0026656F" w:rsidRPr="00C032D6">
        <w:rPr>
          <w:rFonts w:asciiTheme="majorBidi" w:hAnsiTheme="majorBidi" w:cstheme="majorBidi"/>
          <w:lang w:val="fr-FR"/>
        </w:rPr>
        <w:t>E</w:t>
      </w:r>
      <w:r w:rsidRPr="00C032D6">
        <w:rPr>
          <w:rFonts w:asciiTheme="majorBidi" w:hAnsiTheme="majorBidi" w:cstheme="majorBidi"/>
          <w:lang w:val="fr-FR"/>
        </w:rPr>
        <w:t xml:space="preserve">MENTS </w:t>
      </w:r>
      <w:r w:rsidR="00057E61" w:rsidRPr="00C032D6">
        <w:rPr>
          <w:rFonts w:asciiTheme="majorBidi" w:hAnsiTheme="majorBidi" w:cstheme="majorBidi"/>
          <w:lang w:val="fr-FR"/>
        </w:rPr>
        <w:t>À LA</w:t>
      </w:r>
      <w:r w:rsidR="003F6D97" w:rsidRPr="00C032D6">
        <w:rPr>
          <w:rFonts w:asciiTheme="majorBidi" w:hAnsiTheme="majorBidi" w:cstheme="majorBidi"/>
          <w:lang w:val="fr-FR"/>
        </w:rPr>
        <w:t xml:space="preserve"> </w:t>
      </w:r>
      <w:r w:rsidR="00057E61" w:rsidRPr="00C032D6">
        <w:rPr>
          <w:rFonts w:asciiTheme="majorBidi" w:hAnsiTheme="majorBidi" w:cstheme="majorBidi"/>
          <w:lang w:val="fr-FR"/>
        </w:rPr>
        <w:t>CINQUI</w:t>
      </w:r>
      <w:r w:rsidR="00903925" w:rsidRPr="00C032D6">
        <w:rPr>
          <w:rFonts w:asciiTheme="majorBidi" w:hAnsiTheme="majorBidi" w:cstheme="majorBidi"/>
          <w:lang w:val="fr-FR"/>
        </w:rPr>
        <w:t>È</w:t>
      </w:r>
      <w:r w:rsidR="00057E61" w:rsidRPr="00C032D6">
        <w:rPr>
          <w:rFonts w:asciiTheme="majorBidi" w:hAnsiTheme="majorBidi" w:cstheme="majorBidi"/>
          <w:lang w:val="fr-FR"/>
        </w:rPr>
        <w:t xml:space="preserve">ME </w:t>
      </w:r>
      <w:r w:rsidRPr="00C032D6">
        <w:rPr>
          <w:rFonts w:asciiTheme="majorBidi" w:hAnsiTheme="majorBidi" w:cstheme="majorBidi"/>
          <w:lang w:val="fr-FR"/>
        </w:rPr>
        <w:t>PAR</w:t>
      </w:r>
      <w:r w:rsidR="00057E61" w:rsidRPr="00C032D6">
        <w:rPr>
          <w:rFonts w:asciiTheme="majorBidi" w:hAnsiTheme="majorBidi" w:cstheme="majorBidi"/>
          <w:lang w:val="fr-FR"/>
        </w:rPr>
        <w:t>TIE</w:t>
      </w:r>
    </w:p>
    <w:p w14:paraId="2DAA8635" w14:textId="77777777" w:rsidR="00B43EE1" w:rsidRPr="00C032D6" w:rsidRDefault="00B43EE1" w:rsidP="00B43EE1">
      <w:pPr>
        <w:pStyle w:val="MTOC2"/>
        <w:rPr>
          <w:rFonts w:asciiTheme="majorBidi" w:hAnsiTheme="majorBidi" w:cstheme="majorBidi"/>
          <w:lang w:val="fr-FR"/>
        </w:rPr>
      </w:pPr>
    </w:p>
    <w:p w14:paraId="01EB7C65" w14:textId="1E54FE4A" w:rsidR="00B43EE1" w:rsidRPr="00C032D6" w:rsidRDefault="00C72BBA" w:rsidP="00B43EE1">
      <w:pPr>
        <w:pStyle w:val="MTOC2"/>
        <w:rPr>
          <w:rFonts w:asciiTheme="majorBidi" w:hAnsiTheme="majorBidi" w:cstheme="majorBidi"/>
          <w:lang w:val="fr-FR"/>
        </w:rPr>
      </w:pPr>
      <w:r w:rsidRPr="00C032D6">
        <w:rPr>
          <w:rFonts w:asciiTheme="majorBidi" w:hAnsiTheme="majorBidi" w:cstheme="majorBidi"/>
          <w:lang w:val="fr-FR"/>
        </w:rPr>
        <w:t>Section 51</w:t>
      </w:r>
      <w:r w:rsidRPr="00C032D6">
        <w:rPr>
          <w:rFonts w:asciiTheme="majorBidi" w:hAnsiTheme="majorBidi" w:cstheme="majorBidi"/>
          <w:lang w:val="fr-FR"/>
        </w:rPr>
        <w:tab/>
      </w:r>
      <w:r w:rsidRPr="00C032D6">
        <w:rPr>
          <w:rFonts w:asciiTheme="majorBidi" w:hAnsiTheme="majorBidi" w:cstheme="majorBidi"/>
          <w:lang w:val="fr-FR"/>
        </w:rPr>
        <w:tab/>
        <w:t>3</w:t>
      </w:r>
      <w:r w:rsidR="00A17E4D">
        <w:rPr>
          <w:rFonts w:asciiTheme="majorBidi" w:hAnsiTheme="majorBidi" w:cstheme="majorBidi"/>
          <w:lang w:val="fr-FR"/>
        </w:rPr>
        <w:t>5</w:t>
      </w:r>
    </w:p>
    <w:p w14:paraId="2836BC75" w14:textId="77777777" w:rsidR="00A37A6E" w:rsidRPr="00BD0F6A" w:rsidRDefault="00A37A6E" w:rsidP="00A37A6E">
      <w:pPr>
        <w:widowControl/>
        <w:tabs>
          <w:tab w:val="left" w:pos="-720"/>
          <w:tab w:val="left" w:pos="0"/>
          <w:tab w:val="left" w:pos="487"/>
          <w:tab w:val="left" w:pos="974"/>
          <w:tab w:val="left" w:pos="1461"/>
          <w:tab w:val="left" w:pos="1948"/>
          <w:tab w:val="left" w:pos="2366"/>
          <w:tab w:val="right" w:leader="dot" w:pos="8818"/>
          <w:tab w:val="center" w:pos="9360"/>
        </w:tabs>
        <w:ind w:left="1461" w:hanging="1461"/>
        <w:rPr>
          <w:szCs w:val="22"/>
          <w:lang w:val="fr-FR"/>
        </w:rPr>
      </w:pPr>
    </w:p>
    <w:p w14:paraId="56E8A2F4" w14:textId="77777777" w:rsidR="00A37A6E" w:rsidRPr="00BD0F6A" w:rsidRDefault="00A37A6E" w:rsidP="00A37A6E">
      <w:pPr>
        <w:widowControl/>
        <w:tabs>
          <w:tab w:val="left" w:pos="-720"/>
          <w:tab w:val="left" w:pos="0"/>
          <w:tab w:val="left" w:pos="487"/>
          <w:tab w:val="left" w:pos="974"/>
          <w:tab w:val="left" w:pos="1461"/>
          <w:tab w:val="left" w:pos="1948"/>
          <w:tab w:val="left" w:pos="2366"/>
          <w:tab w:val="right" w:leader="dot" w:pos="8818"/>
          <w:tab w:val="center" w:pos="9360"/>
        </w:tabs>
        <w:ind w:left="1461" w:hanging="1461"/>
        <w:rPr>
          <w:szCs w:val="22"/>
          <w:lang w:val="fr-FR"/>
        </w:rPr>
        <w:sectPr w:rsidR="00A37A6E" w:rsidRPr="00BD0F6A" w:rsidSect="00B871AD">
          <w:footnotePr>
            <w:numRestart w:val="eachPage"/>
          </w:footnotePr>
          <w:endnotePr>
            <w:numFmt w:val="decimal"/>
          </w:endnotePr>
          <w:type w:val="oddPage"/>
          <w:pgSz w:w="11906" w:h="16838" w:code="9"/>
          <w:pgMar w:top="1134" w:right="1134" w:bottom="1134" w:left="1134" w:header="851" w:footer="851" w:gutter="0"/>
          <w:pgNumType w:fmt="lowerRoman"/>
          <w:cols w:space="720"/>
          <w:noEndnote/>
        </w:sectPr>
      </w:pPr>
    </w:p>
    <w:p w14:paraId="12E00209" w14:textId="49DE30AF" w:rsidR="00CB22AA" w:rsidRPr="00DC42BF" w:rsidRDefault="00CB22AA" w:rsidP="00DC42BF">
      <w:pPr>
        <w:pStyle w:val="Man2Head"/>
        <w:rPr>
          <w:sz w:val="24"/>
          <w:szCs w:val="24"/>
        </w:rPr>
      </w:pPr>
      <w:r w:rsidRPr="00DC42BF">
        <w:rPr>
          <w:sz w:val="24"/>
          <w:szCs w:val="24"/>
        </w:rPr>
        <w:lastRenderedPageBreak/>
        <w:t>Section 10</w:t>
      </w:r>
    </w:p>
    <w:p w14:paraId="36BABE5B" w14:textId="77777777" w:rsidR="00CB22AA" w:rsidRPr="00491BD9" w:rsidRDefault="00CB22AA" w:rsidP="00DC42BF">
      <w:pPr>
        <w:pStyle w:val="MBodyTxt"/>
        <w:ind w:left="1418" w:hanging="1418"/>
        <w:rPr>
          <w:lang w:val="fr-FR"/>
        </w:rPr>
      </w:pPr>
      <w:r w:rsidRPr="00491BD9">
        <w:rPr>
          <w:lang w:val="fr-FR"/>
        </w:rPr>
        <w:t>10.1.2</w:t>
      </w:r>
      <w:r w:rsidRPr="00491BD9">
        <w:rPr>
          <w:lang w:val="fr-FR"/>
        </w:rPr>
        <w:tab/>
        <w:t>Modifier pour lire comme suit :</w:t>
      </w:r>
    </w:p>
    <w:p w14:paraId="35256D8B" w14:textId="77777777" w:rsidR="00CB22AA" w:rsidRPr="00491BD9" w:rsidRDefault="00CB22AA" w:rsidP="00DC42BF">
      <w:pPr>
        <w:pStyle w:val="MBodyTxt"/>
        <w:rPr>
          <w:lang w:val="fr-FR"/>
        </w:rPr>
      </w:pPr>
      <w:r w:rsidRPr="00491BD9">
        <w:rPr>
          <w:lang w:val="fr-FR"/>
        </w:rPr>
        <w:t>« 10.1.2</w:t>
      </w:r>
      <w:r w:rsidRPr="00491BD9">
        <w:rPr>
          <w:lang w:val="fr-FR"/>
        </w:rPr>
        <w:tab/>
        <w:t xml:space="preserve">La classe de danger des matières et objets explosibles du SGH couvre tous les secteurs. La classe 1 du Règlement type est une subdivision de cette classe et porte sur les matières et objets explosibles configurés pour le transport. </w:t>
      </w:r>
    </w:p>
    <w:p w14:paraId="77E84815" w14:textId="0A021F92" w:rsidR="00CB22AA" w:rsidRPr="00491BD9" w:rsidRDefault="00CC2607" w:rsidP="00DC42BF">
      <w:pPr>
        <w:pStyle w:val="MBodyTxt"/>
        <w:rPr>
          <w:lang w:val="fr-FR"/>
        </w:rPr>
      </w:pPr>
      <w:r>
        <w:rPr>
          <w:lang w:val="fr-FR"/>
        </w:rPr>
        <w:tab/>
      </w:r>
      <w:r w:rsidR="00CB22AA" w:rsidRPr="00491BD9">
        <w:rPr>
          <w:lang w:val="fr-FR"/>
        </w:rPr>
        <w:t>Les marchandises de la classe 1 doivent être affectées à l’une des six divisions de danger en fonction de la nature du danger qu’elles présentent (voir le chapitre 2.1, par. 2.1.1.4 du Règlement type) et à l’un des 13 groupes de compatibilité auxquels sont affectés les matières et objets explosibles. La division, et au besoin le groupe de compatibilité, est également utilisée comme base pour la classification dans la classe de danger du SGH pour les matières et objets explosibles (voir sect. 2.1.2 du chapitre 2.1 du SGH). En outre, la classe de danger du SGH comprend également des matières et objets explosibles qui ne sont pas affectés à une division.</w:t>
      </w:r>
    </w:p>
    <w:p w14:paraId="25223E9F" w14:textId="0E81D93E" w:rsidR="00CB22AA" w:rsidRPr="00491BD9" w:rsidRDefault="00CC2607" w:rsidP="00DC42BF">
      <w:pPr>
        <w:pStyle w:val="MBodyTxt"/>
        <w:rPr>
          <w:lang w:val="fr-FR"/>
        </w:rPr>
      </w:pPr>
      <w:r>
        <w:rPr>
          <w:lang w:val="fr-FR"/>
        </w:rPr>
        <w:tab/>
      </w:r>
      <w:r w:rsidR="00CB22AA" w:rsidRPr="00491BD9">
        <w:rPr>
          <w:lang w:val="fr-FR"/>
        </w:rPr>
        <w:t>Les matières et objets explosibles qui ne sont pas affectés à une division sont interdits au transport. ».</w:t>
      </w:r>
    </w:p>
    <w:p w14:paraId="2DC9304E" w14:textId="5E1854E4" w:rsidR="00CB22AA" w:rsidRPr="00491BD9" w:rsidRDefault="00BC5A7F" w:rsidP="00BC5A7F">
      <w:pPr>
        <w:pStyle w:val="MBodyTxt"/>
        <w:ind w:left="1418" w:hanging="1418"/>
        <w:rPr>
          <w:lang w:val="fr-FR"/>
        </w:rPr>
      </w:pPr>
      <w:r>
        <w:rPr>
          <w:lang w:val="fr-FR"/>
        </w:rPr>
        <w:tab/>
      </w:r>
      <w:r w:rsidR="00CB22AA" w:rsidRPr="00491BD9">
        <w:rPr>
          <w:lang w:val="fr-FR"/>
        </w:rPr>
        <w:t>Le texte existant au 10.1.2, de « La procédure générale de classement… » jusqu’à la fin, est transféré en un nouveau 10.1.3</w:t>
      </w:r>
      <w:r w:rsidR="00CB22AA">
        <w:rPr>
          <w:lang w:val="fr-FR"/>
        </w:rPr>
        <w:t>.</w:t>
      </w:r>
    </w:p>
    <w:p w14:paraId="1A4EF24F" w14:textId="369A721B" w:rsidR="00CB22AA" w:rsidRPr="00491BD9" w:rsidRDefault="00BC5A7F" w:rsidP="00BC5A7F">
      <w:pPr>
        <w:pStyle w:val="MBodyTxt"/>
        <w:ind w:left="1418" w:hanging="1418"/>
        <w:rPr>
          <w:spacing w:val="-2"/>
          <w:lang w:val="fr-FR"/>
        </w:rPr>
      </w:pPr>
      <w:r>
        <w:rPr>
          <w:spacing w:val="-2"/>
          <w:lang w:val="fr-FR"/>
        </w:rPr>
        <w:tab/>
      </w:r>
      <w:r w:rsidR="00CB22AA" w:rsidRPr="00491BD9">
        <w:rPr>
          <w:spacing w:val="-2"/>
          <w:lang w:val="fr-FR"/>
        </w:rPr>
        <w:t xml:space="preserve">Renuméroter </w:t>
      </w:r>
      <w:r w:rsidR="00CB22AA">
        <w:rPr>
          <w:spacing w:val="-2"/>
          <w:lang w:val="fr-FR"/>
        </w:rPr>
        <w:t xml:space="preserve">les </w:t>
      </w:r>
      <w:r w:rsidR="00CB22AA" w:rsidRPr="00BC5A7F">
        <w:rPr>
          <w:lang w:val="fr-FR"/>
        </w:rPr>
        <w:t>paragraphes</w:t>
      </w:r>
      <w:r w:rsidR="00CB22AA">
        <w:rPr>
          <w:spacing w:val="-2"/>
          <w:lang w:val="fr-FR"/>
        </w:rPr>
        <w:t xml:space="preserve"> 10.1.3 et 10.14 </w:t>
      </w:r>
      <w:r w:rsidR="00CB22AA" w:rsidRPr="00491BD9">
        <w:rPr>
          <w:spacing w:val="-2"/>
          <w:lang w:val="fr-FR"/>
        </w:rPr>
        <w:t>en tant que 10.1.4</w:t>
      </w:r>
      <w:r w:rsidR="00CB22AA" w:rsidRPr="00491BD9" w:rsidDel="008723B0">
        <w:rPr>
          <w:lang w:val="fr-FR"/>
        </w:rPr>
        <w:t xml:space="preserve"> </w:t>
      </w:r>
      <w:r w:rsidR="00CB22AA">
        <w:rPr>
          <w:spacing w:val="-2"/>
          <w:lang w:val="fr-FR"/>
        </w:rPr>
        <w:t>et 10.15.</w:t>
      </w:r>
    </w:p>
    <w:p w14:paraId="61B28F99" w14:textId="77777777" w:rsidR="00CB22AA" w:rsidRPr="00491BD9" w:rsidRDefault="00CB22AA" w:rsidP="00BC5A7F">
      <w:pPr>
        <w:pStyle w:val="MBodyTxt"/>
        <w:ind w:left="1418" w:hanging="1418"/>
        <w:rPr>
          <w:spacing w:val="-2"/>
          <w:lang w:val="fr-FR"/>
        </w:rPr>
      </w:pPr>
      <w:r w:rsidRPr="00491BD9">
        <w:rPr>
          <w:spacing w:val="-2"/>
          <w:lang w:val="fr-FR"/>
        </w:rPr>
        <w:t>10.1.</w:t>
      </w:r>
      <w:r>
        <w:rPr>
          <w:spacing w:val="-2"/>
          <w:lang w:val="fr-FR"/>
        </w:rPr>
        <w:t>4 (renuméroté)</w:t>
      </w:r>
      <w:r w:rsidRPr="00491BD9">
        <w:rPr>
          <w:spacing w:val="-2"/>
          <w:lang w:val="fr-FR"/>
        </w:rPr>
        <w:tab/>
      </w:r>
      <w:r w:rsidRPr="00BC5A7F">
        <w:rPr>
          <w:lang w:val="fr-FR"/>
        </w:rPr>
        <w:t>Dans</w:t>
      </w:r>
      <w:r w:rsidRPr="00491BD9">
        <w:rPr>
          <w:spacing w:val="-2"/>
          <w:lang w:val="fr-FR"/>
        </w:rPr>
        <w:t xml:space="preserve"> la première phrase, remplacer « présentés au transport » par « configurés pour le transport ». Dans la dernière phrase, remplacer « pour le transport » par « dans la configuration de transport ».</w:t>
      </w:r>
    </w:p>
    <w:p w14:paraId="1A3BC4B0" w14:textId="77777777" w:rsidR="00CB22AA" w:rsidRPr="00491BD9" w:rsidRDefault="00CB22AA" w:rsidP="00BC5A7F">
      <w:pPr>
        <w:pStyle w:val="MBodyTxt"/>
        <w:ind w:left="1418" w:hanging="1418"/>
        <w:rPr>
          <w:lang w:val="fr-FR"/>
        </w:rPr>
      </w:pPr>
      <w:r w:rsidRPr="00491BD9">
        <w:rPr>
          <w:lang w:val="fr-FR"/>
        </w:rPr>
        <w:t>10.3.1.1</w:t>
      </w:r>
      <w:r w:rsidRPr="00491BD9">
        <w:rPr>
          <w:lang w:val="fr-FR"/>
        </w:rPr>
        <w:tab/>
        <w:t>Modifier pour lire comme suit :</w:t>
      </w:r>
    </w:p>
    <w:p w14:paraId="01F56131" w14:textId="77777777" w:rsidR="00CB22AA" w:rsidRPr="00491BD9" w:rsidRDefault="00CB22AA" w:rsidP="00DC42BF">
      <w:pPr>
        <w:pStyle w:val="MBodyTxt"/>
        <w:rPr>
          <w:lang w:val="fr-FR"/>
        </w:rPr>
      </w:pPr>
      <w:r w:rsidRPr="00491BD9">
        <w:rPr>
          <w:lang w:val="fr-FR"/>
        </w:rPr>
        <w:t>« 10.3.1.1</w:t>
      </w:r>
      <w:r w:rsidRPr="00491BD9">
        <w:rPr>
          <w:lang w:val="fr-FR"/>
        </w:rPr>
        <w:tab/>
        <w:t>La procédure d’acceptation vise à déterminer si une matière telle que présentée pour la classification est susceptible d’appartenir à la classe des matières et objets explosibles. À cette fin, on contrôle qu’une matière n’est pas trop insensible pour relever de cette classe ou est acceptée comme matière explosible mais est considérée comme trop sensible aux sollicitations mécaniques, à la chaleur ou à la flamme pour être affectée à une division ou si l’objet proprement dit ou l’objet emballé est accepté comme objet explosible mais considéré comme trop sensible aux chocs ou à la chaleur pour être affecté à une division. »</w:t>
      </w:r>
    </w:p>
    <w:p w14:paraId="3D9E52B1" w14:textId="77777777" w:rsidR="00CB22AA" w:rsidRDefault="00CB22AA" w:rsidP="00BC5A7F">
      <w:pPr>
        <w:pStyle w:val="MBodyTxt"/>
        <w:ind w:left="1418" w:hanging="1418"/>
        <w:rPr>
          <w:lang w:val="fr-FR"/>
        </w:rPr>
      </w:pPr>
      <w:r w:rsidRPr="00491BD9">
        <w:rPr>
          <w:lang w:val="fr-FR"/>
        </w:rPr>
        <w:t>Figure 10.1</w:t>
      </w:r>
      <w:r w:rsidRPr="00491BD9">
        <w:rPr>
          <w:lang w:val="fr-FR"/>
        </w:rPr>
        <w:tab/>
      </w:r>
      <w:r>
        <w:rPr>
          <w:lang w:val="fr-FR"/>
        </w:rPr>
        <w:t>Modifier</w:t>
      </w:r>
      <w:r w:rsidRPr="00491BD9">
        <w:rPr>
          <w:lang w:val="fr-FR"/>
        </w:rPr>
        <w:t xml:space="preserve"> la case « CLASSER comme MATIÈRE OU OBJET EXPLOSIBLE INSTABLE »</w:t>
      </w:r>
      <w:r>
        <w:rPr>
          <w:lang w:val="fr-FR"/>
        </w:rPr>
        <w:t xml:space="preserve"> pour lire :</w:t>
      </w:r>
    </w:p>
    <w:p w14:paraId="7DD72B7D" w14:textId="77777777" w:rsidR="00CB22AA" w:rsidRPr="00491BD9" w:rsidRDefault="00CB22AA" w:rsidP="00BC5A7F">
      <w:pPr>
        <w:pStyle w:val="MBodyTxt"/>
        <w:jc w:val="center"/>
        <w:rPr>
          <w:lang w:val="fr-FR"/>
        </w:rPr>
      </w:pPr>
      <w:r>
        <w:rPr>
          <w:lang w:val="fr-FR"/>
        </w:rPr>
        <w:t>« </w:t>
      </w:r>
      <w:r w:rsidRPr="00491BD9">
        <w:rPr>
          <w:lang w:val="fr-FR"/>
        </w:rPr>
        <w:t>CLASSER COMME MATIÈRE OU OBJET EXPLOSIBLE</w:t>
      </w:r>
      <w:r>
        <w:rPr>
          <w:lang w:val="fr-FR"/>
        </w:rPr>
        <w:br/>
      </w:r>
      <w:r w:rsidRPr="00491BD9">
        <w:rPr>
          <w:lang w:val="fr-FR"/>
        </w:rPr>
        <w:t>Pas d’affectation à une division »</w:t>
      </w:r>
    </w:p>
    <w:p w14:paraId="42AC4D6D" w14:textId="77777777" w:rsidR="00CB22AA" w:rsidRPr="00491BD9" w:rsidRDefault="00CB22AA" w:rsidP="00BC5A7F">
      <w:pPr>
        <w:pStyle w:val="MBodyTxt"/>
        <w:ind w:left="1418" w:hanging="1418"/>
        <w:rPr>
          <w:lang w:val="fr-FR"/>
        </w:rPr>
      </w:pPr>
      <w:r w:rsidRPr="00491BD9">
        <w:rPr>
          <w:lang w:val="fr-FR"/>
        </w:rPr>
        <w:t>Figure 10.2</w:t>
      </w:r>
      <w:r w:rsidRPr="00491BD9">
        <w:rPr>
          <w:lang w:val="fr-FR"/>
        </w:rPr>
        <w:tab/>
        <w:t>Modifier le texte dans la case 13 pour lire : « Est-elle trop sensible pour être affectée à une division sous la forme éprouvée ? ».</w:t>
      </w:r>
    </w:p>
    <w:p w14:paraId="6723218B" w14:textId="6484C4DD" w:rsidR="00CB22AA" w:rsidRPr="00491BD9" w:rsidRDefault="00BC5A7F" w:rsidP="00BC5A7F">
      <w:pPr>
        <w:pStyle w:val="MBodyTxt"/>
        <w:ind w:left="1418" w:hanging="1418"/>
        <w:rPr>
          <w:lang w:val="fr-FR"/>
        </w:rPr>
      </w:pPr>
      <w:r>
        <w:rPr>
          <w:lang w:val="fr-FR"/>
        </w:rPr>
        <w:tab/>
      </w:r>
      <w:r w:rsidR="00CB22AA" w:rsidRPr="00491BD9">
        <w:rPr>
          <w:lang w:val="fr-FR"/>
        </w:rPr>
        <w:t>Modifier le texte dans la case 16 pour lire : « L’objet, l’objet emballé ou la matière emballée sont-ils trop sensibles pour être affectés à une division ? ».</w:t>
      </w:r>
    </w:p>
    <w:p w14:paraId="49CAAE42" w14:textId="495F3518" w:rsidR="00CB22AA" w:rsidRDefault="00BC5A7F" w:rsidP="00BC5A7F">
      <w:pPr>
        <w:pStyle w:val="MBodyTxt"/>
        <w:ind w:left="1418" w:hanging="1418"/>
        <w:rPr>
          <w:lang w:val="fr-FR"/>
        </w:rPr>
      </w:pPr>
      <w:r>
        <w:rPr>
          <w:lang w:val="fr-FR"/>
        </w:rPr>
        <w:tab/>
      </w:r>
      <w:r w:rsidR="00CB22AA" w:rsidRPr="00491BD9">
        <w:rPr>
          <w:lang w:val="fr-FR"/>
        </w:rPr>
        <w:t>Modifier le texte dans la case 17 pour lire :</w:t>
      </w:r>
    </w:p>
    <w:p w14:paraId="7F8BEEDE" w14:textId="77777777" w:rsidR="00CB22AA" w:rsidRPr="00491BD9" w:rsidRDefault="00CB22AA" w:rsidP="00BC5A7F">
      <w:pPr>
        <w:pStyle w:val="MBodyTxt"/>
        <w:jc w:val="center"/>
        <w:rPr>
          <w:lang w:val="fr-FR"/>
        </w:rPr>
      </w:pPr>
      <w:r w:rsidRPr="00491BD9">
        <w:rPr>
          <w:lang w:val="fr-FR"/>
        </w:rPr>
        <w:t>« CLASSER COMME MATIERE OU OBJET EXPLOSIBLE</w:t>
      </w:r>
      <w:r>
        <w:rPr>
          <w:lang w:val="fr-FR"/>
        </w:rPr>
        <w:br/>
      </w:r>
      <w:r w:rsidRPr="00491BD9">
        <w:rPr>
          <w:lang w:val="fr-FR"/>
        </w:rPr>
        <w:t>Pas d’affectation à une division »</w:t>
      </w:r>
    </w:p>
    <w:p w14:paraId="3657B322" w14:textId="686D6F99" w:rsidR="00CB22AA" w:rsidRPr="00491BD9" w:rsidRDefault="00BC5A7F" w:rsidP="00BC5A7F">
      <w:pPr>
        <w:pStyle w:val="MBodyTxt"/>
        <w:ind w:left="1418" w:hanging="1418"/>
        <w:rPr>
          <w:lang w:val="fr-FR"/>
        </w:rPr>
      </w:pPr>
      <w:r>
        <w:rPr>
          <w:lang w:val="fr-FR"/>
        </w:rPr>
        <w:tab/>
      </w:r>
      <w:r w:rsidR="00CB22AA" w:rsidRPr="00491BD9">
        <w:rPr>
          <w:lang w:val="fr-FR"/>
        </w:rPr>
        <w:t>Modifier le texte dans la case 19 pour lire : « ACCEPTER PROVISOIREMENT EN TANT QUE MATIERE OU OBJET EXPLOSIBLE (passer à la figure 10.3) ».</w:t>
      </w:r>
    </w:p>
    <w:p w14:paraId="5D7FFC30" w14:textId="77777777" w:rsidR="00CB22AA" w:rsidRPr="00491BD9" w:rsidRDefault="00CB22AA" w:rsidP="00BC5A7F">
      <w:pPr>
        <w:pStyle w:val="MBodyTxt"/>
        <w:ind w:left="1418" w:hanging="1418"/>
        <w:rPr>
          <w:lang w:val="fr-FR"/>
        </w:rPr>
      </w:pPr>
      <w:r w:rsidRPr="00491BD9">
        <w:rPr>
          <w:lang w:val="fr-FR"/>
        </w:rPr>
        <w:lastRenderedPageBreak/>
        <w:t>10.3.2.4</w:t>
      </w:r>
      <w:r w:rsidRPr="00491BD9">
        <w:rPr>
          <w:lang w:val="fr-FR"/>
        </w:rPr>
        <w:tab/>
      </w:r>
      <w:r>
        <w:rPr>
          <w:lang w:val="fr-FR"/>
        </w:rPr>
        <w:t>Dans la première phrase</w:t>
      </w:r>
      <w:r w:rsidRPr="00491BD9">
        <w:rPr>
          <w:lang w:val="fr-FR"/>
        </w:rPr>
        <w:t>, remplacer « Est-elle instable » par « Est-elle trop sensible pour être affectée à une division ».</w:t>
      </w:r>
    </w:p>
    <w:p w14:paraId="11FA994D" w14:textId="77777777" w:rsidR="00CB22AA" w:rsidRPr="00491BD9" w:rsidRDefault="00CB22AA" w:rsidP="00BC5A7F">
      <w:pPr>
        <w:pStyle w:val="MBodyTxt"/>
        <w:ind w:left="1418" w:hanging="1418"/>
        <w:rPr>
          <w:lang w:val="fr-FR"/>
        </w:rPr>
      </w:pPr>
      <w:r w:rsidRPr="00491BD9">
        <w:rPr>
          <w:lang w:val="fr-FR"/>
        </w:rPr>
        <w:t>10.3.2.5</w:t>
      </w:r>
      <w:r w:rsidRPr="00491BD9">
        <w:rPr>
          <w:lang w:val="fr-FR"/>
        </w:rPr>
        <w:tab/>
      </w:r>
      <w:r>
        <w:rPr>
          <w:lang w:val="fr-FR"/>
        </w:rPr>
        <w:t>Dans la première phrase</w:t>
      </w:r>
      <w:r w:rsidRPr="00491BD9">
        <w:rPr>
          <w:lang w:val="fr-FR"/>
        </w:rPr>
        <w:t>, remplacer « sont-ils des matières ou objets explosibles instables » par « sont-ils des matières ou objets explosibles trop sensibles pour être affectés à une division ».</w:t>
      </w:r>
    </w:p>
    <w:p w14:paraId="55D7ECF9" w14:textId="2148038E" w:rsidR="00CB22AA" w:rsidRPr="00491BD9" w:rsidRDefault="00CB22AA" w:rsidP="00BC5A7F">
      <w:pPr>
        <w:pStyle w:val="MBodyTxt"/>
        <w:ind w:left="1418" w:hanging="1418"/>
        <w:rPr>
          <w:lang w:val="fr-FR"/>
        </w:rPr>
      </w:pPr>
      <w:r w:rsidRPr="00491BD9">
        <w:rPr>
          <w:lang w:val="fr-FR"/>
        </w:rPr>
        <w:t>10.4.1.1</w:t>
      </w:r>
      <w:r w:rsidRPr="00491BD9">
        <w:rPr>
          <w:lang w:val="fr-FR"/>
        </w:rPr>
        <w:tab/>
      </w:r>
      <w:r w:rsidR="008260F7">
        <w:rPr>
          <w:lang w:val="fr-FR"/>
        </w:rPr>
        <w:t>M</w:t>
      </w:r>
      <w:r w:rsidRPr="00AA40E6">
        <w:rPr>
          <w:lang w:val="fr-FR"/>
        </w:rPr>
        <w:t>odifier</w:t>
      </w:r>
      <w:r w:rsidRPr="00491BD9">
        <w:rPr>
          <w:lang w:val="fr-FR"/>
        </w:rPr>
        <w:t xml:space="preserve"> les deux premières phrases </w:t>
      </w:r>
      <w:r>
        <w:rPr>
          <w:lang w:val="fr-FR"/>
        </w:rPr>
        <w:t>pour lire comme suit</w:t>
      </w:r>
      <w:r w:rsidRPr="00491BD9">
        <w:rPr>
          <w:lang w:val="fr-FR"/>
        </w:rPr>
        <w:t> :</w:t>
      </w:r>
    </w:p>
    <w:p w14:paraId="57AAE9AB" w14:textId="77777777" w:rsidR="00CB22AA" w:rsidRPr="00491BD9" w:rsidRDefault="00CB22AA" w:rsidP="00DC42BF">
      <w:pPr>
        <w:pStyle w:val="MBodyTxt"/>
        <w:rPr>
          <w:lang w:val="fr-FR"/>
        </w:rPr>
      </w:pPr>
      <w:r w:rsidRPr="00491BD9">
        <w:rPr>
          <w:lang w:val="fr-FR"/>
        </w:rPr>
        <w:t>« À moins d’être considérés trop sensibles pour être affectés à une division, les matières et objets explosibles peuvent être affectés à l’une des six divisions de danger, selon le type de danger qu’ils présentent (voir 2.1.1.4 du Règlement type et 2.1.2 du SGH). L’affectation à une division est une condition préalable au transport de matières et objets explosibles (voir par. 10.1.2). La procédure d’affectation (fig. 10.3 et 10.5) décrit de quelle manière on affecte les matières et les objets explosibles à une division. Les matières et objets explosibles peuvent également être classés d’office dans la division 1.1. »</w:t>
      </w:r>
    </w:p>
    <w:p w14:paraId="52D31D76" w14:textId="53686EBF" w:rsidR="00CB22AA" w:rsidRPr="00491BD9" w:rsidRDefault="00CB22AA" w:rsidP="00BC5A7F">
      <w:pPr>
        <w:pStyle w:val="MBodyTxt"/>
        <w:ind w:left="1418" w:hanging="1418"/>
        <w:rPr>
          <w:lang w:val="fr-FR"/>
        </w:rPr>
      </w:pPr>
      <w:r w:rsidRPr="00491BD9">
        <w:rPr>
          <w:lang w:val="fr-FR"/>
        </w:rPr>
        <w:tab/>
      </w:r>
      <w:r w:rsidRPr="00491BD9">
        <w:rPr>
          <w:lang w:val="fr-FR"/>
        </w:rPr>
        <w:tab/>
        <w:t>L’amendement à la phrase suivante ne s’applique pas au texte français.</w:t>
      </w:r>
    </w:p>
    <w:p w14:paraId="081E17A1" w14:textId="77777777" w:rsidR="00CB22AA" w:rsidRPr="00491BD9" w:rsidRDefault="00CB22AA" w:rsidP="00BC5A7F">
      <w:pPr>
        <w:pStyle w:val="MBodyTxt"/>
        <w:ind w:left="1418" w:hanging="1418"/>
        <w:rPr>
          <w:lang w:val="fr-FR"/>
        </w:rPr>
      </w:pPr>
      <w:r w:rsidRPr="00491BD9">
        <w:rPr>
          <w:lang w:val="fr-FR"/>
        </w:rPr>
        <w:tab/>
        <w:t>Dans l’avant-dernière phrase, remplacer « 2.1.1.2 b) du SGH » par « 2.1.1.2.1 b) du SGH ».</w:t>
      </w:r>
    </w:p>
    <w:p w14:paraId="057D3437" w14:textId="77777777" w:rsidR="00CB22AA" w:rsidRDefault="00CB22AA" w:rsidP="00BC5A7F">
      <w:pPr>
        <w:pStyle w:val="MBodyTxt"/>
        <w:ind w:left="1418" w:hanging="1418"/>
        <w:rPr>
          <w:lang w:val="fr-FR"/>
        </w:rPr>
      </w:pPr>
      <w:r w:rsidRPr="00491BD9">
        <w:rPr>
          <w:lang w:val="fr-FR"/>
        </w:rPr>
        <w:t>Figure 10.4</w:t>
      </w:r>
      <w:r w:rsidRPr="00491BD9">
        <w:rPr>
          <w:lang w:val="fr-FR"/>
        </w:rPr>
        <w:tab/>
        <w:t>Modifier le texte dans la case 6 pour lire :</w:t>
      </w:r>
    </w:p>
    <w:p w14:paraId="2F48C25A" w14:textId="77777777" w:rsidR="00CB22AA" w:rsidRPr="00491BD9" w:rsidRDefault="00CB22AA" w:rsidP="00BC5A7F">
      <w:pPr>
        <w:pStyle w:val="MBodyTxt"/>
        <w:jc w:val="center"/>
        <w:rPr>
          <w:lang w:val="fr-FR"/>
        </w:rPr>
      </w:pPr>
      <w:r w:rsidRPr="00491BD9">
        <w:rPr>
          <w:lang w:val="fr-FR"/>
        </w:rPr>
        <w:t>« Classement comme matière explosible</w:t>
      </w:r>
      <w:r>
        <w:rPr>
          <w:lang w:val="fr-FR"/>
        </w:rPr>
        <w:t>.</w:t>
      </w:r>
      <w:r>
        <w:rPr>
          <w:lang w:val="fr-FR"/>
        </w:rPr>
        <w:br/>
      </w:r>
      <w:r w:rsidRPr="00491BD9">
        <w:rPr>
          <w:lang w:val="fr-FR"/>
        </w:rPr>
        <w:t>Pas d’affectation à une division</w:t>
      </w:r>
      <w:r>
        <w:rPr>
          <w:lang w:val="fr-FR"/>
        </w:rPr>
        <w:t>.</w:t>
      </w:r>
      <w:r w:rsidRPr="00491BD9">
        <w:rPr>
          <w:lang w:val="fr-FR"/>
        </w:rPr>
        <w:t> »</w:t>
      </w:r>
    </w:p>
    <w:p w14:paraId="1554BC28" w14:textId="77777777" w:rsidR="00CB22AA" w:rsidRPr="00491BD9" w:rsidRDefault="00CB22AA" w:rsidP="00BC5A7F">
      <w:pPr>
        <w:pStyle w:val="MBodyTxt"/>
        <w:ind w:left="1418" w:hanging="1418"/>
        <w:rPr>
          <w:lang w:val="fr-FR"/>
        </w:rPr>
      </w:pPr>
      <w:r w:rsidRPr="00491BD9">
        <w:rPr>
          <w:lang w:val="fr-FR"/>
        </w:rPr>
        <w:tab/>
        <w:t>Dans la case 7, supprimer « autre qu’instable »</w:t>
      </w:r>
      <w:r>
        <w:rPr>
          <w:lang w:val="fr-FR"/>
        </w:rPr>
        <w:t xml:space="preserve"> dans la première phrase et ajouter</w:t>
      </w:r>
      <w:r w:rsidRPr="00A5567A">
        <w:rPr>
          <w:lang w:val="fr-FR"/>
        </w:rPr>
        <w:t xml:space="preserve"> </w:t>
      </w:r>
      <w:r>
        <w:rPr>
          <w:lang w:val="fr-FR"/>
        </w:rPr>
        <w:t>un point à la fin de la dernière phrase</w:t>
      </w:r>
      <w:r w:rsidRPr="00491BD9">
        <w:rPr>
          <w:lang w:val="fr-FR"/>
        </w:rPr>
        <w:t>.</w:t>
      </w:r>
    </w:p>
    <w:p w14:paraId="6EC30C9E" w14:textId="3FC71474" w:rsidR="00CB22AA" w:rsidRPr="00491BD9" w:rsidRDefault="00CB22AA" w:rsidP="00BC5A7F">
      <w:pPr>
        <w:pStyle w:val="MBodyTxt"/>
        <w:ind w:left="1418" w:hanging="1418"/>
        <w:rPr>
          <w:lang w:val="fr-FR"/>
        </w:rPr>
      </w:pPr>
      <w:r w:rsidRPr="00491BD9">
        <w:rPr>
          <w:lang w:val="fr-FR"/>
        </w:rPr>
        <w:t>Figure 10.6 a)</w:t>
      </w:r>
      <w:r w:rsidRPr="00491BD9">
        <w:rPr>
          <w:lang w:val="fr-FR"/>
        </w:rPr>
        <w:tab/>
      </w:r>
      <w:r>
        <w:rPr>
          <w:lang w:val="fr-FR"/>
        </w:rPr>
        <w:tab/>
        <w:t>M</w:t>
      </w:r>
      <w:r w:rsidRPr="00491BD9">
        <w:rPr>
          <w:lang w:val="fr-FR"/>
        </w:rPr>
        <w:t>odifier l’information pour la case 13 pour lire : « Est-elle trop sensible pour être affectée à une division sous la forme éprouvée ? ».</w:t>
      </w:r>
    </w:p>
    <w:p w14:paraId="4BC7EB2E" w14:textId="77777777" w:rsidR="00CB22AA" w:rsidRPr="00491BD9" w:rsidRDefault="00CB22AA" w:rsidP="00BC5A7F">
      <w:pPr>
        <w:pStyle w:val="MBodyTxt"/>
        <w:ind w:left="1418" w:hanging="1418"/>
        <w:rPr>
          <w:lang w:val="fr-FR"/>
        </w:rPr>
      </w:pPr>
      <w:r w:rsidRPr="00491BD9">
        <w:rPr>
          <w:lang w:val="fr-FR"/>
        </w:rPr>
        <w:t>Figure 10.6 b)</w:t>
      </w:r>
      <w:r w:rsidRPr="00491BD9">
        <w:rPr>
          <w:lang w:val="fr-FR"/>
        </w:rPr>
        <w:tab/>
        <w:t>Modifier le texte dans la case 13 pour lire : « Est-elle trop sensible pour être affectée à une division sous la forme éprouvée ? ».</w:t>
      </w:r>
    </w:p>
    <w:p w14:paraId="4F961F33" w14:textId="36FDC04D" w:rsidR="00CB22AA" w:rsidRPr="00491BD9" w:rsidRDefault="00BC5A7F" w:rsidP="00BC5A7F">
      <w:pPr>
        <w:pStyle w:val="MBodyTxt"/>
        <w:ind w:left="1418" w:hanging="1418"/>
        <w:rPr>
          <w:lang w:val="fr-FR"/>
        </w:rPr>
      </w:pPr>
      <w:r>
        <w:rPr>
          <w:lang w:val="fr-FR"/>
        </w:rPr>
        <w:tab/>
      </w:r>
      <w:r w:rsidR="00CB22AA" w:rsidRPr="00491BD9">
        <w:rPr>
          <w:lang w:val="fr-FR"/>
        </w:rPr>
        <w:t>Modifier le texte dans la case 16 pour lire : « L’objet, l’objet emballé ou la matière emballée sont-ils trop sensibles pour être affectés à une division ? ».</w:t>
      </w:r>
    </w:p>
    <w:p w14:paraId="4D37B90D" w14:textId="547C1350" w:rsidR="00CB22AA" w:rsidRDefault="00BC5A7F" w:rsidP="00BC5A7F">
      <w:pPr>
        <w:pStyle w:val="MBodyTxt"/>
        <w:ind w:left="1418" w:hanging="1418"/>
        <w:rPr>
          <w:lang w:val="fr-FR"/>
        </w:rPr>
      </w:pPr>
      <w:r>
        <w:rPr>
          <w:lang w:val="fr-FR"/>
        </w:rPr>
        <w:tab/>
      </w:r>
      <w:r w:rsidR="00CB22AA" w:rsidRPr="00491BD9">
        <w:rPr>
          <w:lang w:val="fr-FR"/>
        </w:rPr>
        <w:t>Modifier le texte dans la case 17 pour lire :</w:t>
      </w:r>
    </w:p>
    <w:p w14:paraId="6DC2F32C" w14:textId="77777777" w:rsidR="00CB22AA" w:rsidRPr="00491BD9" w:rsidRDefault="00CB22AA" w:rsidP="00BC5A7F">
      <w:pPr>
        <w:pStyle w:val="MBodyTxt"/>
        <w:jc w:val="center"/>
        <w:rPr>
          <w:lang w:val="fr-FR"/>
        </w:rPr>
      </w:pPr>
      <w:r w:rsidRPr="00491BD9">
        <w:rPr>
          <w:lang w:val="fr-FR"/>
        </w:rPr>
        <w:t>« CLASSER COMME MATIERE OU OBJET EXPLOSIBLE</w:t>
      </w:r>
      <w:r>
        <w:rPr>
          <w:lang w:val="fr-FR"/>
        </w:rPr>
        <w:br/>
      </w:r>
      <w:r w:rsidRPr="00491BD9">
        <w:rPr>
          <w:lang w:val="fr-FR"/>
        </w:rPr>
        <w:t>Pas d’affectation à une division »</w:t>
      </w:r>
    </w:p>
    <w:p w14:paraId="6AF7DBD0" w14:textId="7558387D" w:rsidR="00CB22AA" w:rsidRPr="00491BD9" w:rsidRDefault="00BC5A7F" w:rsidP="00BC5A7F">
      <w:pPr>
        <w:pStyle w:val="MBodyTxt"/>
        <w:ind w:left="1418" w:hanging="1418"/>
        <w:rPr>
          <w:lang w:val="fr-FR"/>
        </w:rPr>
      </w:pPr>
      <w:r>
        <w:rPr>
          <w:lang w:val="fr-FR"/>
        </w:rPr>
        <w:tab/>
      </w:r>
      <w:r w:rsidR="00CB22AA" w:rsidRPr="00491BD9">
        <w:rPr>
          <w:lang w:val="fr-FR"/>
        </w:rPr>
        <w:t>Modifier le texte dans la case 19 pour lire : « ACCEPTER PROVISOIREMENT EN TANT QUE MATIERE OU OBJET EXPLOSIBLE (passer à la figure 10.3) ».</w:t>
      </w:r>
    </w:p>
    <w:p w14:paraId="41B8AC14" w14:textId="767EB0F9" w:rsidR="00CB22AA" w:rsidRPr="00491BD9" w:rsidRDefault="00CB22AA" w:rsidP="00BC5A7F">
      <w:pPr>
        <w:pStyle w:val="MBodyTxt"/>
        <w:ind w:left="1418" w:hanging="1418"/>
        <w:rPr>
          <w:lang w:val="fr-FR"/>
        </w:rPr>
      </w:pPr>
      <w:r w:rsidRPr="00491BD9">
        <w:rPr>
          <w:lang w:val="fr-FR"/>
        </w:rPr>
        <w:t>Figure 10.7 a)</w:t>
      </w:r>
      <w:r>
        <w:rPr>
          <w:lang w:val="fr-FR"/>
        </w:rPr>
        <w:tab/>
      </w:r>
      <w:r>
        <w:rPr>
          <w:lang w:val="fr-FR"/>
        </w:rPr>
        <w:tab/>
        <w:t>M</w:t>
      </w:r>
      <w:r w:rsidRPr="00491BD9">
        <w:rPr>
          <w:lang w:val="fr-FR"/>
        </w:rPr>
        <w:t>odifier l’information pour la case 13 pour lire : « Est-elle trop sensible pour être affectée à une division sous la forme éprouvée ? ».</w:t>
      </w:r>
    </w:p>
    <w:p w14:paraId="64AE5C4C" w14:textId="77777777" w:rsidR="00CB22AA" w:rsidRPr="00491BD9" w:rsidRDefault="00CB22AA" w:rsidP="00BC5A7F">
      <w:pPr>
        <w:pStyle w:val="MBodyTxt"/>
        <w:ind w:left="1418" w:hanging="1418"/>
        <w:rPr>
          <w:lang w:val="fr-FR"/>
        </w:rPr>
      </w:pPr>
      <w:r w:rsidRPr="00491BD9">
        <w:rPr>
          <w:lang w:val="fr-FR"/>
        </w:rPr>
        <w:t>Figure 10.7 b)</w:t>
      </w:r>
      <w:r w:rsidRPr="00491BD9">
        <w:rPr>
          <w:lang w:val="fr-FR"/>
        </w:rPr>
        <w:tab/>
        <w:t>Modifier le texte dans la case 13 pour lire : « Est-elle trop sensible pour être affectée à une division sous la forme éprouvée ? ».</w:t>
      </w:r>
    </w:p>
    <w:p w14:paraId="1017B212" w14:textId="396F1B7F" w:rsidR="00CB22AA" w:rsidRPr="00491BD9" w:rsidRDefault="00BC5A7F" w:rsidP="00BC5A7F">
      <w:pPr>
        <w:pStyle w:val="MBodyTxt"/>
        <w:ind w:left="1418" w:hanging="1418"/>
        <w:rPr>
          <w:lang w:val="fr-FR"/>
        </w:rPr>
      </w:pPr>
      <w:r>
        <w:rPr>
          <w:lang w:val="fr-FR"/>
        </w:rPr>
        <w:tab/>
      </w:r>
      <w:r w:rsidR="00CB22AA" w:rsidRPr="00491BD9">
        <w:rPr>
          <w:lang w:val="fr-FR"/>
        </w:rPr>
        <w:t>Modifier le texte dans la case 16 pour lire : « L’objet, l’objet emballé ou la matière emballée sont-ils trop sensibles pour être affectés à une division ? ».</w:t>
      </w:r>
    </w:p>
    <w:p w14:paraId="78170393" w14:textId="0C3A738A" w:rsidR="00CB22AA" w:rsidRDefault="00BC5A7F" w:rsidP="00BC5A7F">
      <w:pPr>
        <w:pStyle w:val="MBodyTxt"/>
        <w:ind w:left="1418" w:hanging="1418"/>
        <w:rPr>
          <w:lang w:val="fr-FR"/>
        </w:rPr>
      </w:pPr>
      <w:r>
        <w:rPr>
          <w:lang w:val="fr-FR"/>
        </w:rPr>
        <w:tab/>
      </w:r>
      <w:r w:rsidR="00CB22AA" w:rsidRPr="00491BD9">
        <w:rPr>
          <w:lang w:val="fr-FR"/>
        </w:rPr>
        <w:t>Modifier le texte dans la case 17 pour lire :</w:t>
      </w:r>
    </w:p>
    <w:p w14:paraId="25F11098" w14:textId="77777777" w:rsidR="00CB22AA" w:rsidRPr="00491BD9" w:rsidRDefault="00CB22AA" w:rsidP="00BC5A7F">
      <w:pPr>
        <w:pStyle w:val="MBodyTxt"/>
        <w:jc w:val="center"/>
        <w:rPr>
          <w:lang w:val="fr-FR"/>
        </w:rPr>
      </w:pPr>
      <w:r w:rsidRPr="00491BD9">
        <w:rPr>
          <w:lang w:val="fr-FR"/>
        </w:rPr>
        <w:lastRenderedPageBreak/>
        <w:t>« CLASSER COMME MATIERE OU OBJET EXPLOSIBLE</w:t>
      </w:r>
      <w:r>
        <w:rPr>
          <w:lang w:val="fr-FR"/>
        </w:rPr>
        <w:br/>
      </w:r>
      <w:r w:rsidRPr="00491BD9">
        <w:rPr>
          <w:lang w:val="fr-FR"/>
        </w:rPr>
        <w:t>Pas d’affectation à une division »</w:t>
      </w:r>
    </w:p>
    <w:p w14:paraId="2C166A2A" w14:textId="68F4A3BD" w:rsidR="00CB22AA" w:rsidRPr="00491BD9" w:rsidRDefault="00BC5A7F" w:rsidP="00BC5A7F">
      <w:pPr>
        <w:pStyle w:val="MBodyTxt"/>
        <w:ind w:left="1418" w:hanging="1418"/>
        <w:rPr>
          <w:lang w:val="fr-FR"/>
        </w:rPr>
      </w:pPr>
      <w:r>
        <w:rPr>
          <w:lang w:val="fr-FR"/>
        </w:rPr>
        <w:tab/>
      </w:r>
      <w:r w:rsidR="00CB22AA" w:rsidRPr="00491BD9">
        <w:rPr>
          <w:lang w:val="fr-FR"/>
        </w:rPr>
        <w:t>Modifier le texte dans la case 19 pour lire : « ACCEPTER PROVISOIREMENT EN TANT QUE MATIERE OU OBJET EXPLOSIBLE ».</w:t>
      </w:r>
    </w:p>
    <w:p w14:paraId="72F3AA04" w14:textId="70E60977" w:rsidR="00CB22AA" w:rsidRPr="00BC5A7F" w:rsidRDefault="00CB22AA" w:rsidP="00BC5A7F">
      <w:pPr>
        <w:pStyle w:val="Man2Head"/>
        <w:rPr>
          <w:sz w:val="24"/>
          <w:szCs w:val="24"/>
        </w:rPr>
      </w:pPr>
      <w:r w:rsidRPr="00BC5A7F">
        <w:rPr>
          <w:sz w:val="24"/>
          <w:szCs w:val="24"/>
        </w:rPr>
        <w:t>Section 13</w:t>
      </w:r>
    </w:p>
    <w:p w14:paraId="08CE56B7" w14:textId="77777777" w:rsidR="00CB22AA" w:rsidRPr="00491BD9" w:rsidRDefault="00CB22AA" w:rsidP="00140615">
      <w:pPr>
        <w:pStyle w:val="MBodyTxt"/>
        <w:ind w:left="1418" w:hanging="1418"/>
        <w:rPr>
          <w:lang w:val="fr-FR"/>
        </w:rPr>
      </w:pPr>
      <w:r w:rsidRPr="00491BD9">
        <w:rPr>
          <w:lang w:val="fr-FR"/>
        </w:rPr>
        <w:t>13.1</w:t>
      </w:r>
      <w:r w:rsidRPr="00491BD9">
        <w:rPr>
          <w:lang w:val="fr-FR"/>
        </w:rPr>
        <w:tab/>
        <w:t>Modifier le paragraphe sous le titre pour lire comme suit et supprimer le Nota :</w:t>
      </w:r>
    </w:p>
    <w:p w14:paraId="6EE15650" w14:textId="77777777" w:rsidR="00CB22AA" w:rsidRPr="00491BD9" w:rsidRDefault="00CB22AA" w:rsidP="009B666C">
      <w:pPr>
        <w:pStyle w:val="MBodyTxt"/>
        <w:rPr>
          <w:lang w:val="fr-FR"/>
        </w:rPr>
      </w:pPr>
      <w:r w:rsidRPr="00491BD9">
        <w:rPr>
          <w:lang w:val="fr-FR"/>
        </w:rPr>
        <w:t>« Cette série d’épreuves est utilisée pour répondre aux questions des cases 12 et 13 de la figure 10.2 en déterminant la sensibilité de la matière aux sollicitations mécaniques (choc et frottement), ainsi qu’à la chaleur et à la flamme. La réponse à la question de la case 12 est « non » si un résultat positif (+) est obtenu lors de l’épreuve du type 3 c) et si la matière est considérée comme trop sensible pour être affectée à une division. La réponse à la question de la case 13 est « oui » si un résultat positif (+) est obtenu pour l’un quelconque des types d’épreuve 3 a), 3 b) ou 3 d). Si un résultat positif (+) est obtenu, la matière est considérée comme trop sensible pour être affectée à une division dans la forme sous laquelle elle a été éprouvée mais elle peut être soit placée dans un objet, soit flegmatisée, soit emballée pour réduire sa sensibilité aux sollicitations externes. »</w:t>
      </w:r>
    </w:p>
    <w:p w14:paraId="55B91EDE" w14:textId="77777777" w:rsidR="00CB22AA" w:rsidRPr="00491BD9" w:rsidRDefault="00CB22AA" w:rsidP="00140615">
      <w:pPr>
        <w:pStyle w:val="MBodyTxt"/>
        <w:ind w:left="1418" w:hanging="1418"/>
        <w:rPr>
          <w:lang w:val="fr-FR"/>
        </w:rPr>
      </w:pPr>
      <w:r w:rsidRPr="00491BD9">
        <w:rPr>
          <w:lang w:val="fr-FR"/>
        </w:rPr>
        <w:t>13.4.1.1</w:t>
      </w:r>
      <w:r w:rsidRPr="00491BD9">
        <w:rPr>
          <w:lang w:val="fr-FR"/>
        </w:rPr>
        <w:tab/>
      </w:r>
      <w:r w:rsidRPr="00491BD9">
        <w:rPr>
          <w:lang w:val="fr-FR"/>
        </w:rPr>
        <w:tab/>
        <w:t>Dans la première phrase, remplacer « une matière explosible instable » par « trop sensible pour être affectée à une division ».</w:t>
      </w:r>
    </w:p>
    <w:p w14:paraId="39E20264" w14:textId="77777777" w:rsidR="00CB22AA" w:rsidRPr="00491BD9" w:rsidRDefault="00CB22AA" w:rsidP="00140615">
      <w:pPr>
        <w:pStyle w:val="MBodyTxt"/>
        <w:ind w:left="1418" w:hanging="1418"/>
        <w:rPr>
          <w:lang w:val="fr-FR"/>
        </w:rPr>
      </w:pPr>
      <w:r w:rsidRPr="00491BD9">
        <w:rPr>
          <w:lang w:val="fr-FR"/>
        </w:rPr>
        <w:t>13.4.1.4.1</w:t>
      </w:r>
      <w:r w:rsidRPr="00491BD9">
        <w:rPr>
          <w:lang w:val="fr-FR"/>
        </w:rPr>
        <w:tab/>
      </w:r>
      <w:r w:rsidRPr="00491BD9">
        <w:rPr>
          <w:lang w:val="fr-FR"/>
        </w:rPr>
        <w:tab/>
        <w:t>Dans la première phrase, remplacer « une matière explosible instable » par « trop sensible pour être affectée à une division ».</w:t>
      </w:r>
    </w:p>
    <w:p w14:paraId="2E8284B4" w14:textId="77777777" w:rsidR="00CB22AA" w:rsidRPr="00491BD9" w:rsidRDefault="00CB22AA" w:rsidP="00140615">
      <w:pPr>
        <w:pStyle w:val="MBodyTxt"/>
        <w:ind w:left="1418" w:hanging="1418"/>
        <w:rPr>
          <w:lang w:val="fr-FR"/>
        </w:rPr>
      </w:pPr>
      <w:r w:rsidRPr="00491BD9">
        <w:rPr>
          <w:lang w:val="fr-FR"/>
        </w:rPr>
        <w:t>13.4.1.4.2</w:t>
      </w:r>
      <w:r w:rsidRPr="00491BD9">
        <w:rPr>
          <w:lang w:val="fr-FR"/>
        </w:rPr>
        <w:tab/>
      </w:r>
      <w:r w:rsidRPr="00491BD9">
        <w:rPr>
          <w:lang w:val="fr-FR"/>
        </w:rPr>
        <w:tab/>
        <w:t>Dans la première phrase, remplacer « une matière explosible instable » par « trop sensible pour être affectée à une division ».</w:t>
      </w:r>
    </w:p>
    <w:p w14:paraId="6029C714" w14:textId="77777777" w:rsidR="00CB22AA" w:rsidRPr="00491BD9" w:rsidRDefault="00CB22AA" w:rsidP="00140615">
      <w:pPr>
        <w:pStyle w:val="MBodyTxt"/>
        <w:ind w:left="1418" w:hanging="1418"/>
        <w:rPr>
          <w:lang w:val="fr-FR"/>
        </w:rPr>
      </w:pPr>
      <w:r w:rsidRPr="00491BD9">
        <w:rPr>
          <w:lang w:val="fr-FR"/>
        </w:rPr>
        <w:t>13.4.2.1</w:t>
      </w:r>
      <w:r w:rsidRPr="00491BD9">
        <w:rPr>
          <w:lang w:val="fr-FR"/>
        </w:rPr>
        <w:tab/>
        <w:t>Dans la première phrase, remplacer « une matière explosible instable » par « trop sensible pour être affectée à une division ».</w:t>
      </w:r>
    </w:p>
    <w:p w14:paraId="3DC7345D" w14:textId="77777777" w:rsidR="00CB22AA" w:rsidRPr="00491BD9" w:rsidRDefault="00CB22AA" w:rsidP="00140615">
      <w:pPr>
        <w:pStyle w:val="MBodyTxt"/>
        <w:ind w:left="1418" w:hanging="1418"/>
        <w:rPr>
          <w:lang w:val="fr-FR"/>
        </w:rPr>
      </w:pPr>
      <w:r w:rsidRPr="00491BD9">
        <w:rPr>
          <w:lang w:val="fr-FR"/>
        </w:rPr>
        <w:t>13.4.2.4</w:t>
      </w:r>
      <w:r w:rsidRPr="00491BD9">
        <w:rPr>
          <w:lang w:val="fr-FR"/>
        </w:rPr>
        <w:tab/>
        <w:t>Dans le paragraphe après les alinéas, dans la première phrase, remplacer « une matière explosible instable » par « trop sensible pour être affectée à une division ».</w:t>
      </w:r>
    </w:p>
    <w:p w14:paraId="1E30B56B" w14:textId="77777777" w:rsidR="00CB22AA" w:rsidRPr="00491BD9" w:rsidRDefault="00CB22AA" w:rsidP="00140615">
      <w:pPr>
        <w:pStyle w:val="MBodyTxt"/>
        <w:ind w:left="1418" w:hanging="1418"/>
        <w:rPr>
          <w:lang w:val="fr-FR"/>
        </w:rPr>
      </w:pPr>
      <w:r w:rsidRPr="00491BD9">
        <w:rPr>
          <w:lang w:val="fr-FR"/>
        </w:rPr>
        <w:t>13.4.3.1</w:t>
      </w:r>
      <w:r w:rsidRPr="00491BD9">
        <w:rPr>
          <w:lang w:val="fr-FR"/>
        </w:rPr>
        <w:tab/>
      </w:r>
      <w:r w:rsidRPr="00491BD9">
        <w:rPr>
          <w:lang w:val="fr-FR"/>
        </w:rPr>
        <w:tab/>
        <w:t>Dans la première phrase, remplacer « une matière explosible instable » par « trop sensible pour être affectée à une division ».</w:t>
      </w:r>
    </w:p>
    <w:p w14:paraId="4DAC9759" w14:textId="77777777" w:rsidR="00CB22AA" w:rsidRPr="00491BD9" w:rsidRDefault="00CB22AA" w:rsidP="00140615">
      <w:pPr>
        <w:pStyle w:val="MBodyTxt"/>
        <w:ind w:left="1418" w:hanging="1418"/>
        <w:rPr>
          <w:lang w:val="fr-FR"/>
        </w:rPr>
      </w:pPr>
      <w:r w:rsidRPr="00491BD9">
        <w:rPr>
          <w:lang w:val="fr-FR"/>
        </w:rPr>
        <w:t>13.4.3.4.1</w:t>
      </w:r>
      <w:r w:rsidRPr="00491BD9">
        <w:rPr>
          <w:lang w:val="fr-FR"/>
        </w:rPr>
        <w:tab/>
        <w:t>Dans le paragraphe après les alinéas, dans la première phrase, remplacer « une matière explosible instable » par « trop sensible pour être affectée à une division ». À la fin, remplacer « jugée comme n’étant pas une matière explosible instable » par « jugée comme trop sensible pour être affectée à une division ».</w:t>
      </w:r>
    </w:p>
    <w:p w14:paraId="71370420" w14:textId="77777777" w:rsidR="00CB22AA" w:rsidRPr="00491BD9" w:rsidRDefault="00CB22AA" w:rsidP="00140615">
      <w:pPr>
        <w:pStyle w:val="MBodyTxt"/>
        <w:ind w:left="1418" w:hanging="1418"/>
        <w:rPr>
          <w:lang w:val="fr-FR"/>
        </w:rPr>
      </w:pPr>
      <w:r w:rsidRPr="00491BD9">
        <w:rPr>
          <w:lang w:val="fr-FR"/>
        </w:rPr>
        <w:t>13.4.3.4.2</w:t>
      </w:r>
      <w:r w:rsidRPr="00491BD9">
        <w:rPr>
          <w:lang w:val="fr-FR"/>
        </w:rPr>
        <w:tab/>
        <w:t>Dans le paragraphe après les alinéas, dans la troisième phrase, remplacer « une matière explosible instable » par « trop sensible pour être affectée à une division ». Dans l’avant-dernière phrase, remplacer « jugée comme n’étant pas une matière explosible instable » par « jugée comme trop sensible pour être affectée à une division ».</w:t>
      </w:r>
    </w:p>
    <w:p w14:paraId="66A634D0" w14:textId="77777777" w:rsidR="00CB22AA" w:rsidRPr="00491BD9" w:rsidRDefault="00CB22AA" w:rsidP="00140615">
      <w:pPr>
        <w:pStyle w:val="MBodyTxt"/>
        <w:ind w:left="1418" w:hanging="1418"/>
        <w:rPr>
          <w:lang w:val="fr-FR"/>
        </w:rPr>
      </w:pPr>
      <w:r w:rsidRPr="00491BD9">
        <w:rPr>
          <w:lang w:val="fr-FR"/>
        </w:rPr>
        <w:t>13.4.4.1</w:t>
      </w:r>
      <w:r w:rsidRPr="00491BD9">
        <w:rPr>
          <w:lang w:val="fr-FR"/>
        </w:rPr>
        <w:tab/>
        <w:t>Remplacer « une matière explosible instable » par « trop sensible pour être affectée à une division ».</w:t>
      </w:r>
    </w:p>
    <w:p w14:paraId="1144ECB4" w14:textId="77777777" w:rsidR="00CB22AA" w:rsidRPr="00491BD9" w:rsidRDefault="00CB22AA" w:rsidP="00140615">
      <w:pPr>
        <w:pStyle w:val="MBodyTxt"/>
        <w:ind w:left="1418" w:hanging="1418"/>
        <w:rPr>
          <w:lang w:val="fr-FR"/>
        </w:rPr>
      </w:pPr>
      <w:r w:rsidRPr="00491BD9">
        <w:rPr>
          <w:lang w:val="fr-FR"/>
        </w:rPr>
        <w:t>13.4.4.4</w:t>
      </w:r>
      <w:r w:rsidRPr="00491BD9">
        <w:rPr>
          <w:lang w:val="fr-FR"/>
        </w:rPr>
        <w:tab/>
        <w:t>Dans le paragraphe après les alinéas, dans la première phrase, remplacer « une matière explosible instable » par « trop sensible pour être affectée à une division ».</w:t>
      </w:r>
    </w:p>
    <w:p w14:paraId="1C396067" w14:textId="77777777" w:rsidR="00CB22AA" w:rsidRPr="00491BD9" w:rsidRDefault="00CB22AA" w:rsidP="00140615">
      <w:pPr>
        <w:pStyle w:val="MBodyTxt"/>
        <w:ind w:left="1418" w:hanging="1418"/>
        <w:rPr>
          <w:lang w:val="fr-FR"/>
        </w:rPr>
      </w:pPr>
      <w:r w:rsidRPr="00491BD9">
        <w:rPr>
          <w:lang w:val="fr-FR"/>
        </w:rPr>
        <w:t>13.4.5.1</w:t>
      </w:r>
      <w:r w:rsidRPr="00491BD9">
        <w:rPr>
          <w:lang w:val="fr-FR"/>
        </w:rPr>
        <w:tab/>
        <w:t>Dans la première phrase, remplacer « une matière explosible instable » par « trop sensible pour être affectée à une division ».</w:t>
      </w:r>
    </w:p>
    <w:p w14:paraId="60340CEF" w14:textId="77777777" w:rsidR="00CB22AA" w:rsidRPr="00491BD9" w:rsidRDefault="00CB22AA" w:rsidP="00140615">
      <w:pPr>
        <w:pStyle w:val="MBodyTxt"/>
        <w:ind w:left="1418" w:hanging="1418"/>
        <w:rPr>
          <w:lang w:val="fr-FR"/>
        </w:rPr>
      </w:pPr>
      <w:r w:rsidRPr="00491BD9">
        <w:rPr>
          <w:lang w:val="fr-FR"/>
        </w:rPr>
        <w:lastRenderedPageBreak/>
        <w:t>13.4.5.4.</w:t>
      </w:r>
      <w:r>
        <w:rPr>
          <w:lang w:val="fr-FR"/>
        </w:rPr>
        <w:t>2</w:t>
      </w:r>
      <w:r w:rsidRPr="00491BD9">
        <w:rPr>
          <w:lang w:val="fr-FR"/>
        </w:rPr>
        <w:tab/>
        <w:t>Dans la première phrase, remplacer « une matière explosible instable » par « trop sensible pour être affectée à une division ».</w:t>
      </w:r>
    </w:p>
    <w:p w14:paraId="47E10B89" w14:textId="77777777" w:rsidR="00CB22AA" w:rsidRPr="00491BD9" w:rsidRDefault="00CB22AA" w:rsidP="00140615">
      <w:pPr>
        <w:pStyle w:val="MBodyTxt"/>
        <w:ind w:left="1418" w:hanging="1418"/>
        <w:rPr>
          <w:lang w:val="fr-FR"/>
        </w:rPr>
      </w:pPr>
      <w:r w:rsidRPr="00491BD9">
        <w:rPr>
          <w:lang w:val="fr-FR"/>
        </w:rPr>
        <w:t>13.4.5.4.3</w:t>
      </w:r>
      <w:r w:rsidRPr="00491BD9">
        <w:rPr>
          <w:lang w:val="fr-FR"/>
        </w:rPr>
        <w:tab/>
        <w:t>Dans la première phrase, remplacer « une matière explosible instable » par « trop sensible pour être affectée à une division ».</w:t>
      </w:r>
    </w:p>
    <w:p w14:paraId="1F845107" w14:textId="77777777" w:rsidR="00CB22AA" w:rsidRPr="00491BD9" w:rsidRDefault="00CB22AA" w:rsidP="00140615">
      <w:pPr>
        <w:pStyle w:val="MBodyTxt"/>
        <w:ind w:left="1418" w:hanging="1418"/>
        <w:rPr>
          <w:lang w:val="fr-FR"/>
        </w:rPr>
      </w:pPr>
      <w:r w:rsidRPr="00491BD9">
        <w:rPr>
          <w:lang w:val="fr-FR"/>
        </w:rPr>
        <w:t>13.4.6.1</w:t>
      </w:r>
      <w:r w:rsidRPr="00491BD9">
        <w:rPr>
          <w:lang w:val="fr-FR"/>
        </w:rPr>
        <w:tab/>
        <w:t>Remplacer « une matière explosible instable » par « trop sensible pour être affectée à une division ».</w:t>
      </w:r>
    </w:p>
    <w:p w14:paraId="32252D3F" w14:textId="77777777" w:rsidR="00CB22AA" w:rsidRPr="00491BD9" w:rsidRDefault="00CB22AA" w:rsidP="00140615">
      <w:pPr>
        <w:pStyle w:val="MBodyTxt"/>
        <w:ind w:left="1418" w:hanging="1418"/>
        <w:rPr>
          <w:lang w:val="fr-FR"/>
        </w:rPr>
      </w:pPr>
      <w:r w:rsidRPr="00491BD9">
        <w:rPr>
          <w:lang w:val="fr-FR"/>
        </w:rPr>
        <w:t>13.4.6.4.1</w:t>
      </w:r>
      <w:r w:rsidRPr="00491BD9">
        <w:rPr>
          <w:lang w:val="fr-FR"/>
        </w:rPr>
        <w:tab/>
        <w:t>Dans le paragraphe après les alinéas, dans la première phrase, remplacer « une matière explosible instable » par « trop sensible pour être affectée à une division ».</w:t>
      </w:r>
    </w:p>
    <w:p w14:paraId="57458A19" w14:textId="77777777" w:rsidR="00CB22AA" w:rsidRPr="00491BD9" w:rsidRDefault="00CB22AA" w:rsidP="00140615">
      <w:pPr>
        <w:pStyle w:val="MBodyTxt"/>
        <w:ind w:left="1418" w:hanging="1418"/>
        <w:rPr>
          <w:lang w:val="fr-FR"/>
        </w:rPr>
      </w:pPr>
      <w:r w:rsidRPr="00491BD9">
        <w:rPr>
          <w:lang w:val="fr-FR"/>
        </w:rPr>
        <w:t>13.4.6.4.2</w:t>
      </w:r>
      <w:r w:rsidRPr="00491BD9">
        <w:rPr>
          <w:lang w:val="fr-FR"/>
        </w:rPr>
        <w:tab/>
        <w:t>Dans le paragraphe après les alinéas, dans la première phrase, remplacer « une matière explosible instable » par « trop sensible pour être affectée à une division ».</w:t>
      </w:r>
    </w:p>
    <w:p w14:paraId="21CFD479" w14:textId="77777777" w:rsidR="00CB22AA" w:rsidRPr="00491BD9" w:rsidRDefault="00CB22AA" w:rsidP="00140615">
      <w:pPr>
        <w:pStyle w:val="MBodyTxt"/>
        <w:ind w:left="1418" w:hanging="1418"/>
        <w:rPr>
          <w:lang w:val="fr-FR"/>
        </w:rPr>
      </w:pPr>
      <w:r w:rsidRPr="00491BD9">
        <w:rPr>
          <w:lang w:val="fr-FR"/>
        </w:rPr>
        <w:t>13.4.7.1</w:t>
      </w:r>
      <w:r w:rsidRPr="00491BD9">
        <w:rPr>
          <w:lang w:val="fr-FR"/>
        </w:rPr>
        <w:tab/>
        <w:t>Remplacer « une matière explosible instable » par « trop sensible pour être affectée à une division ».</w:t>
      </w:r>
    </w:p>
    <w:p w14:paraId="3D16F54E" w14:textId="77777777" w:rsidR="00CB22AA" w:rsidRPr="00491BD9" w:rsidRDefault="00CB22AA" w:rsidP="00140615">
      <w:pPr>
        <w:pStyle w:val="MBodyTxt"/>
        <w:ind w:left="1418" w:hanging="1418"/>
        <w:rPr>
          <w:lang w:val="fr-FR"/>
        </w:rPr>
      </w:pPr>
      <w:r w:rsidRPr="00491BD9">
        <w:rPr>
          <w:lang w:val="fr-FR"/>
        </w:rPr>
        <w:t>13.4.7.5.1</w:t>
      </w:r>
      <w:r w:rsidRPr="00491BD9">
        <w:rPr>
          <w:lang w:val="fr-FR"/>
        </w:rPr>
        <w:tab/>
        <w:t>Dans la première phrase, remplacer « une matière explosible instable » par « trop sensible pour être affectée à une division ».</w:t>
      </w:r>
    </w:p>
    <w:p w14:paraId="34CD98E3" w14:textId="77777777" w:rsidR="00CB22AA" w:rsidRPr="00491BD9" w:rsidRDefault="00CB22AA" w:rsidP="00140615">
      <w:pPr>
        <w:pStyle w:val="MBodyTxt"/>
        <w:ind w:left="1418" w:hanging="1418"/>
        <w:rPr>
          <w:lang w:val="fr-FR"/>
        </w:rPr>
      </w:pPr>
      <w:r w:rsidRPr="00491BD9">
        <w:rPr>
          <w:lang w:val="fr-FR"/>
        </w:rPr>
        <w:t>13.4.7.5.2</w:t>
      </w:r>
      <w:r w:rsidRPr="00491BD9">
        <w:rPr>
          <w:lang w:val="fr-FR"/>
        </w:rPr>
        <w:tab/>
        <w:t>Dans la première phrase, remplacer « une matière explosible instable » par « trop sensible pour être affectée à une division ».</w:t>
      </w:r>
    </w:p>
    <w:p w14:paraId="4E6F175A" w14:textId="77777777" w:rsidR="00CB22AA" w:rsidRPr="00491BD9" w:rsidRDefault="00CB22AA" w:rsidP="00140615">
      <w:pPr>
        <w:pStyle w:val="MBodyTxt"/>
        <w:ind w:left="1418" w:hanging="1418"/>
        <w:rPr>
          <w:lang w:val="fr-FR"/>
        </w:rPr>
      </w:pPr>
      <w:r w:rsidRPr="00491BD9">
        <w:rPr>
          <w:lang w:val="fr-FR"/>
        </w:rPr>
        <w:t>13.5.1.1</w:t>
      </w:r>
      <w:r w:rsidRPr="00491BD9">
        <w:rPr>
          <w:lang w:val="fr-FR"/>
        </w:rPr>
        <w:tab/>
        <w:t>Remplacer « une matière explosible instable » par « trop sensible pour être affectée à une division ».</w:t>
      </w:r>
    </w:p>
    <w:p w14:paraId="16DFBE33" w14:textId="77777777" w:rsidR="00CB22AA" w:rsidRPr="00491BD9" w:rsidRDefault="00CB22AA" w:rsidP="00140615">
      <w:pPr>
        <w:pStyle w:val="MBodyTxt"/>
        <w:ind w:left="1418" w:hanging="1418"/>
        <w:rPr>
          <w:lang w:val="fr-FR"/>
        </w:rPr>
      </w:pPr>
      <w:r w:rsidRPr="00491BD9">
        <w:rPr>
          <w:lang w:val="fr-FR"/>
        </w:rPr>
        <w:t>13.5.1.4</w:t>
      </w:r>
      <w:r w:rsidRPr="00491BD9">
        <w:rPr>
          <w:lang w:val="fr-FR"/>
        </w:rPr>
        <w:tab/>
        <w:t>Dans le paragraphe après les alinéas, dans la première phrase, remplacer « une matière explosible instable » par « trop sensible pour être affectée à une division ».</w:t>
      </w:r>
    </w:p>
    <w:p w14:paraId="20907096" w14:textId="77777777" w:rsidR="00CB22AA" w:rsidRPr="00491BD9" w:rsidRDefault="00CB22AA" w:rsidP="00140615">
      <w:pPr>
        <w:pStyle w:val="MBodyTxt"/>
        <w:ind w:left="1418" w:hanging="1418"/>
        <w:rPr>
          <w:lang w:val="fr-FR"/>
        </w:rPr>
      </w:pPr>
      <w:r w:rsidRPr="00491BD9">
        <w:rPr>
          <w:lang w:val="fr-FR"/>
        </w:rPr>
        <w:t>13.5.2.1</w:t>
      </w:r>
      <w:r w:rsidRPr="00491BD9">
        <w:rPr>
          <w:lang w:val="fr-FR"/>
        </w:rPr>
        <w:tab/>
        <w:t>Remplacer « une matière explosible instable » par « trop sensible pour être affectée à une division ».</w:t>
      </w:r>
    </w:p>
    <w:p w14:paraId="603BFDF6" w14:textId="77777777" w:rsidR="00CB22AA" w:rsidRPr="00491BD9" w:rsidRDefault="00CB22AA" w:rsidP="00140615">
      <w:pPr>
        <w:pStyle w:val="MBodyTxt"/>
        <w:ind w:left="1418" w:hanging="1418"/>
        <w:rPr>
          <w:lang w:val="fr-FR"/>
        </w:rPr>
      </w:pPr>
      <w:r w:rsidRPr="00491BD9">
        <w:rPr>
          <w:lang w:val="fr-FR"/>
        </w:rPr>
        <w:t>13.5.2.4</w:t>
      </w:r>
      <w:r w:rsidRPr="00491BD9">
        <w:rPr>
          <w:lang w:val="fr-FR"/>
        </w:rPr>
        <w:tab/>
        <w:t>Dans le paragraphe après les alinéas, dans la première phrase, remplacer « une matière explosible instable » par « trop sensible pour être affectée à une division ».</w:t>
      </w:r>
    </w:p>
    <w:p w14:paraId="788AAD8A" w14:textId="77777777" w:rsidR="00CB22AA" w:rsidRPr="00491BD9" w:rsidRDefault="00CB22AA" w:rsidP="00140615">
      <w:pPr>
        <w:pStyle w:val="MBodyTxt"/>
        <w:ind w:left="1418" w:hanging="1418"/>
        <w:rPr>
          <w:lang w:val="fr-FR"/>
        </w:rPr>
      </w:pPr>
      <w:r w:rsidRPr="00491BD9">
        <w:rPr>
          <w:lang w:val="fr-FR"/>
        </w:rPr>
        <w:t>13.5.3.1</w:t>
      </w:r>
      <w:r w:rsidRPr="00491BD9">
        <w:rPr>
          <w:lang w:val="fr-FR"/>
        </w:rPr>
        <w:tab/>
        <w:t>Remplacer « une matière explosible instable » par « trop sensible pour être affectée à une division ».</w:t>
      </w:r>
    </w:p>
    <w:p w14:paraId="7B308BE7" w14:textId="77777777" w:rsidR="00CB22AA" w:rsidRPr="00491BD9" w:rsidRDefault="00CB22AA" w:rsidP="00140615">
      <w:pPr>
        <w:pStyle w:val="MBodyTxt"/>
        <w:ind w:left="1418" w:hanging="1418"/>
        <w:rPr>
          <w:lang w:val="fr-FR"/>
        </w:rPr>
      </w:pPr>
      <w:r w:rsidRPr="00491BD9">
        <w:rPr>
          <w:lang w:val="fr-FR"/>
        </w:rPr>
        <w:t>13.5.3.4</w:t>
      </w:r>
      <w:r w:rsidRPr="00491BD9">
        <w:rPr>
          <w:lang w:val="fr-FR"/>
        </w:rPr>
        <w:tab/>
        <w:t>Dans le paragraphe après les alinéas, dans la première phrase, remplacer « une matière explosible instable » par « trop sensible pour être affectée à une division ».</w:t>
      </w:r>
    </w:p>
    <w:p w14:paraId="10741807" w14:textId="77777777" w:rsidR="00CB22AA" w:rsidRPr="00491BD9" w:rsidRDefault="00CB22AA" w:rsidP="00140615">
      <w:pPr>
        <w:pStyle w:val="MBodyTxt"/>
        <w:ind w:left="1418" w:hanging="1418"/>
        <w:rPr>
          <w:lang w:val="fr-FR"/>
        </w:rPr>
      </w:pPr>
      <w:r w:rsidRPr="00491BD9">
        <w:rPr>
          <w:lang w:val="fr-FR"/>
        </w:rPr>
        <w:t>13.5.4.1</w:t>
      </w:r>
      <w:r w:rsidRPr="00491BD9">
        <w:rPr>
          <w:lang w:val="fr-FR"/>
        </w:rPr>
        <w:tab/>
        <w:t>Remplacer « une matière explosible instable » par « trop sensible pour être affectée à une division ».</w:t>
      </w:r>
    </w:p>
    <w:p w14:paraId="50CA88CD" w14:textId="77777777" w:rsidR="00CB22AA" w:rsidRPr="00491BD9" w:rsidRDefault="00CB22AA" w:rsidP="00140615">
      <w:pPr>
        <w:pStyle w:val="MBodyTxt"/>
        <w:ind w:left="1418" w:hanging="1418"/>
        <w:rPr>
          <w:lang w:val="fr-FR"/>
        </w:rPr>
      </w:pPr>
      <w:r w:rsidRPr="00491BD9">
        <w:rPr>
          <w:lang w:val="fr-FR"/>
        </w:rPr>
        <w:t>13.5.4.5</w:t>
      </w:r>
      <w:r w:rsidRPr="00491BD9">
        <w:rPr>
          <w:lang w:val="fr-FR"/>
        </w:rPr>
        <w:tab/>
        <w:t>Dans la première phrase, remplacer « une matière explosible instable » par « trop sensible pour être affectée à une division ».</w:t>
      </w:r>
    </w:p>
    <w:p w14:paraId="04EF0C86" w14:textId="77777777" w:rsidR="00CB22AA" w:rsidRPr="00491BD9" w:rsidRDefault="00CB22AA" w:rsidP="00140615">
      <w:pPr>
        <w:pStyle w:val="MBodyTxt"/>
        <w:ind w:left="1418" w:hanging="1418"/>
        <w:rPr>
          <w:lang w:val="fr-FR"/>
        </w:rPr>
      </w:pPr>
      <w:r w:rsidRPr="00491BD9">
        <w:rPr>
          <w:lang w:val="fr-FR"/>
        </w:rPr>
        <w:t>13.6.1.3.1</w:t>
      </w:r>
      <w:r w:rsidRPr="00491BD9">
        <w:rPr>
          <w:lang w:val="fr-FR"/>
        </w:rPr>
        <w:tab/>
      </w:r>
      <w:r w:rsidRPr="00491BD9">
        <w:rPr>
          <w:lang w:val="fr-FR"/>
        </w:rPr>
        <w:tab/>
        <w:t>Remplacer « thermiquement trop instable pour le transport et doit être catégorisée comme une matière explosible instable » par « trop sensible pour être affectée à une division ».</w:t>
      </w:r>
    </w:p>
    <w:p w14:paraId="61C0214E" w14:textId="77777777" w:rsidR="00CB22AA" w:rsidRPr="00491BD9" w:rsidRDefault="00CB22AA" w:rsidP="00140615">
      <w:pPr>
        <w:pStyle w:val="MBodyTxt"/>
        <w:ind w:left="1418" w:hanging="1418"/>
        <w:rPr>
          <w:lang w:val="fr-FR"/>
        </w:rPr>
      </w:pPr>
      <w:r w:rsidRPr="00491BD9">
        <w:rPr>
          <w:lang w:val="fr-FR"/>
        </w:rPr>
        <w:t>13.6.1.4.2</w:t>
      </w:r>
      <w:r w:rsidRPr="00491BD9">
        <w:rPr>
          <w:lang w:val="fr-FR"/>
        </w:rPr>
        <w:tab/>
        <w:t>Remplacer « , doit être catégorisée comme explosible instable et ne doit pas être autorisée pour le transport » par « et donc trop sensible pour être affectée à une division ».</w:t>
      </w:r>
    </w:p>
    <w:p w14:paraId="22CAA91F" w14:textId="77777777" w:rsidR="00CB22AA" w:rsidRPr="00491BD9" w:rsidRDefault="00CB22AA" w:rsidP="00140615">
      <w:pPr>
        <w:pStyle w:val="MBodyTxt"/>
        <w:ind w:left="1418" w:hanging="1418"/>
        <w:rPr>
          <w:lang w:val="fr-FR"/>
        </w:rPr>
      </w:pPr>
      <w:r w:rsidRPr="00491BD9">
        <w:rPr>
          <w:lang w:val="fr-FR"/>
        </w:rPr>
        <w:t>13.6.2.4.2</w:t>
      </w:r>
      <w:r w:rsidRPr="00491BD9">
        <w:rPr>
          <w:lang w:val="fr-FR"/>
        </w:rPr>
        <w:tab/>
        <w:t xml:space="preserve">Remplacer « , doit être catégorisée comme explosible instable et ne doit pas être autorisée pour le transport » par « et donc trop sensible pour être affectée à une division ». </w:t>
      </w:r>
    </w:p>
    <w:p w14:paraId="53C6C06F" w14:textId="77777777" w:rsidR="00CB22AA" w:rsidRPr="00491BD9" w:rsidRDefault="00CB22AA" w:rsidP="00140615">
      <w:pPr>
        <w:pStyle w:val="MBodyTxt"/>
        <w:ind w:left="1418" w:hanging="1418"/>
        <w:rPr>
          <w:lang w:val="fr-FR"/>
        </w:rPr>
      </w:pPr>
      <w:r w:rsidRPr="00491BD9">
        <w:rPr>
          <w:lang w:val="fr-FR"/>
        </w:rPr>
        <w:lastRenderedPageBreak/>
        <w:t>13.7.1.3</w:t>
      </w:r>
      <w:r w:rsidRPr="00491BD9">
        <w:rPr>
          <w:lang w:val="fr-FR"/>
        </w:rPr>
        <w:tab/>
        <w:t>Dans le paragraphe après les alinéas, dans la deuxième phrase, remplacer « une matière explosible instable » par « trop sensible pour être affectée à une division ».</w:t>
      </w:r>
    </w:p>
    <w:p w14:paraId="0AD148AE" w14:textId="50DFC39C" w:rsidR="00CB22AA" w:rsidRPr="00BC5A7F" w:rsidRDefault="00CB22AA" w:rsidP="00BC5A7F">
      <w:pPr>
        <w:pStyle w:val="Man2Head"/>
        <w:rPr>
          <w:sz w:val="24"/>
          <w:szCs w:val="24"/>
        </w:rPr>
      </w:pPr>
      <w:r w:rsidRPr="00BC5A7F">
        <w:rPr>
          <w:sz w:val="24"/>
          <w:szCs w:val="24"/>
        </w:rPr>
        <w:t>Section 14</w:t>
      </w:r>
    </w:p>
    <w:p w14:paraId="19DDF356" w14:textId="77777777" w:rsidR="00CB22AA" w:rsidRPr="00491BD9" w:rsidRDefault="00CB22AA" w:rsidP="00140615">
      <w:pPr>
        <w:pStyle w:val="MBodyTxt"/>
        <w:ind w:left="1418" w:hanging="1418"/>
        <w:rPr>
          <w:lang w:val="fr-FR"/>
        </w:rPr>
      </w:pPr>
      <w:r w:rsidRPr="00491BD9">
        <w:rPr>
          <w:lang w:val="fr-FR"/>
        </w:rPr>
        <w:t>14.1.1</w:t>
      </w:r>
      <w:r w:rsidRPr="00491BD9">
        <w:rPr>
          <w:lang w:val="fr-FR"/>
        </w:rPr>
        <w:tab/>
        <w:t>Dans la première phrase, remplacer « trop dangereux pour être transportés » par « trop sensibles pour être affectés à une division ».</w:t>
      </w:r>
    </w:p>
    <w:p w14:paraId="72CCDF97" w14:textId="77777777" w:rsidR="00CB22AA" w:rsidRPr="00491BD9" w:rsidRDefault="00CB22AA" w:rsidP="00140615">
      <w:pPr>
        <w:pStyle w:val="MBodyTxt"/>
        <w:ind w:left="1418" w:hanging="1418"/>
        <w:rPr>
          <w:lang w:val="fr-FR"/>
        </w:rPr>
      </w:pPr>
      <w:r w:rsidRPr="00491BD9">
        <w:rPr>
          <w:lang w:val="fr-FR"/>
        </w:rPr>
        <w:t>14.4.1.1</w:t>
      </w:r>
      <w:r w:rsidRPr="00491BD9">
        <w:rPr>
          <w:lang w:val="fr-FR"/>
        </w:rPr>
        <w:tab/>
        <w:t>Dans la première phrase, remplacer « trop dangereux pour être transporté » par « trop sensible pour être affecté à une division ».</w:t>
      </w:r>
    </w:p>
    <w:p w14:paraId="38AA8A49" w14:textId="77777777" w:rsidR="00CB22AA" w:rsidRPr="00491BD9" w:rsidRDefault="00CB22AA" w:rsidP="00140615">
      <w:pPr>
        <w:pStyle w:val="MBodyTxt"/>
        <w:ind w:left="1418" w:hanging="1418"/>
        <w:rPr>
          <w:lang w:val="fr-FR"/>
        </w:rPr>
      </w:pPr>
      <w:r w:rsidRPr="00491BD9">
        <w:rPr>
          <w:lang w:val="fr-FR"/>
        </w:rPr>
        <w:t>14.4.1.4</w:t>
      </w:r>
      <w:r w:rsidRPr="00491BD9">
        <w:rPr>
          <w:lang w:val="fr-FR"/>
        </w:rPr>
        <w:tab/>
        <w:t>Dans la première phrase, remplacer « trop dangereux pour être transportés » par « trop sensibles pour être affectés à une division ».</w:t>
      </w:r>
    </w:p>
    <w:p w14:paraId="0187D1B0" w14:textId="77777777" w:rsidR="00CB22AA" w:rsidRPr="00491BD9" w:rsidRDefault="00CB22AA" w:rsidP="00140615">
      <w:pPr>
        <w:pStyle w:val="MBodyTxt"/>
        <w:ind w:left="1418" w:hanging="1418"/>
        <w:rPr>
          <w:lang w:val="fr-FR"/>
        </w:rPr>
      </w:pPr>
      <w:r w:rsidRPr="00491BD9">
        <w:rPr>
          <w:lang w:val="fr-FR"/>
        </w:rPr>
        <w:t>14.5.1.4</w:t>
      </w:r>
      <w:r w:rsidRPr="00491BD9">
        <w:rPr>
          <w:lang w:val="fr-FR"/>
        </w:rPr>
        <w:tab/>
        <w:t>Dans le premier paragraphe, remplacer « trop dangereux pour être transporté » par « trop sensible pour être affecté à une division ».</w:t>
      </w:r>
    </w:p>
    <w:p w14:paraId="52840522" w14:textId="77777777" w:rsidR="00CB22AA" w:rsidRPr="00491BD9" w:rsidRDefault="00CB22AA" w:rsidP="00140615">
      <w:pPr>
        <w:pStyle w:val="MBodyTxt"/>
        <w:ind w:left="1418" w:hanging="1418"/>
        <w:rPr>
          <w:lang w:val="fr-FR"/>
        </w:rPr>
      </w:pPr>
      <w:r w:rsidRPr="00491BD9">
        <w:rPr>
          <w:lang w:val="fr-FR"/>
        </w:rPr>
        <w:t>14.5.2.4</w:t>
      </w:r>
      <w:r w:rsidRPr="00491BD9">
        <w:rPr>
          <w:lang w:val="fr-FR"/>
        </w:rPr>
        <w:tab/>
        <w:t>Dans la première phrase, remplacer « trop dangereux pour être transportés » par « trop sensibles pour être affectés à une division ».</w:t>
      </w:r>
    </w:p>
    <w:p w14:paraId="2DC5CC09" w14:textId="09F3C497" w:rsidR="00CB22AA" w:rsidRPr="00BC5A7F" w:rsidRDefault="00CB22AA" w:rsidP="00BC5A7F">
      <w:pPr>
        <w:pStyle w:val="Man2Head"/>
        <w:rPr>
          <w:sz w:val="24"/>
          <w:szCs w:val="24"/>
        </w:rPr>
      </w:pPr>
      <w:r w:rsidRPr="00BC5A7F">
        <w:rPr>
          <w:sz w:val="24"/>
          <w:szCs w:val="24"/>
        </w:rPr>
        <w:t>Section 20</w:t>
      </w:r>
    </w:p>
    <w:p w14:paraId="18313CAE" w14:textId="77777777" w:rsidR="00CB22AA" w:rsidRDefault="00CB22AA" w:rsidP="00140615">
      <w:pPr>
        <w:pStyle w:val="MBodyTxt"/>
        <w:ind w:left="1418" w:hanging="1418"/>
        <w:rPr>
          <w:lang w:val="fr-FR"/>
        </w:rPr>
      </w:pPr>
      <w:r w:rsidRPr="00491BD9">
        <w:rPr>
          <w:lang w:val="fr-FR"/>
        </w:rPr>
        <w:t>20.3.3.3</w:t>
      </w:r>
      <w:r w:rsidRPr="00491BD9">
        <w:rPr>
          <w:lang w:val="fr-FR"/>
        </w:rPr>
        <w:tab/>
        <w:t>À la première phrase, après « l’analyse calorimétrique différentielle » ajouter « (ACD) ».</w:t>
      </w:r>
      <w:bookmarkStart w:id="0" w:name="_Hlk26426349"/>
    </w:p>
    <w:p w14:paraId="33F196A9" w14:textId="77777777" w:rsidR="00CB22AA" w:rsidRPr="00491BD9" w:rsidRDefault="00CB22AA" w:rsidP="00140615">
      <w:pPr>
        <w:pStyle w:val="MBodyTxt"/>
        <w:ind w:left="1418" w:hanging="1418"/>
        <w:rPr>
          <w:lang w:val="fr-FR"/>
        </w:rPr>
      </w:pPr>
      <w:r>
        <w:rPr>
          <w:lang w:val="fr-FR"/>
        </w:rPr>
        <w:tab/>
      </w:r>
      <w:r w:rsidRPr="00491BD9">
        <w:rPr>
          <w:lang w:val="fr-FR"/>
        </w:rPr>
        <w:t>Modifier la dernière phrase pour lire « Si l’on utilise l’ACD, la température initiale obtenue est définie comme la température à laquelle se produit le premier dégagement de chaleur décelé (à savoir lorsque la valeur de production de chaleur dépasse le niveau de référence). »</w:t>
      </w:r>
      <w:bookmarkEnd w:id="0"/>
    </w:p>
    <w:p w14:paraId="562D94C1" w14:textId="77777777" w:rsidR="00CB22AA" w:rsidRPr="00491BD9" w:rsidRDefault="00CB22AA" w:rsidP="00140615">
      <w:pPr>
        <w:pStyle w:val="MBodyTxt"/>
        <w:ind w:left="1418" w:hanging="1418"/>
        <w:rPr>
          <w:lang w:val="fr-FR"/>
        </w:rPr>
      </w:pPr>
      <w:r w:rsidRPr="00491BD9">
        <w:rPr>
          <w:lang w:val="fr-FR"/>
        </w:rPr>
        <w:t>Ajouter une nouvelle section 20.3.4, libellée comme suit :</w:t>
      </w:r>
    </w:p>
    <w:p w14:paraId="2DB09545" w14:textId="77777777" w:rsidR="00CB22AA" w:rsidRPr="00152A83" w:rsidRDefault="00CB22AA" w:rsidP="00152A83">
      <w:pPr>
        <w:pStyle w:val="Man3Head"/>
        <w:rPr>
          <w:i/>
          <w:iCs/>
        </w:rPr>
      </w:pPr>
      <w:r w:rsidRPr="00491BD9">
        <w:t>« </w:t>
      </w:r>
      <w:r w:rsidRPr="00140615">
        <w:t>20.3.4</w:t>
      </w:r>
      <w:r w:rsidRPr="00491BD9">
        <w:tab/>
      </w:r>
      <w:r w:rsidRPr="00152A83">
        <w:rPr>
          <w:i/>
          <w:iCs/>
        </w:rPr>
        <w:t>Stabilité thermique des échantillons et évaluation de la régulation de la température pour le transport</w:t>
      </w:r>
    </w:p>
    <w:p w14:paraId="6A5B33C8" w14:textId="0E96A171" w:rsidR="00CB22AA" w:rsidRPr="00491BD9" w:rsidRDefault="00CB22AA" w:rsidP="00897015">
      <w:pPr>
        <w:pStyle w:val="MBodyTxt"/>
        <w:rPr>
          <w:lang w:val="fr-FR"/>
        </w:rPr>
      </w:pPr>
      <w:r w:rsidRPr="00491BD9">
        <w:rPr>
          <w:lang w:val="fr-FR"/>
        </w:rPr>
        <w:t>20.3.4.1</w:t>
      </w:r>
      <w:r w:rsidRPr="00491BD9">
        <w:rPr>
          <w:lang w:val="fr-FR"/>
        </w:rPr>
        <w:tab/>
        <w:t xml:space="preserve">Les dispositions de la présente section s’appliquent uniquement aux échantillons qui </w:t>
      </w:r>
      <w:r w:rsidR="00897015">
        <w:rPr>
          <w:lang w:val="fr-FR"/>
        </w:rPr>
        <w:t>satisfont</w:t>
      </w:r>
      <w:r w:rsidR="003B7745">
        <w:rPr>
          <w:lang w:val="fr-FR"/>
        </w:rPr>
        <w:t xml:space="preserve"> au</w:t>
      </w:r>
      <w:r w:rsidRPr="00491BD9">
        <w:rPr>
          <w:lang w:val="fr-FR"/>
        </w:rPr>
        <w:t xml:space="preserve"> 2.4.2.3.2.4 b) </w:t>
      </w:r>
      <w:r w:rsidR="003B7745">
        <w:rPr>
          <w:lang w:val="fr-FR"/>
        </w:rPr>
        <w:t>ou</w:t>
      </w:r>
      <w:r w:rsidR="003B7745" w:rsidRPr="00491BD9">
        <w:rPr>
          <w:lang w:val="fr-FR"/>
        </w:rPr>
        <w:t xml:space="preserve"> </w:t>
      </w:r>
      <w:r w:rsidRPr="00491BD9">
        <w:rPr>
          <w:lang w:val="fr-FR"/>
        </w:rPr>
        <w:t xml:space="preserve">2.5.3.2.5.1 </w:t>
      </w:r>
      <w:r w:rsidR="003B7745">
        <w:rPr>
          <w:lang w:val="fr-FR"/>
        </w:rPr>
        <w:t xml:space="preserve">du </w:t>
      </w:r>
      <w:r w:rsidR="003B7745" w:rsidRPr="00491BD9">
        <w:rPr>
          <w:lang w:val="fr-FR"/>
        </w:rPr>
        <w:t xml:space="preserve">Règlement type </w:t>
      </w:r>
      <w:r w:rsidRPr="00491BD9">
        <w:rPr>
          <w:lang w:val="fr-FR"/>
        </w:rPr>
        <w:t>dans les cas où la TDAA est inconnue.</w:t>
      </w:r>
    </w:p>
    <w:p w14:paraId="47DE76F1" w14:textId="77777777" w:rsidR="00CB22AA" w:rsidRPr="00491BD9" w:rsidRDefault="00CB22AA" w:rsidP="006C14F8">
      <w:pPr>
        <w:pStyle w:val="MBodyTxt"/>
        <w:rPr>
          <w:lang w:val="fr-FR"/>
        </w:rPr>
      </w:pPr>
      <w:r w:rsidRPr="00491BD9">
        <w:rPr>
          <w:lang w:val="fr-FR"/>
        </w:rPr>
        <w:t xml:space="preserve">20.3.4.2 </w:t>
      </w:r>
      <w:r w:rsidRPr="00491BD9">
        <w:rPr>
          <w:lang w:val="fr-FR"/>
        </w:rPr>
        <w:tab/>
        <w:t>Si, dans le cadre d’une ACD, la température initiale de décomposition mesurée conformément au 20.3.3.3 est supérieure ou égale à 160 °C, on peut supposer que la TDAA estimative de l’échantillon est supérieure à 55 °C. Selon le 2.4.2.3.4 du Règlement type, il n’est pas nécessaire de réguler la température en pareil cas. Les épisodes ponctuels de faible dégagement de chaleur (&lt; 20 J/g) précédant la phase de décomposition proprement dite peuvent être négligés.</w:t>
      </w:r>
    </w:p>
    <w:p w14:paraId="3C85DBFC" w14:textId="77777777" w:rsidR="00CB22AA" w:rsidRPr="00491BD9" w:rsidRDefault="00CB22AA" w:rsidP="006C14F8">
      <w:pPr>
        <w:pStyle w:val="MBodyTxt"/>
        <w:rPr>
          <w:lang w:val="fr-FR"/>
        </w:rPr>
      </w:pPr>
      <w:r w:rsidRPr="00491BD9">
        <w:rPr>
          <w:lang w:val="fr-FR"/>
        </w:rPr>
        <w:t>20.3.4.3</w:t>
      </w:r>
      <w:r w:rsidRPr="00491BD9">
        <w:rPr>
          <w:lang w:val="fr-FR"/>
        </w:rPr>
        <w:tab/>
        <w:t xml:space="preserve">Afin de déterminer s’il est nécessaire de réguler la température, on peut exécuter une épreuve de contrainte thermique fondée sur les mesures obtenues par ACD, suivant le protocole ci-après : on procède à l’ACD de l’échantillon tel qu’il est présenté au transport, conformément au 20.3.3.3. Un deuxième échantillon est prélevé puis soumis à une contrainte thermique par échauffement de l’échantillon dans un creuset fermé, à une température constante donnée pendant une période définie. Dans la plupart des cas, on estime qu’un délai de vingt-quatre heures est suffisant. Après avoir subi cette contrainte, l’échantillon est refroidi à la température ambiante et soumis ensuite à l’ACD à la même vitesse de chauffe que précédemment. Si la comparaison des deux ACD montre que les paramètres de décomposition restent inchangés en ce qui concerne la température initiale de décomposition, la forme de la courbe et l’énergie, moyennant une incertitude de 10 %, l’échantillon est jugé stable à la température de contrainte appliquée. Pour les pics peu élevés s’accompagnant d’une production de chaleur maximale de 0,2 W/g, un écart de 25 % est acceptable dans les plages de températures inférieures à 250 °C et supérieures de 40 % à cette limite. Si l’épreuve de contrainte donne un résultat favorable à 60 °C, il n’est pas nécessaire de réguler la température. </w:t>
      </w:r>
    </w:p>
    <w:p w14:paraId="7655239E" w14:textId="77777777" w:rsidR="00CB22AA" w:rsidRPr="00491BD9" w:rsidRDefault="00CB22AA" w:rsidP="006C14F8">
      <w:pPr>
        <w:pStyle w:val="MBodyTxt"/>
        <w:rPr>
          <w:lang w:val="fr-FR"/>
        </w:rPr>
      </w:pPr>
      <w:r w:rsidRPr="00491BD9">
        <w:rPr>
          <w:lang w:val="fr-FR"/>
        </w:rPr>
        <w:lastRenderedPageBreak/>
        <w:t>20.3.4.4</w:t>
      </w:r>
      <w:r w:rsidRPr="00491BD9">
        <w:rPr>
          <w:lang w:val="fr-FR"/>
        </w:rPr>
        <w:tab/>
        <w:t>Si l’épreuve de contrainte donne un résultat défavorable à 60 °C, on applique la même procédure à des températures décroissantes par paliers de 10 K jusqu’à ce que les paramètres de décomposition redeviennent constants. La température correspondante est considérée comme étant la TDAA estimative de l’échantillon, qui permet de déduire la température de régulation et la température critique conformément au 28.2.3 et au tableau 28.2.</w:t>
      </w:r>
    </w:p>
    <w:p w14:paraId="3B4452C5" w14:textId="77777777" w:rsidR="00CB22AA" w:rsidRDefault="00CB22AA" w:rsidP="006C14F8">
      <w:pPr>
        <w:pStyle w:val="MBodyTxt"/>
        <w:rPr>
          <w:lang w:val="fr-FR"/>
        </w:rPr>
      </w:pPr>
      <w:r w:rsidRPr="00491BD9">
        <w:rPr>
          <w:lang w:val="fr-FR"/>
        </w:rPr>
        <w:t>20.3.4.5</w:t>
      </w:r>
      <w:r w:rsidRPr="00491BD9">
        <w:rPr>
          <w:lang w:val="fr-FR"/>
        </w:rPr>
        <w:tab/>
        <w:t>La figure 20.2 donne des exemples d’épreuve de contrainte thermique réussie. La figure 20.3 donne des exemples d’échantillons pour lesquels l’épreuve de contrainte thermique a échoué. Le diagramme logique de la figure 20.4 représente la procédure à suivre.</w:t>
      </w:r>
    </w:p>
    <w:p w14:paraId="47281879" w14:textId="77777777" w:rsidR="00CB22AA" w:rsidRPr="00AA40E6" w:rsidRDefault="00CB22AA" w:rsidP="00CB22AA">
      <w:pPr>
        <w:autoSpaceDE/>
        <w:autoSpaceDN/>
        <w:adjustRightInd/>
        <w:spacing w:after="200" w:line="276" w:lineRule="auto"/>
        <w:rPr>
          <w:b/>
          <w:bCs/>
          <w:lang w:val="fr-FR"/>
        </w:rPr>
      </w:pPr>
      <w:r w:rsidRPr="00AA40E6">
        <w:rPr>
          <w:b/>
          <w:bCs/>
          <w:lang w:val="fr-FR"/>
        </w:rPr>
        <w:br w:type="page"/>
      </w:r>
    </w:p>
    <w:p w14:paraId="683FA9AE" w14:textId="77777777" w:rsidR="00CB22AA" w:rsidRPr="00AA40E6" w:rsidRDefault="00CB22AA" w:rsidP="00FE6321">
      <w:pPr>
        <w:pStyle w:val="MantableHead"/>
        <w:rPr>
          <w:lang w:val="fr-FR"/>
        </w:rPr>
      </w:pPr>
      <w:r w:rsidRPr="00AA40E6">
        <w:rPr>
          <w:lang w:val="fr-FR"/>
        </w:rPr>
        <w:lastRenderedPageBreak/>
        <w:t>Figure 20.2 : Exemples d’échantillons donnant un résultat favorable à l’épreuve de contrainte thermique</w:t>
      </w:r>
    </w:p>
    <w:p w14:paraId="6D5D5C3D" w14:textId="77777777" w:rsidR="00CB22AA" w:rsidRPr="00AA40E6" w:rsidRDefault="00CB22AA" w:rsidP="00CB22AA">
      <w:pPr>
        <w:autoSpaceDE/>
        <w:autoSpaceDN/>
        <w:adjustRightInd/>
        <w:spacing w:after="200" w:line="276" w:lineRule="auto"/>
        <w:rPr>
          <w:b/>
          <w:bCs/>
          <w:lang w:val="fr-FR"/>
        </w:rPr>
      </w:pPr>
      <w:r w:rsidRPr="00AA40E6">
        <w:rPr>
          <w:b/>
          <w:bCs/>
          <w:noProof/>
          <w:lang w:val="fr-FR"/>
        </w:rPr>
        <w:drawing>
          <wp:inline distT="0" distB="0" distL="0" distR="0" wp14:anchorId="47F85659" wp14:editId="1D157ECF">
            <wp:extent cx="6120000" cy="7199253"/>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20000" cy="7199253"/>
                    </a:xfrm>
                    <a:prstGeom prst="rect">
                      <a:avLst/>
                    </a:prstGeom>
                  </pic:spPr>
                </pic:pic>
              </a:graphicData>
            </a:graphic>
          </wp:inline>
        </w:drawing>
      </w:r>
    </w:p>
    <w:tbl>
      <w:tblPr>
        <w:tblStyle w:val="TableGrid"/>
        <w:tblW w:w="850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3798"/>
        <w:gridCol w:w="454"/>
        <w:gridCol w:w="3798"/>
      </w:tblGrid>
      <w:tr w:rsidR="00CB22AA" w:rsidRPr="00FD09A6" w14:paraId="33C4A2B9" w14:textId="77777777" w:rsidTr="00F1580D">
        <w:trPr>
          <w:jc w:val="center"/>
        </w:trPr>
        <w:tc>
          <w:tcPr>
            <w:tcW w:w="454" w:type="dxa"/>
            <w:shd w:val="clear" w:color="auto" w:fill="auto"/>
          </w:tcPr>
          <w:p w14:paraId="31A87CCF" w14:textId="77777777" w:rsidR="00CB22AA" w:rsidRPr="00AA40E6" w:rsidRDefault="00CB22AA" w:rsidP="00F1580D">
            <w:pPr>
              <w:spacing w:before="120" w:after="120" w:line="240" w:lineRule="auto"/>
              <w:rPr>
                <w:rFonts w:asciiTheme="majorBidi" w:hAnsiTheme="majorBidi" w:cstheme="majorBidi"/>
                <w:lang w:val="fr-FR"/>
              </w:rPr>
            </w:pPr>
            <w:r w:rsidRPr="00AA40E6">
              <w:rPr>
                <w:rFonts w:asciiTheme="majorBidi" w:hAnsiTheme="majorBidi" w:cstheme="majorBidi"/>
                <w:lang w:val="fr-FR"/>
              </w:rPr>
              <w:t>(A)</w:t>
            </w:r>
          </w:p>
        </w:tc>
        <w:tc>
          <w:tcPr>
            <w:tcW w:w="3798" w:type="dxa"/>
            <w:shd w:val="clear" w:color="auto" w:fill="auto"/>
          </w:tcPr>
          <w:p w14:paraId="27C8D35D" w14:textId="77777777" w:rsidR="00CB22AA" w:rsidRPr="00AA40E6" w:rsidRDefault="00CB22AA" w:rsidP="00F1580D">
            <w:pPr>
              <w:spacing w:before="120" w:after="120" w:line="240" w:lineRule="auto"/>
              <w:rPr>
                <w:rFonts w:asciiTheme="majorBidi" w:hAnsiTheme="majorBidi" w:cstheme="majorBidi"/>
                <w:lang w:val="fr-FR"/>
              </w:rPr>
            </w:pPr>
            <w:r w:rsidRPr="00AA40E6">
              <w:rPr>
                <w:rFonts w:asciiTheme="majorBidi" w:hAnsiTheme="majorBidi" w:cstheme="majorBidi"/>
                <w:lang w:val="fr-FR"/>
              </w:rPr>
              <w:t>Échantillon après contrainte thermique</w:t>
            </w:r>
          </w:p>
        </w:tc>
        <w:tc>
          <w:tcPr>
            <w:tcW w:w="454" w:type="dxa"/>
            <w:shd w:val="clear" w:color="auto" w:fill="auto"/>
          </w:tcPr>
          <w:p w14:paraId="5E61592C" w14:textId="77777777" w:rsidR="00CB22AA" w:rsidRPr="00AA40E6" w:rsidRDefault="00CB22AA" w:rsidP="00F1580D">
            <w:pPr>
              <w:spacing w:before="120" w:after="120" w:line="240" w:lineRule="auto"/>
              <w:rPr>
                <w:rFonts w:asciiTheme="majorBidi" w:hAnsiTheme="majorBidi" w:cstheme="majorBidi"/>
                <w:lang w:val="fr-FR"/>
              </w:rPr>
            </w:pPr>
            <w:r w:rsidRPr="00AA40E6">
              <w:rPr>
                <w:rFonts w:asciiTheme="majorBidi" w:hAnsiTheme="majorBidi" w:cstheme="majorBidi"/>
                <w:lang w:val="fr-FR"/>
              </w:rPr>
              <w:t>(B)</w:t>
            </w:r>
          </w:p>
        </w:tc>
        <w:tc>
          <w:tcPr>
            <w:tcW w:w="3798" w:type="dxa"/>
            <w:shd w:val="clear" w:color="auto" w:fill="auto"/>
          </w:tcPr>
          <w:p w14:paraId="57A6C446" w14:textId="77777777" w:rsidR="00CB22AA" w:rsidRPr="00AA40E6" w:rsidRDefault="00CB22AA" w:rsidP="00F1580D">
            <w:pPr>
              <w:spacing w:before="120" w:after="120" w:line="240" w:lineRule="auto"/>
              <w:rPr>
                <w:rFonts w:asciiTheme="majorBidi" w:hAnsiTheme="majorBidi" w:cstheme="majorBidi"/>
                <w:lang w:val="fr-FR"/>
              </w:rPr>
            </w:pPr>
            <w:r w:rsidRPr="00AA40E6">
              <w:rPr>
                <w:rFonts w:asciiTheme="majorBidi" w:hAnsiTheme="majorBidi" w:cstheme="majorBidi"/>
                <w:lang w:val="fr-FR"/>
              </w:rPr>
              <w:t>Échantillon initial</w:t>
            </w:r>
          </w:p>
        </w:tc>
      </w:tr>
    </w:tbl>
    <w:p w14:paraId="19A35F43" w14:textId="77777777" w:rsidR="00CB22AA" w:rsidRPr="00AA40E6" w:rsidRDefault="00CB22AA" w:rsidP="00CB22AA">
      <w:pPr>
        <w:autoSpaceDE/>
        <w:autoSpaceDN/>
        <w:adjustRightInd/>
        <w:spacing w:after="200" w:line="276" w:lineRule="auto"/>
        <w:rPr>
          <w:b/>
          <w:bCs/>
          <w:lang w:val="fr-FR"/>
        </w:rPr>
      </w:pPr>
      <w:r w:rsidRPr="00AA40E6">
        <w:rPr>
          <w:b/>
          <w:bCs/>
          <w:lang w:val="fr-FR"/>
        </w:rPr>
        <w:br w:type="page"/>
      </w:r>
    </w:p>
    <w:p w14:paraId="2B8A4ED4" w14:textId="77777777" w:rsidR="00CB22AA" w:rsidRPr="00AA40E6" w:rsidRDefault="00CB22AA" w:rsidP="00FE6321">
      <w:pPr>
        <w:pStyle w:val="MantableHead"/>
        <w:rPr>
          <w:lang w:val="fr-FR"/>
        </w:rPr>
      </w:pPr>
      <w:r w:rsidRPr="00AA40E6">
        <w:rPr>
          <w:lang w:val="fr-FR"/>
        </w:rPr>
        <w:lastRenderedPageBreak/>
        <w:t>Figure 20.2 : Exemples d’échantillons donnant un résultat favorable à l’épreuve de contrainte thermique (suite)</w:t>
      </w:r>
    </w:p>
    <w:p w14:paraId="73FEEB69" w14:textId="77777777" w:rsidR="00CB22AA" w:rsidRPr="00AA40E6" w:rsidRDefault="00CB22AA" w:rsidP="00CB22AA">
      <w:pPr>
        <w:autoSpaceDE/>
        <w:autoSpaceDN/>
        <w:adjustRightInd/>
        <w:spacing w:after="200" w:line="276" w:lineRule="auto"/>
        <w:rPr>
          <w:b/>
          <w:bCs/>
          <w:lang w:val="fr-FR"/>
        </w:rPr>
      </w:pPr>
      <w:r w:rsidRPr="00AA40E6">
        <w:rPr>
          <w:b/>
          <w:bCs/>
          <w:noProof/>
          <w:lang w:val="fr-FR"/>
        </w:rPr>
        <w:drawing>
          <wp:inline distT="0" distB="0" distL="0" distR="0" wp14:anchorId="5CAE82F2" wp14:editId="2DE25D26">
            <wp:extent cx="6120000" cy="719926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20000" cy="7199260"/>
                    </a:xfrm>
                    <a:prstGeom prst="rect">
                      <a:avLst/>
                    </a:prstGeom>
                  </pic:spPr>
                </pic:pic>
              </a:graphicData>
            </a:graphic>
          </wp:inline>
        </w:drawing>
      </w:r>
    </w:p>
    <w:tbl>
      <w:tblPr>
        <w:tblStyle w:val="TableGrid"/>
        <w:tblW w:w="850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3798"/>
        <w:gridCol w:w="454"/>
        <w:gridCol w:w="3798"/>
      </w:tblGrid>
      <w:tr w:rsidR="00CB22AA" w:rsidRPr="00FD09A6" w14:paraId="61BA898A" w14:textId="77777777" w:rsidTr="00F1580D">
        <w:trPr>
          <w:jc w:val="center"/>
        </w:trPr>
        <w:tc>
          <w:tcPr>
            <w:tcW w:w="454" w:type="dxa"/>
            <w:shd w:val="clear" w:color="auto" w:fill="auto"/>
          </w:tcPr>
          <w:p w14:paraId="159A1787" w14:textId="77777777" w:rsidR="00CB22AA" w:rsidRPr="00AA40E6" w:rsidRDefault="00CB22AA" w:rsidP="00F1580D">
            <w:pPr>
              <w:spacing w:before="120" w:after="120" w:line="240" w:lineRule="auto"/>
              <w:rPr>
                <w:rFonts w:asciiTheme="majorBidi" w:hAnsiTheme="majorBidi" w:cstheme="majorBidi"/>
                <w:lang w:val="fr-FR"/>
              </w:rPr>
            </w:pPr>
            <w:r w:rsidRPr="00AA40E6">
              <w:rPr>
                <w:rFonts w:asciiTheme="majorBidi" w:hAnsiTheme="majorBidi" w:cstheme="majorBidi"/>
                <w:lang w:val="fr-FR"/>
              </w:rPr>
              <w:t>(A)</w:t>
            </w:r>
          </w:p>
        </w:tc>
        <w:tc>
          <w:tcPr>
            <w:tcW w:w="3798" w:type="dxa"/>
            <w:shd w:val="clear" w:color="auto" w:fill="auto"/>
          </w:tcPr>
          <w:p w14:paraId="53855D99" w14:textId="77777777" w:rsidR="00CB22AA" w:rsidRPr="00AA40E6" w:rsidRDefault="00CB22AA" w:rsidP="00F1580D">
            <w:pPr>
              <w:spacing w:before="120" w:after="120" w:line="240" w:lineRule="auto"/>
              <w:rPr>
                <w:rFonts w:asciiTheme="majorBidi" w:hAnsiTheme="majorBidi" w:cstheme="majorBidi"/>
                <w:lang w:val="fr-FR"/>
              </w:rPr>
            </w:pPr>
            <w:r w:rsidRPr="00AA40E6">
              <w:rPr>
                <w:rFonts w:asciiTheme="majorBidi" w:hAnsiTheme="majorBidi" w:cstheme="majorBidi"/>
                <w:lang w:val="fr-FR"/>
              </w:rPr>
              <w:t>Échantillon après contrainte thermique</w:t>
            </w:r>
          </w:p>
        </w:tc>
        <w:tc>
          <w:tcPr>
            <w:tcW w:w="454" w:type="dxa"/>
            <w:shd w:val="clear" w:color="auto" w:fill="auto"/>
          </w:tcPr>
          <w:p w14:paraId="3E64A254" w14:textId="77777777" w:rsidR="00CB22AA" w:rsidRPr="00AA40E6" w:rsidRDefault="00CB22AA" w:rsidP="00F1580D">
            <w:pPr>
              <w:spacing w:before="120" w:after="120" w:line="240" w:lineRule="auto"/>
              <w:rPr>
                <w:rFonts w:asciiTheme="majorBidi" w:hAnsiTheme="majorBidi" w:cstheme="majorBidi"/>
                <w:lang w:val="fr-FR"/>
              </w:rPr>
            </w:pPr>
            <w:r w:rsidRPr="00AA40E6">
              <w:rPr>
                <w:rFonts w:asciiTheme="majorBidi" w:hAnsiTheme="majorBidi" w:cstheme="majorBidi"/>
                <w:lang w:val="fr-FR"/>
              </w:rPr>
              <w:t>(B)</w:t>
            </w:r>
          </w:p>
        </w:tc>
        <w:tc>
          <w:tcPr>
            <w:tcW w:w="3798" w:type="dxa"/>
            <w:shd w:val="clear" w:color="auto" w:fill="auto"/>
          </w:tcPr>
          <w:p w14:paraId="35B45200" w14:textId="77777777" w:rsidR="00CB22AA" w:rsidRPr="00AA40E6" w:rsidRDefault="00CB22AA" w:rsidP="00F1580D">
            <w:pPr>
              <w:spacing w:before="120" w:after="120" w:line="240" w:lineRule="auto"/>
              <w:rPr>
                <w:rFonts w:asciiTheme="majorBidi" w:hAnsiTheme="majorBidi" w:cstheme="majorBidi"/>
                <w:lang w:val="fr-FR"/>
              </w:rPr>
            </w:pPr>
            <w:r w:rsidRPr="00AA40E6">
              <w:rPr>
                <w:rFonts w:asciiTheme="majorBidi" w:hAnsiTheme="majorBidi" w:cstheme="majorBidi"/>
                <w:lang w:val="fr-FR"/>
              </w:rPr>
              <w:t>Échantillon initial</w:t>
            </w:r>
          </w:p>
        </w:tc>
      </w:tr>
    </w:tbl>
    <w:p w14:paraId="4C3B4E2C" w14:textId="77777777" w:rsidR="00CB22AA" w:rsidRPr="00AA40E6" w:rsidRDefault="00CB22AA" w:rsidP="00CB22AA">
      <w:pPr>
        <w:autoSpaceDE/>
        <w:autoSpaceDN/>
        <w:adjustRightInd/>
        <w:spacing w:after="200" w:line="276" w:lineRule="auto"/>
        <w:rPr>
          <w:b/>
          <w:bCs/>
          <w:lang w:val="fr-FR"/>
        </w:rPr>
      </w:pPr>
      <w:r w:rsidRPr="00AA40E6">
        <w:rPr>
          <w:b/>
          <w:bCs/>
          <w:lang w:val="fr-FR"/>
        </w:rPr>
        <w:br w:type="page"/>
      </w:r>
    </w:p>
    <w:p w14:paraId="1A32BC10" w14:textId="0F2BCF5E" w:rsidR="00CB22AA" w:rsidRPr="00AA40E6" w:rsidRDefault="00CB22AA" w:rsidP="00570480">
      <w:pPr>
        <w:pStyle w:val="MantableHead"/>
        <w:rPr>
          <w:lang w:val="fr-FR"/>
        </w:rPr>
      </w:pPr>
      <w:r w:rsidRPr="00AA40E6">
        <w:rPr>
          <w:lang w:val="fr-FR"/>
        </w:rPr>
        <w:lastRenderedPageBreak/>
        <w:t>Figure 20.3 : Exemples d’échantillons donnant un résultat défavorable à l’épreuve de contrainte thermique</w:t>
      </w:r>
    </w:p>
    <w:p w14:paraId="27656FA1" w14:textId="1EBEF788" w:rsidR="00CB22AA" w:rsidRPr="00AA40E6" w:rsidRDefault="00FE6321" w:rsidP="00CB22AA">
      <w:pPr>
        <w:pStyle w:val="SingleTxtG"/>
        <w:ind w:left="0" w:right="0"/>
        <w:rPr>
          <w:lang w:val="fr-FR"/>
        </w:rPr>
      </w:pPr>
      <w:r w:rsidRPr="00AA40E6">
        <w:rPr>
          <w:noProof/>
          <w:lang w:val="fr-FR"/>
        </w:rPr>
        <w:drawing>
          <wp:anchor distT="0" distB="0" distL="114300" distR="114300" simplePos="0" relativeHeight="251658240" behindDoc="0" locked="0" layoutInCell="1" allowOverlap="1" wp14:anchorId="601C4F79" wp14:editId="3DACC1A7">
            <wp:simplePos x="0" y="0"/>
            <wp:positionH relativeFrom="column">
              <wp:posOffset>3810</wp:posOffset>
            </wp:positionH>
            <wp:positionV relativeFrom="paragraph">
              <wp:posOffset>87630</wp:posOffset>
            </wp:positionV>
            <wp:extent cx="6118860" cy="6146800"/>
            <wp:effectExtent l="0" t="0" r="0" b="0"/>
            <wp:wrapSquare wrapText="bothSides"/>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t="5454" b="9140"/>
                    <a:stretch/>
                  </pic:blipFill>
                  <pic:spPr bwMode="auto">
                    <a:xfrm>
                      <a:off x="0" y="0"/>
                      <a:ext cx="6118860" cy="6146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TableGrid"/>
        <w:tblW w:w="8931" w:type="dxa"/>
        <w:tblInd w:w="56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3941"/>
        <w:gridCol w:w="454"/>
        <w:gridCol w:w="4082"/>
      </w:tblGrid>
      <w:tr w:rsidR="00CB22AA" w:rsidRPr="00FD09A6" w14:paraId="644F8D7D" w14:textId="77777777" w:rsidTr="00133E6A">
        <w:tc>
          <w:tcPr>
            <w:tcW w:w="454" w:type="dxa"/>
            <w:shd w:val="clear" w:color="auto" w:fill="auto"/>
          </w:tcPr>
          <w:p w14:paraId="797847B4" w14:textId="77777777" w:rsidR="00CB22AA" w:rsidRPr="00AA40E6" w:rsidRDefault="00CB22AA" w:rsidP="00F1580D">
            <w:pPr>
              <w:spacing w:before="120" w:after="120" w:line="240" w:lineRule="auto"/>
              <w:rPr>
                <w:rFonts w:asciiTheme="majorBidi" w:hAnsiTheme="majorBidi" w:cstheme="majorBidi"/>
                <w:lang w:val="fr-FR"/>
              </w:rPr>
            </w:pPr>
            <w:r w:rsidRPr="00AA40E6">
              <w:rPr>
                <w:rFonts w:asciiTheme="majorBidi" w:hAnsiTheme="majorBidi" w:cstheme="majorBidi"/>
                <w:lang w:val="fr-FR"/>
              </w:rPr>
              <w:t>(A)</w:t>
            </w:r>
          </w:p>
        </w:tc>
        <w:tc>
          <w:tcPr>
            <w:tcW w:w="3941" w:type="dxa"/>
            <w:shd w:val="clear" w:color="auto" w:fill="auto"/>
          </w:tcPr>
          <w:p w14:paraId="1663CAE4" w14:textId="77777777" w:rsidR="00CB22AA" w:rsidRPr="00AA40E6" w:rsidRDefault="00CB22AA" w:rsidP="00133E6A">
            <w:pPr>
              <w:spacing w:before="120" w:after="120" w:line="240" w:lineRule="auto"/>
              <w:jc w:val="left"/>
              <w:rPr>
                <w:rFonts w:asciiTheme="majorBidi" w:hAnsiTheme="majorBidi" w:cstheme="majorBidi"/>
                <w:lang w:val="fr-FR"/>
              </w:rPr>
            </w:pPr>
            <w:r w:rsidRPr="00AA40E6">
              <w:rPr>
                <w:rFonts w:asciiTheme="majorBidi" w:hAnsiTheme="majorBidi" w:cstheme="majorBidi"/>
                <w:lang w:val="fr-FR"/>
              </w:rPr>
              <w:t>Échantillon après contrainte thermique</w:t>
            </w:r>
          </w:p>
        </w:tc>
        <w:tc>
          <w:tcPr>
            <w:tcW w:w="454" w:type="dxa"/>
            <w:shd w:val="clear" w:color="auto" w:fill="auto"/>
          </w:tcPr>
          <w:p w14:paraId="0D6B421B" w14:textId="77777777" w:rsidR="00CB22AA" w:rsidRPr="00AA40E6" w:rsidRDefault="00CB22AA" w:rsidP="00133E6A">
            <w:pPr>
              <w:spacing w:before="120" w:after="120" w:line="240" w:lineRule="auto"/>
              <w:jc w:val="left"/>
              <w:rPr>
                <w:rFonts w:asciiTheme="majorBidi" w:hAnsiTheme="majorBidi" w:cstheme="majorBidi"/>
                <w:lang w:val="fr-FR"/>
              </w:rPr>
            </w:pPr>
            <w:r w:rsidRPr="00AA40E6">
              <w:rPr>
                <w:rFonts w:asciiTheme="majorBidi" w:hAnsiTheme="majorBidi" w:cstheme="majorBidi"/>
                <w:lang w:val="fr-FR"/>
              </w:rPr>
              <w:t>(B)</w:t>
            </w:r>
          </w:p>
        </w:tc>
        <w:tc>
          <w:tcPr>
            <w:tcW w:w="4082" w:type="dxa"/>
            <w:shd w:val="clear" w:color="auto" w:fill="auto"/>
          </w:tcPr>
          <w:p w14:paraId="66D3BEE7" w14:textId="77777777" w:rsidR="00CB22AA" w:rsidRPr="00AA40E6" w:rsidRDefault="00CB22AA" w:rsidP="00133E6A">
            <w:pPr>
              <w:spacing w:before="120" w:after="120" w:line="240" w:lineRule="auto"/>
              <w:jc w:val="left"/>
              <w:rPr>
                <w:rFonts w:asciiTheme="majorBidi" w:hAnsiTheme="majorBidi" w:cstheme="majorBidi"/>
                <w:lang w:val="fr-FR"/>
              </w:rPr>
            </w:pPr>
            <w:r w:rsidRPr="00AA40E6">
              <w:rPr>
                <w:rFonts w:asciiTheme="majorBidi" w:hAnsiTheme="majorBidi" w:cstheme="majorBidi"/>
                <w:lang w:val="fr-FR"/>
              </w:rPr>
              <w:t>Échantillon initial</w:t>
            </w:r>
          </w:p>
        </w:tc>
      </w:tr>
      <w:tr w:rsidR="00CB22AA" w:rsidRPr="00FD09A6" w14:paraId="3B0CBBF6" w14:textId="77777777" w:rsidTr="00133E6A">
        <w:tc>
          <w:tcPr>
            <w:tcW w:w="454" w:type="dxa"/>
            <w:shd w:val="clear" w:color="auto" w:fill="auto"/>
          </w:tcPr>
          <w:p w14:paraId="5AF3F1FD" w14:textId="77777777" w:rsidR="00CB22AA" w:rsidRPr="00AA40E6" w:rsidRDefault="00CB22AA" w:rsidP="00F1580D">
            <w:pPr>
              <w:spacing w:before="120" w:after="120" w:line="240" w:lineRule="auto"/>
              <w:rPr>
                <w:rFonts w:asciiTheme="majorBidi" w:hAnsiTheme="majorBidi" w:cstheme="majorBidi"/>
                <w:lang w:val="fr-FR"/>
              </w:rPr>
            </w:pPr>
            <w:r w:rsidRPr="00AA40E6">
              <w:rPr>
                <w:rFonts w:asciiTheme="majorBidi" w:hAnsiTheme="majorBidi" w:cstheme="majorBidi"/>
                <w:lang w:val="fr-FR"/>
              </w:rPr>
              <w:t>(C)</w:t>
            </w:r>
          </w:p>
        </w:tc>
        <w:tc>
          <w:tcPr>
            <w:tcW w:w="3941" w:type="dxa"/>
            <w:shd w:val="clear" w:color="auto" w:fill="auto"/>
          </w:tcPr>
          <w:p w14:paraId="5B97613B" w14:textId="77777777" w:rsidR="00CB22AA" w:rsidRPr="00AA40E6" w:rsidRDefault="00CB22AA" w:rsidP="00133E6A">
            <w:pPr>
              <w:spacing w:before="120" w:after="120" w:line="240" w:lineRule="auto"/>
              <w:jc w:val="left"/>
              <w:rPr>
                <w:rFonts w:asciiTheme="majorBidi" w:hAnsiTheme="majorBidi" w:cstheme="majorBidi"/>
                <w:lang w:val="fr-FR"/>
              </w:rPr>
            </w:pPr>
            <w:r>
              <w:rPr>
                <w:lang w:val="fr-FR"/>
              </w:rPr>
              <w:t xml:space="preserve">Échec : </w:t>
            </w:r>
            <w:r w:rsidRPr="00765C53">
              <w:rPr>
                <w:lang w:val="fr-FR"/>
              </w:rPr>
              <w:t>différence de forme des</w:t>
            </w:r>
            <w:r>
              <w:rPr>
                <w:lang w:val="fr-FR"/>
              </w:rPr>
              <w:t xml:space="preserve"> pics</w:t>
            </w:r>
          </w:p>
        </w:tc>
        <w:tc>
          <w:tcPr>
            <w:tcW w:w="454" w:type="dxa"/>
            <w:shd w:val="clear" w:color="auto" w:fill="auto"/>
          </w:tcPr>
          <w:p w14:paraId="597A0AF8" w14:textId="77777777" w:rsidR="00CB22AA" w:rsidRPr="00AA40E6" w:rsidRDefault="00CB22AA" w:rsidP="00133E6A">
            <w:pPr>
              <w:spacing w:before="120" w:after="120" w:line="240" w:lineRule="auto"/>
              <w:jc w:val="left"/>
              <w:rPr>
                <w:rFonts w:asciiTheme="majorBidi" w:hAnsiTheme="majorBidi" w:cstheme="majorBidi"/>
                <w:lang w:val="fr-FR"/>
              </w:rPr>
            </w:pPr>
            <w:r w:rsidRPr="00AA40E6">
              <w:rPr>
                <w:rFonts w:asciiTheme="majorBidi" w:hAnsiTheme="majorBidi" w:cstheme="majorBidi"/>
                <w:lang w:val="fr-FR"/>
              </w:rPr>
              <w:t>(D)</w:t>
            </w:r>
          </w:p>
        </w:tc>
        <w:tc>
          <w:tcPr>
            <w:tcW w:w="4082" w:type="dxa"/>
            <w:shd w:val="clear" w:color="auto" w:fill="auto"/>
          </w:tcPr>
          <w:p w14:paraId="3A03B392" w14:textId="77777777" w:rsidR="00CB22AA" w:rsidRPr="00AA40E6" w:rsidRDefault="00CB22AA" w:rsidP="00133E6A">
            <w:pPr>
              <w:spacing w:before="120" w:after="120" w:line="240" w:lineRule="auto"/>
              <w:jc w:val="left"/>
              <w:rPr>
                <w:rFonts w:asciiTheme="majorBidi" w:hAnsiTheme="majorBidi" w:cstheme="majorBidi"/>
                <w:lang w:val="fr-FR"/>
              </w:rPr>
            </w:pPr>
            <w:r w:rsidRPr="00AA40E6">
              <w:rPr>
                <w:rFonts w:asciiTheme="majorBidi" w:hAnsiTheme="majorBidi" w:cstheme="majorBidi"/>
                <w:lang w:val="fr-FR"/>
              </w:rPr>
              <w:t>Échec : détérioration (perte d’énergie &gt; 10 %)</w:t>
            </w:r>
          </w:p>
        </w:tc>
      </w:tr>
      <w:tr w:rsidR="00CB22AA" w:rsidRPr="00FD09A6" w14:paraId="5378DC7A" w14:textId="77777777" w:rsidTr="00133E6A">
        <w:tc>
          <w:tcPr>
            <w:tcW w:w="454" w:type="dxa"/>
            <w:shd w:val="clear" w:color="auto" w:fill="auto"/>
          </w:tcPr>
          <w:p w14:paraId="729390A0" w14:textId="77777777" w:rsidR="00CB22AA" w:rsidRPr="00AA40E6" w:rsidRDefault="00CB22AA" w:rsidP="00F1580D">
            <w:pPr>
              <w:spacing w:before="120" w:after="120" w:line="240" w:lineRule="auto"/>
              <w:rPr>
                <w:rFonts w:asciiTheme="majorBidi" w:hAnsiTheme="majorBidi" w:cstheme="majorBidi"/>
                <w:lang w:val="fr-FR"/>
              </w:rPr>
            </w:pPr>
            <w:r w:rsidRPr="00AA40E6">
              <w:rPr>
                <w:rFonts w:asciiTheme="majorBidi" w:hAnsiTheme="majorBidi" w:cstheme="majorBidi"/>
                <w:lang w:val="fr-FR"/>
              </w:rPr>
              <w:t>(E)</w:t>
            </w:r>
          </w:p>
        </w:tc>
        <w:tc>
          <w:tcPr>
            <w:tcW w:w="3941" w:type="dxa"/>
            <w:shd w:val="clear" w:color="auto" w:fill="auto"/>
          </w:tcPr>
          <w:p w14:paraId="2220362C" w14:textId="77777777" w:rsidR="00CB22AA" w:rsidRPr="00AA40E6" w:rsidRDefault="00CB22AA" w:rsidP="00133E6A">
            <w:pPr>
              <w:spacing w:before="120" w:after="120" w:line="240" w:lineRule="auto"/>
              <w:jc w:val="left"/>
              <w:rPr>
                <w:rFonts w:asciiTheme="majorBidi" w:hAnsiTheme="majorBidi" w:cstheme="majorBidi"/>
                <w:lang w:val="fr-FR"/>
              </w:rPr>
            </w:pPr>
            <w:r w:rsidRPr="00AA40E6">
              <w:rPr>
                <w:rFonts w:asciiTheme="majorBidi" w:hAnsiTheme="majorBidi" w:cstheme="majorBidi"/>
                <w:lang w:val="fr-FR"/>
              </w:rPr>
              <w:t>Échec : différence de forme des pics malgré une perte d’énergie acceptable</w:t>
            </w:r>
          </w:p>
        </w:tc>
        <w:tc>
          <w:tcPr>
            <w:tcW w:w="454" w:type="dxa"/>
            <w:shd w:val="clear" w:color="auto" w:fill="auto"/>
          </w:tcPr>
          <w:p w14:paraId="48CB0D20" w14:textId="77777777" w:rsidR="00CB22AA" w:rsidRPr="00AA40E6" w:rsidRDefault="00CB22AA" w:rsidP="00133E6A">
            <w:pPr>
              <w:spacing w:before="120" w:after="120" w:line="240" w:lineRule="auto"/>
              <w:jc w:val="left"/>
              <w:rPr>
                <w:rFonts w:asciiTheme="majorBidi" w:hAnsiTheme="majorBidi" w:cstheme="majorBidi"/>
                <w:lang w:val="fr-FR"/>
              </w:rPr>
            </w:pPr>
            <w:r w:rsidRPr="00AA40E6">
              <w:rPr>
                <w:rFonts w:asciiTheme="majorBidi" w:hAnsiTheme="majorBidi" w:cstheme="majorBidi"/>
                <w:lang w:val="fr-FR"/>
              </w:rPr>
              <w:t>(F)</w:t>
            </w:r>
          </w:p>
        </w:tc>
        <w:tc>
          <w:tcPr>
            <w:tcW w:w="4082" w:type="dxa"/>
            <w:shd w:val="clear" w:color="auto" w:fill="auto"/>
          </w:tcPr>
          <w:p w14:paraId="30C367FB" w14:textId="77777777" w:rsidR="00CB22AA" w:rsidRPr="00AA40E6" w:rsidRDefault="00CB22AA" w:rsidP="00133E6A">
            <w:pPr>
              <w:spacing w:before="120" w:after="120" w:line="240" w:lineRule="auto"/>
              <w:jc w:val="left"/>
              <w:rPr>
                <w:rFonts w:asciiTheme="majorBidi" w:hAnsiTheme="majorBidi" w:cstheme="majorBidi"/>
                <w:lang w:val="fr-FR"/>
              </w:rPr>
            </w:pPr>
            <w:r w:rsidRPr="00AA40E6">
              <w:rPr>
                <w:rFonts w:asciiTheme="majorBidi" w:hAnsiTheme="majorBidi" w:cstheme="majorBidi"/>
                <w:lang w:val="fr-FR"/>
              </w:rPr>
              <w:t>Superposition des courbes</w:t>
            </w:r>
          </w:p>
        </w:tc>
      </w:tr>
      <w:tr w:rsidR="00CB22AA" w:rsidRPr="00FD09A6" w14:paraId="22CC053A" w14:textId="77777777" w:rsidTr="00133E6A">
        <w:tc>
          <w:tcPr>
            <w:tcW w:w="454" w:type="dxa"/>
            <w:shd w:val="clear" w:color="auto" w:fill="auto"/>
          </w:tcPr>
          <w:p w14:paraId="5EAF1B6C" w14:textId="77777777" w:rsidR="00CB22AA" w:rsidRPr="00AA40E6" w:rsidRDefault="00CB22AA" w:rsidP="00F1580D">
            <w:pPr>
              <w:spacing w:before="120" w:after="120" w:line="240" w:lineRule="auto"/>
              <w:rPr>
                <w:rFonts w:asciiTheme="majorBidi" w:hAnsiTheme="majorBidi" w:cstheme="majorBidi"/>
                <w:lang w:val="fr-FR"/>
              </w:rPr>
            </w:pPr>
            <w:r w:rsidRPr="00AA40E6">
              <w:rPr>
                <w:rFonts w:asciiTheme="majorBidi" w:hAnsiTheme="majorBidi" w:cstheme="majorBidi"/>
                <w:lang w:val="fr-FR"/>
              </w:rPr>
              <w:t>(G)</w:t>
            </w:r>
          </w:p>
        </w:tc>
        <w:tc>
          <w:tcPr>
            <w:tcW w:w="3941" w:type="dxa"/>
            <w:shd w:val="clear" w:color="auto" w:fill="auto"/>
          </w:tcPr>
          <w:p w14:paraId="7EBBD5AC" w14:textId="77777777" w:rsidR="00CB22AA" w:rsidRPr="00AA40E6" w:rsidRDefault="00CB22AA" w:rsidP="00133E6A">
            <w:pPr>
              <w:spacing w:before="120" w:after="120" w:line="240" w:lineRule="auto"/>
              <w:jc w:val="left"/>
              <w:rPr>
                <w:rFonts w:asciiTheme="majorBidi" w:hAnsiTheme="majorBidi" w:cstheme="majorBidi"/>
                <w:lang w:val="fr-FR"/>
              </w:rPr>
            </w:pPr>
            <w:r w:rsidRPr="00AA40E6">
              <w:rPr>
                <w:rFonts w:asciiTheme="majorBidi" w:hAnsiTheme="majorBidi" w:cstheme="majorBidi"/>
                <w:lang w:val="fr-FR"/>
              </w:rPr>
              <w:t>Portion du pic manquante après une contrainte thermique</w:t>
            </w:r>
          </w:p>
        </w:tc>
        <w:tc>
          <w:tcPr>
            <w:tcW w:w="454" w:type="dxa"/>
            <w:shd w:val="clear" w:color="auto" w:fill="auto"/>
          </w:tcPr>
          <w:p w14:paraId="070126B7" w14:textId="77777777" w:rsidR="00CB22AA" w:rsidRPr="00AA40E6" w:rsidRDefault="00CB22AA" w:rsidP="00133E6A">
            <w:pPr>
              <w:spacing w:before="120" w:after="120" w:line="240" w:lineRule="auto"/>
              <w:jc w:val="left"/>
              <w:rPr>
                <w:rFonts w:asciiTheme="majorBidi" w:hAnsiTheme="majorBidi" w:cstheme="majorBidi"/>
                <w:lang w:val="fr-FR"/>
              </w:rPr>
            </w:pPr>
          </w:p>
        </w:tc>
        <w:tc>
          <w:tcPr>
            <w:tcW w:w="4082" w:type="dxa"/>
            <w:shd w:val="clear" w:color="auto" w:fill="auto"/>
          </w:tcPr>
          <w:p w14:paraId="5236FE71" w14:textId="77777777" w:rsidR="00CB22AA" w:rsidRPr="00AA40E6" w:rsidRDefault="00CB22AA" w:rsidP="00133E6A">
            <w:pPr>
              <w:spacing w:before="120" w:after="120" w:line="240" w:lineRule="auto"/>
              <w:jc w:val="left"/>
              <w:rPr>
                <w:rFonts w:asciiTheme="majorBidi" w:hAnsiTheme="majorBidi" w:cstheme="majorBidi"/>
                <w:lang w:val="fr-FR"/>
              </w:rPr>
            </w:pPr>
          </w:p>
        </w:tc>
      </w:tr>
    </w:tbl>
    <w:p w14:paraId="07F14330" w14:textId="77777777" w:rsidR="00CB22AA" w:rsidRDefault="00CB22AA" w:rsidP="00CB22AA">
      <w:pPr>
        <w:autoSpaceDE/>
        <w:autoSpaceDN/>
        <w:adjustRightInd/>
        <w:spacing w:after="200" w:line="276" w:lineRule="auto"/>
        <w:rPr>
          <w:b/>
          <w:bCs/>
          <w:iCs/>
          <w:lang w:val="fr-FR"/>
        </w:rPr>
      </w:pPr>
      <w:r>
        <w:rPr>
          <w:b/>
          <w:bCs/>
          <w:iCs/>
          <w:lang w:val="fr-FR"/>
        </w:rPr>
        <w:br w:type="page"/>
      </w:r>
    </w:p>
    <w:p w14:paraId="4DAB35FE" w14:textId="77777777" w:rsidR="00CB22AA" w:rsidRPr="00AA40E6" w:rsidRDefault="00CB22AA" w:rsidP="000E6854">
      <w:pPr>
        <w:pStyle w:val="MantableHead"/>
        <w:rPr>
          <w:iCs/>
          <w:lang w:val="fr-FR"/>
        </w:rPr>
      </w:pPr>
      <w:r w:rsidRPr="00AA40E6">
        <w:rPr>
          <w:iCs/>
          <w:lang w:val="fr-FR"/>
        </w:rPr>
        <w:lastRenderedPageBreak/>
        <w:t xml:space="preserve">Figure 20.4 : </w:t>
      </w:r>
      <w:r w:rsidRPr="00AA40E6">
        <w:rPr>
          <w:lang w:val="fr-FR"/>
        </w:rPr>
        <w:t>Diagramme logique concernant l’évaluation de la stabilité thermique des échantillons conformément au 20.3.4</w:t>
      </w:r>
    </w:p>
    <w:bookmarkStart w:id="1" w:name="_Hlk48224962"/>
    <w:p w14:paraId="3C433BE6" w14:textId="77777777" w:rsidR="00CB22AA" w:rsidRPr="00491BD9" w:rsidRDefault="00CB22AA" w:rsidP="00CB22AA">
      <w:pPr>
        <w:pStyle w:val="SingleTxtG"/>
        <w:rPr>
          <w:lang w:val="fr-FR"/>
        </w:rPr>
      </w:pPr>
      <w:r w:rsidRPr="00491BD9">
        <w:rPr>
          <w:lang w:val="fr-FR"/>
        </w:rPr>
        <w:object w:dxaOrig="8610" w:dyaOrig="10450" w14:anchorId="4BD89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95pt;height:437.4pt" o:ole="">
            <v:imagedata r:id="rId24" o:title=""/>
          </v:shape>
          <o:OLEObject Type="Embed" ProgID="Visio.Drawing.15" ShapeID="_x0000_i1025" DrawAspect="Content" ObjectID="_1685264720" r:id="rId25"/>
        </w:object>
      </w:r>
      <w:bookmarkEnd w:id="1"/>
    </w:p>
    <w:p w14:paraId="7A5DAC3C" w14:textId="12A01EDC" w:rsidR="00CB22AA" w:rsidRPr="00491BD9" w:rsidRDefault="00CB22AA" w:rsidP="000E6854">
      <w:pPr>
        <w:pStyle w:val="ManTxtnote"/>
      </w:pPr>
      <w:r w:rsidRPr="00491BD9">
        <w:rPr>
          <w:b/>
          <w:bCs/>
        </w:rPr>
        <w:t>NOTA</w:t>
      </w:r>
      <w:r w:rsidR="000E6854">
        <w:rPr>
          <w:b/>
          <w:bCs/>
        </w:rPr>
        <w:t xml:space="preserve"> </w:t>
      </w:r>
      <w:r w:rsidRPr="00491BD9">
        <w:rPr>
          <w:b/>
          <w:bCs/>
        </w:rPr>
        <w:t>1</w:t>
      </w:r>
      <w:r w:rsidRPr="00491BD9">
        <w:rPr>
          <w:b/>
        </w:rPr>
        <w:t> :</w:t>
      </w:r>
      <w:r w:rsidR="000E6854">
        <w:rPr>
          <w:b/>
        </w:rPr>
        <w:tab/>
      </w:r>
      <w:r w:rsidRPr="00491BD9">
        <w:t xml:space="preserve">Les épisodes ponctuels de faible dégagement de chaleur (&lt; 20 J/g) précédant la phase de décomposition proprement dite peuvent être négligés. </w:t>
      </w:r>
    </w:p>
    <w:p w14:paraId="76A57726" w14:textId="23CC9D8A" w:rsidR="00CB22AA" w:rsidRPr="00491BD9" w:rsidRDefault="00CB22AA" w:rsidP="000E6854">
      <w:pPr>
        <w:pStyle w:val="ManTxtnote"/>
      </w:pPr>
      <w:r w:rsidRPr="00491BD9">
        <w:rPr>
          <w:b/>
          <w:bCs/>
        </w:rPr>
        <w:t>2 :</w:t>
      </w:r>
      <w:r w:rsidR="000E6854">
        <w:tab/>
      </w:r>
      <w:r w:rsidRPr="00491BD9">
        <w:t xml:space="preserve">Marge de tolérance générale pour la comparaison d’énergie résultant de l’incertitude de mesure : 10 %. Pour les pics peu élevés s’accompagnant d’une production de chaleur maximale de 0,2 W/g, </w:t>
      </w:r>
      <w:r w:rsidRPr="00491BD9">
        <w:rPr>
          <w:bCs/>
        </w:rPr>
        <w:t xml:space="preserve">un écart </w:t>
      </w:r>
      <w:r w:rsidRPr="00491BD9">
        <w:t>de 25 % est acceptable dans les plages de température inférieures à 250 °C, et de 40 % au-dessus de cette limite. ».</w:t>
      </w:r>
    </w:p>
    <w:p w14:paraId="44D8E8A9" w14:textId="2A0FB1BB" w:rsidR="00CB22AA" w:rsidRPr="00140615" w:rsidRDefault="000E6854" w:rsidP="00140615">
      <w:pPr>
        <w:pStyle w:val="MBodyTxt"/>
        <w:ind w:left="1418" w:hanging="1418"/>
        <w:rPr>
          <w:lang w:val="fr-FR"/>
        </w:rPr>
      </w:pPr>
      <w:r>
        <w:rPr>
          <w:lang w:val="fr-FR"/>
        </w:rPr>
        <w:tab/>
      </w:r>
      <w:r w:rsidR="00CB22AA" w:rsidRPr="00491BD9">
        <w:rPr>
          <w:lang w:val="fr-FR"/>
        </w:rPr>
        <w:t xml:space="preserve">Renuméroter les </w:t>
      </w:r>
      <w:r w:rsidR="00CB22AA" w:rsidRPr="00140615">
        <w:rPr>
          <w:lang w:val="fr-FR"/>
        </w:rPr>
        <w:t>figures 20.2 et 20.3 en tant que figures 20.5 et 20.6 respectivement et mettre à jour les références croisées au paragraphe 20.5.1.</w:t>
      </w:r>
    </w:p>
    <w:p w14:paraId="50627EF9" w14:textId="1A7779DC" w:rsidR="00CB22AA" w:rsidRDefault="00CB22AA" w:rsidP="00BC5A7F">
      <w:pPr>
        <w:pStyle w:val="Man2Head"/>
        <w:rPr>
          <w:sz w:val="24"/>
          <w:szCs w:val="24"/>
        </w:rPr>
      </w:pPr>
      <w:r w:rsidRPr="00BC5A7F">
        <w:rPr>
          <w:sz w:val="24"/>
          <w:szCs w:val="24"/>
        </w:rPr>
        <w:t>Section 28</w:t>
      </w:r>
    </w:p>
    <w:p w14:paraId="748A9ED3" w14:textId="42023DCA" w:rsidR="0013031D" w:rsidRDefault="001464CB" w:rsidP="0013031D">
      <w:pPr>
        <w:pStyle w:val="MBodyTxt"/>
        <w:rPr>
          <w:lang w:val="fr-FR"/>
        </w:rPr>
      </w:pPr>
      <w:r w:rsidRPr="001464CB">
        <w:rPr>
          <w:lang w:val="fr-FR"/>
        </w:rPr>
        <w:t>Modifier pour lire comme suit :</w:t>
      </w:r>
    </w:p>
    <w:p w14:paraId="6B095196" w14:textId="179C3A02" w:rsidR="00566609" w:rsidRPr="001464CB" w:rsidRDefault="00566609" w:rsidP="0013031D">
      <w:pPr>
        <w:pStyle w:val="MBodyTxt"/>
        <w:rPr>
          <w:lang w:val="fr-FR"/>
        </w:rPr>
      </w:pPr>
      <w:r>
        <w:rPr>
          <w:lang w:val="fr-FR"/>
        </w:rPr>
        <w:t>« </w:t>
      </w:r>
    </w:p>
    <w:p w14:paraId="55295032" w14:textId="77777777" w:rsidR="00941EF3" w:rsidRPr="00AA40E6" w:rsidRDefault="00941EF3" w:rsidP="00941EF3">
      <w:pPr>
        <w:keepNext/>
        <w:keepLines/>
        <w:numPr>
          <w:ilvl w:val="12"/>
          <w:numId w:val="0"/>
        </w:numPr>
        <w:spacing w:after="240"/>
        <w:jc w:val="center"/>
        <w:rPr>
          <w:b/>
          <w:sz w:val="26"/>
          <w:szCs w:val="26"/>
          <w:lang w:val="fr-FR" w:eastAsia="fr-FR"/>
        </w:rPr>
      </w:pPr>
      <w:r w:rsidRPr="00AA40E6">
        <w:rPr>
          <w:b/>
          <w:sz w:val="26"/>
          <w:szCs w:val="26"/>
          <w:lang w:val="fr-FR" w:eastAsia="fr-FR"/>
        </w:rPr>
        <w:lastRenderedPageBreak/>
        <w:t>SECTION 28</w:t>
      </w:r>
      <w:r w:rsidRPr="00AA40E6">
        <w:rPr>
          <w:b/>
          <w:sz w:val="26"/>
          <w:szCs w:val="26"/>
          <w:lang w:val="fr-FR" w:eastAsia="fr-FR"/>
        </w:rPr>
        <w:br/>
      </w:r>
      <w:r w:rsidRPr="00AA40E6">
        <w:rPr>
          <w:b/>
          <w:sz w:val="26"/>
          <w:szCs w:val="26"/>
          <w:lang w:val="fr-FR" w:eastAsia="fr-FR"/>
        </w:rPr>
        <w:br/>
        <w:t>ÉPREUVES DE LA SÉRIE H</w:t>
      </w:r>
    </w:p>
    <w:p w14:paraId="2CF6708C" w14:textId="77777777" w:rsidR="00941EF3" w:rsidRPr="00AA40E6" w:rsidRDefault="00941EF3" w:rsidP="00941EF3">
      <w:pPr>
        <w:keepNext/>
        <w:keepLines/>
        <w:numPr>
          <w:ilvl w:val="12"/>
          <w:numId w:val="0"/>
        </w:numPr>
        <w:tabs>
          <w:tab w:val="left" w:pos="1418"/>
        </w:tabs>
        <w:spacing w:before="240" w:after="240"/>
        <w:rPr>
          <w:b/>
          <w:bCs/>
          <w:szCs w:val="22"/>
          <w:lang w:val="fr-FR" w:eastAsia="fr-FR"/>
        </w:rPr>
      </w:pPr>
      <w:r w:rsidRPr="00AA40E6">
        <w:rPr>
          <w:b/>
          <w:bCs/>
          <w:lang w:val="fr-FR" w:eastAsia="fr-FR"/>
        </w:rPr>
        <w:t>28.1</w:t>
      </w:r>
      <w:r w:rsidRPr="00AA40E6">
        <w:rPr>
          <w:b/>
          <w:bCs/>
          <w:lang w:val="fr-FR" w:eastAsia="fr-FR"/>
        </w:rPr>
        <w:tab/>
        <w:t>Introduction</w:t>
      </w:r>
    </w:p>
    <w:p w14:paraId="0548714C" w14:textId="1132B0A8" w:rsidR="00941EF3" w:rsidRPr="00AA40E6" w:rsidRDefault="00941EF3" w:rsidP="00941EF3">
      <w:pPr>
        <w:numPr>
          <w:ilvl w:val="12"/>
          <w:numId w:val="0"/>
        </w:numPr>
        <w:tabs>
          <w:tab w:val="left" w:pos="1418"/>
        </w:tabs>
        <w:spacing w:after="240"/>
        <w:rPr>
          <w:lang w:val="fr-FR" w:eastAsia="fr-FR"/>
        </w:rPr>
      </w:pPr>
      <w:r w:rsidRPr="00AA40E6">
        <w:rPr>
          <w:lang w:val="fr-FR" w:eastAsia="fr-FR"/>
        </w:rPr>
        <w:t>28.1.1</w:t>
      </w:r>
      <w:r w:rsidRPr="00AA40E6">
        <w:rPr>
          <w:lang w:val="fr-FR" w:eastAsia="fr-FR"/>
        </w:rPr>
        <w:tab/>
        <w:t xml:space="preserve">Cette série d'épreuves comprend des méthodes permettant de déterminer </w:t>
      </w:r>
      <w:bookmarkStart w:id="2" w:name="_Hlk65576404"/>
      <w:r w:rsidRPr="00AA40E6">
        <w:rPr>
          <w:lang w:val="fr-FR" w:eastAsia="fr-FR"/>
        </w:rPr>
        <w:t xml:space="preserve">la  température de décomposition auto-accélérée ou point de décomposition exothermique (TDAA) </w:t>
      </w:r>
      <w:r w:rsidRPr="00AA40E6">
        <w:rPr>
          <w:spacing w:val="-2"/>
          <w:lang w:val="fr-FR" w:eastAsia="fr-FR"/>
        </w:rPr>
        <w:t>et la température de polymérisation auto-accélérée (TPAA)</w:t>
      </w:r>
      <w:bookmarkEnd w:id="2"/>
      <w:r w:rsidRPr="00AA40E6">
        <w:rPr>
          <w:lang w:val="fr-FR" w:eastAsia="fr-FR"/>
        </w:rPr>
        <w:t xml:space="preserve">. La TDAA est définie comme la température minimale à laquelle la décomposition auto-accélérée d'une matière peut se produire dans l'emballage utilisé. La TPAA est </w:t>
      </w:r>
      <w:r w:rsidRPr="00AA40E6">
        <w:rPr>
          <w:iCs/>
          <w:lang w:val="fr-FR" w:eastAsia="fr-FR"/>
        </w:rPr>
        <w:t>définie comme la température minimale à laquelle la polymérisation auto</w:t>
      </w:r>
      <w:r w:rsidRPr="00AA40E6">
        <w:rPr>
          <w:iCs/>
          <w:lang w:val="fr-FR" w:eastAsia="fr-FR"/>
        </w:rPr>
        <w:noBreakHyphen/>
        <w:t xml:space="preserve">accélérée d’une matière peut se produire dans l’emballage. </w:t>
      </w:r>
      <w:r w:rsidRPr="00AA40E6">
        <w:rPr>
          <w:lang w:val="fr-FR" w:eastAsia="fr-FR"/>
        </w:rPr>
        <w:t>La TDAA et la TPAA sont des mesures de l'effet combiné de la température ambiante, de la cinétique de la réaction, des dimensions du colis et des propriétés de transfert de la chaleur, de la matière et de son emballage. Pour faciliter l’interprétation des résultats, les modèles suivants peuvent être utilisés :</w:t>
      </w:r>
      <w:r w:rsidRPr="00AA40E6">
        <w:rPr>
          <w:rStyle w:val="FootnoteReference"/>
          <w:lang w:val="fr-FR" w:eastAsia="fr-FR"/>
        </w:rPr>
        <w:footnoteReference w:customMarkFollows="1" w:id="2"/>
        <w:t>1</w:t>
      </w:r>
    </w:p>
    <w:p w14:paraId="472F1A32" w14:textId="77777777" w:rsidR="00941EF3" w:rsidRPr="00AA40E6" w:rsidRDefault="00941EF3" w:rsidP="00941EF3">
      <w:pPr>
        <w:tabs>
          <w:tab w:val="left" w:pos="-1440"/>
          <w:tab w:val="left" w:pos="-142"/>
          <w:tab w:val="left" w:pos="1985"/>
          <w:tab w:val="left" w:pos="11518"/>
        </w:tabs>
        <w:autoSpaceDE/>
        <w:adjustRightInd/>
        <w:spacing w:after="120"/>
        <w:ind w:left="1985" w:hanging="567"/>
        <w:rPr>
          <w:szCs w:val="20"/>
          <w:lang w:val="fr-FR"/>
        </w:rPr>
      </w:pPr>
      <w:r w:rsidRPr="00AA40E6">
        <w:rPr>
          <w:szCs w:val="20"/>
          <w:lang w:val="fr-FR"/>
        </w:rPr>
        <w:t>a)</w:t>
      </w:r>
      <w:r w:rsidRPr="00AA40E6">
        <w:rPr>
          <w:szCs w:val="20"/>
          <w:lang w:val="fr-FR"/>
        </w:rPr>
        <w:tab/>
        <w:t>Le modèle de Semenov, dans lequel la principale résistance au transfert de chaleur se trouve à la périphérie (c’est à dire au niveau de l’emballage). Ce modèle est généralement applicable aux liquides homogènes mais peut également être appliqué aux matières solides dans les emballages (à l’exclusion des GRV) ;</w:t>
      </w:r>
    </w:p>
    <w:p w14:paraId="750CC2BB" w14:textId="77777777" w:rsidR="00941EF3" w:rsidRPr="00AA40E6" w:rsidRDefault="00941EF3" w:rsidP="00941EF3">
      <w:pPr>
        <w:tabs>
          <w:tab w:val="left" w:pos="-1440"/>
          <w:tab w:val="left" w:pos="-142"/>
          <w:tab w:val="left" w:pos="1985"/>
          <w:tab w:val="left" w:pos="11518"/>
        </w:tabs>
        <w:autoSpaceDE/>
        <w:adjustRightInd/>
        <w:spacing w:after="120"/>
        <w:ind w:left="1985" w:hanging="567"/>
        <w:rPr>
          <w:szCs w:val="20"/>
          <w:lang w:val="fr-FR"/>
        </w:rPr>
      </w:pPr>
      <w:r w:rsidRPr="00AA40E6">
        <w:rPr>
          <w:szCs w:val="20"/>
          <w:lang w:val="fr-FR"/>
        </w:rPr>
        <w:t>b)</w:t>
      </w:r>
      <w:r w:rsidRPr="00AA40E6">
        <w:rPr>
          <w:szCs w:val="20"/>
          <w:lang w:val="fr-FR"/>
        </w:rPr>
        <w:tab/>
        <w:t>Le modèle de Frank-</w:t>
      </w:r>
      <w:proofErr w:type="spellStart"/>
      <w:r w:rsidRPr="00AA40E6">
        <w:rPr>
          <w:szCs w:val="20"/>
          <w:lang w:val="fr-FR"/>
        </w:rPr>
        <w:t>Kamenetskii</w:t>
      </w:r>
      <w:proofErr w:type="spellEnd"/>
      <w:r w:rsidRPr="00AA40E6">
        <w:rPr>
          <w:szCs w:val="20"/>
          <w:lang w:val="fr-FR"/>
        </w:rPr>
        <w:t>, dans lequel la principale résistance au transfert de chaleur se trouve à l’intérieur de la matière. Ce modèle est généralement applicable aux matières solides contenues dans des emballages plus grands, des GRV ou des citernes ;</w:t>
      </w:r>
    </w:p>
    <w:p w14:paraId="05978695" w14:textId="77777777" w:rsidR="00941EF3" w:rsidRPr="00AA40E6" w:rsidRDefault="00941EF3" w:rsidP="00941EF3">
      <w:pPr>
        <w:tabs>
          <w:tab w:val="left" w:pos="-1440"/>
          <w:tab w:val="left" w:pos="-142"/>
          <w:tab w:val="left" w:pos="1985"/>
          <w:tab w:val="left" w:pos="11518"/>
        </w:tabs>
        <w:autoSpaceDE/>
        <w:adjustRightInd/>
        <w:spacing w:after="120"/>
        <w:ind w:left="1985" w:hanging="567"/>
        <w:rPr>
          <w:szCs w:val="20"/>
          <w:lang w:val="fr-FR"/>
        </w:rPr>
      </w:pPr>
      <w:r w:rsidRPr="00AA40E6">
        <w:rPr>
          <w:szCs w:val="20"/>
          <w:lang w:val="fr-FR"/>
        </w:rPr>
        <w:t>c)</w:t>
      </w:r>
      <w:r w:rsidRPr="00AA40E6">
        <w:rPr>
          <w:szCs w:val="20"/>
          <w:lang w:val="fr-FR"/>
        </w:rPr>
        <w:tab/>
        <w:t>Le modèle de Thomas, dans lequel la résistance au transfert de chaleur se situe à la fois à la périphérie et dans la matière ;</w:t>
      </w:r>
    </w:p>
    <w:p w14:paraId="19006F9D" w14:textId="75FD1AFB" w:rsidR="00941EF3" w:rsidRPr="00AA40E6" w:rsidRDefault="00941EF3" w:rsidP="00941EF3">
      <w:pPr>
        <w:tabs>
          <w:tab w:val="left" w:pos="-1440"/>
          <w:tab w:val="left" w:pos="-142"/>
          <w:tab w:val="left" w:pos="1985"/>
          <w:tab w:val="left" w:pos="11518"/>
        </w:tabs>
        <w:autoSpaceDE/>
        <w:adjustRightInd/>
        <w:spacing w:after="120"/>
        <w:ind w:left="1985" w:hanging="567"/>
        <w:rPr>
          <w:szCs w:val="20"/>
          <w:lang w:val="fr-FR"/>
        </w:rPr>
      </w:pPr>
      <w:r w:rsidRPr="00AA40E6">
        <w:rPr>
          <w:szCs w:val="20"/>
          <w:lang w:val="fr-FR"/>
        </w:rPr>
        <w:t>d)</w:t>
      </w:r>
      <w:r w:rsidRPr="00AA40E6">
        <w:rPr>
          <w:szCs w:val="20"/>
          <w:lang w:val="fr-FR"/>
        </w:rPr>
        <w:tab/>
        <w:t>Les modèles non stationnaires, par exemple les méthodes par éléments finis, ou la méthode de la mécanique numérique des fluides, combinés avec des méthodes thermocinétiques.</w:t>
      </w:r>
    </w:p>
    <w:p w14:paraId="40C6AA35" w14:textId="77777777" w:rsidR="00941EF3" w:rsidRPr="00AA40E6" w:rsidRDefault="00941EF3" w:rsidP="00941EF3">
      <w:pPr>
        <w:numPr>
          <w:ilvl w:val="12"/>
          <w:numId w:val="0"/>
        </w:numPr>
        <w:tabs>
          <w:tab w:val="left" w:pos="1418"/>
        </w:tabs>
        <w:spacing w:after="240"/>
        <w:rPr>
          <w:szCs w:val="22"/>
          <w:lang w:val="fr-FR" w:eastAsia="fr-FR"/>
        </w:rPr>
      </w:pPr>
      <w:r w:rsidRPr="00AA40E6">
        <w:rPr>
          <w:lang w:val="fr-FR" w:eastAsia="fr-FR"/>
        </w:rPr>
        <w:t>28.1.2</w:t>
      </w:r>
      <w:r w:rsidRPr="00AA40E6">
        <w:rPr>
          <w:lang w:val="fr-FR" w:eastAsia="fr-FR"/>
        </w:rPr>
        <w:tab/>
        <w:t>Ce texte devrait être utilisé conjointement avec les prescriptions applicables à la régulation de la température qui figurent à la sous-section 2.5.3.4 du Règlement type.</w:t>
      </w:r>
    </w:p>
    <w:p w14:paraId="6748CBDA"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28.1.3</w:t>
      </w:r>
      <w:r w:rsidRPr="00AA40E6">
        <w:rPr>
          <w:lang w:val="fr-FR" w:eastAsia="fr-FR"/>
        </w:rPr>
        <w:tab/>
        <w:t>La TDAA tout comme la TPAA peuvent être influencées par des facteurs tels que le vieillissement de l’échantillon ou la présence d’agents stabilisants ou d’impuretés dans l’échantillon (provenant notamment des matériaux d’emballage en contact avec la matière). Ces éventuels facteurs devraient être pris en compte dans l’évaluation des résultats de la détermination d’une TDAA ou d’une TPAA.</w:t>
      </w:r>
    </w:p>
    <w:p w14:paraId="6EC154D1" w14:textId="77777777" w:rsidR="00941EF3" w:rsidRPr="00AA40E6" w:rsidRDefault="00941EF3" w:rsidP="00941EF3">
      <w:pPr>
        <w:keepNext/>
        <w:keepLines/>
        <w:numPr>
          <w:ilvl w:val="12"/>
          <w:numId w:val="0"/>
        </w:numPr>
        <w:tabs>
          <w:tab w:val="left" w:pos="1418"/>
        </w:tabs>
        <w:spacing w:after="240"/>
        <w:rPr>
          <w:b/>
          <w:lang w:val="fr-FR" w:eastAsia="fr-FR"/>
        </w:rPr>
      </w:pPr>
      <w:r w:rsidRPr="00AA40E6">
        <w:rPr>
          <w:b/>
          <w:lang w:val="fr-FR" w:eastAsia="fr-FR"/>
        </w:rPr>
        <w:t>28.2</w:t>
      </w:r>
      <w:r w:rsidRPr="00AA40E6">
        <w:rPr>
          <w:b/>
          <w:lang w:val="fr-FR" w:eastAsia="fr-FR"/>
        </w:rPr>
        <w:tab/>
        <w:t>Méthodes d'épreuve</w:t>
      </w:r>
    </w:p>
    <w:p w14:paraId="09DFC1FA"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28.2.1</w:t>
      </w:r>
      <w:r w:rsidRPr="00AA40E6">
        <w:rPr>
          <w:lang w:val="fr-FR" w:eastAsia="fr-FR"/>
        </w:rPr>
        <w:tab/>
        <w:t xml:space="preserve">La série H comprend des épreuves et des critères concernant la stabilité thermique des matières ou relatifs aux résultats permettant de déterminer si une matière répond à la définition d'une matière </w:t>
      </w:r>
      <w:proofErr w:type="spellStart"/>
      <w:r w:rsidRPr="00AA40E6">
        <w:rPr>
          <w:lang w:val="fr-FR" w:eastAsia="fr-FR"/>
        </w:rPr>
        <w:t>autoréactive</w:t>
      </w:r>
      <w:proofErr w:type="spellEnd"/>
      <w:r w:rsidRPr="00AA40E6">
        <w:rPr>
          <w:lang w:val="fr-FR" w:eastAsia="fr-FR"/>
        </w:rPr>
        <w:t xml:space="preserve"> ou d’une matière qui polymérise.</w:t>
      </w:r>
    </w:p>
    <w:p w14:paraId="68214499"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28.2.2</w:t>
      </w:r>
      <w:r w:rsidRPr="00AA40E6">
        <w:rPr>
          <w:lang w:val="fr-FR" w:eastAsia="fr-FR"/>
        </w:rPr>
        <w:tab/>
        <w:t>Chaque épreuve comporte soit le stockage à une température externe constante et l'observation de toute réaction se produisant, soit le stockage dans des conditions quasi-adiabatiques et la mesure du taux de dégagement de chaleur en fonction de la température. Le tableau 28.1 présente les méthodes d'épreuve de la série H. Chacune des méthodes énumérées est utilisable pour les matières solides, les liquides, les matières pâteuses et les dispersions.</w:t>
      </w:r>
    </w:p>
    <w:p w14:paraId="5F5184EF" w14:textId="3515F99B" w:rsidR="00941EF3" w:rsidRPr="00AA40E6" w:rsidRDefault="00941EF3" w:rsidP="00B7596F">
      <w:pPr>
        <w:keepNext/>
        <w:keepLines/>
        <w:spacing w:after="200"/>
        <w:jc w:val="center"/>
        <w:rPr>
          <w:rFonts w:ascii="Times New Roman Bold" w:hAnsi="Times New Roman Bold"/>
          <w:b/>
          <w:bCs/>
          <w:szCs w:val="20"/>
          <w:lang w:val="fr-FR" w:eastAsia="fr-FR"/>
        </w:rPr>
      </w:pPr>
      <w:r w:rsidRPr="00AA40E6">
        <w:rPr>
          <w:rFonts w:ascii="Times New Roman Bold" w:hAnsi="Times New Roman Bold"/>
          <w:b/>
          <w:bCs/>
          <w:szCs w:val="20"/>
          <w:lang w:val="fr-FR" w:eastAsia="fr-FR"/>
        </w:rPr>
        <w:lastRenderedPageBreak/>
        <w:t>Tableau 28.1</w:t>
      </w:r>
      <w:r w:rsidR="007C2C00">
        <w:rPr>
          <w:rFonts w:ascii="Times New Roman Bold" w:hAnsi="Times New Roman Bold" w:hint="eastAsia"/>
          <w:b/>
          <w:bCs/>
          <w:szCs w:val="20"/>
          <w:lang w:val="fr-FR" w:eastAsia="fr-FR"/>
        </w:rPr>
        <w:t> </w:t>
      </w:r>
      <w:r w:rsidRPr="00AA40E6">
        <w:rPr>
          <w:rFonts w:ascii="Times New Roman Bold" w:hAnsi="Times New Roman Bold"/>
          <w:b/>
          <w:bCs/>
          <w:szCs w:val="20"/>
          <w:lang w:val="fr-FR" w:eastAsia="fr-FR"/>
        </w:rPr>
        <w:t>: Méthodes d'épreuve de la série H</w:t>
      </w:r>
    </w:p>
    <w:tbl>
      <w:tblPr>
        <w:tblW w:w="5000" w:type="pct"/>
        <w:tblCellMar>
          <w:left w:w="120" w:type="dxa"/>
          <w:right w:w="120" w:type="dxa"/>
        </w:tblCellMar>
        <w:tblLook w:val="04A0" w:firstRow="1" w:lastRow="0" w:firstColumn="1" w:lastColumn="0" w:noHBand="0" w:noVBand="1"/>
      </w:tblPr>
      <w:tblGrid>
        <w:gridCol w:w="1359"/>
        <w:gridCol w:w="6635"/>
        <w:gridCol w:w="1644"/>
      </w:tblGrid>
      <w:tr w:rsidR="00941EF3" w14:paraId="2C91B91C" w14:textId="77777777" w:rsidTr="00941EF3">
        <w:trPr>
          <w:cantSplit/>
        </w:trPr>
        <w:tc>
          <w:tcPr>
            <w:tcW w:w="705" w:type="pct"/>
            <w:tcBorders>
              <w:top w:val="single" w:sz="8" w:space="0" w:color="auto"/>
              <w:left w:val="nil"/>
              <w:bottom w:val="single" w:sz="8" w:space="0" w:color="auto"/>
              <w:right w:val="nil"/>
            </w:tcBorders>
            <w:vAlign w:val="bottom"/>
            <w:hideMark/>
          </w:tcPr>
          <w:p w14:paraId="3B6FB8C9" w14:textId="77777777" w:rsidR="00941EF3" w:rsidRPr="00AA40E6" w:rsidRDefault="00941EF3" w:rsidP="00B7596F">
            <w:pPr>
              <w:keepNext/>
              <w:keepLines/>
              <w:numPr>
                <w:ilvl w:val="12"/>
                <w:numId w:val="0"/>
              </w:numPr>
              <w:spacing w:before="40" w:after="40"/>
              <w:rPr>
                <w:rFonts w:eastAsia="SimSun"/>
                <w:b/>
                <w:bCs/>
                <w:sz w:val="24"/>
                <w:lang w:val="fr-FR" w:eastAsia="fr-FR"/>
              </w:rPr>
            </w:pPr>
            <w:r w:rsidRPr="00AA40E6">
              <w:rPr>
                <w:rFonts w:eastAsia="SimSun"/>
                <w:b/>
                <w:bCs/>
                <w:sz w:val="20"/>
                <w:szCs w:val="20"/>
                <w:lang w:val="fr-FR" w:eastAsia="fr-FR"/>
              </w:rPr>
              <w:t>Code</w:t>
            </w:r>
          </w:p>
        </w:tc>
        <w:tc>
          <w:tcPr>
            <w:tcW w:w="3442" w:type="pct"/>
            <w:tcBorders>
              <w:top w:val="single" w:sz="8" w:space="0" w:color="auto"/>
              <w:left w:val="nil"/>
              <w:bottom w:val="single" w:sz="8" w:space="0" w:color="auto"/>
              <w:right w:val="nil"/>
            </w:tcBorders>
            <w:vAlign w:val="bottom"/>
            <w:hideMark/>
          </w:tcPr>
          <w:p w14:paraId="4810CE76" w14:textId="77777777" w:rsidR="00941EF3" w:rsidRPr="00AA40E6" w:rsidRDefault="00941EF3" w:rsidP="00B7596F">
            <w:pPr>
              <w:keepNext/>
              <w:keepLines/>
              <w:numPr>
                <w:ilvl w:val="12"/>
                <w:numId w:val="0"/>
              </w:numPr>
              <w:spacing w:before="40" w:after="40"/>
              <w:rPr>
                <w:rFonts w:eastAsia="SimSun"/>
                <w:b/>
                <w:bCs/>
                <w:sz w:val="24"/>
                <w:lang w:val="fr-FR" w:eastAsia="fr-FR"/>
              </w:rPr>
            </w:pPr>
            <w:r w:rsidRPr="00AA40E6">
              <w:rPr>
                <w:rFonts w:eastAsia="SimSun"/>
                <w:b/>
                <w:bCs/>
                <w:sz w:val="20"/>
                <w:lang w:val="fr-FR" w:eastAsia="fr-FR"/>
              </w:rPr>
              <w:t>Nom de l'épreuve</w:t>
            </w:r>
          </w:p>
        </w:tc>
        <w:tc>
          <w:tcPr>
            <w:tcW w:w="853" w:type="pct"/>
            <w:tcBorders>
              <w:top w:val="single" w:sz="8" w:space="0" w:color="auto"/>
              <w:left w:val="nil"/>
              <w:bottom w:val="single" w:sz="8" w:space="0" w:color="auto"/>
              <w:right w:val="nil"/>
            </w:tcBorders>
            <w:vAlign w:val="bottom"/>
            <w:hideMark/>
          </w:tcPr>
          <w:p w14:paraId="47CD5DBB" w14:textId="77777777" w:rsidR="00941EF3" w:rsidRPr="00AA40E6" w:rsidRDefault="00941EF3" w:rsidP="00B7596F">
            <w:pPr>
              <w:keepNext/>
              <w:keepLines/>
              <w:numPr>
                <w:ilvl w:val="12"/>
                <w:numId w:val="0"/>
              </w:numPr>
              <w:spacing w:before="40" w:after="40"/>
              <w:rPr>
                <w:rFonts w:eastAsia="SimSun"/>
                <w:b/>
                <w:bCs/>
                <w:sz w:val="20"/>
                <w:szCs w:val="20"/>
                <w:lang w:val="fr-FR" w:eastAsia="fr-FR"/>
              </w:rPr>
            </w:pPr>
            <w:r w:rsidRPr="00AA40E6">
              <w:rPr>
                <w:rFonts w:eastAsia="SimSun"/>
                <w:b/>
                <w:bCs/>
                <w:sz w:val="20"/>
                <w:szCs w:val="20"/>
                <w:lang w:val="fr-FR" w:eastAsia="fr-FR"/>
              </w:rPr>
              <w:t>Section</w:t>
            </w:r>
          </w:p>
        </w:tc>
      </w:tr>
      <w:tr w:rsidR="00941EF3" w14:paraId="4EE108A8" w14:textId="77777777" w:rsidTr="00941EF3">
        <w:trPr>
          <w:cantSplit/>
        </w:trPr>
        <w:tc>
          <w:tcPr>
            <w:tcW w:w="705" w:type="pct"/>
            <w:tcBorders>
              <w:top w:val="single" w:sz="8" w:space="0" w:color="auto"/>
              <w:left w:val="nil"/>
              <w:bottom w:val="nil"/>
              <w:right w:val="nil"/>
            </w:tcBorders>
            <w:vAlign w:val="bottom"/>
            <w:hideMark/>
          </w:tcPr>
          <w:p w14:paraId="6D772968" w14:textId="77777777" w:rsidR="00941EF3" w:rsidRPr="00AA40E6" w:rsidRDefault="00941EF3" w:rsidP="00B7596F">
            <w:pPr>
              <w:keepNext/>
              <w:keepLines/>
              <w:numPr>
                <w:ilvl w:val="12"/>
                <w:numId w:val="0"/>
              </w:numPr>
              <w:spacing w:before="40" w:after="40"/>
              <w:rPr>
                <w:rFonts w:eastAsia="SimSun"/>
                <w:sz w:val="24"/>
                <w:lang w:val="fr-FR" w:eastAsia="fr-FR"/>
              </w:rPr>
            </w:pPr>
            <w:r w:rsidRPr="00AA40E6">
              <w:rPr>
                <w:rFonts w:eastAsia="SimSun"/>
                <w:sz w:val="20"/>
                <w:szCs w:val="20"/>
                <w:lang w:val="fr-FR" w:eastAsia="fr-FR"/>
              </w:rPr>
              <w:t>H.1</w:t>
            </w:r>
          </w:p>
        </w:tc>
        <w:tc>
          <w:tcPr>
            <w:tcW w:w="3442" w:type="pct"/>
            <w:tcBorders>
              <w:top w:val="single" w:sz="8" w:space="0" w:color="auto"/>
              <w:left w:val="nil"/>
              <w:bottom w:val="nil"/>
              <w:right w:val="nil"/>
            </w:tcBorders>
            <w:hideMark/>
          </w:tcPr>
          <w:p w14:paraId="0F7C6A81" w14:textId="1AE37503" w:rsidR="00941EF3" w:rsidRPr="00AA40E6" w:rsidRDefault="00941EF3" w:rsidP="00B7596F">
            <w:pPr>
              <w:keepNext/>
              <w:keepLines/>
              <w:numPr>
                <w:ilvl w:val="12"/>
                <w:numId w:val="0"/>
              </w:numPr>
              <w:spacing w:before="40" w:after="40"/>
              <w:rPr>
                <w:rFonts w:eastAsia="SimSun"/>
                <w:sz w:val="24"/>
                <w:lang w:val="fr-FR" w:eastAsia="fr-FR"/>
              </w:rPr>
            </w:pPr>
            <w:r w:rsidRPr="00AA40E6">
              <w:rPr>
                <w:rFonts w:eastAsia="SimSun"/>
                <w:sz w:val="20"/>
                <w:lang w:val="fr-FR" w:eastAsia="fr-FR"/>
              </w:rPr>
              <w:t xml:space="preserve">Épreuve TDAA/TPAA des États-Unis </w:t>
            </w:r>
            <w:r w:rsidRPr="00AA40E6">
              <w:rPr>
                <w:rFonts w:eastAsia="SimSun"/>
                <w:b/>
                <w:bCs/>
                <w:sz w:val="20"/>
                <w:szCs w:val="20"/>
                <w:vertAlign w:val="superscript"/>
                <w:lang w:val="fr-FR" w:eastAsia="fr-FR"/>
              </w:rPr>
              <w:t>a</w:t>
            </w:r>
          </w:p>
        </w:tc>
        <w:tc>
          <w:tcPr>
            <w:tcW w:w="853" w:type="pct"/>
            <w:tcBorders>
              <w:top w:val="single" w:sz="8" w:space="0" w:color="auto"/>
              <w:left w:val="nil"/>
              <w:bottom w:val="nil"/>
              <w:right w:val="nil"/>
            </w:tcBorders>
            <w:vAlign w:val="bottom"/>
            <w:hideMark/>
          </w:tcPr>
          <w:p w14:paraId="330E83BF" w14:textId="77777777" w:rsidR="00941EF3" w:rsidRPr="00AA40E6" w:rsidRDefault="00941EF3" w:rsidP="00B7596F">
            <w:pPr>
              <w:keepNext/>
              <w:keepLines/>
              <w:numPr>
                <w:ilvl w:val="12"/>
                <w:numId w:val="0"/>
              </w:numPr>
              <w:spacing w:before="40" w:after="40"/>
              <w:rPr>
                <w:rFonts w:eastAsia="SimSun"/>
                <w:sz w:val="20"/>
                <w:szCs w:val="20"/>
                <w:lang w:val="fr-FR" w:eastAsia="fr-FR"/>
              </w:rPr>
            </w:pPr>
            <w:r w:rsidRPr="00AA40E6">
              <w:rPr>
                <w:rFonts w:eastAsia="SimSun"/>
                <w:sz w:val="20"/>
                <w:szCs w:val="20"/>
                <w:lang w:val="fr-FR" w:eastAsia="fr-FR"/>
              </w:rPr>
              <w:t>28.4.1</w:t>
            </w:r>
          </w:p>
        </w:tc>
      </w:tr>
      <w:tr w:rsidR="00941EF3" w14:paraId="0A64EBC9" w14:textId="77777777" w:rsidTr="00941EF3">
        <w:trPr>
          <w:cantSplit/>
        </w:trPr>
        <w:tc>
          <w:tcPr>
            <w:tcW w:w="705" w:type="pct"/>
            <w:vAlign w:val="bottom"/>
            <w:hideMark/>
          </w:tcPr>
          <w:p w14:paraId="2A15FFCE" w14:textId="77777777" w:rsidR="00941EF3" w:rsidRPr="00AA40E6" w:rsidRDefault="00941EF3" w:rsidP="00B7596F">
            <w:pPr>
              <w:keepNext/>
              <w:keepLines/>
              <w:numPr>
                <w:ilvl w:val="12"/>
                <w:numId w:val="0"/>
              </w:numPr>
              <w:spacing w:before="40" w:after="40"/>
              <w:rPr>
                <w:rFonts w:eastAsia="SimSun"/>
                <w:sz w:val="24"/>
                <w:lang w:val="fr-FR" w:eastAsia="fr-FR"/>
              </w:rPr>
            </w:pPr>
            <w:r w:rsidRPr="00AA40E6">
              <w:rPr>
                <w:rFonts w:eastAsia="SimSun"/>
                <w:sz w:val="20"/>
                <w:szCs w:val="20"/>
                <w:lang w:val="fr-FR" w:eastAsia="fr-FR"/>
              </w:rPr>
              <w:t>H.2</w:t>
            </w:r>
          </w:p>
        </w:tc>
        <w:tc>
          <w:tcPr>
            <w:tcW w:w="3442" w:type="pct"/>
            <w:hideMark/>
          </w:tcPr>
          <w:p w14:paraId="29035575" w14:textId="77777777" w:rsidR="00941EF3" w:rsidRPr="00AA40E6" w:rsidRDefault="00941EF3" w:rsidP="00B7596F">
            <w:pPr>
              <w:keepNext/>
              <w:keepLines/>
              <w:numPr>
                <w:ilvl w:val="12"/>
                <w:numId w:val="0"/>
              </w:numPr>
              <w:spacing w:before="40" w:after="40"/>
              <w:rPr>
                <w:rFonts w:eastAsia="SimSun"/>
                <w:sz w:val="24"/>
                <w:lang w:val="fr-FR" w:eastAsia="fr-FR"/>
              </w:rPr>
            </w:pPr>
            <w:r w:rsidRPr="00AA40E6">
              <w:rPr>
                <w:rFonts w:eastAsia="SimSun"/>
                <w:sz w:val="20"/>
                <w:lang w:val="fr-FR" w:eastAsia="fr-FR"/>
              </w:rPr>
              <w:t xml:space="preserve">Épreuve de stockage adiabatique (ESA) </w:t>
            </w:r>
            <w:r w:rsidRPr="00AA40E6">
              <w:rPr>
                <w:rFonts w:eastAsia="SimSun"/>
                <w:b/>
                <w:bCs/>
                <w:sz w:val="20"/>
                <w:szCs w:val="20"/>
                <w:vertAlign w:val="superscript"/>
                <w:lang w:val="fr-FR" w:eastAsia="fr-FR"/>
              </w:rPr>
              <w:t>b</w:t>
            </w:r>
          </w:p>
        </w:tc>
        <w:tc>
          <w:tcPr>
            <w:tcW w:w="853" w:type="pct"/>
            <w:vAlign w:val="bottom"/>
            <w:hideMark/>
          </w:tcPr>
          <w:p w14:paraId="7FF23840" w14:textId="77777777" w:rsidR="00941EF3" w:rsidRPr="00AA40E6" w:rsidRDefault="00941EF3" w:rsidP="00B7596F">
            <w:pPr>
              <w:keepNext/>
              <w:keepLines/>
              <w:numPr>
                <w:ilvl w:val="12"/>
                <w:numId w:val="0"/>
              </w:numPr>
              <w:spacing w:before="40" w:after="40"/>
              <w:rPr>
                <w:rFonts w:eastAsia="SimSun"/>
                <w:sz w:val="20"/>
                <w:szCs w:val="20"/>
                <w:lang w:val="fr-FR" w:eastAsia="fr-FR"/>
              </w:rPr>
            </w:pPr>
            <w:r w:rsidRPr="00AA40E6">
              <w:rPr>
                <w:rFonts w:eastAsia="SimSun"/>
                <w:sz w:val="20"/>
                <w:szCs w:val="20"/>
                <w:lang w:val="fr-FR" w:eastAsia="fr-FR"/>
              </w:rPr>
              <w:t>28.4.2</w:t>
            </w:r>
          </w:p>
        </w:tc>
      </w:tr>
      <w:tr w:rsidR="00941EF3" w14:paraId="0362DFBB" w14:textId="77777777" w:rsidTr="00941EF3">
        <w:trPr>
          <w:cantSplit/>
        </w:trPr>
        <w:tc>
          <w:tcPr>
            <w:tcW w:w="705" w:type="pct"/>
            <w:vAlign w:val="bottom"/>
            <w:hideMark/>
          </w:tcPr>
          <w:p w14:paraId="5CB62D4C" w14:textId="77777777" w:rsidR="00941EF3" w:rsidRPr="00AA40E6" w:rsidRDefault="00941EF3" w:rsidP="00B7596F">
            <w:pPr>
              <w:keepNext/>
              <w:keepLines/>
              <w:numPr>
                <w:ilvl w:val="12"/>
                <w:numId w:val="0"/>
              </w:numPr>
              <w:spacing w:before="40" w:after="40"/>
              <w:rPr>
                <w:rFonts w:eastAsia="SimSun"/>
                <w:sz w:val="24"/>
                <w:lang w:val="fr-FR" w:eastAsia="fr-FR"/>
              </w:rPr>
            </w:pPr>
            <w:r w:rsidRPr="00AA40E6">
              <w:rPr>
                <w:rFonts w:eastAsia="SimSun"/>
                <w:sz w:val="20"/>
                <w:szCs w:val="20"/>
                <w:lang w:val="fr-FR" w:eastAsia="fr-FR"/>
              </w:rPr>
              <w:t>H.3</w:t>
            </w:r>
          </w:p>
        </w:tc>
        <w:tc>
          <w:tcPr>
            <w:tcW w:w="3442" w:type="pct"/>
            <w:hideMark/>
          </w:tcPr>
          <w:p w14:paraId="53F4AE0D" w14:textId="77777777" w:rsidR="00941EF3" w:rsidRPr="00AA40E6" w:rsidRDefault="00941EF3" w:rsidP="00B7596F">
            <w:pPr>
              <w:keepNext/>
              <w:keepLines/>
              <w:numPr>
                <w:ilvl w:val="12"/>
                <w:numId w:val="0"/>
              </w:numPr>
              <w:spacing w:before="40" w:after="40"/>
              <w:rPr>
                <w:rFonts w:eastAsia="SimSun"/>
                <w:sz w:val="24"/>
                <w:lang w:val="fr-FR" w:eastAsia="fr-FR"/>
              </w:rPr>
            </w:pPr>
            <w:r w:rsidRPr="00AA40E6">
              <w:rPr>
                <w:rFonts w:eastAsia="SimSun"/>
                <w:sz w:val="20"/>
                <w:lang w:val="fr-FR" w:eastAsia="fr-FR"/>
              </w:rPr>
              <w:t xml:space="preserve">Épreuve de stockage isotherme (ESI) </w:t>
            </w:r>
            <w:r w:rsidRPr="00AA40E6">
              <w:rPr>
                <w:rFonts w:eastAsia="SimSun"/>
                <w:b/>
                <w:bCs/>
                <w:sz w:val="20"/>
                <w:szCs w:val="20"/>
                <w:vertAlign w:val="superscript"/>
                <w:lang w:val="fr-FR" w:eastAsia="fr-FR"/>
              </w:rPr>
              <w:t>b</w:t>
            </w:r>
          </w:p>
        </w:tc>
        <w:tc>
          <w:tcPr>
            <w:tcW w:w="853" w:type="pct"/>
            <w:vAlign w:val="bottom"/>
            <w:hideMark/>
          </w:tcPr>
          <w:p w14:paraId="6CC602B6" w14:textId="77777777" w:rsidR="00941EF3" w:rsidRPr="00AA40E6" w:rsidRDefault="00941EF3" w:rsidP="00B7596F">
            <w:pPr>
              <w:keepNext/>
              <w:keepLines/>
              <w:numPr>
                <w:ilvl w:val="12"/>
                <w:numId w:val="0"/>
              </w:numPr>
              <w:spacing w:before="40" w:after="40"/>
              <w:rPr>
                <w:rFonts w:eastAsia="SimSun"/>
                <w:sz w:val="20"/>
                <w:szCs w:val="20"/>
                <w:lang w:val="fr-FR" w:eastAsia="fr-FR"/>
              </w:rPr>
            </w:pPr>
            <w:r w:rsidRPr="00AA40E6">
              <w:rPr>
                <w:rFonts w:eastAsia="SimSun"/>
                <w:sz w:val="20"/>
                <w:szCs w:val="20"/>
                <w:lang w:val="fr-FR" w:eastAsia="fr-FR"/>
              </w:rPr>
              <w:t>28.4.3</w:t>
            </w:r>
          </w:p>
        </w:tc>
      </w:tr>
      <w:tr w:rsidR="00941EF3" w14:paraId="593AB11F" w14:textId="77777777" w:rsidTr="00941EF3">
        <w:trPr>
          <w:cantSplit/>
        </w:trPr>
        <w:tc>
          <w:tcPr>
            <w:tcW w:w="705" w:type="pct"/>
            <w:tcBorders>
              <w:top w:val="nil"/>
              <w:left w:val="nil"/>
              <w:bottom w:val="single" w:sz="8" w:space="0" w:color="auto"/>
              <w:right w:val="nil"/>
            </w:tcBorders>
            <w:vAlign w:val="bottom"/>
            <w:hideMark/>
          </w:tcPr>
          <w:p w14:paraId="032DB3B9" w14:textId="77777777" w:rsidR="00941EF3" w:rsidRPr="00AA40E6" w:rsidRDefault="00941EF3" w:rsidP="00B7596F">
            <w:pPr>
              <w:keepNext/>
              <w:keepLines/>
              <w:numPr>
                <w:ilvl w:val="12"/>
                <w:numId w:val="0"/>
              </w:numPr>
              <w:spacing w:before="40" w:after="40"/>
              <w:rPr>
                <w:rFonts w:eastAsia="SimSun"/>
                <w:sz w:val="24"/>
                <w:lang w:val="fr-FR" w:eastAsia="fr-FR"/>
              </w:rPr>
            </w:pPr>
            <w:r w:rsidRPr="00AA40E6">
              <w:rPr>
                <w:rFonts w:eastAsia="SimSun"/>
                <w:sz w:val="20"/>
                <w:szCs w:val="20"/>
                <w:lang w:val="fr-FR" w:eastAsia="fr-FR"/>
              </w:rPr>
              <w:t>H.4</w:t>
            </w:r>
          </w:p>
        </w:tc>
        <w:tc>
          <w:tcPr>
            <w:tcW w:w="3442" w:type="pct"/>
            <w:tcBorders>
              <w:top w:val="nil"/>
              <w:left w:val="nil"/>
              <w:bottom w:val="single" w:sz="8" w:space="0" w:color="auto"/>
              <w:right w:val="nil"/>
            </w:tcBorders>
            <w:hideMark/>
          </w:tcPr>
          <w:p w14:paraId="0B5468D2" w14:textId="77777777" w:rsidR="00941EF3" w:rsidRPr="00AA40E6" w:rsidRDefault="00941EF3" w:rsidP="00B7596F">
            <w:pPr>
              <w:keepNext/>
              <w:keepLines/>
              <w:numPr>
                <w:ilvl w:val="12"/>
                <w:numId w:val="0"/>
              </w:numPr>
              <w:spacing w:before="40" w:after="40"/>
              <w:rPr>
                <w:rFonts w:eastAsia="SimSun"/>
                <w:sz w:val="24"/>
                <w:lang w:val="fr-FR" w:eastAsia="fr-FR"/>
              </w:rPr>
            </w:pPr>
            <w:r w:rsidRPr="00AA40E6">
              <w:rPr>
                <w:rFonts w:eastAsia="SimSun"/>
                <w:sz w:val="20"/>
                <w:lang w:val="fr-FR" w:eastAsia="fr-FR"/>
              </w:rPr>
              <w:t>Épreuve de stockage avec accumulation de chaleur</w:t>
            </w:r>
            <w:r w:rsidRPr="00AA40E6">
              <w:rPr>
                <w:rFonts w:eastAsia="SimSun"/>
                <w:sz w:val="20"/>
                <w:szCs w:val="20"/>
                <w:vertAlign w:val="superscript"/>
                <w:lang w:val="fr-FR" w:eastAsia="fr-FR"/>
              </w:rPr>
              <w:t xml:space="preserve"> </w:t>
            </w:r>
            <w:r w:rsidRPr="00AA40E6">
              <w:rPr>
                <w:rFonts w:eastAsia="SimSun"/>
                <w:b/>
                <w:bCs/>
                <w:sz w:val="20"/>
                <w:szCs w:val="20"/>
                <w:vertAlign w:val="superscript"/>
                <w:lang w:val="fr-FR" w:eastAsia="fr-FR"/>
              </w:rPr>
              <w:t>c</w:t>
            </w:r>
          </w:p>
        </w:tc>
        <w:tc>
          <w:tcPr>
            <w:tcW w:w="853" w:type="pct"/>
            <w:tcBorders>
              <w:top w:val="nil"/>
              <w:left w:val="nil"/>
              <w:bottom w:val="single" w:sz="8" w:space="0" w:color="auto"/>
              <w:right w:val="nil"/>
            </w:tcBorders>
            <w:vAlign w:val="bottom"/>
            <w:hideMark/>
          </w:tcPr>
          <w:p w14:paraId="40460500" w14:textId="77777777" w:rsidR="00941EF3" w:rsidRPr="00AA40E6" w:rsidRDefault="00941EF3" w:rsidP="00B7596F">
            <w:pPr>
              <w:keepNext/>
              <w:keepLines/>
              <w:numPr>
                <w:ilvl w:val="12"/>
                <w:numId w:val="0"/>
              </w:numPr>
              <w:spacing w:before="40" w:after="40"/>
              <w:rPr>
                <w:rFonts w:eastAsia="SimSun"/>
                <w:sz w:val="20"/>
                <w:szCs w:val="20"/>
                <w:lang w:val="fr-FR" w:eastAsia="fr-FR"/>
              </w:rPr>
            </w:pPr>
            <w:r w:rsidRPr="00AA40E6">
              <w:rPr>
                <w:rFonts w:eastAsia="SimSun"/>
                <w:sz w:val="20"/>
                <w:szCs w:val="20"/>
                <w:lang w:val="fr-FR" w:eastAsia="fr-FR"/>
              </w:rPr>
              <w:t>28.4.4</w:t>
            </w:r>
          </w:p>
        </w:tc>
      </w:tr>
      <w:tr w:rsidR="00941EF3" w14:paraId="5D0C3B39" w14:textId="77777777" w:rsidTr="00941EF3">
        <w:trPr>
          <w:cantSplit/>
        </w:trPr>
        <w:tc>
          <w:tcPr>
            <w:tcW w:w="5000" w:type="pct"/>
            <w:gridSpan w:val="3"/>
            <w:tcBorders>
              <w:top w:val="single" w:sz="8" w:space="0" w:color="auto"/>
              <w:left w:val="nil"/>
              <w:bottom w:val="nil"/>
              <w:right w:val="nil"/>
            </w:tcBorders>
            <w:vAlign w:val="bottom"/>
            <w:hideMark/>
          </w:tcPr>
          <w:p w14:paraId="3BA9E4E7" w14:textId="77777777" w:rsidR="00941EF3" w:rsidRPr="00AA40E6" w:rsidRDefault="00941EF3" w:rsidP="00B7596F">
            <w:pPr>
              <w:keepNext/>
              <w:keepLines/>
              <w:numPr>
                <w:ilvl w:val="12"/>
                <w:numId w:val="0"/>
              </w:numPr>
              <w:spacing w:before="40" w:after="40"/>
              <w:rPr>
                <w:rFonts w:eastAsia="SimSun"/>
                <w:i/>
                <w:iCs/>
                <w:sz w:val="20"/>
                <w:szCs w:val="20"/>
                <w:lang w:val="fr-FR" w:eastAsia="fr-FR"/>
              </w:rPr>
            </w:pPr>
            <w:r w:rsidRPr="00AA40E6">
              <w:rPr>
                <w:rFonts w:eastAsia="SimSun"/>
                <w:b/>
                <w:bCs/>
                <w:sz w:val="20"/>
                <w:szCs w:val="20"/>
                <w:vertAlign w:val="superscript"/>
                <w:lang w:val="fr-FR" w:eastAsia="fr-FR"/>
              </w:rPr>
              <w:t>a</w:t>
            </w:r>
            <w:r w:rsidRPr="00AA40E6">
              <w:rPr>
                <w:rFonts w:eastAsia="SimSun"/>
                <w:i/>
                <w:iCs/>
                <w:sz w:val="20"/>
                <w:szCs w:val="20"/>
                <w:lang w:val="fr-FR" w:eastAsia="fr-FR"/>
              </w:rPr>
              <w:t xml:space="preserve">  </w:t>
            </w:r>
            <w:r w:rsidRPr="00AA40E6">
              <w:rPr>
                <w:rFonts w:eastAsia="SimSun"/>
                <w:i/>
                <w:iCs/>
                <w:sz w:val="20"/>
                <w:lang w:val="fr-FR" w:eastAsia="fr-FR"/>
              </w:rPr>
              <w:t>Épreuve recommandée pour les matières placées dans des emballages.</w:t>
            </w:r>
          </w:p>
          <w:p w14:paraId="7FBF484F" w14:textId="77777777" w:rsidR="00941EF3" w:rsidRPr="00AA40E6" w:rsidRDefault="00941EF3" w:rsidP="00B7596F">
            <w:pPr>
              <w:keepNext/>
              <w:keepLines/>
              <w:numPr>
                <w:ilvl w:val="12"/>
                <w:numId w:val="0"/>
              </w:numPr>
              <w:spacing w:before="40" w:after="40"/>
              <w:rPr>
                <w:rFonts w:eastAsia="SimSun"/>
                <w:i/>
                <w:iCs/>
                <w:sz w:val="20"/>
                <w:szCs w:val="20"/>
                <w:lang w:val="fr-FR" w:eastAsia="fr-FR"/>
              </w:rPr>
            </w:pPr>
            <w:r w:rsidRPr="00AA40E6">
              <w:rPr>
                <w:rFonts w:eastAsia="SimSun"/>
                <w:b/>
                <w:bCs/>
                <w:sz w:val="20"/>
                <w:szCs w:val="20"/>
                <w:vertAlign w:val="superscript"/>
                <w:lang w:val="fr-FR" w:eastAsia="fr-FR"/>
              </w:rPr>
              <w:t>b</w:t>
            </w:r>
            <w:r w:rsidRPr="00AA40E6">
              <w:rPr>
                <w:rFonts w:eastAsia="SimSun"/>
                <w:i/>
                <w:iCs/>
                <w:sz w:val="20"/>
                <w:szCs w:val="20"/>
                <w:lang w:val="fr-FR" w:eastAsia="fr-FR"/>
              </w:rPr>
              <w:t xml:space="preserve">  </w:t>
            </w:r>
            <w:r w:rsidRPr="00AA40E6">
              <w:rPr>
                <w:rFonts w:eastAsia="SimSun"/>
                <w:i/>
                <w:iCs/>
                <w:sz w:val="20"/>
                <w:lang w:val="fr-FR" w:eastAsia="fr-FR"/>
              </w:rPr>
              <w:t>Épreuve recommandée pour les matières placées dans des emballages, en GRV ou en citernes.</w:t>
            </w:r>
          </w:p>
          <w:p w14:paraId="6845E918" w14:textId="77777777" w:rsidR="00941EF3" w:rsidRPr="00AA40E6" w:rsidRDefault="00941EF3" w:rsidP="00B7596F">
            <w:pPr>
              <w:keepNext/>
              <w:keepLines/>
              <w:numPr>
                <w:ilvl w:val="12"/>
                <w:numId w:val="0"/>
              </w:numPr>
              <w:spacing w:before="40" w:after="40"/>
              <w:rPr>
                <w:rFonts w:eastAsia="SimSun"/>
                <w:i/>
                <w:iCs/>
                <w:sz w:val="20"/>
                <w:szCs w:val="20"/>
                <w:lang w:val="fr-FR" w:eastAsia="fr-FR"/>
              </w:rPr>
            </w:pPr>
            <w:r w:rsidRPr="00AA40E6">
              <w:rPr>
                <w:rFonts w:eastAsia="SimSun"/>
                <w:b/>
                <w:bCs/>
                <w:sz w:val="20"/>
                <w:szCs w:val="20"/>
                <w:vertAlign w:val="superscript"/>
                <w:lang w:val="fr-FR" w:eastAsia="fr-FR"/>
              </w:rPr>
              <w:t>c</w:t>
            </w:r>
            <w:r w:rsidRPr="00AA40E6">
              <w:rPr>
                <w:rFonts w:eastAsia="SimSun"/>
                <w:i/>
                <w:iCs/>
                <w:sz w:val="20"/>
                <w:szCs w:val="20"/>
                <w:lang w:val="fr-FR" w:eastAsia="fr-FR"/>
              </w:rPr>
              <w:t xml:space="preserve">  </w:t>
            </w:r>
            <w:r w:rsidRPr="00AA40E6">
              <w:rPr>
                <w:rFonts w:eastAsia="SimSun"/>
                <w:i/>
                <w:iCs/>
                <w:sz w:val="20"/>
                <w:lang w:val="fr-FR" w:eastAsia="fr-FR"/>
              </w:rPr>
              <w:t>Épreuve recommandée pour les matières placées dans des emballages, en GRV ou en petites citernes</w:t>
            </w:r>
            <w:r w:rsidRPr="00AA40E6">
              <w:rPr>
                <w:rFonts w:eastAsia="SimSun"/>
                <w:sz w:val="16"/>
                <w:szCs w:val="16"/>
                <w:lang w:val="fr-FR" w:eastAsia="fr-FR"/>
              </w:rPr>
              <w:t>.</w:t>
            </w:r>
          </w:p>
        </w:tc>
      </w:tr>
    </w:tbl>
    <w:p w14:paraId="3948DD10" w14:textId="77777777" w:rsidR="00941EF3" w:rsidRDefault="00941EF3" w:rsidP="00941EF3">
      <w:pPr>
        <w:tabs>
          <w:tab w:val="left" w:pos="1418"/>
          <w:tab w:val="left" w:pos="1985"/>
        </w:tabs>
        <w:jc w:val="center"/>
        <w:rPr>
          <w:b/>
          <w:bCs/>
          <w:szCs w:val="22"/>
          <w:lang w:val="fr-FR" w:eastAsia="fr-FR"/>
        </w:rPr>
      </w:pPr>
    </w:p>
    <w:p w14:paraId="3B55831C"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ab/>
        <w:t>La liste d'épreuves n'est pas exhaustive ; on peut utiliser d'autres épreuves à condition que leurs résultats donnent la TDAA ou la TPAA correcte de la matière telle qu'emballée.</w:t>
      </w:r>
    </w:p>
    <w:p w14:paraId="5A9389E9"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28.2.3</w:t>
      </w:r>
      <w:r w:rsidRPr="00AA40E6">
        <w:rPr>
          <w:lang w:val="fr-FR" w:eastAsia="fr-FR"/>
        </w:rPr>
        <w:tab/>
        <w:t>Lorsqu’une régulation de température est nécessaire (voir tableau 28.2), la température de régulation et la température critique doivent être déduites de la TDAA ou de la TPAA à l’aide du tableau 28.3. </w:t>
      </w:r>
    </w:p>
    <w:p w14:paraId="691E8715" w14:textId="77777777" w:rsidR="00941EF3" w:rsidRPr="00AA40E6" w:rsidRDefault="00941EF3" w:rsidP="00941EF3">
      <w:pPr>
        <w:keepNext/>
        <w:spacing w:after="200"/>
        <w:jc w:val="center"/>
        <w:rPr>
          <w:rFonts w:ascii="Times New Roman Bold" w:hAnsi="Times New Roman Bold"/>
          <w:b/>
          <w:bCs/>
          <w:szCs w:val="20"/>
          <w:lang w:val="fr-FR" w:eastAsia="fr-FR"/>
        </w:rPr>
      </w:pPr>
      <w:r w:rsidRPr="00AA40E6">
        <w:rPr>
          <w:rFonts w:ascii="Times New Roman Bold" w:hAnsi="Times New Roman Bold"/>
          <w:b/>
          <w:bCs/>
          <w:szCs w:val="20"/>
          <w:lang w:val="fr-FR" w:eastAsia="fr-FR"/>
        </w:rPr>
        <w:t>Tableau 28.2 : Critères pour la régulation de température</w:t>
      </w:r>
    </w:p>
    <w:tbl>
      <w:tblPr>
        <w:tblW w:w="5000" w:type="pct"/>
        <w:tblCellMar>
          <w:left w:w="120" w:type="dxa"/>
          <w:right w:w="120" w:type="dxa"/>
        </w:tblCellMar>
        <w:tblLook w:val="04A0" w:firstRow="1" w:lastRow="0" w:firstColumn="1" w:lastColumn="0" w:noHBand="0" w:noVBand="1"/>
      </w:tblPr>
      <w:tblGrid>
        <w:gridCol w:w="6238"/>
        <w:gridCol w:w="3400"/>
      </w:tblGrid>
      <w:tr w:rsidR="00941EF3" w14:paraId="76D8C488" w14:textId="77777777" w:rsidTr="00941EF3">
        <w:trPr>
          <w:cantSplit/>
        </w:trPr>
        <w:tc>
          <w:tcPr>
            <w:tcW w:w="3236" w:type="pct"/>
            <w:tcBorders>
              <w:top w:val="single" w:sz="8" w:space="0" w:color="auto"/>
              <w:left w:val="nil"/>
              <w:bottom w:val="single" w:sz="8" w:space="0" w:color="auto"/>
              <w:right w:val="nil"/>
            </w:tcBorders>
            <w:hideMark/>
          </w:tcPr>
          <w:p w14:paraId="53312FDB" w14:textId="77777777" w:rsidR="00941EF3" w:rsidRPr="00AA40E6" w:rsidRDefault="00941EF3">
            <w:pPr>
              <w:numPr>
                <w:ilvl w:val="12"/>
                <w:numId w:val="0"/>
              </w:numPr>
              <w:spacing w:before="40" w:after="40"/>
              <w:rPr>
                <w:rFonts w:eastAsia="SimSun"/>
                <w:b/>
                <w:bCs/>
                <w:sz w:val="20"/>
                <w:szCs w:val="20"/>
                <w:lang w:val="fr-FR" w:eastAsia="fr-FR"/>
              </w:rPr>
            </w:pPr>
            <w:r w:rsidRPr="00AA40E6">
              <w:rPr>
                <w:rFonts w:eastAsia="SimSun"/>
                <w:b/>
                <w:bCs/>
                <w:sz w:val="20"/>
                <w:szCs w:val="20"/>
                <w:lang w:val="fr-FR" w:eastAsia="fr-FR"/>
              </w:rPr>
              <w:t xml:space="preserve">Type </w:t>
            </w:r>
            <w:r w:rsidRPr="00AA40E6">
              <w:rPr>
                <w:rFonts w:eastAsia="SimSun"/>
                <w:b/>
                <w:sz w:val="20"/>
                <w:szCs w:val="20"/>
                <w:lang w:val="fr-FR" w:eastAsia="fr-FR"/>
              </w:rPr>
              <w:t>de matière</w:t>
            </w:r>
          </w:p>
        </w:tc>
        <w:tc>
          <w:tcPr>
            <w:tcW w:w="1764" w:type="pct"/>
            <w:tcBorders>
              <w:top w:val="single" w:sz="8" w:space="0" w:color="auto"/>
              <w:left w:val="nil"/>
              <w:bottom w:val="single" w:sz="8" w:space="0" w:color="auto"/>
              <w:right w:val="nil"/>
            </w:tcBorders>
            <w:hideMark/>
          </w:tcPr>
          <w:p w14:paraId="2105CEBC" w14:textId="77777777" w:rsidR="00941EF3" w:rsidRPr="00AA40E6" w:rsidRDefault="00941EF3">
            <w:pPr>
              <w:numPr>
                <w:ilvl w:val="12"/>
                <w:numId w:val="0"/>
              </w:numPr>
              <w:spacing w:before="40" w:after="40"/>
              <w:rPr>
                <w:rFonts w:eastAsia="SimSun"/>
                <w:b/>
                <w:bCs/>
                <w:sz w:val="20"/>
                <w:szCs w:val="20"/>
                <w:lang w:val="fr-FR" w:eastAsia="fr-FR"/>
              </w:rPr>
            </w:pPr>
            <w:r w:rsidRPr="00AA40E6">
              <w:rPr>
                <w:rFonts w:eastAsia="SimSun"/>
                <w:b/>
                <w:sz w:val="20"/>
                <w:szCs w:val="20"/>
                <w:lang w:val="fr-FR" w:eastAsia="fr-FR"/>
              </w:rPr>
              <w:t>Critères pour la régulation de température</w:t>
            </w:r>
          </w:p>
        </w:tc>
      </w:tr>
      <w:tr w:rsidR="00941EF3" w14:paraId="1A5A105C" w14:textId="77777777" w:rsidTr="00941EF3">
        <w:trPr>
          <w:cantSplit/>
        </w:trPr>
        <w:tc>
          <w:tcPr>
            <w:tcW w:w="3236" w:type="pct"/>
            <w:tcBorders>
              <w:top w:val="single" w:sz="8" w:space="0" w:color="auto"/>
              <w:left w:val="nil"/>
              <w:bottom w:val="nil"/>
              <w:right w:val="nil"/>
            </w:tcBorders>
            <w:hideMark/>
          </w:tcPr>
          <w:p w14:paraId="74F8851F"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 xml:space="preserve">Matières </w:t>
            </w:r>
            <w:proofErr w:type="spellStart"/>
            <w:r w:rsidRPr="00AA40E6">
              <w:rPr>
                <w:rFonts w:eastAsia="SimSun"/>
                <w:sz w:val="20"/>
                <w:szCs w:val="20"/>
                <w:lang w:val="fr-FR" w:eastAsia="fr-FR"/>
              </w:rPr>
              <w:t>autoréactives</w:t>
            </w:r>
            <w:proofErr w:type="spellEnd"/>
          </w:p>
        </w:tc>
        <w:tc>
          <w:tcPr>
            <w:tcW w:w="1764" w:type="pct"/>
            <w:tcBorders>
              <w:top w:val="single" w:sz="8" w:space="0" w:color="auto"/>
              <w:left w:val="nil"/>
              <w:bottom w:val="nil"/>
              <w:right w:val="nil"/>
            </w:tcBorders>
            <w:hideMark/>
          </w:tcPr>
          <w:p w14:paraId="7D17EFDE"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 xml:space="preserve">TDAA </w:t>
            </w:r>
            <w:r w:rsidRPr="00AA40E6">
              <w:rPr>
                <w:rFonts w:eastAsia="SimSun" w:hint="eastAsia"/>
                <w:sz w:val="20"/>
                <w:szCs w:val="20"/>
                <w:lang w:val="fr-FR" w:eastAsia="fr-FR"/>
              </w:rPr>
              <w:t>≤</w:t>
            </w:r>
            <w:r w:rsidRPr="00AA40E6">
              <w:rPr>
                <w:rFonts w:eastAsia="SimSun"/>
                <w:sz w:val="20"/>
                <w:szCs w:val="20"/>
                <w:lang w:val="fr-FR" w:eastAsia="fr-FR"/>
              </w:rPr>
              <w:t xml:space="preserve"> 55 °C</w:t>
            </w:r>
          </w:p>
        </w:tc>
      </w:tr>
      <w:tr w:rsidR="00941EF3" w14:paraId="41B71879" w14:textId="77777777" w:rsidTr="00941EF3">
        <w:trPr>
          <w:cantSplit/>
        </w:trPr>
        <w:tc>
          <w:tcPr>
            <w:tcW w:w="3236" w:type="pct"/>
            <w:hideMark/>
          </w:tcPr>
          <w:p w14:paraId="0C3264E1"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Peroxyde organique de type B et C</w:t>
            </w:r>
          </w:p>
        </w:tc>
        <w:tc>
          <w:tcPr>
            <w:tcW w:w="1764" w:type="pct"/>
            <w:hideMark/>
          </w:tcPr>
          <w:p w14:paraId="0454BBD9"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 xml:space="preserve">TDAA </w:t>
            </w:r>
            <w:r w:rsidRPr="00AA40E6">
              <w:rPr>
                <w:rFonts w:eastAsia="SimSun" w:hint="eastAsia"/>
                <w:sz w:val="20"/>
                <w:szCs w:val="20"/>
                <w:lang w:val="fr-FR" w:eastAsia="fr-FR"/>
              </w:rPr>
              <w:t>≤</w:t>
            </w:r>
            <w:r w:rsidRPr="00AA40E6">
              <w:rPr>
                <w:rFonts w:eastAsia="SimSun"/>
                <w:sz w:val="20"/>
                <w:szCs w:val="20"/>
                <w:lang w:val="fr-FR" w:eastAsia="fr-FR"/>
              </w:rPr>
              <w:t xml:space="preserve"> 50 °C</w:t>
            </w:r>
          </w:p>
        </w:tc>
      </w:tr>
      <w:tr w:rsidR="00941EF3" w14:paraId="428DAFFF" w14:textId="77777777" w:rsidTr="00941EF3">
        <w:trPr>
          <w:cantSplit/>
        </w:trPr>
        <w:tc>
          <w:tcPr>
            <w:tcW w:w="3236" w:type="pct"/>
            <w:hideMark/>
          </w:tcPr>
          <w:p w14:paraId="2832ACFB"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 xml:space="preserve">Peroxyde organique de type D ayant un effet modéré lors de chauffage sous </w:t>
            </w:r>
            <w:proofErr w:type="spellStart"/>
            <w:r w:rsidRPr="00AA40E6">
              <w:rPr>
                <w:rFonts w:eastAsia="SimSun"/>
                <w:sz w:val="20"/>
                <w:szCs w:val="20"/>
                <w:lang w:val="fr-FR" w:eastAsia="fr-FR"/>
              </w:rPr>
              <w:t>confinementa</w:t>
            </w:r>
            <w:proofErr w:type="spellEnd"/>
          </w:p>
        </w:tc>
        <w:tc>
          <w:tcPr>
            <w:tcW w:w="1764" w:type="pct"/>
            <w:hideMark/>
          </w:tcPr>
          <w:p w14:paraId="3B22D68D"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 xml:space="preserve">TDAA </w:t>
            </w:r>
            <w:r w:rsidRPr="00AA40E6">
              <w:rPr>
                <w:rFonts w:eastAsia="SimSun" w:hint="eastAsia"/>
                <w:sz w:val="20"/>
                <w:szCs w:val="20"/>
                <w:lang w:val="fr-FR" w:eastAsia="fr-FR"/>
              </w:rPr>
              <w:t>≤</w:t>
            </w:r>
            <w:r w:rsidRPr="00AA40E6">
              <w:rPr>
                <w:rFonts w:eastAsia="SimSun"/>
                <w:sz w:val="20"/>
                <w:szCs w:val="20"/>
                <w:lang w:val="fr-FR" w:eastAsia="fr-FR"/>
              </w:rPr>
              <w:t xml:space="preserve"> 50 °C</w:t>
            </w:r>
          </w:p>
        </w:tc>
      </w:tr>
      <w:tr w:rsidR="00941EF3" w14:paraId="14A47062" w14:textId="77777777" w:rsidTr="00941EF3">
        <w:trPr>
          <w:cantSplit/>
        </w:trPr>
        <w:tc>
          <w:tcPr>
            <w:tcW w:w="3236" w:type="pct"/>
            <w:hideMark/>
          </w:tcPr>
          <w:p w14:paraId="50A59C22"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 xml:space="preserve">Peroxydes organiques de type D ayant peu ou pas d’effet lors de chauffage sous confinement </w:t>
            </w:r>
            <w:r w:rsidRPr="00AA40E6">
              <w:rPr>
                <w:rFonts w:eastAsia="SimSun"/>
                <w:b/>
                <w:bCs/>
                <w:sz w:val="20"/>
                <w:szCs w:val="20"/>
                <w:vertAlign w:val="superscript"/>
                <w:lang w:val="fr-FR" w:eastAsia="fr-FR"/>
              </w:rPr>
              <w:t>a</w:t>
            </w:r>
          </w:p>
        </w:tc>
        <w:tc>
          <w:tcPr>
            <w:tcW w:w="1764" w:type="pct"/>
            <w:hideMark/>
          </w:tcPr>
          <w:p w14:paraId="7C639DAA"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 xml:space="preserve">TDAA </w:t>
            </w:r>
            <w:r w:rsidRPr="00AA40E6">
              <w:rPr>
                <w:rFonts w:eastAsia="SimSun" w:hint="eastAsia"/>
                <w:sz w:val="20"/>
                <w:szCs w:val="20"/>
                <w:lang w:val="fr-FR" w:eastAsia="fr-FR"/>
              </w:rPr>
              <w:t>≤</w:t>
            </w:r>
            <w:r w:rsidRPr="00AA40E6">
              <w:rPr>
                <w:rFonts w:eastAsia="SimSun"/>
                <w:sz w:val="20"/>
                <w:szCs w:val="20"/>
                <w:lang w:val="fr-FR" w:eastAsia="fr-FR"/>
              </w:rPr>
              <w:t xml:space="preserve"> 45 °C</w:t>
            </w:r>
          </w:p>
        </w:tc>
      </w:tr>
      <w:tr w:rsidR="00941EF3" w14:paraId="78CEB202" w14:textId="77777777" w:rsidTr="00941EF3">
        <w:trPr>
          <w:cantSplit/>
        </w:trPr>
        <w:tc>
          <w:tcPr>
            <w:tcW w:w="3236" w:type="pct"/>
            <w:hideMark/>
          </w:tcPr>
          <w:p w14:paraId="03780931"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Peroxydes organiques de types E et F</w:t>
            </w:r>
          </w:p>
        </w:tc>
        <w:tc>
          <w:tcPr>
            <w:tcW w:w="1764" w:type="pct"/>
            <w:hideMark/>
          </w:tcPr>
          <w:p w14:paraId="2F054903"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 xml:space="preserve">TDAA </w:t>
            </w:r>
            <w:r w:rsidRPr="00AA40E6">
              <w:rPr>
                <w:rFonts w:eastAsia="SimSun" w:hint="eastAsia"/>
                <w:sz w:val="20"/>
                <w:szCs w:val="20"/>
                <w:lang w:val="fr-FR" w:eastAsia="fr-FR"/>
              </w:rPr>
              <w:t>≤</w:t>
            </w:r>
            <w:r w:rsidRPr="00AA40E6">
              <w:rPr>
                <w:rFonts w:eastAsia="SimSun"/>
                <w:sz w:val="20"/>
                <w:szCs w:val="20"/>
                <w:lang w:val="fr-FR" w:eastAsia="fr-FR"/>
              </w:rPr>
              <w:t xml:space="preserve"> 45 °C</w:t>
            </w:r>
          </w:p>
        </w:tc>
      </w:tr>
      <w:tr w:rsidR="00941EF3" w14:paraId="7865CEDE" w14:textId="77777777" w:rsidTr="00941EF3">
        <w:trPr>
          <w:cantSplit/>
        </w:trPr>
        <w:tc>
          <w:tcPr>
            <w:tcW w:w="3236" w:type="pct"/>
            <w:hideMark/>
          </w:tcPr>
          <w:p w14:paraId="2C8FE03A"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Matière qui polymérise dans un emballage ou un GRV</w:t>
            </w:r>
          </w:p>
        </w:tc>
        <w:tc>
          <w:tcPr>
            <w:tcW w:w="1764" w:type="pct"/>
            <w:hideMark/>
          </w:tcPr>
          <w:p w14:paraId="2699E152"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 xml:space="preserve">TPAA </w:t>
            </w:r>
            <w:r w:rsidRPr="00AA40E6">
              <w:rPr>
                <w:rFonts w:eastAsia="SimSun" w:hint="eastAsia"/>
                <w:sz w:val="20"/>
                <w:szCs w:val="20"/>
                <w:lang w:val="fr-FR" w:eastAsia="fr-FR"/>
              </w:rPr>
              <w:t>≤</w:t>
            </w:r>
            <w:r w:rsidRPr="00AA40E6">
              <w:rPr>
                <w:rFonts w:eastAsia="SimSun"/>
                <w:sz w:val="20"/>
                <w:szCs w:val="20"/>
                <w:lang w:val="fr-FR" w:eastAsia="fr-FR"/>
              </w:rPr>
              <w:t xml:space="preserve"> 50 °C</w:t>
            </w:r>
          </w:p>
        </w:tc>
      </w:tr>
      <w:tr w:rsidR="00941EF3" w14:paraId="6AB806A2" w14:textId="77777777" w:rsidTr="00941EF3">
        <w:trPr>
          <w:cantSplit/>
        </w:trPr>
        <w:tc>
          <w:tcPr>
            <w:tcW w:w="3236" w:type="pct"/>
            <w:tcBorders>
              <w:top w:val="nil"/>
              <w:left w:val="nil"/>
              <w:bottom w:val="single" w:sz="8" w:space="0" w:color="auto"/>
              <w:right w:val="nil"/>
            </w:tcBorders>
            <w:hideMark/>
          </w:tcPr>
          <w:p w14:paraId="74BE10CF"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Matière qui polymérise dans une citerne mobile</w:t>
            </w:r>
          </w:p>
        </w:tc>
        <w:tc>
          <w:tcPr>
            <w:tcW w:w="1764" w:type="pct"/>
            <w:tcBorders>
              <w:top w:val="nil"/>
              <w:left w:val="nil"/>
              <w:bottom w:val="single" w:sz="8" w:space="0" w:color="auto"/>
              <w:right w:val="nil"/>
            </w:tcBorders>
            <w:hideMark/>
          </w:tcPr>
          <w:p w14:paraId="3A97C046"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 xml:space="preserve">TPAA </w:t>
            </w:r>
            <w:r w:rsidRPr="00AA40E6">
              <w:rPr>
                <w:rFonts w:eastAsia="SimSun" w:hint="eastAsia"/>
                <w:sz w:val="20"/>
                <w:szCs w:val="20"/>
                <w:lang w:val="fr-FR" w:eastAsia="fr-FR"/>
              </w:rPr>
              <w:t>≤</w:t>
            </w:r>
            <w:r w:rsidRPr="00AA40E6">
              <w:rPr>
                <w:rFonts w:eastAsia="SimSun"/>
                <w:sz w:val="20"/>
                <w:szCs w:val="20"/>
                <w:lang w:val="fr-FR" w:eastAsia="fr-FR"/>
              </w:rPr>
              <w:t xml:space="preserve"> 45 °C</w:t>
            </w:r>
          </w:p>
        </w:tc>
      </w:tr>
      <w:tr w:rsidR="00941EF3" w14:paraId="1DF7EF53" w14:textId="77777777" w:rsidTr="00941EF3">
        <w:trPr>
          <w:cantSplit/>
        </w:trPr>
        <w:tc>
          <w:tcPr>
            <w:tcW w:w="5000" w:type="pct"/>
            <w:gridSpan w:val="2"/>
            <w:tcBorders>
              <w:top w:val="single" w:sz="8" w:space="0" w:color="auto"/>
              <w:left w:val="nil"/>
              <w:bottom w:val="nil"/>
              <w:right w:val="nil"/>
            </w:tcBorders>
            <w:hideMark/>
          </w:tcPr>
          <w:p w14:paraId="30E36073" w14:textId="77777777" w:rsidR="00941EF3" w:rsidRPr="00AA40E6" w:rsidRDefault="00941EF3" w:rsidP="00B7596F">
            <w:pPr>
              <w:numPr>
                <w:ilvl w:val="12"/>
                <w:numId w:val="0"/>
              </w:numPr>
              <w:spacing w:before="40" w:after="120"/>
              <w:rPr>
                <w:rFonts w:eastAsia="SimSun"/>
                <w:i/>
                <w:iCs/>
                <w:sz w:val="20"/>
                <w:szCs w:val="20"/>
                <w:lang w:val="fr-FR" w:eastAsia="fr-FR"/>
              </w:rPr>
            </w:pPr>
            <w:proofErr w:type="spellStart"/>
            <w:r w:rsidRPr="00AA40E6">
              <w:rPr>
                <w:rFonts w:eastAsia="SimSun"/>
                <w:b/>
                <w:bCs/>
                <w:sz w:val="20"/>
                <w:szCs w:val="20"/>
                <w:vertAlign w:val="superscript"/>
                <w:lang w:val="fr-FR" w:eastAsia="fr-FR"/>
              </w:rPr>
              <w:t>a</w:t>
            </w:r>
            <w:proofErr w:type="spellEnd"/>
            <w:r w:rsidRPr="00AA40E6">
              <w:rPr>
                <w:rFonts w:eastAsia="SimSun"/>
                <w:b/>
                <w:bCs/>
                <w:i/>
                <w:iCs/>
                <w:sz w:val="20"/>
                <w:szCs w:val="20"/>
                <w:lang w:val="fr-FR" w:eastAsia="fr-FR"/>
              </w:rPr>
              <w:t xml:space="preserve"> </w:t>
            </w:r>
            <w:r w:rsidRPr="00AA40E6">
              <w:rPr>
                <w:rFonts w:eastAsia="SimSun"/>
                <w:i/>
                <w:iCs/>
                <w:sz w:val="20"/>
                <w:szCs w:val="20"/>
                <w:lang w:val="fr-FR" w:eastAsia="fr-FR"/>
              </w:rPr>
              <w:t xml:space="preserve"> Tel que déterminé par les épreuves de la série E prescrites dans la partie II du présent Manuel.</w:t>
            </w:r>
          </w:p>
        </w:tc>
      </w:tr>
    </w:tbl>
    <w:p w14:paraId="15A14D1E" w14:textId="27157A63" w:rsidR="00941EF3" w:rsidRPr="00AA40E6" w:rsidRDefault="00941EF3" w:rsidP="00B7596F">
      <w:pPr>
        <w:keepNext/>
        <w:spacing w:before="120" w:after="200"/>
        <w:jc w:val="center"/>
        <w:rPr>
          <w:rFonts w:ascii="Times New Roman Bold" w:hAnsi="Times New Roman Bold"/>
          <w:b/>
          <w:bCs/>
          <w:szCs w:val="20"/>
          <w:lang w:val="fr-FR" w:eastAsia="fr-FR"/>
        </w:rPr>
      </w:pPr>
      <w:r w:rsidRPr="00AA40E6">
        <w:rPr>
          <w:rFonts w:ascii="Times New Roman Bold" w:hAnsi="Times New Roman Bold"/>
          <w:b/>
          <w:bCs/>
          <w:szCs w:val="20"/>
          <w:lang w:val="fr-FR" w:eastAsia="fr-FR"/>
        </w:rPr>
        <w:t>Tableau 28.3</w:t>
      </w:r>
      <w:r w:rsidR="007C2C00">
        <w:rPr>
          <w:rFonts w:ascii="Times New Roman Bold" w:hAnsi="Times New Roman Bold" w:hint="eastAsia"/>
          <w:b/>
          <w:bCs/>
          <w:szCs w:val="20"/>
          <w:lang w:val="fr-FR" w:eastAsia="fr-FR"/>
        </w:rPr>
        <w:t> </w:t>
      </w:r>
      <w:r w:rsidRPr="00AA40E6">
        <w:rPr>
          <w:rFonts w:ascii="Times New Roman Bold" w:hAnsi="Times New Roman Bold"/>
          <w:b/>
          <w:bCs/>
          <w:szCs w:val="20"/>
          <w:lang w:val="fr-FR" w:eastAsia="fr-FR"/>
        </w:rPr>
        <w:t>: Détermination de la température de régulation et de la température critique</w:t>
      </w:r>
    </w:p>
    <w:tbl>
      <w:tblPr>
        <w:tblW w:w="5000" w:type="pct"/>
        <w:tblCellMar>
          <w:left w:w="120" w:type="dxa"/>
          <w:right w:w="120" w:type="dxa"/>
        </w:tblCellMar>
        <w:tblLook w:val="04A0" w:firstRow="1" w:lastRow="0" w:firstColumn="1" w:lastColumn="0" w:noHBand="0" w:noVBand="1"/>
      </w:tblPr>
      <w:tblGrid>
        <w:gridCol w:w="2777"/>
        <w:gridCol w:w="1901"/>
        <w:gridCol w:w="2550"/>
        <w:gridCol w:w="2410"/>
      </w:tblGrid>
      <w:tr w:rsidR="00941EF3" w14:paraId="4FEE6353" w14:textId="77777777" w:rsidTr="00941EF3">
        <w:trPr>
          <w:cantSplit/>
        </w:trPr>
        <w:tc>
          <w:tcPr>
            <w:tcW w:w="1441" w:type="pct"/>
            <w:tcBorders>
              <w:top w:val="single" w:sz="8" w:space="0" w:color="auto"/>
              <w:left w:val="nil"/>
              <w:bottom w:val="single" w:sz="8" w:space="0" w:color="auto"/>
              <w:right w:val="nil"/>
            </w:tcBorders>
            <w:hideMark/>
          </w:tcPr>
          <w:p w14:paraId="681826A7" w14:textId="77777777" w:rsidR="00941EF3" w:rsidRPr="00AA40E6" w:rsidRDefault="00941EF3">
            <w:pPr>
              <w:numPr>
                <w:ilvl w:val="12"/>
                <w:numId w:val="0"/>
              </w:numPr>
              <w:spacing w:before="40" w:after="40"/>
              <w:rPr>
                <w:rFonts w:eastAsia="SimSun"/>
                <w:b/>
                <w:bCs/>
                <w:sz w:val="24"/>
                <w:lang w:val="fr-FR" w:eastAsia="fr-FR"/>
              </w:rPr>
            </w:pPr>
            <w:r w:rsidRPr="00AA40E6">
              <w:rPr>
                <w:rFonts w:eastAsia="SimSun"/>
                <w:b/>
                <w:bCs/>
                <w:sz w:val="20"/>
                <w:lang w:val="fr-FR" w:eastAsia="fr-FR"/>
              </w:rPr>
              <w:t>Type de récipient</w:t>
            </w:r>
          </w:p>
        </w:tc>
        <w:tc>
          <w:tcPr>
            <w:tcW w:w="986" w:type="pct"/>
            <w:tcBorders>
              <w:top w:val="single" w:sz="8" w:space="0" w:color="auto"/>
              <w:left w:val="nil"/>
              <w:bottom w:val="single" w:sz="8" w:space="0" w:color="auto"/>
              <w:right w:val="nil"/>
            </w:tcBorders>
            <w:hideMark/>
          </w:tcPr>
          <w:p w14:paraId="018FBBB3" w14:textId="77777777" w:rsidR="00941EF3" w:rsidRPr="00AA40E6" w:rsidRDefault="00941EF3">
            <w:pPr>
              <w:numPr>
                <w:ilvl w:val="12"/>
                <w:numId w:val="0"/>
              </w:numPr>
              <w:spacing w:before="40" w:after="40"/>
              <w:rPr>
                <w:rFonts w:eastAsia="SimSun"/>
                <w:b/>
                <w:bCs/>
                <w:sz w:val="24"/>
                <w:lang w:val="fr-FR" w:eastAsia="fr-FR"/>
              </w:rPr>
            </w:pPr>
            <w:r w:rsidRPr="00AA40E6">
              <w:rPr>
                <w:rFonts w:eastAsia="SimSun"/>
                <w:b/>
                <w:bCs/>
                <w:sz w:val="20"/>
                <w:lang w:val="fr-FR" w:eastAsia="fr-FR"/>
              </w:rPr>
              <w:t>TDAA</w:t>
            </w:r>
            <w:r w:rsidRPr="00AA40E6">
              <w:rPr>
                <w:rFonts w:eastAsia="SimSun"/>
                <w:sz w:val="20"/>
                <w:szCs w:val="20"/>
                <w:lang w:val="fr-FR" w:eastAsia="fr-FR"/>
              </w:rPr>
              <w:t>/TPAA</w:t>
            </w:r>
            <w:r w:rsidRPr="00AA40E6">
              <w:rPr>
                <w:rFonts w:eastAsia="SimSun"/>
                <w:b/>
                <w:bCs/>
                <w:sz w:val="20"/>
                <w:szCs w:val="20"/>
                <w:vertAlign w:val="superscript"/>
                <w:lang w:val="fr-FR" w:eastAsia="fr-FR"/>
              </w:rPr>
              <w:t xml:space="preserve"> a</w:t>
            </w:r>
          </w:p>
        </w:tc>
        <w:tc>
          <w:tcPr>
            <w:tcW w:w="1323" w:type="pct"/>
            <w:tcBorders>
              <w:top w:val="single" w:sz="8" w:space="0" w:color="auto"/>
              <w:left w:val="nil"/>
              <w:bottom w:val="single" w:sz="8" w:space="0" w:color="auto"/>
              <w:right w:val="nil"/>
            </w:tcBorders>
            <w:hideMark/>
          </w:tcPr>
          <w:p w14:paraId="02206C24" w14:textId="77777777" w:rsidR="00941EF3" w:rsidRPr="00AA40E6" w:rsidRDefault="00941EF3">
            <w:pPr>
              <w:numPr>
                <w:ilvl w:val="12"/>
                <w:numId w:val="0"/>
              </w:numPr>
              <w:spacing w:before="40" w:after="40"/>
              <w:rPr>
                <w:rFonts w:eastAsia="SimSun"/>
                <w:b/>
                <w:bCs/>
                <w:sz w:val="24"/>
                <w:lang w:val="fr-FR" w:eastAsia="fr-FR"/>
              </w:rPr>
            </w:pPr>
            <w:r w:rsidRPr="00AA40E6">
              <w:rPr>
                <w:rFonts w:eastAsia="SimSun"/>
                <w:b/>
                <w:bCs/>
                <w:sz w:val="20"/>
                <w:lang w:val="fr-FR" w:eastAsia="fr-FR"/>
              </w:rPr>
              <w:t>Température de régulation</w:t>
            </w:r>
          </w:p>
        </w:tc>
        <w:tc>
          <w:tcPr>
            <w:tcW w:w="1250" w:type="pct"/>
            <w:tcBorders>
              <w:top w:val="single" w:sz="8" w:space="0" w:color="auto"/>
              <w:left w:val="nil"/>
              <w:bottom w:val="single" w:sz="8" w:space="0" w:color="auto"/>
              <w:right w:val="nil"/>
            </w:tcBorders>
            <w:hideMark/>
          </w:tcPr>
          <w:p w14:paraId="30E157B4" w14:textId="77777777" w:rsidR="00941EF3" w:rsidRPr="00AA40E6" w:rsidRDefault="00941EF3">
            <w:pPr>
              <w:numPr>
                <w:ilvl w:val="12"/>
                <w:numId w:val="0"/>
              </w:numPr>
              <w:spacing w:before="40" w:after="40"/>
              <w:rPr>
                <w:rFonts w:eastAsia="SimSun"/>
                <w:b/>
                <w:bCs/>
                <w:sz w:val="24"/>
                <w:lang w:val="fr-FR" w:eastAsia="fr-FR"/>
              </w:rPr>
            </w:pPr>
            <w:r w:rsidRPr="00AA40E6">
              <w:rPr>
                <w:rFonts w:eastAsia="SimSun"/>
                <w:b/>
                <w:bCs/>
                <w:sz w:val="20"/>
                <w:lang w:val="fr-FR" w:eastAsia="fr-FR"/>
              </w:rPr>
              <w:t>Température critique</w:t>
            </w:r>
          </w:p>
        </w:tc>
      </w:tr>
      <w:tr w:rsidR="00941EF3" w14:paraId="027DE082" w14:textId="77777777" w:rsidTr="00941EF3">
        <w:trPr>
          <w:cantSplit/>
        </w:trPr>
        <w:tc>
          <w:tcPr>
            <w:tcW w:w="1441" w:type="pct"/>
            <w:vMerge w:val="restart"/>
            <w:tcBorders>
              <w:top w:val="single" w:sz="8" w:space="0" w:color="auto"/>
              <w:left w:val="nil"/>
              <w:bottom w:val="nil"/>
              <w:right w:val="nil"/>
            </w:tcBorders>
            <w:hideMark/>
          </w:tcPr>
          <w:p w14:paraId="07654AEC"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Emballages individuels et GRV</w:t>
            </w:r>
          </w:p>
        </w:tc>
        <w:tc>
          <w:tcPr>
            <w:tcW w:w="986" w:type="pct"/>
            <w:tcBorders>
              <w:top w:val="single" w:sz="8" w:space="0" w:color="auto"/>
              <w:left w:val="nil"/>
              <w:bottom w:val="nil"/>
              <w:right w:val="nil"/>
            </w:tcBorders>
            <w:hideMark/>
          </w:tcPr>
          <w:p w14:paraId="53F800C5" w14:textId="77777777" w:rsidR="00941EF3" w:rsidRPr="00AA40E6" w:rsidRDefault="00941EF3">
            <w:pPr>
              <w:numPr>
                <w:ilvl w:val="12"/>
                <w:numId w:val="0"/>
              </w:numPr>
              <w:spacing w:before="40" w:after="40"/>
              <w:rPr>
                <w:rFonts w:eastAsia="SimSun"/>
                <w:sz w:val="24"/>
                <w:lang w:val="fr-FR" w:eastAsia="fr-FR"/>
              </w:rPr>
            </w:pPr>
            <w:r w:rsidRPr="00AA40E6">
              <w:rPr>
                <w:rFonts w:eastAsia="SimSun" w:hint="eastAsia"/>
                <w:sz w:val="20"/>
                <w:szCs w:val="20"/>
                <w:lang w:val="fr-FR" w:eastAsia="fr-FR"/>
              </w:rPr>
              <w:t>≤</w:t>
            </w:r>
            <w:r w:rsidRPr="00AA40E6">
              <w:rPr>
                <w:rFonts w:eastAsia="SimSun"/>
                <w:sz w:val="20"/>
                <w:szCs w:val="20"/>
                <w:lang w:val="fr-FR" w:eastAsia="fr-FR"/>
              </w:rPr>
              <w:t xml:space="preserve"> 20 </w:t>
            </w:r>
            <w:r w:rsidRPr="00AA40E6">
              <w:rPr>
                <w:rFonts w:eastAsia="SimSun" w:hint="eastAsia"/>
                <w:sz w:val="20"/>
                <w:szCs w:val="20"/>
                <w:lang w:val="fr-FR" w:eastAsia="fr-FR"/>
              </w:rPr>
              <w:t>°</w:t>
            </w:r>
            <w:r w:rsidRPr="00AA40E6">
              <w:rPr>
                <w:rFonts w:eastAsia="SimSun"/>
                <w:sz w:val="20"/>
                <w:szCs w:val="20"/>
                <w:lang w:val="fr-FR" w:eastAsia="fr-FR"/>
              </w:rPr>
              <w:t xml:space="preserve">C </w:t>
            </w:r>
          </w:p>
        </w:tc>
        <w:tc>
          <w:tcPr>
            <w:tcW w:w="1323" w:type="pct"/>
            <w:tcBorders>
              <w:top w:val="single" w:sz="8" w:space="0" w:color="auto"/>
              <w:left w:val="nil"/>
              <w:bottom w:val="nil"/>
              <w:right w:val="nil"/>
            </w:tcBorders>
            <w:hideMark/>
          </w:tcPr>
          <w:p w14:paraId="6C4278E1"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20 °C au-dessous de la TDAA</w:t>
            </w:r>
            <w:r w:rsidRPr="00AA40E6">
              <w:rPr>
                <w:rFonts w:eastAsia="SimSun"/>
                <w:sz w:val="20"/>
                <w:szCs w:val="20"/>
                <w:lang w:val="fr-FR" w:eastAsia="fr-FR"/>
              </w:rPr>
              <w:t>/TPAA</w:t>
            </w:r>
          </w:p>
        </w:tc>
        <w:tc>
          <w:tcPr>
            <w:tcW w:w="1250" w:type="pct"/>
            <w:tcBorders>
              <w:top w:val="single" w:sz="8" w:space="0" w:color="auto"/>
              <w:left w:val="nil"/>
              <w:bottom w:val="nil"/>
              <w:right w:val="nil"/>
            </w:tcBorders>
            <w:hideMark/>
          </w:tcPr>
          <w:p w14:paraId="4D243E7B"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10 °C au-dessous de la TDAA</w:t>
            </w:r>
            <w:r w:rsidRPr="00AA40E6">
              <w:rPr>
                <w:rFonts w:eastAsia="SimSun"/>
                <w:sz w:val="20"/>
                <w:szCs w:val="20"/>
                <w:lang w:val="fr-FR" w:eastAsia="fr-FR"/>
              </w:rPr>
              <w:t>/TPAA </w:t>
            </w:r>
          </w:p>
        </w:tc>
      </w:tr>
      <w:tr w:rsidR="00941EF3" w14:paraId="12E2450B" w14:textId="77777777" w:rsidTr="00941EF3">
        <w:trPr>
          <w:cantSplit/>
        </w:trPr>
        <w:tc>
          <w:tcPr>
            <w:tcW w:w="0" w:type="auto"/>
            <w:vMerge/>
            <w:tcBorders>
              <w:top w:val="single" w:sz="8" w:space="0" w:color="auto"/>
              <w:left w:val="nil"/>
              <w:bottom w:val="nil"/>
              <w:right w:val="nil"/>
            </w:tcBorders>
            <w:vAlign w:val="center"/>
            <w:hideMark/>
          </w:tcPr>
          <w:p w14:paraId="321A9D51" w14:textId="77777777" w:rsidR="00941EF3" w:rsidRDefault="00941EF3">
            <w:pPr>
              <w:autoSpaceDE/>
              <w:autoSpaceDN/>
              <w:adjustRightInd/>
              <w:spacing w:line="256" w:lineRule="auto"/>
              <w:rPr>
                <w:rFonts w:eastAsia="SimSun"/>
                <w:sz w:val="24"/>
                <w:lang w:val="fr-FR" w:eastAsia="fr-FR"/>
              </w:rPr>
            </w:pPr>
          </w:p>
        </w:tc>
        <w:tc>
          <w:tcPr>
            <w:tcW w:w="986" w:type="pct"/>
            <w:hideMark/>
          </w:tcPr>
          <w:p w14:paraId="4211E7D9"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 xml:space="preserve">&gt; 20 °C </w:t>
            </w:r>
            <w:r w:rsidRPr="00AA40E6">
              <w:rPr>
                <w:rFonts w:eastAsia="SimSun" w:hint="eastAsia"/>
                <w:sz w:val="20"/>
                <w:lang w:val="fr-FR" w:eastAsia="fr-FR"/>
              </w:rPr>
              <w:t>≤</w:t>
            </w:r>
            <w:r w:rsidRPr="00AA40E6">
              <w:rPr>
                <w:rFonts w:eastAsia="SimSun"/>
                <w:sz w:val="20"/>
                <w:lang w:val="fr-FR" w:eastAsia="fr-FR"/>
              </w:rPr>
              <w:t> 35 </w:t>
            </w:r>
            <w:r w:rsidRPr="00AA40E6">
              <w:rPr>
                <w:rFonts w:eastAsia="SimSun" w:hint="eastAsia"/>
                <w:sz w:val="20"/>
                <w:lang w:val="fr-FR" w:eastAsia="fr-FR"/>
              </w:rPr>
              <w:t>°</w:t>
            </w:r>
            <w:r w:rsidRPr="00AA40E6">
              <w:rPr>
                <w:rFonts w:eastAsia="SimSun"/>
                <w:sz w:val="20"/>
                <w:lang w:val="fr-FR" w:eastAsia="fr-FR"/>
              </w:rPr>
              <w:t>C</w:t>
            </w:r>
          </w:p>
        </w:tc>
        <w:tc>
          <w:tcPr>
            <w:tcW w:w="1323" w:type="pct"/>
            <w:hideMark/>
          </w:tcPr>
          <w:p w14:paraId="43F83BE2"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15 °C au-dessous de la TDAA</w:t>
            </w:r>
            <w:r w:rsidRPr="00AA40E6">
              <w:rPr>
                <w:rFonts w:eastAsia="SimSun"/>
                <w:sz w:val="20"/>
                <w:szCs w:val="20"/>
                <w:lang w:val="fr-FR" w:eastAsia="fr-FR"/>
              </w:rPr>
              <w:t>/TPAA </w:t>
            </w:r>
          </w:p>
        </w:tc>
        <w:tc>
          <w:tcPr>
            <w:tcW w:w="1250" w:type="pct"/>
            <w:hideMark/>
          </w:tcPr>
          <w:p w14:paraId="251E34F4"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10 °C au-dessous de la TDAA</w:t>
            </w:r>
            <w:r w:rsidRPr="00AA40E6">
              <w:rPr>
                <w:rFonts w:eastAsia="SimSun"/>
                <w:sz w:val="20"/>
                <w:szCs w:val="20"/>
                <w:lang w:val="fr-FR" w:eastAsia="fr-FR"/>
              </w:rPr>
              <w:t>/TPAA </w:t>
            </w:r>
          </w:p>
        </w:tc>
      </w:tr>
      <w:tr w:rsidR="00941EF3" w14:paraId="7ACBC267" w14:textId="77777777" w:rsidTr="00941EF3">
        <w:trPr>
          <w:cantSplit/>
        </w:trPr>
        <w:tc>
          <w:tcPr>
            <w:tcW w:w="0" w:type="auto"/>
            <w:vMerge/>
            <w:tcBorders>
              <w:top w:val="single" w:sz="8" w:space="0" w:color="auto"/>
              <w:left w:val="nil"/>
              <w:bottom w:val="nil"/>
              <w:right w:val="nil"/>
            </w:tcBorders>
            <w:vAlign w:val="center"/>
            <w:hideMark/>
          </w:tcPr>
          <w:p w14:paraId="0D7F66A7" w14:textId="77777777" w:rsidR="00941EF3" w:rsidRDefault="00941EF3">
            <w:pPr>
              <w:autoSpaceDE/>
              <w:autoSpaceDN/>
              <w:adjustRightInd/>
              <w:spacing w:line="256" w:lineRule="auto"/>
              <w:rPr>
                <w:rFonts w:eastAsia="SimSun"/>
                <w:sz w:val="24"/>
                <w:lang w:val="fr-FR" w:eastAsia="fr-FR"/>
              </w:rPr>
            </w:pPr>
          </w:p>
        </w:tc>
        <w:tc>
          <w:tcPr>
            <w:tcW w:w="986" w:type="pct"/>
            <w:hideMark/>
          </w:tcPr>
          <w:p w14:paraId="6B91DC39"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&gt; 35 °C</w:t>
            </w:r>
          </w:p>
        </w:tc>
        <w:tc>
          <w:tcPr>
            <w:tcW w:w="1323" w:type="pct"/>
            <w:hideMark/>
          </w:tcPr>
          <w:p w14:paraId="55BA6274"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10 °C au-dessous de la TDAA</w:t>
            </w:r>
            <w:r w:rsidRPr="00AA40E6">
              <w:rPr>
                <w:rFonts w:eastAsia="SimSun"/>
                <w:sz w:val="20"/>
                <w:szCs w:val="20"/>
                <w:lang w:val="fr-FR" w:eastAsia="fr-FR"/>
              </w:rPr>
              <w:t>/TPAA </w:t>
            </w:r>
          </w:p>
        </w:tc>
        <w:tc>
          <w:tcPr>
            <w:tcW w:w="1250" w:type="pct"/>
            <w:hideMark/>
          </w:tcPr>
          <w:p w14:paraId="6A5FDDC5"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5 °C au-dessous de la TDAA</w:t>
            </w:r>
            <w:r w:rsidRPr="00AA40E6">
              <w:rPr>
                <w:rFonts w:eastAsia="SimSun"/>
                <w:sz w:val="20"/>
                <w:szCs w:val="20"/>
                <w:lang w:val="fr-FR" w:eastAsia="fr-FR"/>
              </w:rPr>
              <w:t>/TPAA </w:t>
            </w:r>
          </w:p>
        </w:tc>
      </w:tr>
      <w:tr w:rsidR="00941EF3" w14:paraId="0E72A7EB" w14:textId="77777777" w:rsidTr="00941EF3">
        <w:trPr>
          <w:cantSplit/>
        </w:trPr>
        <w:tc>
          <w:tcPr>
            <w:tcW w:w="1441" w:type="pct"/>
            <w:tcBorders>
              <w:top w:val="nil"/>
              <w:left w:val="nil"/>
              <w:bottom w:val="single" w:sz="8" w:space="0" w:color="auto"/>
              <w:right w:val="nil"/>
            </w:tcBorders>
            <w:hideMark/>
          </w:tcPr>
          <w:p w14:paraId="75EDE293"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Portable tanks</w:t>
            </w:r>
          </w:p>
        </w:tc>
        <w:tc>
          <w:tcPr>
            <w:tcW w:w="986" w:type="pct"/>
            <w:tcBorders>
              <w:top w:val="nil"/>
              <w:left w:val="nil"/>
              <w:bottom w:val="single" w:sz="8" w:space="0" w:color="auto"/>
              <w:right w:val="nil"/>
            </w:tcBorders>
            <w:hideMark/>
          </w:tcPr>
          <w:p w14:paraId="421A16AA" w14:textId="77777777" w:rsidR="00941EF3" w:rsidRPr="00AA40E6" w:rsidRDefault="00941EF3">
            <w:pPr>
              <w:numPr>
                <w:ilvl w:val="12"/>
                <w:numId w:val="0"/>
              </w:numPr>
              <w:spacing w:before="40" w:after="40"/>
              <w:rPr>
                <w:rFonts w:eastAsia="SimSun"/>
                <w:sz w:val="24"/>
                <w:lang w:val="fr-FR" w:eastAsia="fr-FR"/>
              </w:rPr>
            </w:pPr>
            <w:r w:rsidRPr="00AA40E6">
              <w:rPr>
                <w:rFonts w:eastAsia="SimSun" w:hint="eastAsia"/>
                <w:sz w:val="20"/>
                <w:szCs w:val="20"/>
                <w:lang w:val="fr-FR" w:eastAsia="fr-FR"/>
              </w:rPr>
              <w:t>≤</w:t>
            </w:r>
            <w:r w:rsidRPr="00AA40E6">
              <w:rPr>
                <w:rFonts w:eastAsia="SimSun"/>
                <w:sz w:val="20"/>
                <w:szCs w:val="20"/>
                <w:lang w:val="fr-FR" w:eastAsia="fr-FR"/>
              </w:rPr>
              <w:t xml:space="preserve"> 45 °C</w:t>
            </w:r>
          </w:p>
        </w:tc>
        <w:tc>
          <w:tcPr>
            <w:tcW w:w="1323" w:type="pct"/>
            <w:tcBorders>
              <w:top w:val="nil"/>
              <w:left w:val="nil"/>
              <w:bottom w:val="single" w:sz="8" w:space="0" w:color="auto"/>
              <w:right w:val="nil"/>
            </w:tcBorders>
            <w:hideMark/>
          </w:tcPr>
          <w:p w14:paraId="7DE45BEF"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10 °C au-dessous de la TDAA</w:t>
            </w:r>
            <w:r w:rsidRPr="00AA40E6">
              <w:rPr>
                <w:rFonts w:eastAsia="SimSun"/>
                <w:sz w:val="20"/>
                <w:szCs w:val="20"/>
                <w:lang w:val="fr-FR" w:eastAsia="fr-FR"/>
              </w:rPr>
              <w:t>/TPAA </w:t>
            </w:r>
          </w:p>
        </w:tc>
        <w:tc>
          <w:tcPr>
            <w:tcW w:w="1250" w:type="pct"/>
            <w:tcBorders>
              <w:top w:val="nil"/>
              <w:left w:val="nil"/>
              <w:bottom w:val="single" w:sz="8" w:space="0" w:color="auto"/>
              <w:right w:val="nil"/>
            </w:tcBorders>
            <w:hideMark/>
          </w:tcPr>
          <w:p w14:paraId="3CA7DA68"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5 °C au-dessous de la TDAA</w:t>
            </w:r>
            <w:r w:rsidRPr="00AA40E6">
              <w:rPr>
                <w:rFonts w:eastAsia="SimSun"/>
                <w:sz w:val="20"/>
                <w:szCs w:val="20"/>
                <w:lang w:val="fr-FR" w:eastAsia="fr-FR"/>
              </w:rPr>
              <w:t>/TPAA </w:t>
            </w:r>
          </w:p>
        </w:tc>
      </w:tr>
      <w:tr w:rsidR="00941EF3" w14:paraId="2EE39488" w14:textId="77777777" w:rsidTr="00941EF3">
        <w:trPr>
          <w:cantSplit/>
        </w:trPr>
        <w:tc>
          <w:tcPr>
            <w:tcW w:w="5000" w:type="pct"/>
            <w:gridSpan w:val="4"/>
            <w:tcBorders>
              <w:top w:val="single" w:sz="8" w:space="0" w:color="auto"/>
              <w:left w:val="nil"/>
              <w:bottom w:val="nil"/>
              <w:right w:val="nil"/>
            </w:tcBorders>
            <w:hideMark/>
          </w:tcPr>
          <w:p w14:paraId="5FA09792"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b/>
                <w:bCs/>
                <w:sz w:val="20"/>
                <w:szCs w:val="20"/>
                <w:vertAlign w:val="superscript"/>
                <w:lang w:val="fr-FR" w:eastAsia="fr-FR"/>
              </w:rPr>
              <w:t>a</w:t>
            </w:r>
            <w:r w:rsidRPr="00AA40E6">
              <w:rPr>
                <w:rFonts w:eastAsia="SimSun"/>
                <w:sz w:val="20"/>
                <w:szCs w:val="20"/>
                <w:lang w:val="fr-FR" w:eastAsia="fr-FR"/>
              </w:rPr>
              <w:t xml:space="preserve">  </w:t>
            </w:r>
            <w:r w:rsidRPr="00AA40E6">
              <w:rPr>
                <w:rFonts w:eastAsia="SimSun"/>
                <w:i/>
                <w:iCs/>
                <w:sz w:val="20"/>
                <w:lang w:val="fr-FR" w:eastAsia="fr-FR"/>
              </w:rPr>
              <w:t>On entend par là, la température de décomposition exothermique ou de polymérisation dans l'emballage utilisé.</w:t>
            </w:r>
          </w:p>
        </w:tc>
      </w:tr>
    </w:tbl>
    <w:p w14:paraId="6BC5ECBC" w14:textId="77777777" w:rsidR="00941EF3" w:rsidRDefault="00941EF3" w:rsidP="00941EF3">
      <w:pPr>
        <w:tabs>
          <w:tab w:val="left" w:pos="1418"/>
          <w:tab w:val="left" w:pos="1985"/>
          <w:tab w:val="left" w:pos="2552"/>
          <w:tab w:val="left" w:pos="3119"/>
        </w:tabs>
        <w:rPr>
          <w:szCs w:val="22"/>
          <w:lang w:val="fr-FR" w:eastAsia="fr-FR"/>
        </w:rPr>
      </w:pPr>
    </w:p>
    <w:p w14:paraId="2317E581"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28.2.4</w:t>
      </w:r>
      <w:r w:rsidRPr="00AA40E6">
        <w:rPr>
          <w:lang w:val="fr-FR" w:eastAsia="fr-FR"/>
        </w:rPr>
        <w:tab/>
        <w:t xml:space="preserve">Quand on soumet à épreuve une matière pour déterminer s'il s'agit d'une matière </w:t>
      </w:r>
      <w:proofErr w:type="spellStart"/>
      <w:r w:rsidRPr="00AA40E6">
        <w:rPr>
          <w:lang w:val="fr-FR" w:eastAsia="fr-FR"/>
        </w:rPr>
        <w:t>autoréactive</w:t>
      </w:r>
      <w:proofErr w:type="spellEnd"/>
      <w:r w:rsidRPr="00AA40E6">
        <w:rPr>
          <w:lang w:val="fr-FR" w:eastAsia="fr-FR"/>
        </w:rPr>
        <w:t>, il faut exécuter une épreuve de la série H afin de déterminer si sa TDAA serait égale ou inférieure à 75 °C en cas d’emballage dans un colis de 50 kg.</w:t>
      </w:r>
    </w:p>
    <w:p w14:paraId="66CC4D6B"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28.2.5</w:t>
      </w:r>
      <w:r w:rsidRPr="00AA40E6">
        <w:rPr>
          <w:lang w:val="fr-FR" w:eastAsia="fr-FR"/>
        </w:rPr>
        <w:tab/>
        <w:t xml:space="preserve">Quand on soumet à épreuve une matière pour déterminer s’il s’agit d’une matière qui polymérise, il faut exécuter une épreuve de la série H, ou une autre méthode appropriée, afin de déterminer si </w:t>
      </w:r>
      <w:r w:rsidRPr="00AA40E6">
        <w:rPr>
          <w:lang w:val="fr-FR" w:eastAsia="fr-FR"/>
        </w:rPr>
        <w:lastRenderedPageBreak/>
        <w:t>sa TPAA serait égale ou inférieure à 75 °C dans son emballage, son GRV ou sa citerne mobile.</w:t>
      </w:r>
    </w:p>
    <w:p w14:paraId="46C2ED9E" w14:textId="3C0223C0" w:rsidR="00941EF3" w:rsidRPr="00AA40E6" w:rsidRDefault="00941EF3" w:rsidP="00941EF3">
      <w:pPr>
        <w:numPr>
          <w:ilvl w:val="12"/>
          <w:numId w:val="0"/>
        </w:numPr>
        <w:tabs>
          <w:tab w:val="left" w:pos="1418"/>
        </w:tabs>
        <w:spacing w:after="240"/>
        <w:rPr>
          <w:lang w:val="fr-FR" w:eastAsia="fr-FR"/>
        </w:rPr>
      </w:pPr>
      <w:r w:rsidRPr="00AA40E6">
        <w:rPr>
          <w:lang w:val="fr-FR" w:eastAsia="fr-FR"/>
        </w:rPr>
        <w:t>28.2.6</w:t>
      </w:r>
      <w:r w:rsidRPr="00AA40E6">
        <w:rPr>
          <w:lang w:val="fr-FR" w:eastAsia="fr-FR"/>
        </w:rPr>
        <w:tab/>
        <w:t>Normalement, les résultats obtenus pour les colis plus grands s'appliquent aux emballages plus petits de conception et de construction similaires à condition que le transfert de chaleur par unité de masse ne soit pas inférieur à celui correspondant au plus grand colis.</w:t>
      </w:r>
    </w:p>
    <w:p w14:paraId="3F22A7E1" w14:textId="77777777" w:rsidR="00941EF3" w:rsidRPr="00AA40E6" w:rsidRDefault="00941EF3" w:rsidP="00941EF3">
      <w:pPr>
        <w:keepNext/>
        <w:keepLines/>
        <w:numPr>
          <w:ilvl w:val="12"/>
          <w:numId w:val="0"/>
        </w:numPr>
        <w:tabs>
          <w:tab w:val="left" w:pos="1418"/>
        </w:tabs>
        <w:spacing w:after="240"/>
        <w:rPr>
          <w:b/>
          <w:lang w:val="fr-FR" w:eastAsia="fr-FR"/>
        </w:rPr>
      </w:pPr>
      <w:r w:rsidRPr="00AA40E6">
        <w:rPr>
          <w:b/>
          <w:lang w:val="fr-FR" w:eastAsia="fr-FR"/>
        </w:rPr>
        <w:t>28.3</w:t>
      </w:r>
      <w:r w:rsidRPr="00AA40E6">
        <w:rPr>
          <w:b/>
          <w:lang w:val="fr-FR" w:eastAsia="fr-FR"/>
        </w:rPr>
        <w:tab/>
        <w:t>Conditions d'épreuve</w:t>
      </w:r>
    </w:p>
    <w:p w14:paraId="2F8F48A4"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28.3.1</w:t>
      </w:r>
      <w:r w:rsidRPr="00AA40E6">
        <w:rPr>
          <w:lang w:val="fr-FR" w:eastAsia="fr-FR"/>
        </w:rPr>
        <w:tab/>
        <w:t xml:space="preserve">Pour les peroxydes organiques et les matières </w:t>
      </w:r>
      <w:proofErr w:type="spellStart"/>
      <w:r w:rsidRPr="00AA40E6">
        <w:rPr>
          <w:lang w:val="fr-FR" w:eastAsia="fr-FR"/>
        </w:rPr>
        <w:t>autoréactives</w:t>
      </w:r>
      <w:proofErr w:type="spellEnd"/>
      <w:r w:rsidRPr="00AA40E6">
        <w:rPr>
          <w:lang w:val="fr-FR" w:eastAsia="fr-FR"/>
        </w:rPr>
        <w:t xml:space="preserve">, la procédure préliminaire (voir section 20.3) doit être appliquée et l'effet du chauffage sous confinement (série d'épreuves E) est à déterminer avant d'exécuter les épreuves de TDAA. </w:t>
      </w:r>
      <w:r w:rsidRPr="00AA40E6">
        <w:rPr>
          <w:b/>
          <w:bCs/>
          <w:i/>
          <w:iCs/>
          <w:lang w:val="fr-FR" w:eastAsia="fr-FR"/>
        </w:rPr>
        <w:t>Des précautions de sécurité sont à prendre en prévision du risque d'une défaillance catastrophique du récipient d'épreuve et du danger découlant de l'inflammation des mélanges combustible secondaire-air ainsi que du dégagement de produits de combustion toxiques. Les matières susceptibles de détoner ne doivent être éprouvées qu'avec des précautions spéciales.</w:t>
      </w:r>
    </w:p>
    <w:p w14:paraId="26E2969E"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28.3.2</w:t>
      </w:r>
      <w:r w:rsidRPr="00AA40E6">
        <w:rPr>
          <w:lang w:val="fr-FR" w:eastAsia="fr-FR"/>
        </w:rPr>
        <w:tab/>
        <w:t>L'épreuve choisie doit être exécutée d'une manière qui soit représentative du colis, aussi bien par la dimension que par le matériau qui le constitue. Pour des emballages métalliques, des GRV ou des citernes, il pourrait être nécessaire d'inclure une quantité représentative du métal de l'échantillon mis à l'épreuve, c'est-à-dire représentative du ou des métaux et de la surface de contact.</w:t>
      </w:r>
    </w:p>
    <w:p w14:paraId="5DB8F979"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28.3.3</w:t>
      </w:r>
      <w:r w:rsidRPr="00AA40E6">
        <w:rPr>
          <w:lang w:val="fr-FR" w:eastAsia="fr-FR"/>
        </w:rPr>
        <w:tab/>
      </w:r>
      <w:r w:rsidRPr="00AA40E6">
        <w:rPr>
          <w:b/>
          <w:bCs/>
          <w:i/>
          <w:iCs/>
          <w:lang w:val="fr-FR" w:eastAsia="fr-FR"/>
        </w:rPr>
        <w:t>Un soin particulier devrait être pris dans le cas d'échantillons qui ont été mis à l'épreuve depuis que pourraient être intervenus des changements de nature à rendre la matière plus instable et plus vulnérable. Les échantillons mis à l'épreuve doivent être détruits aussi rapidement que possible après l'épreuve.</w:t>
      </w:r>
    </w:p>
    <w:p w14:paraId="1C477B23" w14:textId="3922601B" w:rsidR="00941EF3" w:rsidRPr="00AA40E6" w:rsidRDefault="00941EF3" w:rsidP="00941EF3">
      <w:pPr>
        <w:numPr>
          <w:ilvl w:val="12"/>
          <w:numId w:val="0"/>
        </w:numPr>
        <w:tabs>
          <w:tab w:val="left" w:pos="1418"/>
        </w:tabs>
        <w:spacing w:after="240"/>
        <w:rPr>
          <w:lang w:val="fr-FR" w:eastAsia="fr-FR"/>
        </w:rPr>
      </w:pPr>
      <w:r w:rsidRPr="00AA40E6">
        <w:rPr>
          <w:lang w:val="fr-FR" w:eastAsia="fr-FR"/>
        </w:rPr>
        <w:t>28.3.4</w:t>
      </w:r>
      <w:r w:rsidRPr="00AA40E6">
        <w:rPr>
          <w:lang w:val="fr-FR" w:eastAsia="fr-FR"/>
        </w:rPr>
        <w:tab/>
        <w:t>Les échantillons qui ont été mis à l'épreuve à une température déterminée et sont en apparence intacts peuvent être utilisés à nouveau uniquement à des fins de sélection à condition qu'il en soit pris un soin particulier. De nouveaux échantillons doivent être utilisés pour la détermination définitive de la TDAA et de la TPAA.</w:t>
      </w:r>
    </w:p>
    <w:p w14:paraId="7D4BC1EE" w14:textId="4E4F8C8C" w:rsidR="00941EF3" w:rsidRPr="00AA40E6" w:rsidRDefault="00941EF3" w:rsidP="00941EF3">
      <w:pPr>
        <w:numPr>
          <w:ilvl w:val="12"/>
          <w:numId w:val="0"/>
        </w:numPr>
        <w:tabs>
          <w:tab w:val="left" w:pos="1418"/>
        </w:tabs>
        <w:spacing w:after="240"/>
        <w:rPr>
          <w:lang w:val="fr-FR" w:eastAsia="fr-FR"/>
        </w:rPr>
      </w:pPr>
      <w:r w:rsidRPr="00AA40E6">
        <w:rPr>
          <w:lang w:val="fr-FR" w:eastAsia="fr-FR"/>
        </w:rPr>
        <w:t>28.3.5</w:t>
      </w:r>
      <w:r w:rsidRPr="00AA40E6">
        <w:rPr>
          <w:lang w:val="fr-FR" w:eastAsia="fr-FR"/>
        </w:rPr>
        <w:tab/>
        <w:t>Si l'épreuve ne porte pas sur le colis complet, les données relatives aux pertes de chaleur utilisées pour déterminer la TDAA ou la TPAA doivent être représentatives du colis, du GRV ou de la citerne. Pour tous les types d’emballages jusqu’à 50 kg pour les matières solides ou 200 kg/225 litres pour les liquides et, pour les GRV, jusqu’à 1250 litres pour les liquides, une perte de chaleur standard par unité de masse est indiquée dans le tableau 28.4. Pour les autres emballages, les GRV ou les citernes, ou lorsqu’il est nécessaire de disposer d’une valeur de perte de chaleur qui s’écarte de celle indiquée dans le tableau 28.4, la valeur réelle de perte de chaleur par unité de masse doit être déterminée. Dans ce cas, la perte de chaleur par unité de masse de colis, de GRV ou de citerne peut être déterminée par le calcul (en fonction de la quantité de matière, des dimensions du colis, du transfert de chaleur dans la matière, du transfert de chaleur à travers l’emballage et du transfert de chaleur de la paroi extérieure de l’emballage vers l’environnement (voir Nota)) ou en mesurant le temps de demi-refroidissement du colis rempli de la matière à éprouver ou d'une autre matière douée de propriétés physiques comparables.  La perte de chaleur par unité de masse, L(W/</w:t>
      </w:r>
      <w:proofErr w:type="spellStart"/>
      <w:r w:rsidRPr="00AA40E6">
        <w:rPr>
          <w:lang w:val="fr-FR" w:eastAsia="fr-FR"/>
        </w:rPr>
        <w:t>kg.K</w:t>
      </w:r>
      <w:proofErr w:type="spellEnd"/>
      <w:r w:rsidRPr="00AA40E6">
        <w:rPr>
          <w:lang w:val="fr-FR" w:eastAsia="fr-FR"/>
        </w:rPr>
        <w:t>), peut être calculée d'après le temps de demi-refroidissement, t</w:t>
      </w:r>
      <w:r w:rsidRPr="00AA40E6">
        <w:rPr>
          <w:vertAlign w:val="subscript"/>
          <w:lang w:val="fr-FR" w:eastAsia="fr-FR"/>
        </w:rPr>
        <w:t>1/2</w:t>
      </w:r>
      <w:r w:rsidRPr="00AA40E6">
        <w:rPr>
          <w:lang w:val="fr-FR" w:eastAsia="fr-FR"/>
        </w:rPr>
        <w:t xml:space="preserve"> (s), et la chaleur spécifique, Cp (J/</w:t>
      </w:r>
      <w:proofErr w:type="spellStart"/>
      <w:r w:rsidRPr="00AA40E6">
        <w:rPr>
          <w:lang w:val="fr-FR" w:eastAsia="fr-FR"/>
        </w:rPr>
        <w:t>kg.K</w:t>
      </w:r>
      <w:proofErr w:type="spellEnd"/>
      <w:r w:rsidRPr="00AA40E6">
        <w:rPr>
          <w:lang w:val="fr-FR" w:eastAsia="fr-FR"/>
        </w:rPr>
        <w:t>), de la matière, au moyen de la relation :</w:t>
      </w:r>
    </w:p>
    <w:p w14:paraId="5E5BCDF5" w14:textId="77777777" w:rsidR="00941EF3" w:rsidRPr="00AA40E6" w:rsidRDefault="00941EF3" w:rsidP="00941EF3">
      <w:pPr>
        <w:numPr>
          <w:ilvl w:val="12"/>
          <w:numId w:val="0"/>
        </w:numPr>
        <w:tabs>
          <w:tab w:val="left" w:pos="1418"/>
        </w:tabs>
        <w:spacing w:after="240"/>
        <w:jc w:val="center"/>
        <w:rPr>
          <w:lang w:val="fr-FR" w:eastAsia="fr-FR"/>
        </w:rPr>
      </w:pPr>
      <w:r w:rsidRPr="00AA40E6">
        <w:rPr>
          <w:lang w:val="fr-FR" w:eastAsia="fr-FR"/>
        </w:rPr>
        <w:t>L = ln 2 × (Cp / t</w:t>
      </w:r>
      <w:r w:rsidRPr="00AA40E6">
        <w:rPr>
          <w:vertAlign w:val="subscript"/>
          <w:lang w:val="fr-FR" w:eastAsia="fr-FR"/>
        </w:rPr>
        <w:t>1/2</w:t>
      </w:r>
      <w:r w:rsidRPr="00AA40E6">
        <w:rPr>
          <w:lang w:val="fr-FR" w:eastAsia="fr-FR"/>
        </w:rPr>
        <w:t>)</w:t>
      </w:r>
    </w:p>
    <w:p w14:paraId="02F90BA5" w14:textId="5CCFAE4D" w:rsidR="00941EF3" w:rsidRPr="00AA40E6" w:rsidRDefault="00941EF3" w:rsidP="00941EF3">
      <w:pPr>
        <w:numPr>
          <w:ilvl w:val="12"/>
          <w:numId w:val="0"/>
        </w:numPr>
        <w:tabs>
          <w:tab w:val="left" w:pos="1418"/>
        </w:tabs>
        <w:spacing w:after="240"/>
        <w:rPr>
          <w:i/>
          <w:iCs/>
          <w:lang w:val="fr-FR" w:eastAsia="fr-FR"/>
        </w:rPr>
      </w:pPr>
      <w:r w:rsidRPr="00AA40E6">
        <w:rPr>
          <w:b/>
          <w:bCs/>
          <w:i/>
          <w:iCs/>
          <w:lang w:val="fr-FR" w:eastAsia="fr-FR"/>
        </w:rPr>
        <w:t>NOTA :</w:t>
      </w:r>
      <w:r w:rsidRPr="00AA40E6">
        <w:rPr>
          <w:i/>
          <w:iCs/>
          <w:lang w:val="fr-FR" w:eastAsia="fr-FR"/>
        </w:rPr>
        <w:tab/>
        <w:t>Pour les calculs, un coefficient de transmission thermique externe (c’est-à-dire la transmission de chaleur de la paroi extérieure de l’emballage vers l’environnement) de 5 W/m</w:t>
      </w:r>
      <w:r w:rsidR="00CA6784" w:rsidRPr="00B7596F">
        <w:rPr>
          <w:i/>
          <w:iCs/>
          <w:lang w:val="fr-FR" w:eastAsia="fr-FR"/>
        </w:rPr>
        <w:t>²</w:t>
      </w:r>
      <w:r w:rsidRPr="00AA40E6">
        <w:rPr>
          <w:i/>
          <w:iCs/>
          <w:lang w:val="fr-FR" w:eastAsia="fr-FR"/>
        </w:rPr>
        <w:t>.K peut être utilisé.</w:t>
      </w:r>
    </w:p>
    <w:p w14:paraId="2740720A"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28.3.6</w:t>
      </w:r>
      <w:r w:rsidRPr="00AA40E6">
        <w:rPr>
          <w:lang w:val="fr-FR" w:eastAsia="fr-FR"/>
        </w:rPr>
        <w:tab/>
        <w:t xml:space="preserve">Le temps de demi-refroidissement peut être déterminé en mesurant le temps qui s'écoule pour que l'écart de température entre l'échantillon et son environnement diminue de moitié. Par exemple, pour les liquides, l'emballage peut être rempli au moyen d’huile silicone, de densité apparente égale à 0,96 </w:t>
      </w:r>
      <w:r w:rsidRPr="00AA40E6">
        <w:rPr>
          <w:lang w:val="fr-FR" w:eastAsia="fr-FR"/>
        </w:rPr>
        <w:sym w:font="Symbol" w:char="F0B1"/>
      </w:r>
      <w:r w:rsidRPr="00AA40E6">
        <w:rPr>
          <w:lang w:val="fr-FR" w:eastAsia="fr-FR"/>
        </w:rPr>
        <w:t xml:space="preserve"> 0,02 à 20 °C et de capacité thermique égale à 1,46 </w:t>
      </w:r>
      <w:r w:rsidRPr="00AA40E6">
        <w:rPr>
          <w:lang w:val="fr-FR" w:eastAsia="fr-FR"/>
        </w:rPr>
        <w:sym w:font="Symbol" w:char="F0B1"/>
      </w:r>
      <w:r w:rsidRPr="00AA40E6">
        <w:rPr>
          <w:lang w:val="fr-FR" w:eastAsia="fr-FR"/>
        </w:rPr>
        <w:t xml:space="preserve"> 0,02 J/g à 25 °C ou de phtalate de diméthyle chauffé à environ 80 °C. Il ne faut pas utiliser de l'eau car des résultats irréguliers peuvent être obtenus par évaporation/condensation. Pour les matières solides par exemple, l’emballage peut être rempli de carbonate de </w:t>
      </w:r>
      <w:r w:rsidRPr="00AA40E6">
        <w:rPr>
          <w:lang w:val="fr-FR" w:eastAsia="fr-FR"/>
        </w:rPr>
        <w:lastRenderedPageBreak/>
        <w:t>sodium anhydre (masse volumique apparente supérieure à 1 g/cm3) chauffé à environ 80 °C. La chute de température est mesurée au centre du colis pour toute la gamme de températures qui comprend la TDAA ou la TPAA escomptée. Pour établir une échelle, il pourrait être nécessaire de mesurer en continu la température de la matière et du voisinage avant d'utiliser une régression linéaire pour calculer les coefficients de l'équation ci-après :</w:t>
      </w:r>
    </w:p>
    <w:p w14:paraId="6E63ACD8" w14:textId="6A734B31" w:rsidR="00941EF3" w:rsidRPr="00AA40E6" w:rsidRDefault="00941EF3" w:rsidP="00941EF3">
      <w:pPr>
        <w:numPr>
          <w:ilvl w:val="12"/>
          <w:numId w:val="0"/>
        </w:numPr>
        <w:tabs>
          <w:tab w:val="left" w:pos="1418"/>
        </w:tabs>
        <w:spacing w:after="240"/>
        <w:jc w:val="center"/>
        <w:rPr>
          <w:lang w:val="fr-FR" w:eastAsia="fr-FR"/>
        </w:rPr>
      </w:pPr>
      <w:r w:rsidRPr="00AA40E6">
        <w:rPr>
          <w:lang w:val="fr-FR" w:eastAsia="fr-FR"/>
        </w:rPr>
        <w:t>ln {T - T</w:t>
      </w:r>
      <w:r w:rsidRPr="00AA40E6">
        <w:rPr>
          <w:vertAlign w:val="subscript"/>
          <w:lang w:val="fr-FR" w:eastAsia="fr-FR"/>
        </w:rPr>
        <w:t>a</w:t>
      </w:r>
      <w:r w:rsidRPr="00AA40E6">
        <w:rPr>
          <w:lang w:val="fr-FR" w:eastAsia="fr-FR"/>
        </w:rPr>
        <w:t xml:space="preserve">} = </w:t>
      </w:r>
      <w:proofErr w:type="spellStart"/>
      <w:r w:rsidRPr="00AA40E6">
        <w:rPr>
          <w:lang w:val="fr-FR" w:eastAsia="fr-FR"/>
        </w:rPr>
        <w:t>c</w:t>
      </w:r>
      <w:r w:rsidRPr="00AA40E6">
        <w:rPr>
          <w:vertAlign w:val="subscript"/>
          <w:lang w:val="fr-FR" w:eastAsia="fr-FR"/>
        </w:rPr>
        <w:t>o</w:t>
      </w:r>
      <w:proofErr w:type="spellEnd"/>
      <w:r w:rsidRPr="00AA40E6">
        <w:rPr>
          <w:lang w:val="fr-FR" w:eastAsia="fr-FR"/>
        </w:rPr>
        <w:t xml:space="preserve"> + c</w:t>
      </w:r>
      <w:r w:rsidRPr="00AA40E6">
        <w:rPr>
          <w:noProof/>
          <w:position w:val="-4"/>
          <w:lang w:val="fr-FR" w:eastAsia="fr-FR"/>
        </w:rPr>
        <w:drawing>
          <wp:inline distT="0" distB="0" distL="0" distR="0" wp14:anchorId="638C58D6" wp14:editId="22AD3913">
            <wp:extent cx="133350" cy="133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A40E6">
        <w:rPr>
          <w:lang w:val="fr-FR" w:eastAsia="fr-FR"/>
        </w:rPr>
        <w:t>t</w:t>
      </w:r>
    </w:p>
    <w:p w14:paraId="00EAC8B1" w14:textId="77777777" w:rsidR="00941EF3" w:rsidRPr="00AA40E6" w:rsidRDefault="00941EF3" w:rsidP="00941EF3">
      <w:pPr>
        <w:numPr>
          <w:ilvl w:val="12"/>
          <w:numId w:val="0"/>
        </w:numPr>
        <w:tabs>
          <w:tab w:val="left" w:pos="1418"/>
          <w:tab w:val="left" w:pos="1843"/>
        </w:tabs>
        <w:rPr>
          <w:lang w:val="fr-FR" w:eastAsia="fr-FR"/>
        </w:rPr>
      </w:pPr>
      <w:r w:rsidRPr="00AA40E6">
        <w:rPr>
          <w:lang w:val="fr-FR" w:eastAsia="fr-FR"/>
        </w:rPr>
        <w:t xml:space="preserve">dans laquelle : </w:t>
      </w:r>
      <w:r w:rsidRPr="00AA40E6">
        <w:rPr>
          <w:lang w:val="fr-FR" w:eastAsia="fr-FR"/>
        </w:rPr>
        <w:tab/>
        <w:t>T</w:t>
      </w:r>
      <w:r w:rsidRPr="00AA40E6">
        <w:rPr>
          <w:lang w:val="fr-FR" w:eastAsia="fr-FR"/>
        </w:rPr>
        <w:tab/>
        <w:t>=</w:t>
      </w:r>
      <w:r w:rsidRPr="00AA40E6">
        <w:rPr>
          <w:lang w:val="fr-FR" w:eastAsia="fr-FR"/>
        </w:rPr>
        <w:tab/>
        <w:t>température de la matière (°C) ;</w:t>
      </w:r>
    </w:p>
    <w:p w14:paraId="4A21E945" w14:textId="77777777" w:rsidR="00941EF3" w:rsidRPr="00AA40E6" w:rsidRDefault="00941EF3" w:rsidP="00941EF3">
      <w:pPr>
        <w:numPr>
          <w:ilvl w:val="12"/>
          <w:numId w:val="0"/>
        </w:numPr>
        <w:tabs>
          <w:tab w:val="left" w:pos="1418"/>
          <w:tab w:val="left" w:pos="1843"/>
        </w:tabs>
        <w:rPr>
          <w:lang w:val="fr-FR" w:eastAsia="fr-FR"/>
        </w:rPr>
      </w:pPr>
      <w:r w:rsidRPr="00AA40E6">
        <w:rPr>
          <w:lang w:val="fr-FR" w:eastAsia="fr-FR"/>
        </w:rPr>
        <w:tab/>
        <w:t>T</w:t>
      </w:r>
      <w:r w:rsidRPr="00AA40E6">
        <w:rPr>
          <w:vertAlign w:val="subscript"/>
          <w:lang w:val="fr-FR" w:eastAsia="fr-FR"/>
        </w:rPr>
        <w:t>a</w:t>
      </w:r>
      <w:r w:rsidRPr="00AA40E6">
        <w:rPr>
          <w:lang w:val="fr-FR" w:eastAsia="fr-FR"/>
        </w:rPr>
        <w:tab/>
        <w:t>=</w:t>
      </w:r>
      <w:r w:rsidRPr="00AA40E6">
        <w:rPr>
          <w:lang w:val="fr-FR" w:eastAsia="fr-FR"/>
        </w:rPr>
        <w:tab/>
        <w:t>température ambiante (°C) ;</w:t>
      </w:r>
    </w:p>
    <w:p w14:paraId="11FED409" w14:textId="77777777" w:rsidR="00941EF3" w:rsidRPr="00AA40E6" w:rsidRDefault="00941EF3" w:rsidP="00941EF3">
      <w:pPr>
        <w:numPr>
          <w:ilvl w:val="12"/>
          <w:numId w:val="0"/>
        </w:numPr>
        <w:tabs>
          <w:tab w:val="left" w:pos="1418"/>
          <w:tab w:val="left" w:pos="1843"/>
        </w:tabs>
        <w:rPr>
          <w:lang w:val="fr-FR" w:eastAsia="fr-FR"/>
        </w:rPr>
      </w:pPr>
      <w:r w:rsidRPr="00AA40E6">
        <w:rPr>
          <w:lang w:val="fr-FR" w:eastAsia="fr-FR"/>
        </w:rPr>
        <w:tab/>
      </w:r>
      <w:proofErr w:type="spellStart"/>
      <w:r w:rsidRPr="00AA40E6">
        <w:rPr>
          <w:lang w:val="fr-FR" w:eastAsia="fr-FR"/>
        </w:rPr>
        <w:t>c</w:t>
      </w:r>
      <w:r w:rsidRPr="00AA40E6">
        <w:rPr>
          <w:vertAlign w:val="subscript"/>
          <w:lang w:val="fr-FR" w:eastAsia="fr-FR"/>
        </w:rPr>
        <w:t>o</w:t>
      </w:r>
      <w:proofErr w:type="spellEnd"/>
      <w:r w:rsidRPr="00AA40E6">
        <w:rPr>
          <w:lang w:val="fr-FR" w:eastAsia="fr-FR"/>
        </w:rPr>
        <w:tab/>
        <w:t>=</w:t>
      </w:r>
      <w:r w:rsidRPr="00AA40E6">
        <w:rPr>
          <w:lang w:val="fr-FR" w:eastAsia="fr-FR"/>
        </w:rPr>
        <w:tab/>
        <w:t>ln {température initiale de la matière - température ambiante initiale} ; et</w:t>
      </w:r>
    </w:p>
    <w:p w14:paraId="781925A6" w14:textId="77777777" w:rsidR="00941EF3" w:rsidRPr="00AA40E6" w:rsidRDefault="00941EF3" w:rsidP="00941EF3">
      <w:pPr>
        <w:numPr>
          <w:ilvl w:val="12"/>
          <w:numId w:val="0"/>
        </w:numPr>
        <w:tabs>
          <w:tab w:val="left" w:pos="1418"/>
          <w:tab w:val="left" w:pos="1843"/>
        </w:tabs>
        <w:rPr>
          <w:lang w:val="fr-FR" w:eastAsia="fr-FR"/>
        </w:rPr>
      </w:pPr>
      <w:r w:rsidRPr="00AA40E6">
        <w:rPr>
          <w:lang w:val="fr-FR" w:eastAsia="fr-FR"/>
        </w:rPr>
        <w:tab/>
        <w:t>c</w:t>
      </w:r>
      <w:r w:rsidRPr="00AA40E6">
        <w:rPr>
          <w:lang w:val="fr-FR" w:eastAsia="fr-FR"/>
        </w:rPr>
        <w:tab/>
        <w:t>=</w:t>
      </w:r>
      <w:r w:rsidRPr="00AA40E6">
        <w:rPr>
          <w:lang w:val="fr-FR" w:eastAsia="fr-FR"/>
        </w:rPr>
        <w:tab/>
        <w:t>L/C</w:t>
      </w:r>
      <w:r w:rsidRPr="00AA40E6">
        <w:rPr>
          <w:vertAlign w:val="subscript"/>
          <w:lang w:val="fr-FR" w:eastAsia="fr-FR"/>
        </w:rPr>
        <w:t>p </w:t>
      </w:r>
      <w:r w:rsidRPr="00AA40E6">
        <w:rPr>
          <w:lang w:val="fr-FR" w:eastAsia="fr-FR"/>
        </w:rPr>
        <w:t>;</w:t>
      </w:r>
    </w:p>
    <w:p w14:paraId="77C63CF9" w14:textId="77777777" w:rsidR="00941EF3" w:rsidRPr="00AA40E6" w:rsidRDefault="00941EF3" w:rsidP="00941EF3">
      <w:pPr>
        <w:numPr>
          <w:ilvl w:val="12"/>
          <w:numId w:val="0"/>
        </w:numPr>
        <w:tabs>
          <w:tab w:val="left" w:pos="1418"/>
          <w:tab w:val="left" w:pos="1843"/>
        </w:tabs>
        <w:spacing w:after="240"/>
        <w:rPr>
          <w:lang w:val="fr-FR" w:eastAsia="fr-FR"/>
        </w:rPr>
      </w:pPr>
      <w:r w:rsidRPr="00AA40E6">
        <w:rPr>
          <w:lang w:val="fr-FR" w:eastAsia="fr-FR"/>
        </w:rPr>
        <w:tab/>
        <w:t>t</w:t>
      </w:r>
      <w:r w:rsidRPr="00AA40E6">
        <w:rPr>
          <w:lang w:val="fr-FR" w:eastAsia="fr-FR"/>
        </w:rPr>
        <w:tab/>
        <w:t>=</w:t>
      </w:r>
      <w:r w:rsidRPr="00AA40E6">
        <w:rPr>
          <w:lang w:val="fr-FR" w:eastAsia="fr-FR"/>
        </w:rPr>
        <w:tab/>
        <w:t>temps (s).</w:t>
      </w:r>
    </w:p>
    <w:p w14:paraId="0B1E1D6A" w14:textId="265E98D7" w:rsidR="00941EF3" w:rsidRPr="00AA40E6" w:rsidRDefault="00941EF3" w:rsidP="00941EF3">
      <w:pPr>
        <w:numPr>
          <w:ilvl w:val="12"/>
          <w:numId w:val="0"/>
        </w:numPr>
        <w:tabs>
          <w:tab w:val="left" w:pos="1418"/>
        </w:tabs>
        <w:spacing w:after="240"/>
        <w:rPr>
          <w:lang w:val="fr-FR" w:eastAsia="fr-FR"/>
        </w:rPr>
      </w:pPr>
      <w:r w:rsidRPr="00AA40E6">
        <w:rPr>
          <w:lang w:val="fr-FR" w:eastAsia="fr-FR"/>
        </w:rPr>
        <w:t>28.3.7</w:t>
      </w:r>
      <w:r w:rsidRPr="00AA40E6">
        <w:rPr>
          <w:lang w:val="fr-FR" w:eastAsia="fr-FR"/>
        </w:rPr>
        <w:tab/>
        <w:t>Les caractéristiques standard de perte de chaleur des emballages, GRV et citernes sont indiquées dans le tableau 28.4.  La valeur réelle obtenue dépend de la forme, de l'épaisseur, du revêtement de surface, etc. de l'emballage.</w:t>
      </w:r>
    </w:p>
    <w:p w14:paraId="497BD558" w14:textId="161A33EB" w:rsidR="00941EF3" w:rsidRPr="00AA40E6" w:rsidRDefault="00941EF3" w:rsidP="00941EF3">
      <w:pPr>
        <w:keepNext/>
        <w:spacing w:after="200"/>
        <w:jc w:val="center"/>
        <w:rPr>
          <w:rFonts w:ascii="Times New Roman Bold" w:hAnsi="Times New Roman Bold"/>
          <w:b/>
          <w:bCs/>
          <w:szCs w:val="20"/>
          <w:lang w:val="fr-FR" w:eastAsia="fr-FR"/>
        </w:rPr>
      </w:pPr>
      <w:r w:rsidRPr="00AA40E6">
        <w:rPr>
          <w:rFonts w:ascii="Times New Roman Bold" w:hAnsi="Times New Roman Bold"/>
          <w:b/>
          <w:bCs/>
          <w:szCs w:val="20"/>
          <w:lang w:val="fr-FR" w:eastAsia="fr-FR"/>
        </w:rPr>
        <w:t>Tableau 28.4 : Perte de chaleur par unité de masse des colis, GRV et citernes</w:t>
      </w:r>
    </w:p>
    <w:tbl>
      <w:tblPr>
        <w:tblW w:w="5000" w:type="pct"/>
        <w:tblCellMar>
          <w:left w:w="120" w:type="dxa"/>
          <w:right w:w="120" w:type="dxa"/>
        </w:tblCellMar>
        <w:tblLook w:val="04A0" w:firstRow="1" w:lastRow="0" w:firstColumn="1" w:lastColumn="0" w:noHBand="0" w:noVBand="1"/>
      </w:tblPr>
      <w:tblGrid>
        <w:gridCol w:w="2836"/>
        <w:gridCol w:w="2695"/>
        <w:gridCol w:w="707"/>
        <w:gridCol w:w="3400"/>
      </w:tblGrid>
      <w:tr w:rsidR="00941EF3" w14:paraId="5D722FA7" w14:textId="77777777" w:rsidTr="00B7596F">
        <w:trPr>
          <w:cantSplit/>
        </w:trPr>
        <w:tc>
          <w:tcPr>
            <w:tcW w:w="1471" w:type="pct"/>
            <w:tcBorders>
              <w:top w:val="single" w:sz="8" w:space="0" w:color="auto"/>
              <w:left w:val="nil"/>
              <w:bottom w:val="single" w:sz="8" w:space="0" w:color="auto"/>
              <w:right w:val="nil"/>
            </w:tcBorders>
            <w:hideMark/>
          </w:tcPr>
          <w:p w14:paraId="2EB45ED2" w14:textId="77777777" w:rsidR="00941EF3" w:rsidRPr="00AA40E6" w:rsidRDefault="00941EF3">
            <w:pPr>
              <w:numPr>
                <w:ilvl w:val="12"/>
                <w:numId w:val="0"/>
              </w:numPr>
              <w:spacing w:before="40" w:after="40"/>
              <w:rPr>
                <w:rFonts w:eastAsia="SimSun"/>
                <w:b/>
                <w:bCs/>
                <w:sz w:val="24"/>
                <w:lang w:val="fr-FR" w:eastAsia="fr-FR"/>
              </w:rPr>
            </w:pPr>
            <w:r w:rsidRPr="00AA40E6">
              <w:rPr>
                <w:rFonts w:eastAsia="SimSun"/>
                <w:b/>
                <w:bCs/>
                <w:sz w:val="20"/>
                <w:lang w:val="fr-FR" w:eastAsia="fr-FR"/>
              </w:rPr>
              <w:t>Type de récipient</w:t>
            </w:r>
          </w:p>
        </w:tc>
        <w:tc>
          <w:tcPr>
            <w:tcW w:w="1398" w:type="pct"/>
            <w:tcBorders>
              <w:top w:val="single" w:sz="8" w:space="0" w:color="auto"/>
              <w:left w:val="nil"/>
              <w:bottom w:val="single" w:sz="8" w:space="0" w:color="auto"/>
              <w:right w:val="nil"/>
            </w:tcBorders>
            <w:hideMark/>
          </w:tcPr>
          <w:p w14:paraId="58A66D90" w14:textId="77777777" w:rsidR="00941EF3" w:rsidRPr="00AA40E6" w:rsidRDefault="00941EF3">
            <w:pPr>
              <w:numPr>
                <w:ilvl w:val="12"/>
                <w:numId w:val="0"/>
              </w:numPr>
              <w:spacing w:before="40" w:after="40"/>
              <w:jc w:val="right"/>
              <w:rPr>
                <w:rFonts w:eastAsia="SimSun"/>
                <w:b/>
                <w:bCs/>
                <w:sz w:val="24"/>
                <w:lang w:val="fr-FR" w:eastAsia="fr-FR"/>
              </w:rPr>
            </w:pPr>
            <w:r w:rsidRPr="00AA40E6">
              <w:rPr>
                <w:rFonts w:eastAsia="SimSun"/>
                <w:b/>
                <w:bCs/>
                <w:sz w:val="20"/>
                <w:lang w:val="fr-FR" w:eastAsia="fr-FR"/>
              </w:rPr>
              <w:t>Capacité nominale (en litres)</w:t>
            </w:r>
          </w:p>
        </w:tc>
        <w:tc>
          <w:tcPr>
            <w:tcW w:w="367" w:type="pct"/>
            <w:tcBorders>
              <w:top w:val="single" w:sz="8" w:space="0" w:color="auto"/>
              <w:left w:val="nil"/>
              <w:bottom w:val="single" w:sz="8" w:space="0" w:color="auto"/>
              <w:right w:val="nil"/>
            </w:tcBorders>
          </w:tcPr>
          <w:p w14:paraId="03C60DE6" w14:textId="77777777" w:rsidR="00941EF3" w:rsidRPr="00AA40E6" w:rsidRDefault="00941EF3">
            <w:pPr>
              <w:numPr>
                <w:ilvl w:val="12"/>
                <w:numId w:val="0"/>
              </w:numPr>
              <w:spacing w:before="40" w:after="40"/>
              <w:rPr>
                <w:rFonts w:eastAsia="SimSun"/>
                <w:b/>
                <w:bCs/>
                <w:sz w:val="20"/>
                <w:szCs w:val="22"/>
                <w:lang w:val="fr-FR" w:eastAsia="fr-FR"/>
              </w:rPr>
            </w:pPr>
          </w:p>
        </w:tc>
        <w:tc>
          <w:tcPr>
            <w:tcW w:w="1765" w:type="pct"/>
            <w:tcBorders>
              <w:top w:val="single" w:sz="8" w:space="0" w:color="auto"/>
              <w:left w:val="nil"/>
              <w:bottom w:val="single" w:sz="8" w:space="0" w:color="auto"/>
              <w:right w:val="nil"/>
            </w:tcBorders>
            <w:hideMark/>
          </w:tcPr>
          <w:p w14:paraId="600FE933" w14:textId="0646809D" w:rsidR="00941EF3" w:rsidRPr="00AA40E6" w:rsidRDefault="00941EF3">
            <w:pPr>
              <w:numPr>
                <w:ilvl w:val="12"/>
                <w:numId w:val="0"/>
              </w:numPr>
              <w:spacing w:before="40" w:after="40"/>
              <w:jc w:val="right"/>
              <w:rPr>
                <w:rFonts w:eastAsia="SimSun"/>
                <w:b/>
                <w:bCs/>
                <w:sz w:val="24"/>
                <w:lang w:val="fr-FR" w:eastAsia="fr-FR"/>
              </w:rPr>
            </w:pPr>
            <w:r w:rsidRPr="00AA40E6">
              <w:rPr>
                <w:rFonts w:eastAsia="SimSun"/>
                <w:b/>
                <w:bCs/>
                <w:sz w:val="20"/>
                <w:lang w:val="fr-FR" w:eastAsia="fr-FR"/>
              </w:rPr>
              <w:t>Perte de chaleur par unité de masse,</w:t>
            </w:r>
            <w:r w:rsidR="006825B1">
              <w:rPr>
                <w:rFonts w:eastAsia="SimSun"/>
                <w:b/>
                <w:bCs/>
                <w:sz w:val="20"/>
                <w:lang w:val="fr-FR" w:eastAsia="fr-FR"/>
              </w:rPr>
              <w:br/>
            </w:r>
            <w:r w:rsidRPr="00AA40E6">
              <w:rPr>
                <w:rFonts w:eastAsia="SimSun"/>
                <w:b/>
                <w:bCs/>
                <w:sz w:val="20"/>
                <w:lang w:val="fr-FR" w:eastAsia="fr-FR"/>
              </w:rPr>
              <w:t>L (mW/K.kg)</w:t>
            </w:r>
          </w:p>
        </w:tc>
      </w:tr>
      <w:tr w:rsidR="00941EF3" w14:paraId="56CC8DBF" w14:textId="77777777" w:rsidTr="00941EF3">
        <w:trPr>
          <w:cantSplit/>
        </w:trPr>
        <w:tc>
          <w:tcPr>
            <w:tcW w:w="5000" w:type="pct"/>
            <w:gridSpan w:val="4"/>
            <w:tcBorders>
              <w:top w:val="single" w:sz="8" w:space="0" w:color="auto"/>
              <w:left w:val="nil"/>
              <w:bottom w:val="nil"/>
              <w:right w:val="nil"/>
            </w:tcBorders>
            <w:hideMark/>
          </w:tcPr>
          <w:p w14:paraId="009B099D" w14:textId="77777777" w:rsidR="00941EF3" w:rsidRPr="00AA40E6" w:rsidRDefault="00941EF3">
            <w:pPr>
              <w:numPr>
                <w:ilvl w:val="12"/>
                <w:numId w:val="0"/>
              </w:numPr>
              <w:spacing w:before="40" w:after="40"/>
              <w:rPr>
                <w:rFonts w:eastAsia="SimSun"/>
                <w:b/>
                <w:bCs/>
                <w:sz w:val="20"/>
                <w:szCs w:val="20"/>
                <w:lang w:val="fr-FR" w:eastAsia="fr-FR"/>
              </w:rPr>
            </w:pPr>
            <w:r w:rsidRPr="00AA40E6">
              <w:rPr>
                <w:rFonts w:eastAsia="SimSun"/>
                <w:b/>
                <w:bCs/>
                <w:sz w:val="20"/>
                <w:szCs w:val="20"/>
                <w:lang w:val="fr-FR" w:eastAsia="fr-FR"/>
              </w:rPr>
              <w:t>Pour les liquides</w:t>
            </w:r>
          </w:p>
        </w:tc>
      </w:tr>
      <w:tr w:rsidR="00941EF3" w14:paraId="0B05355F" w14:textId="77777777" w:rsidTr="00B7596F">
        <w:trPr>
          <w:cantSplit/>
        </w:trPr>
        <w:tc>
          <w:tcPr>
            <w:tcW w:w="1471" w:type="pct"/>
            <w:hideMark/>
          </w:tcPr>
          <w:p w14:paraId="0066BDB2"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Emballages</w:t>
            </w:r>
          </w:p>
        </w:tc>
        <w:tc>
          <w:tcPr>
            <w:tcW w:w="1398" w:type="pct"/>
            <w:hideMark/>
          </w:tcPr>
          <w:p w14:paraId="0088046C" w14:textId="59C0AA0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Jusqu’à 200 kg/225 </w:t>
            </w:r>
            <w:r w:rsidRPr="00AA40E6">
              <w:rPr>
                <w:rFonts w:eastAsia="SimSun"/>
                <w:i/>
                <w:iCs/>
                <w:sz w:val="20"/>
                <w:szCs w:val="20"/>
                <w:lang w:val="fr-FR" w:eastAsia="fr-FR"/>
              </w:rPr>
              <w:t>l</w:t>
            </w:r>
          </w:p>
        </w:tc>
        <w:tc>
          <w:tcPr>
            <w:tcW w:w="367" w:type="pct"/>
          </w:tcPr>
          <w:p w14:paraId="7D1E63E5" w14:textId="77777777" w:rsidR="00941EF3" w:rsidRPr="00AA40E6" w:rsidRDefault="00941EF3">
            <w:pPr>
              <w:numPr>
                <w:ilvl w:val="12"/>
                <w:numId w:val="0"/>
              </w:numPr>
              <w:spacing w:before="40" w:after="40"/>
              <w:rPr>
                <w:rFonts w:eastAsia="SimSun"/>
                <w:sz w:val="20"/>
                <w:szCs w:val="20"/>
                <w:lang w:val="fr-FR" w:eastAsia="fr-FR"/>
              </w:rPr>
            </w:pPr>
          </w:p>
        </w:tc>
        <w:tc>
          <w:tcPr>
            <w:tcW w:w="1765" w:type="pct"/>
            <w:vAlign w:val="bottom"/>
            <w:hideMark/>
          </w:tcPr>
          <w:p w14:paraId="11EB4D67"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40</w:t>
            </w:r>
            <w:r w:rsidRPr="00AA40E6">
              <w:rPr>
                <w:rFonts w:eastAsia="SimSun"/>
                <w:b/>
                <w:bCs/>
                <w:sz w:val="20"/>
                <w:szCs w:val="20"/>
                <w:vertAlign w:val="superscript"/>
                <w:lang w:val="fr-FR" w:eastAsia="fr-FR"/>
              </w:rPr>
              <w:t>b</w:t>
            </w:r>
          </w:p>
        </w:tc>
      </w:tr>
      <w:tr w:rsidR="00941EF3" w14:paraId="1409DBB4" w14:textId="77777777" w:rsidTr="00B7596F">
        <w:trPr>
          <w:cantSplit/>
        </w:trPr>
        <w:tc>
          <w:tcPr>
            <w:tcW w:w="1471" w:type="pct"/>
            <w:hideMark/>
          </w:tcPr>
          <w:p w14:paraId="61DD45E4"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Emballages</w:t>
            </w:r>
          </w:p>
        </w:tc>
        <w:tc>
          <w:tcPr>
            <w:tcW w:w="1398" w:type="pct"/>
            <w:hideMark/>
          </w:tcPr>
          <w:p w14:paraId="00CF2781"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 xml:space="preserve">200 kg/225 </w:t>
            </w:r>
            <w:r w:rsidRPr="00AA40E6">
              <w:rPr>
                <w:rFonts w:eastAsia="SimSun"/>
                <w:i/>
                <w:iCs/>
                <w:sz w:val="20"/>
                <w:szCs w:val="20"/>
                <w:lang w:val="fr-FR" w:eastAsia="fr-FR"/>
              </w:rPr>
              <w:t>l</w:t>
            </w:r>
            <w:r w:rsidRPr="00AA40E6">
              <w:rPr>
                <w:rFonts w:eastAsia="SimSun"/>
                <w:sz w:val="20"/>
                <w:szCs w:val="20"/>
                <w:lang w:val="fr-FR" w:eastAsia="fr-FR"/>
              </w:rPr>
              <w:t xml:space="preserve"> et plus</w:t>
            </w:r>
          </w:p>
        </w:tc>
        <w:tc>
          <w:tcPr>
            <w:tcW w:w="367" w:type="pct"/>
          </w:tcPr>
          <w:p w14:paraId="262B3404" w14:textId="77777777" w:rsidR="00941EF3" w:rsidRPr="00AA40E6" w:rsidRDefault="00941EF3">
            <w:pPr>
              <w:numPr>
                <w:ilvl w:val="12"/>
                <w:numId w:val="0"/>
              </w:numPr>
              <w:spacing w:before="40" w:after="40"/>
              <w:rPr>
                <w:rFonts w:eastAsia="SimSun"/>
                <w:sz w:val="20"/>
                <w:szCs w:val="20"/>
                <w:lang w:val="fr-FR" w:eastAsia="fr-FR"/>
              </w:rPr>
            </w:pPr>
          </w:p>
        </w:tc>
        <w:tc>
          <w:tcPr>
            <w:tcW w:w="1765" w:type="pct"/>
            <w:vAlign w:val="bottom"/>
            <w:hideMark/>
          </w:tcPr>
          <w:p w14:paraId="6277411D"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 xml:space="preserve">pas de valeur </w:t>
            </w:r>
            <w:proofErr w:type="spellStart"/>
            <w:r w:rsidRPr="00AA40E6">
              <w:rPr>
                <w:rFonts w:eastAsia="SimSun"/>
                <w:sz w:val="20"/>
                <w:szCs w:val="20"/>
                <w:lang w:val="fr-FR" w:eastAsia="fr-FR"/>
              </w:rPr>
              <w:t>standard</w:t>
            </w:r>
            <w:r w:rsidRPr="00AA40E6">
              <w:rPr>
                <w:rFonts w:eastAsia="SimSun"/>
                <w:b/>
                <w:bCs/>
                <w:sz w:val="20"/>
                <w:szCs w:val="20"/>
                <w:vertAlign w:val="superscript"/>
                <w:lang w:val="fr-FR" w:eastAsia="fr-FR"/>
              </w:rPr>
              <w:t>c</w:t>
            </w:r>
            <w:proofErr w:type="spellEnd"/>
          </w:p>
        </w:tc>
      </w:tr>
      <w:tr w:rsidR="00941EF3" w14:paraId="74610360" w14:textId="77777777" w:rsidTr="00B7596F">
        <w:trPr>
          <w:cantSplit/>
        </w:trPr>
        <w:tc>
          <w:tcPr>
            <w:tcW w:w="1471" w:type="pct"/>
            <w:hideMark/>
          </w:tcPr>
          <w:p w14:paraId="593E423C"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GRV</w:t>
            </w:r>
          </w:p>
        </w:tc>
        <w:tc>
          <w:tcPr>
            <w:tcW w:w="1398" w:type="pct"/>
            <w:hideMark/>
          </w:tcPr>
          <w:p w14:paraId="447FDA54"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 xml:space="preserve">Jusqu’à 1250 </w:t>
            </w:r>
            <w:r w:rsidRPr="00AA40E6">
              <w:rPr>
                <w:rFonts w:eastAsia="SimSun"/>
                <w:i/>
                <w:iCs/>
                <w:sz w:val="20"/>
                <w:szCs w:val="20"/>
                <w:lang w:val="fr-FR" w:eastAsia="fr-FR"/>
              </w:rPr>
              <w:t>l</w:t>
            </w:r>
          </w:p>
        </w:tc>
        <w:tc>
          <w:tcPr>
            <w:tcW w:w="367" w:type="pct"/>
          </w:tcPr>
          <w:p w14:paraId="77E79CE2" w14:textId="77777777" w:rsidR="00941EF3" w:rsidRPr="00AA40E6" w:rsidRDefault="00941EF3">
            <w:pPr>
              <w:numPr>
                <w:ilvl w:val="12"/>
                <w:numId w:val="0"/>
              </w:numPr>
              <w:spacing w:before="40" w:after="40"/>
              <w:rPr>
                <w:rFonts w:eastAsia="SimSun"/>
                <w:sz w:val="20"/>
                <w:szCs w:val="20"/>
                <w:lang w:val="fr-FR" w:eastAsia="fr-FR"/>
              </w:rPr>
            </w:pPr>
          </w:p>
        </w:tc>
        <w:tc>
          <w:tcPr>
            <w:tcW w:w="1765" w:type="pct"/>
            <w:vAlign w:val="bottom"/>
            <w:hideMark/>
          </w:tcPr>
          <w:p w14:paraId="0B7A782D"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30</w:t>
            </w:r>
          </w:p>
        </w:tc>
      </w:tr>
      <w:tr w:rsidR="00941EF3" w14:paraId="4C788764" w14:textId="77777777" w:rsidTr="00B7596F">
        <w:trPr>
          <w:cantSplit/>
        </w:trPr>
        <w:tc>
          <w:tcPr>
            <w:tcW w:w="1471" w:type="pct"/>
            <w:hideMark/>
          </w:tcPr>
          <w:p w14:paraId="48CB8072"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GRV</w:t>
            </w:r>
          </w:p>
        </w:tc>
        <w:tc>
          <w:tcPr>
            <w:tcW w:w="1398" w:type="pct"/>
            <w:hideMark/>
          </w:tcPr>
          <w:p w14:paraId="420B77F2"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 xml:space="preserve">1250 </w:t>
            </w:r>
            <w:r w:rsidRPr="00AA40E6">
              <w:rPr>
                <w:rFonts w:eastAsia="SimSun"/>
                <w:i/>
                <w:iCs/>
                <w:sz w:val="20"/>
                <w:szCs w:val="20"/>
                <w:lang w:val="fr-FR" w:eastAsia="fr-FR"/>
              </w:rPr>
              <w:t xml:space="preserve">l </w:t>
            </w:r>
            <w:r w:rsidRPr="00AA40E6">
              <w:rPr>
                <w:rFonts w:eastAsia="SimSun"/>
                <w:sz w:val="20"/>
                <w:szCs w:val="20"/>
                <w:lang w:val="fr-FR" w:eastAsia="fr-FR"/>
              </w:rPr>
              <w:t>et plus</w:t>
            </w:r>
          </w:p>
        </w:tc>
        <w:tc>
          <w:tcPr>
            <w:tcW w:w="367" w:type="pct"/>
          </w:tcPr>
          <w:p w14:paraId="4D055348" w14:textId="77777777" w:rsidR="00941EF3" w:rsidRPr="00AA40E6" w:rsidRDefault="00941EF3">
            <w:pPr>
              <w:numPr>
                <w:ilvl w:val="12"/>
                <w:numId w:val="0"/>
              </w:numPr>
              <w:spacing w:before="40" w:after="40"/>
              <w:rPr>
                <w:rFonts w:eastAsia="SimSun"/>
                <w:sz w:val="20"/>
                <w:szCs w:val="20"/>
                <w:lang w:val="fr-FR" w:eastAsia="fr-FR"/>
              </w:rPr>
            </w:pPr>
          </w:p>
        </w:tc>
        <w:tc>
          <w:tcPr>
            <w:tcW w:w="1765" w:type="pct"/>
            <w:vAlign w:val="bottom"/>
            <w:hideMark/>
          </w:tcPr>
          <w:p w14:paraId="6058DF39"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 xml:space="preserve">pas de valeur </w:t>
            </w:r>
            <w:proofErr w:type="spellStart"/>
            <w:r w:rsidRPr="00AA40E6">
              <w:rPr>
                <w:rFonts w:eastAsia="SimSun"/>
                <w:sz w:val="20"/>
                <w:szCs w:val="20"/>
                <w:lang w:val="fr-FR" w:eastAsia="fr-FR"/>
              </w:rPr>
              <w:t>standard</w:t>
            </w:r>
            <w:r w:rsidRPr="00AA40E6">
              <w:rPr>
                <w:rFonts w:eastAsia="SimSun"/>
                <w:b/>
                <w:bCs/>
                <w:sz w:val="20"/>
                <w:szCs w:val="20"/>
                <w:vertAlign w:val="superscript"/>
                <w:lang w:val="fr-FR" w:eastAsia="fr-FR"/>
              </w:rPr>
              <w:t>c</w:t>
            </w:r>
            <w:proofErr w:type="spellEnd"/>
          </w:p>
        </w:tc>
      </w:tr>
      <w:tr w:rsidR="00941EF3" w14:paraId="33CBB4DA" w14:textId="77777777" w:rsidTr="00B7596F">
        <w:trPr>
          <w:cantSplit/>
        </w:trPr>
        <w:tc>
          <w:tcPr>
            <w:tcW w:w="1471" w:type="pct"/>
            <w:hideMark/>
          </w:tcPr>
          <w:p w14:paraId="46EEE091"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Citernes</w:t>
            </w:r>
          </w:p>
        </w:tc>
        <w:tc>
          <w:tcPr>
            <w:tcW w:w="1398" w:type="pct"/>
          </w:tcPr>
          <w:p w14:paraId="552A0154" w14:textId="77777777" w:rsidR="00941EF3" w:rsidRPr="00AA40E6" w:rsidRDefault="00941EF3">
            <w:pPr>
              <w:numPr>
                <w:ilvl w:val="12"/>
                <w:numId w:val="0"/>
              </w:numPr>
              <w:spacing w:before="40" w:after="40"/>
              <w:jc w:val="right"/>
              <w:rPr>
                <w:rFonts w:eastAsia="SimSun"/>
                <w:sz w:val="20"/>
                <w:szCs w:val="20"/>
                <w:lang w:val="fr-FR" w:eastAsia="fr-FR"/>
              </w:rPr>
            </w:pPr>
          </w:p>
        </w:tc>
        <w:tc>
          <w:tcPr>
            <w:tcW w:w="367" w:type="pct"/>
          </w:tcPr>
          <w:p w14:paraId="4781C783" w14:textId="77777777" w:rsidR="00941EF3" w:rsidRPr="00AA40E6" w:rsidRDefault="00941EF3">
            <w:pPr>
              <w:numPr>
                <w:ilvl w:val="12"/>
                <w:numId w:val="0"/>
              </w:numPr>
              <w:spacing w:before="40" w:after="40"/>
              <w:rPr>
                <w:rFonts w:eastAsia="SimSun"/>
                <w:sz w:val="20"/>
                <w:szCs w:val="20"/>
                <w:lang w:val="fr-FR" w:eastAsia="fr-FR"/>
              </w:rPr>
            </w:pPr>
          </w:p>
        </w:tc>
        <w:tc>
          <w:tcPr>
            <w:tcW w:w="1765" w:type="pct"/>
            <w:vAlign w:val="bottom"/>
            <w:hideMark/>
          </w:tcPr>
          <w:p w14:paraId="58CFB7D1"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 xml:space="preserve">pas de valeur </w:t>
            </w:r>
            <w:proofErr w:type="spellStart"/>
            <w:r w:rsidRPr="00AA40E6">
              <w:rPr>
                <w:rFonts w:eastAsia="SimSun"/>
                <w:sz w:val="20"/>
                <w:szCs w:val="20"/>
                <w:lang w:val="fr-FR" w:eastAsia="fr-FR"/>
              </w:rPr>
              <w:t>standard</w:t>
            </w:r>
            <w:r w:rsidRPr="00AA40E6">
              <w:rPr>
                <w:rFonts w:eastAsia="SimSun"/>
                <w:b/>
                <w:bCs/>
                <w:sz w:val="20"/>
                <w:szCs w:val="20"/>
                <w:vertAlign w:val="superscript"/>
                <w:lang w:val="fr-FR" w:eastAsia="fr-FR"/>
              </w:rPr>
              <w:t>c</w:t>
            </w:r>
            <w:proofErr w:type="spellEnd"/>
          </w:p>
        </w:tc>
      </w:tr>
      <w:tr w:rsidR="00941EF3" w14:paraId="27AE6ADF" w14:textId="77777777" w:rsidTr="00B7596F">
        <w:trPr>
          <w:cantSplit/>
        </w:trPr>
        <w:tc>
          <w:tcPr>
            <w:tcW w:w="1471" w:type="pct"/>
          </w:tcPr>
          <w:p w14:paraId="28E5E690" w14:textId="77777777" w:rsidR="00941EF3" w:rsidRPr="00AA40E6" w:rsidRDefault="00941EF3">
            <w:pPr>
              <w:numPr>
                <w:ilvl w:val="12"/>
                <w:numId w:val="0"/>
              </w:numPr>
              <w:spacing w:before="40" w:after="40"/>
              <w:rPr>
                <w:rFonts w:eastAsia="SimSun"/>
                <w:sz w:val="20"/>
                <w:szCs w:val="20"/>
                <w:lang w:val="fr-FR" w:eastAsia="fr-FR"/>
              </w:rPr>
            </w:pPr>
          </w:p>
        </w:tc>
        <w:tc>
          <w:tcPr>
            <w:tcW w:w="1398" w:type="pct"/>
          </w:tcPr>
          <w:p w14:paraId="16CAF436" w14:textId="77777777" w:rsidR="00941EF3" w:rsidRPr="00AA40E6" w:rsidRDefault="00941EF3">
            <w:pPr>
              <w:numPr>
                <w:ilvl w:val="12"/>
                <w:numId w:val="0"/>
              </w:numPr>
              <w:spacing w:before="40" w:after="40"/>
              <w:jc w:val="right"/>
              <w:rPr>
                <w:rFonts w:eastAsia="SimSun"/>
                <w:sz w:val="20"/>
                <w:szCs w:val="20"/>
                <w:lang w:val="fr-FR" w:eastAsia="fr-FR"/>
              </w:rPr>
            </w:pPr>
          </w:p>
        </w:tc>
        <w:tc>
          <w:tcPr>
            <w:tcW w:w="367" w:type="pct"/>
          </w:tcPr>
          <w:p w14:paraId="0307838D" w14:textId="77777777" w:rsidR="00941EF3" w:rsidRPr="00AA40E6" w:rsidRDefault="00941EF3">
            <w:pPr>
              <w:numPr>
                <w:ilvl w:val="12"/>
                <w:numId w:val="0"/>
              </w:numPr>
              <w:spacing w:before="40" w:after="40"/>
              <w:rPr>
                <w:rFonts w:eastAsia="SimSun"/>
                <w:sz w:val="20"/>
                <w:szCs w:val="20"/>
                <w:lang w:val="fr-FR" w:eastAsia="fr-FR"/>
              </w:rPr>
            </w:pPr>
          </w:p>
        </w:tc>
        <w:tc>
          <w:tcPr>
            <w:tcW w:w="1765" w:type="pct"/>
            <w:vAlign w:val="bottom"/>
          </w:tcPr>
          <w:p w14:paraId="524E7A15" w14:textId="77777777" w:rsidR="00941EF3" w:rsidRPr="00AA40E6" w:rsidRDefault="00941EF3">
            <w:pPr>
              <w:numPr>
                <w:ilvl w:val="12"/>
                <w:numId w:val="0"/>
              </w:numPr>
              <w:spacing w:before="40" w:after="40"/>
              <w:jc w:val="right"/>
              <w:rPr>
                <w:rFonts w:eastAsia="SimSun"/>
                <w:sz w:val="20"/>
                <w:szCs w:val="20"/>
                <w:lang w:val="fr-FR" w:eastAsia="fr-FR"/>
              </w:rPr>
            </w:pPr>
          </w:p>
        </w:tc>
      </w:tr>
      <w:tr w:rsidR="00941EF3" w14:paraId="5B10CD53" w14:textId="77777777" w:rsidTr="00941EF3">
        <w:trPr>
          <w:cantSplit/>
        </w:trPr>
        <w:tc>
          <w:tcPr>
            <w:tcW w:w="5000" w:type="pct"/>
            <w:gridSpan w:val="4"/>
            <w:hideMark/>
          </w:tcPr>
          <w:p w14:paraId="6946C56D" w14:textId="77777777" w:rsidR="00941EF3" w:rsidRPr="00AA40E6" w:rsidRDefault="00941EF3">
            <w:pPr>
              <w:numPr>
                <w:ilvl w:val="12"/>
                <w:numId w:val="0"/>
              </w:numPr>
              <w:spacing w:before="160" w:after="40"/>
              <w:rPr>
                <w:rFonts w:eastAsia="SimSun"/>
                <w:b/>
                <w:bCs/>
                <w:sz w:val="20"/>
                <w:szCs w:val="20"/>
                <w:lang w:val="fr-FR" w:eastAsia="fr-FR"/>
              </w:rPr>
            </w:pPr>
            <w:r w:rsidRPr="00AA40E6">
              <w:rPr>
                <w:rFonts w:eastAsia="SimSun"/>
                <w:b/>
                <w:bCs/>
                <w:sz w:val="20"/>
                <w:szCs w:val="20"/>
                <w:lang w:val="fr-FR" w:eastAsia="fr-FR"/>
              </w:rPr>
              <w:t>Pour les matières solides</w:t>
            </w:r>
          </w:p>
        </w:tc>
      </w:tr>
      <w:tr w:rsidR="00941EF3" w14:paraId="5A055099" w14:textId="77777777" w:rsidTr="00B7596F">
        <w:trPr>
          <w:cantSplit/>
        </w:trPr>
        <w:tc>
          <w:tcPr>
            <w:tcW w:w="1471" w:type="pct"/>
            <w:hideMark/>
          </w:tcPr>
          <w:p w14:paraId="2EA1C41E"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Emballages</w:t>
            </w:r>
          </w:p>
        </w:tc>
        <w:tc>
          <w:tcPr>
            <w:tcW w:w="1398" w:type="pct"/>
            <w:hideMark/>
          </w:tcPr>
          <w:p w14:paraId="0EED7A02"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Jusqu’à 50 kg</w:t>
            </w:r>
          </w:p>
        </w:tc>
        <w:tc>
          <w:tcPr>
            <w:tcW w:w="367" w:type="pct"/>
          </w:tcPr>
          <w:p w14:paraId="476E60AA" w14:textId="77777777" w:rsidR="00941EF3" w:rsidRPr="00AA40E6" w:rsidRDefault="00941EF3">
            <w:pPr>
              <w:numPr>
                <w:ilvl w:val="12"/>
                <w:numId w:val="0"/>
              </w:numPr>
              <w:spacing w:before="40" w:after="40"/>
              <w:rPr>
                <w:rFonts w:eastAsia="SimSun"/>
                <w:sz w:val="20"/>
                <w:szCs w:val="20"/>
                <w:lang w:val="fr-FR" w:eastAsia="fr-FR"/>
              </w:rPr>
            </w:pPr>
          </w:p>
        </w:tc>
        <w:tc>
          <w:tcPr>
            <w:tcW w:w="1765" w:type="pct"/>
            <w:vAlign w:val="bottom"/>
            <w:hideMark/>
          </w:tcPr>
          <w:p w14:paraId="707F2D9A"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30</w:t>
            </w:r>
            <w:r w:rsidRPr="00AA40E6">
              <w:rPr>
                <w:rFonts w:eastAsia="SimSun"/>
                <w:b/>
                <w:bCs/>
                <w:sz w:val="20"/>
                <w:szCs w:val="20"/>
                <w:vertAlign w:val="superscript"/>
                <w:lang w:val="fr-FR" w:eastAsia="fr-FR"/>
              </w:rPr>
              <w:t>b</w:t>
            </w:r>
          </w:p>
        </w:tc>
      </w:tr>
      <w:tr w:rsidR="00941EF3" w14:paraId="536E0491" w14:textId="77777777" w:rsidTr="00B7596F">
        <w:trPr>
          <w:cantSplit/>
        </w:trPr>
        <w:tc>
          <w:tcPr>
            <w:tcW w:w="1471" w:type="pct"/>
            <w:hideMark/>
          </w:tcPr>
          <w:p w14:paraId="18F1EDE7"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Emballages</w:t>
            </w:r>
          </w:p>
        </w:tc>
        <w:tc>
          <w:tcPr>
            <w:tcW w:w="1398" w:type="pct"/>
            <w:hideMark/>
          </w:tcPr>
          <w:p w14:paraId="1440751D"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50 kg et plus</w:t>
            </w:r>
          </w:p>
        </w:tc>
        <w:tc>
          <w:tcPr>
            <w:tcW w:w="367" w:type="pct"/>
          </w:tcPr>
          <w:p w14:paraId="07D983E0" w14:textId="77777777" w:rsidR="00941EF3" w:rsidRPr="00AA40E6" w:rsidRDefault="00941EF3">
            <w:pPr>
              <w:numPr>
                <w:ilvl w:val="12"/>
                <w:numId w:val="0"/>
              </w:numPr>
              <w:spacing w:before="40" w:after="40"/>
              <w:rPr>
                <w:rFonts w:eastAsia="SimSun"/>
                <w:sz w:val="20"/>
                <w:szCs w:val="20"/>
                <w:lang w:val="fr-FR" w:eastAsia="fr-FR"/>
              </w:rPr>
            </w:pPr>
          </w:p>
        </w:tc>
        <w:tc>
          <w:tcPr>
            <w:tcW w:w="1765" w:type="pct"/>
            <w:vAlign w:val="bottom"/>
            <w:hideMark/>
          </w:tcPr>
          <w:p w14:paraId="3EA4CD8A"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 xml:space="preserve">pas de valeur </w:t>
            </w:r>
            <w:proofErr w:type="spellStart"/>
            <w:r w:rsidRPr="00AA40E6">
              <w:rPr>
                <w:rFonts w:eastAsia="SimSun"/>
                <w:sz w:val="20"/>
                <w:szCs w:val="20"/>
                <w:lang w:val="fr-FR" w:eastAsia="fr-FR"/>
              </w:rPr>
              <w:t>standard</w:t>
            </w:r>
            <w:r w:rsidRPr="00AA40E6">
              <w:rPr>
                <w:rFonts w:eastAsia="SimSun"/>
                <w:b/>
                <w:bCs/>
                <w:sz w:val="20"/>
                <w:szCs w:val="20"/>
                <w:vertAlign w:val="superscript"/>
                <w:lang w:val="fr-FR" w:eastAsia="fr-FR"/>
              </w:rPr>
              <w:t>c</w:t>
            </w:r>
            <w:proofErr w:type="spellEnd"/>
          </w:p>
        </w:tc>
      </w:tr>
      <w:tr w:rsidR="00941EF3" w14:paraId="5854431B" w14:textId="77777777" w:rsidTr="00B7596F">
        <w:trPr>
          <w:cantSplit/>
        </w:trPr>
        <w:tc>
          <w:tcPr>
            <w:tcW w:w="1471" w:type="pct"/>
            <w:hideMark/>
          </w:tcPr>
          <w:p w14:paraId="3EB21BEC"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GRV</w:t>
            </w:r>
          </w:p>
        </w:tc>
        <w:tc>
          <w:tcPr>
            <w:tcW w:w="1398" w:type="pct"/>
          </w:tcPr>
          <w:p w14:paraId="51E60021" w14:textId="77777777" w:rsidR="00941EF3" w:rsidRPr="00AA40E6" w:rsidRDefault="00941EF3">
            <w:pPr>
              <w:numPr>
                <w:ilvl w:val="12"/>
                <w:numId w:val="0"/>
              </w:numPr>
              <w:spacing w:before="40" w:after="40"/>
              <w:jc w:val="right"/>
              <w:rPr>
                <w:rFonts w:eastAsia="SimSun"/>
                <w:sz w:val="20"/>
                <w:szCs w:val="20"/>
                <w:lang w:val="fr-FR" w:eastAsia="fr-FR"/>
              </w:rPr>
            </w:pPr>
          </w:p>
        </w:tc>
        <w:tc>
          <w:tcPr>
            <w:tcW w:w="367" w:type="pct"/>
          </w:tcPr>
          <w:p w14:paraId="7F9FD231" w14:textId="77777777" w:rsidR="00941EF3" w:rsidRPr="00AA40E6" w:rsidRDefault="00941EF3">
            <w:pPr>
              <w:numPr>
                <w:ilvl w:val="12"/>
                <w:numId w:val="0"/>
              </w:numPr>
              <w:spacing w:before="40" w:after="40"/>
              <w:rPr>
                <w:rFonts w:eastAsia="SimSun"/>
                <w:sz w:val="20"/>
                <w:szCs w:val="20"/>
                <w:lang w:val="fr-FR" w:eastAsia="fr-FR"/>
              </w:rPr>
            </w:pPr>
          </w:p>
        </w:tc>
        <w:tc>
          <w:tcPr>
            <w:tcW w:w="1765" w:type="pct"/>
            <w:vAlign w:val="bottom"/>
            <w:hideMark/>
          </w:tcPr>
          <w:p w14:paraId="314FAAB2"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 xml:space="preserve">pas de valeur </w:t>
            </w:r>
            <w:proofErr w:type="spellStart"/>
            <w:r w:rsidRPr="00AA40E6">
              <w:rPr>
                <w:rFonts w:eastAsia="SimSun"/>
                <w:sz w:val="20"/>
                <w:szCs w:val="20"/>
                <w:lang w:val="fr-FR" w:eastAsia="fr-FR"/>
              </w:rPr>
              <w:t>standard</w:t>
            </w:r>
            <w:r w:rsidRPr="00AA40E6">
              <w:rPr>
                <w:rFonts w:eastAsia="SimSun"/>
                <w:b/>
                <w:bCs/>
                <w:sz w:val="20"/>
                <w:szCs w:val="20"/>
                <w:vertAlign w:val="superscript"/>
                <w:lang w:val="fr-FR" w:eastAsia="fr-FR"/>
              </w:rPr>
              <w:t>c</w:t>
            </w:r>
            <w:proofErr w:type="spellEnd"/>
          </w:p>
        </w:tc>
      </w:tr>
      <w:tr w:rsidR="00941EF3" w14:paraId="348D162C" w14:textId="77777777" w:rsidTr="00B7596F">
        <w:trPr>
          <w:cantSplit/>
        </w:trPr>
        <w:tc>
          <w:tcPr>
            <w:tcW w:w="1471" w:type="pct"/>
            <w:tcBorders>
              <w:top w:val="nil"/>
              <w:left w:val="nil"/>
              <w:bottom w:val="single" w:sz="8" w:space="0" w:color="auto"/>
              <w:right w:val="nil"/>
            </w:tcBorders>
            <w:hideMark/>
          </w:tcPr>
          <w:p w14:paraId="339F57D9"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Citernes</w:t>
            </w:r>
          </w:p>
        </w:tc>
        <w:tc>
          <w:tcPr>
            <w:tcW w:w="1398" w:type="pct"/>
            <w:tcBorders>
              <w:top w:val="nil"/>
              <w:left w:val="nil"/>
              <w:bottom w:val="single" w:sz="8" w:space="0" w:color="auto"/>
              <w:right w:val="nil"/>
            </w:tcBorders>
          </w:tcPr>
          <w:p w14:paraId="02F9EF09" w14:textId="77777777" w:rsidR="00941EF3" w:rsidRPr="00AA40E6" w:rsidRDefault="00941EF3">
            <w:pPr>
              <w:numPr>
                <w:ilvl w:val="12"/>
                <w:numId w:val="0"/>
              </w:numPr>
              <w:spacing w:before="40" w:after="40"/>
              <w:jc w:val="right"/>
              <w:rPr>
                <w:rFonts w:eastAsia="SimSun"/>
                <w:sz w:val="20"/>
                <w:szCs w:val="20"/>
                <w:lang w:val="fr-FR" w:eastAsia="fr-FR"/>
              </w:rPr>
            </w:pPr>
          </w:p>
        </w:tc>
        <w:tc>
          <w:tcPr>
            <w:tcW w:w="367" w:type="pct"/>
            <w:tcBorders>
              <w:top w:val="nil"/>
              <w:left w:val="nil"/>
              <w:bottom w:val="single" w:sz="8" w:space="0" w:color="auto"/>
              <w:right w:val="nil"/>
            </w:tcBorders>
          </w:tcPr>
          <w:p w14:paraId="4953DF85" w14:textId="77777777" w:rsidR="00941EF3" w:rsidRPr="00AA40E6" w:rsidRDefault="00941EF3">
            <w:pPr>
              <w:numPr>
                <w:ilvl w:val="12"/>
                <w:numId w:val="0"/>
              </w:numPr>
              <w:spacing w:before="40" w:after="40"/>
              <w:rPr>
                <w:rFonts w:eastAsia="SimSun"/>
                <w:sz w:val="20"/>
                <w:szCs w:val="20"/>
                <w:lang w:val="fr-FR" w:eastAsia="fr-FR"/>
              </w:rPr>
            </w:pPr>
          </w:p>
        </w:tc>
        <w:tc>
          <w:tcPr>
            <w:tcW w:w="1765" w:type="pct"/>
            <w:tcBorders>
              <w:top w:val="nil"/>
              <w:left w:val="nil"/>
              <w:bottom w:val="single" w:sz="8" w:space="0" w:color="auto"/>
              <w:right w:val="nil"/>
            </w:tcBorders>
            <w:vAlign w:val="bottom"/>
            <w:hideMark/>
          </w:tcPr>
          <w:p w14:paraId="31B2D473"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 xml:space="preserve">pas de valeur </w:t>
            </w:r>
            <w:proofErr w:type="spellStart"/>
            <w:r w:rsidRPr="00AA40E6">
              <w:rPr>
                <w:rFonts w:eastAsia="SimSun"/>
                <w:sz w:val="20"/>
                <w:szCs w:val="20"/>
                <w:lang w:val="fr-FR" w:eastAsia="fr-FR"/>
              </w:rPr>
              <w:t>standard</w:t>
            </w:r>
            <w:r w:rsidRPr="00AA40E6">
              <w:rPr>
                <w:rFonts w:eastAsia="SimSun"/>
                <w:b/>
                <w:bCs/>
                <w:sz w:val="20"/>
                <w:szCs w:val="20"/>
                <w:vertAlign w:val="superscript"/>
                <w:lang w:val="fr-FR" w:eastAsia="fr-FR"/>
              </w:rPr>
              <w:t>c</w:t>
            </w:r>
            <w:proofErr w:type="spellEnd"/>
          </w:p>
        </w:tc>
      </w:tr>
    </w:tbl>
    <w:p w14:paraId="23985A05" w14:textId="77777777" w:rsidR="00941EF3" w:rsidRDefault="00941EF3" w:rsidP="00941EF3">
      <w:pPr>
        <w:numPr>
          <w:ilvl w:val="12"/>
          <w:numId w:val="0"/>
        </w:numPr>
        <w:tabs>
          <w:tab w:val="left" w:pos="567"/>
        </w:tabs>
        <w:spacing w:before="120" w:after="120"/>
        <w:rPr>
          <w:i/>
          <w:iCs/>
          <w:szCs w:val="22"/>
          <w:lang w:val="fr-FR" w:eastAsia="fr-FR"/>
        </w:rPr>
      </w:pPr>
      <w:r w:rsidRPr="00AA40E6">
        <w:rPr>
          <w:b/>
          <w:bCs/>
          <w:vertAlign w:val="superscript"/>
          <w:lang w:val="fr-FR" w:eastAsia="fr-FR"/>
        </w:rPr>
        <w:t>a</w:t>
      </w:r>
      <w:r w:rsidRPr="00AA40E6">
        <w:rPr>
          <w:lang w:val="fr-FR" w:eastAsia="fr-FR"/>
        </w:rPr>
        <w:t xml:space="preserve"> </w:t>
      </w:r>
      <w:r w:rsidRPr="00AA40E6">
        <w:rPr>
          <w:lang w:val="fr-FR" w:eastAsia="fr-FR"/>
        </w:rPr>
        <w:tab/>
      </w:r>
      <w:r w:rsidRPr="00AA40E6">
        <w:rPr>
          <w:i/>
          <w:iCs/>
          <w:lang w:val="fr-FR" w:eastAsia="fr-FR"/>
        </w:rPr>
        <w:t>Pour la série d’épreuves H.4, la perte de chaleur du vase de Dewar à utiliser doit être aussi proche que possible de la valeur indiquée dans le tableau.</w:t>
      </w:r>
    </w:p>
    <w:p w14:paraId="26C248F6" w14:textId="77777777" w:rsidR="00941EF3" w:rsidRPr="00AA40E6" w:rsidRDefault="00941EF3" w:rsidP="00941EF3">
      <w:pPr>
        <w:numPr>
          <w:ilvl w:val="12"/>
          <w:numId w:val="0"/>
        </w:numPr>
        <w:tabs>
          <w:tab w:val="left" w:pos="567"/>
        </w:tabs>
        <w:spacing w:after="120"/>
        <w:rPr>
          <w:i/>
          <w:iCs/>
          <w:lang w:val="fr-FR" w:eastAsia="fr-FR"/>
        </w:rPr>
      </w:pPr>
      <w:r w:rsidRPr="00AA40E6">
        <w:rPr>
          <w:b/>
          <w:bCs/>
          <w:vertAlign w:val="superscript"/>
          <w:lang w:val="fr-FR" w:eastAsia="fr-FR"/>
        </w:rPr>
        <w:t>b</w:t>
      </w:r>
      <w:r w:rsidRPr="00AA40E6">
        <w:rPr>
          <w:lang w:val="fr-FR" w:eastAsia="fr-FR"/>
        </w:rPr>
        <w:t xml:space="preserve"> </w:t>
      </w:r>
      <w:r w:rsidRPr="00AA40E6">
        <w:rPr>
          <w:lang w:val="fr-FR" w:eastAsia="fr-FR"/>
        </w:rPr>
        <w:tab/>
      </w:r>
      <w:r w:rsidRPr="00AA40E6">
        <w:rPr>
          <w:i/>
          <w:iCs/>
          <w:lang w:val="fr-FR" w:eastAsia="fr-FR"/>
        </w:rPr>
        <w:t xml:space="preserve">Pour déterminer la TDAA à des fins d’exemption ou de classification, lorsque la définition de la TDAA correspond à un colis de 50 kg, la valeur à utiliser pour les liquides est de 60 mW/K.kg et de 30 mW/K.kg pour les matières solides. C’est le cas lorsque la TDAA est utilisée soit pour exclure une nouvelle matière de la division 4.1 en tant que matière </w:t>
      </w:r>
      <w:proofErr w:type="spellStart"/>
      <w:r w:rsidRPr="00AA40E6">
        <w:rPr>
          <w:i/>
          <w:iCs/>
          <w:lang w:val="fr-FR" w:eastAsia="fr-FR"/>
        </w:rPr>
        <w:t>autoréactive</w:t>
      </w:r>
      <w:proofErr w:type="spellEnd"/>
      <w:r w:rsidRPr="00AA40E6">
        <w:rPr>
          <w:i/>
          <w:iCs/>
          <w:lang w:val="fr-FR" w:eastAsia="fr-FR"/>
        </w:rPr>
        <w:t xml:space="preserve"> (voir 20.2.1 e)), soit comme matière </w:t>
      </w:r>
      <w:proofErr w:type="spellStart"/>
      <w:r w:rsidRPr="00AA40E6">
        <w:rPr>
          <w:i/>
          <w:iCs/>
          <w:lang w:val="fr-FR" w:eastAsia="fr-FR"/>
        </w:rPr>
        <w:t>autoréactive</w:t>
      </w:r>
      <w:proofErr w:type="spellEnd"/>
      <w:r w:rsidRPr="00AA40E6">
        <w:rPr>
          <w:i/>
          <w:iCs/>
          <w:lang w:val="fr-FR" w:eastAsia="fr-FR"/>
        </w:rPr>
        <w:t xml:space="preserve"> de Type G (voir 20.4.2 g)), ou comme peroxyde organique (voir 20.4.3 g)).</w:t>
      </w:r>
    </w:p>
    <w:p w14:paraId="0675C25D" w14:textId="77777777" w:rsidR="00941EF3" w:rsidRPr="00AA40E6" w:rsidRDefault="00941EF3" w:rsidP="00941EF3">
      <w:pPr>
        <w:numPr>
          <w:ilvl w:val="12"/>
          <w:numId w:val="0"/>
        </w:numPr>
        <w:tabs>
          <w:tab w:val="left" w:pos="567"/>
        </w:tabs>
        <w:spacing w:after="240"/>
        <w:rPr>
          <w:i/>
          <w:iCs/>
          <w:lang w:val="fr-FR" w:eastAsia="fr-FR"/>
        </w:rPr>
      </w:pPr>
      <w:r w:rsidRPr="00AA40E6">
        <w:rPr>
          <w:b/>
          <w:bCs/>
          <w:vertAlign w:val="superscript"/>
          <w:lang w:val="fr-FR" w:eastAsia="fr-FR"/>
        </w:rPr>
        <w:t>c</w:t>
      </w:r>
      <w:r w:rsidRPr="00AA40E6">
        <w:rPr>
          <w:lang w:val="fr-FR" w:eastAsia="fr-FR"/>
        </w:rPr>
        <w:t xml:space="preserve"> </w:t>
      </w:r>
      <w:r w:rsidRPr="00AA40E6">
        <w:rPr>
          <w:lang w:val="fr-FR" w:eastAsia="fr-FR"/>
        </w:rPr>
        <w:tab/>
      </w:r>
      <w:r w:rsidRPr="00AA40E6">
        <w:rPr>
          <w:i/>
          <w:iCs/>
          <w:lang w:val="fr-FR" w:eastAsia="fr-FR"/>
        </w:rPr>
        <w:t>La valeur doit être déterminée pour la configuration réelle.</w:t>
      </w:r>
    </w:p>
    <w:p w14:paraId="0ECFC13C" w14:textId="77777777" w:rsidR="00941EF3" w:rsidRPr="00AA40E6" w:rsidRDefault="00941EF3" w:rsidP="00941EF3">
      <w:pPr>
        <w:keepNext/>
        <w:keepLines/>
        <w:numPr>
          <w:ilvl w:val="12"/>
          <w:numId w:val="0"/>
        </w:numPr>
        <w:tabs>
          <w:tab w:val="left" w:pos="1418"/>
        </w:tabs>
        <w:spacing w:after="240"/>
        <w:rPr>
          <w:b/>
          <w:lang w:val="fr-FR" w:eastAsia="fr-FR"/>
        </w:rPr>
      </w:pPr>
      <w:r w:rsidRPr="00AA40E6">
        <w:rPr>
          <w:b/>
          <w:lang w:val="fr-FR" w:eastAsia="fr-FR"/>
        </w:rPr>
        <w:br w:type="page"/>
      </w:r>
      <w:r w:rsidRPr="00AA40E6">
        <w:rPr>
          <w:b/>
          <w:lang w:val="fr-FR" w:eastAsia="fr-FR"/>
        </w:rPr>
        <w:lastRenderedPageBreak/>
        <w:t>28.4</w:t>
      </w:r>
      <w:r w:rsidRPr="00AA40E6">
        <w:rPr>
          <w:b/>
          <w:lang w:val="fr-FR" w:eastAsia="fr-FR"/>
        </w:rPr>
        <w:tab/>
        <w:t>Série H : Dispositions d'épreuve</w:t>
      </w:r>
    </w:p>
    <w:p w14:paraId="5334CB6D" w14:textId="189026F1" w:rsidR="00941EF3" w:rsidRPr="00AA40E6" w:rsidRDefault="00941EF3" w:rsidP="00941EF3">
      <w:pPr>
        <w:keepNext/>
        <w:keepLines/>
        <w:numPr>
          <w:ilvl w:val="12"/>
          <w:numId w:val="0"/>
        </w:numPr>
        <w:tabs>
          <w:tab w:val="left" w:pos="1418"/>
        </w:tabs>
        <w:spacing w:after="240"/>
        <w:rPr>
          <w:b/>
          <w:i/>
          <w:iCs/>
          <w:lang w:val="fr-FR" w:eastAsia="fr-FR"/>
        </w:rPr>
      </w:pPr>
      <w:r w:rsidRPr="00AA40E6">
        <w:rPr>
          <w:b/>
          <w:lang w:val="fr-FR" w:eastAsia="fr-FR"/>
        </w:rPr>
        <w:t>28.4.1</w:t>
      </w:r>
      <w:r w:rsidRPr="00AA40E6">
        <w:rPr>
          <w:b/>
          <w:lang w:val="fr-FR" w:eastAsia="fr-FR"/>
        </w:rPr>
        <w:tab/>
      </w:r>
      <w:r w:rsidRPr="00AA40E6">
        <w:rPr>
          <w:b/>
          <w:i/>
          <w:iCs/>
          <w:lang w:val="fr-FR" w:eastAsia="fr-FR"/>
        </w:rPr>
        <w:t>Épreuve H.1 : Épreuve TDAA/TPAA des États-Unis</w:t>
      </w:r>
    </w:p>
    <w:p w14:paraId="2B6CEA04"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28.4.1.1</w:t>
      </w:r>
      <w:r w:rsidRPr="00AA40E6">
        <w:rPr>
          <w:lang w:val="fr-FR" w:eastAsia="fr-FR"/>
        </w:rPr>
        <w:tab/>
      </w:r>
      <w:r w:rsidRPr="00AA40E6">
        <w:rPr>
          <w:i/>
          <w:iCs/>
          <w:lang w:val="fr-FR" w:eastAsia="fr-FR"/>
        </w:rPr>
        <w:t>Introduction</w:t>
      </w:r>
    </w:p>
    <w:p w14:paraId="0C5A77FE" w14:textId="4E27B1E2" w:rsidR="00941EF3" w:rsidRPr="00AA40E6" w:rsidRDefault="00941EF3" w:rsidP="00941EF3">
      <w:pPr>
        <w:numPr>
          <w:ilvl w:val="12"/>
          <w:numId w:val="0"/>
        </w:numPr>
        <w:tabs>
          <w:tab w:val="left" w:pos="1418"/>
        </w:tabs>
        <w:spacing w:after="240"/>
        <w:rPr>
          <w:lang w:val="fr-FR" w:eastAsia="fr-FR"/>
        </w:rPr>
      </w:pPr>
      <w:r w:rsidRPr="00AA40E6">
        <w:rPr>
          <w:lang w:val="fr-FR" w:eastAsia="fr-FR"/>
        </w:rPr>
        <w:tab/>
        <w:t>Cette méthode vise à déterminer la température constante minimale de l'air ambiant à laquelle la décomposition ou la polymérisation auto-accélérée d'une matière se produit dans un colis donné. La méthode est applicable aux colis d'une contenance jusqu'à 225 litres. Une indication du danger d'explosion par suite de la décomposition peut aussi être obtenue.</w:t>
      </w:r>
    </w:p>
    <w:p w14:paraId="05BA0B44"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28.4.1.2</w:t>
      </w:r>
      <w:r w:rsidRPr="00AA40E6">
        <w:rPr>
          <w:lang w:val="fr-FR" w:eastAsia="fr-FR"/>
        </w:rPr>
        <w:tab/>
      </w:r>
      <w:r w:rsidRPr="00AA40E6">
        <w:rPr>
          <w:i/>
          <w:iCs/>
          <w:lang w:val="fr-FR" w:eastAsia="fr-FR"/>
        </w:rPr>
        <w:t>Appareillage et matériels</w:t>
      </w:r>
    </w:p>
    <w:p w14:paraId="4D4EE7D3"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28.4.1.2.1</w:t>
      </w:r>
      <w:r w:rsidRPr="00AA40E6">
        <w:rPr>
          <w:lang w:val="fr-FR" w:eastAsia="fr-FR"/>
        </w:rPr>
        <w:tab/>
        <w:t>La matière et l'emballage soumis à l'épreuve doivent être représentatifs de ceux destinés à un usage commercial. L'emballage constitue un élément essentiel de l'épreuve.</w:t>
      </w:r>
    </w:p>
    <w:p w14:paraId="6720655D"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28.4.1.2.2</w:t>
      </w:r>
      <w:r w:rsidRPr="00AA40E6">
        <w:rPr>
          <w:lang w:val="fr-FR" w:eastAsia="fr-FR"/>
        </w:rPr>
        <w:tab/>
        <w:t>L'appareillage est constitué par une chambre d'épreuve pourvue de dispositifs permettant de maintenir une température uniforme de l'air ambiant autour du colis soumis à l'épreuve pendant une durée de 10 jours au moins.</w:t>
      </w:r>
    </w:p>
    <w:p w14:paraId="60DD8736"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28.4.1.2.3</w:t>
      </w:r>
      <w:r w:rsidRPr="00AA40E6">
        <w:rPr>
          <w:lang w:val="fr-FR" w:eastAsia="fr-FR"/>
        </w:rPr>
        <w:tab/>
        <w:t>La construction de la chambre d'épreuve doit être telle que :</w:t>
      </w:r>
    </w:p>
    <w:p w14:paraId="2D990812" w14:textId="77777777" w:rsidR="00941EF3" w:rsidRPr="00AA40E6" w:rsidRDefault="00941EF3" w:rsidP="00941EF3">
      <w:pPr>
        <w:tabs>
          <w:tab w:val="left" w:pos="-1440"/>
          <w:tab w:val="left" w:pos="-142"/>
          <w:tab w:val="left" w:pos="1985"/>
          <w:tab w:val="left" w:pos="11518"/>
        </w:tabs>
        <w:autoSpaceDE/>
        <w:adjustRightInd/>
        <w:spacing w:after="120"/>
        <w:ind w:left="1985" w:hanging="567"/>
        <w:rPr>
          <w:szCs w:val="20"/>
          <w:lang w:val="fr-FR" w:eastAsia="fr-FR"/>
        </w:rPr>
      </w:pPr>
      <w:r w:rsidRPr="00AA40E6">
        <w:rPr>
          <w:szCs w:val="20"/>
          <w:lang w:val="fr-FR" w:eastAsia="fr-FR"/>
        </w:rPr>
        <w:t>a)</w:t>
      </w:r>
      <w:r w:rsidRPr="00AA40E6">
        <w:rPr>
          <w:szCs w:val="20"/>
          <w:lang w:val="fr-FR" w:eastAsia="fr-FR"/>
        </w:rPr>
        <w:tab/>
        <w:t>Son isolation soit efficace ;</w:t>
      </w:r>
    </w:p>
    <w:p w14:paraId="62D77221" w14:textId="77777777" w:rsidR="00941EF3" w:rsidRPr="00AA40E6" w:rsidRDefault="00941EF3" w:rsidP="00941EF3">
      <w:pPr>
        <w:tabs>
          <w:tab w:val="left" w:pos="-1440"/>
          <w:tab w:val="left" w:pos="-142"/>
          <w:tab w:val="left" w:pos="1985"/>
          <w:tab w:val="left" w:pos="11518"/>
        </w:tabs>
        <w:autoSpaceDE/>
        <w:adjustRightInd/>
        <w:spacing w:after="120"/>
        <w:ind w:left="1985" w:hanging="567"/>
        <w:rPr>
          <w:szCs w:val="20"/>
          <w:lang w:val="fr-FR" w:eastAsia="fr-FR"/>
        </w:rPr>
      </w:pPr>
      <w:r w:rsidRPr="00AA40E6">
        <w:rPr>
          <w:szCs w:val="20"/>
          <w:lang w:val="fr-FR" w:eastAsia="fr-FR"/>
        </w:rPr>
        <w:t>b)</w:t>
      </w:r>
      <w:r w:rsidRPr="00AA40E6">
        <w:rPr>
          <w:szCs w:val="20"/>
          <w:lang w:val="fr-FR" w:eastAsia="fr-FR"/>
        </w:rPr>
        <w:tab/>
        <w:t>Une circulation d'air réglée par thermostat soit assurée afin de maintenir l'uniformité de la température de l'air à ± 2 °C de la température voulue ; et</w:t>
      </w:r>
    </w:p>
    <w:p w14:paraId="7E4242C9" w14:textId="77777777" w:rsidR="00941EF3" w:rsidRPr="00AA40E6" w:rsidRDefault="00941EF3" w:rsidP="00941EF3">
      <w:pPr>
        <w:tabs>
          <w:tab w:val="left" w:pos="-1440"/>
          <w:tab w:val="left" w:pos="-142"/>
          <w:tab w:val="left" w:pos="1985"/>
          <w:tab w:val="left" w:pos="11518"/>
        </w:tabs>
        <w:autoSpaceDE/>
        <w:adjustRightInd/>
        <w:spacing w:after="120"/>
        <w:ind w:left="1985" w:hanging="567"/>
        <w:rPr>
          <w:szCs w:val="20"/>
          <w:lang w:val="fr-FR" w:eastAsia="fr-FR"/>
        </w:rPr>
      </w:pPr>
      <w:r w:rsidRPr="00AA40E6">
        <w:rPr>
          <w:szCs w:val="20"/>
          <w:lang w:val="fr-FR" w:eastAsia="fr-FR"/>
        </w:rPr>
        <w:t>c)</w:t>
      </w:r>
      <w:r w:rsidRPr="00AA40E6">
        <w:rPr>
          <w:szCs w:val="20"/>
          <w:lang w:val="fr-FR" w:eastAsia="fr-FR"/>
        </w:rPr>
        <w:tab/>
        <w:t>La distance minimale entre tous les côtés de l'emballage et la paroi soit de 100 </w:t>
      </w:r>
      <w:proofErr w:type="spellStart"/>
      <w:r w:rsidRPr="00AA40E6">
        <w:rPr>
          <w:szCs w:val="20"/>
          <w:lang w:val="fr-FR" w:eastAsia="fr-FR"/>
        </w:rPr>
        <w:t>mm.</w:t>
      </w:r>
      <w:proofErr w:type="spellEnd"/>
    </w:p>
    <w:p w14:paraId="4F092150" w14:textId="63DFF85A" w:rsidR="00941EF3" w:rsidRPr="00AA40E6" w:rsidRDefault="00941EF3" w:rsidP="00941EF3">
      <w:pPr>
        <w:numPr>
          <w:ilvl w:val="12"/>
          <w:numId w:val="0"/>
        </w:numPr>
        <w:tabs>
          <w:tab w:val="left" w:pos="1418"/>
        </w:tabs>
        <w:spacing w:after="240"/>
        <w:rPr>
          <w:szCs w:val="22"/>
          <w:lang w:val="fr-FR" w:eastAsia="fr-FR"/>
        </w:rPr>
      </w:pPr>
      <w:r w:rsidRPr="00AA40E6">
        <w:rPr>
          <w:lang w:val="fr-FR" w:eastAsia="fr-FR"/>
        </w:rPr>
        <w:tab/>
        <w:t>On peut utiliser tout type d'étuve, à condition que celle-ci puisse répondre aux critères de régulation de la température et ne provoque pas l'inflammation des produits de décomposition éventuels. Des exemples d’étuve convenant aux petits colis tout comme aux grands colis sont donnés ci-après.</w:t>
      </w:r>
    </w:p>
    <w:p w14:paraId="2C4FE37D" w14:textId="224778F4" w:rsidR="00941EF3" w:rsidRPr="00AA40E6" w:rsidRDefault="00941EF3" w:rsidP="00941EF3">
      <w:pPr>
        <w:numPr>
          <w:ilvl w:val="12"/>
          <w:numId w:val="0"/>
        </w:numPr>
        <w:tabs>
          <w:tab w:val="left" w:pos="1418"/>
        </w:tabs>
        <w:spacing w:after="240"/>
        <w:rPr>
          <w:lang w:val="fr-FR" w:eastAsia="fr-FR"/>
        </w:rPr>
      </w:pPr>
      <w:r w:rsidRPr="00AA40E6">
        <w:rPr>
          <w:lang w:val="fr-FR" w:eastAsia="fr-FR"/>
        </w:rPr>
        <w:t>28.4.1.2.3.1</w:t>
      </w:r>
      <w:r w:rsidRPr="00AA40E6">
        <w:rPr>
          <w:lang w:val="fr-FR" w:eastAsia="fr-FR"/>
        </w:rPr>
        <w:tab/>
        <w:t>Exemple 1</w:t>
      </w:r>
    </w:p>
    <w:p w14:paraId="0FD6FBB1"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ab/>
        <w:t>On peut construire une étuve pour petits colis à partir d'un fût en acier de 220 litres à dessus amovible. On peut y loger sans difficulté des colis d'un volume jusqu'à 25 litres. La figure 28.4.1.1 donne le schéma détaillé de ce modèle. Des emballages plus grands peuvent y être essayés, à condition qu'il subsiste un espace de 100 mm entre le colis et la paroi de l'étuve.</w:t>
      </w:r>
    </w:p>
    <w:p w14:paraId="45828181" w14:textId="2AF7DD77" w:rsidR="00941EF3" w:rsidRPr="00AA40E6" w:rsidRDefault="00941EF3" w:rsidP="00941EF3">
      <w:pPr>
        <w:numPr>
          <w:ilvl w:val="12"/>
          <w:numId w:val="0"/>
        </w:numPr>
        <w:tabs>
          <w:tab w:val="left" w:pos="1418"/>
        </w:tabs>
        <w:spacing w:after="240"/>
        <w:rPr>
          <w:lang w:val="fr-FR" w:eastAsia="fr-FR"/>
        </w:rPr>
      </w:pPr>
      <w:r w:rsidRPr="00AA40E6">
        <w:rPr>
          <w:lang w:val="fr-FR" w:eastAsia="fr-FR"/>
        </w:rPr>
        <w:t>28.4.1.2.3.2</w:t>
      </w:r>
      <w:r w:rsidRPr="00AA40E6">
        <w:rPr>
          <w:lang w:val="fr-FR" w:eastAsia="fr-FR"/>
        </w:rPr>
        <w:tab/>
        <w:t>Exemple 2</w:t>
      </w:r>
    </w:p>
    <w:p w14:paraId="3AAF014A"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ab/>
        <w:t>Pour les grands colis on peut construire une étuve consommable faite d'un bâti cubique de 1,2 m de côté en bois de 50 × 100 mm de section.  On revêt ce bâti à l'intérieur et à l'extérieur de contre-plaqué imperméable de 6 mm d'épaisseur et, sur toute la surface extérieure, d'un tapis de laine de verre de 100 mm d'épaisseur. La figure 28.4.1.2 en donne le schéma de construction. Une des parois est montée sur charnières pour permettre le chargement et le déchargement des fûts soumis à l'épreuve. Sur le fond, des bois de 50 × 100 mm sont posés sur tranche, à 200 mm d'entraxe, pour maintenir le récipient soumis à l'épreuve au-dessus du fond et permettre ainsi une circulation d'air entre les deux. Les tasseaux sont orientés perpendiculairement à la porte pour permettre la manutention des fûts par chariots à fourche. Le ventilateur de circulation de l'air doit être installé sur la paroi opposée à la porte. L'aspiration doit se faire dans un des angles supérieurs de l'étuve et le refoulement dans l'angle diagonalement opposé. Un dispositif de chauffage électrique de 2,5 kW suffit pour le chauffage de l'air. Des thermocouples doivent être installés dans la conduite d'aspiration et la conduite de retour d'air ainsi qu'en haut, au centre et en bas de l'étuve. Pour les matières dont la TDAA ou la TPAA est inférieure à la température ambiante, l'épreuve doit être exécutée dans une chambre de refroidissement ou de l'anhydride carbonique solide doit être utilisée pour refroidir l'étuve.</w:t>
      </w:r>
    </w:p>
    <w:p w14:paraId="66D13C09"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 xml:space="preserve">28.4.1.2.3.3 </w:t>
      </w:r>
      <w:r w:rsidRPr="00AA40E6">
        <w:rPr>
          <w:lang w:val="fr-FR" w:eastAsia="fr-FR"/>
        </w:rPr>
        <w:tab/>
        <w:t>Exemple 3</w:t>
      </w:r>
    </w:p>
    <w:p w14:paraId="03F92267"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lastRenderedPageBreak/>
        <w:tab/>
        <w:t>Pour les épreuves exécutées jusqu’à des températures de 75 °C, on peut utiliser une enceinte métallique à doubles parois (la distance minimale entre les côtés de l’emballage et la paroi étant de 100 mm), la température voulue étant obtenue par circulation de fluide, provenant d’un bain thermostaté entre les parois. L’enceinte d’épreuve est fermée au moyen d’un couvercle isolant non hermétique (fabriqué par exemple en polychlorure de vinyle de 10 mm d’épaisseur). La température de l’air dans l’étuve doit être réglée de manière telle que la température voulue d’un échantillon liquide inerte puisse être maintenue à ±2 K pendant 10 jours au maximum.</w:t>
      </w:r>
    </w:p>
    <w:p w14:paraId="07A989EF" w14:textId="01F7FA3F" w:rsidR="00941EF3" w:rsidRPr="00AA40E6" w:rsidRDefault="00941EF3" w:rsidP="00941EF3">
      <w:pPr>
        <w:numPr>
          <w:ilvl w:val="12"/>
          <w:numId w:val="0"/>
        </w:numPr>
        <w:tabs>
          <w:tab w:val="left" w:pos="1418"/>
        </w:tabs>
        <w:spacing w:after="240"/>
        <w:rPr>
          <w:lang w:val="fr-FR" w:eastAsia="fr-FR"/>
        </w:rPr>
      </w:pPr>
      <w:r w:rsidRPr="00AA40E6">
        <w:rPr>
          <w:lang w:val="fr-FR" w:eastAsia="fr-FR"/>
        </w:rPr>
        <w:t>28.4.1.2.4</w:t>
      </w:r>
      <w:r w:rsidRPr="00AA40E6">
        <w:rPr>
          <w:lang w:val="fr-FR" w:eastAsia="fr-FR"/>
        </w:rPr>
        <w:tab/>
        <w:t>Le colis peut être pourvu d'un conduit thermique qui positionne le thermocouple ou le capteur de température à résistance (RTD) en son point central. Le conduit thermique peut être fait en verre, en acier inoxydable ou en tout autre matériau, mais son introduction ne doit pas réduire la résistance du colis ou l'aptitude de ventilation.</w:t>
      </w:r>
    </w:p>
    <w:p w14:paraId="0E1D585D" w14:textId="2147F876" w:rsidR="00941EF3" w:rsidRPr="00AA40E6" w:rsidRDefault="00941EF3" w:rsidP="00941EF3">
      <w:pPr>
        <w:numPr>
          <w:ilvl w:val="12"/>
          <w:numId w:val="0"/>
        </w:numPr>
        <w:tabs>
          <w:tab w:val="left" w:pos="1418"/>
        </w:tabs>
        <w:spacing w:after="240"/>
        <w:rPr>
          <w:lang w:val="fr-FR" w:eastAsia="fr-FR"/>
        </w:rPr>
      </w:pPr>
      <w:r w:rsidRPr="00AA40E6">
        <w:rPr>
          <w:lang w:val="fr-FR" w:eastAsia="fr-FR"/>
        </w:rPr>
        <w:t>28.4.1.2.5</w:t>
      </w:r>
      <w:r w:rsidRPr="00AA40E6">
        <w:rPr>
          <w:lang w:val="fr-FR" w:eastAsia="fr-FR"/>
        </w:rPr>
        <w:tab/>
        <w:t>Il est nécessaire de prévoir le matériel voulu pour mesurer et enregistrer en continu la température, en veillant à le protéger des dangers d'incendie et d'explosion.</w:t>
      </w:r>
    </w:p>
    <w:p w14:paraId="16D3A6A7" w14:textId="61139BD6" w:rsidR="00941EF3" w:rsidRPr="00AA40E6" w:rsidRDefault="00941EF3" w:rsidP="00941EF3">
      <w:pPr>
        <w:numPr>
          <w:ilvl w:val="12"/>
          <w:numId w:val="0"/>
        </w:numPr>
        <w:tabs>
          <w:tab w:val="left" w:pos="1418"/>
        </w:tabs>
        <w:spacing w:after="240"/>
        <w:rPr>
          <w:i/>
          <w:iCs/>
          <w:lang w:val="fr-FR" w:eastAsia="fr-FR"/>
        </w:rPr>
      </w:pPr>
      <w:r w:rsidRPr="00AA40E6">
        <w:rPr>
          <w:lang w:val="fr-FR" w:eastAsia="fr-FR"/>
        </w:rPr>
        <w:t>28.4.1.2.6</w:t>
      </w:r>
      <w:r w:rsidRPr="00AA40E6">
        <w:rPr>
          <w:lang w:val="fr-FR" w:eastAsia="fr-FR"/>
        </w:rPr>
        <w:tab/>
      </w:r>
      <w:r w:rsidRPr="00AA40E6">
        <w:rPr>
          <w:b/>
          <w:bCs/>
          <w:i/>
          <w:iCs/>
          <w:lang w:val="fr-FR" w:eastAsia="fr-FR"/>
        </w:rPr>
        <w:t>Les épreuves doivent être exécutées dans un endroit qui offre une protection suffisante contre les dangers d'incendie et d'explosion, ainsi que contre les fumées toxiques. Une distance de sécurité par rapport à la voie publique et aux bâtiments occupés, par exemple 90 m, est recommandée. En cas de fumées toxiques, de plus grandes distances de sécurité peuvent être exigées.</w:t>
      </w:r>
    </w:p>
    <w:p w14:paraId="50AD175A"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28.4.1.3</w:t>
      </w:r>
      <w:r w:rsidRPr="00AA40E6">
        <w:rPr>
          <w:lang w:val="fr-FR" w:eastAsia="fr-FR"/>
        </w:rPr>
        <w:tab/>
      </w:r>
      <w:r w:rsidRPr="00AA40E6">
        <w:rPr>
          <w:i/>
          <w:lang w:val="fr-FR" w:eastAsia="fr-FR"/>
        </w:rPr>
        <w:t>Mode opératoire</w:t>
      </w:r>
    </w:p>
    <w:p w14:paraId="1B65CADD"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28.4.1.3.1</w:t>
      </w:r>
      <w:r w:rsidRPr="00AA40E6">
        <w:rPr>
          <w:lang w:val="fr-FR" w:eastAsia="fr-FR"/>
        </w:rPr>
        <w:tab/>
        <w:t>Le colis est pesé. Un thermocouple ou un capteur RTD est inséré dans le colis soumis à l'épreuve de manière telle qu'on puisse suivre la température au centre de l'échantillon. Si l'étuve doit être à une température inférieure à la température ambiante, mettre l'étuve en marche et refroidir l’intérieur de l'étuve jusqu'à la température voulue avant d'introduire le colis dans l'étuve. Si la température de l'étuve doit être égale ou supérieure à la température ambiante, l'étuve est mise en marche après y avoir introduit le colis, à la température ambiante. Il doit y avoir une distance minimale de 100 mm entre le colis et les côtés de l'étuve.</w:t>
      </w:r>
    </w:p>
    <w:p w14:paraId="2B243ABB" w14:textId="484E50D6" w:rsidR="00941EF3" w:rsidRPr="00AA40E6" w:rsidRDefault="00941EF3" w:rsidP="00941EF3">
      <w:pPr>
        <w:numPr>
          <w:ilvl w:val="12"/>
          <w:numId w:val="0"/>
        </w:numPr>
        <w:tabs>
          <w:tab w:val="left" w:pos="1418"/>
        </w:tabs>
        <w:spacing w:after="240"/>
        <w:rPr>
          <w:lang w:val="fr-FR" w:eastAsia="fr-FR"/>
        </w:rPr>
      </w:pPr>
      <w:r w:rsidRPr="00AA40E6">
        <w:rPr>
          <w:lang w:val="fr-FR" w:eastAsia="fr-FR"/>
        </w:rPr>
        <w:t>28.4.1.3.2</w:t>
      </w:r>
      <w:r w:rsidRPr="00AA40E6">
        <w:rPr>
          <w:lang w:val="fr-FR" w:eastAsia="fr-FR"/>
        </w:rPr>
        <w:tab/>
        <w:t xml:space="preserve">L'échantillon est chauffé et les températures de l'échantillon et de la chambre d'épreuve sont contrôlées en permanence. Le moment auquel la température de l'échantillon atteint une température de 2 °C en dessous de la température de la chambre d'épreuve est noté. L'épreuve est alors poursuivie pendant sept jours ou jusqu'à ce que la température de l'échantillon dépasse de 6 °C ou plus la température de la chambre d'épreuve si ce dépassement de température survient plus tôt. </w:t>
      </w:r>
    </w:p>
    <w:p w14:paraId="27EDE57C"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28.4.1.3.3</w:t>
      </w:r>
      <w:r w:rsidRPr="00AA40E6">
        <w:rPr>
          <w:lang w:val="fr-FR" w:eastAsia="fr-FR"/>
        </w:rPr>
        <w:tab/>
        <w:t>À la fin de l'épreuve, refroidir l'échantillon et l'extraire de la chambre d'épreuve. Noter la variation de la température avec le temps. Si le colis est intact, noter la perte de masse en pourcentage et déterminer tout changement de composition. Éliminer l'échantillon le plus tôt possible.</w:t>
      </w:r>
    </w:p>
    <w:p w14:paraId="6C899FCF" w14:textId="7F7FF163" w:rsidR="00941EF3" w:rsidRPr="00AA40E6" w:rsidRDefault="00941EF3" w:rsidP="00941EF3">
      <w:pPr>
        <w:numPr>
          <w:ilvl w:val="12"/>
          <w:numId w:val="0"/>
        </w:numPr>
        <w:tabs>
          <w:tab w:val="left" w:pos="1418"/>
        </w:tabs>
        <w:spacing w:after="240"/>
        <w:rPr>
          <w:lang w:val="fr-FR" w:eastAsia="fr-FR"/>
        </w:rPr>
      </w:pPr>
      <w:r w:rsidRPr="00AA40E6">
        <w:rPr>
          <w:lang w:val="fr-FR" w:eastAsia="fr-FR"/>
        </w:rPr>
        <w:t>28.4.1.3.4</w:t>
      </w:r>
      <w:r w:rsidRPr="00AA40E6">
        <w:rPr>
          <w:lang w:val="fr-FR" w:eastAsia="fr-FR"/>
        </w:rPr>
        <w:tab/>
        <w:t xml:space="preserve"> Si la température de l'échantillon ne dépasse pas la température du four de 6 °C ou plus, répéter l'épreuve à une température plus élevée de 5 °C. La TDAA ou la TPAA est définie comme la température la plus basse de l'étuve à laquelle la température de l'échantillon dépasse la température de l'étuve de 6 °C ou plus. Quand l'épreuve vise à établir si la matière doit faire l'objet d'une régulation de température, exécuter un nombre suffisant d'épreuves pour déterminer la TDAA ou la TPAA au multiple de 5 °C le plus proche ou pour constater si la TDAA ou la TPAA est plus élevée que la température applicable indiquée dans le tableau 28.2.. Quand l'épreuve a pour but de vérifier si la matière répond au critère TDAA d'une matière </w:t>
      </w:r>
      <w:proofErr w:type="spellStart"/>
      <w:r w:rsidRPr="00AA40E6">
        <w:rPr>
          <w:lang w:val="fr-FR" w:eastAsia="fr-FR"/>
        </w:rPr>
        <w:t>autoréactive</w:t>
      </w:r>
      <w:proofErr w:type="spellEnd"/>
      <w:r w:rsidRPr="00AA40E6">
        <w:rPr>
          <w:lang w:val="fr-FR" w:eastAsia="fr-FR"/>
        </w:rPr>
        <w:t xml:space="preserve">, exécuter suffisamment d'épreuves pour déterminer si la TDAA pour un colis de 50 kg est égale ou inférieure à 75 °C. </w:t>
      </w:r>
      <w:r w:rsidRPr="00AA40E6">
        <w:rPr>
          <w:iCs/>
          <w:lang w:val="fr-FR" w:eastAsia="fr-FR"/>
        </w:rPr>
        <w:t xml:space="preserve">Quand l’épreuve a pour but de vérifier si la matière répond au critère </w:t>
      </w:r>
      <w:r w:rsidRPr="00AA40E6">
        <w:rPr>
          <w:lang w:val="fr-FR" w:eastAsia="fr-FR"/>
        </w:rPr>
        <w:t xml:space="preserve">TPAA </w:t>
      </w:r>
      <w:r w:rsidRPr="00AA40E6">
        <w:rPr>
          <w:iCs/>
          <w:lang w:val="fr-FR" w:eastAsia="fr-FR"/>
        </w:rPr>
        <w:t xml:space="preserve">d’une matière </w:t>
      </w:r>
      <w:r w:rsidRPr="00AA40E6">
        <w:rPr>
          <w:lang w:val="fr-FR" w:eastAsia="fr-FR"/>
        </w:rPr>
        <w:t xml:space="preserve">qui polymérise, </w:t>
      </w:r>
      <w:r w:rsidRPr="00AA40E6">
        <w:rPr>
          <w:iCs/>
          <w:lang w:val="fr-FR" w:eastAsia="fr-FR"/>
        </w:rPr>
        <w:t xml:space="preserve">exécuter suffisamment d’épreuves pour déterminer si la </w:t>
      </w:r>
      <w:r w:rsidRPr="00AA40E6">
        <w:rPr>
          <w:lang w:val="fr-FR" w:eastAsia="fr-FR"/>
        </w:rPr>
        <w:t xml:space="preserve">TPAA dans l’emballage utilisé </w:t>
      </w:r>
      <w:r w:rsidRPr="00AA40E6">
        <w:rPr>
          <w:iCs/>
          <w:lang w:val="fr-FR" w:eastAsia="fr-FR"/>
        </w:rPr>
        <w:t>est égale ou inférieure à 75 °C</w:t>
      </w:r>
      <w:r w:rsidRPr="00AA40E6">
        <w:rPr>
          <w:lang w:val="fr-FR" w:eastAsia="fr-FR"/>
        </w:rPr>
        <w:t>.</w:t>
      </w:r>
    </w:p>
    <w:p w14:paraId="76C4B943"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28.4.1.4</w:t>
      </w:r>
      <w:r w:rsidRPr="00AA40E6">
        <w:rPr>
          <w:lang w:val="fr-FR" w:eastAsia="fr-FR"/>
        </w:rPr>
        <w:tab/>
      </w:r>
      <w:r w:rsidRPr="00AA40E6">
        <w:rPr>
          <w:lang w:val="fr-FR" w:eastAsia="fr-FR"/>
        </w:rPr>
        <w:tab/>
      </w:r>
      <w:r w:rsidRPr="00AA40E6">
        <w:rPr>
          <w:i/>
          <w:lang w:val="fr-FR" w:eastAsia="fr-FR"/>
        </w:rPr>
        <w:t>Critères d'épreuve et méthode d'évaluation des résultats</w:t>
      </w:r>
    </w:p>
    <w:p w14:paraId="74044349"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28.4.1.4.1</w:t>
      </w:r>
      <w:r w:rsidRPr="00AA40E6">
        <w:rPr>
          <w:lang w:val="fr-FR" w:eastAsia="fr-FR"/>
        </w:rPr>
        <w:tab/>
        <w:t xml:space="preserve">La TDAA ou la TPAA à retenir est la température la plus basse à laquelle l'échantillon dépasse la température de l'étuve de 6 °C ou plus. Si la température de l'échantillon ne dépasse dans aucun essai la </w:t>
      </w:r>
      <w:r w:rsidRPr="00AA40E6">
        <w:rPr>
          <w:lang w:val="fr-FR" w:eastAsia="fr-FR"/>
        </w:rPr>
        <w:lastRenderedPageBreak/>
        <w:t>température de l'étuve de 6 °C ou plus, on considère que la TDAA ou la TPAA est supérieure à la température la plus élevée utilisée dans l'étuve.</w:t>
      </w:r>
    </w:p>
    <w:p w14:paraId="629642C6" w14:textId="77777777" w:rsidR="00941EF3" w:rsidRPr="00AA40E6" w:rsidRDefault="00941EF3" w:rsidP="00941EF3">
      <w:pPr>
        <w:keepNext/>
        <w:keepLines/>
        <w:numPr>
          <w:ilvl w:val="12"/>
          <w:numId w:val="0"/>
        </w:numPr>
        <w:tabs>
          <w:tab w:val="left" w:pos="1418"/>
        </w:tabs>
        <w:spacing w:after="240"/>
        <w:rPr>
          <w:i/>
          <w:lang w:val="fr-FR" w:eastAsia="fr-FR"/>
        </w:rPr>
      </w:pPr>
      <w:r w:rsidRPr="00AA40E6">
        <w:rPr>
          <w:lang w:val="fr-FR" w:eastAsia="fr-FR"/>
        </w:rPr>
        <w:t>28.4.1.5</w:t>
      </w:r>
      <w:r w:rsidRPr="00AA40E6">
        <w:rPr>
          <w:lang w:val="fr-FR" w:eastAsia="fr-FR"/>
        </w:rPr>
        <w:tab/>
      </w:r>
      <w:r w:rsidRPr="00AA40E6">
        <w:rPr>
          <w:i/>
          <w:lang w:val="fr-FR" w:eastAsia="fr-FR"/>
        </w:rPr>
        <w:t>Exemples de résultats</w:t>
      </w:r>
    </w:p>
    <w:tbl>
      <w:tblPr>
        <w:tblW w:w="5000" w:type="pct"/>
        <w:tblCellMar>
          <w:left w:w="120" w:type="dxa"/>
          <w:right w:w="120" w:type="dxa"/>
        </w:tblCellMar>
        <w:tblLook w:val="04A0" w:firstRow="1" w:lastRow="0" w:firstColumn="1" w:lastColumn="0" w:noHBand="0" w:noVBand="1"/>
      </w:tblPr>
      <w:tblGrid>
        <w:gridCol w:w="4252"/>
        <w:gridCol w:w="1845"/>
        <w:gridCol w:w="1700"/>
        <w:gridCol w:w="1841"/>
      </w:tblGrid>
      <w:tr w:rsidR="00941EF3" w14:paraId="1429CED2" w14:textId="77777777" w:rsidTr="00941EF3">
        <w:trPr>
          <w:cantSplit/>
        </w:trPr>
        <w:tc>
          <w:tcPr>
            <w:tcW w:w="2206" w:type="pct"/>
            <w:tcBorders>
              <w:top w:val="single" w:sz="8" w:space="0" w:color="auto"/>
              <w:left w:val="nil"/>
              <w:bottom w:val="single" w:sz="8" w:space="0" w:color="auto"/>
              <w:right w:val="nil"/>
            </w:tcBorders>
            <w:hideMark/>
          </w:tcPr>
          <w:p w14:paraId="398C9E7D" w14:textId="77777777" w:rsidR="00941EF3" w:rsidRPr="00AA40E6" w:rsidRDefault="00941EF3">
            <w:pPr>
              <w:numPr>
                <w:ilvl w:val="12"/>
                <w:numId w:val="0"/>
              </w:numPr>
              <w:spacing w:before="40" w:after="40"/>
              <w:rPr>
                <w:rFonts w:eastAsia="SimSun"/>
                <w:b/>
                <w:bCs/>
                <w:sz w:val="24"/>
                <w:lang w:val="fr-FR" w:eastAsia="fr-FR"/>
              </w:rPr>
            </w:pPr>
            <w:r w:rsidRPr="00AA40E6">
              <w:rPr>
                <w:rFonts w:eastAsia="SimSun"/>
                <w:b/>
                <w:bCs/>
                <w:sz w:val="20"/>
                <w:lang w:val="fr-FR" w:eastAsia="fr-FR"/>
              </w:rPr>
              <w:t>Matière</w:t>
            </w:r>
          </w:p>
        </w:tc>
        <w:tc>
          <w:tcPr>
            <w:tcW w:w="957" w:type="pct"/>
            <w:tcBorders>
              <w:top w:val="single" w:sz="8" w:space="0" w:color="auto"/>
              <w:left w:val="nil"/>
              <w:bottom w:val="single" w:sz="8" w:space="0" w:color="auto"/>
              <w:right w:val="nil"/>
            </w:tcBorders>
            <w:hideMark/>
          </w:tcPr>
          <w:p w14:paraId="62A90536" w14:textId="77777777" w:rsidR="00941EF3" w:rsidRPr="00AA40E6" w:rsidRDefault="00941EF3">
            <w:pPr>
              <w:numPr>
                <w:ilvl w:val="12"/>
                <w:numId w:val="0"/>
              </w:numPr>
              <w:spacing w:before="40" w:after="40"/>
              <w:jc w:val="right"/>
              <w:rPr>
                <w:rFonts w:eastAsia="SimSun"/>
                <w:b/>
                <w:bCs/>
                <w:sz w:val="24"/>
                <w:lang w:val="fr-FR" w:eastAsia="fr-FR"/>
              </w:rPr>
            </w:pPr>
            <w:r w:rsidRPr="00AA40E6">
              <w:rPr>
                <w:rFonts w:eastAsia="SimSun"/>
                <w:b/>
                <w:bCs/>
                <w:sz w:val="20"/>
                <w:lang w:val="fr-FR" w:eastAsia="fr-FR"/>
              </w:rPr>
              <w:t>Masse de l'échantillon</w:t>
            </w:r>
            <w:r w:rsidRPr="00AA40E6">
              <w:rPr>
                <w:rFonts w:eastAsia="SimSun"/>
                <w:b/>
                <w:bCs/>
                <w:sz w:val="20"/>
                <w:szCs w:val="20"/>
                <w:lang w:val="fr-FR" w:eastAsia="fr-FR"/>
              </w:rPr>
              <w:t xml:space="preserve"> (kg)</w:t>
            </w:r>
          </w:p>
        </w:tc>
        <w:tc>
          <w:tcPr>
            <w:tcW w:w="882" w:type="pct"/>
            <w:tcBorders>
              <w:top w:val="single" w:sz="8" w:space="0" w:color="auto"/>
              <w:left w:val="nil"/>
              <w:bottom w:val="single" w:sz="8" w:space="0" w:color="auto"/>
              <w:right w:val="nil"/>
            </w:tcBorders>
            <w:hideMark/>
          </w:tcPr>
          <w:p w14:paraId="0939E6BA" w14:textId="77777777" w:rsidR="00941EF3" w:rsidRPr="00AA40E6" w:rsidRDefault="00941EF3">
            <w:pPr>
              <w:numPr>
                <w:ilvl w:val="12"/>
                <w:numId w:val="0"/>
              </w:numPr>
              <w:spacing w:before="40" w:after="40"/>
              <w:rPr>
                <w:rFonts w:eastAsia="SimSun"/>
                <w:b/>
                <w:bCs/>
                <w:sz w:val="24"/>
                <w:lang w:val="fr-FR" w:eastAsia="fr-FR"/>
              </w:rPr>
            </w:pPr>
            <w:r w:rsidRPr="00AA40E6">
              <w:rPr>
                <w:rFonts w:eastAsia="SimSun"/>
                <w:b/>
                <w:bCs/>
                <w:sz w:val="20"/>
                <w:szCs w:val="20"/>
                <w:lang w:val="fr-FR" w:eastAsia="fr-FR"/>
              </w:rPr>
              <w:t>Emballage</w:t>
            </w:r>
          </w:p>
        </w:tc>
        <w:tc>
          <w:tcPr>
            <w:tcW w:w="955" w:type="pct"/>
            <w:tcBorders>
              <w:top w:val="single" w:sz="8" w:space="0" w:color="auto"/>
              <w:left w:val="nil"/>
              <w:bottom w:val="single" w:sz="8" w:space="0" w:color="auto"/>
              <w:right w:val="nil"/>
            </w:tcBorders>
            <w:hideMark/>
          </w:tcPr>
          <w:p w14:paraId="0D551596" w14:textId="77777777" w:rsidR="00941EF3" w:rsidRPr="00AA40E6" w:rsidRDefault="00941EF3">
            <w:pPr>
              <w:numPr>
                <w:ilvl w:val="12"/>
                <w:numId w:val="0"/>
              </w:numPr>
              <w:spacing w:before="40" w:after="40"/>
              <w:jc w:val="right"/>
              <w:rPr>
                <w:rFonts w:eastAsia="SimSun"/>
                <w:b/>
                <w:bCs/>
                <w:sz w:val="24"/>
                <w:lang w:val="fr-FR" w:eastAsia="fr-FR"/>
              </w:rPr>
            </w:pPr>
            <w:r w:rsidRPr="00AA40E6">
              <w:rPr>
                <w:rFonts w:eastAsia="SimSun"/>
                <w:b/>
                <w:bCs/>
                <w:sz w:val="20"/>
                <w:lang w:val="fr-FR" w:eastAsia="fr-FR"/>
              </w:rPr>
              <w:t>TDAA/TPAA</w:t>
            </w:r>
            <w:r w:rsidRPr="00AA40E6">
              <w:rPr>
                <w:rFonts w:eastAsia="SimSun"/>
                <w:b/>
                <w:bCs/>
                <w:sz w:val="20"/>
                <w:szCs w:val="20"/>
                <w:lang w:val="fr-FR" w:eastAsia="fr-FR"/>
              </w:rPr>
              <w:t xml:space="preserve"> (°C)</w:t>
            </w:r>
          </w:p>
        </w:tc>
      </w:tr>
      <w:tr w:rsidR="00941EF3" w14:paraId="4FD7EA87" w14:textId="77777777" w:rsidTr="00941EF3">
        <w:trPr>
          <w:cantSplit/>
        </w:trPr>
        <w:tc>
          <w:tcPr>
            <w:tcW w:w="2206" w:type="pct"/>
            <w:tcBorders>
              <w:top w:val="single" w:sz="8" w:space="0" w:color="auto"/>
              <w:left w:val="nil"/>
              <w:bottom w:val="nil"/>
              <w:right w:val="nil"/>
            </w:tcBorders>
            <w:hideMark/>
          </w:tcPr>
          <w:p w14:paraId="22F01207"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lang w:val="fr-FR" w:eastAsia="fr-FR"/>
              </w:rPr>
              <w:t>Peroxybenzoate</w:t>
            </w:r>
            <w:proofErr w:type="spellEnd"/>
            <w:r w:rsidRPr="00AA40E6">
              <w:rPr>
                <w:rFonts w:eastAsia="SimSun"/>
                <w:sz w:val="20"/>
                <w:lang w:val="fr-FR" w:eastAsia="fr-FR"/>
              </w:rPr>
              <w:t xml:space="preserve"> de </w:t>
            </w:r>
            <w:proofErr w:type="spellStart"/>
            <w:r w:rsidRPr="00AA40E6">
              <w:rPr>
                <w:rFonts w:eastAsia="SimSun"/>
                <w:sz w:val="20"/>
                <w:lang w:val="fr-FR" w:eastAsia="fr-FR"/>
              </w:rPr>
              <w:t>tert</w:t>
            </w:r>
            <w:proofErr w:type="spellEnd"/>
            <w:r w:rsidRPr="00AA40E6">
              <w:rPr>
                <w:rFonts w:eastAsia="SimSun"/>
                <w:sz w:val="20"/>
                <w:lang w:val="fr-FR" w:eastAsia="fr-FR"/>
              </w:rPr>
              <w:t>-amyle</w:t>
            </w:r>
          </w:p>
        </w:tc>
        <w:tc>
          <w:tcPr>
            <w:tcW w:w="957" w:type="pct"/>
            <w:tcBorders>
              <w:top w:val="single" w:sz="8" w:space="0" w:color="auto"/>
              <w:left w:val="nil"/>
              <w:bottom w:val="nil"/>
              <w:right w:val="nil"/>
            </w:tcBorders>
            <w:vAlign w:val="bottom"/>
            <w:hideMark/>
          </w:tcPr>
          <w:p w14:paraId="6EF051CF"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18.2</w:t>
            </w:r>
          </w:p>
        </w:tc>
        <w:tc>
          <w:tcPr>
            <w:tcW w:w="882" w:type="pct"/>
            <w:tcBorders>
              <w:top w:val="single" w:sz="8" w:space="0" w:color="auto"/>
              <w:left w:val="nil"/>
              <w:bottom w:val="nil"/>
              <w:right w:val="nil"/>
            </w:tcBorders>
            <w:hideMark/>
          </w:tcPr>
          <w:p w14:paraId="147F660B"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6HG2, 22.8 litres</w:t>
            </w:r>
          </w:p>
        </w:tc>
        <w:tc>
          <w:tcPr>
            <w:tcW w:w="955" w:type="pct"/>
            <w:tcBorders>
              <w:top w:val="single" w:sz="8" w:space="0" w:color="auto"/>
              <w:left w:val="nil"/>
              <w:bottom w:val="nil"/>
              <w:right w:val="nil"/>
            </w:tcBorders>
            <w:vAlign w:val="bottom"/>
            <w:hideMark/>
          </w:tcPr>
          <w:p w14:paraId="767A6093"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65</w:t>
            </w:r>
          </w:p>
        </w:tc>
      </w:tr>
      <w:tr w:rsidR="00941EF3" w14:paraId="31831397" w14:textId="77777777" w:rsidTr="00941EF3">
        <w:trPr>
          <w:cantSplit/>
        </w:trPr>
        <w:tc>
          <w:tcPr>
            <w:tcW w:w="2206" w:type="pct"/>
            <w:hideMark/>
          </w:tcPr>
          <w:p w14:paraId="294D1217"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lang w:val="fr-FR" w:eastAsia="fr-FR"/>
              </w:rPr>
              <w:t>Peroxyacétate</w:t>
            </w:r>
            <w:proofErr w:type="spellEnd"/>
            <w:r w:rsidRPr="00AA40E6">
              <w:rPr>
                <w:rFonts w:eastAsia="SimSun"/>
                <w:sz w:val="20"/>
                <w:lang w:val="fr-FR" w:eastAsia="fr-FR"/>
              </w:rPr>
              <w:t xml:space="preserve"> de </w:t>
            </w:r>
            <w:proofErr w:type="spellStart"/>
            <w:r w:rsidRPr="00AA40E6">
              <w:rPr>
                <w:rFonts w:eastAsia="SimSun"/>
                <w:sz w:val="20"/>
                <w:lang w:val="fr-FR" w:eastAsia="fr-FR"/>
              </w:rPr>
              <w:t>tert</w:t>
            </w:r>
            <w:proofErr w:type="spellEnd"/>
            <w:r w:rsidRPr="00AA40E6">
              <w:rPr>
                <w:rFonts w:eastAsia="SimSun"/>
                <w:sz w:val="20"/>
                <w:lang w:val="fr-FR" w:eastAsia="fr-FR"/>
              </w:rPr>
              <w:t>-butyle (à 60 %)</w:t>
            </w:r>
          </w:p>
        </w:tc>
        <w:tc>
          <w:tcPr>
            <w:tcW w:w="957" w:type="pct"/>
            <w:vAlign w:val="bottom"/>
            <w:hideMark/>
          </w:tcPr>
          <w:p w14:paraId="0CBBB60E"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7.2</w:t>
            </w:r>
          </w:p>
        </w:tc>
        <w:tc>
          <w:tcPr>
            <w:tcW w:w="882" w:type="pct"/>
            <w:hideMark/>
          </w:tcPr>
          <w:p w14:paraId="1843E552"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6HG2, 22.8 litres</w:t>
            </w:r>
          </w:p>
        </w:tc>
        <w:tc>
          <w:tcPr>
            <w:tcW w:w="955" w:type="pct"/>
            <w:vAlign w:val="bottom"/>
            <w:hideMark/>
          </w:tcPr>
          <w:p w14:paraId="7FC13109"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75</w:t>
            </w:r>
          </w:p>
        </w:tc>
      </w:tr>
      <w:tr w:rsidR="00941EF3" w14:paraId="253C69F9" w14:textId="77777777" w:rsidTr="00941EF3">
        <w:trPr>
          <w:cantSplit/>
        </w:trPr>
        <w:tc>
          <w:tcPr>
            <w:tcW w:w="2206" w:type="pct"/>
            <w:hideMark/>
          </w:tcPr>
          <w:p w14:paraId="0C93624C"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 xml:space="preserve">Peroxyde de </w:t>
            </w:r>
            <w:proofErr w:type="spellStart"/>
            <w:r w:rsidRPr="00AA40E6">
              <w:rPr>
                <w:rFonts w:eastAsia="SimSun"/>
                <w:sz w:val="20"/>
                <w:lang w:val="fr-FR" w:eastAsia="fr-FR"/>
              </w:rPr>
              <w:t>dibenzoyle</w:t>
            </w:r>
            <w:proofErr w:type="spellEnd"/>
          </w:p>
        </w:tc>
        <w:tc>
          <w:tcPr>
            <w:tcW w:w="957" w:type="pct"/>
            <w:vAlign w:val="bottom"/>
            <w:hideMark/>
          </w:tcPr>
          <w:p w14:paraId="0D2EBA4E"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0.45</w:t>
            </w:r>
          </w:p>
        </w:tc>
        <w:tc>
          <w:tcPr>
            <w:tcW w:w="882" w:type="pct"/>
            <w:hideMark/>
          </w:tcPr>
          <w:p w14:paraId="54ADFAC2"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1G</w:t>
            </w:r>
          </w:p>
        </w:tc>
        <w:tc>
          <w:tcPr>
            <w:tcW w:w="955" w:type="pct"/>
            <w:vAlign w:val="bottom"/>
            <w:hideMark/>
          </w:tcPr>
          <w:p w14:paraId="3179B5B3"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70</w:t>
            </w:r>
          </w:p>
        </w:tc>
      </w:tr>
      <w:tr w:rsidR="00941EF3" w14:paraId="0D1B1C66" w14:textId="77777777" w:rsidTr="00941EF3">
        <w:trPr>
          <w:cantSplit/>
        </w:trPr>
        <w:tc>
          <w:tcPr>
            <w:tcW w:w="2206" w:type="pct"/>
            <w:hideMark/>
          </w:tcPr>
          <w:p w14:paraId="19BA360C"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lang w:val="fr-FR" w:eastAsia="fr-FR"/>
              </w:rPr>
              <w:t>Peroxydicarbonate</w:t>
            </w:r>
            <w:proofErr w:type="spellEnd"/>
            <w:r w:rsidRPr="00AA40E6">
              <w:rPr>
                <w:rFonts w:eastAsia="SimSun"/>
                <w:sz w:val="20"/>
                <w:lang w:val="fr-FR" w:eastAsia="fr-FR"/>
              </w:rPr>
              <w:t xml:space="preserve"> de bis (tert-butyl-4 </w:t>
            </w:r>
            <w:proofErr w:type="spellStart"/>
            <w:r w:rsidRPr="00AA40E6">
              <w:rPr>
                <w:rFonts w:eastAsia="SimSun"/>
                <w:sz w:val="20"/>
                <w:lang w:val="fr-FR" w:eastAsia="fr-FR"/>
              </w:rPr>
              <w:t>cyclohexyle</w:t>
            </w:r>
            <w:proofErr w:type="spellEnd"/>
            <w:r w:rsidRPr="00AA40E6">
              <w:rPr>
                <w:rFonts w:eastAsia="SimSun"/>
                <w:sz w:val="20"/>
                <w:lang w:val="fr-FR" w:eastAsia="fr-FR"/>
              </w:rPr>
              <w:t>)</w:t>
            </w:r>
          </w:p>
        </w:tc>
        <w:tc>
          <w:tcPr>
            <w:tcW w:w="957" w:type="pct"/>
            <w:hideMark/>
          </w:tcPr>
          <w:p w14:paraId="17B833DE"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43</w:t>
            </w:r>
          </w:p>
        </w:tc>
        <w:tc>
          <w:tcPr>
            <w:tcW w:w="882" w:type="pct"/>
            <w:hideMark/>
          </w:tcPr>
          <w:p w14:paraId="10AA8665"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1G</w:t>
            </w:r>
          </w:p>
        </w:tc>
        <w:tc>
          <w:tcPr>
            <w:tcW w:w="955" w:type="pct"/>
            <w:vAlign w:val="bottom"/>
            <w:hideMark/>
          </w:tcPr>
          <w:p w14:paraId="78F293C0"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40</w:t>
            </w:r>
          </w:p>
        </w:tc>
      </w:tr>
      <w:tr w:rsidR="00941EF3" w14:paraId="0359AF50" w14:textId="77777777" w:rsidTr="00941EF3">
        <w:trPr>
          <w:cantSplit/>
        </w:trPr>
        <w:tc>
          <w:tcPr>
            <w:tcW w:w="2206" w:type="pct"/>
            <w:hideMark/>
          </w:tcPr>
          <w:p w14:paraId="641D1B0B"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 xml:space="preserve">Chlorure double de zinc et de diéthoxy-2,5 morpholino-4 </w:t>
            </w:r>
            <w:proofErr w:type="spellStart"/>
            <w:r w:rsidRPr="00AA40E6">
              <w:rPr>
                <w:rFonts w:eastAsia="SimSun"/>
                <w:sz w:val="20"/>
                <w:lang w:val="fr-FR" w:eastAsia="fr-FR"/>
              </w:rPr>
              <w:t>benzènediazonium</w:t>
            </w:r>
            <w:proofErr w:type="spellEnd"/>
            <w:r w:rsidRPr="00AA40E6">
              <w:rPr>
                <w:rFonts w:eastAsia="SimSun"/>
                <w:sz w:val="20"/>
                <w:lang w:val="fr-FR" w:eastAsia="fr-FR"/>
              </w:rPr>
              <w:t xml:space="preserve"> (à 66 %)</w:t>
            </w:r>
          </w:p>
        </w:tc>
        <w:tc>
          <w:tcPr>
            <w:tcW w:w="957" w:type="pct"/>
            <w:hideMark/>
          </w:tcPr>
          <w:p w14:paraId="4BA3525B"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30</w:t>
            </w:r>
          </w:p>
        </w:tc>
        <w:tc>
          <w:tcPr>
            <w:tcW w:w="882" w:type="pct"/>
            <w:hideMark/>
          </w:tcPr>
          <w:p w14:paraId="539B5356"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1G, 50 litres</w:t>
            </w:r>
          </w:p>
        </w:tc>
        <w:tc>
          <w:tcPr>
            <w:tcW w:w="955" w:type="pct"/>
            <w:hideMark/>
          </w:tcPr>
          <w:p w14:paraId="08D8E1C3"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50</w:t>
            </w:r>
          </w:p>
        </w:tc>
      </w:tr>
      <w:tr w:rsidR="00941EF3" w14:paraId="15B81983" w14:textId="77777777" w:rsidTr="00941EF3">
        <w:trPr>
          <w:cantSplit/>
        </w:trPr>
        <w:tc>
          <w:tcPr>
            <w:tcW w:w="2206" w:type="pct"/>
            <w:hideMark/>
          </w:tcPr>
          <w:p w14:paraId="22A74FC1"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Chlorure double de zinc et de (N-</w:t>
            </w:r>
            <w:proofErr w:type="spellStart"/>
            <w:r w:rsidRPr="00AA40E6">
              <w:rPr>
                <w:rFonts w:eastAsia="SimSun"/>
                <w:sz w:val="20"/>
                <w:lang w:val="fr-FR" w:eastAsia="fr-FR"/>
              </w:rPr>
              <w:t>éthoxycarbonyl</w:t>
            </w:r>
            <w:proofErr w:type="spellEnd"/>
            <w:r w:rsidRPr="00AA40E6">
              <w:rPr>
                <w:rFonts w:eastAsia="SimSun"/>
                <w:sz w:val="20"/>
                <w:lang w:val="fr-FR" w:eastAsia="fr-FR"/>
              </w:rPr>
              <w:t>-N-</w:t>
            </w:r>
            <w:proofErr w:type="spellStart"/>
            <w:r w:rsidRPr="00AA40E6">
              <w:rPr>
                <w:rFonts w:eastAsia="SimSun"/>
                <w:sz w:val="20"/>
                <w:lang w:val="fr-FR" w:eastAsia="fr-FR"/>
              </w:rPr>
              <w:t>phénylamino</w:t>
            </w:r>
            <w:proofErr w:type="spellEnd"/>
            <w:r w:rsidRPr="00AA40E6">
              <w:rPr>
                <w:rFonts w:eastAsia="SimSun"/>
                <w:sz w:val="20"/>
                <w:lang w:val="fr-FR" w:eastAsia="fr-FR"/>
              </w:rPr>
              <w:t>)-2 méthoxy-3 (N-méthyl-N-</w:t>
            </w:r>
            <w:proofErr w:type="spellStart"/>
            <w:r w:rsidRPr="00AA40E6">
              <w:rPr>
                <w:rFonts w:eastAsia="SimSun"/>
                <w:sz w:val="20"/>
                <w:lang w:val="fr-FR" w:eastAsia="fr-FR"/>
              </w:rPr>
              <w:t>cyclohexylamino</w:t>
            </w:r>
            <w:proofErr w:type="spellEnd"/>
            <w:r w:rsidRPr="00AA40E6">
              <w:rPr>
                <w:rFonts w:eastAsia="SimSun"/>
                <w:sz w:val="20"/>
                <w:lang w:val="fr-FR" w:eastAsia="fr-FR"/>
              </w:rPr>
              <w:t xml:space="preserve">)-4 </w:t>
            </w:r>
            <w:proofErr w:type="spellStart"/>
            <w:r w:rsidRPr="00AA40E6">
              <w:rPr>
                <w:rFonts w:eastAsia="SimSun"/>
                <w:sz w:val="20"/>
                <w:lang w:val="fr-FR" w:eastAsia="fr-FR"/>
              </w:rPr>
              <w:t>benzènediazonium</w:t>
            </w:r>
            <w:proofErr w:type="spellEnd"/>
            <w:r w:rsidRPr="00AA40E6">
              <w:rPr>
                <w:rFonts w:eastAsia="SimSun"/>
                <w:sz w:val="20"/>
                <w:lang w:val="fr-FR" w:eastAsia="fr-FR"/>
              </w:rPr>
              <w:t xml:space="preserve"> (à 62 %)</w:t>
            </w:r>
          </w:p>
        </w:tc>
        <w:tc>
          <w:tcPr>
            <w:tcW w:w="957" w:type="pct"/>
            <w:hideMark/>
          </w:tcPr>
          <w:p w14:paraId="07AB61BA"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10</w:t>
            </w:r>
          </w:p>
        </w:tc>
        <w:tc>
          <w:tcPr>
            <w:tcW w:w="882" w:type="pct"/>
            <w:hideMark/>
          </w:tcPr>
          <w:p w14:paraId="54D0E267"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6HG1, 25 litres</w:t>
            </w:r>
          </w:p>
        </w:tc>
        <w:tc>
          <w:tcPr>
            <w:tcW w:w="955" w:type="pct"/>
            <w:hideMark/>
          </w:tcPr>
          <w:p w14:paraId="6C8A6E58"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50</w:t>
            </w:r>
          </w:p>
        </w:tc>
      </w:tr>
      <w:tr w:rsidR="00941EF3" w14:paraId="14871F4B" w14:textId="77777777" w:rsidTr="00941EF3">
        <w:trPr>
          <w:cantSplit/>
        </w:trPr>
        <w:tc>
          <w:tcPr>
            <w:tcW w:w="2206" w:type="pct"/>
            <w:hideMark/>
          </w:tcPr>
          <w:p w14:paraId="52B76DA9" w14:textId="77777777" w:rsidR="00941EF3" w:rsidRPr="00AA40E6" w:rsidRDefault="00941EF3">
            <w:pPr>
              <w:numPr>
                <w:ilvl w:val="12"/>
                <w:numId w:val="0"/>
              </w:numPr>
              <w:spacing w:before="40" w:after="40"/>
              <w:rPr>
                <w:rFonts w:eastAsia="SimSun"/>
                <w:sz w:val="20"/>
                <w:szCs w:val="22"/>
                <w:lang w:val="fr-FR" w:eastAsia="fr-FR"/>
              </w:rPr>
            </w:pPr>
            <w:r w:rsidRPr="00AA40E6">
              <w:rPr>
                <w:rFonts w:eastAsia="SimSun"/>
                <w:sz w:val="20"/>
                <w:lang w:val="fr-FR" w:eastAsia="fr-FR"/>
              </w:rPr>
              <w:t xml:space="preserve">Peroxyde de </w:t>
            </w:r>
            <w:proofErr w:type="spellStart"/>
            <w:r w:rsidRPr="00AA40E6">
              <w:rPr>
                <w:rFonts w:eastAsia="SimSun"/>
                <w:sz w:val="20"/>
                <w:lang w:val="fr-FR" w:eastAsia="fr-FR"/>
              </w:rPr>
              <w:t>didecanoyle</w:t>
            </w:r>
            <w:proofErr w:type="spellEnd"/>
            <w:r w:rsidRPr="00AA40E6">
              <w:rPr>
                <w:rFonts w:eastAsia="SimSun"/>
                <w:sz w:val="20"/>
                <w:lang w:val="fr-FR" w:eastAsia="fr-FR"/>
              </w:rPr>
              <w:t>, techniquement pur</w:t>
            </w:r>
          </w:p>
        </w:tc>
        <w:tc>
          <w:tcPr>
            <w:tcW w:w="957" w:type="pct"/>
            <w:hideMark/>
          </w:tcPr>
          <w:p w14:paraId="61F6D9A3"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20</w:t>
            </w:r>
          </w:p>
        </w:tc>
        <w:tc>
          <w:tcPr>
            <w:tcW w:w="882" w:type="pct"/>
            <w:hideMark/>
          </w:tcPr>
          <w:p w14:paraId="56083BF9"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1G</w:t>
            </w:r>
          </w:p>
        </w:tc>
        <w:tc>
          <w:tcPr>
            <w:tcW w:w="955" w:type="pct"/>
            <w:hideMark/>
          </w:tcPr>
          <w:p w14:paraId="14F19FAB"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40</w:t>
            </w:r>
          </w:p>
        </w:tc>
      </w:tr>
      <w:tr w:rsidR="00941EF3" w14:paraId="1658994D" w14:textId="77777777" w:rsidTr="00941EF3">
        <w:trPr>
          <w:cantSplit/>
        </w:trPr>
        <w:tc>
          <w:tcPr>
            <w:tcW w:w="2206" w:type="pct"/>
            <w:tcBorders>
              <w:top w:val="nil"/>
              <w:left w:val="nil"/>
              <w:bottom w:val="single" w:sz="8" w:space="0" w:color="auto"/>
              <w:right w:val="nil"/>
            </w:tcBorders>
            <w:hideMark/>
          </w:tcPr>
          <w:p w14:paraId="1EC82E41" w14:textId="77777777" w:rsidR="00941EF3" w:rsidRPr="00AA40E6" w:rsidRDefault="00941EF3">
            <w:pPr>
              <w:numPr>
                <w:ilvl w:val="12"/>
                <w:numId w:val="0"/>
              </w:numPr>
              <w:spacing w:before="40" w:after="40"/>
              <w:rPr>
                <w:rFonts w:eastAsia="SimSun"/>
                <w:sz w:val="20"/>
                <w:szCs w:val="22"/>
                <w:lang w:val="fr-FR" w:eastAsia="fr-FR"/>
              </w:rPr>
            </w:pPr>
            <w:r w:rsidRPr="00AA40E6">
              <w:rPr>
                <w:rFonts w:eastAsia="SimSun"/>
                <w:sz w:val="20"/>
                <w:lang w:val="fr-FR" w:eastAsia="fr-FR"/>
              </w:rPr>
              <w:t>Azo-2,2’ bis (</w:t>
            </w:r>
            <w:proofErr w:type="spellStart"/>
            <w:r w:rsidRPr="00AA40E6">
              <w:rPr>
                <w:rFonts w:eastAsia="SimSun"/>
                <w:sz w:val="20"/>
                <w:lang w:val="fr-FR" w:eastAsia="fr-FR"/>
              </w:rPr>
              <w:t>isobutyronitrile</w:t>
            </w:r>
            <w:proofErr w:type="spellEnd"/>
            <w:r w:rsidRPr="00AA40E6">
              <w:rPr>
                <w:rFonts w:eastAsia="SimSun"/>
                <w:sz w:val="20"/>
                <w:lang w:val="fr-FR" w:eastAsia="fr-FR"/>
              </w:rPr>
              <w:t>)</w:t>
            </w:r>
          </w:p>
        </w:tc>
        <w:tc>
          <w:tcPr>
            <w:tcW w:w="957" w:type="pct"/>
            <w:tcBorders>
              <w:top w:val="nil"/>
              <w:left w:val="nil"/>
              <w:bottom w:val="single" w:sz="8" w:space="0" w:color="auto"/>
              <w:right w:val="nil"/>
            </w:tcBorders>
            <w:hideMark/>
          </w:tcPr>
          <w:p w14:paraId="00A33B53"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50</w:t>
            </w:r>
          </w:p>
        </w:tc>
        <w:tc>
          <w:tcPr>
            <w:tcW w:w="882" w:type="pct"/>
            <w:tcBorders>
              <w:top w:val="nil"/>
              <w:left w:val="nil"/>
              <w:bottom w:val="single" w:sz="8" w:space="0" w:color="auto"/>
              <w:right w:val="nil"/>
            </w:tcBorders>
            <w:hideMark/>
          </w:tcPr>
          <w:p w14:paraId="11278C1D"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1G</w:t>
            </w:r>
          </w:p>
        </w:tc>
        <w:tc>
          <w:tcPr>
            <w:tcW w:w="955" w:type="pct"/>
            <w:tcBorders>
              <w:top w:val="nil"/>
              <w:left w:val="nil"/>
              <w:bottom w:val="single" w:sz="8" w:space="0" w:color="auto"/>
              <w:right w:val="nil"/>
            </w:tcBorders>
            <w:hideMark/>
          </w:tcPr>
          <w:p w14:paraId="3536E76A"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50</w:t>
            </w:r>
          </w:p>
        </w:tc>
      </w:tr>
    </w:tbl>
    <w:p w14:paraId="5FFDDB40" w14:textId="77777777" w:rsidR="00941EF3" w:rsidRDefault="00941EF3" w:rsidP="00941EF3">
      <w:pPr>
        <w:rPr>
          <w:lang w:val="fr-FR"/>
        </w:rPr>
      </w:pPr>
    </w:p>
    <w:p w14:paraId="28D11841" w14:textId="77777777" w:rsidR="00941EF3" w:rsidRPr="00AA40E6" w:rsidRDefault="00941EF3" w:rsidP="00941EF3">
      <w:pPr>
        <w:keepNext/>
        <w:spacing w:after="200"/>
        <w:jc w:val="center"/>
        <w:rPr>
          <w:rFonts w:ascii="Times New Roman Bold" w:hAnsi="Times New Roman Bold"/>
          <w:b/>
          <w:bCs/>
          <w:szCs w:val="20"/>
          <w:lang w:val="fr-FR" w:eastAsia="fr-FR"/>
        </w:rPr>
      </w:pPr>
      <w:r w:rsidRPr="00AA40E6">
        <w:rPr>
          <w:rFonts w:ascii="Times New Roman Bold" w:hAnsi="Times New Roman Bold"/>
          <w:b/>
          <w:bCs/>
          <w:szCs w:val="20"/>
          <w:lang w:val="fr-FR" w:eastAsia="fr-FR"/>
        </w:rPr>
        <w:lastRenderedPageBreak/>
        <w:t>Figure 28.4.1.1 : Étuve pour petit colis (Exemple 1)</w:t>
      </w:r>
    </w:p>
    <w:p w14:paraId="789C4A47" w14:textId="7EC0065B" w:rsidR="00941EF3" w:rsidRPr="00AA40E6" w:rsidRDefault="00941EF3" w:rsidP="00941EF3">
      <w:pPr>
        <w:numPr>
          <w:ilvl w:val="12"/>
          <w:numId w:val="0"/>
        </w:numPr>
        <w:tabs>
          <w:tab w:val="left" w:pos="1418"/>
        </w:tabs>
        <w:spacing w:after="240"/>
        <w:jc w:val="center"/>
        <w:rPr>
          <w:szCs w:val="22"/>
          <w:lang w:val="fr-FR" w:eastAsia="fr-FR"/>
        </w:rPr>
      </w:pPr>
      <w:r w:rsidRPr="00AA40E6">
        <w:rPr>
          <w:noProof/>
          <w:lang w:val="fr-FR" w:eastAsia="fr-FR"/>
        </w:rPr>
        <w:drawing>
          <wp:inline distT="0" distB="0" distL="0" distR="0" wp14:anchorId="1A38F8CA" wp14:editId="62EB7A4F">
            <wp:extent cx="4610100" cy="7213600"/>
            <wp:effectExtent l="0" t="0" r="0" b="0"/>
            <wp:docPr id="25" name="Graphic 25"/>
            <wp:cNvGraphicFramePr/>
            <a:graphic xmlns:a="http://schemas.openxmlformats.org/drawingml/2006/main">
              <a:graphicData uri="http://schemas.openxmlformats.org/drawingml/2006/picture">
                <pic:pic xmlns:pic="http://schemas.openxmlformats.org/drawingml/2006/picture">
                  <pic:nvPicPr>
                    <pic:cNvPr id="60" name="Graphic 60"/>
                    <pic:cNvPicPr/>
                  </pic:nvPicPr>
                  <pic:blipFill rotWithShape="1">
                    <a:blip r:embed="rId27">
                      <a:extLst>
                        <a:ext uri="{96DAC541-7B7A-43D3-8B79-37D633B846F1}">
                          <asvg:svgBlip xmlns:asvg="http://schemas.microsoft.com/office/drawing/2016/SVG/main" r:embed="rId28"/>
                        </a:ext>
                      </a:extLst>
                    </a:blip>
                    <a:srcRect t="-26778" b="-26778"/>
                    <a:stretch/>
                  </pic:blipFill>
                  <pic:spPr bwMode="auto">
                    <a:xfrm>
                      <a:off x="0" y="0"/>
                      <a:ext cx="4609465" cy="721042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Ind w:w="120" w:type="dxa"/>
        <w:tblLayout w:type="fixed"/>
        <w:tblCellMar>
          <w:left w:w="120" w:type="dxa"/>
          <w:right w:w="120" w:type="dxa"/>
        </w:tblCellMar>
        <w:tblLook w:val="04A0" w:firstRow="1" w:lastRow="0" w:firstColumn="1" w:lastColumn="0" w:noHBand="0" w:noVBand="1"/>
      </w:tblPr>
      <w:tblGrid>
        <w:gridCol w:w="4819"/>
        <w:gridCol w:w="4819"/>
      </w:tblGrid>
      <w:tr w:rsidR="00941EF3" w14:paraId="19A75276" w14:textId="77777777" w:rsidTr="00941EF3">
        <w:trPr>
          <w:cantSplit/>
        </w:trPr>
        <w:tc>
          <w:tcPr>
            <w:tcW w:w="4819" w:type="dxa"/>
            <w:tcBorders>
              <w:top w:val="single" w:sz="8" w:space="0" w:color="auto"/>
              <w:left w:val="nil"/>
              <w:bottom w:val="single" w:sz="8" w:space="0" w:color="auto"/>
              <w:right w:val="nil"/>
            </w:tcBorders>
            <w:hideMark/>
          </w:tcPr>
          <w:p w14:paraId="1EDA8FBD" w14:textId="77777777" w:rsidR="00941EF3" w:rsidRPr="00AA40E6" w:rsidRDefault="00941EF3">
            <w:pPr>
              <w:tabs>
                <w:tab w:val="left" w:pos="720"/>
              </w:tabs>
              <w:spacing w:before="144"/>
              <w:ind w:left="720" w:hanging="720"/>
              <w:rPr>
                <w:lang w:val="fr-FR" w:eastAsia="fr-FR"/>
              </w:rPr>
            </w:pPr>
            <w:r w:rsidRPr="00AA40E6">
              <w:rPr>
                <w:lang w:val="fr-FR" w:eastAsia="fr-FR"/>
              </w:rPr>
              <w:t>(A)</w:t>
            </w:r>
            <w:r w:rsidRPr="00AA40E6">
              <w:rPr>
                <w:lang w:val="fr-FR" w:eastAsia="fr-FR"/>
              </w:rPr>
              <w:tab/>
              <w:t>Isolation de 25 mm</w:t>
            </w:r>
          </w:p>
          <w:p w14:paraId="41C90892" w14:textId="77777777" w:rsidR="00941EF3" w:rsidRPr="00AA40E6" w:rsidRDefault="00941EF3">
            <w:pPr>
              <w:tabs>
                <w:tab w:val="left" w:pos="720"/>
              </w:tabs>
              <w:ind w:left="720" w:hanging="720"/>
              <w:rPr>
                <w:lang w:val="fr-FR" w:eastAsia="fr-FR"/>
              </w:rPr>
            </w:pPr>
            <w:r w:rsidRPr="00AA40E6">
              <w:rPr>
                <w:lang w:val="fr-FR" w:eastAsia="fr-FR"/>
              </w:rPr>
              <w:t>(C)</w:t>
            </w:r>
            <w:r w:rsidRPr="00AA40E6">
              <w:rPr>
                <w:lang w:val="fr-FR" w:eastAsia="fr-FR"/>
              </w:rPr>
              <w:tab/>
              <w:t>Tuyau de 19 mm</w:t>
            </w:r>
          </w:p>
          <w:p w14:paraId="585AAABF" w14:textId="77777777" w:rsidR="00941EF3" w:rsidRPr="00AA40E6" w:rsidRDefault="00941EF3">
            <w:pPr>
              <w:tabs>
                <w:tab w:val="left" w:pos="720"/>
              </w:tabs>
              <w:ind w:left="720" w:hanging="720"/>
              <w:rPr>
                <w:lang w:val="fr-FR" w:eastAsia="fr-FR"/>
              </w:rPr>
            </w:pPr>
            <w:r w:rsidRPr="00AA40E6">
              <w:rPr>
                <w:lang w:val="fr-FR" w:eastAsia="fr-FR"/>
              </w:rPr>
              <w:t>(E)</w:t>
            </w:r>
            <w:r w:rsidRPr="00AA40E6">
              <w:rPr>
                <w:lang w:val="fr-FR" w:eastAsia="fr-FR"/>
              </w:rPr>
              <w:tab/>
              <w:t>Isolation du couvercle en acier</w:t>
            </w:r>
          </w:p>
          <w:p w14:paraId="295535D5" w14:textId="77777777" w:rsidR="00941EF3" w:rsidRPr="00AA40E6" w:rsidRDefault="00941EF3">
            <w:pPr>
              <w:tabs>
                <w:tab w:val="left" w:pos="720"/>
              </w:tabs>
              <w:ind w:left="720" w:hanging="720"/>
              <w:rPr>
                <w:lang w:val="fr-FR" w:eastAsia="fr-FR"/>
              </w:rPr>
            </w:pPr>
            <w:r w:rsidRPr="00AA40E6">
              <w:rPr>
                <w:lang w:val="fr-FR" w:eastAsia="fr-FR"/>
              </w:rPr>
              <w:t>(G)</w:t>
            </w:r>
            <w:r w:rsidRPr="00AA40E6">
              <w:rPr>
                <w:lang w:val="fr-FR" w:eastAsia="fr-FR"/>
              </w:rPr>
              <w:tab/>
              <w:t xml:space="preserve">Ventilateur </w:t>
            </w:r>
          </w:p>
          <w:p w14:paraId="44FEFB0E" w14:textId="77777777" w:rsidR="00941EF3" w:rsidRPr="00AA40E6" w:rsidRDefault="00941EF3">
            <w:pPr>
              <w:tabs>
                <w:tab w:val="left" w:pos="720"/>
              </w:tabs>
              <w:ind w:left="720" w:hanging="720"/>
              <w:rPr>
                <w:lang w:val="fr-FR" w:eastAsia="fr-FR"/>
              </w:rPr>
            </w:pPr>
            <w:r w:rsidRPr="00AA40E6">
              <w:rPr>
                <w:lang w:val="fr-FR" w:eastAsia="fr-FR"/>
              </w:rPr>
              <w:t>(J)</w:t>
            </w:r>
            <w:r w:rsidRPr="00AA40E6">
              <w:rPr>
                <w:lang w:val="fr-FR" w:eastAsia="fr-FR"/>
              </w:rPr>
              <w:tab/>
              <w:t>Orifice d'écoulement</w:t>
            </w:r>
          </w:p>
          <w:p w14:paraId="04F2174A" w14:textId="77777777" w:rsidR="00941EF3" w:rsidRPr="00AA40E6" w:rsidRDefault="00941EF3">
            <w:pPr>
              <w:tabs>
                <w:tab w:val="left" w:pos="720"/>
              </w:tabs>
              <w:spacing w:after="120"/>
              <w:ind w:left="720" w:hanging="720"/>
              <w:rPr>
                <w:lang w:val="fr-FR" w:eastAsia="fr-FR"/>
              </w:rPr>
            </w:pPr>
            <w:r w:rsidRPr="00AA40E6">
              <w:rPr>
                <w:lang w:val="fr-FR" w:eastAsia="fr-FR"/>
              </w:rPr>
              <w:t>(L)</w:t>
            </w:r>
            <w:r w:rsidRPr="00AA40E6">
              <w:rPr>
                <w:lang w:val="fr-FR" w:eastAsia="fr-FR"/>
              </w:rPr>
              <w:tab/>
              <w:t>Chauffage du fût, 2 kW</w:t>
            </w:r>
          </w:p>
        </w:tc>
        <w:tc>
          <w:tcPr>
            <w:tcW w:w="4819" w:type="dxa"/>
            <w:tcBorders>
              <w:top w:val="single" w:sz="8" w:space="0" w:color="auto"/>
              <w:left w:val="nil"/>
              <w:bottom w:val="single" w:sz="8" w:space="0" w:color="auto"/>
              <w:right w:val="nil"/>
            </w:tcBorders>
            <w:hideMark/>
          </w:tcPr>
          <w:p w14:paraId="56742522" w14:textId="77777777" w:rsidR="00941EF3" w:rsidRPr="00AA40E6" w:rsidRDefault="00941EF3">
            <w:pPr>
              <w:tabs>
                <w:tab w:val="left" w:pos="720"/>
              </w:tabs>
              <w:spacing w:before="144"/>
              <w:ind w:left="720" w:hanging="720"/>
              <w:rPr>
                <w:lang w:val="fr-FR" w:eastAsia="fr-FR"/>
              </w:rPr>
            </w:pPr>
            <w:r w:rsidRPr="00AA40E6">
              <w:rPr>
                <w:lang w:val="fr-FR" w:eastAsia="fr-FR"/>
              </w:rPr>
              <w:t>(B)</w:t>
            </w:r>
            <w:r w:rsidRPr="00AA40E6">
              <w:rPr>
                <w:lang w:val="fr-FR" w:eastAsia="fr-FR"/>
              </w:rPr>
              <w:tab/>
              <w:t>Fût de 220 litres à ouverture totale</w:t>
            </w:r>
          </w:p>
          <w:p w14:paraId="40C16C7B" w14:textId="77777777" w:rsidR="00941EF3" w:rsidRPr="00AA40E6" w:rsidRDefault="00941EF3">
            <w:pPr>
              <w:tabs>
                <w:tab w:val="left" w:pos="720"/>
              </w:tabs>
              <w:ind w:left="720" w:hanging="720"/>
              <w:rPr>
                <w:lang w:val="fr-FR" w:eastAsia="fr-FR"/>
              </w:rPr>
            </w:pPr>
            <w:r w:rsidRPr="00AA40E6">
              <w:rPr>
                <w:lang w:val="fr-FR" w:eastAsia="fr-FR"/>
              </w:rPr>
              <w:t>(D)</w:t>
            </w:r>
            <w:r w:rsidRPr="00AA40E6">
              <w:rPr>
                <w:lang w:val="fr-FR" w:eastAsia="fr-FR"/>
              </w:rPr>
              <w:tab/>
              <w:t>Boulon de 9,6 mm à clavette, sur le couvercle en acier</w:t>
            </w:r>
          </w:p>
          <w:p w14:paraId="576B906F" w14:textId="77777777" w:rsidR="00941EF3" w:rsidRPr="00AA40E6" w:rsidRDefault="00941EF3">
            <w:pPr>
              <w:tabs>
                <w:tab w:val="left" w:pos="720"/>
              </w:tabs>
              <w:ind w:left="720" w:hanging="720"/>
              <w:rPr>
                <w:lang w:val="fr-FR" w:eastAsia="fr-FR"/>
              </w:rPr>
            </w:pPr>
            <w:r w:rsidRPr="00AA40E6">
              <w:rPr>
                <w:lang w:val="fr-FR" w:eastAsia="fr-FR"/>
              </w:rPr>
              <w:t>(F)</w:t>
            </w:r>
            <w:r w:rsidRPr="00AA40E6">
              <w:rPr>
                <w:lang w:val="fr-FR" w:eastAsia="fr-FR"/>
              </w:rPr>
              <w:tab/>
              <w:t>Câble de 3 mm</w:t>
            </w:r>
          </w:p>
          <w:p w14:paraId="5490E5CA" w14:textId="77777777" w:rsidR="00941EF3" w:rsidRPr="00AA40E6" w:rsidRDefault="00941EF3">
            <w:pPr>
              <w:tabs>
                <w:tab w:val="left" w:pos="720"/>
              </w:tabs>
              <w:ind w:left="720" w:hanging="720"/>
              <w:rPr>
                <w:lang w:val="fr-FR" w:eastAsia="fr-FR"/>
              </w:rPr>
            </w:pPr>
            <w:r w:rsidRPr="00AA40E6">
              <w:rPr>
                <w:lang w:val="fr-FR" w:eastAsia="fr-FR"/>
              </w:rPr>
              <w:t>(H)</w:t>
            </w:r>
            <w:r w:rsidRPr="00AA40E6">
              <w:rPr>
                <w:lang w:val="fr-FR" w:eastAsia="fr-FR"/>
              </w:rPr>
              <w:tab/>
              <w:t>Thermocouples et câbles de commande</w:t>
            </w:r>
          </w:p>
          <w:p w14:paraId="55CC4CB3" w14:textId="77777777" w:rsidR="00941EF3" w:rsidRPr="00AA40E6" w:rsidRDefault="00941EF3">
            <w:pPr>
              <w:tabs>
                <w:tab w:val="left" w:pos="720"/>
              </w:tabs>
              <w:ind w:left="720" w:hanging="720"/>
              <w:rPr>
                <w:lang w:val="fr-FR" w:eastAsia="fr-FR"/>
              </w:rPr>
            </w:pPr>
            <w:r w:rsidRPr="00AA40E6">
              <w:rPr>
                <w:lang w:val="fr-FR" w:eastAsia="fr-FR"/>
              </w:rPr>
              <w:t>(K)</w:t>
            </w:r>
            <w:r w:rsidRPr="00AA40E6">
              <w:rPr>
                <w:lang w:val="fr-FR" w:eastAsia="fr-FR"/>
              </w:rPr>
              <w:tab/>
              <w:t>Embase de 25 mm</w:t>
            </w:r>
          </w:p>
        </w:tc>
      </w:tr>
    </w:tbl>
    <w:p w14:paraId="43132DC4" w14:textId="77777777" w:rsidR="00941EF3" w:rsidRDefault="00941EF3" w:rsidP="00941EF3">
      <w:pPr>
        <w:tabs>
          <w:tab w:val="left" w:pos="-720"/>
          <w:tab w:val="left" w:pos="0"/>
          <w:tab w:val="left" w:pos="1122"/>
          <w:tab w:val="left" w:pos="1440"/>
          <w:tab w:val="left" w:pos="2160"/>
          <w:tab w:val="left" w:pos="2853"/>
          <w:tab w:val="right" w:leader="dot" w:pos="8978"/>
          <w:tab w:val="center"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0"/>
          <w:lang w:val="fr-FR" w:eastAsia="fr-FR"/>
        </w:rPr>
      </w:pPr>
    </w:p>
    <w:p w14:paraId="248131E4" w14:textId="77777777" w:rsidR="00941EF3" w:rsidRPr="00AA40E6" w:rsidRDefault="00941EF3" w:rsidP="00941EF3">
      <w:pPr>
        <w:keepNext/>
        <w:spacing w:after="200"/>
        <w:jc w:val="center"/>
        <w:rPr>
          <w:rFonts w:ascii="Times New Roman Bold" w:hAnsi="Times New Roman Bold"/>
          <w:b/>
          <w:bCs/>
          <w:szCs w:val="20"/>
          <w:lang w:val="fr-FR" w:eastAsia="fr-FR"/>
        </w:rPr>
      </w:pPr>
      <w:r w:rsidRPr="00AA40E6">
        <w:rPr>
          <w:rFonts w:ascii="Times New Roman Bold" w:hAnsi="Times New Roman Bold"/>
          <w:b/>
          <w:bCs/>
          <w:szCs w:val="20"/>
          <w:lang w:val="fr-FR" w:eastAsia="fr-FR"/>
        </w:rPr>
        <w:lastRenderedPageBreak/>
        <w:t>Figure 28.4.1.2 : Étuve pour grand colis (vue en plan et en élévation) (Exemple 2)</w:t>
      </w:r>
    </w:p>
    <w:p w14:paraId="0B63CD2D" w14:textId="39073C49" w:rsidR="00941EF3" w:rsidRPr="00AA40E6" w:rsidRDefault="00941EF3" w:rsidP="00941EF3">
      <w:pPr>
        <w:numPr>
          <w:ilvl w:val="12"/>
          <w:numId w:val="0"/>
        </w:numPr>
        <w:tabs>
          <w:tab w:val="left" w:pos="1418"/>
        </w:tabs>
        <w:spacing w:after="240"/>
        <w:jc w:val="center"/>
        <w:rPr>
          <w:szCs w:val="22"/>
          <w:lang w:val="fr-FR" w:eastAsia="fr-FR"/>
        </w:rPr>
      </w:pPr>
      <w:r w:rsidRPr="00AA40E6">
        <w:rPr>
          <w:noProof/>
          <w:lang w:val="fr-FR" w:eastAsia="fr-FR"/>
        </w:rPr>
        <w:drawing>
          <wp:inline distT="0" distB="0" distL="0" distR="0" wp14:anchorId="16AD1834" wp14:editId="35131B33">
            <wp:extent cx="4610100" cy="7454900"/>
            <wp:effectExtent l="0" t="0" r="0" b="0"/>
            <wp:docPr id="24" name="Graphic 24"/>
            <wp:cNvGraphicFramePr/>
            <a:graphic xmlns:a="http://schemas.openxmlformats.org/drawingml/2006/main">
              <a:graphicData uri="http://schemas.openxmlformats.org/drawingml/2006/picture">
                <pic:pic xmlns:pic="http://schemas.openxmlformats.org/drawingml/2006/picture">
                  <pic:nvPicPr>
                    <pic:cNvPr id="61" name="Graphic 61"/>
                    <pic:cNvPicPr/>
                  </pic:nvPicPr>
                  <pic:blipFill rotWithShape="1">
                    <a:blip r:embed="rId29">
                      <a:extLst>
                        <a:ext uri="{96DAC541-7B7A-43D3-8B79-37D633B846F1}">
                          <asvg:svgBlip xmlns:asvg="http://schemas.microsoft.com/office/drawing/2016/SVG/main" r:embed="rId30"/>
                        </a:ext>
                      </a:extLst>
                    </a:blip>
                    <a:srcRect t="-25808" b="-25808"/>
                    <a:stretch/>
                  </pic:blipFill>
                  <pic:spPr bwMode="auto">
                    <a:xfrm>
                      <a:off x="0" y="0"/>
                      <a:ext cx="4609465" cy="74504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Ind w:w="120" w:type="dxa"/>
        <w:tblLayout w:type="fixed"/>
        <w:tblCellMar>
          <w:left w:w="120" w:type="dxa"/>
          <w:right w:w="120" w:type="dxa"/>
        </w:tblCellMar>
        <w:tblLook w:val="04A0" w:firstRow="1" w:lastRow="0" w:firstColumn="1" w:lastColumn="0" w:noHBand="0" w:noVBand="1"/>
      </w:tblPr>
      <w:tblGrid>
        <w:gridCol w:w="4819"/>
        <w:gridCol w:w="4819"/>
      </w:tblGrid>
      <w:tr w:rsidR="00941EF3" w14:paraId="706E50A5" w14:textId="77777777" w:rsidTr="00941EF3">
        <w:trPr>
          <w:cantSplit/>
        </w:trPr>
        <w:tc>
          <w:tcPr>
            <w:tcW w:w="4819" w:type="dxa"/>
            <w:tcBorders>
              <w:top w:val="single" w:sz="8" w:space="0" w:color="auto"/>
              <w:left w:val="nil"/>
              <w:bottom w:val="single" w:sz="8" w:space="0" w:color="auto"/>
              <w:right w:val="nil"/>
            </w:tcBorders>
            <w:hideMark/>
          </w:tcPr>
          <w:p w14:paraId="0EC2E68E" w14:textId="77777777" w:rsidR="00941EF3" w:rsidRPr="00AA40E6" w:rsidRDefault="00941EF3">
            <w:pPr>
              <w:tabs>
                <w:tab w:val="left" w:pos="825"/>
              </w:tabs>
              <w:spacing w:before="144"/>
              <w:ind w:left="780" w:hanging="780"/>
              <w:rPr>
                <w:lang w:val="fr-FR" w:eastAsia="fr-FR"/>
              </w:rPr>
            </w:pPr>
            <w:r w:rsidRPr="00AA40E6">
              <w:rPr>
                <w:lang w:val="fr-FR" w:eastAsia="fr-FR"/>
              </w:rPr>
              <w:t>(A)</w:t>
            </w:r>
            <w:r w:rsidRPr="00AA40E6">
              <w:rPr>
                <w:lang w:val="fr-FR" w:eastAsia="fr-FR"/>
              </w:rPr>
              <w:tab/>
              <w:t>Ventilateur</w:t>
            </w:r>
          </w:p>
          <w:p w14:paraId="661399B2" w14:textId="77777777" w:rsidR="00941EF3" w:rsidRPr="00AA40E6" w:rsidRDefault="00941EF3">
            <w:pPr>
              <w:tabs>
                <w:tab w:val="left" w:pos="825"/>
              </w:tabs>
              <w:ind w:left="780" w:hanging="780"/>
              <w:rPr>
                <w:lang w:val="fr-FR" w:eastAsia="fr-FR"/>
              </w:rPr>
            </w:pPr>
            <w:r w:rsidRPr="00AA40E6">
              <w:rPr>
                <w:lang w:val="fr-FR" w:eastAsia="fr-FR"/>
              </w:rPr>
              <w:t>(C)</w:t>
            </w:r>
            <w:r w:rsidRPr="00AA40E6">
              <w:rPr>
                <w:lang w:val="fr-FR" w:eastAsia="fr-FR"/>
              </w:rPr>
              <w:tab/>
              <w:t>Isolation</w:t>
            </w:r>
          </w:p>
          <w:p w14:paraId="18FC1FC7" w14:textId="77777777" w:rsidR="00941EF3" w:rsidRPr="00AA40E6" w:rsidRDefault="00941EF3">
            <w:pPr>
              <w:tabs>
                <w:tab w:val="left" w:pos="825"/>
              </w:tabs>
              <w:ind w:left="780" w:hanging="780"/>
              <w:rPr>
                <w:lang w:val="fr-FR" w:eastAsia="fr-FR"/>
              </w:rPr>
            </w:pPr>
            <w:r w:rsidRPr="00AA40E6">
              <w:rPr>
                <w:lang w:val="fr-FR" w:eastAsia="fr-FR"/>
              </w:rPr>
              <w:t>(E)</w:t>
            </w:r>
            <w:r w:rsidRPr="00AA40E6">
              <w:rPr>
                <w:lang w:val="fr-FR" w:eastAsia="fr-FR"/>
              </w:rPr>
              <w:tab/>
              <w:t>Fût</w:t>
            </w:r>
          </w:p>
          <w:p w14:paraId="1B5BCE2B" w14:textId="77777777" w:rsidR="00941EF3" w:rsidRPr="00AA40E6" w:rsidRDefault="00941EF3">
            <w:pPr>
              <w:tabs>
                <w:tab w:val="left" w:pos="825"/>
              </w:tabs>
              <w:ind w:left="780" w:hanging="780"/>
              <w:rPr>
                <w:lang w:val="fr-FR" w:eastAsia="fr-FR"/>
              </w:rPr>
            </w:pPr>
            <w:r w:rsidRPr="00AA40E6">
              <w:rPr>
                <w:lang w:val="fr-FR" w:eastAsia="fr-FR"/>
              </w:rPr>
              <w:t>(G)</w:t>
            </w:r>
            <w:r w:rsidRPr="00AA40E6">
              <w:rPr>
                <w:lang w:val="fr-FR" w:eastAsia="fr-FR"/>
              </w:rPr>
              <w:tab/>
              <w:t>Fût (mesurant par exemple</w:t>
            </w:r>
          </w:p>
          <w:p w14:paraId="2C00F5EE" w14:textId="77777777" w:rsidR="00941EF3" w:rsidRPr="00AA40E6" w:rsidRDefault="00941EF3">
            <w:pPr>
              <w:tabs>
                <w:tab w:val="left" w:pos="825"/>
              </w:tabs>
              <w:spacing w:after="120"/>
              <w:ind w:left="782" w:hanging="782"/>
              <w:rPr>
                <w:lang w:val="fr-FR" w:eastAsia="fr-FR"/>
              </w:rPr>
            </w:pPr>
            <w:r w:rsidRPr="00AA40E6">
              <w:rPr>
                <w:lang w:val="fr-FR" w:eastAsia="fr-FR"/>
              </w:rPr>
              <w:tab/>
              <w:t>0,58 m × 0,89 m)</w:t>
            </w:r>
          </w:p>
        </w:tc>
        <w:tc>
          <w:tcPr>
            <w:tcW w:w="4819" w:type="dxa"/>
            <w:tcBorders>
              <w:top w:val="single" w:sz="8" w:space="0" w:color="auto"/>
              <w:left w:val="nil"/>
              <w:bottom w:val="single" w:sz="8" w:space="0" w:color="auto"/>
              <w:right w:val="nil"/>
            </w:tcBorders>
            <w:hideMark/>
          </w:tcPr>
          <w:p w14:paraId="3BE768AE" w14:textId="77777777" w:rsidR="00941EF3" w:rsidRPr="00AA40E6" w:rsidRDefault="00941EF3">
            <w:pPr>
              <w:tabs>
                <w:tab w:val="left" w:pos="825"/>
              </w:tabs>
              <w:spacing w:before="144"/>
              <w:rPr>
                <w:lang w:val="fr-FR" w:eastAsia="fr-FR"/>
              </w:rPr>
            </w:pPr>
            <w:r w:rsidRPr="00AA40E6">
              <w:rPr>
                <w:lang w:val="fr-FR" w:eastAsia="fr-FR"/>
              </w:rPr>
              <w:t>(B)</w:t>
            </w:r>
            <w:r w:rsidRPr="00AA40E6">
              <w:rPr>
                <w:lang w:val="fr-FR" w:eastAsia="fr-FR"/>
              </w:rPr>
              <w:tab/>
              <w:t>Charnières (2)</w:t>
            </w:r>
            <w:r w:rsidRPr="00AA40E6">
              <w:rPr>
                <w:lang w:val="fr-FR" w:eastAsia="fr-FR"/>
              </w:rPr>
              <w:tab/>
            </w:r>
          </w:p>
          <w:p w14:paraId="37A79E0C" w14:textId="77777777" w:rsidR="00941EF3" w:rsidRPr="00AA40E6" w:rsidRDefault="00941EF3">
            <w:pPr>
              <w:tabs>
                <w:tab w:val="left" w:pos="825"/>
              </w:tabs>
              <w:rPr>
                <w:lang w:val="fr-FR" w:eastAsia="fr-FR"/>
              </w:rPr>
            </w:pPr>
            <w:r w:rsidRPr="00AA40E6">
              <w:rPr>
                <w:lang w:val="fr-FR" w:eastAsia="fr-FR"/>
              </w:rPr>
              <w:t>(D)</w:t>
            </w:r>
            <w:r w:rsidRPr="00AA40E6">
              <w:rPr>
                <w:lang w:val="fr-FR" w:eastAsia="fr-FR"/>
              </w:rPr>
              <w:tab/>
              <w:t>Dispositif de chauffage</w:t>
            </w:r>
          </w:p>
          <w:p w14:paraId="34670D19" w14:textId="77777777" w:rsidR="00941EF3" w:rsidRPr="00AA40E6" w:rsidRDefault="00941EF3">
            <w:pPr>
              <w:tabs>
                <w:tab w:val="left" w:pos="825"/>
              </w:tabs>
              <w:rPr>
                <w:lang w:val="fr-FR" w:eastAsia="fr-FR"/>
              </w:rPr>
            </w:pPr>
            <w:r w:rsidRPr="00AA40E6">
              <w:rPr>
                <w:lang w:val="fr-FR" w:eastAsia="fr-FR"/>
              </w:rPr>
              <w:t>(F)</w:t>
            </w:r>
            <w:r w:rsidRPr="00AA40E6">
              <w:rPr>
                <w:lang w:val="fr-FR" w:eastAsia="fr-FR"/>
              </w:rPr>
              <w:tab/>
              <w:t>Loquet</w:t>
            </w:r>
          </w:p>
        </w:tc>
      </w:tr>
    </w:tbl>
    <w:p w14:paraId="5318BE9B" w14:textId="77777777" w:rsidR="00941EF3" w:rsidRDefault="00941EF3" w:rsidP="00941EF3">
      <w:pPr>
        <w:rPr>
          <w:szCs w:val="22"/>
          <w:lang w:val="fr-FR" w:eastAsia="fr-FR"/>
        </w:rPr>
      </w:pPr>
    </w:p>
    <w:p w14:paraId="7755131A" w14:textId="77777777" w:rsidR="00941EF3" w:rsidRPr="00AA40E6" w:rsidRDefault="00941EF3" w:rsidP="00941EF3">
      <w:pPr>
        <w:keepNext/>
        <w:keepLines/>
        <w:numPr>
          <w:ilvl w:val="12"/>
          <w:numId w:val="0"/>
        </w:numPr>
        <w:tabs>
          <w:tab w:val="left" w:pos="1418"/>
        </w:tabs>
        <w:spacing w:after="240"/>
        <w:rPr>
          <w:b/>
          <w:lang w:val="fr-FR" w:eastAsia="fr-FR"/>
        </w:rPr>
      </w:pPr>
      <w:r w:rsidRPr="00AA40E6">
        <w:rPr>
          <w:b/>
          <w:lang w:val="fr-FR" w:eastAsia="fr-FR"/>
        </w:rPr>
        <w:br w:type="page"/>
      </w:r>
      <w:r w:rsidRPr="00AA40E6">
        <w:rPr>
          <w:b/>
          <w:lang w:val="fr-FR" w:eastAsia="fr-FR"/>
        </w:rPr>
        <w:lastRenderedPageBreak/>
        <w:t>28.4.2</w:t>
      </w:r>
      <w:r w:rsidRPr="00AA40E6">
        <w:rPr>
          <w:b/>
          <w:lang w:val="fr-FR" w:eastAsia="fr-FR"/>
        </w:rPr>
        <w:tab/>
        <w:t>Épreuve H.2 : Épreuve de stockage adiabatique</w:t>
      </w:r>
    </w:p>
    <w:p w14:paraId="15CAC1A3"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28.4.2.1</w:t>
      </w:r>
      <w:r w:rsidRPr="00AA40E6">
        <w:rPr>
          <w:lang w:val="fr-FR" w:eastAsia="fr-FR"/>
        </w:rPr>
        <w:tab/>
      </w:r>
      <w:r w:rsidRPr="00AA40E6">
        <w:rPr>
          <w:i/>
          <w:iCs/>
          <w:lang w:val="fr-FR" w:eastAsia="fr-FR"/>
        </w:rPr>
        <w:t>Introduction</w:t>
      </w:r>
    </w:p>
    <w:p w14:paraId="1E7340FD" w14:textId="6A5C6663" w:rsidR="00941EF3" w:rsidRPr="00AA40E6" w:rsidRDefault="00941EF3" w:rsidP="00941EF3">
      <w:pPr>
        <w:numPr>
          <w:ilvl w:val="12"/>
          <w:numId w:val="0"/>
        </w:numPr>
        <w:tabs>
          <w:tab w:val="left" w:pos="1418"/>
        </w:tabs>
        <w:spacing w:after="240"/>
        <w:rPr>
          <w:lang w:val="fr-FR" w:eastAsia="fr-FR"/>
        </w:rPr>
      </w:pPr>
      <w:r w:rsidRPr="00AA40E6">
        <w:rPr>
          <w:lang w:val="fr-FR" w:eastAsia="fr-FR"/>
        </w:rPr>
        <w:t>28.4.2.1.1</w:t>
      </w:r>
      <w:r w:rsidRPr="00AA40E6">
        <w:rPr>
          <w:lang w:val="fr-FR" w:eastAsia="fr-FR"/>
        </w:rPr>
        <w:tab/>
        <w:t>Cette méthode d'épreuve vise à déterminer le taux de production de chaleur par une matière sujette à réaction en fonction de la température. Les paramètres de la production de chaleur et les données sur le transfert de chaleur du colis permettent de calculer la TDAA ou la TPAA d'une matière dans son emballage. Cette méthode convient pour n'importe quel type d'emballage, y compris les GRV et les citernes. Il existe deux types d’épreuve de stockage adiabatique :</w:t>
      </w:r>
    </w:p>
    <w:p w14:paraId="4690FB48" w14:textId="77777777" w:rsidR="00941EF3" w:rsidRPr="00AA40E6" w:rsidRDefault="00941EF3" w:rsidP="00941EF3">
      <w:pPr>
        <w:tabs>
          <w:tab w:val="left" w:pos="-1440"/>
          <w:tab w:val="left" w:pos="-142"/>
          <w:tab w:val="left" w:pos="2268"/>
          <w:tab w:val="left" w:pos="11518"/>
        </w:tabs>
        <w:autoSpaceDE/>
        <w:adjustRightInd/>
        <w:spacing w:after="120"/>
        <w:ind w:left="1418" w:hanging="1418"/>
        <w:rPr>
          <w:lang w:val="fr-FR" w:eastAsia="fr-FR"/>
        </w:rPr>
      </w:pPr>
      <w:r w:rsidRPr="00AA40E6">
        <w:rPr>
          <w:lang w:val="fr-FR" w:eastAsia="fr-FR"/>
        </w:rPr>
        <w:t>a)</w:t>
      </w:r>
      <w:r w:rsidRPr="00AA40E6">
        <w:rPr>
          <w:lang w:val="fr-FR" w:eastAsia="fr-FR"/>
        </w:rPr>
        <w:tab/>
        <w:t>En circuit ouvert : un vase de Dewar est placé dans une étuve. Ce dispositif utilise un capillaire pour éviter une montée en pression et un système de refroidissement pour limiter l’augmentation de température due à une réaction d’emballement thermique ;</w:t>
      </w:r>
    </w:p>
    <w:p w14:paraId="4304DD09" w14:textId="77777777" w:rsidR="00941EF3" w:rsidRPr="00AA40E6" w:rsidRDefault="00941EF3" w:rsidP="00941EF3">
      <w:pPr>
        <w:tabs>
          <w:tab w:val="left" w:pos="-1440"/>
          <w:tab w:val="left" w:pos="-142"/>
          <w:tab w:val="left" w:pos="2268"/>
          <w:tab w:val="left" w:pos="11518"/>
        </w:tabs>
        <w:autoSpaceDE/>
        <w:adjustRightInd/>
        <w:spacing w:after="120"/>
        <w:ind w:left="1418" w:hanging="1418"/>
        <w:rPr>
          <w:lang w:val="fr-FR" w:eastAsia="fr-FR"/>
        </w:rPr>
      </w:pPr>
      <w:r w:rsidRPr="00AA40E6">
        <w:rPr>
          <w:lang w:val="fr-FR" w:eastAsia="fr-FR"/>
        </w:rPr>
        <w:t>b)</w:t>
      </w:r>
      <w:r w:rsidRPr="00AA40E6">
        <w:rPr>
          <w:lang w:val="fr-FR" w:eastAsia="fr-FR"/>
        </w:rPr>
        <w:tab/>
        <w:t>En circuit fermé : un récipient d’épreuve (un vase de Dewar ou un récipient à paroi mince par exemple) est placé à l’intérieur d’un autoclave dans une étuve. Ici, l’autoclave prévient la libération de la pression dans l’environnement pendant l’épreuve.</w:t>
      </w:r>
    </w:p>
    <w:p w14:paraId="2CA080FB" w14:textId="482A1ED1" w:rsidR="00941EF3" w:rsidRPr="00AA40E6" w:rsidRDefault="00941EF3" w:rsidP="00941EF3">
      <w:pPr>
        <w:numPr>
          <w:ilvl w:val="12"/>
          <w:numId w:val="0"/>
        </w:numPr>
        <w:tabs>
          <w:tab w:val="left" w:pos="1418"/>
        </w:tabs>
        <w:spacing w:after="240"/>
        <w:rPr>
          <w:lang w:val="fr-FR" w:eastAsia="fr-FR"/>
        </w:rPr>
      </w:pPr>
      <w:r w:rsidRPr="00AA40E6">
        <w:rPr>
          <w:lang w:val="fr-FR" w:eastAsia="fr-FR"/>
        </w:rPr>
        <w:t>28.4.2.1.2</w:t>
      </w:r>
      <w:r w:rsidRPr="00AA40E6">
        <w:rPr>
          <w:lang w:val="fr-FR" w:eastAsia="fr-FR"/>
        </w:rPr>
        <w:tab/>
        <w:t>La plus faible augmentation de température détectable avec cette méthode dépend des propriétés de l’échantillon, mais correspond généralement à une production de chaleur de 15 mW/kg. La limite supérieure de l’épreuve en circuit ouvert est déterminée par la capacité du serpentin refroidisseur de refroidir la matière en toute sécurité (jusqu’à 500 W/kg si l’on utilise l’eau comme agent de refroidissement). Cette limite n’est pas imposée à l’épreuve en circuit fermé si celle-ci est réalisée dans un autoclave haute pression. L’erreur maximale autorisée pour la production de chaleur est d’au moins 30 % à 15 mW/kg et de 10 % de 100 mW/kg à 10 W/kg. La limite de détection de l’épreuve adiabatique doit permettre d’évaluer la perte de chaleur du colis considéré (par exemple 100 à 500 mW/kg lorsque L = 60 mW/K.kg). Lorsqu’une extrapolation importante du taux de production de chaleur doit être effectuée sur la base des données d’épreuves adiabatiques, une validation par des épreuves isothermes additionnelles est recommandée.</w:t>
      </w:r>
    </w:p>
    <w:p w14:paraId="2480E771" w14:textId="12ED1750" w:rsidR="00941EF3" w:rsidRPr="00AA40E6" w:rsidRDefault="00941EF3" w:rsidP="00941EF3">
      <w:pPr>
        <w:numPr>
          <w:ilvl w:val="12"/>
          <w:numId w:val="0"/>
        </w:numPr>
        <w:tabs>
          <w:tab w:val="left" w:pos="1418"/>
        </w:tabs>
        <w:spacing w:after="240"/>
        <w:rPr>
          <w:lang w:val="fr-FR" w:eastAsia="fr-FR"/>
        </w:rPr>
      </w:pPr>
      <w:r w:rsidRPr="00AA40E6">
        <w:rPr>
          <w:lang w:val="fr-FR" w:eastAsia="fr-FR"/>
        </w:rPr>
        <w:t>28.4.2.1.3</w:t>
      </w:r>
      <w:r w:rsidRPr="00AA40E6">
        <w:rPr>
          <w:lang w:val="fr-FR" w:eastAsia="fr-FR"/>
        </w:rPr>
        <w:tab/>
        <w:t xml:space="preserve">Une explosion peut se produire pendant l’épreuve en circuit ouvert si le dispositif refroidisseur n’est mis en action qu’au stade où la production de chaleur dépasse sa capacité de refroidissement. S’agissant de l’épreuve en circuit fermé, une explosion pourrait entraîner une rupture de l’autoclave ou de ses pièces. </w:t>
      </w:r>
      <w:r w:rsidRPr="00AA40E6">
        <w:rPr>
          <w:b/>
          <w:bCs/>
          <w:i/>
          <w:iCs/>
          <w:lang w:val="fr-FR" w:eastAsia="fr-FR"/>
        </w:rPr>
        <w:t>C'est pourquoi on doit choisir le lieu des épreuves avec soin pour réduire au minimum les dangers éventuels résultant d’une explosion, ainsi que ceux d'une explosion ultérieure de gaz des produits de décomposition (explosion secondaire</w:t>
      </w:r>
      <w:r w:rsidRPr="00AA40E6">
        <w:rPr>
          <w:b/>
          <w:bCs/>
          <w:lang w:val="fr-FR" w:eastAsia="fr-FR"/>
        </w:rPr>
        <w:t>)</w:t>
      </w:r>
      <w:r w:rsidRPr="00AA40E6">
        <w:rPr>
          <w:lang w:val="fr-FR" w:eastAsia="fr-FR"/>
        </w:rPr>
        <w:t>.</w:t>
      </w:r>
    </w:p>
    <w:p w14:paraId="003B8DC1"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28.4.2.2</w:t>
      </w:r>
      <w:r w:rsidRPr="00AA40E6">
        <w:rPr>
          <w:lang w:val="fr-FR" w:eastAsia="fr-FR"/>
        </w:rPr>
        <w:tab/>
      </w:r>
      <w:r w:rsidRPr="00AA40E6">
        <w:rPr>
          <w:i/>
          <w:lang w:val="fr-FR" w:eastAsia="fr-FR"/>
        </w:rPr>
        <w:t>Appareillage et matériels</w:t>
      </w:r>
    </w:p>
    <w:p w14:paraId="07B9E555"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28.4.2.2.1</w:t>
      </w:r>
      <w:r w:rsidRPr="00AA40E6">
        <w:rPr>
          <w:lang w:val="fr-FR" w:eastAsia="fr-FR"/>
        </w:rPr>
        <w:tab/>
        <w:t>Épreuve en circuit ouvert</w:t>
      </w:r>
    </w:p>
    <w:p w14:paraId="019F948C" w14:textId="5B03ED05" w:rsidR="00941EF3" w:rsidRPr="00AA40E6" w:rsidRDefault="00941EF3" w:rsidP="00941EF3">
      <w:pPr>
        <w:numPr>
          <w:ilvl w:val="12"/>
          <w:numId w:val="0"/>
        </w:numPr>
        <w:tabs>
          <w:tab w:val="left" w:pos="1418"/>
        </w:tabs>
        <w:spacing w:after="240"/>
        <w:rPr>
          <w:lang w:val="fr-FR" w:eastAsia="fr-FR"/>
        </w:rPr>
      </w:pPr>
      <w:r w:rsidRPr="00AA40E6">
        <w:rPr>
          <w:lang w:val="fr-FR" w:eastAsia="fr-FR"/>
        </w:rPr>
        <w:tab/>
        <w:t>L'appareillage consiste en un vase de Dewar (3 litres au maximum) pour contenir l'échantillon, une étuve avec système de réglage différentiel pour y maintenir la température à 0,1 °C près de celle de l'échantillon, et un couvercle inerte pour le Dewar. Dans des cas spéciaux, on peut être amené à utiliser des porte-échantillons faits d'autres matériaux. Un serpentin chauffant et un tube de refroidissement inertes traversent le couvercle et plongent dans l'échantillon. Pour prévenir l’accroissement de pression dans le vase de Dewar, on munit celui-ci d’un tube capillaire suffisamment long fait d’une matière inerte (par exemple un tube en PTFE de 2 m de long), qui traverse le couvercle isolé. Un dispositif de chauffage à puissance constante est utilisé pour le chauffage interne de la matière jusqu'à une température préréglée, où à des fins d'étalonnage. Le chauffage et le refroidissement interne peuvent être arrêtés ou démarrés automatiquement, à des températures préréglées. Outre le système de refroidissement, un dispositif de sécurité secondaire est utilisé pour couper l’alimentation électrique de l'étuve à une température préréglée. La figure 28.4.2.1 présente le schéma de l’appareillage pour l’épreuve de stockage adiabatique en circuit ouvert.</w:t>
      </w:r>
    </w:p>
    <w:p w14:paraId="62127638"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28.4.2.2.2</w:t>
      </w:r>
      <w:r w:rsidRPr="00AA40E6">
        <w:rPr>
          <w:lang w:val="fr-FR" w:eastAsia="fr-FR"/>
        </w:rPr>
        <w:tab/>
        <w:t>Circuit fermé</w:t>
      </w:r>
    </w:p>
    <w:p w14:paraId="794E3C34"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28.4.2.2.2.1</w:t>
      </w:r>
      <w:r w:rsidRPr="00AA40E6">
        <w:rPr>
          <w:lang w:val="fr-FR" w:eastAsia="fr-FR"/>
        </w:rPr>
        <w:tab/>
        <w:t xml:space="preserve">L’appareillage consiste en un récipient inerte approprié (comme un vase de Dewar ou une chambre d’épreuve à paroi mince) pour contenir l’échantillon, d’un autoclave haute pression et d’une étuve </w:t>
      </w:r>
      <w:r w:rsidRPr="00AA40E6">
        <w:rPr>
          <w:lang w:val="fr-FR" w:eastAsia="fr-FR"/>
        </w:rPr>
        <w:lastRenderedPageBreak/>
        <w:t>isolée avec système de réglage différentiel de la température. Les chambres d’épreuve à paroi mince doivent disposer d’un système de régulation de pression pour équilibrer la pression interne et externe de la chambre.</w:t>
      </w:r>
    </w:p>
    <w:p w14:paraId="496890F3"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28.4.2.2.2.2</w:t>
      </w:r>
      <w:r w:rsidRPr="00AA40E6">
        <w:rPr>
          <w:lang w:val="fr-FR" w:eastAsia="fr-FR"/>
        </w:rPr>
        <w:tab/>
        <w:t>Le facteur phi (capacité thermique de l’installation et de l’échantillon divisée par la capacité thermique de l’échantillon) du système doit être connu et pris en compte dans l’évaluation des résultats des épreuves. Il convient donc de sélectionner la combinaison de facteur phi, d’isolation et de quantité de matière qui convient. Les pertes de chaleur de l’appareillage et la limite de détection du système doivent également être prises en considération. Un serpentin chauffant inerte peut être inséré à l’intérieur de l’échantillon. Outre l’autoclave haute pression, un dispositif de sécurité secondaire est utilisé pour couper l’alimentation de l’étuve à une température préréglée.</w:t>
      </w:r>
    </w:p>
    <w:p w14:paraId="4B8D9012"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28.4.2.2.2.3</w:t>
      </w:r>
      <w:r w:rsidRPr="00AA40E6">
        <w:rPr>
          <w:lang w:val="fr-FR" w:eastAsia="fr-FR"/>
        </w:rPr>
        <w:tab/>
        <w:t>L’épreuve en circuit fermé est préférée pour les matières ayant une pression de vapeur élevée à la température d’épreuve afin d’éviter la perte de masse due à l’évaporation ou pour les matières dont la décomposition s’accompagne de fortes augmentations de pression (ce qui, dans le cas d’une épreuve en circuit ouvert, provoquerait l’arrachage du couvercle thermique isolé ou l’expulsion de l’échantillon de la chambre d’épreuves). Le poids de l’échantillon doit être déterminé après la mesure pour détecter la perte de masse pendant l’épreuve. Toute fuite du système et le refroidissement par évaporation qui en résulte peut entraîner une perte importante de sensibilité pendant l’épreuve et introduire une marge d’erreur élevée dans les résultats. On peut déterminer l’intérêt qu’il y a à effectuer une épreuve en circuit ouvert en déterminant la perte de masse de l’échantillon après l’épreuve.</w:t>
      </w:r>
    </w:p>
    <w:p w14:paraId="10DCDB8F" w14:textId="501EBDBB" w:rsidR="00941EF3" w:rsidRPr="00AA40E6" w:rsidRDefault="00941EF3" w:rsidP="00941EF3">
      <w:pPr>
        <w:numPr>
          <w:ilvl w:val="12"/>
          <w:numId w:val="0"/>
        </w:numPr>
        <w:tabs>
          <w:tab w:val="left" w:pos="1418"/>
        </w:tabs>
        <w:spacing w:after="240"/>
        <w:rPr>
          <w:lang w:val="fr-FR" w:eastAsia="fr-FR"/>
        </w:rPr>
      </w:pPr>
      <w:r w:rsidRPr="00AA40E6">
        <w:rPr>
          <w:lang w:val="fr-FR" w:eastAsia="fr-FR"/>
        </w:rPr>
        <w:t>28.4.2.2.3</w:t>
      </w:r>
      <w:r w:rsidRPr="00AA40E6">
        <w:rPr>
          <w:lang w:val="fr-FR" w:eastAsia="fr-FR"/>
        </w:rPr>
        <w:tab/>
        <w:t>La température de la matière est mesurée en son centre au moyen de thermocouples ou de capteurs RTD à résistance en platine placés dans un tube en acier ou en verre. La température de l'air ambiant est mesurée à la même hauteur que la température de l'échantillon, également à l'aide de thermocouples ou de capteurs à résistance en platine. Un appareillage de mesure et d'enregistrement continu de la température est nécessaire pour l’observation des températures de la matière ainsi que (de l’air) dans l’étuve.. Ce matériel doit être protégé du risque d'incendie et d'explosion. Pour les matières dont la TDAA ou la TPAA est inférieure à la température ambiante, l’épreuve doit être exécutée dans des conditions à même de garantir un refroidissement suffisant.</w:t>
      </w:r>
    </w:p>
    <w:p w14:paraId="03DFA856"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28.4.2.3</w:t>
      </w:r>
      <w:r w:rsidRPr="00AA40E6">
        <w:rPr>
          <w:lang w:val="fr-FR" w:eastAsia="fr-FR"/>
        </w:rPr>
        <w:tab/>
      </w:r>
      <w:r w:rsidRPr="00AA40E6">
        <w:rPr>
          <w:i/>
          <w:lang w:val="fr-FR" w:eastAsia="fr-FR"/>
        </w:rPr>
        <w:t>Mode opératoire</w:t>
      </w:r>
    </w:p>
    <w:p w14:paraId="3649A53D" w14:textId="77777777" w:rsidR="00941EF3" w:rsidRPr="00AA40E6" w:rsidRDefault="00941EF3" w:rsidP="00941EF3">
      <w:pPr>
        <w:keepNext/>
        <w:keepLines/>
        <w:numPr>
          <w:ilvl w:val="12"/>
          <w:numId w:val="0"/>
        </w:numPr>
        <w:tabs>
          <w:tab w:val="left" w:pos="1418"/>
        </w:tabs>
        <w:spacing w:after="240"/>
        <w:rPr>
          <w:rFonts w:eastAsiaTheme="minorHAnsi"/>
          <w:sz w:val="20"/>
          <w:szCs w:val="20"/>
          <w:lang w:val="fr-FR"/>
        </w:rPr>
      </w:pPr>
      <w:r w:rsidRPr="00AA40E6">
        <w:rPr>
          <w:lang w:val="fr-FR" w:eastAsia="fr-FR"/>
        </w:rPr>
        <w:t xml:space="preserve">28.4.2.3.1 </w:t>
      </w:r>
      <w:r w:rsidRPr="00AA40E6">
        <w:rPr>
          <w:lang w:val="fr-FR" w:eastAsia="fr-FR"/>
        </w:rPr>
        <w:tab/>
        <w:t>Validation</w:t>
      </w:r>
      <w:bookmarkStart w:id="3" w:name="_Hlk35358385"/>
      <w:bookmarkEnd w:id="3"/>
    </w:p>
    <w:p w14:paraId="4254DF44" w14:textId="77777777" w:rsidR="00941EF3" w:rsidRPr="00AA40E6" w:rsidRDefault="00941EF3" w:rsidP="00941EF3">
      <w:pPr>
        <w:tabs>
          <w:tab w:val="left" w:pos="-1440"/>
          <w:tab w:val="left" w:pos="-142"/>
          <w:tab w:val="left" w:pos="1985"/>
          <w:tab w:val="left" w:pos="11518"/>
        </w:tabs>
        <w:autoSpaceDE/>
        <w:adjustRightInd/>
        <w:spacing w:after="120"/>
        <w:ind w:left="1985" w:hanging="567"/>
        <w:rPr>
          <w:rFonts w:eastAsiaTheme="minorHAnsi"/>
          <w:szCs w:val="22"/>
          <w:lang w:val="fr-FR"/>
        </w:rPr>
      </w:pPr>
      <w:r w:rsidRPr="00AA40E6">
        <w:rPr>
          <w:rFonts w:eastAsiaTheme="minorHAnsi"/>
          <w:lang w:val="fr-FR"/>
        </w:rPr>
        <w:t>a)</w:t>
      </w:r>
      <w:r w:rsidRPr="00AA40E6">
        <w:rPr>
          <w:rFonts w:eastAsiaTheme="minorHAnsi"/>
          <w:lang w:val="fr-FR"/>
        </w:rPr>
        <w:tab/>
        <w:t>La procédure de validation A est la suivante :</w:t>
      </w:r>
    </w:p>
    <w:p w14:paraId="4D05FFD4" w14:textId="77777777" w:rsidR="00941EF3" w:rsidRPr="00AA40E6" w:rsidRDefault="00941EF3" w:rsidP="00941EF3">
      <w:pPr>
        <w:tabs>
          <w:tab w:val="left" w:pos="-1440"/>
          <w:tab w:val="left" w:pos="-142"/>
          <w:tab w:val="left" w:pos="1985"/>
          <w:tab w:val="left" w:pos="11518"/>
        </w:tabs>
        <w:autoSpaceDE/>
        <w:adjustRightInd/>
        <w:spacing w:after="120"/>
        <w:ind w:left="2552" w:hanging="567"/>
        <w:rPr>
          <w:rFonts w:eastAsiaTheme="minorHAnsi"/>
          <w:lang w:val="fr-FR"/>
        </w:rPr>
      </w:pPr>
      <w:r w:rsidRPr="00AA40E6">
        <w:rPr>
          <w:rFonts w:eastAsiaTheme="minorHAnsi"/>
          <w:lang w:val="fr-FR"/>
        </w:rPr>
        <w:t>i)</w:t>
      </w:r>
      <w:r w:rsidRPr="00AA40E6">
        <w:rPr>
          <w:rFonts w:eastAsiaTheme="minorHAnsi"/>
          <w:lang w:val="fr-FR"/>
        </w:rPr>
        <w:tab/>
        <w:t>Remplir le vase de Dewar d’un sel inorganique approprié, présentant de préférence des propriétés physiques similaires à celles de la matière soumise à l’épreuve (par exemple, du chlorure de sodium ou du carbonate de sodium anhydre dense). On peut aussi utiliser une huile dont la capacité thermique spécifique est connue à la température visée (par exemple, de l’huile silicone, de densité apparente de 0,96 ± 0,02 à 20 °C et de capacité thermique de 1,46 ± 0,02 J/g à 25 °C) ;</w:t>
      </w:r>
    </w:p>
    <w:p w14:paraId="7A3456D5" w14:textId="77777777" w:rsidR="00941EF3" w:rsidRPr="00AA40E6" w:rsidRDefault="00941EF3" w:rsidP="00941EF3">
      <w:pPr>
        <w:tabs>
          <w:tab w:val="left" w:pos="-1440"/>
          <w:tab w:val="left" w:pos="-142"/>
          <w:tab w:val="left" w:pos="1985"/>
          <w:tab w:val="left" w:pos="11518"/>
        </w:tabs>
        <w:autoSpaceDE/>
        <w:adjustRightInd/>
        <w:spacing w:after="120"/>
        <w:ind w:left="2552" w:hanging="567"/>
        <w:rPr>
          <w:rFonts w:eastAsiaTheme="minorHAnsi"/>
          <w:lang w:val="fr-FR"/>
        </w:rPr>
      </w:pPr>
      <w:r w:rsidRPr="00AA40E6">
        <w:rPr>
          <w:rFonts w:eastAsiaTheme="minorHAnsi"/>
          <w:lang w:val="fr-FR"/>
        </w:rPr>
        <w:t>ii)</w:t>
      </w:r>
      <w:r w:rsidRPr="00AA40E6">
        <w:rPr>
          <w:rFonts w:eastAsiaTheme="minorHAnsi"/>
          <w:lang w:val="fr-FR"/>
        </w:rPr>
        <w:tab/>
        <w:t>Placer le vase de Dewar dans le porte-vase de l’étuve et chauffer la matière utilisée pour la validation par paliers de 20 °C au moyen du chauffage interne à puissance connue et constante (par exemple 0,333 W ou 1,000 W) et déterminer les pertes de chaleur à 40 °C, 60 °C, 80 °C et 100 °C ;</w:t>
      </w:r>
    </w:p>
    <w:p w14:paraId="44F41C05" w14:textId="77777777" w:rsidR="00941EF3" w:rsidRPr="00AA40E6" w:rsidRDefault="00941EF3" w:rsidP="00941EF3">
      <w:pPr>
        <w:tabs>
          <w:tab w:val="left" w:pos="-1440"/>
          <w:tab w:val="left" w:pos="-142"/>
          <w:tab w:val="left" w:pos="1985"/>
          <w:tab w:val="left" w:pos="11518"/>
        </w:tabs>
        <w:autoSpaceDE/>
        <w:adjustRightInd/>
        <w:spacing w:after="120"/>
        <w:ind w:left="2552" w:hanging="567"/>
        <w:rPr>
          <w:rFonts w:eastAsiaTheme="minorHAnsi"/>
          <w:lang w:val="fr-FR"/>
        </w:rPr>
      </w:pPr>
      <w:r w:rsidRPr="00AA40E6">
        <w:rPr>
          <w:rFonts w:eastAsiaTheme="minorHAnsi"/>
          <w:lang w:val="fr-FR"/>
        </w:rPr>
        <w:t>iii)</w:t>
      </w:r>
      <w:r w:rsidRPr="00AA40E6">
        <w:rPr>
          <w:rFonts w:eastAsiaTheme="minorHAnsi"/>
          <w:lang w:val="fr-FR"/>
        </w:rPr>
        <w:tab/>
        <w:t>Utiliser les données obtenues pour déterminer la capacité calorifique du vase de Dewar et du dispositif d’épreuve en suivant la méthode décrite au paragraphe 28.4.2.4.</w:t>
      </w:r>
    </w:p>
    <w:p w14:paraId="63E3C25B" w14:textId="77777777" w:rsidR="00941EF3" w:rsidRDefault="00941EF3" w:rsidP="00941EF3">
      <w:pPr>
        <w:tabs>
          <w:tab w:val="left" w:pos="-1440"/>
          <w:tab w:val="left" w:pos="-142"/>
          <w:tab w:val="left" w:pos="1985"/>
          <w:tab w:val="left" w:pos="11518"/>
        </w:tabs>
        <w:autoSpaceDE/>
        <w:adjustRightInd/>
        <w:spacing w:after="120"/>
        <w:ind w:left="1985" w:hanging="567"/>
        <w:rPr>
          <w:rFonts w:eastAsiaTheme="minorHAnsi"/>
          <w:lang w:val="fr-FR"/>
        </w:rPr>
      </w:pPr>
      <w:r w:rsidRPr="00AA40E6">
        <w:rPr>
          <w:rFonts w:eastAsiaTheme="minorHAnsi"/>
          <w:lang w:val="fr-FR"/>
        </w:rPr>
        <w:t>b)</w:t>
      </w:r>
      <w:r w:rsidRPr="00AA40E6">
        <w:rPr>
          <w:rFonts w:eastAsiaTheme="minorHAnsi"/>
          <w:lang w:val="fr-FR"/>
        </w:rPr>
        <w:tab/>
        <w:t>La procédure de validation B est la suivante :</w:t>
      </w:r>
    </w:p>
    <w:p w14:paraId="33A41565" w14:textId="77777777" w:rsidR="00941EF3" w:rsidRPr="00AA40E6" w:rsidRDefault="00941EF3" w:rsidP="00941EF3">
      <w:pPr>
        <w:tabs>
          <w:tab w:val="left" w:pos="-1440"/>
          <w:tab w:val="left" w:pos="-142"/>
          <w:tab w:val="left" w:pos="1985"/>
          <w:tab w:val="left" w:pos="11518"/>
        </w:tabs>
        <w:autoSpaceDE/>
        <w:adjustRightInd/>
        <w:spacing w:after="120"/>
        <w:ind w:left="2552" w:hanging="567"/>
        <w:rPr>
          <w:rFonts w:eastAsiaTheme="minorHAnsi"/>
          <w:lang w:val="fr-FR"/>
        </w:rPr>
      </w:pPr>
      <w:r w:rsidRPr="00AA40E6">
        <w:rPr>
          <w:rFonts w:eastAsiaTheme="minorHAnsi"/>
          <w:lang w:val="fr-FR"/>
        </w:rPr>
        <w:t>i)</w:t>
      </w:r>
      <w:r w:rsidRPr="00AA40E6">
        <w:rPr>
          <w:rFonts w:eastAsiaTheme="minorHAnsi"/>
          <w:lang w:val="fr-FR"/>
        </w:rPr>
        <w:tab/>
        <w:t>Pour mener à bien la procédure de validation B, le dispositif d’épreuve doit être bien caractérisé (par exemple en s’appuyant sur les résultats de la procédure de validation A) ;</w:t>
      </w:r>
    </w:p>
    <w:p w14:paraId="38D59297" w14:textId="77777777" w:rsidR="00941EF3" w:rsidRDefault="00941EF3" w:rsidP="00941EF3">
      <w:pPr>
        <w:tabs>
          <w:tab w:val="left" w:pos="-1440"/>
          <w:tab w:val="left" w:pos="-142"/>
          <w:tab w:val="left" w:pos="1985"/>
          <w:tab w:val="left" w:pos="11518"/>
        </w:tabs>
        <w:autoSpaceDE/>
        <w:adjustRightInd/>
        <w:spacing w:after="120"/>
        <w:ind w:left="2552" w:hanging="567"/>
        <w:rPr>
          <w:lang w:val="fr-FR" w:eastAsia="fr-FR"/>
        </w:rPr>
      </w:pPr>
      <w:r w:rsidRPr="00AA40E6">
        <w:rPr>
          <w:rFonts w:eastAsiaTheme="minorHAnsi"/>
          <w:lang w:val="fr-FR"/>
        </w:rPr>
        <w:lastRenderedPageBreak/>
        <w:t>ii)</w:t>
      </w:r>
      <w:r w:rsidRPr="00AA40E6">
        <w:rPr>
          <w:rFonts w:eastAsiaTheme="minorHAnsi"/>
          <w:lang w:val="fr-FR"/>
        </w:rPr>
        <w:tab/>
        <w:t xml:space="preserve">Le dispositif d’épreuve doit être validé au moyen de la méthode décrite au 28.4.2.4 avec au moins deux matières ou mélanges standard, pour lesquels il convient d’utiliser du peroxyde de </w:t>
      </w:r>
      <w:proofErr w:type="spellStart"/>
      <w:r w:rsidRPr="00AA40E6">
        <w:rPr>
          <w:rFonts w:eastAsiaTheme="minorHAnsi"/>
          <w:lang w:val="fr-FR"/>
        </w:rPr>
        <w:t>dicumyle</w:t>
      </w:r>
      <w:proofErr w:type="spellEnd"/>
      <w:r w:rsidRPr="00AA40E6">
        <w:rPr>
          <w:rFonts w:eastAsiaTheme="minorHAnsi"/>
          <w:lang w:val="fr-FR"/>
        </w:rPr>
        <w:t xml:space="preserve"> dans de l’éthylbenzène</w:t>
      </w:r>
      <w:r w:rsidRPr="00AA40E6">
        <w:rPr>
          <w:rStyle w:val="FootnoteReference"/>
          <w:rFonts w:eastAsiaTheme="minorHAnsi"/>
          <w:lang w:val="fr-FR"/>
        </w:rPr>
        <w:footnoteReference w:customMarkFollows="1" w:id="3"/>
        <w:t>2</w:t>
      </w:r>
      <w:r w:rsidRPr="00AA40E6">
        <w:rPr>
          <w:rFonts w:eastAsiaTheme="minorHAnsi"/>
          <w:lang w:val="fr-FR"/>
        </w:rPr>
        <w:t xml:space="preserve"> (40:60 % p/p, la TDAA pour une perte de chaleur de 60 mW/K.kg devrait être de 90 °C), ou l’une quelconque des matières figurant dans les tableaux d’exemples de résultats du chapitre 28.</w:t>
      </w:r>
    </w:p>
    <w:p w14:paraId="40130E12" w14:textId="77777777" w:rsidR="00941EF3" w:rsidRPr="00AA40E6" w:rsidRDefault="00941EF3" w:rsidP="00941EF3">
      <w:pPr>
        <w:keepNext/>
        <w:keepLines/>
        <w:numPr>
          <w:ilvl w:val="12"/>
          <w:numId w:val="0"/>
        </w:numPr>
        <w:tabs>
          <w:tab w:val="left" w:pos="1418"/>
        </w:tabs>
        <w:spacing w:after="240"/>
        <w:rPr>
          <w:szCs w:val="22"/>
          <w:lang w:val="fr-FR" w:eastAsia="fr-FR"/>
        </w:rPr>
      </w:pPr>
      <w:r w:rsidRPr="00AA40E6">
        <w:rPr>
          <w:lang w:val="fr-FR" w:eastAsia="fr-FR"/>
        </w:rPr>
        <w:t>28.4.2.3.2</w:t>
      </w:r>
      <w:r w:rsidRPr="00AA40E6">
        <w:rPr>
          <w:lang w:val="fr-FR" w:eastAsia="fr-FR"/>
        </w:rPr>
        <w:tab/>
        <w:t>Épreuve</w:t>
      </w:r>
    </w:p>
    <w:p w14:paraId="360F9A5D"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ab/>
        <w:t>Procéder comme suit :</w:t>
      </w:r>
    </w:p>
    <w:p w14:paraId="0FA1A2C0" w14:textId="77777777" w:rsidR="00941EF3" w:rsidRPr="00AA40E6" w:rsidRDefault="00941EF3" w:rsidP="00941EF3">
      <w:pPr>
        <w:tabs>
          <w:tab w:val="left" w:pos="-1440"/>
          <w:tab w:val="left" w:pos="-142"/>
          <w:tab w:val="left" w:pos="1985"/>
          <w:tab w:val="left" w:pos="11518"/>
        </w:tabs>
        <w:autoSpaceDE/>
        <w:adjustRightInd/>
        <w:spacing w:after="120"/>
        <w:ind w:left="1985" w:hanging="567"/>
        <w:rPr>
          <w:rFonts w:eastAsiaTheme="minorHAnsi"/>
          <w:sz w:val="20"/>
          <w:szCs w:val="20"/>
          <w:lang w:val="fr-FR"/>
        </w:rPr>
      </w:pPr>
      <w:r w:rsidRPr="00AA40E6">
        <w:rPr>
          <w:rFonts w:eastAsiaTheme="minorHAnsi"/>
          <w:sz w:val="20"/>
          <w:szCs w:val="20"/>
          <w:lang w:val="fr-FR"/>
        </w:rPr>
        <w:t>a)</w:t>
      </w:r>
      <w:r w:rsidRPr="00AA40E6">
        <w:rPr>
          <w:rFonts w:eastAsiaTheme="minorHAnsi"/>
          <w:sz w:val="20"/>
          <w:szCs w:val="20"/>
          <w:lang w:val="fr-FR"/>
        </w:rPr>
        <w:tab/>
        <w:t>Remplir le vase de Dewar ou la chambre d’épreuve avec l’échantillon pesé, ajouter une quantité représentative de matériau d’emballage (si nécessaire) et placer le vase dans le porte-vase de l’étuve ;</w:t>
      </w:r>
    </w:p>
    <w:p w14:paraId="46ED65BC" w14:textId="77777777" w:rsidR="00941EF3" w:rsidRPr="00AA40E6" w:rsidRDefault="00941EF3" w:rsidP="00941EF3">
      <w:pPr>
        <w:tabs>
          <w:tab w:val="left" w:pos="-1440"/>
          <w:tab w:val="left" w:pos="-142"/>
          <w:tab w:val="left" w:pos="1985"/>
          <w:tab w:val="left" w:pos="11518"/>
        </w:tabs>
        <w:autoSpaceDE/>
        <w:adjustRightInd/>
        <w:spacing w:after="120"/>
        <w:ind w:left="1985" w:hanging="567"/>
        <w:rPr>
          <w:rFonts w:eastAsiaTheme="minorHAnsi"/>
          <w:sz w:val="20"/>
          <w:szCs w:val="20"/>
          <w:lang w:val="fr-FR"/>
        </w:rPr>
      </w:pPr>
      <w:r w:rsidRPr="00AA40E6">
        <w:rPr>
          <w:rFonts w:eastAsiaTheme="minorHAnsi"/>
          <w:sz w:val="20"/>
          <w:szCs w:val="20"/>
          <w:lang w:val="fr-FR"/>
        </w:rPr>
        <w:t>b)</w:t>
      </w:r>
      <w:r w:rsidRPr="00AA40E6">
        <w:rPr>
          <w:rFonts w:eastAsiaTheme="minorHAnsi"/>
          <w:sz w:val="20"/>
          <w:szCs w:val="20"/>
          <w:lang w:val="fr-FR"/>
        </w:rPr>
        <w:tab/>
        <w:t>Mettre en marche la mesure de la température et ensuite porter la température de l’échantillon à une température préétablie à laquelle il peut y avoir un auto-échauffement détectable. L’élévation de la température, la durée de chauffage et la puissance de chauffage ou toute méthode d’épreuve calorimétrique effectuée au préalable, permettent de calculer la chaleur spécifique de la matière ;</w:t>
      </w:r>
    </w:p>
    <w:p w14:paraId="1C64A9CD" w14:textId="77777777" w:rsidR="00941EF3" w:rsidRPr="00AA40E6" w:rsidRDefault="00941EF3" w:rsidP="00941EF3">
      <w:pPr>
        <w:tabs>
          <w:tab w:val="left" w:pos="-1440"/>
          <w:tab w:val="left" w:pos="-142"/>
          <w:tab w:val="left" w:pos="1985"/>
          <w:tab w:val="left" w:pos="11518"/>
        </w:tabs>
        <w:autoSpaceDE/>
        <w:adjustRightInd/>
        <w:spacing w:after="120"/>
        <w:ind w:left="1985" w:hanging="567"/>
        <w:rPr>
          <w:rFonts w:eastAsiaTheme="minorHAnsi"/>
          <w:sz w:val="20"/>
          <w:szCs w:val="20"/>
          <w:lang w:val="fr-FR"/>
        </w:rPr>
      </w:pPr>
      <w:r w:rsidRPr="00AA40E6">
        <w:rPr>
          <w:rFonts w:eastAsiaTheme="minorHAnsi"/>
          <w:sz w:val="20"/>
          <w:szCs w:val="20"/>
          <w:lang w:val="fr-FR"/>
        </w:rPr>
        <w:t>c)</w:t>
      </w:r>
      <w:r w:rsidRPr="00AA40E6">
        <w:rPr>
          <w:rFonts w:eastAsiaTheme="minorHAnsi"/>
          <w:sz w:val="20"/>
          <w:szCs w:val="20"/>
          <w:lang w:val="fr-FR"/>
        </w:rPr>
        <w:tab/>
        <w:t>Chauffer l’échantillon à la température voulue, maintenir la température de l’étuve et mesurer la température de l’échantillon. Si aucune augmentation de température par échauffement spontané n’est constatée après que le système a atteint sa température d’équilibre (c’est-à-dire 24 heures pour l’installation en circuit ouvert), augmenter la température de l’étuve de 5 °C. Répéter ces opérations jusqu’à ce qu’un auto-échauffement soit détecté ;</w:t>
      </w:r>
    </w:p>
    <w:p w14:paraId="5CD2E268" w14:textId="77777777" w:rsidR="00941EF3" w:rsidRPr="00AA40E6" w:rsidRDefault="00941EF3" w:rsidP="00941EF3">
      <w:pPr>
        <w:tabs>
          <w:tab w:val="left" w:pos="-1440"/>
          <w:tab w:val="left" w:pos="-142"/>
          <w:tab w:val="left" w:pos="1985"/>
          <w:tab w:val="left" w:pos="11518"/>
        </w:tabs>
        <w:autoSpaceDE/>
        <w:adjustRightInd/>
        <w:spacing w:after="120"/>
        <w:ind w:left="1985" w:hanging="567"/>
        <w:rPr>
          <w:rFonts w:eastAsiaTheme="minorHAnsi"/>
          <w:sz w:val="20"/>
          <w:szCs w:val="20"/>
          <w:lang w:val="fr-FR"/>
        </w:rPr>
      </w:pPr>
      <w:r w:rsidRPr="00AA40E6">
        <w:rPr>
          <w:rFonts w:eastAsiaTheme="minorHAnsi"/>
          <w:sz w:val="20"/>
          <w:szCs w:val="20"/>
          <w:lang w:val="fr-FR"/>
        </w:rPr>
        <w:tab/>
        <w:t>Pour l’épreuve en circuit fermé, l’appareillage peut être chauffé à &lt; 0,5 W/kg jusqu’à ce qu’un auto-échauffement soit détecté. La puissance thermique par unité de masse doit rester en dessous du niveau de sensibilité pour la détection de l’auto-échauffement de l’appareillage d’épreuve ou de l’autoclave ;</w:t>
      </w:r>
    </w:p>
    <w:p w14:paraId="21448DD2" w14:textId="77777777" w:rsidR="00941EF3" w:rsidRPr="00AA40E6" w:rsidRDefault="00941EF3" w:rsidP="00941EF3">
      <w:pPr>
        <w:tabs>
          <w:tab w:val="left" w:pos="-1440"/>
          <w:tab w:val="left" w:pos="-142"/>
          <w:tab w:val="left" w:pos="1985"/>
          <w:tab w:val="left" w:pos="11518"/>
        </w:tabs>
        <w:autoSpaceDE/>
        <w:adjustRightInd/>
        <w:spacing w:after="120"/>
        <w:ind w:left="1985" w:hanging="567"/>
        <w:rPr>
          <w:rFonts w:eastAsiaTheme="minorHAnsi"/>
          <w:sz w:val="20"/>
          <w:szCs w:val="20"/>
          <w:lang w:val="fr-FR"/>
        </w:rPr>
      </w:pPr>
      <w:r w:rsidRPr="00AA40E6">
        <w:rPr>
          <w:rFonts w:eastAsiaTheme="minorHAnsi"/>
          <w:sz w:val="20"/>
          <w:szCs w:val="20"/>
          <w:lang w:val="fr-FR"/>
        </w:rPr>
        <w:t>d)</w:t>
      </w:r>
      <w:r w:rsidRPr="00AA40E6">
        <w:rPr>
          <w:rFonts w:eastAsiaTheme="minorHAnsi"/>
          <w:sz w:val="20"/>
          <w:szCs w:val="20"/>
          <w:lang w:val="fr-FR"/>
        </w:rPr>
        <w:tab/>
        <w:t>Dès qu’un auto-échauffement est détecté, laisser l’échantillon s’échauffer dans des conditions adiabatiques jusqu’à une température préétablie, à laquelle le système de refroidissement est activé ou la température de l’étuve a atteint sa limite ;</w:t>
      </w:r>
    </w:p>
    <w:p w14:paraId="5E016331" w14:textId="77777777" w:rsidR="00941EF3" w:rsidRPr="00AA40E6" w:rsidRDefault="00941EF3" w:rsidP="00941EF3">
      <w:pPr>
        <w:tabs>
          <w:tab w:val="left" w:pos="-1440"/>
          <w:tab w:val="left" w:pos="-142"/>
          <w:tab w:val="left" w:pos="1985"/>
          <w:tab w:val="left" w:pos="11518"/>
        </w:tabs>
        <w:autoSpaceDE/>
        <w:adjustRightInd/>
        <w:spacing w:after="120"/>
        <w:ind w:left="1985" w:hanging="567"/>
        <w:rPr>
          <w:rFonts w:eastAsiaTheme="minorHAnsi"/>
          <w:sz w:val="20"/>
          <w:szCs w:val="20"/>
          <w:lang w:val="fr-FR"/>
        </w:rPr>
      </w:pPr>
      <w:r w:rsidRPr="00AA40E6">
        <w:rPr>
          <w:rFonts w:eastAsiaTheme="minorHAnsi"/>
          <w:sz w:val="20"/>
          <w:szCs w:val="20"/>
          <w:lang w:val="fr-FR"/>
        </w:rPr>
        <w:tab/>
        <w:t>Pour l’épreuve en circuit ouvert, cette température doit être réglée de manière à ce que le taux de production de chaleur ne dépasse pas la capacité de refroidissement du système ;</w:t>
      </w:r>
    </w:p>
    <w:p w14:paraId="76472796" w14:textId="77777777" w:rsidR="00941EF3" w:rsidRDefault="00941EF3" w:rsidP="00941EF3">
      <w:pPr>
        <w:tabs>
          <w:tab w:val="left" w:pos="-1440"/>
          <w:tab w:val="left" w:pos="-142"/>
          <w:tab w:val="left" w:pos="1985"/>
          <w:tab w:val="left" w:pos="11518"/>
        </w:tabs>
        <w:autoSpaceDE/>
        <w:adjustRightInd/>
        <w:spacing w:after="120"/>
        <w:ind w:left="1985" w:hanging="567"/>
        <w:rPr>
          <w:szCs w:val="22"/>
          <w:lang w:val="fr-FR" w:eastAsia="fr-FR"/>
        </w:rPr>
      </w:pPr>
      <w:r w:rsidRPr="00AA40E6">
        <w:rPr>
          <w:rFonts w:eastAsiaTheme="minorHAnsi"/>
          <w:sz w:val="20"/>
          <w:szCs w:val="20"/>
          <w:lang w:val="fr-FR"/>
        </w:rPr>
        <w:tab/>
        <w:t>Pour l’épreuve en circuit fermé, cette température est généralement une température maximale de l’étuve préétablie. L’échantillon peut dépasser cette température dans des conditions non adiabatiques.</w:t>
      </w:r>
    </w:p>
    <w:p w14:paraId="03080245" w14:textId="77777777" w:rsidR="00941EF3" w:rsidRPr="00AA40E6" w:rsidRDefault="00941EF3" w:rsidP="00941EF3">
      <w:pPr>
        <w:keepNext/>
        <w:keepLines/>
        <w:numPr>
          <w:ilvl w:val="12"/>
          <w:numId w:val="0"/>
        </w:numPr>
        <w:tabs>
          <w:tab w:val="left" w:pos="1418"/>
        </w:tabs>
        <w:spacing w:after="240"/>
        <w:rPr>
          <w:szCs w:val="22"/>
          <w:lang w:val="fr-FR" w:eastAsia="fr-FR"/>
        </w:rPr>
      </w:pPr>
      <w:r w:rsidRPr="00AA40E6">
        <w:rPr>
          <w:lang w:val="fr-FR" w:eastAsia="fr-FR"/>
        </w:rPr>
        <w:t>28.4.2.4</w:t>
      </w:r>
      <w:r w:rsidRPr="00AA40E6">
        <w:rPr>
          <w:lang w:val="fr-FR" w:eastAsia="fr-FR"/>
        </w:rPr>
        <w:tab/>
      </w:r>
      <w:r w:rsidRPr="00AA40E6">
        <w:rPr>
          <w:i/>
          <w:lang w:val="fr-FR" w:eastAsia="fr-FR"/>
        </w:rPr>
        <w:t>Critères d'épreuve et méthode d'évaluation des résultats</w:t>
      </w:r>
    </w:p>
    <w:p w14:paraId="654BC823" w14:textId="32A132BE" w:rsidR="00941EF3" w:rsidRPr="00AA40E6" w:rsidRDefault="00941EF3" w:rsidP="00941EF3">
      <w:pPr>
        <w:numPr>
          <w:ilvl w:val="12"/>
          <w:numId w:val="0"/>
        </w:numPr>
        <w:tabs>
          <w:tab w:val="left" w:pos="1418"/>
        </w:tabs>
        <w:spacing w:after="240"/>
        <w:rPr>
          <w:lang w:val="fr-FR" w:eastAsia="fr-FR"/>
        </w:rPr>
      </w:pPr>
      <w:r w:rsidRPr="00AA40E6">
        <w:rPr>
          <w:lang w:val="fr-FR" w:eastAsia="fr-FR"/>
        </w:rPr>
        <w:t>28.4.2.4.1</w:t>
      </w:r>
      <w:r w:rsidRPr="00AA40E6">
        <w:rPr>
          <w:lang w:val="fr-FR" w:eastAsia="fr-FR"/>
        </w:rPr>
        <w:tab/>
        <w:t>Calculer le taux des pertes de chaleur A (en K/h) du Dewar aux différentes températures utilisées lors de l'étalonnage. Établir un diagramme des valeurs obtenues afin de déterminer le taux des pertes de chaleur à une température quelconque.</w:t>
      </w:r>
    </w:p>
    <w:p w14:paraId="2749D3F7" w14:textId="6D246721" w:rsidR="00941EF3" w:rsidRPr="00AA40E6" w:rsidRDefault="00941EF3" w:rsidP="00941EF3">
      <w:pPr>
        <w:numPr>
          <w:ilvl w:val="12"/>
          <w:numId w:val="0"/>
        </w:numPr>
        <w:tabs>
          <w:tab w:val="left" w:pos="1418"/>
        </w:tabs>
        <w:spacing w:after="240"/>
        <w:rPr>
          <w:lang w:val="fr-FR" w:eastAsia="fr-FR"/>
        </w:rPr>
      </w:pPr>
      <w:r w:rsidRPr="00E80458">
        <w:rPr>
          <w:lang w:val="fr-FR" w:eastAsia="fr-FR"/>
        </w:rPr>
        <w:t>28.4.2.4.2</w:t>
      </w:r>
      <w:r w:rsidRPr="00E80458">
        <w:rPr>
          <w:lang w:val="fr-FR" w:eastAsia="fr-FR"/>
        </w:rPr>
        <w:tab/>
        <w:t>Calculer la capacité calorifique H (en J/</w:t>
      </w:r>
      <w:r w:rsidR="000A78F3">
        <w:rPr>
          <w:lang w:val="fr-FR" w:eastAsia="fr-FR"/>
        </w:rPr>
        <w:t>K</w:t>
      </w:r>
      <w:r w:rsidRPr="00E80458">
        <w:rPr>
          <w:lang w:val="fr-FR" w:eastAsia="fr-FR"/>
        </w:rPr>
        <w:t>) du Dewar à l'aide de la relation ci-après :</w:t>
      </w:r>
      <w:r w:rsidRPr="00AA40E6">
        <w:rPr>
          <w:lang w:val="fr-FR" w:eastAsia="fr-FR"/>
        </w:rPr>
        <w:t xml:space="preserve"> </w:t>
      </w:r>
    </w:p>
    <w:p w14:paraId="56556EC4" w14:textId="40272E44" w:rsidR="00941EF3" w:rsidRPr="00AA40E6" w:rsidRDefault="00941EF3" w:rsidP="00B7596F">
      <w:pPr>
        <w:numPr>
          <w:ilvl w:val="12"/>
          <w:numId w:val="0"/>
        </w:numPr>
        <w:tabs>
          <w:tab w:val="left" w:pos="1418"/>
        </w:tabs>
        <w:spacing w:after="240"/>
        <w:jc w:val="center"/>
        <w:rPr>
          <w:lang w:val="fr-FR" w:eastAsia="fr-FR"/>
        </w:rPr>
      </w:pPr>
      <w:r w:rsidRPr="00AA40E6">
        <w:rPr>
          <w:noProof/>
          <w:position w:val="-22"/>
          <w:lang w:val="fr-FR" w:eastAsia="fr-FR"/>
        </w:rPr>
        <w:drawing>
          <wp:inline distT="0" distB="0" distL="0" distR="0" wp14:anchorId="09864CEC" wp14:editId="683FB1D0">
            <wp:extent cx="1517650" cy="381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7650" cy="381000"/>
                    </a:xfrm>
                    <a:prstGeom prst="rect">
                      <a:avLst/>
                    </a:prstGeom>
                    <a:noFill/>
                    <a:ln>
                      <a:noFill/>
                    </a:ln>
                  </pic:spPr>
                </pic:pic>
              </a:graphicData>
            </a:graphic>
          </wp:inline>
        </w:drawing>
      </w:r>
    </w:p>
    <w:p w14:paraId="26872C59" w14:textId="77777777" w:rsidR="00941EF3" w:rsidRPr="00AA40E6" w:rsidRDefault="00941EF3" w:rsidP="00941EF3">
      <w:pPr>
        <w:tabs>
          <w:tab w:val="left" w:pos="1418"/>
          <w:tab w:val="left" w:pos="1985"/>
          <w:tab w:val="left" w:pos="2552"/>
          <w:tab w:val="left" w:pos="3119"/>
        </w:tabs>
        <w:rPr>
          <w:lang w:val="fr-FR" w:eastAsia="fr-FR"/>
        </w:rPr>
      </w:pPr>
      <w:r w:rsidRPr="00AA40E6">
        <w:rPr>
          <w:lang w:val="fr-FR" w:eastAsia="fr-FR"/>
        </w:rPr>
        <w:tab/>
        <w:t>où</w:t>
      </w:r>
      <w:r w:rsidRPr="00AA40E6">
        <w:rPr>
          <w:lang w:val="fr-FR" w:eastAsia="fr-FR"/>
        </w:rPr>
        <w:tab/>
        <w:t>E</w:t>
      </w:r>
      <w:r w:rsidRPr="00AA40E6">
        <w:rPr>
          <w:vertAlign w:val="subscript"/>
          <w:lang w:val="fr-FR" w:eastAsia="fr-FR"/>
        </w:rPr>
        <w:t>1</w:t>
      </w:r>
      <w:r w:rsidRPr="00AA40E6">
        <w:rPr>
          <w:lang w:val="fr-FR" w:eastAsia="fr-FR"/>
        </w:rPr>
        <w:tab/>
        <w:t>=</w:t>
      </w:r>
      <w:r w:rsidRPr="00AA40E6">
        <w:rPr>
          <w:lang w:val="fr-FR" w:eastAsia="fr-FR"/>
        </w:rPr>
        <w:tab/>
        <w:t>puissance énergétique appliquée à l'appareil de chauffe interne (W)</w:t>
      </w:r>
    </w:p>
    <w:p w14:paraId="2ABD0F53" w14:textId="28956177" w:rsidR="00941EF3" w:rsidRPr="00AA40E6" w:rsidRDefault="00941EF3" w:rsidP="00941EF3">
      <w:pPr>
        <w:tabs>
          <w:tab w:val="left" w:pos="1418"/>
          <w:tab w:val="left" w:pos="1985"/>
          <w:tab w:val="left" w:pos="2552"/>
          <w:tab w:val="left" w:pos="3119"/>
        </w:tabs>
        <w:rPr>
          <w:lang w:val="fr-FR" w:eastAsia="fr-FR"/>
        </w:rPr>
      </w:pPr>
      <w:r w:rsidRPr="00AA40E6">
        <w:rPr>
          <w:lang w:val="fr-FR" w:eastAsia="fr-FR"/>
        </w:rPr>
        <w:tab/>
      </w:r>
      <w:r w:rsidRPr="00AA40E6">
        <w:rPr>
          <w:lang w:val="fr-FR" w:eastAsia="fr-FR"/>
        </w:rPr>
        <w:tab/>
        <w:t>A</w:t>
      </w:r>
      <w:r w:rsidRPr="00AA40E6">
        <w:rPr>
          <w:lang w:val="fr-FR" w:eastAsia="fr-FR"/>
        </w:rPr>
        <w:tab/>
        <w:t>=</w:t>
      </w:r>
      <w:r w:rsidRPr="00AA40E6">
        <w:rPr>
          <w:lang w:val="fr-FR" w:eastAsia="fr-FR"/>
        </w:rPr>
        <w:tab/>
        <w:t>taux des pertes de chaleur à la température de calcul (K/h)</w:t>
      </w:r>
    </w:p>
    <w:p w14:paraId="3201B773" w14:textId="0324791E" w:rsidR="00941EF3" w:rsidRPr="00AA40E6" w:rsidRDefault="00941EF3" w:rsidP="00941EF3">
      <w:pPr>
        <w:tabs>
          <w:tab w:val="left" w:pos="1418"/>
          <w:tab w:val="left" w:pos="1985"/>
          <w:tab w:val="left" w:pos="2552"/>
          <w:tab w:val="left" w:pos="3119"/>
        </w:tabs>
        <w:ind w:left="2552" w:hanging="2552"/>
        <w:rPr>
          <w:lang w:val="fr-FR" w:eastAsia="fr-FR"/>
        </w:rPr>
      </w:pPr>
      <w:r w:rsidRPr="00AA40E6">
        <w:rPr>
          <w:lang w:val="fr-FR" w:eastAsia="fr-FR"/>
        </w:rPr>
        <w:tab/>
      </w:r>
      <w:r w:rsidRPr="00AA40E6">
        <w:rPr>
          <w:lang w:val="fr-FR" w:eastAsia="fr-FR"/>
        </w:rPr>
        <w:tab/>
        <w:t>B</w:t>
      </w:r>
      <w:r w:rsidRPr="00AA40E6">
        <w:rPr>
          <w:lang w:val="fr-FR" w:eastAsia="fr-FR"/>
        </w:rPr>
        <w:tab/>
        <w:t>=</w:t>
      </w:r>
      <w:r w:rsidRPr="00AA40E6">
        <w:rPr>
          <w:lang w:val="fr-FR" w:eastAsia="fr-FR"/>
        </w:rPr>
        <w:tab/>
        <w:t xml:space="preserve">pente de la courbe de chauffage interne (matière de validation) à la </w:t>
      </w:r>
      <w:r w:rsidRPr="00AA40E6">
        <w:rPr>
          <w:lang w:val="fr-FR" w:eastAsia="fr-FR"/>
        </w:rPr>
        <w:tab/>
        <w:t>température de calcul (K/h)</w:t>
      </w:r>
    </w:p>
    <w:p w14:paraId="06E77785" w14:textId="2947311E" w:rsidR="00941EF3" w:rsidRPr="00AA40E6" w:rsidRDefault="00941EF3" w:rsidP="00941EF3">
      <w:pPr>
        <w:tabs>
          <w:tab w:val="left" w:pos="1418"/>
          <w:tab w:val="left" w:pos="1985"/>
          <w:tab w:val="left" w:pos="2552"/>
          <w:tab w:val="left" w:pos="3119"/>
        </w:tabs>
        <w:rPr>
          <w:lang w:val="fr-FR" w:eastAsia="fr-FR"/>
        </w:rPr>
      </w:pPr>
      <w:r w:rsidRPr="00AA40E6">
        <w:rPr>
          <w:lang w:val="fr-FR" w:eastAsia="fr-FR"/>
        </w:rPr>
        <w:tab/>
      </w:r>
      <w:r w:rsidRPr="00AA40E6">
        <w:rPr>
          <w:lang w:val="fr-FR" w:eastAsia="fr-FR"/>
        </w:rPr>
        <w:tab/>
        <w:t>M</w:t>
      </w:r>
      <w:r w:rsidRPr="00AA40E6">
        <w:rPr>
          <w:vertAlign w:val="subscript"/>
          <w:lang w:val="fr-FR" w:eastAsia="fr-FR"/>
        </w:rPr>
        <w:t>1</w:t>
      </w:r>
      <w:r w:rsidRPr="00AA40E6">
        <w:rPr>
          <w:lang w:val="fr-FR" w:eastAsia="fr-FR"/>
        </w:rPr>
        <w:tab/>
        <w:t>=</w:t>
      </w:r>
      <w:r w:rsidRPr="00AA40E6">
        <w:rPr>
          <w:lang w:val="fr-FR" w:eastAsia="fr-FR"/>
        </w:rPr>
        <w:tab/>
        <w:t>masse de la matière de validation (kg)</w:t>
      </w:r>
    </w:p>
    <w:p w14:paraId="78E0DA64" w14:textId="0726340B" w:rsidR="00941EF3" w:rsidRPr="00AA40E6" w:rsidRDefault="00941EF3" w:rsidP="00941EF3">
      <w:pPr>
        <w:tabs>
          <w:tab w:val="left" w:pos="1418"/>
          <w:tab w:val="left" w:pos="1985"/>
          <w:tab w:val="left" w:pos="2552"/>
          <w:tab w:val="left" w:pos="3119"/>
        </w:tabs>
        <w:rPr>
          <w:lang w:val="fr-FR" w:eastAsia="fr-FR"/>
        </w:rPr>
      </w:pPr>
      <w:r w:rsidRPr="00AA40E6">
        <w:rPr>
          <w:lang w:val="fr-FR" w:eastAsia="fr-FR"/>
        </w:rPr>
        <w:tab/>
      </w:r>
      <w:r w:rsidRPr="00AA40E6">
        <w:rPr>
          <w:lang w:val="fr-FR" w:eastAsia="fr-FR"/>
        </w:rPr>
        <w:tab/>
        <w:t>Cp</w:t>
      </w:r>
      <w:r w:rsidRPr="00AA40E6">
        <w:rPr>
          <w:vertAlign w:val="subscript"/>
          <w:lang w:val="fr-FR" w:eastAsia="fr-FR"/>
        </w:rPr>
        <w:t>1</w:t>
      </w:r>
      <w:r w:rsidRPr="00AA40E6">
        <w:rPr>
          <w:lang w:val="fr-FR" w:eastAsia="fr-FR"/>
        </w:rPr>
        <w:tab/>
        <w:t>=</w:t>
      </w:r>
      <w:r w:rsidRPr="00AA40E6">
        <w:rPr>
          <w:lang w:val="fr-FR" w:eastAsia="fr-FR"/>
        </w:rPr>
        <w:tab/>
        <w:t>chaleur spécifique de la matière de validation (J/K.kg)</w:t>
      </w:r>
    </w:p>
    <w:p w14:paraId="65272D8E" w14:textId="77777777" w:rsidR="00941EF3" w:rsidRPr="00AA40E6" w:rsidRDefault="00941EF3" w:rsidP="00941EF3">
      <w:pPr>
        <w:tabs>
          <w:tab w:val="left" w:pos="1418"/>
          <w:tab w:val="left" w:pos="1985"/>
          <w:tab w:val="left" w:pos="2552"/>
          <w:tab w:val="left" w:pos="3119"/>
        </w:tabs>
        <w:rPr>
          <w:lang w:val="fr-FR" w:eastAsia="fr-FR"/>
        </w:rPr>
      </w:pPr>
    </w:p>
    <w:p w14:paraId="2B0B8AE9"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28.4.2.4.3</w:t>
      </w:r>
      <w:r w:rsidRPr="00AA40E6">
        <w:rPr>
          <w:lang w:val="fr-FR" w:eastAsia="fr-FR"/>
        </w:rPr>
        <w:tab/>
        <w:t>Déterminer la perte de chaleur K(W) à l'aide de la formule suivante :</w:t>
      </w:r>
    </w:p>
    <w:p w14:paraId="74DCDCD1" w14:textId="3A26AFFC" w:rsidR="00941EF3" w:rsidRPr="00AA40E6" w:rsidRDefault="00941EF3" w:rsidP="00B7596F">
      <w:pPr>
        <w:numPr>
          <w:ilvl w:val="12"/>
          <w:numId w:val="0"/>
        </w:numPr>
        <w:tabs>
          <w:tab w:val="left" w:pos="1418"/>
        </w:tabs>
        <w:spacing w:after="240"/>
        <w:jc w:val="center"/>
        <w:rPr>
          <w:lang w:val="fr-FR" w:eastAsia="fr-FR"/>
        </w:rPr>
      </w:pPr>
      <w:r w:rsidRPr="00AA40E6">
        <w:rPr>
          <w:noProof/>
          <w:position w:val="-22"/>
          <w:lang w:val="fr-FR" w:eastAsia="fr-FR"/>
        </w:rPr>
        <w:drawing>
          <wp:inline distT="0" distB="0" distL="0" distR="0" wp14:anchorId="0041BEE6" wp14:editId="310560B7">
            <wp:extent cx="133350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381000"/>
                    </a:xfrm>
                    <a:prstGeom prst="rect">
                      <a:avLst/>
                    </a:prstGeom>
                    <a:noFill/>
                    <a:ln>
                      <a:noFill/>
                    </a:ln>
                  </pic:spPr>
                </pic:pic>
              </a:graphicData>
            </a:graphic>
          </wp:inline>
        </w:drawing>
      </w:r>
    </w:p>
    <w:p w14:paraId="58102567"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ab/>
        <w:t>à chaque température souhaitée et établir la courbe des valeurs ainsi obtenues.</w:t>
      </w:r>
    </w:p>
    <w:p w14:paraId="7E77B469" w14:textId="5FA73321" w:rsidR="00941EF3" w:rsidRPr="00AA40E6" w:rsidRDefault="00941EF3" w:rsidP="00941EF3">
      <w:pPr>
        <w:numPr>
          <w:ilvl w:val="12"/>
          <w:numId w:val="0"/>
        </w:numPr>
        <w:tabs>
          <w:tab w:val="left" w:pos="1418"/>
        </w:tabs>
        <w:spacing w:after="240"/>
        <w:rPr>
          <w:lang w:val="fr-FR" w:eastAsia="fr-FR"/>
        </w:rPr>
      </w:pPr>
      <w:r w:rsidRPr="00AA40E6">
        <w:rPr>
          <w:lang w:val="fr-FR" w:eastAsia="fr-FR"/>
        </w:rPr>
        <w:t>28.4.2.4.4</w:t>
      </w:r>
      <w:r w:rsidRPr="00AA40E6">
        <w:rPr>
          <w:lang w:val="fr-FR" w:eastAsia="fr-FR"/>
        </w:rPr>
        <w:tab/>
        <w:t>Calculer la chaleur spécifique de la matière Cp</w:t>
      </w:r>
      <w:r w:rsidRPr="00AA40E6">
        <w:rPr>
          <w:vertAlign w:val="subscript"/>
          <w:lang w:val="fr-FR" w:eastAsia="fr-FR"/>
        </w:rPr>
        <w:t>2</w:t>
      </w:r>
      <w:r w:rsidRPr="00AA40E6">
        <w:rPr>
          <w:lang w:val="fr-FR" w:eastAsia="fr-FR"/>
        </w:rPr>
        <w:t xml:space="preserve"> (en J/K.kg) au moyen de la formule suivante :</w:t>
      </w:r>
    </w:p>
    <w:p w14:paraId="515111BC" w14:textId="793A22BF" w:rsidR="00941EF3" w:rsidRPr="00AA40E6" w:rsidRDefault="00941EF3" w:rsidP="00B7596F">
      <w:pPr>
        <w:numPr>
          <w:ilvl w:val="12"/>
          <w:numId w:val="0"/>
        </w:numPr>
        <w:tabs>
          <w:tab w:val="left" w:pos="1418"/>
        </w:tabs>
        <w:spacing w:after="240"/>
        <w:jc w:val="center"/>
        <w:rPr>
          <w:lang w:val="fr-FR" w:eastAsia="fr-FR"/>
        </w:rPr>
      </w:pPr>
      <w:r w:rsidRPr="00AA40E6">
        <w:rPr>
          <w:noProof/>
          <w:position w:val="-28"/>
          <w:lang w:val="fr-FR" w:eastAsia="fr-FR"/>
        </w:rPr>
        <w:drawing>
          <wp:inline distT="0" distB="0" distL="0" distR="0" wp14:anchorId="754523C4" wp14:editId="1B89FEA3">
            <wp:extent cx="1714500" cy="4127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412750"/>
                    </a:xfrm>
                    <a:prstGeom prst="rect">
                      <a:avLst/>
                    </a:prstGeom>
                    <a:noFill/>
                    <a:ln>
                      <a:noFill/>
                    </a:ln>
                  </pic:spPr>
                </pic:pic>
              </a:graphicData>
            </a:graphic>
          </wp:inline>
        </w:drawing>
      </w:r>
    </w:p>
    <w:p w14:paraId="2E224139" w14:textId="77777777" w:rsidR="00941EF3" w:rsidRPr="00AA40E6" w:rsidRDefault="00941EF3" w:rsidP="00941EF3">
      <w:pPr>
        <w:numPr>
          <w:ilvl w:val="12"/>
          <w:numId w:val="0"/>
        </w:numPr>
        <w:tabs>
          <w:tab w:val="left" w:pos="1418"/>
          <w:tab w:val="left" w:pos="2127"/>
          <w:tab w:val="left" w:pos="2694"/>
          <w:tab w:val="left" w:pos="3402"/>
        </w:tabs>
        <w:ind w:left="3261" w:hanging="3261"/>
        <w:rPr>
          <w:lang w:val="fr-FR" w:eastAsia="fr-FR"/>
        </w:rPr>
      </w:pPr>
      <w:r w:rsidRPr="00AA40E6">
        <w:rPr>
          <w:lang w:val="fr-FR" w:eastAsia="fr-FR"/>
        </w:rPr>
        <w:tab/>
        <w:t>où</w:t>
      </w:r>
      <w:r w:rsidRPr="00AA40E6">
        <w:rPr>
          <w:lang w:val="fr-FR" w:eastAsia="fr-FR"/>
        </w:rPr>
        <w:tab/>
        <w:t>E</w:t>
      </w:r>
      <w:r w:rsidRPr="00AA40E6">
        <w:rPr>
          <w:vertAlign w:val="subscript"/>
          <w:lang w:val="fr-FR" w:eastAsia="fr-FR"/>
        </w:rPr>
        <w:t>2</w:t>
      </w:r>
      <w:r w:rsidRPr="00AA40E6">
        <w:rPr>
          <w:lang w:val="fr-FR" w:eastAsia="fr-FR"/>
        </w:rPr>
        <w:tab/>
        <w:t>=</w:t>
      </w:r>
      <w:r w:rsidRPr="00AA40E6">
        <w:rPr>
          <w:lang w:val="fr-FR" w:eastAsia="fr-FR"/>
        </w:rPr>
        <w:tab/>
        <w:t>puissance appliquée à l'appareil de chauffage interne (W)</w:t>
      </w:r>
    </w:p>
    <w:p w14:paraId="732CFF12" w14:textId="2C616E7A" w:rsidR="00941EF3" w:rsidRPr="00AA40E6" w:rsidRDefault="00941EF3" w:rsidP="00941EF3">
      <w:pPr>
        <w:numPr>
          <w:ilvl w:val="12"/>
          <w:numId w:val="0"/>
        </w:numPr>
        <w:tabs>
          <w:tab w:val="left" w:pos="1418"/>
          <w:tab w:val="left" w:pos="2127"/>
          <w:tab w:val="left" w:pos="2694"/>
          <w:tab w:val="left" w:pos="3402"/>
        </w:tabs>
        <w:ind w:left="3261" w:hanging="3261"/>
        <w:rPr>
          <w:lang w:val="fr-FR" w:eastAsia="fr-FR"/>
        </w:rPr>
      </w:pPr>
      <w:r w:rsidRPr="00AA40E6">
        <w:rPr>
          <w:lang w:val="fr-FR" w:eastAsia="fr-FR"/>
        </w:rPr>
        <w:tab/>
      </w:r>
      <w:r w:rsidRPr="00AA40E6">
        <w:rPr>
          <w:lang w:val="fr-FR" w:eastAsia="fr-FR"/>
        </w:rPr>
        <w:tab/>
        <w:t>C</w:t>
      </w:r>
      <w:r w:rsidRPr="00AA40E6">
        <w:rPr>
          <w:lang w:val="fr-FR" w:eastAsia="fr-FR"/>
        </w:rPr>
        <w:tab/>
        <w:t>=</w:t>
      </w:r>
      <w:r w:rsidRPr="00AA40E6">
        <w:rPr>
          <w:lang w:val="fr-FR" w:eastAsia="fr-FR"/>
        </w:rPr>
        <w:tab/>
        <w:t>pente de la courbe de chauffage interne (échantillon) à la température de calcul (K/h)</w:t>
      </w:r>
    </w:p>
    <w:p w14:paraId="20424DCD" w14:textId="77777777" w:rsidR="00941EF3" w:rsidRPr="00AA40E6" w:rsidRDefault="00941EF3" w:rsidP="00941EF3">
      <w:pPr>
        <w:numPr>
          <w:ilvl w:val="12"/>
          <w:numId w:val="0"/>
        </w:numPr>
        <w:tabs>
          <w:tab w:val="left" w:pos="1418"/>
          <w:tab w:val="left" w:pos="2127"/>
          <w:tab w:val="left" w:pos="2694"/>
          <w:tab w:val="left" w:pos="3402"/>
        </w:tabs>
        <w:spacing w:after="240"/>
        <w:ind w:left="3260" w:hanging="3260"/>
        <w:rPr>
          <w:lang w:val="fr-FR" w:eastAsia="fr-FR"/>
        </w:rPr>
      </w:pPr>
      <w:r w:rsidRPr="00AA40E6">
        <w:rPr>
          <w:lang w:val="fr-FR" w:eastAsia="fr-FR"/>
        </w:rPr>
        <w:tab/>
      </w:r>
      <w:r w:rsidRPr="00AA40E6">
        <w:rPr>
          <w:lang w:val="fr-FR" w:eastAsia="fr-FR"/>
        </w:rPr>
        <w:tab/>
        <w:t>M</w:t>
      </w:r>
      <w:r w:rsidRPr="00AA40E6">
        <w:rPr>
          <w:vertAlign w:val="subscript"/>
          <w:lang w:val="fr-FR" w:eastAsia="fr-FR"/>
        </w:rPr>
        <w:t>2</w:t>
      </w:r>
      <w:r w:rsidRPr="00AA40E6">
        <w:rPr>
          <w:lang w:val="fr-FR" w:eastAsia="fr-FR"/>
        </w:rPr>
        <w:tab/>
        <w:t>=</w:t>
      </w:r>
      <w:r w:rsidRPr="00AA40E6">
        <w:rPr>
          <w:lang w:val="fr-FR" w:eastAsia="fr-FR"/>
        </w:rPr>
        <w:tab/>
        <w:t>masse de l'échantillon (kg)</w:t>
      </w:r>
    </w:p>
    <w:p w14:paraId="2AAF797B"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28.4.2.4.5</w:t>
      </w:r>
      <w:r w:rsidRPr="00AA40E6">
        <w:rPr>
          <w:lang w:val="fr-FR" w:eastAsia="fr-FR"/>
        </w:rPr>
        <w:tab/>
        <w:t>Calculer la production de chaleur Q</w:t>
      </w:r>
      <w:r w:rsidRPr="00AA40E6">
        <w:rPr>
          <w:vertAlign w:val="subscript"/>
          <w:lang w:val="fr-FR" w:eastAsia="fr-FR"/>
        </w:rPr>
        <w:t>T</w:t>
      </w:r>
      <w:r w:rsidRPr="00AA40E6">
        <w:rPr>
          <w:lang w:val="fr-FR" w:eastAsia="fr-FR"/>
        </w:rPr>
        <w:t xml:space="preserve"> (W/kg) de la matière à des intervalles de 5 °C au moyen de la formule suivante, pour chaque température :</w:t>
      </w:r>
    </w:p>
    <w:p w14:paraId="28D42C84" w14:textId="4653EF2D" w:rsidR="00941EF3" w:rsidRPr="00AA40E6" w:rsidRDefault="00941EF3" w:rsidP="00B7596F">
      <w:pPr>
        <w:numPr>
          <w:ilvl w:val="12"/>
          <w:numId w:val="0"/>
        </w:numPr>
        <w:tabs>
          <w:tab w:val="left" w:pos="1418"/>
        </w:tabs>
        <w:spacing w:after="240"/>
        <w:jc w:val="center"/>
        <w:rPr>
          <w:lang w:val="fr-FR" w:eastAsia="fr-FR"/>
        </w:rPr>
      </w:pPr>
      <w:r>
        <w:rPr>
          <w:position w:val="-30"/>
          <w:szCs w:val="22"/>
          <w:lang w:val="fr-FR" w:eastAsia="fr-FR"/>
        </w:rPr>
        <w:object w:dxaOrig="3090" w:dyaOrig="900" w14:anchorId="787A0878">
          <v:shape id="_x0000_i1026" type="#_x0000_t75" style="width:154.4pt;height:45.05pt" o:ole="">
            <v:imagedata r:id="rId34" o:title=""/>
          </v:shape>
          <o:OLEObject Type="Embed" ProgID="Equation.3" ShapeID="_x0000_i1026" DrawAspect="Content" ObjectID="_1685264721" r:id="rId35"/>
        </w:object>
      </w:r>
    </w:p>
    <w:p w14:paraId="6EBC8CB5" w14:textId="30D810F8" w:rsidR="00941EF3" w:rsidRPr="00AA40E6" w:rsidRDefault="00941EF3" w:rsidP="00941EF3">
      <w:pPr>
        <w:numPr>
          <w:ilvl w:val="12"/>
          <w:numId w:val="0"/>
        </w:numPr>
        <w:tabs>
          <w:tab w:val="left" w:pos="1418"/>
          <w:tab w:val="left" w:pos="2127"/>
          <w:tab w:val="left" w:pos="2694"/>
          <w:tab w:val="left" w:pos="3402"/>
        </w:tabs>
        <w:spacing w:after="240"/>
        <w:ind w:left="3260" w:hanging="3260"/>
        <w:rPr>
          <w:lang w:val="fr-FR" w:eastAsia="fr-FR"/>
        </w:rPr>
      </w:pPr>
      <w:r w:rsidRPr="00AA40E6">
        <w:rPr>
          <w:lang w:val="fr-FR" w:eastAsia="fr-FR"/>
        </w:rPr>
        <w:tab/>
        <w:t>où</w:t>
      </w:r>
      <w:r w:rsidRPr="00AA40E6">
        <w:rPr>
          <w:lang w:val="fr-FR" w:eastAsia="fr-FR"/>
        </w:rPr>
        <w:tab/>
        <w:t>D</w:t>
      </w:r>
      <w:r w:rsidRPr="00AA40E6">
        <w:rPr>
          <w:lang w:val="fr-FR" w:eastAsia="fr-FR"/>
        </w:rPr>
        <w:tab/>
        <w:t>=</w:t>
      </w:r>
      <w:r w:rsidRPr="00AA40E6">
        <w:rPr>
          <w:lang w:val="fr-FR" w:eastAsia="fr-FR"/>
        </w:rPr>
        <w:tab/>
        <w:t>pente de la courbe d'échauffement spontané à la température de calcul (K/h)</w:t>
      </w:r>
    </w:p>
    <w:p w14:paraId="526EE3E7" w14:textId="6C0FBAFB" w:rsidR="00941EF3" w:rsidRPr="00AA40E6" w:rsidRDefault="00941EF3" w:rsidP="00941EF3">
      <w:pPr>
        <w:numPr>
          <w:ilvl w:val="12"/>
          <w:numId w:val="0"/>
        </w:numPr>
        <w:tabs>
          <w:tab w:val="left" w:pos="1418"/>
        </w:tabs>
        <w:spacing w:after="240"/>
        <w:rPr>
          <w:lang w:val="fr-FR" w:eastAsia="fr-FR"/>
        </w:rPr>
      </w:pPr>
      <w:r w:rsidRPr="00AA40E6">
        <w:rPr>
          <w:lang w:val="fr-FR" w:eastAsia="fr-FR"/>
        </w:rPr>
        <w:t>28.4.2.4.6</w:t>
      </w:r>
      <w:r w:rsidRPr="00AA40E6">
        <w:rPr>
          <w:lang w:val="fr-FR" w:eastAsia="fr-FR"/>
        </w:rPr>
        <w:tab/>
        <w:t>Reporter les taux de production de chaleur calculés par unité de masse (Q</w:t>
      </w:r>
      <w:r w:rsidRPr="00AA40E6">
        <w:rPr>
          <w:vertAlign w:val="subscript"/>
          <w:lang w:val="fr-FR" w:eastAsia="fr-FR"/>
        </w:rPr>
        <w:t>T</w:t>
      </w:r>
      <w:r w:rsidRPr="00AA40E6">
        <w:rPr>
          <w:lang w:val="fr-FR" w:eastAsia="fr-FR"/>
        </w:rPr>
        <w:t xml:space="preserve">) en fonction de la température sur un diagramme à échelles linéaires et tracer la courbe la mieux ajustée entre les points. Déterminer les pertes de chaleur par unité de masse L (W/K.kg) de l'emballage, du GRV ou de la citerne soumis à l'épreuve (voir 28.3.5). Tracer sur le diagramme mentionné une ligne droite de pente </w:t>
      </w:r>
      <w:proofErr w:type="spellStart"/>
      <w:r w:rsidRPr="00AA40E6">
        <w:rPr>
          <w:lang w:val="fr-FR" w:eastAsia="fr-FR"/>
        </w:rPr>
        <w:t>L</w:t>
      </w:r>
      <w:proofErr w:type="spellEnd"/>
      <w:r w:rsidRPr="00AA40E6">
        <w:rPr>
          <w:lang w:val="fr-FR" w:eastAsia="fr-FR"/>
        </w:rPr>
        <w:t xml:space="preserve"> tangente à la courbe de production de chaleur. L'intersection de la ligne droite et de l'axe des abscisses représente la température ambiante critique, c'est-à-dire la température la plus élevée à laquelle le produit tel qu'il est emballé ne manifeste pas de décomposition auto-accélérée. La TDAA ou la TPAA est donnée par la température ambiante critique, en °C, arrondie au multiple de 5 °C le plus proche par valeur supérieure. Un exemple est donné à la figure 28.4.2.2.</w:t>
      </w:r>
    </w:p>
    <w:p w14:paraId="032A0158" w14:textId="77777777" w:rsidR="00941EF3" w:rsidRPr="00AA40E6" w:rsidRDefault="00941EF3" w:rsidP="00941EF3">
      <w:pPr>
        <w:keepNext/>
        <w:keepLines/>
        <w:numPr>
          <w:ilvl w:val="12"/>
          <w:numId w:val="0"/>
        </w:numPr>
        <w:tabs>
          <w:tab w:val="left" w:pos="1418"/>
        </w:tabs>
        <w:spacing w:after="240"/>
        <w:rPr>
          <w:i/>
          <w:lang w:val="fr-FR" w:eastAsia="fr-FR"/>
        </w:rPr>
      </w:pPr>
      <w:r w:rsidRPr="00AA40E6">
        <w:rPr>
          <w:lang w:val="fr-FR" w:eastAsia="fr-FR"/>
        </w:rPr>
        <w:t>28.4.2.5</w:t>
      </w:r>
      <w:r w:rsidRPr="00AA40E6">
        <w:rPr>
          <w:lang w:val="fr-FR" w:eastAsia="fr-FR"/>
        </w:rPr>
        <w:tab/>
      </w:r>
      <w:r w:rsidRPr="00AA40E6">
        <w:rPr>
          <w:i/>
          <w:lang w:val="fr-FR" w:eastAsia="fr-FR"/>
        </w:rPr>
        <w:t>Exemples de résultats</w:t>
      </w:r>
    </w:p>
    <w:tbl>
      <w:tblPr>
        <w:tblW w:w="5000" w:type="pct"/>
        <w:tblCellMar>
          <w:left w:w="120" w:type="dxa"/>
          <w:right w:w="120" w:type="dxa"/>
        </w:tblCellMar>
        <w:tblLook w:val="04A0" w:firstRow="1" w:lastRow="0" w:firstColumn="1" w:lastColumn="0" w:noHBand="0" w:noVBand="1"/>
      </w:tblPr>
      <w:tblGrid>
        <w:gridCol w:w="3687"/>
        <w:gridCol w:w="1417"/>
        <w:gridCol w:w="1276"/>
        <w:gridCol w:w="1787"/>
        <w:gridCol w:w="1471"/>
      </w:tblGrid>
      <w:tr w:rsidR="00941EF3" w14:paraId="60514DD2" w14:textId="77777777" w:rsidTr="00941EF3">
        <w:trPr>
          <w:cantSplit/>
        </w:trPr>
        <w:tc>
          <w:tcPr>
            <w:tcW w:w="1913" w:type="pct"/>
            <w:tcBorders>
              <w:top w:val="single" w:sz="8" w:space="0" w:color="auto"/>
              <w:left w:val="nil"/>
              <w:bottom w:val="single" w:sz="8" w:space="0" w:color="auto"/>
              <w:right w:val="nil"/>
            </w:tcBorders>
            <w:hideMark/>
          </w:tcPr>
          <w:p w14:paraId="7D823A12" w14:textId="77777777" w:rsidR="00941EF3" w:rsidRPr="00AA40E6" w:rsidRDefault="00941EF3">
            <w:pPr>
              <w:numPr>
                <w:ilvl w:val="12"/>
                <w:numId w:val="0"/>
              </w:numPr>
              <w:spacing w:before="40" w:after="40"/>
              <w:rPr>
                <w:rFonts w:eastAsia="SimSun"/>
                <w:b/>
                <w:bCs/>
                <w:sz w:val="24"/>
                <w:lang w:val="fr-FR" w:eastAsia="fr-FR"/>
              </w:rPr>
            </w:pPr>
            <w:r w:rsidRPr="00AA40E6">
              <w:rPr>
                <w:rFonts w:eastAsia="SimSun"/>
                <w:b/>
                <w:bCs/>
                <w:sz w:val="20"/>
                <w:szCs w:val="20"/>
                <w:lang w:val="fr-FR" w:eastAsia="fr-FR"/>
              </w:rPr>
              <w:t>Matière</w:t>
            </w:r>
          </w:p>
        </w:tc>
        <w:tc>
          <w:tcPr>
            <w:tcW w:w="735" w:type="pct"/>
            <w:tcBorders>
              <w:top w:val="single" w:sz="8" w:space="0" w:color="auto"/>
              <w:left w:val="nil"/>
              <w:bottom w:val="single" w:sz="8" w:space="0" w:color="auto"/>
              <w:right w:val="nil"/>
            </w:tcBorders>
            <w:hideMark/>
          </w:tcPr>
          <w:p w14:paraId="07FAD216" w14:textId="77777777" w:rsidR="00941EF3" w:rsidRPr="00AA40E6" w:rsidRDefault="00941EF3">
            <w:pPr>
              <w:numPr>
                <w:ilvl w:val="12"/>
                <w:numId w:val="0"/>
              </w:numPr>
              <w:spacing w:before="40" w:after="40"/>
              <w:jc w:val="right"/>
              <w:rPr>
                <w:rFonts w:eastAsia="SimSun"/>
                <w:b/>
                <w:bCs/>
                <w:sz w:val="24"/>
                <w:lang w:val="fr-FR" w:eastAsia="fr-FR"/>
              </w:rPr>
            </w:pPr>
            <w:r w:rsidRPr="00AA40E6">
              <w:rPr>
                <w:rFonts w:eastAsia="SimSun"/>
                <w:b/>
                <w:bCs/>
                <w:sz w:val="20"/>
                <w:szCs w:val="20"/>
                <w:lang w:val="fr-FR" w:eastAsia="fr-FR"/>
              </w:rPr>
              <w:t>Masse (kg)</w:t>
            </w:r>
          </w:p>
        </w:tc>
        <w:tc>
          <w:tcPr>
            <w:tcW w:w="662" w:type="pct"/>
            <w:tcBorders>
              <w:top w:val="single" w:sz="8" w:space="0" w:color="auto"/>
              <w:left w:val="nil"/>
              <w:bottom w:val="single" w:sz="8" w:space="0" w:color="auto"/>
              <w:right w:val="nil"/>
            </w:tcBorders>
            <w:hideMark/>
          </w:tcPr>
          <w:p w14:paraId="3C5A3EAE" w14:textId="77777777" w:rsidR="00941EF3" w:rsidRPr="00AA40E6" w:rsidRDefault="00941EF3">
            <w:pPr>
              <w:numPr>
                <w:ilvl w:val="12"/>
                <w:numId w:val="0"/>
              </w:numPr>
              <w:spacing w:before="40" w:after="40"/>
              <w:rPr>
                <w:rFonts w:eastAsia="SimSun"/>
                <w:b/>
                <w:bCs/>
                <w:sz w:val="24"/>
                <w:lang w:val="fr-FR" w:eastAsia="fr-FR"/>
              </w:rPr>
            </w:pPr>
            <w:r w:rsidRPr="00AA40E6">
              <w:rPr>
                <w:rFonts w:eastAsia="SimSun"/>
                <w:b/>
                <w:bCs/>
                <w:sz w:val="20"/>
                <w:szCs w:val="20"/>
                <w:lang w:val="fr-FR" w:eastAsia="fr-FR"/>
              </w:rPr>
              <w:t>Emballage</w:t>
            </w:r>
          </w:p>
        </w:tc>
        <w:tc>
          <w:tcPr>
            <w:tcW w:w="927" w:type="pct"/>
            <w:tcBorders>
              <w:top w:val="single" w:sz="8" w:space="0" w:color="auto"/>
              <w:left w:val="nil"/>
              <w:bottom w:val="single" w:sz="8" w:space="0" w:color="auto"/>
              <w:right w:val="nil"/>
            </w:tcBorders>
            <w:hideMark/>
          </w:tcPr>
          <w:p w14:paraId="6D2364E3" w14:textId="32851490" w:rsidR="00941EF3" w:rsidRPr="00AA40E6" w:rsidRDefault="00941EF3">
            <w:pPr>
              <w:numPr>
                <w:ilvl w:val="12"/>
                <w:numId w:val="0"/>
              </w:numPr>
              <w:spacing w:before="40" w:after="40"/>
              <w:jc w:val="right"/>
              <w:rPr>
                <w:rFonts w:eastAsia="SimSun"/>
                <w:b/>
                <w:bCs/>
                <w:sz w:val="24"/>
                <w:lang w:val="fr-FR" w:eastAsia="fr-FR"/>
              </w:rPr>
            </w:pPr>
            <w:r w:rsidRPr="00AA40E6">
              <w:rPr>
                <w:rFonts w:eastAsia="SimSun"/>
                <w:b/>
                <w:bCs/>
                <w:sz w:val="20"/>
                <w:lang w:val="fr-FR" w:eastAsia="fr-FR"/>
              </w:rPr>
              <w:t xml:space="preserve">Pertes de chaleur par unité de masse </w:t>
            </w:r>
            <w:r w:rsidRPr="00AA40E6">
              <w:rPr>
                <w:rFonts w:eastAsia="SimSun"/>
                <w:b/>
                <w:bCs/>
                <w:sz w:val="20"/>
                <w:szCs w:val="20"/>
                <w:lang w:val="fr-FR" w:eastAsia="fr-FR"/>
              </w:rPr>
              <w:t>(mW/K.kg)</w:t>
            </w:r>
          </w:p>
        </w:tc>
        <w:tc>
          <w:tcPr>
            <w:tcW w:w="763" w:type="pct"/>
            <w:tcBorders>
              <w:top w:val="single" w:sz="8" w:space="0" w:color="auto"/>
              <w:left w:val="nil"/>
              <w:bottom w:val="single" w:sz="8" w:space="0" w:color="auto"/>
              <w:right w:val="nil"/>
            </w:tcBorders>
            <w:hideMark/>
          </w:tcPr>
          <w:p w14:paraId="01E243D7" w14:textId="77777777" w:rsidR="00941EF3" w:rsidRPr="00AA40E6" w:rsidRDefault="00941EF3">
            <w:pPr>
              <w:numPr>
                <w:ilvl w:val="12"/>
                <w:numId w:val="0"/>
              </w:numPr>
              <w:spacing w:before="40" w:after="40"/>
              <w:jc w:val="right"/>
              <w:rPr>
                <w:rFonts w:eastAsia="SimSun"/>
                <w:b/>
                <w:bCs/>
                <w:sz w:val="24"/>
                <w:lang w:val="fr-FR" w:eastAsia="fr-FR"/>
              </w:rPr>
            </w:pPr>
            <w:r w:rsidRPr="00AA40E6">
              <w:rPr>
                <w:rFonts w:eastAsia="SimSun"/>
                <w:b/>
                <w:bCs/>
                <w:sz w:val="20"/>
                <w:lang w:val="fr-FR" w:eastAsia="fr-FR"/>
              </w:rPr>
              <w:t xml:space="preserve">TDAA/TPAA </w:t>
            </w:r>
            <w:r w:rsidRPr="00AA40E6">
              <w:rPr>
                <w:rFonts w:eastAsia="SimSun"/>
                <w:b/>
                <w:bCs/>
                <w:sz w:val="20"/>
                <w:szCs w:val="20"/>
                <w:lang w:val="fr-FR" w:eastAsia="fr-FR"/>
              </w:rPr>
              <w:t>(°C)</w:t>
            </w:r>
          </w:p>
        </w:tc>
      </w:tr>
      <w:tr w:rsidR="00941EF3" w14:paraId="7E4F8D3F" w14:textId="77777777" w:rsidTr="00941EF3">
        <w:trPr>
          <w:cantSplit/>
        </w:trPr>
        <w:tc>
          <w:tcPr>
            <w:tcW w:w="1913" w:type="pct"/>
            <w:tcBorders>
              <w:top w:val="single" w:sz="8" w:space="0" w:color="auto"/>
              <w:left w:val="nil"/>
              <w:bottom w:val="nil"/>
              <w:right w:val="nil"/>
            </w:tcBorders>
            <w:vAlign w:val="center"/>
            <w:hideMark/>
          </w:tcPr>
          <w:p w14:paraId="2A234C68"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szCs w:val="20"/>
                <w:lang w:val="fr-FR" w:eastAsia="fr-FR"/>
              </w:rPr>
              <w:t>Azodicarbonamide</w:t>
            </w:r>
            <w:r w:rsidRPr="00AA40E6">
              <w:rPr>
                <w:rFonts w:eastAsia="SimSun"/>
                <w:b/>
                <w:bCs/>
                <w:sz w:val="20"/>
                <w:szCs w:val="20"/>
                <w:vertAlign w:val="superscript"/>
                <w:lang w:val="fr-FR" w:eastAsia="fr-FR"/>
              </w:rPr>
              <w:t>a</w:t>
            </w:r>
            <w:proofErr w:type="spellEnd"/>
          </w:p>
        </w:tc>
        <w:tc>
          <w:tcPr>
            <w:tcW w:w="735" w:type="pct"/>
            <w:tcBorders>
              <w:top w:val="single" w:sz="8" w:space="0" w:color="auto"/>
              <w:left w:val="nil"/>
              <w:bottom w:val="nil"/>
              <w:right w:val="nil"/>
            </w:tcBorders>
            <w:vAlign w:val="bottom"/>
            <w:hideMark/>
          </w:tcPr>
          <w:p w14:paraId="2736F777"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30</w:t>
            </w:r>
          </w:p>
        </w:tc>
        <w:tc>
          <w:tcPr>
            <w:tcW w:w="662" w:type="pct"/>
            <w:tcBorders>
              <w:top w:val="single" w:sz="8" w:space="0" w:color="auto"/>
              <w:left w:val="nil"/>
              <w:bottom w:val="nil"/>
              <w:right w:val="nil"/>
            </w:tcBorders>
            <w:vAlign w:val="bottom"/>
            <w:hideMark/>
          </w:tcPr>
          <w:p w14:paraId="02C0673A"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1G</w:t>
            </w:r>
          </w:p>
        </w:tc>
        <w:tc>
          <w:tcPr>
            <w:tcW w:w="927" w:type="pct"/>
            <w:tcBorders>
              <w:top w:val="single" w:sz="8" w:space="0" w:color="auto"/>
              <w:left w:val="nil"/>
              <w:bottom w:val="nil"/>
              <w:right w:val="nil"/>
            </w:tcBorders>
            <w:vAlign w:val="bottom"/>
            <w:hideMark/>
          </w:tcPr>
          <w:p w14:paraId="2A44CB20"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100</w:t>
            </w:r>
          </w:p>
        </w:tc>
        <w:tc>
          <w:tcPr>
            <w:tcW w:w="763" w:type="pct"/>
            <w:tcBorders>
              <w:top w:val="single" w:sz="8" w:space="0" w:color="auto"/>
              <w:left w:val="nil"/>
              <w:bottom w:val="nil"/>
              <w:right w:val="nil"/>
            </w:tcBorders>
            <w:vAlign w:val="bottom"/>
            <w:hideMark/>
          </w:tcPr>
          <w:p w14:paraId="2C31672A"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&gt; 75</w:t>
            </w:r>
          </w:p>
        </w:tc>
      </w:tr>
      <w:tr w:rsidR="00941EF3" w14:paraId="2A94E4D2" w14:textId="77777777" w:rsidTr="00941EF3">
        <w:trPr>
          <w:cantSplit/>
        </w:trPr>
        <w:tc>
          <w:tcPr>
            <w:tcW w:w="1913" w:type="pct"/>
            <w:vAlign w:val="center"/>
            <w:hideMark/>
          </w:tcPr>
          <w:p w14:paraId="4CEAA5AB"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szCs w:val="20"/>
                <w:lang w:val="fr-FR" w:eastAsia="fr-FR"/>
              </w:rPr>
              <w:t>Peroxybenzoate</w:t>
            </w:r>
            <w:proofErr w:type="spellEnd"/>
            <w:r w:rsidRPr="00AA40E6">
              <w:rPr>
                <w:rFonts w:eastAsia="SimSun"/>
                <w:sz w:val="20"/>
                <w:szCs w:val="20"/>
                <w:lang w:val="fr-FR" w:eastAsia="fr-FR"/>
              </w:rPr>
              <w:t xml:space="preserve"> de </w:t>
            </w:r>
            <w:proofErr w:type="spellStart"/>
            <w:r w:rsidRPr="00AA40E6">
              <w:rPr>
                <w:rFonts w:eastAsia="SimSun"/>
                <w:sz w:val="20"/>
                <w:szCs w:val="20"/>
                <w:lang w:val="fr-FR" w:eastAsia="fr-FR"/>
              </w:rPr>
              <w:t>tert-butyle</w:t>
            </w:r>
            <w:r w:rsidRPr="00AA40E6">
              <w:rPr>
                <w:rFonts w:eastAsia="SimSun"/>
                <w:b/>
                <w:bCs/>
                <w:sz w:val="20"/>
                <w:szCs w:val="20"/>
                <w:vertAlign w:val="superscript"/>
                <w:lang w:val="fr-FR" w:eastAsia="fr-FR"/>
              </w:rPr>
              <w:t>a</w:t>
            </w:r>
            <w:proofErr w:type="spellEnd"/>
          </w:p>
        </w:tc>
        <w:tc>
          <w:tcPr>
            <w:tcW w:w="735" w:type="pct"/>
            <w:vAlign w:val="bottom"/>
            <w:hideMark/>
          </w:tcPr>
          <w:p w14:paraId="60E26DA8"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25</w:t>
            </w:r>
          </w:p>
        </w:tc>
        <w:tc>
          <w:tcPr>
            <w:tcW w:w="662" w:type="pct"/>
            <w:vAlign w:val="bottom"/>
            <w:hideMark/>
          </w:tcPr>
          <w:p w14:paraId="6995AC62"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6HG2</w:t>
            </w:r>
          </w:p>
        </w:tc>
        <w:tc>
          <w:tcPr>
            <w:tcW w:w="927" w:type="pct"/>
            <w:vAlign w:val="bottom"/>
            <w:hideMark/>
          </w:tcPr>
          <w:p w14:paraId="2E030A16"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70</w:t>
            </w:r>
          </w:p>
        </w:tc>
        <w:tc>
          <w:tcPr>
            <w:tcW w:w="763" w:type="pct"/>
            <w:vAlign w:val="bottom"/>
            <w:hideMark/>
          </w:tcPr>
          <w:p w14:paraId="45A6C9B4"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55</w:t>
            </w:r>
          </w:p>
        </w:tc>
      </w:tr>
      <w:tr w:rsidR="00941EF3" w14:paraId="660A6C11" w14:textId="77777777" w:rsidTr="00941EF3">
        <w:trPr>
          <w:cantSplit/>
        </w:trPr>
        <w:tc>
          <w:tcPr>
            <w:tcW w:w="1913" w:type="pct"/>
            <w:vAlign w:val="center"/>
            <w:hideMark/>
          </w:tcPr>
          <w:p w14:paraId="2D1B0B61"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 xml:space="preserve">Peroxy-2-éthylhexanoate de </w:t>
            </w:r>
            <w:proofErr w:type="spellStart"/>
            <w:r w:rsidRPr="00AA40E6">
              <w:rPr>
                <w:rFonts w:eastAsia="SimSun"/>
                <w:sz w:val="20"/>
                <w:szCs w:val="20"/>
                <w:lang w:val="fr-FR" w:eastAsia="fr-FR"/>
              </w:rPr>
              <w:t>tert-butyle</w:t>
            </w:r>
            <w:r w:rsidRPr="00AA40E6">
              <w:rPr>
                <w:rFonts w:eastAsia="SimSun"/>
                <w:b/>
                <w:bCs/>
                <w:sz w:val="20"/>
                <w:szCs w:val="20"/>
                <w:vertAlign w:val="superscript"/>
                <w:lang w:val="fr-FR" w:eastAsia="fr-FR"/>
              </w:rPr>
              <w:t>a</w:t>
            </w:r>
            <w:proofErr w:type="spellEnd"/>
          </w:p>
        </w:tc>
        <w:tc>
          <w:tcPr>
            <w:tcW w:w="735" w:type="pct"/>
            <w:vAlign w:val="bottom"/>
            <w:hideMark/>
          </w:tcPr>
          <w:p w14:paraId="01905FD5"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25</w:t>
            </w:r>
          </w:p>
        </w:tc>
        <w:tc>
          <w:tcPr>
            <w:tcW w:w="662" w:type="pct"/>
            <w:vAlign w:val="bottom"/>
            <w:hideMark/>
          </w:tcPr>
          <w:p w14:paraId="1AB92ED2"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6HG2</w:t>
            </w:r>
          </w:p>
        </w:tc>
        <w:tc>
          <w:tcPr>
            <w:tcW w:w="927" w:type="pct"/>
            <w:vAlign w:val="bottom"/>
            <w:hideMark/>
          </w:tcPr>
          <w:p w14:paraId="4D45E9DC"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70</w:t>
            </w:r>
          </w:p>
        </w:tc>
        <w:tc>
          <w:tcPr>
            <w:tcW w:w="763" w:type="pct"/>
            <w:vAlign w:val="bottom"/>
            <w:hideMark/>
          </w:tcPr>
          <w:p w14:paraId="0E296B6A"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40</w:t>
            </w:r>
          </w:p>
        </w:tc>
      </w:tr>
      <w:tr w:rsidR="00941EF3" w14:paraId="022BE27B" w14:textId="77777777" w:rsidTr="00941EF3">
        <w:trPr>
          <w:cantSplit/>
        </w:trPr>
        <w:tc>
          <w:tcPr>
            <w:tcW w:w="1913" w:type="pct"/>
            <w:vAlign w:val="center"/>
            <w:hideMark/>
          </w:tcPr>
          <w:p w14:paraId="38E0A89C"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szCs w:val="20"/>
                <w:lang w:val="fr-FR" w:eastAsia="fr-FR"/>
              </w:rPr>
              <w:t>Peroxypivalate</w:t>
            </w:r>
            <w:proofErr w:type="spellEnd"/>
            <w:r w:rsidRPr="00AA40E6">
              <w:rPr>
                <w:rFonts w:eastAsia="SimSun"/>
                <w:sz w:val="20"/>
                <w:szCs w:val="20"/>
                <w:lang w:val="fr-FR" w:eastAsia="fr-FR"/>
              </w:rPr>
              <w:t xml:space="preserve"> de </w:t>
            </w:r>
            <w:proofErr w:type="spellStart"/>
            <w:r w:rsidRPr="00AA40E6">
              <w:rPr>
                <w:rFonts w:eastAsia="SimSun"/>
                <w:sz w:val="20"/>
                <w:szCs w:val="20"/>
                <w:lang w:val="fr-FR" w:eastAsia="fr-FR"/>
              </w:rPr>
              <w:t>tert-butyle</w:t>
            </w:r>
            <w:r w:rsidRPr="00AA40E6">
              <w:rPr>
                <w:rFonts w:eastAsia="SimSun"/>
                <w:b/>
                <w:bCs/>
                <w:sz w:val="20"/>
                <w:szCs w:val="20"/>
                <w:vertAlign w:val="superscript"/>
                <w:lang w:val="fr-FR" w:eastAsia="fr-FR"/>
              </w:rPr>
              <w:t>a</w:t>
            </w:r>
            <w:proofErr w:type="spellEnd"/>
          </w:p>
        </w:tc>
        <w:tc>
          <w:tcPr>
            <w:tcW w:w="735" w:type="pct"/>
            <w:vAlign w:val="bottom"/>
            <w:hideMark/>
          </w:tcPr>
          <w:p w14:paraId="1DB139BF"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25</w:t>
            </w:r>
          </w:p>
        </w:tc>
        <w:tc>
          <w:tcPr>
            <w:tcW w:w="662" w:type="pct"/>
            <w:vAlign w:val="bottom"/>
            <w:hideMark/>
          </w:tcPr>
          <w:p w14:paraId="33011C65"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6HG2</w:t>
            </w:r>
          </w:p>
        </w:tc>
        <w:tc>
          <w:tcPr>
            <w:tcW w:w="927" w:type="pct"/>
            <w:vAlign w:val="bottom"/>
            <w:hideMark/>
          </w:tcPr>
          <w:p w14:paraId="4CAB1785"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70</w:t>
            </w:r>
          </w:p>
        </w:tc>
        <w:tc>
          <w:tcPr>
            <w:tcW w:w="763" w:type="pct"/>
            <w:vAlign w:val="bottom"/>
            <w:hideMark/>
          </w:tcPr>
          <w:p w14:paraId="5AB2386F"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25</w:t>
            </w:r>
          </w:p>
        </w:tc>
      </w:tr>
      <w:tr w:rsidR="00941EF3" w14:paraId="79514BF7" w14:textId="77777777" w:rsidTr="00941EF3">
        <w:trPr>
          <w:cantSplit/>
        </w:trPr>
        <w:tc>
          <w:tcPr>
            <w:tcW w:w="1913" w:type="pct"/>
            <w:tcBorders>
              <w:top w:val="nil"/>
              <w:left w:val="nil"/>
              <w:bottom w:val="single" w:sz="8" w:space="0" w:color="auto"/>
              <w:right w:val="nil"/>
            </w:tcBorders>
            <w:vAlign w:val="center"/>
            <w:hideMark/>
          </w:tcPr>
          <w:p w14:paraId="689C283A"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N-</w:t>
            </w:r>
            <w:proofErr w:type="spellStart"/>
            <w:r w:rsidRPr="00AA40E6">
              <w:rPr>
                <w:rFonts w:eastAsia="SimSun"/>
                <w:sz w:val="20"/>
                <w:szCs w:val="20"/>
                <w:lang w:val="fr-FR" w:eastAsia="fr-FR"/>
              </w:rPr>
              <w:t>Vinylformamide</w:t>
            </w:r>
            <w:proofErr w:type="spellEnd"/>
          </w:p>
        </w:tc>
        <w:tc>
          <w:tcPr>
            <w:tcW w:w="735" w:type="pct"/>
            <w:tcBorders>
              <w:top w:val="nil"/>
              <w:left w:val="nil"/>
              <w:bottom w:val="single" w:sz="8" w:space="0" w:color="auto"/>
              <w:right w:val="nil"/>
            </w:tcBorders>
            <w:vAlign w:val="bottom"/>
            <w:hideMark/>
          </w:tcPr>
          <w:p w14:paraId="49C024F8"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1000</w:t>
            </w:r>
          </w:p>
        </w:tc>
        <w:tc>
          <w:tcPr>
            <w:tcW w:w="662" w:type="pct"/>
            <w:tcBorders>
              <w:top w:val="nil"/>
              <w:left w:val="nil"/>
              <w:bottom w:val="single" w:sz="8" w:space="0" w:color="auto"/>
              <w:right w:val="nil"/>
            </w:tcBorders>
            <w:vAlign w:val="bottom"/>
            <w:hideMark/>
          </w:tcPr>
          <w:p w14:paraId="6B571E26"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31H1</w:t>
            </w:r>
          </w:p>
        </w:tc>
        <w:tc>
          <w:tcPr>
            <w:tcW w:w="927" w:type="pct"/>
            <w:tcBorders>
              <w:top w:val="nil"/>
              <w:left w:val="nil"/>
              <w:bottom w:val="single" w:sz="8" w:space="0" w:color="auto"/>
              <w:right w:val="nil"/>
            </w:tcBorders>
            <w:vAlign w:val="bottom"/>
            <w:hideMark/>
          </w:tcPr>
          <w:p w14:paraId="082C92C4"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33</w:t>
            </w:r>
          </w:p>
        </w:tc>
        <w:tc>
          <w:tcPr>
            <w:tcW w:w="763" w:type="pct"/>
            <w:tcBorders>
              <w:top w:val="nil"/>
              <w:left w:val="nil"/>
              <w:bottom w:val="single" w:sz="8" w:space="0" w:color="auto"/>
              <w:right w:val="nil"/>
            </w:tcBorders>
            <w:vAlign w:val="bottom"/>
            <w:hideMark/>
          </w:tcPr>
          <w:p w14:paraId="31071F87"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55</w:t>
            </w:r>
          </w:p>
        </w:tc>
      </w:tr>
    </w:tbl>
    <w:p w14:paraId="3EDC3F56" w14:textId="77777777" w:rsidR="00941EF3" w:rsidRDefault="00941EF3" w:rsidP="00941EF3">
      <w:pPr>
        <w:rPr>
          <w:rFonts w:asciiTheme="majorBidi" w:hAnsiTheme="majorBidi" w:cstheme="majorBidi"/>
          <w:szCs w:val="22"/>
          <w:lang w:val="fr-FR"/>
        </w:rPr>
      </w:pPr>
      <w:r w:rsidRPr="00AA40E6">
        <w:rPr>
          <w:rFonts w:asciiTheme="majorBidi" w:hAnsiTheme="majorBidi" w:cstheme="majorBidi"/>
          <w:b/>
          <w:bCs/>
          <w:vertAlign w:val="superscript"/>
          <w:lang w:val="fr-FR"/>
        </w:rPr>
        <w:t>a</w:t>
      </w:r>
      <w:bookmarkStart w:id="4" w:name="_Hlk37146592"/>
      <w:r w:rsidRPr="00AA40E6">
        <w:rPr>
          <w:rFonts w:asciiTheme="majorBidi" w:hAnsiTheme="majorBidi" w:cstheme="majorBidi"/>
          <w:i/>
          <w:iCs/>
          <w:vertAlign w:val="superscript"/>
          <w:lang w:val="fr-FR"/>
        </w:rPr>
        <w:tab/>
      </w:r>
      <w:r w:rsidRPr="00AA40E6">
        <w:rPr>
          <w:rFonts w:asciiTheme="majorBidi" w:hAnsiTheme="majorBidi" w:cstheme="majorBidi"/>
          <w:i/>
          <w:lang w:val="fr-FR"/>
        </w:rPr>
        <w:t>Dans</w:t>
      </w:r>
      <w:r w:rsidRPr="00AA40E6">
        <w:rPr>
          <w:rFonts w:asciiTheme="majorBidi" w:hAnsiTheme="majorBidi" w:cstheme="majorBidi"/>
          <w:lang w:val="fr-FR"/>
        </w:rPr>
        <w:t xml:space="preserve"> c</w:t>
      </w:r>
      <w:r w:rsidRPr="00AA40E6">
        <w:rPr>
          <w:rFonts w:asciiTheme="majorBidi" w:hAnsiTheme="majorBidi" w:cstheme="majorBidi"/>
          <w:i/>
          <w:iCs/>
          <w:lang w:val="fr-FR"/>
        </w:rPr>
        <w:t xml:space="preserve">es exemples tirés d’épreuves passées, la TDAA ou la TPAA ont été déterminées avec des pertes de chaleur supérieures à celles qui sont actuellement recommandées aux fins de la classification </w:t>
      </w:r>
      <w:bookmarkEnd w:id="4"/>
      <w:r w:rsidRPr="00AA40E6">
        <w:rPr>
          <w:rFonts w:asciiTheme="majorBidi" w:hAnsiTheme="majorBidi" w:cstheme="majorBidi"/>
          <w:i/>
          <w:iCs/>
          <w:lang w:val="fr-FR"/>
        </w:rPr>
        <w:t>(voir tableau 28.4).</w:t>
      </w:r>
    </w:p>
    <w:p w14:paraId="2276A2C8" w14:textId="77777777" w:rsidR="00941EF3" w:rsidRPr="00AA40E6" w:rsidRDefault="00941EF3" w:rsidP="00941EF3">
      <w:pPr>
        <w:rPr>
          <w:lang w:val="fr-FR" w:eastAsia="fr-FR"/>
        </w:rPr>
      </w:pPr>
      <w:r w:rsidRPr="00AA40E6">
        <w:rPr>
          <w:lang w:val="fr-FR" w:eastAsia="fr-FR"/>
        </w:rPr>
        <w:br w:type="page"/>
      </w:r>
    </w:p>
    <w:p w14:paraId="3C4F92A5" w14:textId="77777777" w:rsidR="00941EF3" w:rsidRPr="00AA40E6" w:rsidRDefault="00941EF3" w:rsidP="00941EF3">
      <w:pPr>
        <w:keepNext/>
        <w:spacing w:after="200"/>
        <w:jc w:val="center"/>
        <w:rPr>
          <w:rFonts w:ascii="Times New Roman Bold" w:hAnsi="Times New Roman Bold"/>
          <w:b/>
          <w:bCs/>
          <w:szCs w:val="20"/>
          <w:lang w:val="fr-FR" w:eastAsia="fr-FR"/>
        </w:rPr>
      </w:pPr>
      <w:r w:rsidRPr="00AA40E6">
        <w:rPr>
          <w:rFonts w:ascii="Times New Roman Bold" w:hAnsi="Times New Roman Bold"/>
          <w:b/>
          <w:bCs/>
          <w:szCs w:val="20"/>
          <w:lang w:val="fr-FR" w:eastAsia="fr-FR"/>
        </w:rPr>
        <w:lastRenderedPageBreak/>
        <w:t>Figure 28.4.2.1 : Installation pour l'épreuve de stockage adiabatique</w:t>
      </w:r>
    </w:p>
    <w:p w14:paraId="53B9A26D" w14:textId="1AA51C70" w:rsidR="00941EF3" w:rsidRPr="00AA40E6" w:rsidRDefault="00941EF3" w:rsidP="00941EF3">
      <w:pPr>
        <w:numPr>
          <w:ilvl w:val="12"/>
          <w:numId w:val="0"/>
        </w:numPr>
        <w:tabs>
          <w:tab w:val="left" w:pos="1418"/>
        </w:tabs>
        <w:spacing w:after="240"/>
        <w:jc w:val="center"/>
        <w:rPr>
          <w:szCs w:val="22"/>
          <w:lang w:val="fr-FR" w:eastAsia="fr-FR"/>
        </w:rPr>
      </w:pPr>
      <w:r w:rsidRPr="00AA40E6">
        <w:rPr>
          <w:noProof/>
          <w:lang w:val="fr-FR" w:eastAsia="fr-FR"/>
        </w:rPr>
        <w:drawing>
          <wp:inline distT="0" distB="0" distL="0" distR="0" wp14:anchorId="7CA3CBF7" wp14:editId="69F0E769">
            <wp:extent cx="4610100" cy="5899562"/>
            <wp:effectExtent l="0" t="0" r="0" b="0"/>
            <wp:docPr id="20" name="Graphic 20"/>
            <wp:cNvGraphicFramePr/>
            <a:graphic xmlns:a="http://schemas.openxmlformats.org/drawingml/2006/main">
              <a:graphicData uri="http://schemas.openxmlformats.org/drawingml/2006/picture">
                <pic:pic xmlns:pic="http://schemas.openxmlformats.org/drawingml/2006/picture">
                  <pic:nvPicPr>
                    <pic:cNvPr id="62" name="Graphic 62"/>
                    <pic:cNvPicPr/>
                  </pic:nvPicPr>
                  <pic:blipFill rotWithShape="1">
                    <a:blip r:embed="rId36">
                      <a:extLst>
                        <a:ext uri="{96DAC541-7B7A-43D3-8B79-37D633B846F1}">
                          <asvg:svgBlip xmlns:asvg="http://schemas.microsoft.com/office/drawing/2016/SVG/main" r:embed="rId37"/>
                        </a:ext>
                      </a:extLst>
                    </a:blip>
                    <a:srcRect t="-13204" b="-13204"/>
                    <a:stretch/>
                  </pic:blipFill>
                  <pic:spPr bwMode="auto">
                    <a:xfrm>
                      <a:off x="0" y="0"/>
                      <a:ext cx="4610100" cy="5899562"/>
                    </a:xfrm>
                    <a:prstGeom prst="rect">
                      <a:avLst/>
                    </a:prstGeom>
                    <a:ln>
                      <a:noFill/>
                    </a:ln>
                    <a:extLst>
                      <a:ext uri="{53640926-AAD7-44D8-BBD7-CCE9431645EC}">
                        <a14:shadowObscured xmlns:a14="http://schemas.microsoft.com/office/drawing/2010/main"/>
                      </a:ext>
                    </a:extLst>
                  </pic:spPr>
                </pic:pic>
              </a:graphicData>
            </a:graphic>
          </wp:inline>
        </w:drawing>
      </w:r>
    </w:p>
    <w:tbl>
      <w:tblPr>
        <w:tblW w:w="9645" w:type="dxa"/>
        <w:tblInd w:w="120" w:type="dxa"/>
        <w:tblLayout w:type="fixed"/>
        <w:tblCellMar>
          <w:left w:w="120" w:type="dxa"/>
          <w:right w:w="120" w:type="dxa"/>
        </w:tblCellMar>
        <w:tblLook w:val="04A0" w:firstRow="1" w:lastRow="0" w:firstColumn="1" w:lastColumn="0" w:noHBand="0" w:noVBand="1"/>
      </w:tblPr>
      <w:tblGrid>
        <w:gridCol w:w="9645"/>
      </w:tblGrid>
      <w:tr w:rsidR="00941EF3" w14:paraId="203F5874" w14:textId="77777777" w:rsidTr="00941EF3">
        <w:trPr>
          <w:cantSplit/>
        </w:trPr>
        <w:tc>
          <w:tcPr>
            <w:tcW w:w="9638" w:type="dxa"/>
            <w:tcBorders>
              <w:top w:val="single" w:sz="8" w:space="0" w:color="auto"/>
              <w:left w:val="nil"/>
              <w:bottom w:val="single" w:sz="8" w:space="0" w:color="auto"/>
              <w:right w:val="nil"/>
            </w:tcBorders>
            <w:hideMark/>
          </w:tcPr>
          <w:p w14:paraId="13990B50" w14:textId="77777777" w:rsidR="00941EF3" w:rsidRPr="00AA40E6" w:rsidRDefault="00941EF3">
            <w:pPr>
              <w:spacing w:before="144"/>
              <w:rPr>
                <w:lang w:val="fr-FR" w:eastAsia="fr-FR"/>
              </w:rPr>
            </w:pPr>
            <w:r w:rsidRPr="00AA40E6">
              <w:rPr>
                <w:lang w:val="fr-FR" w:eastAsia="fr-FR"/>
              </w:rPr>
              <w:t>(A)</w:t>
            </w:r>
            <w:r w:rsidRPr="00AA40E6">
              <w:rPr>
                <w:lang w:val="fr-FR" w:eastAsia="fr-FR"/>
              </w:rPr>
              <w:tab/>
              <w:t>Enregistreur de données multipoints et régulateur de température (10 mV)</w:t>
            </w:r>
          </w:p>
          <w:p w14:paraId="7153BC20" w14:textId="77777777" w:rsidR="00941EF3" w:rsidRPr="00AA40E6" w:rsidRDefault="00941EF3">
            <w:pPr>
              <w:rPr>
                <w:lang w:val="fr-FR" w:eastAsia="fr-FR"/>
              </w:rPr>
            </w:pPr>
            <w:r w:rsidRPr="00AA40E6">
              <w:rPr>
                <w:lang w:val="fr-FR" w:eastAsia="fr-FR"/>
              </w:rPr>
              <w:t>(B)</w:t>
            </w:r>
            <w:r w:rsidRPr="00AA40E6">
              <w:rPr>
                <w:lang w:val="fr-FR" w:eastAsia="fr-FR"/>
              </w:rPr>
              <w:tab/>
              <w:t>Réglage de zéro extérieur</w:t>
            </w:r>
          </w:p>
          <w:p w14:paraId="3464FD14" w14:textId="77777777" w:rsidR="00941EF3" w:rsidRPr="00AA40E6" w:rsidRDefault="00941EF3">
            <w:pPr>
              <w:rPr>
                <w:lang w:val="fr-FR" w:eastAsia="fr-FR"/>
              </w:rPr>
            </w:pPr>
            <w:r w:rsidRPr="00AA40E6">
              <w:rPr>
                <w:lang w:val="fr-FR" w:eastAsia="fr-FR"/>
              </w:rPr>
              <w:t>(C)</w:t>
            </w:r>
            <w:r w:rsidRPr="00AA40E6">
              <w:rPr>
                <w:lang w:val="fr-FR" w:eastAsia="fr-FR"/>
              </w:rPr>
              <w:tab/>
              <w:t>Enregistreur (mesures précises)</w:t>
            </w:r>
          </w:p>
          <w:p w14:paraId="214DC002" w14:textId="77777777" w:rsidR="00941EF3" w:rsidRPr="00AA40E6" w:rsidRDefault="00941EF3">
            <w:pPr>
              <w:rPr>
                <w:lang w:val="fr-FR" w:eastAsia="fr-FR"/>
              </w:rPr>
            </w:pPr>
            <w:r w:rsidRPr="00AA40E6">
              <w:rPr>
                <w:lang w:val="fr-FR" w:eastAsia="fr-FR"/>
              </w:rPr>
              <w:t>(D)</w:t>
            </w:r>
            <w:r w:rsidRPr="00AA40E6">
              <w:rPr>
                <w:lang w:val="fr-FR" w:eastAsia="fr-FR"/>
              </w:rPr>
              <w:tab/>
              <w:t>Régulation</w:t>
            </w:r>
          </w:p>
          <w:p w14:paraId="3ECBDB1A" w14:textId="77777777" w:rsidR="00941EF3" w:rsidRPr="00AA40E6" w:rsidRDefault="00941EF3">
            <w:pPr>
              <w:rPr>
                <w:lang w:val="fr-FR" w:eastAsia="fr-FR"/>
              </w:rPr>
            </w:pPr>
            <w:r w:rsidRPr="00AA40E6">
              <w:rPr>
                <w:lang w:val="fr-FR" w:eastAsia="fr-FR"/>
              </w:rPr>
              <w:t>(E)</w:t>
            </w:r>
            <w:r w:rsidRPr="00AA40E6">
              <w:rPr>
                <w:lang w:val="fr-FR" w:eastAsia="fr-FR"/>
              </w:rPr>
              <w:tab/>
              <w:t>Relais</w:t>
            </w:r>
          </w:p>
          <w:p w14:paraId="2DA14E23" w14:textId="77777777" w:rsidR="00941EF3" w:rsidRPr="00AA40E6" w:rsidRDefault="00941EF3">
            <w:pPr>
              <w:spacing w:after="120"/>
              <w:rPr>
                <w:lang w:val="fr-FR" w:eastAsia="fr-FR"/>
              </w:rPr>
            </w:pPr>
            <w:r w:rsidRPr="00AA40E6">
              <w:rPr>
                <w:lang w:val="fr-FR" w:eastAsia="fr-FR"/>
              </w:rPr>
              <w:t>(F)</w:t>
            </w:r>
            <w:r w:rsidRPr="00AA40E6">
              <w:rPr>
                <w:lang w:val="fr-FR" w:eastAsia="fr-FR"/>
              </w:rPr>
              <w:tab/>
              <w:t>Appareil de préchauffage interne</w:t>
            </w:r>
          </w:p>
        </w:tc>
      </w:tr>
    </w:tbl>
    <w:p w14:paraId="39311569" w14:textId="77777777" w:rsidR="00941EF3" w:rsidRDefault="00941EF3" w:rsidP="00941EF3">
      <w:pPr>
        <w:rPr>
          <w:szCs w:val="22"/>
          <w:lang w:val="fr-FR" w:eastAsia="fr-FR"/>
        </w:rPr>
      </w:pPr>
      <w:r w:rsidRPr="00AA40E6">
        <w:rPr>
          <w:lang w:val="fr-FR" w:eastAsia="fr-FR"/>
        </w:rPr>
        <w:br w:type="page"/>
      </w:r>
    </w:p>
    <w:p w14:paraId="2B0F2A9F" w14:textId="77777777" w:rsidR="00941EF3" w:rsidRPr="00AA40E6" w:rsidRDefault="00941EF3" w:rsidP="00941EF3">
      <w:pPr>
        <w:keepNext/>
        <w:spacing w:after="200"/>
        <w:jc w:val="center"/>
        <w:rPr>
          <w:rFonts w:ascii="Times New Roman Bold" w:hAnsi="Times New Roman Bold"/>
          <w:b/>
          <w:bCs/>
          <w:szCs w:val="20"/>
          <w:lang w:val="fr-FR" w:eastAsia="fr-FR"/>
        </w:rPr>
      </w:pPr>
      <w:r w:rsidRPr="00AA40E6">
        <w:rPr>
          <w:rFonts w:ascii="Times New Roman Bold" w:hAnsi="Times New Roman Bold"/>
          <w:b/>
          <w:bCs/>
          <w:szCs w:val="20"/>
          <w:lang w:val="fr-FR" w:eastAsia="fr-FR"/>
        </w:rPr>
        <w:lastRenderedPageBreak/>
        <w:t>Figure 28.4.2.2 : Exemple de détermination de la TDAA ou de la TPAA</w:t>
      </w:r>
    </w:p>
    <w:p w14:paraId="36EE1CAE" w14:textId="77777777" w:rsidR="003F797B" w:rsidRDefault="003F797B" w:rsidP="00941EF3">
      <w:pPr>
        <w:jc w:val="center"/>
        <w:rPr>
          <w:rFonts w:eastAsiaTheme="minorHAnsi"/>
          <w:lang w:val="fr-FR"/>
        </w:rPr>
      </w:pPr>
      <w:bookmarkStart w:id="5" w:name="_Hlk35359022"/>
    </w:p>
    <w:p w14:paraId="0C8E3597" w14:textId="77777777" w:rsidR="003F797B" w:rsidRDefault="003F797B" w:rsidP="00941EF3">
      <w:pPr>
        <w:jc w:val="center"/>
        <w:rPr>
          <w:rFonts w:eastAsiaTheme="minorHAnsi"/>
          <w:lang w:val="fr-FR"/>
        </w:rPr>
      </w:pPr>
    </w:p>
    <w:p w14:paraId="1B8594A7" w14:textId="4516E525" w:rsidR="003F797B" w:rsidRDefault="003F797B" w:rsidP="00941EF3">
      <w:pPr>
        <w:jc w:val="center"/>
        <w:rPr>
          <w:rFonts w:eastAsiaTheme="minorHAnsi"/>
          <w:lang w:val="fr-FR"/>
        </w:rPr>
      </w:pPr>
    </w:p>
    <w:p w14:paraId="1A61A545" w14:textId="2F0DFFF7" w:rsidR="003F797B" w:rsidRDefault="003F797B" w:rsidP="00941EF3">
      <w:pPr>
        <w:jc w:val="center"/>
        <w:rPr>
          <w:rFonts w:eastAsiaTheme="minorHAnsi"/>
          <w:lang w:val="fr-FR"/>
        </w:rPr>
      </w:pPr>
    </w:p>
    <w:p w14:paraId="47216D8A" w14:textId="6874138F" w:rsidR="003F797B" w:rsidRDefault="003F797B" w:rsidP="00941EF3">
      <w:pPr>
        <w:jc w:val="center"/>
        <w:rPr>
          <w:rFonts w:eastAsiaTheme="minorHAnsi"/>
          <w:lang w:val="fr-FR"/>
        </w:rPr>
      </w:pPr>
    </w:p>
    <w:p w14:paraId="481F3947" w14:textId="70E53AF2" w:rsidR="003F797B" w:rsidRDefault="003F797B" w:rsidP="00941EF3">
      <w:pPr>
        <w:jc w:val="center"/>
        <w:rPr>
          <w:rFonts w:eastAsiaTheme="minorHAnsi"/>
          <w:lang w:val="fr-FR"/>
        </w:rPr>
      </w:pPr>
    </w:p>
    <w:p w14:paraId="2513542C" w14:textId="77777777" w:rsidR="003F797B" w:rsidRDefault="003F797B" w:rsidP="00941EF3">
      <w:pPr>
        <w:jc w:val="center"/>
        <w:rPr>
          <w:rFonts w:eastAsiaTheme="minorHAnsi"/>
          <w:lang w:val="fr-FR"/>
        </w:rPr>
      </w:pPr>
    </w:p>
    <w:p w14:paraId="3B3CB870" w14:textId="77777777" w:rsidR="003F797B" w:rsidRDefault="003F797B" w:rsidP="00941EF3">
      <w:pPr>
        <w:jc w:val="center"/>
        <w:rPr>
          <w:rFonts w:eastAsiaTheme="minorHAnsi"/>
          <w:lang w:val="fr-FR"/>
        </w:rPr>
      </w:pPr>
    </w:p>
    <w:bookmarkEnd w:id="5"/>
    <w:p w14:paraId="7C99AE2E" w14:textId="072F71BF" w:rsidR="00941EF3" w:rsidRDefault="00097DC6" w:rsidP="00941EF3">
      <w:pPr>
        <w:jc w:val="center"/>
        <w:rPr>
          <w:rFonts w:eastAsiaTheme="minorHAnsi"/>
          <w:lang w:val="fr-FR"/>
        </w:rPr>
      </w:pPr>
      <w:r>
        <w:rPr>
          <w:noProof/>
        </w:rPr>
        <w:drawing>
          <wp:inline distT="0" distB="0" distL="0" distR="0" wp14:anchorId="422B5D2A" wp14:editId="14A1F79E">
            <wp:extent cx="5047200" cy="42372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047200" cy="4237200"/>
                    </a:xfrm>
                    <a:prstGeom prst="rect">
                      <a:avLst/>
                    </a:prstGeom>
                  </pic:spPr>
                </pic:pic>
              </a:graphicData>
            </a:graphic>
          </wp:inline>
        </w:drawing>
      </w:r>
    </w:p>
    <w:p w14:paraId="76CEFD3C" w14:textId="1207FD78" w:rsidR="003F797B" w:rsidRDefault="003F797B" w:rsidP="00941EF3">
      <w:pPr>
        <w:jc w:val="center"/>
        <w:rPr>
          <w:rFonts w:eastAsiaTheme="minorHAnsi"/>
          <w:lang w:val="fr-FR"/>
        </w:rPr>
      </w:pPr>
    </w:p>
    <w:p w14:paraId="57939333" w14:textId="5382E49E" w:rsidR="003F797B" w:rsidRDefault="003F797B" w:rsidP="00941EF3">
      <w:pPr>
        <w:jc w:val="center"/>
        <w:rPr>
          <w:rFonts w:eastAsiaTheme="minorHAnsi"/>
          <w:lang w:val="fr-FR"/>
        </w:rPr>
      </w:pPr>
    </w:p>
    <w:p w14:paraId="5F895A1D" w14:textId="3352E6C6" w:rsidR="003F797B" w:rsidRDefault="003F797B" w:rsidP="00941EF3">
      <w:pPr>
        <w:jc w:val="center"/>
        <w:rPr>
          <w:rFonts w:eastAsiaTheme="minorHAnsi"/>
          <w:lang w:val="fr-FR"/>
        </w:rPr>
      </w:pPr>
    </w:p>
    <w:p w14:paraId="0E6C0469" w14:textId="60F1F8C0" w:rsidR="003F797B" w:rsidRDefault="003F797B" w:rsidP="00941EF3">
      <w:pPr>
        <w:jc w:val="center"/>
        <w:rPr>
          <w:rFonts w:eastAsiaTheme="minorHAnsi"/>
          <w:lang w:val="fr-FR"/>
        </w:rPr>
      </w:pPr>
    </w:p>
    <w:p w14:paraId="3DE0B7F7" w14:textId="70FE4CE1" w:rsidR="003F797B" w:rsidRDefault="003F797B" w:rsidP="00941EF3">
      <w:pPr>
        <w:jc w:val="center"/>
        <w:rPr>
          <w:rFonts w:eastAsiaTheme="minorHAnsi"/>
          <w:lang w:val="fr-FR"/>
        </w:rPr>
      </w:pPr>
    </w:p>
    <w:p w14:paraId="66D83EE2" w14:textId="10F15AB7" w:rsidR="003F797B" w:rsidRDefault="003F797B" w:rsidP="00941EF3">
      <w:pPr>
        <w:jc w:val="center"/>
        <w:rPr>
          <w:rFonts w:eastAsiaTheme="minorHAnsi"/>
          <w:lang w:val="fr-FR"/>
        </w:rPr>
      </w:pPr>
    </w:p>
    <w:p w14:paraId="1631E690" w14:textId="1366F21D" w:rsidR="003F797B" w:rsidRDefault="003F797B" w:rsidP="00941EF3">
      <w:pPr>
        <w:jc w:val="center"/>
        <w:rPr>
          <w:rFonts w:eastAsiaTheme="minorHAnsi"/>
          <w:lang w:val="fr-FR"/>
        </w:rPr>
      </w:pPr>
    </w:p>
    <w:p w14:paraId="6F63072B" w14:textId="77777777" w:rsidR="003F797B" w:rsidRDefault="003F797B" w:rsidP="00941EF3">
      <w:pPr>
        <w:jc w:val="center"/>
        <w:rPr>
          <w:b/>
          <w:bCs/>
          <w:szCs w:val="22"/>
          <w:lang w:val="fr-FR" w:eastAsia="fr-FR"/>
        </w:rPr>
      </w:pPr>
    </w:p>
    <w:p w14:paraId="2EBC106D" w14:textId="77777777" w:rsidR="00941EF3" w:rsidRPr="00AA40E6" w:rsidRDefault="00941EF3" w:rsidP="00941EF3">
      <w:pPr>
        <w:jc w:val="center"/>
        <w:rPr>
          <w:b/>
          <w:bCs/>
          <w:lang w:val="fr-FR" w:eastAsia="fr-FR"/>
        </w:rPr>
      </w:pPr>
    </w:p>
    <w:tbl>
      <w:tblPr>
        <w:tblStyle w:val="TableGrid"/>
        <w:tblW w:w="836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3119"/>
        <w:gridCol w:w="709"/>
        <w:gridCol w:w="3543"/>
      </w:tblGrid>
      <w:tr w:rsidR="00941EF3" w14:paraId="4591CC09" w14:textId="77777777" w:rsidTr="00346E50">
        <w:tc>
          <w:tcPr>
            <w:tcW w:w="992" w:type="dxa"/>
            <w:tcBorders>
              <w:top w:val="single" w:sz="8" w:space="0" w:color="auto"/>
            </w:tcBorders>
            <w:hideMark/>
          </w:tcPr>
          <w:p w14:paraId="7FCEE6DB" w14:textId="131D2452" w:rsidR="00941EF3" w:rsidRPr="00AA40E6" w:rsidRDefault="00941EF3" w:rsidP="009E4967">
            <w:pPr>
              <w:spacing w:after="120"/>
              <w:ind w:right="113"/>
              <w:jc w:val="left"/>
              <w:rPr>
                <w:rFonts w:asciiTheme="majorBidi" w:eastAsiaTheme="minorEastAsia" w:hAnsiTheme="majorBidi" w:cstheme="majorBidi"/>
                <w:sz w:val="20"/>
                <w:szCs w:val="20"/>
                <w:lang w:val="fr-FR" w:eastAsia="zh-CN"/>
              </w:rPr>
            </w:pPr>
            <w:r w:rsidRPr="00AA40E6">
              <w:rPr>
                <w:b/>
                <w:noProof/>
                <w:lang w:val="fr-FR"/>
              </w:rPr>
              <mc:AlternateContent>
                <mc:Choice Requires="wps">
                  <w:drawing>
                    <wp:anchor distT="0" distB="0" distL="114300" distR="114300" simplePos="0" relativeHeight="251657216" behindDoc="0" locked="0" layoutInCell="1" allowOverlap="1" wp14:anchorId="740C46A2" wp14:editId="619E5B30">
                      <wp:simplePos x="0" y="0"/>
                      <wp:positionH relativeFrom="column">
                        <wp:posOffset>20320</wp:posOffset>
                      </wp:positionH>
                      <wp:positionV relativeFrom="paragraph">
                        <wp:posOffset>71120</wp:posOffset>
                      </wp:positionV>
                      <wp:extent cx="521335"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521335" cy="0"/>
                              </a:xfrm>
                              <a:prstGeom prst="line">
                                <a:avLst/>
                              </a:prstGeom>
                              <a:ln w="19050" cap="flat" cmpd="sng" algn="ctr">
                                <a:solidFill>
                                  <a:schemeClr val="tx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2A0C0" id="Straight Connector 2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6pt" to="42.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HTIAIAALMEAAAOAAAAZHJzL2Uyb0RvYy54bWysVMmO2zAMvRfoPwi6N04ySNEaceaQdHop&#10;2kFn+gGMFluAJAqSJk7+vpScZLodOkUvshY+ku+R9Pr26Cw7qJgM+o4vZnPOlBcoje87/u3x7s07&#10;zlIGL8GiVx0/qcRvN69frcfQqiUOaKWKjJz41I6h40POoW2aJAblIM0wKE+PGqODTMfYNzLCSN6d&#10;bZbz+dtmxChDRKFSotvd9Mg31b/WSuQvWieVme045ZbrGuu6L2uzWUPbRwiDEec04B+ycGA8Bb26&#10;2kEG9hTNb66cERET6jwT6BrU2ghVORCbxfwXNg8DBFW5kDgpXGVK/8+t+Hy4j8zIji+pUh4c1egh&#10;RzD9kNkWvScFMTJ6JKXGkFoCbP19PJ9SuI+F9lFHV75EiB2ruqeruuqYmaDL1XJxc7PiTFyemmdc&#10;iCl/VOhY2XTcGl94QwuHTylTLDK9mJRr69lI3fZ+vqKaCqC+0RYybV0gJsn3nIHtqSFFjtVPQmvk&#10;nbG2oGtzqa2N7ADUFvm4KOQoxE9WJd4O0jAZ2b7sd5injon45CWBoB0UyA9esnwKJJ2nJuclN6ck&#10;Z1ZRCmVXLTMY+zeWlIj1lE9Re9K37vLJqon7V6WpYlXmiU7s94XN1NY0dyTKpbmrMwIUQ038X4g9&#10;Qwpa1Wl6If4KqvHR5yveGY/n2pRZ/1M59GR/kWISoGixR3mqLVg1osmo1TtPcRm9H88V/vyv2XwH&#10;AAD//wMAUEsDBBQABgAIAAAAIQCK7r3z2wAAAAYBAAAPAAAAZHJzL2Rvd25yZXYueG1sTI7BTsMw&#10;EETvSPyDtUjcqJNWoBLiVBCBEAekklbl6sZLEmqvo9hpw9+ziAOcVrMzmnn5anJWHHEInScF6SwB&#10;gVR701GjYLt5ulqCCFGT0dYTKvjCAKvi/CzXmfEnesNjFRvBJRQyraCNsc+kDHWLToeZ75HY+/CD&#10;05Hl0Egz6BOXOyvnSXIjne6IF1rdY9lifahGp2DYlK8Pdv1cHUZK38eXXff5eFsqdXkx3d+BiDjF&#10;vzD84DM6FMy09yOZIKyCxZyD/E75sr28XoDY/2pZ5PI/fvENAAD//wMAUEsBAi0AFAAGAAgAAAAh&#10;ALaDOJL+AAAA4QEAABMAAAAAAAAAAAAAAAAAAAAAAFtDb250ZW50X1R5cGVzXS54bWxQSwECLQAU&#10;AAYACAAAACEAOP0h/9YAAACUAQAACwAAAAAAAAAAAAAAAAAvAQAAX3JlbHMvLnJlbHNQSwECLQAU&#10;AAYACAAAACEAp5oh0yACAACzBAAADgAAAAAAAAAAAAAAAAAuAgAAZHJzL2Uyb0RvYy54bWxQSwEC&#10;LQAUAAYACAAAACEAiu6989sAAAAGAQAADwAAAAAAAAAAAAAAAAB6BAAAZHJzL2Rvd25yZXYueG1s&#10;UEsFBgAAAAAEAAQA8wAAAIIFAAAAAA==&#10;" strokecolor="black [3213]" strokeweight="1.5pt">
                      <v:stroke dashstyle="longDashDot"/>
                    </v:line>
                  </w:pict>
                </mc:Fallback>
              </mc:AlternateContent>
            </w:r>
          </w:p>
        </w:tc>
        <w:tc>
          <w:tcPr>
            <w:tcW w:w="3119" w:type="dxa"/>
            <w:tcBorders>
              <w:top w:val="single" w:sz="8" w:space="0" w:color="auto"/>
            </w:tcBorders>
            <w:hideMark/>
          </w:tcPr>
          <w:p w14:paraId="3F7B67C7" w14:textId="77777777" w:rsidR="00941EF3" w:rsidRPr="00AA40E6" w:rsidRDefault="00941EF3" w:rsidP="009E4967">
            <w:pPr>
              <w:spacing w:before="40" w:after="120"/>
              <w:ind w:right="113"/>
              <w:jc w:val="left"/>
              <w:rPr>
                <w:rFonts w:asciiTheme="majorBidi" w:hAnsiTheme="majorBidi" w:cstheme="majorBidi"/>
                <w:sz w:val="20"/>
                <w:szCs w:val="20"/>
                <w:lang w:val="fr-FR"/>
              </w:rPr>
            </w:pPr>
            <w:r w:rsidRPr="00AA40E6">
              <w:rPr>
                <w:rFonts w:asciiTheme="majorBidi" w:hAnsiTheme="majorBidi" w:cstheme="majorBidi"/>
                <w:sz w:val="20"/>
                <w:szCs w:val="20"/>
                <w:lang w:val="fr-FR"/>
              </w:rPr>
              <w:t>Courbe de production de chaleur</w:t>
            </w:r>
          </w:p>
        </w:tc>
        <w:tc>
          <w:tcPr>
            <w:tcW w:w="709" w:type="dxa"/>
            <w:tcBorders>
              <w:top w:val="single" w:sz="8" w:space="0" w:color="auto"/>
            </w:tcBorders>
            <w:hideMark/>
          </w:tcPr>
          <w:p w14:paraId="7C491FD2" w14:textId="2B54F48D" w:rsidR="00941EF3" w:rsidRPr="00AA40E6" w:rsidRDefault="00941EF3" w:rsidP="009E4967">
            <w:pPr>
              <w:spacing w:after="120"/>
              <w:ind w:right="113"/>
              <w:jc w:val="left"/>
              <w:rPr>
                <w:rFonts w:asciiTheme="majorBidi" w:hAnsiTheme="majorBidi" w:cstheme="majorBidi"/>
                <w:sz w:val="20"/>
                <w:szCs w:val="20"/>
                <w:lang w:val="fr-FR"/>
              </w:rPr>
            </w:pPr>
            <w:r w:rsidRPr="00AA40E6">
              <w:rPr>
                <w:noProof/>
                <w:szCs w:val="22"/>
                <w:lang w:val="fr-FR"/>
              </w:rPr>
              <mc:AlternateContent>
                <mc:Choice Requires="wps">
                  <w:drawing>
                    <wp:anchor distT="0" distB="0" distL="114300" distR="114300" simplePos="0" relativeHeight="251659264" behindDoc="0" locked="0" layoutInCell="1" allowOverlap="1" wp14:anchorId="15FE9AFB" wp14:editId="40A8EB3A">
                      <wp:simplePos x="0" y="0"/>
                      <wp:positionH relativeFrom="column">
                        <wp:posOffset>29845</wp:posOffset>
                      </wp:positionH>
                      <wp:positionV relativeFrom="paragraph">
                        <wp:posOffset>83820</wp:posOffset>
                      </wp:positionV>
                      <wp:extent cx="241935"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241935" cy="0"/>
                              </a:xfrm>
                              <a:prstGeom prst="line">
                                <a:avLst/>
                              </a:prstGeom>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572C3" id="Straight Connector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6.6pt" to="2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5FHQIAAK8EAAAOAAAAZHJzL2Uyb0RvYy54bWysVNtuEzEQfUfiHyy/k00CBbrKpg8J5QVB&#10;1cIHTOzxriXfZLvZ5O8Ze5OU2wNFvHh9mTMz58zMrm4O1rA9xqS96/hiNucMnfBSu77j377evnrP&#10;WcrgJBjvsONHTPxm/fLFagwtLv3gjcTIyIlL7Rg6PuQc2qZJYkALaeYDOnpUPlrIdIx9IyOM5N2a&#10;Zjmfv21GH2WIXmBKdLudHvm6+lcKRf6iVMLMTMcpt1zXWNddWZv1Cto+Qhi0OKUB/5CFBe0o6MXV&#10;FjKwx6h/c2W1iD55lWfC28YrpQVWDsRmMf+FzcMAASsXEieFi0zp/7kVn/d3kWnZ8eU7zhxYqtFD&#10;jqD7IbONd44U9JHRIyk1htQSYOPu4umUwl0stA8q2vIlQuxQ1T1e1MVDZoIul28W16+vOBPnp+YJ&#10;F2LKH9FbVjYdN9oV3tDC/lPKFItMzybl2jg2Urddz6+opgKob5SBTFsbiElyPWdgempIkWP1k7zR&#10;8lYbU9C1uXBjItsDtUU+LAo5CvGTVYm3hTRMRvVp6pboH50kALQDgvzgJMvHQLI5anBe8rIoOTNI&#10;4cuuWmbQ5m8sKQnjKJei9KRt3eWjwYn3PSqqVpV4ohL7XWEytTTNHAlybuzqjADFUBH3Z2JPkILG&#10;OknPxF9ANb53+YK32vlTXcqc/6kUarI/SzEJULTYeXms7Vc1oqmolTtNcBm7H88V/vSfWX8HAAD/&#10;/wMAUEsDBBQABgAIAAAAIQDF37U02AAAAAYBAAAPAAAAZHJzL2Rvd25yZXYueG1sTI/dTsMwDIXv&#10;kXiHyEjcVCylKz8qTSdUaQ/AtgfwGq+tSJyqybby9hhxAZfH5/j4c71ZvFMXmuMY2MDjKgdF3AU7&#10;cm/gsN8+vIKKCdmiC0wGvijCprm9qbGy4cofdNmlXkkJxwoNDClNldaxG8hjXIWJWLxTmD0mkXOv&#10;7YxXKfdOF3n+rD2OLBcGnKgdqPvcnb1gtO0hi7R162zfnbJyeSpcnIy5v1ve30AlWtJfGH7wZQca&#10;YTqGM9uonIHyRYIyXhegxC4LeeT4q3VT6//4zTcAAAD//wMAUEsBAi0AFAAGAAgAAAAhALaDOJL+&#10;AAAA4QEAABMAAAAAAAAAAAAAAAAAAAAAAFtDb250ZW50X1R5cGVzXS54bWxQSwECLQAUAAYACAAA&#10;ACEAOP0h/9YAAACUAQAACwAAAAAAAAAAAAAAAAAvAQAAX3JlbHMvLnJlbHNQSwECLQAUAAYACAAA&#10;ACEAujh+RR0CAACvBAAADgAAAAAAAAAAAAAAAAAuAgAAZHJzL2Uyb0RvYy54bWxQSwECLQAUAAYA&#10;CAAAACEAxd+1NNgAAAAGAQAADwAAAAAAAAAAAAAAAAB3BAAAZHJzL2Rvd25yZXYueG1sUEsFBgAA&#10;AAAEAAQA8wAAAHwFAAAAAA==&#10;" strokecolor="black [3213]" strokeweight="1.5pt"/>
                  </w:pict>
                </mc:Fallback>
              </mc:AlternateContent>
            </w:r>
          </w:p>
        </w:tc>
        <w:tc>
          <w:tcPr>
            <w:tcW w:w="3543" w:type="dxa"/>
            <w:tcBorders>
              <w:top w:val="single" w:sz="8" w:space="0" w:color="auto"/>
            </w:tcBorders>
            <w:hideMark/>
          </w:tcPr>
          <w:p w14:paraId="1C56B606" w14:textId="77777777" w:rsidR="00941EF3" w:rsidRPr="00AA40E6" w:rsidRDefault="00941EF3" w:rsidP="009E4967">
            <w:pPr>
              <w:spacing w:before="40" w:after="120"/>
              <w:ind w:right="113"/>
              <w:jc w:val="left"/>
              <w:rPr>
                <w:rFonts w:asciiTheme="majorBidi" w:hAnsiTheme="majorBidi" w:cstheme="majorBidi"/>
                <w:sz w:val="20"/>
                <w:szCs w:val="20"/>
                <w:lang w:val="fr-FR"/>
              </w:rPr>
            </w:pPr>
            <w:r w:rsidRPr="00AA40E6">
              <w:rPr>
                <w:rFonts w:asciiTheme="majorBidi" w:hAnsiTheme="majorBidi" w:cstheme="majorBidi"/>
                <w:sz w:val="20"/>
                <w:szCs w:val="20"/>
                <w:lang w:val="fr-FR"/>
              </w:rPr>
              <w:t xml:space="preserve">Courbe de perte de chaleur </w:t>
            </w:r>
            <w:r w:rsidRPr="00AA40E6">
              <w:rPr>
                <w:rFonts w:asciiTheme="majorBidi" w:hAnsiTheme="majorBidi" w:cstheme="majorBidi"/>
                <w:sz w:val="20"/>
                <w:szCs w:val="20"/>
                <w:lang w:val="fr-FR"/>
              </w:rPr>
              <w:br/>
              <w:t>L = 0,06 W/K.kg</w:t>
            </w:r>
          </w:p>
        </w:tc>
      </w:tr>
      <w:tr w:rsidR="00941EF3" w14:paraId="30F98918" w14:textId="77777777" w:rsidTr="006C36CE">
        <w:tc>
          <w:tcPr>
            <w:tcW w:w="992" w:type="dxa"/>
            <w:tcBorders>
              <w:top w:val="nil"/>
              <w:left w:val="nil"/>
              <w:bottom w:val="nil"/>
              <w:right w:val="nil"/>
            </w:tcBorders>
            <w:hideMark/>
          </w:tcPr>
          <w:p w14:paraId="054D5688" w14:textId="77777777" w:rsidR="00941EF3" w:rsidRPr="00AA40E6" w:rsidRDefault="00941EF3" w:rsidP="009E4967">
            <w:pPr>
              <w:spacing w:before="40" w:after="120"/>
              <w:ind w:right="113"/>
              <w:jc w:val="left"/>
              <w:rPr>
                <w:rFonts w:asciiTheme="majorBidi" w:hAnsiTheme="majorBidi" w:cstheme="majorBidi"/>
                <w:sz w:val="20"/>
                <w:szCs w:val="20"/>
                <w:lang w:val="fr-FR"/>
              </w:rPr>
            </w:pPr>
            <w:r w:rsidRPr="00AA40E6">
              <w:rPr>
                <w:rFonts w:asciiTheme="majorBidi" w:hAnsiTheme="majorBidi" w:cstheme="majorBidi"/>
                <w:sz w:val="20"/>
                <w:szCs w:val="20"/>
                <w:lang w:val="fr-FR"/>
              </w:rPr>
              <w:t>(A)</w:t>
            </w:r>
          </w:p>
        </w:tc>
        <w:tc>
          <w:tcPr>
            <w:tcW w:w="3119" w:type="dxa"/>
            <w:tcBorders>
              <w:top w:val="nil"/>
              <w:left w:val="nil"/>
              <w:bottom w:val="nil"/>
              <w:right w:val="nil"/>
            </w:tcBorders>
            <w:hideMark/>
          </w:tcPr>
          <w:p w14:paraId="02FD4A0B" w14:textId="77777777" w:rsidR="00941EF3" w:rsidRPr="00AA40E6" w:rsidRDefault="00941EF3" w:rsidP="009E4967">
            <w:pPr>
              <w:spacing w:before="40" w:after="120"/>
              <w:ind w:right="113"/>
              <w:jc w:val="left"/>
              <w:rPr>
                <w:rFonts w:asciiTheme="majorBidi" w:hAnsiTheme="majorBidi" w:cstheme="majorBidi"/>
                <w:sz w:val="20"/>
                <w:szCs w:val="20"/>
                <w:lang w:val="fr-FR"/>
              </w:rPr>
            </w:pPr>
            <w:r w:rsidRPr="00AA40E6">
              <w:rPr>
                <w:rFonts w:asciiTheme="majorBidi" w:hAnsiTheme="majorBidi" w:cstheme="majorBidi"/>
                <w:sz w:val="20"/>
                <w:szCs w:val="20"/>
                <w:lang w:val="fr-FR"/>
              </w:rPr>
              <w:t>Température ambiante critique (au point d’intersection de la ligne de perte de chaleur et de l’axe des abscisses)</w:t>
            </w:r>
          </w:p>
        </w:tc>
        <w:tc>
          <w:tcPr>
            <w:tcW w:w="709" w:type="dxa"/>
            <w:tcBorders>
              <w:top w:val="nil"/>
              <w:left w:val="nil"/>
              <w:bottom w:val="nil"/>
              <w:right w:val="nil"/>
            </w:tcBorders>
            <w:hideMark/>
          </w:tcPr>
          <w:p w14:paraId="4A0E4909" w14:textId="77777777" w:rsidR="00941EF3" w:rsidRPr="00AA40E6" w:rsidRDefault="00941EF3" w:rsidP="009E4967">
            <w:pPr>
              <w:spacing w:before="40" w:after="120"/>
              <w:ind w:right="113"/>
              <w:jc w:val="left"/>
              <w:rPr>
                <w:rFonts w:asciiTheme="majorBidi" w:hAnsiTheme="majorBidi" w:cstheme="majorBidi"/>
                <w:sz w:val="20"/>
                <w:szCs w:val="20"/>
                <w:lang w:val="fr-FR"/>
              </w:rPr>
            </w:pPr>
            <w:r w:rsidRPr="00AA40E6">
              <w:rPr>
                <w:rFonts w:asciiTheme="majorBidi" w:hAnsiTheme="majorBidi" w:cstheme="majorBidi"/>
                <w:sz w:val="20"/>
                <w:szCs w:val="20"/>
                <w:lang w:val="fr-FR"/>
              </w:rPr>
              <w:t>(B)</w:t>
            </w:r>
          </w:p>
        </w:tc>
        <w:tc>
          <w:tcPr>
            <w:tcW w:w="3543" w:type="dxa"/>
            <w:tcBorders>
              <w:top w:val="nil"/>
              <w:left w:val="nil"/>
              <w:bottom w:val="nil"/>
              <w:right w:val="nil"/>
            </w:tcBorders>
            <w:hideMark/>
          </w:tcPr>
          <w:p w14:paraId="2114AB3A" w14:textId="77777777" w:rsidR="00941EF3" w:rsidRPr="00AA40E6" w:rsidRDefault="00941EF3" w:rsidP="009E4967">
            <w:pPr>
              <w:spacing w:before="40" w:after="120"/>
              <w:ind w:right="113"/>
              <w:jc w:val="left"/>
              <w:rPr>
                <w:rFonts w:asciiTheme="majorBidi" w:hAnsiTheme="majorBidi" w:cstheme="majorBidi"/>
                <w:sz w:val="20"/>
                <w:szCs w:val="20"/>
                <w:lang w:val="fr-FR"/>
              </w:rPr>
            </w:pPr>
            <w:r w:rsidRPr="00AA40E6">
              <w:rPr>
                <w:rFonts w:asciiTheme="majorBidi" w:hAnsiTheme="majorBidi" w:cstheme="majorBidi"/>
                <w:sz w:val="20"/>
                <w:szCs w:val="20"/>
                <w:lang w:val="fr-FR"/>
              </w:rPr>
              <w:t xml:space="preserve">TDAA ou TPAA </w:t>
            </w:r>
            <w:r w:rsidRPr="00AA40E6">
              <w:rPr>
                <w:rFonts w:asciiTheme="majorBidi" w:hAnsiTheme="majorBidi" w:cstheme="majorBidi"/>
                <w:sz w:val="20"/>
                <w:szCs w:val="20"/>
                <w:lang w:val="fr-FR"/>
              </w:rPr>
              <w:br/>
              <w:t>(température ambiante critique, arrondie au multiple de 5 °C le plus proche par valeur supérieure)</w:t>
            </w:r>
          </w:p>
        </w:tc>
      </w:tr>
      <w:tr w:rsidR="006C36CE" w14:paraId="60DA95D1" w14:textId="77777777" w:rsidTr="00346E50">
        <w:tc>
          <w:tcPr>
            <w:tcW w:w="992" w:type="dxa"/>
            <w:tcBorders>
              <w:top w:val="nil"/>
              <w:left w:val="nil"/>
              <w:bottom w:val="single" w:sz="8" w:space="0" w:color="auto"/>
              <w:right w:val="nil"/>
            </w:tcBorders>
          </w:tcPr>
          <w:p w14:paraId="3711ED98" w14:textId="04F332E8" w:rsidR="006C36CE" w:rsidRPr="00AA40E6" w:rsidRDefault="006C36CE" w:rsidP="009E4967">
            <w:pPr>
              <w:spacing w:before="40" w:after="120"/>
              <w:ind w:right="113"/>
              <w:jc w:val="left"/>
              <w:rPr>
                <w:rFonts w:asciiTheme="majorBidi" w:hAnsiTheme="majorBidi" w:cstheme="majorBidi"/>
                <w:sz w:val="20"/>
                <w:szCs w:val="20"/>
                <w:lang w:val="fr-FR"/>
              </w:rPr>
            </w:pPr>
            <w:r>
              <w:rPr>
                <w:rFonts w:asciiTheme="majorBidi" w:hAnsiTheme="majorBidi" w:cstheme="majorBidi"/>
                <w:sz w:val="20"/>
                <w:szCs w:val="20"/>
                <w:lang w:val="fr-FR"/>
              </w:rPr>
              <w:t>(X)</w:t>
            </w:r>
          </w:p>
        </w:tc>
        <w:tc>
          <w:tcPr>
            <w:tcW w:w="3119" w:type="dxa"/>
            <w:tcBorders>
              <w:top w:val="nil"/>
              <w:left w:val="nil"/>
              <w:bottom w:val="single" w:sz="8" w:space="0" w:color="auto"/>
              <w:right w:val="nil"/>
            </w:tcBorders>
          </w:tcPr>
          <w:p w14:paraId="45D4A261" w14:textId="422736E3" w:rsidR="006C36CE" w:rsidRPr="00AA40E6" w:rsidRDefault="006C36CE" w:rsidP="009E4967">
            <w:pPr>
              <w:spacing w:before="40" w:after="120"/>
              <w:ind w:right="113"/>
              <w:jc w:val="left"/>
              <w:rPr>
                <w:rFonts w:asciiTheme="majorBidi" w:hAnsiTheme="majorBidi" w:cstheme="majorBidi"/>
                <w:sz w:val="20"/>
                <w:szCs w:val="20"/>
                <w:lang w:val="fr-FR"/>
              </w:rPr>
            </w:pPr>
            <w:r>
              <w:rPr>
                <w:rFonts w:asciiTheme="majorBidi" w:hAnsiTheme="majorBidi" w:cstheme="majorBidi"/>
                <w:sz w:val="20"/>
                <w:szCs w:val="20"/>
                <w:lang w:val="fr-FR"/>
              </w:rPr>
              <w:t xml:space="preserve">Température en </w:t>
            </w:r>
            <w:r w:rsidR="00BB131B">
              <w:rPr>
                <w:rFonts w:asciiTheme="majorBidi" w:hAnsiTheme="majorBidi" w:cstheme="majorBidi"/>
                <w:sz w:val="20"/>
                <w:szCs w:val="20"/>
                <w:lang w:val="fr-FR"/>
              </w:rPr>
              <w:t>°C</w:t>
            </w:r>
          </w:p>
        </w:tc>
        <w:tc>
          <w:tcPr>
            <w:tcW w:w="709" w:type="dxa"/>
            <w:tcBorders>
              <w:top w:val="nil"/>
              <w:left w:val="nil"/>
              <w:bottom w:val="single" w:sz="8" w:space="0" w:color="auto"/>
              <w:right w:val="nil"/>
            </w:tcBorders>
          </w:tcPr>
          <w:p w14:paraId="09664BFE" w14:textId="525DBB13" w:rsidR="006C36CE" w:rsidRPr="00AA40E6" w:rsidRDefault="00BB131B" w:rsidP="009E4967">
            <w:pPr>
              <w:spacing w:before="40" w:after="120"/>
              <w:ind w:right="113"/>
              <w:jc w:val="left"/>
              <w:rPr>
                <w:rFonts w:asciiTheme="majorBidi" w:hAnsiTheme="majorBidi" w:cstheme="majorBidi"/>
                <w:sz w:val="20"/>
                <w:szCs w:val="20"/>
                <w:lang w:val="fr-FR"/>
              </w:rPr>
            </w:pPr>
            <w:r>
              <w:rPr>
                <w:rFonts w:asciiTheme="majorBidi" w:hAnsiTheme="majorBidi" w:cstheme="majorBidi"/>
                <w:sz w:val="20"/>
                <w:szCs w:val="20"/>
                <w:lang w:val="fr-FR"/>
              </w:rPr>
              <w:t>(Y)</w:t>
            </w:r>
          </w:p>
        </w:tc>
        <w:tc>
          <w:tcPr>
            <w:tcW w:w="3543" w:type="dxa"/>
            <w:tcBorders>
              <w:top w:val="nil"/>
              <w:left w:val="nil"/>
              <w:bottom w:val="single" w:sz="8" w:space="0" w:color="auto"/>
              <w:right w:val="nil"/>
            </w:tcBorders>
          </w:tcPr>
          <w:p w14:paraId="347E0034" w14:textId="3F8AE11C" w:rsidR="006C36CE" w:rsidRPr="00AA40E6" w:rsidRDefault="00BB131B" w:rsidP="009E4967">
            <w:pPr>
              <w:spacing w:before="40" w:after="120"/>
              <w:ind w:right="113"/>
              <w:jc w:val="left"/>
              <w:rPr>
                <w:rFonts w:asciiTheme="majorBidi" w:hAnsiTheme="majorBidi" w:cstheme="majorBidi"/>
                <w:sz w:val="20"/>
                <w:szCs w:val="20"/>
                <w:lang w:val="fr-FR"/>
              </w:rPr>
            </w:pPr>
            <w:r>
              <w:rPr>
                <w:rFonts w:asciiTheme="majorBidi" w:hAnsiTheme="majorBidi" w:cstheme="majorBidi"/>
                <w:sz w:val="20"/>
                <w:szCs w:val="20"/>
                <w:lang w:val="fr-FR"/>
              </w:rPr>
              <w:t>Flux thermique en W/kg</w:t>
            </w:r>
          </w:p>
        </w:tc>
      </w:tr>
    </w:tbl>
    <w:p w14:paraId="700D19F5" w14:textId="77777777" w:rsidR="00941EF3" w:rsidRDefault="00941EF3" w:rsidP="00941EF3">
      <w:pPr>
        <w:jc w:val="center"/>
        <w:rPr>
          <w:b/>
          <w:bCs/>
          <w:szCs w:val="22"/>
          <w:lang w:val="fr-FR" w:eastAsia="fr-FR"/>
        </w:rPr>
      </w:pPr>
    </w:p>
    <w:p w14:paraId="41A9CDB4" w14:textId="77777777" w:rsidR="00941EF3" w:rsidRPr="00AA40E6" w:rsidRDefault="00941EF3" w:rsidP="00941EF3">
      <w:pPr>
        <w:keepNext/>
        <w:keepLines/>
        <w:numPr>
          <w:ilvl w:val="12"/>
          <w:numId w:val="0"/>
        </w:numPr>
        <w:tabs>
          <w:tab w:val="left" w:pos="1418"/>
        </w:tabs>
        <w:spacing w:after="240"/>
        <w:rPr>
          <w:b/>
          <w:i/>
          <w:iCs/>
          <w:lang w:val="fr-FR" w:eastAsia="fr-FR"/>
        </w:rPr>
      </w:pPr>
      <w:r w:rsidRPr="00AA40E6">
        <w:rPr>
          <w:b/>
          <w:lang w:val="fr-FR" w:eastAsia="fr-FR"/>
        </w:rPr>
        <w:br w:type="page"/>
      </w:r>
      <w:r w:rsidRPr="00AA40E6">
        <w:rPr>
          <w:b/>
          <w:lang w:val="fr-FR" w:eastAsia="fr-FR"/>
        </w:rPr>
        <w:lastRenderedPageBreak/>
        <w:t>28.4.3</w:t>
      </w:r>
      <w:r w:rsidRPr="00AA40E6">
        <w:rPr>
          <w:b/>
          <w:lang w:val="fr-FR" w:eastAsia="fr-FR"/>
        </w:rPr>
        <w:tab/>
      </w:r>
      <w:r w:rsidRPr="00AA40E6">
        <w:rPr>
          <w:b/>
          <w:i/>
          <w:iCs/>
          <w:lang w:val="fr-FR" w:eastAsia="fr-FR"/>
        </w:rPr>
        <w:t>Épreuve H.3 : Épreuve de stockage isotherme (ESI)</w:t>
      </w:r>
    </w:p>
    <w:p w14:paraId="2A455C6A"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28.4.3.1</w:t>
      </w:r>
      <w:r w:rsidRPr="00AA40E6">
        <w:rPr>
          <w:lang w:val="fr-FR" w:eastAsia="fr-FR"/>
        </w:rPr>
        <w:tab/>
      </w:r>
      <w:r w:rsidRPr="00AA40E6">
        <w:rPr>
          <w:i/>
          <w:iCs/>
          <w:lang w:val="fr-FR" w:eastAsia="fr-FR"/>
        </w:rPr>
        <w:t>Introduction</w:t>
      </w:r>
    </w:p>
    <w:p w14:paraId="41F7292C"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28.4.3.1.1</w:t>
      </w:r>
      <w:r w:rsidRPr="00AA40E6">
        <w:rPr>
          <w:lang w:val="fr-FR" w:eastAsia="fr-FR"/>
        </w:rPr>
        <w:tab/>
        <w:t>Cette méthode vise à déterminer le taux de production de chaleur en fonction du temps, à température constante, par des matières sujettes à réaction ou à décomposition. Les paramètres de la production de chaleur obtenus sont utilisés de pair avec les données sur les pertes de chaleur concernant le colis pour calculer la TDAA ou la TPAA d'une matière dans son emballage. La méthode convient à n'importe quel type d'emballage, y compris les GRV et les citernes. Quelques matières présentent un accroissement du taux de leur production de chaleur à mesure que progresse la décomposition (par exemple, par autocatalyse ou décomposition induite). Cette propriété est aussi prise en considération.</w:t>
      </w:r>
    </w:p>
    <w:p w14:paraId="2E1A7C8D" w14:textId="05EB3B8A"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28.4.3.1.2</w:t>
      </w:r>
      <w:r w:rsidRPr="00AA40E6">
        <w:rPr>
          <w:lang w:val="fr-FR" w:eastAsia="fr-FR"/>
        </w:rPr>
        <w:tab/>
        <w:t>Par sa construction généralement robuste et la taille relativement petite de l'échantillon utilisé, ainsi que les conditions d'utilisation bien définies, l'appareil, qui est facilement disponible, se prête à l'exécution d'épreuves dans un laboratoire ordinaire. Les effets d'une explosion par échauffement, par exemple la fragmentation du porte-échantillon et la production d'une pression, doivent pouvoir être confinés au sein de l'appareillage.</w:t>
      </w:r>
    </w:p>
    <w:p w14:paraId="4928FF92"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28.4.3.2</w:t>
      </w:r>
      <w:r w:rsidRPr="00AA40E6">
        <w:rPr>
          <w:lang w:val="fr-FR" w:eastAsia="fr-FR"/>
        </w:rPr>
        <w:tab/>
      </w:r>
      <w:r w:rsidRPr="00AA40E6">
        <w:rPr>
          <w:i/>
          <w:lang w:val="fr-FR" w:eastAsia="fr-FR"/>
        </w:rPr>
        <w:t>Appareillage et matériels</w:t>
      </w:r>
    </w:p>
    <w:p w14:paraId="44E14F6B"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28.4.3.2.1</w:t>
      </w:r>
      <w:r w:rsidRPr="00AA40E6">
        <w:rPr>
          <w:lang w:val="fr-FR" w:eastAsia="fr-FR"/>
        </w:rPr>
        <w:tab/>
        <w:t>Calorimétrie isotherme</w:t>
      </w:r>
    </w:p>
    <w:p w14:paraId="12B08B60"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ab/>
        <w:t>Des calorimètres isothermes appropriés peuvent être utilisés. L’équipement doit pouvoir mesurer des valeurs de production de chaleur de 1 mW/kg à 1500 mW/kg dans une plage de température comprise entre -20 °C et 200 °C. L’erreur maximale doit être inférieure à 5 %. L’équipement doit permettre de maintenir la température voulue à 0,2 °C près. La masse de l’échantillon utilisé comme matériel d’épreuve doit être d’au moins 200 mg. Des porte-échantillons fermés et résistants à la pression doivent être utilisés et le porte-échantillon doit être composé d’un matériau n’ayant pas d’effet catalytique sur le comportement de décomposition de la matière mise à l’épreuve. Cela peut être réalisé en sélectionnant les matériaux appropriés pour les porte-échantillons ou au moyen d’une méthode de passivation des porte-échantillons appropriée.</w:t>
      </w:r>
    </w:p>
    <w:p w14:paraId="19DF8AA3"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28.4.3.2.2</w:t>
      </w:r>
      <w:r w:rsidRPr="00AA40E6">
        <w:rPr>
          <w:lang w:val="fr-FR" w:eastAsia="fr-FR"/>
        </w:rPr>
        <w:tab/>
        <w:t xml:space="preserve">Le porte-échantillon est placé sur le fluxmètre thermique ou autour de celui-ci. La quantité de matière qu’il contient est d’au moins 200 mg. Il doit être composé d’un matériau compatible avec l’échantillon. Si une référence externe est utilisée, elle doit être traitée de la même manière que l’échantillon. </w:t>
      </w:r>
    </w:p>
    <w:p w14:paraId="2FD661DD"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28.4.3.2.3</w:t>
      </w:r>
      <w:r w:rsidRPr="00AA40E6">
        <w:rPr>
          <w:lang w:val="fr-FR" w:eastAsia="fr-FR"/>
        </w:rPr>
        <w:tab/>
        <w:t>Le flux de chaleur de l’échantillon est enregistré en continu en fonction du temps (mesure différentielle) par un enregistreur ou un ordinateur.</w:t>
      </w:r>
    </w:p>
    <w:p w14:paraId="6F13F1B4"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28.4.3.3</w:t>
      </w:r>
      <w:r w:rsidRPr="00AA40E6">
        <w:rPr>
          <w:lang w:val="fr-FR" w:eastAsia="fr-FR"/>
        </w:rPr>
        <w:tab/>
      </w:r>
      <w:r w:rsidRPr="00AA40E6">
        <w:rPr>
          <w:i/>
          <w:lang w:val="fr-FR" w:eastAsia="fr-FR"/>
        </w:rPr>
        <w:t>Mode opératoire</w:t>
      </w:r>
    </w:p>
    <w:p w14:paraId="6B2C67F2"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28.4.3.3.1</w:t>
      </w:r>
      <w:r w:rsidRPr="00AA40E6">
        <w:rPr>
          <w:lang w:val="fr-FR" w:eastAsia="fr-FR"/>
        </w:rPr>
        <w:tab/>
        <w:t>Étalonnage</w:t>
      </w:r>
    </w:p>
    <w:p w14:paraId="219C9BF0"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ab/>
        <w:t>Avant de pouvoir effectuer une mesure, il faut déterminer le signal résiduel et la sensibilité du fluxmètre thermique par la procédure d’étalonnage applicable à l’équipement utilisé, comprenant la plage de température de la mesure.</w:t>
      </w:r>
    </w:p>
    <w:p w14:paraId="101704C2"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28.4.3.3.2</w:t>
      </w:r>
      <w:r w:rsidRPr="00AA40E6">
        <w:rPr>
          <w:lang w:val="fr-FR" w:eastAsia="fr-FR"/>
        </w:rPr>
        <w:tab/>
        <w:t xml:space="preserve">Épreuve </w:t>
      </w:r>
    </w:p>
    <w:p w14:paraId="5E1E2D4A"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ab/>
        <w:t>Procéder comme suit :</w:t>
      </w:r>
    </w:p>
    <w:p w14:paraId="46BC4D2B" w14:textId="77777777" w:rsidR="00941EF3" w:rsidRDefault="00941EF3" w:rsidP="00F1580D">
      <w:pPr>
        <w:pStyle w:val="Man1subpara"/>
        <w:rPr>
          <w:lang w:eastAsia="fr-FR"/>
        </w:rPr>
      </w:pPr>
      <w:r>
        <w:rPr>
          <w:lang w:eastAsia="fr-FR"/>
        </w:rPr>
        <w:t>a)</w:t>
      </w:r>
      <w:r>
        <w:rPr>
          <w:lang w:eastAsia="fr-FR"/>
        </w:rPr>
        <w:tab/>
        <w:t>Régler l’appareil à la température d’épreuve voulue. La température choisie doit suffire à donner un taux de production de chaleur de 5 mW à 1 000 mW par kg de matière ou, pour les citernes, un taux de production maximal de chaleur maximal compris entre 1 et 100 mW/kg ;</w:t>
      </w:r>
    </w:p>
    <w:p w14:paraId="40E949EE" w14:textId="77777777" w:rsidR="00941EF3" w:rsidRDefault="00941EF3" w:rsidP="00F1580D">
      <w:pPr>
        <w:pStyle w:val="Man1subpara"/>
        <w:rPr>
          <w:lang w:eastAsia="fr-FR"/>
        </w:rPr>
      </w:pPr>
      <w:r>
        <w:rPr>
          <w:lang w:eastAsia="fr-FR"/>
        </w:rPr>
        <w:t>b)</w:t>
      </w:r>
      <w:r>
        <w:rPr>
          <w:lang w:eastAsia="fr-FR"/>
        </w:rPr>
        <w:tab/>
        <w:t>Introduire dans le porte-échantillon l’échantillon pesé et une quantité représentative de matériau d’emballage (s’il est métallique) et l’insérer dans l’appareil ;</w:t>
      </w:r>
    </w:p>
    <w:p w14:paraId="50C60B19" w14:textId="77777777" w:rsidR="00941EF3" w:rsidRDefault="00941EF3" w:rsidP="00F1580D">
      <w:pPr>
        <w:pStyle w:val="Man1subpara"/>
        <w:rPr>
          <w:lang w:eastAsia="fr-FR"/>
        </w:rPr>
      </w:pPr>
      <w:r>
        <w:rPr>
          <w:lang w:eastAsia="fr-FR"/>
        </w:rPr>
        <w:lastRenderedPageBreak/>
        <w:t>c)</w:t>
      </w:r>
      <w:r>
        <w:rPr>
          <w:lang w:eastAsia="fr-FR"/>
        </w:rPr>
        <w:tab/>
        <w:t>Commencer la mesure du taux de production de chaleur. La durée de chaque épreuve dépend de la température d’épreuve et du taux de production de chaleur. La durée de mesure indiquée dans la figure 28.4.3.1 peut être utilisée comme ligne directrice, à moins qu’elle n’aboutisse à des valeurs irréalistes (par exemple, plus de 1 000 heures). Ces temps de mesure sont calculés afin de parvenir à un certain degré de conversion de la matière qui permette de prendre en compte les effets autocatalytiques</w:t>
      </w:r>
      <w:r>
        <w:rPr>
          <w:rStyle w:val="FootnoteReference"/>
          <w:lang w:eastAsia="fr-FR"/>
        </w:rPr>
        <w:footnoteReference w:customMarkFollows="1" w:id="4"/>
        <w:t>3</w:t>
      </w:r>
      <w:r>
        <w:rPr>
          <w:lang w:eastAsia="fr-FR"/>
        </w:rPr>
        <w:t xml:space="preserve"> ;</w:t>
      </w:r>
    </w:p>
    <w:p w14:paraId="58A49D8A" w14:textId="77777777" w:rsidR="00941EF3" w:rsidRDefault="00941EF3" w:rsidP="00F1580D">
      <w:pPr>
        <w:pStyle w:val="Man1subpara"/>
        <w:rPr>
          <w:lang w:eastAsia="fr-FR"/>
        </w:rPr>
      </w:pPr>
      <w:r>
        <w:rPr>
          <w:lang w:eastAsia="fr-FR"/>
        </w:rPr>
        <w:t>d)</w:t>
      </w:r>
      <w:r>
        <w:rPr>
          <w:lang w:eastAsia="fr-FR"/>
        </w:rPr>
        <w:tab/>
        <w:t>Au terme de chaque épreuve, il faut déterminer la variation de la masse de l’échantillon ;</w:t>
      </w:r>
    </w:p>
    <w:p w14:paraId="3E3CA0B5" w14:textId="77777777" w:rsidR="00941EF3" w:rsidRDefault="00941EF3" w:rsidP="00F1580D">
      <w:pPr>
        <w:pStyle w:val="Man1subpara"/>
        <w:rPr>
          <w:lang w:eastAsia="fr-FR"/>
        </w:rPr>
      </w:pPr>
      <w:r>
        <w:rPr>
          <w:lang w:eastAsia="fr-FR"/>
        </w:rPr>
        <w:t>e)</w:t>
      </w:r>
      <w:r>
        <w:rPr>
          <w:lang w:eastAsia="fr-FR"/>
        </w:rPr>
        <w:tab/>
        <w:t>L’épreuve est répétée avec de nouveaux échantillons à des intervalles de température de 5 °C de façon à obtenir au moins cinq résultats avec un taux de production maximal de chaleur situé entre 5 et 1 000 mW/kg ou, pour les citernes, entre 1 et 100 mW/kg.</w:t>
      </w:r>
    </w:p>
    <w:p w14:paraId="65AEC1B5" w14:textId="77777777" w:rsidR="00AC6F3C" w:rsidRDefault="00AC6F3C" w:rsidP="005302F5">
      <w:pPr>
        <w:pStyle w:val="MantableHead"/>
        <w:rPr>
          <w:lang w:val="fr-FR"/>
        </w:rPr>
      </w:pPr>
    </w:p>
    <w:p w14:paraId="36EE16F9" w14:textId="4CEAC5B0" w:rsidR="00941EF3" w:rsidRPr="00AA40E6" w:rsidRDefault="00941EF3" w:rsidP="005302F5">
      <w:pPr>
        <w:pStyle w:val="MantableHead"/>
        <w:rPr>
          <w:lang w:val="fr-FR"/>
        </w:rPr>
      </w:pPr>
      <w:r w:rsidRPr="00195C66">
        <w:rPr>
          <w:lang w:val="fr-FR"/>
        </w:rPr>
        <w:t>Figure 28.4.3.1</w:t>
      </w:r>
      <w:r w:rsidRPr="00195C66">
        <w:rPr>
          <w:lang w:val="fr-FR"/>
        </w:rPr>
        <w:tab/>
      </w:r>
      <w:r w:rsidRPr="00195C66">
        <w:rPr>
          <w:lang w:val="fr-FR"/>
        </w:rPr>
        <w:tab/>
        <w:t>Durée de mesure en fonction du taux de production maximal de chaleur mesuré</w:t>
      </w:r>
    </w:p>
    <w:p w14:paraId="66F4126A" w14:textId="7B8C44CC" w:rsidR="00941EF3" w:rsidRPr="00AA40E6" w:rsidRDefault="00FB2DC5" w:rsidP="00195C66">
      <w:pPr>
        <w:keepNext/>
        <w:keepLines/>
        <w:numPr>
          <w:ilvl w:val="12"/>
          <w:numId w:val="0"/>
        </w:numPr>
        <w:tabs>
          <w:tab w:val="left" w:pos="1418"/>
        </w:tabs>
        <w:spacing w:after="240"/>
        <w:jc w:val="center"/>
        <w:rPr>
          <w:lang w:val="fr-FR" w:eastAsia="fr-FR"/>
        </w:rPr>
      </w:pPr>
      <w:r w:rsidRPr="005F0E87">
        <w:rPr>
          <w:rFonts w:eastAsiaTheme="minorHAnsi"/>
          <w:noProof/>
          <w:lang w:val="fr-FR"/>
        </w:rPr>
        <w:drawing>
          <wp:inline distT="0" distB="0" distL="0" distR="0" wp14:anchorId="4F384DA7" wp14:editId="03D0C18D">
            <wp:extent cx="3793402" cy="2041556"/>
            <wp:effectExtent l="0" t="0" r="0" b="0"/>
            <wp:docPr id="11" name="Chart 11">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E9CF75E"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28.4.3.4</w:t>
      </w:r>
      <w:r w:rsidRPr="00AA40E6">
        <w:rPr>
          <w:lang w:val="fr-FR" w:eastAsia="fr-FR"/>
        </w:rPr>
        <w:tab/>
      </w:r>
      <w:r w:rsidRPr="00AA40E6">
        <w:rPr>
          <w:i/>
          <w:lang w:val="fr-FR" w:eastAsia="fr-FR"/>
        </w:rPr>
        <w:t>Critères d'épreuve et méthode d'évaluation des résultats</w:t>
      </w:r>
    </w:p>
    <w:p w14:paraId="10F32046" w14:textId="1A1EC2DA"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28.4.3.4.1</w:t>
      </w:r>
      <w:r w:rsidRPr="00AA40E6">
        <w:rPr>
          <w:lang w:val="fr-FR" w:eastAsia="fr-FR"/>
        </w:rPr>
        <w:tab/>
        <w:t>Reporter le taux maximal calculé de production de chaleur par unité de masse en fonction de la température d'épreuve sur un diagramme à échelles linéaires et tracer la courbe la mieux ajustée entre les points. Déterminer les pertes de chaleur par unité de masse L (W/K.kg) de l'emballage, du GRV ou de la citerne éprouvés (voir 28.3.5). Tracer sur le diagramme une ligne droite de pente </w:t>
      </w:r>
      <w:proofErr w:type="spellStart"/>
      <w:r w:rsidRPr="00AA40E6">
        <w:rPr>
          <w:lang w:val="fr-FR" w:eastAsia="fr-FR"/>
        </w:rPr>
        <w:t>L</w:t>
      </w:r>
      <w:proofErr w:type="spellEnd"/>
      <w:r w:rsidRPr="00AA40E6">
        <w:rPr>
          <w:lang w:val="fr-FR" w:eastAsia="fr-FR"/>
        </w:rPr>
        <w:t xml:space="preserve"> tangente à la courbe de production de chaleur. L'intersection de la ligne droite et de l'axe des abscisses représente la température ambiante critique, soit la température la plus élevée à laquelle la matière telle qu'elle est emballée ne manifeste pas de décomposition auto-accélérée. La TDAA ou la TPAA est donnée par la température ambiante critique arrondie au multiple de 5 °C le plus proche. Un exemple est donné à la figure 28.4.3.2.</w:t>
      </w:r>
    </w:p>
    <w:p w14:paraId="0AE25867" w14:textId="77777777" w:rsidR="00AF39A3" w:rsidRPr="00AA40E6" w:rsidRDefault="00AF39A3">
      <w:pPr>
        <w:widowControl/>
        <w:autoSpaceDE/>
        <w:autoSpaceDN/>
        <w:adjustRightInd/>
        <w:jc w:val="left"/>
        <w:rPr>
          <w:lang w:val="fr-FR" w:eastAsia="fr-FR"/>
        </w:rPr>
      </w:pPr>
      <w:r w:rsidRPr="00AA40E6">
        <w:rPr>
          <w:lang w:val="fr-FR" w:eastAsia="fr-FR"/>
        </w:rPr>
        <w:br w:type="page"/>
      </w:r>
    </w:p>
    <w:p w14:paraId="5A29CF2F" w14:textId="673582A8" w:rsidR="00941EF3" w:rsidRPr="00AA40E6" w:rsidRDefault="00941EF3" w:rsidP="00941EF3">
      <w:pPr>
        <w:keepNext/>
        <w:keepLines/>
        <w:numPr>
          <w:ilvl w:val="12"/>
          <w:numId w:val="0"/>
        </w:numPr>
        <w:tabs>
          <w:tab w:val="left" w:pos="1418"/>
        </w:tabs>
        <w:spacing w:after="240"/>
        <w:rPr>
          <w:i/>
          <w:lang w:val="fr-FR" w:eastAsia="fr-FR"/>
        </w:rPr>
      </w:pPr>
      <w:r w:rsidRPr="00AA40E6">
        <w:rPr>
          <w:lang w:val="fr-FR" w:eastAsia="fr-FR"/>
        </w:rPr>
        <w:lastRenderedPageBreak/>
        <w:t>28.4.3.5</w:t>
      </w:r>
      <w:r w:rsidRPr="00AA40E6">
        <w:rPr>
          <w:lang w:val="fr-FR" w:eastAsia="fr-FR"/>
        </w:rPr>
        <w:tab/>
      </w:r>
      <w:r w:rsidRPr="00AA40E6">
        <w:rPr>
          <w:i/>
          <w:lang w:val="fr-FR" w:eastAsia="fr-FR"/>
        </w:rPr>
        <w:t>Exemples de résultats</w:t>
      </w:r>
    </w:p>
    <w:tbl>
      <w:tblPr>
        <w:tblW w:w="5000" w:type="pct"/>
        <w:tblCellMar>
          <w:left w:w="120" w:type="dxa"/>
          <w:right w:w="120" w:type="dxa"/>
        </w:tblCellMar>
        <w:tblLook w:val="04A0" w:firstRow="1" w:lastRow="0" w:firstColumn="1" w:lastColumn="0" w:noHBand="0" w:noVBand="1"/>
      </w:tblPr>
      <w:tblGrid>
        <w:gridCol w:w="4481"/>
        <w:gridCol w:w="785"/>
        <w:gridCol w:w="1155"/>
        <w:gridCol w:w="1810"/>
        <w:gridCol w:w="1407"/>
      </w:tblGrid>
      <w:tr w:rsidR="00941EF3" w14:paraId="28379F11" w14:textId="77777777" w:rsidTr="00941EF3">
        <w:trPr>
          <w:cantSplit/>
        </w:trPr>
        <w:tc>
          <w:tcPr>
            <w:tcW w:w="2325" w:type="pct"/>
            <w:tcBorders>
              <w:top w:val="single" w:sz="8" w:space="0" w:color="auto"/>
              <w:left w:val="nil"/>
              <w:bottom w:val="single" w:sz="8" w:space="0" w:color="auto"/>
              <w:right w:val="nil"/>
            </w:tcBorders>
            <w:hideMark/>
          </w:tcPr>
          <w:p w14:paraId="10FE146F" w14:textId="77777777" w:rsidR="00941EF3" w:rsidRPr="00AA40E6" w:rsidRDefault="00941EF3">
            <w:pPr>
              <w:numPr>
                <w:ilvl w:val="12"/>
                <w:numId w:val="0"/>
              </w:numPr>
              <w:spacing w:before="40" w:after="40"/>
              <w:rPr>
                <w:rFonts w:eastAsia="SimSun"/>
                <w:b/>
                <w:bCs/>
                <w:sz w:val="24"/>
                <w:lang w:val="fr-FR" w:eastAsia="fr-FR"/>
              </w:rPr>
            </w:pPr>
            <w:r w:rsidRPr="00AA40E6">
              <w:rPr>
                <w:rFonts w:eastAsia="SimSun"/>
                <w:b/>
                <w:bCs/>
                <w:sz w:val="20"/>
                <w:szCs w:val="20"/>
                <w:lang w:val="fr-FR" w:eastAsia="fr-FR"/>
              </w:rPr>
              <w:t>Matière</w:t>
            </w:r>
          </w:p>
        </w:tc>
        <w:tc>
          <w:tcPr>
            <w:tcW w:w="408" w:type="pct"/>
            <w:tcBorders>
              <w:top w:val="single" w:sz="8" w:space="0" w:color="auto"/>
              <w:left w:val="nil"/>
              <w:bottom w:val="single" w:sz="8" w:space="0" w:color="auto"/>
              <w:right w:val="nil"/>
            </w:tcBorders>
            <w:hideMark/>
          </w:tcPr>
          <w:p w14:paraId="7E6293BA" w14:textId="77777777" w:rsidR="00941EF3" w:rsidRPr="00AA40E6" w:rsidRDefault="00941EF3">
            <w:pPr>
              <w:numPr>
                <w:ilvl w:val="12"/>
                <w:numId w:val="0"/>
              </w:numPr>
              <w:spacing w:before="40" w:after="40"/>
              <w:jc w:val="right"/>
              <w:rPr>
                <w:rFonts w:eastAsia="SimSun"/>
                <w:b/>
                <w:bCs/>
                <w:sz w:val="24"/>
                <w:lang w:val="fr-FR" w:eastAsia="fr-FR"/>
              </w:rPr>
            </w:pPr>
            <w:r w:rsidRPr="00AA40E6">
              <w:rPr>
                <w:rFonts w:eastAsia="SimSun"/>
                <w:b/>
                <w:bCs/>
                <w:sz w:val="20"/>
                <w:szCs w:val="20"/>
                <w:lang w:val="fr-FR" w:eastAsia="fr-FR"/>
              </w:rPr>
              <w:t>Masse (kg)</w:t>
            </w:r>
          </w:p>
        </w:tc>
        <w:tc>
          <w:tcPr>
            <w:tcW w:w="599" w:type="pct"/>
            <w:tcBorders>
              <w:top w:val="single" w:sz="8" w:space="0" w:color="auto"/>
              <w:left w:val="nil"/>
              <w:bottom w:val="single" w:sz="8" w:space="0" w:color="auto"/>
              <w:right w:val="nil"/>
            </w:tcBorders>
            <w:hideMark/>
          </w:tcPr>
          <w:p w14:paraId="26CA499F" w14:textId="77777777" w:rsidR="00941EF3" w:rsidRPr="00AA40E6" w:rsidRDefault="00941EF3">
            <w:pPr>
              <w:numPr>
                <w:ilvl w:val="12"/>
                <w:numId w:val="0"/>
              </w:numPr>
              <w:spacing w:before="40" w:after="40"/>
              <w:rPr>
                <w:rFonts w:eastAsia="SimSun"/>
                <w:b/>
                <w:bCs/>
                <w:sz w:val="24"/>
                <w:lang w:val="fr-FR" w:eastAsia="fr-FR"/>
              </w:rPr>
            </w:pPr>
            <w:r w:rsidRPr="00AA40E6">
              <w:rPr>
                <w:rFonts w:eastAsia="SimSun"/>
                <w:b/>
                <w:bCs/>
                <w:sz w:val="20"/>
                <w:szCs w:val="20"/>
                <w:lang w:val="fr-FR" w:eastAsia="fr-FR"/>
              </w:rPr>
              <w:t>Emballage</w:t>
            </w:r>
          </w:p>
        </w:tc>
        <w:tc>
          <w:tcPr>
            <w:tcW w:w="939" w:type="pct"/>
            <w:tcBorders>
              <w:top w:val="single" w:sz="8" w:space="0" w:color="auto"/>
              <w:left w:val="nil"/>
              <w:bottom w:val="single" w:sz="8" w:space="0" w:color="auto"/>
              <w:right w:val="nil"/>
            </w:tcBorders>
            <w:hideMark/>
          </w:tcPr>
          <w:p w14:paraId="397726C3" w14:textId="2925F18D" w:rsidR="00941EF3" w:rsidRPr="00AA40E6" w:rsidRDefault="00941EF3">
            <w:pPr>
              <w:numPr>
                <w:ilvl w:val="12"/>
                <w:numId w:val="0"/>
              </w:numPr>
              <w:spacing w:before="40" w:after="40"/>
              <w:jc w:val="right"/>
              <w:rPr>
                <w:rFonts w:eastAsia="SimSun"/>
                <w:b/>
                <w:bCs/>
                <w:sz w:val="24"/>
                <w:lang w:val="fr-FR" w:eastAsia="fr-FR"/>
              </w:rPr>
            </w:pPr>
            <w:r w:rsidRPr="00AA40E6">
              <w:rPr>
                <w:rFonts w:eastAsia="SimSun"/>
                <w:b/>
                <w:bCs/>
                <w:sz w:val="20"/>
                <w:lang w:val="fr-FR" w:eastAsia="fr-FR"/>
              </w:rPr>
              <w:t>Perte de chaleur par unité de masse</w:t>
            </w:r>
            <w:r w:rsidRPr="00AA40E6">
              <w:rPr>
                <w:rFonts w:eastAsia="SimSun"/>
                <w:b/>
                <w:bCs/>
                <w:sz w:val="20"/>
                <w:szCs w:val="20"/>
                <w:lang w:val="fr-FR" w:eastAsia="fr-FR"/>
              </w:rPr>
              <w:t xml:space="preserve"> (mW/K.kg)</w:t>
            </w:r>
          </w:p>
        </w:tc>
        <w:tc>
          <w:tcPr>
            <w:tcW w:w="730" w:type="pct"/>
            <w:tcBorders>
              <w:top w:val="single" w:sz="8" w:space="0" w:color="auto"/>
              <w:left w:val="nil"/>
              <w:bottom w:val="single" w:sz="8" w:space="0" w:color="auto"/>
              <w:right w:val="nil"/>
            </w:tcBorders>
            <w:hideMark/>
          </w:tcPr>
          <w:p w14:paraId="2B16E40D" w14:textId="77777777" w:rsidR="00941EF3" w:rsidRPr="00AA40E6" w:rsidRDefault="00941EF3">
            <w:pPr>
              <w:numPr>
                <w:ilvl w:val="12"/>
                <w:numId w:val="0"/>
              </w:numPr>
              <w:spacing w:before="40" w:after="40"/>
              <w:jc w:val="right"/>
              <w:rPr>
                <w:rFonts w:eastAsia="SimSun"/>
                <w:b/>
                <w:bCs/>
                <w:sz w:val="24"/>
                <w:lang w:val="fr-FR" w:eastAsia="fr-FR"/>
              </w:rPr>
            </w:pPr>
            <w:r w:rsidRPr="00AA40E6">
              <w:rPr>
                <w:rFonts w:eastAsia="SimSun"/>
                <w:b/>
                <w:bCs/>
                <w:sz w:val="20"/>
                <w:lang w:val="fr-FR" w:eastAsia="fr-FR"/>
              </w:rPr>
              <w:t xml:space="preserve">TDAA/TPAA </w:t>
            </w:r>
            <w:r w:rsidRPr="00AA40E6">
              <w:rPr>
                <w:rFonts w:eastAsia="SimSun"/>
                <w:b/>
                <w:bCs/>
                <w:sz w:val="20"/>
                <w:szCs w:val="20"/>
                <w:lang w:val="fr-FR" w:eastAsia="fr-FR"/>
              </w:rPr>
              <w:t>(°C)</w:t>
            </w:r>
          </w:p>
        </w:tc>
      </w:tr>
      <w:tr w:rsidR="00941EF3" w14:paraId="4A7A6D50" w14:textId="77777777" w:rsidTr="00941EF3">
        <w:trPr>
          <w:cantSplit/>
        </w:trPr>
        <w:tc>
          <w:tcPr>
            <w:tcW w:w="2325" w:type="pct"/>
            <w:tcBorders>
              <w:top w:val="single" w:sz="8" w:space="0" w:color="auto"/>
              <w:left w:val="nil"/>
              <w:bottom w:val="nil"/>
              <w:right w:val="nil"/>
            </w:tcBorders>
            <w:hideMark/>
          </w:tcPr>
          <w:p w14:paraId="78DE0891"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szCs w:val="20"/>
                <w:lang w:val="fr-FR" w:eastAsia="fr-FR"/>
              </w:rPr>
              <w:t>Azodicarbonamide</w:t>
            </w:r>
            <w:proofErr w:type="spellEnd"/>
            <w:r w:rsidRPr="00AA40E6">
              <w:rPr>
                <w:rFonts w:eastAsia="SimSun"/>
                <w:sz w:val="20"/>
                <w:szCs w:val="20"/>
                <w:lang w:val="fr-FR" w:eastAsia="fr-FR"/>
              </w:rPr>
              <w:t> </w:t>
            </w:r>
            <w:r w:rsidRPr="00AA40E6">
              <w:rPr>
                <w:rFonts w:eastAsia="SimSun"/>
                <w:b/>
                <w:bCs/>
                <w:sz w:val="20"/>
                <w:szCs w:val="20"/>
                <w:vertAlign w:val="superscript"/>
                <w:lang w:val="fr-FR" w:eastAsia="fr-FR"/>
              </w:rPr>
              <w:t>a</w:t>
            </w:r>
          </w:p>
        </w:tc>
        <w:tc>
          <w:tcPr>
            <w:tcW w:w="408" w:type="pct"/>
            <w:tcBorders>
              <w:top w:val="single" w:sz="8" w:space="0" w:color="auto"/>
              <w:left w:val="nil"/>
              <w:bottom w:val="nil"/>
              <w:right w:val="nil"/>
            </w:tcBorders>
            <w:hideMark/>
          </w:tcPr>
          <w:p w14:paraId="78FBA81F"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30</w:t>
            </w:r>
          </w:p>
        </w:tc>
        <w:tc>
          <w:tcPr>
            <w:tcW w:w="599" w:type="pct"/>
            <w:tcBorders>
              <w:top w:val="single" w:sz="8" w:space="0" w:color="auto"/>
              <w:left w:val="nil"/>
              <w:bottom w:val="nil"/>
              <w:right w:val="nil"/>
            </w:tcBorders>
            <w:hideMark/>
          </w:tcPr>
          <w:p w14:paraId="696D9A6E"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1G</w:t>
            </w:r>
          </w:p>
        </w:tc>
        <w:tc>
          <w:tcPr>
            <w:tcW w:w="939" w:type="pct"/>
            <w:tcBorders>
              <w:top w:val="single" w:sz="8" w:space="0" w:color="auto"/>
              <w:left w:val="nil"/>
              <w:bottom w:val="nil"/>
              <w:right w:val="nil"/>
            </w:tcBorders>
            <w:hideMark/>
          </w:tcPr>
          <w:p w14:paraId="2CCA60D4"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100</w:t>
            </w:r>
          </w:p>
        </w:tc>
        <w:tc>
          <w:tcPr>
            <w:tcW w:w="730" w:type="pct"/>
            <w:tcBorders>
              <w:top w:val="single" w:sz="8" w:space="0" w:color="auto"/>
              <w:left w:val="nil"/>
              <w:bottom w:val="nil"/>
              <w:right w:val="nil"/>
            </w:tcBorders>
            <w:hideMark/>
          </w:tcPr>
          <w:p w14:paraId="6AF169F3"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&gt; 75</w:t>
            </w:r>
          </w:p>
        </w:tc>
      </w:tr>
      <w:tr w:rsidR="00941EF3" w14:paraId="20B5F7BC" w14:textId="77777777" w:rsidTr="00941EF3">
        <w:trPr>
          <w:cantSplit/>
        </w:trPr>
        <w:tc>
          <w:tcPr>
            <w:tcW w:w="2325" w:type="pct"/>
            <w:hideMark/>
          </w:tcPr>
          <w:p w14:paraId="55C06E67"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lang w:val="fr-FR" w:eastAsia="fr-FR"/>
              </w:rPr>
              <w:t>Peroxybenzoate</w:t>
            </w:r>
            <w:proofErr w:type="spellEnd"/>
            <w:r w:rsidRPr="00AA40E6">
              <w:rPr>
                <w:rFonts w:eastAsia="SimSun"/>
                <w:sz w:val="20"/>
                <w:lang w:val="fr-FR" w:eastAsia="fr-FR"/>
              </w:rPr>
              <w:t xml:space="preserve"> de </w:t>
            </w:r>
            <w:proofErr w:type="spellStart"/>
            <w:r w:rsidRPr="00AA40E6">
              <w:rPr>
                <w:rFonts w:eastAsia="SimSun"/>
                <w:sz w:val="20"/>
                <w:lang w:val="fr-FR" w:eastAsia="fr-FR"/>
              </w:rPr>
              <w:t>tert</w:t>
            </w:r>
            <w:proofErr w:type="spellEnd"/>
            <w:r w:rsidRPr="00AA40E6">
              <w:rPr>
                <w:rFonts w:eastAsia="SimSun"/>
                <w:sz w:val="20"/>
                <w:lang w:val="fr-FR" w:eastAsia="fr-FR"/>
              </w:rPr>
              <w:t>-butyle</w:t>
            </w:r>
            <w:r w:rsidRPr="00AA40E6">
              <w:rPr>
                <w:rFonts w:eastAsia="SimSun"/>
                <w:sz w:val="20"/>
                <w:szCs w:val="20"/>
                <w:lang w:val="fr-FR" w:eastAsia="fr-FR"/>
              </w:rPr>
              <w:t xml:space="preserve">  </w:t>
            </w:r>
            <w:r w:rsidRPr="00AA40E6">
              <w:rPr>
                <w:rFonts w:eastAsia="SimSun"/>
                <w:b/>
                <w:bCs/>
                <w:sz w:val="20"/>
                <w:szCs w:val="20"/>
                <w:vertAlign w:val="superscript"/>
                <w:lang w:val="fr-FR" w:eastAsia="fr-FR"/>
              </w:rPr>
              <w:t>a</w:t>
            </w:r>
          </w:p>
        </w:tc>
        <w:tc>
          <w:tcPr>
            <w:tcW w:w="408" w:type="pct"/>
            <w:hideMark/>
          </w:tcPr>
          <w:p w14:paraId="5258452D"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25</w:t>
            </w:r>
          </w:p>
        </w:tc>
        <w:tc>
          <w:tcPr>
            <w:tcW w:w="599" w:type="pct"/>
            <w:hideMark/>
          </w:tcPr>
          <w:p w14:paraId="1F62AE6F"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6HG2</w:t>
            </w:r>
          </w:p>
        </w:tc>
        <w:tc>
          <w:tcPr>
            <w:tcW w:w="939" w:type="pct"/>
            <w:hideMark/>
          </w:tcPr>
          <w:p w14:paraId="27CA9F0F"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70</w:t>
            </w:r>
          </w:p>
        </w:tc>
        <w:tc>
          <w:tcPr>
            <w:tcW w:w="730" w:type="pct"/>
            <w:hideMark/>
          </w:tcPr>
          <w:p w14:paraId="2344C7E9"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55</w:t>
            </w:r>
          </w:p>
        </w:tc>
      </w:tr>
      <w:tr w:rsidR="00941EF3" w14:paraId="3CE95A64" w14:textId="77777777" w:rsidTr="00941EF3">
        <w:trPr>
          <w:cantSplit/>
        </w:trPr>
        <w:tc>
          <w:tcPr>
            <w:tcW w:w="2325" w:type="pct"/>
            <w:hideMark/>
          </w:tcPr>
          <w:p w14:paraId="7FEDA2B6"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 xml:space="preserve">Peroxy-2-éthylhexanoate de </w:t>
            </w:r>
            <w:proofErr w:type="spellStart"/>
            <w:r w:rsidRPr="00AA40E6">
              <w:rPr>
                <w:rFonts w:eastAsia="SimSun"/>
                <w:sz w:val="20"/>
                <w:lang w:val="fr-FR" w:eastAsia="fr-FR"/>
              </w:rPr>
              <w:t>tert</w:t>
            </w:r>
            <w:proofErr w:type="spellEnd"/>
            <w:r w:rsidRPr="00AA40E6">
              <w:rPr>
                <w:rFonts w:eastAsia="SimSun"/>
                <w:sz w:val="20"/>
                <w:lang w:val="fr-FR" w:eastAsia="fr-FR"/>
              </w:rPr>
              <w:t>-butyle</w:t>
            </w:r>
            <w:r w:rsidRPr="00AA40E6">
              <w:rPr>
                <w:rFonts w:eastAsia="SimSun"/>
                <w:sz w:val="20"/>
                <w:szCs w:val="20"/>
                <w:lang w:val="fr-FR" w:eastAsia="fr-FR"/>
              </w:rPr>
              <w:t xml:space="preserve">  </w:t>
            </w:r>
            <w:r w:rsidRPr="00AA40E6">
              <w:rPr>
                <w:rFonts w:eastAsia="SimSun"/>
                <w:b/>
                <w:bCs/>
                <w:sz w:val="20"/>
                <w:szCs w:val="20"/>
                <w:vertAlign w:val="superscript"/>
                <w:lang w:val="fr-FR" w:eastAsia="fr-FR"/>
              </w:rPr>
              <w:t>a</w:t>
            </w:r>
          </w:p>
        </w:tc>
        <w:tc>
          <w:tcPr>
            <w:tcW w:w="408" w:type="pct"/>
            <w:hideMark/>
          </w:tcPr>
          <w:p w14:paraId="5A8821E4"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25</w:t>
            </w:r>
          </w:p>
        </w:tc>
        <w:tc>
          <w:tcPr>
            <w:tcW w:w="599" w:type="pct"/>
            <w:hideMark/>
          </w:tcPr>
          <w:p w14:paraId="338918BF"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6HG2</w:t>
            </w:r>
          </w:p>
        </w:tc>
        <w:tc>
          <w:tcPr>
            <w:tcW w:w="939" w:type="pct"/>
            <w:hideMark/>
          </w:tcPr>
          <w:p w14:paraId="2D8726F6"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70</w:t>
            </w:r>
          </w:p>
        </w:tc>
        <w:tc>
          <w:tcPr>
            <w:tcW w:w="730" w:type="pct"/>
            <w:hideMark/>
          </w:tcPr>
          <w:p w14:paraId="34EE8176"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40</w:t>
            </w:r>
          </w:p>
        </w:tc>
      </w:tr>
      <w:tr w:rsidR="00941EF3" w14:paraId="3B0CAF99" w14:textId="77777777" w:rsidTr="00941EF3">
        <w:trPr>
          <w:cantSplit/>
        </w:trPr>
        <w:tc>
          <w:tcPr>
            <w:tcW w:w="2325" w:type="pct"/>
            <w:hideMark/>
          </w:tcPr>
          <w:p w14:paraId="5F3D95F4"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lang w:val="fr-FR" w:eastAsia="fr-FR"/>
              </w:rPr>
              <w:t>Peroxypivalate</w:t>
            </w:r>
            <w:proofErr w:type="spellEnd"/>
            <w:r w:rsidRPr="00AA40E6">
              <w:rPr>
                <w:rFonts w:eastAsia="SimSun"/>
                <w:sz w:val="20"/>
                <w:lang w:val="fr-FR" w:eastAsia="fr-FR"/>
              </w:rPr>
              <w:t xml:space="preserve"> de </w:t>
            </w:r>
            <w:proofErr w:type="spellStart"/>
            <w:r w:rsidRPr="00AA40E6">
              <w:rPr>
                <w:rFonts w:eastAsia="SimSun"/>
                <w:sz w:val="20"/>
                <w:lang w:val="fr-FR" w:eastAsia="fr-FR"/>
              </w:rPr>
              <w:t>tert</w:t>
            </w:r>
            <w:proofErr w:type="spellEnd"/>
            <w:r w:rsidRPr="00AA40E6">
              <w:rPr>
                <w:rFonts w:eastAsia="SimSun"/>
                <w:sz w:val="20"/>
                <w:lang w:val="fr-FR" w:eastAsia="fr-FR"/>
              </w:rPr>
              <w:t>-butyle</w:t>
            </w:r>
            <w:r w:rsidRPr="00AA40E6">
              <w:rPr>
                <w:rFonts w:eastAsia="SimSun"/>
                <w:sz w:val="20"/>
                <w:szCs w:val="20"/>
                <w:lang w:val="fr-FR" w:eastAsia="fr-FR"/>
              </w:rPr>
              <w:t xml:space="preserve">  </w:t>
            </w:r>
            <w:r w:rsidRPr="00AA40E6">
              <w:rPr>
                <w:rFonts w:eastAsia="SimSun"/>
                <w:b/>
                <w:bCs/>
                <w:sz w:val="20"/>
                <w:szCs w:val="20"/>
                <w:vertAlign w:val="superscript"/>
                <w:lang w:val="fr-FR" w:eastAsia="fr-FR"/>
              </w:rPr>
              <w:t>a</w:t>
            </w:r>
          </w:p>
        </w:tc>
        <w:tc>
          <w:tcPr>
            <w:tcW w:w="408" w:type="pct"/>
            <w:hideMark/>
          </w:tcPr>
          <w:p w14:paraId="58AE937F"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25</w:t>
            </w:r>
          </w:p>
        </w:tc>
        <w:tc>
          <w:tcPr>
            <w:tcW w:w="599" w:type="pct"/>
            <w:hideMark/>
          </w:tcPr>
          <w:p w14:paraId="3C5D5185"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6HG2</w:t>
            </w:r>
          </w:p>
        </w:tc>
        <w:tc>
          <w:tcPr>
            <w:tcW w:w="939" w:type="pct"/>
            <w:hideMark/>
          </w:tcPr>
          <w:p w14:paraId="630D21BF"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70</w:t>
            </w:r>
          </w:p>
        </w:tc>
        <w:tc>
          <w:tcPr>
            <w:tcW w:w="730" w:type="pct"/>
            <w:hideMark/>
          </w:tcPr>
          <w:p w14:paraId="09D492B4"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25</w:t>
            </w:r>
          </w:p>
        </w:tc>
      </w:tr>
      <w:tr w:rsidR="00941EF3" w14:paraId="0B1E74F2" w14:textId="77777777" w:rsidTr="00941EF3">
        <w:trPr>
          <w:cantSplit/>
        </w:trPr>
        <w:tc>
          <w:tcPr>
            <w:tcW w:w="2325" w:type="pct"/>
            <w:hideMark/>
          </w:tcPr>
          <w:p w14:paraId="70B960DD"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 xml:space="preserve">Chlorure double de zinc et de diéthoxy-2,5 morpholino-4 </w:t>
            </w:r>
            <w:proofErr w:type="spellStart"/>
            <w:r w:rsidRPr="00AA40E6">
              <w:rPr>
                <w:rFonts w:eastAsia="SimSun"/>
                <w:sz w:val="20"/>
                <w:lang w:val="fr-FR" w:eastAsia="fr-FR"/>
              </w:rPr>
              <w:t>benzènediazonium</w:t>
            </w:r>
            <w:proofErr w:type="spellEnd"/>
            <w:r w:rsidRPr="00AA40E6">
              <w:rPr>
                <w:rFonts w:eastAsia="SimSun"/>
                <w:sz w:val="20"/>
                <w:lang w:val="fr-FR" w:eastAsia="fr-FR"/>
              </w:rPr>
              <w:t xml:space="preserve"> (à 90 %)</w:t>
            </w:r>
            <w:r w:rsidRPr="00AA40E6">
              <w:rPr>
                <w:rFonts w:eastAsia="SimSun"/>
                <w:sz w:val="20"/>
                <w:szCs w:val="20"/>
                <w:lang w:val="fr-FR" w:eastAsia="fr-FR"/>
              </w:rPr>
              <w:t xml:space="preserve">  </w:t>
            </w:r>
            <w:r w:rsidRPr="00AA40E6">
              <w:rPr>
                <w:rFonts w:eastAsia="SimSun"/>
                <w:b/>
                <w:bCs/>
                <w:sz w:val="20"/>
                <w:szCs w:val="20"/>
                <w:vertAlign w:val="superscript"/>
                <w:lang w:val="fr-FR" w:eastAsia="fr-FR"/>
              </w:rPr>
              <w:t>a</w:t>
            </w:r>
          </w:p>
        </w:tc>
        <w:tc>
          <w:tcPr>
            <w:tcW w:w="408" w:type="pct"/>
            <w:hideMark/>
          </w:tcPr>
          <w:p w14:paraId="12C5E7CA"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25</w:t>
            </w:r>
          </w:p>
        </w:tc>
        <w:tc>
          <w:tcPr>
            <w:tcW w:w="599" w:type="pct"/>
            <w:hideMark/>
          </w:tcPr>
          <w:p w14:paraId="4D59DA44"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1G</w:t>
            </w:r>
          </w:p>
        </w:tc>
        <w:tc>
          <w:tcPr>
            <w:tcW w:w="939" w:type="pct"/>
            <w:hideMark/>
          </w:tcPr>
          <w:p w14:paraId="0B175127"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150</w:t>
            </w:r>
          </w:p>
        </w:tc>
        <w:tc>
          <w:tcPr>
            <w:tcW w:w="730" w:type="pct"/>
            <w:hideMark/>
          </w:tcPr>
          <w:p w14:paraId="1890EE9B"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45</w:t>
            </w:r>
          </w:p>
        </w:tc>
      </w:tr>
      <w:tr w:rsidR="00941EF3" w14:paraId="0FDAFA40" w14:textId="77777777" w:rsidTr="00941EF3">
        <w:trPr>
          <w:cantSplit/>
        </w:trPr>
        <w:tc>
          <w:tcPr>
            <w:tcW w:w="2325" w:type="pct"/>
            <w:hideMark/>
          </w:tcPr>
          <w:p w14:paraId="2A792A14"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lang w:val="fr-FR" w:eastAsia="fr-FR"/>
              </w:rPr>
              <w:t>Tétrafluoroborate</w:t>
            </w:r>
            <w:proofErr w:type="spellEnd"/>
            <w:r w:rsidRPr="00AA40E6">
              <w:rPr>
                <w:rFonts w:eastAsia="SimSun"/>
                <w:sz w:val="20"/>
                <w:lang w:val="fr-FR" w:eastAsia="fr-FR"/>
              </w:rPr>
              <w:t xml:space="preserve"> de diéthoxy-2,5 morpholino-4 </w:t>
            </w:r>
            <w:proofErr w:type="spellStart"/>
            <w:r w:rsidRPr="00AA40E6">
              <w:rPr>
                <w:rFonts w:eastAsia="SimSun"/>
                <w:sz w:val="20"/>
                <w:lang w:val="fr-FR" w:eastAsia="fr-FR"/>
              </w:rPr>
              <w:t>benzènediazonium</w:t>
            </w:r>
            <w:proofErr w:type="spellEnd"/>
            <w:r w:rsidRPr="00AA40E6">
              <w:rPr>
                <w:rFonts w:eastAsia="SimSun"/>
                <w:sz w:val="20"/>
                <w:lang w:val="fr-FR" w:eastAsia="fr-FR"/>
              </w:rPr>
              <w:t xml:space="preserve"> (à 97 %)</w:t>
            </w:r>
            <w:r w:rsidRPr="00AA40E6">
              <w:rPr>
                <w:rFonts w:eastAsia="SimSun"/>
                <w:sz w:val="20"/>
                <w:szCs w:val="20"/>
                <w:lang w:val="fr-FR" w:eastAsia="fr-FR"/>
              </w:rPr>
              <w:t xml:space="preserve">  </w:t>
            </w:r>
            <w:r w:rsidRPr="00AA40E6">
              <w:rPr>
                <w:rFonts w:eastAsia="SimSun"/>
                <w:b/>
                <w:bCs/>
                <w:sz w:val="20"/>
                <w:szCs w:val="20"/>
                <w:vertAlign w:val="superscript"/>
                <w:lang w:val="fr-FR" w:eastAsia="fr-FR"/>
              </w:rPr>
              <w:t>a</w:t>
            </w:r>
          </w:p>
        </w:tc>
        <w:tc>
          <w:tcPr>
            <w:tcW w:w="408" w:type="pct"/>
            <w:hideMark/>
          </w:tcPr>
          <w:p w14:paraId="055003A8"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25</w:t>
            </w:r>
          </w:p>
        </w:tc>
        <w:tc>
          <w:tcPr>
            <w:tcW w:w="599" w:type="pct"/>
            <w:hideMark/>
          </w:tcPr>
          <w:p w14:paraId="69A8F4F5"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1G</w:t>
            </w:r>
          </w:p>
        </w:tc>
        <w:tc>
          <w:tcPr>
            <w:tcW w:w="939" w:type="pct"/>
            <w:hideMark/>
          </w:tcPr>
          <w:p w14:paraId="11CA4C4C"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15</w:t>
            </w:r>
          </w:p>
        </w:tc>
        <w:tc>
          <w:tcPr>
            <w:tcW w:w="730" w:type="pct"/>
            <w:hideMark/>
          </w:tcPr>
          <w:p w14:paraId="18DDCBAA"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55</w:t>
            </w:r>
          </w:p>
        </w:tc>
      </w:tr>
      <w:tr w:rsidR="00941EF3" w14:paraId="0B7936FE" w14:textId="77777777" w:rsidTr="00941EF3">
        <w:trPr>
          <w:cantSplit/>
        </w:trPr>
        <w:tc>
          <w:tcPr>
            <w:tcW w:w="2325" w:type="pct"/>
            <w:hideMark/>
          </w:tcPr>
          <w:p w14:paraId="5EBF1349"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Chlorure double de zinc et de diéthoxy-2,5 (</w:t>
            </w:r>
            <w:proofErr w:type="spellStart"/>
            <w:r w:rsidRPr="00AA40E6">
              <w:rPr>
                <w:rFonts w:eastAsia="SimSun"/>
                <w:sz w:val="20"/>
                <w:lang w:val="fr-FR" w:eastAsia="fr-FR"/>
              </w:rPr>
              <w:t>phénylsulphonyl</w:t>
            </w:r>
            <w:proofErr w:type="spellEnd"/>
            <w:r w:rsidRPr="00AA40E6">
              <w:rPr>
                <w:rFonts w:eastAsia="SimSun"/>
                <w:sz w:val="20"/>
                <w:lang w:val="fr-FR" w:eastAsia="fr-FR"/>
              </w:rPr>
              <w:t xml:space="preserve">)-4 </w:t>
            </w:r>
            <w:proofErr w:type="spellStart"/>
            <w:r w:rsidRPr="00AA40E6">
              <w:rPr>
                <w:rFonts w:eastAsia="SimSun"/>
                <w:sz w:val="20"/>
                <w:lang w:val="fr-FR" w:eastAsia="fr-FR"/>
              </w:rPr>
              <w:t>benzènediazonium</w:t>
            </w:r>
            <w:proofErr w:type="spellEnd"/>
            <w:r w:rsidRPr="00AA40E6">
              <w:rPr>
                <w:rFonts w:eastAsia="SimSun"/>
                <w:sz w:val="20"/>
                <w:lang w:val="fr-FR" w:eastAsia="fr-FR"/>
              </w:rPr>
              <w:t>, (à 67 %)</w:t>
            </w:r>
            <w:r w:rsidRPr="00AA40E6">
              <w:rPr>
                <w:rFonts w:eastAsia="SimSun"/>
                <w:sz w:val="20"/>
                <w:szCs w:val="20"/>
                <w:lang w:val="fr-FR" w:eastAsia="fr-FR"/>
              </w:rPr>
              <w:t xml:space="preserve">  </w:t>
            </w:r>
            <w:r w:rsidRPr="00AA40E6">
              <w:rPr>
                <w:rFonts w:eastAsia="SimSun"/>
                <w:b/>
                <w:bCs/>
                <w:sz w:val="20"/>
                <w:szCs w:val="20"/>
                <w:vertAlign w:val="superscript"/>
                <w:lang w:val="fr-FR" w:eastAsia="fr-FR"/>
              </w:rPr>
              <w:t>a</w:t>
            </w:r>
          </w:p>
        </w:tc>
        <w:tc>
          <w:tcPr>
            <w:tcW w:w="408" w:type="pct"/>
            <w:hideMark/>
          </w:tcPr>
          <w:p w14:paraId="6353AD89"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25</w:t>
            </w:r>
          </w:p>
        </w:tc>
        <w:tc>
          <w:tcPr>
            <w:tcW w:w="599" w:type="pct"/>
            <w:hideMark/>
          </w:tcPr>
          <w:p w14:paraId="1C354EB1"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1G</w:t>
            </w:r>
          </w:p>
        </w:tc>
        <w:tc>
          <w:tcPr>
            <w:tcW w:w="939" w:type="pct"/>
            <w:hideMark/>
          </w:tcPr>
          <w:p w14:paraId="4418A1AF"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15</w:t>
            </w:r>
          </w:p>
        </w:tc>
        <w:tc>
          <w:tcPr>
            <w:tcW w:w="730" w:type="pct"/>
            <w:hideMark/>
          </w:tcPr>
          <w:p w14:paraId="7FFF980D"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50</w:t>
            </w:r>
          </w:p>
        </w:tc>
      </w:tr>
      <w:tr w:rsidR="00941EF3" w14:paraId="4EB6A255" w14:textId="77777777" w:rsidTr="00941EF3">
        <w:trPr>
          <w:cantSplit/>
        </w:trPr>
        <w:tc>
          <w:tcPr>
            <w:tcW w:w="2325" w:type="pct"/>
            <w:hideMark/>
          </w:tcPr>
          <w:p w14:paraId="443F62F3"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Chlorure double de zinc et de (N,N</w:t>
            </w:r>
            <w:r w:rsidRPr="00AA40E6">
              <w:rPr>
                <w:rFonts w:eastAsia="SimSun"/>
                <w:sz w:val="20"/>
                <w:lang w:val="fr-FR" w:eastAsia="fr-FR"/>
              </w:rPr>
              <w:noBreakHyphen/>
            </w:r>
            <w:proofErr w:type="spellStart"/>
            <w:r w:rsidRPr="00AA40E6">
              <w:rPr>
                <w:rFonts w:eastAsia="SimSun"/>
                <w:sz w:val="20"/>
                <w:lang w:val="fr-FR" w:eastAsia="fr-FR"/>
              </w:rPr>
              <w:t>éthoxycarbonyl</w:t>
            </w:r>
            <w:proofErr w:type="spellEnd"/>
            <w:r w:rsidRPr="00AA40E6">
              <w:rPr>
                <w:rFonts w:eastAsia="SimSun"/>
                <w:sz w:val="20"/>
                <w:lang w:val="fr-FR" w:eastAsia="fr-FR"/>
              </w:rPr>
              <w:t xml:space="preserve"> phénylamine)-2 méthoxy-3 (N-méthyl N-</w:t>
            </w:r>
            <w:proofErr w:type="spellStart"/>
            <w:r w:rsidRPr="00AA40E6">
              <w:rPr>
                <w:rFonts w:eastAsia="SimSun"/>
                <w:sz w:val="20"/>
                <w:lang w:val="fr-FR" w:eastAsia="fr-FR"/>
              </w:rPr>
              <w:t>cyclohéxylamine</w:t>
            </w:r>
            <w:proofErr w:type="spellEnd"/>
            <w:r w:rsidRPr="00AA40E6">
              <w:rPr>
                <w:rFonts w:eastAsia="SimSun"/>
                <w:sz w:val="20"/>
                <w:lang w:val="fr-FR" w:eastAsia="fr-FR"/>
              </w:rPr>
              <w:t xml:space="preserve">)-4 </w:t>
            </w:r>
            <w:proofErr w:type="spellStart"/>
            <w:r w:rsidRPr="00AA40E6">
              <w:rPr>
                <w:rFonts w:eastAsia="SimSun"/>
                <w:sz w:val="20"/>
                <w:lang w:val="fr-FR" w:eastAsia="fr-FR"/>
              </w:rPr>
              <w:t>benzènediazonium</w:t>
            </w:r>
            <w:proofErr w:type="spellEnd"/>
            <w:r w:rsidRPr="00AA40E6">
              <w:rPr>
                <w:rFonts w:eastAsia="SimSun"/>
                <w:sz w:val="20"/>
                <w:lang w:val="fr-FR" w:eastAsia="fr-FR"/>
              </w:rPr>
              <w:t xml:space="preserve"> (à 62 %)</w:t>
            </w:r>
            <w:r w:rsidRPr="00AA40E6">
              <w:rPr>
                <w:rFonts w:eastAsia="SimSun"/>
                <w:sz w:val="20"/>
                <w:szCs w:val="20"/>
                <w:lang w:val="fr-FR" w:eastAsia="fr-FR"/>
              </w:rPr>
              <w:t xml:space="preserve">  </w:t>
            </w:r>
            <w:r w:rsidRPr="00AA40E6">
              <w:rPr>
                <w:rFonts w:eastAsia="SimSun"/>
                <w:b/>
                <w:bCs/>
                <w:sz w:val="20"/>
                <w:szCs w:val="20"/>
                <w:vertAlign w:val="superscript"/>
                <w:lang w:val="fr-FR" w:eastAsia="fr-FR"/>
              </w:rPr>
              <w:t>a</w:t>
            </w:r>
          </w:p>
        </w:tc>
        <w:tc>
          <w:tcPr>
            <w:tcW w:w="408" w:type="pct"/>
            <w:hideMark/>
          </w:tcPr>
          <w:p w14:paraId="4EC3D25A"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25</w:t>
            </w:r>
          </w:p>
        </w:tc>
        <w:tc>
          <w:tcPr>
            <w:tcW w:w="599" w:type="pct"/>
            <w:hideMark/>
          </w:tcPr>
          <w:p w14:paraId="4969AAE0"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1G</w:t>
            </w:r>
          </w:p>
        </w:tc>
        <w:tc>
          <w:tcPr>
            <w:tcW w:w="939" w:type="pct"/>
            <w:hideMark/>
          </w:tcPr>
          <w:p w14:paraId="75CD2797"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15</w:t>
            </w:r>
          </w:p>
        </w:tc>
        <w:tc>
          <w:tcPr>
            <w:tcW w:w="730" w:type="pct"/>
            <w:hideMark/>
          </w:tcPr>
          <w:p w14:paraId="5A74D25A"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45</w:t>
            </w:r>
          </w:p>
        </w:tc>
      </w:tr>
      <w:tr w:rsidR="00941EF3" w14:paraId="5B370955" w14:textId="77777777" w:rsidTr="00941EF3">
        <w:trPr>
          <w:cantSplit/>
        </w:trPr>
        <w:tc>
          <w:tcPr>
            <w:tcW w:w="2325" w:type="pct"/>
            <w:hideMark/>
          </w:tcPr>
          <w:p w14:paraId="4F7E7656"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lang w:val="fr-FR" w:eastAsia="fr-FR"/>
              </w:rPr>
              <w:t>Tétrafluoroborate</w:t>
            </w:r>
            <w:proofErr w:type="spellEnd"/>
            <w:r w:rsidRPr="00AA40E6">
              <w:rPr>
                <w:rFonts w:eastAsia="SimSun"/>
                <w:sz w:val="20"/>
                <w:lang w:val="fr-FR" w:eastAsia="fr-FR"/>
              </w:rPr>
              <w:t xml:space="preserve"> de méthyl-3 (pyrrolidinyl-1)-4 </w:t>
            </w:r>
            <w:proofErr w:type="spellStart"/>
            <w:r w:rsidRPr="00AA40E6">
              <w:rPr>
                <w:rFonts w:eastAsia="SimSun"/>
                <w:sz w:val="20"/>
                <w:lang w:val="fr-FR" w:eastAsia="fr-FR"/>
              </w:rPr>
              <w:t>benzènediazonium</w:t>
            </w:r>
            <w:proofErr w:type="spellEnd"/>
            <w:r w:rsidRPr="00AA40E6">
              <w:rPr>
                <w:rFonts w:eastAsia="SimSun"/>
                <w:sz w:val="20"/>
                <w:lang w:val="fr-FR" w:eastAsia="fr-FR"/>
              </w:rPr>
              <w:t xml:space="preserve"> (à 95 %)</w:t>
            </w:r>
            <w:r w:rsidRPr="00AA40E6">
              <w:rPr>
                <w:rFonts w:eastAsia="SimSun"/>
                <w:sz w:val="20"/>
                <w:szCs w:val="20"/>
                <w:lang w:val="fr-FR" w:eastAsia="fr-FR"/>
              </w:rPr>
              <w:t xml:space="preserve">  </w:t>
            </w:r>
            <w:r w:rsidRPr="00AA40E6">
              <w:rPr>
                <w:rFonts w:eastAsia="SimSun"/>
                <w:b/>
                <w:bCs/>
                <w:sz w:val="20"/>
                <w:szCs w:val="20"/>
                <w:vertAlign w:val="superscript"/>
                <w:lang w:val="fr-FR" w:eastAsia="fr-FR"/>
              </w:rPr>
              <w:t>a</w:t>
            </w:r>
          </w:p>
        </w:tc>
        <w:tc>
          <w:tcPr>
            <w:tcW w:w="408" w:type="pct"/>
            <w:hideMark/>
          </w:tcPr>
          <w:p w14:paraId="418EAAD1"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25</w:t>
            </w:r>
          </w:p>
        </w:tc>
        <w:tc>
          <w:tcPr>
            <w:tcW w:w="599" w:type="pct"/>
            <w:hideMark/>
          </w:tcPr>
          <w:p w14:paraId="193BEB25"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szCs w:val="20"/>
                <w:lang w:val="fr-FR" w:eastAsia="fr-FR"/>
              </w:rPr>
              <w:t>1G</w:t>
            </w:r>
          </w:p>
        </w:tc>
        <w:tc>
          <w:tcPr>
            <w:tcW w:w="939" w:type="pct"/>
            <w:hideMark/>
          </w:tcPr>
          <w:p w14:paraId="2AB8AE67"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15</w:t>
            </w:r>
          </w:p>
        </w:tc>
        <w:tc>
          <w:tcPr>
            <w:tcW w:w="730" w:type="pct"/>
            <w:hideMark/>
          </w:tcPr>
          <w:p w14:paraId="0A077598"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55</w:t>
            </w:r>
          </w:p>
        </w:tc>
      </w:tr>
      <w:tr w:rsidR="00941EF3" w14:paraId="5CECD8BD" w14:textId="77777777" w:rsidTr="00941EF3">
        <w:trPr>
          <w:cantSplit/>
        </w:trPr>
        <w:tc>
          <w:tcPr>
            <w:tcW w:w="2325" w:type="pct"/>
            <w:hideMark/>
          </w:tcPr>
          <w:p w14:paraId="696DD5CC" w14:textId="77777777" w:rsidR="00941EF3" w:rsidRPr="00AA40E6" w:rsidRDefault="00941EF3">
            <w:pPr>
              <w:numPr>
                <w:ilvl w:val="12"/>
                <w:numId w:val="0"/>
              </w:numPr>
              <w:spacing w:before="40" w:after="40"/>
              <w:rPr>
                <w:rFonts w:eastAsia="SimSun"/>
                <w:sz w:val="20"/>
                <w:szCs w:val="22"/>
                <w:lang w:val="fr-FR" w:eastAsia="fr-FR"/>
              </w:rPr>
            </w:pPr>
            <w:proofErr w:type="spellStart"/>
            <w:r w:rsidRPr="00AA40E6">
              <w:rPr>
                <w:rFonts w:eastAsia="SimSun"/>
                <w:sz w:val="20"/>
                <w:lang w:val="fr-FR" w:eastAsia="fr-FR"/>
              </w:rPr>
              <w:t>Peroxyneodecanoate</w:t>
            </w:r>
            <w:proofErr w:type="spellEnd"/>
            <w:r w:rsidRPr="00AA40E6">
              <w:rPr>
                <w:rFonts w:eastAsia="SimSun"/>
                <w:sz w:val="20"/>
                <w:lang w:val="fr-FR" w:eastAsia="fr-FR"/>
              </w:rPr>
              <w:t xml:space="preserve"> de </w:t>
            </w:r>
            <w:proofErr w:type="spellStart"/>
            <w:r w:rsidRPr="00AA40E6">
              <w:rPr>
                <w:rFonts w:eastAsia="SimSun"/>
                <w:sz w:val="20"/>
                <w:lang w:val="fr-FR" w:eastAsia="fr-FR"/>
              </w:rPr>
              <w:t>cumyle</w:t>
            </w:r>
            <w:proofErr w:type="spellEnd"/>
            <w:r w:rsidRPr="00AA40E6">
              <w:rPr>
                <w:rFonts w:eastAsia="SimSun"/>
                <w:sz w:val="20"/>
                <w:lang w:val="fr-FR" w:eastAsia="fr-FR"/>
              </w:rPr>
              <w:t xml:space="preserve"> (75 %)</w:t>
            </w:r>
          </w:p>
        </w:tc>
        <w:tc>
          <w:tcPr>
            <w:tcW w:w="408" w:type="pct"/>
            <w:hideMark/>
          </w:tcPr>
          <w:p w14:paraId="35AFDDBC"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25</w:t>
            </w:r>
          </w:p>
        </w:tc>
        <w:tc>
          <w:tcPr>
            <w:tcW w:w="599" w:type="pct"/>
            <w:hideMark/>
          </w:tcPr>
          <w:p w14:paraId="36DA3AFB"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3H1</w:t>
            </w:r>
          </w:p>
        </w:tc>
        <w:tc>
          <w:tcPr>
            <w:tcW w:w="939" w:type="pct"/>
            <w:hideMark/>
          </w:tcPr>
          <w:p w14:paraId="6D15862C"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40</w:t>
            </w:r>
          </w:p>
        </w:tc>
        <w:tc>
          <w:tcPr>
            <w:tcW w:w="730" w:type="pct"/>
            <w:hideMark/>
          </w:tcPr>
          <w:p w14:paraId="6DC941C3"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10</w:t>
            </w:r>
          </w:p>
        </w:tc>
      </w:tr>
      <w:tr w:rsidR="00941EF3" w14:paraId="3BE53EC8" w14:textId="77777777" w:rsidTr="00941EF3">
        <w:trPr>
          <w:cantSplit/>
        </w:trPr>
        <w:tc>
          <w:tcPr>
            <w:tcW w:w="2325" w:type="pct"/>
            <w:hideMark/>
          </w:tcPr>
          <w:p w14:paraId="0543B117" w14:textId="77777777" w:rsidR="00941EF3" w:rsidRPr="00AA40E6" w:rsidRDefault="00941EF3">
            <w:pPr>
              <w:numPr>
                <w:ilvl w:val="12"/>
                <w:numId w:val="0"/>
              </w:numPr>
              <w:spacing w:before="40" w:after="40"/>
              <w:rPr>
                <w:rFonts w:eastAsia="SimSun"/>
                <w:sz w:val="20"/>
                <w:szCs w:val="22"/>
                <w:lang w:val="fr-FR" w:eastAsia="fr-FR"/>
              </w:rPr>
            </w:pPr>
            <w:proofErr w:type="spellStart"/>
            <w:r w:rsidRPr="00AA40E6">
              <w:rPr>
                <w:rFonts w:eastAsia="SimSun"/>
                <w:sz w:val="20"/>
                <w:lang w:val="fr-FR" w:eastAsia="fr-FR"/>
              </w:rPr>
              <w:t>Peroxynéodécanoate</w:t>
            </w:r>
            <w:proofErr w:type="spellEnd"/>
            <w:r w:rsidRPr="00AA40E6">
              <w:rPr>
                <w:rFonts w:eastAsia="SimSun"/>
                <w:sz w:val="20"/>
                <w:lang w:val="fr-FR" w:eastAsia="fr-FR"/>
              </w:rPr>
              <w:t xml:space="preserve"> de </w:t>
            </w:r>
            <w:proofErr w:type="spellStart"/>
            <w:r w:rsidRPr="00AA40E6">
              <w:rPr>
                <w:rFonts w:eastAsia="SimSun"/>
                <w:sz w:val="20"/>
                <w:lang w:val="fr-FR" w:eastAsia="fr-FR"/>
              </w:rPr>
              <w:t>tert</w:t>
            </w:r>
            <w:proofErr w:type="spellEnd"/>
            <w:r w:rsidRPr="00AA40E6">
              <w:rPr>
                <w:rFonts w:eastAsia="SimSun"/>
                <w:sz w:val="20"/>
                <w:lang w:val="fr-FR" w:eastAsia="fr-FR"/>
              </w:rPr>
              <w:t>-butyle</w:t>
            </w:r>
          </w:p>
        </w:tc>
        <w:tc>
          <w:tcPr>
            <w:tcW w:w="408" w:type="pct"/>
            <w:hideMark/>
          </w:tcPr>
          <w:p w14:paraId="10ED7E73"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25</w:t>
            </w:r>
          </w:p>
        </w:tc>
        <w:tc>
          <w:tcPr>
            <w:tcW w:w="599" w:type="pct"/>
            <w:hideMark/>
          </w:tcPr>
          <w:p w14:paraId="0218B302"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3H1</w:t>
            </w:r>
          </w:p>
        </w:tc>
        <w:tc>
          <w:tcPr>
            <w:tcW w:w="939" w:type="pct"/>
            <w:hideMark/>
          </w:tcPr>
          <w:p w14:paraId="0898142B"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40</w:t>
            </w:r>
          </w:p>
        </w:tc>
        <w:tc>
          <w:tcPr>
            <w:tcW w:w="730" w:type="pct"/>
            <w:hideMark/>
          </w:tcPr>
          <w:p w14:paraId="4D4A7131"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15</w:t>
            </w:r>
          </w:p>
        </w:tc>
      </w:tr>
      <w:tr w:rsidR="00941EF3" w14:paraId="2EF2D555" w14:textId="77777777" w:rsidTr="00941EF3">
        <w:trPr>
          <w:cantSplit/>
        </w:trPr>
        <w:tc>
          <w:tcPr>
            <w:tcW w:w="2325" w:type="pct"/>
            <w:tcBorders>
              <w:top w:val="nil"/>
              <w:left w:val="nil"/>
              <w:bottom w:val="single" w:sz="8" w:space="0" w:color="auto"/>
              <w:right w:val="nil"/>
            </w:tcBorders>
            <w:hideMark/>
          </w:tcPr>
          <w:p w14:paraId="64A64EFA" w14:textId="77777777" w:rsidR="00941EF3" w:rsidRPr="00AA40E6" w:rsidRDefault="00941EF3">
            <w:pPr>
              <w:numPr>
                <w:ilvl w:val="12"/>
                <w:numId w:val="0"/>
              </w:numPr>
              <w:spacing w:before="40" w:after="40"/>
              <w:rPr>
                <w:rFonts w:eastAsia="SimSun"/>
                <w:sz w:val="20"/>
                <w:szCs w:val="22"/>
                <w:lang w:val="fr-FR" w:eastAsia="fr-FR"/>
              </w:rPr>
            </w:pPr>
            <w:r w:rsidRPr="00AA40E6">
              <w:rPr>
                <w:rFonts w:eastAsia="SimSun"/>
                <w:sz w:val="20"/>
                <w:lang w:val="fr-FR" w:eastAsia="fr-FR"/>
              </w:rPr>
              <w:t>N-</w:t>
            </w:r>
            <w:proofErr w:type="spellStart"/>
            <w:r w:rsidRPr="00AA40E6">
              <w:rPr>
                <w:rFonts w:eastAsia="SimSun"/>
                <w:sz w:val="20"/>
                <w:lang w:val="fr-FR" w:eastAsia="fr-FR"/>
              </w:rPr>
              <w:t>Vinylformamide</w:t>
            </w:r>
            <w:proofErr w:type="spellEnd"/>
          </w:p>
        </w:tc>
        <w:tc>
          <w:tcPr>
            <w:tcW w:w="408" w:type="pct"/>
            <w:tcBorders>
              <w:top w:val="nil"/>
              <w:left w:val="nil"/>
              <w:bottom w:val="single" w:sz="8" w:space="0" w:color="auto"/>
              <w:right w:val="nil"/>
            </w:tcBorders>
            <w:hideMark/>
          </w:tcPr>
          <w:p w14:paraId="5B30C23B"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1000</w:t>
            </w:r>
          </w:p>
        </w:tc>
        <w:tc>
          <w:tcPr>
            <w:tcW w:w="599" w:type="pct"/>
            <w:tcBorders>
              <w:top w:val="nil"/>
              <w:left w:val="nil"/>
              <w:bottom w:val="single" w:sz="8" w:space="0" w:color="auto"/>
              <w:right w:val="nil"/>
            </w:tcBorders>
            <w:hideMark/>
          </w:tcPr>
          <w:p w14:paraId="78984379"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szCs w:val="20"/>
                <w:lang w:val="fr-FR" w:eastAsia="fr-FR"/>
              </w:rPr>
              <w:t>31H1</w:t>
            </w:r>
          </w:p>
        </w:tc>
        <w:tc>
          <w:tcPr>
            <w:tcW w:w="939" w:type="pct"/>
            <w:tcBorders>
              <w:top w:val="nil"/>
              <w:left w:val="nil"/>
              <w:bottom w:val="single" w:sz="8" w:space="0" w:color="auto"/>
              <w:right w:val="nil"/>
            </w:tcBorders>
            <w:hideMark/>
          </w:tcPr>
          <w:p w14:paraId="04616455"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33</w:t>
            </w:r>
          </w:p>
        </w:tc>
        <w:tc>
          <w:tcPr>
            <w:tcW w:w="730" w:type="pct"/>
            <w:tcBorders>
              <w:top w:val="nil"/>
              <w:left w:val="nil"/>
              <w:bottom w:val="single" w:sz="8" w:space="0" w:color="auto"/>
              <w:right w:val="nil"/>
            </w:tcBorders>
            <w:hideMark/>
          </w:tcPr>
          <w:p w14:paraId="2752CF99"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55</w:t>
            </w:r>
          </w:p>
        </w:tc>
      </w:tr>
    </w:tbl>
    <w:p w14:paraId="34EEF2EC" w14:textId="77777777" w:rsidR="00941EF3" w:rsidRDefault="00941EF3" w:rsidP="00941EF3">
      <w:pPr>
        <w:tabs>
          <w:tab w:val="left" w:pos="-720"/>
          <w:tab w:val="left" w:pos="0"/>
          <w:tab w:val="left" w:pos="1122"/>
          <w:tab w:val="left" w:pos="1573"/>
          <w:tab w:val="left" w:pos="2160"/>
          <w:tab w:val="left" w:pos="2853"/>
          <w:tab w:val="left" w:pos="3457"/>
          <w:tab w:val="right" w:leader="dot" w:pos="8978"/>
          <w:tab w:val="center"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lang w:val="fr-FR" w:eastAsia="fr-FR"/>
        </w:rPr>
      </w:pPr>
    </w:p>
    <w:p w14:paraId="52A88763" w14:textId="501872DC" w:rsidR="00BA0EC4" w:rsidRPr="00AA40E6" w:rsidRDefault="00941EF3" w:rsidP="00BA0EC4">
      <w:pPr>
        <w:rPr>
          <w:lang w:val="fr-FR" w:eastAsia="fr-FR"/>
        </w:rPr>
      </w:pPr>
      <w:r w:rsidRPr="00AA40E6">
        <w:rPr>
          <w:b/>
          <w:bCs/>
          <w:vertAlign w:val="superscript"/>
          <w:lang w:val="fr-FR" w:eastAsia="fr-FR"/>
        </w:rPr>
        <w:t xml:space="preserve">a </w:t>
      </w:r>
      <w:r w:rsidRPr="00AA40E6">
        <w:rPr>
          <w:lang w:val="fr-FR" w:eastAsia="fr-FR"/>
        </w:rPr>
        <w:tab/>
      </w:r>
      <w:r w:rsidRPr="00AA40E6">
        <w:rPr>
          <w:i/>
          <w:iCs/>
          <w:lang w:val="fr-FR" w:eastAsia="fr-FR"/>
        </w:rPr>
        <w:t>Dans ces exemples tirés d’épreuves passées, la TDAA ou la TPAA ont été déterminées avec des pertes de chaleur supérieures à celles qui sont actuellement recommandées aux fins de la classification (voir tableau 28.4).</w:t>
      </w:r>
      <w:r w:rsidRPr="00AA40E6">
        <w:rPr>
          <w:lang w:val="fr-FR" w:eastAsia="fr-FR"/>
        </w:rPr>
        <w:t xml:space="preserve"> </w:t>
      </w:r>
    </w:p>
    <w:p w14:paraId="2ACC43EE" w14:textId="77777777" w:rsidR="00AF39A3" w:rsidRDefault="00AF39A3">
      <w:pPr>
        <w:widowControl/>
        <w:autoSpaceDE/>
        <w:autoSpaceDN/>
        <w:adjustRightInd/>
        <w:jc w:val="left"/>
        <w:rPr>
          <w:rFonts w:eastAsiaTheme="minorHAnsi"/>
          <w:b/>
          <w:bCs/>
          <w:lang w:val="fr-FR"/>
        </w:rPr>
      </w:pPr>
      <w:r>
        <w:rPr>
          <w:rFonts w:eastAsiaTheme="minorHAnsi"/>
          <w:b/>
          <w:bCs/>
          <w:lang w:val="fr-FR"/>
        </w:rPr>
        <w:br w:type="page"/>
      </w:r>
    </w:p>
    <w:p w14:paraId="701C4D2F" w14:textId="4ED70AF5" w:rsidR="00BA0EC4" w:rsidRDefault="00BA0EC4" w:rsidP="00BA0EC4">
      <w:pPr>
        <w:keepNext/>
        <w:keepLines/>
        <w:spacing w:after="120"/>
        <w:ind w:left="1134" w:right="1134"/>
        <w:rPr>
          <w:rFonts w:eastAsiaTheme="minorHAnsi"/>
          <w:b/>
          <w:bCs/>
          <w:sz w:val="20"/>
          <w:szCs w:val="20"/>
          <w:lang w:val="fr-FR"/>
        </w:rPr>
      </w:pPr>
      <w:r>
        <w:rPr>
          <w:rFonts w:eastAsiaTheme="minorHAnsi"/>
          <w:b/>
          <w:bCs/>
          <w:lang w:val="fr-FR"/>
        </w:rPr>
        <w:lastRenderedPageBreak/>
        <w:t>Figure 28.4.3.2</w:t>
      </w:r>
      <w:r>
        <w:rPr>
          <w:rFonts w:eastAsiaTheme="minorHAnsi"/>
          <w:b/>
          <w:bCs/>
          <w:lang w:val="fr-FR"/>
        </w:rPr>
        <w:tab/>
        <w:t>Exemple de détermination de la TDAA ou de la TPAA</w:t>
      </w:r>
    </w:p>
    <w:p w14:paraId="2103648A" w14:textId="77777777" w:rsidR="0063670E" w:rsidRDefault="00BA0EC4" w:rsidP="00BA0EC4">
      <w:pPr>
        <w:spacing w:after="120"/>
        <w:ind w:left="1134" w:right="1134"/>
        <w:jc w:val="right"/>
        <w:rPr>
          <w:rFonts w:eastAsiaTheme="minorHAnsi"/>
          <w:lang w:val="fr-FR"/>
        </w:rPr>
      </w:pPr>
      <w:r>
        <w:rPr>
          <w:rFonts w:eastAsiaTheme="minorHAnsi"/>
          <w:lang w:val="fr-FR"/>
        </w:rPr>
        <w:t xml:space="preserve"> </w:t>
      </w:r>
    </w:p>
    <w:p w14:paraId="67AB8AA7" w14:textId="77777777" w:rsidR="0063670E" w:rsidRDefault="0063670E" w:rsidP="00BA0EC4">
      <w:pPr>
        <w:spacing w:after="120"/>
        <w:ind w:left="1134" w:right="1134"/>
        <w:jc w:val="right"/>
        <w:rPr>
          <w:rFonts w:eastAsiaTheme="minorHAnsi"/>
          <w:lang w:val="fr-FR"/>
        </w:rPr>
      </w:pPr>
    </w:p>
    <w:p w14:paraId="1B37BE6C" w14:textId="77777777" w:rsidR="0063670E" w:rsidRDefault="0063670E" w:rsidP="00BA0EC4">
      <w:pPr>
        <w:spacing w:after="120"/>
        <w:ind w:left="1134" w:right="1134"/>
        <w:jc w:val="right"/>
        <w:rPr>
          <w:rFonts w:eastAsiaTheme="minorHAnsi"/>
          <w:lang w:val="fr-FR"/>
        </w:rPr>
      </w:pPr>
    </w:p>
    <w:p w14:paraId="0855E79C" w14:textId="77777777" w:rsidR="0063670E" w:rsidRDefault="0063670E" w:rsidP="00BA0EC4">
      <w:pPr>
        <w:spacing w:after="120"/>
        <w:ind w:left="1134" w:right="1134"/>
        <w:jc w:val="right"/>
        <w:rPr>
          <w:rFonts w:eastAsiaTheme="minorHAnsi"/>
          <w:lang w:val="fr-FR"/>
        </w:rPr>
      </w:pPr>
    </w:p>
    <w:p w14:paraId="21908D13" w14:textId="77777777" w:rsidR="0063670E" w:rsidRDefault="0063670E" w:rsidP="00BA0EC4">
      <w:pPr>
        <w:spacing w:after="120"/>
        <w:ind w:left="1134" w:right="1134"/>
        <w:jc w:val="right"/>
        <w:rPr>
          <w:rFonts w:eastAsiaTheme="minorHAnsi"/>
          <w:lang w:val="fr-FR"/>
        </w:rPr>
      </w:pPr>
    </w:p>
    <w:p w14:paraId="06CFED01" w14:textId="77777777" w:rsidR="0063670E" w:rsidRDefault="0063670E" w:rsidP="00BA0EC4">
      <w:pPr>
        <w:spacing w:after="120"/>
        <w:ind w:left="1134" w:right="1134"/>
        <w:jc w:val="right"/>
        <w:rPr>
          <w:rFonts w:eastAsiaTheme="minorHAnsi"/>
          <w:lang w:val="fr-FR"/>
        </w:rPr>
      </w:pPr>
    </w:p>
    <w:p w14:paraId="08C9E808" w14:textId="6F436EF0" w:rsidR="00BA0EC4" w:rsidRDefault="00097DC6" w:rsidP="00BA0EC4">
      <w:pPr>
        <w:spacing w:after="120"/>
        <w:ind w:left="1134" w:right="1134"/>
        <w:jc w:val="right"/>
        <w:rPr>
          <w:rFonts w:eastAsiaTheme="minorHAnsi"/>
          <w:sz w:val="20"/>
          <w:szCs w:val="20"/>
          <w:lang w:val="fr-FR"/>
        </w:rPr>
      </w:pPr>
      <w:r>
        <w:rPr>
          <w:noProof/>
        </w:rPr>
        <w:drawing>
          <wp:inline distT="0" distB="0" distL="0" distR="0" wp14:anchorId="0903CCF3" wp14:editId="71DA3F25">
            <wp:extent cx="5047200" cy="42372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047200" cy="4237200"/>
                    </a:xfrm>
                    <a:prstGeom prst="rect">
                      <a:avLst/>
                    </a:prstGeom>
                  </pic:spPr>
                </pic:pic>
              </a:graphicData>
            </a:graphic>
          </wp:inline>
        </w:drawing>
      </w:r>
    </w:p>
    <w:p w14:paraId="0716BEF6" w14:textId="0EA88B28" w:rsidR="0063670E" w:rsidRDefault="0063670E" w:rsidP="00BA0EC4">
      <w:pPr>
        <w:spacing w:after="120"/>
        <w:ind w:left="1134" w:right="1134"/>
        <w:jc w:val="right"/>
        <w:rPr>
          <w:rFonts w:eastAsiaTheme="minorHAnsi"/>
          <w:sz w:val="20"/>
          <w:szCs w:val="20"/>
          <w:lang w:val="fr-FR"/>
        </w:rPr>
      </w:pPr>
    </w:p>
    <w:p w14:paraId="72EF4250" w14:textId="5FCFED86" w:rsidR="0063670E" w:rsidRDefault="0063670E" w:rsidP="00BA0EC4">
      <w:pPr>
        <w:spacing w:after="120"/>
        <w:ind w:left="1134" w:right="1134"/>
        <w:jc w:val="right"/>
        <w:rPr>
          <w:rFonts w:eastAsiaTheme="minorHAnsi"/>
          <w:sz w:val="20"/>
          <w:szCs w:val="20"/>
          <w:lang w:val="fr-FR"/>
        </w:rPr>
      </w:pPr>
    </w:p>
    <w:p w14:paraId="45DCBA74" w14:textId="3FE9C058" w:rsidR="0063670E" w:rsidRDefault="0063670E" w:rsidP="00BA0EC4">
      <w:pPr>
        <w:spacing w:after="120"/>
        <w:ind w:left="1134" w:right="1134"/>
        <w:jc w:val="right"/>
        <w:rPr>
          <w:rFonts w:eastAsiaTheme="minorHAnsi"/>
          <w:sz w:val="20"/>
          <w:szCs w:val="20"/>
          <w:lang w:val="fr-FR"/>
        </w:rPr>
      </w:pPr>
    </w:p>
    <w:p w14:paraId="0584BF66" w14:textId="50AF4DD9" w:rsidR="0063670E" w:rsidRDefault="0063670E" w:rsidP="00BA0EC4">
      <w:pPr>
        <w:spacing w:after="120"/>
        <w:ind w:left="1134" w:right="1134"/>
        <w:jc w:val="right"/>
        <w:rPr>
          <w:rFonts w:eastAsiaTheme="minorHAnsi"/>
          <w:sz w:val="20"/>
          <w:szCs w:val="20"/>
          <w:lang w:val="fr-FR"/>
        </w:rPr>
      </w:pPr>
    </w:p>
    <w:p w14:paraId="704A5499" w14:textId="6E9C5875" w:rsidR="0063670E" w:rsidRDefault="0063670E" w:rsidP="00BA0EC4">
      <w:pPr>
        <w:spacing w:after="120"/>
        <w:ind w:left="1134" w:right="1134"/>
        <w:jc w:val="right"/>
        <w:rPr>
          <w:rFonts w:eastAsiaTheme="minorHAnsi"/>
          <w:sz w:val="20"/>
          <w:szCs w:val="20"/>
          <w:lang w:val="fr-FR"/>
        </w:rPr>
      </w:pPr>
    </w:p>
    <w:p w14:paraId="7EFA697A" w14:textId="77777777" w:rsidR="0063670E" w:rsidRPr="00AA40E6" w:rsidRDefault="0063670E" w:rsidP="00BA0EC4">
      <w:pPr>
        <w:spacing w:after="120"/>
        <w:ind w:left="1134" w:right="1134"/>
        <w:jc w:val="right"/>
        <w:rPr>
          <w:rFonts w:eastAsiaTheme="minorHAnsi"/>
          <w:b/>
          <w:bCs/>
          <w:lang w:val="fr-FR"/>
        </w:rPr>
      </w:pPr>
    </w:p>
    <w:tbl>
      <w:tblPr>
        <w:tblStyle w:val="TableGrid"/>
        <w:tblW w:w="836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3119"/>
        <w:gridCol w:w="709"/>
        <w:gridCol w:w="3543"/>
      </w:tblGrid>
      <w:tr w:rsidR="001F4D79" w14:paraId="00C2AC96" w14:textId="77777777" w:rsidTr="00AD18B2">
        <w:tc>
          <w:tcPr>
            <w:tcW w:w="992" w:type="dxa"/>
            <w:tcBorders>
              <w:top w:val="single" w:sz="8" w:space="0" w:color="auto"/>
            </w:tcBorders>
            <w:hideMark/>
          </w:tcPr>
          <w:p w14:paraId="2537C2F2" w14:textId="77777777" w:rsidR="001F4D79" w:rsidRPr="00AA40E6" w:rsidRDefault="001F4D79" w:rsidP="00AD18B2">
            <w:pPr>
              <w:spacing w:after="120"/>
              <w:ind w:right="113"/>
              <w:jc w:val="left"/>
              <w:rPr>
                <w:rFonts w:asciiTheme="majorBidi" w:eastAsiaTheme="minorEastAsia" w:hAnsiTheme="majorBidi" w:cstheme="majorBidi"/>
                <w:sz w:val="20"/>
                <w:szCs w:val="20"/>
                <w:lang w:val="fr-FR" w:eastAsia="zh-CN"/>
              </w:rPr>
            </w:pPr>
            <w:r w:rsidRPr="00AA40E6">
              <w:rPr>
                <w:b/>
                <w:noProof/>
                <w:lang w:val="fr-FR"/>
              </w:rPr>
              <mc:AlternateContent>
                <mc:Choice Requires="wps">
                  <w:drawing>
                    <wp:anchor distT="0" distB="0" distL="114300" distR="114300" simplePos="0" relativeHeight="251661312" behindDoc="0" locked="0" layoutInCell="1" allowOverlap="1" wp14:anchorId="733A7CAA" wp14:editId="25CD71E2">
                      <wp:simplePos x="0" y="0"/>
                      <wp:positionH relativeFrom="column">
                        <wp:posOffset>20320</wp:posOffset>
                      </wp:positionH>
                      <wp:positionV relativeFrom="paragraph">
                        <wp:posOffset>71120</wp:posOffset>
                      </wp:positionV>
                      <wp:extent cx="52133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21335" cy="0"/>
                              </a:xfrm>
                              <a:prstGeom prst="line">
                                <a:avLst/>
                              </a:prstGeom>
                              <a:ln w="19050" cap="flat" cmpd="sng" algn="ctr">
                                <a:solidFill>
                                  <a:schemeClr val="tx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5E7BC"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6pt" to="42.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n5HwIAALEEAAAOAAAAZHJzL2Uyb0RvYy54bWysVMmO2zAMvRfoPwi6N04ySNEaceaQdHop&#10;2kFn+gGMFluAJAqSJk7+vpScZLodOkUvshY+ku+R9Pr26Cw7qJgM+o4vZnPOlBcoje87/u3x7s07&#10;zlIGL8GiVx0/qcRvN69frcfQqiUOaKWKjJz41I6h40POoW2aJAblIM0wKE+PGqODTMfYNzLCSN6d&#10;bZbz+dtmxChDRKFSotvd9Mg31b/WSuQvWieVme045ZbrGuu6L2uzWUPbRwiDEec04B+ycGA8Bb26&#10;2kEG9hTNb66cERET6jwT6BrU2ghVORCbxfwXNg8DBFW5kDgpXGVK/8+t+Hy4j8zIjq848+CoRA85&#10;gumHzLboPQmIka2KTmNILZlv/X08n1K4j4X0UUdXvkSHHau2p6u26piZoMvVcnFzQzHE5al5xoWY&#10;8keFjpVNx63xhTW0cPiUMsUi04tJubaejdRr7+crqqgA6hptIdPWBeKRfM8Z2J7aUeRY/SS0Rt4Z&#10;awu6tpba2sgOQE2Rj4tCjkL8ZFXi7SANk5Hty36HeeqXiE9eEgjaQYH84CXLp0DKeWpxXnJzSnJm&#10;FaVQdtUyg7F/Y0mJWE/5FLUnfesun6yauH9VmupVZZ7oxH5f2ExNTVNHolxauzojQDHUxP+F2DOk&#10;oFWdpRfir6AaH32+4p3xeK5NmfQ/lUNP9hcpJgGKFnuUp9qCVSOai1q98wyXwfvxXOHPf5rNdwAA&#10;AP//AwBQSwMEFAAGAAgAAAAhAIruvfPbAAAABgEAAA8AAABkcnMvZG93bnJldi54bWxMjsFOwzAQ&#10;RO9I/IO1SNyok1agEuJUEIEQB6SSVuXqxksSaq+j2GnD37OIA5xWszOaeflqclYccQidJwXpLAGB&#10;VHvTUaNgu3m6WoIIUZPR1hMq+MIAq+L8LNeZ8Sd6w2MVG8ElFDKtoI2xz6QMdYtOh5nvkdj78IPT&#10;keXQSDPoE5c7K+dJciOd7ogXWt1j2WJ9qEanYNiUrw92/VwdRkrfx5dd9/l4Wyp1eTHd34GIOMW/&#10;MPzgMzoUzLT3I5kgrILFnIP8TvmyvbxegNj/alnk8j9+8Q0AAP//AwBQSwECLQAUAAYACAAAACEA&#10;toM4kv4AAADhAQAAEwAAAAAAAAAAAAAAAAAAAAAAW0NvbnRlbnRfVHlwZXNdLnhtbFBLAQItABQA&#10;BgAIAAAAIQA4/SH/1gAAAJQBAAALAAAAAAAAAAAAAAAAAC8BAABfcmVscy8ucmVsc1BLAQItABQA&#10;BgAIAAAAIQCkJnn5HwIAALEEAAAOAAAAAAAAAAAAAAAAAC4CAABkcnMvZTJvRG9jLnhtbFBLAQIt&#10;ABQABgAIAAAAIQCK7r3z2wAAAAYBAAAPAAAAAAAAAAAAAAAAAHkEAABkcnMvZG93bnJldi54bWxQ&#10;SwUGAAAAAAQABADzAAAAgQUAAAAA&#10;" strokecolor="black [3213]" strokeweight="1.5pt">
                      <v:stroke dashstyle="longDashDot"/>
                    </v:line>
                  </w:pict>
                </mc:Fallback>
              </mc:AlternateContent>
            </w:r>
          </w:p>
        </w:tc>
        <w:tc>
          <w:tcPr>
            <w:tcW w:w="3119" w:type="dxa"/>
            <w:tcBorders>
              <w:top w:val="single" w:sz="8" w:space="0" w:color="auto"/>
            </w:tcBorders>
            <w:hideMark/>
          </w:tcPr>
          <w:p w14:paraId="673E92A8" w14:textId="77777777" w:rsidR="001F4D79" w:rsidRPr="00AA40E6" w:rsidRDefault="001F4D79" w:rsidP="00AD18B2">
            <w:pPr>
              <w:spacing w:before="40" w:after="120"/>
              <w:ind w:right="113"/>
              <w:jc w:val="left"/>
              <w:rPr>
                <w:rFonts w:asciiTheme="majorBidi" w:hAnsiTheme="majorBidi" w:cstheme="majorBidi"/>
                <w:sz w:val="20"/>
                <w:szCs w:val="20"/>
                <w:lang w:val="fr-FR"/>
              </w:rPr>
            </w:pPr>
            <w:r w:rsidRPr="00AA40E6">
              <w:rPr>
                <w:rFonts w:asciiTheme="majorBidi" w:hAnsiTheme="majorBidi" w:cstheme="majorBidi"/>
                <w:sz w:val="20"/>
                <w:szCs w:val="20"/>
                <w:lang w:val="fr-FR"/>
              </w:rPr>
              <w:t>Courbe de production de chaleur</w:t>
            </w:r>
          </w:p>
        </w:tc>
        <w:tc>
          <w:tcPr>
            <w:tcW w:w="709" w:type="dxa"/>
            <w:tcBorders>
              <w:top w:val="single" w:sz="8" w:space="0" w:color="auto"/>
            </w:tcBorders>
            <w:hideMark/>
          </w:tcPr>
          <w:p w14:paraId="668D2194" w14:textId="77777777" w:rsidR="001F4D79" w:rsidRPr="00AA40E6" w:rsidRDefault="001F4D79" w:rsidP="00AD18B2">
            <w:pPr>
              <w:spacing w:after="120"/>
              <w:ind w:right="113"/>
              <w:jc w:val="left"/>
              <w:rPr>
                <w:rFonts w:asciiTheme="majorBidi" w:hAnsiTheme="majorBidi" w:cstheme="majorBidi"/>
                <w:sz w:val="20"/>
                <w:szCs w:val="20"/>
                <w:lang w:val="fr-FR"/>
              </w:rPr>
            </w:pPr>
            <w:r w:rsidRPr="00AA40E6">
              <w:rPr>
                <w:noProof/>
                <w:szCs w:val="22"/>
                <w:lang w:val="fr-FR"/>
              </w:rPr>
              <mc:AlternateContent>
                <mc:Choice Requires="wps">
                  <w:drawing>
                    <wp:anchor distT="0" distB="0" distL="114300" distR="114300" simplePos="0" relativeHeight="251662336" behindDoc="0" locked="0" layoutInCell="1" allowOverlap="1" wp14:anchorId="5596A2C6" wp14:editId="0EEF5E33">
                      <wp:simplePos x="0" y="0"/>
                      <wp:positionH relativeFrom="column">
                        <wp:posOffset>29845</wp:posOffset>
                      </wp:positionH>
                      <wp:positionV relativeFrom="paragraph">
                        <wp:posOffset>83820</wp:posOffset>
                      </wp:positionV>
                      <wp:extent cx="24193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41935" cy="0"/>
                              </a:xfrm>
                              <a:prstGeom prst="line">
                                <a:avLst/>
                              </a:prstGeom>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1F862"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6.6pt" to="2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ZPHAIAAK0EAAAOAAAAZHJzL2Uyb0RvYy54bWysVNuOEzEMfUfiH6K802kLW7GjTvehZXlB&#10;ULHwAW7izETKTUm2l7/HybRdFnhgES+ZXHxsn2N7lndHa9geY9LedXw2mXKGTnipXd/x79/u37zn&#10;LGVwEox32PETJn63ev1qeQgtzv3gjcTIyIlL7SF0fMg5tE2TxIAW0sQHdPSofLSQ6Rj7RkY4kHdr&#10;mvl0umgOPsoQvcCU6HYzPvJV9a8UivxFqYSZmY5Tbrmusa67sjarJbR9hDBocU4D/iELC9pR0Kur&#10;DWRgj1H/5spqEX3yKk+Et41XSgusHIjNbPoLm4cBAlYuJE4KV5nS/3MrPu+3kWnZ8QVnDiyV6CFH&#10;0P2Q2do7RwL6yBZFp0NILZmv3TaeTylsYyF9VNGWL9Fhx6rt6aotHjMTdDl/N7t9e8OZuDw1T7gQ&#10;U/6I3rKy6bjRrrCGFvafUqZYZHoxKdfGsQP12u30hioqgLpGGci0tYF4JNdzBqandhQ5Vj/JGy3v&#10;tTEFXVsL1yayPVBT5OOskKMQz6xKvA2kYTSqT2OvRP/oJAGgHRDkBydZPgVSzVF785KXRcmZQQpf&#10;dtUygzZ/Y0lJGEe5FKVHbesunwyOvL+iolpViUcqsd8VJmND08SRIJe2rs4IUAwVcX8h9gwpaKxz&#10;9EL8FVTje5eveKudP9elTPmfSqFG+4sUowBFi52Xp9p+VSOaiVq58/yWofv5XOFPf5nVDwAAAP//&#10;AwBQSwMEFAAGAAgAAAAhAMXftTTYAAAABgEAAA8AAABkcnMvZG93bnJldi54bWxMj91OwzAMhe+R&#10;eIfISNxULKUrPypNJ1RpD8C2B/Aar61InKrJtvL2GHEBl8fn+PhzvVm8Uxea4xjYwOMqB0XcBTty&#10;b+Cw3z68gooJ2aILTAa+KMKmub2psbLhyh902aVeSQnHCg0MKU2V1rEbyGNchYlYvFOYPSaRc6/t&#10;jFcp904Xef6sPY4sFwacqB2o+9ydvWC07SGLtHXrbN+dsnJ5KlycjLm/W97fQCVa0l8YfvBlBxph&#10;OoYz26icgfJFgjJeF6DELgt55PirdVPr//jNNwAAAP//AwBQSwECLQAUAAYACAAAACEAtoM4kv4A&#10;AADhAQAAEwAAAAAAAAAAAAAAAAAAAAAAW0NvbnRlbnRfVHlwZXNdLnhtbFBLAQItABQABgAIAAAA&#10;IQA4/SH/1gAAAJQBAAALAAAAAAAAAAAAAAAAAC8BAABfcmVscy8ucmVsc1BLAQItABQABgAIAAAA&#10;IQBcqKZPHAIAAK0EAAAOAAAAAAAAAAAAAAAAAC4CAABkcnMvZTJvRG9jLnhtbFBLAQItABQABgAI&#10;AAAAIQDF37U02AAAAAYBAAAPAAAAAAAAAAAAAAAAAHYEAABkcnMvZG93bnJldi54bWxQSwUGAAAA&#10;AAQABADzAAAAewUAAAAA&#10;" strokecolor="black [3213]" strokeweight="1.5pt"/>
                  </w:pict>
                </mc:Fallback>
              </mc:AlternateContent>
            </w:r>
          </w:p>
        </w:tc>
        <w:tc>
          <w:tcPr>
            <w:tcW w:w="3543" w:type="dxa"/>
            <w:tcBorders>
              <w:top w:val="single" w:sz="8" w:space="0" w:color="auto"/>
            </w:tcBorders>
            <w:hideMark/>
          </w:tcPr>
          <w:p w14:paraId="4F4E0FD8" w14:textId="77777777" w:rsidR="001F4D79" w:rsidRPr="00AA40E6" w:rsidRDefault="001F4D79" w:rsidP="00AD18B2">
            <w:pPr>
              <w:spacing w:before="40" w:after="120"/>
              <w:ind w:right="113"/>
              <w:jc w:val="left"/>
              <w:rPr>
                <w:rFonts w:asciiTheme="majorBidi" w:hAnsiTheme="majorBidi" w:cstheme="majorBidi"/>
                <w:sz w:val="20"/>
                <w:szCs w:val="20"/>
                <w:lang w:val="fr-FR"/>
              </w:rPr>
            </w:pPr>
            <w:r w:rsidRPr="00AA40E6">
              <w:rPr>
                <w:rFonts w:asciiTheme="majorBidi" w:hAnsiTheme="majorBidi" w:cstheme="majorBidi"/>
                <w:sz w:val="20"/>
                <w:szCs w:val="20"/>
                <w:lang w:val="fr-FR"/>
              </w:rPr>
              <w:t xml:space="preserve">Courbe de perte de chaleur </w:t>
            </w:r>
            <w:r w:rsidRPr="00AA40E6">
              <w:rPr>
                <w:rFonts w:asciiTheme="majorBidi" w:hAnsiTheme="majorBidi" w:cstheme="majorBidi"/>
                <w:sz w:val="20"/>
                <w:szCs w:val="20"/>
                <w:lang w:val="fr-FR"/>
              </w:rPr>
              <w:br/>
              <w:t>L = 0,06 W/K.kg</w:t>
            </w:r>
          </w:p>
        </w:tc>
      </w:tr>
      <w:tr w:rsidR="001F4D79" w14:paraId="3CF44BD3" w14:textId="77777777" w:rsidTr="00AD18B2">
        <w:tc>
          <w:tcPr>
            <w:tcW w:w="992" w:type="dxa"/>
            <w:tcBorders>
              <w:top w:val="nil"/>
              <w:left w:val="nil"/>
              <w:bottom w:val="nil"/>
              <w:right w:val="nil"/>
            </w:tcBorders>
            <w:hideMark/>
          </w:tcPr>
          <w:p w14:paraId="4763A52C" w14:textId="77777777" w:rsidR="001F4D79" w:rsidRPr="00AA40E6" w:rsidRDefault="001F4D79" w:rsidP="00AD18B2">
            <w:pPr>
              <w:spacing w:before="40" w:after="120"/>
              <w:ind w:right="113"/>
              <w:jc w:val="left"/>
              <w:rPr>
                <w:rFonts w:asciiTheme="majorBidi" w:hAnsiTheme="majorBidi" w:cstheme="majorBidi"/>
                <w:sz w:val="20"/>
                <w:szCs w:val="20"/>
                <w:lang w:val="fr-FR"/>
              </w:rPr>
            </w:pPr>
            <w:r w:rsidRPr="00AA40E6">
              <w:rPr>
                <w:rFonts w:asciiTheme="majorBidi" w:hAnsiTheme="majorBidi" w:cstheme="majorBidi"/>
                <w:sz w:val="20"/>
                <w:szCs w:val="20"/>
                <w:lang w:val="fr-FR"/>
              </w:rPr>
              <w:t>(A)</w:t>
            </w:r>
          </w:p>
        </w:tc>
        <w:tc>
          <w:tcPr>
            <w:tcW w:w="3119" w:type="dxa"/>
            <w:tcBorders>
              <w:top w:val="nil"/>
              <w:left w:val="nil"/>
              <w:bottom w:val="nil"/>
              <w:right w:val="nil"/>
            </w:tcBorders>
            <w:hideMark/>
          </w:tcPr>
          <w:p w14:paraId="54C4690B" w14:textId="77777777" w:rsidR="001F4D79" w:rsidRPr="00AA40E6" w:rsidRDefault="001F4D79" w:rsidP="00AD18B2">
            <w:pPr>
              <w:spacing w:before="40" w:after="120"/>
              <w:ind w:right="113"/>
              <w:jc w:val="left"/>
              <w:rPr>
                <w:rFonts w:asciiTheme="majorBidi" w:hAnsiTheme="majorBidi" w:cstheme="majorBidi"/>
                <w:sz w:val="20"/>
                <w:szCs w:val="20"/>
                <w:lang w:val="fr-FR"/>
              </w:rPr>
            </w:pPr>
            <w:r w:rsidRPr="00AA40E6">
              <w:rPr>
                <w:rFonts w:asciiTheme="majorBidi" w:hAnsiTheme="majorBidi" w:cstheme="majorBidi"/>
                <w:sz w:val="20"/>
                <w:szCs w:val="20"/>
                <w:lang w:val="fr-FR"/>
              </w:rPr>
              <w:t>Température ambiante critique (au point d’intersection de la ligne de perte de chaleur et de l’axe des abscisses)</w:t>
            </w:r>
          </w:p>
        </w:tc>
        <w:tc>
          <w:tcPr>
            <w:tcW w:w="709" w:type="dxa"/>
            <w:tcBorders>
              <w:top w:val="nil"/>
              <w:left w:val="nil"/>
              <w:bottom w:val="nil"/>
              <w:right w:val="nil"/>
            </w:tcBorders>
            <w:hideMark/>
          </w:tcPr>
          <w:p w14:paraId="0DFEAB0F" w14:textId="77777777" w:rsidR="001F4D79" w:rsidRPr="00AA40E6" w:rsidRDefault="001F4D79" w:rsidP="00AD18B2">
            <w:pPr>
              <w:spacing w:before="40" w:after="120"/>
              <w:ind w:right="113"/>
              <w:jc w:val="left"/>
              <w:rPr>
                <w:rFonts w:asciiTheme="majorBidi" w:hAnsiTheme="majorBidi" w:cstheme="majorBidi"/>
                <w:sz w:val="20"/>
                <w:szCs w:val="20"/>
                <w:lang w:val="fr-FR"/>
              </w:rPr>
            </w:pPr>
            <w:r w:rsidRPr="00AA40E6">
              <w:rPr>
                <w:rFonts w:asciiTheme="majorBidi" w:hAnsiTheme="majorBidi" w:cstheme="majorBidi"/>
                <w:sz w:val="20"/>
                <w:szCs w:val="20"/>
                <w:lang w:val="fr-FR"/>
              </w:rPr>
              <w:t>(B)</w:t>
            </w:r>
          </w:p>
        </w:tc>
        <w:tc>
          <w:tcPr>
            <w:tcW w:w="3543" w:type="dxa"/>
            <w:tcBorders>
              <w:top w:val="nil"/>
              <w:left w:val="nil"/>
              <w:bottom w:val="nil"/>
              <w:right w:val="nil"/>
            </w:tcBorders>
            <w:hideMark/>
          </w:tcPr>
          <w:p w14:paraId="7DF50CAD" w14:textId="77777777" w:rsidR="001F4D79" w:rsidRPr="00AA40E6" w:rsidRDefault="001F4D79" w:rsidP="00AD18B2">
            <w:pPr>
              <w:spacing w:before="40" w:after="120"/>
              <w:ind w:right="113"/>
              <w:jc w:val="left"/>
              <w:rPr>
                <w:rFonts w:asciiTheme="majorBidi" w:hAnsiTheme="majorBidi" w:cstheme="majorBidi"/>
                <w:sz w:val="20"/>
                <w:szCs w:val="20"/>
                <w:lang w:val="fr-FR"/>
              </w:rPr>
            </w:pPr>
            <w:r w:rsidRPr="00AA40E6">
              <w:rPr>
                <w:rFonts w:asciiTheme="majorBidi" w:hAnsiTheme="majorBidi" w:cstheme="majorBidi"/>
                <w:sz w:val="20"/>
                <w:szCs w:val="20"/>
                <w:lang w:val="fr-FR"/>
              </w:rPr>
              <w:t xml:space="preserve">TDAA ou TPAA </w:t>
            </w:r>
            <w:r w:rsidRPr="00AA40E6">
              <w:rPr>
                <w:rFonts w:asciiTheme="majorBidi" w:hAnsiTheme="majorBidi" w:cstheme="majorBidi"/>
                <w:sz w:val="20"/>
                <w:szCs w:val="20"/>
                <w:lang w:val="fr-FR"/>
              </w:rPr>
              <w:br/>
              <w:t>(température ambiante critique, arrondie au multiple de 5 °C le plus proche par valeur supérieure)</w:t>
            </w:r>
          </w:p>
        </w:tc>
      </w:tr>
      <w:tr w:rsidR="001F4D79" w14:paraId="1F3945E1" w14:textId="77777777" w:rsidTr="00AD18B2">
        <w:tc>
          <w:tcPr>
            <w:tcW w:w="992" w:type="dxa"/>
            <w:tcBorders>
              <w:top w:val="nil"/>
              <w:left w:val="nil"/>
              <w:bottom w:val="single" w:sz="8" w:space="0" w:color="auto"/>
              <w:right w:val="nil"/>
            </w:tcBorders>
          </w:tcPr>
          <w:p w14:paraId="030DA49D" w14:textId="77777777" w:rsidR="001F4D79" w:rsidRPr="00AA40E6" w:rsidRDefault="001F4D79" w:rsidP="00AD18B2">
            <w:pPr>
              <w:spacing w:before="40" w:after="120"/>
              <w:ind w:right="113"/>
              <w:jc w:val="left"/>
              <w:rPr>
                <w:rFonts w:asciiTheme="majorBidi" w:hAnsiTheme="majorBidi" w:cstheme="majorBidi"/>
                <w:sz w:val="20"/>
                <w:szCs w:val="20"/>
                <w:lang w:val="fr-FR"/>
              </w:rPr>
            </w:pPr>
            <w:r>
              <w:rPr>
                <w:rFonts w:asciiTheme="majorBidi" w:hAnsiTheme="majorBidi" w:cstheme="majorBidi"/>
                <w:sz w:val="20"/>
                <w:szCs w:val="20"/>
                <w:lang w:val="fr-FR"/>
              </w:rPr>
              <w:t>(X)</w:t>
            </w:r>
          </w:p>
        </w:tc>
        <w:tc>
          <w:tcPr>
            <w:tcW w:w="3119" w:type="dxa"/>
            <w:tcBorders>
              <w:top w:val="nil"/>
              <w:left w:val="nil"/>
              <w:bottom w:val="single" w:sz="8" w:space="0" w:color="auto"/>
              <w:right w:val="nil"/>
            </w:tcBorders>
          </w:tcPr>
          <w:p w14:paraId="3D70CF09" w14:textId="77777777" w:rsidR="001F4D79" w:rsidRPr="00AA40E6" w:rsidRDefault="001F4D79" w:rsidP="00AD18B2">
            <w:pPr>
              <w:spacing w:before="40" w:after="120"/>
              <w:ind w:right="113"/>
              <w:jc w:val="left"/>
              <w:rPr>
                <w:rFonts w:asciiTheme="majorBidi" w:hAnsiTheme="majorBidi" w:cstheme="majorBidi"/>
                <w:sz w:val="20"/>
                <w:szCs w:val="20"/>
                <w:lang w:val="fr-FR"/>
              </w:rPr>
            </w:pPr>
            <w:r>
              <w:rPr>
                <w:rFonts w:asciiTheme="majorBidi" w:hAnsiTheme="majorBidi" w:cstheme="majorBidi"/>
                <w:sz w:val="20"/>
                <w:szCs w:val="20"/>
                <w:lang w:val="fr-FR"/>
              </w:rPr>
              <w:t>Température en °C</w:t>
            </w:r>
          </w:p>
        </w:tc>
        <w:tc>
          <w:tcPr>
            <w:tcW w:w="709" w:type="dxa"/>
            <w:tcBorders>
              <w:top w:val="nil"/>
              <w:left w:val="nil"/>
              <w:bottom w:val="single" w:sz="8" w:space="0" w:color="auto"/>
              <w:right w:val="nil"/>
            </w:tcBorders>
          </w:tcPr>
          <w:p w14:paraId="2BC3685C" w14:textId="77777777" w:rsidR="001F4D79" w:rsidRPr="00AA40E6" w:rsidRDefault="001F4D79" w:rsidP="00AD18B2">
            <w:pPr>
              <w:spacing w:before="40" w:after="120"/>
              <w:ind w:right="113"/>
              <w:jc w:val="left"/>
              <w:rPr>
                <w:rFonts w:asciiTheme="majorBidi" w:hAnsiTheme="majorBidi" w:cstheme="majorBidi"/>
                <w:sz w:val="20"/>
                <w:szCs w:val="20"/>
                <w:lang w:val="fr-FR"/>
              </w:rPr>
            </w:pPr>
            <w:r>
              <w:rPr>
                <w:rFonts w:asciiTheme="majorBidi" w:hAnsiTheme="majorBidi" w:cstheme="majorBidi"/>
                <w:sz w:val="20"/>
                <w:szCs w:val="20"/>
                <w:lang w:val="fr-FR"/>
              </w:rPr>
              <w:t>(Y)</w:t>
            </w:r>
          </w:p>
        </w:tc>
        <w:tc>
          <w:tcPr>
            <w:tcW w:w="3543" w:type="dxa"/>
            <w:tcBorders>
              <w:top w:val="nil"/>
              <w:left w:val="nil"/>
              <w:bottom w:val="single" w:sz="8" w:space="0" w:color="auto"/>
              <w:right w:val="nil"/>
            </w:tcBorders>
          </w:tcPr>
          <w:p w14:paraId="028764F9" w14:textId="77777777" w:rsidR="001F4D79" w:rsidRPr="00AA40E6" w:rsidRDefault="001F4D79" w:rsidP="00AD18B2">
            <w:pPr>
              <w:spacing w:before="40" w:after="120"/>
              <w:ind w:right="113"/>
              <w:jc w:val="left"/>
              <w:rPr>
                <w:rFonts w:asciiTheme="majorBidi" w:hAnsiTheme="majorBidi" w:cstheme="majorBidi"/>
                <w:sz w:val="20"/>
                <w:szCs w:val="20"/>
                <w:lang w:val="fr-FR"/>
              </w:rPr>
            </w:pPr>
            <w:r>
              <w:rPr>
                <w:rFonts w:asciiTheme="majorBidi" w:hAnsiTheme="majorBidi" w:cstheme="majorBidi"/>
                <w:sz w:val="20"/>
                <w:szCs w:val="20"/>
                <w:lang w:val="fr-FR"/>
              </w:rPr>
              <w:t>Flux thermique en W/kg</w:t>
            </w:r>
          </w:p>
        </w:tc>
      </w:tr>
    </w:tbl>
    <w:p w14:paraId="7358923E" w14:textId="77777777" w:rsidR="00AF39A3" w:rsidRPr="00AA40E6" w:rsidRDefault="00AF39A3">
      <w:pPr>
        <w:widowControl/>
        <w:autoSpaceDE/>
        <w:autoSpaceDN/>
        <w:adjustRightInd/>
        <w:jc w:val="left"/>
        <w:rPr>
          <w:b/>
          <w:lang w:val="fr-FR" w:eastAsia="fr-FR"/>
        </w:rPr>
      </w:pPr>
      <w:r w:rsidRPr="00AA40E6">
        <w:rPr>
          <w:b/>
          <w:lang w:val="fr-FR" w:eastAsia="fr-FR"/>
        </w:rPr>
        <w:br w:type="page"/>
      </w:r>
    </w:p>
    <w:p w14:paraId="4666FC41" w14:textId="33EBACFF" w:rsidR="00941EF3" w:rsidRPr="00AA40E6" w:rsidRDefault="00941EF3" w:rsidP="00941EF3">
      <w:pPr>
        <w:keepNext/>
        <w:keepLines/>
        <w:numPr>
          <w:ilvl w:val="12"/>
          <w:numId w:val="0"/>
        </w:numPr>
        <w:tabs>
          <w:tab w:val="left" w:pos="1418"/>
        </w:tabs>
        <w:spacing w:after="240"/>
        <w:rPr>
          <w:b/>
          <w:i/>
          <w:iCs/>
          <w:lang w:val="fr-FR" w:eastAsia="fr-FR"/>
        </w:rPr>
      </w:pPr>
      <w:r w:rsidRPr="00AA40E6">
        <w:rPr>
          <w:b/>
          <w:lang w:val="fr-FR" w:eastAsia="fr-FR"/>
        </w:rPr>
        <w:lastRenderedPageBreak/>
        <w:t>28.4.4</w:t>
      </w:r>
      <w:r w:rsidRPr="00AA40E6">
        <w:rPr>
          <w:b/>
          <w:lang w:val="fr-FR" w:eastAsia="fr-FR"/>
        </w:rPr>
        <w:tab/>
      </w:r>
      <w:r w:rsidRPr="00AA40E6">
        <w:rPr>
          <w:b/>
          <w:i/>
          <w:iCs/>
          <w:lang w:val="fr-FR" w:eastAsia="fr-FR"/>
        </w:rPr>
        <w:t>Épreuve H.4 : Épreuve de stockage avec accumulation de chaleur</w:t>
      </w:r>
    </w:p>
    <w:p w14:paraId="77E81E34"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28.4.4.1</w:t>
      </w:r>
      <w:r w:rsidRPr="00AA40E6">
        <w:rPr>
          <w:lang w:val="fr-FR" w:eastAsia="fr-FR"/>
        </w:rPr>
        <w:tab/>
      </w:r>
      <w:r w:rsidRPr="00AA40E6">
        <w:rPr>
          <w:i/>
          <w:iCs/>
          <w:lang w:val="fr-FR" w:eastAsia="fr-FR"/>
        </w:rPr>
        <w:t>Introduction</w:t>
      </w:r>
    </w:p>
    <w:p w14:paraId="1EDBB3DE" w14:textId="71B81946" w:rsidR="00941EF3" w:rsidRPr="00AA40E6" w:rsidRDefault="00941EF3" w:rsidP="00941EF3">
      <w:pPr>
        <w:numPr>
          <w:ilvl w:val="12"/>
          <w:numId w:val="0"/>
        </w:numPr>
        <w:tabs>
          <w:tab w:val="left" w:pos="1418"/>
        </w:tabs>
        <w:spacing w:after="240"/>
        <w:rPr>
          <w:lang w:val="fr-FR" w:eastAsia="fr-FR"/>
        </w:rPr>
      </w:pPr>
      <w:r w:rsidRPr="00AA40E6">
        <w:rPr>
          <w:lang w:val="fr-FR" w:eastAsia="fr-FR"/>
        </w:rPr>
        <w:t>28.4.4.1.1</w:t>
      </w:r>
      <w:r w:rsidRPr="00AA40E6">
        <w:rPr>
          <w:lang w:val="fr-FR" w:eastAsia="fr-FR"/>
        </w:rPr>
        <w:tab/>
        <w:t>Cette méthode vise à déterminer la température constante minimale de l'air ambiant à laquelle des matières instables subissent une décomposition isotherme ou une polymérisation dans des conditions d'épreuve représentatives de la matière telle qu'elle est emballée. La méthode repose sur la théorie de l'explosion sous l'effet de la chaleur de Semenov, c'est-à-dire que l'on considère que la résistance principale aux flux thermiques se trouve aux parois du récipient. La méthode peut être utilisée pour déterminer la TDAA ou la TPAA d’une matière liquide dans son emballage, y compris les GRV et les petites citernes (jusqu’à 2 m³) ainsi que d’une matière solide dans son emballage jusqu’à 50 kg.</w:t>
      </w:r>
    </w:p>
    <w:p w14:paraId="6D90129A"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28.4.4.1.2</w:t>
      </w:r>
      <w:r w:rsidRPr="00AA40E6">
        <w:rPr>
          <w:lang w:val="fr-FR" w:eastAsia="fr-FR"/>
        </w:rPr>
        <w:tab/>
        <w:t>L'efficacité de cette méthode dépend du choix d'un vase de Dewar tel qu'il présente des caractéristiques de perte de chaleur par unité de masse semblables à celles du colis.</w:t>
      </w:r>
    </w:p>
    <w:p w14:paraId="4B269EAC"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28.4.4.2</w:t>
      </w:r>
      <w:r w:rsidRPr="00AA40E6">
        <w:rPr>
          <w:lang w:val="fr-FR" w:eastAsia="fr-FR"/>
        </w:rPr>
        <w:tab/>
      </w:r>
      <w:r w:rsidRPr="00AA40E6">
        <w:rPr>
          <w:i/>
          <w:lang w:val="fr-FR" w:eastAsia="fr-FR"/>
        </w:rPr>
        <w:t>Appareillage et matériels</w:t>
      </w:r>
    </w:p>
    <w:p w14:paraId="23A208B9"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28.4.4.2.1</w:t>
      </w:r>
      <w:r w:rsidRPr="00AA40E6">
        <w:rPr>
          <w:lang w:val="fr-FR" w:eastAsia="fr-FR"/>
        </w:rPr>
        <w:tab/>
        <w:t>L'appareillage d'épreuve comporte une chambre d'épreuve appropriée, des vases de Dewar répondant aux critères énoncés avec des dispositifs de fermeture, des sondes thermiques et un matériel de mesure.</w:t>
      </w:r>
    </w:p>
    <w:p w14:paraId="1A356BB0"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28.4.4.2.2</w:t>
      </w:r>
      <w:r w:rsidRPr="00AA40E6">
        <w:rPr>
          <w:lang w:val="fr-FR" w:eastAsia="fr-FR"/>
        </w:rPr>
        <w:tab/>
      </w:r>
      <w:r w:rsidRPr="00AA40E6">
        <w:rPr>
          <w:b/>
          <w:bCs/>
          <w:i/>
          <w:iCs/>
          <w:lang w:val="fr-FR" w:eastAsia="fr-FR"/>
        </w:rPr>
        <w:t>L'épreuve doit être exécutée dans une chambre d'épreuve capable de résister au feu et à la surpression et qui doit de préférence être équipée d'un mécanisme de décompression, par exemple sous forme d'évent d'explosion.</w:t>
      </w:r>
      <w:r w:rsidRPr="00AA40E6">
        <w:rPr>
          <w:lang w:val="fr-FR" w:eastAsia="fr-FR"/>
        </w:rPr>
        <w:t xml:space="preserve"> Le système d'enregistrement doit être installé dans une zone d'observation distincte.</w:t>
      </w:r>
    </w:p>
    <w:p w14:paraId="0E71078C" w14:textId="468A6D39" w:rsidR="00941EF3" w:rsidRPr="00AA40E6" w:rsidRDefault="00941EF3" w:rsidP="00941EF3">
      <w:pPr>
        <w:numPr>
          <w:ilvl w:val="12"/>
          <w:numId w:val="0"/>
        </w:numPr>
        <w:tabs>
          <w:tab w:val="left" w:pos="1418"/>
        </w:tabs>
        <w:spacing w:after="240"/>
        <w:rPr>
          <w:lang w:val="fr-FR" w:eastAsia="fr-FR"/>
        </w:rPr>
      </w:pPr>
      <w:r w:rsidRPr="00AA40E6">
        <w:rPr>
          <w:lang w:val="fr-FR" w:eastAsia="fr-FR"/>
        </w:rPr>
        <w:t>28.4.4.2.3</w:t>
      </w:r>
      <w:r w:rsidRPr="00AA40E6">
        <w:rPr>
          <w:lang w:val="fr-FR" w:eastAsia="fr-FR"/>
        </w:rPr>
        <w:tab/>
        <w:t>Pour les épreuves exécutées jusqu'à des températures de 75 °C, on peut utiliser une enceinte métallique à doubles parois (ayant environ un diamètre intérieur de 250 mm, un diamètre extérieur de 320 mm et une hauteur de 480 mm et fabriquée en tôles d'acier inoxydable de 1,5 mm à 2,0 mm d'épaisseur), la température voulue étant obtenue par circulation de fluide, provenant d'un bain thermostaté entre les parois. L'enceinte d'épreuve est fermée au moyen d'un couvercle isolant non hermétique (fabriqué par exemple en polychlorure de vinyle de 10 mm d'épaisseur). La température de l’air dans la chambre métallique à double paroi doit être réglée de manière telle que la température voulue d’un échantillon liquide inerte contenu dans le vase de Dewar puisse être maintenue à ±1 °C pendant 10 jours au maximum. La température de l’air dans la chambre métallique à double paroi et la température de l’échantillon dans le vase de Dewar doivent être mesurées et enregistrées.</w:t>
      </w:r>
    </w:p>
    <w:p w14:paraId="213B39B6" w14:textId="478CF1C8" w:rsidR="00941EF3" w:rsidRPr="00AA40E6" w:rsidRDefault="00941EF3" w:rsidP="00941EF3">
      <w:pPr>
        <w:numPr>
          <w:ilvl w:val="12"/>
          <w:numId w:val="0"/>
        </w:numPr>
        <w:tabs>
          <w:tab w:val="left" w:pos="1418"/>
        </w:tabs>
        <w:spacing w:after="240"/>
        <w:rPr>
          <w:lang w:val="fr-FR" w:eastAsia="fr-FR"/>
        </w:rPr>
      </w:pPr>
      <w:r w:rsidRPr="00AA40E6">
        <w:rPr>
          <w:lang w:val="fr-FR" w:eastAsia="fr-FR"/>
        </w:rPr>
        <w:t>28.4.4.2.4</w:t>
      </w:r>
      <w:r w:rsidRPr="00AA40E6">
        <w:rPr>
          <w:lang w:val="fr-FR" w:eastAsia="fr-FR"/>
        </w:rPr>
        <w:tab/>
        <w:t xml:space="preserve">Une autre solution peut consister, en particulier pour les épreuves exécutées à des températures supérieures à 75 °C, à utiliser une étuve à thermostat (qui peut être ventilée), suffisamment grande pour permettre à l'air de circuler tout autour du vase de Dewar. La température de l'air dans l'étuve doit être réglée de manière telle que la température voulue d'un échantillon liquide inerte contenu dans le vase de Dewar puisse être maintenue à ± 1 °C pendant 10 jours au maximum. La température de l’air dans l’étuve et la température de l’échantillon dans le vase de Dewar doivent être mesurées et enregistrées. Il est recommandé de munir la porte de l'étuve d'une fermeture magnétique ou de la remplacer par un couvercle isolant non hermétique. L'étuve peut être protégée par un revêtement en acier et le vase de Dewar placé dans une cage en toile métallique. </w:t>
      </w:r>
    </w:p>
    <w:p w14:paraId="7821C944" w14:textId="052469D7" w:rsidR="00941EF3" w:rsidRPr="00AA40E6" w:rsidRDefault="00941EF3" w:rsidP="00941EF3">
      <w:pPr>
        <w:numPr>
          <w:ilvl w:val="12"/>
          <w:numId w:val="0"/>
        </w:numPr>
        <w:tabs>
          <w:tab w:val="left" w:pos="1418"/>
        </w:tabs>
        <w:spacing w:after="240"/>
        <w:rPr>
          <w:lang w:val="fr-FR" w:eastAsia="fr-FR"/>
        </w:rPr>
      </w:pPr>
      <w:r w:rsidRPr="00AA40E6">
        <w:rPr>
          <w:lang w:val="fr-FR" w:eastAsia="fr-FR"/>
        </w:rPr>
        <w:t>28.4.4.2.5</w:t>
      </w:r>
      <w:r w:rsidRPr="00AA40E6">
        <w:rPr>
          <w:lang w:val="fr-FR" w:eastAsia="fr-FR"/>
        </w:rPr>
        <w:tab/>
        <w:t>Pour les épreuves réalisées à des températures inférieures à la température ambiante, on peut utiliser une chambre à parois doubles (par exemple un congélateur) d'une taille convenable, munie d'une porte ou d'un couvercle non hermétique (par exemple, avec fermeture magnétique). La température de l'air dans la chambre doit être maintenue à ± 1 °C de la température voulue. La température de l’air dans la chambre et la température de l’échantillon dans le vase de Dewar doivent être mesurées et enregistrées.</w:t>
      </w:r>
    </w:p>
    <w:p w14:paraId="433320DA" w14:textId="049BB2AC" w:rsidR="00941EF3" w:rsidRPr="00AA40E6" w:rsidRDefault="00941EF3" w:rsidP="00941EF3">
      <w:pPr>
        <w:numPr>
          <w:ilvl w:val="12"/>
          <w:numId w:val="0"/>
        </w:numPr>
        <w:tabs>
          <w:tab w:val="left" w:pos="1418"/>
        </w:tabs>
        <w:spacing w:after="240"/>
        <w:rPr>
          <w:lang w:val="fr-FR" w:eastAsia="fr-FR"/>
        </w:rPr>
      </w:pPr>
      <w:r w:rsidRPr="00AA40E6">
        <w:rPr>
          <w:lang w:val="fr-FR" w:eastAsia="fr-FR"/>
        </w:rPr>
        <w:t>28.4.4.2.6</w:t>
      </w:r>
      <w:r w:rsidRPr="00AA40E6">
        <w:rPr>
          <w:lang w:val="fr-FR" w:eastAsia="fr-FR"/>
        </w:rPr>
        <w:tab/>
        <w:t xml:space="preserve">Les vases de Dewar utilisés, y compris leur système de fermeture, doivent avoir des caractéristiques de perte de chaleur représentatives de la taille maximale de l’emballage étudié (voir également le tableau 28.4). Doit La fermeture du vase de Dewar doit être constituée en un matériau inerte. Pour les matières solides en particulier, des bondes en liège ou en caoutchouc peuvent être utilisées. Un exemple de </w:t>
      </w:r>
      <w:r w:rsidRPr="00AA40E6">
        <w:rPr>
          <w:lang w:val="fr-FR" w:eastAsia="fr-FR"/>
        </w:rPr>
        <w:lastRenderedPageBreak/>
        <w:t>système de fermeture pouvant être utilisé avec des liquides faiblement ou moyennement volatils et des matières solides mouillées à l’eau est illustré à la figure 28.4.4.1. Les échantillons qui sont hautement volatils à la température d’épreuve doivent être mis à l’essai dans un récipient résistant à la pression constitué en un matériau compatible avec l’échantillon et muni d’une soupape de décompression. Le récipient sous pression est placé dans le vase de Dewar et on tient compte de sa capacité calorifique lors des calculs.</w:t>
      </w:r>
    </w:p>
    <w:p w14:paraId="1B801B72" w14:textId="10B8DB66" w:rsidR="00941EF3" w:rsidRPr="00AA40E6" w:rsidRDefault="00941EF3" w:rsidP="00941EF3">
      <w:pPr>
        <w:numPr>
          <w:ilvl w:val="12"/>
          <w:numId w:val="0"/>
        </w:numPr>
        <w:tabs>
          <w:tab w:val="left" w:pos="1418"/>
        </w:tabs>
        <w:spacing w:after="240"/>
        <w:rPr>
          <w:lang w:val="fr-FR" w:eastAsia="fr-FR"/>
        </w:rPr>
      </w:pPr>
      <w:r w:rsidRPr="00AA40E6">
        <w:rPr>
          <w:lang w:val="fr-FR" w:eastAsia="fr-FR"/>
        </w:rPr>
        <w:t>28.4.4.2.7</w:t>
      </w:r>
      <w:r w:rsidRPr="00AA40E6">
        <w:rPr>
          <w:lang w:val="fr-FR" w:eastAsia="fr-FR"/>
        </w:rPr>
        <w:tab/>
        <w:t>Les caractéristiques de perte de chaleur du système utilisé, à savoir le vase de Dewar et son système de fermeture, doivent être établies (voir 28.3.6) avant l'exécution de l'épreuve. De petits ajustements peuvent être apportés aux caractéristiques de perte de chaleur du vase de Dewar, en modifiant le dispositif de fermeture. Afin d'atteindre le niveau requis de sensibilité, les vases de Dewar dont la capacité d'échantillonnage est inférieure à 0,3 litre ne doivent pas être utilisés.</w:t>
      </w:r>
    </w:p>
    <w:p w14:paraId="1CA9AC7F" w14:textId="3A99737D" w:rsidR="00941EF3" w:rsidRPr="00AA40E6" w:rsidRDefault="00941EF3" w:rsidP="00941EF3">
      <w:pPr>
        <w:numPr>
          <w:ilvl w:val="12"/>
          <w:numId w:val="0"/>
        </w:numPr>
        <w:tabs>
          <w:tab w:val="left" w:pos="1418"/>
        </w:tabs>
        <w:spacing w:after="240"/>
        <w:rPr>
          <w:lang w:val="fr-FR" w:eastAsia="fr-FR"/>
        </w:rPr>
      </w:pPr>
      <w:r w:rsidRPr="00AA40E6">
        <w:rPr>
          <w:lang w:val="fr-FR" w:eastAsia="fr-FR"/>
        </w:rPr>
        <w:t>28.4.4.2.8</w:t>
      </w:r>
      <w:r w:rsidRPr="00AA40E6">
        <w:rPr>
          <w:lang w:val="fr-FR" w:eastAsia="fr-FR"/>
        </w:rPr>
        <w:tab/>
        <w:t xml:space="preserve">Les vases de Dewar ayant un volume de 300 à 500 ml, remplis à 80 % d’une matière liquide, avec une perte de chaleur conforme à celle indiquée dans le tableau 28.4 doivent être utilisés. Pour les colis de plus grande taille, les GRV ou les petites citernes, des vases de Dewar de plus grandes dimensions avec une plus faible perte de chaleur par unité de masse doivent être utilisés (voir tableau 28.4) Pour les colis de plus grande taille, les GRV ou les petites citernes, des vases de Dewar de plus grandes dimensions avec une plus faible perte de chaleur par unité de masse doivent être utilisés. </w:t>
      </w:r>
    </w:p>
    <w:p w14:paraId="344B53F0"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28.4.4.3</w:t>
      </w:r>
      <w:r w:rsidRPr="00AA40E6">
        <w:rPr>
          <w:lang w:val="fr-FR" w:eastAsia="fr-FR"/>
        </w:rPr>
        <w:tab/>
      </w:r>
      <w:r w:rsidRPr="00AA40E6">
        <w:rPr>
          <w:i/>
          <w:lang w:val="fr-FR" w:eastAsia="fr-FR"/>
        </w:rPr>
        <w:t>Mode opératoire</w:t>
      </w:r>
    </w:p>
    <w:p w14:paraId="48DFE2D2" w14:textId="2BF06518" w:rsidR="00941EF3" w:rsidRPr="00AA40E6" w:rsidRDefault="00941EF3" w:rsidP="00941EF3">
      <w:pPr>
        <w:numPr>
          <w:ilvl w:val="12"/>
          <w:numId w:val="0"/>
        </w:numPr>
        <w:tabs>
          <w:tab w:val="left" w:pos="1418"/>
        </w:tabs>
        <w:spacing w:after="240"/>
        <w:rPr>
          <w:lang w:val="fr-FR" w:eastAsia="fr-FR"/>
        </w:rPr>
      </w:pPr>
      <w:r w:rsidRPr="00AA40E6">
        <w:rPr>
          <w:lang w:val="fr-FR" w:eastAsia="fr-FR"/>
        </w:rPr>
        <w:t>28.4.4.3.1</w:t>
      </w:r>
      <w:r w:rsidRPr="00AA40E6">
        <w:rPr>
          <w:lang w:val="fr-FR" w:eastAsia="fr-FR"/>
        </w:rPr>
        <w:tab/>
        <w:t>Porter la chambre d'épreuve à la température de stockage voulue. Remplir à 80 % le vase de Dewar de la matière à éprouver et noter la masse de l'échantillon. Les matières solides doivent être modérément comprimées. Dans le cas d’un vase de Dewar cylindrique, la sonde à température est insérée dans le premier tiers de la partie centrale du vase de Dewar à partir du fond du vase. Sceller le couvercle du vase de Dewar et insérer ce dernier dans la chambre d'épreuve, brancher le dispositif d'enregistrement de la température et fermer la chambre d'épreuve.</w:t>
      </w:r>
    </w:p>
    <w:p w14:paraId="500D7AD0" w14:textId="07DE00C8" w:rsidR="00941EF3" w:rsidRPr="00AA40E6" w:rsidRDefault="00941EF3" w:rsidP="00941EF3">
      <w:pPr>
        <w:numPr>
          <w:ilvl w:val="12"/>
          <w:numId w:val="0"/>
        </w:numPr>
        <w:tabs>
          <w:tab w:val="left" w:pos="1418"/>
        </w:tabs>
        <w:spacing w:after="240"/>
        <w:rPr>
          <w:lang w:val="fr-FR" w:eastAsia="fr-FR"/>
        </w:rPr>
      </w:pPr>
      <w:r w:rsidRPr="00AA40E6">
        <w:rPr>
          <w:lang w:val="fr-FR" w:eastAsia="fr-FR"/>
        </w:rPr>
        <w:t>28.4.4.3.2</w:t>
      </w:r>
      <w:r w:rsidRPr="00AA40E6">
        <w:rPr>
          <w:lang w:val="fr-FR" w:eastAsia="fr-FR"/>
        </w:rPr>
        <w:tab/>
        <w:t xml:space="preserve">L'échantillon est chauffé et les températures de l'échantillon et de la chambre d'épreuve sont </w:t>
      </w:r>
      <w:proofErr w:type="spellStart"/>
      <w:r w:rsidRPr="00AA40E6">
        <w:rPr>
          <w:lang w:val="fr-FR" w:eastAsia="fr-FR"/>
        </w:rPr>
        <w:t>regulées</w:t>
      </w:r>
      <w:proofErr w:type="spellEnd"/>
      <w:r w:rsidRPr="00AA40E6">
        <w:rPr>
          <w:lang w:val="fr-FR" w:eastAsia="fr-FR"/>
        </w:rPr>
        <w:t xml:space="preserve"> en continu. Noter l'heure à laquelle la température de l'échantillon est de 2 °C inférieure à celle de la chambre d'épreuve. Continuer l'épreuve pendant sept jours ou jusqu'à ce que la température de l'échantillon dépasse de 6 °C ou plus la température de la chambre d'épreuve selon ce qui se produit en premier. </w:t>
      </w:r>
    </w:p>
    <w:p w14:paraId="302D6650" w14:textId="77777777" w:rsidR="00941EF3" w:rsidRPr="00AA40E6" w:rsidRDefault="00941EF3" w:rsidP="00941EF3">
      <w:pPr>
        <w:numPr>
          <w:ilvl w:val="12"/>
          <w:numId w:val="0"/>
        </w:numPr>
        <w:tabs>
          <w:tab w:val="left" w:pos="1418"/>
        </w:tabs>
        <w:spacing w:after="240"/>
        <w:rPr>
          <w:lang w:val="fr-FR" w:eastAsia="fr-FR"/>
        </w:rPr>
      </w:pPr>
      <w:r w:rsidRPr="00AA40E6">
        <w:rPr>
          <w:lang w:val="fr-FR" w:eastAsia="fr-FR"/>
        </w:rPr>
        <w:t>28.4.4.3.3</w:t>
      </w:r>
      <w:r w:rsidRPr="00AA40E6">
        <w:rPr>
          <w:lang w:val="fr-FR" w:eastAsia="fr-FR"/>
        </w:rPr>
        <w:tab/>
        <w:t>Si l'échantillon n'est pas détruit lors de l'épreuve, le refroidir, le retirer de la chambre d'épreuve et l'éliminer dans les meilleurs délais. On peut déterminer la perte de masse en pourcentage et les changements de la composition.</w:t>
      </w:r>
    </w:p>
    <w:p w14:paraId="58BAE25A" w14:textId="6A109CB8" w:rsidR="00941EF3" w:rsidRPr="00AA40E6" w:rsidRDefault="00941EF3" w:rsidP="00941EF3">
      <w:pPr>
        <w:numPr>
          <w:ilvl w:val="12"/>
          <w:numId w:val="0"/>
        </w:numPr>
        <w:tabs>
          <w:tab w:val="left" w:pos="1418"/>
        </w:tabs>
        <w:spacing w:after="240"/>
        <w:rPr>
          <w:lang w:val="fr-FR" w:eastAsia="fr-FR"/>
        </w:rPr>
      </w:pPr>
      <w:r w:rsidRPr="00AA40E6">
        <w:rPr>
          <w:lang w:val="fr-FR" w:eastAsia="fr-FR"/>
        </w:rPr>
        <w:t>28.4.4.3.4</w:t>
      </w:r>
      <w:r w:rsidRPr="00AA40E6">
        <w:rPr>
          <w:lang w:val="fr-FR" w:eastAsia="fr-FR"/>
        </w:rPr>
        <w:tab/>
        <w:t xml:space="preserve">Si la matière est soumise à l’épreuve pour savoir si elle nécessite une température de régulation, exécuter suffisamment d’essais, par intervalles de 5 °C, en utilisant de nouveaux échantillons, pour déterminer la TDAA ou la TPAA au multiple de 5 °C le plus proche ou pour déterminer si la TDAA ou la TPAA est égale ou inférieure à la température applicable indiquée dans le tableau 28.2. Quand l'épreuve vise à établir si la matière répond au critère TDAA de matière </w:t>
      </w:r>
      <w:proofErr w:type="spellStart"/>
      <w:r w:rsidRPr="00AA40E6">
        <w:rPr>
          <w:lang w:val="fr-FR" w:eastAsia="fr-FR"/>
        </w:rPr>
        <w:t>autoréactive</w:t>
      </w:r>
      <w:proofErr w:type="spellEnd"/>
      <w:r w:rsidRPr="00AA40E6">
        <w:rPr>
          <w:lang w:val="fr-FR" w:eastAsia="fr-FR"/>
        </w:rPr>
        <w:t xml:space="preserve">, effectuer suffisamment d'essais pour déterminer si la TDAA pour un colis de 50 kg est égale ou inférieure à 75 °C. </w:t>
      </w:r>
      <w:r w:rsidRPr="00AA40E6">
        <w:rPr>
          <w:iCs/>
          <w:lang w:val="fr-FR" w:eastAsia="fr-FR"/>
        </w:rPr>
        <w:t xml:space="preserve">Quand l’épreuve vise à établir si la matière répond au critère </w:t>
      </w:r>
      <w:r w:rsidRPr="00AA40E6">
        <w:rPr>
          <w:lang w:val="fr-FR" w:eastAsia="fr-FR"/>
        </w:rPr>
        <w:t xml:space="preserve">TPAA </w:t>
      </w:r>
      <w:r w:rsidRPr="00AA40E6">
        <w:rPr>
          <w:iCs/>
          <w:lang w:val="fr-FR" w:eastAsia="fr-FR"/>
        </w:rPr>
        <w:t xml:space="preserve">d’une matière </w:t>
      </w:r>
      <w:r w:rsidRPr="00AA40E6">
        <w:rPr>
          <w:lang w:val="fr-FR" w:eastAsia="fr-FR"/>
        </w:rPr>
        <w:t xml:space="preserve">qui polymérise, </w:t>
      </w:r>
      <w:r w:rsidRPr="00AA40E6">
        <w:rPr>
          <w:iCs/>
          <w:lang w:val="fr-FR" w:eastAsia="fr-FR"/>
        </w:rPr>
        <w:t xml:space="preserve">effectuer suffisamment d’essais pour déterminer si la </w:t>
      </w:r>
      <w:r w:rsidRPr="00AA40E6">
        <w:rPr>
          <w:lang w:val="fr-FR" w:eastAsia="fr-FR"/>
        </w:rPr>
        <w:t xml:space="preserve">TPAA dans l’emballage utilisé </w:t>
      </w:r>
      <w:r w:rsidRPr="00AA40E6">
        <w:rPr>
          <w:iCs/>
          <w:lang w:val="fr-FR" w:eastAsia="fr-FR"/>
        </w:rPr>
        <w:t>est égale ou inférieure à 75 °C</w:t>
      </w:r>
      <w:r w:rsidRPr="00AA40E6">
        <w:rPr>
          <w:lang w:val="fr-FR" w:eastAsia="fr-FR"/>
        </w:rPr>
        <w:t>. </w:t>
      </w:r>
    </w:p>
    <w:p w14:paraId="148A87FD" w14:textId="77777777" w:rsidR="00941EF3" w:rsidRPr="00AA40E6" w:rsidRDefault="00941EF3" w:rsidP="00941EF3">
      <w:pPr>
        <w:keepNext/>
        <w:keepLines/>
        <w:numPr>
          <w:ilvl w:val="12"/>
          <w:numId w:val="0"/>
        </w:numPr>
        <w:tabs>
          <w:tab w:val="left" w:pos="1418"/>
        </w:tabs>
        <w:spacing w:after="240"/>
        <w:rPr>
          <w:lang w:val="fr-FR" w:eastAsia="fr-FR"/>
        </w:rPr>
      </w:pPr>
      <w:r w:rsidRPr="00AA40E6">
        <w:rPr>
          <w:lang w:val="fr-FR" w:eastAsia="fr-FR"/>
        </w:rPr>
        <w:t>28.4.4.4</w:t>
      </w:r>
      <w:r w:rsidRPr="00AA40E6">
        <w:rPr>
          <w:lang w:val="fr-FR" w:eastAsia="fr-FR"/>
        </w:rPr>
        <w:tab/>
      </w:r>
      <w:r w:rsidRPr="00AA40E6">
        <w:rPr>
          <w:i/>
          <w:lang w:val="fr-FR" w:eastAsia="fr-FR"/>
        </w:rPr>
        <w:t>Critères d'épreuve et méthode d'évaluation des résultats</w:t>
      </w:r>
    </w:p>
    <w:p w14:paraId="218FC0F7" w14:textId="4751A006" w:rsidR="00941EF3" w:rsidRPr="00AA40E6" w:rsidRDefault="00941EF3" w:rsidP="00941EF3">
      <w:pPr>
        <w:numPr>
          <w:ilvl w:val="12"/>
          <w:numId w:val="0"/>
        </w:numPr>
        <w:tabs>
          <w:tab w:val="left" w:pos="1418"/>
        </w:tabs>
        <w:spacing w:after="240"/>
        <w:rPr>
          <w:lang w:val="fr-FR" w:eastAsia="fr-FR"/>
        </w:rPr>
      </w:pPr>
      <w:r w:rsidRPr="00AA40E6">
        <w:rPr>
          <w:lang w:val="fr-FR" w:eastAsia="fr-FR"/>
        </w:rPr>
        <w:t>28.4.4.4.1</w:t>
      </w:r>
      <w:r w:rsidRPr="00AA40E6">
        <w:rPr>
          <w:lang w:val="fr-FR" w:eastAsia="fr-FR"/>
        </w:rPr>
        <w:tab/>
        <w:t xml:space="preserve">La TDAA ou la TPAA est déclarée comme température de chambre d’épreuve la moins élevée à laquelle la température de l’échantillon dépasse la température de la chambre d’épreuve d’au moins 6 °C au cours de la période de sept jours qui sert de cadre aux épreuves (voir 28.4.4.3.2). Si la température de l'échantillon ne dépasse dans aucune épreuve la température de la chambre d'au moins 6 °C, la TDAA ou la TPAA est considérée comme supérieure à la température de stockage la plus élevée utilisée. </w:t>
      </w:r>
    </w:p>
    <w:p w14:paraId="22EA8538" w14:textId="77777777" w:rsidR="00941EF3" w:rsidRPr="00AA40E6" w:rsidRDefault="00941EF3" w:rsidP="00941EF3">
      <w:pPr>
        <w:keepNext/>
        <w:keepLines/>
        <w:numPr>
          <w:ilvl w:val="12"/>
          <w:numId w:val="0"/>
        </w:numPr>
        <w:tabs>
          <w:tab w:val="left" w:pos="1418"/>
        </w:tabs>
        <w:spacing w:after="240"/>
        <w:rPr>
          <w:i/>
          <w:lang w:val="fr-FR" w:eastAsia="fr-FR"/>
        </w:rPr>
      </w:pPr>
      <w:r w:rsidRPr="00AA40E6">
        <w:rPr>
          <w:lang w:val="fr-FR" w:eastAsia="fr-FR"/>
        </w:rPr>
        <w:br w:type="page"/>
      </w:r>
      <w:r w:rsidRPr="00AA40E6">
        <w:rPr>
          <w:lang w:val="fr-FR" w:eastAsia="fr-FR"/>
        </w:rPr>
        <w:lastRenderedPageBreak/>
        <w:t>28.4.4.5</w:t>
      </w:r>
      <w:r w:rsidRPr="00AA40E6">
        <w:rPr>
          <w:lang w:val="fr-FR" w:eastAsia="fr-FR"/>
        </w:rPr>
        <w:tab/>
      </w:r>
      <w:r w:rsidRPr="00AA40E6">
        <w:rPr>
          <w:i/>
          <w:lang w:val="fr-FR" w:eastAsia="fr-FR"/>
        </w:rPr>
        <w:t>Exemples de résultats</w:t>
      </w:r>
    </w:p>
    <w:tbl>
      <w:tblPr>
        <w:tblW w:w="5000" w:type="pct"/>
        <w:tblCellMar>
          <w:left w:w="120" w:type="dxa"/>
          <w:right w:w="120" w:type="dxa"/>
        </w:tblCellMar>
        <w:tblLook w:val="04A0" w:firstRow="1" w:lastRow="0" w:firstColumn="1" w:lastColumn="0" w:noHBand="0" w:noVBand="1"/>
      </w:tblPr>
      <w:tblGrid>
        <w:gridCol w:w="5160"/>
        <w:gridCol w:w="1382"/>
        <w:gridCol w:w="1621"/>
        <w:gridCol w:w="1475"/>
      </w:tblGrid>
      <w:tr w:rsidR="00941EF3" w14:paraId="3DB01C93" w14:textId="77777777" w:rsidTr="00941EF3">
        <w:trPr>
          <w:cantSplit/>
        </w:trPr>
        <w:tc>
          <w:tcPr>
            <w:tcW w:w="2677" w:type="pct"/>
            <w:tcBorders>
              <w:top w:val="single" w:sz="8" w:space="0" w:color="auto"/>
              <w:left w:val="nil"/>
              <w:bottom w:val="single" w:sz="8" w:space="0" w:color="auto"/>
              <w:right w:val="nil"/>
            </w:tcBorders>
            <w:hideMark/>
          </w:tcPr>
          <w:p w14:paraId="1A0585BF" w14:textId="77777777" w:rsidR="00941EF3" w:rsidRPr="00AA40E6" w:rsidRDefault="00941EF3">
            <w:pPr>
              <w:numPr>
                <w:ilvl w:val="12"/>
                <w:numId w:val="0"/>
              </w:numPr>
              <w:spacing w:before="40" w:after="40"/>
              <w:rPr>
                <w:rFonts w:eastAsia="SimSun"/>
                <w:b/>
                <w:bCs/>
                <w:sz w:val="24"/>
                <w:lang w:val="fr-FR" w:eastAsia="fr-FR"/>
              </w:rPr>
            </w:pPr>
            <w:r w:rsidRPr="00AA40E6">
              <w:rPr>
                <w:rFonts w:eastAsia="SimSun"/>
                <w:b/>
                <w:bCs/>
                <w:sz w:val="20"/>
                <w:szCs w:val="20"/>
                <w:lang w:val="fr-FR" w:eastAsia="fr-FR"/>
              </w:rPr>
              <w:t>Matière</w:t>
            </w:r>
          </w:p>
        </w:tc>
        <w:tc>
          <w:tcPr>
            <w:tcW w:w="717" w:type="pct"/>
            <w:tcBorders>
              <w:top w:val="single" w:sz="8" w:space="0" w:color="auto"/>
              <w:left w:val="nil"/>
              <w:bottom w:val="single" w:sz="8" w:space="0" w:color="auto"/>
              <w:right w:val="nil"/>
            </w:tcBorders>
            <w:hideMark/>
          </w:tcPr>
          <w:p w14:paraId="60E8A00A" w14:textId="77777777" w:rsidR="00941EF3" w:rsidRPr="00AA40E6" w:rsidRDefault="00941EF3">
            <w:pPr>
              <w:numPr>
                <w:ilvl w:val="12"/>
                <w:numId w:val="0"/>
              </w:numPr>
              <w:spacing w:before="40" w:after="40"/>
              <w:jc w:val="right"/>
              <w:rPr>
                <w:rFonts w:eastAsia="SimSun"/>
                <w:b/>
                <w:bCs/>
                <w:sz w:val="24"/>
                <w:lang w:val="fr-FR" w:eastAsia="fr-FR"/>
              </w:rPr>
            </w:pPr>
            <w:r w:rsidRPr="00AA40E6">
              <w:rPr>
                <w:rFonts w:eastAsia="SimSun"/>
                <w:b/>
                <w:bCs/>
                <w:sz w:val="20"/>
                <w:lang w:val="fr-FR" w:eastAsia="fr-FR"/>
              </w:rPr>
              <w:t>Masse de l'échantillon</w:t>
            </w:r>
            <w:r w:rsidRPr="00AA40E6">
              <w:rPr>
                <w:rFonts w:eastAsia="SimSun"/>
                <w:b/>
                <w:bCs/>
                <w:sz w:val="20"/>
                <w:szCs w:val="20"/>
                <w:lang w:val="fr-FR" w:eastAsia="fr-FR"/>
              </w:rPr>
              <w:t xml:space="preserve"> (kg)</w:t>
            </w:r>
          </w:p>
        </w:tc>
        <w:tc>
          <w:tcPr>
            <w:tcW w:w="841" w:type="pct"/>
            <w:tcBorders>
              <w:top w:val="single" w:sz="8" w:space="0" w:color="auto"/>
              <w:left w:val="nil"/>
              <w:bottom w:val="single" w:sz="8" w:space="0" w:color="auto"/>
              <w:right w:val="nil"/>
            </w:tcBorders>
            <w:hideMark/>
          </w:tcPr>
          <w:p w14:paraId="57508D8D" w14:textId="77777777" w:rsidR="00941EF3" w:rsidRPr="00AA40E6" w:rsidRDefault="00941EF3">
            <w:pPr>
              <w:numPr>
                <w:ilvl w:val="12"/>
                <w:numId w:val="0"/>
              </w:numPr>
              <w:spacing w:before="40" w:after="40"/>
              <w:jc w:val="right"/>
              <w:rPr>
                <w:rFonts w:eastAsia="SimSun"/>
                <w:b/>
                <w:bCs/>
                <w:sz w:val="24"/>
                <w:lang w:val="fr-FR" w:eastAsia="fr-FR"/>
              </w:rPr>
            </w:pPr>
            <w:r w:rsidRPr="00AA40E6">
              <w:rPr>
                <w:rFonts w:eastAsia="SimSun"/>
                <w:b/>
                <w:bCs/>
                <w:sz w:val="20"/>
                <w:lang w:val="fr-FR" w:eastAsia="fr-FR"/>
              </w:rPr>
              <w:t xml:space="preserve">Perte de chaleur du Dewar </w:t>
            </w:r>
            <w:r w:rsidRPr="00AA40E6">
              <w:rPr>
                <w:rFonts w:eastAsia="SimSun"/>
                <w:b/>
                <w:bCs/>
                <w:sz w:val="20"/>
                <w:szCs w:val="20"/>
                <w:lang w:val="fr-FR" w:eastAsia="fr-FR"/>
              </w:rPr>
              <w:t>(mW/</w:t>
            </w:r>
            <w:proofErr w:type="spellStart"/>
            <w:r w:rsidRPr="00AA40E6">
              <w:rPr>
                <w:rFonts w:eastAsia="SimSun"/>
                <w:b/>
                <w:bCs/>
                <w:sz w:val="20"/>
                <w:szCs w:val="20"/>
                <w:lang w:val="fr-FR" w:eastAsia="fr-FR"/>
              </w:rPr>
              <w:t>kg.K</w:t>
            </w:r>
            <w:proofErr w:type="spellEnd"/>
            <w:r w:rsidRPr="00AA40E6">
              <w:rPr>
                <w:rFonts w:eastAsia="SimSun"/>
                <w:b/>
                <w:bCs/>
                <w:sz w:val="20"/>
                <w:szCs w:val="20"/>
                <w:lang w:val="fr-FR" w:eastAsia="fr-FR"/>
              </w:rPr>
              <w:t>)</w:t>
            </w:r>
          </w:p>
        </w:tc>
        <w:tc>
          <w:tcPr>
            <w:tcW w:w="765" w:type="pct"/>
            <w:tcBorders>
              <w:top w:val="single" w:sz="8" w:space="0" w:color="auto"/>
              <w:left w:val="nil"/>
              <w:bottom w:val="single" w:sz="8" w:space="0" w:color="auto"/>
              <w:right w:val="nil"/>
            </w:tcBorders>
            <w:hideMark/>
          </w:tcPr>
          <w:p w14:paraId="485345F8" w14:textId="77777777" w:rsidR="00941EF3" w:rsidRPr="00AA40E6" w:rsidRDefault="00941EF3">
            <w:pPr>
              <w:numPr>
                <w:ilvl w:val="12"/>
                <w:numId w:val="0"/>
              </w:numPr>
              <w:spacing w:before="40" w:after="40"/>
              <w:jc w:val="right"/>
              <w:rPr>
                <w:rFonts w:eastAsia="SimSun"/>
                <w:b/>
                <w:bCs/>
                <w:sz w:val="24"/>
                <w:lang w:val="fr-FR" w:eastAsia="fr-FR"/>
              </w:rPr>
            </w:pPr>
            <w:r w:rsidRPr="00AA40E6">
              <w:rPr>
                <w:rFonts w:eastAsia="SimSun"/>
                <w:b/>
                <w:bCs/>
                <w:sz w:val="20"/>
                <w:lang w:val="fr-FR" w:eastAsia="fr-FR"/>
              </w:rPr>
              <w:t xml:space="preserve">TDAA/TPAA </w:t>
            </w:r>
            <w:r w:rsidRPr="00AA40E6">
              <w:rPr>
                <w:rFonts w:eastAsia="SimSun"/>
                <w:b/>
                <w:bCs/>
                <w:sz w:val="20"/>
                <w:szCs w:val="20"/>
                <w:lang w:val="fr-FR" w:eastAsia="fr-FR"/>
              </w:rPr>
              <w:t>(°C)</w:t>
            </w:r>
          </w:p>
        </w:tc>
      </w:tr>
      <w:tr w:rsidR="00941EF3" w14:paraId="0AF54278" w14:textId="77777777" w:rsidTr="00941EF3">
        <w:trPr>
          <w:cantSplit/>
        </w:trPr>
        <w:tc>
          <w:tcPr>
            <w:tcW w:w="2677" w:type="pct"/>
            <w:tcBorders>
              <w:top w:val="single" w:sz="8" w:space="0" w:color="auto"/>
              <w:left w:val="nil"/>
              <w:bottom w:val="nil"/>
              <w:right w:val="nil"/>
            </w:tcBorders>
            <w:hideMark/>
          </w:tcPr>
          <w:p w14:paraId="2845194E"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szCs w:val="20"/>
                <w:lang w:val="fr-FR" w:eastAsia="fr-FR"/>
              </w:rPr>
              <w:t>Azodicarbonamide</w:t>
            </w:r>
            <w:proofErr w:type="spellEnd"/>
            <w:r w:rsidRPr="00AA40E6">
              <w:rPr>
                <w:rFonts w:eastAsia="SimSun"/>
                <w:b/>
                <w:bCs/>
                <w:sz w:val="20"/>
                <w:szCs w:val="20"/>
                <w:vertAlign w:val="superscript"/>
                <w:lang w:val="fr-FR" w:eastAsia="fr-FR"/>
              </w:rPr>
              <w:t> c</w:t>
            </w:r>
          </w:p>
        </w:tc>
        <w:tc>
          <w:tcPr>
            <w:tcW w:w="717" w:type="pct"/>
            <w:tcBorders>
              <w:top w:val="single" w:sz="8" w:space="0" w:color="auto"/>
              <w:left w:val="nil"/>
              <w:bottom w:val="nil"/>
              <w:right w:val="nil"/>
            </w:tcBorders>
            <w:hideMark/>
          </w:tcPr>
          <w:p w14:paraId="7DE8A05F"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0,28</w:t>
            </w:r>
          </w:p>
        </w:tc>
        <w:tc>
          <w:tcPr>
            <w:tcW w:w="841" w:type="pct"/>
            <w:tcBorders>
              <w:top w:val="single" w:sz="8" w:space="0" w:color="auto"/>
              <w:left w:val="nil"/>
              <w:bottom w:val="nil"/>
              <w:right w:val="nil"/>
            </w:tcBorders>
            <w:hideMark/>
          </w:tcPr>
          <w:p w14:paraId="605D50F3"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74</w:t>
            </w:r>
          </w:p>
        </w:tc>
        <w:tc>
          <w:tcPr>
            <w:tcW w:w="765" w:type="pct"/>
            <w:tcBorders>
              <w:top w:val="single" w:sz="8" w:space="0" w:color="auto"/>
              <w:left w:val="nil"/>
              <w:bottom w:val="nil"/>
              <w:right w:val="nil"/>
            </w:tcBorders>
            <w:hideMark/>
          </w:tcPr>
          <w:p w14:paraId="76F75E9A"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&gt; 75</w:t>
            </w:r>
          </w:p>
        </w:tc>
      </w:tr>
      <w:tr w:rsidR="00941EF3" w14:paraId="13131731" w14:textId="77777777" w:rsidTr="00941EF3">
        <w:trPr>
          <w:cantSplit/>
        </w:trPr>
        <w:tc>
          <w:tcPr>
            <w:tcW w:w="2677" w:type="pct"/>
            <w:hideMark/>
          </w:tcPr>
          <w:p w14:paraId="7E03A745"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lang w:val="fr-FR" w:eastAsia="fr-FR"/>
              </w:rPr>
              <w:t>Azodicarbonamide</w:t>
            </w:r>
            <w:proofErr w:type="spellEnd"/>
            <w:r w:rsidRPr="00AA40E6">
              <w:rPr>
                <w:rFonts w:eastAsia="SimSun"/>
                <w:sz w:val="20"/>
                <w:lang w:val="fr-FR" w:eastAsia="fr-FR"/>
              </w:rPr>
              <w:t xml:space="preserve"> à 90 %, avec 10 % d'activateur</w:t>
            </w:r>
            <w:r w:rsidRPr="00AA40E6">
              <w:rPr>
                <w:rFonts w:eastAsia="SimSun"/>
                <w:b/>
                <w:bCs/>
                <w:sz w:val="20"/>
                <w:szCs w:val="20"/>
                <w:vertAlign w:val="superscript"/>
                <w:lang w:val="fr-FR" w:eastAsia="fr-FR"/>
              </w:rPr>
              <w:t xml:space="preserve">  c</w:t>
            </w:r>
          </w:p>
        </w:tc>
        <w:tc>
          <w:tcPr>
            <w:tcW w:w="717" w:type="pct"/>
            <w:hideMark/>
          </w:tcPr>
          <w:p w14:paraId="6D34EC50"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0,21</w:t>
            </w:r>
          </w:p>
        </w:tc>
        <w:tc>
          <w:tcPr>
            <w:tcW w:w="841" w:type="pct"/>
            <w:hideMark/>
          </w:tcPr>
          <w:p w14:paraId="225AA8C8"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70</w:t>
            </w:r>
          </w:p>
        </w:tc>
        <w:tc>
          <w:tcPr>
            <w:tcW w:w="765" w:type="pct"/>
            <w:hideMark/>
          </w:tcPr>
          <w:p w14:paraId="0B09D3E8"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55</w:t>
            </w:r>
          </w:p>
        </w:tc>
      </w:tr>
      <w:tr w:rsidR="00941EF3" w14:paraId="2A29810F" w14:textId="77777777" w:rsidTr="00941EF3">
        <w:trPr>
          <w:cantSplit/>
        </w:trPr>
        <w:tc>
          <w:tcPr>
            <w:tcW w:w="2677" w:type="pct"/>
            <w:hideMark/>
          </w:tcPr>
          <w:p w14:paraId="5E6D7735" w14:textId="77777777" w:rsidR="00941EF3" w:rsidRPr="00AA40E6" w:rsidRDefault="00941EF3">
            <w:pPr>
              <w:numPr>
                <w:ilvl w:val="12"/>
                <w:numId w:val="0"/>
              </w:numPr>
              <w:spacing w:before="40" w:after="40"/>
              <w:rPr>
                <w:rFonts w:eastAsia="SimSun"/>
                <w:sz w:val="20"/>
                <w:szCs w:val="20"/>
                <w:lang w:val="fr-FR" w:eastAsia="fr-FR"/>
              </w:rPr>
            </w:pPr>
            <w:r w:rsidRPr="00AA40E6">
              <w:rPr>
                <w:rFonts w:eastAsia="SimSun"/>
                <w:sz w:val="20"/>
                <w:lang w:val="fr-FR" w:eastAsia="fr-FR"/>
              </w:rPr>
              <w:t>Azo-2,2' bis (</w:t>
            </w:r>
            <w:proofErr w:type="spellStart"/>
            <w:r w:rsidRPr="00AA40E6">
              <w:rPr>
                <w:rFonts w:eastAsia="SimSun"/>
                <w:sz w:val="20"/>
                <w:lang w:val="fr-FR" w:eastAsia="fr-FR"/>
              </w:rPr>
              <w:t>isobutyronitrile</w:t>
            </w:r>
            <w:proofErr w:type="spellEnd"/>
            <w:r w:rsidRPr="00AA40E6">
              <w:rPr>
                <w:rFonts w:eastAsia="SimSun"/>
                <w:sz w:val="20"/>
                <w:lang w:val="fr-FR" w:eastAsia="fr-FR"/>
              </w:rPr>
              <w:t>)</w:t>
            </w:r>
          </w:p>
        </w:tc>
        <w:tc>
          <w:tcPr>
            <w:tcW w:w="717" w:type="pct"/>
            <w:hideMark/>
          </w:tcPr>
          <w:p w14:paraId="2883263D" w14:textId="2174E7D0"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0,28</w:t>
            </w:r>
          </w:p>
        </w:tc>
        <w:tc>
          <w:tcPr>
            <w:tcW w:w="841" w:type="pct"/>
            <w:hideMark/>
          </w:tcPr>
          <w:p w14:paraId="4A5EC0E9" w14:textId="1CEDE40A"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27</w:t>
            </w:r>
          </w:p>
        </w:tc>
        <w:tc>
          <w:tcPr>
            <w:tcW w:w="765" w:type="pct"/>
            <w:hideMark/>
          </w:tcPr>
          <w:p w14:paraId="301B80D0"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50</w:t>
            </w:r>
          </w:p>
        </w:tc>
      </w:tr>
      <w:tr w:rsidR="00941EF3" w14:paraId="4F9AF0C9" w14:textId="77777777" w:rsidTr="00941EF3">
        <w:trPr>
          <w:cantSplit/>
        </w:trPr>
        <w:tc>
          <w:tcPr>
            <w:tcW w:w="2677" w:type="pct"/>
            <w:hideMark/>
          </w:tcPr>
          <w:p w14:paraId="1548D998"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Benzènedisulfonhydrazide-1,3, à 50 %</w:t>
            </w:r>
            <w:r w:rsidRPr="00AA40E6">
              <w:rPr>
                <w:rFonts w:eastAsia="SimSun"/>
                <w:b/>
                <w:bCs/>
                <w:sz w:val="20"/>
                <w:szCs w:val="20"/>
                <w:vertAlign w:val="superscript"/>
                <w:lang w:val="fr-FR" w:eastAsia="fr-FR"/>
              </w:rPr>
              <w:t xml:space="preserve">  c</w:t>
            </w:r>
          </w:p>
        </w:tc>
        <w:tc>
          <w:tcPr>
            <w:tcW w:w="717" w:type="pct"/>
            <w:hideMark/>
          </w:tcPr>
          <w:p w14:paraId="26D05817"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0,52</w:t>
            </w:r>
          </w:p>
        </w:tc>
        <w:tc>
          <w:tcPr>
            <w:tcW w:w="841" w:type="pct"/>
            <w:hideMark/>
          </w:tcPr>
          <w:p w14:paraId="21D022DB"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81</w:t>
            </w:r>
          </w:p>
        </w:tc>
        <w:tc>
          <w:tcPr>
            <w:tcW w:w="765" w:type="pct"/>
            <w:hideMark/>
          </w:tcPr>
          <w:p w14:paraId="48D5DD63"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70</w:t>
            </w:r>
          </w:p>
        </w:tc>
      </w:tr>
      <w:tr w:rsidR="00941EF3" w14:paraId="05D19CBB" w14:textId="77777777" w:rsidTr="00941EF3">
        <w:trPr>
          <w:cantSplit/>
        </w:trPr>
        <w:tc>
          <w:tcPr>
            <w:tcW w:w="2677" w:type="pct"/>
            <w:hideMark/>
          </w:tcPr>
          <w:p w14:paraId="06143659"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lang w:val="fr-FR" w:eastAsia="fr-FR"/>
              </w:rPr>
              <w:t>Hydroperoxyde</w:t>
            </w:r>
            <w:proofErr w:type="spellEnd"/>
            <w:r w:rsidRPr="00AA40E6">
              <w:rPr>
                <w:rFonts w:eastAsia="SimSun"/>
                <w:sz w:val="20"/>
                <w:lang w:val="fr-FR" w:eastAsia="fr-FR"/>
              </w:rPr>
              <w:t xml:space="preserve"> de </w:t>
            </w:r>
            <w:proofErr w:type="spellStart"/>
            <w:r w:rsidRPr="00AA40E6">
              <w:rPr>
                <w:rFonts w:eastAsia="SimSun"/>
                <w:sz w:val="20"/>
                <w:lang w:val="fr-FR" w:eastAsia="fr-FR"/>
              </w:rPr>
              <w:t>tert</w:t>
            </w:r>
            <w:proofErr w:type="spellEnd"/>
            <w:r w:rsidRPr="00AA40E6">
              <w:rPr>
                <w:rFonts w:eastAsia="SimSun"/>
                <w:sz w:val="20"/>
                <w:lang w:val="fr-FR" w:eastAsia="fr-FR"/>
              </w:rPr>
              <w:t>-butyle, à 80 % avec 12 % de peroxyde de di-</w:t>
            </w:r>
            <w:proofErr w:type="spellStart"/>
            <w:r w:rsidRPr="00AA40E6">
              <w:rPr>
                <w:rFonts w:eastAsia="SimSun"/>
                <w:sz w:val="20"/>
                <w:lang w:val="fr-FR" w:eastAsia="fr-FR"/>
              </w:rPr>
              <w:t>tert</w:t>
            </w:r>
            <w:proofErr w:type="spellEnd"/>
            <w:r w:rsidRPr="00AA40E6">
              <w:rPr>
                <w:rFonts w:eastAsia="SimSun"/>
                <w:sz w:val="20"/>
                <w:lang w:val="fr-FR" w:eastAsia="fr-FR"/>
              </w:rPr>
              <w:t>-butyle</w:t>
            </w:r>
            <w:r w:rsidRPr="00AA40E6">
              <w:rPr>
                <w:rFonts w:eastAsia="SimSun"/>
                <w:b/>
                <w:bCs/>
                <w:sz w:val="20"/>
                <w:szCs w:val="20"/>
                <w:vertAlign w:val="superscript"/>
                <w:lang w:val="fr-FR" w:eastAsia="fr-FR"/>
              </w:rPr>
              <w:t xml:space="preserve">  c</w:t>
            </w:r>
          </w:p>
        </w:tc>
        <w:tc>
          <w:tcPr>
            <w:tcW w:w="717" w:type="pct"/>
            <w:hideMark/>
          </w:tcPr>
          <w:p w14:paraId="5075BA50"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0,30</w:t>
            </w:r>
          </w:p>
        </w:tc>
        <w:tc>
          <w:tcPr>
            <w:tcW w:w="841" w:type="pct"/>
            <w:hideMark/>
          </w:tcPr>
          <w:p w14:paraId="4F7981ED"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72</w:t>
            </w:r>
          </w:p>
        </w:tc>
        <w:tc>
          <w:tcPr>
            <w:tcW w:w="765" w:type="pct"/>
            <w:hideMark/>
          </w:tcPr>
          <w:p w14:paraId="037A4C66"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100 </w:t>
            </w:r>
            <w:r w:rsidRPr="00AA40E6">
              <w:rPr>
                <w:rFonts w:eastAsia="SimSun"/>
                <w:b/>
                <w:bCs/>
                <w:sz w:val="20"/>
                <w:szCs w:val="20"/>
                <w:vertAlign w:val="superscript"/>
                <w:lang w:val="fr-FR" w:eastAsia="fr-FR"/>
              </w:rPr>
              <w:t>a</w:t>
            </w:r>
          </w:p>
        </w:tc>
      </w:tr>
      <w:tr w:rsidR="00941EF3" w14:paraId="3738ADAD" w14:textId="77777777" w:rsidTr="00941EF3">
        <w:trPr>
          <w:cantSplit/>
        </w:trPr>
        <w:tc>
          <w:tcPr>
            <w:tcW w:w="2677" w:type="pct"/>
            <w:hideMark/>
          </w:tcPr>
          <w:p w14:paraId="557663D6"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lang w:val="fr-FR" w:eastAsia="fr-FR"/>
              </w:rPr>
              <w:t>Peroxynéodécanoate</w:t>
            </w:r>
            <w:proofErr w:type="spellEnd"/>
            <w:r w:rsidRPr="00AA40E6">
              <w:rPr>
                <w:rFonts w:eastAsia="SimSun"/>
                <w:sz w:val="20"/>
                <w:lang w:val="fr-FR" w:eastAsia="fr-FR"/>
              </w:rPr>
              <w:t xml:space="preserve"> de </w:t>
            </w:r>
            <w:proofErr w:type="spellStart"/>
            <w:r w:rsidRPr="00AA40E6">
              <w:rPr>
                <w:rFonts w:eastAsia="SimSun"/>
                <w:sz w:val="20"/>
                <w:lang w:val="fr-FR" w:eastAsia="fr-FR"/>
              </w:rPr>
              <w:t>tert</w:t>
            </w:r>
            <w:proofErr w:type="spellEnd"/>
            <w:r w:rsidRPr="00AA40E6">
              <w:rPr>
                <w:rFonts w:eastAsia="SimSun"/>
                <w:sz w:val="20"/>
                <w:lang w:val="fr-FR" w:eastAsia="fr-FR"/>
              </w:rPr>
              <w:t>-butyle, à 40 %</w:t>
            </w:r>
            <w:r w:rsidRPr="00AA40E6">
              <w:rPr>
                <w:rFonts w:eastAsia="SimSun"/>
                <w:b/>
                <w:bCs/>
                <w:sz w:val="20"/>
                <w:szCs w:val="20"/>
                <w:vertAlign w:val="superscript"/>
                <w:lang w:val="fr-FR" w:eastAsia="fr-FR"/>
              </w:rPr>
              <w:t xml:space="preserve">  c</w:t>
            </w:r>
          </w:p>
        </w:tc>
        <w:tc>
          <w:tcPr>
            <w:tcW w:w="717" w:type="pct"/>
            <w:hideMark/>
          </w:tcPr>
          <w:p w14:paraId="39E0E188"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0,42</w:t>
            </w:r>
          </w:p>
        </w:tc>
        <w:tc>
          <w:tcPr>
            <w:tcW w:w="841" w:type="pct"/>
            <w:hideMark/>
          </w:tcPr>
          <w:p w14:paraId="0339019E"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65</w:t>
            </w:r>
          </w:p>
        </w:tc>
        <w:tc>
          <w:tcPr>
            <w:tcW w:w="765" w:type="pct"/>
            <w:hideMark/>
          </w:tcPr>
          <w:p w14:paraId="3CFFAA65"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25</w:t>
            </w:r>
          </w:p>
        </w:tc>
      </w:tr>
      <w:tr w:rsidR="00941EF3" w14:paraId="024770FD" w14:textId="77777777" w:rsidTr="00941EF3">
        <w:trPr>
          <w:cantSplit/>
        </w:trPr>
        <w:tc>
          <w:tcPr>
            <w:tcW w:w="2677" w:type="pct"/>
            <w:hideMark/>
          </w:tcPr>
          <w:p w14:paraId="146B8D2F"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 xml:space="preserve">Triméthyl-3,5,5 </w:t>
            </w:r>
            <w:proofErr w:type="spellStart"/>
            <w:r w:rsidRPr="00AA40E6">
              <w:rPr>
                <w:rFonts w:eastAsia="SimSun"/>
                <w:sz w:val="20"/>
                <w:lang w:val="fr-FR" w:eastAsia="fr-FR"/>
              </w:rPr>
              <w:t>peroxyhexanoate</w:t>
            </w:r>
            <w:proofErr w:type="spellEnd"/>
            <w:r w:rsidRPr="00AA40E6">
              <w:rPr>
                <w:rFonts w:eastAsia="SimSun"/>
                <w:sz w:val="20"/>
                <w:lang w:val="fr-FR" w:eastAsia="fr-FR"/>
              </w:rPr>
              <w:t xml:space="preserve"> de </w:t>
            </w:r>
            <w:proofErr w:type="spellStart"/>
            <w:r w:rsidRPr="00AA40E6">
              <w:rPr>
                <w:rFonts w:eastAsia="SimSun"/>
                <w:sz w:val="20"/>
                <w:lang w:val="fr-FR" w:eastAsia="fr-FR"/>
              </w:rPr>
              <w:t>tert</w:t>
            </w:r>
            <w:proofErr w:type="spellEnd"/>
            <w:r w:rsidRPr="00AA40E6">
              <w:rPr>
                <w:rFonts w:eastAsia="SimSun"/>
                <w:sz w:val="20"/>
                <w:lang w:val="fr-FR" w:eastAsia="fr-FR"/>
              </w:rPr>
              <w:t>-butyle</w:t>
            </w:r>
            <w:r w:rsidRPr="00AA40E6">
              <w:rPr>
                <w:rFonts w:eastAsia="SimSun"/>
                <w:b/>
                <w:bCs/>
                <w:sz w:val="20"/>
                <w:szCs w:val="20"/>
                <w:vertAlign w:val="superscript"/>
                <w:lang w:val="fr-FR" w:eastAsia="fr-FR"/>
              </w:rPr>
              <w:t xml:space="preserve">  c</w:t>
            </w:r>
          </w:p>
        </w:tc>
        <w:tc>
          <w:tcPr>
            <w:tcW w:w="717" w:type="pct"/>
            <w:hideMark/>
          </w:tcPr>
          <w:p w14:paraId="7D13F48D"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0,38</w:t>
            </w:r>
          </w:p>
        </w:tc>
        <w:tc>
          <w:tcPr>
            <w:tcW w:w="841" w:type="pct"/>
            <w:hideMark/>
          </w:tcPr>
          <w:p w14:paraId="0199B312"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79</w:t>
            </w:r>
          </w:p>
        </w:tc>
        <w:tc>
          <w:tcPr>
            <w:tcW w:w="765" w:type="pct"/>
            <w:hideMark/>
          </w:tcPr>
          <w:p w14:paraId="0077781C"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60</w:t>
            </w:r>
          </w:p>
        </w:tc>
      </w:tr>
      <w:tr w:rsidR="00941EF3" w14:paraId="1079276F" w14:textId="77777777" w:rsidTr="00941EF3">
        <w:trPr>
          <w:cantSplit/>
        </w:trPr>
        <w:tc>
          <w:tcPr>
            <w:tcW w:w="2677" w:type="pct"/>
            <w:hideMark/>
          </w:tcPr>
          <w:p w14:paraId="09C65C56"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 xml:space="preserve">Peroxyde de </w:t>
            </w:r>
            <w:proofErr w:type="spellStart"/>
            <w:r w:rsidRPr="00AA40E6">
              <w:rPr>
                <w:rFonts w:eastAsia="SimSun"/>
                <w:sz w:val="20"/>
                <w:lang w:val="fr-FR" w:eastAsia="fr-FR"/>
              </w:rPr>
              <w:t>dibenzoyle</w:t>
            </w:r>
            <w:proofErr w:type="spellEnd"/>
            <w:r w:rsidRPr="00AA40E6">
              <w:rPr>
                <w:rFonts w:eastAsia="SimSun"/>
                <w:sz w:val="20"/>
                <w:lang w:val="fr-FR" w:eastAsia="fr-FR"/>
              </w:rPr>
              <w:t>, à 50 %</w:t>
            </w:r>
            <w:r w:rsidRPr="00AA40E6">
              <w:rPr>
                <w:rFonts w:eastAsia="SimSun"/>
                <w:b/>
                <w:bCs/>
                <w:sz w:val="20"/>
                <w:szCs w:val="20"/>
                <w:vertAlign w:val="superscript"/>
                <w:lang w:val="fr-FR" w:eastAsia="fr-FR"/>
              </w:rPr>
              <w:t xml:space="preserve">  c</w:t>
            </w:r>
          </w:p>
        </w:tc>
        <w:tc>
          <w:tcPr>
            <w:tcW w:w="717" w:type="pct"/>
            <w:hideMark/>
          </w:tcPr>
          <w:p w14:paraId="19D0FFD8"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0,25</w:t>
            </w:r>
          </w:p>
        </w:tc>
        <w:tc>
          <w:tcPr>
            <w:tcW w:w="841" w:type="pct"/>
            <w:hideMark/>
          </w:tcPr>
          <w:p w14:paraId="01F3CF7C"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91</w:t>
            </w:r>
          </w:p>
        </w:tc>
        <w:tc>
          <w:tcPr>
            <w:tcW w:w="765" w:type="pct"/>
            <w:hideMark/>
          </w:tcPr>
          <w:p w14:paraId="016B67C8"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60</w:t>
            </w:r>
          </w:p>
        </w:tc>
      </w:tr>
      <w:tr w:rsidR="00941EF3" w14:paraId="58DB5E5F" w14:textId="77777777" w:rsidTr="00941EF3">
        <w:trPr>
          <w:cantSplit/>
        </w:trPr>
        <w:tc>
          <w:tcPr>
            <w:tcW w:w="2677" w:type="pct"/>
            <w:hideMark/>
          </w:tcPr>
          <w:p w14:paraId="12EA8FE5"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lang w:val="fr-FR" w:eastAsia="fr-FR"/>
              </w:rPr>
              <w:t>Peroxydicarbonate</w:t>
            </w:r>
            <w:proofErr w:type="spellEnd"/>
            <w:r w:rsidRPr="00AA40E6">
              <w:rPr>
                <w:rFonts w:eastAsia="SimSun"/>
                <w:sz w:val="20"/>
                <w:lang w:val="fr-FR" w:eastAsia="fr-FR"/>
              </w:rPr>
              <w:t xml:space="preserve"> de bis (tert-butyl-4 </w:t>
            </w:r>
            <w:proofErr w:type="spellStart"/>
            <w:r w:rsidRPr="00AA40E6">
              <w:rPr>
                <w:rFonts w:eastAsia="SimSun"/>
                <w:sz w:val="20"/>
                <w:lang w:val="fr-FR" w:eastAsia="fr-FR"/>
              </w:rPr>
              <w:t>cyclohexyle</w:t>
            </w:r>
            <w:proofErr w:type="spellEnd"/>
            <w:r w:rsidRPr="00AA40E6">
              <w:rPr>
                <w:rFonts w:eastAsia="SimSun"/>
                <w:sz w:val="20"/>
                <w:lang w:val="fr-FR" w:eastAsia="fr-FR"/>
              </w:rPr>
              <w:t>)</w:t>
            </w:r>
            <w:r w:rsidRPr="00AA40E6">
              <w:rPr>
                <w:rFonts w:eastAsia="SimSun"/>
                <w:b/>
                <w:bCs/>
                <w:sz w:val="20"/>
                <w:szCs w:val="20"/>
                <w:vertAlign w:val="superscript"/>
                <w:lang w:val="fr-FR" w:eastAsia="fr-FR"/>
              </w:rPr>
              <w:t xml:space="preserve">  c</w:t>
            </w:r>
          </w:p>
        </w:tc>
        <w:tc>
          <w:tcPr>
            <w:tcW w:w="717" w:type="pct"/>
            <w:hideMark/>
          </w:tcPr>
          <w:p w14:paraId="4B9F0699"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0,19</w:t>
            </w:r>
          </w:p>
        </w:tc>
        <w:tc>
          <w:tcPr>
            <w:tcW w:w="841" w:type="pct"/>
            <w:hideMark/>
          </w:tcPr>
          <w:p w14:paraId="2ECCEB07"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79</w:t>
            </w:r>
          </w:p>
        </w:tc>
        <w:tc>
          <w:tcPr>
            <w:tcW w:w="765" w:type="pct"/>
            <w:hideMark/>
          </w:tcPr>
          <w:p w14:paraId="06612BD6"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45</w:t>
            </w:r>
          </w:p>
        </w:tc>
      </w:tr>
      <w:tr w:rsidR="00941EF3" w14:paraId="733EE409" w14:textId="77777777" w:rsidTr="00941EF3">
        <w:trPr>
          <w:cantSplit/>
        </w:trPr>
        <w:tc>
          <w:tcPr>
            <w:tcW w:w="2677" w:type="pct"/>
            <w:hideMark/>
          </w:tcPr>
          <w:p w14:paraId="72C0541A"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Bis (</w:t>
            </w:r>
            <w:proofErr w:type="spellStart"/>
            <w:r w:rsidRPr="00AA40E6">
              <w:rPr>
                <w:rFonts w:eastAsia="SimSun"/>
                <w:sz w:val="20"/>
                <w:lang w:val="fr-FR" w:eastAsia="fr-FR"/>
              </w:rPr>
              <w:t>tert-butylperoxy</w:t>
            </w:r>
            <w:proofErr w:type="spellEnd"/>
            <w:r w:rsidRPr="00AA40E6">
              <w:rPr>
                <w:rFonts w:eastAsia="SimSun"/>
                <w:sz w:val="20"/>
                <w:lang w:val="fr-FR" w:eastAsia="fr-FR"/>
              </w:rPr>
              <w:t>)-2,2 butane à 50 %</w:t>
            </w:r>
            <w:r w:rsidRPr="00AA40E6">
              <w:rPr>
                <w:rFonts w:eastAsia="SimSun"/>
                <w:b/>
                <w:bCs/>
                <w:sz w:val="20"/>
                <w:szCs w:val="20"/>
                <w:vertAlign w:val="superscript"/>
                <w:lang w:val="fr-FR" w:eastAsia="fr-FR"/>
              </w:rPr>
              <w:t xml:space="preserve">  c</w:t>
            </w:r>
          </w:p>
        </w:tc>
        <w:tc>
          <w:tcPr>
            <w:tcW w:w="717" w:type="pct"/>
            <w:hideMark/>
          </w:tcPr>
          <w:p w14:paraId="5767515F"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0,31</w:t>
            </w:r>
          </w:p>
        </w:tc>
        <w:tc>
          <w:tcPr>
            <w:tcW w:w="841" w:type="pct"/>
            <w:hideMark/>
          </w:tcPr>
          <w:p w14:paraId="31A980F4"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88</w:t>
            </w:r>
          </w:p>
        </w:tc>
        <w:tc>
          <w:tcPr>
            <w:tcW w:w="765" w:type="pct"/>
            <w:hideMark/>
          </w:tcPr>
          <w:p w14:paraId="4EC4E981"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80</w:t>
            </w:r>
          </w:p>
        </w:tc>
      </w:tr>
      <w:tr w:rsidR="00941EF3" w14:paraId="716B1C3F" w14:textId="77777777" w:rsidTr="00941EF3">
        <w:trPr>
          <w:cantSplit/>
        </w:trPr>
        <w:tc>
          <w:tcPr>
            <w:tcW w:w="2677" w:type="pct"/>
            <w:hideMark/>
          </w:tcPr>
          <w:p w14:paraId="4EBF15DE"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lang w:val="fr-FR" w:eastAsia="fr-FR"/>
              </w:rPr>
              <w:t>Peroxydicarbonate</w:t>
            </w:r>
            <w:proofErr w:type="spellEnd"/>
            <w:r w:rsidRPr="00AA40E6">
              <w:rPr>
                <w:rFonts w:eastAsia="SimSun"/>
                <w:sz w:val="20"/>
                <w:lang w:val="fr-FR" w:eastAsia="fr-FR"/>
              </w:rPr>
              <w:t xml:space="preserve"> de bis (éthyl-2 </w:t>
            </w:r>
            <w:proofErr w:type="spellStart"/>
            <w:r w:rsidRPr="00AA40E6">
              <w:rPr>
                <w:rFonts w:eastAsia="SimSun"/>
                <w:sz w:val="20"/>
                <w:lang w:val="fr-FR" w:eastAsia="fr-FR"/>
              </w:rPr>
              <w:t>hexyle</w:t>
            </w:r>
            <w:proofErr w:type="spellEnd"/>
            <w:r w:rsidRPr="00AA40E6">
              <w:rPr>
                <w:rFonts w:eastAsia="SimSun"/>
                <w:sz w:val="20"/>
                <w:lang w:val="fr-FR" w:eastAsia="fr-FR"/>
              </w:rPr>
              <w:t>)</w:t>
            </w:r>
            <w:r w:rsidRPr="00AA40E6">
              <w:rPr>
                <w:rFonts w:eastAsia="SimSun"/>
                <w:b/>
                <w:bCs/>
                <w:sz w:val="20"/>
                <w:szCs w:val="20"/>
                <w:vertAlign w:val="superscript"/>
                <w:lang w:val="fr-FR" w:eastAsia="fr-FR"/>
              </w:rPr>
              <w:t xml:space="preserve">  c</w:t>
            </w:r>
          </w:p>
        </w:tc>
        <w:tc>
          <w:tcPr>
            <w:tcW w:w="717" w:type="pct"/>
            <w:hideMark/>
          </w:tcPr>
          <w:p w14:paraId="13B6D55F"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0,39</w:t>
            </w:r>
          </w:p>
        </w:tc>
        <w:tc>
          <w:tcPr>
            <w:tcW w:w="841" w:type="pct"/>
            <w:hideMark/>
          </w:tcPr>
          <w:p w14:paraId="68244A51"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64</w:t>
            </w:r>
          </w:p>
        </w:tc>
        <w:tc>
          <w:tcPr>
            <w:tcW w:w="765" w:type="pct"/>
            <w:hideMark/>
          </w:tcPr>
          <w:p w14:paraId="5343F717"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w:t>
            </w:r>
          </w:p>
        </w:tc>
      </w:tr>
      <w:tr w:rsidR="00941EF3" w14:paraId="08421736" w14:textId="77777777" w:rsidTr="00941EF3">
        <w:trPr>
          <w:cantSplit/>
        </w:trPr>
        <w:tc>
          <w:tcPr>
            <w:tcW w:w="2677" w:type="pct"/>
            <w:hideMark/>
          </w:tcPr>
          <w:p w14:paraId="3527967F"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 xml:space="preserve">Chlorure double de zinc et de diéthoxy-2,5 morpholino-4-benzènediazonium </w:t>
            </w:r>
            <w:r w:rsidRPr="00AA40E6">
              <w:rPr>
                <w:rFonts w:eastAsia="SimSun"/>
                <w:sz w:val="20"/>
                <w:szCs w:val="20"/>
                <w:lang w:val="fr-FR" w:eastAsia="fr-FR"/>
              </w:rPr>
              <w:t>(66 %)</w:t>
            </w:r>
            <w:r w:rsidRPr="00AA40E6">
              <w:rPr>
                <w:rFonts w:eastAsia="SimSun"/>
                <w:b/>
                <w:bCs/>
                <w:sz w:val="20"/>
                <w:szCs w:val="20"/>
                <w:vertAlign w:val="superscript"/>
                <w:lang w:val="fr-FR" w:eastAsia="fr-FR"/>
              </w:rPr>
              <w:t xml:space="preserve">  c</w:t>
            </w:r>
          </w:p>
        </w:tc>
        <w:tc>
          <w:tcPr>
            <w:tcW w:w="717" w:type="pct"/>
            <w:hideMark/>
          </w:tcPr>
          <w:p w14:paraId="4AC5587C"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0,25</w:t>
            </w:r>
          </w:p>
        </w:tc>
        <w:tc>
          <w:tcPr>
            <w:tcW w:w="841" w:type="pct"/>
            <w:hideMark/>
          </w:tcPr>
          <w:p w14:paraId="0FE0586E"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58</w:t>
            </w:r>
          </w:p>
        </w:tc>
        <w:tc>
          <w:tcPr>
            <w:tcW w:w="765" w:type="pct"/>
            <w:hideMark/>
          </w:tcPr>
          <w:p w14:paraId="2CAD1D19"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45</w:t>
            </w:r>
          </w:p>
        </w:tc>
      </w:tr>
      <w:tr w:rsidR="00941EF3" w14:paraId="1CCA2CBE" w14:textId="77777777" w:rsidTr="00941EF3">
        <w:trPr>
          <w:cantSplit/>
        </w:trPr>
        <w:tc>
          <w:tcPr>
            <w:tcW w:w="2677" w:type="pct"/>
            <w:hideMark/>
          </w:tcPr>
          <w:p w14:paraId="6A811EE6" w14:textId="77777777" w:rsidR="00941EF3" w:rsidRPr="00AA40E6" w:rsidRDefault="00941EF3">
            <w:pPr>
              <w:numPr>
                <w:ilvl w:val="12"/>
                <w:numId w:val="0"/>
              </w:numPr>
              <w:spacing w:before="40" w:after="40"/>
              <w:rPr>
                <w:rFonts w:eastAsia="SimSun"/>
                <w:sz w:val="24"/>
                <w:lang w:val="fr-FR" w:eastAsia="fr-FR"/>
              </w:rPr>
            </w:pPr>
            <w:proofErr w:type="spellStart"/>
            <w:r w:rsidRPr="00AA40E6">
              <w:rPr>
                <w:rFonts w:eastAsia="SimSun"/>
                <w:sz w:val="20"/>
                <w:lang w:val="fr-FR" w:eastAsia="fr-FR"/>
              </w:rPr>
              <w:t>Peroxydicarbonate</w:t>
            </w:r>
            <w:proofErr w:type="spellEnd"/>
            <w:r w:rsidRPr="00AA40E6">
              <w:rPr>
                <w:rFonts w:eastAsia="SimSun"/>
                <w:sz w:val="20"/>
                <w:lang w:val="fr-FR" w:eastAsia="fr-FR"/>
              </w:rPr>
              <w:t xml:space="preserve"> de </w:t>
            </w:r>
            <w:proofErr w:type="spellStart"/>
            <w:r w:rsidRPr="00AA40E6">
              <w:rPr>
                <w:rFonts w:eastAsia="SimSun"/>
                <w:sz w:val="20"/>
                <w:lang w:val="fr-FR" w:eastAsia="fr-FR"/>
              </w:rPr>
              <w:t>diisotridécyle</w:t>
            </w:r>
            <w:proofErr w:type="spellEnd"/>
            <w:r w:rsidRPr="00AA40E6">
              <w:rPr>
                <w:rFonts w:eastAsia="SimSun"/>
                <w:b/>
                <w:bCs/>
                <w:sz w:val="20"/>
                <w:szCs w:val="20"/>
                <w:vertAlign w:val="superscript"/>
                <w:lang w:val="fr-FR" w:eastAsia="fr-FR"/>
              </w:rPr>
              <w:t xml:space="preserve">  c</w:t>
            </w:r>
          </w:p>
        </w:tc>
        <w:tc>
          <w:tcPr>
            <w:tcW w:w="717" w:type="pct"/>
            <w:hideMark/>
          </w:tcPr>
          <w:p w14:paraId="768B44CE"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0,38</w:t>
            </w:r>
          </w:p>
        </w:tc>
        <w:tc>
          <w:tcPr>
            <w:tcW w:w="841" w:type="pct"/>
            <w:hideMark/>
          </w:tcPr>
          <w:p w14:paraId="57DB7836"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80</w:t>
            </w:r>
          </w:p>
        </w:tc>
        <w:tc>
          <w:tcPr>
            <w:tcW w:w="765" w:type="pct"/>
            <w:hideMark/>
          </w:tcPr>
          <w:p w14:paraId="199FA6AE"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10</w:t>
            </w:r>
          </w:p>
        </w:tc>
      </w:tr>
      <w:tr w:rsidR="00941EF3" w14:paraId="737C40E8" w14:textId="77777777" w:rsidTr="00941EF3">
        <w:trPr>
          <w:cantSplit/>
        </w:trPr>
        <w:tc>
          <w:tcPr>
            <w:tcW w:w="2677" w:type="pct"/>
            <w:hideMark/>
          </w:tcPr>
          <w:p w14:paraId="13232C19" w14:textId="77777777" w:rsidR="00941EF3" w:rsidRPr="00AA40E6" w:rsidRDefault="00941EF3">
            <w:pPr>
              <w:numPr>
                <w:ilvl w:val="12"/>
                <w:numId w:val="0"/>
              </w:numPr>
              <w:spacing w:before="40" w:after="40"/>
              <w:rPr>
                <w:rFonts w:eastAsia="SimSun"/>
                <w:sz w:val="24"/>
                <w:lang w:val="fr-FR" w:eastAsia="fr-FR"/>
              </w:rPr>
            </w:pPr>
            <w:r w:rsidRPr="00AA40E6">
              <w:rPr>
                <w:rFonts w:eastAsia="SimSun"/>
                <w:sz w:val="20"/>
                <w:lang w:val="fr-FR" w:eastAsia="fr-FR"/>
              </w:rPr>
              <w:t xml:space="preserve">Acide </w:t>
            </w:r>
            <w:proofErr w:type="spellStart"/>
            <w:r w:rsidRPr="00AA40E6">
              <w:rPr>
                <w:rFonts w:eastAsia="SimSun"/>
                <w:sz w:val="20"/>
                <w:lang w:val="fr-FR" w:eastAsia="fr-FR"/>
              </w:rPr>
              <w:t>peroxyacétique</w:t>
            </w:r>
            <w:proofErr w:type="spellEnd"/>
            <w:r w:rsidRPr="00AA40E6">
              <w:rPr>
                <w:rFonts w:eastAsia="SimSun"/>
                <w:sz w:val="20"/>
                <w:lang w:val="fr-FR" w:eastAsia="fr-FR"/>
              </w:rPr>
              <w:t>, à 15 % avec 14 % de peroxyde d'hydrogène (type F)</w:t>
            </w:r>
            <w:r w:rsidRPr="00AA40E6">
              <w:rPr>
                <w:rFonts w:eastAsia="SimSun"/>
                <w:b/>
                <w:bCs/>
                <w:sz w:val="20"/>
                <w:szCs w:val="20"/>
                <w:vertAlign w:val="superscript"/>
                <w:lang w:val="fr-FR" w:eastAsia="fr-FR"/>
              </w:rPr>
              <w:t xml:space="preserve">  c</w:t>
            </w:r>
          </w:p>
        </w:tc>
        <w:tc>
          <w:tcPr>
            <w:tcW w:w="717" w:type="pct"/>
            <w:hideMark/>
          </w:tcPr>
          <w:p w14:paraId="475F81F7"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1,00</w:t>
            </w:r>
          </w:p>
        </w:tc>
        <w:tc>
          <w:tcPr>
            <w:tcW w:w="841" w:type="pct"/>
            <w:hideMark/>
          </w:tcPr>
          <w:p w14:paraId="3609B420"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33</w:t>
            </w:r>
          </w:p>
        </w:tc>
        <w:tc>
          <w:tcPr>
            <w:tcW w:w="765" w:type="pct"/>
            <w:hideMark/>
          </w:tcPr>
          <w:p w14:paraId="2D500FD6" w14:textId="77777777" w:rsidR="00941EF3" w:rsidRPr="00AA40E6" w:rsidRDefault="00941EF3">
            <w:pPr>
              <w:numPr>
                <w:ilvl w:val="12"/>
                <w:numId w:val="0"/>
              </w:numPr>
              <w:spacing w:before="40" w:after="40"/>
              <w:jc w:val="right"/>
              <w:rPr>
                <w:rFonts w:eastAsia="SimSun"/>
                <w:sz w:val="24"/>
                <w:lang w:val="fr-FR" w:eastAsia="fr-FR"/>
              </w:rPr>
            </w:pPr>
            <w:r w:rsidRPr="00AA40E6">
              <w:rPr>
                <w:rFonts w:eastAsia="SimSun"/>
                <w:sz w:val="20"/>
                <w:szCs w:val="20"/>
                <w:lang w:val="fr-FR" w:eastAsia="fr-FR"/>
              </w:rPr>
              <w:t>&gt; 50 </w:t>
            </w:r>
            <w:r w:rsidRPr="00AA40E6">
              <w:rPr>
                <w:rFonts w:eastAsia="SimSun"/>
                <w:b/>
                <w:bCs/>
                <w:sz w:val="20"/>
                <w:szCs w:val="20"/>
                <w:vertAlign w:val="superscript"/>
                <w:lang w:val="fr-FR" w:eastAsia="fr-FR"/>
              </w:rPr>
              <w:t>b</w:t>
            </w:r>
          </w:p>
        </w:tc>
      </w:tr>
      <w:tr w:rsidR="00941EF3" w14:paraId="455BDE9D" w14:textId="77777777" w:rsidTr="00941EF3">
        <w:trPr>
          <w:cantSplit/>
        </w:trPr>
        <w:tc>
          <w:tcPr>
            <w:tcW w:w="2677" w:type="pct"/>
            <w:hideMark/>
          </w:tcPr>
          <w:p w14:paraId="00D2FF05" w14:textId="77777777" w:rsidR="00941EF3" w:rsidRPr="00AA40E6" w:rsidRDefault="00941EF3">
            <w:pPr>
              <w:numPr>
                <w:ilvl w:val="12"/>
                <w:numId w:val="0"/>
              </w:numPr>
              <w:spacing w:before="40" w:after="40"/>
              <w:rPr>
                <w:rFonts w:eastAsia="SimSun"/>
                <w:sz w:val="20"/>
                <w:szCs w:val="22"/>
                <w:lang w:val="fr-FR" w:eastAsia="fr-FR"/>
              </w:rPr>
            </w:pPr>
            <w:r w:rsidRPr="00AA40E6">
              <w:rPr>
                <w:rFonts w:eastAsia="SimSun"/>
                <w:sz w:val="20"/>
                <w:lang w:val="fr-FR" w:eastAsia="fr-FR"/>
              </w:rPr>
              <w:t xml:space="preserve">Peroxyde de </w:t>
            </w:r>
            <w:proofErr w:type="spellStart"/>
            <w:r w:rsidRPr="00AA40E6">
              <w:rPr>
                <w:rFonts w:eastAsia="SimSun"/>
                <w:sz w:val="20"/>
                <w:lang w:val="fr-FR" w:eastAsia="fr-FR"/>
              </w:rPr>
              <w:t>dilauroyle</w:t>
            </w:r>
            <w:proofErr w:type="spellEnd"/>
            <w:r w:rsidRPr="00AA40E6">
              <w:rPr>
                <w:rFonts w:eastAsia="SimSun"/>
                <w:sz w:val="20"/>
                <w:lang w:val="fr-FR" w:eastAsia="fr-FR"/>
              </w:rPr>
              <w:t>, techniquement pur</w:t>
            </w:r>
          </w:p>
        </w:tc>
        <w:tc>
          <w:tcPr>
            <w:tcW w:w="717" w:type="pct"/>
            <w:hideMark/>
          </w:tcPr>
          <w:p w14:paraId="398E044F"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0,16</w:t>
            </w:r>
          </w:p>
        </w:tc>
        <w:tc>
          <w:tcPr>
            <w:tcW w:w="841" w:type="pct"/>
            <w:hideMark/>
          </w:tcPr>
          <w:p w14:paraId="18482BF6"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26</w:t>
            </w:r>
          </w:p>
        </w:tc>
        <w:tc>
          <w:tcPr>
            <w:tcW w:w="765" w:type="pct"/>
            <w:hideMark/>
          </w:tcPr>
          <w:p w14:paraId="23CB3278"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50</w:t>
            </w:r>
          </w:p>
        </w:tc>
      </w:tr>
      <w:tr w:rsidR="00941EF3" w14:paraId="7EDEE3A2" w14:textId="77777777" w:rsidTr="00941EF3">
        <w:trPr>
          <w:cantSplit/>
        </w:trPr>
        <w:tc>
          <w:tcPr>
            <w:tcW w:w="2677" w:type="pct"/>
            <w:hideMark/>
          </w:tcPr>
          <w:p w14:paraId="70780FA3" w14:textId="77777777" w:rsidR="00941EF3" w:rsidRPr="00AA40E6" w:rsidRDefault="00941EF3">
            <w:pPr>
              <w:numPr>
                <w:ilvl w:val="12"/>
                <w:numId w:val="0"/>
              </w:numPr>
              <w:spacing w:before="40" w:after="40"/>
              <w:rPr>
                <w:rFonts w:eastAsia="SimSun"/>
                <w:sz w:val="20"/>
                <w:szCs w:val="22"/>
                <w:lang w:val="fr-FR" w:eastAsia="fr-FR"/>
              </w:rPr>
            </w:pPr>
            <w:r w:rsidRPr="00AA40E6">
              <w:rPr>
                <w:rFonts w:eastAsia="SimSun"/>
                <w:sz w:val="20"/>
                <w:lang w:val="fr-FR" w:eastAsia="fr-FR"/>
              </w:rPr>
              <w:t xml:space="preserve">Peroxyde de </w:t>
            </w:r>
            <w:proofErr w:type="spellStart"/>
            <w:r w:rsidRPr="00AA40E6">
              <w:rPr>
                <w:rFonts w:eastAsia="SimSun"/>
                <w:sz w:val="20"/>
                <w:lang w:val="fr-FR" w:eastAsia="fr-FR"/>
              </w:rPr>
              <w:t>didecanoyle</w:t>
            </w:r>
            <w:proofErr w:type="spellEnd"/>
            <w:r w:rsidRPr="00AA40E6">
              <w:rPr>
                <w:rFonts w:eastAsia="SimSun"/>
                <w:sz w:val="20"/>
                <w:lang w:val="fr-FR" w:eastAsia="fr-FR"/>
              </w:rPr>
              <w:t>, techniquement pur</w:t>
            </w:r>
          </w:p>
        </w:tc>
        <w:tc>
          <w:tcPr>
            <w:tcW w:w="717" w:type="pct"/>
            <w:hideMark/>
          </w:tcPr>
          <w:p w14:paraId="48FCE1EA"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0,20</w:t>
            </w:r>
          </w:p>
        </w:tc>
        <w:tc>
          <w:tcPr>
            <w:tcW w:w="841" w:type="pct"/>
            <w:hideMark/>
          </w:tcPr>
          <w:p w14:paraId="2873B808"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28</w:t>
            </w:r>
          </w:p>
        </w:tc>
        <w:tc>
          <w:tcPr>
            <w:tcW w:w="765" w:type="pct"/>
            <w:hideMark/>
          </w:tcPr>
          <w:p w14:paraId="7A67E591"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40</w:t>
            </w:r>
          </w:p>
        </w:tc>
      </w:tr>
      <w:tr w:rsidR="00941EF3" w14:paraId="68DFF83E" w14:textId="77777777" w:rsidTr="00941EF3">
        <w:trPr>
          <w:cantSplit/>
        </w:trPr>
        <w:tc>
          <w:tcPr>
            <w:tcW w:w="2677" w:type="pct"/>
            <w:tcBorders>
              <w:top w:val="nil"/>
              <w:left w:val="nil"/>
              <w:bottom w:val="single" w:sz="8" w:space="0" w:color="auto"/>
              <w:right w:val="nil"/>
            </w:tcBorders>
            <w:hideMark/>
          </w:tcPr>
          <w:p w14:paraId="47CFB6B6" w14:textId="77777777" w:rsidR="00941EF3" w:rsidRPr="00AA40E6" w:rsidRDefault="00941EF3">
            <w:pPr>
              <w:numPr>
                <w:ilvl w:val="12"/>
                <w:numId w:val="0"/>
              </w:numPr>
              <w:spacing w:before="40" w:after="40"/>
              <w:rPr>
                <w:rFonts w:eastAsia="SimSun"/>
                <w:sz w:val="20"/>
                <w:szCs w:val="22"/>
                <w:lang w:val="fr-FR" w:eastAsia="fr-FR"/>
              </w:rPr>
            </w:pPr>
            <w:r w:rsidRPr="00AA40E6">
              <w:rPr>
                <w:rFonts w:eastAsia="SimSun"/>
                <w:sz w:val="20"/>
                <w:lang w:val="fr-FR" w:eastAsia="fr-FR"/>
              </w:rPr>
              <w:t>N-</w:t>
            </w:r>
            <w:proofErr w:type="spellStart"/>
            <w:r w:rsidRPr="00AA40E6">
              <w:rPr>
                <w:rFonts w:eastAsia="SimSun"/>
                <w:sz w:val="20"/>
                <w:lang w:val="fr-FR" w:eastAsia="fr-FR"/>
              </w:rPr>
              <w:t>Vinylformamide</w:t>
            </w:r>
            <w:proofErr w:type="spellEnd"/>
          </w:p>
        </w:tc>
        <w:tc>
          <w:tcPr>
            <w:tcW w:w="717" w:type="pct"/>
            <w:tcBorders>
              <w:top w:val="nil"/>
              <w:left w:val="nil"/>
              <w:bottom w:val="single" w:sz="8" w:space="0" w:color="auto"/>
              <w:right w:val="nil"/>
            </w:tcBorders>
            <w:hideMark/>
          </w:tcPr>
          <w:p w14:paraId="06A13D83"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0,40</w:t>
            </w:r>
          </w:p>
        </w:tc>
        <w:tc>
          <w:tcPr>
            <w:tcW w:w="841" w:type="pct"/>
            <w:tcBorders>
              <w:top w:val="nil"/>
              <w:left w:val="nil"/>
              <w:bottom w:val="single" w:sz="8" w:space="0" w:color="auto"/>
              <w:right w:val="nil"/>
            </w:tcBorders>
            <w:hideMark/>
          </w:tcPr>
          <w:p w14:paraId="72C17273"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33</w:t>
            </w:r>
          </w:p>
        </w:tc>
        <w:tc>
          <w:tcPr>
            <w:tcW w:w="765" w:type="pct"/>
            <w:tcBorders>
              <w:top w:val="nil"/>
              <w:left w:val="nil"/>
              <w:bottom w:val="single" w:sz="8" w:space="0" w:color="auto"/>
              <w:right w:val="nil"/>
            </w:tcBorders>
            <w:hideMark/>
          </w:tcPr>
          <w:p w14:paraId="025097E6" w14:textId="77777777" w:rsidR="00941EF3" w:rsidRPr="00AA40E6" w:rsidRDefault="00941EF3">
            <w:pPr>
              <w:numPr>
                <w:ilvl w:val="12"/>
                <w:numId w:val="0"/>
              </w:numPr>
              <w:spacing w:before="40" w:after="40"/>
              <w:jc w:val="right"/>
              <w:rPr>
                <w:rFonts w:eastAsia="SimSun"/>
                <w:sz w:val="20"/>
                <w:szCs w:val="20"/>
                <w:lang w:val="fr-FR" w:eastAsia="fr-FR"/>
              </w:rPr>
            </w:pPr>
            <w:r w:rsidRPr="00AA40E6">
              <w:rPr>
                <w:rFonts w:eastAsia="SimSun"/>
                <w:sz w:val="20"/>
                <w:szCs w:val="20"/>
                <w:lang w:val="fr-FR" w:eastAsia="fr-FR"/>
              </w:rPr>
              <w:t>55</w:t>
            </w:r>
          </w:p>
        </w:tc>
      </w:tr>
      <w:tr w:rsidR="00941EF3" w14:paraId="05A661C0" w14:textId="77777777" w:rsidTr="00941EF3">
        <w:trPr>
          <w:cantSplit/>
        </w:trPr>
        <w:tc>
          <w:tcPr>
            <w:tcW w:w="5000" w:type="pct"/>
            <w:gridSpan w:val="4"/>
            <w:tcBorders>
              <w:top w:val="single" w:sz="8" w:space="0" w:color="auto"/>
              <w:left w:val="nil"/>
              <w:bottom w:val="nil"/>
              <w:right w:val="nil"/>
            </w:tcBorders>
          </w:tcPr>
          <w:p w14:paraId="73434A60" w14:textId="77777777" w:rsidR="00941EF3" w:rsidRPr="00AA40E6" w:rsidRDefault="00941EF3">
            <w:pPr>
              <w:numPr>
                <w:ilvl w:val="12"/>
                <w:numId w:val="0"/>
              </w:numPr>
              <w:spacing w:before="40" w:after="40"/>
              <w:rPr>
                <w:rFonts w:eastAsia="SimSun"/>
                <w:i/>
                <w:iCs/>
                <w:sz w:val="20"/>
                <w:szCs w:val="20"/>
                <w:lang w:val="fr-FR" w:eastAsia="fr-FR"/>
              </w:rPr>
            </w:pPr>
            <w:r w:rsidRPr="00AA40E6">
              <w:rPr>
                <w:rFonts w:eastAsia="SimSun"/>
                <w:b/>
                <w:bCs/>
                <w:sz w:val="20"/>
                <w:szCs w:val="20"/>
                <w:vertAlign w:val="superscript"/>
                <w:lang w:val="fr-FR" w:eastAsia="fr-FR"/>
              </w:rPr>
              <w:t>a</w:t>
            </w:r>
            <w:r w:rsidRPr="00AA40E6">
              <w:rPr>
                <w:rFonts w:eastAsia="SimSun"/>
                <w:b/>
                <w:bCs/>
                <w:sz w:val="20"/>
                <w:szCs w:val="20"/>
                <w:lang w:val="fr-FR" w:eastAsia="fr-FR"/>
              </w:rPr>
              <w:t xml:space="preserve"> </w:t>
            </w:r>
            <w:r w:rsidRPr="00AA40E6">
              <w:rPr>
                <w:rFonts w:eastAsia="SimSun"/>
                <w:sz w:val="20"/>
                <w:szCs w:val="20"/>
                <w:lang w:val="fr-FR" w:eastAsia="fr-FR"/>
              </w:rPr>
              <w:t xml:space="preserve"> </w:t>
            </w:r>
            <w:r w:rsidRPr="00AA40E6">
              <w:rPr>
                <w:rFonts w:eastAsia="SimSun"/>
                <w:i/>
                <w:iCs/>
                <w:sz w:val="20"/>
                <w:lang w:val="fr-FR" w:eastAsia="fr-FR"/>
              </w:rPr>
              <w:t>Dans un récipient sous pression placé dans un vase de Dewar de 2 litres</w:t>
            </w:r>
            <w:r w:rsidRPr="00AA40E6">
              <w:rPr>
                <w:rFonts w:eastAsia="SimSun"/>
                <w:sz w:val="20"/>
                <w:lang w:val="fr-FR" w:eastAsia="fr-FR"/>
              </w:rPr>
              <w:t>.</w:t>
            </w:r>
          </w:p>
          <w:p w14:paraId="77892C46" w14:textId="6D52266D" w:rsidR="00941EF3" w:rsidRPr="00AA40E6" w:rsidRDefault="00941EF3">
            <w:pPr>
              <w:numPr>
                <w:ilvl w:val="12"/>
                <w:numId w:val="0"/>
              </w:numPr>
              <w:spacing w:before="40" w:after="40"/>
              <w:rPr>
                <w:rFonts w:eastAsia="SimSun"/>
                <w:sz w:val="20"/>
                <w:szCs w:val="22"/>
                <w:lang w:val="fr-FR" w:eastAsia="fr-FR"/>
              </w:rPr>
            </w:pPr>
            <w:r w:rsidRPr="00AA40E6">
              <w:rPr>
                <w:rFonts w:eastAsia="SimSun"/>
                <w:b/>
                <w:bCs/>
                <w:sz w:val="20"/>
                <w:szCs w:val="20"/>
                <w:vertAlign w:val="superscript"/>
                <w:lang w:val="fr-FR" w:eastAsia="fr-FR"/>
              </w:rPr>
              <w:t>b</w:t>
            </w:r>
            <w:r w:rsidRPr="00AA40E6">
              <w:rPr>
                <w:rFonts w:eastAsia="SimSun"/>
                <w:b/>
                <w:bCs/>
                <w:sz w:val="20"/>
                <w:szCs w:val="20"/>
                <w:lang w:val="fr-FR" w:eastAsia="fr-FR"/>
              </w:rPr>
              <w:t xml:space="preserve">  </w:t>
            </w:r>
            <w:r w:rsidRPr="00AA40E6">
              <w:rPr>
                <w:rFonts w:eastAsia="SimSun"/>
                <w:i/>
                <w:iCs/>
                <w:sz w:val="20"/>
                <w:lang w:val="fr-FR" w:eastAsia="fr-FR"/>
              </w:rPr>
              <w:t>Dans un vase de Dewar de 1 litre de forme sphérique</w:t>
            </w:r>
            <w:r w:rsidRPr="00AA40E6">
              <w:rPr>
                <w:rFonts w:eastAsia="SimSun"/>
                <w:sz w:val="20"/>
                <w:lang w:val="fr-FR" w:eastAsia="fr-FR"/>
              </w:rPr>
              <w:t>.</w:t>
            </w:r>
          </w:p>
          <w:p w14:paraId="64746CBE" w14:textId="77777777" w:rsidR="00941EF3" w:rsidRPr="00AA40E6" w:rsidRDefault="00941EF3">
            <w:pPr>
              <w:numPr>
                <w:ilvl w:val="12"/>
                <w:numId w:val="0"/>
              </w:numPr>
              <w:spacing w:before="40" w:after="40"/>
              <w:rPr>
                <w:rFonts w:eastAsia="SimSun"/>
                <w:sz w:val="20"/>
                <w:lang w:val="fr-FR" w:eastAsia="fr-FR"/>
              </w:rPr>
            </w:pPr>
            <w:r w:rsidRPr="00AA40E6">
              <w:rPr>
                <w:rFonts w:eastAsia="SimSun"/>
                <w:b/>
                <w:bCs/>
                <w:sz w:val="20"/>
                <w:szCs w:val="20"/>
                <w:vertAlign w:val="superscript"/>
                <w:lang w:val="fr-FR" w:eastAsia="fr-FR"/>
              </w:rPr>
              <w:t>c</w:t>
            </w:r>
            <w:r w:rsidRPr="00AA40E6">
              <w:rPr>
                <w:rFonts w:eastAsia="SimSun"/>
                <w:b/>
                <w:bCs/>
                <w:sz w:val="20"/>
                <w:szCs w:val="20"/>
                <w:lang w:val="fr-FR" w:eastAsia="fr-FR"/>
              </w:rPr>
              <w:t xml:space="preserve">  </w:t>
            </w:r>
            <w:r w:rsidRPr="00AA40E6">
              <w:rPr>
                <w:rFonts w:eastAsia="SimSun"/>
                <w:i/>
                <w:iCs/>
                <w:sz w:val="20"/>
                <w:lang w:val="fr-FR" w:eastAsia="fr-FR"/>
              </w:rPr>
              <w:t>Dans ces exemples tirés d’épreuves passées, la TDAA ou la TPAA ont été déterminées avec des pertes de chaleur supérieures à celles qui sont actuellement recommandées aux fins de la classification (voir tableau 28.4).</w:t>
            </w:r>
          </w:p>
          <w:p w14:paraId="617CA3D7" w14:textId="77777777" w:rsidR="00941EF3" w:rsidRPr="00AA40E6" w:rsidRDefault="00941EF3">
            <w:pPr>
              <w:numPr>
                <w:ilvl w:val="12"/>
                <w:numId w:val="0"/>
              </w:numPr>
              <w:spacing w:before="40" w:after="40"/>
              <w:rPr>
                <w:rFonts w:eastAsia="SimSun"/>
                <w:sz w:val="20"/>
                <w:szCs w:val="20"/>
                <w:lang w:val="fr-FR" w:eastAsia="fr-FR"/>
              </w:rPr>
            </w:pPr>
          </w:p>
        </w:tc>
      </w:tr>
    </w:tbl>
    <w:p w14:paraId="5B00B2C7" w14:textId="77777777" w:rsidR="00941EF3" w:rsidRDefault="00941EF3" w:rsidP="00941EF3">
      <w:pPr>
        <w:rPr>
          <w:szCs w:val="22"/>
          <w:lang w:val="fr-FR" w:eastAsia="fr-FR"/>
        </w:rPr>
      </w:pPr>
    </w:p>
    <w:p w14:paraId="44D766B1" w14:textId="77777777" w:rsidR="00941EF3" w:rsidRPr="00AA40E6" w:rsidRDefault="00941EF3" w:rsidP="00941EF3">
      <w:pPr>
        <w:rPr>
          <w:lang w:val="fr-FR" w:eastAsia="fr-FR"/>
        </w:rPr>
      </w:pPr>
      <w:r w:rsidRPr="00AA40E6">
        <w:rPr>
          <w:lang w:val="fr-FR" w:eastAsia="fr-FR"/>
        </w:rPr>
        <w:br w:type="page"/>
      </w:r>
    </w:p>
    <w:p w14:paraId="168B6B72" w14:textId="77777777" w:rsidR="00941EF3" w:rsidRPr="00AA40E6" w:rsidRDefault="00941EF3" w:rsidP="00941EF3">
      <w:pPr>
        <w:keepNext/>
        <w:spacing w:after="200"/>
        <w:jc w:val="center"/>
        <w:rPr>
          <w:rFonts w:ascii="Times New Roman Bold" w:hAnsi="Times New Roman Bold"/>
          <w:b/>
          <w:bCs/>
          <w:szCs w:val="20"/>
          <w:lang w:val="fr-FR" w:eastAsia="fr-FR"/>
        </w:rPr>
      </w:pPr>
      <w:r w:rsidRPr="00AA40E6">
        <w:rPr>
          <w:rFonts w:ascii="Times New Roman Bold" w:hAnsi="Times New Roman Bold"/>
          <w:b/>
          <w:bCs/>
          <w:szCs w:val="20"/>
          <w:lang w:val="fr-FR" w:eastAsia="fr-FR"/>
        </w:rPr>
        <w:lastRenderedPageBreak/>
        <w:t xml:space="preserve">Figure 28.4.4.1 : Vase de Dewar à fermeture pour les épreuves sur les liquides </w:t>
      </w:r>
      <w:r w:rsidRPr="00AA40E6">
        <w:rPr>
          <w:rFonts w:ascii="Times New Roman Bold" w:hAnsi="Times New Roman Bold"/>
          <w:b/>
          <w:bCs/>
          <w:szCs w:val="20"/>
          <w:lang w:val="fr-FR" w:eastAsia="fr-FR"/>
        </w:rPr>
        <w:br/>
        <w:t>et les matières solides mouillées à l’eau</w:t>
      </w:r>
    </w:p>
    <w:p w14:paraId="7DA5B167" w14:textId="1601A2A6" w:rsidR="00941EF3" w:rsidRPr="00AA40E6" w:rsidRDefault="00941EF3" w:rsidP="00941EF3">
      <w:pPr>
        <w:numPr>
          <w:ilvl w:val="12"/>
          <w:numId w:val="0"/>
        </w:numPr>
        <w:tabs>
          <w:tab w:val="left" w:pos="1418"/>
        </w:tabs>
        <w:spacing w:after="240"/>
        <w:jc w:val="center"/>
        <w:rPr>
          <w:szCs w:val="22"/>
          <w:lang w:val="fr-FR" w:eastAsia="fr-FR"/>
        </w:rPr>
      </w:pPr>
      <w:r w:rsidRPr="00AA40E6">
        <w:rPr>
          <w:noProof/>
          <w:lang w:val="fr-FR" w:eastAsia="fr-FR"/>
        </w:rPr>
        <w:drawing>
          <wp:inline distT="0" distB="0" distL="0" distR="0" wp14:anchorId="57EDB443" wp14:editId="0AB9D3DE">
            <wp:extent cx="4610100" cy="7213600"/>
            <wp:effectExtent l="0" t="0" r="0" b="0"/>
            <wp:docPr id="15" name="Graphic 15"/>
            <wp:cNvGraphicFramePr/>
            <a:graphic xmlns:a="http://schemas.openxmlformats.org/drawingml/2006/main">
              <a:graphicData uri="http://schemas.openxmlformats.org/drawingml/2006/picture">
                <pic:pic xmlns:pic="http://schemas.openxmlformats.org/drawingml/2006/picture">
                  <pic:nvPicPr>
                    <pic:cNvPr id="115" name="Graphic 115"/>
                    <pic:cNvPicPr/>
                  </pic:nvPicPr>
                  <pic:blipFill rotWithShape="1">
                    <a:blip r:embed="rId41">
                      <a:extLst>
                        <a:ext uri="{96DAC541-7B7A-43D3-8B79-37D633B846F1}">
                          <asvg:svgBlip xmlns:asvg="http://schemas.microsoft.com/office/drawing/2016/SVG/main" r:embed="rId42"/>
                        </a:ext>
                      </a:extLst>
                    </a:blip>
                    <a:srcRect t="-25115" b="-25115"/>
                    <a:stretch/>
                  </pic:blipFill>
                  <pic:spPr bwMode="auto">
                    <a:xfrm>
                      <a:off x="0" y="0"/>
                      <a:ext cx="4609465" cy="7211060"/>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Ind w:w="56" w:type="dxa"/>
        <w:tblLayout w:type="fixed"/>
        <w:tblCellMar>
          <w:left w:w="56" w:type="dxa"/>
          <w:right w:w="56" w:type="dxa"/>
        </w:tblCellMar>
        <w:tblLook w:val="04A0" w:firstRow="1" w:lastRow="0" w:firstColumn="1" w:lastColumn="0" w:noHBand="0" w:noVBand="1"/>
      </w:tblPr>
      <w:tblGrid>
        <w:gridCol w:w="4819"/>
        <w:gridCol w:w="4819"/>
      </w:tblGrid>
      <w:tr w:rsidR="00941EF3" w14:paraId="5A28A0EE" w14:textId="77777777" w:rsidTr="00941EF3">
        <w:trPr>
          <w:cantSplit/>
        </w:trPr>
        <w:tc>
          <w:tcPr>
            <w:tcW w:w="4819" w:type="dxa"/>
            <w:tcBorders>
              <w:top w:val="single" w:sz="8" w:space="0" w:color="auto"/>
              <w:left w:val="nil"/>
              <w:bottom w:val="single" w:sz="8" w:space="0" w:color="auto"/>
              <w:right w:val="nil"/>
            </w:tcBorders>
            <w:hideMark/>
          </w:tcPr>
          <w:p w14:paraId="5893B713" w14:textId="77777777" w:rsidR="00941EF3" w:rsidRPr="00AA40E6" w:rsidRDefault="00941EF3">
            <w:pPr>
              <w:tabs>
                <w:tab w:val="left" w:pos="679"/>
              </w:tabs>
              <w:spacing w:before="120"/>
              <w:rPr>
                <w:lang w:val="fr-FR" w:eastAsia="fr-FR"/>
              </w:rPr>
            </w:pPr>
            <w:r w:rsidRPr="00AA40E6">
              <w:rPr>
                <w:lang w:val="fr-FR" w:eastAsia="fr-FR"/>
              </w:rPr>
              <w:t>(A)</w:t>
            </w:r>
            <w:r w:rsidRPr="00AA40E6">
              <w:rPr>
                <w:lang w:val="fr-FR" w:eastAsia="fr-FR"/>
              </w:rPr>
              <w:tab/>
              <w:t>Tube capillaire en PTFE</w:t>
            </w:r>
          </w:p>
          <w:p w14:paraId="35E33B14" w14:textId="77777777" w:rsidR="00941EF3" w:rsidRPr="00AA40E6" w:rsidRDefault="00941EF3">
            <w:pPr>
              <w:tabs>
                <w:tab w:val="left" w:pos="679"/>
              </w:tabs>
              <w:rPr>
                <w:lang w:val="fr-FR" w:eastAsia="fr-FR"/>
              </w:rPr>
            </w:pPr>
            <w:r w:rsidRPr="00AA40E6">
              <w:rPr>
                <w:lang w:val="fr-FR" w:eastAsia="fr-FR"/>
              </w:rPr>
              <w:t>(C)</w:t>
            </w:r>
            <w:r w:rsidRPr="00AA40E6">
              <w:rPr>
                <w:lang w:val="fr-FR" w:eastAsia="fr-FR"/>
              </w:rPr>
              <w:tab/>
              <w:t>Étrier en métal</w:t>
            </w:r>
          </w:p>
          <w:p w14:paraId="695E4CAC" w14:textId="77777777" w:rsidR="00941EF3" w:rsidRPr="00AA40E6" w:rsidRDefault="00941EF3">
            <w:pPr>
              <w:tabs>
                <w:tab w:val="left" w:pos="679"/>
              </w:tabs>
              <w:rPr>
                <w:lang w:val="fr-FR" w:eastAsia="fr-FR"/>
              </w:rPr>
            </w:pPr>
            <w:r w:rsidRPr="00AA40E6">
              <w:rPr>
                <w:lang w:val="fr-FR" w:eastAsia="fr-FR"/>
              </w:rPr>
              <w:t>(E)</w:t>
            </w:r>
            <w:r w:rsidRPr="00AA40E6">
              <w:rPr>
                <w:lang w:val="fr-FR" w:eastAsia="fr-FR"/>
              </w:rPr>
              <w:tab/>
              <w:t>Base récipient (en verre)</w:t>
            </w:r>
          </w:p>
          <w:p w14:paraId="61B05D97" w14:textId="77777777" w:rsidR="00941EF3" w:rsidRPr="00AA40E6" w:rsidRDefault="00941EF3">
            <w:pPr>
              <w:tabs>
                <w:tab w:val="left" w:pos="679"/>
              </w:tabs>
              <w:rPr>
                <w:lang w:val="fr-FR" w:eastAsia="fr-FR"/>
              </w:rPr>
            </w:pPr>
            <w:r w:rsidRPr="00AA40E6">
              <w:rPr>
                <w:lang w:val="fr-FR" w:eastAsia="fr-FR"/>
              </w:rPr>
              <w:t>(G)</w:t>
            </w:r>
            <w:r w:rsidRPr="00AA40E6">
              <w:rPr>
                <w:lang w:val="fr-FR" w:eastAsia="fr-FR"/>
              </w:rPr>
              <w:tab/>
              <w:t>Tube protecteur en verre</w:t>
            </w:r>
          </w:p>
          <w:p w14:paraId="46035467" w14:textId="77777777" w:rsidR="00941EF3" w:rsidRPr="00AA40E6" w:rsidRDefault="00941EF3">
            <w:pPr>
              <w:tabs>
                <w:tab w:val="left" w:pos="679"/>
              </w:tabs>
              <w:spacing w:after="120"/>
              <w:rPr>
                <w:lang w:val="fr-FR" w:eastAsia="fr-FR"/>
              </w:rPr>
            </w:pPr>
            <w:r w:rsidRPr="00AA40E6">
              <w:rPr>
                <w:lang w:val="fr-FR" w:eastAsia="fr-FR"/>
              </w:rPr>
              <w:t>(J)</w:t>
            </w:r>
            <w:r w:rsidRPr="00AA40E6">
              <w:rPr>
                <w:lang w:val="fr-FR" w:eastAsia="fr-FR"/>
              </w:rPr>
              <w:tab/>
              <w:t>Dispositif de retenue (en acier)</w:t>
            </w:r>
          </w:p>
        </w:tc>
        <w:tc>
          <w:tcPr>
            <w:tcW w:w="4819" w:type="dxa"/>
            <w:tcBorders>
              <w:top w:val="single" w:sz="8" w:space="0" w:color="auto"/>
              <w:left w:val="nil"/>
              <w:bottom w:val="single" w:sz="8" w:space="0" w:color="auto"/>
              <w:right w:val="nil"/>
            </w:tcBorders>
            <w:hideMark/>
          </w:tcPr>
          <w:p w14:paraId="08C9D880" w14:textId="77777777" w:rsidR="00941EF3" w:rsidRPr="00AA40E6" w:rsidRDefault="00941EF3">
            <w:pPr>
              <w:tabs>
                <w:tab w:val="left" w:pos="679"/>
              </w:tabs>
              <w:spacing w:before="120"/>
              <w:ind w:left="703" w:hanging="703"/>
              <w:rPr>
                <w:lang w:val="fr-FR" w:eastAsia="fr-FR"/>
              </w:rPr>
            </w:pPr>
            <w:r w:rsidRPr="00AA40E6">
              <w:rPr>
                <w:lang w:val="fr-FR" w:eastAsia="fr-FR"/>
              </w:rPr>
              <w:t>(B)</w:t>
            </w:r>
            <w:r w:rsidRPr="00AA40E6">
              <w:rPr>
                <w:lang w:val="fr-FR" w:eastAsia="fr-FR"/>
              </w:rPr>
              <w:tab/>
              <w:t>Raccord vissant (en PTFE ou aluminium) avec joint torique d'étanchéité</w:t>
            </w:r>
          </w:p>
          <w:p w14:paraId="42835B40" w14:textId="77777777" w:rsidR="00941EF3" w:rsidRPr="00AA40E6" w:rsidRDefault="00941EF3">
            <w:pPr>
              <w:tabs>
                <w:tab w:val="left" w:pos="679"/>
              </w:tabs>
              <w:ind w:left="705" w:hanging="705"/>
              <w:rPr>
                <w:lang w:val="fr-FR" w:eastAsia="fr-FR"/>
              </w:rPr>
            </w:pPr>
            <w:r w:rsidRPr="00AA40E6">
              <w:rPr>
                <w:lang w:val="fr-FR" w:eastAsia="fr-FR"/>
              </w:rPr>
              <w:t>(D)</w:t>
            </w:r>
            <w:r w:rsidRPr="00AA40E6">
              <w:rPr>
                <w:lang w:val="fr-FR" w:eastAsia="fr-FR"/>
              </w:rPr>
              <w:tab/>
              <w:t>Couvercle en verre</w:t>
            </w:r>
          </w:p>
          <w:p w14:paraId="44507B4B" w14:textId="77777777" w:rsidR="00941EF3" w:rsidRPr="00AA40E6" w:rsidRDefault="00941EF3">
            <w:pPr>
              <w:tabs>
                <w:tab w:val="left" w:pos="679"/>
              </w:tabs>
              <w:ind w:left="705" w:hanging="705"/>
              <w:rPr>
                <w:lang w:val="fr-FR" w:eastAsia="fr-FR"/>
              </w:rPr>
            </w:pPr>
            <w:r w:rsidRPr="00AA40E6">
              <w:rPr>
                <w:lang w:val="fr-FR" w:eastAsia="fr-FR"/>
              </w:rPr>
              <w:t>(F)</w:t>
            </w:r>
            <w:r w:rsidRPr="00AA40E6">
              <w:rPr>
                <w:lang w:val="fr-FR" w:eastAsia="fr-FR"/>
              </w:rPr>
              <w:tab/>
              <w:t>Ressort</w:t>
            </w:r>
          </w:p>
          <w:p w14:paraId="5E96CC4D" w14:textId="77777777" w:rsidR="00941EF3" w:rsidRPr="00AA40E6" w:rsidRDefault="00941EF3">
            <w:pPr>
              <w:tabs>
                <w:tab w:val="left" w:pos="679"/>
              </w:tabs>
              <w:ind w:left="705" w:hanging="705"/>
              <w:rPr>
                <w:lang w:val="fr-FR" w:eastAsia="fr-FR"/>
              </w:rPr>
            </w:pPr>
            <w:r w:rsidRPr="00AA40E6">
              <w:rPr>
                <w:lang w:val="fr-FR" w:eastAsia="fr-FR"/>
              </w:rPr>
              <w:t>(H)</w:t>
            </w:r>
            <w:r w:rsidRPr="00AA40E6">
              <w:rPr>
                <w:lang w:val="fr-FR" w:eastAsia="fr-FR"/>
              </w:rPr>
              <w:tab/>
              <w:t>Vase de Dewar</w:t>
            </w:r>
          </w:p>
        </w:tc>
      </w:tr>
    </w:tbl>
    <w:p w14:paraId="63B2A712" w14:textId="77777777" w:rsidR="00941EF3" w:rsidRDefault="00941EF3" w:rsidP="00941EF3">
      <w:pPr>
        <w:rPr>
          <w:szCs w:val="22"/>
          <w:lang w:val="fr-FR" w:eastAsia="fr-FR"/>
        </w:rPr>
      </w:pPr>
    </w:p>
    <w:p w14:paraId="54A54421" w14:textId="1C1B8DF1" w:rsidR="00CB22AA" w:rsidRPr="00BC5A7F" w:rsidRDefault="00CB22AA" w:rsidP="00BC5A7F">
      <w:pPr>
        <w:pStyle w:val="Man2Head"/>
        <w:rPr>
          <w:sz w:val="24"/>
          <w:szCs w:val="24"/>
        </w:rPr>
      </w:pPr>
      <w:r w:rsidRPr="00BC5A7F">
        <w:rPr>
          <w:sz w:val="24"/>
          <w:szCs w:val="24"/>
        </w:rPr>
        <w:lastRenderedPageBreak/>
        <w:t>Section 33</w:t>
      </w:r>
    </w:p>
    <w:p w14:paraId="63337CE7" w14:textId="77777777" w:rsidR="00CB22AA" w:rsidRPr="006F2360" w:rsidRDefault="00CB22AA" w:rsidP="00140615">
      <w:pPr>
        <w:pStyle w:val="MBodyTxt"/>
        <w:ind w:left="1418" w:hanging="1418"/>
        <w:rPr>
          <w:lang w:val="fr-FR"/>
        </w:rPr>
      </w:pPr>
      <w:r>
        <w:rPr>
          <w:lang w:val="fr-FR"/>
        </w:rPr>
        <w:t>33.2.4.2</w:t>
      </w:r>
      <w:r>
        <w:rPr>
          <w:lang w:val="fr-FR"/>
        </w:rPr>
        <w:tab/>
        <w:t>Dans la première phrase, après « 20 mm de largeur » ajouter « intérieure ».</w:t>
      </w:r>
    </w:p>
    <w:p w14:paraId="494B9EBB" w14:textId="77777777" w:rsidR="00CB22AA" w:rsidRDefault="00CB22AA" w:rsidP="00140615">
      <w:pPr>
        <w:pStyle w:val="MBodyTxt"/>
        <w:ind w:left="1418" w:hanging="1418"/>
        <w:rPr>
          <w:lang w:val="fr-FR"/>
        </w:rPr>
      </w:pPr>
      <w:r w:rsidRPr="00321B71">
        <w:rPr>
          <w:lang w:val="fr-FR"/>
        </w:rPr>
        <w:t>Figure 33.2.4.1</w:t>
      </w:r>
      <w:r>
        <w:rPr>
          <w:lang w:val="fr-FR"/>
        </w:rPr>
        <w:tab/>
      </w:r>
      <w:r w:rsidRPr="006E402F">
        <w:rPr>
          <w:lang w:val="fr-FR"/>
        </w:rPr>
        <w:t>Remplacez l'encart A par la figure ci-dessous</w:t>
      </w:r>
      <w:r>
        <w:rPr>
          <w:lang w:val="fr-FR"/>
        </w:rPr>
        <w:t> </w:t>
      </w:r>
      <w:r w:rsidRPr="006E402F">
        <w:rPr>
          <w:lang w:val="fr-FR"/>
        </w:rPr>
        <w:t>:</w:t>
      </w:r>
    </w:p>
    <w:p w14:paraId="75154C97" w14:textId="4B3EB8D3" w:rsidR="00CB22AA" w:rsidRPr="00AA40E6" w:rsidRDefault="00101E88" w:rsidP="00CB22AA">
      <w:pPr>
        <w:keepNext/>
        <w:keepLines/>
        <w:autoSpaceDE/>
        <w:autoSpaceDN/>
        <w:adjustRightInd/>
        <w:spacing w:after="120"/>
        <w:ind w:right="39"/>
        <w:jc w:val="center"/>
        <w:rPr>
          <w:lang w:val="fr-FR"/>
        </w:rPr>
      </w:pPr>
      <w:r>
        <w:rPr>
          <w:noProof/>
        </w:rPr>
        <w:drawing>
          <wp:inline distT="0" distB="0" distL="0" distR="0" wp14:anchorId="40454E65" wp14:editId="3DDD4711">
            <wp:extent cx="2612342" cy="2073019"/>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2645715" cy="2099502"/>
                    </a:xfrm>
                    <a:prstGeom prst="rect">
                      <a:avLst/>
                    </a:prstGeom>
                  </pic:spPr>
                </pic:pic>
              </a:graphicData>
            </a:graphic>
          </wp:inline>
        </w:drawing>
      </w:r>
    </w:p>
    <w:p w14:paraId="4D2822D5" w14:textId="578AAEA8" w:rsidR="00CB22AA" w:rsidRPr="00BC5A7F" w:rsidRDefault="00CB22AA" w:rsidP="00BC5A7F">
      <w:pPr>
        <w:pStyle w:val="Man2Head"/>
        <w:rPr>
          <w:sz w:val="24"/>
          <w:szCs w:val="24"/>
        </w:rPr>
      </w:pPr>
      <w:r w:rsidRPr="00BC5A7F">
        <w:rPr>
          <w:sz w:val="24"/>
          <w:szCs w:val="24"/>
        </w:rPr>
        <w:t>Section 34</w:t>
      </w:r>
    </w:p>
    <w:p w14:paraId="17CD2776" w14:textId="77777777" w:rsidR="00CB22AA" w:rsidRPr="00491BD9" w:rsidRDefault="00CB22AA" w:rsidP="00140615">
      <w:pPr>
        <w:pStyle w:val="MBodyTxt"/>
        <w:ind w:left="1418" w:hanging="1418"/>
        <w:rPr>
          <w:rFonts w:eastAsiaTheme="minorHAnsi"/>
          <w:lang w:val="fr-FR"/>
        </w:rPr>
      </w:pPr>
      <w:r w:rsidRPr="00491BD9">
        <w:rPr>
          <w:rFonts w:eastAsiaTheme="minorHAnsi"/>
          <w:lang w:val="fr-FR"/>
        </w:rPr>
        <w:t>34.4.1.2.6 et 34.4.3.2.3</w:t>
      </w:r>
      <w:r w:rsidRPr="00491BD9">
        <w:rPr>
          <w:rFonts w:eastAsiaTheme="minorHAnsi"/>
          <w:lang w:val="fr-FR"/>
        </w:rPr>
        <w:tab/>
        <w:t>Ajouter le nouveau Nota suivant à la fin :</w:t>
      </w:r>
    </w:p>
    <w:p w14:paraId="346FAACA" w14:textId="77777777" w:rsidR="00CB22AA" w:rsidRPr="00491BD9" w:rsidRDefault="00CB22AA" w:rsidP="00140615">
      <w:pPr>
        <w:pStyle w:val="ManTxtnote"/>
        <w:rPr>
          <w:rFonts w:eastAsiaTheme="minorHAnsi"/>
        </w:rPr>
      </w:pPr>
      <w:r w:rsidRPr="00491BD9">
        <w:rPr>
          <w:rFonts w:eastAsiaTheme="minorHAnsi"/>
        </w:rPr>
        <w:t>«</w:t>
      </w:r>
      <w:r>
        <w:rPr>
          <w:rFonts w:eastAsiaTheme="minorHAnsi"/>
        </w:rPr>
        <w:t> </w:t>
      </w:r>
      <w:r w:rsidRPr="00491BD9">
        <w:rPr>
          <w:rFonts w:eastAsiaTheme="minorHAnsi"/>
          <w:b/>
          <w:bCs/>
        </w:rPr>
        <w:t>NOTA</w:t>
      </w:r>
      <w:r>
        <w:rPr>
          <w:rFonts w:eastAsiaTheme="minorHAnsi"/>
          <w:b/>
          <w:bCs/>
        </w:rPr>
        <w:t> </w:t>
      </w:r>
      <w:r w:rsidRPr="00491BD9">
        <w:rPr>
          <w:rFonts w:eastAsiaTheme="minorHAnsi"/>
          <w:b/>
          <w:bCs/>
        </w:rPr>
        <w:t>:</w:t>
      </w:r>
      <w:r w:rsidRPr="00491BD9">
        <w:rPr>
          <w:rFonts w:eastAsiaTheme="minorHAnsi"/>
        </w:rPr>
        <w:t xml:space="preserve"> Dans le cas d’une matière enrobée afin de réduire ou d’éliminer ses propriétés comburantes comportant une teneur importante (&gt;</w:t>
      </w:r>
      <w:r>
        <w:rPr>
          <w:rFonts w:eastAsiaTheme="minorHAnsi"/>
        </w:rPr>
        <w:t> </w:t>
      </w:r>
      <w:r w:rsidRPr="00491BD9">
        <w:rPr>
          <w:rFonts w:eastAsiaTheme="minorHAnsi"/>
        </w:rPr>
        <w:t>10</w:t>
      </w:r>
      <w:r>
        <w:rPr>
          <w:rFonts w:eastAsiaTheme="minorHAnsi"/>
        </w:rPr>
        <w:t> </w:t>
      </w:r>
      <w:r w:rsidRPr="00491BD9">
        <w:rPr>
          <w:rFonts w:eastAsiaTheme="minorHAnsi"/>
        </w:rPr>
        <w:t>% en masse) de particules d’un diamètre inférieur à 500 μm, deux séries d’épreuves devraient être effectuées</w:t>
      </w:r>
      <w:r>
        <w:rPr>
          <w:rFonts w:eastAsiaTheme="minorHAnsi"/>
        </w:rPr>
        <w:t> </w:t>
      </w:r>
      <w:r w:rsidRPr="00491BD9">
        <w:rPr>
          <w:rFonts w:eastAsiaTheme="minorHAnsi"/>
        </w:rPr>
        <w:t>: la première avec la matière telle qu’elle est présentée, et la seconde avec des particules d’une taille inférieure à 500 μm obtenues par tamisage de la matière telle qu’elle est présentée. La matière ne doit pas être broyée avant d’être tamisée ou soumise à l’épreuve. Le classement final devrait être fondé sur les résultats d’épreuves selon les critères de classement les plus stricts.</w:t>
      </w:r>
      <w:r>
        <w:rPr>
          <w:rFonts w:eastAsiaTheme="minorHAnsi"/>
        </w:rPr>
        <w:t> </w:t>
      </w:r>
      <w:r w:rsidRPr="00491BD9">
        <w:rPr>
          <w:rFonts w:eastAsiaTheme="minorHAnsi"/>
        </w:rPr>
        <w:t>»</w:t>
      </w:r>
    </w:p>
    <w:p w14:paraId="3AF7E7D1" w14:textId="00EE8747" w:rsidR="00CB22AA" w:rsidRPr="00BC5A7F" w:rsidRDefault="00CB22AA" w:rsidP="00BC5A7F">
      <w:pPr>
        <w:pStyle w:val="Man2Head"/>
        <w:rPr>
          <w:sz w:val="24"/>
          <w:szCs w:val="24"/>
        </w:rPr>
      </w:pPr>
      <w:r w:rsidRPr="00BC5A7F">
        <w:rPr>
          <w:sz w:val="24"/>
          <w:szCs w:val="24"/>
        </w:rPr>
        <w:t>Section 37</w:t>
      </w:r>
    </w:p>
    <w:p w14:paraId="53850DFF" w14:textId="77777777" w:rsidR="00CB22AA" w:rsidRPr="00491BD9" w:rsidRDefault="00CB22AA" w:rsidP="00FB2DC5">
      <w:pPr>
        <w:pStyle w:val="MBodyTxt"/>
        <w:ind w:left="1418" w:hanging="1418"/>
        <w:rPr>
          <w:lang w:val="fr-FR"/>
        </w:rPr>
      </w:pPr>
      <w:r w:rsidRPr="00491BD9">
        <w:rPr>
          <w:lang w:val="fr-FR"/>
        </w:rPr>
        <w:t>37.4.1</w:t>
      </w:r>
      <w:r w:rsidRPr="00491BD9">
        <w:rPr>
          <w:lang w:val="fr-FR"/>
        </w:rPr>
        <w:tab/>
      </w:r>
      <w:r w:rsidRPr="00491BD9">
        <w:rPr>
          <w:lang w:val="fr-FR"/>
        </w:rPr>
        <w:tab/>
        <w:t>Supprimer.</w:t>
      </w:r>
    </w:p>
    <w:p w14:paraId="3276DE02" w14:textId="77777777" w:rsidR="00CB22AA" w:rsidRPr="00491BD9" w:rsidRDefault="00CB22AA" w:rsidP="00FB2DC5">
      <w:pPr>
        <w:pStyle w:val="MBodyTxt"/>
        <w:ind w:left="1418" w:hanging="1418"/>
        <w:rPr>
          <w:lang w:val="fr-FR"/>
        </w:rPr>
      </w:pPr>
      <w:r w:rsidRPr="00491BD9">
        <w:rPr>
          <w:lang w:val="fr-FR"/>
        </w:rPr>
        <w:t>37.4.1.1 (existant)</w:t>
      </w:r>
      <w:r w:rsidRPr="00491BD9">
        <w:rPr>
          <w:lang w:val="fr-FR"/>
        </w:rPr>
        <w:tab/>
        <w:t>Renuméroter en tant que 37.4.1.</w:t>
      </w:r>
    </w:p>
    <w:p w14:paraId="152FBB8F" w14:textId="77777777" w:rsidR="00CB22AA" w:rsidRPr="00491BD9" w:rsidRDefault="00CB22AA" w:rsidP="00FB2DC5">
      <w:pPr>
        <w:pStyle w:val="MBodyTxt"/>
        <w:ind w:left="1418" w:hanging="1418"/>
        <w:rPr>
          <w:lang w:val="fr-FR"/>
        </w:rPr>
      </w:pPr>
      <w:r w:rsidRPr="00491BD9">
        <w:rPr>
          <w:lang w:val="fr-FR"/>
        </w:rPr>
        <w:t>37.4.1.1</w:t>
      </w:r>
      <w:r w:rsidRPr="00491BD9">
        <w:rPr>
          <w:lang w:val="fr-FR"/>
        </w:rPr>
        <w:tab/>
      </w:r>
      <w:r w:rsidRPr="00FB2DC5">
        <w:rPr>
          <w:rFonts w:eastAsiaTheme="minorHAnsi"/>
          <w:lang w:val="fr-FR"/>
        </w:rPr>
        <w:t>Ajouter</w:t>
      </w:r>
      <w:r w:rsidRPr="00491BD9">
        <w:rPr>
          <w:lang w:val="fr-FR"/>
        </w:rPr>
        <w:t xml:space="preserve"> le nouveau 37.4.1.1 suivant :</w:t>
      </w:r>
    </w:p>
    <w:p w14:paraId="633B25B4" w14:textId="77777777" w:rsidR="00CB22AA" w:rsidRPr="00AA54F1" w:rsidRDefault="00CB22AA" w:rsidP="00AA54F1">
      <w:pPr>
        <w:pStyle w:val="MBodyTxt"/>
        <w:rPr>
          <w:i/>
          <w:iCs/>
          <w:lang w:val="fr-FR"/>
        </w:rPr>
      </w:pPr>
      <w:r w:rsidRPr="00491BD9">
        <w:rPr>
          <w:lang w:val="fr-FR"/>
        </w:rPr>
        <w:t>« 37.4.1.1</w:t>
      </w:r>
      <w:r w:rsidRPr="00491BD9">
        <w:rPr>
          <w:lang w:val="fr-FR"/>
        </w:rPr>
        <w:tab/>
      </w:r>
      <w:r w:rsidRPr="00AA54F1">
        <w:rPr>
          <w:i/>
          <w:iCs/>
          <w:lang w:val="fr-FR"/>
        </w:rPr>
        <w:t>Introduction</w:t>
      </w:r>
    </w:p>
    <w:p w14:paraId="6F22528A" w14:textId="268A102B" w:rsidR="00CB22AA" w:rsidRPr="00491BD9" w:rsidRDefault="00AA54F1" w:rsidP="00AA54F1">
      <w:pPr>
        <w:pStyle w:val="MBodyTxt"/>
        <w:rPr>
          <w:lang w:val="fr-FR"/>
        </w:rPr>
      </w:pPr>
      <w:r>
        <w:rPr>
          <w:lang w:val="fr-FR"/>
        </w:rPr>
        <w:tab/>
      </w:r>
      <w:r w:rsidR="00CB22AA" w:rsidRPr="00491BD9">
        <w:rPr>
          <w:lang w:val="fr-FR"/>
        </w:rPr>
        <w:t>Cette épreuve est utilisée pour déterminer les propriétés corrosives des liquides et des solides qui peuvent se liquéfier en tant que matière corrosive pour les métaux, groupe d’emballage III/catégorie 1. »</w:t>
      </w:r>
    </w:p>
    <w:p w14:paraId="12C56468" w14:textId="6118A2B9" w:rsidR="00CB22AA" w:rsidRPr="00491BD9" w:rsidRDefault="007B2139" w:rsidP="007B2139">
      <w:pPr>
        <w:pStyle w:val="MBodyTxt"/>
        <w:ind w:left="1418" w:hanging="1418"/>
        <w:rPr>
          <w:lang w:val="fr-FR"/>
        </w:rPr>
      </w:pPr>
      <w:r>
        <w:rPr>
          <w:lang w:val="fr-FR"/>
        </w:rPr>
        <w:tab/>
      </w:r>
      <w:r w:rsidR="00CB22AA" w:rsidRPr="00491BD9">
        <w:rPr>
          <w:lang w:val="fr-FR"/>
        </w:rPr>
        <w:t>Renuméroter les paragraphes 37.4.2, 37.4.3, 37.4.4, 37.4.4.1 et 37.4.4.2 en tant que 37.4.1.2, 37.4.1.3, 37.4.1.4, 37.4.1.4.1 et 37.4.1.4.2 respectivement</w:t>
      </w:r>
      <w:r w:rsidR="00CB22AA">
        <w:rPr>
          <w:lang w:val="fr-FR"/>
        </w:rPr>
        <w:t xml:space="preserve">. </w:t>
      </w:r>
      <w:r w:rsidR="00CB22AA" w:rsidRPr="00491BD9">
        <w:rPr>
          <w:lang w:val="fr-FR"/>
        </w:rPr>
        <w:t xml:space="preserve">Renuméroter </w:t>
      </w:r>
      <w:r w:rsidR="00CB22AA">
        <w:rPr>
          <w:lang w:val="fr-FR"/>
        </w:rPr>
        <w:t>les figures 37.4.2.1 et 37.4.2.2 en tant que 37.4.1.1 et 37.4.1.2 respectivement</w:t>
      </w:r>
      <w:r w:rsidR="00CB22AA" w:rsidRPr="00491BD9">
        <w:rPr>
          <w:lang w:val="fr-FR"/>
        </w:rPr>
        <w:t xml:space="preserve"> et modifier les références croisées dans la section 37.4 en conséquence.</w:t>
      </w:r>
      <w:r w:rsidR="00CB22AA">
        <w:rPr>
          <w:lang w:val="fr-FR"/>
        </w:rPr>
        <w:t xml:space="preserve"> </w:t>
      </w:r>
      <w:r w:rsidR="00CB22AA" w:rsidRPr="00491BD9">
        <w:rPr>
          <w:lang w:val="fr-FR"/>
        </w:rPr>
        <w:t xml:space="preserve">Renuméroter </w:t>
      </w:r>
      <w:r w:rsidR="00CB22AA">
        <w:rPr>
          <w:lang w:val="fr-FR"/>
        </w:rPr>
        <w:t>les tableaux 37.4.4.1 et 37.4.4.2 en tant que 37.4.1.1 et 37.4.1.2 respectivement.</w:t>
      </w:r>
    </w:p>
    <w:p w14:paraId="39A9AF64" w14:textId="77777777" w:rsidR="00CB22AA" w:rsidRPr="00491BD9" w:rsidRDefault="00CB22AA" w:rsidP="007B2139">
      <w:pPr>
        <w:pStyle w:val="MBodyTxt"/>
        <w:ind w:left="1418" w:hanging="1418"/>
        <w:rPr>
          <w:lang w:val="fr-FR"/>
        </w:rPr>
      </w:pPr>
      <w:r w:rsidRPr="00491BD9">
        <w:rPr>
          <w:lang w:val="fr-FR"/>
        </w:rPr>
        <w:t xml:space="preserve">37.4.2 (renuméroté 37.4.1.2) b) </w:t>
      </w:r>
      <w:r w:rsidRPr="00491BD9">
        <w:rPr>
          <w:lang w:val="fr-FR"/>
        </w:rPr>
        <w:tab/>
        <w:t>Modifier pour lire comme suit :</w:t>
      </w:r>
    </w:p>
    <w:p w14:paraId="3DBA5F5A" w14:textId="77777777" w:rsidR="00CB22AA" w:rsidRPr="00AA40E6" w:rsidRDefault="00CB22AA" w:rsidP="0033172E">
      <w:pPr>
        <w:pStyle w:val="MBodyTxt"/>
        <w:rPr>
          <w:lang w:val="fr-FR"/>
        </w:rPr>
      </w:pPr>
      <w:r w:rsidRPr="00AA40E6">
        <w:rPr>
          <w:lang w:val="fr-FR"/>
        </w:rPr>
        <w:t>« b)</w:t>
      </w:r>
      <w:r w:rsidRPr="00AA40E6">
        <w:rPr>
          <w:lang w:val="fr-FR"/>
        </w:rPr>
        <w:tab/>
        <w:t>Acier des types S235JR+CR (1.0037, respectivement St 37-2), S275J2G3+CR (1.0144, respectivement St 44-3), ISO 3574, UNS (</w:t>
      </w:r>
      <w:proofErr w:type="spellStart"/>
      <w:r w:rsidRPr="00AA40E6">
        <w:rPr>
          <w:lang w:val="fr-FR"/>
        </w:rPr>
        <w:t>Unified</w:t>
      </w:r>
      <w:proofErr w:type="spellEnd"/>
      <w:r w:rsidRPr="00AA40E6">
        <w:rPr>
          <w:lang w:val="fr-FR"/>
        </w:rPr>
        <w:t xml:space="preserve"> </w:t>
      </w:r>
      <w:proofErr w:type="spellStart"/>
      <w:r w:rsidRPr="00AA40E6">
        <w:rPr>
          <w:lang w:val="fr-FR"/>
        </w:rPr>
        <w:t>Numbering</w:t>
      </w:r>
      <w:proofErr w:type="spellEnd"/>
      <w:r w:rsidRPr="00AA40E6">
        <w:rPr>
          <w:lang w:val="fr-FR"/>
        </w:rPr>
        <w:t xml:space="preserve"> System) G10200 ou SAE 1020. »</w:t>
      </w:r>
    </w:p>
    <w:p w14:paraId="31E8D93C" w14:textId="781B3AFA" w:rsidR="00CB22AA" w:rsidRPr="00BC5A7F" w:rsidRDefault="00CB22AA" w:rsidP="00BC5A7F">
      <w:pPr>
        <w:pStyle w:val="Man2Head"/>
        <w:rPr>
          <w:sz w:val="24"/>
          <w:szCs w:val="24"/>
        </w:rPr>
      </w:pPr>
      <w:r w:rsidRPr="00BC5A7F">
        <w:rPr>
          <w:sz w:val="24"/>
          <w:szCs w:val="24"/>
        </w:rPr>
        <w:lastRenderedPageBreak/>
        <w:t>Section 38</w:t>
      </w:r>
    </w:p>
    <w:p w14:paraId="4CE2AEF5" w14:textId="77777777" w:rsidR="00CB22AA" w:rsidRPr="00AA40E6" w:rsidRDefault="00CB22AA" w:rsidP="005F15E4">
      <w:pPr>
        <w:pStyle w:val="MBodyTxt"/>
        <w:ind w:left="1418" w:hanging="1418"/>
        <w:rPr>
          <w:lang w:val="fr-FR"/>
        </w:rPr>
      </w:pPr>
      <w:r w:rsidRPr="00AA40E6">
        <w:rPr>
          <w:lang w:val="fr-FR"/>
        </w:rPr>
        <w:t>38.3.3 d)</w:t>
      </w:r>
      <w:r w:rsidRPr="00AA40E6">
        <w:rPr>
          <w:lang w:val="fr-FR"/>
        </w:rPr>
        <w:tab/>
        <w:t>Dans le dernier paragraphe, après « d’une autre batterie », ajouter « , d’un véhicule ».</w:t>
      </w:r>
    </w:p>
    <w:p w14:paraId="2F5ED6E1" w14:textId="77777777" w:rsidR="00CB22AA" w:rsidRPr="00AA40E6" w:rsidRDefault="00CB22AA" w:rsidP="005F15E4">
      <w:pPr>
        <w:pStyle w:val="MBodyTxt"/>
        <w:ind w:left="1418" w:hanging="1418"/>
        <w:rPr>
          <w:lang w:val="fr-FR"/>
        </w:rPr>
      </w:pPr>
      <w:r w:rsidRPr="00AA40E6">
        <w:rPr>
          <w:lang w:val="fr-FR"/>
        </w:rPr>
        <w:t>38.3.3 g)</w:t>
      </w:r>
      <w:r w:rsidRPr="00AA40E6">
        <w:rPr>
          <w:lang w:val="fr-FR"/>
        </w:rPr>
        <w:tab/>
        <w:t>Ajouter les nouveaux paragraphes suivants à la fin :</w:t>
      </w:r>
    </w:p>
    <w:p w14:paraId="64664277" w14:textId="77777777" w:rsidR="00CB22AA" w:rsidRPr="00AA40E6" w:rsidRDefault="00CB22AA" w:rsidP="005F15E4">
      <w:pPr>
        <w:pStyle w:val="MBodyTxt"/>
        <w:rPr>
          <w:lang w:val="fr-FR"/>
        </w:rPr>
      </w:pPr>
      <w:r w:rsidRPr="00AA40E6">
        <w:rPr>
          <w:lang w:val="fr-FR"/>
        </w:rPr>
        <w:t>« Pour les batteries assemblées ne comportant pas de dispositif de protection contre les surcharges qui sont conçues pour être utilisées seulement en tant qu’élément d’une autre batterie, d’un équipement ou d’un véhicule conférant une telle protection :</w:t>
      </w:r>
    </w:p>
    <w:p w14:paraId="4210A912" w14:textId="77777777" w:rsidR="00CB22AA" w:rsidRPr="005F15E4" w:rsidRDefault="00CB22AA" w:rsidP="005F15E4">
      <w:pPr>
        <w:pStyle w:val="Man1subpara"/>
      </w:pPr>
      <w:r w:rsidRPr="005F15E4">
        <w:t>-</w:t>
      </w:r>
      <w:r w:rsidRPr="005F15E4">
        <w:tab/>
        <w:t>Le dispositif de protection contre les surcharges doit être vérifié au niveau de la batterie, de l’équipement ou du véhicule, selon le cas ; et</w:t>
      </w:r>
    </w:p>
    <w:p w14:paraId="1432E937" w14:textId="77777777" w:rsidR="00CB22AA" w:rsidRPr="005F15E4" w:rsidRDefault="00CB22AA" w:rsidP="005F15E4">
      <w:pPr>
        <w:pStyle w:val="Man1subpara"/>
      </w:pPr>
      <w:r w:rsidRPr="005F15E4">
        <w:t>-</w:t>
      </w:r>
      <w:r w:rsidRPr="005F15E4">
        <w:tab/>
        <w:t>L’utilisation de systèmes de charge dépourvus de dispositif de protection contre les surcharges doit être empêchée par un système physique ou par des contrôles des processus. ».</w:t>
      </w:r>
    </w:p>
    <w:p w14:paraId="00299603" w14:textId="77777777" w:rsidR="00CB22AA" w:rsidRPr="00AA40E6" w:rsidRDefault="00CB22AA" w:rsidP="005F15E4">
      <w:pPr>
        <w:pStyle w:val="MBodyTxt"/>
        <w:ind w:left="1418" w:hanging="1418"/>
        <w:rPr>
          <w:lang w:val="fr-FR"/>
        </w:rPr>
      </w:pPr>
      <w:r w:rsidRPr="00AA40E6">
        <w:rPr>
          <w:lang w:val="fr-FR"/>
        </w:rPr>
        <w:t>38.3.5</w:t>
      </w:r>
      <w:r w:rsidRPr="00AA40E6">
        <w:rPr>
          <w:lang w:val="fr-FR"/>
        </w:rPr>
        <w:tab/>
        <w:t>Modifier l’alinéa j) du résumé du procès-verbal d’épreuve pour lire comme suit :</w:t>
      </w:r>
    </w:p>
    <w:p w14:paraId="566C98F3" w14:textId="77777777" w:rsidR="00CB22AA" w:rsidRPr="00AA40E6" w:rsidRDefault="00CB22AA" w:rsidP="005F15E4">
      <w:pPr>
        <w:pStyle w:val="MBodyTxt"/>
        <w:rPr>
          <w:lang w:val="fr-FR"/>
        </w:rPr>
      </w:pPr>
      <w:r w:rsidRPr="00AA40E6">
        <w:rPr>
          <w:lang w:val="fr-FR"/>
        </w:rPr>
        <w:t>« j)</w:t>
      </w:r>
      <w:r w:rsidRPr="00AA40E6">
        <w:rPr>
          <w:lang w:val="fr-FR"/>
        </w:rPr>
        <w:tab/>
      </w:r>
      <w:r w:rsidRPr="00AA40E6">
        <w:rPr>
          <w:rFonts w:eastAsiaTheme="minorHAnsi"/>
          <w:lang w:val="fr-FR"/>
        </w:rPr>
        <w:t>Comme indication de la validité des informations fournies : nom et qualité de la personne responsable. »</w:t>
      </w:r>
    </w:p>
    <w:p w14:paraId="1F349466" w14:textId="2656A77B" w:rsidR="00CB22AA" w:rsidRPr="00BC5A7F" w:rsidRDefault="00CB22AA" w:rsidP="00BC5A7F">
      <w:pPr>
        <w:pStyle w:val="Man2Head"/>
        <w:rPr>
          <w:sz w:val="24"/>
          <w:szCs w:val="24"/>
        </w:rPr>
      </w:pPr>
      <w:r w:rsidRPr="00BC5A7F">
        <w:rPr>
          <w:sz w:val="24"/>
          <w:szCs w:val="24"/>
        </w:rPr>
        <w:t>Section 41</w:t>
      </w:r>
    </w:p>
    <w:p w14:paraId="3F2DC10E" w14:textId="77777777" w:rsidR="00CB22AA" w:rsidRPr="00491BD9" w:rsidRDefault="00CB22AA" w:rsidP="005F15E4">
      <w:pPr>
        <w:pStyle w:val="MBodyTxt"/>
        <w:rPr>
          <w:lang w:val="fr-FR"/>
        </w:rPr>
      </w:pPr>
      <w:r w:rsidRPr="00491BD9">
        <w:rPr>
          <w:lang w:val="fr-FR"/>
        </w:rPr>
        <w:t>41.1.3</w:t>
      </w:r>
      <w:r w:rsidRPr="00491BD9">
        <w:rPr>
          <w:lang w:val="fr-FR"/>
        </w:rPr>
        <w:tab/>
        <w:t>Ajouter le nouveau paragraphe suivant :</w:t>
      </w:r>
    </w:p>
    <w:p w14:paraId="5954122C" w14:textId="77777777" w:rsidR="00CB22AA" w:rsidRPr="00491BD9" w:rsidRDefault="00CB22AA" w:rsidP="005F15E4">
      <w:pPr>
        <w:pStyle w:val="MBodyTxt"/>
        <w:rPr>
          <w:lang w:val="fr-FR"/>
        </w:rPr>
      </w:pPr>
      <w:r w:rsidRPr="00491BD9">
        <w:rPr>
          <w:lang w:val="fr-FR"/>
        </w:rPr>
        <w:t>« 41.1.3</w:t>
      </w:r>
      <w:r w:rsidRPr="00491BD9">
        <w:rPr>
          <w:lang w:val="fr-FR"/>
        </w:rPr>
        <w:tab/>
        <w:t>La citerne mobile ou le CGEM soumis à l’essai dynamique de résistance aux impacts longitudinaux doivent être secs avant le début de l’essai. Si la capacité du laboratoire ou de l’organisme de vérification à repérer les sources de fuite potentielles est altérée par les conditions météorologiques, par exemple en cas de pluie ou de neige, l’essai de résistance aux impacts doit être interrompu. Il ne pourra reprendre que lorsque la citerne mobile ou le CGEM seront secs et que la pluie ou la neige aura cessé. ».</w:t>
      </w:r>
    </w:p>
    <w:p w14:paraId="094A04E5" w14:textId="41100C13" w:rsidR="00CB22AA" w:rsidRPr="00BC5A7F" w:rsidRDefault="00CB22AA" w:rsidP="00BC5A7F">
      <w:pPr>
        <w:pStyle w:val="Man2Head"/>
        <w:rPr>
          <w:sz w:val="24"/>
          <w:szCs w:val="24"/>
        </w:rPr>
      </w:pPr>
      <w:r w:rsidRPr="00BC5A7F">
        <w:rPr>
          <w:sz w:val="24"/>
          <w:szCs w:val="24"/>
        </w:rPr>
        <w:t>Section 51</w:t>
      </w:r>
    </w:p>
    <w:p w14:paraId="77AA6FAC" w14:textId="33FFA6C5" w:rsidR="00CB22AA" w:rsidRPr="00AA40E6" w:rsidRDefault="00CB22AA" w:rsidP="005F15E4">
      <w:pPr>
        <w:pStyle w:val="MBodyTxt"/>
        <w:ind w:left="1418" w:hanging="1418"/>
        <w:rPr>
          <w:lang w:val="fr-FR"/>
        </w:rPr>
      </w:pPr>
      <w:r w:rsidRPr="00AA40E6">
        <w:rPr>
          <w:lang w:val="fr-FR"/>
        </w:rPr>
        <w:t>51.2.1</w:t>
      </w:r>
      <w:r w:rsidRPr="00AA40E6">
        <w:rPr>
          <w:lang w:val="fr-FR"/>
        </w:rPr>
        <w:tab/>
        <w:t>Dans la note de bas de page 1, modifier la première phrase pour lire comme suit : « Une matière explosible du chapitre 2.1 du SGH considérée comme trop sensible pour être affectée à une division peut aussi être stabilisée par désensibilisation et être classée dans les matières explosibles désensibilisées, à condition qu’elle satisfasse à tous les critères énoncés au chapitre 2.17 du SGH. ».</w:t>
      </w:r>
    </w:p>
    <w:p w14:paraId="71AD9294" w14:textId="714DF471" w:rsidR="001A3524" w:rsidRPr="00AA40E6" w:rsidRDefault="001A3524" w:rsidP="001A3524">
      <w:pPr>
        <w:spacing w:before="240" w:line="240" w:lineRule="atLeast"/>
        <w:jc w:val="center"/>
        <w:rPr>
          <w:u w:val="single"/>
          <w:lang w:val="fr-FR"/>
        </w:rPr>
      </w:pPr>
      <w:r w:rsidRPr="00AA40E6">
        <w:rPr>
          <w:u w:val="single"/>
          <w:lang w:val="fr-FR"/>
        </w:rPr>
        <w:tab/>
      </w:r>
      <w:r w:rsidRPr="00AA40E6">
        <w:rPr>
          <w:u w:val="single"/>
          <w:lang w:val="fr-FR"/>
        </w:rPr>
        <w:tab/>
      </w:r>
      <w:r w:rsidRPr="00AA40E6">
        <w:rPr>
          <w:u w:val="single"/>
          <w:lang w:val="fr-FR"/>
        </w:rPr>
        <w:tab/>
      </w:r>
    </w:p>
    <w:sectPr w:rsidR="001A3524" w:rsidRPr="00AA40E6" w:rsidSect="0069007D">
      <w:headerReference w:type="even" r:id="rId45"/>
      <w:headerReference w:type="default" r:id="rId46"/>
      <w:footerReference w:type="even" r:id="rId47"/>
      <w:footerReference w:type="default" r:id="rId48"/>
      <w:headerReference w:type="first" r:id="rId49"/>
      <w:footerReference w:type="first" r:id="rId50"/>
      <w:endnotePr>
        <w:numFmt w:val="decimal"/>
      </w:endnotePr>
      <w:type w:val="oddPage"/>
      <w:pgSz w:w="11906" w:h="16838" w:code="9"/>
      <w:pgMar w:top="1417" w:right="1134" w:bottom="1134" w:left="1134" w:header="85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65558" w14:textId="77777777" w:rsidR="00331E24" w:rsidRDefault="00331E24">
      <w:r>
        <w:separator/>
      </w:r>
    </w:p>
  </w:endnote>
  <w:endnote w:type="continuationSeparator" w:id="0">
    <w:p w14:paraId="58974AE7" w14:textId="77777777" w:rsidR="00331E24" w:rsidRDefault="00331E24">
      <w:r>
        <w:continuationSeparator/>
      </w:r>
    </w:p>
  </w:endnote>
  <w:endnote w:type="continuationNotice" w:id="1">
    <w:p w14:paraId="7FB65F8A" w14:textId="77777777" w:rsidR="00331E24" w:rsidRDefault="00331E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252" w:type="dxa"/>
      <w:tblLook w:val="01E0" w:firstRow="1" w:lastRow="1" w:firstColumn="1" w:lastColumn="1" w:noHBand="0" w:noVBand="0"/>
    </w:tblPr>
    <w:tblGrid>
      <w:gridCol w:w="2371"/>
      <w:gridCol w:w="7519"/>
    </w:tblGrid>
    <w:tr w:rsidR="00F1580D" w:rsidRPr="006D2424" w14:paraId="2D9664D4" w14:textId="77777777" w:rsidTr="00993DF0">
      <w:trPr>
        <w:trHeight w:val="1865"/>
      </w:trPr>
      <w:tc>
        <w:tcPr>
          <w:tcW w:w="2371" w:type="dxa"/>
        </w:tcPr>
        <w:p w14:paraId="1D497F6F" w14:textId="134A7A09" w:rsidR="00F1580D" w:rsidRDefault="00F1580D" w:rsidP="00993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rPr>
            <w:drawing>
              <wp:inline distT="0" distB="0" distL="0" distR="0" wp14:anchorId="16BF6F92" wp14:editId="2E01BA07">
                <wp:extent cx="1368425" cy="132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60" t="-371" r="-160" b="-371"/>
                        <a:stretch>
                          <a:fillRect/>
                        </a:stretch>
                      </pic:blipFill>
                      <pic:spPr bwMode="auto">
                        <a:xfrm>
                          <a:off x="0" y="0"/>
                          <a:ext cx="1368425" cy="1327150"/>
                        </a:xfrm>
                        <a:prstGeom prst="rect">
                          <a:avLst/>
                        </a:prstGeom>
                        <a:noFill/>
                        <a:ln>
                          <a:noFill/>
                        </a:ln>
                      </pic:spPr>
                    </pic:pic>
                  </a:graphicData>
                </a:graphic>
              </wp:inline>
            </w:drawing>
          </w:r>
        </w:p>
      </w:tc>
      <w:tc>
        <w:tcPr>
          <w:tcW w:w="7735" w:type="dxa"/>
          <w:vAlign w:val="bottom"/>
        </w:tcPr>
        <w:p w14:paraId="27AA7581" w14:textId="77777777" w:rsidR="00F1580D" w:rsidRPr="007F33FC" w:rsidRDefault="00F1580D" w:rsidP="00F8650B">
          <w:pPr>
            <w:rPr>
              <w:rFonts w:ascii="Arial" w:hAnsi="Arial" w:cs="Arial"/>
              <w:b/>
              <w:bCs/>
              <w:sz w:val="28"/>
              <w:szCs w:val="28"/>
              <w:lang w:val="fr-FR"/>
            </w:rPr>
          </w:pPr>
          <w:r w:rsidRPr="007F33FC">
            <w:rPr>
              <w:rFonts w:ascii="Arial" w:hAnsi="Arial" w:cs="Arial"/>
              <w:b/>
              <w:bCs/>
              <w:sz w:val="28"/>
              <w:szCs w:val="28"/>
              <w:lang w:val="fr-FR"/>
            </w:rPr>
            <w:t>NATIONS UNIES</w:t>
          </w:r>
        </w:p>
        <w:p w14:paraId="516AA7D6" w14:textId="039918CA" w:rsidR="00F1580D" w:rsidRPr="007F33FC" w:rsidRDefault="00F1580D" w:rsidP="00F8650B">
          <w:pPr>
            <w:rPr>
              <w:rFonts w:ascii="Arial" w:hAnsi="Arial" w:cs="Arial"/>
              <w:b/>
              <w:bCs/>
              <w:sz w:val="28"/>
              <w:szCs w:val="28"/>
              <w:lang w:val="fr-FR"/>
            </w:rPr>
          </w:pPr>
          <w:r w:rsidRPr="007F33FC">
            <w:rPr>
              <w:rFonts w:ascii="Arial" w:hAnsi="Arial" w:cs="Arial"/>
              <w:b/>
              <w:bCs/>
              <w:sz w:val="28"/>
              <w:szCs w:val="28"/>
              <w:lang w:val="fr-FR"/>
            </w:rPr>
            <w:t>New York et Genève, 20</w:t>
          </w:r>
          <w:r>
            <w:rPr>
              <w:rFonts w:ascii="Arial" w:hAnsi="Arial" w:cs="Arial"/>
              <w:b/>
              <w:bCs/>
              <w:sz w:val="28"/>
              <w:szCs w:val="28"/>
              <w:lang w:val="fr-FR"/>
            </w:rPr>
            <w:t>21</w:t>
          </w:r>
        </w:p>
        <w:p w14:paraId="03B58BA5" w14:textId="77777777" w:rsidR="00F1580D" w:rsidRPr="007F33FC" w:rsidRDefault="00F1580D" w:rsidP="00F8650B">
          <w:pPr>
            <w:rPr>
              <w:rFonts w:ascii="Arial" w:hAnsi="Arial" w:cs="Arial"/>
              <w:sz w:val="28"/>
              <w:szCs w:val="28"/>
              <w:lang w:val="fr-FR"/>
            </w:rPr>
          </w:pPr>
        </w:p>
        <w:p w14:paraId="66BAF6AE" w14:textId="77777777" w:rsidR="00F1580D" w:rsidRPr="007F33FC" w:rsidRDefault="00F1580D" w:rsidP="00993DF0">
          <w:pPr>
            <w:rPr>
              <w:rFonts w:ascii="Arial" w:hAnsi="Arial" w:cs="Arial"/>
              <w:sz w:val="28"/>
              <w:szCs w:val="28"/>
              <w:lang w:val="fr-FR"/>
            </w:rPr>
          </w:pPr>
        </w:p>
      </w:tc>
    </w:tr>
  </w:tbl>
  <w:p w14:paraId="7DA6D6E7" w14:textId="77777777" w:rsidR="00F1580D" w:rsidRPr="007F33FC" w:rsidRDefault="00F1580D" w:rsidP="000A07B0">
    <w:pPr>
      <w:rPr>
        <w:szCs w:val="22"/>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252" w:type="dxa"/>
      <w:tblLook w:val="01E0" w:firstRow="1" w:lastRow="1" w:firstColumn="1" w:lastColumn="1" w:noHBand="0" w:noVBand="0"/>
    </w:tblPr>
    <w:tblGrid>
      <w:gridCol w:w="2371"/>
      <w:gridCol w:w="7519"/>
    </w:tblGrid>
    <w:tr w:rsidR="00F1580D" w:rsidRPr="006D2424" w14:paraId="4E0FD88B" w14:textId="77777777" w:rsidTr="00993DF0">
      <w:trPr>
        <w:trHeight w:val="1865"/>
      </w:trPr>
      <w:tc>
        <w:tcPr>
          <w:tcW w:w="2371" w:type="dxa"/>
        </w:tcPr>
        <w:p w14:paraId="39936AD4" w14:textId="77777777" w:rsidR="00F1580D" w:rsidRDefault="00F1580D" w:rsidP="00993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rPr>
            <w:drawing>
              <wp:inline distT="0" distB="0" distL="0" distR="0" wp14:anchorId="1B601F6D" wp14:editId="51A24F72">
                <wp:extent cx="1368425" cy="1327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60" t="-371" r="-160" b="-371"/>
                        <a:stretch>
                          <a:fillRect/>
                        </a:stretch>
                      </pic:blipFill>
                      <pic:spPr bwMode="auto">
                        <a:xfrm>
                          <a:off x="0" y="0"/>
                          <a:ext cx="1368425" cy="1327150"/>
                        </a:xfrm>
                        <a:prstGeom prst="rect">
                          <a:avLst/>
                        </a:prstGeom>
                        <a:noFill/>
                        <a:ln>
                          <a:noFill/>
                        </a:ln>
                      </pic:spPr>
                    </pic:pic>
                  </a:graphicData>
                </a:graphic>
              </wp:inline>
            </w:drawing>
          </w:r>
        </w:p>
      </w:tc>
      <w:tc>
        <w:tcPr>
          <w:tcW w:w="7735" w:type="dxa"/>
          <w:vAlign w:val="bottom"/>
        </w:tcPr>
        <w:p w14:paraId="677619F6" w14:textId="77777777" w:rsidR="00F1580D" w:rsidRPr="007F33FC" w:rsidRDefault="00F1580D" w:rsidP="00F8650B">
          <w:pPr>
            <w:rPr>
              <w:rFonts w:ascii="Arial" w:hAnsi="Arial" w:cs="Arial"/>
              <w:b/>
              <w:bCs/>
              <w:sz w:val="28"/>
              <w:szCs w:val="28"/>
              <w:lang w:val="fr-FR"/>
            </w:rPr>
          </w:pPr>
          <w:r w:rsidRPr="007F33FC">
            <w:rPr>
              <w:rFonts w:ascii="Arial" w:hAnsi="Arial" w:cs="Arial"/>
              <w:b/>
              <w:bCs/>
              <w:sz w:val="28"/>
              <w:szCs w:val="28"/>
              <w:lang w:val="fr-FR"/>
            </w:rPr>
            <w:t>NATIONS UNIES</w:t>
          </w:r>
        </w:p>
        <w:p w14:paraId="38CECF21" w14:textId="2358B428" w:rsidR="00F1580D" w:rsidRPr="007F33FC" w:rsidRDefault="00F1580D" w:rsidP="00F8650B">
          <w:pPr>
            <w:rPr>
              <w:rFonts w:ascii="Arial" w:hAnsi="Arial" w:cs="Arial"/>
              <w:b/>
              <w:bCs/>
              <w:sz w:val="28"/>
              <w:szCs w:val="28"/>
              <w:lang w:val="fr-FR"/>
            </w:rPr>
          </w:pPr>
          <w:r w:rsidRPr="007F33FC">
            <w:rPr>
              <w:rFonts w:ascii="Arial" w:hAnsi="Arial" w:cs="Arial"/>
              <w:b/>
              <w:bCs/>
              <w:sz w:val="28"/>
              <w:szCs w:val="28"/>
              <w:lang w:val="fr-FR"/>
            </w:rPr>
            <w:t>New York et Genève, 20</w:t>
          </w:r>
          <w:r>
            <w:rPr>
              <w:rFonts w:ascii="Arial" w:hAnsi="Arial" w:cs="Arial"/>
              <w:b/>
              <w:bCs/>
              <w:sz w:val="28"/>
              <w:szCs w:val="28"/>
              <w:lang w:val="fr-FR"/>
            </w:rPr>
            <w:t>21</w:t>
          </w:r>
        </w:p>
        <w:p w14:paraId="70ECF9E1" w14:textId="77777777" w:rsidR="00F1580D" w:rsidRPr="007F33FC" w:rsidRDefault="00F1580D" w:rsidP="00F8650B">
          <w:pPr>
            <w:rPr>
              <w:rFonts w:ascii="Arial" w:hAnsi="Arial" w:cs="Arial"/>
              <w:sz w:val="28"/>
              <w:szCs w:val="28"/>
              <w:lang w:val="fr-FR"/>
            </w:rPr>
          </w:pPr>
        </w:p>
        <w:p w14:paraId="4E3B2539" w14:textId="77777777" w:rsidR="00F1580D" w:rsidRPr="007F33FC" w:rsidRDefault="00F1580D" w:rsidP="00993DF0">
          <w:pPr>
            <w:rPr>
              <w:rFonts w:ascii="Arial" w:hAnsi="Arial" w:cs="Arial"/>
              <w:sz w:val="28"/>
              <w:szCs w:val="28"/>
              <w:lang w:val="fr-FR"/>
            </w:rPr>
          </w:pPr>
        </w:p>
      </w:tc>
    </w:tr>
  </w:tbl>
  <w:p w14:paraId="50F3285C" w14:textId="77777777" w:rsidR="00F1580D" w:rsidRPr="007F33FC" w:rsidRDefault="00F1580D" w:rsidP="000A07B0">
    <w:pPr>
      <w:rPr>
        <w:szCs w:val="22"/>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A5924" w14:textId="27B26E93" w:rsidR="00F1580D" w:rsidRPr="00BD0F6A" w:rsidRDefault="00F1580D" w:rsidP="00BD0F6A">
    <w:pPr>
      <w:jc w:val="center"/>
      <w:rPr>
        <w:szCs w:val="22"/>
        <w:lang w:val="fr-FR"/>
      </w:rPr>
    </w:pPr>
    <w:r>
      <w:rPr>
        <w:szCs w:val="22"/>
      </w:rPr>
      <w:t xml:space="preserve">- </w:t>
    </w:r>
    <w:r>
      <w:rPr>
        <w:szCs w:val="22"/>
      </w:rPr>
      <w:fldChar w:fldCharType="begin"/>
    </w:r>
    <w:r>
      <w:rPr>
        <w:szCs w:val="22"/>
      </w:rPr>
      <w:instrText xml:space="preserve"> PAGE </w:instrText>
    </w:r>
    <w:r>
      <w:rPr>
        <w:szCs w:val="22"/>
      </w:rPr>
      <w:fldChar w:fldCharType="separate"/>
    </w:r>
    <w:r>
      <w:t>v</w:t>
    </w:r>
    <w:r>
      <w:rPr>
        <w:szCs w:val="22"/>
      </w:rPr>
      <w:fldChar w:fldCharType="end"/>
    </w:r>
    <w:r>
      <w:rPr>
        <w:szCs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E8D89" w14:textId="11AAEB55" w:rsidR="00F1580D" w:rsidRPr="001908CD" w:rsidRDefault="00F1580D" w:rsidP="001908CD">
    <w:pPr>
      <w:jc w:val="center"/>
      <w:rPr>
        <w:szCs w:val="22"/>
        <w:lang w:val="fr-FR"/>
      </w:rPr>
    </w:pPr>
    <w:r>
      <w:rPr>
        <w:szCs w:val="22"/>
      </w:rPr>
      <w:t xml:space="preserve">- </w:t>
    </w:r>
    <w:r>
      <w:rPr>
        <w:szCs w:val="22"/>
      </w:rPr>
      <w:fldChar w:fldCharType="begin"/>
    </w:r>
    <w:r>
      <w:rPr>
        <w:szCs w:val="22"/>
      </w:rPr>
      <w:instrText xml:space="preserve"> PAGE </w:instrText>
    </w:r>
    <w:r>
      <w:rPr>
        <w:szCs w:val="22"/>
      </w:rPr>
      <w:fldChar w:fldCharType="separate"/>
    </w:r>
    <w:r>
      <w:t>iii</w:t>
    </w:r>
    <w:r>
      <w:rPr>
        <w:szCs w:val="22"/>
      </w:rPr>
      <w:fldChar w:fldCharType="end"/>
    </w:r>
    <w:r>
      <w:rPr>
        <w:szCs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B3EC6" w14:textId="77777777" w:rsidR="00F1580D" w:rsidRPr="00A658A1" w:rsidRDefault="00F1580D" w:rsidP="00F1580D">
    <w:pPr>
      <w:pStyle w:val="Footer"/>
      <w:tabs>
        <w:tab w:val="right" w:pos="9638"/>
      </w:tabs>
      <w:rPr>
        <w:sz w:val="18"/>
      </w:rPr>
    </w:pPr>
    <w:r w:rsidRPr="00A658A1">
      <w:rPr>
        <w:b/>
        <w:sz w:val="18"/>
      </w:rPr>
      <w:fldChar w:fldCharType="begin"/>
    </w:r>
    <w:r w:rsidRPr="00A658A1">
      <w:rPr>
        <w:b/>
        <w:sz w:val="18"/>
      </w:rPr>
      <w:instrText xml:space="preserve"> PAGE  \* MERGEFORMAT </w:instrText>
    </w:r>
    <w:r w:rsidRPr="00A658A1">
      <w:rPr>
        <w:b/>
        <w:sz w:val="18"/>
      </w:rPr>
      <w:fldChar w:fldCharType="separate"/>
    </w:r>
    <w:r w:rsidRPr="00A658A1">
      <w:rPr>
        <w:b/>
        <w:noProof/>
        <w:sz w:val="18"/>
      </w:rPr>
      <w:t>2</w:t>
    </w:r>
    <w:r w:rsidRPr="00A658A1">
      <w:rPr>
        <w:b/>
        <w:sz w:val="18"/>
      </w:rPr>
      <w:fldChar w:fldCharType="end"/>
    </w:r>
    <w:r>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7C74B" w14:textId="1D0433E8" w:rsidR="00F1580D" w:rsidRPr="00A658A1" w:rsidRDefault="00D03947" w:rsidP="00F1580D">
    <w:pPr>
      <w:pStyle w:val="Footer"/>
      <w:tabs>
        <w:tab w:val="right" w:pos="9638"/>
      </w:tabs>
      <w:rPr>
        <w:b/>
        <w:sz w:val="18"/>
      </w:rPr>
    </w:pPr>
    <w:r>
      <w:tab/>
      <w:t xml:space="preserve">- </w:t>
    </w:r>
    <w:r w:rsidR="00F1580D" w:rsidRPr="00A658A1">
      <w:rPr>
        <w:b/>
        <w:sz w:val="18"/>
      </w:rPr>
      <w:fldChar w:fldCharType="begin"/>
    </w:r>
    <w:r w:rsidR="00F1580D" w:rsidRPr="00A658A1">
      <w:rPr>
        <w:b/>
        <w:sz w:val="18"/>
      </w:rPr>
      <w:instrText xml:space="preserve"> PAGE  \* MERGEFORMAT </w:instrText>
    </w:r>
    <w:r w:rsidR="00F1580D" w:rsidRPr="00A658A1">
      <w:rPr>
        <w:b/>
        <w:sz w:val="18"/>
      </w:rPr>
      <w:fldChar w:fldCharType="separate"/>
    </w:r>
    <w:r w:rsidR="00F1580D" w:rsidRPr="00A658A1">
      <w:rPr>
        <w:b/>
        <w:noProof/>
        <w:sz w:val="18"/>
      </w:rPr>
      <w:t>3</w:t>
    </w:r>
    <w:r w:rsidR="00F1580D" w:rsidRPr="00A658A1">
      <w:rPr>
        <w:b/>
        <w:sz w:val="18"/>
      </w:rPr>
      <w:fldChar w:fldCharType="end"/>
    </w:r>
    <w:r>
      <w:rPr>
        <w:b/>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8180C" w14:textId="47BC4A51" w:rsidR="00F1580D" w:rsidRPr="00A658A1" w:rsidRDefault="00F1580D">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EF9BC" w14:textId="77777777" w:rsidR="00331E24" w:rsidRDefault="00331E24">
      <w:r>
        <w:separator/>
      </w:r>
    </w:p>
  </w:footnote>
  <w:footnote w:type="continuationSeparator" w:id="0">
    <w:p w14:paraId="4DE05EE3" w14:textId="77777777" w:rsidR="00331E24" w:rsidRDefault="00331E24">
      <w:r>
        <w:continuationSeparator/>
      </w:r>
    </w:p>
  </w:footnote>
  <w:footnote w:type="continuationNotice" w:id="1">
    <w:p w14:paraId="5B1927B9" w14:textId="77777777" w:rsidR="00331E24" w:rsidRDefault="00331E24"/>
  </w:footnote>
  <w:footnote w:id="2">
    <w:p w14:paraId="57C04ADC" w14:textId="090EF47A" w:rsidR="00F1580D" w:rsidRPr="00B7596F" w:rsidRDefault="00F1580D" w:rsidP="00941EF3">
      <w:pPr>
        <w:shd w:val="clear" w:color="auto" w:fill="FFFFFF"/>
        <w:tabs>
          <w:tab w:val="left" w:pos="567"/>
        </w:tabs>
        <w:spacing w:after="240"/>
        <w:rPr>
          <w:rFonts w:asciiTheme="minorHAnsi" w:eastAsiaTheme="minorEastAsia" w:hAnsiTheme="minorHAnsi" w:cstheme="minorBidi"/>
          <w:sz w:val="20"/>
          <w:szCs w:val="20"/>
          <w:lang w:val="fr-FR" w:eastAsia="zh-CN"/>
        </w:rPr>
      </w:pPr>
      <w:r w:rsidRPr="00B7596F">
        <w:rPr>
          <w:rStyle w:val="FootnoteReference"/>
          <w:rFonts w:eastAsiaTheme="minorEastAsia"/>
          <w:b/>
          <w:bCs/>
          <w:lang w:val="fr-FR"/>
        </w:rPr>
        <w:t>1</w:t>
      </w:r>
      <w:r w:rsidRPr="00B7596F">
        <w:rPr>
          <w:sz w:val="20"/>
          <w:szCs w:val="20"/>
          <w:lang w:val="fr-FR"/>
        </w:rPr>
        <w:tab/>
      </w:r>
      <w:r w:rsidRPr="00B7596F">
        <w:rPr>
          <w:i/>
          <w:iCs/>
          <w:sz w:val="20"/>
          <w:szCs w:val="20"/>
          <w:lang w:val="fr-FR" w:eastAsia="fr-FR"/>
        </w:rPr>
        <w:t>Références :</w:t>
      </w:r>
      <w:r w:rsidRPr="00B7596F">
        <w:rPr>
          <w:i/>
          <w:iCs/>
          <w:sz w:val="20"/>
          <w:szCs w:val="20"/>
          <w:lang w:val="fr-FR" w:eastAsia="fr-FR"/>
        </w:rPr>
        <w:tab/>
        <w:t>N.N. Semenov, Z. Physik, 48, 1928, 571</w:t>
      </w:r>
      <w:r w:rsidR="00BA12DF" w:rsidRPr="00B7596F">
        <w:rPr>
          <w:i/>
          <w:iCs/>
          <w:sz w:val="20"/>
          <w:szCs w:val="20"/>
          <w:lang w:val="fr-FR" w:eastAsia="fr-FR"/>
        </w:rPr>
        <w:t xml:space="preserve"> ; </w:t>
      </w:r>
      <w:r w:rsidRPr="00B7596F">
        <w:rPr>
          <w:i/>
          <w:iCs/>
          <w:sz w:val="20"/>
          <w:szCs w:val="20"/>
          <w:lang w:val="fr-FR" w:eastAsia="fr-FR"/>
        </w:rPr>
        <w:t>D.A. Frank-Kamenetskii, Zhur, Fiz. Khim., 13, 1939, 738</w:t>
      </w:r>
      <w:r w:rsidR="00BA12DF" w:rsidRPr="00B7596F">
        <w:rPr>
          <w:i/>
          <w:iCs/>
          <w:sz w:val="20"/>
          <w:szCs w:val="20"/>
          <w:lang w:val="fr-FR" w:eastAsia="fr-FR"/>
        </w:rPr>
        <w:t xml:space="preserve"> ; </w:t>
      </w:r>
      <w:r w:rsidRPr="00B7596F">
        <w:rPr>
          <w:i/>
          <w:iCs/>
          <w:sz w:val="20"/>
          <w:szCs w:val="20"/>
          <w:lang w:val="fr-FR" w:eastAsia="fr-FR"/>
        </w:rPr>
        <w:t>P.H. Thomas, Trans. Faraday Soc., 54, 1958,60.</w:t>
      </w:r>
    </w:p>
  </w:footnote>
  <w:footnote w:id="3">
    <w:p w14:paraId="0704B44A" w14:textId="346AB819" w:rsidR="00F1580D" w:rsidRDefault="00F1580D" w:rsidP="00941EF3">
      <w:pPr>
        <w:pStyle w:val="FootnoteText"/>
        <w:rPr>
          <w:rFonts w:asciiTheme="majorBidi" w:hAnsiTheme="majorBidi" w:cstheme="majorBidi"/>
          <w:i/>
          <w:iCs/>
          <w:lang w:val="fr-CH"/>
        </w:rPr>
      </w:pPr>
      <w:r>
        <w:rPr>
          <w:rStyle w:val="FootnoteReference"/>
          <w:rFonts w:eastAsiaTheme="minorEastAsia"/>
          <w:b/>
          <w:bCs/>
        </w:rPr>
        <w:t>2</w:t>
      </w:r>
      <w:r>
        <w:rPr>
          <w:b/>
          <w:bCs/>
          <w:lang w:val="fr-CH"/>
        </w:rPr>
        <w:t xml:space="preserve"> </w:t>
      </w:r>
      <w:r>
        <w:rPr>
          <w:rFonts w:asciiTheme="majorBidi" w:hAnsiTheme="majorBidi" w:cstheme="majorBidi"/>
          <w:i/>
          <w:iCs/>
          <w:lang w:val="fr-CH"/>
        </w:rPr>
        <w:tab/>
      </w:r>
      <w:r w:rsidRPr="00B7596F">
        <w:rPr>
          <w:rFonts w:asciiTheme="majorBidi" w:hAnsiTheme="majorBidi" w:cstheme="majorBidi"/>
          <w:i/>
          <w:iCs/>
          <w:lang w:val="fr-CH"/>
        </w:rPr>
        <w:t>Référence :</w:t>
      </w:r>
      <w:r>
        <w:rPr>
          <w:rFonts w:asciiTheme="majorBidi" w:hAnsiTheme="majorBidi" w:cstheme="majorBidi"/>
          <w:i/>
          <w:iCs/>
          <w:lang w:val="fr-CH"/>
        </w:rPr>
        <w:t xml:space="preserve"> Dürrstein S., Kappler C., Neuhaus I., Malow M., Michael-Schulz H., Gödde M., 2016, Modell-based prediction of the adiabatic induction period and SADT of dicumyl peroxide solution and comparison to large-scale experiments performed using 216.5-liter barrels in the H.1 test, Chemical Engineering Transactions, 48, p.475-480.</w:t>
      </w:r>
    </w:p>
  </w:footnote>
  <w:footnote w:id="4">
    <w:p w14:paraId="5A85309B" w14:textId="047D982D" w:rsidR="00F1580D" w:rsidRPr="00B7596F" w:rsidRDefault="00F1580D" w:rsidP="00941EF3">
      <w:pPr>
        <w:pStyle w:val="FootnoteText"/>
        <w:rPr>
          <w:rFonts w:asciiTheme="majorBidi" w:hAnsiTheme="majorBidi" w:cstheme="majorBidi"/>
          <w:i/>
          <w:iCs/>
          <w:lang w:val="fr-CH"/>
        </w:rPr>
      </w:pPr>
      <w:r>
        <w:rPr>
          <w:rStyle w:val="FootnoteReference"/>
          <w:rFonts w:eastAsiaTheme="minorEastAsia"/>
        </w:rPr>
        <w:t>3</w:t>
      </w:r>
      <w:r>
        <w:rPr>
          <w:lang w:val="fr-CH"/>
        </w:rPr>
        <w:t xml:space="preserve"> </w:t>
      </w:r>
      <w:r>
        <w:rPr>
          <w:lang w:val="fr-CH"/>
        </w:rPr>
        <w:tab/>
      </w:r>
      <w:r w:rsidRPr="00B7596F">
        <w:rPr>
          <w:rFonts w:asciiTheme="majorBidi" w:hAnsiTheme="majorBidi" w:cstheme="majorBidi"/>
          <w:i/>
          <w:iCs/>
          <w:lang w:val="fr-CH"/>
        </w:rPr>
        <w:t>Références :</w:t>
      </w:r>
    </w:p>
    <w:p w14:paraId="42A68D37" w14:textId="6143AC12" w:rsidR="00F1580D" w:rsidRDefault="00F1580D" w:rsidP="00941EF3">
      <w:pPr>
        <w:pStyle w:val="FootnoteText"/>
        <w:rPr>
          <w:rFonts w:asciiTheme="majorBidi" w:hAnsiTheme="majorBidi" w:cstheme="majorBidi"/>
          <w:i/>
          <w:iCs/>
          <w:lang w:val="fr-CH"/>
        </w:rPr>
      </w:pPr>
      <w:r>
        <w:rPr>
          <w:lang w:val="fr-CH"/>
        </w:rPr>
        <w:tab/>
      </w:r>
      <w:r>
        <w:rPr>
          <w:rFonts w:asciiTheme="majorBidi" w:hAnsiTheme="majorBidi" w:cstheme="majorBidi"/>
          <w:i/>
          <w:iCs/>
          <w:lang w:val="fr-CH"/>
        </w:rPr>
        <w:t>1)</w:t>
      </w:r>
      <w:r>
        <w:rPr>
          <w:lang w:val="fr-CH"/>
        </w:rPr>
        <w:t xml:space="preserve"> </w:t>
      </w:r>
      <w:r>
        <w:rPr>
          <w:lang w:val="fr-CH"/>
        </w:rPr>
        <w:tab/>
      </w:r>
      <w:r>
        <w:rPr>
          <w:rFonts w:asciiTheme="majorBidi" w:hAnsiTheme="majorBidi" w:cstheme="majorBidi"/>
          <w:i/>
          <w:iCs/>
          <w:lang w:val="fr-CH"/>
        </w:rPr>
        <w:t>J. L.C van Geel, Investigations into Self-Ignition Hazard of Nitrate Ester Propellants. Thèse, Université technique de Delft, Pays-Bas, 1969.</w:t>
      </w:r>
    </w:p>
    <w:p w14:paraId="0A8447D5" w14:textId="7C2D1171" w:rsidR="00F1580D" w:rsidRDefault="00F1580D" w:rsidP="00941EF3">
      <w:pPr>
        <w:pStyle w:val="FootnoteText"/>
        <w:rPr>
          <w:rFonts w:asciiTheme="majorBidi" w:hAnsiTheme="majorBidi" w:cstheme="majorBidi"/>
          <w:i/>
          <w:iCs/>
          <w:lang w:val="fr-CH"/>
        </w:rPr>
      </w:pPr>
      <w:r>
        <w:rPr>
          <w:lang w:val="fr-CH"/>
        </w:rPr>
        <w:tab/>
      </w:r>
      <w:r>
        <w:rPr>
          <w:rFonts w:asciiTheme="majorBidi" w:hAnsiTheme="majorBidi" w:cstheme="majorBidi"/>
          <w:i/>
          <w:iCs/>
          <w:lang w:val="fr-CH"/>
        </w:rPr>
        <w:t>2)</w:t>
      </w:r>
      <w:r>
        <w:rPr>
          <w:lang w:val="fr-CH"/>
        </w:rPr>
        <w:t xml:space="preserve"> </w:t>
      </w:r>
      <w:r>
        <w:rPr>
          <w:lang w:val="fr-CH"/>
        </w:rPr>
        <w:tab/>
      </w:r>
      <w:r>
        <w:rPr>
          <w:rFonts w:asciiTheme="majorBidi" w:hAnsiTheme="majorBidi" w:cstheme="majorBidi"/>
          <w:i/>
          <w:iCs/>
          <w:lang w:val="fr-CH"/>
        </w:rPr>
        <w:t>Barendregt, R.B., Thermal Investigation of Unstable Substances, Including a Comparison of Different Thermal Analytical Techniques, Thèse, Université technique de Delft, Pays-Bas, 1981.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34DBE" w14:textId="77777777" w:rsidR="00F1580D" w:rsidRDefault="00F15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A62A7" w14:textId="77777777" w:rsidR="00F1580D" w:rsidRPr="00A658A1" w:rsidRDefault="008B533F">
    <w:pPr>
      <w:pStyle w:val="Header"/>
    </w:pPr>
    <w:fldSimple w:instr=" TITLE  \* MERGEFORMAT ">
      <w:r w:rsidR="00F1580D">
        <w:t>ST/SG/AC.10/48/Add.2</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C6A04" w14:textId="1DD23DCA" w:rsidR="00F1580D" w:rsidRPr="0069007D" w:rsidRDefault="00F1580D" w:rsidP="006900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699D3" w14:textId="77777777" w:rsidR="00F1580D" w:rsidRDefault="00F158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2E82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F034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564C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6CCE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9470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28FB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60B0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9CFB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C0F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A275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B879D1"/>
    <w:multiLevelType w:val="hybridMultilevel"/>
    <w:tmpl w:val="EECCC636"/>
    <w:lvl w:ilvl="0" w:tplc="CC543252">
      <w:start w:val="31"/>
      <w:numFmt w:val="decimal"/>
      <w:lvlText w:val="%1."/>
      <w:lvlJc w:val="left"/>
      <w:pPr>
        <w:tabs>
          <w:tab w:val="num" w:pos="1260"/>
        </w:tabs>
        <w:ind w:left="1260" w:hanging="90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cs="Times New Roman" w:hint="default"/>
        <w:b w:val="0"/>
        <w:i w:val="0"/>
        <w:sz w:val="2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2" w15:restartNumberingAfterBreak="0">
    <w:nsid w:val="0FC7673D"/>
    <w:multiLevelType w:val="hybridMultilevel"/>
    <w:tmpl w:val="B3DC6B6C"/>
    <w:lvl w:ilvl="0" w:tplc="F72E3562">
      <w:start w:val="2"/>
      <w:numFmt w:val="bullet"/>
      <w:lvlText w:val="-"/>
      <w:lvlJc w:val="left"/>
      <w:pPr>
        <w:ind w:left="2061" w:hanging="360"/>
      </w:pPr>
      <w:rPr>
        <w:rFonts w:ascii="Times New Roman" w:eastAsia="SimSun" w:hAnsi="Times New Roman" w:cs="Times New Roman"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3" w15:restartNumberingAfterBreak="0">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2D3425C"/>
    <w:multiLevelType w:val="hybridMultilevel"/>
    <w:tmpl w:val="1808362A"/>
    <w:lvl w:ilvl="0" w:tplc="44365B6C">
      <w:start w:val="1"/>
      <w:numFmt w:val="bullet"/>
      <w:lvlText w:val="-"/>
      <w:lvlJc w:val="left"/>
      <w:pPr>
        <w:ind w:left="2988" w:hanging="360"/>
      </w:pPr>
      <w:rPr>
        <w:rFonts w:ascii="Symbol" w:hAnsi="Symbol" w:hint="default"/>
      </w:rPr>
    </w:lvl>
    <w:lvl w:ilvl="1" w:tplc="100C0003" w:tentative="1">
      <w:start w:val="1"/>
      <w:numFmt w:val="bullet"/>
      <w:lvlText w:val="o"/>
      <w:lvlJc w:val="left"/>
      <w:pPr>
        <w:ind w:left="3708" w:hanging="360"/>
      </w:pPr>
      <w:rPr>
        <w:rFonts w:ascii="Courier New" w:hAnsi="Courier New" w:cs="Courier New" w:hint="default"/>
      </w:rPr>
    </w:lvl>
    <w:lvl w:ilvl="2" w:tplc="100C0005" w:tentative="1">
      <w:start w:val="1"/>
      <w:numFmt w:val="bullet"/>
      <w:lvlText w:val=""/>
      <w:lvlJc w:val="left"/>
      <w:pPr>
        <w:ind w:left="4428" w:hanging="360"/>
      </w:pPr>
      <w:rPr>
        <w:rFonts w:ascii="Wingdings" w:hAnsi="Wingdings" w:hint="default"/>
      </w:rPr>
    </w:lvl>
    <w:lvl w:ilvl="3" w:tplc="100C0001" w:tentative="1">
      <w:start w:val="1"/>
      <w:numFmt w:val="bullet"/>
      <w:lvlText w:val=""/>
      <w:lvlJc w:val="left"/>
      <w:pPr>
        <w:ind w:left="5148" w:hanging="360"/>
      </w:pPr>
      <w:rPr>
        <w:rFonts w:ascii="Symbol" w:hAnsi="Symbol" w:hint="default"/>
      </w:rPr>
    </w:lvl>
    <w:lvl w:ilvl="4" w:tplc="100C0003" w:tentative="1">
      <w:start w:val="1"/>
      <w:numFmt w:val="bullet"/>
      <w:lvlText w:val="o"/>
      <w:lvlJc w:val="left"/>
      <w:pPr>
        <w:ind w:left="5868" w:hanging="360"/>
      </w:pPr>
      <w:rPr>
        <w:rFonts w:ascii="Courier New" w:hAnsi="Courier New" w:cs="Courier New" w:hint="default"/>
      </w:rPr>
    </w:lvl>
    <w:lvl w:ilvl="5" w:tplc="100C0005" w:tentative="1">
      <w:start w:val="1"/>
      <w:numFmt w:val="bullet"/>
      <w:lvlText w:val=""/>
      <w:lvlJc w:val="left"/>
      <w:pPr>
        <w:ind w:left="6588" w:hanging="360"/>
      </w:pPr>
      <w:rPr>
        <w:rFonts w:ascii="Wingdings" w:hAnsi="Wingdings" w:hint="default"/>
      </w:rPr>
    </w:lvl>
    <w:lvl w:ilvl="6" w:tplc="100C0001" w:tentative="1">
      <w:start w:val="1"/>
      <w:numFmt w:val="bullet"/>
      <w:lvlText w:val=""/>
      <w:lvlJc w:val="left"/>
      <w:pPr>
        <w:ind w:left="7308" w:hanging="360"/>
      </w:pPr>
      <w:rPr>
        <w:rFonts w:ascii="Symbol" w:hAnsi="Symbol" w:hint="default"/>
      </w:rPr>
    </w:lvl>
    <w:lvl w:ilvl="7" w:tplc="100C0003" w:tentative="1">
      <w:start w:val="1"/>
      <w:numFmt w:val="bullet"/>
      <w:lvlText w:val="o"/>
      <w:lvlJc w:val="left"/>
      <w:pPr>
        <w:ind w:left="8028" w:hanging="360"/>
      </w:pPr>
      <w:rPr>
        <w:rFonts w:ascii="Courier New" w:hAnsi="Courier New" w:cs="Courier New" w:hint="default"/>
      </w:rPr>
    </w:lvl>
    <w:lvl w:ilvl="8" w:tplc="100C0005" w:tentative="1">
      <w:start w:val="1"/>
      <w:numFmt w:val="bullet"/>
      <w:lvlText w:val=""/>
      <w:lvlJc w:val="left"/>
      <w:pPr>
        <w:ind w:left="8748" w:hanging="360"/>
      </w:pPr>
      <w:rPr>
        <w:rFonts w:ascii="Wingdings" w:hAnsi="Wingdings" w:hint="default"/>
      </w:rPr>
    </w:lvl>
  </w:abstractNum>
  <w:abstractNum w:abstractNumId="15" w15:restartNumberingAfterBreak="0">
    <w:nsid w:val="24411CBE"/>
    <w:multiLevelType w:val="hybridMultilevel"/>
    <w:tmpl w:val="98F6A2DE"/>
    <w:lvl w:ilvl="0" w:tplc="024ED11C">
      <w:start w:val="31"/>
      <w:numFmt w:val="decimal"/>
      <w:lvlText w:val="%1."/>
      <w:lvlJc w:val="left"/>
      <w:pPr>
        <w:tabs>
          <w:tab w:val="num" w:pos="840"/>
        </w:tabs>
        <w:ind w:left="840" w:hanging="48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24D41EDE"/>
    <w:multiLevelType w:val="multilevel"/>
    <w:tmpl w:val="BCF21414"/>
    <w:lvl w:ilvl="0">
      <w:start w:val="26"/>
      <w:numFmt w:val="decimal"/>
      <w:lvlText w:val="%1"/>
      <w:lvlJc w:val="left"/>
      <w:pPr>
        <w:tabs>
          <w:tab w:val="num" w:pos="1080"/>
        </w:tabs>
        <w:ind w:left="1080" w:hanging="1080"/>
      </w:pPr>
      <w:rPr>
        <w:rFonts w:hint="default"/>
      </w:rPr>
    </w:lvl>
    <w:lvl w:ilvl="1">
      <w:start w:val="4"/>
      <w:numFmt w:val="decimal"/>
      <w:lvlText w:val="%1.%2"/>
      <w:lvlJc w:val="left"/>
      <w:pPr>
        <w:tabs>
          <w:tab w:val="num" w:pos="1080"/>
        </w:tabs>
        <w:ind w:left="1080" w:hanging="1080"/>
      </w:pPr>
      <w:rPr>
        <w:rFonts w:hint="default"/>
      </w:rPr>
    </w:lvl>
    <w:lvl w:ilvl="2">
      <w:start w:val="2"/>
      <w:numFmt w:val="decimal"/>
      <w:lvlText w:val="%1.%2.%3"/>
      <w:lvlJc w:val="left"/>
      <w:pPr>
        <w:tabs>
          <w:tab w:val="num" w:pos="1080"/>
        </w:tabs>
        <w:ind w:left="1080" w:hanging="1080"/>
      </w:pPr>
      <w:rPr>
        <w:rFonts w:hint="default"/>
      </w:rPr>
    </w:lvl>
    <w:lvl w:ilvl="3">
      <w:start w:val="2"/>
      <w:numFmt w:val="decimal"/>
      <w:lvlText w:val="%1.%2.%3.%4"/>
      <w:lvlJc w:val="left"/>
      <w:pPr>
        <w:tabs>
          <w:tab w:val="num" w:pos="1080"/>
        </w:tabs>
        <w:ind w:left="1080" w:hanging="1080"/>
      </w:pPr>
      <w:rPr>
        <w:rFonts w:hint="default"/>
      </w:rPr>
    </w:lvl>
    <w:lvl w:ilvl="4">
      <w:start w:val="4"/>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A592F29"/>
    <w:multiLevelType w:val="hybridMultilevel"/>
    <w:tmpl w:val="8F345A9A"/>
    <w:lvl w:ilvl="0" w:tplc="16FE884E">
      <w:start w:val="5"/>
      <w:numFmt w:val="lowerLetter"/>
      <w:lvlText w:val="(%1)"/>
      <w:lvlJc w:val="left"/>
      <w:pPr>
        <w:tabs>
          <w:tab w:val="num" w:pos="1500"/>
        </w:tabs>
        <w:ind w:left="1500" w:hanging="11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3708"/>
        </w:tabs>
        <w:ind w:left="3708" w:hanging="360"/>
      </w:pPr>
      <w:rPr>
        <w:rFonts w:ascii="Courier New" w:hAnsi="Courier New" w:cs="Times New Roman" w:hint="default"/>
      </w:rPr>
    </w:lvl>
    <w:lvl w:ilvl="2" w:tplc="040C0005">
      <w:start w:val="1"/>
      <w:numFmt w:val="bullet"/>
      <w:lvlText w:val=""/>
      <w:lvlJc w:val="left"/>
      <w:pPr>
        <w:tabs>
          <w:tab w:val="num" w:pos="4428"/>
        </w:tabs>
        <w:ind w:left="4428" w:hanging="360"/>
      </w:pPr>
      <w:rPr>
        <w:rFonts w:ascii="Wingdings" w:hAnsi="Wingdings" w:hint="default"/>
      </w:rPr>
    </w:lvl>
    <w:lvl w:ilvl="3" w:tplc="040C0001">
      <w:start w:val="1"/>
      <w:numFmt w:val="bullet"/>
      <w:lvlText w:val=""/>
      <w:lvlJc w:val="left"/>
      <w:pPr>
        <w:tabs>
          <w:tab w:val="num" w:pos="5148"/>
        </w:tabs>
        <w:ind w:left="5148" w:hanging="360"/>
      </w:pPr>
      <w:rPr>
        <w:rFonts w:ascii="Symbol" w:hAnsi="Symbol" w:hint="default"/>
      </w:rPr>
    </w:lvl>
    <w:lvl w:ilvl="4" w:tplc="040C0003">
      <w:start w:val="1"/>
      <w:numFmt w:val="bullet"/>
      <w:lvlText w:val="o"/>
      <w:lvlJc w:val="left"/>
      <w:pPr>
        <w:tabs>
          <w:tab w:val="num" w:pos="5868"/>
        </w:tabs>
        <w:ind w:left="5868" w:hanging="360"/>
      </w:pPr>
      <w:rPr>
        <w:rFonts w:ascii="Courier New" w:hAnsi="Courier New" w:cs="Times New Roman" w:hint="default"/>
      </w:rPr>
    </w:lvl>
    <w:lvl w:ilvl="5" w:tplc="040C0005">
      <w:start w:val="1"/>
      <w:numFmt w:val="bullet"/>
      <w:lvlText w:val=""/>
      <w:lvlJc w:val="left"/>
      <w:pPr>
        <w:tabs>
          <w:tab w:val="num" w:pos="6588"/>
        </w:tabs>
        <w:ind w:left="6588" w:hanging="360"/>
      </w:pPr>
      <w:rPr>
        <w:rFonts w:ascii="Wingdings" w:hAnsi="Wingdings" w:hint="default"/>
      </w:rPr>
    </w:lvl>
    <w:lvl w:ilvl="6" w:tplc="040C0001">
      <w:start w:val="1"/>
      <w:numFmt w:val="bullet"/>
      <w:lvlText w:val=""/>
      <w:lvlJc w:val="left"/>
      <w:pPr>
        <w:tabs>
          <w:tab w:val="num" w:pos="7308"/>
        </w:tabs>
        <w:ind w:left="7308" w:hanging="360"/>
      </w:pPr>
      <w:rPr>
        <w:rFonts w:ascii="Symbol" w:hAnsi="Symbol" w:hint="default"/>
      </w:rPr>
    </w:lvl>
    <w:lvl w:ilvl="7" w:tplc="040C0003">
      <w:start w:val="1"/>
      <w:numFmt w:val="bullet"/>
      <w:lvlText w:val="o"/>
      <w:lvlJc w:val="left"/>
      <w:pPr>
        <w:tabs>
          <w:tab w:val="num" w:pos="8028"/>
        </w:tabs>
        <w:ind w:left="8028" w:hanging="360"/>
      </w:pPr>
      <w:rPr>
        <w:rFonts w:ascii="Courier New" w:hAnsi="Courier New" w:cs="Times New Roman" w:hint="default"/>
      </w:rPr>
    </w:lvl>
    <w:lvl w:ilvl="8" w:tplc="040C0005">
      <w:start w:val="1"/>
      <w:numFmt w:val="bullet"/>
      <w:lvlText w:val=""/>
      <w:lvlJc w:val="left"/>
      <w:pPr>
        <w:tabs>
          <w:tab w:val="num" w:pos="8748"/>
        </w:tabs>
        <w:ind w:left="8748" w:hanging="360"/>
      </w:pPr>
      <w:rPr>
        <w:rFonts w:ascii="Wingdings" w:hAnsi="Wingdings" w:hint="default"/>
      </w:rPr>
    </w:lvl>
  </w:abstractNum>
  <w:abstractNum w:abstractNumId="19" w15:restartNumberingAfterBreak="0">
    <w:nsid w:val="4E10086A"/>
    <w:multiLevelType w:val="multilevel"/>
    <w:tmpl w:val="0C8E2792"/>
    <w:lvl w:ilvl="0">
      <w:start w:val="6"/>
      <w:numFmt w:val="decimal"/>
      <w:lvlText w:val="%1"/>
      <w:lvlJc w:val="left"/>
      <w:pPr>
        <w:tabs>
          <w:tab w:val="num" w:pos="1140"/>
        </w:tabs>
        <w:ind w:left="1140" w:hanging="1140"/>
      </w:pPr>
      <w:rPr>
        <w:rFonts w:hint="default"/>
        <w:i w:val="0"/>
      </w:rPr>
    </w:lvl>
    <w:lvl w:ilvl="1">
      <w:start w:val="2"/>
      <w:numFmt w:val="decimal"/>
      <w:lvlText w:val="%1.%2"/>
      <w:lvlJc w:val="left"/>
      <w:pPr>
        <w:tabs>
          <w:tab w:val="num" w:pos="1140"/>
        </w:tabs>
        <w:ind w:left="1140" w:hanging="1140"/>
      </w:pPr>
      <w:rPr>
        <w:rFonts w:hint="default"/>
        <w:i w:val="0"/>
      </w:rPr>
    </w:lvl>
    <w:lvl w:ilvl="2">
      <w:start w:val="1"/>
      <w:numFmt w:val="decimal"/>
      <w:lvlText w:val="%1.%2.%3"/>
      <w:lvlJc w:val="left"/>
      <w:pPr>
        <w:tabs>
          <w:tab w:val="num" w:pos="1140"/>
        </w:tabs>
        <w:ind w:left="1140" w:hanging="1140"/>
      </w:pPr>
      <w:rPr>
        <w:rFonts w:hint="default"/>
        <w:i w:val="0"/>
      </w:rPr>
    </w:lvl>
    <w:lvl w:ilvl="3">
      <w:start w:val="1"/>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20" w15:restartNumberingAfterBreak="0">
    <w:nsid w:val="575D5123"/>
    <w:multiLevelType w:val="hybridMultilevel"/>
    <w:tmpl w:val="A11AD72C"/>
    <w:lvl w:ilvl="0" w:tplc="757A2494">
      <w:start w:val="2"/>
      <w:numFmt w:val="lowerLetter"/>
      <w:lvlText w:val="%1)"/>
      <w:lvlJc w:val="left"/>
      <w:pPr>
        <w:tabs>
          <w:tab w:val="num" w:pos="1778"/>
        </w:tabs>
        <w:ind w:left="1778" w:hanging="360"/>
      </w:pPr>
      <w:rPr>
        <w:rFonts w:hint="default"/>
      </w:rPr>
    </w:lvl>
    <w:lvl w:ilvl="1" w:tplc="04090019" w:tentative="1">
      <w:start w:val="1"/>
      <w:numFmt w:val="lowerLetter"/>
      <w:lvlText w:val="%2."/>
      <w:lvlJc w:val="left"/>
      <w:pPr>
        <w:tabs>
          <w:tab w:val="num" w:pos="2498"/>
        </w:tabs>
        <w:ind w:left="2498" w:hanging="360"/>
      </w:pPr>
    </w:lvl>
    <w:lvl w:ilvl="2" w:tplc="0409001B" w:tentative="1">
      <w:start w:val="1"/>
      <w:numFmt w:val="lowerRoman"/>
      <w:lvlText w:val="%3."/>
      <w:lvlJc w:val="right"/>
      <w:pPr>
        <w:tabs>
          <w:tab w:val="num" w:pos="3218"/>
        </w:tabs>
        <w:ind w:left="3218" w:hanging="180"/>
      </w:pPr>
    </w:lvl>
    <w:lvl w:ilvl="3" w:tplc="0409000F" w:tentative="1">
      <w:start w:val="1"/>
      <w:numFmt w:val="decimal"/>
      <w:lvlText w:val="%4."/>
      <w:lvlJc w:val="left"/>
      <w:pPr>
        <w:tabs>
          <w:tab w:val="num" w:pos="3938"/>
        </w:tabs>
        <w:ind w:left="3938" w:hanging="360"/>
      </w:pPr>
    </w:lvl>
    <w:lvl w:ilvl="4" w:tplc="04090019" w:tentative="1">
      <w:start w:val="1"/>
      <w:numFmt w:val="lowerLetter"/>
      <w:lvlText w:val="%5."/>
      <w:lvlJc w:val="left"/>
      <w:pPr>
        <w:tabs>
          <w:tab w:val="num" w:pos="4658"/>
        </w:tabs>
        <w:ind w:left="4658" w:hanging="360"/>
      </w:pPr>
    </w:lvl>
    <w:lvl w:ilvl="5" w:tplc="0409001B" w:tentative="1">
      <w:start w:val="1"/>
      <w:numFmt w:val="lowerRoman"/>
      <w:lvlText w:val="%6."/>
      <w:lvlJc w:val="right"/>
      <w:pPr>
        <w:tabs>
          <w:tab w:val="num" w:pos="5378"/>
        </w:tabs>
        <w:ind w:left="5378" w:hanging="180"/>
      </w:pPr>
    </w:lvl>
    <w:lvl w:ilvl="6" w:tplc="0409000F" w:tentative="1">
      <w:start w:val="1"/>
      <w:numFmt w:val="decimal"/>
      <w:lvlText w:val="%7."/>
      <w:lvlJc w:val="left"/>
      <w:pPr>
        <w:tabs>
          <w:tab w:val="num" w:pos="6098"/>
        </w:tabs>
        <w:ind w:left="6098" w:hanging="360"/>
      </w:pPr>
    </w:lvl>
    <w:lvl w:ilvl="7" w:tplc="04090019" w:tentative="1">
      <w:start w:val="1"/>
      <w:numFmt w:val="lowerLetter"/>
      <w:lvlText w:val="%8."/>
      <w:lvlJc w:val="left"/>
      <w:pPr>
        <w:tabs>
          <w:tab w:val="num" w:pos="6818"/>
        </w:tabs>
        <w:ind w:left="6818" w:hanging="360"/>
      </w:pPr>
    </w:lvl>
    <w:lvl w:ilvl="8" w:tplc="0409001B" w:tentative="1">
      <w:start w:val="1"/>
      <w:numFmt w:val="lowerRoman"/>
      <w:lvlText w:val="%9."/>
      <w:lvlJc w:val="right"/>
      <w:pPr>
        <w:tabs>
          <w:tab w:val="num" w:pos="7538"/>
        </w:tabs>
        <w:ind w:left="7538" w:hanging="180"/>
      </w:pPr>
    </w:lvl>
  </w:abstractNum>
  <w:abstractNum w:abstractNumId="21" w15:restartNumberingAfterBreak="0">
    <w:nsid w:val="5BF92C3F"/>
    <w:multiLevelType w:val="hybridMultilevel"/>
    <w:tmpl w:val="5CBC0F66"/>
    <w:lvl w:ilvl="0" w:tplc="040C000F">
      <w:start w:val="3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5C4748A6"/>
    <w:multiLevelType w:val="hybridMultilevel"/>
    <w:tmpl w:val="53207D26"/>
    <w:lvl w:ilvl="0" w:tplc="CAA2416C">
      <w:start w:val="37"/>
      <w:numFmt w:val="decimal"/>
      <w:lvlText w:val="%1."/>
      <w:lvlJc w:val="left"/>
      <w:pPr>
        <w:tabs>
          <w:tab w:val="num" w:pos="960"/>
        </w:tabs>
        <w:ind w:left="960" w:hanging="60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5DD32E6B"/>
    <w:multiLevelType w:val="hybridMultilevel"/>
    <w:tmpl w:val="3DD2F588"/>
    <w:lvl w:ilvl="0" w:tplc="26FE4422">
      <w:start w:val="3"/>
      <w:numFmt w:val="lowerRoman"/>
      <w:lvlText w:val="%1)"/>
      <w:lvlJc w:val="left"/>
      <w:pPr>
        <w:tabs>
          <w:tab w:val="num" w:pos="2700"/>
        </w:tabs>
        <w:ind w:left="2700" w:hanging="72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24" w15:restartNumberingAfterBreak="0">
    <w:nsid w:val="5E691BED"/>
    <w:multiLevelType w:val="multilevel"/>
    <w:tmpl w:val="12A808BC"/>
    <w:lvl w:ilvl="0">
      <w:start w:val="18"/>
      <w:numFmt w:val="decimal"/>
      <w:lvlText w:val="%1"/>
      <w:lvlJc w:val="left"/>
      <w:pPr>
        <w:tabs>
          <w:tab w:val="num" w:pos="1080"/>
        </w:tabs>
        <w:ind w:left="1080" w:hanging="1080"/>
      </w:pPr>
      <w:rPr>
        <w:rFonts w:hint="default"/>
        <w:i w:val="0"/>
      </w:rPr>
    </w:lvl>
    <w:lvl w:ilvl="1">
      <w:start w:val="7"/>
      <w:numFmt w:val="decimal"/>
      <w:lvlText w:val="%1.%2"/>
      <w:lvlJc w:val="left"/>
      <w:pPr>
        <w:tabs>
          <w:tab w:val="num" w:pos="1080"/>
        </w:tabs>
        <w:ind w:left="1080" w:hanging="1080"/>
      </w:pPr>
      <w:rPr>
        <w:rFonts w:hint="default"/>
        <w:i w:val="0"/>
      </w:rPr>
    </w:lvl>
    <w:lvl w:ilvl="2">
      <w:start w:val="1"/>
      <w:numFmt w:val="decimal"/>
      <w:lvlText w:val="%1.%2.%3"/>
      <w:lvlJc w:val="left"/>
      <w:pPr>
        <w:tabs>
          <w:tab w:val="num" w:pos="1080"/>
        </w:tabs>
        <w:ind w:left="1080" w:hanging="1080"/>
      </w:pPr>
      <w:rPr>
        <w:rFonts w:hint="default"/>
        <w:i w:val="0"/>
      </w:rPr>
    </w:lvl>
    <w:lvl w:ilvl="3">
      <w:start w:val="5"/>
      <w:numFmt w:val="decimal"/>
      <w:lvlText w:val="%1.%2.%3.%4"/>
      <w:lvlJc w:val="left"/>
      <w:pPr>
        <w:tabs>
          <w:tab w:val="num" w:pos="1080"/>
        </w:tabs>
        <w:ind w:left="1080" w:hanging="108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25"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6" w15:restartNumberingAfterBreak="0">
    <w:nsid w:val="70DA1CC8"/>
    <w:multiLevelType w:val="hybridMultilevel"/>
    <w:tmpl w:val="9E8AA654"/>
    <w:lvl w:ilvl="0" w:tplc="C1B23F3E">
      <w:start w:val="1"/>
      <w:numFmt w:val="bullet"/>
      <w:lvlText w:val="-"/>
      <w:lvlJc w:val="left"/>
      <w:pPr>
        <w:ind w:left="4960" w:hanging="360"/>
      </w:pPr>
      <w:rPr>
        <w:rFonts w:ascii="Times New Roman" w:eastAsia="Times New Roman" w:hAnsi="Times New Roman" w:cs="Times New Roman" w:hint="default"/>
        <w:b w:val="0"/>
        <w:sz w:val="22"/>
      </w:rPr>
    </w:lvl>
    <w:lvl w:ilvl="1" w:tplc="08090003" w:tentative="1">
      <w:start w:val="1"/>
      <w:numFmt w:val="bullet"/>
      <w:lvlText w:val="o"/>
      <w:lvlJc w:val="left"/>
      <w:pPr>
        <w:ind w:left="5680" w:hanging="360"/>
      </w:pPr>
      <w:rPr>
        <w:rFonts w:ascii="Courier New" w:hAnsi="Courier New" w:cs="Courier New" w:hint="default"/>
      </w:rPr>
    </w:lvl>
    <w:lvl w:ilvl="2" w:tplc="08090005" w:tentative="1">
      <w:start w:val="1"/>
      <w:numFmt w:val="bullet"/>
      <w:lvlText w:val=""/>
      <w:lvlJc w:val="left"/>
      <w:pPr>
        <w:ind w:left="6400" w:hanging="360"/>
      </w:pPr>
      <w:rPr>
        <w:rFonts w:ascii="Wingdings" w:hAnsi="Wingdings" w:hint="default"/>
      </w:rPr>
    </w:lvl>
    <w:lvl w:ilvl="3" w:tplc="08090001" w:tentative="1">
      <w:start w:val="1"/>
      <w:numFmt w:val="bullet"/>
      <w:lvlText w:val=""/>
      <w:lvlJc w:val="left"/>
      <w:pPr>
        <w:ind w:left="7120" w:hanging="360"/>
      </w:pPr>
      <w:rPr>
        <w:rFonts w:ascii="Symbol" w:hAnsi="Symbol" w:hint="default"/>
      </w:rPr>
    </w:lvl>
    <w:lvl w:ilvl="4" w:tplc="08090003" w:tentative="1">
      <w:start w:val="1"/>
      <w:numFmt w:val="bullet"/>
      <w:lvlText w:val="o"/>
      <w:lvlJc w:val="left"/>
      <w:pPr>
        <w:ind w:left="7840" w:hanging="360"/>
      </w:pPr>
      <w:rPr>
        <w:rFonts w:ascii="Courier New" w:hAnsi="Courier New" w:cs="Courier New" w:hint="default"/>
      </w:rPr>
    </w:lvl>
    <w:lvl w:ilvl="5" w:tplc="08090005" w:tentative="1">
      <w:start w:val="1"/>
      <w:numFmt w:val="bullet"/>
      <w:lvlText w:val=""/>
      <w:lvlJc w:val="left"/>
      <w:pPr>
        <w:ind w:left="8560" w:hanging="360"/>
      </w:pPr>
      <w:rPr>
        <w:rFonts w:ascii="Wingdings" w:hAnsi="Wingdings" w:hint="default"/>
      </w:rPr>
    </w:lvl>
    <w:lvl w:ilvl="6" w:tplc="08090001" w:tentative="1">
      <w:start w:val="1"/>
      <w:numFmt w:val="bullet"/>
      <w:lvlText w:val=""/>
      <w:lvlJc w:val="left"/>
      <w:pPr>
        <w:ind w:left="9280" w:hanging="360"/>
      </w:pPr>
      <w:rPr>
        <w:rFonts w:ascii="Symbol" w:hAnsi="Symbol" w:hint="default"/>
      </w:rPr>
    </w:lvl>
    <w:lvl w:ilvl="7" w:tplc="08090003" w:tentative="1">
      <w:start w:val="1"/>
      <w:numFmt w:val="bullet"/>
      <w:lvlText w:val="o"/>
      <w:lvlJc w:val="left"/>
      <w:pPr>
        <w:ind w:left="10000" w:hanging="360"/>
      </w:pPr>
      <w:rPr>
        <w:rFonts w:ascii="Courier New" w:hAnsi="Courier New" w:cs="Courier New" w:hint="default"/>
      </w:rPr>
    </w:lvl>
    <w:lvl w:ilvl="8" w:tplc="08090005" w:tentative="1">
      <w:start w:val="1"/>
      <w:numFmt w:val="bullet"/>
      <w:lvlText w:val=""/>
      <w:lvlJc w:val="left"/>
      <w:pPr>
        <w:ind w:left="10720" w:hanging="360"/>
      </w:pPr>
      <w:rPr>
        <w:rFonts w:ascii="Wingdings" w:hAnsi="Wingdings" w:hint="default"/>
      </w:rPr>
    </w:lvl>
  </w:abstractNum>
  <w:abstractNum w:abstractNumId="27" w15:restartNumberingAfterBreak="0">
    <w:nsid w:val="7EBB318B"/>
    <w:multiLevelType w:val="hybridMultilevel"/>
    <w:tmpl w:val="439AE1FE"/>
    <w:lvl w:ilvl="0" w:tplc="80DC1BF8">
      <w:start w:val="1"/>
      <w:numFmt w:val="upperLetter"/>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15"/>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24"/>
  </w:num>
  <w:num w:numId="15">
    <w:abstractNumId w:val="16"/>
  </w:num>
  <w:num w:numId="16">
    <w:abstractNumId w:val="17"/>
  </w:num>
  <w:num w:numId="17">
    <w:abstractNumId w:val="10"/>
  </w:num>
  <w:num w:numId="18">
    <w:abstractNumId w:val="22"/>
  </w:num>
  <w:num w:numId="19">
    <w:abstractNumId w:val="19"/>
  </w:num>
  <w:num w:numId="20">
    <w:abstractNumId w:val="20"/>
  </w:num>
  <w:num w:numId="21">
    <w:abstractNumId w:val="23"/>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27"/>
  </w:num>
  <w:num w:numId="26">
    <w:abstractNumId w:val="12"/>
  </w:num>
  <w:num w:numId="27">
    <w:abstractNumId w:val="25"/>
  </w:num>
  <w:num w:numId="28">
    <w:abstractNumId w:val="18"/>
  </w:num>
  <w:num w:numId="29">
    <w:abstractNumId w:val="18"/>
  </w:num>
  <w:num w:numId="30">
    <w:abstractNumId w:val="11"/>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numRestart w:val="eachPage"/>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CD5"/>
    <w:rsid w:val="00000298"/>
    <w:rsid w:val="00004603"/>
    <w:rsid w:val="00005541"/>
    <w:rsid w:val="0001474A"/>
    <w:rsid w:val="000149A4"/>
    <w:rsid w:val="00021D9D"/>
    <w:rsid w:val="00022964"/>
    <w:rsid w:val="00022BB9"/>
    <w:rsid w:val="00022E65"/>
    <w:rsid w:val="00023E94"/>
    <w:rsid w:val="0003504D"/>
    <w:rsid w:val="00035446"/>
    <w:rsid w:val="0004051A"/>
    <w:rsid w:val="00042109"/>
    <w:rsid w:val="00042FA9"/>
    <w:rsid w:val="00043CD4"/>
    <w:rsid w:val="00045F4A"/>
    <w:rsid w:val="000509A3"/>
    <w:rsid w:val="0005164E"/>
    <w:rsid w:val="0005221E"/>
    <w:rsid w:val="0005371D"/>
    <w:rsid w:val="00053E8C"/>
    <w:rsid w:val="0005496E"/>
    <w:rsid w:val="00054D18"/>
    <w:rsid w:val="000571F1"/>
    <w:rsid w:val="00057E61"/>
    <w:rsid w:val="00060216"/>
    <w:rsid w:val="00060335"/>
    <w:rsid w:val="000623D7"/>
    <w:rsid w:val="000626B6"/>
    <w:rsid w:val="0006409D"/>
    <w:rsid w:val="000707DA"/>
    <w:rsid w:val="000715AD"/>
    <w:rsid w:val="00074262"/>
    <w:rsid w:val="00074E60"/>
    <w:rsid w:val="0007538F"/>
    <w:rsid w:val="00076BD6"/>
    <w:rsid w:val="00080A56"/>
    <w:rsid w:val="000815E2"/>
    <w:rsid w:val="00081A81"/>
    <w:rsid w:val="0008200D"/>
    <w:rsid w:val="00083022"/>
    <w:rsid w:val="00083A2B"/>
    <w:rsid w:val="00087448"/>
    <w:rsid w:val="0008795C"/>
    <w:rsid w:val="000900F2"/>
    <w:rsid w:val="0009051B"/>
    <w:rsid w:val="0009106C"/>
    <w:rsid w:val="0009112A"/>
    <w:rsid w:val="00091AC7"/>
    <w:rsid w:val="00095824"/>
    <w:rsid w:val="00097DC6"/>
    <w:rsid w:val="000A0417"/>
    <w:rsid w:val="000A07B0"/>
    <w:rsid w:val="000A1C6D"/>
    <w:rsid w:val="000A20E3"/>
    <w:rsid w:val="000A56E2"/>
    <w:rsid w:val="000A6A5C"/>
    <w:rsid w:val="000A78F3"/>
    <w:rsid w:val="000A7FEE"/>
    <w:rsid w:val="000B2046"/>
    <w:rsid w:val="000B3F2F"/>
    <w:rsid w:val="000B58B5"/>
    <w:rsid w:val="000B6EE6"/>
    <w:rsid w:val="000C2A51"/>
    <w:rsid w:val="000C66A8"/>
    <w:rsid w:val="000D2F61"/>
    <w:rsid w:val="000D47F0"/>
    <w:rsid w:val="000D7A2C"/>
    <w:rsid w:val="000E079F"/>
    <w:rsid w:val="000E0BCB"/>
    <w:rsid w:val="000E0F9E"/>
    <w:rsid w:val="000E1411"/>
    <w:rsid w:val="000E474A"/>
    <w:rsid w:val="000E494D"/>
    <w:rsid w:val="000E4FCA"/>
    <w:rsid w:val="000E5000"/>
    <w:rsid w:val="000E5F32"/>
    <w:rsid w:val="000E6854"/>
    <w:rsid w:val="000F0488"/>
    <w:rsid w:val="000F0968"/>
    <w:rsid w:val="000F0E33"/>
    <w:rsid w:val="000F0FEA"/>
    <w:rsid w:val="000F20F5"/>
    <w:rsid w:val="000F5C27"/>
    <w:rsid w:val="001011DA"/>
    <w:rsid w:val="00101D0D"/>
    <w:rsid w:val="00101E88"/>
    <w:rsid w:val="00102283"/>
    <w:rsid w:val="00102D4C"/>
    <w:rsid w:val="00103B4A"/>
    <w:rsid w:val="001049EE"/>
    <w:rsid w:val="00106ADE"/>
    <w:rsid w:val="00106D26"/>
    <w:rsid w:val="0010773E"/>
    <w:rsid w:val="00110217"/>
    <w:rsid w:val="001113AE"/>
    <w:rsid w:val="001115E7"/>
    <w:rsid w:val="00112AB3"/>
    <w:rsid w:val="001154D4"/>
    <w:rsid w:val="001212D8"/>
    <w:rsid w:val="0012406E"/>
    <w:rsid w:val="001242F3"/>
    <w:rsid w:val="00125648"/>
    <w:rsid w:val="00125D3C"/>
    <w:rsid w:val="001262CC"/>
    <w:rsid w:val="00130045"/>
    <w:rsid w:val="0013031D"/>
    <w:rsid w:val="00133E6A"/>
    <w:rsid w:val="00135085"/>
    <w:rsid w:val="00140615"/>
    <w:rsid w:val="0014582D"/>
    <w:rsid w:val="001464CB"/>
    <w:rsid w:val="001468D4"/>
    <w:rsid w:val="00146E74"/>
    <w:rsid w:val="0014768B"/>
    <w:rsid w:val="00152A83"/>
    <w:rsid w:val="00153B16"/>
    <w:rsid w:val="00156318"/>
    <w:rsid w:val="00156C69"/>
    <w:rsid w:val="00157801"/>
    <w:rsid w:val="00163B52"/>
    <w:rsid w:val="00164778"/>
    <w:rsid w:val="00167636"/>
    <w:rsid w:val="00170524"/>
    <w:rsid w:val="00171790"/>
    <w:rsid w:val="0017227B"/>
    <w:rsid w:val="001730DD"/>
    <w:rsid w:val="00175384"/>
    <w:rsid w:val="001775CD"/>
    <w:rsid w:val="001802A9"/>
    <w:rsid w:val="0018051D"/>
    <w:rsid w:val="00180A61"/>
    <w:rsid w:val="00181EA1"/>
    <w:rsid w:val="00181EDA"/>
    <w:rsid w:val="0018232B"/>
    <w:rsid w:val="001826BE"/>
    <w:rsid w:val="00184BA4"/>
    <w:rsid w:val="00184BED"/>
    <w:rsid w:val="001857F8"/>
    <w:rsid w:val="001879A5"/>
    <w:rsid w:val="001908CD"/>
    <w:rsid w:val="00192FAE"/>
    <w:rsid w:val="00193018"/>
    <w:rsid w:val="00193FF5"/>
    <w:rsid w:val="001942B2"/>
    <w:rsid w:val="00195C66"/>
    <w:rsid w:val="001971ED"/>
    <w:rsid w:val="001A0987"/>
    <w:rsid w:val="001A09CE"/>
    <w:rsid w:val="001A2B6E"/>
    <w:rsid w:val="001A3524"/>
    <w:rsid w:val="001B01C5"/>
    <w:rsid w:val="001B0E45"/>
    <w:rsid w:val="001B1CD4"/>
    <w:rsid w:val="001B28FC"/>
    <w:rsid w:val="001B5A71"/>
    <w:rsid w:val="001B7778"/>
    <w:rsid w:val="001C0C26"/>
    <w:rsid w:val="001C1DCC"/>
    <w:rsid w:val="001C2443"/>
    <w:rsid w:val="001C31C7"/>
    <w:rsid w:val="001C3215"/>
    <w:rsid w:val="001C481E"/>
    <w:rsid w:val="001C794B"/>
    <w:rsid w:val="001D0525"/>
    <w:rsid w:val="001D25A0"/>
    <w:rsid w:val="001D6595"/>
    <w:rsid w:val="001D6B53"/>
    <w:rsid w:val="001E3753"/>
    <w:rsid w:val="001E60A0"/>
    <w:rsid w:val="001E6374"/>
    <w:rsid w:val="001E718A"/>
    <w:rsid w:val="001F0210"/>
    <w:rsid w:val="001F4166"/>
    <w:rsid w:val="001F4D79"/>
    <w:rsid w:val="00202741"/>
    <w:rsid w:val="00205467"/>
    <w:rsid w:val="002065C9"/>
    <w:rsid w:val="00206949"/>
    <w:rsid w:val="00207650"/>
    <w:rsid w:val="00207F3E"/>
    <w:rsid w:val="002152F4"/>
    <w:rsid w:val="002167D8"/>
    <w:rsid w:val="00217719"/>
    <w:rsid w:val="00221F16"/>
    <w:rsid w:val="00222431"/>
    <w:rsid w:val="00223BA5"/>
    <w:rsid w:val="002253B8"/>
    <w:rsid w:val="002256E9"/>
    <w:rsid w:val="00225E57"/>
    <w:rsid w:val="002329BF"/>
    <w:rsid w:val="00232A61"/>
    <w:rsid w:val="00233275"/>
    <w:rsid w:val="0023348D"/>
    <w:rsid w:val="002409D9"/>
    <w:rsid w:val="00243B06"/>
    <w:rsid w:val="0024483E"/>
    <w:rsid w:val="002459E6"/>
    <w:rsid w:val="00246D2F"/>
    <w:rsid w:val="00250E39"/>
    <w:rsid w:val="00251760"/>
    <w:rsid w:val="00254310"/>
    <w:rsid w:val="00260241"/>
    <w:rsid w:val="002613A9"/>
    <w:rsid w:val="00262566"/>
    <w:rsid w:val="00263CE9"/>
    <w:rsid w:val="0026656F"/>
    <w:rsid w:val="00266F3A"/>
    <w:rsid w:val="00270135"/>
    <w:rsid w:val="002708CF"/>
    <w:rsid w:val="00270A8A"/>
    <w:rsid w:val="00270B8F"/>
    <w:rsid w:val="002716D5"/>
    <w:rsid w:val="00272132"/>
    <w:rsid w:val="00274A14"/>
    <w:rsid w:val="00276A01"/>
    <w:rsid w:val="00276ABC"/>
    <w:rsid w:val="00281B17"/>
    <w:rsid w:val="00283BBB"/>
    <w:rsid w:val="002851F8"/>
    <w:rsid w:val="002856C1"/>
    <w:rsid w:val="00287F09"/>
    <w:rsid w:val="002904D2"/>
    <w:rsid w:val="00291C40"/>
    <w:rsid w:val="00292915"/>
    <w:rsid w:val="00292E57"/>
    <w:rsid w:val="0029430B"/>
    <w:rsid w:val="002948AE"/>
    <w:rsid w:val="00295912"/>
    <w:rsid w:val="00296B88"/>
    <w:rsid w:val="002A11E6"/>
    <w:rsid w:val="002A1AF0"/>
    <w:rsid w:val="002A2495"/>
    <w:rsid w:val="002A5283"/>
    <w:rsid w:val="002A5A1A"/>
    <w:rsid w:val="002A7296"/>
    <w:rsid w:val="002B38E2"/>
    <w:rsid w:val="002B3D88"/>
    <w:rsid w:val="002B511A"/>
    <w:rsid w:val="002C0719"/>
    <w:rsid w:val="002C37BE"/>
    <w:rsid w:val="002C3B5A"/>
    <w:rsid w:val="002C3E44"/>
    <w:rsid w:val="002D31C1"/>
    <w:rsid w:val="002D49EA"/>
    <w:rsid w:val="002D5306"/>
    <w:rsid w:val="002E6905"/>
    <w:rsid w:val="002E7A9F"/>
    <w:rsid w:val="002F2A94"/>
    <w:rsid w:val="002F397E"/>
    <w:rsid w:val="002F6ECB"/>
    <w:rsid w:val="00300B4C"/>
    <w:rsid w:val="00301636"/>
    <w:rsid w:val="00301D4C"/>
    <w:rsid w:val="00305009"/>
    <w:rsid w:val="0030572F"/>
    <w:rsid w:val="00310AF8"/>
    <w:rsid w:val="003114A5"/>
    <w:rsid w:val="003118DE"/>
    <w:rsid w:val="003174B7"/>
    <w:rsid w:val="0032023F"/>
    <w:rsid w:val="003208F0"/>
    <w:rsid w:val="003215B7"/>
    <w:rsid w:val="0033172E"/>
    <w:rsid w:val="00331E24"/>
    <w:rsid w:val="0033491C"/>
    <w:rsid w:val="00335D75"/>
    <w:rsid w:val="0033624F"/>
    <w:rsid w:val="00337984"/>
    <w:rsid w:val="00341452"/>
    <w:rsid w:val="00341DB6"/>
    <w:rsid w:val="0034220E"/>
    <w:rsid w:val="003431FE"/>
    <w:rsid w:val="00343A32"/>
    <w:rsid w:val="0034465A"/>
    <w:rsid w:val="00345B08"/>
    <w:rsid w:val="00346216"/>
    <w:rsid w:val="00346E50"/>
    <w:rsid w:val="00351FCE"/>
    <w:rsid w:val="00353FCE"/>
    <w:rsid w:val="00354675"/>
    <w:rsid w:val="003570F0"/>
    <w:rsid w:val="00357FE8"/>
    <w:rsid w:val="00361D1E"/>
    <w:rsid w:val="00362932"/>
    <w:rsid w:val="0036323C"/>
    <w:rsid w:val="003641B3"/>
    <w:rsid w:val="0036559A"/>
    <w:rsid w:val="00366B4B"/>
    <w:rsid w:val="0037480D"/>
    <w:rsid w:val="00374CC0"/>
    <w:rsid w:val="00383171"/>
    <w:rsid w:val="003855D4"/>
    <w:rsid w:val="003859E2"/>
    <w:rsid w:val="003867E9"/>
    <w:rsid w:val="00391244"/>
    <w:rsid w:val="00391C54"/>
    <w:rsid w:val="00392965"/>
    <w:rsid w:val="00392C8E"/>
    <w:rsid w:val="0039367D"/>
    <w:rsid w:val="003A0632"/>
    <w:rsid w:val="003A1FD8"/>
    <w:rsid w:val="003A2C03"/>
    <w:rsid w:val="003B196F"/>
    <w:rsid w:val="003B5496"/>
    <w:rsid w:val="003B6086"/>
    <w:rsid w:val="003B7745"/>
    <w:rsid w:val="003C2113"/>
    <w:rsid w:val="003C2C98"/>
    <w:rsid w:val="003C2D9D"/>
    <w:rsid w:val="003C376B"/>
    <w:rsid w:val="003C4961"/>
    <w:rsid w:val="003C6353"/>
    <w:rsid w:val="003C7197"/>
    <w:rsid w:val="003D016B"/>
    <w:rsid w:val="003D16D2"/>
    <w:rsid w:val="003D1E73"/>
    <w:rsid w:val="003D28A5"/>
    <w:rsid w:val="003D3856"/>
    <w:rsid w:val="003D71C5"/>
    <w:rsid w:val="003D7271"/>
    <w:rsid w:val="003E35FA"/>
    <w:rsid w:val="003E4654"/>
    <w:rsid w:val="003E4DE1"/>
    <w:rsid w:val="003E660D"/>
    <w:rsid w:val="003E6D6A"/>
    <w:rsid w:val="003F251C"/>
    <w:rsid w:val="003F44C5"/>
    <w:rsid w:val="003F60A5"/>
    <w:rsid w:val="003F6D97"/>
    <w:rsid w:val="003F78EE"/>
    <w:rsid w:val="003F797B"/>
    <w:rsid w:val="003F7BA0"/>
    <w:rsid w:val="004006DD"/>
    <w:rsid w:val="004011A1"/>
    <w:rsid w:val="00412B96"/>
    <w:rsid w:val="00414517"/>
    <w:rsid w:val="00414F1D"/>
    <w:rsid w:val="00415923"/>
    <w:rsid w:val="00417851"/>
    <w:rsid w:val="004227FD"/>
    <w:rsid w:val="00423ABE"/>
    <w:rsid w:val="0042473D"/>
    <w:rsid w:val="00425700"/>
    <w:rsid w:val="00425883"/>
    <w:rsid w:val="004258D0"/>
    <w:rsid w:val="0042636D"/>
    <w:rsid w:val="00426ECA"/>
    <w:rsid w:val="0042799F"/>
    <w:rsid w:val="00430826"/>
    <w:rsid w:val="00433404"/>
    <w:rsid w:val="00433A3F"/>
    <w:rsid w:val="0043493E"/>
    <w:rsid w:val="004363D3"/>
    <w:rsid w:val="00436520"/>
    <w:rsid w:val="00437A96"/>
    <w:rsid w:val="00437FD0"/>
    <w:rsid w:val="00440B7A"/>
    <w:rsid w:val="00442771"/>
    <w:rsid w:val="00443F46"/>
    <w:rsid w:val="0044588A"/>
    <w:rsid w:val="00450068"/>
    <w:rsid w:val="00451C18"/>
    <w:rsid w:val="0045303B"/>
    <w:rsid w:val="00453311"/>
    <w:rsid w:val="004542B8"/>
    <w:rsid w:val="0045690C"/>
    <w:rsid w:val="00460924"/>
    <w:rsid w:val="00461263"/>
    <w:rsid w:val="0046209F"/>
    <w:rsid w:val="004627FA"/>
    <w:rsid w:val="004632F9"/>
    <w:rsid w:val="00463796"/>
    <w:rsid w:val="00463E1B"/>
    <w:rsid w:val="00464041"/>
    <w:rsid w:val="00464A34"/>
    <w:rsid w:val="00466E09"/>
    <w:rsid w:val="00466FE4"/>
    <w:rsid w:val="0047091C"/>
    <w:rsid w:val="00470A8B"/>
    <w:rsid w:val="00471952"/>
    <w:rsid w:val="0047226B"/>
    <w:rsid w:val="004755E5"/>
    <w:rsid w:val="00475DEA"/>
    <w:rsid w:val="00476977"/>
    <w:rsid w:val="00477297"/>
    <w:rsid w:val="004778F8"/>
    <w:rsid w:val="0048120A"/>
    <w:rsid w:val="00483276"/>
    <w:rsid w:val="0048351F"/>
    <w:rsid w:val="00485033"/>
    <w:rsid w:val="00485AF4"/>
    <w:rsid w:val="0048654F"/>
    <w:rsid w:val="004902B9"/>
    <w:rsid w:val="004909A0"/>
    <w:rsid w:val="00491D02"/>
    <w:rsid w:val="004932AF"/>
    <w:rsid w:val="004944D1"/>
    <w:rsid w:val="0049483C"/>
    <w:rsid w:val="00495CD0"/>
    <w:rsid w:val="004A0682"/>
    <w:rsid w:val="004A0B6E"/>
    <w:rsid w:val="004A1C27"/>
    <w:rsid w:val="004A448A"/>
    <w:rsid w:val="004A683D"/>
    <w:rsid w:val="004B1B23"/>
    <w:rsid w:val="004B2EEE"/>
    <w:rsid w:val="004B40D5"/>
    <w:rsid w:val="004B4E27"/>
    <w:rsid w:val="004B5805"/>
    <w:rsid w:val="004B58FE"/>
    <w:rsid w:val="004C2007"/>
    <w:rsid w:val="004C28BA"/>
    <w:rsid w:val="004C4574"/>
    <w:rsid w:val="004C715E"/>
    <w:rsid w:val="004D06AF"/>
    <w:rsid w:val="004D1260"/>
    <w:rsid w:val="004D2538"/>
    <w:rsid w:val="004D2DDB"/>
    <w:rsid w:val="004D7ADA"/>
    <w:rsid w:val="004E0CD5"/>
    <w:rsid w:val="004E1600"/>
    <w:rsid w:val="004E2640"/>
    <w:rsid w:val="004E2EC0"/>
    <w:rsid w:val="004E5072"/>
    <w:rsid w:val="004E5565"/>
    <w:rsid w:val="004E62ED"/>
    <w:rsid w:val="004F52E0"/>
    <w:rsid w:val="004F7A9E"/>
    <w:rsid w:val="004F7C5C"/>
    <w:rsid w:val="00500D92"/>
    <w:rsid w:val="005047DE"/>
    <w:rsid w:val="00511CB8"/>
    <w:rsid w:val="005134B4"/>
    <w:rsid w:val="0051410A"/>
    <w:rsid w:val="00514C0C"/>
    <w:rsid w:val="00515E0F"/>
    <w:rsid w:val="0051611D"/>
    <w:rsid w:val="005200B2"/>
    <w:rsid w:val="0052012B"/>
    <w:rsid w:val="005220E9"/>
    <w:rsid w:val="005241D0"/>
    <w:rsid w:val="00525A90"/>
    <w:rsid w:val="0052701D"/>
    <w:rsid w:val="005274A9"/>
    <w:rsid w:val="005302F5"/>
    <w:rsid w:val="0053084B"/>
    <w:rsid w:val="0053103C"/>
    <w:rsid w:val="00531086"/>
    <w:rsid w:val="00531AA7"/>
    <w:rsid w:val="00532BD1"/>
    <w:rsid w:val="00533C99"/>
    <w:rsid w:val="00535079"/>
    <w:rsid w:val="005351C7"/>
    <w:rsid w:val="0053546A"/>
    <w:rsid w:val="00535496"/>
    <w:rsid w:val="0053591B"/>
    <w:rsid w:val="00535FA0"/>
    <w:rsid w:val="00541ADD"/>
    <w:rsid w:val="00543E30"/>
    <w:rsid w:val="00545357"/>
    <w:rsid w:val="00546B8C"/>
    <w:rsid w:val="005477AE"/>
    <w:rsid w:val="00547B17"/>
    <w:rsid w:val="005506DF"/>
    <w:rsid w:val="00552CA2"/>
    <w:rsid w:val="00553189"/>
    <w:rsid w:val="00553EAF"/>
    <w:rsid w:val="00554E75"/>
    <w:rsid w:val="00555B0F"/>
    <w:rsid w:val="00556302"/>
    <w:rsid w:val="00557AEB"/>
    <w:rsid w:val="00562935"/>
    <w:rsid w:val="00566609"/>
    <w:rsid w:val="00570265"/>
    <w:rsid w:val="00570480"/>
    <w:rsid w:val="005736E9"/>
    <w:rsid w:val="00574428"/>
    <w:rsid w:val="0057541F"/>
    <w:rsid w:val="00576997"/>
    <w:rsid w:val="00580309"/>
    <w:rsid w:val="0058259F"/>
    <w:rsid w:val="00585755"/>
    <w:rsid w:val="00585C62"/>
    <w:rsid w:val="00585F14"/>
    <w:rsid w:val="00586E78"/>
    <w:rsid w:val="005920B7"/>
    <w:rsid w:val="00594067"/>
    <w:rsid w:val="00595006"/>
    <w:rsid w:val="005962CC"/>
    <w:rsid w:val="00596CD5"/>
    <w:rsid w:val="00596ED8"/>
    <w:rsid w:val="005A3991"/>
    <w:rsid w:val="005A40AD"/>
    <w:rsid w:val="005A48E2"/>
    <w:rsid w:val="005B0D1E"/>
    <w:rsid w:val="005B2996"/>
    <w:rsid w:val="005B3FB0"/>
    <w:rsid w:val="005B45D7"/>
    <w:rsid w:val="005B5D44"/>
    <w:rsid w:val="005B701C"/>
    <w:rsid w:val="005B78FC"/>
    <w:rsid w:val="005B79DF"/>
    <w:rsid w:val="005B7E84"/>
    <w:rsid w:val="005C008E"/>
    <w:rsid w:val="005C233E"/>
    <w:rsid w:val="005C317D"/>
    <w:rsid w:val="005C51FC"/>
    <w:rsid w:val="005C597E"/>
    <w:rsid w:val="005C6CB3"/>
    <w:rsid w:val="005D017B"/>
    <w:rsid w:val="005D1618"/>
    <w:rsid w:val="005D2C3F"/>
    <w:rsid w:val="005D4853"/>
    <w:rsid w:val="005D56F8"/>
    <w:rsid w:val="005E59EE"/>
    <w:rsid w:val="005E7B29"/>
    <w:rsid w:val="005E7C88"/>
    <w:rsid w:val="005E7D79"/>
    <w:rsid w:val="005E7F7A"/>
    <w:rsid w:val="005F15E4"/>
    <w:rsid w:val="005F20B3"/>
    <w:rsid w:val="005F33B0"/>
    <w:rsid w:val="005F39FD"/>
    <w:rsid w:val="005F433A"/>
    <w:rsid w:val="005F5A0A"/>
    <w:rsid w:val="005F78DB"/>
    <w:rsid w:val="00602F36"/>
    <w:rsid w:val="006031A1"/>
    <w:rsid w:val="00603BFC"/>
    <w:rsid w:val="0061000D"/>
    <w:rsid w:val="00610F63"/>
    <w:rsid w:val="00611A01"/>
    <w:rsid w:val="00611B57"/>
    <w:rsid w:val="00612AA6"/>
    <w:rsid w:val="006143FB"/>
    <w:rsid w:val="00615F76"/>
    <w:rsid w:val="00616898"/>
    <w:rsid w:val="00616EDC"/>
    <w:rsid w:val="0061767C"/>
    <w:rsid w:val="00620B97"/>
    <w:rsid w:val="006213BE"/>
    <w:rsid w:val="0062179F"/>
    <w:rsid w:val="00622633"/>
    <w:rsid w:val="00625595"/>
    <w:rsid w:val="00630946"/>
    <w:rsid w:val="0063266E"/>
    <w:rsid w:val="00633EB1"/>
    <w:rsid w:val="00635A9B"/>
    <w:rsid w:val="0063670E"/>
    <w:rsid w:val="00637ED0"/>
    <w:rsid w:val="00642E4F"/>
    <w:rsid w:val="00644238"/>
    <w:rsid w:val="0064618F"/>
    <w:rsid w:val="0065012C"/>
    <w:rsid w:val="0065309B"/>
    <w:rsid w:val="00654C9A"/>
    <w:rsid w:val="00655062"/>
    <w:rsid w:val="00660362"/>
    <w:rsid w:val="006625C4"/>
    <w:rsid w:val="00665A26"/>
    <w:rsid w:val="0066624A"/>
    <w:rsid w:val="00671CDC"/>
    <w:rsid w:val="00672177"/>
    <w:rsid w:val="00672937"/>
    <w:rsid w:val="00676BE9"/>
    <w:rsid w:val="006807B1"/>
    <w:rsid w:val="006825B1"/>
    <w:rsid w:val="00683EEF"/>
    <w:rsid w:val="00684F3C"/>
    <w:rsid w:val="00685171"/>
    <w:rsid w:val="006851E7"/>
    <w:rsid w:val="0069007D"/>
    <w:rsid w:val="0069116F"/>
    <w:rsid w:val="00691437"/>
    <w:rsid w:val="00691984"/>
    <w:rsid w:val="00693D69"/>
    <w:rsid w:val="00693E72"/>
    <w:rsid w:val="006973A2"/>
    <w:rsid w:val="0069767F"/>
    <w:rsid w:val="006A0CBA"/>
    <w:rsid w:val="006A23AF"/>
    <w:rsid w:val="006A3820"/>
    <w:rsid w:val="006A7405"/>
    <w:rsid w:val="006A7DF5"/>
    <w:rsid w:val="006B0D37"/>
    <w:rsid w:val="006B2C43"/>
    <w:rsid w:val="006B3A6E"/>
    <w:rsid w:val="006B5927"/>
    <w:rsid w:val="006B7690"/>
    <w:rsid w:val="006C076E"/>
    <w:rsid w:val="006C0F7F"/>
    <w:rsid w:val="006C14F8"/>
    <w:rsid w:val="006C1C5F"/>
    <w:rsid w:val="006C36CE"/>
    <w:rsid w:val="006C7A76"/>
    <w:rsid w:val="006C7D31"/>
    <w:rsid w:val="006D0BA5"/>
    <w:rsid w:val="006D2424"/>
    <w:rsid w:val="006D4BA6"/>
    <w:rsid w:val="006D6EB7"/>
    <w:rsid w:val="006D79F5"/>
    <w:rsid w:val="006E3288"/>
    <w:rsid w:val="006E509A"/>
    <w:rsid w:val="006E756D"/>
    <w:rsid w:val="006F007B"/>
    <w:rsid w:val="006F0373"/>
    <w:rsid w:val="006F0A9C"/>
    <w:rsid w:val="006F2959"/>
    <w:rsid w:val="006F7B3D"/>
    <w:rsid w:val="0070235D"/>
    <w:rsid w:val="007062C2"/>
    <w:rsid w:val="00706640"/>
    <w:rsid w:val="00707DAF"/>
    <w:rsid w:val="00711712"/>
    <w:rsid w:val="007118BA"/>
    <w:rsid w:val="007141AE"/>
    <w:rsid w:val="0071603F"/>
    <w:rsid w:val="00720CC2"/>
    <w:rsid w:val="0072169C"/>
    <w:rsid w:val="007224ED"/>
    <w:rsid w:val="007265BE"/>
    <w:rsid w:val="00727646"/>
    <w:rsid w:val="00730023"/>
    <w:rsid w:val="00731089"/>
    <w:rsid w:val="00734373"/>
    <w:rsid w:val="00740F7D"/>
    <w:rsid w:val="00745463"/>
    <w:rsid w:val="007464E2"/>
    <w:rsid w:val="00753AE2"/>
    <w:rsid w:val="00753C9F"/>
    <w:rsid w:val="007577F9"/>
    <w:rsid w:val="00760A92"/>
    <w:rsid w:val="00761638"/>
    <w:rsid w:val="007627D0"/>
    <w:rsid w:val="00762C4F"/>
    <w:rsid w:val="00763638"/>
    <w:rsid w:val="007636CA"/>
    <w:rsid w:val="007651BB"/>
    <w:rsid w:val="0076667D"/>
    <w:rsid w:val="00766EAE"/>
    <w:rsid w:val="00767095"/>
    <w:rsid w:val="0076796D"/>
    <w:rsid w:val="00767D9A"/>
    <w:rsid w:val="00772559"/>
    <w:rsid w:val="00773558"/>
    <w:rsid w:val="00776642"/>
    <w:rsid w:val="0077792F"/>
    <w:rsid w:val="00780EB9"/>
    <w:rsid w:val="00782DE6"/>
    <w:rsid w:val="0078672A"/>
    <w:rsid w:val="0079008A"/>
    <w:rsid w:val="00791949"/>
    <w:rsid w:val="00795DC0"/>
    <w:rsid w:val="00796D12"/>
    <w:rsid w:val="0079795A"/>
    <w:rsid w:val="007A14C7"/>
    <w:rsid w:val="007A15CC"/>
    <w:rsid w:val="007A383A"/>
    <w:rsid w:val="007A7A8D"/>
    <w:rsid w:val="007B2139"/>
    <w:rsid w:val="007B40D0"/>
    <w:rsid w:val="007B594C"/>
    <w:rsid w:val="007B69A0"/>
    <w:rsid w:val="007B77A4"/>
    <w:rsid w:val="007B7959"/>
    <w:rsid w:val="007C0FCF"/>
    <w:rsid w:val="007C2C00"/>
    <w:rsid w:val="007C4F90"/>
    <w:rsid w:val="007C5E8C"/>
    <w:rsid w:val="007C6608"/>
    <w:rsid w:val="007C67DF"/>
    <w:rsid w:val="007C78A8"/>
    <w:rsid w:val="007C7B85"/>
    <w:rsid w:val="007D2D46"/>
    <w:rsid w:val="007D7E06"/>
    <w:rsid w:val="007E297B"/>
    <w:rsid w:val="007E3B95"/>
    <w:rsid w:val="007E48F0"/>
    <w:rsid w:val="007E5B90"/>
    <w:rsid w:val="007F0178"/>
    <w:rsid w:val="007F33FC"/>
    <w:rsid w:val="007F4742"/>
    <w:rsid w:val="007F5F63"/>
    <w:rsid w:val="00800080"/>
    <w:rsid w:val="00800C4A"/>
    <w:rsid w:val="0080489C"/>
    <w:rsid w:val="008056D0"/>
    <w:rsid w:val="00806787"/>
    <w:rsid w:val="00806788"/>
    <w:rsid w:val="0081144A"/>
    <w:rsid w:val="008116A7"/>
    <w:rsid w:val="00812F5E"/>
    <w:rsid w:val="00816436"/>
    <w:rsid w:val="0082024E"/>
    <w:rsid w:val="0082075A"/>
    <w:rsid w:val="00821EA7"/>
    <w:rsid w:val="0082422E"/>
    <w:rsid w:val="00825BBD"/>
    <w:rsid w:val="008260F7"/>
    <w:rsid w:val="00833A06"/>
    <w:rsid w:val="00834DC3"/>
    <w:rsid w:val="00835A79"/>
    <w:rsid w:val="0083736B"/>
    <w:rsid w:val="00837E81"/>
    <w:rsid w:val="008410EE"/>
    <w:rsid w:val="008434E9"/>
    <w:rsid w:val="008438E9"/>
    <w:rsid w:val="0084587F"/>
    <w:rsid w:val="00846A13"/>
    <w:rsid w:val="00852FDC"/>
    <w:rsid w:val="00855E3A"/>
    <w:rsid w:val="00857CFA"/>
    <w:rsid w:val="00863342"/>
    <w:rsid w:val="008637C3"/>
    <w:rsid w:val="00863842"/>
    <w:rsid w:val="008639C0"/>
    <w:rsid w:val="00866CA8"/>
    <w:rsid w:val="0086795D"/>
    <w:rsid w:val="008762F1"/>
    <w:rsid w:val="00877561"/>
    <w:rsid w:val="00880E31"/>
    <w:rsid w:val="00883723"/>
    <w:rsid w:val="00886BD0"/>
    <w:rsid w:val="00890463"/>
    <w:rsid w:val="008916CD"/>
    <w:rsid w:val="00892AB6"/>
    <w:rsid w:val="0089406B"/>
    <w:rsid w:val="00895958"/>
    <w:rsid w:val="00895DCE"/>
    <w:rsid w:val="00897015"/>
    <w:rsid w:val="008A64D2"/>
    <w:rsid w:val="008A78AE"/>
    <w:rsid w:val="008B0617"/>
    <w:rsid w:val="008B07A1"/>
    <w:rsid w:val="008B173E"/>
    <w:rsid w:val="008B4EE7"/>
    <w:rsid w:val="008B533F"/>
    <w:rsid w:val="008B75B3"/>
    <w:rsid w:val="008C23C3"/>
    <w:rsid w:val="008C28D9"/>
    <w:rsid w:val="008C300E"/>
    <w:rsid w:val="008C4FD7"/>
    <w:rsid w:val="008D3B09"/>
    <w:rsid w:val="008D4119"/>
    <w:rsid w:val="008D4442"/>
    <w:rsid w:val="008D4589"/>
    <w:rsid w:val="008D6988"/>
    <w:rsid w:val="008D76C7"/>
    <w:rsid w:val="008D7B2C"/>
    <w:rsid w:val="008E1081"/>
    <w:rsid w:val="008E217A"/>
    <w:rsid w:val="008E249C"/>
    <w:rsid w:val="008E2649"/>
    <w:rsid w:val="008E400F"/>
    <w:rsid w:val="008E53DE"/>
    <w:rsid w:val="008E5F00"/>
    <w:rsid w:val="008E6048"/>
    <w:rsid w:val="008E7FDF"/>
    <w:rsid w:val="008F2BF9"/>
    <w:rsid w:val="008F55A3"/>
    <w:rsid w:val="008F56CD"/>
    <w:rsid w:val="008F65A7"/>
    <w:rsid w:val="008F73B7"/>
    <w:rsid w:val="008F7FBA"/>
    <w:rsid w:val="00901618"/>
    <w:rsid w:val="00902120"/>
    <w:rsid w:val="00903584"/>
    <w:rsid w:val="00903925"/>
    <w:rsid w:val="00903C03"/>
    <w:rsid w:val="00905D11"/>
    <w:rsid w:val="009060B3"/>
    <w:rsid w:val="00911475"/>
    <w:rsid w:val="009142AF"/>
    <w:rsid w:val="0092090F"/>
    <w:rsid w:val="00922B13"/>
    <w:rsid w:val="00922D45"/>
    <w:rsid w:val="00923AEC"/>
    <w:rsid w:val="0092759F"/>
    <w:rsid w:val="00927DCF"/>
    <w:rsid w:val="00927FAF"/>
    <w:rsid w:val="00930781"/>
    <w:rsid w:val="009310E0"/>
    <w:rsid w:val="00933966"/>
    <w:rsid w:val="0093579D"/>
    <w:rsid w:val="00941BE0"/>
    <w:rsid w:val="00941EF3"/>
    <w:rsid w:val="009435C3"/>
    <w:rsid w:val="0094513F"/>
    <w:rsid w:val="00952875"/>
    <w:rsid w:val="00952D85"/>
    <w:rsid w:val="00952EFF"/>
    <w:rsid w:val="0095307A"/>
    <w:rsid w:val="009542C2"/>
    <w:rsid w:val="00954F55"/>
    <w:rsid w:val="00955164"/>
    <w:rsid w:val="00961DFC"/>
    <w:rsid w:val="00962078"/>
    <w:rsid w:val="00962D08"/>
    <w:rsid w:val="00964F75"/>
    <w:rsid w:val="00965B8E"/>
    <w:rsid w:val="009679E7"/>
    <w:rsid w:val="009703AE"/>
    <w:rsid w:val="0097067B"/>
    <w:rsid w:val="0097213E"/>
    <w:rsid w:val="009728A5"/>
    <w:rsid w:val="00982B9A"/>
    <w:rsid w:val="00983FD1"/>
    <w:rsid w:val="0098473B"/>
    <w:rsid w:val="0098765A"/>
    <w:rsid w:val="00990204"/>
    <w:rsid w:val="009927B5"/>
    <w:rsid w:val="00992BA5"/>
    <w:rsid w:val="00992DA8"/>
    <w:rsid w:val="00993DF0"/>
    <w:rsid w:val="009958B8"/>
    <w:rsid w:val="00995F97"/>
    <w:rsid w:val="0099768C"/>
    <w:rsid w:val="009A12BE"/>
    <w:rsid w:val="009A2C9D"/>
    <w:rsid w:val="009A3491"/>
    <w:rsid w:val="009A4644"/>
    <w:rsid w:val="009A6496"/>
    <w:rsid w:val="009A650F"/>
    <w:rsid w:val="009B0BA4"/>
    <w:rsid w:val="009B1756"/>
    <w:rsid w:val="009B3A4A"/>
    <w:rsid w:val="009B3C62"/>
    <w:rsid w:val="009B5A42"/>
    <w:rsid w:val="009B666C"/>
    <w:rsid w:val="009B697D"/>
    <w:rsid w:val="009B7C29"/>
    <w:rsid w:val="009C153B"/>
    <w:rsid w:val="009C1573"/>
    <w:rsid w:val="009C1E44"/>
    <w:rsid w:val="009C57F4"/>
    <w:rsid w:val="009D0D47"/>
    <w:rsid w:val="009D1852"/>
    <w:rsid w:val="009D4960"/>
    <w:rsid w:val="009D523D"/>
    <w:rsid w:val="009E0A6E"/>
    <w:rsid w:val="009E1A82"/>
    <w:rsid w:val="009E3D6E"/>
    <w:rsid w:val="009E4967"/>
    <w:rsid w:val="009E4EF2"/>
    <w:rsid w:val="009E54E2"/>
    <w:rsid w:val="009E64EC"/>
    <w:rsid w:val="009E6874"/>
    <w:rsid w:val="009E6950"/>
    <w:rsid w:val="009E7CA7"/>
    <w:rsid w:val="009E7D7F"/>
    <w:rsid w:val="009F0753"/>
    <w:rsid w:val="009F07B7"/>
    <w:rsid w:val="009F094F"/>
    <w:rsid w:val="009F0C81"/>
    <w:rsid w:val="009F12F8"/>
    <w:rsid w:val="009F1A7D"/>
    <w:rsid w:val="009F3197"/>
    <w:rsid w:val="009F382D"/>
    <w:rsid w:val="009F39F5"/>
    <w:rsid w:val="009F4599"/>
    <w:rsid w:val="009F6D40"/>
    <w:rsid w:val="00A013EF"/>
    <w:rsid w:val="00A0182D"/>
    <w:rsid w:val="00A038F1"/>
    <w:rsid w:val="00A06B6D"/>
    <w:rsid w:val="00A06B86"/>
    <w:rsid w:val="00A06C64"/>
    <w:rsid w:val="00A070B2"/>
    <w:rsid w:val="00A11BE9"/>
    <w:rsid w:val="00A13EC8"/>
    <w:rsid w:val="00A15D5B"/>
    <w:rsid w:val="00A16845"/>
    <w:rsid w:val="00A17E4D"/>
    <w:rsid w:val="00A2011F"/>
    <w:rsid w:val="00A2130E"/>
    <w:rsid w:val="00A21358"/>
    <w:rsid w:val="00A2420B"/>
    <w:rsid w:val="00A3091E"/>
    <w:rsid w:val="00A31291"/>
    <w:rsid w:val="00A31532"/>
    <w:rsid w:val="00A31846"/>
    <w:rsid w:val="00A34420"/>
    <w:rsid w:val="00A3584E"/>
    <w:rsid w:val="00A37A6E"/>
    <w:rsid w:val="00A430A8"/>
    <w:rsid w:val="00A46AEC"/>
    <w:rsid w:val="00A50B31"/>
    <w:rsid w:val="00A5159F"/>
    <w:rsid w:val="00A5284E"/>
    <w:rsid w:val="00A533DD"/>
    <w:rsid w:val="00A53654"/>
    <w:rsid w:val="00A54A84"/>
    <w:rsid w:val="00A57572"/>
    <w:rsid w:val="00A60C4A"/>
    <w:rsid w:val="00A610C1"/>
    <w:rsid w:val="00A614FF"/>
    <w:rsid w:val="00A61BBB"/>
    <w:rsid w:val="00A61FEB"/>
    <w:rsid w:val="00A64649"/>
    <w:rsid w:val="00A66666"/>
    <w:rsid w:val="00A67F6E"/>
    <w:rsid w:val="00A728D3"/>
    <w:rsid w:val="00A72B64"/>
    <w:rsid w:val="00A755C3"/>
    <w:rsid w:val="00A7646E"/>
    <w:rsid w:val="00A80B82"/>
    <w:rsid w:val="00A80CEA"/>
    <w:rsid w:val="00A81626"/>
    <w:rsid w:val="00A822FF"/>
    <w:rsid w:val="00A83BE4"/>
    <w:rsid w:val="00A84DBE"/>
    <w:rsid w:val="00A84EFC"/>
    <w:rsid w:val="00A86DA1"/>
    <w:rsid w:val="00A90F91"/>
    <w:rsid w:val="00A915D8"/>
    <w:rsid w:val="00A917A2"/>
    <w:rsid w:val="00A96D5F"/>
    <w:rsid w:val="00AA04A3"/>
    <w:rsid w:val="00AA0600"/>
    <w:rsid w:val="00AA40E6"/>
    <w:rsid w:val="00AA502E"/>
    <w:rsid w:val="00AA54F1"/>
    <w:rsid w:val="00AB1826"/>
    <w:rsid w:val="00AB2F27"/>
    <w:rsid w:val="00AB4EF6"/>
    <w:rsid w:val="00AB5352"/>
    <w:rsid w:val="00AB72A3"/>
    <w:rsid w:val="00AB76B5"/>
    <w:rsid w:val="00AC138B"/>
    <w:rsid w:val="00AC2E46"/>
    <w:rsid w:val="00AC3551"/>
    <w:rsid w:val="00AC4D1B"/>
    <w:rsid w:val="00AC6E46"/>
    <w:rsid w:val="00AC6F3C"/>
    <w:rsid w:val="00AD036C"/>
    <w:rsid w:val="00AD0E78"/>
    <w:rsid w:val="00AD3CC2"/>
    <w:rsid w:val="00AD6E14"/>
    <w:rsid w:val="00AD7AE8"/>
    <w:rsid w:val="00AE1975"/>
    <w:rsid w:val="00AE31AD"/>
    <w:rsid w:val="00AE31D2"/>
    <w:rsid w:val="00AE3950"/>
    <w:rsid w:val="00AE46FF"/>
    <w:rsid w:val="00AE7CA0"/>
    <w:rsid w:val="00AF39A3"/>
    <w:rsid w:val="00AF3E02"/>
    <w:rsid w:val="00AF4335"/>
    <w:rsid w:val="00AF4509"/>
    <w:rsid w:val="00AF4BC2"/>
    <w:rsid w:val="00AF66A4"/>
    <w:rsid w:val="00AF7A45"/>
    <w:rsid w:val="00B0177B"/>
    <w:rsid w:val="00B01BF0"/>
    <w:rsid w:val="00B01DDE"/>
    <w:rsid w:val="00B021CE"/>
    <w:rsid w:val="00B02EE8"/>
    <w:rsid w:val="00B12308"/>
    <w:rsid w:val="00B212EC"/>
    <w:rsid w:val="00B22081"/>
    <w:rsid w:val="00B221F7"/>
    <w:rsid w:val="00B2260E"/>
    <w:rsid w:val="00B25337"/>
    <w:rsid w:val="00B26967"/>
    <w:rsid w:val="00B31510"/>
    <w:rsid w:val="00B31C59"/>
    <w:rsid w:val="00B434FA"/>
    <w:rsid w:val="00B43EE1"/>
    <w:rsid w:val="00B45F48"/>
    <w:rsid w:val="00B4662B"/>
    <w:rsid w:val="00B46D8C"/>
    <w:rsid w:val="00B5439F"/>
    <w:rsid w:val="00B5603B"/>
    <w:rsid w:val="00B56E23"/>
    <w:rsid w:val="00B573CC"/>
    <w:rsid w:val="00B6037B"/>
    <w:rsid w:val="00B61394"/>
    <w:rsid w:val="00B62592"/>
    <w:rsid w:val="00B638E3"/>
    <w:rsid w:val="00B63A00"/>
    <w:rsid w:val="00B646AF"/>
    <w:rsid w:val="00B64D7A"/>
    <w:rsid w:val="00B655E1"/>
    <w:rsid w:val="00B676F8"/>
    <w:rsid w:val="00B71787"/>
    <w:rsid w:val="00B72B00"/>
    <w:rsid w:val="00B73462"/>
    <w:rsid w:val="00B73618"/>
    <w:rsid w:val="00B754D7"/>
    <w:rsid w:val="00B7596F"/>
    <w:rsid w:val="00B76733"/>
    <w:rsid w:val="00B76926"/>
    <w:rsid w:val="00B76978"/>
    <w:rsid w:val="00B76B7F"/>
    <w:rsid w:val="00B76C2D"/>
    <w:rsid w:val="00B80AC0"/>
    <w:rsid w:val="00B81419"/>
    <w:rsid w:val="00B81AF1"/>
    <w:rsid w:val="00B82D97"/>
    <w:rsid w:val="00B839E1"/>
    <w:rsid w:val="00B871AD"/>
    <w:rsid w:val="00B90DFD"/>
    <w:rsid w:val="00B911EB"/>
    <w:rsid w:val="00B957FD"/>
    <w:rsid w:val="00B9669F"/>
    <w:rsid w:val="00B96F63"/>
    <w:rsid w:val="00B97266"/>
    <w:rsid w:val="00B975F5"/>
    <w:rsid w:val="00B977B6"/>
    <w:rsid w:val="00BA0EC4"/>
    <w:rsid w:val="00BA12DF"/>
    <w:rsid w:val="00BA44DF"/>
    <w:rsid w:val="00BA51D2"/>
    <w:rsid w:val="00BA54BA"/>
    <w:rsid w:val="00BB131B"/>
    <w:rsid w:val="00BB3630"/>
    <w:rsid w:val="00BB3634"/>
    <w:rsid w:val="00BB4268"/>
    <w:rsid w:val="00BB439A"/>
    <w:rsid w:val="00BB46D4"/>
    <w:rsid w:val="00BC0627"/>
    <w:rsid w:val="00BC10A9"/>
    <w:rsid w:val="00BC139E"/>
    <w:rsid w:val="00BC1776"/>
    <w:rsid w:val="00BC4ECF"/>
    <w:rsid w:val="00BC5A7F"/>
    <w:rsid w:val="00BC5D16"/>
    <w:rsid w:val="00BC76B2"/>
    <w:rsid w:val="00BD0BDA"/>
    <w:rsid w:val="00BD0F6A"/>
    <w:rsid w:val="00BD25C0"/>
    <w:rsid w:val="00BD3443"/>
    <w:rsid w:val="00BD45A4"/>
    <w:rsid w:val="00BD4E1E"/>
    <w:rsid w:val="00BD5837"/>
    <w:rsid w:val="00BE0F64"/>
    <w:rsid w:val="00BE15DD"/>
    <w:rsid w:val="00BE3DBB"/>
    <w:rsid w:val="00BE5C8E"/>
    <w:rsid w:val="00BE6C89"/>
    <w:rsid w:val="00BE7274"/>
    <w:rsid w:val="00BF0BDE"/>
    <w:rsid w:val="00BF4AC0"/>
    <w:rsid w:val="00BF6F09"/>
    <w:rsid w:val="00BF7EE5"/>
    <w:rsid w:val="00C01F28"/>
    <w:rsid w:val="00C032D6"/>
    <w:rsid w:val="00C06891"/>
    <w:rsid w:val="00C0793F"/>
    <w:rsid w:val="00C1349B"/>
    <w:rsid w:val="00C138CA"/>
    <w:rsid w:val="00C156C7"/>
    <w:rsid w:val="00C157C7"/>
    <w:rsid w:val="00C159ED"/>
    <w:rsid w:val="00C16D63"/>
    <w:rsid w:val="00C21D94"/>
    <w:rsid w:val="00C230A1"/>
    <w:rsid w:val="00C26569"/>
    <w:rsid w:val="00C313ED"/>
    <w:rsid w:val="00C3481F"/>
    <w:rsid w:val="00C36105"/>
    <w:rsid w:val="00C367C7"/>
    <w:rsid w:val="00C367C8"/>
    <w:rsid w:val="00C36CD8"/>
    <w:rsid w:val="00C36CF8"/>
    <w:rsid w:val="00C37E8B"/>
    <w:rsid w:val="00C413C8"/>
    <w:rsid w:val="00C41794"/>
    <w:rsid w:val="00C41A1E"/>
    <w:rsid w:val="00C42A2E"/>
    <w:rsid w:val="00C45513"/>
    <w:rsid w:val="00C4769A"/>
    <w:rsid w:val="00C51BA2"/>
    <w:rsid w:val="00C53E6C"/>
    <w:rsid w:val="00C53F7C"/>
    <w:rsid w:val="00C559A3"/>
    <w:rsid w:val="00C60173"/>
    <w:rsid w:val="00C60943"/>
    <w:rsid w:val="00C60D95"/>
    <w:rsid w:val="00C6204A"/>
    <w:rsid w:val="00C6388E"/>
    <w:rsid w:val="00C6542C"/>
    <w:rsid w:val="00C65874"/>
    <w:rsid w:val="00C65956"/>
    <w:rsid w:val="00C66B3C"/>
    <w:rsid w:val="00C70D84"/>
    <w:rsid w:val="00C72BBA"/>
    <w:rsid w:val="00C7471A"/>
    <w:rsid w:val="00C74C85"/>
    <w:rsid w:val="00C754FB"/>
    <w:rsid w:val="00C766B7"/>
    <w:rsid w:val="00C769D9"/>
    <w:rsid w:val="00C77D3F"/>
    <w:rsid w:val="00C804D4"/>
    <w:rsid w:val="00C81A69"/>
    <w:rsid w:val="00C854BA"/>
    <w:rsid w:val="00C87565"/>
    <w:rsid w:val="00C922BA"/>
    <w:rsid w:val="00C923B5"/>
    <w:rsid w:val="00C92A78"/>
    <w:rsid w:val="00C93D42"/>
    <w:rsid w:val="00C9423C"/>
    <w:rsid w:val="00C95A39"/>
    <w:rsid w:val="00C97776"/>
    <w:rsid w:val="00CA5C3C"/>
    <w:rsid w:val="00CA63FF"/>
    <w:rsid w:val="00CA6784"/>
    <w:rsid w:val="00CB0FEE"/>
    <w:rsid w:val="00CB22AA"/>
    <w:rsid w:val="00CB45A1"/>
    <w:rsid w:val="00CB4C9A"/>
    <w:rsid w:val="00CB4FD0"/>
    <w:rsid w:val="00CB5243"/>
    <w:rsid w:val="00CB613D"/>
    <w:rsid w:val="00CB7190"/>
    <w:rsid w:val="00CB7C21"/>
    <w:rsid w:val="00CC2607"/>
    <w:rsid w:val="00CC295E"/>
    <w:rsid w:val="00CC52BB"/>
    <w:rsid w:val="00CC7653"/>
    <w:rsid w:val="00CD02EB"/>
    <w:rsid w:val="00CD0BB4"/>
    <w:rsid w:val="00CD1AC1"/>
    <w:rsid w:val="00CD2CD5"/>
    <w:rsid w:val="00CD477A"/>
    <w:rsid w:val="00CD6930"/>
    <w:rsid w:val="00CD6963"/>
    <w:rsid w:val="00CD7FE3"/>
    <w:rsid w:val="00CE0057"/>
    <w:rsid w:val="00CE0A50"/>
    <w:rsid w:val="00CE12E4"/>
    <w:rsid w:val="00CE1437"/>
    <w:rsid w:val="00CE4C01"/>
    <w:rsid w:val="00CE5079"/>
    <w:rsid w:val="00CE7990"/>
    <w:rsid w:val="00CF1E17"/>
    <w:rsid w:val="00CF31C7"/>
    <w:rsid w:val="00CF3F95"/>
    <w:rsid w:val="00CF5032"/>
    <w:rsid w:val="00CF5823"/>
    <w:rsid w:val="00CF6D7E"/>
    <w:rsid w:val="00CF7E97"/>
    <w:rsid w:val="00D0369B"/>
    <w:rsid w:val="00D03947"/>
    <w:rsid w:val="00D05739"/>
    <w:rsid w:val="00D05AFC"/>
    <w:rsid w:val="00D05ECD"/>
    <w:rsid w:val="00D07D9A"/>
    <w:rsid w:val="00D1148B"/>
    <w:rsid w:val="00D140F9"/>
    <w:rsid w:val="00D17A8C"/>
    <w:rsid w:val="00D21DC0"/>
    <w:rsid w:val="00D25050"/>
    <w:rsid w:val="00D25730"/>
    <w:rsid w:val="00D25ED1"/>
    <w:rsid w:val="00D308A0"/>
    <w:rsid w:val="00D3136D"/>
    <w:rsid w:val="00D32EEE"/>
    <w:rsid w:val="00D336E6"/>
    <w:rsid w:val="00D35CBD"/>
    <w:rsid w:val="00D42241"/>
    <w:rsid w:val="00D42ACB"/>
    <w:rsid w:val="00D42F3C"/>
    <w:rsid w:val="00D5080E"/>
    <w:rsid w:val="00D511C2"/>
    <w:rsid w:val="00D515CF"/>
    <w:rsid w:val="00D52E8A"/>
    <w:rsid w:val="00D5351F"/>
    <w:rsid w:val="00D5366F"/>
    <w:rsid w:val="00D5563F"/>
    <w:rsid w:val="00D55B4E"/>
    <w:rsid w:val="00D570E3"/>
    <w:rsid w:val="00D57626"/>
    <w:rsid w:val="00D6155F"/>
    <w:rsid w:val="00D61CED"/>
    <w:rsid w:val="00D639E6"/>
    <w:rsid w:val="00D67062"/>
    <w:rsid w:val="00D73ABA"/>
    <w:rsid w:val="00D753F8"/>
    <w:rsid w:val="00D8073A"/>
    <w:rsid w:val="00D82653"/>
    <w:rsid w:val="00D8615F"/>
    <w:rsid w:val="00D87DCB"/>
    <w:rsid w:val="00D90DDF"/>
    <w:rsid w:val="00D92CA7"/>
    <w:rsid w:val="00D96491"/>
    <w:rsid w:val="00D97037"/>
    <w:rsid w:val="00D9762A"/>
    <w:rsid w:val="00D97803"/>
    <w:rsid w:val="00D97990"/>
    <w:rsid w:val="00DA2BEE"/>
    <w:rsid w:val="00DB18C8"/>
    <w:rsid w:val="00DB2AF2"/>
    <w:rsid w:val="00DB2B20"/>
    <w:rsid w:val="00DB6030"/>
    <w:rsid w:val="00DC42BF"/>
    <w:rsid w:val="00DC5078"/>
    <w:rsid w:val="00DD1726"/>
    <w:rsid w:val="00DD1B02"/>
    <w:rsid w:val="00DD48F7"/>
    <w:rsid w:val="00DD621D"/>
    <w:rsid w:val="00DD62FA"/>
    <w:rsid w:val="00DD704D"/>
    <w:rsid w:val="00DD7387"/>
    <w:rsid w:val="00DE0271"/>
    <w:rsid w:val="00DE0E9D"/>
    <w:rsid w:val="00DE128C"/>
    <w:rsid w:val="00DE1E4C"/>
    <w:rsid w:val="00DE325C"/>
    <w:rsid w:val="00DE3CA8"/>
    <w:rsid w:val="00DE4690"/>
    <w:rsid w:val="00DE4D28"/>
    <w:rsid w:val="00DE52E0"/>
    <w:rsid w:val="00DE5E62"/>
    <w:rsid w:val="00DF2CAD"/>
    <w:rsid w:val="00DF320C"/>
    <w:rsid w:val="00DF6F2A"/>
    <w:rsid w:val="00DF7351"/>
    <w:rsid w:val="00DF7B6F"/>
    <w:rsid w:val="00E0020D"/>
    <w:rsid w:val="00E00C90"/>
    <w:rsid w:val="00E00E6D"/>
    <w:rsid w:val="00E0431F"/>
    <w:rsid w:val="00E05FEE"/>
    <w:rsid w:val="00E062AD"/>
    <w:rsid w:val="00E06C7C"/>
    <w:rsid w:val="00E10339"/>
    <w:rsid w:val="00E11916"/>
    <w:rsid w:val="00E12D6C"/>
    <w:rsid w:val="00E13722"/>
    <w:rsid w:val="00E16887"/>
    <w:rsid w:val="00E177CD"/>
    <w:rsid w:val="00E20634"/>
    <w:rsid w:val="00E243C8"/>
    <w:rsid w:val="00E24968"/>
    <w:rsid w:val="00E2523C"/>
    <w:rsid w:val="00E30F4F"/>
    <w:rsid w:val="00E31EC1"/>
    <w:rsid w:val="00E32877"/>
    <w:rsid w:val="00E352C8"/>
    <w:rsid w:val="00E36BBC"/>
    <w:rsid w:val="00E37228"/>
    <w:rsid w:val="00E4414D"/>
    <w:rsid w:val="00E44485"/>
    <w:rsid w:val="00E4479E"/>
    <w:rsid w:val="00E447C3"/>
    <w:rsid w:val="00E44A29"/>
    <w:rsid w:val="00E458ED"/>
    <w:rsid w:val="00E47088"/>
    <w:rsid w:val="00E47A7C"/>
    <w:rsid w:val="00E501ED"/>
    <w:rsid w:val="00E51956"/>
    <w:rsid w:val="00E53F96"/>
    <w:rsid w:val="00E55A31"/>
    <w:rsid w:val="00E55D20"/>
    <w:rsid w:val="00E57D17"/>
    <w:rsid w:val="00E60BC7"/>
    <w:rsid w:val="00E60E4E"/>
    <w:rsid w:val="00E61151"/>
    <w:rsid w:val="00E623FD"/>
    <w:rsid w:val="00E62D74"/>
    <w:rsid w:val="00E6395E"/>
    <w:rsid w:val="00E677E8"/>
    <w:rsid w:val="00E67EB0"/>
    <w:rsid w:val="00E705D8"/>
    <w:rsid w:val="00E70954"/>
    <w:rsid w:val="00E80458"/>
    <w:rsid w:val="00E8089C"/>
    <w:rsid w:val="00E85B66"/>
    <w:rsid w:val="00E86071"/>
    <w:rsid w:val="00E87ABC"/>
    <w:rsid w:val="00E9106B"/>
    <w:rsid w:val="00E91811"/>
    <w:rsid w:val="00E9259E"/>
    <w:rsid w:val="00E92F5C"/>
    <w:rsid w:val="00E9595D"/>
    <w:rsid w:val="00E95EA4"/>
    <w:rsid w:val="00E9674B"/>
    <w:rsid w:val="00E97A02"/>
    <w:rsid w:val="00E97A28"/>
    <w:rsid w:val="00EA0980"/>
    <w:rsid w:val="00EA15E8"/>
    <w:rsid w:val="00EA7534"/>
    <w:rsid w:val="00EB2956"/>
    <w:rsid w:val="00EB6AD4"/>
    <w:rsid w:val="00EB704B"/>
    <w:rsid w:val="00EC085B"/>
    <w:rsid w:val="00EC0BDC"/>
    <w:rsid w:val="00EC20B8"/>
    <w:rsid w:val="00EC4EB8"/>
    <w:rsid w:val="00EC5DC9"/>
    <w:rsid w:val="00ED52DC"/>
    <w:rsid w:val="00EE026C"/>
    <w:rsid w:val="00EE0D4C"/>
    <w:rsid w:val="00EE1402"/>
    <w:rsid w:val="00EE1F30"/>
    <w:rsid w:val="00EE4596"/>
    <w:rsid w:val="00EE5146"/>
    <w:rsid w:val="00EE5D63"/>
    <w:rsid w:val="00EE63D9"/>
    <w:rsid w:val="00EE79F7"/>
    <w:rsid w:val="00EF20E2"/>
    <w:rsid w:val="00EF22F4"/>
    <w:rsid w:val="00EF5050"/>
    <w:rsid w:val="00EF6978"/>
    <w:rsid w:val="00EF7093"/>
    <w:rsid w:val="00F0050F"/>
    <w:rsid w:val="00F00534"/>
    <w:rsid w:val="00F016BE"/>
    <w:rsid w:val="00F03F7D"/>
    <w:rsid w:val="00F06BCA"/>
    <w:rsid w:val="00F11DF0"/>
    <w:rsid w:val="00F11FC6"/>
    <w:rsid w:val="00F12EE9"/>
    <w:rsid w:val="00F1580D"/>
    <w:rsid w:val="00F20449"/>
    <w:rsid w:val="00F23733"/>
    <w:rsid w:val="00F23D34"/>
    <w:rsid w:val="00F24DFE"/>
    <w:rsid w:val="00F24FDB"/>
    <w:rsid w:val="00F25451"/>
    <w:rsid w:val="00F25A64"/>
    <w:rsid w:val="00F33548"/>
    <w:rsid w:val="00F368A9"/>
    <w:rsid w:val="00F36B82"/>
    <w:rsid w:val="00F371B3"/>
    <w:rsid w:val="00F4113D"/>
    <w:rsid w:val="00F46057"/>
    <w:rsid w:val="00F47671"/>
    <w:rsid w:val="00F503F0"/>
    <w:rsid w:val="00F53DC2"/>
    <w:rsid w:val="00F5502D"/>
    <w:rsid w:val="00F575FE"/>
    <w:rsid w:val="00F626A3"/>
    <w:rsid w:val="00F64414"/>
    <w:rsid w:val="00F71F8F"/>
    <w:rsid w:val="00F732C8"/>
    <w:rsid w:val="00F7357A"/>
    <w:rsid w:val="00F759BE"/>
    <w:rsid w:val="00F76794"/>
    <w:rsid w:val="00F8366B"/>
    <w:rsid w:val="00F83950"/>
    <w:rsid w:val="00F855E2"/>
    <w:rsid w:val="00F8650B"/>
    <w:rsid w:val="00F92840"/>
    <w:rsid w:val="00F92CB0"/>
    <w:rsid w:val="00F92E30"/>
    <w:rsid w:val="00F93B1B"/>
    <w:rsid w:val="00F93DEE"/>
    <w:rsid w:val="00F95748"/>
    <w:rsid w:val="00FA2D0B"/>
    <w:rsid w:val="00FA3160"/>
    <w:rsid w:val="00FA4703"/>
    <w:rsid w:val="00FB13DF"/>
    <w:rsid w:val="00FB14C6"/>
    <w:rsid w:val="00FB2470"/>
    <w:rsid w:val="00FB28AB"/>
    <w:rsid w:val="00FB2C5C"/>
    <w:rsid w:val="00FB2DC5"/>
    <w:rsid w:val="00FB431C"/>
    <w:rsid w:val="00FB6892"/>
    <w:rsid w:val="00FB72DD"/>
    <w:rsid w:val="00FB78B6"/>
    <w:rsid w:val="00FC22C6"/>
    <w:rsid w:val="00FC251C"/>
    <w:rsid w:val="00FC3049"/>
    <w:rsid w:val="00FC460B"/>
    <w:rsid w:val="00FC51E9"/>
    <w:rsid w:val="00FC62C1"/>
    <w:rsid w:val="00FC6815"/>
    <w:rsid w:val="00FD1231"/>
    <w:rsid w:val="00FD3269"/>
    <w:rsid w:val="00FD4003"/>
    <w:rsid w:val="00FD64FE"/>
    <w:rsid w:val="00FD6553"/>
    <w:rsid w:val="00FD69E3"/>
    <w:rsid w:val="00FD74C6"/>
    <w:rsid w:val="00FE0FFC"/>
    <w:rsid w:val="00FE3133"/>
    <w:rsid w:val="00FE32DB"/>
    <w:rsid w:val="00FE6321"/>
    <w:rsid w:val="00FF0BD3"/>
    <w:rsid w:val="00FF1454"/>
    <w:rsid w:val="00FF1F32"/>
    <w:rsid w:val="00FF44D1"/>
    <w:rsid w:val="00FF5157"/>
    <w:rsid w:val="00FF754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31426"/>
  <w15:docId w15:val="{5A02B488-2A4C-4786-BCBD-60A77E787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footnote text" w:semiHidden="1" w:unhideWhenUsed="1" w:qFormat="1"/>
    <w:lsdException w:name="annotation text" w:semiHidden="1" w:uiPriority="99" w:unhideWhenUsed="1"/>
    <w:lsdException w:name="header" w:semiHidden="1" w:uiPriority="1" w:unhideWhenUsed="1" w:qFormat="1"/>
    <w:lsdException w:name="footer" w:semiHidden="1" w:unhideWhenUsed="1" w:qFormat="1"/>
    <w:lsdException w:name="caption" w:qFormat="1"/>
    <w:lsdException w:name="footnote reference" w:semiHidden="1" w:unhideWhenUsed="1" w:qFormat="1"/>
    <w:lsdException w:name="annotation reference" w:semiHidden="1" w:unhideWhenUsed="1"/>
    <w:lsdException w:name="page number" w:qFormat="1"/>
    <w:lsdException w:name="endnote reference" w:qFormat="1"/>
    <w:lsdException w:name="endnote text" w:qFormat="1"/>
    <w:lsdException w:name="List Number" w:uiPriority="1"/>
    <w:lsdException w:name="List 4" w:uiPriority="1"/>
    <w:lsdException w:name="List 5" w:uiPriority="1"/>
    <w:lsdException w:name="Title" w:qFormat="1"/>
    <w:lsdException w:name="Default Paragraph Font" w:semiHidden="1" w:unhideWhenUsed="1"/>
    <w:lsdException w:name="Body Text Indent" w:semiHidden="1" w:uiPriority="99" w:unhideWhenUsed="1"/>
    <w:lsdException w:name="Strong" w:uiPriority="1"/>
    <w:lsdException w:name="HTML Top of Form" w:semiHidden="1" w:unhideWhenUsed="1"/>
    <w:lsdException w:name="HTML Bottom of Form" w:semiHidden="1" w:unhideWhenUsed="1"/>
    <w:lsdException w:name="Normal (Web)" w:semiHidden="1" w:uiPriority="99" w:unhideWhenUsed="1"/>
    <w:lsdException w:name="HTML Preformatted"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lsdException w:name="Smart Hyperlink" w:uiPriority="99"/>
    <w:lsdException w:name="Hashtag" w:uiPriority="99"/>
    <w:lsdException w:name="Unresolved Mention" w:uiPriority="99"/>
    <w:lsdException w:name="Smart Link" w:semiHidden="1" w:uiPriority="99" w:unhideWhenUsed="1"/>
  </w:latentStyles>
  <w:style w:type="paragraph" w:default="1" w:styleId="Normal">
    <w:name w:val="Normal"/>
    <w:qFormat/>
    <w:rsid w:val="001E60A0"/>
    <w:pPr>
      <w:widowControl w:val="0"/>
      <w:autoSpaceDE w:val="0"/>
      <w:autoSpaceDN w:val="0"/>
      <w:adjustRightInd w:val="0"/>
      <w:jc w:val="both"/>
    </w:pPr>
    <w:rPr>
      <w:sz w:val="22"/>
      <w:szCs w:val="24"/>
    </w:rPr>
  </w:style>
  <w:style w:type="paragraph" w:styleId="Heading1">
    <w:name w:val="heading 1"/>
    <w:basedOn w:val="Normal"/>
    <w:next w:val="Normal"/>
    <w:link w:val="Heading1Char"/>
    <w:qFormat/>
    <w:pPr>
      <w:keepNext/>
      <w:widowControl/>
      <w:tabs>
        <w:tab w:val="right" w:pos="9638"/>
      </w:tabs>
      <w:outlineLvl w:val="0"/>
    </w:pPr>
    <w:rPr>
      <w:b/>
      <w:bCs/>
      <w:szCs w:val="22"/>
      <w:lang w:val="fr-FR"/>
    </w:rPr>
  </w:style>
  <w:style w:type="paragraph" w:styleId="Heading2">
    <w:name w:val="heading 2"/>
    <w:basedOn w:val="Normal"/>
    <w:next w:val="Normal"/>
    <w:link w:val="Heading2Char"/>
    <w:qFormat/>
    <w:pPr>
      <w:keepNext/>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pPr>
    <w:rPr>
      <w:b/>
      <w:bCs/>
      <w:i/>
      <w:iCs/>
      <w:sz w:val="28"/>
      <w:szCs w:val="36"/>
      <w:lang w:val="fr-FR"/>
    </w:rPr>
  </w:style>
  <w:style w:type="paragraph" w:styleId="Heading3">
    <w:name w:val="heading 3"/>
    <w:basedOn w:val="Normal"/>
    <w:next w:val="Normal"/>
    <w:link w:val="Heading3Char"/>
    <w:qFormat/>
    <w:rsid w:val="0073108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31089"/>
    <w:pPr>
      <w:keepNext/>
      <w:spacing w:before="240" w:after="60"/>
      <w:outlineLvl w:val="3"/>
    </w:pPr>
    <w:rPr>
      <w:b/>
      <w:bCs/>
      <w:sz w:val="28"/>
      <w:szCs w:val="28"/>
    </w:rPr>
  </w:style>
  <w:style w:type="paragraph" w:styleId="Heading5">
    <w:name w:val="heading 5"/>
    <w:basedOn w:val="Normal"/>
    <w:next w:val="Normal"/>
    <w:link w:val="Heading5Char"/>
    <w:qFormat/>
    <w:rsid w:val="00731089"/>
    <w:pPr>
      <w:spacing w:before="240" w:after="60"/>
      <w:outlineLvl w:val="4"/>
    </w:pPr>
    <w:rPr>
      <w:b/>
      <w:bCs/>
      <w:i/>
      <w:iCs/>
      <w:sz w:val="26"/>
      <w:szCs w:val="26"/>
    </w:rPr>
  </w:style>
  <w:style w:type="paragraph" w:styleId="Heading6">
    <w:name w:val="heading 6"/>
    <w:basedOn w:val="Normal"/>
    <w:next w:val="Normal"/>
    <w:link w:val="Heading6Char"/>
    <w:qFormat/>
    <w:rsid w:val="00731089"/>
    <w:pPr>
      <w:spacing w:before="240" w:after="60"/>
      <w:outlineLvl w:val="5"/>
    </w:pPr>
    <w:rPr>
      <w:b/>
      <w:bCs/>
      <w:szCs w:val="22"/>
    </w:rPr>
  </w:style>
  <w:style w:type="paragraph" w:styleId="Heading7">
    <w:name w:val="heading 7"/>
    <w:basedOn w:val="Normal"/>
    <w:next w:val="Normal"/>
    <w:link w:val="Heading7Char"/>
    <w:uiPriority w:val="99"/>
    <w:qFormat/>
    <w:rsid w:val="00731089"/>
    <w:pPr>
      <w:spacing w:before="240" w:after="60"/>
      <w:outlineLvl w:val="6"/>
    </w:pPr>
  </w:style>
  <w:style w:type="paragraph" w:styleId="Heading8">
    <w:name w:val="heading 8"/>
    <w:basedOn w:val="Normal"/>
    <w:next w:val="Normal"/>
    <w:link w:val="Heading8Char"/>
    <w:uiPriority w:val="99"/>
    <w:qFormat/>
    <w:rsid w:val="00731089"/>
    <w:pPr>
      <w:spacing w:before="240" w:after="60"/>
      <w:outlineLvl w:val="7"/>
    </w:pPr>
    <w:rPr>
      <w:i/>
      <w:iCs/>
    </w:rPr>
  </w:style>
  <w:style w:type="paragraph" w:styleId="Heading9">
    <w:name w:val="heading 9"/>
    <w:basedOn w:val="Normal"/>
    <w:next w:val="Normal"/>
    <w:link w:val="Heading9Char"/>
    <w:uiPriority w:val="99"/>
    <w:qFormat/>
    <w:rsid w:val="00731089"/>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1subpara">
    <w:name w:val="Man_1subpara"/>
    <w:basedOn w:val="BodyTextIndent"/>
    <w:uiPriority w:val="99"/>
    <w:qFormat/>
    <w:rsid w:val="00156C69"/>
    <w:pPr>
      <w:widowControl/>
      <w:tabs>
        <w:tab w:val="left" w:pos="-1440"/>
        <w:tab w:val="left" w:pos="-142"/>
        <w:tab w:val="left" w:pos="1985"/>
        <w:tab w:val="left" w:pos="11518"/>
      </w:tabs>
      <w:autoSpaceDE/>
      <w:autoSpaceDN/>
      <w:adjustRightInd/>
      <w:ind w:left="1985" w:hanging="567"/>
    </w:pPr>
    <w:rPr>
      <w:szCs w:val="20"/>
      <w:lang w:val="fr-FR"/>
    </w:rPr>
  </w:style>
  <w:style w:type="paragraph" w:styleId="BodyTextIndent">
    <w:name w:val="Body Text Indent"/>
    <w:basedOn w:val="Normal"/>
    <w:link w:val="BodyTextIndentChar"/>
    <w:uiPriority w:val="99"/>
    <w:rsid w:val="003F7BA0"/>
    <w:pPr>
      <w:spacing w:after="120"/>
      <w:ind w:left="360"/>
    </w:pPr>
  </w:style>
  <w:style w:type="character" w:customStyle="1" w:styleId="BodyTextIndentChar">
    <w:name w:val="Body Text Indent Char"/>
    <w:basedOn w:val="DefaultParagraphFont"/>
    <w:link w:val="BodyTextIndent"/>
    <w:uiPriority w:val="99"/>
    <w:rsid w:val="001E60A0"/>
    <w:rPr>
      <w:sz w:val="22"/>
      <w:szCs w:val="24"/>
    </w:rPr>
  </w:style>
  <w:style w:type="paragraph" w:customStyle="1" w:styleId="Man2Head">
    <w:name w:val="Man_2Head"/>
    <w:basedOn w:val="Normal"/>
    <w:uiPriority w:val="99"/>
    <w:qFormat/>
    <w:rsid w:val="003F7BA0"/>
    <w:pPr>
      <w:keepNext/>
      <w:keepLines/>
      <w:widowControl/>
      <w:numPr>
        <w:ilvl w:val="12"/>
      </w:numPr>
      <w:tabs>
        <w:tab w:val="left" w:pos="1418"/>
      </w:tabs>
      <w:spacing w:after="240"/>
    </w:pPr>
    <w:rPr>
      <w:b/>
      <w:szCs w:val="22"/>
      <w:lang w:val="fr-FR" w:eastAsia="fr-FR"/>
    </w:rPr>
  </w:style>
  <w:style w:type="paragraph" w:customStyle="1" w:styleId="Man2sub">
    <w:name w:val="Man_2sub"/>
    <w:basedOn w:val="Normal"/>
    <w:uiPriority w:val="99"/>
    <w:qFormat/>
    <w:rsid w:val="00192FAE"/>
    <w:pPr>
      <w:widowControl/>
      <w:numPr>
        <w:ilvl w:val="12"/>
      </w:numPr>
      <w:tabs>
        <w:tab w:val="left" w:pos="1418"/>
        <w:tab w:val="left" w:pos="2552"/>
      </w:tabs>
      <w:spacing w:after="240"/>
      <w:ind w:left="2552" w:hanging="567"/>
    </w:pPr>
    <w:rPr>
      <w:szCs w:val="22"/>
      <w:lang w:val="fr-FR" w:eastAsia="fr-FR"/>
    </w:rPr>
  </w:style>
  <w:style w:type="paragraph" w:customStyle="1" w:styleId="Man3Head">
    <w:name w:val="Man_3Head"/>
    <w:basedOn w:val="Normal"/>
    <w:uiPriority w:val="99"/>
    <w:qFormat/>
    <w:rsid w:val="003F7BA0"/>
    <w:pPr>
      <w:keepNext/>
      <w:keepLines/>
      <w:widowControl/>
      <w:numPr>
        <w:ilvl w:val="12"/>
      </w:numPr>
      <w:tabs>
        <w:tab w:val="left" w:pos="1418"/>
      </w:tabs>
      <w:spacing w:after="240"/>
    </w:pPr>
    <w:rPr>
      <w:b/>
      <w:szCs w:val="22"/>
      <w:lang w:val="fr-FR" w:eastAsia="fr-FR"/>
    </w:rPr>
  </w:style>
  <w:style w:type="paragraph" w:customStyle="1" w:styleId="Man4Head">
    <w:name w:val="Man_4Head"/>
    <w:basedOn w:val="Normal"/>
    <w:uiPriority w:val="99"/>
    <w:qFormat/>
    <w:rsid w:val="003F7BA0"/>
    <w:pPr>
      <w:keepNext/>
      <w:keepLines/>
      <w:widowControl/>
      <w:numPr>
        <w:ilvl w:val="12"/>
      </w:numPr>
      <w:tabs>
        <w:tab w:val="left" w:pos="1418"/>
      </w:tabs>
      <w:spacing w:after="240"/>
    </w:pPr>
    <w:rPr>
      <w:szCs w:val="22"/>
      <w:lang w:val="fr-FR" w:eastAsia="fr-FR"/>
    </w:rPr>
  </w:style>
  <w:style w:type="paragraph" w:customStyle="1" w:styleId="Man5Head">
    <w:name w:val="Man_5Head"/>
    <w:basedOn w:val="Normal"/>
    <w:uiPriority w:val="99"/>
    <w:qFormat/>
    <w:rsid w:val="003F7BA0"/>
    <w:pPr>
      <w:keepNext/>
      <w:keepLines/>
      <w:widowControl/>
      <w:numPr>
        <w:ilvl w:val="12"/>
      </w:numPr>
      <w:tabs>
        <w:tab w:val="left" w:pos="1418"/>
      </w:tabs>
      <w:spacing w:after="240"/>
    </w:pPr>
    <w:rPr>
      <w:szCs w:val="22"/>
      <w:lang w:val="fr-FR" w:eastAsia="fr-FR"/>
    </w:rPr>
  </w:style>
  <w:style w:type="paragraph" w:customStyle="1" w:styleId="Manbodytext">
    <w:name w:val="Man_body_text"/>
    <w:basedOn w:val="Normal"/>
    <w:link w:val="ManbodytextCar"/>
    <w:qFormat/>
    <w:rsid w:val="003F7BA0"/>
    <w:pPr>
      <w:widowControl/>
      <w:numPr>
        <w:ilvl w:val="12"/>
      </w:numPr>
      <w:tabs>
        <w:tab w:val="left" w:pos="1418"/>
      </w:tabs>
      <w:spacing w:after="240"/>
    </w:pPr>
    <w:rPr>
      <w:szCs w:val="22"/>
      <w:lang w:val="fr-FR" w:eastAsia="fr-FR"/>
    </w:rPr>
  </w:style>
  <w:style w:type="paragraph" w:customStyle="1" w:styleId="Manindent">
    <w:name w:val="Man_indent"/>
    <w:basedOn w:val="Normal"/>
    <w:uiPriority w:val="99"/>
    <w:qFormat/>
    <w:rsid w:val="003F7BA0"/>
    <w:pPr>
      <w:widowControl/>
      <w:tabs>
        <w:tab w:val="left" w:pos="1418"/>
        <w:tab w:val="left" w:pos="1985"/>
      </w:tabs>
      <w:ind w:left="1418"/>
    </w:pPr>
    <w:rPr>
      <w:szCs w:val="22"/>
      <w:lang w:val="fr-FR" w:eastAsia="fr-FR"/>
    </w:rPr>
  </w:style>
  <w:style w:type="paragraph" w:customStyle="1" w:styleId="ManPart">
    <w:name w:val="Man_Part"/>
    <w:basedOn w:val="Normal"/>
    <w:uiPriority w:val="99"/>
    <w:qFormat/>
    <w:rsid w:val="003F7BA0"/>
    <w:pPr>
      <w:keepNext/>
      <w:keepLines/>
      <w:widowControl/>
      <w:numPr>
        <w:ilvl w:val="12"/>
      </w:numPr>
      <w:spacing w:after="240"/>
      <w:jc w:val="center"/>
    </w:pPr>
    <w:rPr>
      <w:b/>
      <w:bCs/>
      <w:sz w:val="56"/>
      <w:szCs w:val="44"/>
      <w:lang w:val="fr-FR" w:eastAsia="fr-FR"/>
    </w:rPr>
  </w:style>
  <w:style w:type="paragraph" w:customStyle="1" w:styleId="ManSect">
    <w:name w:val="Man_Sect"/>
    <w:basedOn w:val="Normal"/>
    <w:uiPriority w:val="99"/>
    <w:qFormat/>
    <w:rsid w:val="003F7BA0"/>
    <w:pPr>
      <w:keepNext/>
      <w:keepLines/>
      <w:widowControl/>
      <w:numPr>
        <w:ilvl w:val="12"/>
      </w:numPr>
      <w:spacing w:after="240"/>
      <w:jc w:val="center"/>
    </w:pPr>
    <w:rPr>
      <w:b/>
      <w:sz w:val="26"/>
      <w:szCs w:val="26"/>
      <w:lang w:val="fr-FR" w:eastAsia="fr-FR"/>
    </w:rPr>
  </w:style>
  <w:style w:type="paragraph" w:customStyle="1" w:styleId="MantableHead">
    <w:name w:val="Man_table Head"/>
    <w:basedOn w:val="Normal"/>
    <w:uiPriority w:val="99"/>
    <w:qFormat/>
    <w:rsid w:val="003F7BA0"/>
    <w:pPr>
      <w:keepNext/>
      <w:widowControl/>
      <w:spacing w:after="120"/>
      <w:jc w:val="center"/>
    </w:pPr>
    <w:rPr>
      <w:rFonts w:ascii="Times New Roman Bold" w:hAnsi="Times New Roman Bold"/>
      <w:b/>
      <w:bCs/>
      <w:szCs w:val="20"/>
      <w:lang w:val="fr-CH" w:eastAsia="fr-FR"/>
    </w:rPr>
  </w:style>
  <w:style w:type="paragraph" w:customStyle="1" w:styleId="ManTxtnote">
    <w:name w:val="Man_Txt note"/>
    <w:basedOn w:val="Normal"/>
    <w:uiPriority w:val="99"/>
    <w:qFormat/>
    <w:rsid w:val="00192FAE"/>
    <w:pPr>
      <w:widowControl/>
      <w:shd w:val="clear" w:color="auto" w:fill="FFFFFF"/>
      <w:tabs>
        <w:tab w:val="left" w:pos="1418"/>
      </w:tabs>
      <w:spacing w:after="240"/>
    </w:pPr>
    <w:rPr>
      <w:i/>
      <w:iCs/>
      <w:szCs w:val="22"/>
      <w:lang w:val="fr-FR" w:eastAsia="fr-FR"/>
    </w:rPr>
  </w:style>
  <w:style w:type="character" w:styleId="Emphasis">
    <w:name w:val="Emphasis"/>
    <w:basedOn w:val="DefaultParagraphFont"/>
    <w:uiPriority w:val="1"/>
    <w:rsid w:val="003F7BA0"/>
    <w:rPr>
      <w:i/>
      <w:iCs/>
    </w:rPr>
  </w:style>
  <w:style w:type="paragraph" w:styleId="Revision">
    <w:name w:val="Revision"/>
    <w:hidden/>
    <w:uiPriority w:val="99"/>
    <w:semiHidden/>
    <w:rsid w:val="00B64D7A"/>
    <w:rPr>
      <w:snapToGrid w:val="0"/>
      <w:sz w:val="24"/>
    </w:rPr>
  </w:style>
  <w:style w:type="paragraph" w:customStyle="1" w:styleId="SingleTxtG">
    <w:name w:val="_ Single Txt_G"/>
    <w:basedOn w:val="Normal"/>
    <w:link w:val="SingleTxtGChar"/>
    <w:qFormat/>
    <w:rsid w:val="002152F4"/>
    <w:pPr>
      <w:widowControl/>
      <w:tabs>
        <w:tab w:val="left" w:pos="1418"/>
        <w:tab w:val="left" w:pos="1985"/>
        <w:tab w:val="left" w:pos="2552"/>
        <w:tab w:val="left" w:pos="3119"/>
      </w:tabs>
      <w:autoSpaceDE/>
      <w:autoSpaceDN/>
      <w:adjustRightInd/>
      <w:spacing w:after="120"/>
      <w:ind w:left="1134" w:right="1134"/>
    </w:pPr>
    <w:rPr>
      <w:szCs w:val="20"/>
      <w:lang w:val="en-GB"/>
    </w:rPr>
  </w:style>
  <w:style w:type="character" w:customStyle="1" w:styleId="SingleTxtGChar">
    <w:name w:val="_ Single Txt_G Char"/>
    <w:link w:val="SingleTxtG"/>
    <w:qFormat/>
    <w:rsid w:val="001E60A0"/>
    <w:rPr>
      <w:sz w:val="22"/>
      <w:lang w:val="en-GB"/>
    </w:rPr>
  </w:style>
  <w:style w:type="table" w:styleId="TableGrid">
    <w:name w:val="Table Grid"/>
    <w:basedOn w:val="TableNormal"/>
    <w:uiPriority w:val="59"/>
    <w:rsid w:val="00EF22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H1G">
    <w:name w:val="_ H_1_G"/>
    <w:basedOn w:val="Normal"/>
    <w:next w:val="Normal"/>
    <w:link w:val="H1GCar"/>
    <w:uiPriority w:val="1"/>
    <w:qFormat/>
    <w:rsid w:val="00EE1402"/>
    <w:pPr>
      <w:keepNext/>
      <w:keepLines/>
      <w:widowControl/>
      <w:tabs>
        <w:tab w:val="right" w:pos="851"/>
      </w:tabs>
      <w:suppressAutoHyphens/>
      <w:autoSpaceDE/>
      <w:autoSpaceDN/>
      <w:adjustRightInd/>
      <w:spacing w:before="360" w:after="240" w:line="270" w:lineRule="exact"/>
      <w:ind w:left="1134" w:right="1134" w:hanging="1134"/>
      <w:jc w:val="left"/>
    </w:pPr>
    <w:rPr>
      <w:b/>
      <w:sz w:val="24"/>
      <w:szCs w:val="20"/>
      <w:lang w:val="fr-CH"/>
    </w:rPr>
  </w:style>
  <w:style w:type="character" w:customStyle="1" w:styleId="H1GCar">
    <w:name w:val="_ H_1_G Car"/>
    <w:link w:val="H1G"/>
    <w:uiPriority w:val="1"/>
    <w:rsid w:val="001E60A0"/>
    <w:rPr>
      <w:b/>
      <w:sz w:val="24"/>
      <w:lang w:val="fr-CH"/>
    </w:rPr>
  </w:style>
  <w:style w:type="paragraph" w:customStyle="1" w:styleId="H23G">
    <w:name w:val="_ H_2/3_G"/>
    <w:basedOn w:val="Normal"/>
    <w:next w:val="Normal"/>
    <w:link w:val="H23GChar"/>
    <w:uiPriority w:val="1"/>
    <w:qFormat/>
    <w:rsid w:val="00EE1402"/>
    <w:pPr>
      <w:keepNext/>
      <w:keepLines/>
      <w:widowControl/>
      <w:tabs>
        <w:tab w:val="right" w:pos="851"/>
      </w:tabs>
      <w:suppressAutoHyphens/>
      <w:autoSpaceDE/>
      <w:autoSpaceDN/>
      <w:adjustRightInd/>
      <w:spacing w:before="240" w:after="120" w:line="240" w:lineRule="exact"/>
      <w:ind w:left="1134" w:right="1134" w:hanging="1134"/>
      <w:jc w:val="left"/>
    </w:pPr>
    <w:rPr>
      <w:b/>
      <w:sz w:val="20"/>
      <w:szCs w:val="20"/>
      <w:lang w:val="fr-CH"/>
    </w:rPr>
  </w:style>
  <w:style w:type="character" w:customStyle="1" w:styleId="H23GChar">
    <w:name w:val="_ H_2/3_G Char"/>
    <w:link w:val="H23G"/>
    <w:uiPriority w:val="1"/>
    <w:rsid w:val="001E60A0"/>
    <w:rPr>
      <w:b/>
      <w:lang w:val="fr-CH"/>
    </w:rPr>
  </w:style>
  <w:style w:type="paragraph" w:customStyle="1" w:styleId="SingleTxt">
    <w:name w:val="__Single Txt"/>
    <w:basedOn w:val="Normal"/>
    <w:uiPriority w:val="1"/>
    <w:qFormat/>
    <w:rsid w:val="00895DCE"/>
    <w:pPr>
      <w:widowControl/>
      <w:tabs>
        <w:tab w:val="left" w:pos="1267"/>
        <w:tab w:val="left" w:pos="1742"/>
        <w:tab w:val="left" w:pos="2218"/>
        <w:tab w:val="left" w:pos="2693"/>
        <w:tab w:val="left" w:pos="3182"/>
        <w:tab w:val="left" w:pos="3658"/>
        <w:tab w:val="left" w:pos="4133"/>
        <w:tab w:val="left" w:pos="4622"/>
        <w:tab w:val="left" w:pos="5098"/>
        <w:tab w:val="left" w:pos="5573"/>
        <w:tab w:val="left" w:pos="6048"/>
      </w:tabs>
      <w:autoSpaceDE/>
      <w:autoSpaceDN/>
      <w:adjustRightInd/>
      <w:spacing w:after="120" w:line="240" w:lineRule="exact"/>
      <w:ind w:left="1267" w:right="1267"/>
    </w:pPr>
    <w:rPr>
      <w:rFonts w:eastAsia="Calibri"/>
      <w:spacing w:val="4"/>
      <w:w w:val="103"/>
      <w:kern w:val="14"/>
      <w:sz w:val="20"/>
      <w:szCs w:val="22"/>
      <w:lang w:val="fr-CA"/>
    </w:rPr>
  </w:style>
  <w:style w:type="paragraph" w:styleId="BalloonText">
    <w:name w:val="Balloon Text"/>
    <w:basedOn w:val="Normal"/>
    <w:link w:val="BalloonTextChar"/>
    <w:uiPriority w:val="99"/>
    <w:rsid w:val="00E4479E"/>
    <w:rPr>
      <w:rFonts w:ascii="Segoe UI" w:hAnsi="Segoe UI" w:cs="Segoe UI"/>
      <w:sz w:val="18"/>
      <w:szCs w:val="18"/>
    </w:rPr>
  </w:style>
  <w:style w:type="character" w:customStyle="1" w:styleId="BalloonTextChar">
    <w:name w:val="Balloon Text Char"/>
    <w:basedOn w:val="DefaultParagraphFont"/>
    <w:link w:val="BalloonText"/>
    <w:uiPriority w:val="99"/>
    <w:rsid w:val="001E60A0"/>
    <w:rPr>
      <w:rFonts w:ascii="Segoe UI" w:hAnsi="Segoe UI" w:cs="Segoe UI"/>
      <w:sz w:val="18"/>
      <w:szCs w:val="18"/>
    </w:rPr>
  </w:style>
  <w:style w:type="character" w:styleId="CommentReference">
    <w:name w:val="annotation reference"/>
    <w:basedOn w:val="DefaultParagraphFont"/>
    <w:rsid w:val="00E4479E"/>
    <w:rPr>
      <w:sz w:val="16"/>
      <w:szCs w:val="16"/>
    </w:rPr>
  </w:style>
  <w:style w:type="paragraph" w:styleId="CommentText">
    <w:name w:val="annotation text"/>
    <w:basedOn w:val="Normal"/>
    <w:link w:val="CommentTextChar"/>
    <w:uiPriority w:val="99"/>
    <w:rsid w:val="00E4479E"/>
    <w:rPr>
      <w:sz w:val="20"/>
      <w:szCs w:val="20"/>
    </w:rPr>
  </w:style>
  <w:style w:type="character" w:customStyle="1" w:styleId="CommentTextChar">
    <w:name w:val="Comment Text Char"/>
    <w:basedOn w:val="DefaultParagraphFont"/>
    <w:link w:val="CommentText"/>
    <w:uiPriority w:val="99"/>
    <w:rsid w:val="001E60A0"/>
  </w:style>
  <w:style w:type="paragraph" w:styleId="CommentSubject">
    <w:name w:val="annotation subject"/>
    <w:basedOn w:val="CommentText"/>
    <w:next w:val="CommentText"/>
    <w:link w:val="CommentSubjectChar"/>
    <w:uiPriority w:val="99"/>
    <w:rsid w:val="00E4479E"/>
    <w:rPr>
      <w:b/>
      <w:bCs/>
    </w:rPr>
  </w:style>
  <w:style w:type="character" w:customStyle="1" w:styleId="CommentSubjectChar">
    <w:name w:val="Comment Subject Char"/>
    <w:basedOn w:val="CommentTextChar"/>
    <w:link w:val="CommentSubject"/>
    <w:uiPriority w:val="99"/>
    <w:rsid w:val="001E60A0"/>
    <w:rPr>
      <w:b/>
      <w:bCs/>
    </w:rPr>
  </w:style>
  <w:style w:type="paragraph" w:styleId="Header">
    <w:name w:val="header"/>
    <w:aliases w:val="6_G"/>
    <w:basedOn w:val="Normal"/>
    <w:link w:val="HeaderChar"/>
    <w:uiPriority w:val="1"/>
    <w:qFormat/>
    <w:rsid w:val="0046209F"/>
    <w:pPr>
      <w:tabs>
        <w:tab w:val="center" w:pos="4680"/>
        <w:tab w:val="right" w:pos="9360"/>
      </w:tabs>
    </w:pPr>
  </w:style>
  <w:style w:type="character" w:customStyle="1" w:styleId="HeaderChar">
    <w:name w:val="Header Char"/>
    <w:aliases w:val="6_G Char"/>
    <w:basedOn w:val="DefaultParagraphFont"/>
    <w:link w:val="Header"/>
    <w:uiPriority w:val="1"/>
    <w:rsid w:val="001E60A0"/>
    <w:rPr>
      <w:sz w:val="22"/>
      <w:szCs w:val="24"/>
    </w:rPr>
  </w:style>
  <w:style w:type="paragraph" w:styleId="Footer">
    <w:name w:val="footer"/>
    <w:aliases w:val="3_G"/>
    <w:basedOn w:val="Normal"/>
    <w:link w:val="FooterChar"/>
    <w:qFormat/>
    <w:rsid w:val="0046209F"/>
    <w:pPr>
      <w:tabs>
        <w:tab w:val="center" w:pos="4680"/>
        <w:tab w:val="right" w:pos="9360"/>
      </w:tabs>
    </w:pPr>
  </w:style>
  <w:style w:type="character" w:customStyle="1" w:styleId="FooterChar">
    <w:name w:val="Footer Char"/>
    <w:aliases w:val="3_G Char"/>
    <w:basedOn w:val="DefaultParagraphFont"/>
    <w:link w:val="Footer"/>
    <w:rsid w:val="001E60A0"/>
    <w:rPr>
      <w:sz w:val="22"/>
      <w:szCs w:val="24"/>
    </w:rPr>
  </w:style>
  <w:style w:type="paragraph" w:customStyle="1" w:styleId="Bullet1G">
    <w:name w:val="_Bullet 1_G"/>
    <w:basedOn w:val="Normal"/>
    <w:uiPriority w:val="1"/>
    <w:qFormat/>
    <w:rsid w:val="009F6D40"/>
    <w:pPr>
      <w:widowControl/>
      <w:numPr>
        <w:numId w:val="23"/>
      </w:numPr>
      <w:suppressAutoHyphens/>
      <w:autoSpaceDE/>
      <w:autoSpaceDN/>
      <w:adjustRightInd/>
      <w:spacing w:after="120" w:line="240" w:lineRule="atLeast"/>
      <w:ind w:right="1134"/>
    </w:pPr>
    <w:rPr>
      <w:sz w:val="20"/>
      <w:szCs w:val="20"/>
      <w:lang w:val="fr-CH"/>
    </w:rPr>
  </w:style>
  <w:style w:type="paragraph" w:styleId="Date">
    <w:name w:val="Date"/>
    <w:basedOn w:val="Normal"/>
    <w:next w:val="Normal"/>
    <w:link w:val="DateChar"/>
    <w:uiPriority w:val="1"/>
    <w:rsid w:val="00541ADD"/>
  </w:style>
  <w:style w:type="character" w:customStyle="1" w:styleId="DateChar">
    <w:name w:val="Date Char"/>
    <w:basedOn w:val="DefaultParagraphFont"/>
    <w:link w:val="Date"/>
    <w:uiPriority w:val="1"/>
    <w:rsid w:val="001E60A0"/>
    <w:rPr>
      <w:sz w:val="22"/>
      <w:szCs w:val="24"/>
    </w:rPr>
  </w:style>
  <w:style w:type="character" w:customStyle="1" w:styleId="tlid-translation">
    <w:name w:val="tlid-translation"/>
    <w:rsid w:val="00585755"/>
  </w:style>
  <w:style w:type="table" w:customStyle="1" w:styleId="Grilledutableau1">
    <w:name w:val="Grille du tableau1"/>
    <w:basedOn w:val="TableNormal"/>
    <w:next w:val="TableGrid"/>
    <w:uiPriority w:val="59"/>
    <w:rsid w:val="00AF4509"/>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7Char">
    <w:name w:val="Heading 7 Char"/>
    <w:link w:val="Heading7"/>
    <w:uiPriority w:val="99"/>
    <w:rsid w:val="001E60A0"/>
    <w:rPr>
      <w:sz w:val="22"/>
      <w:szCs w:val="24"/>
    </w:rPr>
  </w:style>
  <w:style w:type="paragraph" w:styleId="FootnoteText">
    <w:name w:val="footnote text"/>
    <w:aliases w:val="5_G"/>
    <w:basedOn w:val="Normal"/>
    <w:link w:val="FootnoteTextChar"/>
    <w:qFormat/>
    <w:rsid w:val="005E7B29"/>
    <w:rPr>
      <w:sz w:val="20"/>
      <w:szCs w:val="20"/>
    </w:rPr>
  </w:style>
  <w:style w:type="character" w:customStyle="1" w:styleId="FootnoteTextChar">
    <w:name w:val="Footnote Text Char"/>
    <w:aliases w:val="5_G Char"/>
    <w:basedOn w:val="DefaultParagraphFont"/>
    <w:link w:val="FootnoteText"/>
    <w:rsid w:val="001E60A0"/>
  </w:style>
  <w:style w:type="character" w:styleId="FootnoteReference">
    <w:name w:val="footnote reference"/>
    <w:aliases w:val="4_G,Footnote Reference/"/>
    <w:basedOn w:val="DefaultParagraphFont"/>
    <w:uiPriority w:val="1"/>
    <w:qFormat/>
    <w:rsid w:val="005E7B29"/>
    <w:rPr>
      <w:vertAlign w:val="superscript"/>
    </w:rPr>
  </w:style>
  <w:style w:type="paragraph" w:styleId="HTMLPreformatted">
    <w:name w:val="HTML Preformatted"/>
    <w:basedOn w:val="Normal"/>
    <w:link w:val="HTMLPreformattedChar"/>
    <w:uiPriority w:val="99"/>
    <w:rsid w:val="00F371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1E60A0"/>
    <w:rPr>
      <w:rFonts w:ascii="Courier New" w:hAnsi="Courier New" w:cs="Courier New"/>
      <w:lang w:eastAsia="zh-CN"/>
    </w:rPr>
  </w:style>
  <w:style w:type="paragraph" w:customStyle="1" w:styleId="MTabTxt">
    <w:name w:val="MTabTxt"/>
    <w:basedOn w:val="Normal"/>
    <w:link w:val="MTabTxtChar"/>
    <w:qFormat/>
    <w:rsid w:val="008F55A3"/>
    <w:pPr>
      <w:widowControl/>
      <w:numPr>
        <w:ilvl w:val="12"/>
      </w:numPr>
      <w:suppressAutoHyphens/>
      <w:spacing w:before="40" w:after="40"/>
      <w:jc w:val="left"/>
    </w:pPr>
    <w:rPr>
      <w:rFonts w:eastAsia="SimSun"/>
      <w:sz w:val="20"/>
      <w:szCs w:val="20"/>
      <w:lang w:val="en-GB" w:eastAsia="fr-FR"/>
    </w:rPr>
  </w:style>
  <w:style w:type="character" w:customStyle="1" w:styleId="MTabTxtChar">
    <w:name w:val="MTabTxt Char"/>
    <w:basedOn w:val="DefaultParagraphFont"/>
    <w:link w:val="MTabTxt"/>
    <w:rsid w:val="001E60A0"/>
    <w:rPr>
      <w:rFonts w:eastAsia="SimSun"/>
      <w:lang w:val="en-GB" w:eastAsia="fr-FR"/>
    </w:rPr>
  </w:style>
  <w:style w:type="paragraph" w:customStyle="1" w:styleId="MTabHead">
    <w:name w:val="MTabHead"/>
    <w:basedOn w:val="Normal"/>
    <w:uiPriority w:val="99"/>
    <w:qFormat/>
    <w:rsid w:val="00C7471A"/>
    <w:pPr>
      <w:keepNext/>
      <w:widowControl/>
      <w:numPr>
        <w:ilvl w:val="12"/>
      </w:numPr>
      <w:tabs>
        <w:tab w:val="left" w:pos="1418"/>
      </w:tabs>
      <w:spacing w:after="240"/>
      <w:jc w:val="center"/>
    </w:pPr>
    <w:rPr>
      <w:b/>
      <w:bCs/>
      <w:szCs w:val="22"/>
      <w:lang w:val="en-GB" w:eastAsia="fr-FR"/>
    </w:rPr>
  </w:style>
  <w:style w:type="character" w:customStyle="1" w:styleId="MBodyTxtChar">
    <w:name w:val="MBodyTxt Char"/>
    <w:basedOn w:val="DefaultParagraphFont"/>
    <w:link w:val="MBodyTxt"/>
    <w:locked/>
    <w:rsid w:val="001E60A0"/>
    <w:rPr>
      <w:sz w:val="22"/>
      <w:szCs w:val="22"/>
      <w:lang w:eastAsia="fr-FR"/>
    </w:rPr>
  </w:style>
  <w:style w:type="paragraph" w:customStyle="1" w:styleId="MBodyTxt">
    <w:name w:val="MBodyTxt"/>
    <w:basedOn w:val="Normal"/>
    <w:link w:val="MBodyTxtChar"/>
    <w:qFormat/>
    <w:rsid w:val="00806787"/>
    <w:pPr>
      <w:widowControl/>
      <w:numPr>
        <w:ilvl w:val="12"/>
      </w:numPr>
      <w:tabs>
        <w:tab w:val="left" w:pos="1418"/>
      </w:tabs>
      <w:spacing w:after="240"/>
    </w:pPr>
    <w:rPr>
      <w:szCs w:val="22"/>
      <w:lang w:eastAsia="fr-FR"/>
    </w:rPr>
  </w:style>
  <w:style w:type="paragraph" w:styleId="NormalWeb">
    <w:name w:val="Normal (Web)"/>
    <w:basedOn w:val="Normal"/>
    <w:uiPriority w:val="99"/>
    <w:rsid w:val="006143FB"/>
    <w:pPr>
      <w:widowControl/>
      <w:jc w:val="left"/>
    </w:pPr>
    <w:rPr>
      <w:sz w:val="24"/>
      <w:lang w:val="en-GB" w:eastAsia="fr-FR"/>
    </w:rPr>
  </w:style>
  <w:style w:type="paragraph" w:customStyle="1" w:styleId="H4G">
    <w:name w:val="_ H_4_G"/>
    <w:basedOn w:val="Normal"/>
    <w:next w:val="Normal"/>
    <w:uiPriority w:val="1"/>
    <w:qFormat/>
    <w:rsid w:val="00863342"/>
    <w:pPr>
      <w:keepNext/>
      <w:keepLines/>
      <w:widowControl/>
      <w:tabs>
        <w:tab w:val="right" w:pos="851"/>
      </w:tabs>
      <w:suppressAutoHyphens/>
      <w:autoSpaceDE/>
      <w:autoSpaceDN/>
      <w:adjustRightInd/>
      <w:spacing w:before="240" w:after="120" w:line="240" w:lineRule="exact"/>
      <w:ind w:left="1134" w:right="1134" w:hanging="1134"/>
      <w:jc w:val="left"/>
    </w:pPr>
    <w:rPr>
      <w:i/>
      <w:sz w:val="20"/>
      <w:szCs w:val="20"/>
      <w:lang w:val="fr-CH"/>
    </w:rPr>
  </w:style>
  <w:style w:type="paragraph" w:customStyle="1" w:styleId="p1">
    <w:name w:val="p1"/>
    <w:basedOn w:val="Normal"/>
    <w:uiPriority w:val="99"/>
    <w:rsid w:val="00863342"/>
    <w:pPr>
      <w:widowControl/>
      <w:autoSpaceDE/>
      <w:autoSpaceDN/>
      <w:adjustRightInd/>
      <w:jc w:val="left"/>
    </w:pPr>
    <w:rPr>
      <w:rFonts w:eastAsiaTheme="minorHAnsi"/>
      <w:sz w:val="17"/>
      <w:szCs w:val="17"/>
    </w:rPr>
  </w:style>
  <w:style w:type="paragraph" w:customStyle="1" w:styleId="Manbodytext10ptafter">
    <w:name w:val="Man_body_text 10pt after"/>
    <w:basedOn w:val="Manbodytext"/>
    <w:link w:val="Manbodytext10ptafterCar"/>
    <w:qFormat/>
    <w:rsid w:val="006D2424"/>
    <w:pPr>
      <w:spacing w:after="200"/>
    </w:pPr>
    <w:rPr>
      <w:rFonts w:asciiTheme="majorBidi" w:hAnsiTheme="majorBidi" w:cstheme="majorBidi"/>
    </w:rPr>
  </w:style>
  <w:style w:type="paragraph" w:customStyle="1" w:styleId="Manfootnotetext6ptafter">
    <w:name w:val="Man_footnote text 6pt after"/>
    <w:basedOn w:val="FootnoteText"/>
    <w:link w:val="Manfootnotetext6ptafterCar"/>
    <w:qFormat/>
    <w:rsid w:val="006D2424"/>
    <w:pPr>
      <w:tabs>
        <w:tab w:val="left" w:pos="284"/>
      </w:tabs>
      <w:spacing w:after="120"/>
    </w:pPr>
    <w:rPr>
      <w:rFonts w:asciiTheme="majorBidi" w:hAnsiTheme="majorBidi" w:cstheme="majorBidi"/>
      <w:i/>
      <w:iCs/>
      <w:sz w:val="22"/>
      <w:lang w:val="fr-CH"/>
    </w:rPr>
  </w:style>
  <w:style w:type="character" w:customStyle="1" w:styleId="ManbodytextCar">
    <w:name w:val="Man_body_text Car"/>
    <w:basedOn w:val="DefaultParagraphFont"/>
    <w:link w:val="Manbodytext"/>
    <w:rsid w:val="001E60A0"/>
    <w:rPr>
      <w:sz w:val="22"/>
      <w:szCs w:val="22"/>
      <w:lang w:val="fr-FR" w:eastAsia="fr-FR"/>
    </w:rPr>
  </w:style>
  <w:style w:type="character" w:customStyle="1" w:styleId="Manbodytext10ptafterCar">
    <w:name w:val="Man_body_text 10pt after Car"/>
    <w:basedOn w:val="ManbodytextCar"/>
    <w:link w:val="Manbodytext10ptafter"/>
    <w:rsid w:val="001E60A0"/>
    <w:rPr>
      <w:rFonts w:asciiTheme="majorBidi" w:hAnsiTheme="majorBidi" w:cstheme="majorBidi"/>
      <w:sz w:val="22"/>
      <w:szCs w:val="22"/>
      <w:lang w:val="fr-FR" w:eastAsia="fr-FR"/>
    </w:rPr>
  </w:style>
  <w:style w:type="paragraph" w:customStyle="1" w:styleId="StyleMantableHead8pt">
    <w:name w:val="Style Man_table Head + 8 pt"/>
    <w:basedOn w:val="MantableHead"/>
    <w:uiPriority w:val="99"/>
    <w:rsid w:val="00F25A64"/>
    <w:rPr>
      <w:sz w:val="20"/>
    </w:rPr>
  </w:style>
  <w:style w:type="character" w:customStyle="1" w:styleId="Manfootnotetext6ptafterCar">
    <w:name w:val="Man_footnote text 6pt after Car"/>
    <w:basedOn w:val="FootnoteTextChar"/>
    <w:link w:val="Manfootnotetext6ptafter"/>
    <w:rsid w:val="001E60A0"/>
    <w:rPr>
      <w:rFonts w:asciiTheme="majorBidi" w:hAnsiTheme="majorBidi" w:cstheme="majorBidi"/>
      <w:i/>
      <w:iCs/>
      <w:sz w:val="22"/>
      <w:lang w:val="fr-CH"/>
    </w:rPr>
  </w:style>
  <w:style w:type="character" w:styleId="PlaceholderText">
    <w:name w:val="Placeholder Text"/>
    <w:basedOn w:val="DefaultParagraphFont"/>
    <w:uiPriority w:val="99"/>
    <w:rsid w:val="00E00C90"/>
    <w:rPr>
      <w:color w:val="808080"/>
    </w:rPr>
  </w:style>
  <w:style w:type="character" w:customStyle="1" w:styleId="SingleTxtGZchnZchn">
    <w:name w:val="_ Single Txt_G Zchn Zchn"/>
    <w:rsid w:val="00CB22AA"/>
  </w:style>
  <w:style w:type="character" w:styleId="Hyperlink">
    <w:name w:val="Hyperlink"/>
    <w:unhideWhenUsed/>
    <w:rsid w:val="009958B8"/>
    <w:rPr>
      <w:color w:val="0000FF"/>
      <w:u w:val="single"/>
    </w:rPr>
  </w:style>
  <w:style w:type="character" w:customStyle="1" w:styleId="MTOC1Char">
    <w:name w:val="MTOC1 Char"/>
    <w:basedOn w:val="DefaultParagraphFont"/>
    <w:link w:val="MTOC1"/>
    <w:locked/>
    <w:rsid w:val="00B43EE1"/>
    <w:rPr>
      <w:b/>
      <w:bCs/>
      <w:sz w:val="22"/>
      <w:szCs w:val="22"/>
      <w:lang w:eastAsia="fr-FR"/>
    </w:rPr>
  </w:style>
  <w:style w:type="paragraph" w:customStyle="1" w:styleId="MTOC1">
    <w:name w:val="MTOC1"/>
    <w:basedOn w:val="Normal"/>
    <w:link w:val="MTOC1Char"/>
    <w:qFormat/>
    <w:rsid w:val="00B43EE1"/>
    <w:pPr>
      <w:widowControl/>
      <w:numPr>
        <w:ilvl w:val="12"/>
      </w:numPr>
      <w:tabs>
        <w:tab w:val="left" w:pos="1350"/>
      </w:tabs>
      <w:ind w:left="1350" w:right="638" w:hanging="1350"/>
      <w:jc w:val="left"/>
    </w:pPr>
    <w:rPr>
      <w:b/>
      <w:bCs/>
      <w:szCs w:val="22"/>
      <w:lang w:eastAsia="fr-FR"/>
    </w:rPr>
  </w:style>
  <w:style w:type="character" w:customStyle="1" w:styleId="MTOC2Char">
    <w:name w:val="MTOC2 Char"/>
    <w:basedOn w:val="DefaultParagraphFont"/>
    <w:link w:val="MTOC2"/>
    <w:locked/>
    <w:rsid w:val="00B43EE1"/>
    <w:rPr>
      <w:sz w:val="22"/>
      <w:szCs w:val="22"/>
      <w:lang w:eastAsia="fr-FR"/>
    </w:rPr>
  </w:style>
  <w:style w:type="paragraph" w:customStyle="1" w:styleId="MTOC2">
    <w:name w:val="MTOC2"/>
    <w:basedOn w:val="Normal"/>
    <w:link w:val="MTOC2Char"/>
    <w:qFormat/>
    <w:rsid w:val="00B43EE1"/>
    <w:pPr>
      <w:widowControl/>
      <w:tabs>
        <w:tab w:val="left" w:leader="dot" w:pos="8956"/>
        <w:tab w:val="center" w:pos="9410"/>
      </w:tabs>
      <w:spacing w:after="60"/>
      <w:ind w:left="720" w:hanging="720"/>
      <w:jc w:val="left"/>
    </w:pPr>
    <w:rPr>
      <w:szCs w:val="22"/>
      <w:lang w:eastAsia="fr-FR"/>
    </w:rPr>
  </w:style>
  <w:style w:type="character" w:customStyle="1" w:styleId="Heading1Char">
    <w:name w:val="Heading 1 Char"/>
    <w:basedOn w:val="DefaultParagraphFont"/>
    <w:link w:val="Heading1"/>
    <w:rsid w:val="00941EF3"/>
    <w:rPr>
      <w:b/>
      <w:bCs/>
      <w:sz w:val="22"/>
      <w:szCs w:val="22"/>
      <w:lang w:val="fr-FR"/>
    </w:rPr>
  </w:style>
  <w:style w:type="character" w:customStyle="1" w:styleId="Heading2Char">
    <w:name w:val="Heading 2 Char"/>
    <w:basedOn w:val="DefaultParagraphFont"/>
    <w:link w:val="Heading2"/>
    <w:rsid w:val="00941EF3"/>
    <w:rPr>
      <w:b/>
      <w:bCs/>
      <w:i/>
      <w:iCs/>
      <w:sz w:val="28"/>
      <w:szCs w:val="36"/>
      <w:lang w:val="fr-FR"/>
    </w:rPr>
  </w:style>
  <w:style w:type="character" w:customStyle="1" w:styleId="Heading3Char">
    <w:name w:val="Heading 3 Char"/>
    <w:basedOn w:val="DefaultParagraphFont"/>
    <w:link w:val="Heading3"/>
    <w:rsid w:val="00941EF3"/>
    <w:rPr>
      <w:rFonts w:ascii="Arial" w:hAnsi="Arial" w:cs="Arial"/>
      <w:b/>
      <w:bCs/>
      <w:sz w:val="26"/>
      <w:szCs w:val="26"/>
    </w:rPr>
  </w:style>
  <w:style w:type="character" w:customStyle="1" w:styleId="Heading4Char">
    <w:name w:val="Heading 4 Char"/>
    <w:basedOn w:val="DefaultParagraphFont"/>
    <w:link w:val="Heading4"/>
    <w:rsid w:val="00941EF3"/>
    <w:rPr>
      <w:b/>
      <w:bCs/>
      <w:sz w:val="28"/>
      <w:szCs w:val="28"/>
    </w:rPr>
  </w:style>
  <w:style w:type="character" w:customStyle="1" w:styleId="Heading5Char">
    <w:name w:val="Heading 5 Char"/>
    <w:basedOn w:val="DefaultParagraphFont"/>
    <w:link w:val="Heading5"/>
    <w:rsid w:val="00941EF3"/>
    <w:rPr>
      <w:b/>
      <w:bCs/>
      <w:i/>
      <w:iCs/>
      <w:sz w:val="26"/>
      <w:szCs w:val="26"/>
    </w:rPr>
  </w:style>
  <w:style w:type="character" w:customStyle="1" w:styleId="Heading6Char">
    <w:name w:val="Heading 6 Char"/>
    <w:basedOn w:val="DefaultParagraphFont"/>
    <w:link w:val="Heading6"/>
    <w:rsid w:val="00941EF3"/>
    <w:rPr>
      <w:b/>
      <w:bCs/>
      <w:sz w:val="22"/>
      <w:szCs w:val="22"/>
    </w:rPr>
  </w:style>
  <w:style w:type="character" w:customStyle="1" w:styleId="Heading8Char">
    <w:name w:val="Heading 8 Char"/>
    <w:basedOn w:val="DefaultParagraphFont"/>
    <w:link w:val="Heading8"/>
    <w:uiPriority w:val="99"/>
    <w:rsid w:val="00941EF3"/>
    <w:rPr>
      <w:i/>
      <w:iCs/>
      <w:sz w:val="22"/>
      <w:szCs w:val="24"/>
    </w:rPr>
  </w:style>
  <w:style w:type="character" w:customStyle="1" w:styleId="Heading9Char">
    <w:name w:val="Heading 9 Char"/>
    <w:basedOn w:val="DefaultParagraphFont"/>
    <w:link w:val="Heading9"/>
    <w:uiPriority w:val="99"/>
    <w:rsid w:val="00941EF3"/>
    <w:rPr>
      <w:rFonts w:ascii="Arial" w:hAnsi="Arial" w:cs="Arial"/>
      <w:sz w:val="22"/>
      <w:szCs w:val="22"/>
    </w:rPr>
  </w:style>
  <w:style w:type="character" w:styleId="FollowedHyperlink">
    <w:name w:val="FollowedHyperlink"/>
    <w:basedOn w:val="DefaultParagraphFont"/>
    <w:unhideWhenUsed/>
    <w:rsid w:val="00941EF3"/>
    <w:rPr>
      <w:strike w:val="0"/>
      <w:dstrike w:val="0"/>
      <w:color w:val="0000FF"/>
      <w:u w:val="none"/>
      <w:effect w:val="none"/>
    </w:rPr>
  </w:style>
  <w:style w:type="paragraph" w:customStyle="1" w:styleId="msonormal0">
    <w:name w:val="msonormal"/>
    <w:basedOn w:val="Normal"/>
    <w:uiPriority w:val="99"/>
    <w:rsid w:val="00941EF3"/>
    <w:pPr>
      <w:widowControl/>
      <w:jc w:val="left"/>
    </w:pPr>
    <w:rPr>
      <w:sz w:val="24"/>
      <w:lang w:val="en-GB" w:eastAsia="fr-FR"/>
    </w:rPr>
  </w:style>
  <w:style w:type="character" w:customStyle="1" w:styleId="FootnoteTextChar1">
    <w:name w:val="Footnote Text Char1"/>
    <w:aliases w:val="5_G Char1"/>
    <w:basedOn w:val="DefaultParagraphFont"/>
    <w:semiHidden/>
    <w:rsid w:val="00941EF3"/>
    <w:rPr>
      <w:rFonts w:asciiTheme="minorHAnsi" w:eastAsiaTheme="minorEastAsia" w:hAnsiTheme="minorHAnsi" w:cstheme="minorBidi"/>
      <w:lang w:val="fr-FR" w:eastAsia="zh-CN"/>
    </w:rPr>
  </w:style>
  <w:style w:type="character" w:customStyle="1" w:styleId="HeaderChar1">
    <w:name w:val="Header Char1"/>
    <w:aliases w:val="6_G Char1"/>
    <w:basedOn w:val="DefaultParagraphFont"/>
    <w:uiPriority w:val="1"/>
    <w:semiHidden/>
    <w:rsid w:val="00941EF3"/>
    <w:rPr>
      <w:rFonts w:asciiTheme="minorHAnsi" w:eastAsiaTheme="minorEastAsia" w:hAnsiTheme="minorHAnsi" w:cstheme="minorBidi"/>
      <w:sz w:val="22"/>
      <w:szCs w:val="22"/>
      <w:lang w:val="fr-FR" w:eastAsia="zh-CN"/>
    </w:rPr>
  </w:style>
  <w:style w:type="character" w:customStyle="1" w:styleId="FooterChar1">
    <w:name w:val="Footer Char1"/>
    <w:aliases w:val="3_G Char1"/>
    <w:basedOn w:val="DefaultParagraphFont"/>
    <w:semiHidden/>
    <w:rsid w:val="00941EF3"/>
    <w:rPr>
      <w:rFonts w:asciiTheme="minorHAnsi" w:eastAsiaTheme="minorEastAsia" w:hAnsiTheme="minorHAnsi" w:cstheme="minorBidi"/>
      <w:sz w:val="22"/>
      <w:szCs w:val="22"/>
      <w:lang w:val="fr-FR" w:eastAsia="zh-CN"/>
    </w:rPr>
  </w:style>
  <w:style w:type="character" w:customStyle="1" w:styleId="EndnoteTextChar">
    <w:name w:val="Endnote Text Char"/>
    <w:aliases w:val="2_G Char"/>
    <w:basedOn w:val="DefaultParagraphFont"/>
    <w:link w:val="EndnoteText"/>
    <w:locked/>
    <w:rsid w:val="00941EF3"/>
    <w:rPr>
      <w:sz w:val="18"/>
    </w:rPr>
  </w:style>
  <w:style w:type="paragraph" w:styleId="EndnoteText">
    <w:name w:val="endnote text"/>
    <w:aliases w:val="2_G"/>
    <w:basedOn w:val="FootnoteText"/>
    <w:link w:val="EndnoteTextChar"/>
    <w:unhideWhenUsed/>
    <w:qFormat/>
    <w:rsid w:val="00941EF3"/>
    <w:pPr>
      <w:widowControl/>
      <w:tabs>
        <w:tab w:val="right" w:pos="1021"/>
      </w:tabs>
      <w:suppressAutoHyphens/>
      <w:kinsoku w:val="0"/>
      <w:overflowPunct w:val="0"/>
      <w:snapToGrid w:val="0"/>
      <w:spacing w:line="220" w:lineRule="exact"/>
      <w:ind w:left="1134" w:right="1134" w:hanging="1134"/>
      <w:jc w:val="left"/>
    </w:pPr>
    <w:rPr>
      <w:sz w:val="18"/>
    </w:rPr>
  </w:style>
  <w:style w:type="character" w:customStyle="1" w:styleId="EndnoteTextChar1">
    <w:name w:val="Endnote Text Char1"/>
    <w:aliases w:val="2_G Char1"/>
    <w:basedOn w:val="DefaultParagraphFont"/>
    <w:rsid w:val="00941EF3"/>
  </w:style>
  <w:style w:type="paragraph" w:customStyle="1" w:styleId="HMG">
    <w:name w:val="_ H __M_G"/>
    <w:basedOn w:val="Normal"/>
    <w:next w:val="Normal"/>
    <w:uiPriority w:val="99"/>
    <w:qFormat/>
    <w:rsid w:val="00941EF3"/>
    <w:pPr>
      <w:keepNext/>
      <w:keepLines/>
      <w:widowControl/>
      <w:tabs>
        <w:tab w:val="right" w:pos="851"/>
      </w:tabs>
      <w:suppressAutoHyphens/>
      <w:kinsoku w:val="0"/>
      <w:overflowPunct w:val="0"/>
      <w:snapToGrid w:val="0"/>
      <w:spacing w:before="240" w:after="240" w:line="360" w:lineRule="exact"/>
      <w:ind w:left="1134" w:right="1134" w:hanging="1134"/>
      <w:jc w:val="left"/>
    </w:pPr>
    <w:rPr>
      <w:rFonts w:asciiTheme="minorHAnsi" w:eastAsiaTheme="minorEastAsia" w:hAnsiTheme="minorHAnsi" w:cstheme="minorBidi"/>
      <w:b/>
      <w:sz w:val="34"/>
      <w:szCs w:val="22"/>
      <w:lang w:val="fr-FR" w:eastAsia="zh-CN"/>
    </w:rPr>
  </w:style>
  <w:style w:type="paragraph" w:customStyle="1" w:styleId="HChG">
    <w:name w:val="_ H _Ch_G"/>
    <w:basedOn w:val="Normal"/>
    <w:next w:val="Normal"/>
    <w:uiPriority w:val="99"/>
    <w:qFormat/>
    <w:rsid w:val="00941EF3"/>
    <w:pPr>
      <w:keepNext/>
      <w:keepLines/>
      <w:widowControl/>
      <w:tabs>
        <w:tab w:val="right" w:pos="851"/>
      </w:tabs>
      <w:suppressAutoHyphens/>
      <w:kinsoku w:val="0"/>
      <w:overflowPunct w:val="0"/>
      <w:snapToGrid w:val="0"/>
      <w:spacing w:before="360" w:after="240" w:line="300" w:lineRule="exact"/>
      <w:ind w:left="1134" w:right="1134" w:hanging="1134"/>
      <w:jc w:val="left"/>
    </w:pPr>
    <w:rPr>
      <w:rFonts w:asciiTheme="minorHAnsi" w:eastAsiaTheme="minorEastAsia" w:hAnsiTheme="minorHAnsi" w:cstheme="minorBidi"/>
      <w:b/>
      <w:sz w:val="28"/>
      <w:szCs w:val="22"/>
      <w:lang w:val="fr-FR" w:eastAsia="zh-CN"/>
    </w:rPr>
  </w:style>
  <w:style w:type="paragraph" w:customStyle="1" w:styleId="H56G">
    <w:name w:val="_ H_5/6_G"/>
    <w:basedOn w:val="Normal"/>
    <w:next w:val="Normal"/>
    <w:uiPriority w:val="99"/>
    <w:qFormat/>
    <w:rsid w:val="00941EF3"/>
    <w:pPr>
      <w:keepNext/>
      <w:keepLines/>
      <w:widowControl/>
      <w:tabs>
        <w:tab w:val="right" w:pos="851"/>
      </w:tabs>
      <w:suppressAutoHyphens/>
      <w:kinsoku w:val="0"/>
      <w:overflowPunct w:val="0"/>
      <w:snapToGrid w:val="0"/>
      <w:spacing w:before="240" w:after="120" w:line="240" w:lineRule="exact"/>
      <w:ind w:left="1134" w:right="1134" w:hanging="1134"/>
      <w:jc w:val="left"/>
    </w:pPr>
    <w:rPr>
      <w:rFonts w:asciiTheme="minorHAnsi" w:eastAsiaTheme="minorEastAsia" w:hAnsiTheme="minorHAnsi" w:cstheme="minorBidi"/>
      <w:szCs w:val="22"/>
      <w:lang w:val="fr-FR" w:eastAsia="zh-CN"/>
    </w:rPr>
  </w:style>
  <w:style w:type="paragraph" w:customStyle="1" w:styleId="SLG">
    <w:name w:val="__S_L_G"/>
    <w:basedOn w:val="Normal"/>
    <w:next w:val="Normal"/>
    <w:uiPriority w:val="99"/>
    <w:rsid w:val="00941EF3"/>
    <w:pPr>
      <w:keepNext/>
      <w:keepLines/>
      <w:widowControl/>
      <w:suppressAutoHyphens/>
      <w:kinsoku w:val="0"/>
      <w:overflowPunct w:val="0"/>
      <w:snapToGrid w:val="0"/>
      <w:spacing w:before="240" w:after="240" w:line="580" w:lineRule="exact"/>
      <w:ind w:left="1134" w:right="1134"/>
      <w:jc w:val="left"/>
    </w:pPr>
    <w:rPr>
      <w:rFonts w:asciiTheme="minorHAnsi" w:eastAsiaTheme="minorEastAsia" w:hAnsiTheme="minorHAnsi" w:cstheme="minorBidi"/>
      <w:b/>
      <w:sz w:val="56"/>
      <w:szCs w:val="22"/>
      <w:lang w:val="fr-FR" w:eastAsia="zh-CN"/>
    </w:rPr>
  </w:style>
  <w:style w:type="paragraph" w:customStyle="1" w:styleId="SMG">
    <w:name w:val="__S_M_G"/>
    <w:basedOn w:val="Normal"/>
    <w:next w:val="Normal"/>
    <w:uiPriority w:val="99"/>
    <w:rsid w:val="00941EF3"/>
    <w:pPr>
      <w:keepNext/>
      <w:keepLines/>
      <w:widowControl/>
      <w:suppressAutoHyphens/>
      <w:kinsoku w:val="0"/>
      <w:overflowPunct w:val="0"/>
      <w:snapToGrid w:val="0"/>
      <w:spacing w:before="240" w:after="240" w:line="420" w:lineRule="exact"/>
      <w:ind w:left="1134" w:right="1134"/>
      <w:jc w:val="left"/>
    </w:pPr>
    <w:rPr>
      <w:rFonts w:asciiTheme="minorHAnsi" w:eastAsiaTheme="minorEastAsia" w:hAnsiTheme="minorHAnsi" w:cstheme="minorBidi"/>
      <w:b/>
      <w:sz w:val="40"/>
      <w:szCs w:val="22"/>
      <w:lang w:val="fr-FR" w:eastAsia="zh-CN"/>
    </w:rPr>
  </w:style>
  <w:style w:type="paragraph" w:customStyle="1" w:styleId="SSG">
    <w:name w:val="__S_S_G"/>
    <w:basedOn w:val="Normal"/>
    <w:next w:val="Normal"/>
    <w:uiPriority w:val="99"/>
    <w:rsid w:val="00941EF3"/>
    <w:pPr>
      <w:keepNext/>
      <w:keepLines/>
      <w:widowControl/>
      <w:suppressAutoHyphens/>
      <w:kinsoku w:val="0"/>
      <w:overflowPunct w:val="0"/>
      <w:snapToGrid w:val="0"/>
      <w:spacing w:before="240" w:after="240" w:line="300" w:lineRule="exact"/>
      <w:ind w:left="1134" w:right="1134"/>
      <w:jc w:val="left"/>
    </w:pPr>
    <w:rPr>
      <w:rFonts w:asciiTheme="minorHAnsi" w:eastAsiaTheme="minorEastAsia" w:hAnsiTheme="minorHAnsi" w:cstheme="minorBidi"/>
      <w:b/>
      <w:sz w:val="28"/>
      <w:szCs w:val="22"/>
      <w:lang w:val="fr-FR" w:eastAsia="zh-CN"/>
    </w:rPr>
  </w:style>
  <w:style w:type="paragraph" w:customStyle="1" w:styleId="XLargeG">
    <w:name w:val="__XLarge_G"/>
    <w:basedOn w:val="Normal"/>
    <w:next w:val="Normal"/>
    <w:uiPriority w:val="99"/>
    <w:rsid w:val="00941EF3"/>
    <w:pPr>
      <w:keepNext/>
      <w:keepLines/>
      <w:widowControl/>
      <w:suppressAutoHyphens/>
      <w:kinsoku w:val="0"/>
      <w:overflowPunct w:val="0"/>
      <w:snapToGrid w:val="0"/>
      <w:spacing w:before="240" w:after="240" w:line="420" w:lineRule="exact"/>
      <w:ind w:left="1134" w:right="1134"/>
      <w:jc w:val="left"/>
    </w:pPr>
    <w:rPr>
      <w:rFonts w:asciiTheme="minorHAnsi" w:eastAsiaTheme="minorEastAsia" w:hAnsiTheme="minorHAnsi" w:cstheme="minorBidi"/>
      <w:b/>
      <w:sz w:val="40"/>
      <w:szCs w:val="22"/>
      <w:lang w:val="fr-FR" w:eastAsia="zh-CN"/>
    </w:rPr>
  </w:style>
  <w:style w:type="paragraph" w:customStyle="1" w:styleId="Bullet2G">
    <w:name w:val="_Bullet 2_G"/>
    <w:basedOn w:val="Normal"/>
    <w:uiPriority w:val="99"/>
    <w:qFormat/>
    <w:rsid w:val="00941EF3"/>
    <w:pPr>
      <w:widowControl/>
      <w:numPr>
        <w:numId w:val="28"/>
      </w:numPr>
      <w:suppressAutoHyphens/>
      <w:kinsoku w:val="0"/>
      <w:overflowPunct w:val="0"/>
      <w:snapToGrid w:val="0"/>
      <w:spacing w:after="120" w:line="240" w:lineRule="atLeast"/>
      <w:ind w:right="1134"/>
    </w:pPr>
    <w:rPr>
      <w:rFonts w:asciiTheme="minorHAnsi" w:eastAsiaTheme="minorEastAsia" w:hAnsiTheme="minorHAnsi" w:cstheme="minorBidi"/>
      <w:szCs w:val="22"/>
      <w:lang w:val="fr-FR" w:eastAsia="zh-CN"/>
    </w:rPr>
  </w:style>
  <w:style w:type="paragraph" w:customStyle="1" w:styleId="ParNoG">
    <w:name w:val="_ParNo_G"/>
    <w:basedOn w:val="SingleTxtG"/>
    <w:uiPriority w:val="99"/>
    <w:qFormat/>
    <w:rsid w:val="00941EF3"/>
    <w:pPr>
      <w:numPr>
        <w:numId w:val="30"/>
      </w:numPr>
      <w:tabs>
        <w:tab w:val="clear" w:pos="1418"/>
        <w:tab w:val="clear" w:pos="1701"/>
        <w:tab w:val="clear" w:pos="1985"/>
        <w:tab w:val="clear" w:pos="2552"/>
        <w:tab w:val="clear" w:pos="3119"/>
        <w:tab w:val="num" w:pos="360"/>
      </w:tabs>
      <w:autoSpaceDN w:val="0"/>
      <w:spacing w:line="240" w:lineRule="atLeast"/>
    </w:pPr>
    <w:rPr>
      <w:sz w:val="20"/>
      <w:lang w:val="en-US"/>
    </w:rPr>
  </w:style>
  <w:style w:type="character" w:styleId="PageNumber">
    <w:name w:val="page number"/>
    <w:aliases w:val="7_G"/>
    <w:basedOn w:val="DefaultParagraphFont"/>
    <w:unhideWhenUsed/>
    <w:qFormat/>
    <w:rsid w:val="00941EF3"/>
    <w:rPr>
      <w:rFonts w:ascii="Times New Roman" w:hAnsi="Times New Roman" w:cs="Times New Roman" w:hint="default"/>
      <w:b/>
      <w:bCs w:val="0"/>
      <w:sz w:val="18"/>
      <w:lang w:val="fr-CH"/>
    </w:rPr>
  </w:style>
  <w:style w:type="character" w:styleId="EndnoteReference">
    <w:name w:val="endnote reference"/>
    <w:aliases w:val="1_G"/>
    <w:basedOn w:val="FootnoteReference"/>
    <w:unhideWhenUsed/>
    <w:qFormat/>
    <w:rsid w:val="00941EF3"/>
    <w:rPr>
      <w:rFonts w:ascii="Times New Roman" w:hAnsi="Times New Roman" w:cs="Times New Roman" w:hint="default"/>
      <w:sz w:val="18"/>
      <w:vertAlign w:val="superscript"/>
      <w:lang w:val="fr-CH"/>
    </w:rPr>
  </w:style>
  <w:style w:type="table" w:customStyle="1" w:styleId="TableGrid1">
    <w:name w:val="Table Grid1"/>
    <w:basedOn w:val="TableNormal"/>
    <w:uiPriority w:val="39"/>
    <w:rsid w:val="00941EF3"/>
    <w:pPr>
      <w:suppressAutoHyphens/>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639063">
      <w:bodyDiv w:val="1"/>
      <w:marLeft w:val="0"/>
      <w:marRight w:val="0"/>
      <w:marTop w:val="0"/>
      <w:marBottom w:val="0"/>
      <w:divBdr>
        <w:top w:val="none" w:sz="0" w:space="0" w:color="auto"/>
        <w:left w:val="none" w:sz="0" w:space="0" w:color="auto"/>
        <w:bottom w:val="none" w:sz="0" w:space="0" w:color="auto"/>
        <w:right w:val="none" w:sz="0" w:space="0" w:color="auto"/>
      </w:divBdr>
    </w:div>
    <w:div w:id="196553626">
      <w:bodyDiv w:val="1"/>
      <w:marLeft w:val="0"/>
      <w:marRight w:val="0"/>
      <w:marTop w:val="0"/>
      <w:marBottom w:val="0"/>
      <w:divBdr>
        <w:top w:val="none" w:sz="0" w:space="0" w:color="auto"/>
        <w:left w:val="none" w:sz="0" w:space="0" w:color="auto"/>
        <w:bottom w:val="none" w:sz="0" w:space="0" w:color="auto"/>
        <w:right w:val="none" w:sz="0" w:space="0" w:color="auto"/>
      </w:divBdr>
    </w:div>
    <w:div w:id="218320778">
      <w:bodyDiv w:val="1"/>
      <w:marLeft w:val="0"/>
      <w:marRight w:val="0"/>
      <w:marTop w:val="0"/>
      <w:marBottom w:val="0"/>
      <w:divBdr>
        <w:top w:val="none" w:sz="0" w:space="0" w:color="auto"/>
        <w:left w:val="none" w:sz="0" w:space="0" w:color="auto"/>
        <w:bottom w:val="none" w:sz="0" w:space="0" w:color="auto"/>
        <w:right w:val="none" w:sz="0" w:space="0" w:color="auto"/>
      </w:divBdr>
    </w:div>
    <w:div w:id="219751880">
      <w:bodyDiv w:val="1"/>
      <w:marLeft w:val="0"/>
      <w:marRight w:val="0"/>
      <w:marTop w:val="0"/>
      <w:marBottom w:val="0"/>
      <w:divBdr>
        <w:top w:val="none" w:sz="0" w:space="0" w:color="auto"/>
        <w:left w:val="none" w:sz="0" w:space="0" w:color="auto"/>
        <w:bottom w:val="none" w:sz="0" w:space="0" w:color="auto"/>
        <w:right w:val="none" w:sz="0" w:space="0" w:color="auto"/>
      </w:divBdr>
    </w:div>
    <w:div w:id="223226122">
      <w:bodyDiv w:val="1"/>
      <w:marLeft w:val="0"/>
      <w:marRight w:val="0"/>
      <w:marTop w:val="0"/>
      <w:marBottom w:val="0"/>
      <w:divBdr>
        <w:top w:val="none" w:sz="0" w:space="0" w:color="auto"/>
        <w:left w:val="none" w:sz="0" w:space="0" w:color="auto"/>
        <w:bottom w:val="none" w:sz="0" w:space="0" w:color="auto"/>
        <w:right w:val="none" w:sz="0" w:space="0" w:color="auto"/>
      </w:divBdr>
    </w:div>
    <w:div w:id="328025611">
      <w:bodyDiv w:val="1"/>
      <w:marLeft w:val="0"/>
      <w:marRight w:val="0"/>
      <w:marTop w:val="0"/>
      <w:marBottom w:val="0"/>
      <w:divBdr>
        <w:top w:val="none" w:sz="0" w:space="0" w:color="auto"/>
        <w:left w:val="none" w:sz="0" w:space="0" w:color="auto"/>
        <w:bottom w:val="none" w:sz="0" w:space="0" w:color="auto"/>
        <w:right w:val="none" w:sz="0" w:space="0" w:color="auto"/>
      </w:divBdr>
    </w:div>
    <w:div w:id="374963267">
      <w:bodyDiv w:val="1"/>
      <w:marLeft w:val="0"/>
      <w:marRight w:val="0"/>
      <w:marTop w:val="0"/>
      <w:marBottom w:val="0"/>
      <w:divBdr>
        <w:top w:val="none" w:sz="0" w:space="0" w:color="auto"/>
        <w:left w:val="none" w:sz="0" w:space="0" w:color="auto"/>
        <w:bottom w:val="none" w:sz="0" w:space="0" w:color="auto"/>
        <w:right w:val="none" w:sz="0" w:space="0" w:color="auto"/>
      </w:divBdr>
    </w:div>
    <w:div w:id="419374939">
      <w:bodyDiv w:val="1"/>
      <w:marLeft w:val="0"/>
      <w:marRight w:val="0"/>
      <w:marTop w:val="0"/>
      <w:marBottom w:val="0"/>
      <w:divBdr>
        <w:top w:val="none" w:sz="0" w:space="0" w:color="auto"/>
        <w:left w:val="none" w:sz="0" w:space="0" w:color="auto"/>
        <w:bottom w:val="none" w:sz="0" w:space="0" w:color="auto"/>
        <w:right w:val="none" w:sz="0" w:space="0" w:color="auto"/>
      </w:divBdr>
    </w:div>
    <w:div w:id="445193550">
      <w:bodyDiv w:val="1"/>
      <w:marLeft w:val="0"/>
      <w:marRight w:val="0"/>
      <w:marTop w:val="0"/>
      <w:marBottom w:val="0"/>
      <w:divBdr>
        <w:top w:val="none" w:sz="0" w:space="0" w:color="auto"/>
        <w:left w:val="none" w:sz="0" w:space="0" w:color="auto"/>
        <w:bottom w:val="none" w:sz="0" w:space="0" w:color="auto"/>
        <w:right w:val="none" w:sz="0" w:space="0" w:color="auto"/>
      </w:divBdr>
    </w:div>
    <w:div w:id="452527919">
      <w:bodyDiv w:val="1"/>
      <w:marLeft w:val="0"/>
      <w:marRight w:val="0"/>
      <w:marTop w:val="0"/>
      <w:marBottom w:val="0"/>
      <w:divBdr>
        <w:top w:val="none" w:sz="0" w:space="0" w:color="auto"/>
        <w:left w:val="none" w:sz="0" w:space="0" w:color="auto"/>
        <w:bottom w:val="none" w:sz="0" w:space="0" w:color="auto"/>
        <w:right w:val="none" w:sz="0" w:space="0" w:color="auto"/>
      </w:divBdr>
    </w:div>
    <w:div w:id="463893117">
      <w:bodyDiv w:val="1"/>
      <w:marLeft w:val="0"/>
      <w:marRight w:val="0"/>
      <w:marTop w:val="0"/>
      <w:marBottom w:val="0"/>
      <w:divBdr>
        <w:top w:val="none" w:sz="0" w:space="0" w:color="auto"/>
        <w:left w:val="none" w:sz="0" w:space="0" w:color="auto"/>
        <w:bottom w:val="none" w:sz="0" w:space="0" w:color="auto"/>
        <w:right w:val="none" w:sz="0" w:space="0" w:color="auto"/>
      </w:divBdr>
    </w:div>
    <w:div w:id="467363221">
      <w:bodyDiv w:val="1"/>
      <w:marLeft w:val="0"/>
      <w:marRight w:val="0"/>
      <w:marTop w:val="0"/>
      <w:marBottom w:val="0"/>
      <w:divBdr>
        <w:top w:val="none" w:sz="0" w:space="0" w:color="auto"/>
        <w:left w:val="none" w:sz="0" w:space="0" w:color="auto"/>
        <w:bottom w:val="none" w:sz="0" w:space="0" w:color="auto"/>
        <w:right w:val="none" w:sz="0" w:space="0" w:color="auto"/>
      </w:divBdr>
    </w:div>
    <w:div w:id="490215370">
      <w:bodyDiv w:val="1"/>
      <w:marLeft w:val="0"/>
      <w:marRight w:val="0"/>
      <w:marTop w:val="0"/>
      <w:marBottom w:val="0"/>
      <w:divBdr>
        <w:top w:val="none" w:sz="0" w:space="0" w:color="auto"/>
        <w:left w:val="none" w:sz="0" w:space="0" w:color="auto"/>
        <w:bottom w:val="none" w:sz="0" w:space="0" w:color="auto"/>
        <w:right w:val="none" w:sz="0" w:space="0" w:color="auto"/>
      </w:divBdr>
    </w:div>
    <w:div w:id="530074054">
      <w:bodyDiv w:val="1"/>
      <w:marLeft w:val="0"/>
      <w:marRight w:val="0"/>
      <w:marTop w:val="0"/>
      <w:marBottom w:val="0"/>
      <w:divBdr>
        <w:top w:val="none" w:sz="0" w:space="0" w:color="auto"/>
        <w:left w:val="none" w:sz="0" w:space="0" w:color="auto"/>
        <w:bottom w:val="none" w:sz="0" w:space="0" w:color="auto"/>
        <w:right w:val="none" w:sz="0" w:space="0" w:color="auto"/>
      </w:divBdr>
    </w:div>
    <w:div w:id="810097328">
      <w:bodyDiv w:val="1"/>
      <w:marLeft w:val="0"/>
      <w:marRight w:val="0"/>
      <w:marTop w:val="0"/>
      <w:marBottom w:val="0"/>
      <w:divBdr>
        <w:top w:val="none" w:sz="0" w:space="0" w:color="auto"/>
        <w:left w:val="none" w:sz="0" w:space="0" w:color="auto"/>
        <w:bottom w:val="none" w:sz="0" w:space="0" w:color="auto"/>
        <w:right w:val="none" w:sz="0" w:space="0" w:color="auto"/>
      </w:divBdr>
    </w:div>
    <w:div w:id="880215942">
      <w:bodyDiv w:val="1"/>
      <w:marLeft w:val="0"/>
      <w:marRight w:val="0"/>
      <w:marTop w:val="0"/>
      <w:marBottom w:val="0"/>
      <w:divBdr>
        <w:top w:val="none" w:sz="0" w:space="0" w:color="auto"/>
        <w:left w:val="none" w:sz="0" w:space="0" w:color="auto"/>
        <w:bottom w:val="none" w:sz="0" w:space="0" w:color="auto"/>
        <w:right w:val="none" w:sz="0" w:space="0" w:color="auto"/>
      </w:divBdr>
    </w:div>
    <w:div w:id="978808216">
      <w:bodyDiv w:val="1"/>
      <w:marLeft w:val="0"/>
      <w:marRight w:val="0"/>
      <w:marTop w:val="0"/>
      <w:marBottom w:val="0"/>
      <w:divBdr>
        <w:top w:val="none" w:sz="0" w:space="0" w:color="auto"/>
        <w:left w:val="none" w:sz="0" w:space="0" w:color="auto"/>
        <w:bottom w:val="none" w:sz="0" w:space="0" w:color="auto"/>
        <w:right w:val="none" w:sz="0" w:space="0" w:color="auto"/>
      </w:divBdr>
    </w:div>
    <w:div w:id="992608447">
      <w:bodyDiv w:val="1"/>
      <w:marLeft w:val="0"/>
      <w:marRight w:val="0"/>
      <w:marTop w:val="0"/>
      <w:marBottom w:val="0"/>
      <w:divBdr>
        <w:top w:val="none" w:sz="0" w:space="0" w:color="auto"/>
        <w:left w:val="none" w:sz="0" w:space="0" w:color="auto"/>
        <w:bottom w:val="none" w:sz="0" w:space="0" w:color="auto"/>
        <w:right w:val="none" w:sz="0" w:space="0" w:color="auto"/>
      </w:divBdr>
    </w:div>
    <w:div w:id="1044406739">
      <w:bodyDiv w:val="1"/>
      <w:marLeft w:val="0"/>
      <w:marRight w:val="0"/>
      <w:marTop w:val="0"/>
      <w:marBottom w:val="0"/>
      <w:divBdr>
        <w:top w:val="none" w:sz="0" w:space="0" w:color="auto"/>
        <w:left w:val="none" w:sz="0" w:space="0" w:color="auto"/>
        <w:bottom w:val="none" w:sz="0" w:space="0" w:color="auto"/>
        <w:right w:val="none" w:sz="0" w:space="0" w:color="auto"/>
      </w:divBdr>
    </w:div>
    <w:div w:id="1086921290">
      <w:bodyDiv w:val="1"/>
      <w:marLeft w:val="0"/>
      <w:marRight w:val="0"/>
      <w:marTop w:val="0"/>
      <w:marBottom w:val="0"/>
      <w:divBdr>
        <w:top w:val="none" w:sz="0" w:space="0" w:color="auto"/>
        <w:left w:val="none" w:sz="0" w:space="0" w:color="auto"/>
        <w:bottom w:val="none" w:sz="0" w:space="0" w:color="auto"/>
        <w:right w:val="none" w:sz="0" w:space="0" w:color="auto"/>
      </w:divBdr>
    </w:div>
    <w:div w:id="1245995948">
      <w:bodyDiv w:val="1"/>
      <w:marLeft w:val="0"/>
      <w:marRight w:val="0"/>
      <w:marTop w:val="0"/>
      <w:marBottom w:val="0"/>
      <w:divBdr>
        <w:top w:val="none" w:sz="0" w:space="0" w:color="auto"/>
        <w:left w:val="none" w:sz="0" w:space="0" w:color="auto"/>
        <w:bottom w:val="none" w:sz="0" w:space="0" w:color="auto"/>
        <w:right w:val="none" w:sz="0" w:space="0" w:color="auto"/>
      </w:divBdr>
    </w:div>
    <w:div w:id="1440635833">
      <w:bodyDiv w:val="1"/>
      <w:marLeft w:val="0"/>
      <w:marRight w:val="0"/>
      <w:marTop w:val="0"/>
      <w:marBottom w:val="0"/>
      <w:divBdr>
        <w:top w:val="none" w:sz="0" w:space="0" w:color="auto"/>
        <w:left w:val="none" w:sz="0" w:space="0" w:color="auto"/>
        <w:bottom w:val="none" w:sz="0" w:space="0" w:color="auto"/>
        <w:right w:val="none" w:sz="0" w:space="0" w:color="auto"/>
      </w:divBdr>
    </w:div>
    <w:div w:id="1491021874">
      <w:bodyDiv w:val="1"/>
      <w:marLeft w:val="0"/>
      <w:marRight w:val="0"/>
      <w:marTop w:val="0"/>
      <w:marBottom w:val="0"/>
      <w:divBdr>
        <w:top w:val="none" w:sz="0" w:space="0" w:color="auto"/>
        <w:left w:val="none" w:sz="0" w:space="0" w:color="auto"/>
        <w:bottom w:val="none" w:sz="0" w:space="0" w:color="auto"/>
        <w:right w:val="none" w:sz="0" w:space="0" w:color="auto"/>
      </w:divBdr>
    </w:div>
    <w:div w:id="1538199629">
      <w:bodyDiv w:val="1"/>
      <w:marLeft w:val="0"/>
      <w:marRight w:val="0"/>
      <w:marTop w:val="0"/>
      <w:marBottom w:val="0"/>
      <w:divBdr>
        <w:top w:val="none" w:sz="0" w:space="0" w:color="auto"/>
        <w:left w:val="none" w:sz="0" w:space="0" w:color="auto"/>
        <w:bottom w:val="none" w:sz="0" w:space="0" w:color="auto"/>
        <w:right w:val="none" w:sz="0" w:space="0" w:color="auto"/>
      </w:divBdr>
    </w:div>
    <w:div w:id="1583683257">
      <w:bodyDiv w:val="1"/>
      <w:marLeft w:val="0"/>
      <w:marRight w:val="0"/>
      <w:marTop w:val="0"/>
      <w:marBottom w:val="0"/>
      <w:divBdr>
        <w:top w:val="none" w:sz="0" w:space="0" w:color="auto"/>
        <w:left w:val="none" w:sz="0" w:space="0" w:color="auto"/>
        <w:bottom w:val="none" w:sz="0" w:space="0" w:color="auto"/>
        <w:right w:val="none" w:sz="0" w:space="0" w:color="auto"/>
      </w:divBdr>
    </w:div>
    <w:div w:id="1601373820">
      <w:bodyDiv w:val="1"/>
      <w:marLeft w:val="0"/>
      <w:marRight w:val="0"/>
      <w:marTop w:val="0"/>
      <w:marBottom w:val="0"/>
      <w:divBdr>
        <w:top w:val="none" w:sz="0" w:space="0" w:color="auto"/>
        <w:left w:val="none" w:sz="0" w:space="0" w:color="auto"/>
        <w:bottom w:val="none" w:sz="0" w:space="0" w:color="auto"/>
        <w:right w:val="none" w:sz="0" w:space="0" w:color="auto"/>
      </w:divBdr>
    </w:div>
    <w:div w:id="1681469336">
      <w:bodyDiv w:val="1"/>
      <w:marLeft w:val="0"/>
      <w:marRight w:val="0"/>
      <w:marTop w:val="0"/>
      <w:marBottom w:val="0"/>
      <w:divBdr>
        <w:top w:val="none" w:sz="0" w:space="0" w:color="auto"/>
        <w:left w:val="none" w:sz="0" w:space="0" w:color="auto"/>
        <w:bottom w:val="none" w:sz="0" w:space="0" w:color="auto"/>
        <w:right w:val="none" w:sz="0" w:space="0" w:color="auto"/>
      </w:divBdr>
    </w:div>
    <w:div w:id="1702971154">
      <w:bodyDiv w:val="1"/>
      <w:marLeft w:val="0"/>
      <w:marRight w:val="0"/>
      <w:marTop w:val="0"/>
      <w:marBottom w:val="0"/>
      <w:divBdr>
        <w:top w:val="none" w:sz="0" w:space="0" w:color="auto"/>
        <w:left w:val="none" w:sz="0" w:space="0" w:color="auto"/>
        <w:bottom w:val="none" w:sz="0" w:space="0" w:color="auto"/>
        <w:right w:val="none" w:sz="0" w:space="0" w:color="auto"/>
      </w:divBdr>
    </w:div>
    <w:div w:id="1727295176">
      <w:bodyDiv w:val="1"/>
      <w:marLeft w:val="0"/>
      <w:marRight w:val="0"/>
      <w:marTop w:val="0"/>
      <w:marBottom w:val="0"/>
      <w:divBdr>
        <w:top w:val="none" w:sz="0" w:space="0" w:color="auto"/>
        <w:left w:val="none" w:sz="0" w:space="0" w:color="auto"/>
        <w:bottom w:val="none" w:sz="0" w:space="0" w:color="auto"/>
        <w:right w:val="none" w:sz="0" w:space="0" w:color="auto"/>
      </w:divBdr>
    </w:div>
    <w:div w:id="1740134742">
      <w:bodyDiv w:val="1"/>
      <w:marLeft w:val="0"/>
      <w:marRight w:val="0"/>
      <w:marTop w:val="0"/>
      <w:marBottom w:val="0"/>
      <w:divBdr>
        <w:top w:val="none" w:sz="0" w:space="0" w:color="auto"/>
        <w:left w:val="none" w:sz="0" w:space="0" w:color="auto"/>
        <w:bottom w:val="none" w:sz="0" w:space="0" w:color="auto"/>
        <w:right w:val="none" w:sz="0" w:space="0" w:color="auto"/>
      </w:divBdr>
    </w:div>
    <w:div w:id="1751148751">
      <w:bodyDiv w:val="1"/>
      <w:marLeft w:val="0"/>
      <w:marRight w:val="0"/>
      <w:marTop w:val="0"/>
      <w:marBottom w:val="0"/>
      <w:divBdr>
        <w:top w:val="none" w:sz="0" w:space="0" w:color="auto"/>
        <w:left w:val="none" w:sz="0" w:space="0" w:color="auto"/>
        <w:bottom w:val="none" w:sz="0" w:space="0" w:color="auto"/>
        <w:right w:val="none" w:sz="0" w:space="0" w:color="auto"/>
      </w:divBdr>
    </w:div>
    <w:div w:id="1781601531">
      <w:bodyDiv w:val="1"/>
      <w:marLeft w:val="0"/>
      <w:marRight w:val="0"/>
      <w:marTop w:val="0"/>
      <w:marBottom w:val="0"/>
      <w:divBdr>
        <w:top w:val="none" w:sz="0" w:space="0" w:color="auto"/>
        <w:left w:val="none" w:sz="0" w:space="0" w:color="auto"/>
        <w:bottom w:val="none" w:sz="0" w:space="0" w:color="auto"/>
        <w:right w:val="none" w:sz="0" w:space="0" w:color="auto"/>
      </w:divBdr>
    </w:div>
    <w:div w:id="1796560660">
      <w:bodyDiv w:val="1"/>
      <w:marLeft w:val="0"/>
      <w:marRight w:val="0"/>
      <w:marTop w:val="0"/>
      <w:marBottom w:val="0"/>
      <w:divBdr>
        <w:top w:val="none" w:sz="0" w:space="0" w:color="auto"/>
        <w:left w:val="none" w:sz="0" w:space="0" w:color="auto"/>
        <w:bottom w:val="none" w:sz="0" w:space="0" w:color="auto"/>
        <w:right w:val="none" w:sz="0" w:space="0" w:color="auto"/>
      </w:divBdr>
    </w:div>
    <w:div w:id="1822960794">
      <w:bodyDiv w:val="1"/>
      <w:marLeft w:val="0"/>
      <w:marRight w:val="0"/>
      <w:marTop w:val="0"/>
      <w:marBottom w:val="0"/>
      <w:divBdr>
        <w:top w:val="none" w:sz="0" w:space="0" w:color="auto"/>
        <w:left w:val="none" w:sz="0" w:space="0" w:color="auto"/>
        <w:bottom w:val="none" w:sz="0" w:space="0" w:color="auto"/>
        <w:right w:val="none" w:sz="0" w:space="0" w:color="auto"/>
      </w:divBdr>
    </w:div>
    <w:div w:id="1969121948">
      <w:bodyDiv w:val="1"/>
      <w:marLeft w:val="0"/>
      <w:marRight w:val="0"/>
      <w:marTop w:val="0"/>
      <w:marBottom w:val="0"/>
      <w:divBdr>
        <w:top w:val="none" w:sz="0" w:space="0" w:color="auto"/>
        <w:left w:val="none" w:sz="0" w:space="0" w:color="auto"/>
        <w:bottom w:val="none" w:sz="0" w:space="0" w:color="auto"/>
        <w:right w:val="none" w:sz="0" w:space="0" w:color="auto"/>
      </w:divBdr>
    </w:div>
    <w:div w:id="2046249069">
      <w:bodyDiv w:val="1"/>
      <w:marLeft w:val="0"/>
      <w:marRight w:val="0"/>
      <w:marTop w:val="0"/>
      <w:marBottom w:val="0"/>
      <w:divBdr>
        <w:top w:val="none" w:sz="0" w:space="0" w:color="auto"/>
        <w:left w:val="none" w:sz="0" w:space="0" w:color="auto"/>
        <w:bottom w:val="none" w:sz="0" w:space="0" w:color="auto"/>
        <w:right w:val="none" w:sz="0" w:space="0" w:color="auto"/>
      </w:divBdr>
    </w:div>
    <w:div w:id="2050639389">
      <w:bodyDiv w:val="1"/>
      <w:marLeft w:val="0"/>
      <w:marRight w:val="0"/>
      <w:marTop w:val="0"/>
      <w:marBottom w:val="0"/>
      <w:divBdr>
        <w:top w:val="none" w:sz="0" w:space="0" w:color="auto"/>
        <w:left w:val="none" w:sz="0" w:space="0" w:color="auto"/>
        <w:bottom w:val="none" w:sz="0" w:space="0" w:color="auto"/>
        <w:right w:val="none" w:sz="0" w:space="0" w:color="auto"/>
      </w:divBdr>
    </w:div>
    <w:div w:id="2062705233">
      <w:bodyDiv w:val="1"/>
      <w:marLeft w:val="0"/>
      <w:marRight w:val="0"/>
      <w:marTop w:val="0"/>
      <w:marBottom w:val="0"/>
      <w:divBdr>
        <w:top w:val="none" w:sz="0" w:space="0" w:color="auto"/>
        <w:left w:val="none" w:sz="0" w:space="0" w:color="auto"/>
        <w:bottom w:val="none" w:sz="0" w:space="0" w:color="auto"/>
        <w:right w:val="none" w:sz="0" w:space="0" w:color="auto"/>
      </w:divBdr>
    </w:div>
    <w:div w:id="2122068205">
      <w:bodyDiv w:val="1"/>
      <w:marLeft w:val="0"/>
      <w:marRight w:val="0"/>
      <w:marTop w:val="0"/>
      <w:marBottom w:val="0"/>
      <w:divBdr>
        <w:top w:val="none" w:sz="0" w:space="0" w:color="auto"/>
        <w:left w:val="none" w:sz="0" w:space="0" w:color="auto"/>
        <w:bottom w:val="none" w:sz="0" w:space="0" w:color="auto"/>
        <w:right w:val="none" w:sz="0" w:space="0" w:color="auto"/>
      </w:divBdr>
    </w:div>
    <w:div w:id="213741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op.un.org" TargetMode="External"/><Relationship Id="rId18" Type="http://schemas.openxmlformats.org/officeDocument/2006/relationships/image" Target="media/image2.png"/><Relationship Id="rId26" Type="http://schemas.openxmlformats.org/officeDocument/2006/relationships/image" Target="media/image9.wmf"/><Relationship Id="rId39" Type="http://schemas.openxmlformats.org/officeDocument/2006/relationships/image" Target="media/image21.svg"/><Relationship Id="rId3" Type="http://schemas.openxmlformats.org/officeDocument/2006/relationships/customXml" Target="../customXml/item3.xml"/><Relationship Id="rId21" Type="http://schemas.openxmlformats.org/officeDocument/2006/relationships/image" Target="media/image5.svg"/><Relationship Id="rId34" Type="http://schemas.openxmlformats.org/officeDocument/2006/relationships/image" Target="media/image17.wmf"/><Relationship Id="rId42" Type="http://schemas.openxmlformats.org/officeDocument/2006/relationships/image" Target="media/image23.svg"/><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yperlink" Target="mailto:permissions@un.org" TargetMode="External"/><Relationship Id="rId17" Type="http://schemas.openxmlformats.org/officeDocument/2006/relationships/footer" Target="footer4.xml"/><Relationship Id="rId25" Type="http://schemas.openxmlformats.org/officeDocument/2006/relationships/package" Target="embeddings/Microsoft_Visio_Drawing.vsdx"/><Relationship Id="rId33" Type="http://schemas.openxmlformats.org/officeDocument/2006/relationships/image" Target="media/image16.wmf"/><Relationship Id="rId38" Type="http://schemas.openxmlformats.org/officeDocument/2006/relationships/image" Target="media/image20.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5.wmf"/><Relationship Id="rId37" Type="http://schemas.openxmlformats.org/officeDocument/2006/relationships/image" Target="media/image19.svg"/><Relationship Id="rId40" Type="http://schemas.openxmlformats.org/officeDocument/2006/relationships/chart" Target="charts/chart1.xm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svg"/><Relationship Id="rId28" Type="http://schemas.openxmlformats.org/officeDocument/2006/relationships/image" Target="media/image11.svg"/><Relationship Id="rId36" Type="http://schemas.openxmlformats.org/officeDocument/2006/relationships/image" Target="media/image18.pn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svg"/><Relationship Id="rId31" Type="http://schemas.openxmlformats.org/officeDocument/2006/relationships/image" Target="media/image14.wmf"/><Relationship Id="rId44" Type="http://schemas.openxmlformats.org/officeDocument/2006/relationships/image" Target="media/image25.sv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oleObject" Target="embeddings/oleObject1.bin"/><Relationship Id="rId43" Type="http://schemas.openxmlformats.org/officeDocument/2006/relationships/image" Target="media/image24.png"/><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https://d60c-my.sharepoint.com/personal/peter_schuurman_nouryon_com/Documents/IGUS/IGUS%202019/Ad%20Hoc%20Test%20series%20H/Graph%20measuring%20times%20test%20series%20H.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cap="rnd" cmpd="sng" algn="ctr">
              <a:solidFill>
                <a:schemeClr val="dk1">
                  <a:tint val="88500"/>
                  <a:shade val="95000"/>
                  <a:satMod val="105000"/>
                </a:schemeClr>
              </a:solidFill>
              <a:prstDash val="solid"/>
              <a:round/>
            </a:ln>
            <a:effectLst/>
          </c:spPr>
          <c:marker>
            <c:symbol val="none"/>
          </c:marker>
          <c:xVal>
            <c:numRef>
              <c:f>Sheet1!$A$1:$A$5</c:f>
              <c:numCache>
                <c:formatCode>0</c:formatCode>
                <c:ptCount val="5"/>
                <c:pt idx="0" formatCode="General">
                  <c:v>1</c:v>
                </c:pt>
                <c:pt idx="1">
                  <c:v>10</c:v>
                </c:pt>
                <c:pt idx="2">
                  <c:v>100</c:v>
                </c:pt>
                <c:pt idx="3">
                  <c:v>1000</c:v>
                </c:pt>
                <c:pt idx="4">
                  <c:v>10000</c:v>
                </c:pt>
              </c:numCache>
            </c:numRef>
          </c:xVal>
          <c:yVal>
            <c:numRef>
              <c:f>Sheet1!$B$1:$B$5</c:f>
              <c:numCache>
                <c:formatCode>0</c:formatCode>
                <c:ptCount val="5"/>
                <c:pt idx="0" formatCode="General">
                  <c:v>10000</c:v>
                </c:pt>
                <c:pt idx="1">
                  <c:v>1000</c:v>
                </c:pt>
                <c:pt idx="2">
                  <c:v>100</c:v>
                </c:pt>
                <c:pt idx="3">
                  <c:v>10</c:v>
                </c:pt>
                <c:pt idx="4">
                  <c:v>1</c:v>
                </c:pt>
              </c:numCache>
            </c:numRef>
          </c:yVal>
          <c:smooth val="0"/>
          <c:extLst>
            <c:ext xmlns:c16="http://schemas.microsoft.com/office/drawing/2014/chart" uri="{C3380CC4-5D6E-409C-BE32-E72D297353CC}">
              <c16:uniqueId val="{00000000-9065-4AB1-837F-01114F468E74}"/>
            </c:ext>
          </c:extLst>
        </c:ser>
        <c:dLbls>
          <c:showLegendKey val="0"/>
          <c:showVal val="0"/>
          <c:showCatName val="0"/>
          <c:showSerName val="0"/>
          <c:showPercent val="0"/>
          <c:showBubbleSize val="0"/>
        </c:dLbls>
        <c:axId val="126780928"/>
        <c:axId val="126761600"/>
      </c:scatterChart>
      <c:valAx>
        <c:axId val="126780928"/>
        <c:scaling>
          <c:logBase val="10"/>
          <c:orientation val="minMax"/>
          <c:max val="10000"/>
        </c:scaling>
        <c:delete val="0"/>
        <c:axPos val="b"/>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b="0">
                    <a:latin typeface="Times New Roman" panose="02020603050405020304" pitchFamily="18" charset="0"/>
                    <a:cs typeface="Times New Roman" panose="02020603050405020304" pitchFamily="18" charset="0"/>
                  </a:rPr>
                  <a:t>Measuring period (h)</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761600"/>
        <c:crosses val="autoZero"/>
        <c:crossBetween val="midCat"/>
      </c:valAx>
      <c:valAx>
        <c:axId val="126761600"/>
        <c:scaling>
          <c:logBase val="10"/>
          <c:orientation val="minMax"/>
          <c:max val="3000"/>
          <c:min val="1"/>
        </c:scaling>
        <c:delete val="0"/>
        <c:axPos val="l"/>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b="0">
                    <a:latin typeface="Times New Roman" panose="02020603050405020304" pitchFamily="18" charset="0"/>
                    <a:cs typeface="Times New Roman" panose="02020603050405020304" pitchFamily="18" charset="0"/>
                  </a:rPr>
                  <a:t>Max. heat generation (mW/kg)</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78092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prstDash val="solid"/>
      <a:round/>
    </a:ln>
    <a:effectLst/>
  </c:spPr>
  <c:txPr>
    <a:bodyPr/>
    <a:lstStyle/>
    <a:p>
      <a:pPr marL="162000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0.02779</cdr:x>
      <cdr:y>0.00811</cdr:y>
    </cdr:from>
    <cdr:to>
      <cdr:x>0.08792</cdr:x>
      <cdr:y>0.88915</cdr:y>
    </cdr:to>
    <cdr:sp macro="" textlink="">
      <cdr:nvSpPr>
        <cdr:cNvPr id="2" name="Zone de texte 10"/>
        <cdr:cNvSpPr txBox="1"/>
      </cdr:nvSpPr>
      <cdr:spPr>
        <a:xfrm xmlns:a="http://schemas.openxmlformats.org/drawingml/2006/main">
          <a:off x="105417" y="16547"/>
          <a:ext cx="228064" cy="1798673"/>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vert270"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ctr" eaLnBrk="0" hangingPunct="0">
            <a:lnSpc>
              <a:spcPts val="1200"/>
            </a:lnSpc>
            <a:spcAft>
              <a:spcPts val="0"/>
            </a:spcAft>
          </a:pPr>
          <a:r>
            <a:rPr lang="fr-CH" sz="1000">
              <a:effectLst/>
              <a:latin typeface="Times New Roman" panose="02020603050405020304" pitchFamily="18" charset="0"/>
              <a:ea typeface="+mn-ea"/>
              <a:cs typeface="Times New Roman" panose="02020603050405020304" pitchFamily="18" charset="0"/>
            </a:rPr>
            <a:t>Production maximale de chaleur</a:t>
          </a:r>
          <a:r>
            <a:rPr lang="fr-CH" sz="1000" b="1" i="1">
              <a:effectLst/>
              <a:latin typeface="Times New Roman" panose="02020603050405020304" pitchFamily="18" charset="0"/>
              <a:ea typeface="+mn-ea"/>
              <a:cs typeface="Times New Roman" panose="02020603050405020304" pitchFamily="18" charset="0"/>
            </a:rPr>
            <a:t> </a:t>
          </a:r>
          <a:endParaRPr lang="fr-CH" sz="10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0.41772</cdr:x>
      <cdr:y>0.85503</cdr:y>
    </cdr:from>
    <cdr:to>
      <cdr:x>0.68864</cdr:x>
      <cdr:y>0.96232</cdr:y>
    </cdr:to>
    <cdr:sp macro="" textlink="">
      <cdr:nvSpPr>
        <cdr:cNvPr id="4" name="Zone de texte 12"/>
        <cdr:cNvSpPr txBox="1"/>
      </cdr:nvSpPr>
      <cdr:spPr>
        <a:xfrm xmlns:a="http://schemas.openxmlformats.org/drawingml/2006/main">
          <a:off x="1584356" y="1745559"/>
          <a:ext cx="1027570" cy="21903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ctr" eaLnBrk="0" hangingPunct="0">
            <a:lnSpc>
              <a:spcPts val="1200"/>
            </a:lnSpc>
            <a:spcAft>
              <a:spcPts val="0"/>
            </a:spcAft>
          </a:pPr>
          <a:r>
            <a:rPr lang="fr-CH" sz="1000">
              <a:effectLst/>
              <a:latin typeface="Times New Roman" panose="02020603050405020304" pitchFamily="18" charset="0"/>
              <a:ea typeface="+mn-ea"/>
              <a:cs typeface="Times New Roman" panose="02020603050405020304" pitchFamily="18" charset="0"/>
            </a:rPr>
            <a:t>Durée de mesure</a:t>
          </a:r>
          <a:endParaRPr lang="fr-CH" sz="10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0.41781</cdr:x>
      <cdr:y>0.84873</cdr:y>
    </cdr:from>
    <cdr:to>
      <cdr:x>0.68873</cdr:x>
      <cdr:y>0.95602</cdr:y>
    </cdr:to>
    <cdr:sp macro="" textlink="">
      <cdr:nvSpPr>
        <cdr:cNvPr id="5" name="Zone de texte 12"/>
        <cdr:cNvSpPr txBox="1"/>
      </cdr:nvSpPr>
      <cdr:spPr>
        <a:xfrm xmlns:a="http://schemas.openxmlformats.org/drawingml/2006/main">
          <a:off x="1584696" y="1732713"/>
          <a:ext cx="1027570" cy="21903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ctr" eaLnBrk="0" hangingPunct="0">
            <a:lnSpc>
              <a:spcPts val="1200"/>
            </a:lnSpc>
            <a:spcAft>
              <a:spcPts val="0"/>
            </a:spcAft>
          </a:pPr>
          <a:r>
            <a:rPr lang="fr-CH" sz="1000">
              <a:effectLst/>
              <a:latin typeface="Times New Roman" panose="02020603050405020304" pitchFamily="18" charset="0"/>
              <a:ea typeface="+mn-ea"/>
              <a:cs typeface="Times New Roman" panose="02020603050405020304" pitchFamily="18" charset="0"/>
            </a:rPr>
            <a:t>Durée de mesure</a:t>
          </a:r>
          <a:endParaRPr lang="fr-CH" sz="10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84A129-2D92-4F28-B594-89598BD04D23}">
  <ds:schemaRefs>
    <ds:schemaRef ds:uri="http://schemas.openxmlformats.org/officeDocument/2006/bibliography"/>
  </ds:schemaRefs>
</ds:datastoreItem>
</file>

<file path=customXml/itemProps2.xml><?xml version="1.0" encoding="utf-8"?>
<ds:datastoreItem xmlns:ds="http://schemas.openxmlformats.org/officeDocument/2006/customXml" ds:itemID="{B5AEBB37-EC37-4C6A-ACEA-35C5673E9BA1}">
  <ds:schemaRefs>
    <ds:schemaRef ds:uri="http://schemas.microsoft.com/sharepoint/v3/contenttype/forms"/>
  </ds:schemaRefs>
</ds:datastoreItem>
</file>

<file path=customXml/itemProps3.xml><?xml version="1.0" encoding="utf-8"?>
<ds:datastoreItem xmlns:ds="http://schemas.openxmlformats.org/officeDocument/2006/customXml" ds:itemID="{2049F449-5BE9-4B55-AB05-85A63EC1FC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34B68B-C721-4979-A23D-8758A7B50E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40</Pages>
  <Words>12641</Words>
  <Characters>65608</Characters>
  <Application>Microsoft Office Word</Application>
  <DocSecurity>0</DocSecurity>
  <Lines>1457</Lines>
  <Paragraphs>841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UNECE</Company>
  <LinksUpToDate>false</LinksUpToDate>
  <CharactersWithSpaces>77408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Garcia-Couto</dc:creator>
  <cp:keywords/>
  <dc:description/>
  <cp:lastModifiedBy>Laurence Berthet</cp:lastModifiedBy>
  <cp:revision>19</cp:revision>
  <cp:lastPrinted>2019-09-09T09:09:00Z</cp:lastPrinted>
  <dcterms:created xsi:type="dcterms:W3CDTF">2021-06-09T07:54:00Z</dcterms:created>
  <dcterms:modified xsi:type="dcterms:W3CDTF">2021-06-15T10:19:00Z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1336000</vt:r8>
  </property>
  <property fmtid="{D5CDD505-2E9C-101B-9397-08002B2CF9AE}" pid="3" name="ContentTypeId">
    <vt:lpwstr>0x0101003B8422D08C252547BB1CFA7F78E2CB83</vt:lpwstr>
  </property>
</Properties>
</file>