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1A3EA" w14:textId="77777777" w:rsidR="009636F3" w:rsidRPr="00352EBC" w:rsidRDefault="009636F3" w:rsidP="009636F3">
      <w:pPr>
        <w:autoSpaceDE w:val="0"/>
        <w:autoSpaceDN w:val="0"/>
        <w:adjustRightInd w:val="0"/>
        <w:spacing w:after="0" w:line="240" w:lineRule="auto"/>
        <w:rPr>
          <w:rFonts w:cstheme="minorHAnsi"/>
          <w:b/>
          <w:sz w:val="24"/>
          <w:szCs w:val="24"/>
          <w:lang w:val="en-US"/>
        </w:rPr>
      </w:pPr>
      <w:r w:rsidRPr="00352EBC">
        <w:rPr>
          <w:rFonts w:cstheme="minorHAnsi"/>
          <w:b/>
          <w:sz w:val="24"/>
          <w:szCs w:val="24"/>
          <w:lang w:val="en-US"/>
        </w:rPr>
        <w:t>Need for lifetime compliance</w:t>
      </w:r>
    </w:p>
    <w:p w14:paraId="0DD9EC20" w14:textId="77777777" w:rsidR="00CA1982" w:rsidRPr="00352EBC" w:rsidRDefault="00A541A2" w:rsidP="009636F3">
      <w:pPr>
        <w:autoSpaceDE w:val="0"/>
        <w:autoSpaceDN w:val="0"/>
        <w:adjustRightInd w:val="0"/>
        <w:spacing w:after="0" w:line="240" w:lineRule="auto"/>
        <w:rPr>
          <w:rFonts w:cstheme="minorHAnsi"/>
          <w:i/>
          <w:lang w:val="en-US"/>
        </w:rPr>
      </w:pPr>
      <w:r w:rsidRPr="00352EBC">
        <w:rPr>
          <w:rFonts w:cstheme="minorHAnsi"/>
          <w:i/>
          <w:lang w:val="en-US"/>
        </w:rPr>
        <w:t>The</w:t>
      </w:r>
      <w:r w:rsidR="000158E5" w:rsidRPr="00352EBC">
        <w:rPr>
          <w:rFonts w:cstheme="minorHAnsi"/>
          <w:i/>
          <w:lang w:val="en-US"/>
        </w:rPr>
        <w:t xml:space="preserve"> text </w:t>
      </w:r>
      <w:r w:rsidRPr="00352EBC">
        <w:rPr>
          <w:rFonts w:cstheme="minorHAnsi"/>
          <w:i/>
          <w:lang w:val="en-US"/>
        </w:rPr>
        <w:t>below is taken</w:t>
      </w:r>
      <w:r w:rsidR="00CA1982" w:rsidRPr="00352EBC">
        <w:rPr>
          <w:rFonts w:cstheme="minorHAnsi"/>
          <w:i/>
          <w:lang w:val="en-US"/>
        </w:rPr>
        <w:t xml:space="preserve"> from </w:t>
      </w:r>
      <w:r w:rsidR="000158E5" w:rsidRPr="00352EBC">
        <w:rPr>
          <w:rFonts w:cstheme="minorHAnsi"/>
          <w:i/>
          <w:lang w:val="en-US"/>
        </w:rPr>
        <w:t xml:space="preserve">the </w:t>
      </w:r>
      <w:r w:rsidR="00CA1982" w:rsidRPr="00352EBC">
        <w:rPr>
          <w:rFonts w:cstheme="minorHAnsi"/>
          <w:i/>
          <w:lang w:val="en-US"/>
        </w:rPr>
        <w:t xml:space="preserve">NL position </w:t>
      </w:r>
      <w:r w:rsidR="000158E5" w:rsidRPr="00352EBC">
        <w:rPr>
          <w:rFonts w:cstheme="minorHAnsi"/>
          <w:i/>
          <w:lang w:val="en-US"/>
        </w:rPr>
        <w:t>on the approach on future emission standards</w:t>
      </w:r>
      <w:r w:rsidRPr="00352EBC">
        <w:rPr>
          <w:rFonts w:cstheme="minorHAnsi"/>
          <w:i/>
          <w:lang w:val="en-US"/>
        </w:rPr>
        <w:t xml:space="preserve"> in which enhanced focus on</w:t>
      </w:r>
      <w:r w:rsidR="009949F5" w:rsidRPr="00352EBC">
        <w:rPr>
          <w:rFonts w:cstheme="minorHAnsi"/>
          <w:i/>
          <w:lang w:val="en-US"/>
        </w:rPr>
        <w:t xml:space="preserve"> </w:t>
      </w:r>
      <w:r w:rsidR="00352EBC">
        <w:rPr>
          <w:rFonts w:cstheme="minorHAnsi"/>
          <w:i/>
          <w:lang w:val="en-US"/>
        </w:rPr>
        <w:t>lifetime compliance is a key element.</w:t>
      </w:r>
    </w:p>
    <w:p w14:paraId="7C44503A" w14:textId="77777777" w:rsidR="009636F3" w:rsidRPr="00352EBC" w:rsidRDefault="009636F3" w:rsidP="009636F3">
      <w:pPr>
        <w:autoSpaceDE w:val="0"/>
        <w:autoSpaceDN w:val="0"/>
        <w:adjustRightInd w:val="0"/>
        <w:spacing w:after="0" w:line="240" w:lineRule="auto"/>
        <w:rPr>
          <w:rFonts w:cstheme="minorHAnsi"/>
          <w:b/>
          <w:lang w:val="en-US"/>
        </w:rPr>
      </w:pPr>
    </w:p>
    <w:p w14:paraId="63C6C1A5" w14:textId="77777777" w:rsidR="00C776C5" w:rsidRPr="00352EBC" w:rsidRDefault="00C776C5" w:rsidP="009636F3">
      <w:pPr>
        <w:autoSpaceDE w:val="0"/>
        <w:autoSpaceDN w:val="0"/>
        <w:adjustRightInd w:val="0"/>
        <w:spacing w:after="0" w:line="240" w:lineRule="auto"/>
        <w:rPr>
          <w:rFonts w:cstheme="minorHAnsi"/>
          <w:b/>
          <w:lang w:val="en-US"/>
        </w:rPr>
      </w:pPr>
    </w:p>
    <w:p w14:paraId="5AFFCB74" w14:textId="77777777" w:rsidR="00CA1982" w:rsidRPr="00352EBC" w:rsidRDefault="00CA1982" w:rsidP="00CA1982">
      <w:pPr>
        <w:autoSpaceDE w:val="0"/>
        <w:autoSpaceDN w:val="0"/>
        <w:adjustRightInd w:val="0"/>
        <w:spacing w:after="0" w:line="240" w:lineRule="auto"/>
        <w:rPr>
          <w:rFonts w:cstheme="minorHAnsi"/>
          <w:lang w:val="en-US"/>
        </w:rPr>
      </w:pPr>
      <w:r w:rsidRPr="00352EBC">
        <w:rPr>
          <w:rFonts w:cstheme="minorHAnsi"/>
          <w:lang w:val="en-US"/>
        </w:rPr>
        <w:t xml:space="preserve">Over the years, emission performance has become progressively dependent on the correct functioning of the emission reduction technology and as such modern vehicles </w:t>
      </w:r>
      <w:r w:rsidR="000158E5" w:rsidRPr="00352EBC">
        <w:rPr>
          <w:rFonts w:cstheme="minorHAnsi"/>
          <w:lang w:val="en-US"/>
        </w:rPr>
        <w:t xml:space="preserve">have </w:t>
      </w:r>
      <w:r w:rsidRPr="00352EBC">
        <w:rPr>
          <w:rFonts w:cstheme="minorHAnsi"/>
          <w:lang w:val="en-US"/>
        </w:rPr>
        <w:t xml:space="preserve">become increasingly vulnerable to aging and tampering. Current </w:t>
      </w:r>
      <w:r w:rsidR="000158E5" w:rsidRPr="00352EBC">
        <w:rPr>
          <w:rFonts w:cstheme="minorHAnsi"/>
          <w:lang w:val="en-US"/>
        </w:rPr>
        <w:t xml:space="preserve">emission </w:t>
      </w:r>
      <w:r w:rsidRPr="00352EBC">
        <w:rPr>
          <w:rFonts w:cstheme="minorHAnsi"/>
          <w:lang w:val="en-US"/>
        </w:rPr>
        <w:t>standards insufficiently secure the emission performance of older vehicles. In addition to extending the test conditions to include all driving conditions, measures should be taken to control lifetime emissions for at least two reasons:</w:t>
      </w:r>
    </w:p>
    <w:p w14:paraId="222D0C4A" w14:textId="77777777" w:rsidR="00CA1982" w:rsidRPr="00352EBC" w:rsidRDefault="00CA1982" w:rsidP="00CA1982">
      <w:pPr>
        <w:pStyle w:val="ListParagraph"/>
        <w:numPr>
          <w:ilvl w:val="0"/>
          <w:numId w:val="1"/>
        </w:numPr>
        <w:autoSpaceDE w:val="0"/>
        <w:autoSpaceDN w:val="0"/>
        <w:adjustRightInd w:val="0"/>
        <w:spacing w:after="0" w:line="240" w:lineRule="auto"/>
        <w:rPr>
          <w:rFonts w:cstheme="minorHAnsi"/>
          <w:lang w:val="en-US"/>
        </w:rPr>
      </w:pPr>
      <w:r w:rsidRPr="00352EBC">
        <w:rPr>
          <w:rFonts w:cstheme="minorHAnsi"/>
          <w:lang w:val="en-US"/>
        </w:rPr>
        <w:t xml:space="preserve">Aging of after treatment technology is known to cause a significant increase in </w:t>
      </w:r>
      <w:proofErr w:type="gramStart"/>
      <w:r w:rsidRPr="00352EBC">
        <w:rPr>
          <w:rFonts w:cstheme="minorHAnsi"/>
          <w:lang w:val="en-US"/>
        </w:rPr>
        <w:t>emissions;</w:t>
      </w:r>
      <w:proofErr w:type="gramEnd"/>
    </w:p>
    <w:p w14:paraId="353D42FB" w14:textId="77777777" w:rsidR="00CA1982" w:rsidRPr="00352EBC" w:rsidRDefault="00CA1982" w:rsidP="00CA1982">
      <w:pPr>
        <w:pStyle w:val="ListParagraph"/>
        <w:numPr>
          <w:ilvl w:val="0"/>
          <w:numId w:val="1"/>
        </w:numPr>
        <w:autoSpaceDE w:val="0"/>
        <w:autoSpaceDN w:val="0"/>
        <w:adjustRightInd w:val="0"/>
        <w:spacing w:after="0" w:line="240" w:lineRule="auto"/>
        <w:rPr>
          <w:rFonts w:cstheme="minorHAnsi"/>
          <w:lang w:val="en-US"/>
        </w:rPr>
      </w:pPr>
      <w:r w:rsidRPr="00352EBC">
        <w:rPr>
          <w:rFonts w:cstheme="minorHAnsi"/>
          <w:lang w:val="en-US"/>
        </w:rPr>
        <w:t>Intentional misuse (tampering) of after treatment technology by individual owners is increasing. Requirements for lifetime emissions, are required to ensure control on the after treatment, also in the later stages of a vehicles´ life.</w:t>
      </w:r>
    </w:p>
    <w:p w14:paraId="0A3F77B2" w14:textId="77777777" w:rsidR="00CA1982" w:rsidRPr="00352EBC" w:rsidRDefault="00CA1982" w:rsidP="00CA1982">
      <w:pPr>
        <w:autoSpaceDE w:val="0"/>
        <w:autoSpaceDN w:val="0"/>
        <w:adjustRightInd w:val="0"/>
        <w:spacing w:after="0" w:line="240" w:lineRule="auto"/>
        <w:rPr>
          <w:rFonts w:cstheme="minorHAnsi"/>
          <w:lang w:val="en-US"/>
        </w:rPr>
      </w:pPr>
    </w:p>
    <w:p w14:paraId="3FDF9958" w14:textId="77777777" w:rsidR="00CA1982" w:rsidRPr="00352EBC" w:rsidRDefault="00CA1982" w:rsidP="00CA1982">
      <w:pPr>
        <w:autoSpaceDE w:val="0"/>
        <w:autoSpaceDN w:val="0"/>
        <w:adjustRightInd w:val="0"/>
        <w:spacing w:after="0" w:line="240" w:lineRule="auto"/>
        <w:rPr>
          <w:rFonts w:cstheme="minorHAnsi"/>
          <w:lang w:val="en-US"/>
        </w:rPr>
      </w:pPr>
      <w:r w:rsidRPr="00352EBC">
        <w:rPr>
          <w:rFonts w:cstheme="minorHAnsi"/>
          <w:lang w:val="en-US"/>
        </w:rPr>
        <w:t>Both causes can result in extremely high emissions. For instance, removing a diesel particulate filter (DPF), that typically operates at efficiencies of above 99%, will result in a hundred-fold increase of emissions of ultrafine particles. In case of petrol vehicles with defective</w:t>
      </w:r>
      <w:r w:rsidR="00352EBC">
        <w:rPr>
          <w:rFonts w:cstheme="minorHAnsi"/>
          <w:lang w:val="en-US"/>
        </w:rPr>
        <w:t xml:space="preserve"> </w:t>
      </w:r>
      <w:r w:rsidRPr="00352EBC">
        <w:rPr>
          <w:rFonts w:cstheme="minorHAnsi"/>
          <w:lang w:val="en-US"/>
        </w:rPr>
        <w:t>three-way catalyst</w:t>
      </w:r>
      <w:r w:rsidR="00BD6DD9" w:rsidRPr="00352EBC">
        <w:rPr>
          <w:rFonts w:cstheme="minorHAnsi"/>
          <w:lang w:val="en-US"/>
        </w:rPr>
        <w:t>s</w:t>
      </w:r>
      <w:r w:rsidRPr="00352EBC">
        <w:rPr>
          <w:rFonts w:cstheme="minorHAnsi"/>
          <w:lang w:val="en-US"/>
        </w:rPr>
        <w:t xml:space="preserve">, NOx emissions can increase </w:t>
      </w:r>
      <w:r w:rsidR="00352EBC">
        <w:rPr>
          <w:rFonts w:cstheme="minorHAnsi"/>
          <w:lang w:val="en-US"/>
        </w:rPr>
        <w:t>tenfold</w:t>
      </w:r>
      <w:r w:rsidRPr="00352EBC">
        <w:rPr>
          <w:rFonts w:cstheme="minorHAnsi"/>
          <w:lang w:val="en-US"/>
        </w:rPr>
        <w:t>. This means that although it might occur in only a small number of vehicles, the total impact can still contribute significantly to the tot</w:t>
      </w:r>
      <w:r w:rsidR="00103B31" w:rsidRPr="00352EBC">
        <w:rPr>
          <w:rFonts w:cstheme="minorHAnsi"/>
          <w:lang w:val="en-US"/>
        </w:rPr>
        <w:t xml:space="preserve">al amount of vehicle emissions, posing </w:t>
      </w:r>
      <w:r w:rsidRPr="00352EBC">
        <w:rPr>
          <w:rFonts w:cstheme="minorHAnsi"/>
          <w:lang w:val="en-US"/>
        </w:rPr>
        <w:t>serious risk</w:t>
      </w:r>
      <w:r w:rsidR="00103B31" w:rsidRPr="00352EBC">
        <w:rPr>
          <w:rFonts w:cstheme="minorHAnsi"/>
          <w:lang w:val="en-US"/>
        </w:rPr>
        <w:t>s to</w:t>
      </w:r>
      <w:r w:rsidRPr="00352EBC">
        <w:rPr>
          <w:rFonts w:cstheme="minorHAnsi"/>
          <w:lang w:val="en-US"/>
        </w:rPr>
        <w:t xml:space="preserve"> </w:t>
      </w:r>
      <w:r w:rsidR="00103B31" w:rsidRPr="00352EBC">
        <w:rPr>
          <w:rFonts w:cstheme="minorHAnsi"/>
          <w:lang w:val="en-US"/>
        </w:rPr>
        <w:t xml:space="preserve">the </w:t>
      </w:r>
      <w:r w:rsidRPr="00352EBC">
        <w:rPr>
          <w:rFonts w:cstheme="minorHAnsi"/>
          <w:lang w:val="en-US"/>
        </w:rPr>
        <w:t>human heal</w:t>
      </w:r>
      <w:r w:rsidR="00103B31" w:rsidRPr="00352EBC">
        <w:rPr>
          <w:rFonts w:cstheme="minorHAnsi"/>
          <w:lang w:val="en-US"/>
        </w:rPr>
        <w:t>th and air quality.</w:t>
      </w:r>
    </w:p>
    <w:p w14:paraId="000A88DC" w14:textId="77777777" w:rsidR="00CA1982" w:rsidRPr="00352EBC" w:rsidRDefault="00CA1982" w:rsidP="00CA1982">
      <w:pPr>
        <w:autoSpaceDE w:val="0"/>
        <w:autoSpaceDN w:val="0"/>
        <w:adjustRightInd w:val="0"/>
        <w:spacing w:after="0" w:line="240" w:lineRule="auto"/>
        <w:rPr>
          <w:rFonts w:cstheme="minorHAnsi"/>
          <w:lang w:val="en-US"/>
        </w:rPr>
      </w:pPr>
    </w:p>
    <w:p w14:paraId="2F3102C4" w14:textId="77777777" w:rsidR="00CA1982" w:rsidRPr="00352EBC" w:rsidRDefault="00CA1982" w:rsidP="00CA1982">
      <w:pPr>
        <w:autoSpaceDE w:val="0"/>
        <w:autoSpaceDN w:val="0"/>
        <w:adjustRightInd w:val="0"/>
        <w:spacing w:after="0" w:line="240" w:lineRule="auto"/>
        <w:rPr>
          <w:rFonts w:cstheme="minorHAnsi"/>
          <w:lang w:val="en-US"/>
        </w:rPr>
      </w:pPr>
    </w:p>
    <w:p w14:paraId="0643DE71" w14:textId="77777777" w:rsidR="00CA1982" w:rsidRPr="00352EBC" w:rsidRDefault="00CA1982" w:rsidP="00CA1982">
      <w:pPr>
        <w:autoSpaceDE w:val="0"/>
        <w:autoSpaceDN w:val="0"/>
        <w:adjustRightInd w:val="0"/>
        <w:spacing w:after="0" w:line="240" w:lineRule="auto"/>
        <w:rPr>
          <w:rFonts w:cstheme="minorHAnsi"/>
          <w:b/>
          <w:lang w:val="en-US"/>
        </w:rPr>
      </w:pPr>
      <w:r w:rsidRPr="00352EBC">
        <w:rPr>
          <w:rFonts w:cstheme="minorHAnsi"/>
          <w:b/>
          <w:lang w:val="en-US"/>
        </w:rPr>
        <w:t>Direction of possible solution to enable lifetime compliance</w:t>
      </w:r>
    </w:p>
    <w:p w14:paraId="74B94FDE" w14:textId="77777777" w:rsidR="00CA1982" w:rsidRPr="00352EBC" w:rsidRDefault="00CA1982" w:rsidP="00CA1982">
      <w:pPr>
        <w:autoSpaceDE w:val="0"/>
        <w:autoSpaceDN w:val="0"/>
        <w:adjustRightInd w:val="0"/>
        <w:spacing w:after="0" w:line="240" w:lineRule="auto"/>
        <w:rPr>
          <w:rFonts w:cstheme="minorHAnsi"/>
          <w:lang w:val="en-US"/>
        </w:rPr>
      </w:pPr>
      <w:r w:rsidRPr="00352EBC">
        <w:rPr>
          <w:rFonts w:cstheme="minorHAnsi"/>
          <w:lang w:val="en-US"/>
        </w:rPr>
        <w:t>A direct and continuous monitoring of emissions through OBD and OBM enables the lifetime compliance with emission norms, as it regularly provides feedback regarding the need for maintenance.</w:t>
      </w:r>
    </w:p>
    <w:p w14:paraId="0439E80B" w14:textId="77777777" w:rsidR="00CA1982" w:rsidRPr="00352EBC" w:rsidRDefault="00CA1982" w:rsidP="00CA1982">
      <w:pPr>
        <w:autoSpaceDE w:val="0"/>
        <w:autoSpaceDN w:val="0"/>
        <w:adjustRightInd w:val="0"/>
        <w:spacing w:after="0" w:line="240" w:lineRule="auto"/>
        <w:rPr>
          <w:rFonts w:cstheme="minorHAnsi"/>
          <w:lang w:val="en-US"/>
        </w:rPr>
      </w:pPr>
      <w:r w:rsidRPr="00352EBC">
        <w:rPr>
          <w:rFonts w:cstheme="minorHAnsi"/>
          <w:lang w:val="en-US"/>
        </w:rPr>
        <w:t xml:space="preserve">Another prerequisite for control of lifetime emission performance is a clear and unambiguous distribution of responsibility. A car manufacturer should never be made responsible for bad maintenance by the vehicle owner. Nevertheless, the manufacturer can be made responsible for detection of overdue maintenance or malfunction of the vehicle emission reduction system. The technology required to detect malfunctioning is already present in modern vehicles. If the responsibility is settled, this instrument can be used when emission performance requirements are extended to the full vehicle lifetime. </w:t>
      </w:r>
    </w:p>
    <w:p w14:paraId="3C87B328" w14:textId="77777777" w:rsidR="00C366E7" w:rsidRPr="00352EBC" w:rsidRDefault="00C366E7" w:rsidP="00CA1982">
      <w:pPr>
        <w:autoSpaceDE w:val="0"/>
        <w:autoSpaceDN w:val="0"/>
        <w:adjustRightInd w:val="0"/>
        <w:spacing w:after="0" w:line="240" w:lineRule="auto"/>
        <w:rPr>
          <w:rFonts w:cstheme="minorHAnsi"/>
          <w:lang w:val="en-US"/>
        </w:rPr>
      </w:pPr>
    </w:p>
    <w:p w14:paraId="3CF0D21C" w14:textId="77777777" w:rsidR="00CA1982" w:rsidRPr="00352EBC" w:rsidRDefault="00CA1982" w:rsidP="00CA1982">
      <w:pPr>
        <w:autoSpaceDE w:val="0"/>
        <w:autoSpaceDN w:val="0"/>
        <w:adjustRightInd w:val="0"/>
        <w:spacing w:after="0" w:line="240" w:lineRule="auto"/>
        <w:rPr>
          <w:rFonts w:cstheme="minorHAnsi"/>
          <w:lang w:val="en-US"/>
        </w:rPr>
      </w:pPr>
      <w:proofErr w:type="gramStart"/>
      <w:r w:rsidRPr="00352EBC">
        <w:rPr>
          <w:rFonts w:cstheme="minorHAnsi"/>
          <w:lang w:val="en-US"/>
        </w:rPr>
        <w:t>Life time</w:t>
      </w:r>
      <w:proofErr w:type="gramEnd"/>
      <w:r w:rsidRPr="00352EBC">
        <w:rPr>
          <w:rFonts w:cstheme="minorHAnsi"/>
          <w:lang w:val="en-US"/>
        </w:rPr>
        <w:t xml:space="preserve"> compliance can be achieved by lifting the current lifetime and durability restrictions in the emission legislation, particularly if fair aging factors are introduced. If the vehicle indicates the performance of the emission control system, </w:t>
      </w:r>
      <w:r w:rsidR="00103B31" w:rsidRPr="00352EBC">
        <w:rPr>
          <w:rFonts w:cstheme="minorHAnsi"/>
          <w:lang w:val="en-US"/>
        </w:rPr>
        <w:t xml:space="preserve">emission standards can be better </w:t>
      </w:r>
      <w:r w:rsidRPr="00352EBC">
        <w:rPr>
          <w:rFonts w:cstheme="minorHAnsi"/>
          <w:lang w:val="en-US"/>
        </w:rPr>
        <w:t>enforce</w:t>
      </w:r>
      <w:r w:rsidR="00103B31" w:rsidRPr="00352EBC">
        <w:rPr>
          <w:rFonts w:cstheme="minorHAnsi"/>
          <w:lang w:val="en-US"/>
        </w:rPr>
        <w:t>d</w:t>
      </w:r>
      <w:r w:rsidR="0071677A" w:rsidRPr="00352EBC">
        <w:rPr>
          <w:rFonts w:cstheme="minorHAnsi"/>
          <w:lang w:val="en-US"/>
        </w:rPr>
        <w:t>, especially if such is complemented</w:t>
      </w:r>
      <w:r w:rsidR="00103B31" w:rsidRPr="00352EBC">
        <w:rPr>
          <w:rFonts w:cstheme="minorHAnsi"/>
          <w:lang w:val="en-US"/>
        </w:rPr>
        <w:t xml:space="preserve"> with </w:t>
      </w:r>
      <w:r w:rsidRPr="00352EBC">
        <w:rPr>
          <w:rFonts w:cstheme="minorHAnsi"/>
          <w:lang w:val="en-US"/>
        </w:rPr>
        <w:t>in-service conformity (ISC), market surveillance and perio</w:t>
      </w:r>
      <w:r w:rsidR="00103B31" w:rsidRPr="00352EBC">
        <w:rPr>
          <w:rFonts w:cstheme="minorHAnsi"/>
          <w:lang w:val="en-US"/>
        </w:rPr>
        <w:t>di</w:t>
      </w:r>
      <w:r w:rsidR="0071677A" w:rsidRPr="00352EBC">
        <w:rPr>
          <w:rFonts w:cstheme="minorHAnsi"/>
          <w:lang w:val="en-US"/>
        </w:rPr>
        <w:t>c technical inspections (PTI)</w:t>
      </w:r>
      <w:r w:rsidRPr="00352EBC">
        <w:rPr>
          <w:rFonts w:cstheme="minorHAnsi"/>
          <w:lang w:val="en-US"/>
        </w:rPr>
        <w:t xml:space="preserve">. </w:t>
      </w:r>
    </w:p>
    <w:p w14:paraId="7DB94812" w14:textId="77777777" w:rsidR="00CA1982" w:rsidRPr="00352EBC" w:rsidRDefault="00CA1982" w:rsidP="009636F3">
      <w:pPr>
        <w:autoSpaceDE w:val="0"/>
        <w:autoSpaceDN w:val="0"/>
        <w:adjustRightInd w:val="0"/>
        <w:spacing w:after="0" w:line="240" w:lineRule="auto"/>
        <w:rPr>
          <w:rFonts w:cstheme="minorHAnsi"/>
          <w:b/>
          <w:lang w:val="en-US"/>
        </w:rPr>
      </w:pPr>
    </w:p>
    <w:sectPr w:rsidR="00CA1982" w:rsidRPr="00352EB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FF25" w14:textId="77777777" w:rsidR="000E7CEC" w:rsidRDefault="000E7CEC" w:rsidP="000E7CEC">
      <w:pPr>
        <w:spacing w:after="0" w:line="240" w:lineRule="auto"/>
      </w:pPr>
      <w:r>
        <w:separator/>
      </w:r>
    </w:p>
  </w:endnote>
  <w:endnote w:type="continuationSeparator" w:id="0">
    <w:p w14:paraId="5ED4290B" w14:textId="77777777" w:rsidR="000E7CEC" w:rsidRDefault="000E7CEC" w:rsidP="000E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4256F" w14:textId="77777777" w:rsidR="000E7CEC" w:rsidRDefault="000E7CEC" w:rsidP="000E7CEC">
      <w:pPr>
        <w:spacing w:after="0" w:line="240" w:lineRule="auto"/>
      </w:pPr>
      <w:r>
        <w:separator/>
      </w:r>
    </w:p>
  </w:footnote>
  <w:footnote w:type="continuationSeparator" w:id="0">
    <w:p w14:paraId="7B23C6EE" w14:textId="77777777" w:rsidR="000E7CEC" w:rsidRDefault="000E7CEC" w:rsidP="000E7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415"/>
      <w:gridCol w:w="4611"/>
    </w:tblGrid>
    <w:tr w:rsidR="000E7CEC" w:rsidRPr="000E7CEC" w14:paraId="3869779D" w14:textId="77777777" w:rsidTr="001C26F4">
      <w:tc>
        <w:tcPr>
          <w:tcW w:w="4927" w:type="dxa"/>
          <w:tcBorders>
            <w:top w:val="nil"/>
            <w:left w:val="nil"/>
            <w:bottom w:val="nil"/>
            <w:right w:val="nil"/>
          </w:tcBorders>
        </w:tcPr>
        <w:p w14:paraId="662941B9" w14:textId="06B9E81B" w:rsidR="000E7CEC" w:rsidRPr="000E7CEC" w:rsidRDefault="000E7CEC" w:rsidP="000E7CEC">
          <w:pPr>
            <w:tabs>
              <w:tab w:val="center" w:pos="4680"/>
              <w:tab w:val="right" w:pos="9360"/>
            </w:tabs>
            <w:spacing w:line="240" w:lineRule="auto"/>
            <w:rPr>
              <w:b/>
            </w:rPr>
          </w:pPr>
          <w:r w:rsidRPr="000E7CEC">
            <w:t xml:space="preserve">Transmitted by the </w:t>
          </w:r>
          <w:r>
            <w:t>experts from the Netherlands</w:t>
          </w:r>
        </w:p>
      </w:tc>
      <w:tc>
        <w:tcPr>
          <w:tcW w:w="4928" w:type="dxa"/>
          <w:tcBorders>
            <w:top w:val="nil"/>
            <w:left w:val="nil"/>
            <w:bottom w:val="nil"/>
            <w:right w:val="nil"/>
          </w:tcBorders>
        </w:tcPr>
        <w:p w14:paraId="57CB3A4F" w14:textId="41BDB9B8" w:rsidR="000E7CEC" w:rsidRPr="000E7CEC" w:rsidRDefault="000E7CEC" w:rsidP="000E7CEC">
          <w:pPr>
            <w:tabs>
              <w:tab w:val="center" w:pos="4680"/>
              <w:tab w:val="right" w:pos="9360"/>
            </w:tabs>
            <w:spacing w:line="240" w:lineRule="auto"/>
            <w:ind w:left="1691"/>
            <w:rPr>
              <w:lang w:val="fr-CH"/>
            </w:rPr>
          </w:pPr>
          <w:r w:rsidRPr="000E7CEC">
            <w:rPr>
              <w:u w:val="single"/>
              <w:lang w:val="fr-CH"/>
            </w:rPr>
            <w:t>Informal document</w:t>
          </w:r>
          <w:r w:rsidRPr="000E7CEC">
            <w:rPr>
              <w:lang w:val="fr-CH"/>
            </w:rPr>
            <w:t xml:space="preserve"> GRPE-83-2</w:t>
          </w:r>
          <w:r>
            <w:rPr>
              <w:lang w:val="fr-CH"/>
            </w:rPr>
            <w:t>5</w:t>
          </w:r>
        </w:p>
        <w:p w14:paraId="2A88DC51" w14:textId="77777777" w:rsidR="000E7CEC" w:rsidRPr="000E7CEC" w:rsidRDefault="000E7CEC" w:rsidP="000E7CEC">
          <w:pPr>
            <w:tabs>
              <w:tab w:val="center" w:pos="4680"/>
              <w:tab w:val="right" w:pos="9360"/>
            </w:tabs>
            <w:spacing w:line="240" w:lineRule="auto"/>
            <w:ind w:left="1691"/>
            <w:rPr>
              <w:b/>
              <w:lang w:val="fr-CH"/>
            </w:rPr>
          </w:pPr>
          <w:r w:rsidRPr="000E7CEC">
            <w:rPr>
              <w:lang w:val="fr-CH"/>
            </w:rPr>
            <w:t>83rd GRPE, 1-4 June 2021</w:t>
          </w:r>
        </w:p>
        <w:p w14:paraId="5F78CD51" w14:textId="03DF37C8" w:rsidR="000E7CEC" w:rsidRPr="000E7CEC" w:rsidRDefault="000E7CEC" w:rsidP="000E7CEC">
          <w:pPr>
            <w:tabs>
              <w:tab w:val="center" w:pos="4680"/>
              <w:tab w:val="right" w:pos="9360"/>
            </w:tabs>
            <w:spacing w:line="240" w:lineRule="auto"/>
            <w:ind w:left="1691"/>
            <w:rPr>
              <w:b/>
            </w:rPr>
          </w:pPr>
          <w:r w:rsidRPr="000E7CEC">
            <w:t>Agenda item 1</w:t>
          </w:r>
          <w:r>
            <w:t>3</w:t>
          </w:r>
        </w:p>
      </w:tc>
    </w:tr>
  </w:tbl>
  <w:p w14:paraId="411E9E0C" w14:textId="77777777" w:rsidR="000E7CEC" w:rsidRPr="000E7CEC" w:rsidRDefault="000E7CEC" w:rsidP="000E7CEC">
    <w:pPr>
      <w:pBdr>
        <w:bottom w:val="single" w:sz="4" w:space="1" w:color="auto"/>
      </w:pBdr>
      <w:tabs>
        <w:tab w:val="center" w:pos="4680"/>
        <w:tab w:val="right" w:pos="9360"/>
      </w:tabs>
      <w:spacing w:after="0" w:line="240" w:lineRule="auto"/>
      <w:rPr>
        <w:rFonts w:ascii="Calibri" w:eastAsia="Calibri" w:hAnsi="Calibri" w:cs="Arial"/>
        <w:b/>
        <w:lang w:val="en-GB" w:eastAsia="fr-FR"/>
      </w:rPr>
    </w:pPr>
  </w:p>
  <w:p w14:paraId="1CA5F373" w14:textId="77777777" w:rsidR="000E7CEC" w:rsidRDefault="000E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A38"/>
    <w:multiLevelType w:val="hybridMultilevel"/>
    <w:tmpl w:val="0062E7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1625C24"/>
    <w:multiLevelType w:val="hybridMultilevel"/>
    <w:tmpl w:val="41B88C48"/>
    <w:lvl w:ilvl="0" w:tplc="62FCE6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F3"/>
    <w:rsid w:val="000158E5"/>
    <w:rsid w:val="000E7CEC"/>
    <w:rsid w:val="00103B31"/>
    <w:rsid w:val="0017515A"/>
    <w:rsid w:val="00352EBC"/>
    <w:rsid w:val="003A082C"/>
    <w:rsid w:val="004D7F35"/>
    <w:rsid w:val="00692BD4"/>
    <w:rsid w:val="0071677A"/>
    <w:rsid w:val="00764B0E"/>
    <w:rsid w:val="0077170B"/>
    <w:rsid w:val="007E3FA2"/>
    <w:rsid w:val="00813C53"/>
    <w:rsid w:val="008C7E03"/>
    <w:rsid w:val="009636F3"/>
    <w:rsid w:val="009949F5"/>
    <w:rsid w:val="00A541A2"/>
    <w:rsid w:val="00B70CF2"/>
    <w:rsid w:val="00BD6DD9"/>
    <w:rsid w:val="00BF4C9B"/>
    <w:rsid w:val="00C366E7"/>
    <w:rsid w:val="00C776C5"/>
    <w:rsid w:val="00CA1982"/>
    <w:rsid w:val="00DC25A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0E2B2"/>
  <w15:chartTrackingRefBased/>
  <w15:docId w15:val="{06BDAF37-9C00-4B07-8F3C-F58C063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82"/>
    <w:pPr>
      <w:ind w:left="720"/>
      <w:contextualSpacing/>
    </w:pPr>
  </w:style>
  <w:style w:type="paragraph" w:styleId="BalloonText">
    <w:name w:val="Balloon Text"/>
    <w:basedOn w:val="Normal"/>
    <w:link w:val="BalloonTextChar"/>
    <w:uiPriority w:val="99"/>
    <w:semiHidden/>
    <w:unhideWhenUsed/>
    <w:rsid w:val="0035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BC"/>
    <w:rPr>
      <w:rFonts w:ascii="Segoe UI" w:hAnsi="Segoe UI" w:cs="Segoe UI"/>
      <w:sz w:val="18"/>
      <w:szCs w:val="18"/>
    </w:rPr>
  </w:style>
  <w:style w:type="paragraph" w:styleId="Header">
    <w:name w:val="header"/>
    <w:basedOn w:val="Normal"/>
    <w:link w:val="HeaderChar"/>
    <w:uiPriority w:val="99"/>
    <w:unhideWhenUsed/>
    <w:rsid w:val="000E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CEC"/>
  </w:style>
  <w:style w:type="paragraph" w:styleId="Footer">
    <w:name w:val="footer"/>
    <w:basedOn w:val="Normal"/>
    <w:link w:val="FooterChar"/>
    <w:uiPriority w:val="99"/>
    <w:unhideWhenUsed/>
    <w:rsid w:val="000E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CEC"/>
  </w:style>
  <w:style w:type="table" w:styleId="TableGrid">
    <w:name w:val="Table Grid"/>
    <w:basedOn w:val="TableNormal"/>
    <w:rsid w:val="000E7CE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CE9F5-99AB-4EB0-9A10-D288DF6F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93F40-6E94-4E97-BBAE-8E07581B9CDD}">
  <ds:schemaRefs>
    <ds:schemaRef ds:uri="http://schemas.microsoft.com/sharepoint/v3/contenttype/forms"/>
  </ds:schemaRefs>
</ds:datastoreItem>
</file>

<file path=customXml/itemProps3.xml><?xml version="1.0" encoding="utf-8"?>
<ds:datastoreItem xmlns:ds="http://schemas.openxmlformats.org/officeDocument/2006/customXml" ds:itemID="{FE47A815-D081-43C5-8347-40D6068361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RDW</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Rijnders, André</dc:creator>
  <cp:keywords/>
  <dc:description/>
  <cp:lastModifiedBy>Francois Cuenot</cp:lastModifiedBy>
  <cp:revision>2</cp:revision>
  <cp:lastPrinted>2021-06-02T13:32:00Z</cp:lastPrinted>
  <dcterms:created xsi:type="dcterms:W3CDTF">2021-06-02T15:22:00Z</dcterms:created>
  <dcterms:modified xsi:type="dcterms:W3CDTF">2021-06-02T15:22:00Z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