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717266" w14:paraId="16F27F36" w14:textId="77777777" w:rsidTr="000D1B89">
        <w:trPr>
          <w:cantSplit/>
          <w:trHeight w:hRule="exact" w:val="851"/>
        </w:trPr>
        <w:tc>
          <w:tcPr>
            <w:tcW w:w="1276" w:type="dxa"/>
            <w:tcBorders>
              <w:bottom w:val="single" w:sz="4" w:space="0" w:color="auto"/>
            </w:tcBorders>
            <w:vAlign w:val="bottom"/>
          </w:tcPr>
          <w:p w14:paraId="4617AC03" w14:textId="77777777" w:rsidR="00717266" w:rsidRDefault="00717266" w:rsidP="000D1B89">
            <w:pPr>
              <w:spacing w:after="80"/>
            </w:pPr>
          </w:p>
        </w:tc>
        <w:tc>
          <w:tcPr>
            <w:tcW w:w="2268" w:type="dxa"/>
            <w:tcBorders>
              <w:bottom w:val="single" w:sz="4" w:space="0" w:color="auto"/>
            </w:tcBorders>
            <w:vAlign w:val="bottom"/>
          </w:tcPr>
          <w:p w14:paraId="152EC6C3" w14:textId="77777777" w:rsidR="00717266" w:rsidRPr="00B97172" w:rsidRDefault="00717266" w:rsidP="000D1B89">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3E8BDEE3" w14:textId="77777777" w:rsidR="00717266" w:rsidRPr="00D47EEA" w:rsidRDefault="008138CE" w:rsidP="008138CE">
            <w:pPr>
              <w:suppressAutoHyphens w:val="0"/>
              <w:spacing w:after="20"/>
              <w:jc w:val="right"/>
            </w:pPr>
            <w:r w:rsidRPr="008138CE">
              <w:rPr>
                <w:sz w:val="40"/>
              </w:rPr>
              <w:t>ECE</w:t>
            </w:r>
            <w:r>
              <w:t>/TRANS/WP.15/AC.2/2021/16</w:t>
            </w:r>
          </w:p>
        </w:tc>
      </w:tr>
      <w:tr w:rsidR="00717266" w14:paraId="4E200267" w14:textId="77777777" w:rsidTr="000D1B89">
        <w:trPr>
          <w:cantSplit/>
          <w:trHeight w:hRule="exact" w:val="2835"/>
        </w:trPr>
        <w:tc>
          <w:tcPr>
            <w:tcW w:w="1276" w:type="dxa"/>
            <w:tcBorders>
              <w:top w:val="single" w:sz="4" w:space="0" w:color="auto"/>
              <w:bottom w:val="single" w:sz="12" w:space="0" w:color="auto"/>
            </w:tcBorders>
          </w:tcPr>
          <w:p w14:paraId="7006FECD" w14:textId="77777777" w:rsidR="00717266" w:rsidRDefault="00717266" w:rsidP="000D1B89">
            <w:pPr>
              <w:spacing w:before="120"/>
            </w:pPr>
            <w:r>
              <w:rPr>
                <w:noProof/>
                <w:lang w:val="fr-CH" w:eastAsia="fr-CH"/>
              </w:rPr>
              <w:drawing>
                <wp:inline distT="0" distB="0" distL="0" distR="0" wp14:anchorId="6AD2E70B" wp14:editId="37F68583">
                  <wp:extent cx="714375" cy="590550"/>
                  <wp:effectExtent l="0" t="0" r="9525" b="0"/>
                  <wp:docPr id="1" name="Picture 1" descr="United N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5769E38D" w14:textId="77777777" w:rsidR="00717266" w:rsidRPr="00D773DF" w:rsidRDefault="00717266" w:rsidP="000D1B89">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144B736A" w14:textId="77777777" w:rsidR="00717266" w:rsidRDefault="008138CE" w:rsidP="008138CE">
            <w:pPr>
              <w:spacing w:before="240"/>
            </w:pPr>
            <w:r>
              <w:t>Distr.: General</w:t>
            </w:r>
          </w:p>
          <w:p w14:paraId="2D975F28" w14:textId="77777777" w:rsidR="008138CE" w:rsidRDefault="008138CE" w:rsidP="008138CE">
            <w:pPr>
              <w:suppressAutoHyphens w:val="0"/>
            </w:pPr>
            <w:r>
              <w:t>1 April 2021</w:t>
            </w:r>
          </w:p>
          <w:p w14:paraId="232A5D78" w14:textId="1E4F540F" w:rsidR="008138CE" w:rsidRDefault="00F30089" w:rsidP="008138CE">
            <w:pPr>
              <w:suppressAutoHyphens w:val="0"/>
            </w:pPr>
            <w:r>
              <w:t>English</w:t>
            </w:r>
          </w:p>
          <w:p w14:paraId="2B509990" w14:textId="77777777" w:rsidR="008138CE" w:rsidRDefault="008138CE" w:rsidP="008138CE">
            <w:pPr>
              <w:suppressAutoHyphens w:val="0"/>
            </w:pPr>
            <w:r>
              <w:t>Original: French</w:t>
            </w:r>
          </w:p>
        </w:tc>
      </w:tr>
    </w:tbl>
    <w:p w14:paraId="50F1588C" w14:textId="77777777" w:rsidR="00F30089" w:rsidRPr="00547AD0" w:rsidRDefault="00F30089" w:rsidP="00F30089">
      <w:pPr>
        <w:spacing w:before="120"/>
        <w:rPr>
          <w:rFonts w:asciiTheme="majorBidi" w:hAnsiTheme="majorBidi" w:cstheme="majorBidi"/>
          <w:b/>
          <w:sz w:val="28"/>
          <w:szCs w:val="28"/>
        </w:rPr>
      </w:pPr>
      <w:r w:rsidRPr="00547AD0">
        <w:rPr>
          <w:rFonts w:asciiTheme="majorBidi" w:hAnsiTheme="majorBidi" w:cstheme="majorBidi"/>
          <w:b/>
          <w:sz w:val="28"/>
          <w:szCs w:val="28"/>
        </w:rPr>
        <w:t>Economic Commission for Europe</w:t>
      </w:r>
    </w:p>
    <w:p w14:paraId="55DEC714" w14:textId="77777777" w:rsidR="00F30089" w:rsidRPr="00547AD0" w:rsidRDefault="00F30089" w:rsidP="00F30089">
      <w:pPr>
        <w:spacing w:before="120"/>
        <w:rPr>
          <w:rFonts w:asciiTheme="majorBidi" w:hAnsiTheme="majorBidi" w:cstheme="majorBidi"/>
          <w:sz w:val="28"/>
          <w:szCs w:val="28"/>
        </w:rPr>
      </w:pPr>
      <w:r w:rsidRPr="00547AD0">
        <w:rPr>
          <w:rFonts w:asciiTheme="majorBidi" w:hAnsiTheme="majorBidi" w:cstheme="majorBidi"/>
          <w:sz w:val="28"/>
          <w:szCs w:val="28"/>
        </w:rPr>
        <w:t>Inland Transport Committee</w:t>
      </w:r>
    </w:p>
    <w:p w14:paraId="5E882A66" w14:textId="77777777" w:rsidR="00F30089" w:rsidRPr="00547AD0" w:rsidRDefault="00F30089" w:rsidP="00F30089">
      <w:pPr>
        <w:spacing w:before="120"/>
        <w:rPr>
          <w:rFonts w:asciiTheme="majorBidi" w:hAnsiTheme="majorBidi" w:cstheme="majorBidi"/>
          <w:b/>
          <w:sz w:val="24"/>
          <w:szCs w:val="24"/>
        </w:rPr>
      </w:pPr>
      <w:r w:rsidRPr="00547AD0">
        <w:rPr>
          <w:rFonts w:asciiTheme="majorBidi" w:hAnsiTheme="majorBidi" w:cstheme="majorBidi"/>
          <w:b/>
          <w:sz w:val="24"/>
          <w:szCs w:val="24"/>
        </w:rPr>
        <w:t>Working Party on the Transport of Dangerous Goods</w:t>
      </w:r>
    </w:p>
    <w:p w14:paraId="28CF669E" w14:textId="77777777" w:rsidR="00F30089" w:rsidRPr="00547AD0" w:rsidRDefault="00F30089" w:rsidP="00F30089">
      <w:pPr>
        <w:spacing w:before="120"/>
        <w:rPr>
          <w:rFonts w:asciiTheme="majorBidi" w:hAnsiTheme="majorBidi" w:cstheme="majorBidi"/>
          <w:b/>
        </w:rPr>
      </w:pPr>
      <w:r w:rsidRPr="00547AD0">
        <w:rPr>
          <w:rFonts w:asciiTheme="majorBidi" w:hAnsiTheme="majorBidi" w:cstheme="majorBidi"/>
          <w:b/>
        </w:rPr>
        <w:t xml:space="preserve">Joint Meeting of Experts on the Regulations annexed to the </w:t>
      </w:r>
      <w:r w:rsidRPr="00547AD0">
        <w:rPr>
          <w:rFonts w:asciiTheme="majorBidi" w:hAnsiTheme="majorBidi" w:cstheme="majorBidi"/>
          <w:b/>
        </w:rPr>
        <w:br/>
        <w:t xml:space="preserve">European Agreement concerning the International Carriage </w:t>
      </w:r>
      <w:r w:rsidRPr="00547AD0">
        <w:rPr>
          <w:rFonts w:asciiTheme="majorBidi" w:hAnsiTheme="majorBidi" w:cstheme="majorBidi"/>
          <w:b/>
        </w:rPr>
        <w:br/>
        <w:t>of Dangerous Goods by Inland Waterways (ADN)</w:t>
      </w:r>
    </w:p>
    <w:p w14:paraId="37A093E4" w14:textId="77777777" w:rsidR="00F30089" w:rsidRPr="00547AD0" w:rsidRDefault="00F30089" w:rsidP="00F30089">
      <w:pPr>
        <w:rPr>
          <w:rFonts w:asciiTheme="majorBidi" w:hAnsiTheme="majorBidi" w:cstheme="majorBidi"/>
          <w:b/>
        </w:rPr>
      </w:pPr>
      <w:r w:rsidRPr="00547AD0">
        <w:rPr>
          <w:rFonts w:asciiTheme="majorBidi" w:hAnsiTheme="majorBidi" w:cstheme="majorBidi"/>
          <w:b/>
        </w:rPr>
        <w:t>(ADN Safety Committee)</w:t>
      </w:r>
    </w:p>
    <w:p w14:paraId="26565929" w14:textId="77777777" w:rsidR="00F30089" w:rsidRPr="00547AD0" w:rsidRDefault="00F30089" w:rsidP="00F30089">
      <w:pPr>
        <w:spacing w:before="120"/>
        <w:rPr>
          <w:rFonts w:asciiTheme="majorBidi" w:hAnsiTheme="majorBidi" w:cstheme="majorBidi"/>
          <w:b/>
        </w:rPr>
      </w:pPr>
      <w:r w:rsidRPr="00547AD0">
        <w:rPr>
          <w:rFonts w:asciiTheme="majorBidi" w:hAnsiTheme="majorBidi" w:cstheme="majorBidi"/>
          <w:b/>
        </w:rPr>
        <w:t>Thirty-eighth session</w:t>
      </w:r>
    </w:p>
    <w:p w14:paraId="59A750BC" w14:textId="77777777" w:rsidR="00F30089" w:rsidRPr="00547AD0" w:rsidRDefault="00F30089" w:rsidP="00F30089">
      <w:pPr>
        <w:rPr>
          <w:rFonts w:asciiTheme="majorBidi" w:hAnsiTheme="majorBidi" w:cstheme="majorBidi"/>
        </w:rPr>
      </w:pPr>
      <w:r w:rsidRPr="00547AD0">
        <w:rPr>
          <w:rFonts w:asciiTheme="majorBidi" w:hAnsiTheme="majorBidi" w:cstheme="majorBidi"/>
        </w:rPr>
        <w:t>Geneva, 23–27 August 2021</w:t>
      </w:r>
    </w:p>
    <w:p w14:paraId="02D12A25" w14:textId="77777777" w:rsidR="00F30089" w:rsidRPr="00547AD0" w:rsidRDefault="00F30089" w:rsidP="00F30089">
      <w:pPr>
        <w:rPr>
          <w:rFonts w:asciiTheme="majorBidi" w:hAnsiTheme="majorBidi" w:cstheme="majorBidi"/>
          <w:lang w:val="en-US"/>
        </w:rPr>
      </w:pPr>
      <w:r w:rsidRPr="00547AD0">
        <w:rPr>
          <w:rFonts w:asciiTheme="majorBidi" w:hAnsiTheme="majorBidi" w:cstheme="majorBidi"/>
          <w:lang w:val="en-US"/>
        </w:rPr>
        <w:t>Item 4 (b) of the provisional agenda</w:t>
      </w:r>
    </w:p>
    <w:p w14:paraId="2D4A8BDC" w14:textId="77777777" w:rsidR="00F30089" w:rsidRPr="00547AD0" w:rsidRDefault="00F30089" w:rsidP="00F30089">
      <w:pPr>
        <w:rPr>
          <w:rFonts w:asciiTheme="majorBidi" w:hAnsiTheme="majorBidi" w:cstheme="majorBidi"/>
          <w:b/>
          <w:bCs/>
          <w:lang w:val="en-US"/>
        </w:rPr>
      </w:pPr>
      <w:r w:rsidRPr="00547AD0">
        <w:rPr>
          <w:rFonts w:asciiTheme="majorBidi" w:hAnsiTheme="majorBidi" w:cstheme="majorBidi"/>
          <w:b/>
          <w:bCs/>
          <w:lang w:val="en-US"/>
        </w:rPr>
        <w:t xml:space="preserve">Proposals for amendments to the Regulations annexed to ADN: </w:t>
      </w:r>
      <w:r w:rsidRPr="00547AD0">
        <w:rPr>
          <w:rFonts w:asciiTheme="majorBidi" w:hAnsiTheme="majorBidi" w:cstheme="majorBidi"/>
          <w:b/>
          <w:bCs/>
          <w:lang w:val="en-US"/>
        </w:rPr>
        <w:br/>
        <w:t>Other proposals</w:t>
      </w:r>
    </w:p>
    <w:p w14:paraId="456AC75F" w14:textId="77777777" w:rsidR="00E13EA3" w:rsidRPr="00EB44FE" w:rsidRDefault="00E13EA3" w:rsidP="00D835B3">
      <w:pPr>
        <w:pStyle w:val="HChG"/>
      </w:pPr>
      <w:r w:rsidRPr="00EB44FE">
        <w:tab/>
      </w:r>
      <w:r w:rsidRPr="00EB44FE">
        <w:tab/>
        <w:t>Proposals for amendments</w:t>
      </w:r>
    </w:p>
    <w:p w14:paraId="2C6F58BC" w14:textId="56B0CAC9" w:rsidR="00E13EA3" w:rsidRPr="00EB44FE" w:rsidRDefault="00E13EA3" w:rsidP="00D835B3">
      <w:pPr>
        <w:pStyle w:val="H1G"/>
        <w:rPr>
          <w:rFonts w:eastAsiaTheme="minorEastAsia"/>
        </w:rPr>
      </w:pPr>
      <w:r w:rsidRPr="00EB44FE">
        <w:tab/>
      </w:r>
      <w:r w:rsidRPr="00EB44FE">
        <w:tab/>
        <w:t>Transmitted by the Danube Commission</w:t>
      </w:r>
      <w:r w:rsidRPr="00D835B3">
        <w:rPr>
          <w:b w:val="0"/>
          <w:bCs/>
          <w:sz w:val="20"/>
        </w:rPr>
        <w:footnoteReference w:customMarkFollows="1" w:id="1"/>
        <w:t>*</w:t>
      </w:r>
      <w:r w:rsidRPr="00D835B3">
        <w:rPr>
          <w:b w:val="0"/>
          <w:bCs/>
          <w:position w:val="8"/>
          <w:sz w:val="20"/>
        </w:rPr>
        <w:t>,</w:t>
      </w:r>
      <w:r w:rsidR="00D835B3" w:rsidRPr="00D835B3">
        <w:rPr>
          <w:b w:val="0"/>
          <w:bCs/>
          <w:sz w:val="20"/>
        </w:rPr>
        <w:t xml:space="preserve"> </w:t>
      </w:r>
      <w:r w:rsidRPr="00D835B3">
        <w:rPr>
          <w:b w:val="0"/>
          <w:bCs/>
          <w:sz w:val="20"/>
        </w:rPr>
        <w:footnoteReference w:customMarkFollows="1" w:id="2"/>
        <w:t>**</w:t>
      </w:r>
    </w:p>
    <w:p w14:paraId="46ABFA3D" w14:textId="77777777" w:rsidR="00E13EA3" w:rsidRPr="00EB44FE" w:rsidRDefault="00E13EA3" w:rsidP="00D835B3">
      <w:pPr>
        <w:pStyle w:val="HChG"/>
      </w:pPr>
      <w:r w:rsidRPr="00EB44FE">
        <w:tab/>
        <w:t>I.</w:t>
      </w:r>
      <w:r w:rsidRPr="00EB44FE">
        <w:tab/>
        <w:t>Proposals for amendments</w:t>
      </w:r>
    </w:p>
    <w:p w14:paraId="4EABDD1C" w14:textId="77777777" w:rsidR="00E13EA3" w:rsidRPr="00EB44FE" w:rsidRDefault="00E13EA3" w:rsidP="00E13EA3">
      <w:pPr>
        <w:pStyle w:val="SingleTxtG"/>
      </w:pPr>
      <w:r w:rsidRPr="00EB44FE">
        <w:t>1.</w:t>
      </w:r>
      <w:r w:rsidRPr="00EB44FE">
        <w:tab/>
        <w:t>The proposed amendments are marked in bold, italicized and underlined, with the text to be deleted struck through.</w:t>
      </w:r>
    </w:p>
    <w:p w14:paraId="324E6B0A" w14:textId="77777777" w:rsidR="00E13EA3" w:rsidRPr="00EB44FE" w:rsidRDefault="00E13EA3" w:rsidP="00D835B3">
      <w:pPr>
        <w:pStyle w:val="H23G"/>
      </w:pPr>
      <w:r w:rsidRPr="00EB44FE">
        <w:tab/>
        <w:t>(a)</w:t>
      </w:r>
      <w:r w:rsidRPr="00EB44FE">
        <w:tab/>
        <w:t xml:space="preserve">1.2.1, </w:t>
      </w:r>
      <w:r w:rsidRPr="009304FC">
        <w:rPr>
          <w:i/>
          <w:iCs/>
        </w:rPr>
        <w:t>Cargo tank type</w:t>
      </w:r>
      <w:r w:rsidRPr="00EB44FE">
        <w:t xml:space="preserve"> (d):</w:t>
      </w:r>
    </w:p>
    <w:p w14:paraId="056D3FBE" w14:textId="22632842" w:rsidR="00E13EA3" w:rsidRPr="00EB44FE" w:rsidRDefault="00655EC3" w:rsidP="00E13EA3">
      <w:pPr>
        <w:pStyle w:val="SingleTxtG"/>
      </w:pPr>
      <w:r>
        <w:t>“</w:t>
      </w:r>
      <w:r w:rsidR="00E13EA3" w:rsidRPr="00B76CAD">
        <w:rPr>
          <w:i/>
          <w:iCs/>
        </w:rPr>
        <w:t>Membrane tank</w:t>
      </w:r>
      <w:r w:rsidR="00E13EA3" w:rsidRPr="00EB44FE">
        <w:t xml:space="preserve"> means a cargo tank which consists of a thin liquid-tight and gastight layer (membrane) and insulation supported by the adjacent inner hull </w:t>
      </w:r>
      <w:r w:rsidR="00E13EA3" w:rsidRPr="00B76CAD">
        <w:rPr>
          <w:b/>
          <w:bCs/>
          <w:i/>
          <w:iCs/>
          <w:u w:val="single"/>
        </w:rPr>
        <w:t>for a double-walled and double bottom vessel</w:t>
      </w:r>
      <w:r w:rsidR="00B76CAD">
        <w:t xml:space="preserve"> </w:t>
      </w:r>
      <w:r w:rsidR="00E13EA3" w:rsidRPr="00B76CAD">
        <w:rPr>
          <w:strike/>
        </w:rPr>
        <w:t>and inner bottom structure of a double hull vessel</w:t>
      </w:r>
      <w:r w:rsidR="00E13EA3" w:rsidRPr="00EB44FE">
        <w:t>.</w:t>
      </w:r>
      <w:r>
        <w:t>”</w:t>
      </w:r>
    </w:p>
    <w:p w14:paraId="4B331F15" w14:textId="76D966D4" w:rsidR="00E13EA3" w:rsidRPr="00EB44FE" w:rsidRDefault="00E13EA3" w:rsidP="00E13EA3">
      <w:pPr>
        <w:pStyle w:val="SingleTxtG"/>
      </w:pPr>
      <w:r w:rsidRPr="00EB44FE">
        <w:t xml:space="preserve">Justification: In accordance with the requirements of classification societies (e.g. the Russian River Register), the structure of a vessel includes double walls and a double bottom. The concept of a </w:t>
      </w:r>
      <w:r w:rsidR="00655EC3">
        <w:t>“</w:t>
      </w:r>
      <w:r w:rsidRPr="00EB44FE">
        <w:t>double hull</w:t>
      </w:r>
      <w:r w:rsidR="00655EC3">
        <w:t>”</w:t>
      </w:r>
      <w:r w:rsidRPr="00EB44FE">
        <w:t xml:space="preserve"> could be explained separately, from a technical point of view, in 1.2.1, </w:t>
      </w:r>
      <w:r w:rsidRPr="007D13C3">
        <w:rPr>
          <w:i/>
          <w:iCs/>
        </w:rPr>
        <w:t>Cargo tank type</w:t>
      </w:r>
      <w:r w:rsidRPr="00EB44FE">
        <w:t xml:space="preserve"> (d).</w:t>
      </w:r>
    </w:p>
    <w:p w14:paraId="033C5847" w14:textId="77777777" w:rsidR="00E13EA3" w:rsidRPr="00EB44FE" w:rsidRDefault="00E13EA3" w:rsidP="007D13C3">
      <w:pPr>
        <w:pStyle w:val="H23G"/>
      </w:pPr>
      <w:r w:rsidRPr="00EB44FE">
        <w:tab/>
        <w:t>(b)</w:t>
      </w:r>
      <w:r w:rsidRPr="00EB44FE">
        <w:tab/>
        <w:t>9.3.1.18.1, last paragraph:</w:t>
      </w:r>
    </w:p>
    <w:p w14:paraId="3D1341A2" w14:textId="04E922C0" w:rsidR="00E13EA3" w:rsidRPr="00EB44FE" w:rsidRDefault="00655EC3" w:rsidP="00E13EA3">
      <w:pPr>
        <w:pStyle w:val="SingleTxtG"/>
      </w:pPr>
      <w:r>
        <w:t>“</w:t>
      </w:r>
      <w:r w:rsidR="00E13EA3" w:rsidRPr="00EB44FE">
        <w:t xml:space="preserve">When the pressure or the concentration of inert gas in the gaseous phase falls below a given value, this monitoring system shall activate an audible and visible alarm </w:t>
      </w:r>
      <w:r w:rsidR="00E13EA3" w:rsidRPr="007D13C3">
        <w:rPr>
          <w:strike/>
        </w:rPr>
        <w:t>in the wheelhouse</w:t>
      </w:r>
      <w:r w:rsidR="00E13EA3" w:rsidRPr="00EB44FE">
        <w:t xml:space="preserve"> </w:t>
      </w:r>
      <w:r w:rsidR="00E13EA3" w:rsidRPr="007D13C3">
        <w:rPr>
          <w:b/>
          <w:bCs/>
          <w:i/>
          <w:iCs/>
          <w:u w:val="single"/>
        </w:rPr>
        <w:t>in the control station in the engine room (or in the local control station)</w:t>
      </w:r>
      <w:r w:rsidR="00E13EA3" w:rsidRPr="00EB44FE">
        <w:t xml:space="preserve">. </w:t>
      </w:r>
      <w:r w:rsidR="00E13EA3" w:rsidRPr="00514341">
        <w:rPr>
          <w:strike/>
        </w:rPr>
        <w:t xml:space="preserve">When the wheelhouse is unoccupied, the alarm shall also be perceptible in a location occupied by a </w:t>
      </w:r>
      <w:r w:rsidR="00E13EA3" w:rsidRPr="00514341">
        <w:rPr>
          <w:strike/>
        </w:rPr>
        <w:lastRenderedPageBreak/>
        <w:t>crew member.</w:t>
      </w:r>
      <w:r w:rsidR="00E13EA3" w:rsidRPr="00EB44FE">
        <w:t xml:space="preserve"> </w:t>
      </w:r>
      <w:r w:rsidR="00E13EA3" w:rsidRPr="00514341">
        <w:rPr>
          <w:b/>
          <w:bCs/>
          <w:i/>
          <w:iCs/>
          <w:u w:val="single"/>
        </w:rPr>
        <w:t>In the event that the control station crew fails to respond, the alarm shall be perceptible in the wheelhouse.</w:t>
      </w:r>
      <w:r>
        <w:t>”</w:t>
      </w:r>
    </w:p>
    <w:p w14:paraId="26C9B348" w14:textId="736A67CE" w:rsidR="00E13EA3" w:rsidRPr="00EB44FE" w:rsidRDefault="00E13EA3" w:rsidP="00E13EA3">
      <w:pPr>
        <w:pStyle w:val="SingleTxtG"/>
      </w:pPr>
      <w:r w:rsidRPr="00EB44FE">
        <w:t>Justification: The wheelhouse is a hub for a large amount of information related primarily to the displacement of the vessel and the monitoring of signals. It is the opinion of the secretariat of the Danube Commission that, in the event that the pressure or the concentration of inert gas falls, the monitoring system should activate an alarm first in the local control station (or in the central control station in the engine room, depending on the vessel</w:t>
      </w:r>
      <w:r w:rsidR="00655EC3">
        <w:t>’</w:t>
      </w:r>
      <w:r w:rsidRPr="00EB44FE">
        <w:t>s design) and then in the wheelhouse.</w:t>
      </w:r>
    </w:p>
    <w:p w14:paraId="22EF89F4" w14:textId="77777777" w:rsidR="00E13EA3" w:rsidRPr="00EB44FE" w:rsidRDefault="00E13EA3" w:rsidP="001D7680">
      <w:pPr>
        <w:pStyle w:val="H23G"/>
      </w:pPr>
      <w:r w:rsidRPr="00EB44FE">
        <w:tab/>
        <w:t>(c)</w:t>
      </w:r>
      <w:r w:rsidRPr="00EB44FE">
        <w:tab/>
        <w:t>9.3.1.18.2, last paragraph:</w:t>
      </w:r>
    </w:p>
    <w:p w14:paraId="5A8C2357" w14:textId="7C7DF42C" w:rsidR="00E13EA3" w:rsidRPr="00EB44FE" w:rsidRDefault="00655EC3" w:rsidP="00E13EA3">
      <w:pPr>
        <w:pStyle w:val="SingleTxtG"/>
      </w:pPr>
      <w:r>
        <w:t>“</w:t>
      </w:r>
      <w:r w:rsidR="00E13EA3" w:rsidRPr="00EB44FE">
        <w:t xml:space="preserve">When the pressure, the temperature or the concentration of the inert gas falls below a given value, this monitoring system shall activate an audible and visible alarm </w:t>
      </w:r>
      <w:r w:rsidR="00E13EA3" w:rsidRPr="001D7680">
        <w:rPr>
          <w:strike/>
        </w:rPr>
        <w:t>in the wheelhouse</w:t>
      </w:r>
      <w:r w:rsidR="00E13EA3" w:rsidRPr="00EB44FE">
        <w:t xml:space="preserve"> </w:t>
      </w:r>
      <w:r w:rsidR="00E13EA3" w:rsidRPr="001D7680">
        <w:rPr>
          <w:b/>
          <w:bCs/>
          <w:i/>
          <w:iCs/>
          <w:u w:val="single"/>
        </w:rPr>
        <w:t>in the control station in the engine room (or in the local control station)</w:t>
      </w:r>
      <w:r w:rsidR="00E13EA3" w:rsidRPr="00EB44FE">
        <w:t xml:space="preserve">. </w:t>
      </w:r>
      <w:r w:rsidR="00E13EA3" w:rsidRPr="00A92820">
        <w:rPr>
          <w:strike/>
        </w:rPr>
        <w:t>When the wheelhouse is unoccupied, the alarm shall also be perceptible in a location occupied by a crew member.</w:t>
      </w:r>
      <w:r w:rsidR="00E13EA3" w:rsidRPr="00EB44FE">
        <w:t xml:space="preserve"> </w:t>
      </w:r>
      <w:r w:rsidR="00E13EA3" w:rsidRPr="00A92820">
        <w:rPr>
          <w:b/>
          <w:bCs/>
          <w:i/>
          <w:iCs/>
          <w:u w:val="single"/>
        </w:rPr>
        <w:t>In the event that the control station crew fails to respond, the alarm shall be perceptible in the wheelhouse.</w:t>
      </w:r>
      <w:r>
        <w:t>”</w:t>
      </w:r>
    </w:p>
    <w:p w14:paraId="4D34A84E" w14:textId="77777777" w:rsidR="00E13EA3" w:rsidRPr="00EB44FE" w:rsidRDefault="00E13EA3" w:rsidP="00E13EA3">
      <w:pPr>
        <w:pStyle w:val="SingleTxtG"/>
      </w:pPr>
      <w:r w:rsidRPr="00EB44FE">
        <w:t>Justification: The last sentence of 9.3.1.18.1 and 9.3.1.18.2 requires that a warning device be installed in all locations in which a crew member is present. To eliminate such a situation, it is proposed that provision be made for an alarm to be activated by the monitoring system of the local control station in the event that the pressure or temperature falls and for a parallel alarm to be activated in the wheelhouse only in the event that a crew member fails to respond.</w:t>
      </w:r>
    </w:p>
    <w:p w14:paraId="7829A128" w14:textId="77777777" w:rsidR="00E13EA3" w:rsidRPr="00EB44FE" w:rsidRDefault="00E13EA3" w:rsidP="00E13EA3">
      <w:pPr>
        <w:pStyle w:val="SingleTxtG"/>
      </w:pPr>
      <w:r w:rsidRPr="00EB44FE">
        <w:t>It might be appropriate, for ease of understanding, to combine the last paragraphs of 9.3.1.18.1 and 9.3.1.18.2 into a single paragraph.</w:t>
      </w:r>
    </w:p>
    <w:p w14:paraId="70188027" w14:textId="77777777" w:rsidR="00E13EA3" w:rsidRPr="00EB44FE" w:rsidRDefault="00E13EA3" w:rsidP="00A92820">
      <w:pPr>
        <w:pStyle w:val="HChG"/>
      </w:pPr>
      <w:r w:rsidRPr="00EB44FE">
        <w:tab/>
        <w:t>II.</w:t>
      </w:r>
      <w:r w:rsidRPr="00EB44FE">
        <w:tab/>
        <w:t>Further action</w:t>
      </w:r>
    </w:p>
    <w:p w14:paraId="76F9457C" w14:textId="07293F00" w:rsidR="00E13EA3" w:rsidRDefault="00E13EA3" w:rsidP="00E13EA3">
      <w:pPr>
        <w:pStyle w:val="SingleTxtG"/>
      </w:pPr>
      <w:r w:rsidRPr="00EB44FE">
        <w:t>2.</w:t>
      </w:r>
      <w:r w:rsidRPr="00EB44FE">
        <w:tab/>
        <w:t>The secretariat of the Danube Commission requests the ADN Safety Committee to consider the above amendments, together with the justifications, and to take the measures it deems appropriate.</w:t>
      </w:r>
    </w:p>
    <w:p w14:paraId="5462864A" w14:textId="0F9998AC" w:rsidR="00A92820" w:rsidRPr="00EB44FE" w:rsidRDefault="00A92820" w:rsidP="00A92820">
      <w:pPr>
        <w:spacing w:before="240"/>
        <w:jc w:val="center"/>
      </w:pPr>
      <w:r w:rsidRPr="003E5C6C">
        <w:rPr>
          <w:u w:val="single"/>
          <w:lang w:val="fr-CH"/>
        </w:rPr>
        <w:tab/>
      </w:r>
      <w:r w:rsidRPr="003E5C6C">
        <w:rPr>
          <w:u w:val="single"/>
          <w:lang w:val="fr-CH"/>
        </w:rPr>
        <w:tab/>
      </w:r>
      <w:r w:rsidRPr="003E5C6C">
        <w:rPr>
          <w:u w:val="single"/>
          <w:lang w:val="fr-CH"/>
        </w:rPr>
        <w:tab/>
      </w:r>
    </w:p>
    <w:sectPr w:rsidR="00A92820" w:rsidRPr="00EB44FE" w:rsidSect="00587690">
      <w:headerReference w:type="even" r:id="rId9"/>
      <w:headerReference w:type="default" r:id="rId10"/>
      <w:footerReference w:type="even" r:id="rId11"/>
      <w:footerReference w:type="default" r:id="rId12"/>
      <w:footerReference w:type="firs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CB4697" w14:textId="77777777" w:rsidR="003C0C32" w:rsidRPr="00FB1744" w:rsidRDefault="003C0C32" w:rsidP="00FB1744">
      <w:pPr>
        <w:pStyle w:val="Footer"/>
      </w:pPr>
    </w:p>
  </w:endnote>
  <w:endnote w:type="continuationSeparator" w:id="0">
    <w:p w14:paraId="55556A07" w14:textId="77777777" w:rsidR="003C0C32" w:rsidRPr="00FB1744" w:rsidRDefault="003C0C32" w:rsidP="00FB1744">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83490C" w14:textId="77777777" w:rsidR="008138CE" w:rsidRDefault="008138CE" w:rsidP="008138CE">
    <w:pPr>
      <w:pStyle w:val="Footer"/>
      <w:tabs>
        <w:tab w:val="right" w:pos="9638"/>
      </w:tabs>
    </w:pPr>
    <w:r w:rsidRPr="008138CE">
      <w:rPr>
        <w:b/>
        <w:bCs/>
        <w:sz w:val="18"/>
      </w:rPr>
      <w:fldChar w:fldCharType="begin"/>
    </w:r>
    <w:r w:rsidRPr="008138CE">
      <w:rPr>
        <w:b/>
        <w:bCs/>
        <w:sz w:val="18"/>
      </w:rPr>
      <w:instrText xml:space="preserve"> PAGE  \* MERGEFORMAT </w:instrText>
    </w:r>
    <w:r w:rsidRPr="008138CE">
      <w:rPr>
        <w:b/>
        <w:bCs/>
        <w:sz w:val="18"/>
      </w:rPr>
      <w:fldChar w:fldCharType="separate"/>
    </w:r>
    <w:r w:rsidRPr="008138CE">
      <w:rPr>
        <w:b/>
        <w:bCs/>
        <w:noProof/>
        <w:sz w:val="18"/>
      </w:rPr>
      <w:t>2</w:t>
    </w:r>
    <w:r w:rsidRPr="008138CE">
      <w:rPr>
        <w:b/>
        <w:bCs/>
        <w:sz w:val="18"/>
      </w:rPr>
      <w:fldChar w:fldCharType="end"/>
    </w:r>
    <w:r>
      <w:tab/>
      <w:t>GE.21-04347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98A3A" w14:textId="77777777" w:rsidR="008138CE" w:rsidRDefault="008138CE" w:rsidP="008138CE">
    <w:pPr>
      <w:pStyle w:val="Footer"/>
      <w:tabs>
        <w:tab w:val="right" w:pos="9638"/>
      </w:tabs>
    </w:pPr>
    <w:r>
      <w:t>GE.21-04347</w:t>
    </w:r>
    <w:r>
      <w:tab/>
    </w:r>
    <w:r w:rsidRPr="008138CE">
      <w:rPr>
        <w:b/>
        <w:bCs/>
        <w:sz w:val="18"/>
      </w:rPr>
      <w:fldChar w:fldCharType="begin"/>
    </w:r>
    <w:r w:rsidRPr="008138CE">
      <w:rPr>
        <w:b/>
        <w:bCs/>
        <w:sz w:val="18"/>
      </w:rPr>
      <w:instrText xml:space="preserve"> PAGE  \* MERGEFORMAT </w:instrText>
    </w:r>
    <w:r w:rsidRPr="008138CE">
      <w:rPr>
        <w:b/>
        <w:bCs/>
        <w:sz w:val="18"/>
      </w:rPr>
      <w:fldChar w:fldCharType="separate"/>
    </w:r>
    <w:r w:rsidRPr="008138CE">
      <w:rPr>
        <w:b/>
        <w:bCs/>
        <w:noProof/>
        <w:sz w:val="18"/>
      </w:rPr>
      <w:t>3</w:t>
    </w:r>
    <w:r w:rsidRPr="008138CE">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C7877" w14:textId="77777777" w:rsidR="00C448F7" w:rsidRDefault="008138CE">
    <w:pPr>
      <w:pStyle w:val="Footer"/>
      <w:rPr>
        <w:sz w:val="20"/>
      </w:rPr>
    </w:pPr>
    <w:r w:rsidRPr="0027112F">
      <w:rPr>
        <w:noProof/>
        <w:lang w:val="en-US"/>
      </w:rPr>
      <w:drawing>
        <wp:anchor distT="0" distB="0" distL="114300" distR="114300" simplePos="0" relativeHeight="251659264" behindDoc="0" locked="1" layoutInCell="1" allowOverlap="1" wp14:anchorId="1D977225" wp14:editId="5602A5D8">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42963683" w14:textId="084D9B15" w:rsidR="008138CE" w:rsidRPr="008138CE" w:rsidRDefault="008138CE" w:rsidP="008138CE">
    <w:pPr>
      <w:pStyle w:val="Footer"/>
      <w:tabs>
        <w:tab w:val="right" w:pos="7370"/>
      </w:tabs>
      <w:rPr>
        <w:sz w:val="20"/>
      </w:rPr>
    </w:pPr>
    <w:r>
      <w:rPr>
        <w:sz w:val="20"/>
      </w:rPr>
      <w:t>GE.21-04347  (E)</w:t>
    </w:r>
    <w:r>
      <w:rPr>
        <w:noProof/>
        <w:sz w:val="20"/>
      </w:rPr>
      <w:drawing>
        <wp:anchor distT="0" distB="0" distL="114300" distR="114300" simplePos="0" relativeHeight="251660288" behindDoc="0" locked="0" layoutInCell="1" allowOverlap="1" wp14:anchorId="3EA13658" wp14:editId="49AEB6DE">
          <wp:simplePos x="0" y="0"/>
          <wp:positionH relativeFrom="margin">
            <wp:posOffset>5583555</wp:posOffset>
          </wp:positionH>
          <wp:positionV relativeFrom="margin">
            <wp:posOffset>8981440</wp:posOffset>
          </wp:positionV>
          <wp:extent cx="638175" cy="638175"/>
          <wp:effectExtent l="0" t="0" r="9525" b="952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414246">
      <w:rPr>
        <w:sz w:val="20"/>
      </w:rPr>
      <w:t xml:space="preserve">    100621    100621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327FB6" w14:textId="77777777" w:rsidR="003C0C32" w:rsidRPr="00FB1744" w:rsidRDefault="003C0C32" w:rsidP="00FB1744">
      <w:pPr>
        <w:tabs>
          <w:tab w:val="right" w:pos="2155"/>
        </w:tabs>
        <w:spacing w:after="80" w:line="240" w:lineRule="auto"/>
        <w:ind w:left="680"/>
      </w:pPr>
      <w:r>
        <w:rPr>
          <w:u w:val="single"/>
        </w:rPr>
        <w:tab/>
      </w:r>
    </w:p>
  </w:footnote>
  <w:footnote w:type="continuationSeparator" w:id="0">
    <w:p w14:paraId="395A9E9C" w14:textId="77777777" w:rsidR="003C0C32" w:rsidRPr="00FB1744" w:rsidRDefault="003C0C32" w:rsidP="00FB1744">
      <w:pPr>
        <w:tabs>
          <w:tab w:val="right" w:pos="2155"/>
        </w:tabs>
        <w:spacing w:after="80" w:line="240" w:lineRule="auto"/>
        <w:ind w:left="680"/>
      </w:pPr>
      <w:r>
        <w:rPr>
          <w:u w:val="single"/>
        </w:rPr>
        <w:tab/>
      </w:r>
    </w:p>
  </w:footnote>
  <w:footnote w:id="1">
    <w:p w14:paraId="6F8D841E" w14:textId="77777777" w:rsidR="00E13EA3" w:rsidRPr="002D7D95" w:rsidRDefault="00E13EA3" w:rsidP="00E13EA3">
      <w:pPr>
        <w:pStyle w:val="FootnoteText"/>
      </w:pPr>
      <w:r w:rsidRPr="00414246">
        <w:rPr>
          <w:rStyle w:val="FootnoteReference"/>
          <w:vertAlign w:val="baseline"/>
        </w:rPr>
        <w:tab/>
      </w:r>
      <w:r w:rsidRPr="00414246">
        <w:rPr>
          <w:rStyle w:val="FootnoteReference"/>
          <w:sz w:val="20"/>
          <w:vertAlign w:val="baseline"/>
        </w:rPr>
        <w:t>*</w:t>
      </w:r>
      <w:r w:rsidRPr="00414246">
        <w:rPr>
          <w:rStyle w:val="FootnoteReference"/>
          <w:sz w:val="20"/>
          <w:vertAlign w:val="baseline"/>
        </w:rPr>
        <w:tab/>
      </w:r>
      <w:r w:rsidRPr="002D7D95">
        <w:t>Distributed in German by the Central Commission for the Navigation of the Rhine under the symbol CCNR-ZKR/ADN/WP.15/AC.2/2021/16.</w:t>
      </w:r>
    </w:p>
  </w:footnote>
  <w:footnote w:id="2">
    <w:p w14:paraId="2312665D" w14:textId="77777777" w:rsidR="00E13EA3" w:rsidRPr="002D7D95" w:rsidRDefault="00E13EA3" w:rsidP="00E13EA3">
      <w:pPr>
        <w:pStyle w:val="FootnoteText"/>
        <w:widowControl w:val="0"/>
      </w:pPr>
      <w:r w:rsidRPr="00414246">
        <w:rPr>
          <w:rStyle w:val="FootnoteReference"/>
          <w:vertAlign w:val="baseline"/>
        </w:rPr>
        <w:tab/>
      </w:r>
      <w:r w:rsidRPr="00414246">
        <w:rPr>
          <w:rStyle w:val="FootnoteReference"/>
          <w:sz w:val="20"/>
          <w:vertAlign w:val="baseline"/>
        </w:rPr>
        <w:t>**</w:t>
      </w:r>
      <w:r w:rsidRPr="00414246">
        <w:rPr>
          <w:rStyle w:val="FootnoteReference"/>
          <w:sz w:val="20"/>
          <w:vertAlign w:val="baseline"/>
        </w:rPr>
        <w:tab/>
      </w:r>
      <w:r w:rsidRPr="002D7D95">
        <w:t>In accordance with the programme of work of the Inland Transport Committee for 2021 as outlined in proposed programme budget for 2021 (A/75/6 (Sect. 20), para. 20.51).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4D1EDB" w14:textId="77777777" w:rsidR="008138CE" w:rsidRDefault="008138CE" w:rsidP="008138CE">
    <w:pPr>
      <w:pStyle w:val="Header"/>
    </w:pPr>
    <w:r>
      <w:t>ECE/TRANS/WP.15/AC.2/2021/16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D9806" w14:textId="77777777" w:rsidR="008138CE" w:rsidRDefault="008138CE" w:rsidP="008138CE">
    <w:pPr>
      <w:pStyle w:val="Header"/>
      <w:jc w:val="right"/>
    </w:pPr>
    <w:r>
      <w:t>ECE/TRANS/WP.15/AC.2/2021/16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1NjcxNzAwMzKwNDFU0lEKTi0uzszPAykwrAUArDjlOiwAAAA="/>
  </w:docVars>
  <w:rsids>
    <w:rsidRoot w:val="003C0C32"/>
    <w:rsid w:val="00046E92"/>
    <w:rsid w:val="000D1B89"/>
    <w:rsid w:val="000F6E29"/>
    <w:rsid w:val="001170DC"/>
    <w:rsid w:val="001D7680"/>
    <w:rsid w:val="00247E2C"/>
    <w:rsid w:val="002D6C53"/>
    <w:rsid w:val="002F5595"/>
    <w:rsid w:val="00334F6A"/>
    <w:rsid w:val="00342AC8"/>
    <w:rsid w:val="003B4550"/>
    <w:rsid w:val="003C0C32"/>
    <w:rsid w:val="00414246"/>
    <w:rsid w:val="0043448D"/>
    <w:rsid w:val="00461253"/>
    <w:rsid w:val="005042C2"/>
    <w:rsid w:val="00506C12"/>
    <w:rsid w:val="00514341"/>
    <w:rsid w:val="0056599A"/>
    <w:rsid w:val="00585AE1"/>
    <w:rsid w:val="00587690"/>
    <w:rsid w:val="00655EC3"/>
    <w:rsid w:val="00671529"/>
    <w:rsid w:val="006A5598"/>
    <w:rsid w:val="00717266"/>
    <w:rsid w:val="007268F9"/>
    <w:rsid w:val="00745274"/>
    <w:rsid w:val="007C52B0"/>
    <w:rsid w:val="007D13C3"/>
    <w:rsid w:val="008138CE"/>
    <w:rsid w:val="009304FC"/>
    <w:rsid w:val="009411B4"/>
    <w:rsid w:val="009B3F44"/>
    <w:rsid w:val="009D0139"/>
    <w:rsid w:val="009F5CDC"/>
    <w:rsid w:val="00A429CD"/>
    <w:rsid w:val="00A775CF"/>
    <w:rsid w:val="00A92820"/>
    <w:rsid w:val="00AB3C7E"/>
    <w:rsid w:val="00B06045"/>
    <w:rsid w:val="00B76CAD"/>
    <w:rsid w:val="00C35A27"/>
    <w:rsid w:val="00C448F7"/>
    <w:rsid w:val="00D835B3"/>
    <w:rsid w:val="00E02C2B"/>
    <w:rsid w:val="00E13EA3"/>
    <w:rsid w:val="00E665C4"/>
    <w:rsid w:val="00E929D6"/>
    <w:rsid w:val="00ED6C48"/>
    <w:rsid w:val="00EF76C5"/>
    <w:rsid w:val="00F30089"/>
    <w:rsid w:val="00F65F5D"/>
    <w:rsid w:val="00F86A3A"/>
    <w:rsid w:val="00FB1744"/>
    <w:rsid w:val="00FC04A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594456C"/>
  <w15:docId w15:val="{E3C8BFC8-B58D-4E4F-855E-C0151121A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9D6"/>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semiHidden/>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rsid w:val="00EF76C5"/>
    <w:pPr>
      <w:tabs>
        <w:tab w:val="left" w:pos="1701"/>
        <w:tab w:val="left" w:pos="2268"/>
      </w:tabs>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rFonts w:eastAsia="SimSun"/>
      <w:b/>
      <w:sz w:val="40"/>
      <w:lang w:eastAsia="zh-CN"/>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qFormat/>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Footnote Reference/"/>
    <w:qFormat/>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717266"/>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726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266"/>
    <w:rPr>
      <w:rFonts w:ascii="Tahoma" w:eastAsia="Times New Roman" w:hAnsi="Tahoma" w:cs="Tahoma"/>
      <w:sz w:val="16"/>
      <w:szCs w:val="16"/>
      <w:lang w:eastAsia="en-US"/>
    </w:rPr>
  </w:style>
  <w:style w:type="character" w:customStyle="1" w:styleId="SingleTxtGChar">
    <w:name w:val="_ Single Txt_G Char"/>
    <w:basedOn w:val="DefaultParagraphFont"/>
    <w:link w:val="SingleTxtG"/>
    <w:rsid w:val="00EF76C5"/>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2753076">
      <w:bodyDiv w:val="1"/>
      <w:marLeft w:val="0"/>
      <w:marRight w:val="0"/>
      <w:marTop w:val="0"/>
      <w:marBottom w:val="0"/>
      <w:divBdr>
        <w:top w:val="none" w:sz="0" w:space="0" w:color="auto"/>
        <w:left w:val="none" w:sz="0" w:space="0" w:color="auto"/>
        <w:bottom w:val="none" w:sz="0" w:space="0" w:color="auto"/>
        <w:right w:val="none" w:sz="0" w:space="0" w:color="auto"/>
      </w:divBdr>
    </w:div>
    <w:div w:id="333532246">
      <w:bodyDiv w:val="1"/>
      <w:marLeft w:val="0"/>
      <w:marRight w:val="0"/>
      <w:marTop w:val="0"/>
      <w:marBottom w:val="0"/>
      <w:divBdr>
        <w:top w:val="none" w:sz="0" w:space="0" w:color="auto"/>
        <w:left w:val="none" w:sz="0" w:space="0" w:color="auto"/>
        <w:bottom w:val="none" w:sz="0" w:space="0" w:color="auto"/>
        <w:right w:val="none" w:sz="0" w:space="0" w:color="auto"/>
      </w:divBdr>
    </w:div>
    <w:div w:id="728696551">
      <w:bodyDiv w:val="1"/>
      <w:marLeft w:val="0"/>
      <w:marRight w:val="0"/>
      <w:marTop w:val="0"/>
      <w:marBottom w:val="0"/>
      <w:divBdr>
        <w:top w:val="none" w:sz="0" w:space="0" w:color="auto"/>
        <w:left w:val="none" w:sz="0" w:space="0" w:color="auto"/>
        <w:bottom w:val="none" w:sz="0" w:space="0" w:color="auto"/>
        <w:right w:val="none" w:sz="0" w:space="0" w:color="auto"/>
      </w:divBdr>
    </w:div>
    <w:div w:id="1024525761">
      <w:bodyDiv w:val="1"/>
      <w:marLeft w:val="0"/>
      <w:marRight w:val="0"/>
      <w:marTop w:val="0"/>
      <w:marBottom w:val="0"/>
      <w:divBdr>
        <w:top w:val="none" w:sz="0" w:space="0" w:color="auto"/>
        <w:left w:val="none" w:sz="0" w:space="0" w:color="auto"/>
        <w:bottom w:val="none" w:sz="0" w:space="0" w:color="auto"/>
        <w:right w:val="none" w:sz="0" w:space="0" w:color="auto"/>
      </w:divBdr>
    </w:div>
    <w:div w:id="1236353410">
      <w:bodyDiv w:val="1"/>
      <w:marLeft w:val="0"/>
      <w:marRight w:val="0"/>
      <w:marTop w:val="0"/>
      <w:marBottom w:val="0"/>
      <w:divBdr>
        <w:top w:val="none" w:sz="0" w:space="0" w:color="auto"/>
        <w:left w:val="none" w:sz="0" w:space="0" w:color="auto"/>
        <w:bottom w:val="none" w:sz="0" w:space="0" w:color="auto"/>
        <w:right w:val="none" w:sz="0" w:space="0" w:color="auto"/>
      </w:divBdr>
    </w:div>
    <w:div w:id="1350835091">
      <w:bodyDiv w:val="1"/>
      <w:marLeft w:val="0"/>
      <w:marRight w:val="0"/>
      <w:marTop w:val="0"/>
      <w:marBottom w:val="0"/>
      <w:divBdr>
        <w:top w:val="none" w:sz="0" w:space="0" w:color="auto"/>
        <w:left w:val="none" w:sz="0" w:space="0" w:color="auto"/>
        <w:bottom w:val="none" w:sz="0" w:space="0" w:color="auto"/>
        <w:right w:val="none" w:sz="0" w:space="0" w:color="auto"/>
      </w:divBdr>
    </w:div>
    <w:div w:id="1551768231">
      <w:bodyDiv w:val="1"/>
      <w:marLeft w:val="0"/>
      <w:marRight w:val="0"/>
      <w:marTop w:val="0"/>
      <w:marBottom w:val="0"/>
      <w:divBdr>
        <w:top w:val="none" w:sz="0" w:space="0" w:color="auto"/>
        <w:left w:val="none" w:sz="0" w:space="0" w:color="auto"/>
        <w:bottom w:val="none" w:sz="0" w:space="0" w:color="auto"/>
        <w:right w:val="none" w:sz="0" w:space="0" w:color="auto"/>
      </w:divBdr>
    </w:div>
    <w:div w:id="1766151003">
      <w:bodyDiv w:val="1"/>
      <w:marLeft w:val="0"/>
      <w:marRight w:val="0"/>
      <w:marTop w:val="0"/>
      <w:marBottom w:val="0"/>
      <w:divBdr>
        <w:top w:val="none" w:sz="0" w:space="0" w:color="auto"/>
        <w:left w:val="none" w:sz="0" w:space="0" w:color="auto"/>
        <w:bottom w:val="none" w:sz="0" w:space="0" w:color="auto"/>
        <w:right w:val="none" w:sz="0" w:space="0" w:color="auto"/>
      </w:divBdr>
    </w:div>
    <w:div w:id="200423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20without%20Compatibility\COVERPAGES\CESC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4" ma:contentTypeDescription="Create a new document." ma:contentTypeScope="" ma:versionID="92a9dd4e8c7f8be46150dda41d58f11b">
  <xsd:schema xmlns:xsd="http://www.w3.org/2001/XMLSchema" xmlns:xs="http://www.w3.org/2001/XMLSchema" xmlns:p="http://schemas.microsoft.com/office/2006/metadata/properties" xmlns:ns2="4b4a1c0d-4a69-4996-a84a-fc699b9f49de" xmlns:ns3="acccb6d4-dbe5-46d2-b4d3-5733603d8cc6" targetNamespace="http://schemas.microsoft.com/office/2006/metadata/properties" ma:root="true" ma:fieldsID="fb9d01cd92e8bcc0c6298e0f34402dac" ns2:_="" ns3:_="">
    <xsd:import namespace="4b4a1c0d-4a69-4996-a84a-fc699b9f49de"/>
    <xsd:import namespace="acccb6d4-dbe5-46d2-b4d3-5733603d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8B45D5-B923-4B30-B681-C387A64BFE5C}">
  <ds:schemaRefs>
    <ds:schemaRef ds:uri="http://schemas.openxmlformats.org/officeDocument/2006/bibliography"/>
  </ds:schemaRefs>
</ds:datastoreItem>
</file>

<file path=customXml/itemProps2.xml><?xml version="1.0" encoding="utf-8"?>
<ds:datastoreItem xmlns:ds="http://schemas.openxmlformats.org/officeDocument/2006/customXml" ds:itemID="{BA9AF81E-D36A-47DA-92D8-827FAB79E2F9}"/>
</file>

<file path=customXml/itemProps3.xml><?xml version="1.0" encoding="utf-8"?>
<ds:datastoreItem xmlns:ds="http://schemas.openxmlformats.org/officeDocument/2006/customXml" ds:itemID="{424B3CE4-0E75-4C93-9024-896351BD0E5D}"/>
</file>

<file path=customXml/itemProps4.xml><?xml version="1.0" encoding="utf-8"?>
<ds:datastoreItem xmlns:ds="http://schemas.openxmlformats.org/officeDocument/2006/customXml" ds:itemID="{84D95C8F-1D8E-4404-9707-94CE8141329F}"/>
</file>

<file path=docProps/app.xml><?xml version="1.0" encoding="utf-8"?>
<Properties xmlns="http://schemas.openxmlformats.org/officeDocument/2006/extended-properties" xmlns:vt="http://schemas.openxmlformats.org/officeDocument/2006/docPropsVTypes">
  <Template>CESCR.dotm</Template>
  <TotalTime>0</TotalTime>
  <Pages>2</Pages>
  <Words>599</Words>
  <Characters>3144</Characters>
  <Application>Microsoft Office Word</Application>
  <DocSecurity>0</DocSecurity>
  <Lines>66</Lines>
  <Paragraphs>32</Paragraphs>
  <ScaleCrop>false</ScaleCrop>
  <HeadingPairs>
    <vt:vector size="2" baseType="variant">
      <vt:variant>
        <vt:lpstr>Title</vt:lpstr>
      </vt:variant>
      <vt:variant>
        <vt:i4>1</vt:i4>
      </vt:variant>
    </vt:vector>
  </HeadingPairs>
  <TitlesOfParts>
    <vt:vector size="1" baseType="lpstr">
      <vt:lpstr>ECE/TRANS/WP.15/AC.2/2021/16</vt:lpstr>
    </vt:vector>
  </TitlesOfParts>
  <Company>DCM</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ECE/TRANS/WP.15/AC.2/2021/16</dc:title>
  <dc:subject>2104347</dc:subject>
  <dc:creator>Giltsoff</dc:creator>
  <cp:keywords/>
  <dc:description/>
  <cp:lastModifiedBy>Una Philippa GILTSOFF</cp:lastModifiedBy>
  <cp:revision>2</cp:revision>
  <dcterms:created xsi:type="dcterms:W3CDTF">2021-06-11T08:11:00Z</dcterms:created>
  <dcterms:modified xsi:type="dcterms:W3CDTF">2021-06-11T08:11:00Z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ies>
</file>