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E8DEC93" w14:textId="77777777" w:rsidTr="00C97039">
        <w:trPr>
          <w:trHeight w:hRule="exact" w:val="851"/>
        </w:trPr>
        <w:tc>
          <w:tcPr>
            <w:tcW w:w="1276" w:type="dxa"/>
            <w:tcBorders>
              <w:bottom w:val="single" w:sz="4" w:space="0" w:color="auto"/>
            </w:tcBorders>
          </w:tcPr>
          <w:p w14:paraId="6FFD6710" w14:textId="77777777" w:rsidR="00F35BAF" w:rsidRPr="00DB58B5" w:rsidRDefault="00F35BAF" w:rsidP="00520996"/>
        </w:tc>
        <w:tc>
          <w:tcPr>
            <w:tcW w:w="2268" w:type="dxa"/>
            <w:tcBorders>
              <w:bottom w:val="single" w:sz="4" w:space="0" w:color="auto"/>
            </w:tcBorders>
            <w:vAlign w:val="bottom"/>
          </w:tcPr>
          <w:p w14:paraId="6767D6B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5A4CE60" w14:textId="13CA792E" w:rsidR="00F35BAF" w:rsidRPr="00DB58B5" w:rsidRDefault="00520996" w:rsidP="00520996">
            <w:pPr>
              <w:jc w:val="right"/>
            </w:pPr>
            <w:r w:rsidRPr="00520996">
              <w:rPr>
                <w:sz w:val="40"/>
              </w:rPr>
              <w:t>ECE</w:t>
            </w:r>
            <w:r>
              <w:t>/TRANS/WP</w:t>
            </w:r>
            <w:r w:rsidR="00FC1209" w:rsidRPr="00FC1209">
              <w:t>.</w:t>
            </w:r>
            <w:r>
              <w:t>15/AC</w:t>
            </w:r>
            <w:r w:rsidR="00FC1209" w:rsidRPr="00FC1209">
              <w:t>.</w:t>
            </w:r>
            <w:r>
              <w:t>1/160</w:t>
            </w:r>
          </w:p>
        </w:tc>
      </w:tr>
      <w:tr w:rsidR="00F35BAF" w:rsidRPr="00DB58B5" w14:paraId="26B36A2D" w14:textId="77777777" w:rsidTr="00C97039">
        <w:trPr>
          <w:trHeight w:hRule="exact" w:val="2835"/>
        </w:trPr>
        <w:tc>
          <w:tcPr>
            <w:tcW w:w="1276" w:type="dxa"/>
            <w:tcBorders>
              <w:top w:val="single" w:sz="4" w:space="0" w:color="auto"/>
              <w:bottom w:val="single" w:sz="12" w:space="0" w:color="auto"/>
            </w:tcBorders>
          </w:tcPr>
          <w:p w14:paraId="55B9A9FA" w14:textId="77777777" w:rsidR="00F35BAF" w:rsidRPr="00DB58B5" w:rsidRDefault="00F35BAF" w:rsidP="00C97039">
            <w:pPr>
              <w:spacing w:before="120"/>
              <w:jc w:val="center"/>
            </w:pPr>
            <w:r>
              <w:rPr>
                <w:noProof/>
                <w:lang w:eastAsia="fr-CH"/>
              </w:rPr>
              <w:drawing>
                <wp:inline distT="0" distB="0" distL="0" distR="0" wp14:anchorId="0D7A1AC8" wp14:editId="2062165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BACF4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409130A" w14:textId="284682A2" w:rsidR="00F35BAF" w:rsidRDefault="00520996" w:rsidP="00C97039">
            <w:pPr>
              <w:spacing w:before="240"/>
            </w:pPr>
            <w:r>
              <w:t>Distr</w:t>
            </w:r>
            <w:r w:rsidR="00FC1209" w:rsidRPr="00FC1209">
              <w:t>.</w:t>
            </w:r>
            <w:r>
              <w:t xml:space="preserve"> générale</w:t>
            </w:r>
          </w:p>
          <w:p w14:paraId="1BB847E4" w14:textId="77777777" w:rsidR="00520996" w:rsidRDefault="00520996" w:rsidP="00520996">
            <w:pPr>
              <w:spacing w:line="240" w:lineRule="exact"/>
            </w:pPr>
            <w:r>
              <w:t>20 avril 2021</w:t>
            </w:r>
          </w:p>
          <w:p w14:paraId="38616729" w14:textId="77777777" w:rsidR="00520996" w:rsidRDefault="00520996" w:rsidP="00520996">
            <w:pPr>
              <w:spacing w:line="240" w:lineRule="exact"/>
            </w:pPr>
            <w:r>
              <w:t>Français</w:t>
            </w:r>
          </w:p>
          <w:p w14:paraId="6FAEF9D6" w14:textId="45AD6C7B" w:rsidR="00520996" w:rsidRPr="00DB58B5" w:rsidRDefault="00520996" w:rsidP="00520996">
            <w:pPr>
              <w:spacing w:line="240" w:lineRule="exact"/>
            </w:pPr>
            <w:r>
              <w:t>Original : anglais</w:t>
            </w:r>
          </w:p>
        </w:tc>
      </w:tr>
    </w:tbl>
    <w:p w14:paraId="4BFCF552" w14:textId="02A127F4" w:rsidR="007F20FA" w:rsidRPr="000312C0" w:rsidRDefault="007F20FA" w:rsidP="007F20FA">
      <w:pPr>
        <w:spacing w:before="120"/>
        <w:rPr>
          <w:b/>
          <w:sz w:val="28"/>
          <w:szCs w:val="28"/>
        </w:rPr>
      </w:pPr>
      <w:r w:rsidRPr="000312C0">
        <w:rPr>
          <w:b/>
          <w:sz w:val="28"/>
          <w:szCs w:val="28"/>
        </w:rPr>
        <w:t>Commission économique pour l</w:t>
      </w:r>
      <w:r w:rsidR="00F70B88">
        <w:rPr>
          <w:b/>
          <w:sz w:val="28"/>
          <w:szCs w:val="28"/>
        </w:rPr>
        <w:t>’</w:t>
      </w:r>
      <w:r w:rsidRPr="000312C0">
        <w:rPr>
          <w:b/>
          <w:sz w:val="28"/>
          <w:szCs w:val="28"/>
        </w:rPr>
        <w:t>Europe</w:t>
      </w:r>
    </w:p>
    <w:p w14:paraId="425C34BD" w14:textId="77777777" w:rsidR="007F20FA" w:rsidRDefault="007F20FA" w:rsidP="007F20FA">
      <w:pPr>
        <w:spacing w:before="120"/>
        <w:rPr>
          <w:sz w:val="28"/>
          <w:szCs w:val="28"/>
        </w:rPr>
      </w:pPr>
      <w:r w:rsidRPr="00685843">
        <w:rPr>
          <w:sz w:val="28"/>
          <w:szCs w:val="28"/>
        </w:rPr>
        <w:t>Comité des transports intérieurs</w:t>
      </w:r>
    </w:p>
    <w:p w14:paraId="3E65B1E7" w14:textId="708D64D8" w:rsidR="00520996" w:rsidRPr="006835D9" w:rsidRDefault="00520996" w:rsidP="00520996">
      <w:pPr>
        <w:spacing w:before="120"/>
        <w:rPr>
          <w:b/>
          <w:sz w:val="32"/>
          <w:szCs w:val="32"/>
          <w:lang w:val="fr-FR"/>
        </w:rPr>
      </w:pPr>
      <w:r>
        <w:rPr>
          <w:b/>
          <w:bCs/>
          <w:sz w:val="24"/>
          <w:szCs w:val="24"/>
          <w:lang w:val="fr-FR"/>
        </w:rPr>
        <w:t xml:space="preserve">Groupe de travail des transports </w:t>
      </w:r>
      <w:r w:rsidR="00633E2F">
        <w:rPr>
          <w:b/>
          <w:bCs/>
          <w:sz w:val="24"/>
          <w:szCs w:val="24"/>
          <w:lang w:val="fr-FR"/>
        </w:rPr>
        <w:br/>
      </w:r>
      <w:r>
        <w:rPr>
          <w:b/>
          <w:bCs/>
          <w:sz w:val="24"/>
          <w:szCs w:val="24"/>
          <w:lang w:val="fr-FR"/>
        </w:rPr>
        <w:t>de marchandises dangereuses</w:t>
      </w:r>
    </w:p>
    <w:p w14:paraId="5E66C50E" w14:textId="6EDA89A6" w:rsidR="00520996" w:rsidRPr="006835D9" w:rsidRDefault="00520996" w:rsidP="00520996">
      <w:pPr>
        <w:spacing w:before="120"/>
        <w:rPr>
          <w:b/>
          <w:lang w:val="fr-FR"/>
        </w:rPr>
      </w:pPr>
      <w:bookmarkStart w:id="0" w:name="_Hlk50636383"/>
      <w:r>
        <w:rPr>
          <w:b/>
          <w:bCs/>
          <w:lang w:val="fr-FR"/>
        </w:rPr>
        <w:t>Réunion commune de la Commission d</w:t>
      </w:r>
      <w:r w:rsidR="00F70B88">
        <w:rPr>
          <w:b/>
          <w:bCs/>
          <w:lang w:val="fr-FR"/>
        </w:rPr>
        <w:t>’</w:t>
      </w:r>
      <w:r>
        <w:rPr>
          <w:b/>
          <w:bCs/>
          <w:lang w:val="fr-FR"/>
        </w:rPr>
        <w:t xml:space="preserve">experts du RID </w:t>
      </w:r>
      <w:r w:rsidR="004B56AD">
        <w:rPr>
          <w:b/>
          <w:bCs/>
          <w:lang w:val="fr-FR"/>
        </w:rPr>
        <w:br/>
      </w:r>
      <w:r>
        <w:rPr>
          <w:b/>
          <w:bCs/>
          <w:lang w:val="fr-FR"/>
        </w:rPr>
        <w:t>et du Groupe de travail des transports de marchandises dangereuses</w:t>
      </w:r>
    </w:p>
    <w:bookmarkEnd w:id="0"/>
    <w:p w14:paraId="4F285C8E" w14:textId="2CC69608" w:rsidR="00520996" w:rsidRDefault="00520996" w:rsidP="00520996">
      <w:pPr>
        <w:pStyle w:val="HChG"/>
        <w:keepNext w:val="0"/>
        <w:keepLines w:val="0"/>
        <w:widowControl w:val="0"/>
        <w:rPr>
          <w:lang w:val="fr-FR"/>
        </w:rPr>
      </w:pPr>
      <w:r w:rsidRPr="006835D9">
        <w:rPr>
          <w:lang w:val="fr-FR"/>
        </w:rPr>
        <w:tab/>
      </w:r>
      <w:r w:rsidRPr="006835D9">
        <w:rPr>
          <w:lang w:val="fr-FR"/>
        </w:rPr>
        <w:tab/>
        <w:t xml:space="preserve">Rapport de la Réunion commune de la Commission </w:t>
      </w:r>
      <w:r w:rsidR="00191B2A">
        <w:rPr>
          <w:lang w:val="fr-FR"/>
        </w:rPr>
        <w:br/>
      </w:r>
      <w:r w:rsidRPr="006835D9">
        <w:rPr>
          <w:lang w:val="fr-FR"/>
        </w:rPr>
        <w:t>d</w:t>
      </w:r>
      <w:r w:rsidR="00F70B88">
        <w:rPr>
          <w:lang w:val="fr-FR"/>
        </w:rPr>
        <w:t>’</w:t>
      </w:r>
      <w:r w:rsidRPr="006835D9">
        <w:rPr>
          <w:lang w:val="fr-FR"/>
        </w:rPr>
        <w:t>experts du RID et du Groupe de travail des transports de</w:t>
      </w:r>
      <w:r w:rsidR="00191B2A">
        <w:rPr>
          <w:lang w:val="fr-FR"/>
        </w:rPr>
        <w:t xml:space="preserve"> </w:t>
      </w:r>
      <w:r w:rsidRPr="006835D9">
        <w:rPr>
          <w:lang w:val="fr-FR"/>
        </w:rPr>
        <w:t>marchandises dangereuses sur sa session de printemps 20</w:t>
      </w:r>
      <w:r>
        <w:rPr>
          <w:lang w:val="fr-FR"/>
        </w:rPr>
        <w:t>21</w:t>
      </w:r>
      <w:r w:rsidR="004B56AD" w:rsidRPr="004B56AD">
        <w:rPr>
          <w:rStyle w:val="FootnoteReference"/>
          <w:b w:val="0"/>
          <w:bCs/>
          <w:sz w:val="20"/>
          <w:vertAlign w:val="baseline"/>
        </w:rPr>
        <w:footnoteReference w:customMarkFollows="1" w:id="2"/>
        <w:t>*</w:t>
      </w:r>
    </w:p>
    <w:p w14:paraId="5A73A03B" w14:textId="77777777" w:rsidR="00520996" w:rsidRDefault="00520996" w:rsidP="00520996">
      <w:pPr>
        <w:spacing w:after="600"/>
        <w:ind w:left="1134"/>
        <w:rPr>
          <w:lang w:val="fr-FR"/>
        </w:rPr>
      </w:pPr>
      <w:r w:rsidRPr="00363C42">
        <w:rPr>
          <w:lang w:val="fr-FR"/>
        </w:rPr>
        <w:t>tenue à Berne, du 15 au 19 mars 2021</w:t>
      </w:r>
    </w:p>
    <w:p w14:paraId="3E9570B6" w14:textId="390A1569" w:rsidR="00520996" w:rsidRPr="00520996" w:rsidRDefault="00520996" w:rsidP="00520996">
      <w:pPr>
        <w:spacing w:after="120"/>
        <w:rPr>
          <w:sz w:val="28"/>
        </w:rPr>
      </w:pPr>
      <w:r w:rsidRPr="00520996">
        <w:rPr>
          <w:sz w:val="28"/>
        </w:rPr>
        <w:t>Table des matières</w:t>
      </w:r>
    </w:p>
    <w:p w14:paraId="52E43A48" w14:textId="28196A8F" w:rsidR="00520996" w:rsidRPr="00520996" w:rsidRDefault="00520996" w:rsidP="00520996">
      <w:pPr>
        <w:tabs>
          <w:tab w:val="right" w:pos="8929"/>
          <w:tab w:val="right" w:pos="9638"/>
        </w:tabs>
        <w:spacing w:after="120"/>
        <w:ind w:left="283"/>
        <w:rPr>
          <w:i/>
          <w:sz w:val="18"/>
        </w:rPr>
      </w:pPr>
      <w:r w:rsidRPr="00520996">
        <w:rPr>
          <w:i/>
          <w:sz w:val="18"/>
        </w:rPr>
        <w:tab/>
        <w:t>Paragraphes</w:t>
      </w:r>
      <w:r w:rsidRPr="00520996">
        <w:rPr>
          <w:i/>
          <w:sz w:val="18"/>
        </w:rPr>
        <w:tab/>
        <w:t>Page</w:t>
      </w:r>
    </w:p>
    <w:p w14:paraId="25D6AF43" w14:textId="299B4902" w:rsidR="00520996" w:rsidRPr="00520996" w:rsidRDefault="00520996" w:rsidP="00520996">
      <w:pPr>
        <w:tabs>
          <w:tab w:val="right" w:pos="850"/>
          <w:tab w:val="right" w:leader="dot" w:pos="7654"/>
          <w:tab w:val="right" w:pos="8929"/>
          <w:tab w:val="right" w:pos="9638"/>
        </w:tabs>
        <w:spacing w:after="120"/>
        <w:ind w:left="1134" w:hanging="1134"/>
      </w:pPr>
      <w:r w:rsidRPr="00520996">
        <w:tab/>
        <w:t>I</w:t>
      </w:r>
      <w:r w:rsidR="00FC1209" w:rsidRPr="00FC1209">
        <w:t>.</w:t>
      </w:r>
      <w:r w:rsidRPr="00520996">
        <w:tab/>
      </w:r>
      <w:r w:rsidR="00FC1209">
        <w:rPr>
          <w:lang w:val="fr-FR"/>
        </w:rPr>
        <w:t>Participation</w:t>
      </w:r>
      <w:r w:rsidRPr="00520996">
        <w:tab/>
      </w:r>
      <w:r w:rsidRPr="00520996">
        <w:tab/>
        <w:t>1-3</w:t>
      </w:r>
      <w:r w:rsidRPr="00520996">
        <w:tab/>
      </w:r>
      <w:r w:rsidR="00FC1209">
        <w:t>3</w:t>
      </w:r>
    </w:p>
    <w:p w14:paraId="380E638C" w14:textId="454C8CD8" w:rsidR="00520996" w:rsidRPr="00037456" w:rsidRDefault="00520996" w:rsidP="00520996">
      <w:pPr>
        <w:tabs>
          <w:tab w:val="right" w:pos="850"/>
          <w:tab w:val="right" w:leader="dot" w:pos="7654"/>
          <w:tab w:val="right" w:pos="8929"/>
          <w:tab w:val="right" w:pos="9638"/>
        </w:tabs>
        <w:spacing w:after="120"/>
        <w:ind w:left="1134" w:hanging="1134"/>
      </w:pPr>
      <w:r w:rsidRPr="00520996">
        <w:tab/>
      </w:r>
      <w:r w:rsidRPr="00037456">
        <w:t>II</w:t>
      </w:r>
      <w:r w:rsidR="00FC1209" w:rsidRPr="00FC1209">
        <w:t>.</w:t>
      </w:r>
      <w:r w:rsidRPr="00037456">
        <w:tab/>
      </w:r>
      <w:r w:rsidR="00FC1209">
        <w:rPr>
          <w:lang w:val="fr-FR"/>
        </w:rPr>
        <w:t>Ouverture de la session</w:t>
      </w:r>
      <w:r w:rsidRPr="00037456">
        <w:tab/>
      </w:r>
      <w:r w:rsidRPr="00037456">
        <w:tab/>
        <w:t>4</w:t>
      </w:r>
      <w:r w:rsidRPr="00037456">
        <w:tab/>
      </w:r>
      <w:r w:rsidR="00FC1209">
        <w:t>3</w:t>
      </w:r>
    </w:p>
    <w:p w14:paraId="1B0DD345" w14:textId="24C42060" w:rsidR="00520996" w:rsidRPr="00037456" w:rsidRDefault="00520996" w:rsidP="00520996">
      <w:pPr>
        <w:tabs>
          <w:tab w:val="right" w:pos="850"/>
          <w:tab w:val="right" w:leader="dot" w:pos="7654"/>
          <w:tab w:val="right" w:pos="8929"/>
          <w:tab w:val="right" w:pos="9638"/>
        </w:tabs>
        <w:spacing w:after="120"/>
        <w:ind w:left="1134" w:hanging="1134"/>
      </w:pPr>
      <w:r w:rsidRPr="00037456">
        <w:tab/>
        <w:t>III</w:t>
      </w:r>
      <w:r w:rsidR="00FC1209" w:rsidRPr="00FC1209">
        <w:t>.</w:t>
      </w:r>
      <w:r w:rsidRPr="00037456">
        <w:tab/>
      </w:r>
      <w:r w:rsidR="00FC1209">
        <w:rPr>
          <w:lang w:val="fr-FR"/>
        </w:rPr>
        <w:t>Adoption de l’ordre du jour (point 1 de l’ordre du jour)</w:t>
      </w:r>
      <w:r w:rsidRPr="00037456">
        <w:tab/>
      </w:r>
      <w:r w:rsidRPr="00037456">
        <w:tab/>
        <w:t>5</w:t>
      </w:r>
      <w:r w:rsidRPr="00037456">
        <w:tab/>
      </w:r>
      <w:r w:rsidR="00FC1209">
        <w:t>3</w:t>
      </w:r>
    </w:p>
    <w:p w14:paraId="7C6EB6A2" w14:textId="2216F5F1" w:rsidR="00520996" w:rsidRPr="00037456" w:rsidRDefault="00520996" w:rsidP="00520996">
      <w:pPr>
        <w:tabs>
          <w:tab w:val="right" w:pos="850"/>
          <w:tab w:val="right" w:leader="dot" w:pos="7654"/>
          <w:tab w:val="right" w:pos="8929"/>
          <w:tab w:val="right" w:pos="9638"/>
        </w:tabs>
        <w:spacing w:after="120"/>
        <w:ind w:left="1134" w:hanging="1134"/>
      </w:pPr>
      <w:r>
        <w:tab/>
      </w:r>
      <w:r w:rsidRPr="00037456">
        <w:t>IV</w:t>
      </w:r>
      <w:r w:rsidR="00FC1209" w:rsidRPr="00FC1209">
        <w:t>.</w:t>
      </w:r>
      <w:r w:rsidRPr="00037456">
        <w:tab/>
      </w:r>
      <w:r w:rsidR="00FC1209">
        <w:rPr>
          <w:lang w:val="fr-FR"/>
        </w:rPr>
        <w:t>Citernes (point 2 de l’ordre du jour)</w:t>
      </w:r>
      <w:r w:rsidRPr="00037456">
        <w:tab/>
      </w:r>
      <w:r w:rsidRPr="00037456">
        <w:tab/>
        <w:t>6</w:t>
      </w:r>
      <w:r>
        <w:t>-15</w:t>
      </w:r>
      <w:r w:rsidRPr="00037456">
        <w:tab/>
      </w:r>
      <w:r w:rsidR="00FC1209">
        <w:t>4</w:t>
      </w:r>
    </w:p>
    <w:p w14:paraId="3E616A60" w14:textId="65E5E5CF" w:rsidR="00520996" w:rsidRPr="00037456" w:rsidRDefault="00520996" w:rsidP="00520996">
      <w:pPr>
        <w:tabs>
          <w:tab w:val="right" w:leader="dot" w:pos="7654"/>
          <w:tab w:val="right" w:pos="8929"/>
          <w:tab w:val="right" w:pos="9638"/>
        </w:tabs>
        <w:spacing w:after="120"/>
        <w:ind w:left="1559" w:hanging="425"/>
      </w:pPr>
      <w:r w:rsidRPr="00037456">
        <w:t>A</w:t>
      </w:r>
      <w:r w:rsidR="00FC1209" w:rsidRPr="00FC1209">
        <w:t>.</w:t>
      </w:r>
      <w:r w:rsidRPr="00037456">
        <w:tab/>
      </w:r>
      <w:r w:rsidR="00FC1209" w:rsidRPr="003F4D91">
        <w:rPr>
          <w:lang w:val="fr-FR"/>
        </w:rPr>
        <w:t>Rapport du Groupe de travail des citernes</w:t>
      </w:r>
      <w:r w:rsidRPr="00037456">
        <w:tab/>
      </w:r>
      <w:r w:rsidRPr="00037456">
        <w:tab/>
        <w:t>7-11</w:t>
      </w:r>
      <w:r w:rsidRPr="00037456">
        <w:tab/>
      </w:r>
      <w:r w:rsidR="00FC1209">
        <w:t>4</w:t>
      </w:r>
    </w:p>
    <w:p w14:paraId="3A3AB2BA" w14:textId="6DBD5BC3" w:rsidR="00520996" w:rsidRPr="00037456" w:rsidRDefault="00520996" w:rsidP="00520996">
      <w:pPr>
        <w:tabs>
          <w:tab w:val="right" w:leader="dot" w:pos="7654"/>
          <w:tab w:val="right" w:pos="8929"/>
          <w:tab w:val="right" w:pos="9638"/>
        </w:tabs>
        <w:spacing w:after="120"/>
        <w:ind w:left="1559" w:hanging="425"/>
      </w:pPr>
      <w:r w:rsidRPr="00037456">
        <w:t>B</w:t>
      </w:r>
      <w:r w:rsidR="00FC1209" w:rsidRPr="00FC1209">
        <w:t>.</w:t>
      </w:r>
      <w:r w:rsidRPr="00037456">
        <w:tab/>
      </w:r>
      <w:r w:rsidR="00F76255" w:rsidRPr="00ED389E">
        <w:rPr>
          <w:lang w:val="fr-FR"/>
        </w:rPr>
        <w:t>Travaux du groupe de travail informel du contrôle et de l</w:t>
      </w:r>
      <w:r w:rsidR="00F76255">
        <w:rPr>
          <w:lang w:val="fr-FR"/>
        </w:rPr>
        <w:t>’</w:t>
      </w:r>
      <w:r w:rsidR="00F76255" w:rsidRPr="00ED389E">
        <w:rPr>
          <w:lang w:val="fr-FR"/>
        </w:rPr>
        <w:t xml:space="preserve">agrément </w:t>
      </w:r>
      <w:r w:rsidR="00F76255">
        <w:rPr>
          <w:lang w:val="fr-FR"/>
        </w:rPr>
        <w:br/>
      </w:r>
      <w:r w:rsidR="00F76255" w:rsidRPr="00ED389E">
        <w:rPr>
          <w:lang w:val="fr-FR"/>
        </w:rPr>
        <w:t>des</w:t>
      </w:r>
      <w:r w:rsidR="00F76255">
        <w:rPr>
          <w:lang w:val="fr-FR"/>
        </w:rPr>
        <w:t> </w:t>
      </w:r>
      <w:r w:rsidR="00F76255" w:rsidRPr="00ED389E">
        <w:rPr>
          <w:lang w:val="fr-FR"/>
        </w:rPr>
        <w:t>citernes</w:t>
      </w:r>
      <w:r w:rsidRPr="00037456">
        <w:tab/>
      </w:r>
      <w:r>
        <w:tab/>
      </w:r>
      <w:r w:rsidRPr="00037456">
        <w:t>12-15</w:t>
      </w:r>
      <w:r w:rsidRPr="00037456">
        <w:tab/>
      </w:r>
      <w:r w:rsidR="00F76255">
        <w:t>5</w:t>
      </w:r>
    </w:p>
    <w:p w14:paraId="78E758D7" w14:textId="728CFBDA" w:rsidR="00520996" w:rsidRDefault="00520996" w:rsidP="00520996">
      <w:pPr>
        <w:tabs>
          <w:tab w:val="right" w:pos="850"/>
          <w:tab w:val="right" w:leader="dot" w:pos="7654"/>
          <w:tab w:val="right" w:pos="8929"/>
          <w:tab w:val="right" w:pos="9638"/>
        </w:tabs>
        <w:spacing w:after="120"/>
        <w:ind w:left="1134" w:hanging="1134"/>
      </w:pPr>
      <w:r w:rsidRPr="00037456">
        <w:tab/>
        <w:t>V</w:t>
      </w:r>
      <w:r w:rsidR="00FC1209" w:rsidRPr="00FC1209">
        <w:t>.</w:t>
      </w:r>
      <w:r w:rsidRPr="00037456">
        <w:tab/>
      </w:r>
      <w:r w:rsidR="00F76255">
        <w:rPr>
          <w:lang w:val="fr-FR"/>
        </w:rPr>
        <w:t>Normes (point 3 de l’ordre du jour)</w:t>
      </w:r>
      <w:r w:rsidRPr="00037456">
        <w:tab/>
      </w:r>
      <w:r w:rsidRPr="00037456">
        <w:tab/>
        <w:t>16-20</w:t>
      </w:r>
      <w:r w:rsidRPr="00037456">
        <w:tab/>
      </w:r>
      <w:r w:rsidR="00F76255">
        <w:t>6</w:t>
      </w:r>
    </w:p>
    <w:p w14:paraId="5E48370D" w14:textId="4E6778AA" w:rsidR="00520996" w:rsidRPr="00037456" w:rsidRDefault="00520996" w:rsidP="00520996">
      <w:pPr>
        <w:tabs>
          <w:tab w:val="right" w:leader="dot" w:pos="7654"/>
          <w:tab w:val="right" w:pos="8929"/>
          <w:tab w:val="right" w:pos="9638"/>
        </w:tabs>
        <w:spacing w:after="120"/>
        <w:ind w:left="1559" w:hanging="425"/>
      </w:pPr>
      <w:r>
        <w:tab/>
      </w:r>
      <w:r w:rsidR="00F76255">
        <w:rPr>
          <w:lang w:val="fr-FR"/>
        </w:rPr>
        <w:t>Rapport du Groupe de travail des normes</w:t>
      </w:r>
      <w:r>
        <w:tab/>
      </w:r>
      <w:r>
        <w:tab/>
        <w:t>17-20</w:t>
      </w:r>
      <w:r>
        <w:tab/>
      </w:r>
      <w:r w:rsidR="00F76255">
        <w:t>6</w:t>
      </w:r>
    </w:p>
    <w:p w14:paraId="1374CCCF" w14:textId="28B1F742" w:rsidR="00520996" w:rsidRPr="00037456" w:rsidRDefault="00520996" w:rsidP="00520996">
      <w:pPr>
        <w:tabs>
          <w:tab w:val="right" w:pos="850"/>
          <w:tab w:val="right" w:leader="dot" w:pos="7654"/>
          <w:tab w:val="right" w:pos="8929"/>
          <w:tab w:val="right" w:pos="9638"/>
        </w:tabs>
        <w:spacing w:after="120"/>
        <w:ind w:left="1134" w:hanging="1134"/>
      </w:pPr>
      <w:r w:rsidRPr="00037456">
        <w:tab/>
        <w:t>VI</w:t>
      </w:r>
      <w:r w:rsidR="00FC1209" w:rsidRPr="00FC1209">
        <w:t>.</w:t>
      </w:r>
      <w:r w:rsidRPr="00037456">
        <w:tab/>
      </w:r>
      <w:r w:rsidR="00F76255">
        <w:rPr>
          <w:lang w:val="fr-FR"/>
        </w:rPr>
        <w:t>Interprétation du RID, de l’ADR et de l’ADN (point 4 de l’ordre du jour)</w:t>
      </w:r>
      <w:r w:rsidRPr="00037456">
        <w:tab/>
      </w:r>
      <w:r w:rsidRPr="00037456">
        <w:tab/>
        <w:t>21</w:t>
      </w:r>
      <w:r w:rsidRPr="00037456">
        <w:tab/>
      </w:r>
      <w:r w:rsidR="00F76255">
        <w:t>6</w:t>
      </w:r>
    </w:p>
    <w:p w14:paraId="02E1E7F0" w14:textId="57FD3A49" w:rsidR="00520996" w:rsidRPr="00037456" w:rsidRDefault="00520996" w:rsidP="00520996">
      <w:pPr>
        <w:tabs>
          <w:tab w:val="right" w:pos="850"/>
          <w:tab w:val="right" w:leader="dot" w:pos="7654"/>
          <w:tab w:val="right" w:pos="8929"/>
          <w:tab w:val="right" w:pos="9638"/>
        </w:tabs>
        <w:spacing w:after="120"/>
        <w:ind w:left="1134" w:hanging="1134"/>
      </w:pPr>
      <w:r w:rsidRPr="00037456">
        <w:tab/>
        <w:t>VII</w:t>
      </w:r>
      <w:r w:rsidR="00FC1209" w:rsidRPr="00FC1209">
        <w:t>.</w:t>
      </w:r>
      <w:r w:rsidRPr="00037456">
        <w:tab/>
      </w:r>
      <w:r w:rsidR="00F76255">
        <w:rPr>
          <w:lang w:val="fr-FR"/>
        </w:rPr>
        <w:t xml:space="preserve">Propositions d’amendements au RID, à l’ADR et à l’ADN </w:t>
      </w:r>
      <w:r w:rsidR="00F76255">
        <w:rPr>
          <w:lang w:val="fr-FR"/>
        </w:rPr>
        <w:br/>
        <w:t>(point 5 de l’ordre du jour)</w:t>
      </w:r>
      <w:r w:rsidRPr="00037456">
        <w:tab/>
      </w:r>
      <w:r w:rsidRPr="00037456">
        <w:tab/>
        <w:t>22-39</w:t>
      </w:r>
      <w:r w:rsidRPr="00037456">
        <w:tab/>
      </w:r>
      <w:r w:rsidR="00F76255">
        <w:t>6</w:t>
      </w:r>
    </w:p>
    <w:p w14:paraId="2F8B8149" w14:textId="69C22473" w:rsidR="00520996" w:rsidRPr="00037456" w:rsidRDefault="00520996" w:rsidP="00520996">
      <w:pPr>
        <w:tabs>
          <w:tab w:val="right" w:leader="dot" w:pos="7654"/>
          <w:tab w:val="right" w:pos="8929"/>
          <w:tab w:val="right" w:pos="9638"/>
        </w:tabs>
        <w:spacing w:after="120"/>
        <w:ind w:left="1559" w:hanging="425"/>
      </w:pPr>
      <w:r w:rsidRPr="00037456">
        <w:t>A</w:t>
      </w:r>
      <w:r w:rsidR="00FC1209" w:rsidRPr="00FC1209">
        <w:t>.</w:t>
      </w:r>
      <w:r w:rsidRPr="00037456">
        <w:tab/>
      </w:r>
      <w:r w:rsidR="00F76255">
        <w:rPr>
          <w:lang w:val="fr-FR"/>
        </w:rPr>
        <w:t>Questions en suspens</w:t>
      </w:r>
      <w:r w:rsidRPr="00037456">
        <w:tab/>
      </w:r>
      <w:r w:rsidRPr="00037456">
        <w:tab/>
        <w:t>22-28</w:t>
      </w:r>
      <w:r w:rsidRPr="00037456">
        <w:tab/>
      </w:r>
      <w:r w:rsidR="00F76255">
        <w:t>6</w:t>
      </w:r>
    </w:p>
    <w:p w14:paraId="15EB8F9D" w14:textId="2D1A6C86" w:rsidR="00520996" w:rsidRPr="00520996" w:rsidRDefault="00520996" w:rsidP="00F76255">
      <w:pPr>
        <w:tabs>
          <w:tab w:val="right" w:leader="dot" w:pos="7654"/>
          <w:tab w:val="right" w:pos="8929"/>
          <w:tab w:val="right" w:pos="9638"/>
        </w:tabs>
        <w:spacing w:after="120" w:line="230" w:lineRule="atLeast"/>
        <w:ind w:left="1984" w:hanging="425"/>
      </w:pPr>
      <w:r w:rsidRPr="00037456">
        <w:lastRenderedPageBreak/>
        <w:t>1</w:t>
      </w:r>
      <w:r w:rsidR="00FC1209" w:rsidRPr="00FC1209">
        <w:t>.</w:t>
      </w:r>
      <w:r w:rsidRPr="00037456">
        <w:tab/>
      </w:r>
      <w:r w:rsidR="00F76255">
        <w:rPr>
          <w:bCs/>
          <w:lang w:val="fr-FR"/>
        </w:rPr>
        <w:t xml:space="preserve">Transport des matières qui polymérisent en tant que déchets </w:t>
      </w:r>
      <w:r w:rsidR="00F76255">
        <w:rPr>
          <w:bCs/>
          <w:lang w:val="fr-FR"/>
        </w:rPr>
        <w:br/>
        <w:t>− Révision du document ECE/TRANS/WP</w:t>
      </w:r>
      <w:r w:rsidR="00F76255" w:rsidRPr="00FC1209">
        <w:rPr>
          <w:bCs/>
          <w:lang w:val="fr-FR"/>
        </w:rPr>
        <w:t>.</w:t>
      </w:r>
      <w:r w:rsidR="00F76255">
        <w:rPr>
          <w:bCs/>
          <w:lang w:val="fr-FR"/>
        </w:rPr>
        <w:t>15/AC</w:t>
      </w:r>
      <w:r w:rsidR="00F76255" w:rsidRPr="00FC1209">
        <w:rPr>
          <w:bCs/>
          <w:lang w:val="fr-FR"/>
        </w:rPr>
        <w:t>.</w:t>
      </w:r>
      <w:r w:rsidR="00F76255">
        <w:rPr>
          <w:bCs/>
          <w:lang w:val="fr-FR"/>
        </w:rPr>
        <w:t>1/2020/51</w:t>
      </w:r>
      <w:r w:rsidRPr="00520996">
        <w:tab/>
      </w:r>
      <w:r w:rsidRPr="00520996">
        <w:tab/>
        <w:t>22</w:t>
      </w:r>
      <w:r w:rsidRPr="00520996">
        <w:tab/>
      </w:r>
      <w:r w:rsidR="00F76255">
        <w:t>6</w:t>
      </w:r>
    </w:p>
    <w:p w14:paraId="08F12619" w14:textId="61814117" w:rsidR="00520996" w:rsidRPr="00037456" w:rsidRDefault="00520996" w:rsidP="00F76255">
      <w:pPr>
        <w:tabs>
          <w:tab w:val="right" w:leader="dot" w:pos="7654"/>
          <w:tab w:val="right" w:pos="8929"/>
          <w:tab w:val="right" w:pos="9638"/>
        </w:tabs>
        <w:spacing w:after="120" w:line="230" w:lineRule="atLeast"/>
        <w:ind w:left="1984" w:hanging="425"/>
      </w:pPr>
      <w:r w:rsidRPr="00037456">
        <w:t>2</w:t>
      </w:r>
      <w:r w:rsidR="00FC1209" w:rsidRPr="00FC1209">
        <w:t>.</w:t>
      </w:r>
      <w:r w:rsidRPr="00037456">
        <w:tab/>
      </w:r>
      <w:r w:rsidR="00F76255">
        <w:rPr>
          <w:lang w:val="fr-FR"/>
        </w:rPr>
        <w:t xml:space="preserve">Nom et description des numéros ONU dans le Règlement type </w:t>
      </w:r>
      <w:r w:rsidR="00F76255">
        <w:rPr>
          <w:lang w:val="fr-FR"/>
        </w:rPr>
        <w:br/>
        <w:t xml:space="preserve">et dans le RID et l’ADR : No ONU 2426, nitrate </w:t>
      </w:r>
      <w:r w:rsidR="00F76255">
        <w:rPr>
          <w:lang w:val="fr-FR"/>
        </w:rPr>
        <w:br/>
        <w:t>d’ammonium liquide</w:t>
      </w:r>
      <w:r w:rsidRPr="00037456">
        <w:tab/>
      </w:r>
      <w:r>
        <w:tab/>
      </w:r>
      <w:r w:rsidRPr="00037456">
        <w:t>23</w:t>
      </w:r>
      <w:r w:rsidRPr="00037456">
        <w:tab/>
      </w:r>
      <w:r w:rsidR="00AE7FD5">
        <w:t>7</w:t>
      </w:r>
    </w:p>
    <w:p w14:paraId="264F3911" w14:textId="36AB02F9" w:rsidR="00520996" w:rsidRPr="00037456" w:rsidRDefault="00520996" w:rsidP="00F76255">
      <w:pPr>
        <w:tabs>
          <w:tab w:val="right" w:leader="dot" w:pos="7654"/>
          <w:tab w:val="right" w:pos="8929"/>
          <w:tab w:val="right" w:pos="9638"/>
        </w:tabs>
        <w:spacing w:after="120" w:line="230" w:lineRule="atLeast"/>
        <w:ind w:left="1984" w:hanging="425"/>
      </w:pPr>
      <w:r w:rsidRPr="00037456">
        <w:t>3</w:t>
      </w:r>
      <w:r w:rsidR="00FC1209" w:rsidRPr="00FC1209">
        <w:t>.</w:t>
      </w:r>
      <w:r w:rsidRPr="00037456">
        <w:tab/>
      </w:r>
      <w:r w:rsidR="00F76255">
        <w:rPr>
          <w:lang w:val="fr-FR"/>
        </w:rPr>
        <w:t>Harmonisation de la disposition spéciale 593 avec le 5</w:t>
      </w:r>
      <w:r w:rsidR="00F76255" w:rsidRPr="00FC1209">
        <w:rPr>
          <w:lang w:val="fr-FR"/>
        </w:rPr>
        <w:t>.</w:t>
      </w:r>
      <w:r w:rsidR="00F76255">
        <w:rPr>
          <w:lang w:val="fr-FR"/>
        </w:rPr>
        <w:t>5</w:t>
      </w:r>
      <w:r w:rsidR="00F76255" w:rsidRPr="00FC1209">
        <w:rPr>
          <w:lang w:val="fr-FR"/>
        </w:rPr>
        <w:t>.</w:t>
      </w:r>
      <w:r w:rsidR="00F76255">
        <w:rPr>
          <w:lang w:val="fr-FR"/>
        </w:rPr>
        <w:t>3</w:t>
      </w:r>
      <w:r w:rsidRPr="00037456">
        <w:tab/>
      </w:r>
      <w:r w:rsidRPr="00037456">
        <w:tab/>
        <w:t>24</w:t>
      </w:r>
      <w:r w:rsidRPr="00037456">
        <w:tab/>
      </w:r>
      <w:r w:rsidR="00AE7FD5">
        <w:t>7</w:t>
      </w:r>
    </w:p>
    <w:p w14:paraId="484D0C8E" w14:textId="599DC859" w:rsidR="00520996" w:rsidRPr="00037456" w:rsidRDefault="00520996" w:rsidP="00F76255">
      <w:pPr>
        <w:tabs>
          <w:tab w:val="right" w:leader="dot" w:pos="7654"/>
          <w:tab w:val="right" w:pos="8929"/>
          <w:tab w:val="right" w:pos="9638"/>
        </w:tabs>
        <w:spacing w:after="120" w:line="230" w:lineRule="atLeast"/>
        <w:ind w:left="1984" w:hanging="425"/>
      </w:pPr>
      <w:r w:rsidRPr="00037456">
        <w:t>4</w:t>
      </w:r>
      <w:r w:rsidR="00FC1209" w:rsidRPr="00FC1209">
        <w:t>.</w:t>
      </w:r>
      <w:r w:rsidRPr="00037456">
        <w:tab/>
      </w:r>
      <w:r w:rsidR="00F76255">
        <w:rPr>
          <w:lang w:val="fr-FR"/>
        </w:rPr>
        <w:t>Disposition spéciale 363</w:t>
      </w:r>
      <w:r w:rsidRPr="00037456">
        <w:tab/>
      </w:r>
      <w:r w:rsidRPr="00037456">
        <w:tab/>
        <w:t>25</w:t>
      </w:r>
      <w:r w:rsidRPr="00037456">
        <w:tab/>
      </w:r>
      <w:r w:rsidR="00AE7FD5">
        <w:t>7</w:t>
      </w:r>
    </w:p>
    <w:p w14:paraId="4EE77316" w14:textId="151BD986" w:rsidR="00520996" w:rsidRPr="00037456" w:rsidRDefault="00520996" w:rsidP="00F76255">
      <w:pPr>
        <w:tabs>
          <w:tab w:val="right" w:leader="dot" w:pos="7654"/>
          <w:tab w:val="right" w:pos="8929"/>
          <w:tab w:val="right" w:pos="9638"/>
        </w:tabs>
        <w:spacing w:after="120" w:line="230" w:lineRule="atLeast"/>
        <w:ind w:left="1984" w:hanging="425"/>
      </w:pPr>
      <w:r w:rsidRPr="00037456">
        <w:t>5</w:t>
      </w:r>
      <w:r w:rsidR="00FC1209" w:rsidRPr="00FC1209">
        <w:t>.</w:t>
      </w:r>
      <w:r w:rsidRPr="00037456">
        <w:tab/>
      </w:r>
      <w:r w:rsidR="00F76255" w:rsidRPr="00F76255">
        <w:rPr>
          <w:bCs/>
          <w:lang w:val="fr-FR"/>
        </w:rPr>
        <w:t xml:space="preserve">Nom et description des numéros ONU dans le Règlement type </w:t>
      </w:r>
      <w:r w:rsidR="00F76255">
        <w:rPr>
          <w:bCs/>
          <w:lang w:val="fr-FR"/>
        </w:rPr>
        <w:br/>
      </w:r>
      <w:r w:rsidR="00F76255" w:rsidRPr="00F76255">
        <w:rPr>
          <w:bCs/>
          <w:lang w:val="fr-FR"/>
        </w:rPr>
        <w:t>et dans le RID et l’ADR : No ONU 1012, butylène</w:t>
      </w:r>
      <w:r w:rsidRPr="00037456">
        <w:tab/>
      </w:r>
      <w:r w:rsidRPr="00037456">
        <w:tab/>
        <w:t>26</w:t>
      </w:r>
      <w:r w:rsidRPr="00037456">
        <w:tab/>
      </w:r>
      <w:r w:rsidR="00AE7FD5">
        <w:t>7</w:t>
      </w:r>
    </w:p>
    <w:p w14:paraId="2036E21E" w14:textId="68749F54" w:rsidR="00520996" w:rsidRPr="00037456" w:rsidRDefault="00520996" w:rsidP="00F76255">
      <w:pPr>
        <w:tabs>
          <w:tab w:val="right" w:leader="dot" w:pos="7654"/>
          <w:tab w:val="right" w:pos="8929"/>
          <w:tab w:val="right" w:pos="9638"/>
        </w:tabs>
        <w:spacing w:after="120" w:line="230" w:lineRule="atLeast"/>
        <w:ind w:left="1984" w:hanging="425"/>
      </w:pPr>
      <w:r w:rsidRPr="00037456">
        <w:t>6</w:t>
      </w:r>
      <w:r w:rsidR="00FC1209" w:rsidRPr="00FC1209">
        <w:t>.</w:t>
      </w:r>
      <w:r w:rsidRPr="00037456">
        <w:tab/>
      </w:r>
      <w:r w:rsidR="00F76255">
        <w:rPr>
          <w:lang w:val="fr-FR"/>
        </w:rPr>
        <w:t>Proposition d’amendement au chapitre 1</w:t>
      </w:r>
      <w:r w:rsidR="00F76255" w:rsidRPr="00FC1209">
        <w:rPr>
          <w:lang w:val="fr-FR"/>
        </w:rPr>
        <w:t>.</w:t>
      </w:r>
      <w:r w:rsidR="00F76255">
        <w:rPr>
          <w:lang w:val="fr-FR"/>
        </w:rPr>
        <w:t>2 du RID et de l’ADR</w:t>
      </w:r>
      <w:r w:rsidRPr="00037456">
        <w:tab/>
      </w:r>
      <w:r w:rsidRPr="00037456">
        <w:tab/>
        <w:t>27</w:t>
      </w:r>
      <w:r w:rsidRPr="00037456">
        <w:tab/>
      </w:r>
      <w:r w:rsidR="00AE7FD5">
        <w:t>7</w:t>
      </w:r>
    </w:p>
    <w:p w14:paraId="748D6B8B" w14:textId="42D8A343" w:rsidR="00520996" w:rsidRPr="00037456" w:rsidRDefault="00520996" w:rsidP="00F76255">
      <w:pPr>
        <w:tabs>
          <w:tab w:val="right" w:leader="dot" w:pos="7654"/>
          <w:tab w:val="right" w:pos="8929"/>
          <w:tab w:val="right" w:pos="9638"/>
        </w:tabs>
        <w:spacing w:after="120" w:line="230" w:lineRule="atLeast"/>
        <w:ind w:left="1984" w:hanging="425"/>
      </w:pPr>
      <w:r w:rsidRPr="00037456">
        <w:t>7</w:t>
      </w:r>
      <w:r w:rsidR="00FC1209" w:rsidRPr="00FC1209">
        <w:t>.</w:t>
      </w:r>
      <w:r w:rsidRPr="00037456">
        <w:tab/>
      </w:r>
      <w:r w:rsidR="00F76255">
        <w:rPr>
          <w:lang w:val="fr-FR"/>
        </w:rPr>
        <w:t>Ajout de définitions au 1</w:t>
      </w:r>
      <w:r w:rsidR="00F76255" w:rsidRPr="00FC1209">
        <w:rPr>
          <w:lang w:val="fr-FR"/>
        </w:rPr>
        <w:t>.</w:t>
      </w:r>
      <w:r w:rsidR="00F76255">
        <w:rPr>
          <w:lang w:val="fr-FR"/>
        </w:rPr>
        <w:t>2</w:t>
      </w:r>
      <w:r w:rsidR="00F76255" w:rsidRPr="00FC1209">
        <w:rPr>
          <w:lang w:val="fr-FR"/>
        </w:rPr>
        <w:t>.</w:t>
      </w:r>
      <w:r w:rsidR="00F76255">
        <w:rPr>
          <w:lang w:val="fr-FR"/>
        </w:rPr>
        <w:t>1</w:t>
      </w:r>
      <w:r w:rsidRPr="00037456">
        <w:tab/>
      </w:r>
      <w:r w:rsidRPr="00037456">
        <w:tab/>
        <w:t>28</w:t>
      </w:r>
      <w:r w:rsidRPr="00037456">
        <w:tab/>
      </w:r>
      <w:r w:rsidR="00AE7FD5">
        <w:t>8</w:t>
      </w:r>
    </w:p>
    <w:p w14:paraId="70639ABF" w14:textId="0BFC1A22" w:rsidR="00520996" w:rsidRPr="00037456" w:rsidRDefault="00520996" w:rsidP="00F76255">
      <w:pPr>
        <w:tabs>
          <w:tab w:val="right" w:leader="dot" w:pos="7654"/>
          <w:tab w:val="right" w:pos="8929"/>
          <w:tab w:val="right" w:pos="9638"/>
        </w:tabs>
        <w:spacing w:after="120" w:line="230" w:lineRule="atLeast"/>
        <w:ind w:left="1559" w:hanging="425"/>
      </w:pPr>
      <w:r w:rsidRPr="00037456">
        <w:t>B</w:t>
      </w:r>
      <w:r w:rsidR="00FC1209" w:rsidRPr="00FC1209">
        <w:t>.</w:t>
      </w:r>
      <w:r w:rsidRPr="00037456">
        <w:tab/>
      </w:r>
      <w:r w:rsidR="00F76255" w:rsidRPr="00B93758">
        <w:rPr>
          <w:lang w:val="fr-FR"/>
        </w:rPr>
        <w:t>Nouvelles proposition</w:t>
      </w:r>
      <w:r w:rsidR="00F76255">
        <w:rPr>
          <w:lang w:val="fr-FR"/>
        </w:rPr>
        <w:t>s</w:t>
      </w:r>
      <w:r w:rsidRPr="00037456">
        <w:tab/>
      </w:r>
      <w:r w:rsidRPr="00037456">
        <w:tab/>
        <w:t>29-39</w:t>
      </w:r>
      <w:r w:rsidRPr="00037456">
        <w:tab/>
      </w:r>
      <w:r w:rsidR="00AE7FD5">
        <w:t>8</w:t>
      </w:r>
    </w:p>
    <w:p w14:paraId="383476EA" w14:textId="61834731" w:rsidR="00520996" w:rsidRPr="00037456" w:rsidRDefault="00520996" w:rsidP="00F76255">
      <w:pPr>
        <w:tabs>
          <w:tab w:val="right" w:leader="dot" w:pos="7654"/>
          <w:tab w:val="right" w:pos="8929"/>
          <w:tab w:val="right" w:pos="9638"/>
        </w:tabs>
        <w:spacing w:after="120" w:line="230" w:lineRule="atLeast"/>
        <w:ind w:left="1984" w:hanging="425"/>
      </w:pPr>
      <w:r w:rsidRPr="00037456">
        <w:t>1</w:t>
      </w:r>
      <w:r w:rsidR="00FC1209" w:rsidRPr="00FC1209">
        <w:t>.</w:t>
      </w:r>
      <w:r w:rsidRPr="00037456">
        <w:tab/>
      </w:r>
      <w:r w:rsidR="00F76255">
        <w:rPr>
          <w:lang w:val="fr-FR"/>
        </w:rPr>
        <w:t xml:space="preserve">Ajout de dispositions relatives au transport d’aluminium fondu </w:t>
      </w:r>
      <w:r w:rsidR="00F76255">
        <w:rPr>
          <w:lang w:val="fr-FR"/>
        </w:rPr>
        <w:br/>
        <w:t>sous le N</w:t>
      </w:r>
      <w:r w:rsidR="00F76255" w:rsidRPr="00214828">
        <w:rPr>
          <w:lang w:val="fr-FR"/>
        </w:rPr>
        <w:t>o</w:t>
      </w:r>
      <w:r w:rsidR="00F76255">
        <w:rPr>
          <w:lang w:val="fr-FR"/>
        </w:rPr>
        <w:t xml:space="preserve"> ONU 3257</w:t>
      </w:r>
      <w:r>
        <w:tab/>
      </w:r>
      <w:r>
        <w:tab/>
        <w:t>29</w:t>
      </w:r>
      <w:r>
        <w:tab/>
      </w:r>
      <w:r w:rsidR="00AE7FD5">
        <w:t>8</w:t>
      </w:r>
    </w:p>
    <w:p w14:paraId="4FC2CDA4" w14:textId="044F0F87" w:rsidR="00520996" w:rsidRPr="00037456" w:rsidRDefault="00520996" w:rsidP="00F76255">
      <w:pPr>
        <w:tabs>
          <w:tab w:val="right" w:leader="dot" w:pos="7654"/>
          <w:tab w:val="right" w:pos="8929"/>
          <w:tab w:val="right" w:pos="9638"/>
        </w:tabs>
        <w:spacing w:after="120" w:line="230" w:lineRule="atLeast"/>
        <w:ind w:left="1984" w:hanging="425"/>
      </w:pPr>
      <w:r w:rsidRPr="00037456">
        <w:t>2</w:t>
      </w:r>
      <w:r w:rsidR="00FC1209" w:rsidRPr="00FC1209">
        <w:t>.</w:t>
      </w:r>
      <w:r w:rsidRPr="00037456">
        <w:tab/>
      </w:r>
      <w:r w:rsidR="00F76255">
        <w:rPr>
          <w:bCs/>
          <w:lang w:val="fr-FR"/>
        </w:rPr>
        <w:t>1</w:t>
      </w:r>
      <w:r w:rsidR="00F76255" w:rsidRPr="00FC1209">
        <w:rPr>
          <w:bCs/>
          <w:lang w:val="fr-FR"/>
        </w:rPr>
        <w:t>.</w:t>
      </w:r>
      <w:r w:rsidR="00F76255">
        <w:rPr>
          <w:bCs/>
          <w:lang w:val="fr-FR"/>
        </w:rPr>
        <w:t>8</w:t>
      </w:r>
      <w:r w:rsidR="00F76255" w:rsidRPr="00FC1209">
        <w:rPr>
          <w:bCs/>
          <w:lang w:val="fr-FR"/>
        </w:rPr>
        <w:t>.</w:t>
      </w:r>
      <w:r w:rsidR="00F76255">
        <w:rPr>
          <w:bCs/>
          <w:lang w:val="fr-FR"/>
        </w:rPr>
        <w:t>7</w:t>
      </w:r>
      <w:r w:rsidR="00F76255" w:rsidRPr="00FC1209">
        <w:rPr>
          <w:bCs/>
          <w:lang w:val="fr-FR"/>
        </w:rPr>
        <w:t>.</w:t>
      </w:r>
      <w:r w:rsidR="00F76255">
        <w:rPr>
          <w:bCs/>
          <w:lang w:val="fr-FR"/>
        </w:rPr>
        <w:t>2</w:t>
      </w:r>
      <w:r w:rsidR="00F76255" w:rsidRPr="00FC1209">
        <w:rPr>
          <w:bCs/>
          <w:lang w:val="fr-FR"/>
        </w:rPr>
        <w:t>.</w:t>
      </w:r>
      <w:r w:rsidR="00F76255">
        <w:rPr>
          <w:bCs/>
          <w:lang w:val="fr-FR"/>
        </w:rPr>
        <w:t>3 du RID et de l’ADR : c</w:t>
      </w:r>
      <w:r w:rsidR="00F76255" w:rsidRPr="005C7708">
        <w:rPr>
          <w:bCs/>
          <w:lang w:val="fr-FR"/>
        </w:rPr>
        <w:t>hamp d</w:t>
      </w:r>
      <w:r w:rsidR="00F76255">
        <w:rPr>
          <w:bCs/>
          <w:lang w:val="fr-FR"/>
        </w:rPr>
        <w:t>’</w:t>
      </w:r>
      <w:r w:rsidR="00F76255" w:rsidRPr="005C7708">
        <w:rPr>
          <w:bCs/>
          <w:lang w:val="fr-FR"/>
        </w:rPr>
        <w:t xml:space="preserve">application </w:t>
      </w:r>
      <w:r w:rsidR="00F76255">
        <w:rPr>
          <w:bCs/>
          <w:lang w:val="fr-FR"/>
        </w:rPr>
        <w:t xml:space="preserve">du certificat </w:t>
      </w:r>
      <w:r w:rsidR="00F76255">
        <w:rPr>
          <w:bCs/>
          <w:lang w:val="fr-FR"/>
        </w:rPr>
        <w:br/>
        <w:t>d’homologation de type</w:t>
      </w:r>
      <w:r>
        <w:tab/>
      </w:r>
      <w:r>
        <w:tab/>
        <w:t>30</w:t>
      </w:r>
      <w:r>
        <w:tab/>
      </w:r>
      <w:r w:rsidR="00AE7FD5">
        <w:t>8</w:t>
      </w:r>
    </w:p>
    <w:p w14:paraId="7F57F639" w14:textId="681350A8" w:rsidR="00520996" w:rsidRPr="00037456" w:rsidRDefault="00520996" w:rsidP="00F76255">
      <w:pPr>
        <w:tabs>
          <w:tab w:val="right" w:leader="dot" w:pos="7654"/>
          <w:tab w:val="right" w:pos="8929"/>
          <w:tab w:val="right" w:pos="9638"/>
        </w:tabs>
        <w:spacing w:after="120" w:line="230" w:lineRule="atLeast"/>
        <w:ind w:left="1984" w:hanging="425"/>
      </w:pPr>
      <w:r w:rsidRPr="00037456">
        <w:t>3</w:t>
      </w:r>
      <w:r w:rsidR="00FC1209" w:rsidRPr="00FC1209">
        <w:t>.</w:t>
      </w:r>
      <w:r w:rsidRPr="00037456">
        <w:tab/>
      </w:r>
      <w:r w:rsidR="00F76255" w:rsidRPr="009E0422">
        <w:rPr>
          <w:lang w:val="fr-FR"/>
        </w:rPr>
        <w:t xml:space="preserve">Dispositions concernant la sûreté et prescriptions relatives </w:t>
      </w:r>
      <w:r w:rsidR="00F76255">
        <w:rPr>
          <w:lang w:val="fr-FR"/>
        </w:rPr>
        <w:br/>
      </w:r>
      <w:r w:rsidR="00F76255" w:rsidRPr="009E0422">
        <w:rPr>
          <w:lang w:val="fr-FR"/>
        </w:rPr>
        <w:t>à la surveillance pour les détonateurs</w:t>
      </w:r>
      <w:r>
        <w:tab/>
      </w:r>
      <w:r>
        <w:tab/>
        <w:t>31</w:t>
      </w:r>
      <w:r>
        <w:tab/>
      </w:r>
      <w:r w:rsidR="00AE7FD5">
        <w:t>8</w:t>
      </w:r>
    </w:p>
    <w:p w14:paraId="6C8DED41" w14:textId="480A3A16" w:rsidR="00520996" w:rsidRPr="00037456" w:rsidRDefault="00520996" w:rsidP="00F76255">
      <w:pPr>
        <w:tabs>
          <w:tab w:val="right" w:leader="dot" w:pos="7654"/>
          <w:tab w:val="right" w:pos="8929"/>
          <w:tab w:val="right" w:pos="9638"/>
        </w:tabs>
        <w:spacing w:after="120" w:line="230" w:lineRule="atLeast"/>
        <w:ind w:left="1984" w:hanging="425"/>
      </w:pPr>
      <w:r w:rsidRPr="00037456">
        <w:t>4</w:t>
      </w:r>
      <w:r w:rsidR="00FC1209" w:rsidRPr="00FC1209">
        <w:t>.</w:t>
      </w:r>
      <w:r w:rsidRPr="00037456">
        <w:tab/>
      </w:r>
      <w:r w:rsidR="00F76255" w:rsidRPr="009E0422">
        <w:rPr>
          <w:lang w:val="fr-FR"/>
        </w:rPr>
        <w:t xml:space="preserve">Transport de récipients à pression agréés par le Département </w:t>
      </w:r>
      <w:r w:rsidR="00F76255">
        <w:rPr>
          <w:lang w:val="fr-FR"/>
        </w:rPr>
        <w:br/>
      </w:r>
      <w:r w:rsidR="00F76255" w:rsidRPr="009E0422">
        <w:rPr>
          <w:lang w:val="fr-FR"/>
        </w:rPr>
        <w:t>des transports des</w:t>
      </w:r>
      <w:r w:rsidR="00F76255">
        <w:rPr>
          <w:lang w:val="fr-FR"/>
        </w:rPr>
        <w:t> </w:t>
      </w:r>
      <w:r w:rsidR="00F76255" w:rsidRPr="009E0422">
        <w:rPr>
          <w:lang w:val="fr-FR"/>
        </w:rPr>
        <w:t>États-Unis d</w:t>
      </w:r>
      <w:r w:rsidR="00F76255">
        <w:rPr>
          <w:lang w:val="fr-FR"/>
        </w:rPr>
        <w:t>’</w:t>
      </w:r>
      <w:r w:rsidR="00F76255" w:rsidRPr="009E0422">
        <w:rPr>
          <w:lang w:val="fr-FR"/>
        </w:rPr>
        <w:t>Amérique</w:t>
      </w:r>
      <w:r>
        <w:tab/>
      </w:r>
      <w:r>
        <w:tab/>
        <w:t>32-33</w:t>
      </w:r>
      <w:r>
        <w:tab/>
      </w:r>
      <w:r w:rsidR="00AE7FD5">
        <w:t>8</w:t>
      </w:r>
    </w:p>
    <w:p w14:paraId="1BD3BCE5" w14:textId="4B633DE6" w:rsidR="00520996" w:rsidRPr="00037456" w:rsidRDefault="00520996" w:rsidP="00F76255">
      <w:pPr>
        <w:tabs>
          <w:tab w:val="right" w:leader="dot" w:pos="7654"/>
          <w:tab w:val="right" w:pos="8929"/>
          <w:tab w:val="right" w:pos="9638"/>
        </w:tabs>
        <w:spacing w:after="120" w:line="230" w:lineRule="atLeast"/>
        <w:ind w:left="1984" w:hanging="425"/>
      </w:pPr>
      <w:r w:rsidRPr="00037456">
        <w:t>5</w:t>
      </w:r>
      <w:r w:rsidR="00FC1209" w:rsidRPr="00FC1209">
        <w:t>.</w:t>
      </w:r>
      <w:r w:rsidRPr="00037456">
        <w:tab/>
      </w:r>
      <w:r w:rsidR="00F76255" w:rsidRPr="009E0422">
        <w:rPr>
          <w:lang w:val="fr-FR"/>
        </w:rPr>
        <w:t>6</w:t>
      </w:r>
      <w:r w:rsidR="00F76255" w:rsidRPr="00FC1209">
        <w:rPr>
          <w:lang w:val="fr-FR"/>
        </w:rPr>
        <w:t>.</w:t>
      </w:r>
      <w:r w:rsidR="00F76255" w:rsidRPr="009E0422">
        <w:rPr>
          <w:lang w:val="fr-FR"/>
        </w:rPr>
        <w:t>2</w:t>
      </w:r>
      <w:r w:rsidR="00F76255" w:rsidRPr="00FC1209">
        <w:rPr>
          <w:lang w:val="fr-FR"/>
        </w:rPr>
        <w:t>.</w:t>
      </w:r>
      <w:r w:rsidR="00F76255" w:rsidRPr="009E0422">
        <w:rPr>
          <w:lang w:val="fr-FR"/>
        </w:rPr>
        <w:t>3</w:t>
      </w:r>
      <w:r w:rsidR="00F76255" w:rsidRPr="00FC1209">
        <w:rPr>
          <w:lang w:val="fr-FR"/>
        </w:rPr>
        <w:t>.</w:t>
      </w:r>
      <w:r w:rsidR="00F76255" w:rsidRPr="009E0422">
        <w:rPr>
          <w:lang w:val="fr-FR"/>
        </w:rPr>
        <w:t>1</w:t>
      </w:r>
      <w:r w:rsidR="00F76255" w:rsidRPr="00FC1209">
        <w:rPr>
          <w:lang w:val="fr-FR"/>
        </w:rPr>
        <w:t>.</w:t>
      </w:r>
      <w:r w:rsidR="00F76255" w:rsidRPr="009E0422">
        <w:rPr>
          <w:lang w:val="fr-FR"/>
        </w:rPr>
        <w:t>5 du RID et de l</w:t>
      </w:r>
      <w:r w:rsidR="00F76255">
        <w:rPr>
          <w:lang w:val="fr-FR"/>
        </w:rPr>
        <w:t>’</w:t>
      </w:r>
      <w:r w:rsidR="00F76255" w:rsidRPr="009E0422">
        <w:rPr>
          <w:lang w:val="fr-FR"/>
        </w:rPr>
        <w:t>ADR</w:t>
      </w:r>
      <w:r w:rsidR="00F76255">
        <w:rPr>
          <w:lang w:val="fr-FR"/>
        </w:rPr>
        <w:t xml:space="preserve"> : </w:t>
      </w:r>
      <w:r w:rsidR="00F76255" w:rsidRPr="009E0422">
        <w:rPr>
          <w:lang w:val="fr-FR"/>
        </w:rPr>
        <w:t xml:space="preserve">dispositifs de décompression </w:t>
      </w:r>
      <w:r w:rsidR="00F76255">
        <w:rPr>
          <w:lang w:val="fr-FR"/>
        </w:rPr>
        <w:br/>
      </w:r>
      <w:r w:rsidR="00F76255" w:rsidRPr="009E0422">
        <w:rPr>
          <w:lang w:val="fr-FR"/>
        </w:rPr>
        <w:t>des bouteilles d</w:t>
      </w:r>
      <w:r w:rsidR="00F76255">
        <w:rPr>
          <w:lang w:val="fr-FR"/>
        </w:rPr>
        <w:t>’</w:t>
      </w:r>
      <w:r w:rsidR="00F76255" w:rsidRPr="009E0422">
        <w:rPr>
          <w:lang w:val="fr-FR"/>
        </w:rPr>
        <w:t>acétylène ne portant pas la marque «</w:t>
      </w:r>
      <w:r w:rsidR="00F76255">
        <w:rPr>
          <w:lang w:val="fr-FR"/>
        </w:rPr>
        <w:t> </w:t>
      </w:r>
      <w:r w:rsidR="00F76255" w:rsidRPr="009E0422">
        <w:rPr>
          <w:lang w:val="fr-FR"/>
        </w:rPr>
        <w:t>UN</w:t>
      </w:r>
      <w:r w:rsidR="00F76255">
        <w:rPr>
          <w:lang w:val="fr-FR"/>
        </w:rPr>
        <w:t> </w:t>
      </w:r>
      <w:r w:rsidR="00F76255" w:rsidRPr="009E0422">
        <w:rPr>
          <w:lang w:val="fr-FR"/>
        </w:rPr>
        <w:t>»</w:t>
      </w:r>
      <w:r>
        <w:tab/>
      </w:r>
      <w:r>
        <w:tab/>
        <w:t>34</w:t>
      </w:r>
      <w:r>
        <w:tab/>
      </w:r>
      <w:r w:rsidR="00AE7FD5">
        <w:t>9</w:t>
      </w:r>
    </w:p>
    <w:p w14:paraId="25024E6C" w14:textId="394A8D93" w:rsidR="00520996" w:rsidRPr="00037456" w:rsidRDefault="00520996" w:rsidP="00F76255">
      <w:pPr>
        <w:tabs>
          <w:tab w:val="right" w:leader="dot" w:pos="7654"/>
          <w:tab w:val="right" w:pos="8929"/>
          <w:tab w:val="right" w:pos="9638"/>
        </w:tabs>
        <w:spacing w:after="120" w:line="230" w:lineRule="atLeast"/>
        <w:ind w:left="1984" w:hanging="425"/>
      </w:pPr>
      <w:r w:rsidRPr="00037456">
        <w:t>6</w:t>
      </w:r>
      <w:r w:rsidR="00FC1209" w:rsidRPr="00FC1209">
        <w:t>.</w:t>
      </w:r>
      <w:r w:rsidRPr="00037456">
        <w:tab/>
      </w:r>
      <w:r w:rsidR="00F76255">
        <w:rPr>
          <w:lang w:val="fr-FR"/>
        </w:rPr>
        <w:t>Amélioration de la phrase d’introduction de la section 7</w:t>
      </w:r>
      <w:r w:rsidR="00F76255" w:rsidRPr="00FC1209">
        <w:rPr>
          <w:lang w:val="fr-FR"/>
        </w:rPr>
        <w:t>.</w:t>
      </w:r>
      <w:r w:rsidR="00F76255">
        <w:rPr>
          <w:lang w:val="fr-FR"/>
        </w:rPr>
        <w:t>4</w:t>
      </w:r>
      <w:r w:rsidR="00F76255" w:rsidRPr="00FC1209">
        <w:rPr>
          <w:lang w:val="fr-FR"/>
        </w:rPr>
        <w:t>.</w:t>
      </w:r>
      <w:r w:rsidR="00F76255">
        <w:rPr>
          <w:lang w:val="fr-FR"/>
        </w:rPr>
        <w:t xml:space="preserve">1 </w:t>
      </w:r>
      <w:r w:rsidR="00F76255">
        <w:rPr>
          <w:lang w:val="fr-FR"/>
        </w:rPr>
        <w:br/>
        <w:t>du chapitre 7</w:t>
      </w:r>
      <w:r w:rsidR="00F76255" w:rsidRPr="00FC1209">
        <w:rPr>
          <w:lang w:val="fr-FR"/>
        </w:rPr>
        <w:t>.</w:t>
      </w:r>
      <w:r w:rsidR="00F76255">
        <w:rPr>
          <w:lang w:val="fr-FR"/>
        </w:rPr>
        <w:t>4</w:t>
      </w:r>
      <w:r>
        <w:tab/>
      </w:r>
      <w:r>
        <w:tab/>
        <w:t>35</w:t>
      </w:r>
      <w:r>
        <w:tab/>
      </w:r>
      <w:r w:rsidR="00AE7FD5">
        <w:t>9</w:t>
      </w:r>
    </w:p>
    <w:p w14:paraId="648745AC" w14:textId="7C262541" w:rsidR="00520996" w:rsidRPr="00037456" w:rsidRDefault="00520996" w:rsidP="00F76255">
      <w:pPr>
        <w:tabs>
          <w:tab w:val="right" w:leader="dot" w:pos="7654"/>
          <w:tab w:val="right" w:pos="8929"/>
          <w:tab w:val="right" w:pos="9638"/>
        </w:tabs>
        <w:spacing w:after="120" w:line="230" w:lineRule="atLeast"/>
        <w:ind w:left="1984" w:hanging="425"/>
      </w:pPr>
      <w:r w:rsidRPr="00037456">
        <w:t>7</w:t>
      </w:r>
      <w:r w:rsidR="00FC1209" w:rsidRPr="00FC1209">
        <w:t>.</w:t>
      </w:r>
      <w:r w:rsidRPr="00037456">
        <w:tab/>
      </w:r>
      <w:r w:rsidR="00F76255">
        <w:rPr>
          <w:lang w:val="fr-FR"/>
        </w:rPr>
        <w:t>Peintures et encres d’imprimerie dangereuses pour l’environnement</w:t>
      </w:r>
      <w:r>
        <w:tab/>
      </w:r>
      <w:r>
        <w:tab/>
        <w:t>36</w:t>
      </w:r>
      <w:r>
        <w:tab/>
      </w:r>
      <w:r w:rsidR="00AE7FD5">
        <w:t>9</w:t>
      </w:r>
    </w:p>
    <w:p w14:paraId="3488B96B" w14:textId="5E701B2F" w:rsidR="00520996" w:rsidRPr="00037456" w:rsidRDefault="00520996" w:rsidP="00F76255">
      <w:pPr>
        <w:tabs>
          <w:tab w:val="right" w:leader="dot" w:pos="7654"/>
          <w:tab w:val="right" w:pos="8929"/>
          <w:tab w:val="right" w:pos="9638"/>
        </w:tabs>
        <w:spacing w:after="120" w:line="230" w:lineRule="atLeast"/>
        <w:ind w:left="1984" w:hanging="425"/>
      </w:pPr>
      <w:r w:rsidRPr="00037456">
        <w:t>8</w:t>
      </w:r>
      <w:r w:rsidR="00FC1209" w:rsidRPr="00FC1209">
        <w:t>.</w:t>
      </w:r>
      <w:r w:rsidRPr="00037456">
        <w:tab/>
      </w:r>
      <w:r w:rsidR="00F76255">
        <w:rPr>
          <w:lang w:val="fr-FR"/>
        </w:rPr>
        <w:t>Certificat d’empotage du conteneur ou du véhicule</w:t>
      </w:r>
      <w:r>
        <w:tab/>
      </w:r>
      <w:r>
        <w:tab/>
        <w:t>37</w:t>
      </w:r>
      <w:r>
        <w:tab/>
      </w:r>
      <w:r w:rsidR="00AE7FD5">
        <w:t>9</w:t>
      </w:r>
    </w:p>
    <w:p w14:paraId="7C3E00DB" w14:textId="0DCFBB8F" w:rsidR="00520996" w:rsidRPr="00037456" w:rsidRDefault="00520996" w:rsidP="00F76255">
      <w:pPr>
        <w:tabs>
          <w:tab w:val="right" w:leader="dot" w:pos="7654"/>
          <w:tab w:val="right" w:pos="8929"/>
          <w:tab w:val="right" w:pos="9638"/>
        </w:tabs>
        <w:spacing w:after="120" w:line="230" w:lineRule="atLeast"/>
        <w:ind w:left="1984" w:hanging="425"/>
      </w:pPr>
      <w:r w:rsidRPr="00037456">
        <w:t>9</w:t>
      </w:r>
      <w:r w:rsidR="00FC1209" w:rsidRPr="00FC1209">
        <w:t>.</w:t>
      </w:r>
      <w:r w:rsidRPr="00037456">
        <w:tab/>
      </w:r>
      <w:r w:rsidR="00F76255">
        <w:rPr>
          <w:lang w:val="fr-FR"/>
        </w:rPr>
        <w:t>Mandat du groupe de travail informel de l’apprentissage en ligne</w:t>
      </w:r>
      <w:r>
        <w:tab/>
      </w:r>
      <w:r>
        <w:tab/>
        <w:t>38</w:t>
      </w:r>
      <w:r>
        <w:tab/>
      </w:r>
      <w:r w:rsidR="00AE7FD5">
        <w:t>9</w:t>
      </w:r>
    </w:p>
    <w:p w14:paraId="71B3BA3B" w14:textId="755B1C7C" w:rsidR="00520996" w:rsidRDefault="00520996" w:rsidP="00F76255">
      <w:pPr>
        <w:tabs>
          <w:tab w:val="right" w:leader="dot" w:pos="7654"/>
          <w:tab w:val="right" w:pos="8929"/>
          <w:tab w:val="right" w:pos="9638"/>
        </w:tabs>
        <w:spacing w:after="120" w:line="230" w:lineRule="atLeast"/>
        <w:ind w:left="1984" w:hanging="425"/>
      </w:pPr>
      <w:r w:rsidRPr="00037456">
        <w:t>10</w:t>
      </w:r>
      <w:r w:rsidR="00FC1209" w:rsidRPr="00FC1209">
        <w:t>.</w:t>
      </w:r>
      <w:r w:rsidRPr="00037456">
        <w:tab/>
      </w:r>
      <w:r w:rsidR="00F76255">
        <w:rPr>
          <w:lang w:val="fr-FR"/>
        </w:rPr>
        <w:t xml:space="preserve">Classification du No ONU 1010 − mélanges de butadiènes </w:t>
      </w:r>
      <w:r w:rsidR="00F76255">
        <w:rPr>
          <w:lang w:val="fr-FR"/>
        </w:rPr>
        <w:br/>
        <w:t>et d’hydrocarbures</w:t>
      </w:r>
      <w:r>
        <w:tab/>
      </w:r>
      <w:r>
        <w:tab/>
        <w:t>39</w:t>
      </w:r>
      <w:r>
        <w:tab/>
      </w:r>
      <w:r w:rsidR="00AE7FD5">
        <w:t>9</w:t>
      </w:r>
    </w:p>
    <w:p w14:paraId="16FC6033" w14:textId="28D66F23" w:rsidR="00520996" w:rsidRDefault="00520996" w:rsidP="00F76255">
      <w:pPr>
        <w:tabs>
          <w:tab w:val="right" w:pos="850"/>
          <w:tab w:val="right" w:leader="dot" w:pos="7654"/>
          <w:tab w:val="right" w:pos="8929"/>
          <w:tab w:val="right" w:pos="9638"/>
        </w:tabs>
        <w:spacing w:after="120" w:line="230" w:lineRule="atLeast"/>
        <w:ind w:left="1134" w:hanging="1134"/>
      </w:pPr>
      <w:r>
        <w:tab/>
      </w:r>
      <w:r w:rsidRPr="00037456">
        <w:t>VIII</w:t>
      </w:r>
      <w:r w:rsidR="00FC1209" w:rsidRPr="00FC1209">
        <w:t>.</w:t>
      </w:r>
      <w:r>
        <w:tab/>
      </w:r>
      <w:r w:rsidR="00F76255">
        <w:rPr>
          <w:lang w:val="fr-FR"/>
        </w:rPr>
        <w:t>Rapports des groupes de travail informels (point 6 de l’ordre du jour)</w:t>
      </w:r>
      <w:r w:rsidRPr="00037456">
        <w:tab/>
      </w:r>
      <w:r w:rsidRPr="00037456">
        <w:tab/>
      </w:r>
      <w:r>
        <w:t>40</w:t>
      </w:r>
      <w:r w:rsidRPr="00037456">
        <w:tab/>
      </w:r>
      <w:r w:rsidR="00AE7FD5">
        <w:t>10</w:t>
      </w:r>
    </w:p>
    <w:p w14:paraId="6B033441" w14:textId="4EEE96C7" w:rsidR="00520996" w:rsidRPr="00037456" w:rsidRDefault="00520996" w:rsidP="00F76255">
      <w:pPr>
        <w:tabs>
          <w:tab w:val="right" w:leader="dot" w:pos="7654"/>
          <w:tab w:val="right" w:pos="8929"/>
          <w:tab w:val="right" w:pos="9638"/>
        </w:tabs>
        <w:spacing w:after="120" w:line="230" w:lineRule="atLeast"/>
        <w:ind w:left="1559" w:hanging="425"/>
      </w:pPr>
      <w:r>
        <w:tab/>
      </w:r>
      <w:r w:rsidR="00F76255">
        <w:rPr>
          <w:lang w:val="fr-FR"/>
        </w:rPr>
        <w:t xml:space="preserve">Informations relatives à la quantité transportée dans le document </w:t>
      </w:r>
      <w:r w:rsidR="00F76255">
        <w:rPr>
          <w:lang w:val="fr-FR"/>
        </w:rPr>
        <w:br/>
        <w:t>de transport</w:t>
      </w:r>
      <w:r>
        <w:tab/>
      </w:r>
      <w:r>
        <w:tab/>
        <w:t>40</w:t>
      </w:r>
      <w:r>
        <w:tab/>
      </w:r>
      <w:r w:rsidR="00AE7FD5">
        <w:t>10</w:t>
      </w:r>
    </w:p>
    <w:p w14:paraId="74F89680" w14:textId="59205585" w:rsidR="00520996" w:rsidRPr="00037456" w:rsidRDefault="00520996" w:rsidP="00F76255">
      <w:pPr>
        <w:tabs>
          <w:tab w:val="right" w:pos="850"/>
          <w:tab w:val="right" w:leader="dot" w:pos="7654"/>
          <w:tab w:val="right" w:pos="8929"/>
          <w:tab w:val="right" w:pos="9638"/>
        </w:tabs>
        <w:spacing w:after="120" w:line="230" w:lineRule="atLeast"/>
        <w:ind w:left="1134" w:hanging="1134"/>
      </w:pPr>
      <w:r w:rsidRPr="00037456">
        <w:tab/>
        <w:t>IX</w:t>
      </w:r>
      <w:r w:rsidR="00FC1209" w:rsidRPr="00FC1209">
        <w:t>.</w:t>
      </w:r>
      <w:r w:rsidRPr="00037456">
        <w:tab/>
      </w:r>
      <w:r w:rsidR="00F76255" w:rsidRPr="00ED389E">
        <w:rPr>
          <w:lang w:val="fr-FR"/>
        </w:rPr>
        <w:t>Accidents et gestion des risques (point 7 de l</w:t>
      </w:r>
      <w:r w:rsidR="00F76255">
        <w:rPr>
          <w:lang w:val="fr-FR"/>
        </w:rPr>
        <w:t>’</w:t>
      </w:r>
      <w:r w:rsidR="00F76255" w:rsidRPr="00ED389E">
        <w:rPr>
          <w:lang w:val="fr-FR"/>
        </w:rPr>
        <w:t>ordre du jour)</w:t>
      </w:r>
      <w:r w:rsidRPr="00037456">
        <w:tab/>
      </w:r>
      <w:r w:rsidRPr="00037456">
        <w:tab/>
      </w:r>
      <w:r>
        <w:t>41</w:t>
      </w:r>
      <w:r w:rsidRPr="00037456">
        <w:tab/>
      </w:r>
      <w:r w:rsidR="00AE7FD5">
        <w:t>10</w:t>
      </w:r>
    </w:p>
    <w:p w14:paraId="7FB2941F" w14:textId="1984218C" w:rsidR="00520996" w:rsidRPr="00037456" w:rsidRDefault="00520996" w:rsidP="00F76255">
      <w:pPr>
        <w:tabs>
          <w:tab w:val="right" w:pos="850"/>
          <w:tab w:val="right" w:leader="dot" w:pos="7654"/>
          <w:tab w:val="right" w:pos="8929"/>
          <w:tab w:val="right" w:pos="9638"/>
        </w:tabs>
        <w:spacing w:after="120" w:line="230" w:lineRule="atLeast"/>
        <w:ind w:left="1134" w:hanging="1134"/>
      </w:pPr>
      <w:r w:rsidRPr="00037456">
        <w:tab/>
        <w:t>X</w:t>
      </w:r>
      <w:r w:rsidR="00FC1209" w:rsidRPr="00FC1209">
        <w:t>.</w:t>
      </w:r>
      <w:r w:rsidRPr="00037456">
        <w:tab/>
      </w:r>
      <w:r w:rsidR="00F76255" w:rsidRPr="00ED389E">
        <w:rPr>
          <w:lang w:val="fr-FR"/>
        </w:rPr>
        <w:t>Travaux futurs (point 8 de l</w:t>
      </w:r>
      <w:r w:rsidR="00F76255">
        <w:rPr>
          <w:lang w:val="fr-FR"/>
        </w:rPr>
        <w:t>’</w:t>
      </w:r>
      <w:r w:rsidR="00F76255" w:rsidRPr="00ED389E">
        <w:rPr>
          <w:lang w:val="fr-FR"/>
        </w:rPr>
        <w:t>ordre du jour)</w:t>
      </w:r>
      <w:r w:rsidRPr="00037456">
        <w:tab/>
      </w:r>
      <w:r w:rsidRPr="00037456">
        <w:tab/>
      </w:r>
      <w:r>
        <w:t>42-44</w:t>
      </w:r>
      <w:r w:rsidRPr="00037456">
        <w:tab/>
      </w:r>
      <w:r w:rsidR="00AE7FD5">
        <w:t>10</w:t>
      </w:r>
    </w:p>
    <w:p w14:paraId="00E9718F" w14:textId="2E106834" w:rsidR="00520996" w:rsidRPr="00037456" w:rsidRDefault="00520996" w:rsidP="00F76255">
      <w:pPr>
        <w:tabs>
          <w:tab w:val="right" w:pos="850"/>
          <w:tab w:val="right" w:leader="dot" w:pos="7654"/>
          <w:tab w:val="right" w:pos="8929"/>
          <w:tab w:val="right" w:pos="9638"/>
        </w:tabs>
        <w:spacing w:after="120" w:line="230" w:lineRule="atLeast"/>
        <w:ind w:left="1134" w:hanging="1134"/>
      </w:pPr>
      <w:r w:rsidRPr="00037456">
        <w:tab/>
        <w:t>XI</w:t>
      </w:r>
      <w:r w:rsidR="00FC1209" w:rsidRPr="00FC1209">
        <w:t>.</w:t>
      </w:r>
      <w:r w:rsidRPr="00037456">
        <w:tab/>
      </w:r>
      <w:r w:rsidR="00F76255">
        <w:rPr>
          <w:lang w:val="fr-FR"/>
        </w:rPr>
        <w:t>Questions diverses (point 9 de l’ordre du jour)</w:t>
      </w:r>
      <w:r w:rsidRPr="00037456">
        <w:tab/>
      </w:r>
      <w:r w:rsidRPr="00037456">
        <w:tab/>
      </w:r>
      <w:r>
        <w:t>45-47</w:t>
      </w:r>
      <w:r w:rsidRPr="00037456">
        <w:tab/>
      </w:r>
      <w:r w:rsidR="00AE7FD5">
        <w:t>10</w:t>
      </w:r>
    </w:p>
    <w:p w14:paraId="16B63E03" w14:textId="721083ED" w:rsidR="00520996" w:rsidRPr="00037456" w:rsidRDefault="00520996" w:rsidP="00F76255">
      <w:pPr>
        <w:tabs>
          <w:tab w:val="right" w:leader="dot" w:pos="7654"/>
          <w:tab w:val="right" w:pos="8929"/>
          <w:tab w:val="right" w:pos="9638"/>
        </w:tabs>
        <w:spacing w:after="120" w:line="230" w:lineRule="atLeast"/>
        <w:ind w:left="1559" w:hanging="425"/>
      </w:pPr>
      <w:r w:rsidRPr="00037456">
        <w:t>A</w:t>
      </w:r>
      <w:r w:rsidR="00FC1209" w:rsidRPr="00FC1209">
        <w:t>.</w:t>
      </w:r>
      <w:r w:rsidRPr="00037456">
        <w:tab/>
      </w:r>
      <w:r w:rsidR="00F76255">
        <w:rPr>
          <w:lang w:val="fr-FR"/>
        </w:rPr>
        <w:t xml:space="preserve">Demande de statut consultatif de l’European Recycling Industries’ </w:t>
      </w:r>
      <w:r w:rsidR="00F76255">
        <w:rPr>
          <w:lang w:val="fr-FR"/>
        </w:rPr>
        <w:br/>
        <w:t>Confederation (EuRIC)</w:t>
      </w:r>
      <w:r w:rsidRPr="00037456">
        <w:tab/>
      </w:r>
      <w:r w:rsidRPr="00037456">
        <w:tab/>
      </w:r>
      <w:r>
        <w:t>45</w:t>
      </w:r>
      <w:r w:rsidRPr="00037456">
        <w:tab/>
      </w:r>
      <w:r w:rsidR="00AE7FD5">
        <w:t>10</w:t>
      </w:r>
    </w:p>
    <w:p w14:paraId="6875C25E" w14:textId="5FD2A8D0" w:rsidR="00520996" w:rsidRPr="00037456" w:rsidRDefault="00520996" w:rsidP="00F76255">
      <w:pPr>
        <w:tabs>
          <w:tab w:val="right" w:leader="dot" w:pos="7654"/>
          <w:tab w:val="right" w:pos="8929"/>
          <w:tab w:val="right" w:pos="9638"/>
        </w:tabs>
        <w:spacing w:after="120" w:line="230" w:lineRule="atLeast"/>
        <w:ind w:left="1559" w:hanging="425"/>
      </w:pPr>
      <w:r w:rsidRPr="00037456">
        <w:t>B</w:t>
      </w:r>
      <w:r w:rsidR="00FC1209" w:rsidRPr="00FC1209">
        <w:t>.</w:t>
      </w:r>
      <w:r w:rsidRPr="00037456">
        <w:tab/>
      </w:r>
      <w:r w:rsidR="00F76255">
        <w:rPr>
          <w:lang w:val="fr-FR"/>
        </w:rPr>
        <w:t>Lignes directrices pour l’application du 5</w:t>
      </w:r>
      <w:r w:rsidR="00F76255" w:rsidRPr="00FC1209">
        <w:rPr>
          <w:lang w:val="fr-FR"/>
        </w:rPr>
        <w:t>.</w:t>
      </w:r>
      <w:r w:rsidR="00F76255">
        <w:rPr>
          <w:lang w:val="fr-FR"/>
        </w:rPr>
        <w:t>4</w:t>
      </w:r>
      <w:r w:rsidR="00F76255" w:rsidRPr="00FC1209">
        <w:rPr>
          <w:lang w:val="fr-FR"/>
        </w:rPr>
        <w:t>.</w:t>
      </w:r>
      <w:r w:rsidR="00F76255">
        <w:rPr>
          <w:lang w:val="fr-FR"/>
        </w:rPr>
        <w:t>0</w:t>
      </w:r>
      <w:r w:rsidR="00F76255" w:rsidRPr="00FC1209">
        <w:rPr>
          <w:lang w:val="fr-FR"/>
        </w:rPr>
        <w:t>.</w:t>
      </w:r>
      <w:r w:rsidR="00F76255">
        <w:rPr>
          <w:lang w:val="fr-FR"/>
        </w:rPr>
        <w:t xml:space="preserve">2 du RID, de l’ADR </w:t>
      </w:r>
      <w:r w:rsidR="00F76255">
        <w:rPr>
          <w:lang w:val="fr-FR"/>
        </w:rPr>
        <w:br/>
        <w:t xml:space="preserve">et de l’ADN − Utilisation du modèle de données dans le contexte </w:t>
      </w:r>
      <w:r w:rsidR="00F76255">
        <w:rPr>
          <w:lang w:val="fr-FR"/>
        </w:rPr>
        <w:br/>
        <w:t xml:space="preserve">du règlement concernant les informations électroniques </w:t>
      </w:r>
      <w:r w:rsidR="00F76255">
        <w:rPr>
          <w:lang w:val="fr-FR"/>
        </w:rPr>
        <w:br/>
        <w:t>relatives au transport de marchandises</w:t>
      </w:r>
      <w:r w:rsidRPr="00037456">
        <w:tab/>
      </w:r>
      <w:r w:rsidRPr="00037456">
        <w:tab/>
      </w:r>
      <w:r>
        <w:t>46-47</w:t>
      </w:r>
      <w:r>
        <w:tab/>
      </w:r>
      <w:r w:rsidR="00AE7FD5">
        <w:t>11</w:t>
      </w:r>
    </w:p>
    <w:p w14:paraId="08AE8E38" w14:textId="20C11200" w:rsidR="00520996" w:rsidRPr="002C3B5E" w:rsidRDefault="00520996" w:rsidP="00F76255">
      <w:pPr>
        <w:tabs>
          <w:tab w:val="right" w:pos="850"/>
          <w:tab w:val="right" w:leader="dot" w:pos="7654"/>
          <w:tab w:val="right" w:pos="8929"/>
          <w:tab w:val="right" w:pos="9638"/>
        </w:tabs>
        <w:spacing w:after="120" w:line="230" w:lineRule="atLeast"/>
        <w:ind w:left="1134" w:hanging="1134"/>
      </w:pPr>
      <w:r w:rsidRPr="00037456">
        <w:tab/>
        <w:t>XII</w:t>
      </w:r>
      <w:r w:rsidR="00FC1209" w:rsidRPr="00FC1209">
        <w:t>.</w:t>
      </w:r>
      <w:r w:rsidRPr="00037456">
        <w:tab/>
      </w:r>
      <w:r w:rsidR="00F76255" w:rsidRPr="00ED389E">
        <w:rPr>
          <w:lang w:val="fr-FR"/>
        </w:rPr>
        <w:t>Adoption du rapport (point 10 de l</w:t>
      </w:r>
      <w:r w:rsidR="00F76255">
        <w:rPr>
          <w:lang w:val="fr-FR"/>
        </w:rPr>
        <w:t>’</w:t>
      </w:r>
      <w:r w:rsidR="00F76255" w:rsidRPr="00ED389E">
        <w:rPr>
          <w:lang w:val="fr-FR"/>
        </w:rPr>
        <w:t>ordre du jour)</w:t>
      </w:r>
      <w:r w:rsidRPr="00037456">
        <w:tab/>
      </w:r>
      <w:r w:rsidRPr="00037456">
        <w:tab/>
      </w:r>
      <w:r>
        <w:t>48</w:t>
      </w:r>
      <w:r w:rsidRPr="00037456">
        <w:tab/>
      </w:r>
      <w:r w:rsidR="00AE7FD5">
        <w:t>11</w:t>
      </w:r>
    </w:p>
    <w:p w14:paraId="2B92B218" w14:textId="77777777" w:rsidR="00520996" w:rsidRPr="00520996" w:rsidRDefault="00520996" w:rsidP="00F76255">
      <w:pPr>
        <w:tabs>
          <w:tab w:val="right" w:pos="850"/>
        </w:tabs>
        <w:spacing w:after="120" w:line="230" w:lineRule="atLeast"/>
      </w:pPr>
      <w:r w:rsidRPr="00520996">
        <w:tab/>
        <w:t>Annexes</w:t>
      </w:r>
    </w:p>
    <w:p w14:paraId="35C6FB97" w14:textId="05231579" w:rsidR="00520996" w:rsidRPr="00520996" w:rsidRDefault="00520996" w:rsidP="00F76255">
      <w:pPr>
        <w:tabs>
          <w:tab w:val="right" w:pos="850"/>
          <w:tab w:val="right" w:leader="dot" w:pos="8929"/>
          <w:tab w:val="right" w:pos="9638"/>
        </w:tabs>
        <w:snapToGrid/>
        <w:spacing w:after="120" w:line="230" w:lineRule="atLeast"/>
        <w:ind w:left="1134" w:hanging="1134"/>
      </w:pPr>
      <w:r w:rsidRPr="00520996">
        <w:tab/>
        <w:t>I</w:t>
      </w:r>
      <w:r w:rsidR="00FC1209" w:rsidRPr="00FC1209">
        <w:t>.</w:t>
      </w:r>
      <w:r w:rsidRPr="00520996">
        <w:tab/>
      </w:r>
      <w:r w:rsidR="00F76255" w:rsidRPr="00603217">
        <w:rPr>
          <w:lang w:val="fr-FR"/>
        </w:rPr>
        <w:t>Rapport du Groupe de travail des citernes</w:t>
      </w:r>
      <w:r w:rsidRPr="00520996">
        <w:tab/>
      </w:r>
      <w:r w:rsidRPr="00520996">
        <w:tab/>
      </w:r>
      <w:r w:rsidR="00AE7FD5">
        <w:t>12</w:t>
      </w:r>
    </w:p>
    <w:p w14:paraId="2DAEA487" w14:textId="23FE065C" w:rsidR="00520996" w:rsidRPr="00191B2A" w:rsidRDefault="00520996" w:rsidP="00F76255">
      <w:pPr>
        <w:tabs>
          <w:tab w:val="right" w:pos="850"/>
          <w:tab w:val="right" w:leader="dot" w:pos="8929"/>
          <w:tab w:val="right" w:pos="9638"/>
        </w:tabs>
        <w:snapToGrid/>
        <w:spacing w:after="120" w:line="230" w:lineRule="atLeast"/>
        <w:ind w:left="1134" w:hanging="1134"/>
      </w:pPr>
      <w:r w:rsidRPr="00520996">
        <w:tab/>
      </w:r>
      <w:r w:rsidRPr="00191B2A">
        <w:t>II</w:t>
      </w:r>
      <w:r w:rsidR="00FC1209" w:rsidRPr="00FC1209">
        <w:t>.</w:t>
      </w:r>
      <w:r w:rsidRPr="00191B2A">
        <w:tab/>
      </w:r>
      <w:r w:rsidR="00F76255">
        <w:rPr>
          <w:lang w:val="fr-FR"/>
        </w:rPr>
        <w:t>Projet d’amendements au RID, à l’ADR et à l’ADN pour entrée en vigueur le 1</w:t>
      </w:r>
      <w:r w:rsidR="00F76255">
        <w:rPr>
          <w:vertAlign w:val="superscript"/>
          <w:lang w:val="fr-FR"/>
        </w:rPr>
        <w:t>er</w:t>
      </w:r>
      <w:r w:rsidR="00F76255">
        <w:rPr>
          <w:lang w:val="fr-FR"/>
        </w:rPr>
        <w:t> janvier 2023</w:t>
      </w:r>
      <w:r w:rsidRPr="00191B2A">
        <w:tab/>
      </w:r>
      <w:r w:rsidRPr="00191B2A">
        <w:tab/>
      </w:r>
      <w:r w:rsidR="00AE7FD5">
        <w:t>13</w:t>
      </w:r>
    </w:p>
    <w:p w14:paraId="1FEA8C43" w14:textId="3A9256FD" w:rsidR="00520996" w:rsidRPr="00F76255" w:rsidRDefault="00520996" w:rsidP="00F76255">
      <w:pPr>
        <w:tabs>
          <w:tab w:val="right" w:pos="850"/>
          <w:tab w:val="right" w:leader="dot" w:pos="8929"/>
          <w:tab w:val="right" w:pos="9638"/>
        </w:tabs>
        <w:spacing w:after="120" w:line="230" w:lineRule="atLeast"/>
        <w:ind w:left="1134" w:hanging="1134"/>
        <w:rPr>
          <w:lang w:val="en-US"/>
        </w:rPr>
      </w:pPr>
      <w:r w:rsidRPr="00191B2A">
        <w:tab/>
      </w:r>
      <w:r w:rsidRPr="00F76255">
        <w:rPr>
          <w:lang w:val="en-US"/>
        </w:rPr>
        <w:t>III</w:t>
      </w:r>
      <w:r w:rsidR="00FC1209" w:rsidRPr="00F76255">
        <w:rPr>
          <w:lang w:val="en-US"/>
        </w:rPr>
        <w:t>.</w:t>
      </w:r>
      <w:r w:rsidRPr="00F76255">
        <w:rPr>
          <w:lang w:val="en-US"/>
        </w:rPr>
        <w:tab/>
      </w:r>
      <w:r w:rsidR="00F76255" w:rsidRPr="00726708">
        <w:rPr>
          <w:lang w:val="en-US"/>
        </w:rPr>
        <w:t>Terms of reference of the informal working group on the carriage of molten aluminium</w:t>
      </w:r>
      <w:r w:rsidRPr="00F76255">
        <w:rPr>
          <w:lang w:val="en-US"/>
        </w:rPr>
        <w:tab/>
      </w:r>
      <w:r w:rsidRPr="00F76255">
        <w:rPr>
          <w:lang w:val="en-US"/>
        </w:rPr>
        <w:tab/>
      </w:r>
      <w:r w:rsidR="00AE7FD5">
        <w:rPr>
          <w:lang w:val="en-US"/>
        </w:rPr>
        <w:t>28</w:t>
      </w:r>
    </w:p>
    <w:p w14:paraId="3F8E684D" w14:textId="70DD897F" w:rsidR="00520996" w:rsidRPr="00D26ED3" w:rsidRDefault="00520996" w:rsidP="00F76255">
      <w:pPr>
        <w:pStyle w:val="HChG"/>
      </w:pPr>
      <w:r w:rsidRPr="00F76255">
        <w:rPr>
          <w:lang w:val="en-US"/>
        </w:rPr>
        <w:lastRenderedPageBreak/>
        <w:tab/>
      </w:r>
      <w:r>
        <w:rPr>
          <w:lang w:val="fr-FR"/>
        </w:rPr>
        <w:t>I</w:t>
      </w:r>
      <w:r w:rsidR="00FC1209" w:rsidRPr="00FC1209">
        <w:rPr>
          <w:lang w:val="fr-FR"/>
        </w:rPr>
        <w:t>.</w:t>
      </w:r>
      <w:r>
        <w:rPr>
          <w:lang w:val="fr-FR"/>
        </w:rPr>
        <w:tab/>
        <w:t>Participation</w:t>
      </w:r>
    </w:p>
    <w:p w14:paraId="5544388C" w14:textId="2BF55914" w:rsidR="00520996" w:rsidRPr="00D26ED3" w:rsidRDefault="00520996" w:rsidP="00520996">
      <w:pPr>
        <w:pStyle w:val="SingleTxtG"/>
      </w:pPr>
      <w:r>
        <w:rPr>
          <w:lang w:val="fr-FR"/>
        </w:rPr>
        <w:t>1</w:t>
      </w:r>
      <w:r w:rsidR="00FC1209" w:rsidRPr="00FC1209">
        <w:rPr>
          <w:lang w:val="fr-FR"/>
        </w:rPr>
        <w:t>.</w:t>
      </w:r>
      <w:r>
        <w:rPr>
          <w:lang w:val="fr-FR"/>
        </w:rPr>
        <w:tab/>
        <w:t>La Réunion commune de la Commission d</w:t>
      </w:r>
      <w:r w:rsidR="00F70B88">
        <w:rPr>
          <w:lang w:val="fr-FR"/>
        </w:rPr>
        <w:t>’</w:t>
      </w:r>
      <w:r>
        <w:rPr>
          <w:lang w:val="fr-FR"/>
        </w:rPr>
        <w:t>experts du RID et du Groupe de travail des transports de marchandises dangereuses de la Commission économique pour l</w:t>
      </w:r>
      <w:r w:rsidR="00F70B88">
        <w:rPr>
          <w:lang w:val="fr-FR"/>
        </w:rPr>
        <w:t>’</w:t>
      </w:r>
      <w:r>
        <w:rPr>
          <w:lang w:val="fr-FR"/>
        </w:rPr>
        <w:t>Europe s</w:t>
      </w:r>
      <w:r w:rsidR="00F70B88">
        <w:rPr>
          <w:lang w:val="fr-FR"/>
        </w:rPr>
        <w:t>’</w:t>
      </w:r>
      <w:r>
        <w:rPr>
          <w:lang w:val="fr-FR"/>
        </w:rPr>
        <w:t>est tenue à Berne du 15 au 19 mars 2021 sous la présidence de M</w:t>
      </w:r>
      <w:r w:rsidR="00FC1209" w:rsidRPr="00FC1209">
        <w:rPr>
          <w:lang w:val="fr-FR"/>
        </w:rPr>
        <w:t>.</w:t>
      </w:r>
      <w:r>
        <w:rPr>
          <w:lang w:val="fr-FR"/>
        </w:rPr>
        <w:t> C</w:t>
      </w:r>
      <w:r w:rsidR="00FC1209" w:rsidRPr="00FC1209">
        <w:rPr>
          <w:lang w:val="fr-FR"/>
        </w:rPr>
        <w:t>.</w:t>
      </w:r>
      <w:r>
        <w:rPr>
          <w:lang w:val="fr-FR"/>
        </w:rPr>
        <w:t> Pfauvadel (France) et la vice-présidence de M</w:t>
      </w:r>
      <w:r>
        <w:rPr>
          <w:vertAlign w:val="superscript"/>
          <w:lang w:val="fr-FR"/>
        </w:rPr>
        <w:t>me</w:t>
      </w:r>
      <w:r>
        <w:rPr>
          <w:lang w:val="fr-FR"/>
        </w:rPr>
        <w:t> S</w:t>
      </w:r>
      <w:r w:rsidR="00FC1209" w:rsidRPr="00FC1209">
        <w:rPr>
          <w:lang w:val="fr-FR"/>
        </w:rPr>
        <w:t>.</w:t>
      </w:r>
      <w:r>
        <w:rPr>
          <w:lang w:val="fr-FR"/>
        </w:rPr>
        <w:t> Garcia Wolfrum (Espagne)</w:t>
      </w:r>
      <w:r w:rsidR="00FC1209" w:rsidRPr="00FC1209">
        <w:rPr>
          <w:lang w:val="fr-FR"/>
        </w:rPr>
        <w:t>.</w:t>
      </w:r>
    </w:p>
    <w:p w14:paraId="353A4640" w14:textId="0E41E994" w:rsidR="00520996" w:rsidRPr="00D26ED3" w:rsidRDefault="00520996" w:rsidP="00520996">
      <w:pPr>
        <w:pStyle w:val="SingleTxtG"/>
      </w:pPr>
      <w:r>
        <w:rPr>
          <w:lang w:val="fr-FR"/>
        </w:rPr>
        <w:t>2</w:t>
      </w:r>
      <w:r w:rsidR="00FC1209" w:rsidRPr="00FC1209">
        <w:rPr>
          <w:lang w:val="fr-FR"/>
        </w:rPr>
        <w:t>.</w:t>
      </w:r>
      <w:r>
        <w:rPr>
          <w:lang w:val="fr-FR"/>
        </w:rPr>
        <w:tab/>
      </w:r>
      <w:r w:rsidRPr="00765360">
        <w:rPr>
          <w:lang w:val="fr-FR"/>
        </w:rPr>
        <w:t>Conformément au paragraphe a) de l</w:t>
      </w:r>
      <w:r w:rsidR="00F70B88">
        <w:rPr>
          <w:lang w:val="fr-FR"/>
        </w:rPr>
        <w:t>’</w:t>
      </w:r>
      <w:r w:rsidRPr="00765360">
        <w:rPr>
          <w:lang w:val="fr-FR"/>
        </w:rPr>
        <w:t>article 1 du règlement intérieur de la Réunion commune (ECE/TRANS/WP</w:t>
      </w:r>
      <w:r w:rsidR="00FC1209" w:rsidRPr="00FC1209">
        <w:rPr>
          <w:lang w:val="fr-FR"/>
        </w:rPr>
        <w:t>.</w:t>
      </w:r>
      <w:r w:rsidRPr="00765360">
        <w:rPr>
          <w:lang w:val="fr-FR"/>
        </w:rPr>
        <w:t>15/AC</w:t>
      </w:r>
      <w:r w:rsidR="00FC1209" w:rsidRPr="00FC1209">
        <w:rPr>
          <w:lang w:val="fr-FR"/>
        </w:rPr>
        <w:t>.</w:t>
      </w:r>
      <w:r w:rsidRPr="00765360">
        <w:rPr>
          <w:lang w:val="fr-FR"/>
        </w:rPr>
        <w:t>1/112/Add</w:t>
      </w:r>
      <w:r w:rsidR="00FC1209" w:rsidRPr="00FC1209">
        <w:rPr>
          <w:lang w:val="fr-FR"/>
        </w:rPr>
        <w:t>.</w:t>
      </w:r>
      <w:r w:rsidRPr="00765360">
        <w:rPr>
          <w:lang w:val="fr-FR"/>
        </w:rPr>
        <w:t>2), les représentants des pays suivants ont participé de plein droit à la session</w:t>
      </w:r>
      <w:r w:rsidR="00537CE2">
        <w:rPr>
          <w:lang w:val="fr-FR"/>
        </w:rPr>
        <w:t> </w:t>
      </w:r>
      <w:r w:rsidRPr="00765360">
        <w:rPr>
          <w:lang w:val="fr-FR"/>
        </w:rPr>
        <w:t xml:space="preserve">: </w:t>
      </w:r>
      <w:r w:rsidR="00740CE1">
        <w:rPr>
          <w:lang w:val="fr-FR"/>
        </w:rPr>
        <w:t xml:space="preserve">Allemagne, </w:t>
      </w:r>
      <w:r w:rsidRPr="00765360">
        <w:rPr>
          <w:lang w:val="fr-FR"/>
        </w:rPr>
        <w:t>Autriche, Belgique, Danemark, Espagne, États-Unis d</w:t>
      </w:r>
      <w:r w:rsidR="00F70B88">
        <w:rPr>
          <w:lang w:val="fr-FR"/>
        </w:rPr>
        <w:t>’</w:t>
      </w:r>
      <w:r w:rsidRPr="00765360">
        <w:rPr>
          <w:lang w:val="fr-FR"/>
        </w:rPr>
        <w:t>Amérique, Fédération de Russie, Finlande, France, Irlande, Italie, Lettonie, Luxembourg, Norvège, Pays-Bas, Pologne, Portugal, Roumanie, Royaume-Uni, Serbie, Slovaquie, Suède, Suisse, Tchéquie et Turquie</w:t>
      </w:r>
      <w:r w:rsidR="00FC1209" w:rsidRPr="00FC1209">
        <w:rPr>
          <w:lang w:val="fr-FR"/>
        </w:rPr>
        <w:t>.</w:t>
      </w:r>
    </w:p>
    <w:p w14:paraId="17A5D49A" w14:textId="3BA32719" w:rsidR="00520996" w:rsidRPr="00D26ED3" w:rsidRDefault="00520996" w:rsidP="00520996">
      <w:pPr>
        <w:pStyle w:val="SingleTxtG"/>
      </w:pPr>
      <w:r>
        <w:rPr>
          <w:lang w:val="fr-FR"/>
        </w:rPr>
        <w:t>3</w:t>
      </w:r>
      <w:r w:rsidR="00FC1209" w:rsidRPr="00FC1209">
        <w:rPr>
          <w:lang w:val="fr-FR"/>
        </w:rPr>
        <w:t>.</w:t>
      </w:r>
      <w:r>
        <w:rPr>
          <w:lang w:val="fr-FR"/>
        </w:rPr>
        <w:tab/>
        <w:t xml:space="preserve">Conformément </w:t>
      </w:r>
      <w:r w:rsidR="00740CE1" w:rsidRPr="00740CE1">
        <w:rPr>
          <w:lang w:val="fr-FR"/>
        </w:rPr>
        <w:t>aux</w:t>
      </w:r>
      <w:r w:rsidRPr="00740CE1">
        <w:rPr>
          <w:lang w:val="fr-FR"/>
        </w:rPr>
        <w:t xml:space="preserve"> alinéa</w:t>
      </w:r>
      <w:r w:rsidR="00740CE1" w:rsidRPr="00740CE1">
        <w:rPr>
          <w:lang w:val="fr-FR"/>
        </w:rPr>
        <w:t>s c) et d)</w:t>
      </w:r>
      <w:r w:rsidRPr="00740CE1">
        <w:rPr>
          <w:lang w:val="fr-FR"/>
        </w:rPr>
        <w:t xml:space="preserve"> de l</w:t>
      </w:r>
      <w:r w:rsidR="00F70B88" w:rsidRPr="00740CE1">
        <w:rPr>
          <w:lang w:val="fr-FR"/>
        </w:rPr>
        <w:t>’</w:t>
      </w:r>
      <w:r w:rsidRPr="00740CE1">
        <w:rPr>
          <w:lang w:val="fr-FR"/>
        </w:rPr>
        <w:t>article premier</w:t>
      </w:r>
      <w:r>
        <w:rPr>
          <w:lang w:val="fr-FR"/>
        </w:rPr>
        <w:t xml:space="preserve"> du Règlement intérieur, étaient représentées à titre consultatif :</w:t>
      </w:r>
    </w:p>
    <w:p w14:paraId="4FD9D922" w14:textId="1EF653AC" w:rsidR="00520996" w:rsidRPr="00D26ED3" w:rsidRDefault="00520996" w:rsidP="00520996">
      <w:pPr>
        <w:pStyle w:val="SingleTxtG"/>
        <w:ind w:firstLine="567"/>
      </w:pPr>
      <w:r>
        <w:rPr>
          <w:lang w:val="fr-FR"/>
        </w:rPr>
        <w:tab/>
        <w:t>a)</w:t>
      </w:r>
      <w:r>
        <w:rPr>
          <w:lang w:val="fr-FR"/>
        </w:rPr>
        <w:tab/>
        <w:t>L</w:t>
      </w:r>
      <w:r w:rsidR="00F70B88">
        <w:rPr>
          <w:lang w:val="fr-FR"/>
        </w:rPr>
        <w:t>’</w:t>
      </w:r>
      <w:r>
        <w:rPr>
          <w:lang w:val="fr-FR"/>
        </w:rPr>
        <w:t>Union européenne (Commission européenne et Agence de l</w:t>
      </w:r>
      <w:r w:rsidR="00F70B88">
        <w:rPr>
          <w:lang w:val="fr-FR"/>
        </w:rPr>
        <w:t>’</w:t>
      </w:r>
      <w:r>
        <w:rPr>
          <w:lang w:val="fr-FR"/>
        </w:rPr>
        <w:t>Union européenne pour les chemins de fer (ERA)) et l</w:t>
      </w:r>
      <w:r w:rsidR="00F70B88">
        <w:rPr>
          <w:lang w:val="fr-FR"/>
        </w:rPr>
        <w:t>’</w:t>
      </w:r>
      <w:r>
        <w:rPr>
          <w:lang w:val="fr-FR"/>
        </w:rPr>
        <w:t>Organisation pour la coopération des chemins de fer (OSJD) ;</w:t>
      </w:r>
    </w:p>
    <w:p w14:paraId="736BC83D" w14:textId="145875C1" w:rsidR="00520996" w:rsidRPr="00D26ED3" w:rsidRDefault="00633E2F" w:rsidP="00633E2F">
      <w:pPr>
        <w:pStyle w:val="SingleTxtG"/>
      </w:pPr>
      <w:r>
        <w:rPr>
          <w:lang w:val="fr-FR"/>
        </w:rPr>
        <w:tab/>
      </w:r>
      <w:r>
        <w:rPr>
          <w:lang w:val="fr-FR"/>
        </w:rPr>
        <w:tab/>
      </w:r>
      <w:r w:rsidR="00520996" w:rsidRPr="00B33262">
        <w:rPr>
          <w:lang w:val="fr-FR"/>
        </w:rPr>
        <w:t>b)</w:t>
      </w:r>
      <w:r w:rsidR="00520996" w:rsidRPr="00B33262">
        <w:rPr>
          <w:lang w:val="fr-FR"/>
        </w:rPr>
        <w:tab/>
      </w:r>
      <w:r w:rsidR="00520996" w:rsidRPr="0036276F">
        <w:rPr>
          <w:lang w:val="fr-FR"/>
        </w:rPr>
        <w:t>Les organisations non gouvernementales internationales suivantes</w:t>
      </w:r>
      <w:r w:rsidR="00537CE2">
        <w:rPr>
          <w:lang w:val="fr-FR"/>
        </w:rPr>
        <w:t> </w:t>
      </w:r>
      <w:r w:rsidR="00520996" w:rsidRPr="0036276F">
        <w:rPr>
          <w:lang w:val="fr-FR"/>
        </w:rPr>
        <w:t>: Association européenne des conseillers à la sécurité pour matières dangereuses (EASA), Association européenne des gaz industriels (EIGA), Association internationale des marchandises dangereuses et des conteneurs (IDGCA), Comité de liaison de la construction de carrosseries et de remorques (CLCCR), Comité européen de normalisation (CEN), Conseil européen de l</w:t>
      </w:r>
      <w:r w:rsidR="00F70B88">
        <w:rPr>
          <w:lang w:val="fr-FR"/>
        </w:rPr>
        <w:t>’</w:t>
      </w:r>
      <w:r w:rsidR="00520996" w:rsidRPr="0036276F">
        <w:rPr>
          <w:lang w:val="fr-FR"/>
        </w:rPr>
        <w:t>industrie chimique (CEFIC), Conseil européen de l</w:t>
      </w:r>
      <w:r w:rsidR="00F70B88">
        <w:rPr>
          <w:lang w:val="fr-FR"/>
        </w:rPr>
        <w:t>’</w:t>
      </w:r>
      <w:r w:rsidR="00520996" w:rsidRPr="0036276F">
        <w:rPr>
          <w:lang w:val="fr-FR"/>
        </w:rPr>
        <w:t>industrie des peintures, des encres d</w:t>
      </w:r>
      <w:r w:rsidR="00F70B88">
        <w:rPr>
          <w:lang w:val="fr-FR"/>
        </w:rPr>
        <w:t>’</w:t>
      </w:r>
      <w:r w:rsidR="00520996" w:rsidRPr="0036276F">
        <w:rPr>
          <w:lang w:val="fr-FR"/>
        </w:rPr>
        <w:t>imprimerie et des couleurs d</w:t>
      </w:r>
      <w:r w:rsidR="00F70B88">
        <w:rPr>
          <w:lang w:val="fr-FR"/>
        </w:rPr>
        <w:t>’</w:t>
      </w:r>
      <w:r w:rsidR="00520996" w:rsidRPr="0036276F">
        <w:rPr>
          <w:lang w:val="fr-FR"/>
        </w:rPr>
        <w:t>art (CEPE), Conférence européenne des négociants en combustibles et carburants (CENCC), Council on Safe Transportation of Hazardous Articles (COSTHA), Fédération européenne des activités de la dépollution et de l</w:t>
      </w:r>
      <w:r w:rsidR="00F70B88">
        <w:rPr>
          <w:lang w:val="fr-FR"/>
        </w:rPr>
        <w:t>’</w:t>
      </w:r>
      <w:r w:rsidR="00520996" w:rsidRPr="0036276F">
        <w:rPr>
          <w:lang w:val="fr-FR"/>
        </w:rPr>
        <w:t>environnement (FEAD), Fuels Europe, Liquid Gas Europe, Organisation internationale des conteneurs-citernes (ITCO), Union internationale des chemins de fer (UIC), Union internationale des transports routiers (IRU) et Union internationale des wagons privés (UIP)</w:t>
      </w:r>
      <w:r w:rsidR="00FC1209" w:rsidRPr="00FC1209">
        <w:rPr>
          <w:lang w:val="fr-FR"/>
        </w:rPr>
        <w:t>.</w:t>
      </w:r>
    </w:p>
    <w:p w14:paraId="08EDB2AA" w14:textId="3B579F84" w:rsidR="00520996" w:rsidRPr="00D26ED3" w:rsidRDefault="00520996" w:rsidP="00520996">
      <w:pPr>
        <w:pStyle w:val="HChG"/>
      </w:pPr>
      <w:r>
        <w:rPr>
          <w:lang w:val="fr-FR"/>
        </w:rPr>
        <w:tab/>
        <w:t>II</w:t>
      </w:r>
      <w:r w:rsidR="00FC1209" w:rsidRPr="00FC1209">
        <w:rPr>
          <w:lang w:val="fr-FR"/>
        </w:rPr>
        <w:t>.</w:t>
      </w:r>
      <w:r>
        <w:rPr>
          <w:lang w:val="fr-FR"/>
        </w:rPr>
        <w:tab/>
        <w:t>Ouverture de la session</w:t>
      </w:r>
    </w:p>
    <w:p w14:paraId="21EBE9D1" w14:textId="13F31ABD" w:rsidR="00520996" w:rsidRPr="00D26ED3" w:rsidRDefault="00520996" w:rsidP="00520996">
      <w:pPr>
        <w:pStyle w:val="SingleTxtG"/>
      </w:pPr>
      <w:r>
        <w:rPr>
          <w:lang w:val="fr-FR"/>
        </w:rPr>
        <w:t>4</w:t>
      </w:r>
      <w:r w:rsidR="00FC1209" w:rsidRPr="00FC1209">
        <w:rPr>
          <w:lang w:val="fr-FR"/>
        </w:rPr>
        <w:t>.</w:t>
      </w:r>
      <w:r>
        <w:rPr>
          <w:lang w:val="fr-FR"/>
        </w:rPr>
        <w:tab/>
        <w:t>M</w:t>
      </w:r>
      <w:r w:rsidR="00FC1209" w:rsidRPr="00FC1209">
        <w:rPr>
          <w:lang w:val="fr-FR"/>
        </w:rPr>
        <w:t>.</w:t>
      </w:r>
      <w:r>
        <w:rPr>
          <w:lang w:val="fr-FR"/>
        </w:rPr>
        <w:t> W</w:t>
      </w:r>
      <w:r w:rsidR="00FC1209" w:rsidRPr="00FC1209">
        <w:rPr>
          <w:lang w:val="fr-FR"/>
        </w:rPr>
        <w:t>.</w:t>
      </w:r>
      <w:r>
        <w:rPr>
          <w:lang w:val="fr-FR"/>
        </w:rPr>
        <w:t> Küpper, Secrétaire général de l</w:t>
      </w:r>
      <w:r w:rsidR="00F70B88">
        <w:rPr>
          <w:lang w:val="fr-FR"/>
        </w:rPr>
        <w:t>’</w:t>
      </w:r>
      <w:r>
        <w:rPr>
          <w:lang w:val="fr-FR"/>
        </w:rPr>
        <w:t>Organisation intergouvernementale pour les transports internationaux ferroviaires (OTIF), a ouvert la session de Berne et souhaité la bienvenue à tous les représentants participant à cette session hybride de la Réunion commune</w:t>
      </w:r>
      <w:r w:rsidR="00FC1209" w:rsidRPr="00FC1209">
        <w:rPr>
          <w:lang w:val="fr-FR"/>
        </w:rPr>
        <w:t>.</w:t>
      </w:r>
      <w:r>
        <w:rPr>
          <w:lang w:val="fr-FR"/>
        </w:rPr>
        <w:t xml:space="preserve"> Il a souligné que les travaux de l</w:t>
      </w:r>
      <w:r w:rsidR="00F70B88">
        <w:rPr>
          <w:lang w:val="fr-FR"/>
        </w:rPr>
        <w:t>’</w:t>
      </w:r>
      <w:r>
        <w:rPr>
          <w:lang w:val="fr-FR"/>
        </w:rPr>
        <w:t>OTIF et de la CEE restaient importants malgré les circonstances liées aux mesures de lutte contre la COVID-19, et souhaité à tous les participants une session fructueuse</w:t>
      </w:r>
      <w:r w:rsidR="00FC1209" w:rsidRPr="00FC1209">
        <w:rPr>
          <w:lang w:val="fr-FR"/>
        </w:rPr>
        <w:t>.</w:t>
      </w:r>
      <w:r>
        <w:rPr>
          <w:lang w:val="fr-FR"/>
        </w:rPr>
        <w:t xml:space="preserve"> La Réunion commune a été informée que les mesures mises en œuvre actuellement par la CEE afin de protéger la santé publique en organisant des sessions hybrides permettant de participer à distance ou en personne se poursuivraient au moins jusqu</w:t>
      </w:r>
      <w:r w:rsidR="00F70B88">
        <w:rPr>
          <w:lang w:val="fr-FR"/>
        </w:rPr>
        <w:t>’</w:t>
      </w:r>
      <w:r>
        <w:rPr>
          <w:lang w:val="fr-FR"/>
        </w:rPr>
        <w:t>à la fin juillet 2021</w:t>
      </w:r>
      <w:r w:rsidR="00FC1209" w:rsidRPr="00FC1209">
        <w:rPr>
          <w:lang w:val="fr-FR"/>
        </w:rPr>
        <w:t>.</w:t>
      </w:r>
    </w:p>
    <w:p w14:paraId="7275CA65" w14:textId="1A4D841F" w:rsidR="00520996" w:rsidRPr="00D26ED3" w:rsidRDefault="00520996" w:rsidP="00520996">
      <w:pPr>
        <w:pStyle w:val="HChG"/>
      </w:pPr>
      <w:r>
        <w:rPr>
          <w:lang w:val="fr-FR"/>
        </w:rPr>
        <w:tab/>
        <w:t>III</w:t>
      </w:r>
      <w:r w:rsidR="00FC1209" w:rsidRPr="00FC1209">
        <w:rPr>
          <w:lang w:val="fr-FR"/>
        </w:rPr>
        <w:t>.</w:t>
      </w:r>
      <w:r>
        <w:rPr>
          <w:lang w:val="fr-FR"/>
        </w:rPr>
        <w:tab/>
        <w:t>Adoption de l</w:t>
      </w:r>
      <w:r w:rsidR="00F70B88">
        <w:rPr>
          <w:lang w:val="fr-FR"/>
        </w:rPr>
        <w:t>’</w:t>
      </w:r>
      <w:r>
        <w:rPr>
          <w:lang w:val="fr-FR"/>
        </w:rPr>
        <w:t>ordre du jour (point 1 de l</w:t>
      </w:r>
      <w:r w:rsidR="00F70B88">
        <w:rPr>
          <w:lang w:val="fr-FR"/>
        </w:rPr>
        <w:t>’</w:t>
      </w:r>
      <w:r>
        <w:rPr>
          <w:lang w:val="fr-FR"/>
        </w:rPr>
        <w:t>ordre du jour)</w:t>
      </w:r>
    </w:p>
    <w:p w14:paraId="2BE26BDF" w14:textId="12F162A6" w:rsidR="00520996" w:rsidRPr="00D26ED3" w:rsidRDefault="00520996" w:rsidP="00520996">
      <w:pPr>
        <w:pStyle w:val="SingleTxtG"/>
        <w:tabs>
          <w:tab w:val="left" w:pos="3119"/>
        </w:tabs>
        <w:ind w:left="3119" w:hanging="1985"/>
        <w:jc w:val="left"/>
      </w:pPr>
      <w:r>
        <w:rPr>
          <w:i/>
          <w:iCs/>
          <w:lang w:val="fr-FR"/>
        </w:rPr>
        <w:t>Documents </w:t>
      </w:r>
      <w:r w:rsidRPr="001374DD">
        <w:rPr>
          <w:lang w:val="fr-FR"/>
        </w:rPr>
        <w:t>:</w:t>
      </w:r>
      <w:r>
        <w:rPr>
          <w:lang w:val="fr-FR"/>
        </w:rPr>
        <w:tab/>
        <w:t>ECE/TRANS/WP</w:t>
      </w:r>
      <w:r w:rsidR="00FC1209" w:rsidRPr="00FC1209">
        <w:rPr>
          <w:lang w:val="fr-FR"/>
        </w:rPr>
        <w:t>.</w:t>
      </w:r>
      <w:r>
        <w:rPr>
          <w:lang w:val="fr-FR"/>
        </w:rPr>
        <w:t>15/AC</w:t>
      </w:r>
      <w:r w:rsidR="00FC1209" w:rsidRPr="00FC1209">
        <w:rPr>
          <w:lang w:val="fr-FR"/>
        </w:rPr>
        <w:t>.</w:t>
      </w:r>
      <w:r>
        <w:rPr>
          <w:lang w:val="fr-FR"/>
        </w:rPr>
        <w:t>1/159 et Add</w:t>
      </w:r>
      <w:r w:rsidR="00FC1209" w:rsidRPr="00FC1209">
        <w:rPr>
          <w:lang w:val="fr-FR"/>
        </w:rPr>
        <w:t>.</w:t>
      </w:r>
      <w:r>
        <w:rPr>
          <w:lang w:val="fr-FR"/>
        </w:rPr>
        <w:t>1</w:t>
      </w:r>
      <w:r w:rsidR="00537CE2">
        <w:rPr>
          <w:lang w:val="fr-FR"/>
        </w:rPr>
        <w:t> ;</w:t>
      </w:r>
      <w:r>
        <w:rPr>
          <w:lang w:val="fr-FR"/>
        </w:rPr>
        <w:br/>
      </w:r>
      <w:r w:rsidRPr="00E55252">
        <w:t>RID-21001-RC</w:t>
      </w:r>
      <w:r w:rsidR="004B56AD">
        <w:t>.</w:t>
      </w:r>
    </w:p>
    <w:p w14:paraId="28510223" w14:textId="6840867E" w:rsidR="00520996" w:rsidRPr="00740CE1" w:rsidRDefault="00520996" w:rsidP="00520996">
      <w:pPr>
        <w:pStyle w:val="SingleTxtG"/>
        <w:tabs>
          <w:tab w:val="left" w:pos="3119"/>
        </w:tabs>
      </w:pPr>
      <w:r w:rsidRPr="00740CE1">
        <w:rPr>
          <w:i/>
          <w:iCs/>
          <w:lang w:val="fr-FR"/>
        </w:rPr>
        <w:t>Documents informels </w:t>
      </w:r>
      <w:r w:rsidRPr="00740CE1">
        <w:rPr>
          <w:lang w:val="fr-FR"/>
        </w:rPr>
        <w:t>:</w:t>
      </w:r>
      <w:r w:rsidRPr="00740CE1">
        <w:rPr>
          <w:lang w:val="fr-FR"/>
        </w:rPr>
        <w:tab/>
        <w:t>INF</w:t>
      </w:r>
      <w:r w:rsidR="00FC1209" w:rsidRPr="00740CE1">
        <w:rPr>
          <w:lang w:val="fr-FR"/>
        </w:rPr>
        <w:t>.</w:t>
      </w:r>
      <w:r w:rsidRPr="00740CE1">
        <w:rPr>
          <w:lang w:val="fr-FR"/>
        </w:rPr>
        <w:t>2 et INF</w:t>
      </w:r>
      <w:r w:rsidR="00FC1209" w:rsidRPr="00740CE1">
        <w:rPr>
          <w:lang w:val="fr-FR"/>
        </w:rPr>
        <w:t>.</w:t>
      </w:r>
      <w:r w:rsidR="00740CE1" w:rsidRPr="00740CE1">
        <w:rPr>
          <w:lang w:val="fr-FR"/>
        </w:rPr>
        <w:t>2</w:t>
      </w:r>
      <w:r w:rsidRPr="00740CE1">
        <w:rPr>
          <w:lang w:val="fr-FR"/>
        </w:rPr>
        <w:t>5 (secrétariat)</w:t>
      </w:r>
      <w:r w:rsidR="00FC1209" w:rsidRPr="00740CE1">
        <w:rPr>
          <w:lang w:val="fr-FR"/>
        </w:rPr>
        <w:t>.</w:t>
      </w:r>
    </w:p>
    <w:p w14:paraId="46CBAE10" w14:textId="27FDE46B" w:rsidR="00520996" w:rsidRPr="00D26ED3" w:rsidRDefault="00520996" w:rsidP="00520996">
      <w:pPr>
        <w:pStyle w:val="SingleTxtG"/>
      </w:pPr>
      <w:r w:rsidRPr="00740CE1">
        <w:rPr>
          <w:lang w:val="fr-FR"/>
        </w:rPr>
        <w:t>5</w:t>
      </w:r>
      <w:r w:rsidR="00FC1209" w:rsidRPr="00740CE1">
        <w:rPr>
          <w:lang w:val="fr-FR"/>
        </w:rPr>
        <w:t>.</w:t>
      </w:r>
      <w:r w:rsidRPr="00740CE1">
        <w:rPr>
          <w:lang w:val="fr-FR"/>
        </w:rPr>
        <w:tab/>
        <w:t>La Réunion commune a adopté l</w:t>
      </w:r>
      <w:r w:rsidR="00F70B88" w:rsidRPr="00740CE1">
        <w:rPr>
          <w:lang w:val="fr-FR"/>
        </w:rPr>
        <w:t>’</w:t>
      </w:r>
      <w:r w:rsidRPr="00740CE1">
        <w:rPr>
          <w:lang w:val="fr-FR"/>
        </w:rPr>
        <w:t>ordre du jour proposé par les secrétariats dans les documents ECE/TRANS/WP</w:t>
      </w:r>
      <w:r w:rsidR="00FC1209" w:rsidRPr="00740CE1">
        <w:rPr>
          <w:lang w:val="fr-FR"/>
        </w:rPr>
        <w:t>.</w:t>
      </w:r>
      <w:r w:rsidRPr="00740CE1">
        <w:rPr>
          <w:lang w:val="fr-FR"/>
        </w:rPr>
        <w:t>15/AC</w:t>
      </w:r>
      <w:r w:rsidR="00FC1209" w:rsidRPr="00740CE1">
        <w:rPr>
          <w:lang w:val="fr-FR"/>
        </w:rPr>
        <w:t>.</w:t>
      </w:r>
      <w:r w:rsidRPr="00740CE1">
        <w:rPr>
          <w:lang w:val="fr-FR"/>
        </w:rPr>
        <w:t>1/159 et Add</w:t>
      </w:r>
      <w:r w:rsidR="00FC1209" w:rsidRPr="00740CE1">
        <w:rPr>
          <w:lang w:val="fr-FR"/>
        </w:rPr>
        <w:t>.</w:t>
      </w:r>
      <w:r w:rsidRPr="00740CE1">
        <w:rPr>
          <w:lang w:val="fr-FR"/>
        </w:rPr>
        <w:t>1 (RID-21001-RC) tels qu</w:t>
      </w:r>
      <w:r w:rsidR="00F70B88" w:rsidRPr="00740CE1">
        <w:rPr>
          <w:lang w:val="fr-FR"/>
        </w:rPr>
        <w:t>’</w:t>
      </w:r>
      <w:r w:rsidRPr="00740CE1">
        <w:rPr>
          <w:lang w:val="fr-FR"/>
        </w:rPr>
        <w:t>actualisés par le document informel INF</w:t>
      </w:r>
      <w:r w:rsidR="00FC1209" w:rsidRPr="00740CE1">
        <w:rPr>
          <w:lang w:val="fr-FR"/>
        </w:rPr>
        <w:t>.</w:t>
      </w:r>
      <w:r w:rsidRPr="00740CE1">
        <w:rPr>
          <w:lang w:val="fr-FR"/>
        </w:rPr>
        <w:t>2, après l</w:t>
      </w:r>
      <w:r w:rsidR="00F70B88" w:rsidRPr="00740CE1">
        <w:rPr>
          <w:lang w:val="fr-FR"/>
        </w:rPr>
        <w:t>’</w:t>
      </w:r>
      <w:r w:rsidRPr="00740CE1">
        <w:rPr>
          <w:lang w:val="fr-FR"/>
        </w:rPr>
        <w:t>avoir modifié afin de prendre en compte les documents informels INF</w:t>
      </w:r>
      <w:r w:rsidR="00FC1209" w:rsidRPr="00740CE1">
        <w:rPr>
          <w:lang w:val="fr-FR"/>
        </w:rPr>
        <w:t>.</w:t>
      </w:r>
      <w:r w:rsidR="00740CE1" w:rsidRPr="00740CE1">
        <w:rPr>
          <w:lang w:val="fr-FR"/>
        </w:rPr>
        <w:t>2</w:t>
      </w:r>
      <w:r w:rsidRPr="00740CE1">
        <w:rPr>
          <w:lang w:val="fr-FR"/>
        </w:rPr>
        <w:t xml:space="preserve"> à INF</w:t>
      </w:r>
      <w:r w:rsidR="00FC1209" w:rsidRPr="00740CE1">
        <w:rPr>
          <w:lang w:val="fr-FR"/>
        </w:rPr>
        <w:t>.</w:t>
      </w:r>
      <w:r w:rsidRPr="00740CE1">
        <w:rPr>
          <w:lang w:val="fr-FR"/>
        </w:rPr>
        <w:t>44</w:t>
      </w:r>
      <w:r w:rsidR="00FC1209" w:rsidRPr="00740CE1">
        <w:rPr>
          <w:lang w:val="fr-FR"/>
        </w:rPr>
        <w:t>.</w:t>
      </w:r>
    </w:p>
    <w:p w14:paraId="0EE1823E" w14:textId="09E7EABE" w:rsidR="00520996" w:rsidRPr="00D26ED3" w:rsidRDefault="00520996" w:rsidP="00520996">
      <w:pPr>
        <w:pStyle w:val="HChG"/>
      </w:pPr>
      <w:r>
        <w:rPr>
          <w:lang w:val="fr-FR"/>
        </w:rPr>
        <w:lastRenderedPageBreak/>
        <w:tab/>
        <w:t>IV</w:t>
      </w:r>
      <w:r w:rsidR="00FC1209" w:rsidRPr="00FC1209">
        <w:rPr>
          <w:lang w:val="fr-FR"/>
        </w:rPr>
        <w:t>.</w:t>
      </w:r>
      <w:r>
        <w:rPr>
          <w:lang w:val="fr-FR"/>
        </w:rPr>
        <w:tab/>
        <w:t>Citernes (point 2 de l</w:t>
      </w:r>
      <w:r w:rsidR="00F70B88">
        <w:rPr>
          <w:lang w:val="fr-FR"/>
        </w:rPr>
        <w:t>’</w:t>
      </w:r>
      <w:r>
        <w:rPr>
          <w:lang w:val="fr-FR"/>
        </w:rPr>
        <w:t>ordre du jour)</w:t>
      </w:r>
    </w:p>
    <w:p w14:paraId="7C4E439C" w14:textId="56FCBDE6" w:rsidR="00520996" w:rsidRPr="00D26ED3" w:rsidRDefault="00520996" w:rsidP="00520996">
      <w:pPr>
        <w:pStyle w:val="SingleTxtG"/>
        <w:tabs>
          <w:tab w:val="left" w:pos="3119"/>
        </w:tabs>
        <w:spacing w:after="0"/>
      </w:pPr>
      <w:r>
        <w:rPr>
          <w:i/>
          <w:iCs/>
          <w:lang w:val="fr-FR"/>
        </w:rPr>
        <w:t>Documents </w:t>
      </w:r>
      <w:r w:rsidRPr="001374DD">
        <w:rPr>
          <w:lang w:val="fr-FR"/>
        </w:rPr>
        <w:t>:</w:t>
      </w:r>
      <w:r>
        <w:rPr>
          <w:lang w:val="fr-FR"/>
        </w:rPr>
        <w:tab/>
        <w:t>ECE/TRANS/WP</w:t>
      </w:r>
      <w:r w:rsidR="00FC1209" w:rsidRPr="00FC1209">
        <w:rPr>
          <w:lang w:val="fr-FR"/>
        </w:rPr>
        <w:t>.</w:t>
      </w:r>
      <w:r>
        <w:rPr>
          <w:lang w:val="fr-FR"/>
        </w:rPr>
        <w:t>15/AC</w:t>
      </w:r>
      <w:r w:rsidR="00FC1209" w:rsidRPr="00FC1209">
        <w:rPr>
          <w:lang w:val="fr-FR"/>
        </w:rPr>
        <w:t>.</w:t>
      </w:r>
      <w:r>
        <w:rPr>
          <w:lang w:val="fr-FR"/>
        </w:rPr>
        <w:t>1/158/Add</w:t>
      </w:r>
      <w:r w:rsidR="00FC1209" w:rsidRPr="00FC1209">
        <w:rPr>
          <w:lang w:val="fr-FR"/>
        </w:rPr>
        <w:t>.</w:t>
      </w:r>
      <w:r>
        <w:rPr>
          <w:lang w:val="fr-FR"/>
        </w:rPr>
        <w:t>1 (secrétariat)</w:t>
      </w:r>
      <w:r w:rsidR="00537CE2">
        <w:rPr>
          <w:lang w:val="fr-FR"/>
        </w:rPr>
        <w:t> ;</w:t>
      </w:r>
    </w:p>
    <w:p w14:paraId="6184B5A0" w14:textId="27311A36" w:rsidR="00520996" w:rsidRPr="003F4D91" w:rsidRDefault="00520996" w:rsidP="00520996">
      <w:pPr>
        <w:pStyle w:val="SingleTxtG"/>
        <w:tabs>
          <w:tab w:val="left" w:pos="3119"/>
        </w:tabs>
        <w:spacing w:after="0"/>
        <w:rPr>
          <w:lang w:val="en-US"/>
        </w:rPr>
      </w:pPr>
      <w:r>
        <w:rPr>
          <w:lang w:val="fr-FR"/>
        </w:rPr>
        <w:tab/>
      </w:r>
      <w:r w:rsidRPr="003F4D91">
        <w:rPr>
          <w:lang w:val="en-US"/>
        </w:rPr>
        <w:t>ECE/TRANS/WP</w:t>
      </w:r>
      <w:r w:rsidR="00FC1209" w:rsidRPr="00FC1209">
        <w:rPr>
          <w:lang w:val="en-US"/>
        </w:rPr>
        <w:t>.</w:t>
      </w:r>
      <w:r w:rsidRPr="003F4D91">
        <w:rPr>
          <w:lang w:val="en-US"/>
        </w:rPr>
        <w:t>15/AC</w:t>
      </w:r>
      <w:r w:rsidR="00FC1209" w:rsidRPr="00FC1209">
        <w:rPr>
          <w:lang w:val="en-US"/>
        </w:rPr>
        <w:t>.</w:t>
      </w:r>
      <w:r w:rsidRPr="003F4D91">
        <w:rPr>
          <w:lang w:val="en-US"/>
        </w:rPr>
        <w:t>1/2021/3 (UIP)</w:t>
      </w:r>
      <w:r w:rsidR="00537CE2">
        <w:rPr>
          <w:lang w:val="en-US"/>
        </w:rPr>
        <w:t> ;</w:t>
      </w:r>
    </w:p>
    <w:p w14:paraId="3B38A201" w14:textId="07A6AAD8" w:rsidR="00520996" w:rsidRPr="001374DD" w:rsidRDefault="00520996" w:rsidP="00520996">
      <w:pPr>
        <w:pStyle w:val="SingleTxtG"/>
        <w:tabs>
          <w:tab w:val="left" w:pos="3119"/>
        </w:tabs>
        <w:spacing w:after="0"/>
        <w:rPr>
          <w:lang w:val="fr-FR"/>
        </w:rPr>
      </w:pPr>
      <w:r w:rsidRPr="003F4D91">
        <w:rPr>
          <w:lang w:val="en-US"/>
        </w:rPr>
        <w:tab/>
      </w:r>
      <w:r>
        <w:rPr>
          <w:lang w:val="fr-FR"/>
        </w:rPr>
        <w:t>ECE/TRANS/WP</w:t>
      </w:r>
      <w:r w:rsidR="00FC1209" w:rsidRPr="00FC1209">
        <w:rPr>
          <w:lang w:val="fr-FR"/>
        </w:rPr>
        <w:t>.</w:t>
      </w:r>
      <w:r>
        <w:rPr>
          <w:lang w:val="fr-FR"/>
        </w:rPr>
        <w:t>15/AC</w:t>
      </w:r>
      <w:r w:rsidR="00FC1209" w:rsidRPr="00FC1209">
        <w:rPr>
          <w:lang w:val="fr-FR"/>
        </w:rPr>
        <w:t>.</w:t>
      </w:r>
      <w:r>
        <w:rPr>
          <w:lang w:val="fr-FR"/>
        </w:rPr>
        <w:t>1/2021/5 (France)</w:t>
      </w:r>
      <w:r w:rsidR="00537CE2">
        <w:rPr>
          <w:lang w:val="fr-FR"/>
        </w:rPr>
        <w:t> ;</w:t>
      </w:r>
    </w:p>
    <w:p w14:paraId="0660D6C9" w14:textId="08779304" w:rsidR="00520996" w:rsidRPr="001374DD" w:rsidRDefault="00520996" w:rsidP="00520996">
      <w:pPr>
        <w:pStyle w:val="SingleTxtG"/>
        <w:tabs>
          <w:tab w:val="left" w:pos="3119"/>
        </w:tabs>
        <w:spacing w:after="0"/>
        <w:rPr>
          <w:lang w:val="fr-FR"/>
        </w:rPr>
      </w:pPr>
      <w:r>
        <w:rPr>
          <w:lang w:val="fr-FR"/>
        </w:rPr>
        <w:tab/>
        <w:t>ECE/TRANS/WP</w:t>
      </w:r>
      <w:r w:rsidR="00FC1209" w:rsidRPr="00FC1209">
        <w:rPr>
          <w:lang w:val="fr-FR"/>
        </w:rPr>
        <w:t>.</w:t>
      </w:r>
      <w:r>
        <w:rPr>
          <w:lang w:val="fr-FR"/>
        </w:rPr>
        <w:t>15/AC</w:t>
      </w:r>
      <w:r w:rsidR="00FC1209" w:rsidRPr="00FC1209">
        <w:rPr>
          <w:lang w:val="fr-FR"/>
        </w:rPr>
        <w:t>.</w:t>
      </w:r>
      <w:r>
        <w:rPr>
          <w:lang w:val="fr-FR"/>
        </w:rPr>
        <w:t>1/2021/6 (Allemagne)</w:t>
      </w:r>
      <w:r w:rsidR="00537CE2">
        <w:rPr>
          <w:lang w:val="fr-FR"/>
        </w:rPr>
        <w:t> ;</w:t>
      </w:r>
    </w:p>
    <w:p w14:paraId="4C1C9FB5" w14:textId="2E083B7B" w:rsidR="00520996" w:rsidRPr="00740CE1" w:rsidRDefault="00520996" w:rsidP="00520996">
      <w:pPr>
        <w:pStyle w:val="SingleTxtG"/>
        <w:tabs>
          <w:tab w:val="left" w:pos="3119"/>
        </w:tabs>
        <w:spacing w:after="0"/>
      </w:pPr>
      <w:r>
        <w:rPr>
          <w:lang w:val="fr-FR"/>
        </w:rPr>
        <w:t xml:space="preserve"> </w:t>
      </w:r>
      <w:r>
        <w:rPr>
          <w:lang w:val="fr-FR"/>
        </w:rPr>
        <w:tab/>
      </w:r>
      <w:r w:rsidRPr="00740CE1">
        <w:t>ECE/TRANS/WP</w:t>
      </w:r>
      <w:r w:rsidR="00FC1209" w:rsidRPr="00740CE1">
        <w:t>.</w:t>
      </w:r>
      <w:r w:rsidRPr="00740CE1">
        <w:t>15/AC</w:t>
      </w:r>
      <w:r w:rsidR="00FC1209" w:rsidRPr="00740CE1">
        <w:t>.</w:t>
      </w:r>
      <w:r w:rsidRPr="00740CE1">
        <w:t>1/2021/8</w:t>
      </w:r>
      <w:r w:rsidR="00537CE2" w:rsidRPr="00740CE1">
        <w:t> ;</w:t>
      </w:r>
      <w:r w:rsidR="0009510F" w:rsidRPr="00740CE1">
        <w:t xml:space="preserve"> </w:t>
      </w:r>
      <w:r w:rsidR="00740CE1" w:rsidRPr="00740CE1">
        <w:t>(</w:t>
      </w:r>
      <w:r w:rsidR="00740CE1">
        <w:t>Belgique) ;</w:t>
      </w:r>
    </w:p>
    <w:p w14:paraId="521FE362" w14:textId="6E8FC640" w:rsidR="00CB5BC7" w:rsidRPr="0009510F" w:rsidRDefault="0009510F" w:rsidP="00520996">
      <w:pPr>
        <w:pStyle w:val="SingleTxtG"/>
        <w:tabs>
          <w:tab w:val="left" w:pos="3119"/>
        </w:tabs>
        <w:spacing w:after="0"/>
      </w:pPr>
      <w:r w:rsidRPr="00740CE1">
        <w:tab/>
      </w:r>
      <w:r w:rsidR="00740CE1" w:rsidRPr="0009510F">
        <w:t>ECE/TRANS/WP</w:t>
      </w:r>
      <w:r w:rsidR="00740CE1" w:rsidRPr="00FC1209">
        <w:t>.</w:t>
      </w:r>
      <w:r w:rsidR="00740CE1" w:rsidRPr="0009510F">
        <w:t>15/AC</w:t>
      </w:r>
      <w:r w:rsidR="00740CE1" w:rsidRPr="00FC1209">
        <w:t>.</w:t>
      </w:r>
      <w:r w:rsidR="00740CE1" w:rsidRPr="0009510F">
        <w:t>1/2021/</w:t>
      </w:r>
      <w:r w:rsidR="00740CE1">
        <w:t>10</w:t>
      </w:r>
      <w:r w:rsidR="00740CE1" w:rsidRPr="0009510F">
        <w:t> ;</w:t>
      </w:r>
      <w:r w:rsidR="00740CE1">
        <w:t xml:space="preserve"> </w:t>
      </w:r>
      <w:r w:rsidR="00740CE1" w:rsidRPr="00740CE1">
        <w:t>(</w:t>
      </w:r>
      <w:r w:rsidR="00740CE1" w:rsidRPr="00740CE1">
        <w:rPr>
          <w:lang w:val="fr-FR"/>
        </w:rPr>
        <w:t>Pologne</w:t>
      </w:r>
      <w:r w:rsidR="00740CE1" w:rsidRPr="00740CE1">
        <w:t>)</w:t>
      </w:r>
    </w:p>
    <w:p w14:paraId="0127AF8F" w14:textId="2FBDB8FB" w:rsidR="00520996" w:rsidRPr="001374DD" w:rsidRDefault="00520996" w:rsidP="00520996">
      <w:pPr>
        <w:pStyle w:val="SingleTxtG"/>
        <w:tabs>
          <w:tab w:val="left" w:pos="3119"/>
        </w:tabs>
        <w:spacing w:after="0"/>
        <w:rPr>
          <w:lang w:val="fr-FR"/>
        </w:rPr>
      </w:pPr>
      <w:r>
        <w:rPr>
          <w:lang w:val="fr-FR"/>
        </w:rPr>
        <w:tab/>
        <w:t>ECE/TRANS/WP</w:t>
      </w:r>
      <w:r w:rsidR="00FC1209" w:rsidRPr="00FC1209">
        <w:rPr>
          <w:lang w:val="fr-FR"/>
        </w:rPr>
        <w:t>.</w:t>
      </w:r>
      <w:r>
        <w:rPr>
          <w:lang w:val="fr-FR"/>
        </w:rPr>
        <w:t>15/AC</w:t>
      </w:r>
      <w:r w:rsidR="00FC1209" w:rsidRPr="00FC1209">
        <w:rPr>
          <w:lang w:val="fr-FR"/>
        </w:rPr>
        <w:t>.</w:t>
      </w:r>
      <w:r>
        <w:rPr>
          <w:lang w:val="fr-FR"/>
        </w:rPr>
        <w:t>1/2021/11 (Pays-Bas)</w:t>
      </w:r>
      <w:r w:rsidR="00537CE2">
        <w:rPr>
          <w:lang w:val="fr-FR"/>
        </w:rPr>
        <w:t> ;</w:t>
      </w:r>
    </w:p>
    <w:p w14:paraId="6A86BB64" w14:textId="1A7DB91E" w:rsidR="00520996" w:rsidRPr="001374DD" w:rsidRDefault="00520996" w:rsidP="00520996">
      <w:pPr>
        <w:pStyle w:val="SingleTxtG"/>
        <w:tabs>
          <w:tab w:val="left" w:pos="3119"/>
        </w:tabs>
        <w:spacing w:after="0"/>
        <w:rPr>
          <w:lang w:val="fr-FR"/>
        </w:rPr>
      </w:pPr>
      <w:r>
        <w:rPr>
          <w:lang w:val="fr-FR"/>
        </w:rPr>
        <w:tab/>
        <w:t>ECE/TRANS/WP</w:t>
      </w:r>
      <w:r w:rsidR="00FC1209" w:rsidRPr="00FC1209">
        <w:rPr>
          <w:lang w:val="fr-FR"/>
        </w:rPr>
        <w:t>.</w:t>
      </w:r>
      <w:r>
        <w:rPr>
          <w:lang w:val="fr-FR"/>
        </w:rPr>
        <w:t>15/AC</w:t>
      </w:r>
      <w:r w:rsidR="00FC1209" w:rsidRPr="00FC1209">
        <w:rPr>
          <w:lang w:val="fr-FR"/>
        </w:rPr>
        <w:t>.</w:t>
      </w:r>
      <w:r>
        <w:rPr>
          <w:lang w:val="fr-FR"/>
        </w:rPr>
        <w:t>1/2021/19 (Royaume-Uni)</w:t>
      </w:r>
      <w:r w:rsidR="00537CE2">
        <w:rPr>
          <w:lang w:val="fr-FR"/>
        </w:rPr>
        <w:t> ;</w:t>
      </w:r>
    </w:p>
    <w:p w14:paraId="4DCFDF3E" w14:textId="1B4DDD33" w:rsidR="00520996" w:rsidRPr="005B5E5E" w:rsidRDefault="00520996" w:rsidP="00520996">
      <w:pPr>
        <w:pStyle w:val="SingleTxtG"/>
        <w:tabs>
          <w:tab w:val="left" w:pos="3119"/>
        </w:tabs>
        <w:rPr>
          <w:lang w:val="fr-FR"/>
        </w:rPr>
      </w:pPr>
      <w:r>
        <w:rPr>
          <w:lang w:val="fr-FR"/>
        </w:rPr>
        <w:tab/>
      </w:r>
      <w:r w:rsidRPr="005B5E5E">
        <w:rPr>
          <w:lang w:val="fr-FR"/>
        </w:rPr>
        <w:t>ECE/TRANS/WP</w:t>
      </w:r>
      <w:r w:rsidR="00FC1209" w:rsidRPr="00FC1209">
        <w:rPr>
          <w:lang w:val="fr-FR"/>
        </w:rPr>
        <w:t>.</w:t>
      </w:r>
      <w:r w:rsidRPr="005B5E5E">
        <w:rPr>
          <w:lang w:val="fr-FR"/>
        </w:rPr>
        <w:t>15/AC</w:t>
      </w:r>
      <w:r w:rsidR="00FC1209" w:rsidRPr="00FC1209">
        <w:rPr>
          <w:lang w:val="fr-FR"/>
        </w:rPr>
        <w:t>.</w:t>
      </w:r>
      <w:r w:rsidRPr="005B5E5E">
        <w:rPr>
          <w:lang w:val="fr-FR"/>
        </w:rPr>
        <w:t>1/2021/21 (</w:t>
      </w:r>
      <w:r w:rsidR="00537CE2" w:rsidRPr="005B5E5E">
        <w:rPr>
          <w:lang w:val="fr-FR"/>
        </w:rPr>
        <w:t>secrétariat</w:t>
      </w:r>
      <w:r w:rsidRPr="005B5E5E">
        <w:rPr>
          <w:lang w:val="fr-FR"/>
        </w:rPr>
        <w:t xml:space="preserve"> de l</w:t>
      </w:r>
      <w:r w:rsidR="00F70B88">
        <w:rPr>
          <w:lang w:val="fr-FR"/>
        </w:rPr>
        <w:t>’</w:t>
      </w:r>
      <w:r w:rsidRPr="005B5E5E">
        <w:rPr>
          <w:lang w:val="fr-FR"/>
        </w:rPr>
        <w:t>OTIF)</w:t>
      </w:r>
      <w:r w:rsidR="00FC1209" w:rsidRPr="00FC1209">
        <w:rPr>
          <w:lang w:val="fr-FR"/>
        </w:rPr>
        <w:t>.</w:t>
      </w:r>
    </w:p>
    <w:p w14:paraId="3AB432C1" w14:textId="462870E6" w:rsidR="00520996" w:rsidRDefault="00520996" w:rsidP="00520996">
      <w:pPr>
        <w:pStyle w:val="SingleTxtG"/>
        <w:tabs>
          <w:tab w:val="left" w:pos="3119"/>
        </w:tabs>
        <w:spacing w:after="0"/>
        <w:rPr>
          <w:lang w:val="fr-FR"/>
        </w:rPr>
      </w:pPr>
      <w:r>
        <w:rPr>
          <w:i/>
          <w:iCs/>
          <w:lang w:val="fr-FR"/>
        </w:rPr>
        <w:t>Documents informels </w:t>
      </w:r>
      <w:r w:rsidRPr="001374DD">
        <w:rPr>
          <w:lang w:val="fr-FR"/>
        </w:rPr>
        <w:t>:</w:t>
      </w:r>
      <w:r>
        <w:rPr>
          <w:lang w:val="fr-FR"/>
        </w:rPr>
        <w:tab/>
        <w:t>INF</w:t>
      </w:r>
      <w:r w:rsidR="00FC1209" w:rsidRPr="00FC1209">
        <w:rPr>
          <w:lang w:val="fr-FR"/>
        </w:rPr>
        <w:t>.</w:t>
      </w:r>
      <w:r>
        <w:rPr>
          <w:lang w:val="fr-FR"/>
        </w:rPr>
        <w:t>9 (ITCO)</w:t>
      </w:r>
      <w:r w:rsidR="00537CE2">
        <w:rPr>
          <w:lang w:val="fr-FR"/>
        </w:rPr>
        <w:t> ;</w:t>
      </w:r>
    </w:p>
    <w:p w14:paraId="1788FD47" w14:textId="5BDA56A3" w:rsidR="00520996" w:rsidRPr="001374DD" w:rsidRDefault="00520996" w:rsidP="00520996">
      <w:pPr>
        <w:pStyle w:val="SingleTxtG"/>
        <w:tabs>
          <w:tab w:val="left" w:pos="3119"/>
        </w:tabs>
        <w:spacing w:after="0"/>
        <w:rPr>
          <w:lang w:val="fr-FR"/>
        </w:rPr>
      </w:pPr>
      <w:r>
        <w:rPr>
          <w:lang w:val="fr-FR"/>
        </w:rPr>
        <w:tab/>
        <w:t>INF</w:t>
      </w:r>
      <w:r w:rsidR="00FC1209" w:rsidRPr="00FC1209">
        <w:rPr>
          <w:lang w:val="fr-FR"/>
        </w:rPr>
        <w:t>.</w:t>
      </w:r>
      <w:r>
        <w:rPr>
          <w:lang w:val="fr-FR"/>
        </w:rPr>
        <w:t>11 (Royaume-Uni)</w:t>
      </w:r>
      <w:r w:rsidR="00537CE2">
        <w:rPr>
          <w:lang w:val="fr-FR"/>
        </w:rPr>
        <w:t> ;</w:t>
      </w:r>
    </w:p>
    <w:p w14:paraId="7D69473C" w14:textId="06EFB8EC" w:rsidR="00520996" w:rsidRPr="001374DD" w:rsidRDefault="00520996" w:rsidP="00520996">
      <w:pPr>
        <w:pStyle w:val="SingleTxtG"/>
        <w:tabs>
          <w:tab w:val="left" w:pos="3119"/>
        </w:tabs>
        <w:spacing w:after="0"/>
        <w:rPr>
          <w:lang w:val="fr-FR"/>
        </w:rPr>
      </w:pPr>
      <w:r>
        <w:rPr>
          <w:lang w:val="fr-FR"/>
        </w:rPr>
        <w:tab/>
        <w:t>INF</w:t>
      </w:r>
      <w:r w:rsidR="00FC1209" w:rsidRPr="00FC1209">
        <w:rPr>
          <w:lang w:val="fr-FR"/>
        </w:rPr>
        <w:t>.</w:t>
      </w:r>
      <w:r>
        <w:rPr>
          <w:lang w:val="fr-FR"/>
        </w:rPr>
        <w:t>12 (Pays-Bas)</w:t>
      </w:r>
      <w:r w:rsidR="00537CE2">
        <w:rPr>
          <w:lang w:val="fr-FR"/>
        </w:rPr>
        <w:t> ;</w:t>
      </w:r>
    </w:p>
    <w:p w14:paraId="4ADEBCB6" w14:textId="52E9F0BF" w:rsidR="00520996" w:rsidRPr="001374DD" w:rsidRDefault="00520996" w:rsidP="00520996">
      <w:pPr>
        <w:pStyle w:val="SingleTxtG"/>
        <w:tabs>
          <w:tab w:val="left" w:pos="3119"/>
        </w:tabs>
        <w:spacing w:after="0"/>
        <w:rPr>
          <w:lang w:val="fr-FR"/>
        </w:rPr>
      </w:pPr>
      <w:r>
        <w:rPr>
          <w:lang w:val="fr-FR"/>
        </w:rPr>
        <w:tab/>
        <w:t>INF</w:t>
      </w:r>
      <w:r w:rsidR="00FC1209" w:rsidRPr="00FC1209">
        <w:rPr>
          <w:lang w:val="fr-FR"/>
        </w:rPr>
        <w:t>.</w:t>
      </w:r>
      <w:r>
        <w:rPr>
          <w:lang w:val="fr-FR"/>
        </w:rPr>
        <w:t>14 (Pays-Bas) et UIP</w:t>
      </w:r>
      <w:r w:rsidR="00537CE2">
        <w:rPr>
          <w:lang w:val="fr-FR"/>
        </w:rPr>
        <w:t> ;</w:t>
      </w:r>
    </w:p>
    <w:p w14:paraId="5DFA6BF4" w14:textId="012505CE" w:rsidR="00520996" w:rsidRPr="001374DD" w:rsidRDefault="00520996" w:rsidP="00520996">
      <w:pPr>
        <w:pStyle w:val="SingleTxtG"/>
        <w:tabs>
          <w:tab w:val="left" w:pos="3119"/>
        </w:tabs>
        <w:spacing w:after="0"/>
        <w:rPr>
          <w:lang w:val="fr-FR"/>
        </w:rPr>
      </w:pPr>
      <w:r>
        <w:rPr>
          <w:lang w:val="fr-FR"/>
        </w:rPr>
        <w:tab/>
        <w:t>INF</w:t>
      </w:r>
      <w:r w:rsidR="00FC1209" w:rsidRPr="00FC1209">
        <w:rPr>
          <w:lang w:val="fr-FR"/>
        </w:rPr>
        <w:t>.</w:t>
      </w:r>
      <w:r>
        <w:rPr>
          <w:lang w:val="fr-FR"/>
        </w:rPr>
        <w:t>15 (Royaume-Uni)</w:t>
      </w:r>
      <w:r w:rsidR="00537CE2">
        <w:rPr>
          <w:lang w:val="fr-FR"/>
        </w:rPr>
        <w:t> ;</w:t>
      </w:r>
    </w:p>
    <w:p w14:paraId="6B0C67AC" w14:textId="69886CA5" w:rsidR="00520996" w:rsidRPr="001374DD" w:rsidRDefault="00520996" w:rsidP="00520996">
      <w:pPr>
        <w:pStyle w:val="SingleTxtG"/>
        <w:tabs>
          <w:tab w:val="left" w:pos="3119"/>
        </w:tabs>
        <w:spacing w:after="0"/>
        <w:rPr>
          <w:lang w:val="fr-FR"/>
        </w:rPr>
      </w:pPr>
      <w:r>
        <w:rPr>
          <w:lang w:val="fr-FR"/>
        </w:rPr>
        <w:tab/>
        <w:t>INF</w:t>
      </w:r>
      <w:r w:rsidR="00FC1209" w:rsidRPr="00FC1209">
        <w:rPr>
          <w:lang w:val="fr-FR"/>
        </w:rPr>
        <w:t>.</w:t>
      </w:r>
      <w:r>
        <w:rPr>
          <w:lang w:val="fr-FR"/>
        </w:rPr>
        <w:t>16 (Pologne)</w:t>
      </w:r>
      <w:r w:rsidR="00537CE2">
        <w:rPr>
          <w:lang w:val="fr-FR"/>
        </w:rPr>
        <w:t> ;</w:t>
      </w:r>
    </w:p>
    <w:p w14:paraId="55F2313C" w14:textId="360F81AE" w:rsidR="00520996" w:rsidRPr="001374DD" w:rsidRDefault="00520996" w:rsidP="00520996">
      <w:pPr>
        <w:pStyle w:val="SingleTxtG"/>
        <w:tabs>
          <w:tab w:val="left" w:pos="3119"/>
        </w:tabs>
        <w:spacing w:after="0"/>
        <w:rPr>
          <w:lang w:val="fr-FR"/>
        </w:rPr>
      </w:pPr>
      <w:r>
        <w:rPr>
          <w:lang w:val="fr-FR"/>
        </w:rPr>
        <w:tab/>
        <w:t>INF</w:t>
      </w:r>
      <w:r w:rsidR="00FC1209" w:rsidRPr="00FC1209">
        <w:rPr>
          <w:lang w:val="fr-FR"/>
        </w:rPr>
        <w:t>.</w:t>
      </w:r>
      <w:r>
        <w:rPr>
          <w:lang w:val="fr-FR"/>
        </w:rPr>
        <w:t>18 (secrétariat)</w:t>
      </w:r>
      <w:r w:rsidR="00537CE2">
        <w:rPr>
          <w:lang w:val="fr-FR"/>
        </w:rPr>
        <w:t> ;</w:t>
      </w:r>
    </w:p>
    <w:p w14:paraId="4757BF76" w14:textId="6234AD1E" w:rsidR="00520996" w:rsidRPr="00D26ED3" w:rsidRDefault="00520996" w:rsidP="00520996">
      <w:pPr>
        <w:pStyle w:val="SingleTxtG"/>
        <w:tabs>
          <w:tab w:val="left" w:pos="3119"/>
        </w:tabs>
        <w:spacing w:after="0"/>
      </w:pPr>
      <w:r>
        <w:rPr>
          <w:lang w:val="fr-FR"/>
        </w:rPr>
        <w:tab/>
        <w:t>INF</w:t>
      </w:r>
      <w:r w:rsidR="00FC1209" w:rsidRPr="00FC1209">
        <w:rPr>
          <w:lang w:val="fr-FR"/>
        </w:rPr>
        <w:t>.</w:t>
      </w:r>
      <w:r>
        <w:rPr>
          <w:lang w:val="fr-FR"/>
        </w:rPr>
        <w:t>21 (EIGA)</w:t>
      </w:r>
      <w:r w:rsidR="00537CE2">
        <w:rPr>
          <w:lang w:val="fr-FR"/>
        </w:rPr>
        <w:t> ;</w:t>
      </w:r>
    </w:p>
    <w:p w14:paraId="0C58E497" w14:textId="18E80B50" w:rsidR="00520996" w:rsidRPr="001374DD" w:rsidRDefault="00520996" w:rsidP="00520996">
      <w:pPr>
        <w:pStyle w:val="SingleTxtG"/>
        <w:tabs>
          <w:tab w:val="left" w:pos="3119"/>
        </w:tabs>
        <w:spacing w:after="0"/>
        <w:rPr>
          <w:lang w:val="fr-FR"/>
        </w:rPr>
      </w:pPr>
      <w:r>
        <w:rPr>
          <w:lang w:val="fr-FR"/>
        </w:rPr>
        <w:tab/>
        <w:t>INF</w:t>
      </w:r>
      <w:r w:rsidR="00FC1209" w:rsidRPr="00FC1209">
        <w:rPr>
          <w:lang w:val="fr-FR"/>
        </w:rPr>
        <w:t>.</w:t>
      </w:r>
      <w:r>
        <w:rPr>
          <w:lang w:val="fr-FR"/>
        </w:rPr>
        <w:t>23 (Allemagne et UIP)</w:t>
      </w:r>
      <w:r w:rsidR="00537CE2">
        <w:rPr>
          <w:lang w:val="fr-FR"/>
        </w:rPr>
        <w:t> ;</w:t>
      </w:r>
    </w:p>
    <w:p w14:paraId="2693F360" w14:textId="6131A378" w:rsidR="00520996" w:rsidRPr="001374DD" w:rsidRDefault="00520996" w:rsidP="00520996">
      <w:pPr>
        <w:pStyle w:val="SingleTxtG"/>
        <w:tabs>
          <w:tab w:val="left" w:pos="3119"/>
        </w:tabs>
        <w:spacing w:after="0"/>
        <w:rPr>
          <w:lang w:val="fr-FR"/>
        </w:rPr>
      </w:pPr>
      <w:r>
        <w:rPr>
          <w:lang w:val="fr-FR"/>
        </w:rPr>
        <w:tab/>
        <w:t>INF</w:t>
      </w:r>
      <w:r w:rsidR="00FC1209" w:rsidRPr="00FC1209">
        <w:rPr>
          <w:lang w:val="fr-FR"/>
        </w:rPr>
        <w:t>.</w:t>
      </w:r>
      <w:r>
        <w:rPr>
          <w:lang w:val="fr-FR"/>
        </w:rPr>
        <w:t>31 (Royaume-Uni)</w:t>
      </w:r>
      <w:r w:rsidR="00537CE2">
        <w:rPr>
          <w:lang w:val="fr-FR"/>
        </w:rPr>
        <w:t> ;</w:t>
      </w:r>
    </w:p>
    <w:p w14:paraId="14EC7AE0" w14:textId="1E582C4E" w:rsidR="00520996" w:rsidRDefault="00520996" w:rsidP="00520996">
      <w:pPr>
        <w:pStyle w:val="SingleTxtG"/>
        <w:tabs>
          <w:tab w:val="left" w:pos="3119"/>
        </w:tabs>
        <w:spacing w:after="0"/>
        <w:rPr>
          <w:lang w:val="fr-FR"/>
        </w:rPr>
      </w:pPr>
      <w:r>
        <w:rPr>
          <w:lang w:val="fr-FR"/>
        </w:rPr>
        <w:tab/>
        <w:t>INF</w:t>
      </w:r>
      <w:r w:rsidR="00FC1209" w:rsidRPr="00FC1209">
        <w:rPr>
          <w:lang w:val="fr-FR"/>
        </w:rPr>
        <w:t>.</w:t>
      </w:r>
      <w:r>
        <w:rPr>
          <w:lang w:val="fr-FR"/>
        </w:rPr>
        <w:t>35 (France)</w:t>
      </w:r>
      <w:r w:rsidR="00537CE2">
        <w:rPr>
          <w:lang w:val="fr-FR"/>
        </w:rPr>
        <w:t> ;</w:t>
      </w:r>
    </w:p>
    <w:p w14:paraId="4F32A46A" w14:textId="6DA01DF1" w:rsidR="00520996" w:rsidRPr="005B5E5E" w:rsidRDefault="00520996" w:rsidP="00F80E49">
      <w:pPr>
        <w:pStyle w:val="SingleTxtG"/>
        <w:tabs>
          <w:tab w:val="left" w:pos="3119"/>
        </w:tabs>
        <w:rPr>
          <w:lang w:val="fr-FR"/>
        </w:rPr>
      </w:pPr>
      <w:r>
        <w:rPr>
          <w:lang w:val="fr-FR"/>
        </w:rPr>
        <w:tab/>
        <w:t>INF</w:t>
      </w:r>
      <w:r w:rsidR="00FC1209" w:rsidRPr="00FC1209">
        <w:rPr>
          <w:lang w:val="fr-FR"/>
        </w:rPr>
        <w:t>.</w:t>
      </w:r>
      <w:r>
        <w:rPr>
          <w:lang w:val="fr-FR"/>
        </w:rPr>
        <w:t>37 (UIC)</w:t>
      </w:r>
      <w:r w:rsidR="00FC1209" w:rsidRPr="00FC1209">
        <w:rPr>
          <w:lang w:val="fr-FR"/>
        </w:rPr>
        <w:t>.</w:t>
      </w:r>
    </w:p>
    <w:p w14:paraId="52CC270C" w14:textId="12FA43FE" w:rsidR="00F80E49" w:rsidRDefault="00520996" w:rsidP="00F80E49">
      <w:pPr>
        <w:pStyle w:val="SingleTxtG"/>
        <w:rPr>
          <w:lang w:val="fr-FR"/>
        </w:rPr>
      </w:pPr>
      <w:r>
        <w:rPr>
          <w:lang w:val="fr-FR"/>
        </w:rPr>
        <w:t>6</w:t>
      </w:r>
      <w:r w:rsidR="00FC1209" w:rsidRPr="00FC1209">
        <w:rPr>
          <w:lang w:val="fr-FR"/>
        </w:rPr>
        <w:t>.</w:t>
      </w:r>
      <w:r>
        <w:rPr>
          <w:lang w:val="fr-FR"/>
        </w:rPr>
        <w:tab/>
      </w:r>
      <w:r w:rsidRPr="00D5719B">
        <w:rPr>
          <w:lang w:val="fr-FR"/>
        </w:rPr>
        <w:t>L</w:t>
      </w:r>
      <w:r w:rsidR="00F70B88">
        <w:rPr>
          <w:lang w:val="fr-FR"/>
        </w:rPr>
        <w:t>’</w:t>
      </w:r>
      <w:r w:rsidRPr="00D5719B">
        <w:rPr>
          <w:lang w:val="fr-FR"/>
        </w:rPr>
        <w:t>examen des documents relevant du point 2 de l</w:t>
      </w:r>
      <w:r w:rsidR="00F70B88">
        <w:rPr>
          <w:lang w:val="fr-FR"/>
        </w:rPr>
        <w:t>’</w:t>
      </w:r>
      <w:r w:rsidRPr="00D5719B">
        <w:rPr>
          <w:lang w:val="fr-FR"/>
        </w:rPr>
        <w:t>ordre du jour a été confié au Groupe de travail des citernes qui s</w:t>
      </w:r>
      <w:r w:rsidR="00F70B88">
        <w:rPr>
          <w:lang w:val="fr-FR"/>
        </w:rPr>
        <w:t>’</w:t>
      </w:r>
      <w:r w:rsidRPr="00D5719B">
        <w:rPr>
          <w:lang w:val="fr-FR"/>
        </w:rPr>
        <w:t>est réuni virtuellement du 15 au 17 mars sous la présidence de M</w:t>
      </w:r>
      <w:r w:rsidR="00FC1209" w:rsidRPr="00FC1209">
        <w:rPr>
          <w:lang w:val="fr-FR"/>
        </w:rPr>
        <w:t>.</w:t>
      </w:r>
      <w:r w:rsidRPr="00D5719B">
        <w:rPr>
          <w:lang w:val="fr-FR"/>
        </w:rPr>
        <w:t xml:space="preserve"> A</w:t>
      </w:r>
      <w:r w:rsidR="00FC1209" w:rsidRPr="00FC1209">
        <w:rPr>
          <w:lang w:val="fr-FR"/>
        </w:rPr>
        <w:t>.</w:t>
      </w:r>
      <w:r w:rsidRPr="00D5719B">
        <w:rPr>
          <w:lang w:val="fr-FR"/>
        </w:rPr>
        <w:t xml:space="preserve"> Bale (Royaume-Uni)</w:t>
      </w:r>
      <w:r w:rsidR="00FC1209" w:rsidRPr="00FC1209">
        <w:rPr>
          <w:lang w:val="fr-FR"/>
        </w:rPr>
        <w:t>.</w:t>
      </w:r>
      <w:r w:rsidRPr="00D5719B">
        <w:rPr>
          <w:lang w:val="fr-FR"/>
        </w:rPr>
        <w:t xml:space="preserve"> Les documents relatifs au groupe de travail informel du contrôle et de l</w:t>
      </w:r>
      <w:r w:rsidR="00F70B88">
        <w:rPr>
          <w:lang w:val="fr-FR"/>
        </w:rPr>
        <w:t>’</w:t>
      </w:r>
      <w:r w:rsidRPr="00D5719B">
        <w:rPr>
          <w:lang w:val="fr-FR"/>
        </w:rPr>
        <w:t>agrément des citernes ont été examinés en séance plénière</w:t>
      </w:r>
      <w:r w:rsidR="00FC1209" w:rsidRPr="00FC1209">
        <w:rPr>
          <w:lang w:val="fr-FR"/>
        </w:rPr>
        <w:t>.</w:t>
      </w:r>
    </w:p>
    <w:p w14:paraId="64DA4375" w14:textId="5CBACC56" w:rsidR="00520996" w:rsidRPr="003F4D91" w:rsidRDefault="00520996" w:rsidP="00F80E49">
      <w:pPr>
        <w:pStyle w:val="H1G"/>
        <w:rPr>
          <w:lang w:val="fr-FR"/>
        </w:rPr>
      </w:pPr>
      <w:r w:rsidRPr="003F4D91">
        <w:rPr>
          <w:lang w:val="fr-FR"/>
        </w:rPr>
        <w:tab/>
        <w:t>A</w:t>
      </w:r>
      <w:r w:rsidR="00CB5BC7">
        <w:rPr>
          <w:lang w:val="fr-FR"/>
        </w:rPr>
        <w:t>.</w:t>
      </w:r>
      <w:r w:rsidRPr="003F4D91">
        <w:rPr>
          <w:lang w:val="fr-FR"/>
        </w:rPr>
        <w:tab/>
        <w:t>Rapport du Groupe de travail des citernes</w:t>
      </w:r>
    </w:p>
    <w:p w14:paraId="245ACE40" w14:textId="26C54BF4" w:rsidR="00520996" w:rsidRPr="00ED389E" w:rsidRDefault="00520996" w:rsidP="00520996">
      <w:pPr>
        <w:pStyle w:val="SingleTxtG"/>
        <w:ind w:left="3402" w:hanging="2268"/>
        <w:rPr>
          <w:lang w:val="fr-FR"/>
        </w:rPr>
      </w:pPr>
      <w:r w:rsidRPr="00ED389E">
        <w:rPr>
          <w:i/>
          <w:iCs/>
          <w:lang w:val="fr-FR"/>
        </w:rPr>
        <w:t>Document informel</w:t>
      </w:r>
      <w:r w:rsidRPr="00572BE1">
        <w:rPr>
          <w:lang w:val="fr-FR"/>
        </w:rPr>
        <w:t> :</w:t>
      </w:r>
      <w:r w:rsidRPr="00ED389E">
        <w:rPr>
          <w:lang w:val="fr-FR"/>
        </w:rPr>
        <w:tab/>
        <w:t>INF</w:t>
      </w:r>
      <w:r w:rsidR="00FC1209" w:rsidRPr="00FC1209">
        <w:rPr>
          <w:lang w:val="fr-FR"/>
        </w:rPr>
        <w:t>.</w:t>
      </w:r>
      <w:r w:rsidRPr="00ED389E">
        <w:rPr>
          <w:lang w:val="fr-FR"/>
        </w:rPr>
        <w:t>43 (Rapport du Groupe de travail des citernes)</w:t>
      </w:r>
      <w:r w:rsidR="00FC1209" w:rsidRPr="00FC1209">
        <w:rPr>
          <w:lang w:val="fr-FR"/>
        </w:rPr>
        <w:t>.</w:t>
      </w:r>
    </w:p>
    <w:p w14:paraId="4AA7328F" w14:textId="300E95A3" w:rsidR="00520996" w:rsidRPr="00ED389E" w:rsidRDefault="00520996" w:rsidP="00F80E49">
      <w:pPr>
        <w:pStyle w:val="SingleTxtG"/>
        <w:rPr>
          <w:lang w:val="fr-FR"/>
        </w:rPr>
      </w:pPr>
      <w:r>
        <w:rPr>
          <w:lang w:val="fr-FR"/>
        </w:rPr>
        <w:t>7</w:t>
      </w:r>
      <w:r w:rsidR="00FC1209" w:rsidRPr="00FC1209">
        <w:rPr>
          <w:lang w:val="fr-FR"/>
        </w:rPr>
        <w:t>.</w:t>
      </w:r>
      <w:r w:rsidRPr="00ED389E">
        <w:rPr>
          <w:lang w:val="fr-FR"/>
        </w:rPr>
        <w:tab/>
        <w:t>La Réunion commune a adopté les conclusions et les recommandations du Groupe de travail, dont le rapport figure à l</w:t>
      </w:r>
      <w:r w:rsidR="00F70B88">
        <w:rPr>
          <w:lang w:val="fr-FR"/>
        </w:rPr>
        <w:t>’</w:t>
      </w:r>
      <w:r w:rsidRPr="00ED389E">
        <w:rPr>
          <w:lang w:val="fr-FR"/>
        </w:rPr>
        <w:t xml:space="preserve">annexe </w:t>
      </w:r>
      <w:r>
        <w:rPr>
          <w:lang w:val="fr-FR"/>
        </w:rPr>
        <w:t xml:space="preserve">I </w:t>
      </w:r>
      <w:r w:rsidRPr="00ED389E">
        <w:rPr>
          <w:lang w:val="fr-FR"/>
        </w:rPr>
        <w:t>en tant qu</w:t>
      </w:r>
      <w:r w:rsidR="00F70B88">
        <w:rPr>
          <w:lang w:val="fr-FR"/>
        </w:rPr>
        <w:t>’</w:t>
      </w:r>
      <w:r w:rsidRPr="00ED389E">
        <w:rPr>
          <w:lang w:val="fr-FR"/>
        </w:rPr>
        <w:t>additif 1 au présent rapport</w:t>
      </w:r>
      <w:r w:rsidR="00FC1209" w:rsidRPr="00FC1209">
        <w:rPr>
          <w:lang w:val="fr-FR"/>
        </w:rPr>
        <w:t>.</w:t>
      </w:r>
      <w:r w:rsidRPr="00ED389E">
        <w:rPr>
          <w:lang w:val="fr-FR"/>
        </w:rPr>
        <w:t xml:space="preserve"> Les propositions 1 à 7 énoncées aux point</w:t>
      </w:r>
      <w:r w:rsidR="0009510F">
        <w:rPr>
          <w:lang w:val="fr-FR"/>
        </w:rPr>
        <w:t>s</w:t>
      </w:r>
      <w:r w:rsidRPr="00ED389E">
        <w:rPr>
          <w:lang w:val="fr-FR"/>
        </w:rPr>
        <w:t xml:space="preserve"> 1, 2 et 3 </w:t>
      </w:r>
      <w:r w:rsidRPr="00482978">
        <w:rPr>
          <w:lang w:val="fr-FR"/>
        </w:rPr>
        <w:t>de l</w:t>
      </w:r>
      <w:r w:rsidR="00F70B88">
        <w:rPr>
          <w:lang w:val="fr-FR"/>
        </w:rPr>
        <w:t>’</w:t>
      </w:r>
      <w:r w:rsidRPr="00482978">
        <w:rPr>
          <w:lang w:val="fr-FR"/>
        </w:rPr>
        <w:t>additif 1 ont été adoptées (voir annexe</w:t>
      </w:r>
      <w:r w:rsidR="00F80E49">
        <w:rPr>
          <w:lang w:val="fr-FR"/>
        </w:rPr>
        <w:t> </w:t>
      </w:r>
      <w:r w:rsidRPr="00482978">
        <w:rPr>
          <w:lang w:val="fr-FR"/>
        </w:rPr>
        <w:t>II)</w:t>
      </w:r>
      <w:r w:rsidR="00FC1209" w:rsidRPr="00FC1209">
        <w:rPr>
          <w:lang w:val="fr-FR"/>
        </w:rPr>
        <w:t>.</w:t>
      </w:r>
    </w:p>
    <w:p w14:paraId="0B4B7277" w14:textId="593F8CE5" w:rsidR="00520996" w:rsidRPr="00ED389E" w:rsidRDefault="00520996" w:rsidP="00520996">
      <w:pPr>
        <w:pStyle w:val="SingleTxtG"/>
        <w:rPr>
          <w:lang w:val="fr-FR"/>
        </w:rPr>
      </w:pPr>
      <w:r>
        <w:rPr>
          <w:lang w:val="fr-FR"/>
        </w:rPr>
        <w:t>8</w:t>
      </w:r>
      <w:r w:rsidR="00FC1209" w:rsidRPr="00FC1209">
        <w:rPr>
          <w:lang w:val="fr-FR"/>
        </w:rPr>
        <w:t>.</w:t>
      </w:r>
      <w:r w:rsidRPr="00ED389E">
        <w:rPr>
          <w:lang w:val="fr-FR"/>
        </w:rPr>
        <w:tab/>
        <w:t>En ce qui concerne la proposition 6 énoncée au point 2, la Réunion commune a adopté l</w:t>
      </w:r>
      <w:r w:rsidR="00F70B88">
        <w:rPr>
          <w:lang w:val="fr-FR"/>
        </w:rPr>
        <w:t>’</w:t>
      </w:r>
      <w:r w:rsidRPr="00ED389E">
        <w:rPr>
          <w:lang w:val="fr-FR"/>
        </w:rPr>
        <w:t>extension du champ d</w:t>
      </w:r>
      <w:r w:rsidR="00F70B88">
        <w:rPr>
          <w:lang w:val="fr-FR"/>
        </w:rPr>
        <w:t>’</w:t>
      </w:r>
      <w:r w:rsidRPr="00ED389E">
        <w:rPr>
          <w:lang w:val="fr-FR"/>
        </w:rPr>
        <w:t>application de la colonne 3 de façon à inclure le 6</w:t>
      </w:r>
      <w:r w:rsidR="00FC1209" w:rsidRPr="00FC1209">
        <w:rPr>
          <w:lang w:val="fr-FR"/>
        </w:rPr>
        <w:t>.</w:t>
      </w:r>
      <w:r w:rsidRPr="00ED389E">
        <w:rPr>
          <w:lang w:val="fr-FR"/>
        </w:rPr>
        <w:t>8</w:t>
      </w:r>
      <w:r w:rsidR="00FC1209" w:rsidRPr="00FC1209">
        <w:rPr>
          <w:lang w:val="fr-FR"/>
        </w:rPr>
        <w:t>.</w:t>
      </w:r>
      <w:r w:rsidRPr="00ED389E">
        <w:rPr>
          <w:lang w:val="fr-FR"/>
        </w:rPr>
        <w:t>2</w:t>
      </w:r>
      <w:r w:rsidR="00FC1209" w:rsidRPr="00FC1209">
        <w:rPr>
          <w:lang w:val="fr-FR"/>
        </w:rPr>
        <w:t>.</w:t>
      </w:r>
      <w:r w:rsidRPr="00ED389E">
        <w:rPr>
          <w:lang w:val="fr-FR"/>
        </w:rPr>
        <w:t>1</w:t>
      </w:r>
      <w:r w:rsidR="00FC1209" w:rsidRPr="00FC1209">
        <w:rPr>
          <w:lang w:val="fr-FR"/>
        </w:rPr>
        <w:t>.</w:t>
      </w:r>
      <w:r w:rsidRPr="00ED389E">
        <w:rPr>
          <w:lang w:val="fr-FR"/>
        </w:rPr>
        <w:t>23 et pris note d</w:t>
      </w:r>
      <w:r w:rsidR="00F70B88">
        <w:rPr>
          <w:lang w:val="fr-FR"/>
        </w:rPr>
        <w:t>’</w:t>
      </w:r>
      <w:r w:rsidRPr="00ED389E">
        <w:rPr>
          <w:lang w:val="fr-FR"/>
        </w:rPr>
        <w:t>un conflit possible avec la date indiquée dans la colonne 4</w:t>
      </w:r>
      <w:r w:rsidR="00FC1209" w:rsidRPr="00FC1209">
        <w:rPr>
          <w:lang w:val="fr-FR"/>
        </w:rPr>
        <w:t>.</w:t>
      </w:r>
      <w:r w:rsidRPr="00ED389E">
        <w:rPr>
          <w:lang w:val="fr-FR"/>
        </w:rPr>
        <w:t xml:space="preserve"> Elle a décidé d</w:t>
      </w:r>
      <w:r w:rsidR="00F70B88">
        <w:rPr>
          <w:lang w:val="fr-FR"/>
        </w:rPr>
        <w:t>’</w:t>
      </w:r>
      <w:r w:rsidRPr="00ED389E">
        <w:rPr>
          <w:lang w:val="fr-FR"/>
        </w:rPr>
        <w:t>éclaircir cette question à sa prochaine session et, par conséquent, de conserver cet amendement entre</w:t>
      </w:r>
      <w:r>
        <w:rPr>
          <w:lang w:val="fr-FR"/>
        </w:rPr>
        <w:t> </w:t>
      </w:r>
      <w:r w:rsidRPr="00ED389E">
        <w:rPr>
          <w:lang w:val="fr-FR"/>
        </w:rPr>
        <w:t>crochets</w:t>
      </w:r>
      <w:r w:rsidR="00FC1209" w:rsidRPr="00FC1209">
        <w:rPr>
          <w:lang w:val="fr-FR"/>
        </w:rPr>
        <w:t>.</w:t>
      </w:r>
    </w:p>
    <w:p w14:paraId="687302E3" w14:textId="2B13A9A2" w:rsidR="00520996" w:rsidRPr="00ED389E" w:rsidRDefault="00520996" w:rsidP="00520996">
      <w:pPr>
        <w:pStyle w:val="SingleTxtG"/>
        <w:rPr>
          <w:lang w:val="fr-FR"/>
        </w:rPr>
      </w:pPr>
      <w:r>
        <w:rPr>
          <w:lang w:val="fr-FR"/>
        </w:rPr>
        <w:t>9</w:t>
      </w:r>
      <w:r w:rsidR="00FC1209" w:rsidRPr="00FC1209">
        <w:rPr>
          <w:lang w:val="fr-FR"/>
        </w:rPr>
        <w:t>.</w:t>
      </w:r>
      <w:r w:rsidRPr="00ED389E">
        <w:rPr>
          <w:lang w:val="fr-FR"/>
        </w:rPr>
        <w:tab/>
        <w:t>En ce qui concerne le point 4, la Réunion commune a constaté qu</w:t>
      </w:r>
      <w:r w:rsidR="00F70B88">
        <w:rPr>
          <w:lang w:val="fr-FR"/>
        </w:rPr>
        <w:t>’</w:t>
      </w:r>
      <w:r w:rsidRPr="00ED389E">
        <w:rPr>
          <w:lang w:val="fr-FR"/>
        </w:rPr>
        <w:t>aucun consensus n</w:t>
      </w:r>
      <w:r w:rsidR="00F70B88">
        <w:rPr>
          <w:lang w:val="fr-FR"/>
        </w:rPr>
        <w:t>’</w:t>
      </w:r>
      <w:r w:rsidRPr="00ED389E">
        <w:rPr>
          <w:lang w:val="fr-FR"/>
        </w:rPr>
        <w:t>avait pu être trouvé et a décidé, faute de temps, de reprendre la discussion à sa session d</w:t>
      </w:r>
      <w:r w:rsidR="00F70B88">
        <w:rPr>
          <w:lang w:val="fr-FR"/>
        </w:rPr>
        <w:t>’</w:t>
      </w:r>
      <w:r w:rsidRPr="00ED389E">
        <w:rPr>
          <w:lang w:val="fr-FR"/>
        </w:rPr>
        <w:t>automne</w:t>
      </w:r>
      <w:r w:rsidR="00FC1209" w:rsidRPr="00FC1209">
        <w:rPr>
          <w:lang w:val="fr-FR"/>
        </w:rPr>
        <w:t>.</w:t>
      </w:r>
    </w:p>
    <w:p w14:paraId="1F42BF7E" w14:textId="1676770D" w:rsidR="00520996" w:rsidRPr="00ED389E" w:rsidRDefault="00520996" w:rsidP="00520996">
      <w:pPr>
        <w:pStyle w:val="SingleTxtG"/>
        <w:rPr>
          <w:lang w:val="fr-FR"/>
        </w:rPr>
      </w:pPr>
      <w:r>
        <w:rPr>
          <w:lang w:val="fr-FR"/>
        </w:rPr>
        <w:t>10</w:t>
      </w:r>
      <w:r w:rsidR="00FC1209" w:rsidRPr="00FC1209">
        <w:rPr>
          <w:lang w:val="fr-FR"/>
        </w:rPr>
        <w:t>.</w:t>
      </w:r>
      <w:r w:rsidRPr="00ED389E">
        <w:rPr>
          <w:lang w:val="fr-FR"/>
        </w:rPr>
        <w:tab/>
        <w:t>En ce qui concerne le point 6, la Réunion commune a reconnu l</w:t>
      </w:r>
      <w:r w:rsidR="00F70B88">
        <w:rPr>
          <w:lang w:val="fr-FR"/>
        </w:rPr>
        <w:t>’</w:t>
      </w:r>
      <w:r w:rsidRPr="00ED389E">
        <w:rPr>
          <w:lang w:val="fr-FR"/>
        </w:rPr>
        <w:t>urgence et l</w:t>
      </w:r>
      <w:r w:rsidR="00F70B88">
        <w:rPr>
          <w:lang w:val="fr-FR"/>
        </w:rPr>
        <w:t>’</w:t>
      </w:r>
      <w:r w:rsidRPr="00ED389E">
        <w:rPr>
          <w:lang w:val="fr-FR"/>
        </w:rPr>
        <w:t>importance qu</w:t>
      </w:r>
      <w:r w:rsidR="00F70B88">
        <w:rPr>
          <w:lang w:val="fr-FR"/>
        </w:rPr>
        <w:t>’</w:t>
      </w:r>
      <w:r w:rsidRPr="00ED389E">
        <w:rPr>
          <w:lang w:val="fr-FR"/>
        </w:rPr>
        <w:t>il y avait à réexaminer le paragraphe 6</w:t>
      </w:r>
      <w:r w:rsidR="00FC1209" w:rsidRPr="00FC1209">
        <w:rPr>
          <w:lang w:val="fr-FR"/>
        </w:rPr>
        <w:t>.</w:t>
      </w:r>
      <w:r w:rsidRPr="00ED389E">
        <w:rPr>
          <w:lang w:val="fr-FR"/>
        </w:rPr>
        <w:t>8</w:t>
      </w:r>
      <w:r w:rsidR="00FC1209" w:rsidRPr="00FC1209">
        <w:rPr>
          <w:lang w:val="fr-FR"/>
        </w:rPr>
        <w:t>.</w:t>
      </w:r>
      <w:r w:rsidRPr="00ED389E">
        <w:rPr>
          <w:lang w:val="fr-FR"/>
        </w:rPr>
        <w:t>3</w:t>
      </w:r>
      <w:r w:rsidR="00FC1209" w:rsidRPr="00FC1209">
        <w:rPr>
          <w:lang w:val="fr-FR"/>
        </w:rPr>
        <w:t>.</w:t>
      </w:r>
      <w:r w:rsidRPr="00ED389E">
        <w:rPr>
          <w:lang w:val="fr-FR"/>
        </w:rPr>
        <w:t>2 du RID et de l</w:t>
      </w:r>
      <w:r w:rsidR="00F70B88">
        <w:rPr>
          <w:lang w:val="fr-FR"/>
        </w:rPr>
        <w:t>’</w:t>
      </w:r>
      <w:r w:rsidRPr="00ED389E">
        <w:rPr>
          <w:lang w:val="fr-FR"/>
        </w:rPr>
        <w:t>ADR et décidé de créer un groupe de travail spécial intersessions pour poursuivre la discussion sur ce sujet</w:t>
      </w:r>
      <w:r w:rsidR="00FC1209" w:rsidRPr="00FC1209">
        <w:rPr>
          <w:lang w:val="fr-FR"/>
        </w:rPr>
        <w:t>.</w:t>
      </w:r>
      <w:r w:rsidRPr="00ED389E">
        <w:rPr>
          <w:lang w:val="fr-FR"/>
        </w:rPr>
        <w:t xml:space="preserve"> </w:t>
      </w:r>
      <w:r w:rsidRPr="00B57304">
        <w:rPr>
          <w:lang w:val="fr-FR"/>
        </w:rPr>
        <w:t>Les représentants des Pays-Bas et de l</w:t>
      </w:r>
      <w:r w:rsidR="00F70B88">
        <w:rPr>
          <w:lang w:val="fr-FR"/>
        </w:rPr>
        <w:t>’</w:t>
      </w:r>
      <w:r w:rsidRPr="00B57304">
        <w:rPr>
          <w:lang w:val="fr-FR"/>
        </w:rPr>
        <w:t>EIGA</w:t>
      </w:r>
      <w:r w:rsidRPr="00ED389E">
        <w:rPr>
          <w:lang w:val="fr-FR"/>
        </w:rPr>
        <w:t xml:space="preserve"> ont été invités à organiser une réunion à cet effet et à en rendre compte à la session de septembre de la Réunion commune</w:t>
      </w:r>
      <w:r w:rsidR="00FC1209" w:rsidRPr="00FC1209">
        <w:rPr>
          <w:lang w:val="fr-FR"/>
        </w:rPr>
        <w:t>.</w:t>
      </w:r>
    </w:p>
    <w:p w14:paraId="5EB9165E" w14:textId="3E10B9A0" w:rsidR="00520996" w:rsidRPr="00ED389E" w:rsidRDefault="00520996" w:rsidP="00F80E49">
      <w:pPr>
        <w:pStyle w:val="SingleTxtG"/>
        <w:rPr>
          <w:lang w:val="fr-FR"/>
        </w:rPr>
      </w:pPr>
      <w:r>
        <w:rPr>
          <w:lang w:val="fr-FR"/>
        </w:rPr>
        <w:t>11</w:t>
      </w:r>
      <w:r w:rsidR="00FC1209" w:rsidRPr="00FC1209">
        <w:rPr>
          <w:lang w:val="fr-FR"/>
        </w:rPr>
        <w:t>.</w:t>
      </w:r>
      <w:r w:rsidRPr="00ED389E">
        <w:rPr>
          <w:lang w:val="fr-FR"/>
        </w:rPr>
        <w:tab/>
        <w:t xml:space="preserve">En ce qui concerne le point 7, la Réunion commune a pris note des préoccupations soulevées par </w:t>
      </w:r>
      <w:r>
        <w:rPr>
          <w:lang w:val="fr-FR"/>
        </w:rPr>
        <w:t xml:space="preserve">le </w:t>
      </w:r>
      <w:r w:rsidRPr="00B57304">
        <w:rPr>
          <w:lang w:val="fr-FR"/>
        </w:rPr>
        <w:t>représentant</w:t>
      </w:r>
      <w:r>
        <w:rPr>
          <w:lang w:val="fr-FR"/>
        </w:rPr>
        <w:t xml:space="preserve"> de </w:t>
      </w:r>
      <w:r w:rsidRPr="00ED389E">
        <w:rPr>
          <w:lang w:val="fr-FR"/>
        </w:rPr>
        <w:t>l</w:t>
      </w:r>
      <w:r w:rsidR="00F70B88">
        <w:rPr>
          <w:lang w:val="fr-FR"/>
        </w:rPr>
        <w:t>’</w:t>
      </w:r>
      <w:r w:rsidRPr="00ED389E">
        <w:rPr>
          <w:lang w:val="fr-FR"/>
        </w:rPr>
        <w:t>ITCO dans le document informel INF</w:t>
      </w:r>
      <w:r w:rsidR="00FC1209" w:rsidRPr="00FC1209">
        <w:rPr>
          <w:lang w:val="fr-FR"/>
        </w:rPr>
        <w:t>.</w:t>
      </w:r>
      <w:r w:rsidRPr="00ED389E">
        <w:rPr>
          <w:lang w:val="fr-FR"/>
        </w:rPr>
        <w:t>9 et de sa demande de reporter l</w:t>
      </w:r>
      <w:r w:rsidR="00F70B88">
        <w:rPr>
          <w:lang w:val="fr-FR"/>
        </w:rPr>
        <w:t>’</w:t>
      </w:r>
      <w:r w:rsidRPr="00ED389E">
        <w:rPr>
          <w:lang w:val="fr-FR"/>
        </w:rPr>
        <w:t>inclusion du chapitre 6</w:t>
      </w:r>
      <w:r w:rsidR="00FC1209" w:rsidRPr="00FC1209">
        <w:rPr>
          <w:lang w:val="fr-FR"/>
        </w:rPr>
        <w:t>.</w:t>
      </w:r>
      <w:r w:rsidRPr="00ED389E">
        <w:rPr>
          <w:lang w:val="fr-FR"/>
        </w:rPr>
        <w:t>9 dans le RID et l</w:t>
      </w:r>
      <w:r w:rsidR="00F70B88">
        <w:rPr>
          <w:lang w:val="fr-FR"/>
        </w:rPr>
        <w:t>’</w:t>
      </w:r>
      <w:r w:rsidRPr="00ED389E">
        <w:rPr>
          <w:lang w:val="fr-FR"/>
        </w:rPr>
        <w:t>ADR</w:t>
      </w:r>
      <w:r w:rsidR="006E5DF8">
        <w:rPr>
          <w:lang w:val="fr-FR"/>
        </w:rPr>
        <w:t>.</w:t>
      </w:r>
      <w:r w:rsidRPr="00ED389E">
        <w:rPr>
          <w:lang w:val="fr-FR"/>
        </w:rPr>
        <w:t xml:space="preserve"> Compte tenu du caractère obsolète des prescriptions existantes, la plupart des délégations étaient d</w:t>
      </w:r>
      <w:r w:rsidR="00F70B88">
        <w:rPr>
          <w:lang w:val="fr-FR"/>
        </w:rPr>
        <w:t>’</w:t>
      </w:r>
      <w:r w:rsidRPr="00ED389E">
        <w:rPr>
          <w:lang w:val="fr-FR"/>
        </w:rPr>
        <w:t>avis que le nouveau chapitre 6</w:t>
      </w:r>
      <w:r w:rsidR="00FC1209" w:rsidRPr="00FC1209">
        <w:rPr>
          <w:lang w:val="fr-FR"/>
        </w:rPr>
        <w:t>.</w:t>
      </w:r>
      <w:r w:rsidRPr="00ED389E">
        <w:rPr>
          <w:lang w:val="fr-FR"/>
        </w:rPr>
        <w:t>9 sur les citernes mobiles en plastique renforcé de fibres (PRF) du Règlement type de l</w:t>
      </w:r>
      <w:r w:rsidR="00F70B88">
        <w:rPr>
          <w:lang w:val="fr-FR"/>
        </w:rPr>
        <w:t>’</w:t>
      </w:r>
      <w:r w:rsidRPr="00ED389E">
        <w:rPr>
          <w:lang w:val="fr-FR"/>
        </w:rPr>
        <w:t>ONU constituait une amélioration considérable et qu</w:t>
      </w:r>
      <w:r w:rsidR="00F70B88">
        <w:rPr>
          <w:lang w:val="fr-FR"/>
        </w:rPr>
        <w:t>’</w:t>
      </w:r>
      <w:r w:rsidRPr="00ED389E">
        <w:rPr>
          <w:lang w:val="fr-FR"/>
        </w:rPr>
        <w:t>il pouvait être intégré dans le RID et l</w:t>
      </w:r>
      <w:r w:rsidR="00F70B88">
        <w:rPr>
          <w:lang w:val="fr-FR"/>
        </w:rPr>
        <w:t>’</w:t>
      </w:r>
      <w:r w:rsidRPr="00ED389E">
        <w:rPr>
          <w:lang w:val="fr-FR"/>
        </w:rPr>
        <w:t>ADR</w:t>
      </w:r>
      <w:r w:rsidR="00FC1209" w:rsidRPr="00FC1209">
        <w:rPr>
          <w:lang w:val="fr-FR"/>
        </w:rPr>
        <w:t>.</w:t>
      </w:r>
      <w:r w:rsidRPr="00ED389E">
        <w:rPr>
          <w:lang w:val="fr-FR"/>
        </w:rPr>
        <w:t xml:space="preserve"> Il a été convenu que le Groupe de travail spécial de l</w:t>
      </w:r>
      <w:r w:rsidR="00F70B88">
        <w:rPr>
          <w:lang w:val="fr-FR"/>
        </w:rPr>
        <w:t>’</w:t>
      </w:r>
      <w:r w:rsidRPr="00ED389E">
        <w:rPr>
          <w:lang w:val="fr-FR"/>
        </w:rPr>
        <w:t>harmonisation devrait décider de la meilleure façon de procéder pour ajouter les dispositions du nouveau chapitre 6</w:t>
      </w:r>
      <w:r w:rsidR="00FC1209" w:rsidRPr="00FC1209">
        <w:rPr>
          <w:lang w:val="fr-FR"/>
        </w:rPr>
        <w:t>.</w:t>
      </w:r>
      <w:r w:rsidRPr="00ED389E">
        <w:rPr>
          <w:lang w:val="fr-FR"/>
        </w:rPr>
        <w:t xml:space="preserve">9 dans </w:t>
      </w:r>
      <w:r w:rsidRPr="00ED389E">
        <w:rPr>
          <w:lang w:val="fr-FR"/>
        </w:rPr>
        <w:lastRenderedPageBreak/>
        <w:t>le RID et l</w:t>
      </w:r>
      <w:r w:rsidR="00F70B88">
        <w:rPr>
          <w:lang w:val="fr-FR"/>
        </w:rPr>
        <w:t>’</w:t>
      </w:r>
      <w:r w:rsidRPr="00ED389E">
        <w:rPr>
          <w:lang w:val="fr-FR"/>
        </w:rPr>
        <w:t>ADR</w:t>
      </w:r>
      <w:r w:rsidRPr="00723483">
        <w:rPr>
          <w:lang w:val="fr-FR"/>
        </w:rPr>
        <w:t xml:space="preserve"> (document ECE/TRANS/WP</w:t>
      </w:r>
      <w:r w:rsidR="00FC1209" w:rsidRPr="00FC1209">
        <w:rPr>
          <w:lang w:val="fr-FR"/>
        </w:rPr>
        <w:t>.</w:t>
      </w:r>
      <w:r w:rsidRPr="00723483">
        <w:rPr>
          <w:lang w:val="fr-FR"/>
        </w:rPr>
        <w:t>15/AC</w:t>
      </w:r>
      <w:r w:rsidR="00FC1209" w:rsidRPr="00FC1209">
        <w:rPr>
          <w:lang w:val="fr-FR"/>
        </w:rPr>
        <w:t>.</w:t>
      </w:r>
      <w:r w:rsidRPr="00723483">
        <w:rPr>
          <w:lang w:val="fr-FR"/>
        </w:rPr>
        <w:t>1/2021/5)</w:t>
      </w:r>
      <w:r w:rsidR="00FC1209" w:rsidRPr="00FC1209">
        <w:rPr>
          <w:lang w:val="fr-FR"/>
        </w:rPr>
        <w:t>.</w:t>
      </w:r>
      <w:r w:rsidRPr="00ED389E">
        <w:rPr>
          <w:lang w:val="fr-FR"/>
        </w:rPr>
        <w:t xml:space="preserve"> Le représentant de l</w:t>
      </w:r>
      <w:r w:rsidR="00F70B88">
        <w:rPr>
          <w:lang w:val="fr-FR"/>
        </w:rPr>
        <w:t>’</w:t>
      </w:r>
      <w:r w:rsidRPr="00ED389E">
        <w:rPr>
          <w:lang w:val="fr-FR"/>
        </w:rPr>
        <w:t>ITCO a été invité à faire part de ses préoccupations au Sous-</w:t>
      </w:r>
      <w:r>
        <w:rPr>
          <w:lang w:val="fr-FR"/>
        </w:rPr>
        <w:t>C</w:t>
      </w:r>
      <w:r w:rsidRPr="00ED389E">
        <w:rPr>
          <w:lang w:val="fr-FR"/>
        </w:rPr>
        <w:t>omité d</w:t>
      </w:r>
      <w:r w:rsidR="00F70B88">
        <w:rPr>
          <w:lang w:val="fr-FR"/>
        </w:rPr>
        <w:t>’</w:t>
      </w:r>
      <w:r w:rsidRPr="00ED389E">
        <w:rPr>
          <w:lang w:val="fr-FR"/>
        </w:rPr>
        <w:t>experts du transport des marchandises dangereuses à sa session de juin/juillet</w:t>
      </w:r>
      <w:r w:rsidR="00FC1209" w:rsidRPr="00FC1209">
        <w:rPr>
          <w:lang w:val="fr-FR"/>
        </w:rPr>
        <w:t>.</w:t>
      </w:r>
    </w:p>
    <w:p w14:paraId="7D9C0CEE" w14:textId="0A57E1FA" w:rsidR="00520996" w:rsidRPr="00ED389E" w:rsidRDefault="00520996" w:rsidP="00F80E49">
      <w:pPr>
        <w:pStyle w:val="H1G"/>
        <w:rPr>
          <w:lang w:val="fr-FR"/>
        </w:rPr>
      </w:pPr>
      <w:r w:rsidRPr="00ED389E">
        <w:rPr>
          <w:lang w:val="fr-FR"/>
        </w:rPr>
        <w:tab/>
      </w:r>
      <w:r>
        <w:rPr>
          <w:lang w:val="fr-FR"/>
        </w:rPr>
        <w:t>B</w:t>
      </w:r>
      <w:r w:rsidR="00CB5BC7">
        <w:rPr>
          <w:lang w:val="fr-FR"/>
        </w:rPr>
        <w:t>.</w:t>
      </w:r>
      <w:r w:rsidRPr="00ED389E">
        <w:rPr>
          <w:lang w:val="fr-FR"/>
        </w:rPr>
        <w:tab/>
        <w:t>Travaux du groupe de travail informel du contrôle et de l</w:t>
      </w:r>
      <w:r w:rsidR="00F70B88">
        <w:rPr>
          <w:lang w:val="fr-FR"/>
        </w:rPr>
        <w:t>’</w:t>
      </w:r>
      <w:r w:rsidRPr="00ED389E">
        <w:rPr>
          <w:lang w:val="fr-FR"/>
        </w:rPr>
        <w:t>agrément des</w:t>
      </w:r>
      <w:r>
        <w:rPr>
          <w:lang w:val="fr-FR"/>
        </w:rPr>
        <w:t> </w:t>
      </w:r>
      <w:r w:rsidRPr="00ED389E">
        <w:rPr>
          <w:lang w:val="fr-FR"/>
        </w:rPr>
        <w:t>citernes</w:t>
      </w:r>
    </w:p>
    <w:p w14:paraId="66A8FF2B" w14:textId="27F80A1E" w:rsidR="00520996" w:rsidRPr="00723483" w:rsidRDefault="00520996" w:rsidP="00520996">
      <w:pPr>
        <w:pStyle w:val="SingleTxtG"/>
        <w:ind w:left="3402" w:hanging="2268"/>
        <w:jc w:val="left"/>
        <w:rPr>
          <w:i/>
          <w:iCs/>
          <w:lang w:val="fr-FR"/>
        </w:rPr>
      </w:pPr>
      <w:r w:rsidRPr="00723483">
        <w:rPr>
          <w:i/>
          <w:iCs/>
          <w:lang w:val="fr-FR"/>
        </w:rPr>
        <w:t>Documents</w:t>
      </w:r>
      <w:r w:rsidR="00F80E49">
        <w:rPr>
          <w:i/>
          <w:iCs/>
          <w:lang w:val="fr-FR"/>
        </w:rPr>
        <w:t> </w:t>
      </w:r>
      <w:r w:rsidRPr="00F80E49">
        <w:rPr>
          <w:lang w:val="fr-FR"/>
        </w:rPr>
        <w:t>:</w:t>
      </w:r>
      <w:r w:rsidRPr="00723483">
        <w:rPr>
          <w:lang w:val="fr-FR"/>
        </w:rPr>
        <w:tab/>
        <w:t>ECE/TRANS/WP</w:t>
      </w:r>
      <w:r w:rsidR="00FC1209" w:rsidRPr="00FC1209">
        <w:rPr>
          <w:lang w:val="fr-FR"/>
        </w:rPr>
        <w:t>.</w:t>
      </w:r>
      <w:r w:rsidRPr="00723483">
        <w:rPr>
          <w:lang w:val="fr-FR"/>
        </w:rPr>
        <w:t>15/AC</w:t>
      </w:r>
      <w:r w:rsidR="00FC1209" w:rsidRPr="00FC1209">
        <w:rPr>
          <w:lang w:val="fr-FR"/>
        </w:rPr>
        <w:t>.</w:t>
      </w:r>
      <w:r w:rsidRPr="00723483">
        <w:rPr>
          <w:lang w:val="fr-FR"/>
        </w:rPr>
        <w:t>1/2021/7 (Royaume-Uni)</w:t>
      </w:r>
      <w:r w:rsidR="00CB5BC7">
        <w:rPr>
          <w:lang w:val="fr-FR"/>
        </w:rPr>
        <w:t> ;</w:t>
      </w:r>
      <w:r w:rsidRPr="00723483">
        <w:rPr>
          <w:lang w:val="fr-FR"/>
        </w:rPr>
        <w:br/>
        <w:t>ECE/TRANS/WP</w:t>
      </w:r>
      <w:r w:rsidR="00FC1209" w:rsidRPr="00FC1209">
        <w:rPr>
          <w:lang w:val="fr-FR"/>
        </w:rPr>
        <w:t>.</w:t>
      </w:r>
      <w:r w:rsidRPr="00723483">
        <w:rPr>
          <w:lang w:val="fr-FR"/>
        </w:rPr>
        <w:t>15/AC</w:t>
      </w:r>
      <w:r w:rsidR="00FC1209" w:rsidRPr="00FC1209">
        <w:rPr>
          <w:lang w:val="fr-FR"/>
        </w:rPr>
        <w:t>.</w:t>
      </w:r>
      <w:r w:rsidRPr="00723483">
        <w:rPr>
          <w:lang w:val="fr-FR"/>
        </w:rPr>
        <w:t>1/2021/16 (</w:t>
      </w:r>
      <w:r>
        <w:rPr>
          <w:lang w:val="fr-FR"/>
        </w:rPr>
        <w:t>Allemagne</w:t>
      </w:r>
      <w:r w:rsidRPr="00723483">
        <w:rPr>
          <w:lang w:val="fr-FR"/>
        </w:rPr>
        <w:t>)</w:t>
      </w:r>
      <w:r w:rsidR="00FC1209" w:rsidRPr="00FC1209">
        <w:rPr>
          <w:lang w:val="fr-FR"/>
        </w:rPr>
        <w:t>.</w:t>
      </w:r>
    </w:p>
    <w:p w14:paraId="71CDCD27" w14:textId="78BFCF40" w:rsidR="00520996" w:rsidRPr="00ED389E" w:rsidRDefault="00CB5BC7" w:rsidP="00520996">
      <w:pPr>
        <w:pStyle w:val="SingleTxtG"/>
        <w:tabs>
          <w:tab w:val="left" w:pos="3402"/>
        </w:tabs>
        <w:ind w:left="3402" w:hanging="2268"/>
        <w:jc w:val="left"/>
        <w:rPr>
          <w:lang w:val="fr-FR"/>
        </w:rPr>
      </w:pPr>
      <w:r w:rsidRPr="00ED389E">
        <w:rPr>
          <w:i/>
          <w:iCs/>
          <w:lang w:val="fr-FR"/>
        </w:rPr>
        <w:t>Document</w:t>
      </w:r>
      <w:r>
        <w:rPr>
          <w:i/>
          <w:iCs/>
          <w:lang w:val="fr-FR"/>
        </w:rPr>
        <w:t>s</w:t>
      </w:r>
      <w:r w:rsidRPr="00ED389E">
        <w:rPr>
          <w:i/>
          <w:iCs/>
          <w:lang w:val="fr-FR"/>
        </w:rPr>
        <w:t xml:space="preserve"> informel</w:t>
      </w:r>
      <w:r>
        <w:rPr>
          <w:i/>
          <w:iCs/>
          <w:lang w:val="fr-FR"/>
        </w:rPr>
        <w:t>s</w:t>
      </w:r>
      <w:r w:rsidRPr="00572BE1">
        <w:rPr>
          <w:lang w:val="fr-FR"/>
        </w:rPr>
        <w:t> :</w:t>
      </w:r>
      <w:r w:rsidR="00520996" w:rsidRPr="00A403AC">
        <w:rPr>
          <w:lang w:val="fr-FR"/>
        </w:rPr>
        <w:tab/>
        <w:t>INF</w:t>
      </w:r>
      <w:r w:rsidR="00FC1209" w:rsidRPr="00FC1209">
        <w:rPr>
          <w:lang w:val="fr-FR"/>
        </w:rPr>
        <w:t>.</w:t>
      </w:r>
      <w:r w:rsidR="00520996" w:rsidRPr="00A403AC">
        <w:rPr>
          <w:lang w:val="fr-FR"/>
        </w:rPr>
        <w:t>10 (Royaume-Uni)</w:t>
      </w:r>
      <w:r>
        <w:rPr>
          <w:lang w:val="fr-FR"/>
        </w:rPr>
        <w:t> ;</w:t>
      </w:r>
      <w:r w:rsidR="00520996" w:rsidRPr="00A403AC">
        <w:rPr>
          <w:lang w:val="fr-FR"/>
        </w:rPr>
        <w:br/>
        <w:t>INF</w:t>
      </w:r>
      <w:r w:rsidR="00FC1209" w:rsidRPr="00FC1209">
        <w:rPr>
          <w:lang w:val="fr-FR"/>
        </w:rPr>
        <w:t>.</w:t>
      </w:r>
      <w:r w:rsidR="00520996" w:rsidRPr="00A403AC">
        <w:rPr>
          <w:lang w:val="fr-FR"/>
        </w:rPr>
        <w:t>20 (EIGA)</w:t>
      </w:r>
      <w:r>
        <w:rPr>
          <w:lang w:val="fr-FR"/>
        </w:rPr>
        <w:t> ;</w:t>
      </w:r>
      <w:r w:rsidR="00520996" w:rsidRPr="00A403AC">
        <w:rPr>
          <w:lang w:val="fr-FR"/>
        </w:rPr>
        <w:br/>
        <w:t>INF</w:t>
      </w:r>
      <w:r w:rsidR="00FC1209" w:rsidRPr="00FC1209">
        <w:rPr>
          <w:lang w:val="fr-FR"/>
        </w:rPr>
        <w:t>.</w:t>
      </w:r>
      <w:r w:rsidR="00520996" w:rsidRPr="00A403AC">
        <w:rPr>
          <w:lang w:val="fr-FR"/>
        </w:rPr>
        <w:t>29 (Irlande et Royaume-Uni)</w:t>
      </w:r>
      <w:r>
        <w:rPr>
          <w:lang w:val="fr-FR"/>
        </w:rPr>
        <w:t> ;</w:t>
      </w:r>
      <w:r w:rsidR="00520996" w:rsidRPr="00A403AC">
        <w:rPr>
          <w:lang w:val="fr-FR"/>
        </w:rPr>
        <w:br/>
        <w:t>INF</w:t>
      </w:r>
      <w:r w:rsidR="00FC1209" w:rsidRPr="00FC1209">
        <w:rPr>
          <w:lang w:val="fr-FR"/>
        </w:rPr>
        <w:t>.</w:t>
      </w:r>
      <w:r w:rsidR="00520996" w:rsidRPr="00A403AC">
        <w:rPr>
          <w:lang w:val="fr-FR"/>
        </w:rPr>
        <w:t>32 (France)</w:t>
      </w:r>
      <w:r>
        <w:rPr>
          <w:lang w:val="fr-FR"/>
        </w:rPr>
        <w:t> ;</w:t>
      </w:r>
      <w:r w:rsidR="00520996" w:rsidRPr="00A403AC">
        <w:rPr>
          <w:lang w:val="fr-FR"/>
        </w:rPr>
        <w:br/>
        <w:t>INF</w:t>
      </w:r>
      <w:r w:rsidR="00FC1209" w:rsidRPr="00FC1209">
        <w:rPr>
          <w:lang w:val="fr-FR"/>
        </w:rPr>
        <w:t>.</w:t>
      </w:r>
      <w:r w:rsidR="00520996" w:rsidRPr="00A403AC">
        <w:rPr>
          <w:lang w:val="fr-FR"/>
        </w:rPr>
        <w:t>33 (</w:t>
      </w:r>
      <w:r w:rsidR="00520996" w:rsidRPr="00723483">
        <w:rPr>
          <w:lang w:val="fr-FR"/>
        </w:rPr>
        <w:t>Suisse</w:t>
      </w:r>
      <w:r w:rsidR="00520996" w:rsidRPr="00A403AC">
        <w:rPr>
          <w:lang w:val="fr-FR"/>
        </w:rPr>
        <w:t>)</w:t>
      </w:r>
      <w:r>
        <w:rPr>
          <w:lang w:val="fr-FR"/>
        </w:rPr>
        <w:t> ;</w:t>
      </w:r>
      <w:r w:rsidR="00520996" w:rsidRPr="00A403AC">
        <w:rPr>
          <w:lang w:val="fr-FR"/>
        </w:rPr>
        <w:br/>
        <w:t>INF</w:t>
      </w:r>
      <w:r w:rsidR="00FC1209" w:rsidRPr="00FC1209">
        <w:rPr>
          <w:lang w:val="fr-FR"/>
        </w:rPr>
        <w:t>.</w:t>
      </w:r>
      <w:r w:rsidR="00520996" w:rsidRPr="00A403AC">
        <w:rPr>
          <w:lang w:val="fr-FR"/>
        </w:rPr>
        <w:t>44 (</w:t>
      </w:r>
      <w:r w:rsidR="00520996" w:rsidRPr="00723483">
        <w:rPr>
          <w:lang w:val="fr-FR"/>
        </w:rPr>
        <w:t>Royaume-Uni</w:t>
      </w:r>
      <w:r w:rsidR="00520996" w:rsidRPr="00A403AC">
        <w:rPr>
          <w:lang w:val="fr-FR"/>
        </w:rPr>
        <w:t>)</w:t>
      </w:r>
      <w:r w:rsidR="00FC1209" w:rsidRPr="00FC1209">
        <w:rPr>
          <w:lang w:val="fr-FR"/>
        </w:rPr>
        <w:t>.</w:t>
      </w:r>
    </w:p>
    <w:p w14:paraId="7F4442AE" w14:textId="5E00E4D8" w:rsidR="00520996" w:rsidRPr="00ED389E" w:rsidRDefault="00520996" w:rsidP="00520996">
      <w:pPr>
        <w:pStyle w:val="SingleTxtG"/>
        <w:rPr>
          <w:lang w:val="fr-FR"/>
        </w:rPr>
      </w:pPr>
      <w:r>
        <w:rPr>
          <w:lang w:val="fr-FR"/>
        </w:rPr>
        <w:t>12</w:t>
      </w:r>
      <w:r w:rsidR="00FC1209" w:rsidRPr="00FC1209">
        <w:rPr>
          <w:lang w:val="fr-FR"/>
        </w:rPr>
        <w:t>.</w:t>
      </w:r>
      <w:r w:rsidRPr="00ED389E">
        <w:rPr>
          <w:lang w:val="fr-FR"/>
        </w:rPr>
        <w:tab/>
        <w:t>La Réunion commune a accueilli favorablement le rapport, figurant dans le document informel INF</w:t>
      </w:r>
      <w:r w:rsidR="00FC1209" w:rsidRPr="00FC1209">
        <w:rPr>
          <w:lang w:val="fr-FR"/>
        </w:rPr>
        <w:t>.</w:t>
      </w:r>
      <w:r w:rsidRPr="00ED389E">
        <w:rPr>
          <w:lang w:val="fr-FR"/>
        </w:rPr>
        <w:t>44, sur l</w:t>
      </w:r>
      <w:r w:rsidR="00F70B88">
        <w:rPr>
          <w:lang w:val="fr-FR"/>
        </w:rPr>
        <w:t>’</w:t>
      </w:r>
      <w:r w:rsidRPr="00ED389E">
        <w:rPr>
          <w:lang w:val="fr-FR"/>
        </w:rPr>
        <w:t>avancement des travaux du groupe de travail informel du contrôle et de l</w:t>
      </w:r>
      <w:r w:rsidR="00F70B88">
        <w:rPr>
          <w:lang w:val="fr-FR"/>
        </w:rPr>
        <w:t>’</w:t>
      </w:r>
      <w:r w:rsidRPr="00ED389E">
        <w:rPr>
          <w:lang w:val="fr-FR"/>
        </w:rPr>
        <w:t>agrément des citernes (groupe de travail informel de Londres), qui s</w:t>
      </w:r>
      <w:r w:rsidR="00F70B88">
        <w:rPr>
          <w:lang w:val="fr-FR"/>
        </w:rPr>
        <w:t>’</w:t>
      </w:r>
      <w:r w:rsidRPr="00ED389E">
        <w:rPr>
          <w:lang w:val="fr-FR"/>
        </w:rPr>
        <w:t>était réuni à distance du 16 au 18</w:t>
      </w:r>
      <w:r>
        <w:rPr>
          <w:lang w:val="fr-FR"/>
        </w:rPr>
        <w:t> </w:t>
      </w:r>
      <w:r w:rsidRPr="00ED389E">
        <w:rPr>
          <w:lang w:val="fr-FR"/>
        </w:rPr>
        <w:t>décembre 2020</w:t>
      </w:r>
      <w:r w:rsidR="00FC1209" w:rsidRPr="00FC1209">
        <w:rPr>
          <w:lang w:val="fr-FR"/>
        </w:rPr>
        <w:t>.</w:t>
      </w:r>
      <w:r w:rsidRPr="00ED389E">
        <w:rPr>
          <w:lang w:val="fr-FR"/>
        </w:rPr>
        <w:t xml:space="preserve"> Les représentants de la France et de l</w:t>
      </w:r>
      <w:r w:rsidR="00F70B88">
        <w:rPr>
          <w:lang w:val="fr-FR"/>
        </w:rPr>
        <w:t>’</w:t>
      </w:r>
      <w:r w:rsidRPr="00ED389E">
        <w:rPr>
          <w:lang w:val="fr-FR"/>
        </w:rPr>
        <w:t>EIGA ont présenté respectivement les documents informels INF</w:t>
      </w:r>
      <w:r w:rsidR="00FC1209" w:rsidRPr="00FC1209">
        <w:rPr>
          <w:lang w:val="fr-FR"/>
        </w:rPr>
        <w:t>.</w:t>
      </w:r>
      <w:r w:rsidRPr="00ED389E">
        <w:rPr>
          <w:lang w:val="fr-FR"/>
        </w:rPr>
        <w:t>32 et INF</w:t>
      </w:r>
      <w:r w:rsidR="00FC1209" w:rsidRPr="00FC1209">
        <w:rPr>
          <w:lang w:val="fr-FR"/>
        </w:rPr>
        <w:t>.</w:t>
      </w:r>
      <w:r w:rsidRPr="00ED389E">
        <w:rPr>
          <w:lang w:val="fr-FR"/>
        </w:rPr>
        <w:t>20 afin de clarifier certains amendements proposés dans le document informel INF</w:t>
      </w:r>
      <w:r w:rsidR="00FC1209" w:rsidRPr="00FC1209">
        <w:rPr>
          <w:lang w:val="fr-FR"/>
        </w:rPr>
        <w:t>.</w:t>
      </w:r>
      <w:r w:rsidRPr="00ED389E">
        <w:rPr>
          <w:lang w:val="fr-FR"/>
        </w:rPr>
        <w:t>10 et les amendements de conséquence au chapitre 6</w:t>
      </w:r>
      <w:r w:rsidR="00FC1209" w:rsidRPr="00FC1209">
        <w:rPr>
          <w:lang w:val="fr-FR"/>
        </w:rPr>
        <w:t>.</w:t>
      </w:r>
      <w:r w:rsidRPr="00ED389E">
        <w:rPr>
          <w:lang w:val="fr-FR"/>
        </w:rPr>
        <w:t>2 proposés dans le document ECE/TRANS/WP</w:t>
      </w:r>
      <w:r w:rsidR="00FC1209" w:rsidRPr="00FC1209">
        <w:rPr>
          <w:lang w:val="fr-FR"/>
        </w:rPr>
        <w:t>.</w:t>
      </w:r>
      <w:r w:rsidRPr="00ED389E">
        <w:rPr>
          <w:lang w:val="fr-FR"/>
        </w:rPr>
        <w:t>15/AC</w:t>
      </w:r>
      <w:r w:rsidR="00FC1209" w:rsidRPr="00FC1209">
        <w:rPr>
          <w:lang w:val="fr-FR"/>
        </w:rPr>
        <w:t>.</w:t>
      </w:r>
      <w:r w:rsidRPr="00ED389E">
        <w:rPr>
          <w:lang w:val="fr-FR"/>
        </w:rPr>
        <w:t>1/2021/16</w:t>
      </w:r>
      <w:r w:rsidR="00FC1209" w:rsidRPr="00FC1209">
        <w:rPr>
          <w:lang w:val="fr-FR"/>
        </w:rPr>
        <w:t>.</w:t>
      </w:r>
      <w:r w:rsidRPr="00ED389E">
        <w:rPr>
          <w:lang w:val="fr-FR"/>
        </w:rPr>
        <w:t xml:space="preserve"> À l</w:t>
      </w:r>
      <w:r w:rsidR="00F70B88">
        <w:rPr>
          <w:lang w:val="fr-FR"/>
        </w:rPr>
        <w:t>’</w:t>
      </w:r>
      <w:r w:rsidRPr="00ED389E">
        <w:rPr>
          <w:lang w:val="fr-FR"/>
        </w:rPr>
        <w:t>issue de la discussion, la Réunion commune a invité le groupe de travail informel à approfondir ces sujets à sa prochaine réunion, prévue les 8 et 9</w:t>
      </w:r>
      <w:r>
        <w:rPr>
          <w:lang w:val="fr-FR"/>
        </w:rPr>
        <w:t> </w:t>
      </w:r>
      <w:r w:rsidRPr="00ED389E">
        <w:rPr>
          <w:lang w:val="fr-FR"/>
        </w:rPr>
        <w:t>juin 2021</w:t>
      </w:r>
      <w:r w:rsidR="00FC1209" w:rsidRPr="00FC1209">
        <w:rPr>
          <w:lang w:val="fr-FR"/>
        </w:rPr>
        <w:t>.</w:t>
      </w:r>
    </w:p>
    <w:p w14:paraId="78BF149A" w14:textId="07D3B6E6" w:rsidR="00520996" w:rsidRPr="00ED389E" w:rsidRDefault="00520996" w:rsidP="00520996">
      <w:pPr>
        <w:pStyle w:val="SingleTxtG"/>
        <w:rPr>
          <w:lang w:val="fr-FR"/>
        </w:rPr>
      </w:pPr>
      <w:r>
        <w:rPr>
          <w:lang w:val="fr-FR"/>
        </w:rPr>
        <w:t>13</w:t>
      </w:r>
      <w:r w:rsidR="00FC1209" w:rsidRPr="00FC1209">
        <w:rPr>
          <w:lang w:val="fr-FR"/>
        </w:rPr>
        <w:t>.</w:t>
      </w:r>
      <w:r w:rsidRPr="00ED389E">
        <w:rPr>
          <w:lang w:val="fr-FR"/>
        </w:rPr>
        <w:tab/>
        <w:t>L</w:t>
      </w:r>
      <w:r>
        <w:rPr>
          <w:lang w:val="fr-FR"/>
        </w:rPr>
        <w:t>a</w:t>
      </w:r>
      <w:r w:rsidRPr="00ED389E">
        <w:rPr>
          <w:lang w:val="fr-FR"/>
        </w:rPr>
        <w:t xml:space="preserve"> représentante de la Suisse a présenté le document informel INF</w:t>
      </w:r>
      <w:r w:rsidR="00FC1209" w:rsidRPr="00FC1209">
        <w:rPr>
          <w:lang w:val="fr-FR"/>
        </w:rPr>
        <w:t>.</w:t>
      </w:r>
      <w:r w:rsidRPr="00ED389E">
        <w:rPr>
          <w:lang w:val="fr-FR"/>
        </w:rPr>
        <w:t>33, dans lequel il était suggéré d</w:t>
      </w:r>
      <w:r w:rsidR="00F70B88">
        <w:rPr>
          <w:lang w:val="fr-FR"/>
        </w:rPr>
        <w:t>’</w:t>
      </w:r>
      <w:r w:rsidRPr="00ED389E">
        <w:rPr>
          <w:lang w:val="fr-FR"/>
        </w:rPr>
        <w:t>élaborer un document explicatif comportant une liste de principes fondamentaux pour le contrôle et l</w:t>
      </w:r>
      <w:r w:rsidR="00F70B88">
        <w:rPr>
          <w:lang w:val="fr-FR"/>
        </w:rPr>
        <w:t>’</w:t>
      </w:r>
      <w:r w:rsidRPr="00ED389E">
        <w:rPr>
          <w:lang w:val="fr-FR"/>
        </w:rPr>
        <w:t>agrément des citernes, y compris un résumé des principaux changements intervenus et un aperçu des activités autorisées</w:t>
      </w:r>
      <w:r w:rsidR="00FC1209" w:rsidRPr="00FC1209">
        <w:rPr>
          <w:lang w:val="fr-FR"/>
        </w:rPr>
        <w:t>.</w:t>
      </w:r>
      <w:r w:rsidRPr="00ED389E">
        <w:rPr>
          <w:lang w:val="fr-FR"/>
        </w:rPr>
        <w:t xml:space="preserve"> La Réunion commune a salué cette initiative et l</w:t>
      </w:r>
      <w:r w:rsidR="00F70B88">
        <w:rPr>
          <w:lang w:val="fr-FR"/>
        </w:rPr>
        <w:t>’</w:t>
      </w:r>
      <w:r w:rsidRPr="00ED389E">
        <w:rPr>
          <w:lang w:val="fr-FR"/>
        </w:rPr>
        <w:t>a invitée à soumettre un premier projet au groupe de travail informel pour examen</w:t>
      </w:r>
      <w:r w:rsidR="00FC1209" w:rsidRPr="00FC1209">
        <w:rPr>
          <w:lang w:val="fr-FR"/>
        </w:rPr>
        <w:t>.</w:t>
      </w:r>
      <w:r w:rsidRPr="00ED389E">
        <w:rPr>
          <w:lang w:val="fr-FR"/>
        </w:rPr>
        <w:t xml:space="preserve"> Il a été convenu de reprendre la discussion sur le document explicatif à la session d</w:t>
      </w:r>
      <w:r w:rsidR="00F70B88">
        <w:rPr>
          <w:lang w:val="fr-FR"/>
        </w:rPr>
        <w:t>’</w:t>
      </w:r>
      <w:r w:rsidRPr="00ED389E">
        <w:rPr>
          <w:lang w:val="fr-FR"/>
        </w:rPr>
        <w:t>automne</w:t>
      </w:r>
      <w:r w:rsidR="00FC1209" w:rsidRPr="00FC1209">
        <w:rPr>
          <w:lang w:val="fr-FR"/>
        </w:rPr>
        <w:t>.</w:t>
      </w:r>
    </w:p>
    <w:p w14:paraId="558660D7" w14:textId="349D1193" w:rsidR="00520996" w:rsidRPr="00ED389E" w:rsidRDefault="00520996" w:rsidP="00520996">
      <w:pPr>
        <w:pStyle w:val="SingleTxtG"/>
        <w:rPr>
          <w:lang w:val="fr-FR"/>
        </w:rPr>
      </w:pPr>
      <w:r>
        <w:rPr>
          <w:lang w:val="fr-FR"/>
        </w:rPr>
        <w:t>14</w:t>
      </w:r>
      <w:r w:rsidR="00FC1209" w:rsidRPr="00FC1209">
        <w:rPr>
          <w:lang w:val="fr-FR"/>
        </w:rPr>
        <w:t>.</w:t>
      </w:r>
      <w:r w:rsidRPr="00ED389E">
        <w:rPr>
          <w:lang w:val="fr-FR"/>
        </w:rPr>
        <w:tab/>
        <w:t xml:space="preserve">Compte tenu du fait que certains pays devaient encore prendre des mesures pour développer leurs systèmes nationaux et les </w:t>
      </w:r>
      <w:r>
        <w:rPr>
          <w:lang w:val="fr-FR"/>
        </w:rPr>
        <w:t>harmoniser avec le</w:t>
      </w:r>
      <w:r w:rsidRPr="00ED389E">
        <w:rPr>
          <w:lang w:val="fr-FR"/>
        </w:rPr>
        <w:t xml:space="preserve"> </w:t>
      </w:r>
      <w:r w:rsidRPr="001B1348">
        <w:rPr>
          <w:lang w:val="fr-FR"/>
        </w:rPr>
        <w:t>futur système d</w:t>
      </w:r>
      <w:r w:rsidR="00F70B88">
        <w:rPr>
          <w:lang w:val="fr-FR"/>
        </w:rPr>
        <w:t>’</w:t>
      </w:r>
      <w:r w:rsidRPr="001B1348">
        <w:rPr>
          <w:lang w:val="fr-FR"/>
        </w:rPr>
        <w:t>organismes de contrôle</w:t>
      </w:r>
      <w:r w:rsidRPr="00ED389E">
        <w:rPr>
          <w:lang w:val="fr-FR"/>
        </w:rPr>
        <w:t>, la Réunion commune a donné son accord de principe aux mesures transitoires proposées dans l</w:t>
      </w:r>
      <w:r w:rsidR="00F70B88">
        <w:rPr>
          <w:lang w:val="fr-FR"/>
        </w:rPr>
        <w:t>’</w:t>
      </w:r>
      <w:r w:rsidRPr="00ED389E">
        <w:rPr>
          <w:lang w:val="fr-FR"/>
        </w:rPr>
        <w:t>annexe IV du document informel INF</w:t>
      </w:r>
      <w:r w:rsidR="00FC1209" w:rsidRPr="00FC1209">
        <w:rPr>
          <w:lang w:val="fr-FR"/>
        </w:rPr>
        <w:t>.</w:t>
      </w:r>
      <w:r w:rsidRPr="00ED389E">
        <w:rPr>
          <w:lang w:val="fr-FR"/>
        </w:rPr>
        <w:t>10, sous réserve d</w:t>
      </w:r>
      <w:r w:rsidR="00F70B88">
        <w:rPr>
          <w:lang w:val="fr-FR"/>
        </w:rPr>
        <w:t>’</w:t>
      </w:r>
      <w:r w:rsidRPr="00ED389E">
        <w:rPr>
          <w:lang w:val="fr-FR"/>
        </w:rPr>
        <w:t>une décision finale en septembre 2021</w:t>
      </w:r>
      <w:r w:rsidR="00FC1209" w:rsidRPr="00FC1209">
        <w:rPr>
          <w:lang w:val="fr-FR"/>
        </w:rPr>
        <w:t>.</w:t>
      </w:r>
      <w:r w:rsidRPr="00ED389E">
        <w:rPr>
          <w:lang w:val="fr-FR"/>
        </w:rPr>
        <w:t xml:space="preserve"> Le représentant de l</w:t>
      </w:r>
      <w:r w:rsidR="00F70B88">
        <w:rPr>
          <w:lang w:val="fr-FR"/>
        </w:rPr>
        <w:t>’</w:t>
      </w:r>
      <w:r w:rsidRPr="00ED389E">
        <w:rPr>
          <w:lang w:val="fr-FR"/>
        </w:rPr>
        <w:t>Allemagne a insisté sur la nécessité de préciser les modalités de reconnaissance mutuelle des organismes de contrôle pendant la période transitoire</w:t>
      </w:r>
      <w:r w:rsidR="00FC1209" w:rsidRPr="00FC1209">
        <w:rPr>
          <w:lang w:val="fr-FR"/>
        </w:rPr>
        <w:t>.</w:t>
      </w:r>
    </w:p>
    <w:p w14:paraId="1F3DEC8D" w14:textId="2DB05D18" w:rsidR="00520996" w:rsidRDefault="00520996" w:rsidP="00520996">
      <w:pPr>
        <w:pStyle w:val="SingleTxtG"/>
        <w:rPr>
          <w:lang w:val="fr-FR"/>
        </w:rPr>
      </w:pPr>
      <w:r>
        <w:rPr>
          <w:lang w:val="fr-FR"/>
        </w:rPr>
        <w:t>15</w:t>
      </w:r>
      <w:r w:rsidR="00FC1209" w:rsidRPr="00FC1209">
        <w:rPr>
          <w:lang w:val="fr-FR"/>
        </w:rPr>
        <w:t>.</w:t>
      </w:r>
      <w:r w:rsidRPr="00ED389E">
        <w:rPr>
          <w:lang w:val="fr-FR"/>
        </w:rPr>
        <w:tab/>
        <w:t>Rappelant les débats tenus à la session d</w:t>
      </w:r>
      <w:r w:rsidR="00F70B88">
        <w:rPr>
          <w:lang w:val="fr-FR"/>
        </w:rPr>
        <w:t>’</w:t>
      </w:r>
      <w:r w:rsidRPr="00ED389E">
        <w:rPr>
          <w:lang w:val="fr-FR"/>
        </w:rPr>
        <w:t>automne 2020, le représentant de l</w:t>
      </w:r>
      <w:r w:rsidR="00F70B88">
        <w:rPr>
          <w:lang w:val="fr-FR"/>
        </w:rPr>
        <w:t>’</w:t>
      </w:r>
      <w:r w:rsidRPr="00ED389E">
        <w:rPr>
          <w:lang w:val="fr-FR"/>
        </w:rPr>
        <w:t xml:space="preserve">Irlande a proposé, </w:t>
      </w:r>
      <w:r w:rsidRPr="006B6A6C">
        <w:rPr>
          <w:lang w:val="fr-FR"/>
        </w:rPr>
        <w:t xml:space="preserve">en présentant </w:t>
      </w:r>
      <w:r w:rsidRPr="00ED389E">
        <w:rPr>
          <w:lang w:val="fr-FR"/>
        </w:rPr>
        <w:t>le document informel INF</w:t>
      </w:r>
      <w:r w:rsidR="00FC1209" w:rsidRPr="00FC1209">
        <w:rPr>
          <w:lang w:val="fr-FR"/>
        </w:rPr>
        <w:t>.</w:t>
      </w:r>
      <w:r w:rsidRPr="00ED389E">
        <w:rPr>
          <w:lang w:val="fr-FR"/>
        </w:rPr>
        <w:t>29</w:t>
      </w:r>
      <w:r w:rsidRPr="006B6A6C">
        <w:rPr>
          <w:lang w:val="fr-FR"/>
        </w:rPr>
        <w:t xml:space="preserve"> établi conjointement par son pays et par le Royaume-Uni, de modifier le </w:t>
      </w:r>
      <w:r w:rsidRPr="00ED389E">
        <w:rPr>
          <w:lang w:val="fr-FR"/>
        </w:rPr>
        <w:t>1</w:t>
      </w:r>
      <w:r w:rsidR="00FC1209" w:rsidRPr="00FC1209">
        <w:rPr>
          <w:lang w:val="fr-FR"/>
        </w:rPr>
        <w:t>.</w:t>
      </w:r>
      <w:r w:rsidRPr="00ED389E">
        <w:rPr>
          <w:lang w:val="fr-FR"/>
        </w:rPr>
        <w:t>8</w:t>
      </w:r>
      <w:r w:rsidR="00FC1209" w:rsidRPr="00FC1209">
        <w:rPr>
          <w:lang w:val="fr-FR"/>
        </w:rPr>
        <w:t>.</w:t>
      </w:r>
      <w:r w:rsidRPr="00ED389E">
        <w:rPr>
          <w:lang w:val="fr-FR"/>
        </w:rPr>
        <w:t>6</w:t>
      </w:r>
      <w:r w:rsidR="00FC1209" w:rsidRPr="00FC1209">
        <w:rPr>
          <w:lang w:val="fr-FR"/>
        </w:rPr>
        <w:t>.</w:t>
      </w:r>
      <w:r w:rsidRPr="00ED389E">
        <w:rPr>
          <w:lang w:val="fr-FR"/>
        </w:rPr>
        <w:t>2</w:t>
      </w:r>
      <w:r w:rsidR="00FC1209" w:rsidRPr="00FC1209">
        <w:rPr>
          <w:lang w:val="fr-FR"/>
        </w:rPr>
        <w:t>.</w:t>
      </w:r>
      <w:r w:rsidRPr="00ED389E">
        <w:rPr>
          <w:lang w:val="fr-FR"/>
        </w:rPr>
        <w:t xml:space="preserve">1 </w:t>
      </w:r>
      <w:r w:rsidRPr="006B6A6C">
        <w:rPr>
          <w:lang w:val="fr-FR"/>
        </w:rPr>
        <w:t xml:space="preserve">de façon à permettre aux </w:t>
      </w:r>
      <w:r w:rsidRPr="00ED389E">
        <w:rPr>
          <w:lang w:val="fr-FR"/>
        </w:rPr>
        <w:t>autorités compétentes d</w:t>
      </w:r>
      <w:r w:rsidR="00F70B88">
        <w:rPr>
          <w:lang w:val="fr-FR"/>
        </w:rPr>
        <w:t>’</w:t>
      </w:r>
      <w:r w:rsidRPr="00ED389E">
        <w:rPr>
          <w:lang w:val="fr-FR"/>
        </w:rPr>
        <w:t>agréer, à titre exceptionnel, des organismes de contrôle de type</w:t>
      </w:r>
      <w:r>
        <w:rPr>
          <w:lang w:val="fr-FR"/>
        </w:rPr>
        <w:t> </w:t>
      </w:r>
      <w:r w:rsidRPr="00ED389E">
        <w:rPr>
          <w:lang w:val="fr-FR"/>
        </w:rPr>
        <w:t xml:space="preserve">C pour </w:t>
      </w:r>
      <w:r w:rsidRPr="006B6A6C">
        <w:rPr>
          <w:lang w:val="fr-FR"/>
        </w:rPr>
        <w:t>les contrôles périodiques, les contrôles intermédiaires et les contrôles exceptionnels des réparations mineures des citernes conformément aux chapitres 6</w:t>
      </w:r>
      <w:r w:rsidR="00FC1209" w:rsidRPr="00FC1209">
        <w:rPr>
          <w:lang w:val="fr-FR"/>
        </w:rPr>
        <w:t>.</w:t>
      </w:r>
      <w:r w:rsidRPr="006B6A6C">
        <w:rPr>
          <w:lang w:val="fr-FR"/>
        </w:rPr>
        <w:t>8 et 6</w:t>
      </w:r>
      <w:r w:rsidR="00FC1209" w:rsidRPr="00FC1209">
        <w:rPr>
          <w:lang w:val="fr-FR"/>
        </w:rPr>
        <w:t>.</w:t>
      </w:r>
      <w:r w:rsidRPr="006B6A6C">
        <w:rPr>
          <w:lang w:val="fr-FR"/>
        </w:rPr>
        <w:t>10</w:t>
      </w:r>
      <w:r w:rsidR="00FC1209" w:rsidRPr="00FC1209">
        <w:rPr>
          <w:lang w:val="fr-FR"/>
        </w:rPr>
        <w:t>.</w:t>
      </w:r>
      <w:r w:rsidRPr="00ED389E">
        <w:rPr>
          <w:lang w:val="fr-FR"/>
        </w:rPr>
        <w:t xml:space="preserve"> Toutefois, la Réunion commune ne pouvait pas appuyer une telle exemption pour le transport international de marchandises dangereuses en raison de la reconnaissance mutuelle des organismes de contrôle</w:t>
      </w:r>
      <w:r w:rsidR="00FC1209" w:rsidRPr="00FC1209">
        <w:rPr>
          <w:lang w:val="fr-FR"/>
        </w:rPr>
        <w:t>.</w:t>
      </w:r>
      <w:r w:rsidRPr="00ED389E">
        <w:rPr>
          <w:lang w:val="fr-FR"/>
        </w:rPr>
        <w:t xml:space="preserve"> Les pays concernés ont été invités à participer à la réunion de juin du groupe de travail informel</w:t>
      </w:r>
      <w:r w:rsidRPr="006B6A6C">
        <w:rPr>
          <w:lang w:val="fr-FR"/>
        </w:rPr>
        <w:t>, organisée à Londres, et à examiner toute nouvelle proposition</w:t>
      </w:r>
      <w:r w:rsidR="00FC1209" w:rsidRPr="00FC1209">
        <w:rPr>
          <w:lang w:val="fr-FR"/>
        </w:rPr>
        <w:t>.</w:t>
      </w:r>
    </w:p>
    <w:p w14:paraId="25A8ABE6" w14:textId="56C25EC9" w:rsidR="00520996" w:rsidRPr="00665B97" w:rsidRDefault="00520996" w:rsidP="00F80E49">
      <w:pPr>
        <w:pStyle w:val="HChG"/>
        <w:rPr>
          <w:lang w:val="fr-FR"/>
        </w:rPr>
      </w:pPr>
      <w:r>
        <w:rPr>
          <w:lang w:val="fr-FR"/>
        </w:rPr>
        <w:lastRenderedPageBreak/>
        <w:tab/>
        <w:t>V</w:t>
      </w:r>
      <w:r w:rsidR="00FC1209" w:rsidRPr="00FC1209">
        <w:rPr>
          <w:lang w:val="fr-FR"/>
        </w:rPr>
        <w:t>.</w:t>
      </w:r>
      <w:r>
        <w:rPr>
          <w:lang w:val="fr-FR"/>
        </w:rPr>
        <w:tab/>
        <w:t>Normes (point 3 de l</w:t>
      </w:r>
      <w:r w:rsidR="00F70B88">
        <w:rPr>
          <w:lang w:val="fr-FR"/>
        </w:rPr>
        <w:t>’</w:t>
      </w:r>
      <w:r>
        <w:rPr>
          <w:lang w:val="fr-FR"/>
        </w:rPr>
        <w:t>ordre du jour)</w:t>
      </w:r>
    </w:p>
    <w:p w14:paraId="52D765C1" w14:textId="4E33D45C" w:rsidR="00520996" w:rsidRPr="00635D91" w:rsidRDefault="00520996" w:rsidP="00F80E49">
      <w:pPr>
        <w:pStyle w:val="SingleTxtG"/>
        <w:keepNext/>
        <w:ind w:left="3119" w:hanging="1985"/>
        <w:jc w:val="left"/>
      </w:pPr>
      <w:r w:rsidRPr="00635D91">
        <w:rPr>
          <w:i/>
          <w:iCs/>
          <w:lang w:val="fr-FR"/>
        </w:rPr>
        <w:t>Documents </w:t>
      </w:r>
      <w:r w:rsidRPr="00CB5BC7">
        <w:rPr>
          <w:lang w:val="fr-FR"/>
        </w:rPr>
        <w:t>:</w:t>
      </w:r>
      <w:r w:rsidRPr="00635D91">
        <w:rPr>
          <w:lang w:val="fr-FR"/>
        </w:rPr>
        <w:tab/>
        <w:t>ECE/TRANS/WP</w:t>
      </w:r>
      <w:r w:rsidR="00FC1209" w:rsidRPr="00FC1209">
        <w:rPr>
          <w:lang w:val="fr-FR"/>
        </w:rPr>
        <w:t>.</w:t>
      </w:r>
      <w:r w:rsidRPr="00635D91">
        <w:rPr>
          <w:lang w:val="fr-FR"/>
        </w:rPr>
        <w:t>15/AC</w:t>
      </w:r>
      <w:r w:rsidR="00FC1209" w:rsidRPr="00FC1209">
        <w:rPr>
          <w:lang w:val="fr-FR"/>
        </w:rPr>
        <w:t>.</w:t>
      </w:r>
      <w:r w:rsidRPr="00635D91">
        <w:rPr>
          <w:lang w:val="fr-FR"/>
        </w:rPr>
        <w:t>1/2021/17 (CEN)</w:t>
      </w:r>
      <w:r w:rsidR="00CB5BC7">
        <w:rPr>
          <w:lang w:val="fr-FR"/>
        </w:rPr>
        <w:t> ;</w:t>
      </w:r>
      <w:r w:rsidRPr="00635D91">
        <w:rPr>
          <w:lang w:val="fr-FR"/>
        </w:rPr>
        <w:br/>
      </w:r>
      <w:r w:rsidRPr="00635D91">
        <w:t>ECE/TRANS/WP</w:t>
      </w:r>
      <w:r w:rsidR="00FC1209" w:rsidRPr="00FC1209">
        <w:t>.</w:t>
      </w:r>
      <w:r w:rsidRPr="00635D91">
        <w:t>15/AC</w:t>
      </w:r>
      <w:r w:rsidR="00FC1209" w:rsidRPr="00FC1209">
        <w:t>.</w:t>
      </w:r>
      <w:r w:rsidRPr="00635D91">
        <w:t>1/2021/12 (EIGA)</w:t>
      </w:r>
      <w:r w:rsidR="00FC1209" w:rsidRPr="00FC1209">
        <w:t>.</w:t>
      </w:r>
    </w:p>
    <w:p w14:paraId="2C6776BB" w14:textId="33D48F40" w:rsidR="00520996" w:rsidRPr="00635D91" w:rsidRDefault="00520996" w:rsidP="00520996">
      <w:pPr>
        <w:pStyle w:val="SingleTxtG"/>
        <w:ind w:left="3119" w:hanging="1985"/>
        <w:jc w:val="left"/>
        <w:rPr>
          <w:lang w:val="fr-FR"/>
        </w:rPr>
      </w:pPr>
      <w:r w:rsidRPr="00635D91">
        <w:rPr>
          <w:i/>
          <w:iCs/>
          <w:lang w:val="fr-FR"/>
        </w:rPr>
        <w:t>Documents informels </w:t>
      </w:r>
      <w:r w:rsidRPr="00CB5BC7">
        <w:rPr>
          <w:lang w:val="fr-FR"/>
        </w:rPr>
        <w:t>:</w:t>
      </w:r>
      <w:r w:rsidRPr="00635D91">
        <w:rPr>
          <w:lang w:val="fr-FR"/>
        </w:rPr>
        <w:tab/>
        <w:t>INF</w:t>
      </w:r>
      <w:r w:rsidR="00FC1209" w:rsidRPr="00FC1209">
        <w:rPr>
          <w:lang w:val="fr-FR"/>
        </w:rPr>
        <w:t>.</w:t>
      </w:r>
      <w:r w:rsidRPr="00635D91">
        <w:rPr>
          <w:lang w:val="fr-FR"/>
        </w:rPr>
        <w:t>3 (Royaume-Uni)</w:t>
      </w:r>
      <w:r w:rsidR="00CB5BC7">
        <w:rPr>
          <w:lang w:val="fr-FR"/>
        </w:rPr>
        <w:t> ;</w:t>
      </w:r>
      <w:r w:rsidRPr="00635D91">
        <w:rPr>
          <w:lang w:val="fr-FR"/>
        </w:rPr>
        <w:br/>
        <w:t>INF</w:t>
      </w:r>
      <w:r w:rsidR="00FC1209" w:rsidRPr="00FC1209">
        <w:rPr>
          <w:lang w:val="fr-FR"/>
        </w:rPr>
        <w:t>.</w:t>
      </w:r>
      <w:r w:rsidRPr="00635D91">
        <w:rPr>
          <w:lang w:val="fr-FR"/>
        </w:rPr>
        <w:t>13 (CEN)</w:t>
      </w:r>
      <w:r w:rsidR="00CB5BC7">
        <w:rPr>
          <w:lang w:val="fr-FR"/>
        </w:rPr>
        <w:t> ;</w:t>
      </w:r>
      <w:r w:rsidRPr="00635D91">
        <w:rPr>
          <w:lang w:val="fr-FR"/>
        </w:rPr>
        <w:br/>
        <w:t>INF</w:t>
      </w:r>
      <w:r w:rsidR="00FC1209" w:rsidRPr="00FC1209">
        <w:rPr>
          <w:lang w:val="fr-FR"/>
        </w:rPr>
        <w:t>.</w:t>
      </w:r>
      <w:r w:rsidRPr="00635D91">
        <w:rPr>
          <w:lang w:val="fr-FR"/>
        </w:rPr>
        <w:t>30 (EIGA)</w:t>
      </w:r>
      <w:r w:rsidR="00FC1209" w:rsidRPr="00FC1209">
        <w:rPr>
          <w:lang w:val="fr-FR"/>
        </w:rPr>
        <w:t>.</w:t>
      </w:r>
    </w:p>
    <w:p w14:paraId="1842A0B4" w14:textId="4C908848" w:rsidR="00520996" w:rsidRPr="00665B97" w:rsidRDefault="00520996" w:rsidP="00F80E49">
      <w:pPr>
        <w:pStyle w:val="SingleTxtG"/>
        <w:rPr>
          <w:lang w:val="fr-FR"/>
        </w:rPr>
      </w:pPr>
      <w:r>
        <w:rPr>
          <w:lang w:val="fr-FR"/>
        </w:rPr>
        <w:t>16</w:t>
      </w:r>
      <w:r w:rsidR="00FC1209" w:rsidRPr="00FC1209">
        <w:rPr>
          <w:lang w:val="fr-FR"/>
        </w:rPr>
        <w:t>.</w:t>
      </w:r>
      <w:r w:rsidRPr="00635D91">
        <w:rPr>
          <w:lang w:val="fr-FR"/>
        </w:rPr>
        <w:tab/>
        <w:t>L</w:t>
      </w:r>
      <w:r w:rsidR="00F70B88">
        <w:rPr>
          <w:lang w:val="fr-FR"/>
        </w:rPr>
        <w:t>’</w:t>
      </w:r>
      <w:r w:rsidRPr="00635D91">
        <w:rPr>
          <w:lang w:val="fr-FR"/>
        </w:rPr>
        <w:t>examen des documents ECE/TRANS/WP</w:t>
      </w:r>
      <w:r w:rsidR="00FC1209" w:rsidRPr="00FC1209">
        <w:rPr>
          <w:lang w:val="fr-FR"/>
        </w:rPr>
        <w:t>.</w:t>
      </w:r>
      <w:r w:rsidRPr="00635D91">
        <w:rPr>
          <w:lang w:val="fr-FR"/>
        </w:rPr>
        <w:t>15/AC</w:t>
      </w:r>
      <w:r w:rsidR="00FC1209" w:rsidRPr="00FC1209">
        <w:rPr>
          <w:lang w:val="fr-FR"/>
        </w:rPr>
        <w:t>.</w:t>
      </w:r>
      <w:r w:rsidRPr="00635D91">
        <w:rPr>
          <w:lang w:val="fr-FR"/>
        </w:rPr>
        <w:t>1/2021/17 et ECE/TRANS/</w:t>
      </w:r>
      <w:r w:rsidR="008446F5">
        <w:rPr>
          <w:lang w:val="fr-FR"/>
        </w:rPr>
        <w:t xml:space="preserve"> </w:t>
      </w:r>
      <w:r w:rsidRPr="00635D91">
        <w:rPr>
          <w:lang w:val="fr-FR"/>
        </w:rPr>
        <w:t>WP</w:t>
      </w:r>
      <w:r w:rsidR="00FC1209" w:rsidRPr="00FC1209">
        <w:rPr>
          <w:lang w:val="fr-FR"/>
        </w:rPr>
        <w:t>.</w:t>
      </w:r>
      <w:r w:rsidRPr="00635D91">
        <w:rPr>
          <w:lang w:val="fr-FR"/>
        </w:rPr>
        <w:t>15/AC</w:t>
      </w:r>
      <w:r w:rsidR="00FC1209" w:rsidRPr="00FC1209">
        <w:rPr>
          <w:lang w:val="fr-FR"/>
        </w:rPr>
        <w:t>.</w:t>
      </w:r>
      <w:r w:rsidRPr="00635D91">
        <w:rPr>
          <w:lang w:val="fr-FR"/>
        </w:rPr>
        <w:t>1/2021/12, ainsi que des documents informels INF</w:t>
      </w:r>
      <w:r w:rsidR="00FC1209" w:rsidRPr="00FC1209">
        <w:rPr>
          <w:lang w:val="fr-FR"/>
        </w:rPr>
        <w:t>.</w:t>
      </w:r>
      <w:r w:rsidRPr="00635D91">
        <w:rPr>
          <w:lang w:val="fr-FR"/>
        </w:rPr>
        <w:t>3</w:t>
      </w:r>
      <w:r>
        <w:rPr>
          <w:lang w:val="fr-FR"/>
        </w:rPr>
        <w:t>,</w:t>
      </w:r>
      <w:r w:rsidRPr="00635D91">
        <w:rPr>
          <w:lang w:val="fr-FR"/>
        </w:rPr>
        <w:t xml:space="preserve"> INF</w:t>
      </w:r>
      <w:r w:rsidR="00FC1209" w:rsidRPr="00FC1209">
        <w:rPr>
          <w:lang w:val="fr-FR"/>
        </w:rPr>
        <w:t>.</w:t>
      </w:r>
      <w:r w:rsidRPr="00635D91">
        <w:rPr>
          <w:lang w:val="fr-FR"/>
        </w:rPr>
        <w:t>13</w:t>
      </w:r>
      <w:r>
        <w:rPr>
          <w:lang w:val="fr-FR"/>
        </w:rPr>
        <w:t xml:space="preserve"> et INF</w:t>
      </w:r>
      <w:r w:rsidR="00FC1209" w:rsidRPr="00FC1209">
        <w:rPr>
          <w:lang w:val="fr-FR"/>
        </w:rPr>
        <w:t>.</w:t>
      </w:r>
      <w:r>
        <w:rPr>
          <w:lang w:val="fr-FR"/>
        </w:rPr>
        <w:t>30</w:t>
      </w:r>
      <w:r w:rsidRPr="00635D91">
        <w:rPr>
          <w:lang w:val="fr-FR"/>
        </w:rPr>
        <w:t>, a été confié au Groupe de travail des normes, qui s</w:t>
      </w:r>
      <w:r w:rsidR="00F70B88">
        <w:rPr>
          <w:lang w:val="fr-FR"/>
        </w:rPr>
        <w:t>’</w:t>
      </w:r>
      <w:r w:rsidRPr="00635D91">
        <w:rPr>
          <w:lang w:val="fr-FR"/>
        </w:rPr>
        <w:t xml:space="preserve">est réuni </w:t>
      </w:r>
      <w:r>
        <w:rPr>
          <w:lang w:val="fr-FR"/>
        </w:rPr>
        <w:t xml:space="preserve">pour cela </w:t>
      </w:r>
      <w:r w:rsidRPr="00635D91">
        <w:rPr>
          <w:lang w:val="fr-FR"/>
        </w:rPr>
        <w:t>le 4 février 2021</w:t>
      </w:r>
      <w:r w:rsidR="00FC1209" w:rsidRPr="00FC1209">
        <w:rPr>
          <w:lang w:val="fr-FR"/>
        </w:rPr>
        <w:t>.</w:t>
      </w:r>
    </w:p>
    <w:p w14:paraId="4F1BD8C8" w14:textId="77777777" w:rsidR="00520996" w:rsidRPr="00665B97" w:rsidRDefault="00520996" w:rsidP="00F80E49">
      <w:pPr>
        <w:pStyle w:val="H1G"/>
        <w:rPr>
          <w:lang w:val="fr-FR"/>
        </w:rPr>
      </w:pPr>
      <w:r>
        <w:rPr>
          <w:lang w:val="fr-FR"/>
        </w:rPr>
        <w:tab/>
      </w:r>
      <w:r>
        <w:rPr>
          <w:lang w:val="fr-FR"/>
        </w:rPr>
        <w:tab/>
        <w:t>Rapport du Groupe de travail des normes</w:t>
      </w:r>
    </w:p>
    <w:p w14:paraId="7A583DC1" w14:textId="1A5D5F79" w:rsidR="00520996" w:rsidRPr="00665B97" w:rsidRDefault="00520996" w:rsidP="00520996">
      <w:pPr>
        <w:pStyle w:val="SingleTxtG"/>
        <w:ind w:left="3119" w:hanging="1985"/>
        <w:jc w:val="left"/>
        <w:rPr>
          <w:lang w:val="fr-FR"/>
        </w:rPr>
      </w:pPr>
      <w:r>
        <w:rPr>
          <w:i/>
          <w:iCs/>
          <w:lang w:val="fr-FR"/>
        </w:rPr>
        <w:t>Document informel :</w:t>
      </w:r>
      <w:r>
        <w:rPr>
          <w:lang w:val="fr-FR"/>
        </w:rPr>
        <w:tab/>
        <w:t>INF</w:t>
      </w:r>
      <w:r w:rsidR="00FC1209" w:rsidRPr="00FC1209">
        <w:rPr>
          <w:lang w:val="fr-FR"/>
        </w:rPr>
        <w:t>.</w:t>
      </w:r>
      <w:r>
        <w:rPr>
          <w:lang w:val="fr-FR"/>
        </w:rPr>
        <w:t>5/Rev</w:t>
      </w:r>
      <w:r w:rsidR="00FC1209" w:rsidRPr="00FC1209">
        <w:rPr>
          <w:lang w:val="fr-FR"/>
        </w:rPr>
        <w:t>.</w:t>
      </w:r>
      <w:r>
        <w:rPr>
          <w:lang w:val="fr-FR"/>
        </w:rPr>
        <w:t>1 (CEN)</w:t>
      </w:r>
      <w:r w:rsidR="00FC1209" w:rsidRPr="00FC1209">
        <w:rPr>
          <w:lang w:val="fr-FR"/>
        </w:rPr>
        <w:t>.</w:t>
      </w:r>
    </w:p>
    <w:p w14:paraId="264611CC" w14:textId="0C507864" w:rsidR="00520996" w:rsidRPr="00665B97" w:rsidRDefault="00520996" w:rsidP="00F80E49">
      <w:pPr>
        <w:pStyle w:val="SingleTxtG"/>
        <w:rPr>
          <w:lang w:val="fr-FR"/>
        </w:rPr>
      </w:pPr>
      <w:r>
        <w:rPr>
          <w:lang w:val="fr-FR"/>
        </w:rPr>
        <w:t>17</w:t>
      </w:r>
      <w:r w:rsidR="008446F5">
        <w:rPr>
          <w:lang w:val="fr-FR"/>
        </w:rPr>
        <w:t>.</w:t>
      </w:r>
      <w:r>
        <w:rPr>
          <w:lang w:val="fr-FR"/>
        </w:rPr>
        <w:tab/>
        <w:t>La Réunion commune a pris note des recommandations et des conclusions du Groupe de travail, figurant dans le document informel INF</w:t>
      </w:r>
      <w:r w:rsidR="00FC1209" w:rsidRPr="00FC1209">
        <w:rPr>
          <w:lang w:val="fr-FR"/>
        </w:rPr>
        <w:t>.</w:t>
      </w:r>
      <w:r>
        <w:rPr>
          <w:lang w:val="fr-FR"/>
        </w:rPr>
        <w:t>5/Rev</w:t>
      </w:r>
      <w:r w:rsidR="00FC1209" w:rsidRPr="00FC1209">
        <w:rPr>
          <w:lang w:val="fr-FR"/>
        </w:rPr>
        <w:t>.</w:t>
      </w:r>
      <w:r>
        <w:rPr>
          <w:lang w:val="fr-FR"/>
        </w:rPr>
        <w:t>1, et a adopté les amendements aux 6</w:t>
      </w:r>
      <w:r w:rsidR="00FC1209" w:rsidRPr="00FC1209">
        <w:rPr>
          <w:lang w:val="fr-FR"/>
        </w:rPr>
        <w:t>.</w:t>
      </w:r>
      <w:r>
        <w:rPr>
          <w:lang w:val="fr-FR"/>
        </w:rPr>
        <w:t>2</w:t>
      </w:r>
      <w:r w:rsidR="00FC1209" w:rsidRPr="00FC1209">
        <w:rPr>
          <w:lang w:val="fr-FR"/>
        </w:rPr>
        <w:t>.</w:t>
      </w:r>
      <w:r>
        <w:rPr>
          <w:lang w:val="fr-FR"/>
        </w:rPr>
        <w:t>4</w:t>
      </w:r>
      <w:r w:rsidR="00FC1209" w:rsidRPr="00FC1209">
        <w:rPr>
          <w:lang w:val="fr-FR"/>
        </w:rPr>
        <w:t>.</w:t>
      </w:r>
      <w:r>
        <w:rPr>
          <w:lang w:val="fr-FR"/>
        </w:rPr>
        <w:t>1 et 6</w:t>
      </w:r>
      <w:r w:rsidR="00FC1209" w:rsidRPr="00FC1209">
        <w:rPr>
          <w:lang w:val="fr-FR"/>
        </w:rPr>
        <w:t>.</w:t>
      </w:r>
      <w:r>
        <w:rPr>
          <w:lang w:val="fr-FR"/>
        </w:rPr>
        <w:t>8</w:t>
      </w:r>
      <w:r w:rsidR="00FC1209" w:rsidRPr="00FC1209">
        <w:rPr>
          <w:lang w:val="fr-FR"/>
        </w:rPr>
        <w:t>.</w:t>
      </w:r>
      <w:r>
        <w:rPr>
          <w:lang w:val="fr-FR"/>
        </w:rPr>
        <w:t>4 d) du RID et de l</w:t>
      </w:r>
      <w:r w:rsidR="00F70B88">
        <w:rPr>
          <w:lang w:val="fr-FR"/>
        </w:rPr>
        <w:t>’</w:t>
      </w:r>
      <w:r>
        <w:rPr>
          <w:lang w:val="fr-FR"/>
        </w:rPr>
        <w:t>ADR, tels que proposés aux paragraphes 4</w:t>
      </w:r>
      <w:r w:rsidR="00FC1209" w:rsidRPr="00FC1209">
        <w:rPr>
          <w:lang w:val="fr-FR"/>
        </w:rPr>
        <w:t>.</w:t>
      </w:r>
      <w:r>
        <w:rPr>
          <w:lang w:val="fr-FR"/>
        </w:rPr>
        <w:t>1, 4</w:t>
      </w:r>
      <w:r w:rsidR="00FC1209" w:rsidRPr="00FC1209">
        <w:rPr>
          <w:lang w:val="fr-FR"/>
        </w:rPr>
        <w:t>.</w:t>
      </w:r>
      <w:r>
        <w:rPr>
          <w:lang w:val="fr-FR"/>
        </w:rPr>
        <w:t>2, 4</w:t>
      </w:r>
      <w:r w:rsidR="00FC1209" w:rsidRPr="00FC1209">
        <w:rPr>
          <w:lang w:val="fr-FR"/>
        </w:rPr>
        <w:t>.</w:t>
      </w:r>
      <w:r>
        <w:rPr>
          <w:lang w:val="fr-FR"/>
        </w:rPr>
        <w:t>3, 4</w:t>
      </w:r>
      <w:r w:rsidR="00FC1209" w:rsidRPr="00FC1209">
        <w:rPr>
          <w:lang w:val="fr-FR"/>
        </w:rPr>
        <w:t>.</w:t>
      </w:r>
      <w:r>
        <w:rPr>
          <w:lang w:val="fr-FR"/>
        </w:rPr>
        <w:t>4 et 4</w:t>
      </w:r>
      <w:r w:rsidR="00FC1209" w:rsidRPr="00FC1209">
        <w:rPr>
          <w:lang w:val="fr-FR"/>
        </w:rPr>
        <w:t>.</w:t>
      </w:r>
      <w:r>
        <w:rPr>
          <w:lang w:val="fr-FR"/>
        </w:rPr>
        <w:t>5 du document informel INF</w:t>
      </w:r>
      <w:r w:rsidR="00FC1209" w:rsidRPr="00FC1209">
        <w:rPr>
          <w:lang w:val="fr-FR"/>
        </w:rPr>
        <w:t>.</w:t>
      </w:r>
      <w:r>
        <w:rPr>
          <w:lang w:val="fr-FR"/>
        </w:rPr>
        <w:t>5/Rev</w:t>
      </w:r>
      <w:r w:rsidR="00FC1209" w:rsidRPr="00FC1209">
        <w:rPr>
          <w:lang w:val="fr-FR"/>
        </w:rPr>
        <w:t>.</w:t>
      </w:r>
      <w:r>
        <w:rPr>
          <w:lang w:val="fr-FR"/>
        </w:rPr>
        <w:t>1, moyennant une modification supplémentaire (voir l</w:t>
      </w:r>
      <w:r w:rsidR="00F70B88">
        <w:rPr>
          <w:lang w:val="fr-FR"/>
        </w:rPr>
        <w:t>’</w:t>
      </w:r>
      <w:r>
        <w:rPr>
          <w:lang w:val="fr-FR"/>
        </w:rPr>
        <w:t>annexe II)</w:t>
      </w:r>
      <w:r w:rsidR="00FC1209" w:rsidRPr="00FC1209">
        <w:rPr>
          <w:lang w:val="fr-FR"/>
        </w:rPr>
        <w:t>.</w:t>
      </w:r>
      <w:r>
        <w:rPr>
          <w:lang w:val="fr-FR"/>
        </w:rPr>
        <w:t xml:space="preserve"> Il a été convenu de maintenir entre crochets les amendements proposés au paragraphe 4</w:t>
      </w:r>
      <w:r w:rsidR="00FC1209" w:rsidRPr="00FC1209">
        <w:rPr>
          <w:lang w:val="fr-FR"/>
        </w:rPr>
        <w:t>.</w:t>
      </w:r>
      <w:r>
        <w:rPr>
          <w:lang w:val="fr-FR"/>
        </w:rPr>
        <w:t>2, dans l</w:t>
      </w:r>
      <w:r w:rsidR="00F70B88">
        <w:rPr>
          <w:lang w:val="fr-FR"/>
        </w:rPr>
        <w:t>’</w:t>
      </w:r>
      <w:r>
        <w:rPr>
          <w:lang w:val="fr-FR"/>
        </w:rPr>
        <w:t>attente d</w:t>
      </w:r>
      <w:r w:rsidR="00F70B88">
        <w:rPr>
          <w:lang w:val="fr-FR"/>
        </w:rPr>
        <w:t>’</w:t>
      </w:r>
      <w:r>
        <w:rPr>
          <w:lang w:val="fr-FR"/>
        </w:rPr>
        <w:t>un examen final à la prochaine session</w:t>
      </w:r>
      <w:r w:rsidR="00FC1209" w:rsidRPr="00FC1209">
        <w:rPr>
          <w:lang w:val="fr-FR"/>
        </w:rPr>
        <w:t>.</w:t>
      </w:r>
    </w:p>
    <w:p w14:paraId="69257C2C" w14:textId="4EA8ABD5" w:rsidR="00520996" w:rsidRPr="00665B97" w:rsidRDefault="00520996" w:rsidP="00520996">
      <w:pPr>
        <w:pStyle w:val="SingleTxtG"/>
        <w:rPr>
          <w:lang w:val="fr-FR"/>
        </w:rPr>
      </w:pPr>
      <w:r>
        <w:rPr>
          <w:lang w:val="fr-FR"/>
        </w:rPr>
        <w:t>18</w:t>
      </w:r>
      <w:r w:rsidR="00FC1209" w:rsidRPr="00FC1209">
        <w:rPr>
          <w:lang w:val="fr-FR"/>
        </w:rPr>
        <w:t>.</w:t>
      </w:r>
      <w:r>
        <w:rPr>
          <w:lang w:val="fr-FR"/>
        </w:rPr>
        <w:tab/>
        <w:t>La Réunion commune a adopté la note supplémentaire pour le 1</w:t>
      </w:r>
      <w:r w:rsidR="00FC1209" w:rsidRPr="00FC1209">
        <w:rPr>
          <w:lang w:val="fr-FR"/>
        </w:rPr>
        <w:t>.</w:t>
      </w:r>
      <w:r>
        <w:rPr>
          <w:lang w:val="fr-FR"/>
        </w:rPr>
        <w:t>1</w:t>
      </w:r>
      <w:r w:rsidR="00FC1209" w:rsidRPr="00FC1209">
        <w:rPr>
          <w:lang w:val="fr-FR"/>
        </w:rPr>
        <w:t>.</w:t>
      </w:r>
      <w:r>
        <w:rPr>
          <w:lang w:val="fr-FR"/>
        </w:rPr>
        <w:t>5 du RID, de l</w:t>
      </w:r>
      <w:r w:rsidR="00F70B88">
        <w:rPr>
          <w:lang w:val="fr-FR"/>
        </w:rPr>
        <w:t>’</w:t>
      </w:r>
      <w:r>
        <w:rPr>
          <w:lang w:val="fr-FR"/>
        </w:rPr>
        <w:t>ADR et de l</w:t>
      </w:r>
      <w:r w:rsidR="00F70B88">
        <w:rPr>
          <w:lang w:val="fr-FR"/>
        </w:rPr>
        <w:t>’</w:t>
      </w:r>
      <w:r>
        <w:rPr>
          <w:lang w:val="fr-FR"/>
        </w:rPr>
        <w:t>ADN, conformément à la proposition faite dans le document informel INF</w:t>
      </w:r>
      <w:r w:rsidR="00FC1209" w:rsidRPr="00FC1209">
        <w:rPr>
          <w:lang w:val="fr-FR"/>
        </w:rPr>
        <w:t>.</w:t>
      </w:r>
      <w:r>
        <w:rPr>
          <w:lang w:val="fr-FR"/>
        </w:rPr>
        <w:t>3 (voir l</w:t>
      </w:r>
      <w:r w:rsidR="00F70B88">
        <w:rPr>
          <w:lang w:val="fr-FR"/>
        </w:rPr>
        <w:t>’</w:t>
      </w:r>
      <w:r>
        <w:rPr>
          <w:lang w:val="fr-FR"/>
        </w:rPr>
        <w:t>annexe II</w:t>
      </w:r>
      <w:r w:rsidR="00FC1209" w:rsidRPr="00FC1209">
        <w:rPr>
          <w:lang w:val="fr-FR"/>
        </w:rPr>
        <w:t>.</w:t>
      </w:r>
      <w:r>
        <w:rPr>
          <w:lang w:val="fr-FR"/>
        </w:rPr>
        <w:t>)</w:t>
      </w:r>
      <w:r w:rsidR="00FC1209" w:rsidRPr="00FC1209">
        <w:rPr>
          <w:lang w:val="fr-FR"/>
        </w:rPr>
        <w:t>.</w:t>
      </w:r>
      <w:r>
        <w:rPr>
          <w:lang w:val="fr-FR"/>
        </w:rPr>
        <w:t xml:space="preserve"> Le représentant du Royaume-Uni a souligné la nécessité d</w:t>
      </w:r>
      <w:r w:rsidR="00F70B88">
        <w:rPr>
          <w:lang w:val="fr-FR"/>
        </w:rPr>
        <w:t>’</w:t>
      </w:r>
      <w:r>
        <w:rPr>
          <w:lang w:val="fr-FR"/>
        </w:rPr>
        <w:t>harmoniser le Règlement type en conséquence, et a fait part de son intention de soumettre une proposition au Sous-Comité d</w:t>
      </w:r>
      <w:r w:rsidR="00F70B88">
        <w:rPr>
          <w:lang w:val="fr-FR"/>
        </w:rPr>
        <w:t>’</w:t>
      </w:r>
      <w:r>
        <w:rPr>
          <w:lang w:val="fr-FR"/>
        </w:rPr>
        <w:t>experts du transport des marchandises dangereuses</w:t>
      </w:r>
      <w:r w:rsidR="00FC1209" w:rsidRPr="00FC1209">
        <w:rPr>
          <w:lang w:val="fr-FR"/>
        </w:rPr>
        <w:t>.</w:t>
      </w:r>
    </w:p>
    <w:p w14:paraId="5E19A59C" w14:textId="27395D3E" w:rsidR="00520996" w:rsidRPr="00665B97" w:rsidRDefault="00520996" w:rsidP="00520996">
      <w:pPr>
        <w:pStyle w:val="SingleTxtG"/>
        <w:rPr>
          <w:lang w:val="fr-FR"/>
        </w:rPr>
      </w:pPr>
      <w:r>
        <w:rPr>
          <w:lang w:val="fr-FR"/>
        </w:rPr>
        <w:t>19</w:t>
      </w:r>
      <w:r w:rsidR="00FC1209" w:rsidRPr="00FC1209">
        <w:rPr>
          <w:lang w:val="fr-FR"/>
        </w:rPr>
        <w:t>.</w:t>
      </w:r>
      <w:r>
        <w:rPr>
          <w:lang w:val="fr-FR"/>
        </w:rPr>
        <w:tab/>
        <w:t>La Réunion commune a approuvé l</w:t>
      </w:r>
      <w:r w:rsidR="00F70B88">
        <w:rPr>
          <w:lang w:val="fr-FR"/>
        </w:rPr>
        <w:t>’</w:t>
      </w:r>
      <w:r>
        <w:rPr>
          <w:lang w:val="fr-FR"/>
        </w:rPr>
        <w:t>initiative du CEN visant à clarifier les prescriptions relatives à l</w:t>
      </w:r>
      <w:r w:rsidR="00F70B88">
        <w:rPr>
          <w:lang w:val="fr-FR"/>
        </w:rPr>
        <w:t>’</w:t>
      </w:r>
      <w:r>
        <w:rPr>
          <w:lang w:val="fr-FR"/>
        </w:rPr>
        <w:t>application des normes dans les chapitres 6</w:t>
      </w:r>
      <w:r w:rsidR="00FC1209" w:rsidRPr="00FC1209">
        <w:rPr>
          <w:lang w:val="fr-FR"/>
        </w:rPr>
        <w:t>.</w:t>
      </w:r>
      <w:r>
        <w:rPr>
          <w:lang w:val="fr-FR"/>
        </w:rPr>
        <w:t>2 et 6</w:t>
      </w:r>
      <w:r w:rsidR="00FC1209" w:rsidRPr="00FC1209">
        <w:rPr>
          <w:lang w:val="fr-FR"/>
        </w:rPr>
        <w:t>.</w:t>
      </w:r>
      <w:r>
        <w:rPr>
          <w:lang w:val="fr-FR"/>
        </w:rPr>
        <w:t>8</w:t>
      </w:r>
      <w:r w:rsidR="00FC1209" w:rsidRPr="00FC1209">
        <w:rPr>
          <w:lang w:val="fr-FR"/>
        </w:rPr>
        <w:t>.</w:t>
      </w:r>
      <w:r>
        <w:rPr>
          <w:lang w:val="fr-FR"/>
        </w:rPr>
        <w:t xml:space="preserve"> Les délégations ont été invitées à envoyer leurs observations sur le document informel INF</w:t>
      </w:r>
      <w:r w:rsidR="00FC1209" w:rsidRPr="00FC1209">
        <w:rPr>
          <w:lang w:val="fr-FR"/>
        </w:rPr>
        <w:t>.</w:t>
      </w:r>
      <w:r>
        <w:rPr>
          <w:lang w:val="fr-FR"/>
        </w:rPr>
        <w:t>13 au représentant du CEN, qui s</w:t>
      </w:r>
      <w:r w:rsidR="00F70B88">
        <w:rPr>
          <w:lang w:val="fr-FR"/>
        </w:rPr>
        <w:t>’</w:t>
      </w:r>
      <w:r>
        <w:rPr>
          <w:lang w:val="fr-FR"/>
        </w:rPr>
        <w:t>est porté volontaire pour soumettre en vue de la prochaine session un document officiel tenant compte des observations reçues</w:t>
      </w:r>
      <w:r w:rsidR="00FC1209" w:rsidRPr="00FC1209">
        <w:rPr>
          <w:lang w:val="fr-FR"/>
        </w:rPr>
        <w:t>.</w:t>
      </w:r>
    </w:p>
    <w:p w14:paraId="18F334A8" w14:textId="16478A0E" w:rsidR="00520996" w:rsidRPr="00665B97" w:rsidRDefault="00520996" w:rsidP="00520996">
      <w:pPr>
        <w:pStyle w:val="SingleTxtG"/>
        <w:rPr>
          <w:lang w:val="fr-FR"/>
        </w:rPr>
      </w:pPr>
      <w:r>
        <w:rPr>
          <w:lang w:val="fr-FR"/>
        </w:rPr>
        <w:t>20</w:t>
      </w:r>
      <w:r w:rsidR="00FC1209" w:rsidRPr="00FC1209">
        <w:rPr>
          <w:lang w:val="fr-FR"/>
        </w:rPr>
        <w:t>.</w:t>
      </w:r>
      <w:r>
        <w:rPr>
          <w:lang w:val="fr-FR"/>
        </w:rPr>
        <w:tab/>
        <w:t>S</w:t>
      </w:r>
      <w:r w:rsidR="00F70B88">
        <w:rPr>
          <w:lang w:val="fr-FR"/>
        </w:rPr>
        <w:t>’</w:t>
      </w:r>
      <w:r>
        <w:rPr>
          <w:lang w:val="fr-FR"/>
        </w:rPr>
        <w:t>agissant de l</w:t>
      </w:r>
      <w:r w:rsidR="00F70B88">
        <w:rPr>
          <w:lang w:val="fr-FR"/>
        </w:rPr>
        <w:t>’</w:t>
      </w:r>
      <w:r>
        <w:rPr>
          <w:lang w:val="fr-FR"/>
        </w:rPr>
        <w:t>examen du document ECE/TRANS/WP</w:t>
      </w:r>
      <w:r w:rsidR="00FC1209" w:rsidRPr="00FC1209">
        <w:rPr>
          <w:lang w:val="fr-FR"/>
        </w:rPr>
        <w:t>.</w:t>
      </w:r>
      <w:r>
        <w:rPr>
          <w:lang w:val="fr-FR"/>
        </w:rPr>
        <w:t>15/AC</w:t>
      </w:r>
      <w:r w:rsidR="00FC1209" w:rsidRPr="00FC1209">
        <w:rPr>
          <w:lang w:val="fr-FR"/>
        </w:rPr>
        <w:t>.</w:t>
      </w:r>
      <w:r>
        <w:rPr>
          <w:lang w:val="fr-FR"/>
        </w:rPr>
        <w:t>1/2021/12, contenant des prescriptions relatives à la protection des robinets, la Réunion commune a également adopté les amendements proposés dans le document informel INF</w:t>
      </w:r>
      <w:r w:rsidR="00FC1209" w:rsidRPr="00FC1209">
        <w:rPr>
          <w:lang w:val="fr-FR"/>
        </w:rPr>
        <w:t>.</w:t>
      </w:r>
      <w:r>
        <w:rPr>
          <w:lang w:val="fr-FR"/>
        </w:rPr>
        <w:t>30, moyennant une modification supplémentaire (voir l</w:t>
      </w:r>
      <w:r w:rsidR="00F70B88">
        <w:rPr>
          <w:lang w:val="fr-FR"/>
        </w:rPr>
        <w:t>’</w:t>
      </w:r>
      <w:r>
        <w:rPr>
          <w:lang w:val="fr-FR"/>
        </w:rPr>
        <w:t>annexe II)</w:t>
      </w:r>
      <w:r w:rsidR="00FC1209" w:rsidRPr="00FC1209">
        <w:rPr>
          <w:lang w:val="fr-FR"/>
        </w:rPr>
        <w:t>.</w:t>
      </w:r>
      <w:bookmarkStart w:id="1" w:name="_Hlk66737701"/>
      <w:bookmarkEnd w:id="1"/>
    </w:p>
    <w:p w14:paraId="4537C27C" w14:textId="686A49E0" w:rsidR="00520996" w:rsidRPr="00665B97" w:rsidRDefault="00520996" w:rsidP="00F80E49">
      <w:pPr>
        <w:pStyle w:val="HChG"/>
        <w:rPr>
          <w:lang w:val="fr-FR"/>
        </w:rPr>
      </w:pPr>
      <w:r>
        <w:rPr>
          <w:lang w:val="fr-FR"/>
        </w:rPr>
        <w:tab/>
        <w:t>VI</w:t>
      </w:r>
      <w:r w:rsidR="00FC1209" w:rsidRPr="00FC1209">
        <w:rPr>
          <w:lang w:val="fr-FR"/>
        </w:rPr>
        <w:t>.</w:t>
      </w:r>
      <w:r>
        <w:rPr>
          <w:lang w:val="fr-FR"/>
        </w:rPr>
        <w:tab/>
        <w:t>Interprétation du RID, de l</w:t>
      </w:r>
      <w:r w:rsidR="00F70B88">
        <w:rPr>
          <w:lang w:val="fr-FR"/>
        </w:rPr>
        <w:t>’</w:t>
      </w:r>
      <w:r>
        <w:rPr>
          <w:lang w:val="fr-FR"/>
        </w:rPr>
        <w:t>ADR et de l</w:t>
      </w:r>
      <w:r w:rsidR="00F70B88">
        <w:rPr>
          <w:lang w:val="fr-FR"/>
        </w:rPr>
        <w:t>’</w:t>
      </w:r>
      <w:r>
        <w:rPr>
          <w:lang w:val="fr-FR"/>
        </w:rPr>
        <w:t xml:space="preserve">ADN </w:t>
      </w:r>
      <w:r>
        <w:rPr>
          <w:lang w:val="fr-FR"/>
        </w:rPr>
        <w:br/>
        <w:t>(point 4 de l</w:t>
      </w:r>
      <w:r w:rsidR="00F70B88">
        <w:rPr>
          <w:lang w:val="fr-FR"/>
        </w:rPr>
        <w:t>’</w:t>
      </w:r>
      <w:r>
        <w:rPr>
          <w:lang w:val="fr-FR"/>
        </w:rPr>
        <w:t>ordre du jour)</w:t>
      </w:r>
    </w:p>
    <w:p w14:paraId="072CE465" w14:textId="79322737" w:rsidR="00520996" w:rsidRPr="00665B97" w:rsidRDefault="00520996" w:rsidP="00520996">
      <w:pPr>
        <w:pStyle w:val="SingleTxtG"/>
        <w:rPr>
          <w:lang w:val="fr-FR"/>
        </w:rPr>
      </w:pPr>
      <w:r>
        <w:rPr>
          <w:lang w:val="fr-FR"/>
        </w:rPr>
        <w:t>21</w:t>
      </w:r>
      <w:r w:rsidR="00FC1209" w:rsidRPr="00FC1209">
        <w:rPr>
          <w:lang w:val="fr-FR"/>
        </w:rPr>
        <w:t>.</w:t>
      </w:r>
      <w:r>
        <w:rPr>
          <w:lang w:val="fr-FR"/>
        </w:rPr>
        <w:tab/>
        <w:t>Aucun document n</w:t>
      </w:r>
      <w:r w:rsidR="00F70B88">
        <w:rPr>
          <w:lang w:val="fr-FR"/>
        </w:rPr>
        <w:t>’</w:t>
      </w:r>
      <w:r>
        <w:rPr>
          <w:lang w:val="fr-FR"/>
        </w:rPr>
        <w:t>ayant été soumis au titre de ce point de l</w:t>
      </w:r>
      <w:r w:rsidR="00F70B88">
        <w:rPr>
          <w:lang w:val="fr-FR"/>
        </w:rPr>
        <w:t>’</w:t>
      </w:r>
      <w:r>
        <w:rPr>
          <w:lang w:val="fr-FR"/>
        </w:rPr>
        <w:t>ordre du jour, cette question n</w:t>
      </w:r>
      <w:r w:rsidR="00F70B88">
        <w:rPr>
          <w:lang w:val="fr-FR"/>
        </w:rPr>
        <w:t>’</w:t>
      </w:r>
      <w:r>
        <w:rPr>
          <w:lang w:val="fr-FR"/>
        </w:rPr>
        <w:t>a fait l</w:t>
      </w:r>
      <w:r w:rsidR="00F70B88">
        <w:rPr>
          <w:lang w:val="fr-FR"/>
        </w:rPr>
        <w:t>’</w:t>
      </w:r>
      <w:r>
        <w:rPr>
          <w:lang w:val="fr-FR"/>
        </w:rPr>
        <w:t>objet d</w:t>
      </w:r>
      <w:r w:rsidR="00F70B88">
        <w:rPr>
          <w:lang w:val="fr-FR"/>
        </w:rPr>
        <w:t>’</w:t>
      </w:r>
      <w:r w:rsidRPr="00BF3FF1">
        <w:rPr>
          <w:lang w:val="fr-FR"/>
        </w:rPr>
        <w:t>aucun échange de vues</w:t>
      </w:r>
      <w:r w:rsidR="00FC1209" w:rsidRPr="00FC1209">
        <w:rPr>
          <w:lang w:val="fr-FR"/>
        </w:rPr>
        <w:t>.</w:t>
      </w:r>
    </w:p>
    <w:p w14:paraId="6042A5E5" w14:textId="6147C087" w:rsidR="00520996" w:rsidRPr="00665B97" w:rsidRDefault="00520996" w:rsidP="00F80E49">
      <w:pPr>
        <w:pStyle w:val="HChG"/>
        <w:rPr>
          <w:lang w:val="fr-FR"/>
        </w:rPr>
      </w:pPr>
      <w:r>
        <w:rPr>
          <w:lang w:val="fr-FR"/>
        </w:rPr>
        <w:tab/>
        <w:t>VII</w:t>
      </w:r>
      <w:r w:rsidR="00FC1209" w:rsidRPr="00FC1209">
        <w:rPr>
          <w:lang w:val="fr-FR"/>
        </w:rPr>
        <w:t>.</w:t>
      </w:r>
      <w:r>
        <w:rPr>
          <w:lang w:val="fr-FR"/>
        </w:rPr>
        <w:tab/>
        <w:t>Propositions d</w:t>
      </w:r>
      <w:r w:rsidR="00F70B88">
        <w:rPr>
          <w:lang w:val="fr-FR"/>
        </w:rPr>
        <w:t>’</w:t>
      </w:r>
      <w:r>
        <w:rPr>
          <w:lang w:val="fr-FR"/>
        </w:rPr>
        <w:t>amendements au RID, à l</w:t>
      </w:r>
      <w:r w:rsidR="00F70B88">
        <w:rPr>
          <w:lang w:val="fr-FR"/>
        </w:rPr>
        <w:t>’</w:t>
      </w:r>
      <w:r>
        <w:rPr>
          <w:lang w:val="fr-FR"/>
        </w:rPr>
        <w:t>ADR et à l</w:t>
      </w:r>
      <w:r w:rsidR="00F70B88">
        <w:rPr>
          <w:lang w:val="fr-FR"/>
        </w:rPr>
        <w:t>’</w:t>
      </w:r>
      <w:r>
        <w:rPr>
          <w:lang w:val="fr-FR"/>
        </w:rPr>
        <w:t>ADN (point 5 de l</w:t>
      </w:r>
      <w:r w:rsidR="00F70B88">
        <w:rPr>
          <w:lang w:val="fr-FR"/>
        </w:rPr>
        <w:t>’</w:t>
      </w:r>
      <w:r>
        <w:rPr>
          <w:lang w:val="fr-FR"/>
        </w:rPr>
        <w:t>ordre du jour)</w:t>
      </w:r>
    </w:p>
    <w:p w14:paraId="77E32CA9" w14:textId="79CD8D6F" w:rsidR="00520996" w:rsidRPr="00665B97" w:rsidRDefault="00520996" w:rsidP="00F80E49">
      <w:pPr>
        <w:pStyle w:val="H1G"/>
        <w:rPr>
          <w:lang w:val="fr-FR"/>
        </w:rPr>
      </w:pPr>
      <w:r>
        <w:rPr>
          <w:lang w:val="fr-FR"/>
        </w:rPr>
        <w:tab/>
        <w:t>A</w:t>
      </w:r>
      <w:r w:rsidR="00FC1209" w:rsidRPr="00FC1209">
        <w:rPr>
          <w:lang w:val="fr-FR"/>
        </w:rPr>
        <w:t>.</w:t>
      </w:r>
      <w:r>
        <w:rPr>
          <w:lang w:val="fr-FR"/>
        </w:rPr>
        <w:tab/>
        <w:t>Questions en suspens</w:t>
      </w:r>
    </w:p>
    <w:p w14:paraId="613553DE" w14:textId="1E0FA495" w:rsidR="00520996" w:rsidRPr="00665B97" w:rsidRDefault="00520996" w:rsidP="00520996">
      <w:pPr>
        <w:pStyle w:val="H23G"/>
        <w:rPr>
          <w:lang w:val="fr-FR"/>
        </w:rPr>
      </w:pPr>
      <w:r>
        <w:rPr>
          <w:lang w:val="fr-FR"/>
        </w:rPr>
        <w:tab/>
        <w:t>1</w:t>
      </w:r>
      <w:r w:rsidR="00DB542B">
        <w:rPr>
          <w:lang w:val="fr-FR"/>
        </w:rPr>
        <w:t>.</w:t>
      </w:r>
      <w:r>
        <w:rPr>
          <w:lang w:val="fr-FR"/>
        </w:rPr>
        <w:tab/>
      </w:r>
      <w:r>
        <w:rPr>
          <w:bCs/>
          <w:lang w:val="fr-FR"/>
        </w:rPr>
        <w:t>Transport des matières qui polymérisent en tant que déchets − Révision du document ECE/TRANS/WP</w:t>
      </w:r>
      <w:r w:rsidR="00FC1209" w:rsidRPr="00FC1209">
        <w:rPr>
          <w:bCs/>
          <w:lang w:val="fr-FR"/>
        </w:rPr>
        <w:t>.</w:t>
      </w:r>
      <w:r>
        <w:rPr>
          <w:bCs/>
          <w:lang w:val="fr-FR"/>
        </w:rPr>
        <w:t>15/AC</w:t>
      </w:r>
      <w:r w:rsidR="00FC1209" w:rsidRPr="00FC1209">
        <w:rPr>
          <w:bCs/>
          <w:lang w:val="fr-FR"/>
        </w:rPr>
        <w:t>.</w:t>
      </w:r>
      <w:r>
        <w:rPr>
          <w:bCs/>
          <w:lang w:val="fr-FR"/>
        </w:rPr>
        <w:t>1/2020/51</w:t>
      </w:r>
    </w:p>
    <w:p w14:paraId="55DF4AE2" w14:textId="799596BB" w:rsidR="00520996" w:rsidRPr="00665B97" w:rsidRDefault="00520996" w:rsidP="00520996">
      <w:pPr>
        <w:pStyle w:val="SingleTxtG"/>
        <w:ind w:left="3119" w:hanging="1985"/>
        <w:jc w:val="left"/>
        <w:rPr>
          <w:lang w:val="fr-FR"/>
        </w:rPr>
      </w:pPr>
      <w:r>
        <w:rPr>
          <w:i/>
          <w:iCs/>
          <w:lang w:val="fr-FR"/>
        </w:rPr>
        <w:t>Document </w:t>
      </w:r>
      <w:r>
        <w:rPr>
          <w:lang w:val="fr-FR"/>
        </w:rPr>
        <w:t>:</w:t>
      </w:r>
      <w:r>
        <w:rPr>
          <w:lang w:val="fr-FR"/>
        </w:rPr>
        <w:tab/>
        <w:t>ECE/TRANS/WP</w:t>
      </w:r>
      <w:r w:rsidR="00FC1209" w:rsidRPr="00FC1209">
        <w:rPr>
          <w:lang w:val="fr-FR"/>
        </w:rPr>
        <w:t>.</w:t>
      </w:r>
      <w:r>
        <w:rPr>
          <w:lang w:val="fr-FR"/>
        </w:rPr>
        <w:t>15/AC</w:t>
      </w:r>
      <w:r w:rsidR="00FC1209" w:rsidRPr="00FC1209">
        <w:rPr>
          <w:lang w:val="fr-FR"/>
        </w:rPr>
        <w:t>.</w:t>
      </w:r>
      <w:r>
        <w:rPr>
          <w:lang w:val="fr-FR"/>
        </w:rPr>
        <w:t>1/2020/51/Rev</w:t>
      </w:r>
      <w:r w:rsidR="00FC1209" w:rsidRPr="00FC1209">
        <w:rPr>
          <w:lang w:val="fr-FR"/>
        </w:rPr>
        <w:t>.</w:t>
      </w:r>
      <w:r>
        <w:rPr>
          <w:lang w:val="fr-FR"/>
        </w:rPr>
        <w:t>1 (Allemagne)</w:t>
      </w:r>
      <w:r w:rsidR="00FC1209" w:rsidRPr="00FC1209">
        <w:rPr>
          <w:lang w:val="fr-FR"/>
        </w:rPr>
        <w:t>.</w:t>
      </w:r>
    </w:p>
    <w:p w14:paraId="724894C5" w14:textId="6E29D321" w:rsidR="00520996" w:rsidRPr="00665B97" w:rsidRDefault="00520996" w:rsidP="00520996">
      <w:pPr>
        <w:pStyle w:val="SingleTxtG"/>
        <w:rPr>
          <w:lang w:val="fr-FR"/>
        </w:rPr>
      </w:pPr>
      <w:r>
        <w:rPr>
          <w:lang w:val="fr-FR"/>
        </w:rPr>
        <w:t>22</w:t>
      </w:r>
      <w:r w:rsidR="00FC1209" w:rsidRPr="00FC1209">
        <w:rPr>
          <w:lang w:val="fr-FR"/>
        </w:rPr>
        <w:t>.</w:t>
      </w:r>
      <w:r>
        <w:rPr>
          <w:lang w:val="fr-FR"/>
        </w:rPr>
        <w:tab/>
        <w:t>La Réunion commune a adopté la proposition de nouvelle disposition spéciale, moyennant une modification supplémentaire (voir l</w:t>
      </w:r>
      <w:r w:rsidR="00F70B88">
        <w:rPr>
          <w:lang w:val="fr-FR"/>
        </w:rPr>
        <w:t>’</w:t>
      </w:r>
      <w:r>
        <w:rPr>
          <w:lang w:val="fr-FR"/>
        </w:rPr>
        <w:t>annexe II)</w:t>
      </w:r>
      <w:r w:rsidR="00FC1209" w:rsidRPr="00FC1209">
        <w:rPr>
          <w:lang w:val="fr-FR"/>
        </w:rPr>
        <w:t>.</w:t>
      </w:r>
      <w:r>
        <w:rPr>
          <w:lang w:val="fr-FR"/>
        </w:rPr>
        <w:t xml:space="preserve"> Il a été rappelé que cette </w:t>
      </w:r>
      <w:r>
        <w:rPr>
          <w:lang w:val="fr-FR"/>
        </w:rPr>
        <w:lastRenderedPageBreak/>
        <w:t>disposition ne dispensait pas l</w:t>
      </w:r>
      <w:r w:rsidR="00F70B88">
        <w:rPr>
          <w:lang w:val="fr-FR"/>
        </w:rPr>
        <w:t>’</w:t>
      </w:r>
      <w:r>
        <w:rPr>
          <w:lang w:val="fr-FR"/>
        </w:rPr>
        <w:t>expéditeur de s</w:t>
      </w:r>
      <w:r w:rsidR="00F70B88">
        <w:rPr>
          <w:lang w:val="fr-FR"/>
        </w:rPr>
        <w:t>’</w:t>
      </w:r>
      <w:r>
        <w:rPr>
          <w:lang w:val="fr-FR"/>
        </w:rPr>
        <w:t>acquitter de ses obligations de fournir les données requises pour le document de transport</w:t>
      </w:r>
      <w:r w:rsidR="00FC1209" w:rsidRPr="00FC1209">
        <w:rPr>
          <w:lang w:val="fr-FR"/>
        </w:rPr>
        <w:t>.</w:t>
      </w:r>
    </w:p>
    <w:p w14:paraId="65802D25" w14:textId="108314AC" w:rsidR="00520996" w:rsidRPr="00665B97" w:rsidRDefault="00520996" w:rsidP="00F80E49">
      <w:pPr>
        <w:pStyle w:val="H23G"/>
        <w:rPr>
          <w:lang w:val="fr-FR"/>
        </w:rPr>
      </w:pPr>
      <w:r>
        <w:rPr>
          <w:lang w:val="fr-FR"/>
        </w:rPr>
        <w:tab/>
        <w:t>2</w:t>
      </w:r>
      <w:r w:rsidR="00DB542B">
        <w:rPr>
          <w:lang w:val="fr-FR"/>
        </w:rPr>
        <w:t>.</w:t>
      </w:r>
      <w:r>
        <w:rPr>
          <w:lang w:val="fr-FR"/>
        </w:rPr>
        <w:tab/>
        <w:t xml:space="preserve">Nom et description des numéros ONU dans le Règlement type et dans le RID </w:t>
      </w:r>
      <w:r>
        <w:rPr>
          <w:lang w:val="fr-FR"/>
        </w:rPr>
        <w:br/>
        <w:t>et l</w:t>
      </w:r>
      <w:r w:rsidR="00F70B88">
        <w:rPr>
          <w:lang w:val="fr-FR"/>
        </w:rPr>
        <w:t>’</w:t>
      </w:r>
      <w:r>
        <w:rPr>
          <w:lang w:val="fr-FR"/>
        </w:rPr>
        <w:t>ADR : No ONU 2426, nitrate d</w:t>
      </w:r>
      <w:r w:rsidR="00F70B88">
        <w:rPr>
          <w:lang w:val="fr-FR"/>
        </w:rPr>
        <w:t>’</w:t>
      </w:r>
      <w:r>
        <w:rPr>
          <w:lang w:val="fr-FR"/>
        </w:rPr>
        <w:t>ammonium liquide</w:t>
      </w:r>
    </w:p>
    <w:p w14:paraId="0150CDB8" w14:textId="5F8F3529" w:rsidR="00520996" w:rsidRPr="00665B97" w:rsidRDefault="00520996" w:rsidP="00520996">
      <w:pPr>
        <w:pStyle w:val="SingleTxtG"/>
        <w:ind w:left="3119" w:hanging="1985"/>
        <w:jc w:val="left"/>
        <w:rPr>
          <w:lang w:val="fr-FR"/>
        </w:rPr>
      </w:pPr>
      <w:r>
        <w:rPr>
          <w:i/>
          <w:iCs/>
          <w:lang w:val="fr-FR"/>
        </w:rPr>
        <w:t>Document </w:t>
      </w:r>
      <w:r>
        <w:rPr>
          <w:lang w:val="fr-FR"/>
        </w:rPr>
        <w:t>:</w:t>
      </w:r>
      <w:r>
        <w:rPr>
          <w:lang w:val="fr-FR"/>
        </w:rPr>
        <w:tab/>
        <w:t>ECE/TRANS/WP</w:t>
      </w:r>
      <w:r w:rsidR="00FC1209" w:rsidRPr="00FC1209">
        <w:rPr>
          <w:lang w:val="fr-FR"/>
        </w:rPr>
        <w:t>.</w:t>
      </w:r>
      <w:r>
        <w:rPr>
          <w:lang w:val="fr-FR"/>
        </w:rPr>
        <w:t>15/AC</w:t>
      </w:r>
      <w:r w:rsidR="00FC1209" w:rsidRPr="00FC1209">
        <w:rPr>
          <w:lang w:val="fr-FR"/>
        </w:rPr>
        <w:t>.</w:t>
      </w:r>
      <w:r>
        <w:rPr>
          <w:lang w:val="fr-FR"/>
        </w:rPr>
        <w:t>1/2021/13 (Espagne)</w:t>
      </w:r>
      <w:r w:rsidR="00FC1209" w:rsidRPr="00FC1209">
        <w:rPr>
          <w:lang w:val="fr-FR"/>
        </w:rPr>
        <w:t>.</w:t>
      </w:r>
    </w:p>
    <w:p w14:paraId="13F0C731" w14:textId="6534C46D" w:rsidR="00520996" w:rsidRPr="00665B97" w:rsidRDefault="00520996" w:rsidP="00520996">
      <w:pPr>
        <w:pStyle w:val="SingleTxtG"/>
        <w:ind w:left="3119" w:hanging="1985"/>
        <w:jc w:val="left"/>
        <w:rPr>
          <w:lang w:val="fr-FR"/>
        </w:rPr>
      </w:pPr>
      <w:r>
        <w:rPr>
          <w:i/>
          <w:iCs/>
          <w:lang w:val="fr-FR"/>
        </w:rPr>
        <w:t>Document informel </w:t>
      </w:r>
      <w:r w:rsidRPr="00DB542B">
        <w:rPr>
          <w:lang w:val="fr-FR"/>
        </w:rPr>
        <w:t>:</w:t>
      </w:r>
      <w:r>
        <w:rPr>
          <w:lang w:val="fr-FR"/>
        </w:rPr>
        <w:tab/>
        <w:t>INF</w:t>
      </w:r>
      <w:r w:rsidR="00FC1209" w:rsidRPr="00FC1209">
        <w:rPr>
          <w:lang w:val="fr-FR"/>
        </w:rPr>
        <w:t>.</w:t>
      </w:r>
      <w:r>
        <w:rPr>
          <w:lang w:val="fr-FR"/>
        </w:rPr>
        <w:t>22 (Suède)</w:t>
      </w:r>
      <w:r w:rsidR="00FC1209" w:rsidRPr="00FC1209">
        <w:rPr>
          <w:lang w:val="fr-FR"/>
        </w:rPr>
        <w:t>.</w:t>
      </w:r>
    </w:p>
    <w:p w14:paraId="171650E3" w14:textId="1A33697B" w:rsidR="00520996" w:rsidRDefault="00520996" w:rsidP="00520996">
      <w:pPr>
        <w:pStyle w:val="SingleTxtG"/>
        <w:rPr>
          <w:lang w:val="fr-FR"/>
        </w:rPr>
      </w:pPr>
      <w:r>
        <w:rPr>
          <w:lang w:val="fr-FR"/>
        </w:rPr>
        <w:t>23</w:t>
      </w:r>
      <w:r w:rsidR="00FC1209" w:rsidRPr="00FC1209">
        <w:rPr>
          <w:lang w:val="fr-FR"/>
        </w:rPr>
        <w:t>.</w:t>
      </w:r>
      <w:r>
        <w:rPr>
          <w:lang w:val="fr-FR"/>
        </w:rPr>
        <w:tab/>
        <w:t>Le représentant de l</w:t>
      </w:r>
      <w:r w:rsidR="00F70B88">
        <w:rPr>
          <w:lang w:val="fr-FR"/>
        </w:rPr>
        <w:t>’</w:t>
      </w:r>
      <w:r>
        <w:rPr>
          <w:lang w:val="fr-FR"/>
        </w:rPr>
        <w:t>Espagne a proposé que soient modifiés le nom et la description du No ONU 2426 afin de les mettre en concordance avec ceux qui figurent dans le Règlement type et dans le Code IMDG</w:t>
      </w:r>
      <w:r w:rsidR="00FC1209" w:rsidRPr="00FC1209">
        <w:rPr>
          <w:lang w:val="fr-FR"/>
        </w:rPr>
        <w:t>.</w:t>
      </w:r>
      <w:r>
        <w:rPr>
          <w:lang w:val="fr-FR"/>
        </w:rPr>
        <w:t xml:space="preserve"> En réponse aux préoccupations exprimées par la Suède dans le document informel INF</w:t>
      </w:r>
      <w:r w:rsidR="00FC1209" w:rsidRPr="00FC1209">
        <w:rPr>
          <w:lang w:val="fr-FR"/>
        </w:rPr>
        <w:t>.</w:t>
      </w:r>
      <w:r>
        <w:rPr>
          <w:lang w:val="fr-FR"/>
        </w:rPr>
        <w:t>22, la Réunion commune a adopté les amendements proposés aux paragraphes</w:t>
      </w:r>
      <w:r w:rsidR="00DB542B">
        <w:rPr>
          <w:lang w:val="fr-FR"/>
        </w:rPr>
        <w:t> </w:t>
      </w:r>
      <w:r>
        <w:rPr>
          <w:lang w:val="fr-FR"/>
        </w:rPr>
        <w:t>21 et 22 du document ECE/TRANS/WP</w:t>
      </w:r>
      <w:r w:rsidR="00FC1209" w:rsidRPr="00FC1209">
        <w:rPr>
          <w:lang w:val="fr-FR"/>
        </w:rPr>
        <w:t>.</w:t>
      </w:r>
      <w:r>
        <w:rPr>
          <w:lang w:val="fr-FR"/>
        </w:rPr>
        <w:t>15/AC</w:t>
      </w:r>
      <w:r w:rsidR="00FC1209" w:rsidRPr="00FC1209">
        <w:rPr>
          <w:lang w:val="fr-FR"/>
        </w:rPr>
        <w:t>.</w:t>
      </w:r>
      <w:r>
        <w:rPr>
          <w:lang w:val="fr-FR"/>
        </w:rPr>
        <w:t>1/2021/13 avec des modifications supplémentaires (voir l</w:t>
      </w:r>
      <w:r w:rsidR="00F70B88">
        <w:rPr>
          <w:lang w:val="fr-FR"/>
        </w:rPr>
        <w:t>’</w:t>
      </w:r>
      <w:r>
        <w:rPr>
          <w:lang w:val="fr-FR"/>
        </w:rPr>
        <w:t>annexe II)</w:t>
      </w:r>
      <w:r w:rsidR="00FC1209" w:rsidRPr="00FC1209">
        <w:rPr>
          <w:lang w:val="fr-FR"/>
        </w:rPr>
        <w:t>.</w:t>
      </w:r>
      <w:r>
        <w:rPr>
          <w:lang w:val="fr-FR"/>
        </w:rPr>
        <w:t xml:space="preserve"> </w:t>
      </w:r>
      <w:r w:rsidRPr="00854DE5">
        <w:rPr>
          <w:lang w:val="fr-FR"/>
        </w:rPr>
        <w:t>La Réunion commune a invité le représentant de l</w:t>
      </w:r>
      <w:r w:rsidR="00F70B88">
        <w:rPr>
          <w:lang w:val="fr-FR"/>
        </w:rPr>
        <w:t>’</w:t>
      </w:r>
      <w:r w:rsidRPr="00854DE5">
        <w:rPr>
          <w:lang w:val="fr-FR"/>
        </w:rPr>
        <w:t>Espagne à consulter le Sous-</w:t>
      </w:r>
      <w:r w:rsidR="008446F5">
        <w:rPr>
          <w:lang w:val="fr-FR"/>
        </w:rPr>
        <w:t>C</w:t>
      </w:r>
      <w:r w:rsidRPr="00854DE5">
        <w:rPr>
          <w:lang w:val="fr-FR"/>
        </w:rPr>
        <w:t xml:space="preserve">omité </w:t>
      </w:r>
      <w:r>
        <w:rPr>
          <w:lang w:val="fr-FR"/>
        </w:rPr>
        <w:t>d</w:t>
      </w:r>
      <w:r w:rsidR="00F70B88">
        <w:rPr>
          <w:lang w:val="fr-FR"/>
        </w:rPr>
        <w:t>’</w:t>
      </w:r>
      <w:r>
        <w:rPr>
          <w:lang w:val="fr-FR"/>
        </w:rPr>
        <w:t xml:space="preserve">experts </w:t>
      </w:r>
      <w:r w:rsidRPr="00854DE5">
        <w:rPr>
          <w:lang w:val="fr-FR"/>
        </w:rPr>
        <w:t xml:space="preserve">du transport des marchandises dangereuses sur les aspects liés à la température maximale et à la teneur en eau du </w:t>
      </w:r>
      <w:r w:rsidR="008446F5">
        <w:rPr>
          <w:lang w:val="fr-FR"/>
        </w:rPr>
        <w:t>No</w:t>
      </w:r>
      <w:r w:rsidRPr="00854DE5">
        <w:rPr>
          <w:lang w:val="fr-FR"/>
        </w:rPr>
        <w:t xml:space="preserve"> ONU 2426 afin de vérifier s</w:t>
      </w:r>
      <w:r w:rsidR="00F70B88">
        <w:rPr>
          <w:lang w:val="fr-FR"/>
        </w:rPr>
        <w:t>’</w:t>
      </w:r>
      <w:r w:rsidRPr="00854DE5">
        <w:rPr>
          <w:lang w:val="fr-FR"/>
        </w:rPr>
        <w:t>il est nécessaire d</w:t>
      </w:r>
      <w:r w:rsidR="00F70B88">
        <w:rPr>
          <w:lang w:val="fr-FR"/>
        </w:rPr>
        <w:t>’</w:t>
      </w:r>
      <w:r w:rsidRPr="00854DE5">
        <w:rPr>
          <w:lang w:val="fr-FR"/>
        </w:rPr>
        <w:t>inclure de prévoir des exigences communes dans le Règlement type de l</w:t>
      </w:r>
      <w:r w:rsidR="00F70B88">
        <w:rPr>
          <w:lang w:val="fr-FR"/>
        </w:rPr>
        <w:t>’</w:t>
      </w:r>
      <w:r w:rsidRPr="00854DE5">
        <w:rPr>
          <w:lang w:val="fr-FR"/>
        </w:rPr>
        <w:t>ONU</w:t>
      </w:r>
      <w:r w:rsidR="00FC1209" w:rsidRPr="00FC1209">
        <w:rPr>
          <w:lang w:val="fr-FR"/>
        </w:rPr>
        <w:t>.</w:t>
      </w:r>
    </w:p>
    <w:p w14:paraId="4E29C847" w14:textId="2854229C" w:rsidR="00520996" w:rsidRPr="008A59D3" w:rsidRDefault="00520996" w:rsidP="00520996">
      <w:pPr>
        <w:pStyle w:val="H23G"/>
      </w:pPr>
      <w:r>
        <w:rPr>
          <w:lang w:val="fr-FR"/>
        </w:rPr>
        <w:tab/>
        <w:t>3</w:t>
      </w:r>
      <w:r w:rsidR="00DB542B">
        <w:rPr>
          <w:lang w:val="fr-FR"/>
        </w:rPr>
        <w:t>.</w:t>
      </w:r>
      <w:r>
        <w:rPr>
          <w:lang w:val="fr-FR"/>
        </w:rPr>
        <w:tab/>
        <w:t>Harmonisation de la disposition spéciale 593 avec le 5</w:t>
      </w:r>
      <w:r w:rsidR="00FC1209" w:rsidRPr="00FC1209">
        <w:rPr>
          <w:lang w:val="fr-FR"/>
        </w:rPr>
        <w:t>.</w:t>
      </w:r>
      <w:r>
        <w:rPr>
          <w:lang w:val="fr-FR"/>
        </w:rPr>
        <w:t>5</w:t>
      </w:r>
      <w:r w:rsidR="00FC1209" w:rsidRPr="00FC1209">
        <w:rPr>
          <w:lang w:val="fr-FR"/>
        </w:rPr>
        <w:t>.</w:t>
      </w:r>
      <w:r>
        <w:rPr>
          <w:lang w:val="fr-FR"/>
        </w:rPr>
        <w:t>3</w:t>
      </w:r>
    </w:p>
    <w:p w14:paraId="33F529A4" w14:textId="7EE4D438" w:rsidR="00520996" w:rsidRPr="00A679B7" w:rsidRDefault="00520996" w:rsidP="00520996">
      <w:pPr>
        <w:pStyle w:val="SingleTxtG"/>
        <w:ind w:left="2835" w:hanging="1701"/>
        <w:jc w:val="left"/>
      </w:pPr>
      <w:r>
        <w:rPr>
          <w:i/>
          <w:iCs/>
          <w:lang w:val="fr-FR"/>
        </w:rPr>
        <w:t>Document </w:t>
      </w:r>
      <w:r w:rsidRPr="008A59D3">
        <w:rPr>
          <w:lang w:val="fr-FR"/>
        </w:rPr>
        <w:t>:</w:t>
      </w:r>
      <w:r>
        <w:rPr>
          <w:lang w:val="fr-FR"/>
        </w:rPr>
        <w:tab/>
        <w:t>ECE/TRANS/WP</w:t>
      </w:r>
      <w:r w:rsidR="00FC1209" w:rsidRPr="00FC1209">
        <w:rPr>
          <w:lang w:val="fr-FR"/>
        </w:rPr>
        <w:t>.</w:t>
      </w:r>
      <w:r>
        <w:rPr>
          <w:lang w:val="fr-FR"/>
        </w:rPr>
        <w:t>15/AC</w:t>
      </w:r>
      <w:r w:rsidR="00FC1209" w:rsidRPr="00FC1209">
        <w:rPr>
          <w:lang w:val="fr-FR"/>
        </w:rPr>
        <w:t>.</w:t>
      </w:r>
      <w:r>
        <w:rPr>
          <w:lang w:val="fr-FR"/>
        </w:rPr>
        <w:t>1/2021/15 (Espagne)</w:t>
      </w:r>
      <w:r w:rsidR="00FC1209" w:rsidRPr="00FC1209">
        <w:rPr>
          <w:lang w:val="fr-FR"/>
        </w:rPr>
        <w:t>.</w:t>
      </w:r>
    </w:p>
    <w:p w14:paraId="5F4B52A4" w14:textId="013F560A" w:rsidR="00520996" w:rsidRPr="00A679B7" w:rsidRDefault="00520996" w:rsidP="00520996">
      <w:pPr>
        <w:pStyle w:val="SingleTxtG"/>
      </w:pPr>
      <w:r>
        <w:rPr>
          <w:lang w:val="fr-FR"/>
        </w:rPr>
        <w:t>24</w:t>
      </w:r>
      <w:r w:rsidR="00FC1209" w:rsidRPr="00FC1209">
        <w:rPr>
          <w:lang w:val="fr-FR"/>
        </w:rPr>
        <w:t>.</w:t>
      </w:r>
      <w:r>
        <w:rPr>
          <w:lang w:val="fr-FR"/>
        </w:rPr>
        <w:tab/>
        <w:t>À titre de solution de compromis, la Réunion commune a adopté les amendements proposés en tant que solution A dans le document ECE/TRANS/WP</w:t>
      </w:r>
      <w:r w:rsidR="00FC1209" w:rsidRPr="00FC1209">
        <w:rPr>
          <w:lang w:val="fr-FR"/>
        </w:rPr>
        <w:t>.</w:t>
      </w:r>
      <w:r>
        <w:rPr>
          <w:lang w:val="fr-FR"/>
        </w:rPr>
        <w:t>15/AC</w:t>
      </w:r>
      <w:r w:rsidR="00FC1209" w:rsidRPr="00FC1209">
        <w:rPr>
          <w:lang w:val="fr-FR"/>
        </w:rPr>
        <w:t>.</w:t>
      </w:r>
      <w:r>
        <w:rPr>
          <w:lang w:val="fr-FR"/>
        </w:rPr>
        <w:t>1/2021/15 (voir annexe II)</w:t>
      </w:r>
      <w:r w:rsidR="00FC1209" w:rsidRPr="00FC1209">
        <w:rPr>
          <w:lang w:val="fr-FR"/>
        </w:rPr>
        <w:t>.</w:t>
      </w:r>
      <w:r>
        <w:rPr>
          <w:lang w:val="fr-FR"/>
        </w:rPr>
        <w:t xml:space="preserve"> Le représentant de l</w:t>
      </w:r>
      <w:r w:rsidR="00F70B88">
        <w:rPr>
          <w:lang w:val="fr-FR"/>
        </w:rPr>
        <w:t>’</w:t>
      </w:r>
      <w:r>
        <w:rPr>
          <w:lang w:val="fr-FR"/>
        </w:rPr>
        <w:t>Espagne s</w:t>
      </w:r>
      <w:r w:rsidR="00F70B88">
        <w:rPr>
          <w:lang w:val="fr-FR"/>
        </w:rPr>
        <w:t>’</w:t>
      </w:r>
      <w:r>
        <w:rPr>
          <w:lang w:val="fr-FR"/>
        </w:rPr>
        <w:t>est proposé de donner suite aux autres questions soulevées sur la base d</w:t>
      </w:r>
      <w:r w:rsidR="00F70B88">
        <w:rPr>
          <w:lang w:val="fr-FR"/>
        </w:rPr>
        <w:t>’</w:t>
      </w:r>
      <w:r>
        <w:rPr>
          <w:lang w:val="fr-FR"/>
        </w:rPr>
        <w:t>un document qui serait examiné lors d</w:t>
      </w:r>
      <w:r w:rsidR="00F70B88">
        <w:rPr>
          <w:lang w:val="fr-FR"/>
        </w:rPr>
        <w:t>’</w:t>
      </w:r>
      <w:r>
        <w:rPr>
          <w:lang w:val="fr-FR"/>
        </w:rPr>
        <w:t>une session ultérieure du Sous</w:t>
      </w:r>
      <w:r>
        <w:rPr>
          <w:lang w:val="fr-FR"/>
        </w:rPr>
        <w:noBreakHyphen/>
        <w:t>Comité d</w:t>
      </w:r>
      <w:r w:rsidR="00F70B88">
        <w:rPr>
          <w:lang w:val="fr-FR"/>
        </w:rPr>
        <w:t>’</w:t>
      </w:r>
      <w:r>
        <w:rPr>
          <w:lang w:val="fr-FR"/>
        </w:rPr>
        <w:t>experts du transport des marchandises dangereuses</w:t>
      </w:r>
      <w:r w:rsidR="00FC1209" w:rsidRPr="00FC1209">
        <w:rPr>
          <w:lang w:val="fr-FR"/>
        </w:rPr>
        <w:t>.</w:t>
      </w:r>
    </w:p>
    <w:p w14:paraId="67AE4427" w14:textId="653BE4E5" w:rsidR="00520996" w:rsidRPr="008A59D3" w:rsidRDefault="00520996" w:rsidP="00520996">
      <w:pPr>
        <w:pStyle w:val="H23G"/>
      </w:pPr>
      <w:r>
        <w:rPr>
          <w:lang w:val="fr-FR"/>
        </w:rPr>
        <w:tab/>
        <w:t>4</w:t>
      </w:r>
      <w:r w:rsidR="00DB542B">
        <w:rPr>
          <w:lang w:val="fr-FR"/>
        </w:rPr>
        <w:t>.</w:t>
      </w:r>
      <w:r>
        <w:rPr>
          <w:lang w:val="fr-FR"/>
        </w:rPr>
        <w:tab/>
        <w:t>Disposition spéciale 363</w:t>
      </w:r>
    </w:p>
    <w:p w14:paraId="23797F8F" w14:textId="7FEC3ADE" w:rsidR="00520996" w:rsidRPr="00A679B7" w:rsidRDefault="00520996" w:rsidP="00DB542B">
      <w:pPr>
        <w:pStyle w:val="SingleTxtG"/>
        <w:ind w:left="3119" w:hanging="1985"/>
        <w:jc w:val="left"/>
      </w:pPr>
      <w:r>
        <w:rPr>
          <w:i/>
          <w:iCs/>
          <w:lang w:val="fr-FR"/>
        </w:rPr>
        <w:t xml:space="preserve">Document informel </w:t>
      </w:r>
      <w:r w:rsidRPr="008A59D3">
        <w:rPr>
          <w:lang w:val="fr-FR"/>
        </w:rPr>
        <w:t>:</w:t>
      </w:r>
      <w:r>
        <w:rPr>
          <w:lang w:val="fr-FR"/>
        </w:rPr>
        <w:tab/>
        <w:t>INF</w:t>
      </w:r>
      <w:r w:rsidR="00FC1209" w:rsidRPr="00FC1209">
        <w:rPr>
          <w:lang w:val="fr-FR"/>
        </w:rPr>
        <w:t>.</w:t>
      </w:r>
      <w:r>
        <w:rPr>
          <w:lang w:val="fr-FR"/>
        </w:rPr>
        <w:t>34 (Suisse)</w:t>
      </w:r>
      <w:r w:rsidR="00FC1209" w:rsidRPr="00FC1209">
        <w:rPr>
          <w:lang w:val="fr-FR"/>
        </w:rPr>
        <w:t>.</w:t>
      </w:r>
    </w:p>
    <w:p w14:paraId="071F604D" w14:textId="25C9CE74" w:rsidR="00520996" w:rsidRPr="00A679B7" w:rsidRDefault="00520996" w:rsidP="00520996">
      <w:pPr>
        <w:pStyle w:val="SingleTxtG"/>
      </w:pPr>
      <w:r>
        <w:rPr>
          <w:lang w:val="fr-FR"/>
        </w:rPr>
        <w:t>25</w:t>
      </w:r>
      <w:r w:rsidR="00FC1209" w:rsidRPr="00FC1209">
        <w:rPr>
          <w:lang w:val="fr-FR"/>
        </w:rPr>
        <w:t>.</w:t>
      </w:r>
      <w:r>
        <w:rPr>
          <w:lang w:val="fr-FR"/>
        </w:rPr>
        <w:tab/>
        <w:t>La Réunion commune a adopté à la majorité la nouvelle note au paragraphe j) de la disposition spéciale 363 du chapitre 3</w:t>
      </w:r>
      <w:r w:rsidR="00FC1209" w:rsidRPr="00FC1209">
        <w:rPr>
          <w:lang w:val="fr-FR"/>
        </w:rPr>
        <w:t>.</w:t>
      </w:r>
      <w:r>
        <w:rPr>
          <w:lang w:val="fr-FR"/>
        </w:rPr>
        <w:t>3 telle que proposée dans le document informel INF</w:t>
      </w:r>
      <w:r w:rsidR="00FC1209" w:rsidRPr="00FC1209">
        <w:rPr>
          <w:lang w:val="fr-FR"/>
        </w:rPr>
        <w:t>.</w:t>
      </w:r>
      <w:r>
        <w:rPr>
          <w:lang w:val="fr-FR"/>
        </w:rPr>
        <w:t>34 (voir annexe II)</w:t>
      </w:r>
      <w:r w:rsidR="00FC1209" w:rsidRPr="00FC1209">
        <w:rPr>
          <w:lang w:val="fr-FR"/>
        </w:rPr>
        <w:t>.</w:t>
      </w:r>
      <w:r>
        <w:rPr>
          <w:lang w:val="fr-FR"/>
        </w:rPr>
        <w:t xml:space="preserve"> Il a été rappelé qu</w:t>
      </w:r>
      <w:r w:rsidR="00F70B88">
        <w:rPr>
          <w:lang w:val="fr-FR"/>
        </w:rPr>
        <w:t>’</w:t>
      </w:r>
      <w:r>
        <w:rPr>
          <w:lang w:val="fr-FR"/>
        </w:rPr>
        <w:t>il fallait éviter que le texte puisse être interprété comme signifiant que l</w:t>
      </w:r>
      <w:r w:rsidR="00F70B88">
        <w:rPr>
          <w:lang w:val="fr-FR"/>
        </w:rPr>
        <w:t>’</w:t>
      </w:r>
      <w:r>
        <w:rPr>
          <w:lang w:val="fr-FR"/>
        </w:rPr>
        <w:t>étiquetage, le placardage ou le marquage non obligatoire n</w:t>
      </w:r>
      <w:r w:rsidR="00F70B88">
        <w:rPr>
          <w:lang w:val="fr-FR"/>
        </w:rPr>
        <w:t>’</w:t>
      </w:r>
      <w:r>
        <w:rPr>
          <w:lang w:val="fr-FR"/>
        </w:rPr>
        <w:t>étaient autorisés que dans les cas où cela était explicitement mentionné</w:t>
      </w:r>
      <w:r w:rsidR="00FC1209" w:rsidRPr="00FC1209">
        <w:rPr>
          <w:lang w:val="fr-FR"/>
        </w:rPr>
        <w:t>.</w:t>
      </w:r>
    </w:p>
    <w:p w14:paraId="59BE2B29" w14:textId="28146481" w:rsidR="00520996" w:rsidRPr="00697F6F" w:rsidRDefault="00520996" w:rsidP="00520996">
      <w:pPr>
        <w:keepNext/>
        <w:keepLines/>
        <w:tabs>
          <w:tab w:val="right" w:pos="851"/>
        </w:tabs>
        <w:spacing w:before="240" w:after="120" w:line="240" w:lineRule="exact"/>
        <w:ind w:left="1134" w:right="1134" w:hanging="1134"/>
        <w:outlineLvl w:val="3"/>
        <w:rPr>
          <w:b/>
          <w:lang w:val="fr-FR"/>
        </w:rPr>
      </w:pPr>
      <w:r w:rsidRPr="00697F6F">
        <w:rPr>
          <w:b/>
          <w:lang w:val="fr-FR"/>
        </w:rPr>
        <w:tab/>
      </w:r>
      <w:r>
        <w:rPr>
          <w:b/>
          <w:lang w:val="fr-FR"/>
        </w:rPr>
        <w:t>5</w:t>
      </w:r>
      <w:r w:rsidR="00DB542B">
        <w:rPr>
          <w:b/>
          <w:lang w:val="fr-FR"/>
        </w:rPr>
        <w:t>.</w:t>
      </w:r>
      <w:r w:rsidRPr="00697F6F">
        <w:rPr>
          <w:b/>
          <w:lang w:val="fr-FR"/>
        </w:rPr>
        <w:tab/>
        <w:t xml:space="preserve">Nom et description des numéros ONU dans le Règlement type et dans le RID </w:t>
      </w:r>
      <w:r w:rsidR="008446F5">
        <w:rPr>
          <w:b/>
          <w:lang w:val="fr-FR"/>
        </w:rPr>
        <w:br/>
      </w:r>
      <w:r w:rsidRPr="00697F6F">
        <w:rPr>
          <w:b/>
          <w:lang w:val="fr-FR"/>
        </w:rPr>
        <w:t>et l</w:t>
      </w:r>
      <w:r w:rsidR="00F70B88">
        <w:rPr>
          <w:b/>
          <w:lang w:val="fr-FR"/>
        </w:rPr>
        <w:t>’</w:t>
      </w:r>
      <w:r w:rsidRPr="00697F6F">
        <w:rPr>
          <w:b/>
          <w:lang w:val="fr-FR"/>
        </w:rPr>
        <w:t xml:space="preserve">ADR : </w:t>
      </w:r>
      <w:r w:rsidR="00DB542B" w:rsidRPr="00F76255">
        <w:rPr>
          <w:rFonts w:eastAsia="MS Mincho"/>
          <w:b/>
          <w:lang w:val="fr-FR"/>
        </w:rPr>
        <w:t>N</w:t>
      </w:r>
      <w:r w:rsidR="008446F5" w:rsidRPr="00F76255">
        <w:rPr>
          <w:rFonts w:eastAsia="MS Mincho"/>
          <w:b/>
          <w:lang w:val="fr-FR"/>
        </w:rPr>
        <w:t>o</w:t>
      </w:r>
      <w:r w:rsidRPr="00697F6F">
        <w:rPr>
          <w:b/>
          <w:lang w:val="fr-FR"/>
        </w:rPr>
        <w:t> ONU 1012, butylène</w:t>
      </w:r>
    </w:p>
    <w:p w14:paraId="6F8A9EC8" w14:textId="64F165F2" w:rsidR="00520996" w:rsidRPr="00697F6F" w:rsidRDefault="00520996" w:rsidP="00520996">
      <w:pPr>
        <w:tabs>
          <w:tab w:val="left" w:pos="3119"/>
        </w:tabs>
        <w:spacing w:after="120"/>
        <w:ind w:left="1134" w:right="1134"/>
        <w:jc w:val="both"/>
        <w:rPr>
          <w:lang w:val="fr-FR"/>
        </w:rPr>
      </w:pPr>
      <w:r w:rsidRPr="00697F6F">
        <w:rPr>
          <w:i/>
          <w:iCs/>
          <w:lang w:val="fr-FR"/>
        </w:rPr>
        <w:t>Document</w:t>
      </w:r>
      <w:r w:rsidRPr="00697F6F">
        <w:rPr>
          <w:lang w:val="fr-FR"/>
        </w:rPr>
        <w:t> :</w:t>
      </w:r>
      <w:r w:rsidRPr="00697F6F">
        <w:rPr>
          <w:lang w:val="fr-FR"/>
        </w:rPr>
        <w:tab/>
        <w:t>ECE/TRANS/WP</w:t>
      </w:r>
      <w:r w:rsidR="00FC1209" w:rsidRPr="00FC1209">
        <w:rPr>
          <w:lang w:val="fr-FR"/>
        </w:rPr>
        <w:t>.</w:t>
      </w:r>
      <w:r w:rsidRPr="00697F6F">
        <w:rPr>
          <w:lang w:val="fr-FR"/>
        </w:rPr>
        <w:t>15/AC</w:t>
      </w:r>
      <w:r w:rsidR="00FC1209" w:rsidRPr="00FC1209">
        <w:rPr>
          <w:lang w:val="fr-FR"/>
        </w:rPr>
        <w:t>.</w:t>
      </w:r>
      <w:r w:rsidRPr="00697F6F">
        <w:rPr>
          <w:lang w:val="fr-FR"/>
        </w:rPr>
        <w:t>1/2021/14 (Espagne)</w:t>
      </w:r>
      <w:r w:rsidR="00FC1209" w:rsidRPr="00FC1209">
        <w:rPr>
          <w:lang w:val="fr-FR"/>
        </w:rPr>
        <w:t>.</w:t>
      </w:r>
    </w:p>
    <w:p w14:paraId="33FA4529" w14:textId="5CD1E283" w:rsidR="00520996" w:rsidRPr="00697F6F" w:rsidRDefault="00520996" w:rsidP="00520996">
      <w:pPr>
        <w:tabs>
          <w:tab w:val="left" w:pos="3119"/>
        </w:tabs>
        <w:spacing w:after="120"/>
        <w:ind w:left="1134" w:right="1134"/>
        <w:rPr>
          <w:lang w:val="fr-FR"/>
        </w:rPr>
      </w:pPr>
      <w:r w:rsidRPr="00697F6F">
        <w:rPr>
          <w:i/>
          <w:iCs/>
          <w:lang w:val="fr-FR"/>
        </w:rPr>
        <w:t>Document informel </w:t>
      </w:r>
      <w:r w:rsidRPr="00697F6F">
        <w:rPr>
          <w:lang w:val="fr-FR"/>
        </w:rPr>
        <w:t>:</w:t>
      </w:r>
      <w:r w:rsidRPr="00697F6F">
        <w:rPr>
          <w:lang w:val="fr-FR"/>
        </w:rPr>
        <w:tab/>
        <w:t>INF</w:t>
      </w:r>
      <w:r w:rsidR="00FC1209" w:rsidRPr="00FC1209">
        <w:rPr>
          <w:lang w:val="fr-FR"/>
        </w:rPr>
        <w:t>.</w:t>
      </w:r>
      <w:r w:rsidRPr="00697F6F">
        <w:rPr>
          <w:lang w:val="fr-FR"/>
        </w:rPr>
        <w:t>38 (Espagne)</w:t>
      </w:r>
      <w:r w:rsidR="00FC1209" w:rsidRPr="00FC1209">
        <w:rPr>
          <w:lang w:val="fr-FR"/>
        </w:rPr>
        <w:t>.</w:t>
      </w:r>
    </w:p>
    <w:p w14:paraId="233BFBF4" w14:textId="398548B6" w:rsidR="00520996" w:rsidRPr="00697F6F" w:rsidRDefault="00520996" w:rsidP="00520996">
      <w:pPr>
        <w:spacing w:after="120"/>
        <w:ind w:left="1134" w:right="1134"/>
        <w:jc w:val="both"/>
        <w:rPr>
          <w:lang w:val="fr-FR"/>
        </w:rPr>
      </w:pPr>
      <w:r>
        <w:rPr>
          <w:lang w:val="fr-FR"/>
        </w:rPr>
        <w:t>26</w:t>
      </w:r>
      <w:r w:rsidR="00FC1209" w:rsidRPr="00FC1209">
        <w:rPr>
          <w:lang w:val="fr-FR"/>
        </w:rPr>
        <w:t>.</w:t>
      </w:r>
      <w:r w:rsidRPr="00697F6F">
        <w:rPr>
          <w:lang w:val="fr-FR"/>
        </w:rPr>
        <w:tab/>
        <w:t>La Réunion commune a accueilli favorablement les propositions contenues dans le document ECE/TRANS/WP</w:t>
      </w:r>
      <w:r w:rsidR="00FC1209" w:rsidRPr="00FC1209">
        <w:rPr>
          <w:lang w:val="fr-FR"/>
        </w:rPr>
        <w:t>.</w:t>
      </w:r>
      <w:r w:rsidRPr="00697F6F">
        <w:rPr>
          <w:lang w:val="fr-FR"/>
        </w:rPr>
        <w:t>15/AC</w:t>
      </w:r>
      <w:r w:rsidR="00FC1209" w:rsidRPr="00FC1209">
        <w:rPr>
          <w:lang w:val="fr-FR"/>
        </w:rPr>
        <w:t>.</w:t>
      </w:r>
      <w:r w:rsidRPr="00697F6F">
        <w:rPr>
          <w:lang w:val="fr-FR"/>
        </w:rPr>
        <w:t>1/2021/14 tel que modifié par le document informel INF</w:t>
      </w:r>
      <w:r w:rsidR="00FC1209" w:rsidRPr="00FC1209">
        <w:rPr>
          <w:lang w:val="fr-FR"/>
        </w:rPr>
        <w:t>.</w:t>
      </w:r>
      <w:r w:rsidRPr="00697F6F">
        <w:rPr>
          <w:lang w:val="fr-FR"/>
        </w:rPr>
        <w:t>38</w:t>
      </w:r>
      <w:r w:rsidR="00FC1209" w:rsidRPr="00FC1209">
        <w:rPr>
          <w:lang w:val="fr-FR"/>
        </w:rPr>
        <w:t>.</w:t>
      </w:r>
      <w:r w:rsidRPr="00697F6F">
        <w:rPr>
          <w:lang w:val="fr-FR"/>
        </w:rPr>
        <w:t xml:space="preserve"> Il a été convenu de reprendre l</w:t>
      </w:r>
      <w:r w:rsidR="00F70B88">
        <w:rPr>
          <w:lang w:val="fr-FR"/>
        </w:rPr>
        <w:t>’</w:t>
      </w:r>
      <w:r w:rsidRPr="00697F6F">
        <w:rPr>
          <w:lang w:val="fr-FR"/>
        </w:rPr>
        <w:t>examen de ce sujet à la prochaine session du groupe de travail spécial de l</w:t>
      </w:r>
      <w:r w:rsidR="00F70B88">
        <w:rPr>
          <w:lang w:val="fr-FR"/>
        </w:rPr>
        <w:t>’</w:t>
      </w:r>
      <w:r w:rsidRPr="00697F6F">
        <w:rPr>
          <w:lang w:val="fr-FR"/>
        </w:rPr>
        <w:t>harmonisation des Règlements RID</w:t>
      </w:r>
      <w:r>
        <w:rPr>
          <w:lang w:val="fr-FR"/>
        </w:rPr>
        <w:t xml:space="preserve">, </w:t>
      </w:r>
      <w:r w:rsidRPr="00697F6F">
        <w:rPr>
          <w:lang w:val="fr-FR"/>
        </w:rPr>
        <w:t>ADR</w:t>
      </w:r>
      <w:r>
        <w:rPr>
          <w:lang w:val="fr-FR"/>
        </w:rPr>
        <w:t xml:space="preserve"> et </w:t>
      </w:r>
      <w:r w:rsidRPr="00697F6F">
        <w:rPr>
          <w:lang w:val="fr-FR"/>
        </w:rPr>
        <w:t>ADN avec les Recommandations de l</w:t>
      </w:r>
      <w:r w:rsidR="00F70B88">
        <w:rPr>
          <w:lang w:val="fr-FR"/>
        </w:rPr>
        <w:t>’</w:t>
      </w:r>
      <w:r w:rsidRPr="00697F6F">
        <w:rPr>
          <w:lang w:val="fr-FR"/>
        </w:rPr>
        <w:t xml:space="preserve">ONU relatives au transport des marchandises dangereuses, du 21 au 23 avril, afin de vérifier la </w:t>
      </w:r>
      <w:r w:rsidRPr="00A12509">
        <w:rPr>
          <w:lang w:val="fr-FR"/>
        </w:rPr>
        <w:t>s</w:t>
      </w:r>
      <w:r w:rsidR="00F70B88">
        <w:rPr>
          <w:lang w:val="fr-FR"/>
        </w:rPr>
        <w:t>’</w:t>
      </w:r>
      <w:r w:rsidRPr="00A12509">
        <w:rPr>
          <w:lang w:val="fr-FR"/>
        </w:rPr>
        <w:t>il était nécessaire de formuler d</w:t>
      </w:r>
      <w:r w:rsidR="00F70B88">
        <w:rPr>
          <w:lang w:val="fr-FR"/>
        </w:rPr>
        <w:t>’</w:t>
      </w:r>
      <w:r w:rsidRPr="00A12509">
        <w:rPr>
          <w:lang w:val="fr-FR"/>
        </w:rPr>
        <w:t>autres observations</w:t>
      </w:r>
      <w:r w:rsidR="00FC1209" w:rsidRPr="00FC1209">
        <w:rPr>
          <w:lang w:val="fr-FR"/>
        </w:rPr>
        <w:t>.</w:t>
      </w:r>
    </w:p>
    <w:p w14:paraId="4F3D931C" w14:textId="368DE3C5" w:rsidR="00520996" w:rsidRPr="00983F26" w:rsidRDefault="00520996" w:rsidP="00520996">
      <w:pPr>
        <w:pStyle w:val="H23G"/>
        <w:rPr>
          <w:lang w:val="fr-FR"/>
        </w:rPr>
      </w:pPr>
      <w:r>
        <w:rPr>
          <w:lang w:val="fr-FR"/>
        </w:rPr>
        <w:tab/>
        <w:t>6</w:t>
      </w:r>
      <w:r w:rsidR="00DB542B">
        <w:rPr>
          <w:lang w:val="fr-FR"/>
        </w:rPr>
        <w:t>.</w:t>
      </w:r>
      <w:r>
        <w:rPr>
          <w:lang w:val="fr-FR"/>
        </w:rPr>
        <w:tab/>
        <w:t>Proposition d</w:t>
      </w:r>
      <w:r w:rsidR="00F70B88">
        <w:rPr>
          <w:lang w:val="fr-FR"/>
        </w:rPr>
        <w:t>’</w:t>
      </w:r>
      <w:r>
        <w:rPr>
          <w:lang w:val="fr-FR"/>
        </w:rPr>
        <w:t>amendement au chapitre 1</w:t>
      </w:r>
      <w:r w:rsidR="00FC1209" w:rsidRPr="00FC1209">
        <w:rPr>
          <w:lang w:val="fr-FR"/>
        </w:rPr>
        <w:t>.</w:t>
      </w:r>
      <w:r>
        <w:rPr>
          <w:lang w:val="fr-FR"/>
        </w:rPr>
        <w:t>2 du RID et de l</w:t>
      </w:r>
      <w:r w:rsidR="00F70B88">
        <w:rPr>
          <w:lang w:val="fr-FR"/>
        </w:rPr>
        <w:t>’</w:t>
      </w:r>
      <w:r>
        <w:rPr>
          <w:lang w:val="fr-FR"/>
        </w:rPr>
        <w:t>ADR</w:t>
      </w:r>
    </w:p>
    <w:p w14:paraId="0841805A" w14:textId="6AFE153F" w:rsidR="00520996" w:rsidRPr="00983F26" w:rsidRDefault="00520996" w:rsidP="00520996">
      <w:pPr>
        <w:pStyle w:val="SingleTxtG"/>
        <w:tabs>
          <w:tab w:val="left" w:pos="3119"/>
        </w:tabs>
        <w:spacing w:after="240"/>
        <w:ind w:left="3119" w:hanging="1985"/>
        <w:jc w:val="left"/>
        <w:rPr>
          <w:lang w:val="fr-FR"/>
        </w:rPr>
      </w:pPr>
      <w:r>
        <w:rPr>
          <w:i/>
          <w:iCs/>
          <w:lang w:val="fr-FR"/>
        </w:rPr>
        <w:t>Documents informels </w:t>
      </w:r>
      <w:r w:rsidRPr="00847E22">
        <w:rPr>
          <w:lang w:val="fr-FR"/>
        </w:rPr>
        <w:t>:</w:t>
      </w:r>
      <w:r>
        <w:rPr>
          <w:lang w:val="fr-FR"/>
        </w:rPr>
        <w:tab/>
        <w:t>INF</w:t>
      </w:r>
      <w:r w:rsidR="00FC1209" w:rsidRPr="00FC1209">
        <w:rPr>
          <w:lang w:val="fr-FR"/>
        </w:rPr>
        <w:t>.</w:t>
      </w:r>
      <w:r>
        <w:rPr>
          <w:lang w:val="fr-FR"/>
        </w:rPr>
        <w:t>28 (Portugal)</w:t>
      </w:r>
      <w:r w:rsidR="00F80E49">
        <w:rPr>
          <w:lang w:val="fr-FR"/>
        </w:rPr>
        <w:t> ;</w:t>
      </w:r>
      <w:r>
        <w:rPr>
          <w:lang w:val="fr-FR"/>
        </w:rPr>
        <w:t xml:space="preserve"> </w:t>
      </w:r>
      <w:r>
        <w:rPr>
          <w:lang w:val="fr-FR"/>
        </w:rPr>
        <w:br/>
        <w:t>INF</w:t>
      </w:r>
      <w:r w:rsidR="00FC1209" w:rsidRPr="00FC1209">
        <w:rPr>
          <w:lang w:val="fr-FR"/>
        </w:rPr>
        <w:t>.</w:t>
      </w:r>
      <w:r>
        <w:rPr>
          <w:lang w:val="fr-FR"/>
        </w:rPr>
        <w:t>39 (Autriche, Espagne, Pays-Bas et Portugal)</w:t>
      </w:r>
      <w:r w:rsidR="00FC1209" w:rsidRPr="00FC1209">
        <w:rPr>
          <w:lang w:val="fr-FR"/>
        </w:rPr>
        <w:t>.</w:t>
      </w:r>
    </w:p>
    <w:p w14:paraId="53E5B4BE" w14:textId="75F692C6" w:rsidR="00520996" w:rsidRPr="00983F26" w:rsidRDefault="00520996" w:rsidP="00520996">
      <w:pPr>
        <w:pStyle w:val="SingleTxtG"/>
        <w:rPr>
          <w:lang w:val="fr-FR"/>
        </w:rPr>
      </w:pPr>
      <w:r>
        <w:rPr>
          <w:lang w:val="fr-FR"/>
        </w:rPr>
        <w:t>27</w:t>
      </w:r>
      <w:r w:rsidR="00FC1209" w:rsidRPr="00FC1209">
        <w:rPr>
          <w:lang w:val="fr-FR"/>
        </w:rPr>
        <w:t>.</w:t>
      </w:r>
      <w:r>
        <w:rPr>
          <w:lang w:val="fr-FR"/>
        </w:rPr>
        <w:tab/>
        <w:t>Après un échange de vues, la Réunion commune a adopté les amendements proposés dans le document informel INF</w:t>
      </w:r>
      <w:r w:rsidR="00FC1209" w:rsidRPr="00FC1209">
        <w:rPr>
          <w:lang w:val="fr-FR"/>
        </w:rPr>
        <w:t>.</w:t>
      </w:r>
      <w:r>
        <w:rPr>
          <w:lang w:val="fr-FR"/>
        </w:rPr>
        <w:t>39 moyennant des modifications supplémentaires (voir l</w:t>
      </w:r>
      <w:r w:rsidR="00F70B88">
        <w:rPr>
          <w:lang w:val="fr-FR"/>
        </w:rPr>
        <w:t>’</w:t>
      </w:r>
      <w:r>
        <w:rPr>
          <w:lang w:val="fr-FR"/>
        </w:rPr>
        <w:t>annexe II)</w:t>
      </w:r>
      <w:r w:rsidR="00FC1209" w:rsidRPr="00FC1209">
        <w:rPr>
          <w:lang w:val="fr-FR"/>
        </w:rPr>
        <w:t>.</w:t>
      </w:r>
    </w:p>
    <w:p w14:paraId="2E53B1C5" w14:textId="5F44D75A" w:rsidR="00520996" w:rsidRPr="00983F26" w:rsidRDefault="00520996" w:rsidP="00F80E49">
      <w:pPr>
        <w:pStyle w:val="H23G"/>
        <w:rPr>
          <w:lang w:val="fr-FR"/>
        </w:rPr>
      </w:pPr>
      <w:r>
        <w:rPr>
          <w:lang w:val="fr-FR"/>
        </w:rPr>
        <w:lastRenderedPageBreak/>
        <w:tab/>
        <w:t>7</w:t>
      </w:r>
      <w:r w:rsidR="00DB542B">
        <w:rPr>
          <w:lang w:val="fr-FR"/>
        </w:rPr>
        <w:t>.</w:t>
      </w:r>
      <w:r>
        <w:rPr>
          <w:lang w:val="fr-FR"/>
        </w:rPr>
        <w:tab/>
        <w:t>Ajout de définitions au 1</w:t>
      </w:r>
      <w:r w:rsidR="00FC1209" w:rsidRPr="00FC1209">
        <w:rPr>
          <w:lang w:val="fr-FR"/>
        </w:rPr>
        <w:t>.</w:t>
      </w:r>
      <w:r>
        <w:rPr>
          <w:lang w:val="fr-FR"/>
        </w:rPr>
        <w:t>2</w:t>
      </w:r>
      <w:r w:rsidR="00FC1209" w:rsidRPr="00FC1209">
        <w:rPr>
          <w:lang w:val="fr-FR"/>
        </w:rPr>
        <w:t>.</w:t>
      </w:r>
      <w:r>
        <w:rPr>
          <w:lang w:val="fr-FR"/>
        </w:rPr>
        <w:t>1</w:t>
      </w:r>
    </w:p>
    <w:p w14:paraId="5BD796C0" w14:textId="08F7B1EA" w:rsidR="00520996" w:rsidRPr="00983F26" w:rsidRDefault="00520996" w:rsidP="00520996">
      <w:pPr>
        <w:pStyle w:val="SingleTxtG"/>
        <w:tabs>
          <w:tab w:val="left" w:pos="3119"/>
        </w:tabs>
        <w:jc w:val="left"/>
        <w:rPr>
          <w:lang w:val="fr-FR"/>
        </w:rPr>
      </w:pPr>
      <w:r>
        <w:rPr>
          <w:i/>
          <w:iCs/>
          <w:lang w:val="fr-FR"/>
        </w:rPr>
        <w:t>Document informel </w:t>
      </w:r>
      <w:r w:rsidRPr="00847E22">
        <w:rPr>
          <w:lang w:val="fr-FR"/>
        </w:rPr>
        <w:t>:</w:t>
      </w:r>
      <w:r>
        <w:rPr>
          <w:lang w:val="fr-FR"/>
        </w:rPr>
        <w:tab/>
        <w:t>INF</w:t>
      </w:r>
      <w:r w:rsidR="00FC1209" w:rsidRPr="00FC1209">
        <w:rPr>
          <w:lang w:val="fr-FR"/>
        </w:rPr>
        <w:t>.</w:t>
      </w:r>
      <w:r>
        <w:rPr>
          <w:lang w:val="fr-FR"/>
        </w:rPr>
        <w:t>7 (secrétariat)</w:t>
      </w:r>
      <w:r w:rsidR="00FC1209" w:rsidRPr="00FC1209">
        <w:rPr>
          <w:lang w:val="fr-FR"/>
        </w:rPr>
        <w:t>.</w:t>
      </w:r>
    </w:p>
    <w:p w14:paraId="78BF28D3" w14:textId="16540B31" w:rsidR="00520996" w:rsidRPr="00983F26" w:rsidRDefault="00520996" w:rsidP="00520996">
      <w:pPr>
        <w:pStyle w:val="SingleTxtG"/>
        <w:rPr>
          <w:lang w:val="fr-FR"/>
        </w:rPr>
      </w:pPr>
      <w:r>
        <w:rPr>
          <w:lang w:val="fr-FR"/>
        </w:rPr>
        <w:t>28</w:t>
      </w:r>
      <w:r w:rsidR="00FC1209" w:rsidRPr="00FC1209">
        <w:rPr>
          <w:lang w:val="fr-FR"/>
        </w:rPr>
        <w:t>.</w:t>
      </w:r>
      <w:r>
        <w:rPr>
          <w:lang w:val="fr-FR"/>
        </w:rPr>
        <w:tab/>
        <w:t>La Réunion commune a pris note des amendements aux définitions du 1</w:t>
      </w:r>
      <w:r w:rsidR="00FC1209" w:rsidRPr="00FC1209">
        <w:rPr>
          <w:lang w:val="fr-FR"/>
        </w:rPr>
        <w:t>.</w:t>
      </w:r>
      <w:r>
        <w:rPr>
          <w:lang w:val="fr-FR"/>
        </w:rPr>
        <w:t>2</w:t>
      </w:r>
      <w:r w:rsidR="00FC1209" w:rsidRPr="00FC1209">
        <w:rPr>
          <w:lang w:val="fr-FR"/>
        </w:rPr>
        <w:t>.</w:t>
      </w:r>
      <w:r>
        <w:rPr>
          <w:lang w:val="fr-FR"/>
        </w:rPr>
        <w:t>1 de l</w:t>
      </w:r>
      <w:r w:rsidR="00F70B88">
        <w:rPr>
          <w:lang w:val="fr-FR"/>
        </w:rPr>
        <w:t>’</w:t>
      </w:r>
      <w:r>
        <w:rPr>
          <w:lang w:val="fr-FR"/>
        </w:rPr>
        <w:t>ADN récemment adoptés par le Comité de sécurité de l</w:t>
      </w:r>
      <w:r w:rsidR="00F70B88">
        <w:rPr>
          <w:lang w:val="fr-FR"/>
        </w:rPr>
        <w:t>’</w:t>
      </w:r>
      <w:r>
        <w:rPr>
          <w:lang w:val="fr-FR"/>
        </w:rPr>
        <w:t>ADN</w:t>
      </w:r>
      <w:r w:rsidR="00FC1209" w:rsidRPr="00FC1209">
        <w:rPr>
          <w:lang w:val="fr-FR"/>
        </w:rPr>
        <w:t>.</w:t>
      </w:r>
      <w:r>
        <w:rPr>
          <w:lang w:val="fr-FR"/>
        </w:rPr>
        <w:t xml:space="preserve"> Certaines délégations ont accueilli avec satisfaction la précision selon laquelle l</w:t>
      </w:r>
      <w:r w:rsidR="00F70B88">
        <w:rPr>
          <w:lang w:val="fr-FR"/>
        </w:rPr>
        <w:t>’</w:t>
      </w:r>
      <w:r>
        <w:rPr>
          <w:lang w:val="fr-FR"/>
        </w:rPr>
        <w:t>abréviation « CMR » était généralement utilisée pour faire référence à la Convention relative au contrat de transport international de marchandises par route, mais pouvait également servir à signaler les matières ayant des effets à long terme sur la santé (C pour cancérigène, M pour mutagène et R pour toxique pour la reproduction)</w:t>
      </w:r>
      <w:r w:rsidR="00FC1209" w:rsidRPr="00FC1209">
        <w:rPr>
          <w:lang w:val="fr-FR"/>
        </w:rPr>
        <w:t>.</w:t>
      </w:r>
      <w:r>
        <w:rPr>
          <w:lang w:val="fr-FR"/>
        </w:rPr>
        <w:t xml:space="preserve"> Il a été demandé au secrétariat d</w:t>
      </w:r>
      <w:r w:rsidR="00F70B88">
        <w:rPr>
          <w:lang w:val="fr-FR"/>
        </w:rPr>
        <w:t>’</w:t>
      </w:r>
      <w:r>
        <w:rPr>
          <w:lang w:val="fr-FR"/>
        </w:rPr>
        <w:t>élaborer, en vue de la prochaine session, une proposition visant à compléter la définition existante de « CMR » dans le RID et l</w:t>
      </w:r>
      <w:r w:rsidR="00F70B88">
        <w:rPr>
          <w:lang w:val="fr-FR"/>
        </w:rPr>
        <w:t>’</w:t>
      </w:r>
      <w:r>
        <w:rPr>
          <w:lang w:val="fr-FR"/>
        </w:rPr>
        <w:t>ADR en tenant compte des deux significations ci-dessus</w:t>
      </w:r>
      <w:r w:rsidR="00FC1209" w:rsidRPr="00FC1209">
        <w:rPr>
          <w:lang w:val="fr-FR"/>
        </w:rPr>
        <w:t>.</w:t>
      </w:r>
    </w:p>
    <w:p w14:paraId="588E2821" w14:textId="33F1F968" w:rsidR="00520996" w:rsidRPr="00665B97" w:rsidRDefault="00520996" w:rsidP="00F80E49">
      <w:pPr>
        <w:pStyle w:val="H1G"/>
        <w:rPr>
          <w:lang w:val="fr-FR"/>
        </w:rPr>
      </w:pPr>
      <w:r>
        <w:rPr>
          <w:lang w:val="fr-FR"/>
        </w:rPr>
        <w:tab/>
        <w:t>B</w:t>
      </w:r>
      <w:r w:rsidR="00FC1209" w:rsidRPr="00FC1209">
        <w:rPr>
          <w:lang w:val="fr-FR"/>
        </w:rPr>
        <w:t>.</w:t>
      </w:r>
      <w:r>
        <w:rPr>
          <w:lang w:val="fr-FR"/>
        </w:rPr>
        <w:tab/>
      </w:r>
      <w:r w:rsidRPr="00B93758">
        <w:rPr>
          <w:lang w:val="fr-FR"/>
        </w:rPr>
        <w:t>Nouvelles proposition</w:t>
      </w:r>
      <w:r>
        <w:rPr>
          <w:lang w:val="fr-FR"/>
        </w:rPr>
        <w:t>s</w:t>
      </w:r>
    </w:p>
    <w:p w14:paraId="60A64F08" w14:textId="463921A7" w:rsidR="00520996" w:rsidRPr="00A679B7" w:rsidRDefault="00520996" w:rsidP="00F80E49">
      <w:pPr>
        <w:pStyle w:val="H23G"/>
      </w:pPr>
      <w:r>
        <w:rPr>
          <w:lang w:val="fr-FR"/>
        </w:rPr>
        <w:tab/>
        <w:t>1</w:t>
      </w:r>
      <w:r w:rsidR="00DB542B">
        <w:rPr>
          <w:lang w:val="fr-FR"/>
        </w:rPr>
        <w:t>.</w:t>
      </w:r>
      <w:r>
        <w:rPr>
          <w:lang w:val="fr-FR"/>
        </w:rPr>
        <w:tab/>
        <w:t>Ajout de dispositions relatives au transport d</w:t>
      </w:r>
      <w:r w:rsidR="00F70B88">
        <w:rPr>
          <w:lang w:val="fr-FR"/>
        </w:rPr>
        <w:t>’</w:t>
      </w:r>
      <w:r>
        <w:rPr>
          <w:lang w:val="fr-FR"/>
        </w:rPr>
        <w:t>aluminium fondu sous le N</w:t>
      </w:r>
      <w:r w:rsidRPr="00214828">
        <w:rPr>
          <w:lang w:val="fr-FR"/>
        </w:rPr>
        <w:t>o</w:t>
      </w:r>
      <w:r>
        <w:rPr>
          <w:lang w:val="fr-FR"/>
        </w:rPr>
        <w:t xml:space="preserve"> ONU 3257</w:t>
      </w:r>
    </w:p>
    <w:p w14:paraId="6732C5F6" w14:textId="25CAAC42" w:rsidR="00520996" w:rsidRDefault="00520996" w:rsidP="00214828">
      <w:pPr>
        <w:pStyle w:val="SingleTxtG"/>
        <w:ind w:left="3416" w:hanging="2282"/>
        <w:jc w:val="left"/>
        <w:rPr>
          <w:lang w:val="fr-FR"/>
        </w:rPr>
      </w:pPr>
      <w:r>
        <w:rPr>
          <w:i/>
          <w:iCs/>
          <w:lang w:val="fr-FR"/>
        </w:rPr>
        <w:t>Document </w:t>
      </w:r>
      <w:r w:rsidRPr="008A59D3">
        <w:rPr>
          <w:lang w:val="fr-FR"/>
        </w:rPr>
        <w:t>:</w:t>
      </w:r>
      <w:r>
        <w:rPr>
          <w:lang w:val="fr-FR"/>
        </w:rPr>
        <w:tab/>
        <w:t>ECE/TRANS/WP</w:t>
      </w:r>
      <w:r w:rsidR="00FC1209" w:rsidRPr="00FC1209">
        <w:rPr>
          <w:lang w:val="fr-FR"/>
        </w:rPr>
        <w:t>.</w:t>
      </w:r>
      <w:r>
        <w:rPr>
          <w:lang w:val="fr-FR"/>
        </w:rPr>
        <w:t>15/AC</w:t>
      </w:r>
      <w:r w:rsidR="00FC1209" w:rsidRPr="00FC1209">
        <w:rPr>
          <w:lang w:val="fr-FR"/>
        </w:rPr>
        <w:t>.</w:t>
      </w:r>
      <w:r>
        <w:rPr>
          <w:lang w:val="fr-FR"/>
        </w:rPr>
        <w:t>1/2021/1 (Allemagne)</w:t>
      </w:r>
      <w:r w:rsidR="00FC1209" w:rsidRPr="00FC1209">
        <w:rPr>
          <w:lang w:val="fr-FR"/>
        </w:rPr>
        <w:t>.</w:t>
      </w:r>
    </w:p>
    <w:p w14:paraId="5FCAF0E8" w14:textId="7BC90413" w:rsidR="00DB542B" w:rsidRPr="00A679B7" w:rsidRDefault="00DB542B" w:rsidP="00520996">
      <w:pPr>
        <w:pStyle w:val="SingleTxtG"/>
        <w:ind w:left="2835" w:hanging="1701"/>
        <w:jc w:val="left"/>
      </w:pPr>
      <w:r w:rsidRPr="00EC0D37">
        <w:rPr>
          <w:i/>
          <w:iCs/>
          <w:lang w:val="fr-FR"/>
        </w:rPr>
        <w:t>Document informel</w:t>
      </w:r>
      <w:r>
        <w:rPr>
          <w:lang w:val="fr-FR"/>
        </w:rPr>
        <w:t> :</w:t>
      </w:r>
      <w:r>
        <w:rPr>
          <w:lang w:val="fr-FR"/>
        </w:rPr>
        <w:tab/>
      </w:r>
      <w:r w:rsidR="00EC0D37">
        <w:rPr>
          <w:lang w:val="fr-FR"/>
        </w:rPr>
        <w:tab/>
      </w:r>
      <w:r w:rsidR="00EC0D37">
        <w:rPr>
          <w:lang w:val="fr-FR"/>
        </w:rPr>
        <w:tab/>
      </w:r>
      <w:r>
        <w:rPr>
          <w:lang w:val="fr-FR"/>
        </w:rPr>
        <w:t>INF.41 (Allemagne).</w:t>
      </w:r>
    </w:p>
    <w:p w14:paraId="21E16954" w14:textId="7921AE02" w:rsidR="00520996" w:rsidRPr="00A679B7" w:rsidRDefault="00520996" w:rsidP="00520996">
      <w:pPr>
        <w:pStyle w:val="SingleTxtG"/>
      </w:pPr>
      <w:r>
        <w:rPr>
          <w:lang w:val="fr-FR"/>
        </w:rPr>
        <w:t>29</w:t>
      </w:r>
      <w:r w:rsidR="00FC1209" w:rsidRPr="00FC1209">
        <w:rPr>
          <w:lang w:val="fr-FR"/>
        </w:rPr>
        <w:t>.</w:t>
      </w:r>
      <w:r>
        <w:rPr>
          <w:lang w:val="fr-FR"/>
        </w:rPr>
        <w:tab/>
        <w:t>La Réunion commune a examiné le document ECE/TRANS/WP</w:t>
      </w:r>
      <w:r w:rsidR="00FC1209" w:rsidRPr="00FC1209">
        <w:rPr>
          <w:lang w:val="fr-FR"/>
        </w:rPr>
        <w:t>.</w:t>
      </w:r>
      <w:r>
        <w:rPr>
          <w:lang w:val="fr-FR"/>
        </w:rPr>
        <w:t>15/AC</w:t>
      </w:r>
      <w:r w:rsidR="00FC1209" w:rsidRPr="00FC1209">
        <w:rPr>
          <w:lang w:val="fr-FR"/>
        </w:rPr>
        <w:t>.</w:t>
      </w:r>
      <w:r>
        <w:rPr>
          <w:lang w:val="fr-FR"/>
        </w:rPr>
        <w:t>1/2021/1 et a estimé qu</w:t>
      </w:r>
      <w:r w:rsidR="00F70B88">
        <w:rPr>
          <w:lang w:val="fr-FR"/>
        </w:rPr>
        <w:t>’</w:t>
      </w:r>
      <w:r>
        <w:rPr>
          <w:lang w:val="fr-FR"/>
        </w:rPr>
        <w:t>il était nécessaire d</w:t>
      </w:r>
      <w:r w:rsidR="00F70B88">
        <w:rPr>
          <w:lang w:val="fr-FR"/>
        </w:rPr>
        <w:t>’</w:t>
      </w:r>
      <w:r>
        <w:rPr>
          <w:lang w:val="fr-FR"/>
        </w:rPr>
        <w:t>insérer de nouvelles dispositions pour le transport de l</w:t>
      </w:r>
      <w:r w:rsidR="00F70B88">
        <w:rPr>
          <w:lang w:val="fr-FR"/>
        </w:rPr>
        <w:t>’</w:t>
      </w:r>
      <w:r>
        <w:rPr>
          <w:lang w:val="fr-FR"/>
        </w:rPr>
        <w:t>aluminium fondu sous le No ONU 3257</w:t>
      </w:r>
      <w:r w:rsidR="00FC1209" w:rsidRPr="00FC1209">
        <w:rPr>
          <w:lang w:val="fr-FR"/>
        </w:rPr>
        <w:t>.</w:t>
      </w:r>
      <w:r>
        <w:rPr>
          <w:lang w:val="fr-FR"/>
        </w:rPr>
        <w:t xml:space="preserve"> Il a été recommandé de mettre en place un nouveau groupe de travail informel sur ce sujet</w:t>
      </w:r>
      <w:r w:rsidR="00FC1209" w:rsidRPr="00FC1209">
        <w:rPr>
          <w:lang w:val="fr-FR"/>
        </w:rPr>
        <w:t>.</w:t>
      </w:r>
      <w:r>
        <w:rPr>
          <w:lang w:val="fr-FR"/>
        </w:rPr>
        <w:t xml:space="preserve"> Le représentant de l</w:t>
      </w:r>
      <w:r w:rsidR="00F70B88">
        <w:rPr>
          <w:lang w:val="fr-FR"/>
        </w:rPr>
        <w:t>’</w:t>
      </w:r>
      <w:r>
        <w:rPr>
          <w:lang w:val="fr-FR"/>
        </w:rPr>
        <w:t>Allemagne a présenté un document informel contenant le mandat de ce groupe</w:t>
      </w:r>
      <w:r w:rsidR="00FC1209" w:rsidRPr="00FC1209">
        <w:rPr>
          <w:lang w:val="fr-FR"/>
        </w:rPr>
        <w:t>.</w:t>
      </w:r>
      <w:r>
        <w:rPr>
          <w:lang w:val="fr-FR"/>
        </w:rPr>
        <w:t xml:space="preserve"> </w:t>
      </w:r>
      <w:r w:rsidRPr="00B93758">
        <w:rPr>
          <w:lang w:val="fr-FR"/>
        </w:rPr>
        <w:t xml:space="preserve">La Réunion commune a </w:t>
      </w:r>
      <w:r>
        <w:rPr>
          <w:lang w:val="fr-FR"/>
        </w:rPr>
        <w:t>adopté ce mandat (voir l</w:t>
      </w:r>
      <w:r w:rsidR="00F70B88">
        <w:rPr>
          <w:lang w:val="fr-FR"/>
        </w:rPr>
        <w:t>’</w:t>
      </w:r>
      <w:r>
        <w:rPr>
          <w:lang w:val="fr-FR"/>
        </w:rPr>
        <w:t>annexe III)</w:t>
      </w:r>
      <w:r w:rsidR="00FC1209" w:rsidRPr="00FC1209">
        <w:rPr>
          <w:lang w:val="fr-FR"/>
        </w:rPr>
        <w:t>.</w:t>
      </w:r>
    </w:p>
    <w:p w14:paraId="5F9271C3" w14:textId="1CDF67E4" w:rsidR="00520996" w:rsidRPr="00A679B7" w:rsidRDefault="00520996" w:rsidP="00520996">
      <w:pPr>
        <w:pStyle w:val="H23G"/>
      </w:pPr>
      <w:r>
        <w:rPr>
          <w:lang w:val="fr-FR"/>
        </w:rPr>
        <w:tab/>
        <w:t>2</w:t>
      </w:r>
      <w:r w:rsidR="00FC1209" w:rsidRPr="00FC1209">
        <w:rPr>
          <w:lang w:val="fr-FR"/>
        </w:rPr>
        <w:t>.</w:t>
      </w:r>
      <w:r>
        <w:rPr>
          <w:lang w:val="fr-FR"/>
        </w:rPr>
        <w:tab/>
      </w:r>
      <w:r>
        <w:rPr>
          <w:bCs/>
          <w:lang w:val="fr-FR"/>
        </w:rPr>
        <w:t>1</w:t>
      </w:r>
      <w:r w:rsidR="00FC1209" w:rsidRPr="00FC1209">
        <w:rPr>
          <w:bCs/>
          <w:lang w:val="fr-FR"/>
        </w:rPr>
        <w:t>.</w:t>
      </w:r>
      <w:r>
        <w:rPr>
          <w:bCs/>
          <w:lang w:val="fr-FR"/>
        </w:rPr>
        <w:t>8</w:t>
      </w:r>
      <w:r w:rsidR="00FC1209" w:rsidRPr="00FC1209">
        <w:rPr>
          <w:bCs/>
          <w:lang w:val="fr-FR"/>
        </w:rPr>
        <w:t>.</w:t>
      </w:r>
      <w:r>
        <w:rPr>
          <w:bCs/>
          <w:lang w:val="fr-FR"/>
        </w:rPr>
        <w:t>7</w:t>
      </w:r>
      <w:r w:rsidR="00FC1209" w:rsidRPr="00FC1209">
        <w:rPr>
          <w:bCs/>
          <w:lang w:val="fr-FR"/>
        </w:rPr>
        <w:t>.</w:t>
      </w:r>
      <w:r>
        <w:rPr>
          <w:bCs/>
          <w:lang w:val="fr-FR"/>
        </w:rPr>
        <w:t>2</w:t>
      </w:r>
      <w:r w:rsidR="00FC1209" w:rsidRPr="00FC1209">
        <w:rPr>
          <w:bCs/>
          <w:lang w:val="fr-FR"/>
        </w:rPr>
        <w:t>.</w:t>
      </w:r>
      <w:r>
        <w:rPr>
          <w:bCs/>
          <w:lang w:val="fr-FR"/>
        </w:rPr>
        <w:t>3 du RID et de l</w:t>
      </w:r>
      <w:r w:rsidR="00F70B88">
        <w:rPr>
          <w:bCs/>
          <w:lang w:val="fr-FR"/>
        </w:rPr>
        <w:t>’</w:t>
      </w:r>
      <w:r>
        <w:rPr>
          <w:bCs/>
          <w:lang w:val="fr-FR"/>
        </w:rPr>
        <w:t>ADR : c</w:t>
      </w:r>
      <w:r w:rsidRPr="005C7708">
        <w:rPr>
          <w:bCs/>
          <w:lang w:val="fr-FR"/>
        </w:rPr>
        <w:t>hamp d</w:t>
      </w:r>
      <w:r w:rsidR="00F70B88">
        <w:rPr>
          <w:bCs/>
          <w:lang w:val="fr-FR"/>
        </w:rPr>
        <w:t>’</w:t>
      </w:r>
      <w:r w:rsidRPr="005C7708">
        <w:rPr>
          <w:bCs/>
          <w:lang w:val="fr-FR"/>
        </w:rPr>
        <w:t xml:space="preserve">application </w:t>
      </w:r>
      <w:r>
        <w:rPr>
          <w:bCs/>
          <w:lang w:val="fr-FR"/>
        </w:rPr>
        <w:t xml:space="preserve">du certificat </w:t>
      </w:r>
      <w:r w:rsidR="00214828">
        <w:rPr>
          <w:bCs/>
          <w:lang w:val="fr-FR"/>
        </w:rPr>
        <w:br/>
      </w:r>
      <w:r>
        <w:rPr>
          <w:bCs/>
          <w:lang w:val="fr-FR"/>
        </w:rPr>
        <w:t>d</w:t>
      </w:r>
      <w:r w:rsidR="00F70B88">
        <w:rPr>
          <w:bCs/>
          <w:lang w:val="fr-FR"/>
        </w:rPr>
        <w:t>’</w:t>
      </w:r>
      <w:r>
        <w:rPr>
          <w:bCs/>
          <w:lang w:val="fr-FR"/>
        </w:rPr>
        <w:t>homologation de type</w:t>
      </w:r>
    </w:p>
    <w:p w14:paraId="1023332A" w14:textId="4DBAF756" w:rsidR="00520996" w:rsidRPr="00A679B7" w:rsidRDefault="00520996" w:rsidP="00520996">
      <w:pPr>
        <w:pStyle w:val="SingleTxtG"/>
        <w:ind w:left="2835" w:hanging="1701"/>
        <w:jc w:val="left"/>
      </w:pPr>
      <w:r>
        <w:rPr>
          <w:i/>
          <w:iCs/>
          <w:lang w:val="fr-FR"/>
        </w:rPr>
        <w:t>Document </w:t>
      </w:r>
      <w:r w:rsidRPr="008A59D3">
        <w:rPr>
          <w:lang w:val="fr-FR"/>
        </w:rPr>
        <w:t>:</w:t>
      </w:r>
      <w:r>
        <w:rPr>
          <w:lang w:val="fr-FR"/>
        </w:rPr>
        <w:tab/>
        <w:t>ECE/TRANS/WP</w:t>
      </w:r>
      <w:r w:rsidR="00FC1209" w:rsidRPr="00FC1209">
        <w:rPr>
          <w:lang w:val="fr-FR"/>
        </w:rPr>
        <w:t>.</w:t>
      </w:r>
      <w:r>
        <w:rPr>
          <w:lang w:val="fr-FR"/>
        </w:rPr>
        <w:t>15/AC</w:t>
      </w:r>
      <w:r w:rsidR="00FC1209" w:rsidRPr="00FC1209">
        <w:rPr>
          <w:lang w:val="fr-FR"/>
        </w:rPr>
        <w:t>.</w:t>
      </w:r>
      <w:r>
        <w:rPr>
          <w:lang w:val="fr-FR"/>
        </w:rPr>
        <w:t>1/2021/2 (Allemagne)</w:t>
      </w:r>
      <w:r w:rsidR="00FC1209" w:rsidRPr="00FC1209">
        <w:rPr>
          <w:lang w:val="fr-FR"/>
        </w:rPr>
        <w:t>.</w:t>
      </w:r>
    </w:p>
    <w:p w14:paraId="6AA1940A" w14:textId="2D79D868" w:rsidR="00F80E49" w:rsidRDefault="00520996" w:rsidP="00F80E49">
      <w:pPr>
        <w:pStyle w:val="SingleTxtG"/>
        <w:rPr>
          <w:lang w:val="fr-FR"/>
        </w:rPr>
      </w:pPr>
      <w:r>
        <w:rPr>
          <w:lang w:val="fr-FR"/>
        </w:rPr>
        <w:t>30</w:t>
      </w:r>
      <w:r w:rsidR="00FC1209" w:rsidRPr="00FC1209">
        <w:rPr>
          <w:lang w:val="fr-FR"/>
        </w:rPr>
        <w:t>.</w:t>
      </w:r>
      <w:r>
        <w:rPr>
          <w:lang w:val="fr-FR"/>
        </w:rPr>
        <w:tab/>
        <w:t>Plusieurs délégations se sont déclarées favorables à cette initiative</w:t>
      </w:r>
      <w:r w:rsidR="00FC1209" w:rsidRPr="00FC1209">
        <w:rPr>
          <w:lang w:val="fr-FR"/>
        </w:rPr>
        <w:t>.</w:t>
      </w:r>
      <w:r>
        <w:rPr>
          <w:lang w:val="fr-FR"/>
        </w:rPr>
        <w:t xml:space="preserve"> Le représentant de l</w:t>
      </w:r>
      <w:r w:rsidR="00F70B88">
        <w:rPr>
          <w:lang w:val="fr-FR"/>
        </w:rPr>
        <w:t>’</w:t>
      </w:r>
      <w:r>
        <w:rPr>
          <w:lang w:val="fr-FR"/>
        </w:rPr>
        <w:t>Allemagne a retiré le document ECE/TRANS/WP</w:t>
      </w:r>
      <w:r w:rsidR="00FC1209" w:rsidRPr="00FC1209">
        <w:rPr>
          <w:lang w:val="fr-FR"/>
        </w:rPr>
        <w:t>.</w:t>
      </w:r>
      <w:r>
        <w:rPr>
          <w:lang w:val="fr-FR"/>
        </w:rPr>
        <w:t>15/AC</w:t>
      </w:r>
      <w:r w:rsidR="00FC1209" w:rsidRPr="00FC1209">
        <w:rPr>
          <w:lang w:val="fr-FR"/>
        </w:rPr>
        <w:t>.</w:t>
      </w:r>
      <w:r>
        <w:rPr>
          <w:lang w:val="fr-FR"/>
        </w:rPr>
        <w:t>1/2021/2</w:t>
      </w:r>
      <w:r w:rsidR="00FC1209" w:rsidRPr="00FC1209">
        <w:rPr>
          <w:lang w:val="fr-FR"/>
        </w:rPr>
        <w:t>.</w:t>
      </w:r>
    </w:p>
    <w:p w14:paraId="316E8642" w14:textId="406BEA0A" w:rsidR="00520996" w:rsidRPr="009E0422" w:rsidRDefault="00520996" w:rsidP="00F80E49">
      <w:pPr>
        <w:pStyle w:val="H23G"/>
        <w:rPr>
          <w:lang w:val="fr-FR"/>
        </w:rPr>
      </w:pPr>
      <w:r w:rsidRPr="009E0422">
        <w:rPr>
          <w:lang w:val="fr-FR"/>
        </w:rPr>
        <w:tab/>
      </w:r>
      <w:r>
        <w:rPr>
          <w:lang w:val="fr-FR"/>
        </w:rPr>
        <w:t>3</w:t>
      </w:r>
      <w:r w:rsidR="00214828">
        <w:rPr>
          <w:lang w:val="fr-FR"/>
        </w:rPr>
        <w:t>.</w:t>
      </w:r>
      <w:r w:rsidRPr="009E0422">
        <w:rPr>
          <w:lang w:val="fr-FR"/>
        </w:rPr>
        <w:tab/>
        <w:t xml:space="preserve">Dispositions concernant la sûreté et prescriptions relatives à la surveillance </w:t>
      </w:r>
      <w:r w:rsidR="00F80E49">
        <w:rPr>
          <w:lang w:val="fr-FR"/>
        </w:rPr>
        <w:br/>
      </w:r>
      <w:r w:rsidRPr="009E0422">
        <w:rPr>
          <w:lang w:val="fr-FR"/>
        </w:rPr>
        <w:t>pour les détonateurs</w:t>
      </w:r>
    </w:p>
    <w:p w14:paraId="78216E0F" w14:textId="1ADE28B3" w:rsidR="00520996" w:rsidRPr="009E0422" w:rsidRDefault="00520996" w:rsidP="00520996">
      <w:pPr>
        <w:pStyle w:val="SingleTxtG"/>
        <w:tabs>
          <w:tab w:val="left" w:pos="3119"/>
        </w:tabs>
        <w:rPr>
          <w:lang w:val="fr-FR"/>
        </w:rPr>
      </w:pPr>
      <w:r w:rsidRPr="00E427FF">
        <w:rPr>
          <w:i/>
          <w:iCs/>
          <w:lang w:val="fr-FR"/>
        </w:rPr>
        <w:t>Document</w:t>
      </w:r>
      <w:r>
        <w:rPr>
          <w:lang w:val="fr-FR"/>
        </w:rPr>
        <w:t> </w:t>
      </w:r>
      <w:r w:rsidRPr="009E0422">
        <w:rPr>
          <w:lang w:val="fr-FR"/>
        </w:rPr>
        <w:t>:</w:t>
      </w:r>
      <w:r w:rsidRPr="009E0422">
        <w:rPr>
          <w:lang w:val="fr-FR"/>
        </w:rPr>
        <w:tab/>
        <w:t>ECE/TRANS/WP</w:t>
      </w:r>
      <w:r w:rsidR="00FC1209" w:rsidRPr="00FC1209">
        <w:rPr>
          <w:lang w:val="fr-FR"/>
        </w:rPr>
        <w:t>.</w:t>
      </w:r>
      <w:r w:rsidRPr="009E0422">
        <w:rPr>
          <w:lang w:val="fr-FR"/>
        </w:rPr>
        <w:t>15/AC</w:t>
      </w:r>
      <w:r w:rsidR="00FC1209" w:rsidRPr="00FC1209">
        <w:rPr>
          <w:lang w:val="fr-FR"/>
        </w:rPr>
        <w:t>.</w:t>
      </w:r>
      <w:r w:rsidRPr="009E0422">
        <w:rPr>
          <w:lang w:val="fr-FR"/>
        </w:rPr>
        <w:t>1/2021/4 (</w:t>
      </w:r>
      <w:r>
        <w:rPr>
          <w:lang w:val="fr-FR"/>
        </w:rPr>
        <w:t>s</w:t>
      </w:r>
      <w:r w:rsidRPr="009E0422">
        <w:rPr>
          <w:lang w:val="fr-FR"/>
        </w:rPr>
        <w:t>ecrétariat)</w:t>
      </w:r>
      <w:r w:rsidR="00FC1209" w:rsidRPr="00FC1209">
        <w:rPr>
          <w:lang w:val="fr-FR"/>
        </w:rPr>
        <w:t>.</w:t>
      </w:r>
    </w:p>
    <w:p w14:paraId="35883EB8" w14:textId="2FEAE5BC" w:rsidR="00520996" w:rsidRPr="009E0422" w:rsidRDefault="00520996" w:rsidP="00520996">
      <w:pPr>
        <w:pStyle w:val="SingleTxtG"/>
        <w:rPr>
          <w:lang w:val="fr-FR"/>
        </w:rPr>
      </w:pPr>
      <w:r>
        <w:rPr>
          <w:lang w:val="fr-FR"/>
        </w:rPr>
        <w:t>31</w:t>
      </w:r>
      <w:r w:rsidR="00FC1209" w:rsidRPr="00FC1209">
        <w:rPr>
          <w:lang w:val="fr-FR"/>
        </w:rPr>
        <w:t>.</w:t>
      </w:r>
      <w:r w:rsidRPr="009E0422">
        <w:rPr>
          <w:lang w:val="fr-FR"/>
        </w:rPr>
        <w:tab/>
        <w:t>La Réunion commune a adopté les amendements au RID</w:t>
      </w:r>
      <w:r>
        <w:rPr>
          <w:lang w:val="fr-FR"/>
        </w:rPr>
        <w:t>, à l</w:t>
      </w:r>
      <w:r w:rsidR="00F70B88">
        <w:rPr>
          <w:lang w:val="fr-FR"/>
        </w:rPr>
        <w:t>’</w:t>
      </w:r>
      <w:r w:rsidRPr="009E0422">
        <w:rPr>
          <w:lang w:val="fr-FR"/>
        </w:rPr>
        <w:t>ADR</w:t>
      </w:r>
      <w:r>
        <w:rPr>
          <w:lang w:val="fr-FR"/>
        </w:rPr>
        <w:t xml:space="preserve"> et à l</w:t>
      </w:r>
      <w:r w:rsidR="00F70B88">
        <w:rPr>
          <w:lang w:val="fr-FR"/>
        </w:rPr>
        <w:t>’</w:t>
      </w:r>
      <w:r w:rsidRPr="009E0422">
        <w:rPr>
          <w:lang w:val="fr-FR"/>
        </w:rPr>
        <w:t>ADN proposés aux paragraphes</w:t>
      </w:r>
      <w:r>
        <w:rPr>
          <w:lang w:val="fr-FR"/>
        </w:rPr>
        <w:t> </w:t>
      </w:r>
      <w:r w:rsidRPr="009E0422">
        <w:rPr>
          <w:lang w:val="fr-FR"/>
        </w:rPr>
        <w:t>13 et 14 du document ECE/TRANS/WP</w:t>
      </w:r>
      <w:r w:rsidR="00FC1209" w:rsidRPr="00FC1209">
        <w:rPr>
          <w:lang w:val="fr-FR"/>
        </w:rPr>
        <w:t>.</w:t>
      </w:r>
      <w:r w:rsidRPr="009E0422">
        <w:rPr>
          <w:lang w:val="fr-FR"/>
        </w:rPr>
        <w:t>15/AC</w:t>
      </w:r>
      <w:r w:rsidR="00FC1209" w:rsidRPr="00FC1209">
        <w:rPr>
          <w:lang w:val="fr-FR"/>
        </w:rPr>
        <w:t>.</w:t>
      </w:r>
      <w:r w:rsidRPr="009E0422">
        <w:rPr>
          <w:lang w:val="fr-FR"/>
        </w:rPr>
        <w:t>1/2021/4 (voir annexe</w:t>
      </w:r>
      <w:r>
        <w:rPr>
          <w:lang w:val="fr-FR"/>
        </w:rPr>
        <w:t> II</w:t>
      </w:r>
      <w:r w:rsidRPr="009E0422">
        <w:rPr>
          <w:lang w:val="fr-FR"/>
        </w:rPr>
        <w:t>)</w:t>
      </w:r>
      <w:r w:rsidR="00FC1209" w:rsidRPr="00FC1209">
        <w:rPr>
          <w:lang w:val="fr-FR"/>
        </w:rPr>
        <w:t>.</w:t>
      </w:r>
      <w:r w:rsidRPr="009E0422">
        <w:rPr>
          <w:lang w:val="fr-FR"/>
        </w:rPr>
        <w:t xml:space="preserve"> Il a été noté que l</w:t>
      </w:r>
      <w:r w:rsidR="00F70B88">
        <w:rPr>
          <w:lang w:val="fr-FR"/>
        </w:rPr>
        <w:t>’</w:t>
      </w:r>
      <w:r w:rsidRPr="009E0422">
        <w:rPr>
          <w:lang w:val="fr-FR"/>
        </w:rPr>
        <w:t>amendement au 1</w:t>
      </w:r>
      <w:r w:rsidR="00FC1209" w:rsidRPr="00FC1209">
        <w:rPr>
          <w:lang w:val="fr-FR"/>
        </w:rPr>
        <w:t>.</w:t>
      </w:r>
      <w:r w:rsidRPr="009E0422">
        <w:rPr>
          <w:lang w:val="fr-FR"/>
        </w:rPr>
        <w:t>1</w:t>
      </w:r>
      <w:r w:rsidR="00FC1209" w:rsidRPr="00FC1209">
        <w:rPr>
          <w:lang w:val="fr-FR"/>
        </w:rPr>
        <w:t>.</w:t>
      </w:r>
      <w:r w:rsidRPr="009E0422">
        <w:rPr>
          <w:lang w:val="fr-FR"/>
        </w:rPr>
        <w:t>3</w:t>
      </w:r>
      <w:r w:rsidR="00FC1209" w:rsidRPr="00FC1209">
        <w:rPr>
          <w:lang w:val="fr-FR"/>
        </w:rPr>
        <w:t>.</w:t>
      </w:r>
      <w:r w:rsidRPr="009E0422">
        <w:rPr>
          <w:lang w:val="fr-FR"/>
        </w:rPr>
        <w:t>6</w:t>
      </w:r>
      <w:r w:rsidR="00FC1209" w:rsidRPr="00FC1209">
        <w:rPr>
          <w:lang w:val="fr-FR"/>
        </w:rPr>
        <w:t>.</w:t>
      </w:r>
      <w:r w:rsidRPr="009E0422">
        <w:rPr>
          <w:lang w:val="fr-FR"/>
        </w:rPr>
        <w:t>2 ne s</w:t>
      </w:r>
      <w:r w:rsidR="00F70B88">
        <w:rPr>
          <w:lang w:val="fr-FR"/>
        </w:rPr>
        <w:t>’</w:t>
      </w:r>
      <w:r w:rsidRPr="009E0422">
        <w:rPr>
          <w:lang w:val="fr-FR"/>
        </w:rPr>
        <w:t>appliquait pas au RID</w:t>
      </w:r>
      <w:r w:rsidR="00FC1209" w:rsidRPr="00FC1209">
        <w:rPr>
          <w:lang w:val="fr-FR"/>
        </w:rPr>
        <w:t>.</w:t>
      </w:r>
    </w:p>
    <w:p w14:paraId="46DAE9B1" w14:textId="1C79535A" w:rsidR="00520996" w:rsidRPr="009E0422" w:rsidRDefault="00520996" w:rsidP="00520996">
      <w:pPr>
        <w:pStyle w:val="H23G"/>
        <w:rPr>
          <w:lang w:val="fr-FR"/>
        </w:rPr>
      </w:pPr>
      <w:r w:rsidRPr="009E0422">
        <w:rPr>
          <w:lang w:val="fr-FR"/>
        </w:rPr>
        <w:tab/>
      </w:r>
      <w:r>
        <w:rPr>
          <w:lang w:val="fr-FR"/>
        </w:rPr>
        <w:t>4</w:t>
      </w:r>
      <w:r w:rsidR="00214828">
        <w:rPr>
          <w:lang w:val="fr-FR"/>
        </w:rPr>
        <w:t>.</w:t>
      </w:r>
      <w:r w:rsidRPr="009E0422">
        <w:rPr>
          <w:lang w:val="fr-FR"/>
        </w:rPr>
        <w:tab/>
        <w:t>Transport de récipients à pression agréés par le Département des transports des</w:t>
      </w:r>
      <w:r w:rsidR="00F80E49">
        <w:rPr>
          <w:lang w:val="fr-FR"/>
        </w:rPr>
        <w:t> </w:t>
      </w:r>
      <w:r w:rsidRPr="009E0422">
        <w:rPr>
          <w:lang w:val="fr-FR"/>
        </w:rPr>
        <w:t>États-Unis d</w:t>
      </w:r>
      <w:r w:rsidR="00F70B88">
        <w:rPr>
          <w:lang w:val="fr-FR"/>
        </w:rPr>
        <w:t>’</w:t>
      </w:r>
      <w:r w:rsidRPr="009E0422">
        <w:rPr>
          <w:lang w:val="fr-FR"/>
        </w:rPr>
        <w:t>Amérique</w:t>
      </w:r>
    </w:p>
    <w:p w14:paraId="574404C4" w14:textId="012093BA" w:rsidR="00520996" w:rsidRPr="009E0422" w:rsidRDefault="00520996" w:rsidP="00520996">
      <w:pPr>
        <w:pStyle w:val="SingleTxtG"/>
        <w:tabs>
          <w:tab w:val="left" w:pos="3119"/>
        </w:tabs>
        <w:rPr>
          <w:lang w:val="fr-FR"/>
        </w:rPr>
      </w:pPr>
      <w:r w:rsidRPr="00E427FF">
        <w:rPr>
          <w:i/>
          <w:iCs/>
          <w:lang w:val="fr-FR"/>
        </w:rPr>
        <w:t>Document</w:t>
      </w:r>
      <w:r>
        <w:rPr>
          <w:lang w:val="fr-FR"/>
        </w:rPr>
        <w:t> </w:t>
      </w:r>
      <w:r w:rsidRPr="009E0422">
        <w:rPr>
          <w:lang w:val="fr-FR"/>
        </w:rPr>
        <w:t>:</w:t>
      </w:r>
      <w:r w:rsidRPr="009E0422">
        <w:rPr>
          <w:lang w:val="fr-FR"/>
        </w:rPr>
        <w:tab/>
        <w:t>ECE/TRANS/WP</w:t>
      </w:r>
      <w:r w:rsidR="00FC1209" w:rsidRPr="00FC1209">
        <w:rPr>
          <w:lang w:val="fr-FR"/>
        </w:rPr>
        <w:t>.</w:t>
      </w:r>
      <w:r w:rsidRPr="009E0422">
        <w:rPr>
          <w:lang w:val="fr-FR"/>
        </w:rPr>
        <w:t>15/AC</w:t>
      </w:r>
      <w:r w:rsidR="00FC1209" w:rsidRPr="00FC1209">
        <w:rPr>
          <w:lang w:val="fr-FR"/>
        </w:rPr>
        <w:t>.</w:t>
      </w:r>
      <w:r w:rsidRPr="009E0422">
        <w:rPr>
          <w:lang w:val="fr-FR"/>
        </w:rPr>
        <w:t>1/2021/9 (EIGA)</w:t>
      </w:r>
      <w:r w:rsidR="00FC1209" w:rsidRPr="00FC1209">
        <w:rPr>
          <w:lang w:val="fr-FR"/>
        </w:rPr>
        <w:t>.</w:t>
      </w:r>
    </w:p>
    <w:p w14:paraId="6777A865" w14:textId="01A016F9" w:rsidR="00520996" w:rsidRPr="009E0422" w:rsidRDefault="00520996" w:rsidP="00520996">
      <w:pPr>
        <w:pStyle w:val="SingleTxtG"/>
        <w:tabs>
          <w:tab w:val="left" w:pos="3119"/>
        </w:tabs>
        <w:jc w:val="left"/>
        <w:rPr>
          <w:lang w:val="fr-FR"/>
        </w:rPr>
      </w:pPr>
      <w:r w:rsidRPr="009E0422">
        <w:rPr>
          <w:i/>
          <w:iCs/>
          <w:lang w:val="fr-FR"/>
        </w:rPr>
        <w:t>Document informel</w:t>
      </w:r>
      <w:r>
        <w:rPr>
          <w:i/>
          <w:iCs/>
          <w:lang w:val="fr-FR"/>
        </w:rPr>
        <w:t> </w:t>
      </w:r>
      <w:r w:rsidRPr="008E0280">
        <w:rPr>
          <w:lang w:val="fr-FR"/>
        </w:rPr>
        <w:t>:</w:t>
      </w:r>
      <w:r w:rsidRPr="009E0422">
        <w:rPr>
          <w:lang w:val="fr-FR"/>
        </w:rPr>
        <w:tab/>
        <w:t>INF</w:t>
      </w:r>
      <w:r w:rsidR="00FC1209" w:rsidRPr="00FC1209">
        <w:rPr>
          <w:lang w:val="fr-FR"/>
        </w:rPr>
        <w:t>.</w:t>
      </w:r>
      <w:r w:rsidRPr="009E0422">
        <w:rPr>
          <w:lang w:val="fr-FR"/>
        </w:rPr>
        <w:t>24 (France)</w:t>
      </w:r>
      <w:r w:rsidR="00FC1209" w:rsidRPr="00FC1209">
        <w:rPr>
          <w:lang w:val="fr-FR"/>
        </w:rPr>
        <w:t>.</w:t>
      </w:r>
    </w:p>
    <w:p w14:paraId="748418AF" w14:textId="6EB6278C" w:rsidR="00520996" w:rsidRPr="009E0422" w:rsidRDefault="00520996" w:rsidP="00520996">
      <w:pPr>
        <w:pStyle w:val="SingleTxtG"/>
        <w:rPr>
          <w:lang w:val="fr-FR"/>
        </w:rPr>
      </w:pPr>
      <w:r>
        <w:rPr>
          <w:lang w:val="fr-FR"/>
        </w:rPr>
        <w:t>32</w:t>
      </w:r>
      <w:r w:rsidR="00FC1209" w:rsidRPr="00FC1209">
        <w:rPr>
          <w:lang w:val="fr-FR"/>
        </w:rPr>
        <w:t>.</w:t>
      </w:r>
      <w:r w:rsidRPr="009E0422">
        <w:rPr>
          <w:lang w:val="fr-FR"/>
        </w:rPr>
        <w:tab/>
        <w:t>La Réunion commune a adopté les amendements au RID et à l</w:t>
      </w:r>
      <w:r w:rsidR="00F70B88">
        <w:rPr>
          <w:lang w:val="fr-FR"/>
        </w:rPr>
        <w:t>’</w:t>
      </w:r>
      <w:r w:rsidRPr="009E0422">
        <w:rPr>
          <w:lang w:val="fr-FR"/>
        </w:rPr>
        <w:t>ADR proposés au paragraphe</w:t>
      </w:r>
      <w:r>
        <w:rPr>
          <w:lang w:val="fr-FR"/>
        </w:rPr>
        <w:t> </w:t>
      </w:r>
      <w:r w:rsidRPr="009E0422">
        <w:rPr>
          <w:lang w:val="fr-FR"/>
        </w:rPr>
        <w:t>13 du document ECE/TRANS/WP</w:t>
      </w:r>
      <w:r w:rsidR="00FC1209" w:rsidRPr="00FC1209">
        <w:rPr>
          <w:lang w:val="fr-FR"/>
        </w:rPr>
        <w:t>.</w:t>
      </w:r>
      <w:r w:rsidRPr="009E0422">
        <w:rPr>
          <w:lang w:val="fr-FR"/>
        </w:rPr>
        <w:t>15/AC</w:t>
      </w:r>
      <w:r w:rsidR="00FC1209" w:rsidRPr="00FC1209">
        <w:rPr>
          <w:lang w:val="fr-FR"/>
        </w:rPr>
        <w:t>.</w:t>
      </w:r>
      <w:r w:rsidRPr="009E0422">
        <w:rPr>
          <w:lang w:val="fr-FR"/>
        </w:rPr>
        <w:t>1/2021/9 tel que complété par le document informel INF</w:t>
      </w:r>
      <w:r w:rsidR="00FC1209" w:rsidRPr="00FC1209">
        <w:rPr>
          <w:lang w:val="fr-FR"/>
        </w:rPr>
        <w:t>.</w:t>
      </w:r>
      <w:r w:rsidRPr="009E0422">
        <w:rPr>
          <w:lang w:val="fr-FR"/>
        </w:rPr>
        <w:t>24, avec une modification supplémentaire (voir annexe</w:t>
      </w:r>
      <w:r>
        <w:rPr>
          <w:lang w:val="fr-FR"/>
        </w:rPr>
        <w:t> II</w:t>
      </w:r>
      <w:r w:rsidRPr="009E0422">
        <w:rPr>
          <w:lang w:val="fr-FR"/>
        </w:rPr>
        <w:t>)</w:t>
      </w:r>
      <w:r w:rsidR="00FC1209" w:rsidRPr="00FC1209">
        <w:rPr>
          <w:lang w:val="fr-FR"/>
        </w:rPr>
        <w:t>.</w:t>
      </w:r>
    </w:p>
    <w:p w14:paraId="0AB3E44B" w14:textId="10435799" w:rsidR="00520996" w:rsidRPr="009E0422" w:rsidRDefault="00520996" w:rsidP="00520996">
      <w:pPr>
        <w:pStyle w:val="SingleTxtG"/>
        <w:rPr>
          <w:lang w:val="fr-FR"/>
        </w:rPr>
      </w:pPr>
      <w:r>
        <w:rPr>
          <w:lang w:val="fr-FR"/>
        </w:rPr>
        <w:t>33</w:t>
      </w:r>
      <w:r w:rsidR="00FC1209" w:rsidRPr="00FC1209">
        <w:rPr>
          <w:lang w:val="fr-FR"/>
        </w:rPr>
        <w:t>.</w:t>
      </w:r>
      <w:r w:rsidRPr="009E0422">
        <w:rPr>
          <w:lang w:val="fr-FR"/>
        </w:rPr>
        <w:tab/>
        <w:t>Il a été noté qu</w:t>
      </w:r>
      <w:r w:rsidR="00F70B88">
        <w:rPr>
          <w:lang w:val="fr-FR"/>
        </w:rPr>
        <w:t>’</w:t>
      </w:r>
      <w:r w:rsidRPr="009E0422">
        <w:rPr>
          <w:lang w:val="fr-FR"/>
        </w:rPr>
        <w:t>aucune disposition transitoire n</w:t>
      </w:r>
      <w:r w:rsidR="00F70B88">
        <w:rPr>
          <w:lang w:val="fr-FR"/>
        </w:rPr>
        <w:t>’</w:t>
      </w:r>
      <w:r w:rsidRPr="009E0422">
        <w:rPr>
          <w:lang w:val="fr-FR"/>
        </w:rPr>
        <w:t>était nécessaire et que l</w:t>
      </w:r>
      <w:r w:rsidR="00F70B88">
        <w:rPr>
          <w:lang w:val="fr-FR"/>
        </w:rPr>
        <w:t>’</w:t>
      </w:r>
      <w:r w:rsidRPr="009E0422">
        <w:rPr>
          <w:lang w:val="fr-FR"/>
        </w:rPr>
        <w:t>accord multilatéral ADR</w:t>
      </w:r>
      <w:r>
        <w:rPr>
          <w:lang w:val="fr-FR"/>
        </w:rPr>
        <w:t> </w:t>
      </w:r>
      <w:r w:rsidRPr="009E0422">
        <w:rPr>
          <w:lang w:val="fr-FR"/>
        </w:rPr>
        <w:t>M318 restait valable jusqu</w:t>
      </w:r>
      <w:r w:rsidR="00F70B88">
        <w:rPr>
          <w:lang w:val="fr-FR"/>
        </w:rPr>
        <w:t>’</w:t>
      </w:r>
      <w:r w:rsidRPr="009E0422">
        <w:rPr>
          <w:lang w:val="fr-FR"/>
        </w:rPr>
        <w:t>à la mi</w:t>
      </w:r>
      <w:r w:rsidR="00214828">
        <w:rPr>
          <w:lang w:val="fr-FR"/>
        </w:rPr>
        <w:t>-</w:t>
      </w:r>
      <w:r w:rsidRPr="009E0422">
        <w:rPr>
          <w:lang w:val="fr-FR"/>
        </w:rPr>
        <w:t>2023</w:t>
      </w:r>
      <w:r w:rsidR="00FC1209" w:rsidRPr="00FC1209">
        <w:rPr>
          <w:lang w:val="fr-FR"/>
        </w:rPr>
        <w:t>.</w:t>
      </w:r>
      <w:r w:rsidRPr="009E0422">
        <w:rPr>
          <w:lang w:val="fr-FR"/>
        </w:rPr>
        <w:t xml:space="preserve"> De plus amples informations sur la procédure suivie par le Département des transports pour modifier les dispositions du chapitre</w:t>
      </w:r>
      <w:r>
        <w:rPr>
          <w:lang w:val="fr-FR"/>
        </w:rPr>
        <w:t> </w:t>
      </w:r>
      <w:r w:rsidRPr="009E0422">
        <w:rPr>
          <w:lang w:val="fr-FR"/>
        </w:rPr>
        <w:t>49 du Recueil des règlements fédéraux sont disponibles à l</w:t>
      </w:r>
      <w:r w:rsidR="00F70B88">
        <w:rPr>
          <w:lang w:val="fr-FR"/>
        </w:rPr>
        <w:t>’</w:t>
      </w:r>
      <w:r w:rsidRPr="009E0422">
        <w:rPr>
          <w:lang w:val="fr-FR"/>
        </w:rPr>
        <w:t>adresse suivante</w:t>
      </w:r>
      <w:r>
        <w:rPr>
          <w:lang w:val="fr-FR"/>
        </w:rPr>
        <w:t> </w:t>
      </w:r>
      <w:r w:rsidRPr="009E0422">
        <w:rPr>
          <w:lang w:val="fr-FR"/>
        </w:rPr>
        <w:t xml:space="preserve">: </w:t>
      </w:r>
      <w:hyperlink r:id="rId8" w:history="1">
        <w:r w:rsidRPr="00CC4B6D">
          <w:rPr>
            <w:rStyle w:val="Hyperlink"/>
            <w:lang w:val="fr-FR"/>
          </w:rPr>
          <w:t>www</w:t>
        </w:r>
        <w:r w:rsidR="00FC1209" w:rsidRPr="00FC1209">
          <w:rPr>
            <w:rStyle w:val="Hyperlink"/>
            <w:lang w:val="fr-FR"/>
          </w:rPr>
          <w:t>.</w:t>
        </w:r>
        <w:r w:rsidRPr="00CC4B6D">
          <w:rPr>
            <w:rStyle w:val="Hyperlink"/>
            <w:lang w:val="fr-FR"/>
          </w:rPr>
          <w:t>federalregister</w:t>
        </w:r>
        <w:r w:rsidR="00FC1209" w:rsidRPr="00FC1209">
          <w:rPr>
            <w:rStyle w:val="Hyperlink"/>
            <w:lang w:val="fr-FR"/>
          </w:rPr>
          <w:t>.</w:t>
        </w:r>
        <w:r w:rsidRPr="00CC4B6D">
          <w:rPr>
            <w:rStyle w:val="Hyperlink"/>
            <w:lang w:val="fr-FR"/>
          </w:rPr>
          <w:t>gov/documents/2020/11/25/2020-23712/hazardous-materials-adoption-of-miscellaneous-petitions-to-reduce-regulatory-burdens</w:t>
        </w:r>
      </w:hyperlink>
      <w:r w:rsidR="00FC1209" w:rsidRPr="00FC1209">
        <w:rPr>
          <w:lang w:val="fr-FR"/>
        </w:rPr>
        <w:t>.</w:t>
      </w:r>
    </w:p>
    <w:p w14:paraId="3249C852" w14:textId="2BC3959C" w:rsidR="00520996" w:rsidRPr="009E0422" w:rsidRDefault="00520996" w:rsidP="00F80E49">
      <w:pPr>
        <w:pStyle w:val="H23G"/>
        <w:rPr>
          <w:lang w:val="fr-FR"/>
        </w:rPr>
      </w:pPr>
      <w:r w:rsidRPr="009E0422">
        <w:rPr>
          <w:lang w:val="fr-FR"/>
        </w:rPr>
        <w:lastRenderedPageBreak/>
        <w:tab/>
      </w:r>
      <w:r>
        <w:rPr>
          <w:lang w:val="fr-FR"/>
        </w:rPr>
        <w:t>5</w:t>
      </w:r>
      <w:r w:rsidR="00214828">
        <w:rPr>
          <w:lang w:val="fr-FR"/>
        </w:rPr>
        <w:t>.</w:t>
      </w:r>
      <w:r w:rsidRPr="009E0422">
        <w:rPr>
          <w:lang w:val="fr-FR"/>
        </w:rPr>
        <w:tab/>
        <w:t>6</w:t>
      </w:r>
      <w:r w:rsidR="00FC1209" w:rsidRPr="00FC1209">
        <w:rPr>
          <w:lang w:val="fr-FR"/>
        </w:rPr>
        <w:t>.</w:t>
      </w:r>
      <w:r w:rsidRPr="009E0422">
        <w:rPr>
          <w:lang w:val="fr-FR"/>
        </w:rPr>
        <w:t>2</w:t>
      </w:r>
      <w:r w:rsidR="00FC1209" w:rsidRPr="00FC1209">
        <w:rPr>
          <w:lang w:val="fr-FR"/>
        </w:rPr>
        <w:t>.</w:t>
      </w:r>
      <w:r w:rsidRPr="009E0422">
        <w:rPr>
          <w:lang w:val="fr-FR"/>
        </w:rPr>
        <w:t>3</w:t>
      </w:r>
      <w:r w:rsidR="00FC1209" w:rsidRPr="00FC1209">
        <w:rPr>
          <w:lang w:val="fr-FR"/>
        </w:rPr>
        <w:t>.</w:t>
      </w:r>
      <w:r w:rsidRPr="009E0422">
        <w:rPr>
          <w:lang w:val="fr-FR"/>
        </w:rPr>
        <w:t>1</w:t>
      </w:r>
      <w:r w:rsidR="00FC1209" w:rsidRPr="00FC1209">
        <w:rPr>
          <w:lang w:val="fr-FR"/>
        </w:rPr>
        <w:t>.</w:t>
      </w:r>
      <w:r w:rsidRPr="009E0422">
        <w:rPr>
          <w:lang w:val="fr-FR"/>
        </w:rPr>
        <w:t>5 du RID et de l</w:t>
      </w:r>
      <w:r w:rsidR="00F70B88">
        <w:rPr>
          <w:lang w:val="fr-FR"/>
        </w:rPr>
        <w:t>’</w:t>
      </w:r>
      <w:r w:rsidRPr="009E0422">
        <w:rPr>
          <w:lang w:val="fr-FR"/>
        </w:rPr>
        <w:t>ADR</w:t>
      </w:r>
      <w:r>
        <w:rPr>
          <w:lang w:val="fr-FR"/>
        </w:rPr>
        <w:t xml:space="preserve"> : </w:t>
      </w:r>
      <w:r w:rsidRPr="009E0422">
        <w:rPr>
          <w:lang w:val="fr-FR"/>
        </w:rPr>
        <w:t>dispositifs de décompression des bouteilles d</w:t>
      </w:r>
      <w:r w:rsidR="00F70B88">
        <w:rPr>
          <w:lang w:val="fr-FR"/>
        </w:rPr>
        <w:t>’</w:t>
      </w:r>
      <w:r w:rsidRPr="009E0422">
        <w:rPr>
          <w:lang w:val="fr-FR"/>
        </w:rPr>
        <w:t>acétylène ne portant pas la marque «</w:t>
      </w:r>
      <w:r>
        <w:rPr>
          <w:lang w:val="fr-FR"/>
        </w:rPr>
        <w:t> </w:t>
      </w:r>
      <w:r w:rsidRPr="009E0422">
        <w:rPr>
          <w:lang w:val="fr-FR"/>
        </w:rPr>
        <w:t>UN</w:t>
      </w:r>
      <w:r>
        <w:rPr>
          <w:lang w:val="fr-FR"/>
        </w:rPr>
        <w:t> </w:t>
      </w:r>
      <w:r w:rsidRPr="009E0422">
        <w:rPr>
          <w:lang w:val="fr-FR"/>
        </w:rPr>
        <w:t>»</w:t>
      </w:r>
    </w:p>
    <w:p w14:paraId="5396B8AC" w14:textId="5D81F2CF" w:rsidR="00520996" w:rsidRPr="009E0422" w:rsidRDefault="00520996" w:rsidP="00520996">
      <w:pPr>
        <w:pStyle w:val="SingleTxtG"/>
        <w:tabs>
          <w:tab w:val="left" w:pos="3119"/>
        </w:tabs>
        <w:rPr>
          <w:lang w:val="fr-FR"/>
        </w:rPr>
      </w:pPr>
      <w:r w:rsidRPr="00E427FF">
        <w:rPr>
          <w:i/>
          <w:iCs/>
          <w:lang w:val="fr-FR"/>
        </w:rPr>
        <w:t>Document</w:t>
      </w:r>
      <w:r>
        <w:rPr>
          <w:lang w:val="fr-FR"/>
        </w:rPr>
        <w:t> </w:t>
      </w:r>
      <w:r w:rsidRPr="009E0422">
        <w:rPr>
          <w:lang w:val="fr-FR"/>
        </w:rPr>
        <w:t>:</w:t>
      </w:r>
      <w:r w:rsidRPr="009E0422">
        <w:rPr>
          <w:lang w:val="fr-FR"/>
        </w:rPr>
        <w:tab/>
        <w:t>ECE/TRANS/WP</w:t>
      </w:r>
      <w:r w:rsidR="00FC1209" w:rsidRPr="00FC1209">
        <w:rPr>
          <w:lang w:val="fr-FR"/>
        </w:rPr>
        <w:t>.</w:t>
      </w:r>
      <w:r w:rsidRPr="009E0422">
        <w:rPr>
          <w:lang w:val="fr-FR"/>
        </w:rPr>
        <w:t>15/AC</w:t>
      </w:r>
      <w:r w:rsidR="00FC1209" w:rsidRPr="00FC1209">
        <w:rPr>
          <w:lang w:val="fr-FR"/>
        </w:rPr>
        <w:t>.</w:t>
      </w:r>
      <w:r w:rsidRPr="009E0422">
        <w:rPr>
          <w:lang w:val="fr-FR"/>
        </w:rPr>
        <w:t>1/2021/20 (Allemagne)</w:t>
      </w:r>
      <w:r w:rsidR="00FC1209" w:rsidRPr="00FC1209">
        <w:rPr>
          <w:lang w:val="fr-FR"/>
        </w:rPr>
        <w:t>.</w:t>
      </w:r>
    </w:p>
    <w:p w14:paraId="583771E1" w14:textId="0609C2A0" w:rsidR="00520996" w:rsidRPr="009E0422" w:rsidRDefault="00520996" w:rsidP="00520996">
      <w:pPr>
        <w:pStyle w:val="SingleTxtG"/>
        <w:tabs>
          <w:tab w:val="left" w:pos="3119"/>
        </w:tabs>
        <w:jc w:val="left"/>
        <w:rPr>
          <w:lang w:val="fr-FR"/>
        </w:rPr>
      </w:pPr>
      <w:r w:rsidRPr="009E0422">
        <w:rPr>
          <w:i/>
          <w:iCs/>
          <w:lang w:val="fr-FR"/>
        </w:rPr>
        <w:t>Document informel</w:t>
      </w:r>
      <w:r>
        <w:rPr>
          <w:i/>
          <w:iCs/>
          <w:lang w:val="fr-FR"/>
        </w:rPr>
        <w:t> </w:t>
      </w:r>
      <w:r w:rsidRPr="008E0280">
        <w:rPr>
          <w:lang w:val="fr-FR"/>
        </w:rPr>
        <w:t>:</w:t>
      </w:r>
      <w:r w:rsidRPr="009E0422">
        <w:rPr>
          <w:lang w:val="fr-FR"/>
        </w:rPr>
        <w:tab/>
        <w:t>INF</w:t>
      </w:r>
      <w:r w:rsidR="00FC1209" w:rsidRPr="00FC1209">
        <w:rPr>
          <w:lang w:val="fr-FR"/>
        </w:rPr>
        <w:t>.</w:t>
      </w:r>
      <w:r w:rsidRPr="009E0422">
        <w:rPr>
          <w:lang w:val="fr-FR"/>
        </w:rPr>
        <w:t>8 (Allemagne)</w:t>
      </w:r>
      <w:r w:rsidR="00FC1209" w:rsidRPr="00FC1209">
        <w:rPr>
          <w:lang w:val="fr-FR"/>
        </w:rPr>
        <w:t>.</w:t>
      </w:r>
    </w:p>
    <w:p w14:paraId="6218A4F2" w14:textId="4A10978A" w:rsidR="00520996" w:rsidRDefault="00520996" w:rsidP="00091C56">
      <w:pPr>
        <w:pStyle w:val="SingleTxtG"/>
        <w:spacing w:line="220" w:lineRule="atLeast"/>
        <w:rPr>
          <w:lang w:val="fr-FR"/>
        </w:rPr>
      </w:pPr>
      <w:r>
        <w:rPr>
          <w:lang w:val="fr-FR"/>
        </w:rPr>
        <w:t>34</w:t>
      </w:r>
      <w:r w:rsidR="00FC1209" w:rsidRPr="00FC1209">
        <w:rPr>
          <w:lang w:val="fr-FR"/>
        </w:rPr>
        <w:t>.</w:t>
      </w:r>
      <w:r w:rsidRPr="009E0422">
        <w:rPr>
          <w:lang w:val="fr-FR"/>
        </w:rPr>
        <w:tab/>
        <w:t>Constatant la très large adhésion en faveur de cette proposition, la Réunion commune a adopté les amendements au 6</w:t>
      </w:r>
      <w:r w:rsidR="00FC1209" w:rsidRPr="00FC1209">
        <w:rPr>
          <w:lang w:val="fr-FR"/>
        </w:rPr>
        <w:t>.</w:t>
      </w:r>
      <w:r w:rsidRPr="009E0422">
        <w:rPr>
          <w:lang w:val="fr-FR"/>
        </w:rPr>
        <w:t>2</w:t>
      </w:r>
      <w:r w:rsidR="00FC1209" w:rsidRPr="00FC1209">
        <w:rPr>
          <w:lang w:val="fr-FR"/>
        </w:rPr>
        <w:t>.</w:t>
      </w:r>
      <w:r w:rsidRPr="009E0422">
        <w:rPr>
          <w:lang w:val="fr-FR"/>
        </w:rPr>
        <w:t>3</w:t>
      </w:r>
      <w:r w:rsidR="00FC1209" w:rsidRPr="00FC1209">
        <w:rPr>
          <w:lang w:val="fr-FR"/>
        </w:rPr>
        <w:t>.</w:t>
      </w:r>
      <w:r w:rsidRPr="009E0422">
        <w:rPr>
          <w:lang w:val="fr-FR"/>
        </w:rPr>
        <w:t>1</w:t>
      </w:r>
      <w:r w:rsidR="00FC1209" w:rsidRPr="00FC1209">
        <w:rPr>
          <w:lang w:val="fr-FR"/>
        </w:rPr>
        <w:t>.</w:t>
      </w:r>
      <w:r w:rsidRPr="009E0422">
        <w:rPr>
          <w:lang w:val="fr-FR"/>
        </w:rPr>
        <w:t>5 du RID et de l</w:t>
      </w:r>
      <w:r w:rsidR="00F70B88">
        <w:rPr>
          <w:lang w:val="fr-FR"/>
        </w:rPr>
        <w:t>’</w:t>
      </w:r>
      <w:r w:rsidRPr="009E0422">
        <w:rPr>
          <w:lang w:val="fr-FR"/>
        </w:rPr>
        <w:t>ADR proposés dans le document informel INF</w:t>
      </w:r>
      <w:r w:rsidR="00FC1209" w:rsidRPr="00FC1209">
        <w:rPr>
          <w:lang w:val="fr-FR"/>
        </w:rPr>
        <w:t>.</w:t>
      </w:r>
      <w:r w:rsidRPr="009E0422">
        <w:rPr>
          <w:lang w:val="fr-FR"/>
        </w:rPr>
        <w:t>8 (voir annexe</w:t>
      </w:r>
      <w:r>
        <w:rPr>
          <w:lang w:val="fr-FR"/>
        </w:rPr>
        <w:t> II</w:t>
      </w:r>
      <w:r w:rsidRPr="009E0422">
        <w:rPr>
          <w:lang w:val="fr-FR"/>
        </w:rPr>
        <w:t>)</w:t>
      </w:r>
      <w:r w:rsidR="00FC1209" w:rsidRPr="00FC1209">
        <w:rPr>
          <w:lang w:val="fr-FR"/>
        </w:rPr>
        <w:t>.</w:t>
      </w:r>
    </w:p>
    <w:p w14:paraId="667CBA71" w14:textId="5AD82BC0" w:rsidR="00520996" w:rsidRPr="00983F26" w:rsidRDefault="00520996" w:rsidP="00520996">
      <w:pPr>
        <w:pStyle w:val="H23G"/>
        <w:keepNext w:val="0"/>
        <w:keepLines w:val="0"/>
        <w:spacing w:line="240" w:lineRule="auto"/>
        <w:rPr>
          <w:lang w:val="fr-FR"/>
        </w:rPr>
      </w:pPr>
      <w:r>
        <w:rPr>
          <w:lang w:val="fr-FR"/>
        </w:rPr>
        <w:tab/>
        <w:t>6</w:t>
      </w:r>
      <w:r w:rsidR="00214828">
        <w:rPr>
          <w:lang w:val="fr-FR"/>
        </w:rPr>
        <w:t>.</w:t>
      </w:r>
      <w:r>
        <w:rPr>
          <w:lang w:val="fr-FR"/>
        </w:rPr>
        <w:tab/>
        <w:t>Amélioration de la phrase d</w:t>
      </w:r>
      <w:r w:rsidR="00F70B88">
        <w:rPr>
          <w:lang w:val="fr-FR"/>
        </w:rPr>
        <w:t>’</w:t>
      </w:r>
      <w:r>
        <w:rPr>
          <w:lang w:val="fr-FR"/>
        </w:rPr>
        <w:t>introduction de la section 7</w:t>
      </w:r>
      <w:r w:rsidR="00FC1209" w:rsidRPr="00FC1209">
        <w:rPr>
          <w:lang w:val="fr-FR"/>
        </w:rPr>
        <w:t>.</w:t>
      </w:r>
      <w:r>
        <w:rPr>
          <w:lang w:val="fr-FR"/>
        </w:rPr>
        <w:t>4</w:t>
      </w:r>
      <w:r w:rsidR="00FC1209" w:rsidRPr="00FC1209">
        <w:rPr>
          <w:lang w:val="fr-FR"/>
        </w:rPr>
        <w:t>.</w:t>
      </w:r>
      <w:r>
        <w:rPr>
          <w:lang w:val="fr-FR"/>
        </w:rPr>
        <w:t>1 du chapitre 7</w:t>
      </w:r>
      <w:r w:rsidR="00FC1209" w:rsidRPr="00FC1209">
        <w:rPr>
          <w:lang w:val="fr-FR"/>
        </w:rPr>
        <w:t>.</w:t>
      </w:r>
      <w:r>
        <w:rPr>
          <w:lang w:val="fr-FR"/>
        </w:rPr>
        <w:t>4</w:t>
      </w:r>
    </w:p>
    <w:p w14:paraId="5A097BC8" w14:textId="125A1D2E" w:rsidR="00520996" w:rsidRPr="00983F26" w:rsidRDefault="00520996" w:rsidP="00520996">
      <w:pPr>
        <w:pStyle w:val="SingleTxtG"/>
        <w:tabs>
          <w:tab w:val="left" w:pos="3119"/>
        </w:tabs>
        <w:spacing w:line="240" w:lineRule="auto"/>
        <w:jc w:val="left"/>
        <w:rPr>
          <w:lang w:val="fr-FR"/>
        </w:rPr>
      </w:pPr>
      <w:r>
        <w:rPr>
          <w:i/>
          <w:iCs/>
          <w:lang w:val="fr-FR"/>
        </w:rPr>
        <w:t>Document informel </w:t>
      </w:r>
      <w:r w:rsidRPr="00847E22">
        <w:rPr>
          <w:lang w:val="fr-FR"/>
        </w:rPr>
        <w:t>:</w:t>
      </w:r>
      <w:r>
        <w:rPr>
          <w:lang w:val="fr-FR"/>
        </w:rPr>
        <w:tab/>
        <w:t>INF</w:t>
      </w:r>
      <w:r w:rsidR="00FC1209" w:rsidRPr="00FC1209">
        <w:rPr>
          <w:lang w:val="fr-FR"/>
        </w:rPr>
        <w:t>.</w:t>
      </w:r>
      <w:r>
        <w:rPr>
          <w:lang w:val="fr-FR"/>
        </w:rPr>
        <w:t>4 (EASA)</w:t>
      </w:r>
      <w:r w:rsidR="00FC1209" w:rsidRPr="00FC1209">
        <w:rPr>
          <w:lang w:val="fr-FR"/>
        </w:rPr>
        <w:t>.</w:t>
      </w:r>
    </w:p>
    <w:p w14:paraId="38DE95BA" w14:textId="5C28D8A8" w:rsidR="00520996" w:rsidRPr="00983F26" w:rsidRDefault="00520996" w:rsidP="00091C56">
      <w:pPr>
        <w:pStyle w:val="SingleTxtG"/>
        <w:spacing w:line="220" w:lineRule="atLeast"/>
        <w:rPr>
          <w:lang w:val="fr-FR"/>
        </w:rPr>
      </w:pPr>
      <w:r>
        <w:rPr>
          <w:lang w:val="fr-FR"/>
        </w:rPr>
        <w:t>35</w:t>
      </w:r>
      <w:r w:rsidR="00FC1209" w:rsidRPr="00FC1209">
        <w:rPr>
          <w:lang w:val="fr-FR"/>
        </w:rPr>
        <w:t>.</w:t>
      </w:r>
      <w:r>
        <w:rPr>
          <w:lang w:val="fr-FR"/>
        </w:rPr>
        <w:tab/>
        <w:t>La Réunion commune a adopté les amendements proposés pour le</w:t>
      </w:r>
      <w:r w:rsidR="00214828">
        <w:rPr>
          <w:lang w:val="fr-FR"/>
        </w:rPr>
        <w:t xml:space="preserve"> </w:t>
      </w:r>
      <w:r>
        <w:rPr>
          <w:lang w:val="fr-FR"/>
        </w:rPr>
        <w:t>7</w:t>
      </w:r>
      <w:r w:rsidR="00FC1209" w:rsidRPr="00FC1209">
        <w:rPr>
          <w:lang w:val="fr-FR"/>
        </w:rPr>
        <w:t>.</w:t>
      </w:r>
      <w:r>
        <w:rPr>
          <w:lang w:val="fr-FR"/>
        </w:rPr>
        <w:t>4</w:t>
      </w:r>
      <w:r w:rsidR="00FC1209" w:rsidRPr="00FC1209">
        <w:rPr>
          <w:lang w:val="fr-FR"/>
        </w:rPr>
        <w:t>.</w:t>
      </w:r>
      <w:r>
        <w:rPr>
          <w:lang w:val="fr-FR"/>
        </w:rPr>
        <w:t>1 du RID et de l</w:t>
      </w:r>
      <w:r w:rsidR="00F70B88">
        <w:rPr>
          <w:lang w:val="fr-FR"/>
        </w:rPr>
        <w:t>’</w:t>
      </w:r>
      <w:r>
        <w:rPr>
          <w:lang w:val="fr-FR"/>
        </w:rPr>
        <w:t>ADR (voir l</w:t>
      </w:r>
      <w:r w:rsidR="00F70B88">
        <w:rPr>
          <w:lang w:val="fr-FR"/>
        </w:rPr>
        <w:t>’</w:t>
      </w:r>
      <w:r>
        <w:rPr>
          <w:lang w:val="fr-FR"/>
        </w:rPr>
        <w:t>annexe II)</w:t>
      </w:r>
      <w:r w:rsidR="00FC1209" w:rsidRPr="00FC1209">
        <w:rPr>
          <w:lang w:val="fr-FR"/>
        </w:rPr>
        <w:t>.</w:t>
      </w:r>
    </w:p>
    <w:p w14:paraId="4E22D3E4" w14:textId="3CDFFCCC" w:rsidR="00520996" w:rsidRPr="00983F26" w:rsidRDefault="00520996" w:rsidP="00520996">
      <w:pPr>
        <w:pStyle w:val="H23G"/>
        <w:keepNext w:val="0"/>
        <w:keepLines w:val="0"/>
        <w:spacing w:line="240" w:lineRule="auto"/>
        <w:rPr>
          <w:lang w:val="fr-FR"/>
        </w:rPr>
      </w:pPr>
      <w:r>
        <w:rPr>
          <w:lang w:val="fr-FR"/>
        </w:rPr>
        <w:tab/>
        <w:t>7</w:t>
      </w:r>
      <w:r w:rsidR="00214828">
        <w:rPr>
          <w:lang w:val="fr-FR"/>
        </w:rPr>
        <w:t>.</w:t>
      </w:r>
      <w:r>
        <w:rPr>
          <w:lang w:val="fr-FR"/>
        </w:rPr>
        <w:tab/>
        <w:t>Peintures et encres d</w:t>
      </w:r>
      <w:r w:rsidR="00F70B88">
        <w:rPr>
          <w:lang w:val="fr-FR"/>
        </w:rPr>
        <w:t>’</w:t>
      </w:r>
      <w:r>
        <w:rPr>
          <w:lang w:val="fr-FR"/>
        </w:rPr>
        <w:t>imprimerie dangereuses pour l</w:t>
      </w:r>
      <w:r w:rsidR="00F70B88">
        <w:rPr>
          <w:lang w:val="fr-FR"/>
        </w:rPr>
        <w:t>’</w:t>
      </w:r>
      <w:r>
        <w:rPr>
          <w:lang w:val="fr-FR"/>
        </w:rPr>
        <w:t>environnement</w:t>
      </w:r>
    </w:p>
    <w:p w14:paraId="2927AB12" w14:textId="77B96F93" w:rsidR="00520996" w:rsidRPr="00983F26" w:rsidRDefault="00520996" w:rsidP="00520996">
      <w:pPr>
        <w:pStyle w:val="SingleTxtG"/>
        <w:tabs>
          <w:tab w:val="left" w:pos="3119"/>
        </w:tabs>
        <w:spacing w:line="240" w:lineRule="auto"/>
        <w:jc w:val="left"/>
        <w:rPr>
          <w:lang w:val="fr-FR"/>
        </w:rPr>
      </w:pPr>
      <w:r>
        <w:rPr>
          <w:i/>
          <w:iCs/>
          <w:lang w:val="fr-FR"/>
        </w:rPr>
        <w:t>Document informel </w:t>
      </w:r>
      <w:r w:rsidRPr="00847E22">
        <w:rPr>
          <w:lang w:val="fr-FR"/>
        </w:rPr>
        <w:t>:</w:t>
      </w:r>
      <w:r>
        <w:rPr>
          <w:lang w:val="fr-FR"/>
        </w:rPr>
        <w:tab/>
        <w:t>INF</w:t>
      </w:r>
      <w:r w:rsidR="00FC1209" w:rsidRPr="00FC1209">
        <w:rPr>
          <w:lang w:val="fr-FR"/>
        </w:rPr>
        <w:t>.</w:t>
      </w:r>
      <w:r>
        <w:rPr>
          <w:lang w:val="fr-FR"/>
        </w:rPr>
        <w:t>17 (CEPE)</w:t>
      </w:r>
      <w:r w:rsidR="00FC1209" w:rsidRPr="00FC1209">
        <w:rPr>
          <w:lang w:val="fr-FR"/>
        </w:rPr>
        <w:t>.</w:t>
      </w:r>
    </w:p>
    <w:p w14:paraId="71DA91D3" w14:textId="7FEA5A8B" w:rsidR="00520996" w:rsidRDefault="00520996" w:rsidP="00091C56">
      <w:pPr>
        <w:pStyle w:val="SingleTxtG"/>
        <w:rPr>
          <w:lang w:val="fr-FR"/>
        </w:rPr>
      </w:pPr>
      <w:r>
        <w:rPr>
          <w:lang w:val="fr-FR"/>
        </w:rPr>
        <w:t>36</w:t>
      </w:r>
      <w:r w:rsidR="00FC1209" w:rsidRPr="00FC1209">
        <w:rPr>
          <w:lang w:val="fr-FR"/>
        </w:rPr>
        <w:t>.</w:t>
      </w:r>
      <w:r>
        <w:rPr>
          <w:lang w:val="fr-FR"/>
        </w:rPr>
        <w:tab/>
        <w:t xml:space="preserve">Plusieurs représentants ont fait observer que les matières visées par le </w:t>
      </w:r>
      <w:r w:rsidR="00214828">
        <w:rPr>
          <w:rFonts w:eastAsia="MS Mincho"/>
          <w:lang w:val="fr-FR"/>
        </w:rPr>
        <w:t>N</w:t>
      </w:r>
      <w:r w:rsidRPr="00214828">
        <w:rPr>
          <w:rFonts w:eastAsia="MS Mincho"/>
          <w:lang w:val="fr-FR"/>
        </w:rPr>
        <w:t>o</w:t>
      </w:r>
      <w:r>
        <w:rPr>
          <w:lang w:val="fr-FR"/>
        </w:rPr>
        <w:t> ONU 3082 ne devraient pas toutes être exemptées et que le champ d</w:t>
      </w:r>
      <w:r w:rsidR="00F70B88">
        <w:rPr>
          <w:lang w:val="fr-FR"/>
        </w:rPr>
        <w:t>’</w:t>
      </w:r>
      <w:r>
        <w:rPr>
          <w:lang w:val="fr-FR"/>
        </w:rPr>
        <w:t>application de cette rubrique devrait être ciblé</w:t>
      </w:r>
      <w:r w:rsidR="00FC1209" w:rsidRPr="00FC1209">
        <w:rPr>
          <w:lang w:val="fr-FR"/>
        </w:rPr>
        <w:t>.</w:t>
      </w:r>
      <w:r>
        <w:rPr>
          <w:lang w:val="fr-FR"/>
        </w:rPr>
        <w:t xml:space="preserve"> Il a en outre été proposé de recourir à un accord multilatéral plutôt qu</w:t>
      </w:r>
      <w:r w:rsidR="00F70B88">
        <w:rPr>
          <w:lang w:val="fr-FR"/>
        </w:rPr>
        <w:t>’</w:t>
      </w:r>
      <w:r>
        <w:rPr>
          <w:lang w:val="fr-FR"/>
        </w:rPr>
        <w:t>à une disposition transitoire pour régler le problème</w:t>
      </w:r>
      <w:r w:rsidR="00FC1209" w:rsidRPr="00FC1209">
        <w:rPr>
          <w:lang w:val="fr-FR"/>
        </w:rPr>
        <w:t>.</w:t>
      </w:r>
      <w:r>
        <w:rPr>
          <w:lang w:val="fr-FR"/>
        </w:rPr>
        <w:t xml:space="preserve"> Les représentants ont été invités à communiquer leurs observations par écrit au représentant du CEPE, lequel s</w:t>
      </w:r>
      <w:r w:rsidR="00F70B88">
        <w:rPr>
          <w:lang w:val="fr-FR"/>
        </w:rPr>
        <w:t>’</w:t>
      </w:r>
      <w:r>
        <w:rPr>
          <w:lang w:val="fr-FR"/>
        </w:rPr>
        <w:t>est porté volontaire pour élaborer, pour examen en tant que document officiel à la prochaine session, une proposition révisée tenant compte des observations reçues</w:t>
      </w:r>
      <w:r w:rsidR="00FC1209" w:rsidRPr="00FC1209">
        <w:rPr>
          <w:lang w:val="fr-FR"/>
        </w:rPr>
        <w:t>.</w:t>
      </w:r>
    </w:p>
    <w:p w14:paraId="69194602" w14:textId="3769DDA5" w:rsidR="00520996" w:rsidRPr="00346A60" w:rsidRDefault="00520996" w:rsidP="00520996">
      <w:pPr>
        <w:pStyle w:val="H23G"/>
        <w:rPr>
          <w:lang w:val="fr-FR"/>
        </w:rPr>
      </w:pPr>
      <w:r>
        <w:rPr>
          <w:lang w:val="fr-FR"/>
        </w:rPr>
        <w:tab/>
        <w:t>8</w:t>
      </w:r>
      <w:r w:rsidR="00214828">
        <w:rPr>
          <w:lang w:val="fr-FR"/>
        </w:rPr>
        <w:t>.</w:t>
      </w:r>
      <w:r>
        <w:rPr>
          <w:lang w:val="fr-FR"/>
        </w:rPr>
        <w:tab/>
        <w:t>Certificat d</w:t>
      </w:r>
      <w:r w:rsidR="00F70B88">
        <w:rPr>
          <w:lang w:val="fr-FR"/>
        </w:rPr>
        <w:t>’</w:t>
      </w:r>
      <w:r>
        <w:rPr>
          <w:lang w:val="fr-FR"/>
        </w:rPr>
        <w:t>empotage du conteneur ou du véhicule</w:t>
      </w:r>
    </w:p>
    <w:p w14:paraId="099FAC65" w14:textId="6119FA7C" w:rsidR="00520996" w:rsidRPr="00346A60" w:rsidRDefault="00520996" w:rsidP="00520996">
      <w:pPr>
        <w:pStyle w:val="SingleTxtG"/>
        <w:tabs>
          <w:tab w:val="left" w:pos="3119"/>
        </w:tabs>
        <w:ind w:left="3119" w:hanging="1985"/>
        <w:jc w:val="left"/>
        <w:rPr>
          <w:lang w:val="fr-FR"/>
        </w:rPr>
      </w:pPr>
      <w:r>
        <w:rPr>
          <w:i/>
          <w:iCs/>
          <w:lang w:val="fr-FR"/>
        </w:rPr>
        <w:t>Document </w:t>
      </w:r>
      <w:r>
        <w:rPr>
          <w:lang w:val="fr-FR"/>
        </w:rPr>
        <w:t>:</w:t>
      </w:r>
      <w:r>
        <w:rPr>
          <w:lang w:val="fr-FR"/>
        </w:rPr>
        <w:tab/>
        <w:t>ECE/TRANS/WP</w:t>
      </w:r>
      <w:r w:rsidR="00FC1209" w:rsidRPr="00FC1209">
        <w:rPr>
          <w:lang w:val="fr-FR"/>
        </w:rPr>
        <w:t>.</w:t>
      </w:r>
      <w:r>
        <w:rPr>
          <w:lang w:val="fr-FR"/>
        </w:rPr>
        <w:t>15/AC</w:t>
      </w:r>
      <w:r w:rsidR="00FC1209" w:rsidRPr="00FC1209">
        <w:rPr>
          <w:lang w:val="fr-FR"/>
        </w:rPr>
        <w:t>.</w:t>
      </w:r>
      <w:r>
        <w:rPr>
          <w:lang w:val="fr-FR"/>
        </w:rPr>
        <w:t>1/2021/22 (Pays-Bas)</w:t>
      </w:r>
      <w:r w:rsidR="00FC1209" w:rsidRPr="00FC1209">
        <w:rPr>
          <w:lang w:val="fr-FR"/>
        </w:rPr>
        <w:t>.</w:t>
      </w:r>
    </w:p>
    <w:p w14:paraId="4DA56739" w14:textId="729C283C" w:rsidR="00520996" w:rsidRPr="00346A60" w:rsidRDefault="00520996" w:rsidP="00520996">
      <w:pPr>
        <w:pStyle w:val="SingleTxtG"/>
        <w:tabs>
          <w:tab w:val="left" w:pos="3119"/>
        </w:tabs>
        <w:ind w:left="3119" w:hanging="1985"/>
        <w:jc w:val="left"/>
        <w:rPr>
          <w:lang w:val="fr-FR"/>
        </w:rPr>
      </w:pPr>
      <w:r>
        <w:rPr>
          <w:i/>
          <w:iCs/>
          <w:lang w:val="fr-FR"/>
        </w:rPr>
        <w:t>Document informel :</w:t>
      </w:r>
      <w:r>
        <w:rPr>
          <w:lang w:val="fr-FR"/>
        </w:rPr>
        <w:tab/>
        <w:t>INF</w:t>
      </w:r>
      <w:r w:rsidR="00FC1209" w:rsidRPr="00FC1209">
        <w:rPr>
          <w:lang w:val="fr-FR"/>
        </w:rPr>
        <w:t>.</w:t>
      </w:r>
      <w:r>
        <w:rPr>
          <w:lang w:val="fr-FR"/>
        </w:rPr>
        <w:t>40 (Pays-Bas)</w:t>
      </w:r>
      <w:r w:rsidR="00FC1209" w:rsidRPr="00FC1209">
        <w:rPr>
          <w:lang w:val="fr-FR"/>
        </w:rPr>
        <w:t>.</w:t>
      </w:r>
    </w:p>
    <w:p w14:paraId="5D75C8F3" w14:textId="1668A7AB" w:rsidR="00520996" w:rsidRPr="00346A60" w:rsidRDefault="00520996" w:rsidP="00520996">
      <w:pPr>
        <w:pStyle w:val="SingleTxtG"/>
        <w:rPr>
          <w:lang w:val="fr-FR"/>
        </w:rPr>
      </w:pPr>
      <w:r>
        <w:rPr>
          <w:lang w:val="fr-FR"/>
        </w:rPr>
        <w:t>37</w:t>
      </w:r>
      <w:r w:rsidR="00FC1209" w:rsidRPr="00FC1209">
        <w:rPr>
          <w:lang w:val="fr-FR"/>
        </w:rPr>
        <w:t>.</w:t>
      </w:r>
      <w:r>
        <w:rPr>
          <w:lang w:val="fr-FR"/>
        </w:rPr>
        <w:tab/>
        <w:t>La Réunion commune a passé en revue les options présentées dans le document ECE/TRANS/WP</w:t>
      </w:r>
      <w:r w:rsidR="00FC1209" w:rsidRPr="00FC1209">
        <w:rPr>
          <w:lang w:val="fr-FR"/>
        </w:rPr>
        <w:t>.</w:t>
      </w:r>
      <w:r>
        <w:rPr>
          <w:lang w:val="fr-FR"/>
        </w:rPr>
        <w:t>15/AC</w:t>
      </w:r>
      <w:r w:rsidR="00FC1209" w:rsidRPr="00FC1209">
        <w:rPr>
          <w:lang w:val="fr-FR"/>
        </w:rPr>
        <w:t>.</w:t>
      </w:r>
      <w:r>
        <w:rPr>
          <w:lang w:val="fr-FR"/>
        </w:rPr>
        <w:t>1/2021/22 et adopté les amendements au 5</w:t>
      </w:r>
      <w:r w:rsidR="00FC1209" w:rsidRPr="00FC1209">
        <w:rPr>
          <w:lang w:val="fr-FR"/>
        </w:rPr>
        <w:t>.</w:t>
      </w:r>
      <w:r>
        <w:rPr>
          <w:lang w:val="fr-FR"/>
        </w:rPr>
        <w:t>4</w:t>
      </w:r>
      <w:r w:rsidR="00FC1209" w:rsidRPr="00FC1209">
        <w:rPr>
          <w:lang w:val="fr-FR"/>
        </w:rPr>
        <w:t>.</w:t>
      </w:r>
      <w:r>
        <w:rPr>
          <w:lang w:val="fr-FR"/>
        </w:rPr>
        <w:t>2 du RID, de l</w:t>
      </w:r>
      <w:r w:rsidR="00F70B88">
        <w:rPr>
          <w:lang w:val="fr-FR"/>
        </w:rPr>
        <w:t>’</w:t>
      </w:r>
      <w:r>
        <w:rPr>
          <w:lang w:val="fr-FR"/>
        </w:rPr>
        <w:t>ADR et de l</w:t>
      </w:r>
      <w:r w:rsidR="00F70B88">
        <w:rPr>
          <w:lang w:val="fr-FR"/>
        </w:rPr>
        <w:t>’</w:t>
      </w:r>
      <w:r>
        <w:rPr>
          <w:lang w:val="fr-FR"/>
        </w:rPr>
        <w:t>ADN et au 8</w:t>
      </w:r>
      <w:r w:rsidR="00FC1209" w:rsidRPr="00FC1209">
        <w:rPr>
          <w:lang w:val="fr-FR"/>
        </w:rPr>
        <w:t>.</w:t>
      </w:r>
      <w:r>
        <w:rPr>
          <w:lang w:val="fr-FR"/>
        </w:rPr>
        <w:t>1</w:t>
      </w:r>
      <w:r w:rsidR="00FC1209" w:rsidRPr="00FC1209">
        <w:rPr>
          <w:lang w:val="fr-FR"/>
        </w:rPr>
        <w:t>.</w:t>
      </w:r>
      <w:r>
        <w:rPr>
          <w:lang w:val="fr-FR"/>
        </w:rPr>
        <w:t>2</w:t>
      </w:r>
      <w:r w:rsidR="00FC1209" w:rsidRPr="00FC1209">
        <w:rPr>
          <w:lang w:val="fr-FR"/>
        </w:rPr>
        <w:t>.</w:t>
      </w:r>
      <w:r>
        <w:rPr>
          <w:lang w:val="fr-FR"/>
        </w:rPr>
        <w:t>1 de l</w:t>
      </w:r>
      <w:r w:rsidR="00F70B88">
        <w:rPr>
          <w:lang w:val="fr-FR"/>
        </w:rPr>
        <w:t>’</w:t>
      </w:r>
      <w:r>
        <w:rPr>
          <w:lang w:val="fr-FR"/>
        </w:rPr>
        <w:t>ADR et de l</w:t>
      </w:r>
      <w:r w:rsidR="00F70B88">
        <w:rPr>
          <w:lang w:val="fr-FR"/>
        </w:rPr>
        <w:t>’</w:t>
      </w:r>
      <w:r>
        <w:rPr>
          <w:lang w:val="fr-FR"/>
        </w:rPr>
        <w:t>ADN tels que proposés dans le document informel INF</w:t>
      </w:r>
      <w:r w:rsidR="00FC1209" w:rsidRPr="00FC1209">
        <w:rPr>
          <w:lang w:val="fr-FR"/>
        </w:rPr>
        <w:t>.</w:t>
      </w:r>
      <w:r>
        <w:rPr>
          <w:lang w:val="fr-FR"/>
        </w:rPr>
        <w:t>40 (voir l</w:t>
      </w:r>
      <w:r w:rsidR="00F70B88">
        <w:rPr>
          <w:lang w:val="fr-FR"/>
        </w:rPr>
        <w:t>’</w:t>
      </w:r>
      <w:r>
        <w:rPr>
          <w:lang w:val="fr-FR"/>
        </w:rPr>
        <w:t>annexe II)</w:t>
      </w:r>
      <w:r w:rsidR="00FC1209" w:rsidRPr="00FC1209">
        <w:rPr>
          <w:lang w:val="fr-FR"/>
        </w:rPr>
        <w:t>.</w:t>
      </w:r>
    </w:p>
    <w:p w14:paraId="0AAB0AEA" w14:textId="15862155" w:rsidR="00520996" w:rsidRPr="00346A60" w:rsidRDefault="00520996" w:rsidP="00520996">
      <w:pPr>
        <w:pStyle w:val="H23G"/>
        <w:rPr>
          <w:lang w:val="fr-FR"/>
        </w:rPr>
      </w:pPr>
      <w:r>
        <w:rPr>
          <w:lang w:val="fr-FR"/>
        </w:rPr>
        <w:tab/>
        <w:t>9</w:t>
      </w:r>
      <w:r w:rsidR="00214828">
        <w:rPr>
          <w:lang w:val="fr-FR"/>
        </w:rPr>
        <w:t>.</w:t>
      </w:r>
      <w:r>
        <w:rPr>
          <w:lang w:val="fr-FR"/>
        </w:rPr>
        <w:tab/>
        <w:t>Mandat du groupe de travail informel de l</w:t>
      </w:r>
      <w:r w:rsidR="00F70B88">
        <w:rPr>
          <w:lang w:val="fr-FR"/>
        </w:rPr>
        <w:t>’</w:t>
      </w:r>
      <w:r>
        <w:rPr>
          <w:lang w:val="fr-FR"/>
        </w:rPr>
        <w:t>apprentissage en ligne</w:t>
      </w:r>
    </w:p>
    <w:p w14:paraId="5ECE776A" w14:textId="426494FA" w:rsidR="00520996" w:rsidRPr="00346A60" w:rsidRDefault="00520996" w:rsidP="00520996">
      <w:pPr>
        <w:pStyle w:val="SingleTxtG"/>
        <w:tabs>
          <w:tab w:val="left" w:pos="3119"/>
        </w:tabs>
        <w:ind w:left="3119" w:hanging="1985"/>
        <w:jc w:val="left"/>
        <w:rPr>
          <w:lang w:val="fr-FR"/>
        </w:rPr>
      </w:pPr>
      <w:r>
        <w:rPr>
          <w:i/>
          <w:iCs/>
          <w:lang w:val="fr-FR"/>
        </w:rPr>
        <w:t>Document informel :</w:t>
      </w:r>
      <w:r>
        <w:rPr>
          <w:lang w:val="fr-FR"/>
        </w:rPr>
        <w:tab/>
        <w:t>INF</w:t>
      </w:r>
      <w:r w:rsidR="00FC1209" w:rsidRPr="00FC1209">
        <w:rPr>
          <w:lang w:val="fr-FR"/>
        </w:rPr>
        <w:t>.</w:t>
      </w:r>
      <w:r>
        <w:rPr>
          <w:lang w:val="fr-FR"/>
        </w:rPr>
        <w:t>19 (IRU)</w:t>
      </w:r>
      <w:r w:rsidR="00FC1209" w:rsidRPr="00FC1209">
        <w:rPr>
          <w:lang w:val="fr-FR"/>
        </w:rPr>
        <w:t>.</w:t>
      </w:r>
    </w:p>
    <w:p w14:paraId="31C8177E" w14:textId="685BD99C" w:rsidR="00520996" w:rsidRDefault="00520996" w:rsidP="00091C56">
      <w:pPr>
        <w:pStyle w:val="SingleTxtG"/>
        <w:spacing w:line="220" w:lineRule="atLeast"/>
        <w:rPr>
          <w:lang w:val="fr-FR"/>
        </w:rPr>
      </w:pPr>
      <w:r>
        <w:rPr>
          <w:lang w:val="fr-FR"/>
        </w:rPr>
        <w:t>38</w:t>
      </w:r>
      <w:r w:rsidR="00FC1209" w:rsidRPr="00FC1209">
        <w:rPr>
          <w:lang w:val="fr-FR"/>
        </w:rPr>
        <w:t>.</w:t>
      </w:r>
      <w:r>
        <w:rPr>
          <w:lang w:val="fr-FR"/>
        </w:rPr>
        <w:tab/>
        <w:t>La Réunion commune a jugé d</w:t>
      </w:r>
      <w:r w:rsidR="00F70B88">
        <w:rPr>
          <w:lang w:val="fr-FR"/>
        </w:rPr>
        <w:t>’</w:t>
      </w:r>
      <w:r>
        <w:rPr>
          <w:lang w:val="fr-FR"/>
        </w:rPr>
        <w:t>un commun accord qu</w:t>
      </w:r>
      <w:r w:rsidR="00F70B88">
        <w:rPr>
          <w:lang w:val="fr-FR"/>
        </w:rPr>
        <w:t>’</w:t>
      </w:r>
      <w:r>
        <w:rPr>
          <w:lang w:val="fr-FR"/>
        </w:rPr>
        <w:t>il était important d</w:t>
      </w:r>
      <w:r w:rsidR="00F70B88">
        <w:rPr>
          <w:lang w:val="fr-FR"/>
        </w:rPr>
        <w:t>’</w:t>
      </w:r>
      <w:r>
        <w:rPr>
          <w:lang w:val="fr-FR"/>
        </w:rPr>
        <w:t>étudier les possibilités d</w:t>
      </w:r>
      <w:r w:rsidR="00F70B88">
        <w:rPr>
          <w:lang w:val="fr-FR"/>
        </w:rPr>
        <w:t>’</w:t>
      </w:r>
      <w:r>
        <w:rPr>
          <w:lang w:val="fr-FR"/>
        </w:rPr>
        <w:t>apprentissage en ligne dans le contexte des mesures de lutte contre la pandémie et d</w:t>
      </w:r>
      <w:r w:rsidR="00F70B88">
        <w:rPr>
          <w:lang w:val="fr-FR"/>
        </w:rPr>
        <w:t>’</w:t>
      </w:r>
      <w:r>
        <w:rPr>
          <w:lang w:val="fr-FR"/>
        </w:rPr>
        <w:t>élaborer des lignes directrices appropriées</w:t>
      </w:r>
      <w:r w:rsidR="00FC1209" w:rsidRPr="00FC1209">
        <w:rPr>
          <w:lang w:val="fr-FR"/>
        </w:rPr>
        <w:t>.</w:t>
      </w:r>
      <w:r>
        <w:rPr>
          <w:lang w:val="fr-FR"/>
        </w:rPr>
        <w:t xml:space="preserve"> S</w:t>
      </w:r>
      <w:r w:rsidR="00F70B88">
        <w:rPr>
          <w:lang w:val="fr-FR"/>
        </w:rPr>
        <w:t>’</w:t>
      </w:r>
      <w:r>
        <w:rPr>
          <w:lang w:val="fr-FR"/>
        </w:rPr>
        <w:t>agissant de la proposition de mandat, le représentant de l</w:t>
      </w:r>
      <w:r w:rsidR="00F70B88">
        <w:rPr>
          <w:lang w:val="fr-FR"/>
        </w:rPr>
        <w:t>’</w:t>
      </w:r>
      <w:r>
        <w:rPr>
          <w:lang w:val="fr-FR"/>
        </w:rPr>
        <w:t>Allemagne a préféré une plus grande concision et a rappelé à ce sujet le résultat du débat tenu au cours de la session du printemps 2019 (voir le document ECE/TRANS/WP</w:t>
      </w:r>
      <w:r w:rsidR="00FC1209" w:rsidRPr="00FC1209">
        <w:rPr>
          <w:lang w:val="fr-FR"/>
        </w:rPr>
        <w:t>.</w:t>
      </w:r>
      <w:r>
        <w:rPr>
          <w:lang w:val="fr-FR"/>
        </w:rPr>
        <w:t>15/AC</w:t>
      </w:r>
      <w:r w:rsidR="00FC1209" w:rsidRPr="00FC1209">
        <w:rPr>
          <w:lang w:val="fr-FR"/>
        </w:rPr>
        <w:t>.</w:t>
      </w:r>
      <w:r>
        <w:rPr>
          <w:lang w:val="fr-FR"/>
        </w:rPr>
        <w:t>1/154, par</w:t>
      </w:r>
      <w:r w:rsidR="00FC1209" w:rsidRPr="00FC1209">
        <w:rPr>
          <w:lang w:val="fr-FR"/>
        </w:rPr>
        <w:t>.</w:t>
      </w:r>
      <w:r>
        <w:rPr>
          <w:lang w:val="fr-FR"/>
        </w:rPr>
        <w:t xml:space="preserve"> 33)</w:t>
      </w:r>
      <w:r w:rsidR="00FC1209" w:rsidRPr="00FC1209">
        <w:rPr>
          <w:lang w:val="fr-FR"/>
        </w:rPr>
        <w:t>.</w:t>
      </w:r>
      <w:r>
        <w:rPr>
          <w:lang w:val="fr-FR"/>
        </w:rPr>
        <w:t xml:space="preserve"> Les représentants intéressés ont été invités à indiquer leur souhait de faire partie du groupe de travail informel au représentant de l</w:t>
      </w:r>
      <w:r w:rsidR="00F70B88">
        <w:rPr>
          <w:lang w:val="fr-FR"/>
        </w:rPr>
        <w:t>’</w:t>
      </w:r>
      <w:r>
        <w:rPr>
          <w:lang w:val="fr-FR"/>
        </w:rPr>
        <w:t>IRU (</w:t>
      </w:r>
      <w:hyperlink r:id="rId9" w:history="1">
        <w:r w:rsidRPr="00AD0936">
          <w:rPr>
            <w:rStyle w:val="Hyperlink"/>
          </w:rPr>
          <w:t>aldo</w:t>
        </w:r>
        <w:r w:rsidR="00FC1209" w:rsidRPr="00FC1209">
          <w:rPr>
            <w:rStyle w:val="Hyperlink"/>
          </w:rPr>
          <w:t>.</w:t>
        </w:r>
        <w:r w:rsidRPr="00AD0936">
          <w:rPr>
            <w:rStyle w:val="Hyperlink"/>
          </w:rPr>
          <w:t>celasco@iru</w:t>
        </w:r>
        <w:r w:rsidR="00FC1209" w:rsidRPr="00FC1209">
          <w:rPr>
            <w:rStyle w:val="Hyperlink"/>
          </w:rPr>
          <w:t>.</w:t>
        </w:r>
        <w:r w:rsidRPr="00AD0936">
          <w:rPr>
            <w:rStyle w:val="Hyperlink"/>
          </w:rPr>
          <w:t>org</w:t>
        </w:r>
      </w:hyperlink>
      <w:r>
        <w:rPr>
          <w:lang w:val="fr-FR"/>
        </w:rPr>
        <w:t>), lequel s</w:t>
      </w:r>
      <w:r w:rsidR="00F70B88">
        <w:rPr>
          <w:lang w:val="fr-FR"/>
        </w:rPr>
        <w:t>’</w:t>
      </w:r>
      <w:r>
        <w:rPr>
          <w:lang w:val="fr-FR"/>
        </w:rPr>
        <w:t>est porté volontaire pour organiser la réunion de lancement du groupe afin de compléter le projet de mandat présenté dans le document informel INF</w:t>
      </w:r>
      <w:r w:rsidR="00FC1209" w:rsidRPr="00FC1209">
        <w:rPr>
          <w:lang w:val="fr-FR"/>
        </w:rPr>
        <w:t>.</w:t>
      </w:r>
      <w:r>
        <w:rPr>
          <w:lang w:val="fr-FR"/>
        </w:rPr>
        <w:t>19 et de le soumettre pour adoption finale à la prochaine session de la Réunion commune</w:t>
      </w:r>
      <w:r w:rsidR="00FC1209" w:rsidRPr="00FC1209">
        <w:rPr>
          <w:lang w:val="fr-FR"/>
        </w:rPr>
        <w:t>.</w:t>
      </w:r>
    </w:p>
    <w:p w14:paraId="643A0B85" w14:textId="2977F89C" w:rsidR="00520996" w:rsidRPr="00346A60" w:rsidRDefault="00520996" w:rsidP="00520996">
      <w:pPr>
        <w:pStyle w:val="H23G"/>
        <w:rPr>
          <w:lang w:val="fr-FR"/>
        </w:rPr>
      </w:pPr>
      <w:r>
        <w:rPr>
          <w:lang w:val="fr-FR"/>
        </w:rPr>
        <w:tab/>
        <w:t>10</w:t>
      </w:r>
      <w:r w:rsidR="00214828">
        <w:rPr>
          <w:lang w:val="fr-FR"/>
        </w:rPr>
        <w:t>.</w:t>
      </w:r>
      <w:r>
        <w:rPr>
          <w:lang w:val="fr-FR"/>
        </w:rPr>
        <w:tab/>
        <w:t>Classification du No ONU 1010 − mélanges de butadiènes et d</w:t>
      </w:r>
      <w:r w:rsidR="00F70B88">
        <w:rPr>
          <w:lang w:val="fr-FR"/>
        </w:rPr>
        <w:t>’</w:t>
      </w:r>
      <w:r>
        <w:rPr>
          <w:lang w:val="fr-FR"/>
        </w:rPr>
        <w:t>hydrocarbures</w:t>
      </w:r>
    </w:p>
    <w:p w14:paraId="21D8E9D9" w14:textId="32D79E03" w:rsidR="00520996" w:rsidRPr="00346A60" w:rsidRDefault="00520996" w:rsidP="00520996">
      <w:pPr>
        <w:pStyle w:val="SingleTxtG"/>
        <w:keepNext/>
        <w:tabs>
          <w:tab w:val="left" w:pos="3119"/>
        </w:tabs>
        <w:ind w:left="3119" w:hanging="1985"/>
        <w:jc w:val="left"/>
        <w:rPr>
          <w:lang w:val="fr-FR"/>
        </w:rPr>
      </w:pPr>
      <w:r>
        <w:rPr>
          <w:i/>
          <w:iCs/>
          <w:lang w:val="fr-FR"/>
        </w:rPr>
        <w:t>Document informel :</w:t>
      </w:r>
      <w:r>
        <w:rPr>
          <w:lang w:val="fr-FR"/>
        </w:rPr>
        <w:tab/>
        <w:t>INF</w:t>
      </w:r>
      <w:r w:rsidR="00FC1209" w:rsidRPr="00FC1209">
        <w:rPr>
          <w:lang w:val="fr-FR"/>
        </w:rPr>
        <w:t>.</w:t>
      </w:r>
      <w:r>
        <w:rPr>
          <w:lang w:val="fr-FR"/>
        </w:rPr>
        <w:t>36 (CEFIC)</w:t>
      </w:r>
      <w:r w:rsidR="00FC1209" w:rsidRPr="00FC1209">
        <w:rPr>
          <w:lang w:val="fr-FR"/>
        </w:rPr>
        <w:t>.</w:t>
      </w:r>
    </w:p>
    <w:p w14:paraId="198FFF54" w14:textId="5D9913E7" w:rsidR="00520996" w:rsidRPr="00091C56" w:rsidRDefault="00520996" w:rsidP="00520996">
      <w:pPr>
        <w:pStyle w:val="SingleTxtG"/>
        <w:rPr>
          <w:spacing w:val="-2"/>
          <w:lang w:val="fr-FR"/>
        </w:rPr>
      </w:pPr>
      <w:r w:rsidRPr="00091C56">
        <w:rPr>
          <w:spacing w:val="-4"/>
          <w:lang w:val="fr-FR"/>
        </w:rPr>
        <w:t>39</w:t>
      </w:r>
      <w:r w:rsidR="00FC1209" w:rsidRPr="00091C56">
        <w:rPr>
          <w:spacing w:val="-4"/>
          <w:lang w:val="fr-FR"/>
        </w:rPr>
        <w:t>.</w:t>
      </w:r>
      <w:r w:rsidRPr="00091C56">
        <w:rPr>
          <w:spacing w:val="-4"/>
          <w:lang w:val="fr-FR"/>
        </w:rPr>
        <w:tab/>
      </w:r>
      <w:r w:rsidR="00091C56" w:rsidRPr="00091C56">
        <w:rPr>
          <w:spacing w:val="-2"/>
          <w:lang w:val="fr-FR"/>
        </w:rPr>
        <w:t>S’agissant des options proposées par le CEFIC, la Réunion commune n’a pas pu, pour le moment, retenir celle qui consistait à rétablir la rubrique précédente pour le No ONU 1010. Elle a recommandé au CEFIC, si possible, de contribuer à la rédaction d’un accord multilatéral pour le RID, l’ADR et l’ADN, en vue de son examen par le Groupe de travail des transports de marchandises dangereuses (WP.15) et par la Réunion commune à leurs prochaines sessions. Elle a également recommandé au représentant du CEFIC de soumettre une nouvelle proposition au Sous-Comité du transport des marchandises dangereuses, au mois de juin.</w:t>
      </w:r>
    </w:p>
    <w:p w14:paraId="4442F6A8" w14:textId="7EE55601" w:rsidR="00520996" w:rsidRPr="00346A60" w:rsidRDefault="00520996" w:rsidP="00F80E49">
      <w:pPr>
        <w:pStyle w:val="HChG"/>
        <w:rPr>
          <w:lang w:val="fr-FR"/>
        </w:rPr>
      </w:pPr>
      <w:r>
        <w:rPr>
          <w:lang w:val="fr-FR"/>
        </w:rPr>
        <w:lastRenderedPageBreak/>
        <w:tab/>
        <w:t>VIII</w:t>
      </w:r>
      <w:r w:rsidR="00FC1209" w:rsidRPr="00FC1209">
        <w:rPr>
          <w:lang w:val="fr-FR"/>
        </w:rPr>
        <w:t>.</w:t>
      </w:r>
      <w:r>
        <w:rPr>
          <w:lang w:val="fr-FR"/>
        </w:rPr>
        <w:tab/>
        <w:t xml:space="preserve">Rapports des groupes de travail informels </w:t>
      </w:r>
      <w:r w:rsidR="00F80E49">
        <w:rPr>
          <w:lang w:val="fr-FR"/>
        </w:rPr>
        <w:br/>
      </w:r>
      <w:r>
        <w:rPr>
          <w:lang w:val="fr-FR"/>
        </w:rPr>
        <w:t>(point 6 de l</w:t>
      </w:r>
      <w:r w:rsidR="00F70B88">
        <w:rPr>
          <w:lang w:val="fr-FR"/>
        </w:rPr>
        <w:t>’</w:t>
      </w:r>
      <w:r>
        <w:rPr>
          <w:lang w:val="fr-FR"/>
        </w:rPr>
        <w:t>ordre du jour)</w:t>
      </w:r>
    </w:p>
    <w:p w14:paraId="57FD6D43" w14:textId="035E920F" w:rsidR="00520996" w:rsidRPr="00346A60" w:rsidRDefault="00520996" w:rsidP="00520996">
      <w:pPr>
        <w:pStyle w:val="H1G"/>
        <w:rPr>
          <w:lang w:val="fr-FR"/>
        </w:rPr>
      </w:pPr>
      <w:r>
        <w:rPr>
          <w:lang w:val="fr-FR"/>
        </w:rPr>
        <w:tab/>
      </w:r>
      <w:r>
        <w:rPr>
          <w:lang w:val="fr-FR"/>
        </w:rPr>
        <w:tab/>
        <w:t xml:space="preserve">Informations relatives à la quantité transportée dans le document </w:t>
      </w:r>
      <w:r w:rsidR="00F33282">
        <w:rPr>
          <w:lang w:val="fr-FR"/>
        </w:rPr>
        <w:br/>
      </w:r>
      <w:r>
        <w:rPr>
          <w:lang w:val="fr-FR"/>
        </w:rPr>
        <w:t>de transport</w:t>
      </w:r>
    </w:p>
    <w:p w14:paraId="30558233" w14:textId="2F169F42" w:rsidR="00520996" w:rsidRPr="00346A60" w:rsidRDefault="00520996" w:rsidP="00520996">
      <w:pPr>
        <w:pStyle w:val="SingleTxtG"/>
        <w:tabs>
          <w:tab w:val="left" w:pos="3119"/>
        </w:tabs>
        <w:ind w:left="3119" w:hanging="1985"/>
        <w:jc w:val="left"/>
        <w:rPr>
          <w:lang w:val="fr-FR"/>
        </w:rPr>
      </w:pPr>
      <w:r>
        <w:rPr>
          <w:i/>
          <w:iCs/>
          <w:lang w:val="fr-FR"/>
        </w:rPr>
        <w:t>Document </w:t>
      </w:r>
      <w:r>
        <w:rPr>
          <w:lang w:val="fr-FR"/>
        </w:rPr>
        <w:t>:</w:t>
      </w:r>
      <w:r>
        <w:rPr>
          <w:lang w:val="fr-FR"/>
        </w:rPr>
        <w:tab/>
        <w:t>ECE/TRANS/WP</w:t>
      </w:r>
      <w:r w:rsidR="00FC1209" w:rsidRPr="00FC1209">
        <w:rPr>
          <w:lang w:val="fr-FR"/>
        </w:rPr>
        <w:t>.</w:t>
      </w:r>
      <w:r>
        <w:rPr>
          <w:lang w:val="fr-FR"/>
        </w:rPr>
        <w:t>15/AC</w:t>
      </w:r>
      <w:r w:rsidR="00FC1209" w:rsidRPr="00FC1209">
        <w:rPr>
          <w:lang w:val="fr-FR"/>
        </w:rPr>
        <w:t>.</w:t>
      </w:r>
      <w:r>
        <w:rPr>
          <w:lang w:val="fr-FR"/>
        </w:rPr>
        <w:t>1/2021/18 (FEAD)</w:t>
      </w:r>
      <w:r w:rsidR="00FC1209" w:rsidRPr="00FC1209">
        <w:rPr>
          <w:lang w:val="fr-FR"/>
        </w:rPr>
        <w:t>.</w:t>
      </w:r>
    </w:p>
    <w:p w14:paraId="5B70B6B7" w14:textId="023E258E" w:rsidR="00520996" w:rsidRPr="00346A60" w:rsidRDefault="00520996" w:rsidP="00520996">
      <w:pPr>
        <w:pStyle w:val="SingleTxtG"/>
        <w:tabs>
          <w:tab w:val="left" w:pos="3119"/>
        </w:tabs>
        <w:ind w:left="3119" w:hanging="1985"/>
        <w:jc w:val="left"/>
        <w:rPr>
          <w:lang w:val="fr-FR"/>
        </w:rPr>
      </w:pPr>
      <w:r>
        <w:rPr>
          <w:i/>
          <w:iCs/>
          <w:lang w:val="fr-FR"/>
        </w:rPr>
        <w:t>Documents informels :</w:t>
      </w:r>
      <w:r>
        <w:rPr>
          <w:lang w:val="fr-FR"/>
        </w:rPr>
        <w:tab/>
        <w:t>INF</w:t>
      </w:r>
      <w:r w:rsidR="00FC1209" w:rsidRPr="00FC1209">
        <w:rPr>
          <w:lang w:val="fr-FR"/>
        </w:rPr>
        <w:t>.</w:t>
      </w:r>
      <w:r>
        <w:rPr>
          <w:lang w:val="fr-FR"/>
        </w:rPr>
        <w:t>26 (Espagne)</w:t>
      </w:r>
      <w:r>
        <w:rPr>
          <w:lang w:val="fr-FR"/>
        </w:rPr>
        <w:br/>
        <w:t>INF</w:t>
      </w:r>
      <w:r w:rsidR="00FC1209" w:rsidRPr="00FC1209">
        <w:rPr>
          <w:lang w:val="fr-FR"/>
        </w:rPr>
        <w:t>.</w:t>
      </w:r>
      <w:r>
        <w:rPr>
          <w:lang w:val="fr-FR"/>
        </w:rPr>
        <w:t>27 et INF</w:t>
      </w:r>
      <w:r w:rsidR="00FC1209" w:rsidRPr="00FC1209">
        <w:rPr>
          <w:lang w:val="fr-FR"/>
        </w:rPr>
        <w:t>.</w:t>
      </w:r>
      <w:r>
        <w:rPr>
          <w:lang w:val="fr-FR"/>
        </w:rPr>
        <w:t>42 (FEAD)</w:t>
      </w:r>
      <w:r w:rsidR="00FC1209" w:rsidRPr="00FC1209">
        <w:rPr>
          <w:lang w:val="fr-FR"/>
        </w:rPr>
        <w:t>.</w:t>
      </w:r>
    </w:p>
    <w:p w14:paraId="0E1E82AB" w14:textId="3D7C5F00" w:rsidR="00520996" w:rsidRPr="00346A60" w:rsidRDefault="00520996" w:rsidP="00520996">
      <w:pPr>
        <w:pStyle w:val="SingleTxtG"/>
        <w:rPr>
          <w:lang w:val="fr-FR"/>
        </w:rPr>
      </w:pPr>
      <w:r>
        <w:rPr>
          <w:lang w:val="fr-FR"/>
        </w:rPr>
        <w:t>40</w:t>
      </w:r>
      <w:r w:rsidR="00FC1209" w:rsidRPr="00FC1209">
        <w:rPr>
          <w:lang w:val="fr-FR"/>
        </w:rPr>
        <w:t>.</w:t>
      </w:r>
      <w:r>
        <w:rPr>
          <w:lang w:val="fr-FR"/>
        </w:rPr>
        <w:tab/>
        <w:t>S</w:t>
      </w:r>
      <w:r w:rsidR="00F70B88">
        <w:rPr>
          <w:lang w:val="fr-FR"/>
        </w:rPr>
        <w:t>’</w:t>
      </w:r>
      <w:r>
        <w:rPr>
          <w:lang w:val="fr-FR"/>
        </w:rPr>
        <w:t>agissant des deux options présentées par la FEAD, la Réunion commune a préféré poursuivre les travaux selon l</w:t>
      </w:r>
      <w:r w:rsidR="00F70B88">
        <w:rPr>
          <w:lang w:val="fr-FR"/>
        </w:rPr>
        <w:t>’</w:t>
      </w:r>
      <w:r>
        <w:rPr>
          <w:lang w:val="fr-FR"/>
        </w:rPr>
        <w:t>option B</w:t>
      </w:r>
      <w:r w:rsidR="00FC1209" w:rsidRPr="00FC1209">
        <w:rPr>
          <w:lang w:val="fr-FR"/>
        </w:rPr>
        <w:t>.</w:t>
      </w:r>
      <w:r>
        <w:rPr>
          <w:lang w:val="fr-FR"/>
        </w:rPr>
        <w:t xml:space="preserve"> Elle a en outre adopté les amendements proposés dans le document informel INF</w:t>
      </w:r>
      <w:r w:rsidR="00FC1209" w:rsidRPr="00FC1209">
        <w:rPr>
          <w:lang w:val="fr-FR"/>
        </w:rPr>
        <w:t>.</w:t>
      </w:r>
      <w:r>
        <w:rPr>
          <w:lang w:val="fr-FR"/>
        </w:rPr>
        <w:t>42, moyennant une modification supplémentaire, entre crochets, à examiner plus avant à la prochaine session (voir l</w:t>
      </w:r>
      <w:r w:rsidR="00F70B88">
        <w:rPr>
          <w:lang w:val="fr-FR"/>
        </w:rPr>
        <w:t>’</w:t>
      </w:r>
      <w:r>
        <w:rPr>
          <w:lang w:val="fr-FR"/>
        </w:rPr>
        <w:t>annexe II)</w:t>
      </w:r>
      <w:r w:rsidR="00FC1209" w:rsidRPr="00FC1209">
        <w:rPr>
          <w:lang w:val="fr-FR"/>
        </w:rPr>
        <w:t>.</w:t>
      </w:r>
    </w:p>
    <w:p w14:paraId="43879B16" w14:textId="50F9F43A" w:rsidR="00520996" w:rsidRPr="00ED389E" w:rsidRDefault="00520996" w:rsidP="00F80E49">
      <w:pPr>
        <w:pStyle w:val="HChG"/>
        <w:rPr>
          <w:lang w:val="fr-FR"/>
        </w:rPr>
      </w:pPr>
      <w:r>
        <w:rPr>
          <w:lang w:val="fr-FR"/>
        </w:rPr>
        <w:tab/>
      </w:r>
      <w:r w:rsidRPr="00ED389E">
        <w:rPr>
          <w:lang w:val="fr-FR"/>
        </w:rPr>
        <w:t>IX</w:t>
      </w:r>
      <w:r w:rsidR="00FC1209" w:rsidRPr="00FC1209">
        <w:rPr>
          <w:lang w:val="fr-FR"/>
        </w:rPr>
        <w:t>.</w:t>
      </w:r>
      <w:r w:rsidRPr="00ED389E">
        <w:rPr>
          <w:lang w:val="fr-FR"/>
        </w:rPr>
        <w:tab/>
        <w:t>Accidents et gestion des risques (point 7 de l</w:t>
      </w:r>
      <w:r w:rsidR="00F70B88">
        <w:rPr>
          <w:lang w:val="fr-FR"/>
        </w:rPr>
        <w:t>’</w:t>
      </w:r>
      <w:r w:rsidRPr="00ED389E">
        <w:rPr>
          <w:lang w:val="fr-FR"/>
        </w:rPr>
        <w:t>ordre du jour)</w:t>
      </w:r>
    </w:p>
    <w:p w14:paraId="445560FA" w14:textId="4D7DEEED" w:rsidR="00520996" w:rsidRPr="00ED389E" w:rsidRDefault="00520996" w:rsidP="00520996">
      <w:pPr>
        <w:pStyle w:val="SingleTxtG"/>
        <w:rPr>
          <w:lang w:val="fr-FR"/>
        </w:rPr>
      </w:pPr>
      <w:r w:rsidRPr="00ED389E">
        <w:rPr>
          <w:lang w:val="fr-FR"/>
        </w:rPr>
        <w:t>4</w:t>
      </w:r>
      <w:r>
        <w:rPr>
          <w:lang w:val="fr-FR"/>
        </w:rPr>
        <w:t>1</w:t>
      </w:r>
      <w:r w:rsidR="00FC1209" w:rsidRPr="00FC1209">
        <w:rPr>
          <w:lang w:val="fr-FR"/>
        </w:rPr>
        <w:t>.</w:t>
      </w:r>
      <w:r w:rsidRPr="00ED389E">
        <w:rPr>
          <w:lang w:val="fr-FR"/>
        </w:rPr>
        <w:tab/>
        <w:t>Aucun document n</w:t>
      </w:r>
      <w:r w:rsidR="00F70B88">
        <w:rPr>
          <w:lang w:val="fr-FR"/>
        </w:rPr>
        <w:t>’</w:t>
      </w:r>
      <w:r w:rsidRPr="00ED389E">
        <w:rPr>
          <w:lang w:val="fr-FR"/>
        </w:rPr>
        <w:t>ayant été soumis au titre de ce point de l</w:t>
      </w:r>
      <w:r w:rsidR="00F70B88">
        <w:rPr>
          <w:lang w:val="fr-FR"/>
        </w:rPr>
        <w:t>’</w:t>
      </w:r>
      <w:r w:rsidRPr="00ED389E">
        <w:rPr>
          <w:lang w:val="fr-FR"/>
        </w:rPr>
        <w:t xml:space="preserve">ordre du jour, </w:t>
      </w:r>
      <w:r w:rsidRPr="00345C56">
        <w:rPr>
          <w:lang w:val="fr-FR"/>
        </w:rPr>
        <w:t>cette question n</w:t>
      </w:r>
      <w:r w:rsidR="00F70B88">
        <w:rPr>
          <w:lang w:val="fr-FR"/>
        </w:rPr>
        <w:t>’</w:t>
      </w:r>
      <w:r w:rsidRPr="00345C56">
        <w:rPr>
          <w:lang w:val="fr-FR"/>
        </w:rPr>
        <w:t>a fait l</w:t>
      </w:r>
      <w:r w:rsidR="00F70B88">
        <w:rPr>
          <w:lang w:val="fr-FR"/>
        </w:rPr>
        <w:t>’</w:t>
      </w:r>
      <w:r w:rsidRPr="00345C56">
        <w:rPr>
          <w:lang w:val="fr-FR"/>
        </w:rPr>
        <w:t>objet d</w:t>
      </w:r>
      <w:r w:rsidR="00F70B88">
        <w:rPr>
          <w:lang w:val="fr-FR"/>
        </w:rPr>
        <w:t>’</w:t>
      </w:r>
      <w:r w:rsidRPr="00345C56">
        <w:rPr>
          <w:lang w:val="fr-FR"/>
        </w:rPr>
        <w:t>aucun échange de vue</w:t>
      </w:r>
      <w:r w:rsidR="00FC1209" w:rsidRPr="00FC1209">
        <w:rPr>
          <w:lang w:val="fr-FR"/>
        </w:rPr>
        <w:t>.</w:t>
      </w:r>
    </w:p>
    <w:p w14:paraId="1A762353" w14:textId="0AD33F20" w:rsidR="00520996" w:rsidRPr="00ED389E" w:rsidRDefault="00520996" w:rsidP="00F80E49">
      <w:pPr>
        <w:pStyle w:val="HChG"/>
        <w:rPr>
          <w:lang w:val="fr-FR"/>
        </w:rPr>
      </w:pPr>
      <w:r>
        <w:rPr>
          <w:lang w:val="fr-FR"/>
        </w:rPr>
        <w:tab/>
      </w:r>
      <w:r w:rsidRPr="00ED389E">
        <w:rPr>
          <w:lang w:val="fr-FR"/>
        </w:rPr>
        <w:t>X</w:t>
      </w:r>
      <w:r w:rsidR="00FC1209" w:rsidRPr="00FC1209">
        <w:rPr>
          <w:lang w:val="fr-FR"/>
        </w:rPr>
        <w:t>.</w:t>
      </w:r>
      <w:r w:rsidRPr="00ED389E">
        <w:rPr>
          <w:lang w:val="fr-FR"/>
        </w:rPr>
        <w:tab/>
        <w:t>Travaux futurs (point 8 de l</w:t>
      </w:r>
      <w:r w:rsidR="00F70B88">
        <w:rPr>
          <w:lang w:val="fr-FR"/>
        </w:rPr>
        <w:t>’</w:t>
      </w:r>
      <w:r w:rsidRPr="00ED389E">
        <w:rPr>
          <w:lang w:val="fr-FR"/>
        </w:rPr>
        <w:t>ordre du jour)</w:t>
      </w:r>
    </w:p>
    <w:p w14:paraId="4135EC16" w14:textId="00C89350" w:rsidR="00520996" w:rsidRDefault="00520996" w:rsidP="00520996">
      <w:pPr>
        <w:pStyle w:val="SingleTxtG"/>
        <w:rPr>
          <w:lang w:val="fr-FR"/>
        </w:rPr>
      </w:pPr>
      <w:r w:rsidRPr="00ED389E">
        <w:rPr>
          <w:lang w:val="fr-FR"/>
        </w:rPr>
        <w:t>4</w:t>
      </w:r>
      <w:r>
        <w:rPr>
          <w:lang w:val="fr-FR"/>
        </w:rPr>
        <w:t>2</w:t>
      </w:r>
      <w:r w:rsidR="00FC1209" w:rsidRPr="00FC1209">
        <w:rPr>
          <w:lang w:val="fr-FR"/>
        </w:rPr>
        <w:t>.</w:t>
      </w:r>
      <w:r w:rsidRPr="00ED389E">
        <w:rPr>
          <w:lang w:val="fr-FR"/>
        </w:rPr>
        <w:tab/>
        <w:t>La Réunion commune a noté que la prochaine session du Groupe de travail spécial de l</w:t>
      </w:r>
      <w:r w:rsidR="00F70B88">
        <w:rPr>
          <w:lang w:val="fr-FR"/>
        </w:rPr>
        <w:t>’</w:t>
      </w:r>
      <w:r w:rsidRPr="00ED389E">
        <w:rPr>
          <w:lang w:val="fr-FR"/>
        </w:rPr>
        <w:t xml:space="preserve">harmonisation des Règlements </w:t>
      </w:r>
      <w:r w:rsidRPr="00D6145E">
        <w:rPr>
          <w:lang w:val="fr-FR"/>
        </w:rPr>
        <w:t>RID, ADR et ADN</w:t>
      </w:r>
      <w:r w:rsidRPr="00ED389E">
        <w:rPr>
          <w:lang w:val="fr-FR"/>
        </w:rPr>
        <w:t xml:space="preserve"> avec les Recommandations de l</w:t>
      </w:r>
      <w:r w:rsidR="00F70B88">
        <w:rPr>
          <w:lang w:val="fr-FR"/>
        </w:rPr>
        <w:t>’</w:t>
      </w:r>
      <w:r w:rsidRPr="00ED389E">
        <w:rPr>
          <w:lang w:val="fr-FR"/>
        </w:rPr>
        <w:t>ONU relatives au transport des marchandises dangereuses se tiendrait à distance du 21 au 23</w:t>
      </w:r>
      <w:r>
        <w:rPr>
          <w:lang w:val="fr-FR"/>
        </w:rPr>
        <w:t> </w:t>
      </w:r>
      <w:r w:rsidRPr="00ED389E">
        <w:rPr>
          <w:lang w:val="fr-FR"/>
        </w:rPr>
        <w:t>avril 2021 et que son ordre du jour serait bientôt publié</w:t>
      </w:r>
      <w:r w:rsidR="00FC1209" w:rsidRPr="00FC1209">
        <w:rPr>
          <w:lang w:val="fr-FR"/>
        </w:rPr>
        <w:t>.</w:t>
      </w:r>
    </w:p>
    <w:p w14:paraId="4CAEE607" w14:textId="59A581D3" w:rsidR="00520996" w:rsidRPr="00ED389E" w:rsidRDefault="00520996" w:rsidP="00520996">
      <w:pPr>
        <w:pStyle w:val="SingleTxtG"/>
        <w:keepLines/>
        <w:rPr>
          <w:lang w:val="fr-FR"/>
        </w:rPr>
      </w:pPr>
      <w:r w:rsidRPr="00ED389E">
        <w:rPr>
          <w:lang w:val="fr-FR"/>
        </w:rPr>
        <w:t>4</w:t>
      </w:r>
      <w:r>
        <w:rPr>
          <w:lang w:val="fr-FR"/>
        </w:rPr>
        <w:t>3</w:t>
      </w:r>
      <w:r w:rsidR="00FC1209" w:rsidRPr="00FC1209">
        <w:rPr>
          <w:lang w:val="fr-FR"/>
        </w:rPr>
        <w:t>.</w:t>
      </w:r>
      <w:r w:rsidRPr="00ED389E">
        <w:rPr>
          <w:lang w:val="fr-FR"/>
        </w:rPr>
        <w:tab/>
        <w:t>Elle a été informée que le groupe de travail informel de Londres se réunirait à nouveau virtuellement les 8 et 9</w:t>
      </w:r>
      <w:r>
        <w:rPr>
          <w:lang w:val="fr-FR"/>
        </w:rPr>
        <w:t> </w:t>
      </w:r>
      <w:r w:rsidRPr="00ED389E">
        <w:rPr>
          <w:lang w:val="fr-FR"/>
        </w:rPr>
        <w:t>juin 2021 pour reprendre les discussions sur les questions encore en suspens</w:t>
      </w:r>
      <w:r w:rsidR="00FC1209" w:rsidRPr="00FC1209">
        <w:rPr>
          <w:lang w:val="fr-FR"/>
        </w:rPr>
        <w:t>.</w:t>
      </w:r>
      <w:r w:rsidRPr="00ED389E">
        <w:rPr>
          <w:lang w:val="fr-FR"/>
        </w:rPr>
        <w:t xml:space="preserve"> Les représentants intéressés ont été invités à envoyer </w:t>
      </w:r>
      <w:r w:rsidRPr="00345C56">
        <w:rPr>
          <w:lang w:val="fr-FR"/>
        </w:rPr>
        <w:t xml:space="preserve">avant le 17 mai </w:t>
      </w:r>
      <w:r w:rsidRPr="00ED389E">
        <w:rPr>
          <w:lang w:val="fr-FR"/>
        </w:rPr>
        <w:t xml:space="preserve">leurs </w:t>
      </w:r>
      <w:r>
        <w:rPr>
          <w:lang w:val="fr-FR"/>
        </w:rPr>
        <w:t>observations</w:t>
      </w:r>
      <w:r w:rsidRPr="00ED389E">
        <w:rPr>
          <w:lang w:val="fr-FR"/>
        </w:rPr>
        <w:t xml:space="preserve"> par écrit au </w:t>
      </w:r>
      <w:r>
        <w:rPr>
          <w:lang w:val="fr-FR"/>
        </w:rPr>
        <w:t>P</w:t>
      </w:r>
      <w:r w:rsidRPr="00345C56">
        <w:rPr>
          <w:lang w:val="fr-FR"/>
        </w:rPr>
        <w:t>résident</w:t>
      </w:r>
      <w:r>
        <w:rPr>
          <w:lang w:val="fr-FR"/>
        </w:rPr>
        <w:t xml:space="preserve"> </w:t>
      </w:r>
      <w:r w:rsidRPr="00ED389E">
        <w:rPr>
          <w:lang w:val="fr-FR"/>
        </w:rPr>
        <w:t>du groupe (</w:t>
      </w:r>
      <w:hyperlink r:id="rId10" w:history="1">
        <w:r w:rsidRPr="00BE626C">
          <w:rPr>
            <w:rStyle w:val="Hyperlink"/>
            <w:lang w:val="fr-FR"/>
          </w:rPr>
          <w:t>steve</w:t>
        </w:r>
        <w:r w:rsidR="00FC1209" w:rsidRPr="00FC1209">
          <w:rPr>
            <w:rStyle w:val="Hyperlink"/>
            <w:lang w:val="fr-FR"/>
          </w:rPr>
          <w:t>.</w:t>
        </w:r>
        <w:r w:rsidRPr="00BE626C">
          <w:rPr>
            <w:rStyle w:val="Hyperlink"/>
            <w:lang w:val="fr-FR"/>
          </w:rPr>
          <w:t>gillingham@dft</w:t>
        </w:r>
        <w:r w:rsidR="00FC1209" w:rsidRPr="00FC1209">
          <w:rPr>
            <w:rStyle w:val="Hyperlink"/>
            <w:lang w:val="fr-FR"/>
          </w:rPr>
          <w:t>.</w:t>
        </w:r>
        <w:r w:rsidRPr="00BE626C">
          <w:rPr>
            <w:rStyle w:val="Hyperlink"/>
            <w:lang w:val="fr-FR"/>
          </w:rPr>
          <w:t>gov</w:t>
        </w:r>
        <w:r w:rsidR="00FC1209" w:rsidRPr="00FC1209">
          <w:rPr>
            <w:rStyle w:val="Hyperlink"/>
            <w:lang w:val="fr-FR"/>
          </w:rPr>
          <w:t>.</w:t>
        </w:r>
        <w:r w:rsidRPr="00BE626C">
          <w:rPr>
            <w:rStyle w:val="Hyperlink"/>
            <w:lang w:val="fr-FR"/>
          </w:rPr>
          <w:t>uk</w:t>
        </w:r>
      </w:hyperlink>
      <w:r w:rsidRPr="00ED389E">
        <w:rPr>
          <w:lang w:val="fr-FR"/>
        </w:rPr>
        <w:t>), qui les regrouperait et les transmettrait aux membres du groupe avant la réunion</w:t>
      </w:r>
      <w:r w:rsidR="00FC1209" w:rsidRPr="00FC1209">
        <w:rPr>
          <w:lang w:val="fr-FR"/>
        </w:rPr>
        <w:t>.</w:t>
      </w:r>
    </w:p>
    <w:p w14:paraId="6CBB72CE" w14:textId="207F9CC7" w:rsidR="00520996" w:rsidRPr="00ED389E" w:rsidRDefault="00520996" w:rsidP="00520996">
      <w:pPr>
        <w:pStyle w:val="SingleTxtG"/>
        <w:rPr>
          <w:lang w:val="fr-FR"/>
        </w:rPr>
      </w:pPr>
      <w:r w:rsidRPr="00ED389E">
        <w:rPr>
          <w:lang w:val="fr-FR"/>
        </w:rPr>
        <w:t>4</w:t>
      </w:r>
      <w:r>
        <w:rPr>
          <w:lang w:val="fr-FR"/>
        </w:rPr>
        <w:t>4</w:t>
      </w:r>
      <w:r w:rsidR="00FC1209" w:rsidRPr="00FC1209">
        <w:rPr>
          <w:lang w:val="fr-FR"/>
        </w:rPr>
        <w:t>.</w:t>
      </w:r>
      <w:r w:rsidRPr="00ED389E">
        <w:rPr>
          <w:lang w:val="fr-FR"/>
        </w:rPr>
        <w:tab/>
        <w:t>La Réunion commune a également noté que sa session d</w:t>
      </w:r>
      <w:r w:rsidR="00F70B88">
        <w:rPr>
          <w:lang w:val="fr-FR"/>
        </w:rPr>
        <w:t>’</w:t>
      </w:r>
      <w:r w:rsidRPr="00ED389E">
        <w:rPr>
          <w:lang w:val="fr-FR"/>
        </w:rPr>
        <w:t>automne se tiendrait à Genève du 21</w:t>
      </w:r>
      <w:r>
        <w:rPr>
          <w:lang w:val="fr-FR"/>
        </w:rPr>
        <w:t> </w:t>
      </w:r>
      <w:r w:rsidRPr="00ED389E">
        <w:rPr>
          <w:lang w:val="fr-FR"/>
        </w:rPr>
        <w:t>septembre au 1</w:t>
      </w:r>
      <w:r w:rsidRPr="00BE626C">
        <w:rPr>
          <w:vertAlign w:val="superscript"/>
          <w:lang w:val="fr-FR"/>
        </w:rPr>
        <w:t>er</w:t>
      </w:r>
      <w:r>
        <w:rPr>
          <w:lang w:val="fr-FR"/>
        </w:rPr>
        <w:t> </w:t>
      </w:r>
      <w:r w:rsidRPr="00ED389E">
        <w:rPr>
          <w:lang w:val="fr-FR"/>
        </w:rPr>
        <w:t>octobre 2021 et que la date limite de soumission des documents était fixée au 28</w:t>
      </w:r>
      <w:r>
        <w:rPr>
          <w:lang w:val="fr-FR"/>
        </w:rPr>
        <w:t> </w:t>
      </w:r>
      <w:r w:rsidRPr="00ED389E">
        <w:rPr>
          <w:lang w:val="fr-FR"/>
        </w:rPr>
        <w:t>juin 2021</w:t>
      </w:r>
      <w:r w:rsidR="00FC1209" w:rsidRPr="00FC1209">
        <w:rPr>
          <w:lang w:val="fr-FR"/>
        </w:rPr>
        <w:t>.</w:t>
      </w:r>
    </w:p>
    <w:p w14:paraId="6E3047FD" w14:textId="6AEE3F40" w:rsidR="00520996" w:rsidRPr="00346A60" w:rsidRDefault="00520996" w:rsidP="00520996">
      <w:pPr>
        <w:pStyle w:val="HChG"/>
        <w:rPr>
          <w:lang w:val="fr-FR"/>
        </w:rPr>
      </w:pPr>
      <w:r>
        <w:rPr>
          <w:lang w:val="fr-FR"/>
        </w:rPr>
        <w:tab/>
        <w:t>XI</w:t>
      </w:r>
      <w:r w:rsidR="00FC1209" w:rsidRPr="00FC1209">
        <w:rPr>
          <w:lang w:val="fr-FR"/>
        </w:rPr>
        <w:t>.</w:t>
      </w:r>
      <w:r>
        <w:rPr>
          <w:lang w:val="fr-FR"/>
        </w:rPr>
        <w:tab/>
        <w:t>Questions diverses (point 9 de l</w:t>
      </w:r>
      <w:r w:rsidR="00F70B88">
        <w:rPr>
          <w:lang w:val="fr-FR"/>
        </w:rPr>
        <w:t>’</w:t>
      </w:r>
      <w:r>
        <w:rPr>
          <w:lang w:val="fr-FR"/>
        </w:rPr>
        <w:t>ordre du jour)</w:t>
      </w:r>
    </w:p>
    <w:p w14:paraId="4D469831" w14:textId="2316B684" w:rsidR="00520996" w:rsidRPr="00346A60" w:rsidRDefault="00520996" w:rsidP="00520996">
      <w:pPr>
        <w:pStyle w:val="H1G"/>
        <w:rPr>
          <w:lang w:val="fr-FR"/>
        </w:rPr>
      </w:pPr>
      <w:r>
        <w:rPr>
          <w:lang w:val="fr-FR"/>
        </w:rPr>
        <w:tab/>
        <w:t>A</w:t>
      </w:r>
      <w:r w:rsidR="00FC1209" w:rsidRPr="00FC1209">
        <w:rPr>
          <w:lang w:val="fr-FR"/>
        </w:rPr>
        <w:t>.</w:t>
      </w:r>
      <w:r>
        <w:rPr>
          <w:lang w:val="fr-FR"/>
        </w:rPr>
        <w:tab/>
        <w:t>Demande de statut consultatif de l</w:t>
      </w:r>
      <w:r w:rsidR="00F70B88">
        <w:rPr>
          <w:lang w:val="fr-FR"/>
        </w:rPr>
        <w:t>’</w:t>
      </w:r>
      <w:r>
        <w:rPr>
          <w:lang w:val="fr-FR"/>
        </w:rPr>
        <w:t>European Recycling Industries</w:t>
      </w:r>
      <w:r w:rsidR="00F70B88">
        <w:rPr>
          <w:lang w:val="fr-FR"/>
        </w:rPr>
        <w:t>’</w:t>
      </w:r>
      <w:r>
        <w:rPr>
          <w:lang w:val="fr-FR"/>
        </w:rPr>
        <w:t xml:space="preserve"> Confederation (EuRIC)</w:t>
      </w:r>
    </w:p>
    <w:p w14:paraId="28495D34" w14:textId="5D3A14F1" w:rsidR="00520996" w:rsidRPr="00346A60" w:rsidRDefault="00520996" w:rsidP="00520996">
      <w:pPr>
        <w:pStyle w:val="SingleTxtG"/>
        <w:tabs>
          <w:tab w:val="left" w:pos="3119"/>
        </w:tabs>
        <w:ind w:left="3119" w:hanging="1985"/>
        <w:jc w:val="left"/>
        <w:rPr>
          <w:lang w:val="fr-FR"/>
        </w:rPr>
      </w:pPr>
      <w:r>
        <w:rPr>
          <w:i/>
          <w:iCs/>
          <w:lang w:val="fr-FR"/>
        </w:rPr>
        <w:t>Document informel :</w:t>
      </w:r>
      <w:r>
        <w:rPr>
          <w:lang w:val="fr-FR"/>
        </w:rPr>
        <w:tab/>
        <w:t>INF</w:t>
      </w:r>
      <w:r w:rsidR="00FC1209" w:rsidRPr="00FC1209">
        <w:rPr>
          <w:lang w:val="fr-FR"/>
        </w:rPr>
        <w:t>.</w:t>
      </w:r>
      <w:r>
        <w:rPr>
          <w:lang w:val="fr-FR"/>
        </w:rPr>
        <w:t>3 (EuRIC) (session de l</w:t>
      </w:r>
      <w:r w:rsidR="00F70B88">
        <w:rPr>
          <w:lang w:val="fr-FR"/>
        </w:rPr>
        <w:t>’</w:t>
      </w:r>
      <w:r>
        <w:rPr>
          <w:lang w:val="fr-FR"/>
        </w:rPr>
        <w:t>automne 2020 de la Réunion commune)</w:t>
      </w:r>
      <w:r w:rsidR="00FC1209" w:rsidRPr="00FC1209">
        <w:rPr>
          <w:lang w:val="fr-FR"/>
        </w:rPr>
        <w:t>.</w:t>
      </w:r>
    </w:p>
    <w:p w14:paraId="21895FB8" w14:textId="62C2E13A" w:rsidR="00520996" w:rsidRPr="00346A60" w:rsidRDefault="00520996" w:rsidP="00520996">
      <w:pPr>
        <w:pStyle w:val="SingleTxtG"/>
        <w:rPr>
          <w:lang w:val="fr-FR"/>
        </w:rPr>
      </w:pPr>
      <w:r>
        <w:rPr>
          <w:lang w:val="fr-FR"/>
        </w:rPr>
        <w:t>45</w:t>
      </w:r>
      <w:r w:rsidR="00FC1209" w:rsidRPr="00FC1209">
        <w:rPr>
          <w:lang w:val="fr-FR"/>
        </w:rPr>
        <w:t>.</w:t>
      </w:r>
      <w:r>
        <w:rPr>
          <w:lang w:val="fr-FR"/>
        </w:rPr>
        <w:tab/>
        <w:t>La Réunion commune a examiné la demande de statut consultatif et a décidé d</w:t>
      </w:r>
      <w:r w:rsidR="00F70B88">
        <w:rPr>
          <w:lang w:val="fr-FR"/>
        </w:rPr>
        <w:t>’</w:t>
      </w:r>
      <w:r>
        <w:rPr>
          <w:lang w:val="fr-FR"/>
        </w:rPr>
        <w:t>inviter le représentant de l</w:t>
      </w:r>
      <w:r w:rsidR="00F70B88">
        <w:rPr>
          <w:lang w:val="fr-FR"/>
        </w:rPr>
        <w:t>’</w:t>
      </w:r>
      <w:r>
        <w:rPr>
          <w:lang w:val="fr-FR"/>
        </w:rPr>
        <w:t>EuRIC à participer à la prochaine session</w:t>
      </w:r>
      <w:r w:rsidR="00FC1209" w:rsidRPr="00FC1209">
        <w:rPr>
          <w:lang w:val="fr-FR"/>
        </w:rPr>
        <w:t>.</w:t>
      </w:r>
      <w:r>
        <w:rPr>
          <w:lang w:val="fr-FR"/>
        </w:rPr>
        <w:t xml:space="preserve"> Le secrétariat a été prié de soumettre le document informel INF</w:t>
      </w:r>
      <w:r w:rsidR="00FC1209" w:rsidRPr="00FC1209">
        <w:rPr>
          <w:lang w:val="fr-FR"/>
        </w:rPr>
        <w:t>.</w:t>
      </w:r>
      <w:r>
        <w:rPr>
          <w:lang w:val="fr-FR"/>
        </w:rPr>
        <w:t>3 en tant que document officiel</w:t>
      </w:r>
      <w:r w:rsidR="00FC1209" w:rsidRPr="00FC1209">
        <w:rPr>
          <w:lang w:val="fr-FR"/>
        </w:rPr>
        <w:t>.</w:t>
      </w:r>
    </w:p>
    <w:p w14:paraId="2E29E8CA" w14:textId="49936CF8" w:rsidR="00520996" w:rsidRPr="00346A60" w:rsidRDefault="00520996" w:rsidP="009D5720">
      <w:pPr>
        <w:pStyle w:val="H1G"/>
        <w:rPr>
          <w:lang w:val="fr-FR"/>
        </w:rPr>
      </w:pPr>
      <w:r>
        <w:rPr>
          <w:lang w:val="fr-FR"/>
        </w:rPr>
        <w:lastRenderedPageBreak/>
        <w:tab/>
        <w:t>B</w:t>
      </w:r>
      <w:r w:rsidR="00FC1209" w:rsidRPr="00FC1209">
        <w:rPr>
          <w:lang w:val="fr-FR"/>
        </w:rPr>
        <w:t>.</w:t>
      </w:r>
      <w:r>
        <w:rPr>
          <w:lang w:val="fr-FR"/>
        </w:rPr>
        <w:tab/>
        <w:t>Lignes directrices pour l</w:t>
      </w:r>
      <w:r w:rsidR="00F70B88">
        <w:rPr>
          <w:lang w:val="fr-FR"/>
        </w:rPr>
        <w:t>’</w:t>
      </w:r>
      <w:r>
        <w:rPr>
          <w:lang w:val="fr-FR"/>
        </w:rPr>
        <w:t>application du 5</w:t>
      </w:r>
      <w:r w:rsidR="00FC1209" w:rsidRPr="00FC1209">
        <w:rPr>
          <w:lang w:val="fr-FR"/>
        </w:rPr>
        <w:t>.</w:t>
      </w:r>
      <w:r>
        <w:rPr>
          <w:lang w:val="fr-FR"/>
        </w:rPr>
        <w:t>4</w:t>
      </w:r>
      <w:r w:rsidR="00FC1209" w:rsidRPr="00FC1209">
        <w:rPr>
          <w:lang w:val="fr-FR"/>
        </w:rPr>
        <w:t>.</w:t>
      </w:r>
      <w:r>
        <w:rPr>
          <w:lang w:val="fr-FR"/>
        </w:rPr>
        <w:t>0</w:t>
      </w:r>
      <w:r w:rsidR="00FC1209" w:rsidRPr="00FC1209">
        <w:rPr>
          <w:lang w:val="fr-FR"/>
        </w:rPr>
        <w:t>.</w:t>
      </w:r>
      <w:r>
        <w:rPr>
          <w:lang w:val="fr-FR"/>
        </w:rPr>
        <w:t>2 du RID, de l</w:t>
      </w:r>
      <w:r w:rsidR="00F70B88">
        <w:rPr>
          <w:lang w:val="fr-FR"/>
        </w:rPr>
        <w:t>’</w:t>
      </w:r>
      <w:r>
        <w:rPr>
          <w:lang w:val="fr-FR"/>
        </w:rPr>
        <w:t xml:space="preserve">ADR </w:t>
      </w:r>
      <w:r>
        <w:rPr>
          <w:lang w:val="fr-FR"/>
        </w:rPr>
        <w:br/>
        <w:t>et de l</w:t>
      </w:r>
      <w:r w:rsidR="00F70B88">
        <w:rPr>
          <w:lang w:val="fr-FR"/>
        </w:rPr>
        <w:t>’</w:t>
      </w:r>
      <w:r>
        <w:rPr>
          <w:lang w:val="fr-FR"/>
        </w:rPr>
        <w:t xml:space="preserve">ADN − Utilisation du modèle de données dans le contexte </w:t>
      </w:r>
      <w:r>
        <w:rPr>
          <w:lang w:val="fr-FR"/>
        </w:rPr>
        <w:br/>
        <w:t xml:space="preserve">du règlement concernant les informations électroniques </w:t>
      </w:r>
      <w:r>
        <w:rPr>
          <w:lang w:val="fr-FR"/>
        </w:rPr>
        <w:br/>
        <w:t>relatives au transport de marchandises</w:t>
      </w:r>
    </w:p>
    <w:p w14:paraId="18D46A26" w14:textId="4967BAA0" w:rsidR="00520996" w:rsidRPr="00346A60" w:rsidRDefault="00520996" w:rsidP="009D5720">
      <w:pPr>
        <w:pStyle w:val="SingleTxtG"/>
        <w:keepNext/>
        <w:tabs>
          <w:tab w:val="left" w:pos="3119"/>
        </w:tabs>
        <w:ind w:left="3119" w:hanging="1985"/>
        <w:jc w:val="left"/>
        <w:rPr>
          <w:lang w:val="fr-FR"/>
        </w:rPr>
      </w:pPr>
      <w:r>
        <w:rPr>
          <w:i/>
          <w:iCs/>
          <w:lang w:val="fr-FR"/>
        </w:rPr>
        <w:t>Document informel :</w:t>
      </w:r>
      <w:r>
        <w:rPr>
          <w:lang w:val="fr-FR"/>
        </w:rPr>
        <w:tab/>
        <w:t>INF</w:t>
      </w:r>
      <w:r w:rsidR="00FC1209" w:rsidRPr="00FC1209">
        <w:rPr>
          <w:lang w:val="fr-FR"/>
        </w:rPr>
        <w:t>.</w:t>
      </w:r>
      <w:r>
        <w:rPr>
          <w:lang w:val="fr-FR"/>
        </w:rPr>
        <w:t>6 (Allemagne et France)</w:t>
      </w:r>
      <w:r w:rsidR="00FC1209" w:rsidRPr="00FC1209">
        <w:rPr>
          <w:lang w:val="fr-FR"/>
        </w:rPr>
        <w:t>.</w:t>
      </w:r>
    </w:p>
    <w:p w14:paraId="27F8E256" w14:textId="69B1826E" w:rsidR="00520996" w:rsidRPr="00346A60" w:rsidRDefault="00520996" w:rsidP="00520996">
      <w:pPr>
        <w:pStyle w:val="SingleTxtG"/>
        <w:rPr>
          <w:lang w:val="fr-FR"/>
        </w:rPr>
      </w:pPr>
      <w:r>
        <w:rPr>
          <w:lang w:val="fr-FR"/>
        </w:rPr>
        <w:t>46</w:t>
      </w:r>
      <w:r w:rsidR="00FC1209" w:rsidRPr="00FC1209">
        <w:rPr>
          <w:lang w:val="fr-FR"/>
        </w:rPr>
        <w:t>.</w:t>
      </w:r>
      <w:r>
        <w:rPr>
          <w:lang w:val="fr-FR"/>
        </w:rPr>
        <w:tab/>
        <w:t>Le représentant de l</w:t>
      </w:r>
      <w:r w:rsidR="00F70B88">
        <w:rPr>
          <w:lang w:val="fr-FR"/>
        </w:rPr>
        <w:t>’</w:t>
      </w:r>
      <w:r>
        <w:rPr>
          <w:lang w:val="fr-FR"/>
        </w:rPr>
        <w:t>Allemagne a informé la Réunion commune des activités menées par le groupe de travail de la télématique dans le cadre du transport des marchandises dangereuses, ainsi que des activités en cours au sein de l</w:t>
      </w:r>
      <w:r w:rsidR="00F70B88">
        <w:rPr>
          <w:lang w:val="fr-FR"/>
        </w:rPr>
        <w:t>’</w:t>
      </w:r>
      <w:r>
        <w:rPr>
          <w:lang w:val="fr-FR"/>
        </w:rPr>
        <w:t>Union européenne s</w:t>
      </w:r>
      <w:r w:rsidR="00F70B88">
        <w:rPr>
          <w:lang w:val="fr-FR"/>
        </w:rPr>
        <w:t>’</w:t>
      </w:r>
      <w:r>
        <w:rPr>
          <w:lang w:val="fr-FR"/>
        </w:rPr>
        <w:t>agissant de l</w:t>
      </w:r>
      <w:r w:rsidR="00F70B88">
        <w:rPr>
          <w:lang w:val="fr-FR"/>
        </w:rPr>
        <w:t>’</w:t>
      </w:r>
      <w:r>
        <w:rPr>
          <w:lang w:val="fr-FR"/>
        </w:rPr>
        <w:t>application du règlement (UE) 2020/1056 sur les informations électroniques relatives au transport de marchandises (eFTI)</w:t>
      </w:r>
      <w:r w:rsidR="00FC1209" w:rsidRPr="00FC1209">
        <w:rPr>
          <w:lang w:val="fr-FR"/>
        </w:rPr>
        <w:t>.</w:t>
      </w:r>
      <w:r>
        <w:rPr>
          <w:lang w:val="fr-FR"/>
        </w:rPr>
        <w:t xml:space="preserve"> Il a été noté que des groupes d</w:t>
      </w:r>
      <w:r w:rsidR="00F70B88">
        <w:rPr>
          <w:lang w:val="fr-FR"/>
        </w:rPr>
        <w:t>’</w:t>
      </w:r>
      <w:r>
        <w:rPr>
          <w:lang w:val="fr-FR"/>
        </w:rPr>
        <w:t xml:space="preserve">experts avaient été formés dans le cadre du </w:t>
      </w:r>
      <w:r w:rsidRPr="003D5BDE">
        <w:rPr>
          <w:lang w:val="fr-FR"/>
        </w:rPr>
        <w:t>Forum sur le numérique dans les transports et la logistique afin de veiller à une bonne coordination</w:t>
      </w:r>
      <w:r>
        <w:rPr>
          <w:lang w:val="fr-FR"/>
        </w:rPr>
        <w:t xml:space="preserve"> dans les domaines technique et politique</w:t>
      </w:r>
      <w:r w:rsidR="00FC1209" w:rsidRPr="00FC1209">
        <w:rPr>
          <w:lang w:val="fr-FR"/>
        </w:rPr>
        <w:t>.</w:t>
      </w:r>
      <w:r>
        <w:rPr>
          <w:lang w:val="fr-FR"/>
        </w:rPr>
        <w:t xml:space="preserve"> Le secrétariat de la CEE a confirmé qu</w:t>
      </w:r>
      <w:r w:rsidR="00F70B88">
        <w:rPr>
          <w:lang w:val="fr-FR"/>
        </w:rPr>
        <w:t>’</w:t>
      </w:r>
      <w:r>
        <w:rPr>
          <w:lang w:val="fr-FR"/>
        </w:rPr>
        <w:t>il était déjà en relation avec le secrétariat du CEFACT-ONU aux fins de la coordination</w:t>
      </w:r>
      <w:r w:rsidR="00FC1209" w:rsidRPr="00FC1209">
        <w:rPr>
          <w:lang w:val="fr-FR"/>
        </w:rPr>
        <w:t>.</w:t>
      </w:r>
    </w:p>
    <w:p w14:paraId="120FCF5E" w14:textId="0AFCA993" w:rsidR="00520996" w:rsidRPr="009D5720" w:rsidRDefault="00520996" w:rsidP="00520996">
      <w:pPr>
        <w:pStyle w:val="SingleTxtG"/>
        <w:rPr>
          <w:rStyle w:val="Hyperlink"/>
          <w:color w:val="auto"/>
        </w:rPr>
      </w:pPr>
      <w:r>
        <w:rPr>
          <w:lang w:val="fr-FR"/>
        </w:rPr>
        <w:t>47</w:t>
      </w:r>
      <w:r w:rsidR="00FC1209" w:rsidRPr="00FC1209">
        <w:rPr>
          <w:lang w:val="fr-FR"/>
        </w:rPr>
        <w:t>.</w:t>
      </w:r>
      <w:r>
        <w:rPr>
          <w:lang w:val="fr-FR"/>
        </w:rPr>
        <w:tab/>
      </w:r>
      <w:r w:rsidRPr="00E66D0C">
        <w:rPr>
          <w:spacing w:val="-4"/>
          <w:lang w:val="fr-FR"/>
        </w:rPr>
        <w:t>La Réunion commune a reconnu qu</w:t>
      </w:r>
      <w:r w:rsidR="00F70B88">
        <w:rPr>
          <w:spacing w:val="-4"/>
          <w:lang w:val="fr-FR"/>
        </w:rPr>
        <w:t>’</w:t>
      </w:r>
      <w:r w:rsidRPr="00E66D0C">
        <w:rPr>
          <w:spacing w:val="-4"/>
          <w:lang w:val="fr-FR"/>
        </w:rPr>
        <w:t>il était nécessaire d</w:t>
      </w:r>
      <w:r w:rsidR="00F70B88">
        <w:rPr>
          <w:spacing w:val="-4"/>
          <w:lang w:val="fr-FR"/>
        </w:rPr>
        <w:t>’</w:t>
      </w:r>
      <w:r w:rsidRPr="00E66D0C">
        <w:rPr>
          <w:spacing w:val="-4"/>
          <w:lang w:val="fr-FR"/>
        </w:rPr>
        <w:t>adapter tous les deux ans le modèle de données pour le transport des marchandises dangereuses et d</w:t>
      </w:r>
      <w:r w:rsidR="00F70B88">
        <w:rPr>
          <w:spacing w:val="-4"/>
          <w:lang w:val="fr-FR"/>
        </w:rPr>
        <w:t>’</w:t>
      </w:r>
      <w:r w:rsidRPr="00E66D0C">
        <w:rPr>
          <w:spacing w:val="-4"/>
          <w:lang w:val="fr-FR"/>
        </w:rPr>
        <w:t>utiliser à cette fin la structure mise en place par le Groupe de travail spécial de l</w:t>
      </w:r>
      <w:r w:rsidR="00F70B88">
        <w:rPr>
          <w:spacing w:val="-4"/>
          <w:lang w:val="fr-FR"/>
        </w:rPr>
        <w:t>’</w:t>
      </w:r>
      <w:r w:rsidRPr="00E66D0C">
        <w:rPr>
          <w:spacing w:val="-4"/>
          <w:lang w:val="fr-FR"/>
        </w:rPr>
        <w:t>harmonisation</w:t>
      </w:r>
      <w:r w:rsidR="00FC1209" w:rsidRPr="00FC1209">
        <w:rPr>
          <w:spacing w:val="-4"/>
          <w:lang w:val="fr-FR"/>
        </w:rPr>
        <w:t>.</w:t>
      </w:r>
      <w:r w:rsidRPr="00E66D0C">
        <w:rPr>
          <w:spacing w:val="-4"/>
          <w:lang w:val="fr-FR"/>
        </w:rPr>
        <w:t xml:space="preserve"> Il a été noté que le futur modèle de données comprendrait très probablement une première partie contenant des données plus générales et une deuxième partie pour les données relatives au transport des marchandises dangereuses</w:t>
      </w:r>
      <w:r w:rsidR="00FC1209" w:rsidRPr="00FC1209">
        <w:rPr>
          <w:spacing w:val="-4"/>
          <w:lang w:val="fr-FR"/>
        </w:rPr>
        <w:t>.</w:t>
      </w:r>
      <w:r w:rsidRPr="00E66D0C">
        <w:rPr>
          <w:spacing w:val="-4"/>
          <w:lang w:val="fr-FR"/>
        </w:rPr>
        <w:t xml:space="preserve"> Le représentant de l</w:t>
      </w:r>
      <w:r w:rsidR="00F70B88">
        <w:rPr>
          <w:spacing w:val="-4"/>
          <w:lang w:val="fr-FR"/>
        </w:rPr>
        <w:t>’</w:t>
      </w:r>
      <w:r w:rsidRPr="00E66D0C">
        <w:rPr>
          <w:spacing w:val="-4"/>
          <w:lang w:val="fr-FR"/>
        </w:rPr>
        <w:t>UE a informé la Réunion commune des dernières activités de coordination dans le cadre de la coopération avec les États membres et les parties prenantes concernées</w:t>
      </w:r>
      <w:r w:rsidR="00FC1209" w:rsidRPr="00FC1209">
        <w:rPr>
          <w:spacing w:val="-4"/>
          <w:lang w:val="fr-FR"/>
        </w:rPr>
        <w:t>.</w:t>
      </w:r>
      <w:r w:rsidRPr="00E66D0C">
        <w:rPr>
          <w:spacing w:val="-4"/>
          <w:lang w:val="fr-FR"/>
        </w:rPr>
        <w:t xml:space="preserve"> La liste des membres concernés est disponible à l</w:t>
      </w:r>
      <w:r w:rsidR="00F70B88">
        <w:rPr>
          <w:spacing w:val="-4"/>
          <w:lang w:val="fr-FR"/>
        </w:rPr>
        <w:t>’</w:t>
      </w:r>
      <w:r w:rsidRPr="00E66D0C">
        <w:rPr>
          <w:spacing w:val="-4"/>
          <w:lang w:val="fr-FR"/>
        </w:rPr>
        <w:t>adresse suivante :</w:t>
      </w:r>
      <w:r>
        <w:rPr>
          <w:lang w:val="fr-FR"/>
        </w:rPr>
        <w:t xml:space="preserve"> </w:t>
      </w:r>
      <w:hyperlink r:id="rId11" w:history="1">
        <w:r w:rsidRPr="00E66D0C">
          <w:rPr>
            <w:rStyle w:val="Hyperlink"/>
          </w:rPr>
          <w:t>ec</w:t>
        </w:r>
        <w:r w:rsidR="00FC1209" w:rsidRPr="00FC1209">
          <w:rPr>
            <w:rStyle w:val="Hyperlink"/>
          </w:rPr>
          <w:t>.</w:t>
        </w:r>
        <w:r w:rsidRPr="00E66D0C">
          <w:rPr>
            <w:rStyle w:val="Hyperlink"/>
          </w:rPr>
          <w:t>europa</w:t>
        </w:r>
        <w:r w:rsidR="00FC1209" w:rsidRPr="00FC1209">
          <w:rPr>
            <w:rStyle w:val="Hyperlink"/>
          </w:rPr>
          <w:t>.</w:t>
        </w:r>
        <w:r w:rsidRPr="00E66D0C">
          <w:rPr>
            <w:rStyle w:val="Hyperlink"/>
          </w:rPr>
          <w:t>eu/transparency/regexpert/index</w:t>
        </w:r>
        <w:r w:rsidR="00FC1209" w:rsidRPr="00FC1209">
          <w:rPr>
            <w:rStyle w:val="Hyperlink"/>
          </w:rPr>
          <w:t>.</w:t>
        </w:r>
        <w:r w:rsidRPr="00E66D0C">
          <w:rPr>
            <w:rStyle w:val="Hyperlink"/>
          </w:rPr>
          <w:t>cfm?%20do=groupDetail</w:t>
        </w:r>
        <w:r w:rsidR="00FC1209" w:rsidRPr="00FC1209">
          <w:rPr>
            <w:rStyle w:val="Hyperlink"/>
          </w:rPr>
          <w:t>.</w:t>
        </w:r>
        <w:r w:rsidRPr="00E66D0C">
          <w:rPr>
            <w:rStyle w:val="Hyperlink"/>
          </w:rPr>
          <w:t>groupDetail&amp;groupID=3280</w:t>
        </w:r>
      </w:hyperlink>
      <w:r w:rsidR="00633E2F" w:rsidRPr="009D5720">
        <w:rPr>
          <w:rStyle w:val="Hyperlink"/>
          <w:color w:val="auto"/>
        </w:rPr>
        <w:t>.</w:t>
      </w:r>
    </w:p>
    <w:p w14:paraId="0392FFA0" w14:textId="5F6F7242" w:rsidR="00520996" w:rsidRPr="00ED389E" w:rsidRDefault="00520996" w:rsidP="00520996">
      <w:pPr>
        <w:pStyle w:val="HChG"/>
        <w:rPr>
          <w:lang w:val="fr-FR"/>
        </w:rPr>
      </w:pPr>
      <w:r>
        <w:rPr>
          <w:lang w:val="fr-FR"/>
        </w:rPr>
        <w:tab/>
      </w:r>
      <w:r w:rsidRPr="00ED389E">
        <w:rPr>
          <w:lang w:val="fr-FR"/>
        </w:rPr>
        <w:t>XII</w:t>
      </w:r>
      <w:r w:rsidR="00FC1209" w:rsidRPr="00FC1209">
        <w:rPr>
          <w:lang w:val="fr-FR"/>
        </w:rPr>
        <w:t>.</w:t>
      </w:r>
      <w:r w:rsidRPr="00ED389E">
        <w:rPr>
          <w:lang w:val="fr-FR"/>
        </w:rPr>
        <w:tab/>
        <w:t>Adoption du rapport (point 10 de l</w:t>
      </w:r>
      <w:r w:rsidR="00F70B88">
        <w:rPr>
          <w:lang w:val="fr-FR"/>
        </w:rPr>
        <w:t>’</w:t>
      </w:r>
      <w:r w:rsidRPr="00ED389E">
        <w:rPr>
          <w:lang w:val="fr-FR"/>
        </w:rPr>
        <w:t>ordre du jour)</w:t>
      </w:r>
    </w:p>
    <w:p w14:paraId="396552A0" w14:textId="48E30384" w:rsidR="00520996" w:rsidRPr="00346A60" w:rsidRDefault="00520996" w:rsidP="00520996">
      <w:pPr>
        <w:pStyle w:val="SingleTxtG"/>
        <w:rPr>
          <w:lang w:val="fr-FR"/>
        </w:rPr>
      </w:pPr>
      <w:r>
        <w:rPr>
          <w:lang w:val="fr-FR"/>
        </w:rPr>
        <w:t>48</w:t>
      </w:r>
      <w:r w:rsidR="00FC1209" w:rsidRPr="00FC1209">
        <w:rPr>
          <w:lang w:val="fr-FR"/>
        </w:rPr>
        <w:t>.</w:t>
      </w:r>
      <w:r w:rsidRPr="00ED389E">
        <w:rPr>
          <w:lang w:val="fr-FR"/>
        </w:rPr>
        <w:tab/>
        <w:t>La Réunion commune a adopté le rapport de sa session de printemps 2021 et ses annexes sur la base d</w:t>
      </w:r>
      <w:r w:rsidR="00F70B88">
        <w:rPr>
          <w:lang w:val="fr-FR"/>
        </w:rPr>
        <w:t>’</w:t>
      </w:r>
      <w:r w:rsidRPr="00ED389E">
        <w:rPr>
          <w:lang w:val="fr-FR"/>
        </w:rPr>
        <w:t>un projet établi par le secrétariat</w:t>
      </w:r>
      <w:r w:rsidR="00FC1209" w:rsidRPr="00FC1209">
        <w:rPr>
          <w:lang w:val="fr-FR"/>
        </w:rPr>
        <w:t>.</w:t>
      </w:r>
    </w:p>
    <w:p w14:paraId="7F1F921F" w14:textId="77777777" w:rsidR="00520996" w:rsidRDefault="00520996" w:rsidP="00520996">
      <w:pPr>
        <w:suppressAutoHyphens w:val="0"/>
        <w:kinsoku/>
        <w:overflowPunct/>
        <w:autoSpaceDE/>
        <w:autoSpaceDN/>
        <w:adjustRightInd/>
        <w:snapToGrid/>
        <w:spacing w:after="200" w:line="276" w:lineRule="auto"/>
        <w:rPr>
          <w:lang w:val="fr-FR"/>
        </w:rPr>
      </w:pPr>
      <w:r>
        <w:rPr>
          <w:lang w:val="fr-FR"/>
        </w:rPr>
        <w:br w:type="page"/>
      </w:r>
    </w:p>
    <w:p w14:paraId="7935B2D5" w14:textId="77777777" w:rsidR="00520996" w:rsidRPr="00603217" w:rsidRDefault="00520996" w:rsidP="00F80E49">
      <w:pPr>
        <w:pStyle w:val="HChG"/>
        <w:rPr>
          <w:lang w:val="fr-FR"/>
        </w:rPr>
      </w:pPr>
      <w:r w:rsidRPr="00603217">
        <w:rPr>
          <w:lang w:val="fr-FR"/>
        </w:rPr>
        <w:lastRenderedPageBreak/>
        <w:t>Annexe I</w:t>
      </w:r>
    </w:p>
    <w:p w14:paraId="1C1A9416" w14:textId="6F5EB838" w:rsidR="00520996" w:rsidRPr="00603217" w:rsidRDefault="00F80E49" w:rsidP="00F80E49">
      <w:pPr>
        <w:pStyle w:val="HChG"/>
        <w:rPr>
          <w:lang w:val="fr-FR"/>
        </w:rPr>
      </w:pPr>
      <w:r>
        <w:rPr>
          <w:lang w:val="fr-FR"/>
        </w:rPr>
        <w:tab/>
      </w:r>
      <w:r>
        <w:rPr>
          <w:lang w:val="fr-FR"/>
        </w:rPr>
        <w:tab/>
      </w:r>
      <w:r w:rsidR="00520996" w:rsidRPr="00603217">
        <w:rPr>
          <w:lang w:val="fr-FR"/>
        </w:rPr>
        <w:t>Rapport du Groupe de travail des citernes</w:t>
      </w:r>
    </w:p>
    <w:p w14:paraId="42AFC976" w14:textId="465DAE60" w:rsidR="00520996" w:rsidRDefault="00520996" w:rsidP="00F80E49">
      <w:pPr>
        <w:pStyle w:val="SingleTxtG"/>
        <w:rPr>
          <w:lang w:val="fr-FR"/>
        </w:rPr>
      </w:pPr>
      <w:r w:rsidRPr="00740BB6">
        <w:rPr>
          <w:lang w:val="fr-FR"/>
        </w:rPr>
        <w:t>(voir le document ECE/TRANS/WP</w:t>
      </w:r>
      <w:r w:rsidR="00FC1209" w:rsidRPr="00FC1209">
        <w:rPr>
          <w:lang w:val="fr-FR"/>
        </w:rPr>
        <w:t>.</w:t>
      </w:r>
      <w:r w:rsidRPr="00740BB6">
        <w:rPr>
          <w:lang w:val="fr-FR"/>
        </w:rPr>
        <w:t>15/AC</w:t>
      </w:r>
      <w:r w:rsidR="00FC1209" w:rsidRPr="00FC1209">
        <w:rPr>
          <w:lang w:val="fr-FR"/>
        </w:rPr>
        <w:t>.</w:t>
      </w:r>
      <w:r w:rsidRPr="00740BB6">
        <w:rPr>
          <w:lang w:val="fr-FR"/>
        </w:rPr>
        <w:t>1/160/Add</w:t>
      </w:r>
      <w:r w:rsidR="00FC1209" w:rsidRPr="00FC1209">
        <w:rPr>
          <w:lang w:val="fr-FR"/>
        </w:rPr>
        <w:t>.</w:t>
      </w:r>
      <w:r w:rsidRPr="00740BB6">
        <w:rPr>
          <w:lang w:val="fr-FR"/>
        </w:rPr>
        <w:t>1)</w:t>
      </w:r>
    </w:p>
    <w:p w14:paraId="6CD099EB" w14:textId="77777777" w:rsidR="00520996" w:rsidRDefault="00520996" w:rsidP="00520996">
      <w:pPr>
        <w:suppressAutoHyphens w:val="0"/>
        <w:kinsoku/>
        <w:overflowPunct/>
        <w:autoSpaceDE/>
        <w:autoSpaceDN/>
        <w:adjustRightInd/>
        <w:snapToGrid/>
        <w:spacing w:after="200" w:line="276" w:lineRule="auto"/>
        <w:rPr>
          <w:lang w:val="fr-FR"/>
        </w:rPr>
      </w:pPr>
      <w:r>
        <w:rPr>
          <w:lang w:val="fr-FR"/>
        </w:rPr>
        <w:br w:type="page"/>
      </w:r>
    </w:p>
    <w:p w14:paraId="431B626F" w14:textId="77777777" w:rsidR="00F80E49" w:rsidRDefault="00520996" w:rsidP="00520996">
      <w:pPr>
        <w:pStyle w:val="HChG"/>
        <w:tabs>
          <w:tab w:val="left" w:pos="5670"/>
        </w:tabs>
        <w:kinsoku/>
        <w:overflowPunct/>
        <w:autoSpaceDE/>
        <w:autoSpaceDN/>
        <w:adjustRightInd/>
        <w:snapToGrid/>
        <w:rPr>
          <w:lang w:val="fr-FR"/>
        </w:rPr>
      </w:pPr>
      <w:r w:rsidRPr="006835D9">
        <w:rPr>
          <w:lang w:val="fr-FR"/>
        </w:rPr>
        <w:lastRenderedPageBreak/>
        <w:t>Annexe II</w:t>
      </w:r>
    </w:p>
    <w:p w14:paraId="19ADB559" w14:textId="306EF550" w:rsidR="00520996" w:rsidRPr="00F80E49" w:rsidRDefault="00520996" w:rsidP="00F80E49">
      <w:pPr>
        <w:pStyle w:val="SingleTxtG"/>
        <w:jc w:val="right"/>
        <w:rPr>
          <w:rStyle w:val="normaltextrun"/>
          <w:bCs/>
          <w:color w:val="000000"/>
          <w:bdr w:val="none" w:sz="0" w:space="0" w:color="auto" w:frame="1"/>
          <w:lang w:val="fr-FR"/>
        </w:rPr>
      </w:pPr>
      <w:r w:rsidRPr="00F80E49">
        <w:rPr>
          <w:rStyle w:val="normaltextrun"/>
          <w:bCs/>
          <w:color w:val="000000"/>
          <w:bdr w:val="none" w:sz="0" w:space="0" w:color="auto" w:frame="1"/>
          <w:lang w:val="fr-FR"/>
        </w:rPr>
        <w:t>[</w:t>
      </w:r>
      <w:r w:rsidRPr="005D3FA5">
        <w:rPr>
          <w:rStyle w:val="normaltextrun"/>
          <w:bCs/>
          <w:color w:val="000000"/>
          <w:bdr w:val="none" w:sz="0" w:space="0" w:color="auto" w:frame="1"/>
          <w:lang w:val="fr-FR"/>
        </w:rPr>
        <w:t>Original</w:t>
      </w:r>
      <w:r w:rsidR="005D3FA5">
        <w:rPr>
          <w:rStyle w:val="normaltextrun"/>
          <w:bCs/>
          <w:color w:val="000000"/>
          <w:bdr w:val="none" w:sz="0" w:space="0" w:color="auto" w:frame="1"/>
          <w:lang w:val="fr-FR"/>
        </w:rPr>
        <w:t> </w:t>
      </w:r>
      <w:r w:rsidRPr="00F80E49">
        <w:rPr>
          <w:rStyle w:val="normaltextrun"/>
          <w:bCs/>
          <w:color w:val="000000"/>
          <w:bdr w:val="none" w:sz="0" w:space="0" w:color="auto" w:frame="1"/>
          <w:lang w:val="fr-FR"/>
        </w:rPr>
        <w:t>: anglais et français]</w:t>
      </w:r>
    </w:p>
    <w:p w14:paraId="0F6B5D82" w14:textId="334F6F83" w:rsidR="00520996" w:rsidRDefault="00520996" w:rsidP="00520996">
      <w:pPr>
        <w:pStyle w:val="HChG"/>
        <w:rPr>
          <w:lang w:val="fr-FR"/>
        </w:rPr>
      </w:pPr>
      <w:r>
        <w:rPr>
          <w:lang w:val="fr-FR"/>
        </w:rPr>
        <w:tab/>
      </w:r>
      <w:r>
        <w:rPr>
          <w:lang w:val="fr-FR"/>
        </w:rPr>
        <w:tab/>
        <w:t>Projet d</w:t>
      </w:r>
      <w:r w:rsidR="00F70B88">
        <w:rPr>
          <w:lang w:val="fr-FR"/>
        </w:rPr>
        <w:t>’</w:t>
      </w:r>
      <w:r>
        <w:rPr>
          <w:lang w:val="fr-FR"/>
        </w:rPr>
        <w:t>amendements au RID, à l</w:t>
      </w:r>
      <w:r w:rsidR="00F70B88">
        <w:rPr>
          <w:lang w:val="fr-FR"/>
        </w:rPr>
        <w:t>’</w:t>
      </w:r>
      <w:r>
        <w:rPr>
          <w:lang w:val="fr-FR"/>
        </w:rPr>
        <w:t>ADR et à l</w:t>
      </w:r>
      <w:r w:rsidR="00F70B88">
        <w:rPr>
          <w:lang w:val="fr-FR"/>
        </w:rPr>
        <w:t>’</w:t>
      </w:r>
      <w:r>
        <w:rPr>
          <w:lang w:val="fr-FR"/>
        </w:rPr>
        <w:t xml:space="preserve">ADN </w:t>
      </w:r>
      <w:r w:rsidR="00F80E49">
        <w:rPr>
          <w:lang w:val="fr-FR"/>
        </w:rPr>
        <w:br/>
      </w:r>
      <w:r>
        <w:rPr>
          <w:lang w:val="fr-FR"/>
        </w:rPr>
        <w:t>pour entrée en vigueur le 1</w:t>
      </w:r>
      <w:r>
        <w:rPr>
          <w:vertAlign w:val="superscript"/>
          <w:lang w:val="fr-FR"/>
        </w:rPr>
        <w:t>er</w:t>
      </w:r>
      <w:r>
        <w:rPr>
          <w:lang w:val="fr-FR"/>
        </w:rPr>
        <w:t> janvier 2023</w:t>
      </w:r>
    </w:p>
    <w:p w14:paraId="24EEFB87" w14:textId="77777777" w:rsidR="00520996" w:rsidRPr="006835D9" w:rsidRDefault="00520996" w:rsidP="00520996">
      <w:pPr>
        <w:pStyle w:val="H1G"/>
        <w:rPr>
          <w:lang w:val="fr-FR"/>
        </w:rPr>
      </w:pPr>
      <w:r w:rsidRPr="006835D9">
        <w:rPr>
          <w:lang w:val="fr-FR"/>
        </w:rPr>
        <w:tab/>
      </w:r>
      <w:r w:rsidRPr="006835D9">
        <w:rPr>
          <w:lang w:val="fr-FR"/>
        </w:rPr>
        <w:tab/>
        <w:t>Table des matières</w:t>
      </w:r>
    </w:p>
    <w:p w14:paraId="7F341F77" w14:textId="15895199" w:rsidR="00520996" w:rsidRPr="006835D9" w:rsidRDefault="00520996" w:rsidP="00520996">
      <w:pPr>
        <w:pStyle w:val="SingleTxtG"/>
        <w:rPr>
          <w:bCs/>
          <w:lang w:val="fr-FR"/>
        </w:rPr>
      </w:pPr>
      <w:r w:rsidRPr="006835D9">
        <w:rPr>
          <w:bCs/>
          <w:lang w:val="fr-FR"/>
        </w:rPr>
        <w:t>5</w:t>
      </w:r>
      <w:r w:rsidR="00FC1209" w:rsidRPr="00FC1209">
        <w:rPr>
          <w:bCs/>
          <w:lang w:val="fr-FR"/>
        </w:rPr>
        <w:t>.</w:t>
      </w:r>
      <w:r w:rsidRPr="006835D9">
        <w:rPr>
          <w:bCs/>
          <w:lang w:val="fr-FR"/>
        </w:rPr>
        <w:t>5</w:t>
      </w:r>
      <w:r w:rsidR="00FC1209" w:rsidRPr="00FC1209">
        <w:rPr>
          <w:bCs/>
          <w:lang w:val="fr-FR"/>
        </w:rPr>
        <w:t>.</w:t>
      </w:r>
      <w:r w:rsidRPr="006835D9">
        <w:rPr>
          <w:bCs/>
          <w:lang w:val="fr-FR"/>
        </w:rPr>
        <w:t>2</w:t>
      </w:r>
      <w:r w:rsidRPr="006835D9">
        <w:rPr>
          <w:bCs/>
          <w:lang w:val="fr-FR"/>
        </w:rPr>
        <w:tab/>
        <w:t>[Amendement à la version allemande uniquement</w:t>
      </w:r>
      <w:r w:rsidR="00FC1209" w:rsidRPr="00FC1209">
        <w:rPr>
          <w:bCs/>
          <w:lang w:val="fr-FR"/>
        </w:rPr>
        <w:t>.</w:t>
      </w:r>
      <w:r w:rsidRPr="006835D9">
        <w:rPr>
          <w:bCs/>
          <w:lang w:val="fr-FR"/>
        </w:rPr>
        <w:t>]</w:t>
      </w:r>
    </w:p>
    <w:p w14:paraId="0DA805A1" w14:textId="7A13E0A7" w:rsidR="00520996" w:rsidRDefault="00520996" w:rsidP="00520996">
      <w:pPr>
        <w:pStyle w:val="H1G"/>
        <w:rPr>
          <w:lang w:val="fr-FR"/>
        </w:rPr>
      </w:pPr>
      <w:r>
        <w:rPr>
          <w:lang w:val="fr-FR"/>
        </w:rPr>
        <w:tab/>
      </w:r>
      <w:r>
        <w:rPr>
          <w:lang w:val="fr-FR"/>
        </w:rPr>
        <w:tab/>
      </w:r>
      <w:r w:rsidRPr="00CB5519">
        <w:rPr>
          <w:lang w:val="fr-FR"/>
        </w:rPr>
        <w:tab/>
      </w:r>
      <w:r>
        <w:rPr>
          <w:lang w:val="fr-FR"/>
        </w:rPr>
        <w:t>Chapitre 1</w:t>
      </w:r>
      <w:r w:rsidR="00FC1209" w:rsidRPr="00FC1209">
        <w:rPr>
          <w:lang w:val="fr-FR"/>
        </w:rPr>
        <w:t>.</w:t>
      </w:r>
      <w:r>
        <w:rPr>
          <w:lang w:val="fr-FR"/>
        </w:rPr>
        <w:t>1</w:t>
      </w:r>
    </w:p>
    <w:p w14:paraId="01ECAC76" w14:textId="77777777" w:rsidR="00520996" w:rsidRPr="006835D9" w:rsidRDefault="00520996" w:rsidP="00520996">
      <w:pPr>
        <w:pStyle w:val="SingleTxtG"/>
        <w:rPr>
          <w:bCs/>
          <w:lang w:val="fr-FR"/>
        </w:rPr>
      </w:pPr>
      <w:r w:rsidRPr="006835D9">
        <w:rPr>
          <w:bCs/>
          <w:lang w:val="fr-FR"/>
        </w:rPr>
        <w:t>(ADR uniquement :)</w:t>
      </w:r>
    </w:p>
    <w:p w14:paraId="6FA0DC78" w14:textId="3174502E" w:rsidR="00520996" w:rsidRPr="006835D9" w:rsidRDefault="00520996" w:rsidP="00520996">
      <w:pPr>
        <w:pStyle w:val="SingleTxtG"/>
        <w:rPr>
          <w:bCs/>
          <w:lang w:val="fr-FR"/>
        </w:rPr>
      </w:pPr>
      <w:r w:rsidRPr="006835D9">
        <w:rPr>
          <w:bCs/>
          <w:lang w:val="fr-FR"/>
        </w:rPr>
        <w:t>1</w:t>
      </w:r>
      <w:r w:rsidR="00FC1209" w:rsidRPr="00FC1209">
        <w:rPr>
          <w:bCs/>
          <w:lang w:val="fr-FR"/>
        </w:rPr>
        <w:t>.</w:t>
      </w:r>
      <w:r w:rsidRPr="006835D9">
        <w:rPr>
          <w:bCs/>
          <w:lang w:val="fr-FR"/>
        </w:rPr>
        <w:t>1</w:t>
      </w:r>
      <w:r w:rsidR="00FC1209" w:rsidRPr="00FC1209">
        <w:rPr>
          <w:bCs/>
          <w:lang w:val="fr-FR"/>
        </w:rPr>
        <w:t>.</w:t>
      </w:r>
      <w:r w:rsidRPr="006835D9">
        <w:rPr>
          <w:bCs/>
          <w:lang w:val="fr-FR"/>
        </w:rPr>
        <w:t>3</w:t>
      </w:r>
      <w:r w:rsidR="00FC1209" w:rsidRPr="00FC1209">
        <w:rPr>
          <w:bCs/>
          <w:lang w:val="fr-FR"/>
        </w:rPr>
        <w:t>.</w:t>
      </w:r>
      <w:r w:rsidRPr="006835D9">
        <w:rPr>
          <w:bCs/>
          <w:lang w:val="fr-FR"/>
        </w:rPr>
        <w:t>6</w:t>
      </w:r>
      <w:r w:rsidR="00FC1209" w:rsidRPr="00FC1209">
        <w:rPr>
          <w:bCs/>
          <w:lang w:val="fr-FR"/>
        </w:rPr>
        <w:t>.</w:t>
      </w:r>
      <w:r w:rsidRPr="006835D9">
        <w:rPr>
          <w:bCs/>
          <w:lang w:val="fr-FR"/>
        </w:rPr>
        <w:t>2</w:t>
      </w:r>
      <w:r w:rsidRPr="006835D9">
        <w:rPr>
          <w:bCs/>
          <w:lang w:val="fr-FR"/>
        </w:rPr>
        <w:tab/>
        <w:t>Au premier tiret, après « 0500, », insérer « 0511, »</w:t>
      </w:r>
      <w:r w:rsidR="00FC1209" w:rsidRPr="00FC1209">
        <w:rPr>
          <w:bCs/>
          <w:lang w:val="fr-FR"/>
        </w:rPr>
        <w:t>.</w:t>
      </w:r>
    </w:p>
    <w:p w14:paraId="0936CAE1" w14:textId="79D6E1D3" w:rsidR="00520996" w:rsidRPr="006835D9" w:rsidRDefault="00520996" w:rsidP="00520996">
      <w:pPr>
        <w:pStyle w:val="SingleTxtG"/>
        <w:rPr>
          <w:bCs/>
          <w:i/>
          <w:iCs/>
          <w:lang w:val="fr-FR"/>
        </w:rPr>
      </w:pPr>
      <w:r w:rsidRPr="006835D9">
        <w:rPr>
          <w:bCs/>
          <w:i/>
          <w:iCs/>
          <w:lang w:val="fr-FR"/>
        </w:rPr>
        <w:t>(Document de référence : ECE/TRANS/WP</w:t>
      </w:r>
      <w:r w:rsidR="00FC1209" w:rsidRPr="00FC1209">
        <w:rPr>
          <w:bCs/>
          <w:i/>
          <w:iCs/>
          <w:lang w:val="fr-FR"/>
        </w:rPr>
        <w:t>.</w:t>
      </w:r>
      <w:r w:rsidRPr="006835D9">
        <w:rPr>
          <w:bCs/>
          <w:i/>
          <w:iCs/>
          <w:lang w:val="fr-FR"/>
        </w:rPr>
        <w:t>15/AC</w:t>
      </w:r>
      <w:r w:rsidR="00FC1209" w:rsidRPr="00FC1209">
        <w:rPr>
          <w:bCs/>
          <w:i/>
          <w:iCs/>
          <w:lang w:val="fr-FR"/>
        </w:rPr>
        <w:t>.</w:t>
      </w:r>
      <w:r w:rsidRPr="006835D9">
        <w:rPr>
          <w:bCs/>
          <w:i/>
          <w:iCs/>
          <w:lang w:val="fr-FR"/>
        </w:rPr>
        <w:t>1/2021/4)</w:t>
      </w:r>
    </w:p>
    <w:p w14:paraId="1611D7B5" w14:textId="6DDC9BB6" w:rsidR="00520996" w:rsidRPr="006835D9" w:rsidRDefault="00520996" w:rsidP="00520996">
      <w:pPr>
        <w:pStyle w:val="SingleTxtG"/>
        <w:rPr>
          <w:bCs/>
          <w:iCs/>
          <w:lang w:val="fr-FR"/>
        </w:rPr>
      </w:pPr>
      <w:r w:rsidRPr="006835D9">
        <w:rPr>
          <w:bCs/>
          <w:iCs/>
          <w:lang w:val="fr-FR"/>
        </w:rPr>
        <w:t>1</w:t>
      </w:r>
      <w:r w:rsidR="00FC1209" w:rsidRPr="00FC1209">
        <w:rPr>
          <w:bCs/>
          <w:iCs/>
          <w:lang w:val="fr-FR"/>
        </w:rPr>
        <w:t>.</w:t>
      </w:r>
      <w:r w:rsidRPr="006835D9">
        <w:rPr>
          <w:bCs/>
          <w:iCs/>
          <w:lang w:val="fr-FR"/>
        </w:rPr>
        <w:t>1</w:t>
      </w:r>
      <w:r w:rsidR="00FC1209" w:rsidRPr="00FC1209">
        <w:rPr>
          <w:bCs/>
          <w:iCs/>
          <w:lang w:val="fr-FR"/>
        </w:rPr>
        <w:t>.</w:t>
      </w:r>
      <w:r w:rsidRPr="006835D9">
        <w:rPr>
          <w:bCs/>
          <w:iCs/>
          <w:lang w:val="fr-FR"/>
        </w:rPr>
        <w:t>4</w:t>
      </w:r>
      <w:r w:rsidRPr="006835D9">
        <w:rPr>
          <w:bCs/>
          <w:iCs/>
          <w:lang w:val="fr-FR"/>
        </w:rPr>
        <w:tab/>
      </w:r>
      <w:r w:rsidRPr="006835D9">
        <w:rPr>
          <w:bCs/>
          <w:iCs/>
          <w:lang w:val="fr-FR"/>
        </w:rPr>
        <w:tab/>
        <w:t>Modifier le 1</w:t>
      </w:r>
      <w:r w:rsidR="00FC1209" w:rsidRPr="00FC1209">
        <w:rPr>
          <w:bCs/>
          <w:iCs/>
          <w:lang w:val="fr-FR"/>
        </w:rPr>
        <w:t>.</w:t>
      </w:r>
      <w:r w:rsidRPr="006835D9">
        <w:rPr>
          <w:bCs/>
          <w:iCs/>
          <w:lang w:val="fr-FR"/>
        </w:rPr>
        <w:t>1</w:t>
      </w:r>
      <w:r w:rsidR="00FC1209" w:rsidRPr="00FC1209">
        <w:rPr>
          <w:bCs/>
          <w:iCs/>
          <w:lang w:val="fr-FR"/>
        </w:rPr>
        <w:t>.</w:t>
      </w:r>
      <w:r w:rsidRPr="006835D9">
        <w:rPr>
          <w:bCs/>
          <w:iCs/>
          <w:lang w:val="fr-FR"/>
        </w:rPr>
        <w:t>4</w:t>
      </w:r>
      <w:r w:rsidR="00FC1209" w:rsidRPr="00FC1209">
        <w:rPr>
          <w:bCs/>
          <w:iCs/>
          <w:lang w:val="fr-FR"/>
        </w:rPr>
        <w:t>.</w:t>
      </w:r>
      <w:r w:rsidRPr="006835D9">
        <w:rPr>
          <w:bCs/>
          <w:iCs/>
          <w:lang w:val="fr-FR"/>
        </w:rPr>
        <w:t>6 de l</w:t>
      </w:r>
      <w:r w:rsidR="00F70B88">
        <w:rPr>
          <w:bCs/>
          <w:iCs/>
          <w:lang w:val="fr-FR"/>
        </w:rPr>
        <w:t>’</w:t>
      </w:r>
      <w:r w:rsidRPr="006835D9">
        <w:rPr>
          <w:bCs/>
          <w:iCs/>
          <w:lang w:val="fr-FR"/>
        </w:rPr>
        <w:t xml:space="preserve">ADR </w:t>
      </w:r>
      <w:r>
        <w:rPr>
          <w:bCs/>
          <w:iCs/>
          <w:lang w:val="fr-FR"/>
        </w:rPr>
        <w:t>pour lire comme suit</w:t>
      </w:r>
      <w:r w:rsidRPr="006835D9">
        <w:rPr>
          <w:bCs/>
          <w:iCs/>
          <w:lang w:val="fr-FR"/>
        </w:rPr>
        <w:t xml:space="preserve"> et ajouter une nouvelle sous-section 1</w:t>
      </w:r>
      <w:r w:rsidR="00FC1209" w:rsidRPr="00FC1209">
        <w:rPr>
          <w:bCs/>
          <w:iCs/>
          <w:lang w:val="fr-FR"/>
        </w:rPr>
        <w:t>.</w:t>
      </w:r>
      <w:r w:rsidRPr="006835D9">
        <w:rPr>
          <w:bCs/>
          <w:iCs/>
          <w:lang w:val="fr-FR"/>
        </w:rPr>
        <w:t>1</w:t>
      </w:r>
      <w:r w:rsidR="00FC1209" w:rsidRPr="00FC1209">
        <w:rPr>
          <w:bCs/>
          <w:iCs/>
          <w:lang w:val="fr-FR"/>
        </w:rPr>
        <w:t>.</w:t>
      </w:r>
      <w:r w:rsidRPr="006835D9">
        <w:rPr>
          <w:bCs/>
          <w:iCs/>
          <w:lang w:val="fr-FR"/>
        </w:rPr>
        <w:t>4</w:t>
      </w:r>
      <w:r w:rsidR="00FC1209" w:rsidRPr="00FC1209">
        <w:rPr>
          <w:bCs/>
          <w:iCs/>
          <w:lang w:val="fr-FR"/>
        </w:rPr>
        <w:t>.</w:t>
      </w:r>
      <w:r w:rsidRPr="006835D9">
        <w:rPr>
          <w:bCs/>
          <w:iCs/>
          <w:lang w:val="fr-FR"/>
        </w:rPr>
        <w:t>7 libellée comme suit :</w:t>
      </w:r>
    </w:p>
    <w:p w14:paraId="458CF68C" w14:textId="77777777" w:rsidR="00520996" w:rsidRPr="006835D9" w:rsidRDefault="00520996" w:rsidP="00520996">
      <w:pPr>
        <w:pStyle w:val="SingleTxtG"/>
        <w:rPr>
          <w:bCs/>
          <w:iCs/>
          <w:lang w:val="fr-FR"/>
        </w:rPr>
      </w:pPr>
      <w:r w:rsidRPr="006835D9">
        <w:rPr>
          <w:bCs/>
          <w:iCs/>
          <w:lang w:val="fr-FR"/>
        </w:rPr>
        <w:t xml:space="preserve">(ADR uniquement :) </w:t>
      </w:r>
    </w:p>
    <w:p w14:paraId="4BDB30C0" w14:textId="1C642576" w:rsidR="00520996" w:rsidRPr="006835D9" w:rsidRDefault="00520996" w:rsidP="00520996">
      <w:pPr>
        <w:pStyle w:val="SingleTxtG"/>
        <w:rPr>
          <w:bCs/>
          <w:iCs/>
          <w:lang w:val="fr-FR"/>
        </w:rPr>
      </w:pPr>
      <w:r w:rsidRPr="006835D9">
        <w:rPr>
          <w:bCs/>
          <w:iCs/>
          <w:lang w:val="fr-FR"/>
        </w:rPr>
        <w:t>« 1</w:t>
      </w:r>
      <w:r w:rsidR="00FC1209" w:rsidRPr="00FC1209">
        <w:rPr>
          <w:bCs/>
          <w:iCs/>
          <w:lang w:val="fr-FR"/>
        </w:rPr>
        <w:t>.</w:t>
      </w:r>
      <w:r w:rsidRPr="006835D9">
        <w:rPr>
          <w:bCs/>
          <w:iCs/>
          <w:lang w:val="fr-FR"/>
        </w:rPr>
        <w:t>1</w:t>
      </w:r>
      <w:r w:rsidR="00FC1209" w:rsidRPr="00FC1209">
        <w:rPr>
          <w:bCs/>
          <w:iCs/>
          <w:lang w:val="fr-FR"/>
        </w:rPr>
        <w:t>.</w:t>
      </w:r>
      <w:r w:rsidRPr="006835D9">
        <w:rPr>
          <w:bCs/>
          <w:iCs/>
          <w:lang w:val="fr-FR"/>
        </w:rPr>
        <w:t>4</w:t>
      </w:r>
      <w:r w:rsidR="00FC1209" w:rsidRPr="00FC1209">
        <w:rPr>
          <w:bCs/>
          <w:iCs/>
          <w:lang w:val="fr-FR"/>
        </w:rPr>
        <w:t>.</w:t>
      </w:r>
      <w:r w:rsidRPr="006835D9">
        <w:rPr>
          <w:bCs/>
          <w:iCs/>
          <w:lang w:val="fr-FR"/>
        </w:rPr>
        <w:t>6</w:t>
      </w:r>
      <w:r w:rsidRPr="006835D9">
        <w:rPr>
          <w:bCs/>
          <w:iCs/>
          <w:lang w:val="fr-FR"/>
        </w:rPr>
        <w:tab/>
      </w:r>
      <w:r w:rsidRPr="006835D9">
        <w:rPr>
          <w:bCs/>
          <w:i/>
          <w:iCs/>
          <w:lang w:val="fr-FR"/>
        </w:rPr>
        <w:t>(Réservé)</w:t>
      </w:r>
      <w:r w:rsidRPr="006835D9">
        <w:rPr>
          <w:bCs/>
          <w:iCs/>
          <w:lang w:val="fr-FR"/>
        </w:rPr>
        <w:t> »</w:t>
      </w:r>
      <w:r w:rsidR="00FC1209" w:rsidRPr="00FC1209">
        <w:rPr>
          <w:bCs/>
          <w:iCs/>
          <w:lang w:val="fr-FR"/>
        </w:rPr>
        <w:t>.</w:t>
      </w:r>
    </w:p>
    <w:p w14:paraId="32EA1210" w14:textId="77777777" w:rsidR="00520996" w:rsidRPr="006835D9" w:rsidRDefault="00520996" w:rsidP="00520996">
      <w:pPr>
        <w:pStyle w:val="SingleTxtG"/>
        <w:rPr>
          <w:bCs/>
          <w:iCs/>
          <w:lang w:val="fr-FR"/>
        </w:rPr>
      </w:pPr>
      <w:r w:rsidRPr="006835D9">
        <w:rPr>
          <w:bCs/>
          <w:iCs/>
          <w:lang w:val="fr-FR"/>
        </w:rPr>
        <w:t>(</w:t>
      </w:r>
      <w:r w:rsidRPr="00D6145E">
        <w:rPr>
          <w:bCs/>
          <w:iCs/>
          <w:lang w:val="fr-FR"/>
        </w:rPr>
        <w:t>RID, ADR et ADN</w:t>
      </w:r>
      <w:r w:rsidRPr="006835D9">
        <w:rPr>
          <w:bCs/>
          <w:iCs/>
          <w:lang w:val="fr-FR"/>
        </w:rPr>
        <w:t> :)</w:t>
      </w:r>
    </w:p>
    <w:p w14:paraId="58C3C142" w14:textId="5AAB4ABF" w:rsidR="00520996" w:rsidRPr="006835D9" w:rsidRDefault="00520996" w:rsidP="00520996">
      <w:pPr>
        <w:pStyle w:val="SingleTxtG"/>
        <w:rPr>
          <w:bCs/>
          <w:iCs/>
          <w:lang w:val="fr-FR"/>
        </w:rPr>
      </w:pPr>
      <w:r w:rsidRPr="006835D9">
        <w:rPr>
          <w:bCs/>
          <w:iCs/>
          <w:lang w:val="fr-FR"/>
        </w:rPr>
        <w:t>1</w:t>
      </w:r>
      <w:r w:rsidR="00FC1209" w:rsidRPr="00FC1209">
        <w:rPr>
          <w:bCs/>
          <w:iCs/>
          <w:lang w:val="fr-FR"/>
        </w:rPr>
        <w:t>.</w:t>
      </w:r>
      <w:r w:rsidRPr="006835D9">
        <w:rPr>
          <w:bCs/>
          <w:iCs/>
          <w:lang w:val="fr-FR"/>
        </w:rPr>
        <w:t>1</w:t>
      </w:r>
      <w:r w:rsidR="00FC1209" w:rsidRPr="00FC1209">
        <w:rPr>
          <w:bCs/>
          <w:iCs/>
          <w:lang w:val="fr-FR"/>
        </w:rPr>
        <w:t>.</w:t>
      </w:r>
      <w:r w:rsidRPr="006835D9">
        <w:rPr>
          <w:bCs/>
          <w:iCs/>
          <w:lang w:val="fr-FR"/>
        </w:rPr>
        <w:t>4</w:t>
      </w:r>
      <w:r w:rsidRPr="006835D9">
        <w:rPr>
          <w:bCs/>
          <w:iCs/>
          <w:lang w:val="fr-FR"/>
        </w:rPr>
        <w:tab/>
      </w:r>
      <w:r w:rsidRPr="006835D9">
        <w:rPr>
          <w:bCs/>
          <w:iCs/>
          <w:lang w:val="fr-FR"/>
        </w:rPr>
        <w:tab/>
        <w:t>Insérer la nouvelle sous-section 1</w:t>
      </w:r>
      <w:r w:rsidR="00FC1209" w:rsidRPr="00FC1209">
        <w:rPr>
          <w:bCs/>
          <w:iCs/>
          <w:lang w:val="fr-FR"/>
        </w:rPr>
        <w:t>.</w:t>
      </w:r>
      <w:r w:rsidRPr="006835D9">
        <w:rPr>
          <w:bCs/>
          <w:iCs/>
          <w:lang w:val="fr-FR"/>
        </w:rPr>
        <w:t>1</w:t>
      </w:r>
      <w:r w:rsidR="00FC1209" w:rsidRPr="00FC1209">
        <w:rPr>
          <w:bCs/>
          <w:iCs/>
          <w:lang w:val="fr-FR"/>
        </w:rPr>
        <w:t>.</w:t>
      </w:r>
      <w:r w:rsidRPr="006835D9">
        <w:rPr>
          <w:bCs/>
          <w:iCs/>
          <w:lang w:val="fr-FR"/>
        </w:rPr>
        <w:t>4</w:t>
      </w:r>
      <w:r w:rsidR="00FC1209" w:rsidRPr="00FC1209">
        <w:rPr>
          <w:bCs/>
          <w:iCs/>
          <w:lang w:val="fr-FR"/>
        </w:rPr>
        <w:t>.</w:t>
      </w:r>
      <w:r w:rsidRPr="006835D9">
        <w:rPr>
          <w:bCs/>
          <w:iCs/>
          <w:lang w:val="fr-FR"/>
        </w:rPr>
        <w:t>7 libellée comme suit :</w:t>
      </w:r>
    </w:p>
    <w:p w14:paraId="68D9EBD2" w14:textId="07189FCB" w:rsidR="00520996" w:rsidRPr="00560AC8" w:rsidRDefault="00520996" w:rsidP="00520996">
      <w:pPr>
        <w:tabs>
          <w:tab w:val="left" w:pos="1701"/>
        </w:tabs>
        <w:suppressAutoHyphens w:val="0"/>
        <w:spacing w:after="160" w:line="256" w:lineRule="auto"/>
        <w:ind w:left="2268" w:right="1134" w:hanging="1134"/>
        <w:jc w:val="both"/>
        <w:rPr>
          <w:rFonts w:asciiTheme="majorBidi" w:eastAsia="Calibri" w:hAnsiTheme="majorBidi" w:cstheme="majorBidi"/>
          <w:bCs/>
          <w:i/>
          <w:lang w:val="fr-FR"/>
        </w:rPr>
      </w:pPr>
      <w:r w:rsidRPr="00835D26">
        <w:rPr>
          <w:bCs/>
          <w:lang w:val="fr-FR"/>
        </w:rPr>
        <w:t>« </w:t>
      </w:r>
      <w:r w:rsidRPr="00835D26">
        <w:rPr>
          <w:b/>
          <w:lang w:val="fr-FR"/>
        </w:rPr>
        <w:t>1</w:t>
      </w:r>
      <w:r w:rsidR="00FC1209" w:rsidRPr="00835D26">
        <w:rPr>
          <w:b/>
          <w:lang w:val="fr-FR"/>
        </w:rPr>
        <w:t>.</w:t>
      </w:r>
      <w:r w:rsidRPr="00835D26">
        <w:rPr>
          <w:b/>
          <w:lang w:val="fr-FR"/>
        </w:rPr>
        <w:t>1</w:t>
      </w:r>
      <w:r w:rsidR="00FC1209" w:rsidRPr="00835D26">
        <w:rPr>
          <w:b/>
          <w:lang w:val="fr-FR"/>
        </w:rPr>
        <w:t>.</w:t>
      </w:r>
      <w:r w:rsidRPr="00835D26">
        <w:rPr>
          <w:b/>
          <w:lang w:val="fr-FR"/>
        </w:rPr>
        <w:t>4</w:t>
      </w:r>
      <w:r w:rsidR="00FC1209" w:rsidRPr="00835D26">
        <w:rPr>
          <w:b/>
          <w:lang w:val="fr-FR"/>
        </w:rPr>
        <w:t>.</w:t>
      </w:r>
      <w:r w:rsidRPr="00835D26">
        <w:rPr>
          <w:b/>
          <w:lang w:val="fr-FR"/>
        </w:rPr>
        <w:t>7</w:t>
      </w:r>
      <w:r w:rsidRPr="00835D26">
        <w:rPr>
          <w:b/>
          <w:lang w:val="fr-FR"/>
        </w:rPr>
        <w:tab/>
      </w:r>
      <w:r w:rsidRPr="00835D26">
        <w:rPr>
          <w:b/>
          <w:i/>
          <w:lang w:val="fr-FR"/>
        </w:rPr>
        <w:t>Récipients à pression rechargeables autorisés par le Département des transports des États-Unis d</w:t>
      </w:r>
      <w:r w:rsidR="00F70B88" w:rsidRPr="00835D26">
        <w:rPr>
          <w:b/>
          <w:i/>
          <w:lang w:val="fr-FR"/>
        </w:rPr>
        <w:t>’</w:t>
      </w:r>
      <w:r w:rsidRPr="00835D26">
        <w:rPr>
          <w:b/>
          <w:i/>
          <w:lang w:val="fr-FR"/>
        </w:rPr>
        <w:t>Amérique</w:t>
      </w:r>
      <w:bookmarkStart w:id="2" w:name="_Hlk525131534"/>
    </w:p>
    <w:p w14:paraId="0B38D83F" w14:textId="72E30DB7" w:rsidR="00520996" w:rsidRPr="00C8236D" w:rsidRDefault="00520996" w:rsidP="00520996">
      <w:pPr>
        <w:tabs>
          <w:tab w:val="left" w:pos="1701"/>
        </w:tabs>
        <w:suppressAutoHyphens w:val="0"/>
        <w:spacing w:after="160" w:line="256" w:lineRule="auto"/>
        <w:ind w:left="1134" w:right="1134"/>
        <w:jc w:val="both"/>
        <w:rPr>
          <w:rFonts w:asciiTheme="majorBidi" w:eastAsia="Calibri" w:hAnsiTheme="majorBidi" w:cstheme="majorBidi"/>
          <w:bCs/>
          <w:i/>
          <w:iCs/>
          <w:lang w:val="fr-FR"/>
        </w:rPr>
      </w:pPr>
      <w:r w:rsidRPr="00C8236D">
        <w:rPr>
          <w:bCs/>
          <w:lang w:val="fr-FR"/>
        </w:rPr>
        <w:t>1</w:t>
      </w:r>
      <w:r w:rsidR="00FC1209" w:rsidRPr="00FC1209">
        <w:rPr>
          <w:bCs/>
          <w:lang w:val="fr-FR"/>
        </w:rPr>
        <w:t>.</w:t>
      </w:r>
      <w:r w:rsidRPr="00C8236D">
        <w:rPr>
          <w:bCs/>
          <w:lang w:val="fr-FR"/>
        </w:rPr>
        <w:t>1</w:t>
      </w:r>
      <w:r w:rsidR="00FC1209" w:rsidRPr="00FC1209">
        <w:rPr>
          <w:bCs/>
          <w:lang w:val="fr-FR"/>
        </w:rPr>
        <w:t>.</w:t>
      </w:r>
      <w:r w:rsidRPr="00C8236D">
        <w:rPr>
          <w:bCs/>
          <w:lang w:val="fr-FR"/>
        </w:rPr>
        <w:t>4</w:t>
      </w:r>
      <w:r w:rsidR="00FC1209" w:rsidRPr="00FC1209">
        <w:rPr>
          <w:bCs/>
          <w:lang w:val="fr-FR"/>
        </w:rPr>
        <w:t>.</w:t>
      </w:r>
      <w:r w:rsidRPr="00C8236D">
        <w:rPr>
          <w:bCs/>
          <w:lang w:val="fr-FR"/>
        </w:rPr>
        <w:t>7</w:t>
      </w:r>
      <w:r w:rsidR="00FC1209" w:rsidRPr="00FC1209">
        <w:rPr>
          <w:bCs/>
          <w:lang w:val="fr-FR"/>
        </w:rPr>
        <w:t>.</w:t>
      </w:r>
      <w:r w:rsidRPr="00C8236D">
        <w:rPr>
          <w:bCs/>
          <w:lang w:val="fr-FR"/>
        </w:rPr>
        <w:t>1</w:t>
      </w:r>
      <w:r w:rsidRPr="00C8236D">
        <w:rPr>
          <w:bCs/>
          <w:lang w:val="fr-FR"/>
        </w:rPr>
        <w:tab/>
      </w:r>
      <w:r w:rsidRPr="00C8236D">
        <w:rPr>
          <w:bCs/>
          <w:i/>
          <w:iCs/>
          <w:lang w:val="fr-FR"/>
        </w:rPr>
        <w:t>Importation de gaz</w:t>
      </w:r>
    </w:p>
    <w:p w14:paraId="1ECC8D28" w14:textId="02CAB415" w:rsidR="00520996" w:rsidRPr="006835D9" w:rsidRDefault="00520996" w:rsidP="00560AC8">
      <w:pPr>
        <w:tabs>
          <w:tab w:val="left" w:pos="1701"/>
        </w:tabs>
        <w:suppressAutoHyphens w:val="0"/>
        <w:spacing w:after="120"/>
        <w:ind w:left="2268" w:right="1134"/>
        <w:jc w:val="both"/>
        <w:rPr>
          <w:rFonts w:asciiTheme="majorBidi" w:eastAsia="Calibri" w:hAnsiTheme="majorBidi" w:cstheme="majorBidi"/>
          <w:bCs/>
          <w:lang w:val="fr-FR"/>
        </w:rPr>
      </w:pPr>
      <w:r w:rsidRPr="006835D9">
        <w:rPr>
          <w:bCs/>
          <w:lang w:val="fr-FR"/>
        </w:rPr>
        <w:tab/>
        <w:t>Les récipients à pression rechargeables autorisés par le Département des transports des États-Unis d</w:t>
      </w:r>
      <w:r w:rsidR="00F70B88">
        <w:rPr>
          <w:bCs/>
          <w:lang w:val="fr-FR"/>
        </w:rPr>
        <w:t>’</w:t>
      </w:r>
      <w:r w:rsidRPr="006835D9">
        <w:rPr>
          <w:bCs/>
          <w:lang w:val="fr-FR"/>
        </w:rPr>
        <w:t>Amérique et construits conformément aux normes énoncées dans la Partie 178 (Specifications for Packagings (Spécifications relatives aux emballages)) du Titre 49 (Transportation (Transports)) du Code of Federal Regulations (recueil des règlements fédéraux), lorsqu</w:t>
      </w:r>
      <w:r w:rsidR="00F70B88">
        <w:rPr>
          <w:bCs/>
          <w:lang w:val="fr-FR"/>
        </w:rPr>
        <w:t>’</w:t>
      </w:r>
      <w:r w:rsidRPr="006835D9">
        <w:rPr>
          <w:bCs/>
          <w:lang w:val="fr-FR"/>
        </w:rPr>
        <w:t>ils sont admis au transport dans une chaîne de transport conformément au 1</w:t>
      </w:r>
      <w:r w:rsidR="00FC1209" w:rsidRPr="00FC1209">
        <w:rPr>
          <w:bCs/>
          <w:lang w:val="fr-FR"/>
        </w:rPr>
        <w:t>.</w:t>
      </w:r>
      <w:r w:rsidRPr="006835D9">
        <w:rPr>
          <w:bCs/>
          <w:lang w:val="fr-FR"/>
        </w:rPr>
        <w:t>1</w:t>
      </w:r>
      <w:r w:rsidR="00FC1209" w:rsidRPr="00FC1209">
        <w:rPr>
          <w:bCs/>
          <w:lang w:val="fr-FR"/>
        </w:rPr>
        <w:t>.</w:t>
      </w:r>
      <w:r w:rsidRPr="006835D9">
        <w:rPr>
          <w:bCs/>
          <w:lang w:val="fr-FR"/>
        </w:rPr>
        <w:t>4</w:t>
      </w:r>
      <w:r w:rsidR="00FC1209" w:rsidRPr="00FC1209">
        <w:rPr>
          <w:bCs/>
          <w:lang w:val="fr-FR"/>
        </w:rPr>
        <w:t>.</w:t>
      </w:r>
      <w:r w:rsidRPr="006835D9">
        <w:rPr>
          <w:bCs/>
          <w:lang w:val="fr-FR"/>
        </w:rPr>
        <w:t>2, peuvent être transportés depuis leur emplacement d</w:t>
      </w:r>
      <w:r w:rsidR="00F70B88">
        <w:rPr>
          <w:bCs/>
          <w:lang w:val="fr-FR"/>
        </w:rPr>
        <w:t>’</w:t>
      </w:r>
      <w:r w:rsidRPr="006835D9">
        <w:rPr>
          <w:bCs/>
          <w:lang w:val="fr-FR"/>
        </w:rPr>
        <w:t>entreposage temporaire au point final de la chaîne de transport jusqu</w:t>
      </w:r>
      <w:r w:rsidR="00F70B88">
        <w:rPr>
          <w:bCs/>
          <w:lang w:val="fr-FR"/>
        </w:rPr>
        <w:t>’</w:t>
      </w:r>
      <w:r w:rsidRPr="006835D9">
        <w:rPr>
          <w:bCs/>
          <w:lang w:val="fr-FR"/>
        </w:rPr>
        <w:t>aux utilisateurs finaux</w:t>
      </w:r>
      <w:r w:rsidR="00FC1209" w:rsidRPr="00FC1209">
        <w:rPr>
          <w:bCs/>
          <w:lang w:val="fr-FR"/>
        </w:rPr>
        <w:t>.</w:t>
      </w:r>
      <w:r w:rsidRPr="006835D9">
        <w:rPr>
          <w:bCs/>
          <w:lang w:val="fr-FR"/>
        </w:rPr>
        <w:t xml:space="preserve"> </w:t>
      </w:r>
      <w:bookmarkEnd w:id="2"/>
    </w:p>
    <w:p w14:paraId="284FE7B6" w14:textId="7CC66B3C" w:rsidR="00520996" w:rsidRPr="006835D9" w:rsidRDefault="00520996" w:rsidP="00560AC8">
      <w:pPr>
        <w:tabs>
          <w:tab w:val="left" w:pos="1701"/>
        </w:tabs>
        <w:suppressAutoHyphens w:val="0"/>
        <w:spacing w:after="120"/>
        <w:ind w:left="2268" w:right="1134"/>
        <w:jc w:val="both"/>
        <w:rPr>
          <w:rFonts w:asciiTheme="majorBidi" w:eastAsia="Calibri" w:hAnsiTheme="majorBidi" w:cstheme="majorBidi"/>
          <w:bCs/>
          <w:lang w:val="fr-FR"/>
        </w:rPr>
      </w:pPr>
      <w:bookmarkStart w:id="3" w:name="_Hlk525132507"/>
      <w:r w:rsidRPr="006835D9">
        <w:rPr>
          <w:bCs/>
          <w:lang w:val="fr-FR"/>
        </w:rPr>
        <w:t>L</w:t>
      </w:r>
      <w:r w:rsidR="00F70B88">
        <w:rPr>
          <w:bCs/>
          <w:lang w:val="fr-FR"/>
        </w:rPr>
        <w:t>’</w:t>
      </w:r>
      <w:r w:rsidRPr="006835D9">
        <w:rPr>
          <w:bCs/>
          <w:lang w:val="fr-FR"/>
        </w:rPr>
        <w:t xml:space="preserve">expéditeur chargé du transport </w:t>
      </w:r>
      <w:r>
        <w:rPr>
          <w:bCs/>
          <w:lang w:val="fr-FR"/>
        </w:rPr>
        <w:t>RID ou ADR</w:t>
      </w:r>
      <w:r w:rsidRPr="006835D9">
        <w:rPr>
          <w:bCs/>
          <w:lang w:val="fr-FR"/>
        </w:rPr>
        <w:t xml:space="preserve"> doit inscrire la mention suivante dans le document de transport : </w:t>
      </w:r>
    </w:p>
    <w:p w14:paraId="1C790317" w14:textId="1B220780" w:rsidR="00520996" w:rsidRPr="006835D9" w:rsidRDefault="00520996" w:rsidP="00560AC8">
      <w:pPr>
        <w:tabs>
          <w:tab w:val="left" w:pos="1701"/>
        </w:tabs>
        <w:suppressAutoHyphens w:val="0"/>
        <w:spacing w:after="120"/>
        <w:ind w:left="2268" w:right="1134"/>
        <w:jc w:val="both"/>
        <w:rPr>
          <w:rFonts w:asciiTheme="majorBidi" w:eastAsia="Calibri" w:hAnsiTheme="majorBidi" w:cstheme="majorBidi"/>
          <w:bCs/>
          <w:lang w:val="fr-FR"/>
        </w:rPr>
      </w:pPr>
      <w:r w:rsidRPr="006835D9">
        <w:rPr>
          <w:bCs/>
          <w:lang w:val="fr-FR"/>
        </w:rPr>
        <w:t>« </w:t>
      </w:r>
      <w:r w:rsidRPr="006835D9">
        <w:rPr>
          <w:bCs/>
          <w:caps/>
          <w:lang w:val="fr-FR"/>
        </w:rPr>
        <w:t xml:space="preserve">Transport conformÉment au </w:t>
      </w:r>
      <w:r w:rsidRPr="006835D9">
        <w:rPr>
          <w:bCs/>
          <w:lang w:val="fr-FR"/>
        </w:rPr>
        <w:t>1</w:t>
      </w:r>
      <w:r w:rsidR="00FC1209" w:rsidRPr="00FC1209">
        <w:rPr>
          <w:bCs/>
          <w:lang w:val="fr-FR"/>
        </w:rPr>
        <w:t>.</w:t>
      </w:r>
      <w:r w:rsidRPr="006835D9">
        <w:rPr>
          <w:bCs/>
          <w:lang w:val="fr-FR"/>
        </w:rPr>
        <w:t>1</w:t>
      </w:r>
      <w:r w:rsidR="00FC1209" w:rsidRPr="00FC1209">
        <w:rPr>
          <w:bCs/>
          <w:lang w:val="fr-FR"/>
        </w:rPr>
        <w:t>.</w:t>
      </w:r>
      <w:r w:rsidRPr="006835D9">
        <w:rPr>
          <w:bCs/>
          <w:lang w:val="fr-FR"/>
        </w:rPr>
        <w:t>4</w:t>
      </w:r>
      <w:r w:rsidR="00FC1209" w:rsidRPr="00FC1209">
        <w:rPr>
          <w:bCs/>
          <w:lang w:val="fr-FR"/>
        </w:rPr>
        <w:t>.</w:t>
      </w:r>
      <w:r w:rsidRPr="006835D9">
        <w:rPr>
          <w:bCs/>
          <w:lang w:val="fr-FR"/>
        </w:rPr>
        <w:t>7</w:t>
      </w:r>
      <w:r w:rsidR="00FC1209" w:rsidRPr="00FC1209">
        <w:rPr>
          <w:bCs/>
          <w:lang w:val="fr-FR"/>
        </w:rPr>
        <w:t>.</w:t>
      </w:r>
      <w:r w:rsidRPr="006835D9">
        <w:rPr>
          <w:bCs/>
          <w:lang w:val="fr-FR"/>
        </w:rPr>
        <w:t>1 »</w:t>
      </w:r>
      <w:r w:rsidR="00FC1209" w:rsidRPr="00FC1209">
        <w:rPr>
          <w:bCs/>
          <w:lang w:val="fr-FR"/>
        </w:rPr>
        <w:t>.</w:t>
      </w:r>
    </w:p>
    <w:bookmarkEnd w:id="3"/>
    <w:p w14:paraId="69785841" w14:textId="30DFE10C" w:rsidR="00520996" w:rsidRPr="00C8236D" w:rsidRDefault="00520996" w:rsidP="00520996">
      <w:pPr>
        <w:tabs>
          <w:tab w:val="left" w:pos="2268"/>
        </w:tabs>
        <w:suppressAutoHyphens w:val="0"/>
        <w:spacing w:after="120" w:line="240" w:lineRule="auto"/>
        <w:ind w:left="1134" w:right="1134"/>
        <w:jc w:val="both"/>
        <w:rPr>
          <w:rFonts w:asciiTheme="majorBidi" w:eastAsia="Calibri" w:hAnsiTheme="majorBidi" w:cstheme="majorBidi"/>
          <w:bCs/>
          <w:i/>
          <w:iCs/>
          <w:lang w:val="fr-FR"/>
        </w:rPr>
      </w:pPr>
      <w:r w:rsidRPr="00C8236D">
        <w:rPr>
          <w:bCs/>
          <w:lang w:val="fr-FR"/>
        </w:rPr>
        <w:t>1</w:t>
      </w:r>
      <w:r w:rsidR="00FC1209" w:rsidRPr="00FC1209">
        <w:rPr>
          <w:bCs/>
          <w:lang w:val="fr-FR"/>
        </w:rPr>
        <w:t>.</w:t>
      </w:r>
      <w:r w:rsidRPr="00C8236D">
        <w:rPr>
          <w:bCs/>
          <w:lang w:val="fr-FR"/>
        </w:rPr>
        <w:t>1</w:t>
      </w:r>
      <w:r w:rsidR="00FC1209" w:rsidRPr="00FC1209">
        <w:rPr>
          <w:bCs/>
          <w:lang w:val="fr-FR"/>
        </w:rPr>
        <w:t>.</w:t>
      </w:r>
      <w:r w:rsidRPr="00C8236D">
        <w:rPr>
          <w:bCs/>
          <w:lang w:val="fr-FR"/>
        </w:rPr>
        <w:t>4</w:t>
      </w:r>
      <w:r w:rsidR="00FC1209" w:rsidRPr="00FC1209">
        <w:rPr>
          <w:bCs/>
          <w:lang w:val="fr-FR"/>
        </w:rPr>
        <w:t>.</w:t>
      </w:r>
      <w:r w:rsidRPr="00C8236D">
        <w:rPr>
          <w:bCs/>
          <w:lang w:val="fr-FR"/>
        </w:rPr>
        <w:t>7</w:t>
      </w:r>
      <w:r w:rsidR="00FC1209" w:rsidRPr="00FC1209">
        <w:rPr>
          <w:bCs/>
          <w:lang w:val="fr-FR"/>
        </w:rPr>
        <w:t>.</w:t>
      </w:r>
      <w:r w:rsidRPr="00C8236D">
        <w:rPr>
          <w:bCs/>
          <w:lang w:val="fr-FR"/>
        </w:rPr>
        <w:t>2</w:t>
      </w:r>
      <w:r w:rsidRPr="00C8236D">
        <w:rPr>
          <w:bCs/>
          <w:lang w:val="fr-FR"/>
        </w:rPr>
        <w:tab/>
      </w:r>
      <w:r w:rsidRPr="00C8236D">
        <w:rPr>
          <w:bCs/>
          <w:i/>
          <w:iCs/>
          <w:lang w:val="fr-FR"/>
        </w:rPr>
        <w:t>Exportation de gaz et récipients à pression vides non nettoyés</w:t>
      </w:r>
    </w:p>
    <w:p w14:paraId="48DE99B8" w14:textId="01F607C0" w:rsidR="00520996" w:rsidRPr="006835D9" w:rsidRDefault="00520996" w:rsidP="00560AC8">
      <w:pPr>
        <w:tabs>
          <w:tab w:val="left" w:pos="1701"/>
        </w:tabs>
        <w:suppressAutoHyphens w:val="0"/>
        <w:spacing w:after="120"/>
        <w:ind w:left="2268" w:right="1134"/>
        <w:jc w:val="both"/>
        <w:rPr>
          <w:rFonts w:asciiTheme="majorBidi" w:eastAsia="Calibri" w:hAnsiTheme="majorBidi" w:cstheme="majorBidi"/>
          <w:bCs/>
          <w:lang w:val="fr-FR"/>
        </w:rPr>
      </w:pPr>
      <w:r w:rsidRPr="006835D9">
        <w:rPr>
          <w:bCs/>
          <w:lang w:val="fr-FR"/>
        </w:rPr>
        <w:tab/>
        <w:t>Les récipients à pression rechargeables autorisés par le Département des transports des États-Unis d</w:t>
      </w:r>
      <w:r w:rsidR="00F70B88">
        <w:rPr>
          <w:bCs/>
          <w:lang w:val="fr-FR"/>
        </w:rPr>
        <w:t>’</w:t>
      </w:r>
      <w:r w:rsidRPr="006835D9">
        <w:rPr>
          <w:bCs/>
          <w:lang w:val="fr-FR"/>
        </w:rPr>
        <w:t>Amérique et construits conformément aux normes énoncées dans la Partie 178 (Specifications for Packagings (Spécifications relatives aux emballages)) du Titre 49 (Transportation (Transports)) du Code of Federal Regulations (recueil des règlements fédéraux) ne peuvent être remplis et transportés que pour l</w:t>
      </w:r>
      <w:r w:rsidR="00F70B88">
        <w:rPr>
          <w:bCs/>
          <w:lang w:val="fr-FR"/>
        </w:rPr>
        <w:t>’</w:t>
      </w:r>
      <w:r w:rsidRPr="006835D9">
        <w:rPr>
          <w:bCs/>
          <w:lang w:val="fr-FR"/>
        </w:rPr>
        <w:t>exportation vers des pays qui ne sont pas des États parties au RID</w:t>
      </w:r>
      <w:r>
        <w:rPr>
          <w:bCs/>
          <w:lang w:val="fr-FR"/>
        </w:rPr>
        <w:t xml:space="preserve"> ou à </w:t>
      </w:r>
      <w:r w:rsidRPr="006835D9">
        <w:rPr>
          <w:bCs/>
          <w:lang w:val="fr-FR"/>
        </w:rPr>
        <w:t>l</w:t>
      </w:r>
      <w:r w:rsidR="00F70B88">
        <w:rPr>
          <w:bCs/>
          <w:lang w:val="fr-FR"/>
        </w:rPr>
        <w:t>’</w:t>
      </w:r>
      <w:r w:rsidRPr="006835D9">
        <w:rPr>
          <w:bCs/>
          <w:lang w:val="fr-FR"/>
        </w:rPr>
        <w:t>ADR et à condition de satisfaire aux dispositions ci-après :</w:t>
      </w:r>
    </w:p>
    <w:p w14:paraId="1EBBF519" w14:textId="07C652FF" w:rsidR="00520996" w:rsidRPr="006835D9" w:rsidRDefault="00520996" w:rsidP="00520996">
      <w:pPr>
        <w:pStyle w:val="SingleTxtG"/>
        <w:ind w:left="2835" w:hanging="567"/>
        <w:rPr>
          <w:rFonts w:asciiTheme="majorBidi" w:eastAsia="Calibri" w:hAnsiTheme="majorBidi" w:cstheme="majorBidi"/>
          <w:bCs/>
          <w:lang w:val="fr-FR"/>
        </w:rPr>
      </w:pPr>
      <w:r w:rsidRPr="006835D9">
        <w:rPr>
          <w:bCs/>
          <w:lang w:val="fr-FR"/>
        </w:rPr>
        <w:t>a)</w:t>
      </w:r>
      <w:r w:rsidRPr="006835D9">
        <w:rPr>
          <w:bCs/>
          <w:lang w:val="fr-FR"/>
        </w:rPr>
        <w:tab/>
        <w:t>Le remplissage des récipients à pression est réalisé conformément aux prescriptions pertinentes du Code of Federal Regulations (recueil des règlements fédéraux) des États-Unis d</w:t>
      </w:r>
      <w:r w:rsidR="00F70B88">
        <w:rPr>
          <w:bCs/>
          <w:lang w:val="fr-FR"/>
        </w:rPr>
        <w:t>’</w:t>
      </w:r>
      <w:r w:rsidRPr="006835D9">
        <w:rPr>
          <w:bCs/>
          <w:lang w:val="fr-FR"/>
        </w:rPr>
        <w:t>Amérique ;</w:t>
      </w:r>
    </w:p>
    <w:p w14:paraId="2BB67DF9" w14:textId="2337757A" w:rsidR="00520996" w:rsidRPr="006835D9" w:rsidRDefault="00520996" w:rsidP="00520996">
      <w:pPr>
        <w:pStyle w:val="SingleTxtG"/>
        <w:ind w:left="2835" w:hanging="567"/>
        <w:rPr>
          <w:rFonts w:asciiTheme="majorBidi" w:eastAsia="Calibri" w:hAnsiTheme="majorBidi" w:cstheme="majorBidi"/>
          <w:bCs/>
          <w:lang w:val="fr-FR"/>
        </w:rPr>
      </w:pPr>
      <w:r w:rsidRPr="006835D9">
        <w:rPr>
          <w:bCs/>
          <w:lang w:val="fr-FR"/>
        </w:rPr>
        <w:lastRenderedPageBreak/>
        <w:t>b)</w:t>
      </w:r>
      <w:r w:rsidRPr="006835D9">
        <w:rPr>
          <w:bCs/>
          <w:lang w:val="fr-FR"/>
        </w:rPr>
        <w:tab/>
        <w:t>Les récipients à pression sont marqués et étiquetés conformément aux dispositions du chapitre 5</w:t>
      </w:r>
      <w:r w:rsidR="00FC1209" w:rsidRPr="00FC1209">
        <w:rPr>
          <w:bCs/>
          <w:lang w:val="fr-FR"/>
        </w:rPr>
        <w:t>.</w:t>
      </w:r>
      <w:r w:rsidRPr="006835D9">
        <w:rPr>
          <w:bCs/>
          <w:lang w:val="fr-FR"/>
        </w:rPr>
        <w:t>2 du RID</w:t>
      </w:r>
      <w:r>
        <w:rPr>
          <w:bCs/>
          <w:lang w:val="fr-FR"/>
        </w:rPr>
        <w:t xml:space="preserve"> ou </w:t>
      </w:r>
      <w:r w:rsidRPr="006835D9">
        <w:rPr>
          <w:bCs/>
          <w:lang w:val="fr-FR"/>
        </w:rPr>
        <w:t>de l</w:t>
      </w:r>
      <w:r w:rsidR="00F70B88">
        <w:rPr>
          <w:bCs/>
          <w:lang w:val="fr-FR"/>
        </w:rPr>
        <w:t>’</w:t>
      </w:r>
      <w:r w:rsidRPr="006835D9">
        <w:rPr>
          <w:bCs/>
          <w:lang w:val="fr-FR"/>
        </w:rPr>
        <w:t>ADR ;</w:t>
      </w:r>
    </w:p>
    <w:p w14:paraId="130B94A6" w14:textId="72E74A66" w:rsidR="00520996" w:rsidRPr="006835D9" w:rsidRDefault="00520996" w:rsidP="00520996">
      <w:pPr>
        <w:pStyle w:val="SingleTxtG"/>
        <w:ind w:left="2835" w:hanging="567"/>
        <w:rPr>
          <w:bCs/>
          <w:lang w:val="fr-FR"/>
        </w:rPr>
      </w:pPr>
      <w:r w:rsidRPr="006835D9">
        <w:rPr>
          <w:bCs/>
          <w:lang w:val="fr-FR"/>
        </w:rPr>
        <w:t>c)</w:t>
      </w:r>
      <w:r w:rsidRPr="006835D9">
        <w:rPr>
          <w:bCs/>
          <w:lang w:val="fr-FR"/>
        </w:rPr>
        <w:tab/>
      </w:r>
      <w:r w:rsidRPr="006835D9">
        <w:rPr>
          <w:rFonts w:cs="Arial"/>
          <w:bCs/>
          <w:lang w:val="fr-FR"/>
        </w:rPr>
        <w:t>Les dispositions du 4</w:t>
      </w:r>
      <w:r w:rsidR="00FC1209" w:rsidRPr="00FC1209">
        <w:rPr>
          <w:rFonts w:cs="Arial"/>
          <w:bCs/>
          <w:lang w:val="fr-FR"/>
        </w:rPr>
        <w:t>.</w:t>
      </w:r>
      <w:r w:rsidRPr="006835D9">
        <w:rPr>
          <w:rFonts w:cs="Arial"/>
          <w:bCs/>
          <w:lang w:val="fr-FR"/>
        </w:rPr>
        <w:t>1</w:t>
      </w:r>
      <w:r w:rsidR="00FC1209" w:rsidRPr="00FC1209">
        <w:rPr>
          <w:rFonts w:cs="Arial"/>
          <w:bCs/>
          <w:lang w:val="fr-FR"/>
        </w:rPr>
        <w:t>.</w:t>
      </w:r>
      <w:r w:rsidRPr="006835D9">
        <w:rPr>
          <w:rFonts w:cs="Arial"/>
          <w:bCs/>
          <w:lang w:val="fr-FR"/>
        </w:rPr>
        <w:t>6</w:t>
      </w:r>
      <w:r w:rsidR="00FC1209" w:rsidRPr="00FC1209">
        <w:rPr>
          <w:rFonts w:cs="Arial"/>
          <w:bCs/>
          <w:lang w:val="fr-FR"/>
        </w:rPr>
        <w:t>.</w:t>
      </w:r>
      <w:r w:rsidRPr="006835D9">
        <w:rPr>
          <w:rFonts w:cs="Arial"/>
          <w:bCs/>
          <w:lang w:val="fr-FR"/>
        </w:rPr>
        <w:t>12 et du 4</w:t>
      </w:r>
      <w:r w:rsidR="00FC1209" w:rsidRPr="00FC1209">
        <w:rPr>
          <w:rFonts w:cs="Arial"/>
          <w:bCs/>
          <w:lang w:val="fr-FR"/>
        </w:rPr>
        <w:t>.</w:t>
      </w:r>
      <w:r w:rsidRPr="006835D9">
        <w:rPr>
          <w:rFonts w:cs="Arial"/>
          <w:bCs/>
          <w:lang w:val="fr-FR"/>
        </w:rPr>
        <w:t>1</w:t>
      </w:r>
      <w:r w:rsidR="00FC1209" w:rsidRPr="00FC1209">
        <w:rPr>
          <w:rFonts w:cs="Arial"/>
          <w:bCs/>
          <w:lang w:val="fr-FR"/>
        </w:rPr>
        <w:t>.</w:t>
      </w:r>
      <w:r w:rsidRPr="006835D9">
        <w:rPr>
          <w:rFonts w:cs="Arial"/>
          <w:bCs/>
          <w:lang w:val="fr-FR"/>
        </w:rPr>
        <w:t>6</w:t>
      </w:r>
      <w:r w:rsidR="00FC1209" w:rsidRPr="00FC1209">
        <w:rPr>
          <w:rFonts w:cs="Arial"/>
          <w:bCs/>
          <w:lang w:val="fr-FR"/>
        </w:rPr>
        <w:t>.</w:t>
      </w:r>
      <w:r w:rsidRPr="006835D9">
        <w:rPr>
          <w:rFonts w:cs="Arial"/>
          <w:bCs/>
          <w:lang w:val="fr-FR"/>
        </w:rPr>
        <w:t>13 s</w:t>
      </w:r>
      <w:r w:rsidR="00F70B88">
        <w:rPr>
          <w:rFonts w:cs="Arial"/>
          <w:bCs/>
          <w:lang w:val="fr-FR"/>
        </w:rPr>
        <w:t>’</w:t>
      </w:r>
      <w:r w:rsidRPr="006835D9">
        <w:rPr>
          <w:rFonts w:cs="Arial"/>
          <w:bCs/>
          <w:lang w:val="fr-FR"/>
        </w:rPr>
        <w:t>appliquent aux récipients à pression</w:t>
      </w:r>
      <w:r w:rsidR="00FC1209" w:rsidRPr="00FC1209">
        <w:rPr>
          <w:rFonts w:cs="Arial"/>
          <w:bCs/>
          <w:lang w:val="fr-FR"/>
        </w:rPr>
        <w:t>.</w:t>
      </w:r>
      <w:r w:rsidRPr="006835D9">
        <w:rPr>
          <w:rFonts w:cs="Arial"/>
          <w:bCs/>
          <w:lang w:val="fr-FR"/>
        </w:rPr>
        <w:t xml:space="preserve"> Les récipients à pression ne doivent pas être remplis après la date limite du contrôle périodique mais peuvent être transportés après cette date pour être soumis à l</w:t>
      </w:r>
      <w:r w:rsidR="00F70B88">
        <w:rPr>
          <w:rFonts w:cs="Arial"/>
          <w:bCs/>
          <w:lang w:val="fr-FR"/>
        </w:rPr>
        <w:t>’</w:t>
      </w:r>
      <w:r w:rsidRPr="006835D9">
        <w:rPr>
          <w:rFonts w:cs="Arial"/>
          <w:bCs/>
          <w:lang w:val="fr-FR"/>
        </w:rPr>
        <w:t>inspection, y compris toute opération de transport intermédiaire ;</w:t>
      </w:r>
    </w:p>
    <w:p w14:paraId="3E5259F4" w14:textId="23766879" w:rsidR="00520996" w:rsidRPr="006835D9" w:rsidRDefault="00520996" w:rsidP="00520996">
      <w:pPr>
        <w:pStyle w:val="SingleTxtG"/>
        <w:ind w:left="2835" w:hanging="567"/>
        <w:rPr>
          <w:bCs/>
          <w:lang w:val="fr-FR"/>
        </w:rPr>
      </w:pPr>
      <w:r w:rsidRPr="006835D9">
        <w:rPr>
          <w:bCs/>
          <w:lang w:val="fr-FR"/>
        </w:rPr>
        <w:t>d)</w:t>
      </w:r>
      <w:r w:rsidRPr="006835D9">
        <w:rPr>
          <w:bCs/>
          <w:lang w:val="fr-FR"/>
        </w:rPr>
        <w:tab/>
        <w:t>L</w:t>
      </w:r>
      <w:r w:rsidR="00F70B88">
        <w:rPr>
          <w:bCs/>
          <w:lang w:val="fr-FR"/>
        </w:rPr>
        <w:t>’</w:t>
      </w:r>
      <w:r w:rsidRPr="006835D9">
        <w:rPr>
          <w:bCs/>
          <w:lang w:val="fr-FR"/>
        </w:rPr>
        <w:t>expéditeur chargé du transport RID</w:t>
      </w:r>
      <w:r>
        <w:rPr>
          <w:bCs/>
          <w:lang w:val="fr-FR"/>
        </w:rPr>
        <w:t xml:space="preserve"> ou </w:t>
      </w:r>
      <w:r w:rsidRPr="006835D9">
        <w:rPr>
          <w:bCs/>
          <w:lang w:val="fr-FR"/>
        </w:rPr>
        <w:t>ADR inscrit la mention suivante dans le document de transport :</w:t>
      </w:r>
    </w:p>
    <w:p w14:paraId="7851C193" w14:textId="0D21D5E7" w:rsidR="00520996" w:rsidRPr="006835D9" w:rsidRDefault="00520996" w:rsidP="00520996">
      <w:pPr>
        <w:pStyle w:val="SingleTxtG"/>
        <w:ind w:left="2835" w:hanging="567"/>
        <w:rPr>
          <w:bCs/>
          <w:lang w:val="fr-FR"/>
        </w:rPr>
      </w:pPr>
      <w:r w:rsidRPr="006835D9">
        <w:rPr>
          <w:bCs/>
          <w:lang w:val="fr-FR"/>
        </w:rPr>
        <w:tab/>
        <w:t>« </w:t>
      </w:r>
      <w:r w:rsidRPr="006835D9">
        <w:rPr>
          <w:bCs/>
          <w:caps/>
          <w:lang w:val="fr-FR"/>
        </w:rPr>
        <w:t>Transport conformÉment au</w:t>
      </w:r>
      <w:r w:rsidRPr="006835D9">
        <w:rPr>
          <w:bCs/>
          <w:lang w:val="fr-FR"/>
        </w:rPr>
        <w:t xml:space="preserve"> 1</w:t>
      </w:r>
      <w:r w:rsidR="00FC1209" w:rsidRPr="00FC1209">
        <w:rPr>
          <w:bCs/>
          <w:lang w:val="fr-FR"/>
        </w:rPr>
        <w:t>.</w:t>
      </w:r>
      <w:r w:rsidRPr="006835D9">
        <w:rPr>
          <w:bCs/>
          <w:lang w:val="fr-FR"/>
        </w:rPr>
        <w:t>1</w:t>
      </w:r>
      <w:r w:rsidR="00FC1209" w:rsidRPr="00FC1209">
        <w:rPr>
          <w:bCs/>
          <w:lang w:val="fr-FR"/>
        </w:rPr>
        <w:t>.</w:t>
      </w:r>
      <w:r w:rsidRPr="006835D9">
        <w:rPr>
          <w:bCs/>
          <w:lang w:val="fr-FR"/>
        </w:rPr>
        <w:t>4</w:t>
      </w:r>
      <w:r w:rsidR="00FC1209" w:rsidRPr="00FC1209">
        <w:rPr>
          <w:bCs/>
          <w:lang w:val="fr-FR"/>
        </w:rPr>
        <w:t>.</w:t>
      </w:r>
      <w:r w:rsidRPr="006835D9">
        <w:rPr>
          <w:bCs/>
          <w:lang w:val="fr-FR"/>
        </w:rPr>
        <w:t>7</w:t>
      </w:r>
      <w:r w:rsidR="00FC1209" w:rsidRPr="00FC1209">
        <w:rPr>
          <w:bCs/>
          <w:lang w:val="fr-FR"/>
        </w:rPr>
        <w:t>.</w:t>
      </w:r>
      <w:r w:rsidRPr="006835D9">
        <w:rPr>
          <w:bCs/>
          <w:lang w:val="fr-FR"/>
        </w:rPr>
        <w:t>2 »</w:t>
      </w:r>
      <w:r w:rsidR="00FC1209" w:rsidRPr="00FC1209">
        <w:rPr>
          <w:bCs/>
          <w:lang w:val="fr-FR"/>
        </w:rPr>
        <w:t>.</w:t>
      </w:r>
    </w:p>
    <w:p w14:paraId="737C1FBB" w14:textId="778A8E56" w:rsidR="00520996" w:rsidRPr="006835D9" w:rsidRDefault="00520996" w:rsidP="00520996">
      <w:pPr>
        <w:pStyle w:val="SingleTxtG"/>
        <w:rPr>
          <w:bCs/>
          <w:i/>
          <w:iCs/>
          <w:lang w:val="fr-FR"/>
        </w:rPr>
      </w:pPr>
      <w:r w:rsidRPr="006835D9">
        <w:rPr>
          <w:bCs/>
          <w:i/>
          <w:iCs/>
          <w:lang w:val="fr-FR"/>
        </w:rPr>
        <w:t>(Documents de référence : ECE/TRANS/WP</w:t>
      </w:r>
      <w:r w:rsidR="00FC1209" w:rsidRPr="00FC1209">
        <w:rPr>
          <w:bCs/>
          <w:i/>
          <w:iCs/>
          <w:lang w:val="fr-FR"/>
        </w:rPr>
        <w:t>.</w:t>
      </w:r>
      <w:r w:rsidRPr="006835D9">
        <w:rPr>
          <w:bCs/>
          <w:i/>
          <w:iCs/>
          <w:lang w:val="fr-FR"/>
        </w:rPr>
        <w:t>15/AC</w:t>
      </w:r>
      <w:r w:rsidR="00FC1209" w:rsidRPr="00FC1209">
        <w:rPr>
          <w:bCs/>
          <w:i/>
          <w:iCs/>
          <w:lang w:val="fr-FR"/>
        </w:rPr>
        <w:t>.</w:t>
      </w:r>
      <w:r w:rsidRPr="006835D9">
        <w:rPr>
          <w:bCs/>
          <w:i/>
          <w:iCs/>
          <w:lang w:val="fr-FR"/>
        </w:rPr>
        <w:t>1/2021/9 et document informel INF</w:t>
      </w:r>
      <w:r w:rsidR="00FC1209" w:rsidRPr="00FC1209">
        <w:rPr>
          <w:bCs/>
          <w:i/>
          <w:iCs/>
          <w:lang w:val="fr-FR"/>
        </w:rPr>
        <w:t>.</w:t>
      </w:r>
      <w:r w:rsidRPr="006835D9">
        <w:rPr>
          <w:bCs/>
          <w:i/>
          <w:iCs/>
          <w:lang w:val="fr-FR"/>
        </w:rPr>
        <w:t>24 tels qu</w:t>
      </w:r>
      <w:r w:rsidR="00F70B88">
        <w:rPr>
          <w:bCs/>
          <w:i/>
          <w:iCs/>
          <w:lang w:val="fr-FR"/>
        </w:rPr>
        <w:t>’</w:t>
      </w:r>
      <w:r w:rsidRPr="006835D9">
        <w:rPr>
          <w:bCs/>
          <w:i/>
          <w:iCs/>
          <w:lang w:val="fr-FR"/>
        </w:rPr>
        <w:t>amendés)</w:t>
      </w:r>
    </w:p>
    <w:p w14:paraId="7BDA4888" w14:textId="4C7C3E8D" w:rsidR="00520996" w:rsidRPr="006835D9" w:rsidRDefault="00520996" w:rsidP="00633E2F">
      <w:pPr>
        <w:pStyle w:val="SingleTxtG"/>
        <w:ind w:left="2268" w:hanging="1134"/>
        <w:rPr>
          <w:bCs/>
          <w:lang w:val="fr-FR"/>
        </w:rPr>
      </w:pPr>
      <w:r w:rsidRPr="006835D9">
        <w:rPr>
          <w:bCs/>
          <w:lang w:val="fr-FR"/>
        </w:rPr>
        <w:t>1</w:t>
      </w:r>
      <w:r w:rsidR="00FC1209" w:rsidRPr="00FC1209">
        <w:rPr>
          <w:bCs/>
          <w:lang w:val="fr-FR"/>
        </w:rPr>
        <w:t>.</w:t>
      </w:r>
      <w:r w:rsidRPr="006835D9">
        <w:rPr>
          <w:bCs/>
          <w:lang w:val="fr-FR"/>
        </w:rPr>
        <w:t>1</w:t>
      </w:r>
      <w:r w:rsidR="00FC1209" w:rsidRPr="00FC1209">
        <w:rPr>
          <w:bCs/>
          <w:lang w:val="fr-FR"/>
        </w:rPr>
        <w:t>.</w:t>
      </w:r>
      <w:r w:rsidRPr="006835D9">
        <w:rPr>
          <w:bCs/>
          <w:lang w:val="fr-FR"/>
        </w:rPr>
        <w:t>5</w:t>
      </w:r>
      <w:r w:rsidRPr="006835D9">
        <w:rPr>
          <w:bCs/>
          <w:lang w:val="fr-FR"/>
        </w:rPr>
        <w:tab/>
        <w:t>Ajouter le nota suivant :</w:t>
      </w:r>
    </w:p>
    <w:p w14:paraId="001D9680" w14:textId="77D9BB4A" w:rsidR="00520996" w:rsidRPr="006835D9" w:rsidRDefault="00520996" w:rsidP="00520996">
      <w:pPr>
        <w:pStyle w:val="SingleTxtG"/>
        <w:ind w:left="1985" w:right="1133" w:hanging="851"/>
        <w:rPr>
          <w:bCs/>
          <w:lang w:val="fr-FR"/>
        </w:rPr>
      </w:pPr>
      <w:r w:rsidRPr="004D2C7C">
        <w:rPr>
          <w:bCs/>
          <w:lang w:val="fr-FR"/>
        </w:rPr>
        <w:t>« </w:t>
      </w:r>
      <w:r w:rsidRPr="004D2C7C">
        <w:rPr>
          <w:b/>
          <w:i/>
          <w:iCs/>
          <w:lang w:val="fr-FR"/>
        </w:rPr>
        <w:t>NOTA</w:t>
      </w:r>
      <w:r w:rsidRPr="004D2C7C">
        <w:rPr>
          <w:bCs/>
          <w:i/>
          <w:iCs/>
          <w:lang w:val="fr-FR"/>
        </w:rPr>
        <w:t> </w:t>
      </w:r>
      <w:r w:rsidRPr="004D2C7C">
        <w:rPr>
          <w:b/>
          <w:i/>
          <w:iCs/>
          <w:lang w:val="fr-FR"/>
        </w:rPr>
        <w:t>:</w:t>
      </w:r>
      <w:r w:rsidRPr="00C8236D">
        <w:rPr>
          <w:bCs/>
          <w:i/>
          <w:iCs/>
          <w:lang w:val="fr-FR"/>
        </w:rPr>
        <w:tab/>
        <w:t>Une norme précise comment satisfaire aux dispositions du RID</w:t>
      </w:r>
      <w:r>
        <w:rPr>
          <w:bCs/>
          <w:i/>
          <w:iCs/>
          <w:lang w:val="fr-FR"/>
        </w:rPr>
        <w:t>, de l</w:t>
      </w:r>
      <w:r w:rsidR="00F70B88">
        <w:rPr>
          <w:bCs/>
          <w:i/>
          <w:iCs/>
          <w:lang w:val="fr-FR"/>
        </w:rPr>
        <w:t>’</w:t>
      </w:r>
      <w:r w:rsidRPr="00C8236D">
        <w:rPr>
          <w:bCs/>
          <w:i/>
          <w:iCs/>
          <w:lang w:val="fr-FR"/>
        </w:rPr>
        <w:t>ADR</w:t>
      </w:r>
      <w:r>
        <w:rPr>
          <w:bCs/>
          <w:i/>
          <w:iCs/>
          <w:lang w:val="fr-FR"/>
        </w:rPr>
        <w:t xml:space="preserve"> ou de l</w:t>
      </w:r>
      <w:r w:rsidR="00F70B88">
        <w:rPr>
          <w:bCs/>
          <w:i/>
          <w:iCs/>
          <w:lang w:val="fr-FR"/>
        </w:rPr>
        <w:t>’</w:t>
      </w:r>
      <w:r w:rsidRPr="00C8236D">
        <w:rPr>
          <w:bCs/>
          <w:i/>
          <w:iCs/>
          <w:lang w:val="fr-FR"/>
        </w:rPr>
        <w:t xml:space="preserve">ADN et peut inclure des exigences additionnelles à celles prévues dans </w:t>
      </w:r>
      <w:r>
        <w:rPr>
          <w:bCs/>
          <w:i/>
          <w:iCs/>
          <w:lang w:val="fr-FR"/>
        </w:rPr>
        <w:t>le RID, l</w:t>
      </w:r>
      <w:r w:rsidR="00F70B88">
        <w:rPr>
          <w:bCs/>
          <w:i/>
          <w:iCs/>
          <w:lang w:val="fr-FR"/>
        </w:rPr>
        <w:t>’</w:t>
      </w:r>
      <w:r>
        <w:rPr>
          <w:bCs/>
          <w:i/>
          <w:iCs/>
          <w:lang w:val="fr-FR"/>
        </w:rPr>
        <w:t>ADR ou l</w:t>
      </w:r>
      <w:r w:rsidR="00F70B88">
        <w:rPr>
          <w:bCs/>
          <w:i/>
          <w:iCs/>
          <w:lang w:val="fr-FR"/>
        </w:rPr>
        <w:t>’</w:t>
      </w:r>
      <w:r>
        <w:rPr>
          <w:bCs/>
          <w:i/>
          <w:iCs/>
          <w:lang w:val="fr-FR"/>
        </w:rPr>
        <w:t>ADN</w:t>
      </w:r>
      <w:r w:rsidR="00FC1209" w:rsidRPr="00FC1209">
        <w:rPr>
          <w:bCs/>
          <w:i/>
          <w:iCs/>
          <w:lang w:val="fr-FR"/>
        </w:rPr>
        <w:t>.</w:t>
      </w:r>
      <w:r w:rsidRPr="006835D9">
        <w:rPr>
          <w:bCs/>
          <w:lang w:val="fr-FR"/>
        </w:rPr>
        <w:t> »</w:t>
      </w:r>
      <w:r w:rsidR="00FC1209" w:rsidRPr="00FC1209">
        <w:rPr>
          <w:bCs/>
          <w:lang w:val="fr-FR"/>
        </w:rPr>
        <w:t>.</w:t>
      </w:r>
    </w:p>
    <w:p w14:paraId="0A23612E" w14:textId="610FD043" w:rsidR="00520996" w:rsidRPr="006835D9" w:rsidRDefault="00520996" w:rsidP="00560AC8">
      <w:pPr>
        <w:pStyle w:val="SingleTxtG"/>
        <w:ind w:left="1985" w:right="709" w:hanging="851"/>
        <w:rPr>
          <w:bCs/>
          <w:i/>
          <w:iCs/>
          <w:lang w:val="fr-FR"/>
        </w:rPr>
      </w:pPr>
      <w:r w:rsidRPr="006835D9">
        <w:rPr>
          <w:bCs/>
          <w:i/>
          <w:iCs/>
          <w:lang w:val="fr-FR"/>
        </w:rPr>
        <w:t>(Document de référence : document informel INF</w:t>
      </w:r>
      <w:r w:rsidR="00FC1209" w:rsidRPr="00FC1209">
        <w:rPr>
          <w:bCs/>
          <w:i/>
          <w:iCs/>
          <w:lang w:val="fr-FR"/>
        </w:rPr>
        <w:t>.</w:t>
      </w:r>
      <w:r w:rsidRPr="006835D9">
        <w:rPr>
          <w:bCs/>
          <w:i/>
          <w:iCs/>
          <w:lang w:val="fr-FR"/>
        </w:rPr>
        <w:t>3)</w:t>
      </w:r>
    </w:p>
    <w:p w14:paraId="0A53C96E" w14:textId="6C75C084" w:rsidR="00520996" w:rsidRPr="006835D9" w:rsidRDefault="00520996" w:rsidP="00560AC8">
      <w:pPr>
        <w:pStyle w:val="H1G"/>
        <w:rPr>
          <w:lang w:val="fr-FR"/>
        </w:rPr>
      </w:pPr>
      <w:r>
        <w:rPr>
          <w:lang w:val="fr-FR"/>
        </w:rPr>
        <w:tab/>
      </w:r>
      <w:r>
        <w:rPr>
          <w:lang w:val="fr-FR"/>
        </w:rPr>
        <w:tab/>
        <w:t>Chapitre 1</w:t>
      </w:r>
      <w:r w:rsidR="00FC1209" w:rsidRPr="00FC1209">
        <w:rPr>
          <w:lang w:val="fr-FR"/>
        </w:rPr>
        <w:t>.</w:t>
      </w:r>
      <w:r>
        <w:rPr>
          <w:lang w:val="fr-FR"/>
        </w:rPr>
        <w:t>2</w:t>
      </w:r>
    </w:p>
    <w:p w14:paraId="4B6326CA" w14:textId="78D9275E" w:rsidR="00520996" w:rsidRPr="006835D9" w:rsidRDefault="00520996" w:rsidP="00F70B88">
      <w:pPr>
        <w:pStyle w:val="SingleTxtG"/>
        <w:rPr>
          <w:bCs/>
          <w:lang w:val="fr-FR"/>
        </w:rPr>
      </w:pPr>
      <w:r w:rsidRPr="006835D9">
        <w:rPr>
          <w:bCs/>
          <w:lang w:val="fr-FR"/>
        </w:rPr>
        <w:t>Les amendements ci-après remplacent ceux figurant en annexe II du document ECE/TRANS/WP</w:t>
      </w:r>
      <w:r w:rsidR="00FC1209" w:rsidRPr="00FC1209">
        <w:rPr>
          <w:bCs/>
          <w:lang w:val="fr-FR"/>
        </w:rPr>
        <w:t>.</w:t>
      </w:r>
      <w:r w:rsidRPr="006835D9">
        <w:rPr>
          <w:bCs/>
          <w:lang w:val="fr-FR"/>
        </w:rPr>
        <w:t>15/AC</w:t>
      </w:r>
      <w:r w:rsidR="00FC1209" w:rsidRPr="00FC1209">
        <w:rPr>
          <w:bCs/>
          <w:lang w:val="fr-FR"/>
        </w:rPr>
        <w:t>.</w:t>
      </w:r>
      <w:r w:rsidRPr="006835D9">
        <w:rPr>
          <w:bCs/>
          <w:lang w:val="fr-FR"/>
        </w:rPr>
        <w:t xml:space="preserve">1/158 </w:t>
      </w:r>
      <w:r w:rsidR="00F70B88">
        <w:rPr>
          <w:bCs/>
          <w:lang w:val="fr-FR"/>
        </w:rPr>
        <w:t>−</w:t>
      </w:r>
      <w:r w:rsidRPr="006835D9">
        <w:rPr>
          <w:bCs/>
          <w:lang w:val="fr-FR"/>
        </w:rPr>
        <w:t xml:space="preserve"> OTIF/RID/RC/2021-A</w:t>
      </w:r>
      <w:r w:rsidR="00FC1209" w:rsidRPr="00FC1209">
        <w:rPr>
          <w:bCs/>
          <w:lang w:val="fr-FR"/>
        </w:rPr>
        <w:t>.</w:t>
      </w:r>
      <w:r w:rsidRPr="006835D9">
        <w:rPr>
          <w:bCs/>
          <w:lang w:val="fr-FR"/>
        </w:rPr>
        <w:t xml:space="preserve"> </w:t>
      </w:r>
    </w:p>
    <w:p w14:paraId="35D3F9EA" w14:textId="4760215B" w:rsidR="00520996" w:rsidRPr="006835D9" w:rsidRDefault="00520996" w:rsidP="00520996">
      <w:pPr>
        <w:pStyle w:val="SingleTxtG"/>
        <w:ind w:right="1133"/>
        <w:rPr>
          <w:bCs/>
          <w:lang w:val="fr-FR"/>
        </w:rPr>
      </w:pPr>
      <w:r w:rsidRPr="006835D9">
        <w:rPr>
          <w:bCs/>
          <w:lang w:val="fr-FR"/>
        </w:rPr>
        <w:t>1</w:t>
      </w:r>
      <w:r w:rsidR="00FC1209" w:rsidRPr="00FC1209">
        <w:rPr>
          <w:bCs/>
          <w:lang w:val="fr-FR"/>
        </w:rPr>
        <w:t>.</w:t>
      </w:r>
      <w:r w:rsidRPr="006835D9">
        <w:rPr>
          <w:bCs/>
          <w:lang w:val="fr-FR"/>
        </w:rPr>
        <w:t>2</w:t>
      </w:r>
      <w:r w:rsidRPr="006835D9">
        <w:rPr>
          <w:bCs/>
          <w:lang w:val="fr-FR"/>
        </w:rPr>
        <w:tab/>
        <w:t>Modifier le titre pour lire :</w:t>
      </w:r>
    </w:p>
    <w:p w14:paraId="2027537C" w14:textId="77777777" w:rsidR="00520996" w:rsidRPr="006835D9" w:rsidRDefault="00520996" w:rsidP="00520996">
      <w:pPr>
        <w:pStyle w:val="SingleTxtG"/>
        <w:ind w:right="1133"/>
        <w:rPr>
          <w:bCs/>
          <w:lang w:val="fr-FR"/>
        </w:rPr>
      </w:pPr>
      <w:r w:rsidRPr="006835D9">
        <w:rPr>
          <w:lang w:val="fr-FR"/>
        </w:rPr>
        <w:t>« DÉFINITIONS, UNITÉS DE MESURE ET ABRÉVIATIONS »</w:t>
      </w:r>
    </w:p>
    <w:p w14:paraId="1FBA8ED8" w14:textId="2BD63852" w:rsidR="00520996" w:rsidRPr="006835D9" w:rsidRDefault="00520996" w:rsidP="00520996">
      <w:pPr>
        <w:pStyle w:val="SingleTxtG"/>
        <w:ind w:right="1133"/>
        <w:rPr>
          <w:bCs/>
          <w:lang w:val="fr-FR"/>
        </w:rPr>
      </w:pPr>
      <w:r w:rsidRPr="006835D9">
        <w:rPr>
          <w:bCs/>
          <w:i/>
          <w:iCs/>
          <w:lang w:val="fr-FR"/>
        </w:rPr>
        <w:t xml:space="preserve">(Document de référence : </w:t>
      </w:r>
      <w:r w:rsidRPr="006835D9">
        <w:rPr>
          <w:i/>
          <w:iCs/>
          <w:lang w:val="fr-FR"/>
        </w:rPr>
        <w:t>ECE/TRANS/WP</w:t>
      </w:r>
      <w:r w:rsidR="00FC1209" w:rsidRPr="00FC1209">
        <w:rPr>
          <w:i/>
          <w:iCs/>
          <w:lang w:val="fr-FR"/>
        </w:rPr>
        <w:t>.</w:t>
      </w:r>
      <w:r w:rsidRPr="006835D9">
        <w:rPr>
          <w:i/>
          <w:iCs/>
          <w:lang w:val="fr-FR"/>
        </w:rPr>
        <w:t>15/AC</w:t>
      </w:r>
      <w:r w:rsidR="00FC1209" w:rsidRPr="00FC1209">
        <w:rPr>
          <w:i/>
          <w:iCs/>
          <w:lang w:val="fr-FR"/>
        </w:rPr>
        <w:t>.</w:t>
      </w:r>
      <w:r w:rsidRPr="006835D9">
        <w:rPr>
          <w:i/>
          <w:iCs/>
          <w:lang w:val="fr-FR"/>
        </w:rPr>
        <w:t xml:space="preserve">1/2020/13 et </w:t>
      </w:r>
      <w:r w:rsidRPr="006835D9">
        <w:rPr>
          <w:bCs/>
          <w:i/>
          <w:iCs/>
          <w:lang w:val="fr-FR"/>
        </w:rPr>
        <w:t>document informel INF</w:t>
      </w:r>
      <w:r w:rsidR="00FC1209" w:rsidRPr="00FC1209">
        <w:rPr>
          <w:bCs/>
          <w:i/>
          <w:iCs/>
          <w:lang w:val="fr-FR"/>
        </w:rPr>
        <w:t>.</w:t>
      </w:r>
      <w:r w:rsidRPr="006835D9">
        <w:rPr>
          <w:bCs/>
          <w:i/>
          <w:iCs/>
          <w:lang w:val="fr-FR"/>
        </w:rPr>
        <w:t xml:space="preserve"> 39 tel qu</w:t>
      </w:r>
      <w:r w:rsidR="00F70B88">
        <w:rPr>
          <w:bCs/>
          <w:i/>
          <w:iCs/>
          <w:lang w:val="fr-FR"/>
        </w:rPr>
        <w:t>’</w:t>
      </w:r>
      <w:r w:rsidRPr="006835D9">
        <w:rPr>
          <w:bCs/>
          <w:i/>
          <w:iCs/>
          <w:lang w:val="fr-FR"/>
        </w:rPr>
        <w:t>amendé)</w:t>
      </w:r>
    </w:p>
    <w:p w14:paraId="5306C34B" w14:textId="5EBD06C2" w:rsidR="00520996" w:rsidRPr="006835D9" w:rsidRDefault="00520996" w:rsidP="00520996">
      <w:pPr>
        <w:pStyle w:val="SingleTxtG"/>
        <w:tabs>
          <w:tab w:val="left" w:pos="2268"/>
        </w:tabs>
        <w:ind w:right="1133"/>
        <w:rPr>
          <w:bCs/>
          <w:lang w:val="fr-FR"/>
        </w:rPr>
      </w:pPr>
      <w:r w:rsidRPr="006835D9">
        <w:rPr>
          <w:bCs/>
          <w:lang w:val="fr-FR"/>
        </w:rPr>
        <w:t>« 1</w:t>
      </w:r>
      <w:r w:rsidR="00FC1209" w:rsidRPr="00FC1209">
        <w:rPr>
          <w:bCs/>
          <w:lang w:val="fr-FR"/>
        </w:rPr>
        <w:t>.</w:t>
      </w:r>
      <w:r w:rsidRPr="006835D9">
        <w:rPr>
          <w:bCs/>
          <w:lang w:val="fr-FR"/>
        </w:rPr>
        <w:t>2</w:t>
      </w:r>
      <w:r w:rsidR="00FC1209" w:rsidRPr="00FC1209">
        <w:rPr>
          <w:bCs/>
          <w:lang w:val="fr-FR"/>
        </w:rPr>
        <w:t>.</w:t>
      </w:r>
      <w:r w:rsidRPr="006835D9">
        <w:rPr>
          <w:bCs/>
          <w:lang w:val="fr-FR"/>
        </w:rPr>
        <w:t>1</w:t>
      </w:r>
      <w:r w:rsidRPr="006835D9">
        <w:rPr>
          <w:bCs/>
          <w:lang w:val="fr-FR"/>
        </w:rPr>
        <w:tab/>
        <w:t>Supprimer les définitions suivantes :</w:t>
      </w:r>
    </w:p>
    <w:p w14:paraId="457EF162" w14:textId="14822654" w:rsidR="00520996" w:rsidRPr="006835D9" w:rsidRDefault="00560AC8" w:rsidP="00520996">
      <w:pPr>
        <w:pStyle w:val="SingleTxtG"/>
        <w:tabs>
          <w:tab w:val="left" w:pos="2268"/>
        </w:tabs>
        <w:ind w:right="1133"/>
        <w:rPr>
          <w:bCs/>
          <w:lang w:val="fr-FR"/>
        </w:rPr>
      </w:pPr>
      <w:r w:rsidRPr="006835D9">
        <w:rPr>
          <w:bCs/>
          <w:iCs/>
          <w:lang w:val="fr-FR"/>
        </w:rPr>
        <w:t>“</w:t>
      </w:r>
      <w:r w:rsidR="00520996" w:rsidRPr="006835D9">
        <w:rPr>
          <w:bCs/>
          <w:lang w:val="fr-FR"/>
        </w:rPr>
        <w:t>ADN</w:t>
      </w:r>
      <w:r w:rsidR="00920263" w:rsidRPr="006835D9">
        <w:rPr>
          <w:bCs/>
          <w:lang w:val="fr-FR"/>
        </w:rPr>
        <w:t>”</w:t>
      </w:r>
      <w:r w:rsidR="00520996" w:rsidRPr="006835D9">
        <w:rPr>
          <w:bCs/>
          <w:lang w:val="fr-FR"/>
        </w:rPr>
        <w:t>, (RID</w:t>
      </w:r>
      <w:r w:rsidR="00F70B88">
        <w:rPr>
          <w:bCs/>
          <w:lang w:val="fr-FR"/>
        </w:rPr>
        <w:t> </w:t>
      </w:r>
      <w:r w:rsidR="00520996" w:rsidRPr="006835D9">
        <w:rPr>
          <w:bCs/>
          <w:lang w:val="fr-FR"/>
        </w:rPr>
        <w:t xml:space="preserve">:) </w:t>
      </w:r>
      <w:r w:rsidRPr="006835D9">
        <w:rPr>
          <w:bCs/>
          <w:iCs/>
          <w:lang w:val="fr-FR"/>
        </w:rPr>
        <w:t>“</w:t>
      </w:r>
      <w:r w:rsidR="00520996" w:rsidRPr="006835D9">
        <w:rPr>
          <w:bCs/>
          <w:lang w:val="fr-FR"/>
        </w:rPr>
        <w:t>ADR</w:t>
      </w:r>
      <w:r w:rsidR="00920263" w:rsidRPr="006835D9">
        <w:rPr>
          <w:bCs/>
          <w:lang w:val="fr-FR"/>
        </w:rPr>
        <w:t>”</w:t>
      </w:r>
      <w:r w:rsidR="00520996" w:rsidRPr="006835D9">
        <w:rPr>
          <w:bCs/>
          <w:lang w:val="fr-FR"/>
        </w:rPr>
        <w:t xml:space="preserve">, </w:t>
      </w:r>
      <w:r w:rsidRPr="006835D9">
        <w:rPr>
          <w:bCs/>
          <w:iCs/>
          <w:lang w:val="fr-FR"/>
        </w:rPr>
        <w:t>“</w:t>
      </w:r>
      <w:r w:rsidR="00520996" w:rsidRPr="006835D9">
        <w:rPr>
          <w:bCs/>
          <w:lang w:val="fr-FR"/>
        </w:rPr>
        <w:t>AIEA</w:t>
      </w:r>
      <w:r w:rsidR="00920263" w:rsidRPr="006835D9">
        <w:rPr>
          <w:bCs/>
          <w:lang w:val="fr-FR"/>
        </w:rPr>
        <w:t>”</w:t>
      </w:r>
      <w:r w:rsidR="00520996" w:rsidRPr="006835D9">
        <w:rPr>
          <w:bCs/>
          <w:lang w:val="fr-FR"/>
        </w:rPr>
        <w:t xml:space="preserve">, </w:t>
      </w:r>
      <w:r w:rsidR="00920263" w:rsidRPr="006835D9">
        <w:rPr>
          <w:bCs/>
          <w:iCs/>
          <w:lang w:val="fr-FR"/>
        </w:rPr>
        <w:t>“</w:t>
      </w:r>
      <w:r w:rsidR="00520996" w:rsidRPr="006835D9">
        <w:rPr>
          <w:bCs/>
          <w:lang w:val="fr-FR"/>
        </w:rPr>
        <w:t>ASTM</w:t>
      </w:r>
      <w:r w:rsidR="00920263" w:rsidRPr="006835D9">
        <w:rPr>
          <w:bCs/>
          <w:lang w:val="fr-FR"/>
        </w:rPr>
        <w:t>”</w:t>
      </w:r>
      <w:r w:rsidR="00520996" w:rsidRPr="006835D9">
        <w:rPr>
          <w:bCs/>
          <w:lang w:val="fr-FR"/>
        </w:rPr>
        <w:t xml:space="preserve">, </w:t>
      </w:r>
      <w:r w:rsidR="00920263" w:rsidRPr="006835D9">
        <w:rPr>
          <w:bCs/>
          <w:iCs/>
          <w:lang w:val="fr-FR"/>
        </w:rPr>
        <w:t>“</w:t>
      </w:r>
      <w:r w:rsidR="00520996" w:rsidRPr="006835D9">
        <w:rPr>
          <w:bCs/>
          <w:lang w:val="fr-FR"/>
        </w:rPr>
        <w:t>CEE</w:t>
      </w:r>
      <w:r w:rsidR="00920263" w:rsidRPr="006835D9">
        <w:rPr>
          <w:bCs/>
          <w:lang w:val="fr-FR"/>
        </w:rPr>
        <w:t>”</w:t>
      </w:r>
      <w:r w:rsidR="00520996" w:rsidRPr="006835D9">
        <w:rPr>
          <w:bCs/>
          <w:lang w:val="fr-FR"/>
        </w:rPr>
        <w:t xml:space="preserve">, </w:t>
      </w:r>
      <w:r w:rsidR="00920263" w:rsidRPr="006835D9">
        <w:rPr>
          <w:bCs/>
          <w:iCs/>
          <w:lang w:val="fr-FR"/>
        </w:rPr>
        <w:t>“</w:t>
      </w:r>
      <w:r w:rsidR="00520996" w:rsidRPr="006835D9">
        <w:rPr>
          <w:bCs/>
          <w:lang w:val="fr-FR"/>
        </w:rPr>
        <w:t>CGA</w:t>
      </w:r>
      <w:r w:rsidR="00920263" w:rsidRPr="006835D9">
        <w:rPr>
          <w:bCs/>
          <w:lang w:val="fr-FR"/>
        </w:rPr>
        <w:t>”</w:t>
      </w:r>
      <w:r w:rsidR="00520996" w:rsidRPr="006835D9">
        <w:rPr>
          <w:bCs/>
          <w:lang w:val="fr-FR"/>
        </w:rPr>
        <w:t xml:space="preserve">, </w:t>
      </w:r>
      <w:r w:rsidR="00920263" w:rsidRPr="006835D9">
        <w:rPr>
          <w:bCs/>
          <w:iCs/>
          <w:lang w:val="fr-FR"/>
        </w:rPr>
        <w:t>“</w:t>
      </w:r>
      <w:r w:rsidR="00520996" w:rsidRPr="006835D9">
        <w:rPr>
          <w:bCs/>
          <w:lang w:val="fr-FR"/>
        </w:rPr>
        <w:t>CGEM</w:t>
      </w:r>
      <w:r w:rsidR="00920263" w:rsidRPr="006835D9">
        <w:rPr>
          <w:bCs/>
          <w:lang w:val="fr-FR"/>
        </w:rPr>
        <w:t>”</w:t>
      </w:r>
      <w:r w:rsidR="00520996" w:rsidRPr="006835D9">
        <w:rPr>
          <w:bCs/>
          <w:lang w:val="fr-FR"/>
        </w:rPr>
        <w:t xml:space="preserve">, </w:t>
      </w:r>
      <w:r w:rsidR="00920263" w:rsidRPr="006835D9">
        <w:rPr>
          <w:bCs/>
          <w:iCs/>
          <w:lang w:val="fr-FR"/>
        </w:rPr>
        <w:t>“</w:t>
      </w:r>
      <w:r w:rsidR="00520996" w:rsidRPr="006835D9">
        <w:rPr>
          <w:bCs/>
          <w:lang w:val="fr-FR"/>
        </w:rPr>
        <w:t>CIM</w:t>
      </w:r>
      <w:r w:rsidR="00920263" w:rsidRPr="006835D9">
        <w:rPr>
          <w:bCs/>
          <w:lang w:val="fr-FR"/>
        </w:rPr>
        <w:t>”</w:t>
      </w:r>
      <w:r w:rsidR="00520996" w:rsidRPr="006835D9">
        <w:rPr>
          <w:bCs/>
          <w:lang w:val="fr-FR"/>
        </w:rPr>
        <w:t xml:space="preserve">, </w:t>
      </w:r>
      <w:r w:rsidR="00920263" w:rsidRPr="006835D9">
        <w:rPr>
          <w:bCs/>
          <w:iCs/>
          <w:lang w:val="fr-FR"/>
        </w:rPr>
        <w:t>“</w:t>
      </w:r>
      <w:r w:rsidR="00520996" w:rsidRPr="006835D9">
        <w:rPr>
          <w:bCs/>
          <w:lang w:val="fr-FR"/>
        </w:rPr>
        <w:t>CMR</w:t>
      </w:r>
      <w:r w:rsidR="00920263" w:rsidRPr="006835D9">
        <w:rPr>
          <w:bCs/>
          <w:lang w:val="fr-FR"/>
        </w:rPr>
        <w:t>”</w:t>
      </w:r>
      <w:r w:rsidR="00520996" w:rsidRPr="006835D9">
        <w:rPr>
          <w:bCs/>
          <w:lang w:val="fr-FR"/>
        </w:rPr>
        <w:t xml:space="preserve">, </w:t>
      </w:r>
      <w:r w:rsidR="00920263" w:rsidRPr="006835D9">
        <w:rPr>
          <w:bCs/>
          <w:iCs/>
          <w:lang w:val="fr-FR"/>
        </w:rPr>
        <w:t>“</w:t>
      </w:r>
      <w:r w:rsidR="00520996" w:rsidRPr="006835D9">
        <w:rPr>
          <w:bCs/>
          <w:lang w:val="fr-FR"/>
        </w:rPr>
        <w:t>CSC</w:t>
      </w:r>
      <w:r w:rsidR="00920263" w:rsidRPr="006835D9">
        <w:rPr>
          <w:bCs/>
          <w:lang w:val="fr-FR"/>
        </w:rPr>
        <w:t>”</w:t>
      </w:r>
      <w:r w:rsidR="00520996" w:rsidRPr="006835D9">
        <w:rPr>
          <w:bCs/>
          <w:lang w:val="fr-FR"/>
        </w:rPr>
        <w:t>, (RID</w:t>
      </w:r>
      <w:r w:rsidR="00F70B88">
        <w:rPr>
          <w:bCs/>
          <w:lang w:val="fr-FR"/>
        </w:rPr>
        <w:t> </w:t>
      </w:r>
      <w:r w:rsidR="00520996" w:rsidRPr="006835D9">
        <w:rPr>
          <w:bCs/>
          <w:lang w:val="fr-FR"/>
        </w:rPr>
        <w:t xml:space="preserve">:) </w:t>
      </w:r>
      <w:r w:rsidR="00920263" w:rsidRPr="006835D9">
        <w:rPr>
          <w:bCs/>
          <w:iCs/>
          <w:lang w:val="fr-FR"/>
        </w:rPr>
        <w:t>“</w:t>
      </w:r>
      <w:r w:rsidR="00520996" w:rsidRPr="006835D9">
        <w:rPr>
          <w:bCs/>
          <w:lang w:val="fr-FR"/>
        </w:rPr>
        <w:t>ECE</w:t>
      </w:r>
      <w:r w:rsidR="00920263" w:rsidRPr="006835D9">
        <w:rPr>
          <w:bCs/>
          <w:lang w:val="fr-FR"/>
        </w:rPr>
        <w:t>”</w:t>
      </w:r>
      <w:r w:rsidR="00520996" w:rsidRPr="006835D9">
        <w:rPr>
          <w:bCs/>
          <w:lang w:val="fr-FR"/>
        </w:rPr>
        <w:t xml:space="preserve">, </w:t>
      </w:r>
      <w:r w:rsidR="00920263" w:rsidRPr="006835D9">
        <w:rPr>
          <w:bCs/>
          <w:iCs/>
          <w:lang w:val="fr-FR"/>
        </w:rPr>
        <w:t>“</w:t>
      </w:r>
      <w:r w:rsidR="00520996" w:rsidRPr="006835D9">
        <w:rPr>
          <w:bCs/>
          <w:lang w:val="fr-FR"/>
        </w:rPr>
        <w:t>EN (Norme)</w:t>
      </w:r>
      <w:r w:rsidR="00920263" w:rsidRPr="006835D9">
        <w:rPr>
          <w:bCs/>
          <w:lang w:val="fr-FR"/>
        </w:rPr>
        <w:t>”</w:t>
      </w:r>
      <w:r w:rsidR="00520996" w:rsidRPr="006835D9">
        <w:rPr>
          <w:bCs/>
          <w:lang w:val="fr-FR"/>
        </w:rPr>
        <w:t xml:space="preserve">, </w:t>
      </w:r>
      <w:r w:rsidR="00920263" w:rsidRPr="006835D9">
        <w:rPr>
          <w:bCs/>
          <w:iCs/>
          <w:lang w:val="fr-FR"/>
        </w:rPr>
        <w:t>“</w:t>
      </w:r>
      <w:r w:rsidR="00520996" w:rsidRPr="006835D9">
        <w:rPr>
          <w:bCs/>
          <w:lang w:val="fr-FR"/>
        </w:rPr>
        <w:t>IMDG</w:t>
      </w:r>
      <w:r w:rsidR="00920263" w:rsidRPr="006835D9">
        <w:rPr>
          <w:bCs/>
          <w:lang w:val="fr-FR"/>
        </w:rPr>
        <w:t>”</w:t>
      </w:r>
      <w:r w:rsidR="00520996" w:rsidRPr="006835D9">
        <w:rPr>
          <w:bCs/>
          <w:lang w:val="fr-FR"/>
        </w:rPr>
        <w:t xml:space="preserve">, </w:t>
      </w:r>
      <w:r w:rsidR="00920263" w:rsidRPr="006835D9">
        <w:rPr>
          <w:bCs/>
          <w:iCs/>
          <w:lang w:val="fr-FR"/>
        </w:rPr>
        <w:t>“</w:t>
      </w:r>
      <w:r w:rsidR="00520996" w:rsidRPr="006835D9">
        <w:rPr>
          <w:bCs/>
          <w:lang w:val="fr-FR"/>
        </w:rPr>
        <w:t>ISO (Norme)</w:t>
      </w:r>
      <w:r w:rsidR="00920263" w:rsidRPr="006835D9">
        <w:rPr>
          <w:bCs/>
          <w:lang w:val="fr-FR"/>
        </w:rPr>
        <w:t>”</w:t>
      </w:r>
      <w:r w:rsidR="00520996" w:rsidRPr="006835D9">
        <w:rPr>
          <w:bCs/>
          <w:lang w:val="fr-FR"/>
        </w:rPr>
        <w:t>, (ADR</w:t>
      </w:r>
      <w:r w:rsidR="00F70B88">
        <w:rPr>
          <w:bCs/>
          <w:lang w:val="fr-FR"/>
        </w:rPr>
        <w:t> </w:t>
      </w:r>
      <w:r w:rsidR="00520996" w:rsidRPr="006835D9">
        <w:rPr>
          <w:bCs/>
          <w:lang w:val="fr-FR"/>
        </w:rPr>
        <w:t xml:space="preserve">:) </w:t>
      </w:r>
      <w:r w:rsidR="00920263" w:rsidRPr="006835D9">
        <w:rPr>
          <w:bCs/>
          <w:iCs/>
          <w:lang w:val="fr-FR"/>
        </w:rPr>
        <w:t>“</w:t>
      </w:r>
      <w:r w:rsidR="00520996" w:rsidRPr="006835D9">
        <w:rPr>
          <w:bCs/>
          <w:lang w:val="fr-FR"/>
        </w:rPr>
        <w:t>MEMU</w:t>
      </w:r>
      <w:r w:rsidR="00920263" w:rsidRPr="006835D9">
        <w:rPr>
          <w:bCs/>
          <w:lang w:val="fr-FR"/>
        </w:rPr>
        <w:t>”</w:t>
      </w:r>
      <w:r w:rsidR="00520996" w:rsidRPr="006835D9">
        <w:rPr>
          <w:bCs/>
          <w:lang w:val="fr-FR"/>
        </w:rPr>
        <w:t xml:space="preserve">, </w:t>
      </w:r>
      <w:r w:rsidR="00920263" w:rsidRPr="006835D9">
        <w:rPr>
          <w:bCs/>
          <w:iCs/>
          <w:lang w:val="fr-FR"/>
        </w:rPr>
        <w:t>“</w:t>
      </w:r>
      <w:r w:rsidR="00520996" w:rsidRPr="006835D9">
        <w:rPr>
          <w:bCs/>
          <w:lang w:val="fr-FR"/>
        </w:rPr>
        <w:t>n</w:t>
      </w:r>
      <w:r w:rsidR="00FC1209" w:rsidRPr="00FC1209">
        <w:rPr>
          <w:bCs/>
          <w:lang w:val="fr-FR"/>
        </w:rPr>
        <w:t>.</w:t>
      </w:r>
      <w:r w:rsidR="00520996" w:rsidRPr="006835D9">
        <w:rPr>
          <w:bCs/>
          <w:lang w:val="fr-FR"/>
        </w:rPr>
        <w:t>s</w:t>
      </w:r>
      <w:r w:rsidR="00FC1209" w:rsidRPr="00FC1209">
        <w:rPr>
          <w:bCs/>
          <w:lang w:val="fr-FR"/>
        </w:rPr>
        <w:t>.</w:t>
      </w:r>
      <w:r w:rsidR="00520996" w:rsidRPr="006835D9">
        <w:rPr>
          <w:bCs/>
          <w:lang w:val="fr-FR"/>
        </w:rPr>
        <w:t>a</w:t>
      </w:r>
      <w:r w:rsidR="00FC1209" w:rsidRPr="00FC1209">
        <w:rPr>
          <w:bCs/>
          <w:lang w:val="fr-FR"/>
        </w:rPr>
        <w:t>.</w:t>
      </w:r>
      <w:r w:rsidR="00920263" w:rsidRPr="006835D9">
        <w:rPr>
          <w:bCs/>
          <w:lang w:val="fr-FR"/>
        </w:rPr>
        <w:t>”</w:t>
      </w:r>
      <w:r w:rsidR="00520996" w:rsidRPr="006835D9">
        <w:rPr>
          <w:bCs/>
          <w:lang w:val="fr-FR"/>
        </w:rPr>
        <w:t xml:space="preserve">, </w:t>
      </w:r>
      <w:r w:rsidR="00920263" w:rsidRPr="006835D9">
        <w:rPr>
          <w:bCs/>
          <w:iCs/>
          <w:lang w:val="fr-FR"/>
        </w:rPr>
        <w:t>“</w:t>
      </w:r>
      <w:r w:rsidR="00520996" w:rsidRPr="006835D9">
        <w:rPr>
          <w:bCs/>
          <w:lang w:val="fr-FR"/>
        </w:rPr>
        <w:t>OACI</w:t>
      </w:r>
      <w:r w:rsidR="00920263" w:rsidRPr="006835D9">
        <w:rPr>
          <w:bCs/>
          <w:lang w:val="fr-FR"/>
        </w:rPr>
        <w:t>”</w:t>
      </w:r>
      <w:r w:rsidR="00520996" w:rsidRPr="006835D9">
        <w:rPr>
          <w:bCs/>
          <w:lang w:val="fr-FR"/>
        </w:rPr>
        <w:t xml:space="preserve">, </w:t>
      </w:r>
      <w:r w:rsidR="00920263" w:rsidRPr="006835D9">
        <w:rPr>
          <w:bCs/>
          <w:iCs/>
          <w:lang w:val="fr-FR"/>
        </w:rPr>
        <w:t>“</w:t>
      </w:r>
      <w:r w:rsidR="00520996" w:rsidRPr="006835D9">
        <w:rPr>
          <w:bCs/>
          <w:lang w:val="fr-FR"/>
        </w:rPr>
        <w:t>OMI</w:t>
      </w:r>
      <w:r w:rsidR="00920263" w:rsidRPr="006835D9">
        <w:rPr>
          <w:bCs/>
          <w:lang w:val="fr-FR"/>
        </w:rPr>
        <w:t>”</w:t>
      </w:r>
      <w:r w:rsidR="00520996" w:rsidRPr="006835D9">
        <w:rPr>
          <w:bCs/>
          <w:lang w:val="fr-FR"/>
        </w:rPr>
        <w:t>, (RID</w:t>
      </w:r>
      <w:r w:rsidR="00F70B88">
        <w:rPr>
          <w:bCs/>
          <w:lang w:val="fr-FR"/>
        </w:rPr>
        <w:t> </w:t>
      </w:r>
      <w:r w:rsidR="00520996" w:rsidRPr="006835D9">
        <w:rPr>
          <w:bCs/>
          <w:lang w:val="fr-FR"/>
        </w:rPr>
        <w:t xml:space="preserve">:) </w:t>
      </w:r>
      <w:r w:rsidR="00920263" w:rsidRPr="006835D9">
        <w:rPr>
          <w:bCs/>
          <w:iCs/>
          <w:lang w:val="fr-FR"/>
        </w:rPr>
        <w:t>“</w:t>
      </w:r>
      <w:r w:rsidR="00520996" w:rsidRPr="006835D9">
        <w:rPr>
          <w:bCs/>
          <w:lang w:val="fr-FR"/>
        </w:rPr>
        <w:t>OTIF</w:t>
      </w:r>
      <w:r w:rsidR="00920263" w:rsidRPr="006835D9">
        <w:rPr>
          <w:bCs/>
          <w:lang w:val="fr-FR"/>
        </w:rPr>
        <w:t>”</w:t>
      </w:r>
      <w:r w:rsidR="00520996" w:rsidRPr="006835D9">
        <w:rPr>
          <w:bCs/>
          <w:lang w:val="fr-FR"/>
        </w:rPr>
        <w:t>, (ADR</w:t>
      </w:r>
      <w:r w:rsidR="00F70B88">
        <w:rPr>
          <w:bCs/>
          <w:lang w:val="fr-FR"/>
        </w:rPr>
        <w:t> </w:t>
      </w:r>
      <w:r w:rsidR="00520996" w:rsidRPr="006835D9">
        <w:rPr>
          <w:bCs/>
          <w:lang w:val="fr-FR"/>
        </w:rPr>
        <w:t xml:space="preserve">:) </w:t>
      </w:r>
      <w:r w:rsidR="00920263" w:rsidRPr="006835D9">
        <w:rPr>
          <w:bCs/>
          <w:iCs/>
          <w:lang w:val="fr-FR"/>
        </w:rPr>
        <w:t>“</w:t>
      </w:r>
      <w:r w:rsidR="00520996" w:rsidRPr="006835D9">
        <w:rPr>
          <w:bCs/>
          <w:lang w:val="fr-FR"/>
        </w:rPr>
        <w:t>RID</w:t>
      </w:r>
      <w:r w:rsidR="00920263" w:rsidRPr="006835D9">
        <w:rPr>
          <w:bCs/>
          <w:lang w:val="fr-FR"/>
        </w:rPr>
        <w:t>”</w:t>
      </w:r>
      <w:r w:rsidR="00520996" w:rsidRPr="006835D9">
        <w:rPr>
          <w:bCs/>
          <w:lang w:val="fr-FR"/>
        </w:rPr>
        <w:t>, (RID</w:t>
      </w:r>
      <w:r w:rsidR="00F70B88">
        <w:rPr>
          <w:bCs/>
          <w:lang w:val="fr-FR"/>
        </w:rPr>
        <w:t> </w:t>
      </w:r>
      <w:r w:rsidR="00520996" w:rsidRPr="006835D9">
        <w:rPr>
          <w:bCs/>
          <w:lang w:val="fr-FR"/>
        </w:rPr>
        <w:t xml:space="preserve">:) </w:t>
      </w:r>
      <w:r w:rsidR="00920263" w:rsidRPr="006835D9">
        <w:rPr>
          <w:bCs/>
          <w:iCs/>
          <w:lang w:val="fr-FR"/>
        </w:rPr>
        <w:t>“</w:t>
      </w:r>
      <w:r w:rsidR="00520996" w:rsidRPr="006835D9">
        <w:rPr>
          <w:bCs/>
          <w:lang w:val="fr-FR"/>
        </w:rPr>
        <w:t>SMGS</w:t>
      </w:r>
      <w:r w:rsidR="00920263" w:rsidRPr="006835D9">
        <w:rPr>
          <w:bCs/>
          <w:lang w:val="fr-FR"/>
        </w:rPr>
        <w:t>”</w:t>
      </w:r>
      <w:r w:rsidR="00520996" w:rsidRPr="006835D9">
        <w:rPr>
          <w:bCs/>
          <w:lang w:val="fr-FR"/>
        </w:rPr>
        <w:t xml:space="preserve">, (RID :) </w:t>
      </w:r>
      <w:r w:rsidR="00920263" w:rsidRPr="006835D9">
        <w:rPr>
          <w:bCs/>
          <w:iCs/>
          <w:lang w:val="fr-FR"/>
        </w:rPr>
        <w:t>“</w:t>
      </w:r>
      <w:r w:rsidR="00520996" w:rsidRPr="006835D9">
        <w:rPr>
          <w:bCs/>
          <w:lang w:val="fr-FR"/>
        </w:rPr>
        <w:t>Annexe</w:t>
      </w:r>
      <w:r w:rsidR="00920263">
        <w:rPr>
          <w:bCs/>
          <w:lang w:val="fr-FR"/>
        </w:rPr>
        <w:t> </w:t>
      </w:r>
      <w:r w:rsidR="00520996" w:rsidRPr="006835D9">
        <w:rPr>
          <w:bCs/>
          <w:lang w:val="fr-FR"/>
        </w:rPr>
        <w:t>2 au SMGS</w:t>
      </w:r>
      <w:r w:rsidR="00920263" w:rsidRPr="006835D9">
        <w:rPr>
          <w:bCs/>
          <w:lang w:val="fr-FR"/>
        </w:rPr>
        <w:t>”</w:t>
      </w:r>
      <w:r w:rsidR="00520996" w:rsidRPr="006835D9">
        <w:rPr>
          <w:bCs/>
          <w:lang w:val="fr-FR"/>
        </w:rPr>
        <w:t xml:space="preserve">, </w:t>
      </w:r>
      <w:r w:rsidR="00920263" w:rsidRPr="006835D9">
        <w:rPr>
          <w:bCs/>
          <w:iCs/>
          <w:lang w:val="fr-FR"/>
        </w:rPr>
        <w:t>“</w:t>
      </w:r>
      <w:r w:rsidR="00520996" w:rsidRPr="006835D9">
        <w:rPr>
          <w:bCs/>
          <w:lang w:val="fr-FR"/>
        </w:rPr>
        <w:t>TDAA</w:t>
      </w:r>
      <w:r w:rsidR="00920263" w:rsidRPr="006835D9">
        <w:rPr>
          <w:bCs/>
          <w:lang w:val="fr-FR"/>
        </w:rPr>
        <w:t>”</w:t>
      </w:r>
      <w:r w:rsidR="00520996" w:rsidRPr="006835D9">
        <w:rPr>
          <w:bCs/>
          <w:lang w:val="fr-FR"/>
        </w:rPr>
        <w:t xml:space="preserve">, </w:t>
      </w:r>
      <w:r w:rsidR="00920263" w:rsidRPr="006835D9">
        <w:rPr>
          <w:bCs/>
          <w:iCs/>
          <w:lang w:val="fr-FR"/>
        </w:rPr>
        <w:t>“</w:t>
      </w:r>
      <w:r w:rsidR="00520996" w:rsidRPr="006835D9">
        <w:rPr>
          <w:bCs/>
          <w:lang w:val="fr-FR"/>
        </w:rPr>
        <w:t>TPAA</w:t>
      </w:r>
      <w:r w:rsidR="00920263" w:rsidRPr="006835D9">
        <w:rPr>
          <w:bCs/>
          <w:lang w:val="fr-FR"/>
        </w:rPr>
        <w:t>”</w:t>
      </w:r>
      <w:r w:rsidR="00520996" w:rsidRPr="006835D9">
        <w:rPr>
          <w:bCs/>
          <w:lang w:val="fr-FR"/>
        </w:rPr>
        <w:t xml:space="preserve">, </w:t>
      </w:r>
      <w:r w:rsidR="00920263" w:rsidRPr="006835D9">
        <w:rPr>
          <w:bCs/>
          <w:iCs/>
          <w:lang w:val="fr-FR"/>
        </w:rPr>
        <w:t>“</w:t>
      </w:r>
      <w:r w:rsidR="00520996" w:rsidRPr="006835D9">
        <w:rPr>
          <w:bCs/>
          <w:lang w:val="fr-FR"/>
        </w:rPr>
        <w:t>UIC</w:t>
      </w:r>
      <w:r w:rsidR="00920263" w:rsidRPr="006835D9">
        <w:rPr>
          <w:bCs/>
          <w:lang w:val="fr-FR"/>
        </w:rPr>
        <w:t>”</w:t>
      </w:r>
      <w:r w:rsidR="00FC1209" w:rsidRPr="00FC1209">
        <w:rPr>
          <w:bCs/>
          <w:lang w:val="fr-FR"/>
        </w:rPr>
        <w:t>.</w:t>
      </w:r>
    </w:p>
    <w:p w14:paraId="31FF0DFA" w14:textId="61F97E9C" w:rsidR="00520996" w:rsidRPr="006835D9" w:rsidRDefault="00520996" w:rsidP="00520996">
      <w:pPr>
        <w:pStyle w:val="SingleTxtG"/>
        <w:ind w:right="1133"/>
        <w:rPr>
          <w:bCs/>
          <w:lang w:val="fr-FR"/>
        </w:rPr>
      </w:pPr>
      <w:r w:rsidRPr="006835D9">
        <w:rPr>
          <w:bCs/>
          <w:szCs w:val="24"/>
          <w:lang w:val="fr-FR"/>
        </w:rPr>
        <w:t xml:space="preserve">Dans la définition de </w:t>
      </w:r>
      <w:r w:rsidR="00560AC8" w:rsidRPr="006835D9">
        <w:rPr>
          <w:bCs/>
          <w:iCs/>
          <w:lang w:val="fr-FR"/>
        </w:rPr>
        <w:t>“</w:t>
      </w:r>
      <w:r w:rsidRPr="006835D9">
        <w:rPr>
          <w:bCs/>
          <w:i/>
          <w:szCs w:val="24"/>
          <w:lang w:val="fr-FR"/>
        </w:rPr>
        <w:t>Conteneur à gaz à éléments multiples (CGEM)</w:t>
      </w:r>
      <w:r w:rsidR="00920263" w:rsidRPr="006835D9">
        <w:rPr>
          <w:bCs/>
          <w:lang w:val="fr-FR"/>
        </w:rPr>
        <w:t>”</w:t>
      </w:r>
      <w:r w:rsidRPr="006835D9">
        <w:rPr>
          <w:bCs/>
          <w:szCs w:val="24"/>
          <w:lang w:val="fr-FR"/>
        </w:rPr>
        <w:t>, supprimer :</w:t>
      </w:r>
    </w:p>
    <w:p w14:paraId="20C7ED57" w14:textId="40DA8166" w:rsidR="00520996" w:rsidRPr="006835D9" w:rsidRDefault="00560AC8" w:rsidP="00520996">
      <w:pPr>
        <w:spacing w:before="120" w:after="120"/>
        <w:ind w:left="1134" w:right="1133"/>
        <w:jc w:val="both"/>
        <w:rPr>
          <w:bCs/>
          <w:lang w:val="fr-FR"/>
        </w:rPr>
      </w:pPr>
      <w:r w:rsidRPr="006835D9">
        <w:rPr>
          <w:bCs/>
          <w:iCs/>
          <w:lang w:val="fr-FR"/>
        </w:rPr>
        <w:t>“</w:t>
      </w:r>
      <w:r w:rsidR="00520996" w:rsidRPr="006835D9">
        <w:rPr>
          <w:bCs/>
          <w:lang w:val="fr-FR"/>
        </w:rPr>
        <w:t>(CGEM) »</w:t>
      </w:r>
      <w:r w:rsidR="00FC1209" w:rsidRPr="00FC1209">
        <w:rPr>
          <w:bCs/>
          <w:lang w:val="fr-FR"/>
        </w:rPr>
        <w:t>.</w:t>
      </w:r>
    </w:p>
    <w:p w14:paraId="30E8DAF4" w14:textId="1DDDDEC1" w:rsidR="00520996" w:rsidRPr="006835D9" w:rsidRDefault="00520996" w:rsidP="00520996">
      <w:pPr>
        <w:spacing w:before="120" w:after="120"/>
        <w:ind w:left="1134" w:right="1133"/>
        <w:jc w:val="both"/>
        <w:rPr>
          <w:bCs/>
          <w:lang w:val="fr-FR"/>
        </w:rPr>
      </w:pPr>
      <w:r w:rsidRPr="006835D9">
        <w:rPr>
          <w:bCs/>
          <w:lang w:val="fr-FR"/>
        </w:rPr>
        <w:tab/>
        <w:t>[L</w:t>
      </w:r>
      <w:r w:rsidR="00F70B88">
        <w:rPr>
          <w:bCs/>
          <w:lang w:val="fr-FR"/>
        </w:rPr>
        <w:t>’</w:t>
      </w:r>
      <w:r w:rsidRPr="006835D9">
        <w:rPr>
          <w:bCs/>
          <w:lang w:val="fr-FR"/>
        </w:rPr>
        <w:t xml:space="preserve">amendement relatif à la définition de </w:t>
      </w:r>
      <w:r w:rsidR="00560AC8" w:rsidRPr="006835D9">
        <w:rPr>
          <w:bCs/>
          <w:iCs/>
          <w:lang w:val="fr-FR"/>
        </w:rPr>
        <w:t>“</w:t>
      </w:r>
      <w:r w:rsidRPr="006835D9">
        <w:rPr>
          <w:bCs/>
          <w:i/>
          <w:lang w:val="fr-FR"/>
        </w:rPr>
        <w:t>Engin de transport</w:t>
      </w:r>
      <w:r w:rsidR="00920263" w:rsidRPr="006835D9">
        <w:rPr>
          <w:bCs/>
          <w:lang w:val="fr-FR"/>
        </w:rPr>
        <w:t>”</w:t>
      </w:r>
      <w:r w:rsidRPr="006835D9">
        <w:rPr>
          <w:bCs/>
          <w:lang w:val="fr-FR"/>
        </w:rPr>
        <w:t xml:space="preserve"> dans la version allemande ne s</w:t>
      </w:r>
      <w:r w:rsidR="00F70B88">
        <w:rPr>
          <w:bCs/>
          <w:lang w:val="fr-FR"/>
        </w:rPr>
        <w:t>’</w:t>
      </w:r>
      <w:r w:rsidRPr="006835D9">
        <w:rPr>
          <w:bCs/>
          <w:lang w:val="fr-FR"/>
        </w:rPr>
        <w:t>applique pas au texte français</w:t>
      </w:r>
      <w:r w:rsidR="00FC1209" w:rsidRPr="00FC1209">
        <w:rPr>
          <w:bCs/>
          <w:lang w:val="fr-FR"/>
        </w:rPr>
        <w:t>.</w:t>
      </w:r>
      <w:r w:rsidRPr="006835D9">
        <w:rPr>
          <w:bCs/>
          <w:lang w:val="fr-FR"/>
        </w:rPr>
        <w:t>]</w:t>
      </w:r>
    </w:p>
    <w:p w14:paraId="70248CE4" w14:textId="158C36AC" w:rsidR="00520996" w:rsidRPr="006835D9" w:rsidRDefault="00520996" w:rsidP="00520996">
      <w:pPr>
        <w:spacing w:before="120" w:after="120"/>
        <w:ind w:left="1134" w:right="282"/>
        <w:jc w:val="both"/>
        <w:rPr>
          <w:bCs/>
          <w:lang w:val="fr-FR"/>
        </w:rPr>
      </w:pPr>
      <w:r w:rsidRPr="006835D9">
        <w:rPr>
          <w:bCs/>
          <w:lang w:val="fr-FR"/>
        </w:rPr>
        <w:t xml:space="preserve">(RID :) Dans la définition de </w:t>
      </w:r>
      <w:r w:rsidR="00560AC8" w:rsidRPr="006835D9">
        <w:rPr>
          <w:bCs/>
          <w:iCs/>
          <w:lang w:val="fr-FR"/>
        </w:rPr>
        <w:t>“</w:t>
      </w:r>
      <w:r w:rsidRPr="006835D9">
        <w:rPr>
          <w:bCs/>
          <w:i/>
          <w:lang w:val="fr-FR"/>
        </w:rPr>
        <w:t>Entité chargée de l</w:t>
      </w:r>
      <w:r w:rsidR="00F70B88">
        <w:rPr>
          <w:bCs/>
          <w:i/>
          <w:lang w:val="fr-FR"/>
        </w:rPr>
        <w:t>’</w:t>
      </w:r>
      <w:r w:rsidRPr="006835D9">
        <w:rPr>
          <w:bCs/>
          <w:i/>
          <w:lang w:val="fr-FR"/>
        </w:rPr>
        <w:t>entretien (ECE)</w:t>
      </w:r>
      <w:r w:rsidR="00920263" w:rsidRPr="006835D9">
        <w:rPr>
          <w:bCs/>
          <w:lang w:val="fr-FR"/>
        </w:rPr>
        <w:t>”</w:t>
      </w:r>
      <w:r w:rsidRPr="006835D9">
        <w:rPr>
          <w:bCs/>
          <w:lang w:val="fr-FR"/>
        </w:rPr>
        <w:t>, supprimer :</w:t>
      </w:r>
    </w:p>
    <w:p w14:paraId="453E0741" w14:textId="096B5E3B" w:rsidR="00520996" w:rsidRPr="006835D9" w:rsidRDefault="00560AC8" w:rsidP="00520996">
      <w:pPr>
        <w:spacing w:before="120" w:after="120"/>
        <w:ind w:left="1134" w:right="282"/>
        <w:jc w:val="both"/>
        <w:rPr>
          <w:bCs/>
          <w:lang w:val="fr-FR"/>
        </w:rPr>
      </w:pPr>
      <w:r w:rsidRPr="006835D9">
        <w:rPr>
          <w:bCs/>
          <w:iCs/>
          <w:lang w:val="fr-FR"/>
        </w:rPr>
        <w:t>“</w:t>
      </w:r>
      <w:r w:rsidR="00520996" w:rsidRPr="006835D9">
        <w:rPr>
          <w:bCs/>
          <w:lang w:val="fr-FR"/>
        </w:rPr>
        <w:t>(ECE)</w:t>
      </w:r>
      <w:r w:rsidR="00920263" w:rsidRPr="006835D9">
        <w:rPr>
          <w:bCs/>
          <w:lang w:val="fr-FR"/>
        </w:rPr>
        <w:t>”</w:t>
      </w:r>
      <w:r w:rsidR="00FC1209" w:rsidRPr="00FC1209">
        <w:rPr>
          <w:bCs/>
          <w:lang w:val="fr-FR"/>
        </w:rPr>
        <w:t>.</w:t>
      </w:r>
    </w:p>
    <w:p w14:paraId="77A92F56" w14:textId="08084D4B" w:rsidR="00520996" w:rsidRPr="006835D9" w:rsidRDefault="00520996" w:rsidP="00520996">
      <w:pPr>
        <w:spacing w:before="120" w:after="120"/>
        <w:ind w:left="1134" w:right="282"/>
        <w:jc w:val="both"/>
        <w:rPr>
          <w:bCs/>
          <w:lang w:val="fr-FR"/>
        </w:rPr>
      </w:pPr>
      <w:r w:rsidRPr="006835D9">
        <w:rPr>
          <w:bCs/>
          <w:lang w:val="fr-FR"/>
        </w:rPr>
        <w:t xml:space="preserve">Dans la définition de </w:t>
      </w:r>
      <w:r w:rsidR="00560AC8" w:rsidRPr="006835D9">
        <w:rPr>
          <w:bCs/>
          <w:iCs/>
          <w:lang w:val="fr-FR"/>
        </w:rPr>
        <w:t>“</w:t>
      </w:r>
      <w:r w:rsidRPr="006835D9">
        <w:rPr>
          <w:bCs/>
          <w:i/>
          <w:lang w:val="fr-FR"/>
        </w:rPr>
        <w:t>Gaz de pétrole liquéfié (GPL)</w:t>
      </w:r>
      <w:r w:rsidR="00920263" w:rsidRPr="006835D9">
        <w:rPr>
          <w:bCs/>
          <w:lang w:val="fr-FR"/>
        </w:rPr>
        <w:t>”</w:t>
      </w:r>
      <w:r w:rsidRPr="006835D9">
        <w:rPr>
          <w:bCs/>
          <w:lang w:val="fr-FR"/>
        </w:rPr>
        <w:t>, supprimer :</w:t>
      </w:r>
    </w:p>
    <w:p w14:paraId="3089F792" w14:textId="6DCD67DC" w:rsidR="00520996" w:rsidRPr="006835D9" w:rsidRDefault="00520996" w:rsidP="00520996">
      <w:pPr>
        <w:spacing w:before="120" w:after="120"/>
        <w:ind w:left="1134" w:right="282"/>
        <w:jc w:val="both"/>
        <w:rPr>
          <w:bCs/>
          <w:lang w:val="fr-FR"/>
        </w:rPr>
      </w:pPr>
      <w:r w:rsidRPr="006835D9">
        <w:rPr>
          <w:bCs/>
          <w:lang w:val="fr-FR"/>
        </w:rPr>
        <w:t>« (GPL)</w:t>
      </w:r>
      <w:r w:rsidR="00920263" w:rsidRPr="006835D9">
        <w:rPr>
          <w:bCs/>
          <w:lang w:val="fr-FR"/>
        </w:rPr>
        <w:t>”</w:t>
      </w:r>
      <w:r w:rsidR="00FC1209" w:rsidRPr="00FC1209">
        <w:rPr>
          <w:bCs/>
          <w:lang w:val="fr-FR"/>
        </w:rPr>
        <w:t>.</w:t>
      </w:r>
    </w:p>
    <w:p w14:paraId="37EB634C" w14:textId="2CCCFCE3" w:rsidR="00520996" w:rsidRPr="006835D9" w:rsidRDefault="00520996" w:rsidP="00520996">
      <w:pPr>
        <w:spacing w:before="120" w:after="120"/>
        <w:ind w:left="1134" w:right="282"/>
        <w:jc w:val="both"/>
        <w:rPr>
          <w:bCs/>
          <w:lang w:val="fr-FR"/>
        </w:rPr>
      </w:pPr>
      <w:r w:rsidRPr="006835D9">
        <w:rPr>
          <w:bCs/>
          <w:lang w:val="fr-FR"/>
        </w:rPr>
        <w:t xml:space="preserve">Dans la définition de </w:t>
      </w:r>
      <w:r w:rsidR="00560AC8" w:rsidRPr="006835D9">
        <w:rPr>
          <w:bCs/>
          <w:iCs/>
          <w:lang w:val="fr-FR"/>
        </w:rPr>
        <w:t>“</w:t>
      </w:r>
      <w:r w:rsidRPr="006835D9">
        <w:rPr>
          <w:bCs/>
          <w:i/>
          <w:lang w:val="fr-FR"/>
        </w:rPr>
        <w:t>Gaz naturel comprimé (GNC)</w:t>
      </w:r>
      <w:r w:rsidR="00920263" w:rsidRPr="006835D9">
        <w:rPr>
          <w:bCs/>
          <w:lang w:val="fr-FR"/>
        </w:rPr>
        <w:t>”</w:t>
      </w:r>
      <w:r w:rsidRPr="006835D9">
        <w:rPr>
          <w:bCs/>
          <w:lang w:val="fr-FR"/>
        </w:rPr>
        <w:t>, supprimer :</w:t>
      </w:r>
    </w:p>
    <w:p w14:paraId="5C4D2A7B" w14:textId="0127DCE9" w:rsidR="00520996" w:rsidRPr="006835D9" w:rsidRDefault="00560AC8" w:rsidP="00520996">
      <w:pPr>
        <w:spacing w:before="120" w:after="120"/>
        <w:ind w:left="1134" w:right="282"/>
        <w:jc w:val="both"/>
        <w:rPr>
          <w:bCs/>
          <w:lang w:val="fr-FR"/>
        </w:rPr>
      </w:pPr>
      <w:r w:rsidRPr="006835D9">
        <w:rPr>
          <w:bCs/>
          <w:iCs/>
          <w:lang w:val="fr-FR"/>
        </w:rPr>
        <w:t>“</w:t>
      </w:r>
      <w:r w:rsidR="00520996" w:rsidRPr="006835D9">
        <w:rPr>
          <w:bCs/>
          <w:lang w:val="fr-FR"/>
        </w:rPr>
        <w:t>(GNC)</w:t>
      </w:r>
      <w:r w:rsidR="00920263" w:rsidRPr="006835D9">
        <w:rPr>
          <w:bCs/>
          <w:lang w:val="fr-FR"/>
        </w:rPr>
        <w:t>”</w:t>
      </w:r>
      <w:r w:rsidR="00FC1209" w:rsidRPr="00FC1209">
        <w:rPr>
          <w:bCs/>
          <w:lang w:val="fr-FR"/>
        </w:rPr>
        <w:t>.</w:t>
      </w:r>
    </w:p>
    <w:p w14:paraId="1763A2A7" w14:textId="23B3EA94" w:rsidR="00520996" w:rsidRPr="006835D9" w:rsidRDefault="00520996" w:rsidP="00520996">
      <w:pPr>
        <w:spacing w:before="120" w:after="120"/>
        <w:ind w:left="1134" w:right="282"/>
        <w:jc w:val="both"/>
        <w:rPr>
          <w:bCs/>
          <w:lang w:val="fr-FR"/>
        </w:rPr>
      </w:pPr>
      <w:r w:rsidRPr="006835D9">
        <w:rPr>
          <w:bCs/>
          <w:lang w:val="fr-FR"/>
        </w:rPr>
        <w:t xml:space="preserve">Dans la définition de </w:t>
      </w:r>
      <w:r w:rsidR="00560AC8" w:rsidRPr="006835D9">
        <w:rPr>
          <w:bCs/>
          <w:iCs/>
          <w:lang w:val="fr-FR"/>
        </w:rPr>
        <w:t>“</w:t>
      </w:r>
      <w:r w:rsidRPr="006835D9">
        <w:rPr>
          <w:bCs/>
          <w:i/>
          <w:lang w:val="fr-FR"/>
        </w:rPr>
        <w:t>Gaz naturel liquéfié (GNL)</w:t>
      </w:r>
      <w:r w:rsidR="00920263" w:rsidRPr="006835D9">
        <w:rPr>
          <w:bCs/>
          <w:lang w:val="fr-FR"/>
        </w:rPr>
        <w:t>”</w:t>
      </w:r>
      <w:r w:rsidRPr="006835D9">
        <w:rPr>
          <w:bCs/>
          <w:lang w:val="fr-FR"/>
        </w:rPr>
        <w:t>, supprimer :</w:t>
      </w:r>
    </w:p>
    <w:p w14:paraId="64639EB5" w14:textId="080AC79C" w:rsidR="00520996" w:rsidRPr="006835D9" w:rsidRDefault="00520996" w:rsidP="00520996">
      <w:pPr>
        <w:spacing w:before="120" w:after="120"/>
        <w:ind w:left="1134" w:right="282"/>
        <w:jc w:val="both"/>
        <w:rPr>
          <w:bCs/>
          <w:lang w:val="fr-FR"/>
        </w:rPr>
      </w:pPr>
      <w:r w:rsidRPr="006835D9">
        <w:rPr>
          <w:bCs/>
          <w:lang w:val="fr-FR"/>
        </w:rPr>
        <w:t>« (GNL)</w:t>
      </w:r>
      <w:r w:rsidR="00920263" w:rsidRPr="006835D9">
        <w:rPr>
          <w:bCs/>
          <w:lang w:val="fr-FR"/>
        </w:rPr>
        <w:t>”</w:t>
      </w:r>
      <w:r w:rsidR="00FC1209" w:rsidRPr="00FC1209">
        <w:rPr>
          <w:bCs/>
          <w:lang w:val="fr-FR"/>
        </w:rPr>
        <w:t>.</w:t>
      </w:r>
    </w:p>
    <w:p w14:paraId="5CCC6EE0" w14:textId="305BE53D" w:rsidR="00520996" w:rsidRPr="006835D9" w:rsidRDefault="00520996" w:rsidP="00520996">
      <w:pPr>
        <w:spacing w:before="120" w:after="120"/>
        <w:ind w:left="1134" w:right="282"/>
        <w:jc w:val="both"/>
        <w:rPr>
          <w:bCs/>
          <w:lang w:val="fr-FR"/>
        </w:rPr>
      </w:pPr>
      <w:r w:rsidRPr="006835D9">
        <w:rPr>
          <w:bCs/>
          <w:lang w:val="fr-FR"/>
        </w:rPr>
        <w:t xml:space="preserve">Dans la définition de </w:t>
      </w:r>
      <w:r w:rsidR="00560AC8" w:rsidRPr="006835D9">
        <w:rPr>
          <w:bCs/>
          <w:iCs/>
          <w:lang w:val="fr-FR"/>
        </w:rPr>
        <w:t>“</w:t>
      </w:r>
      <w:r w:rsidRPr="006835D9">
        <w:rPr>
          <w:bCs/>
          <w:i/>
          <w:lang w:val="fr-FR"/>
        </w:rPr>
        <w:t>Grand récipient pour vrac (GRV)</w:t>
      </w:r>
      <w:r w:rsidR="00920263" w:rsidRPr="006835D9">
        <w:rPr>
          <w:bCs/>
          <w:lang w:val="fr-FR"/>
        </w:rPr>
        <w:t>”</w:t>
      </w:r>
      <w:r w:rsidRPr="006835D9">
        <w:rPr>
          <w:bCs/>
          <w:lang w:val="fr-FR"/>
        </w:rPr>
        <w:t>, supprimer :</w:t>
      </w:r>
    </w:p>
    <w:p w14:paraId="29C68183" w14:textId="0FEBCD77" w:rsidR="00520996" w:rsidRPr="006835D9" w:rsidRDefault="00560AC8" w:rsidP="00520996">
      <w:pPr>
        <w:spacing w:before="120" w:after="120"/>
        <w:ind w:left="1134" w:right="282"/>
        <w:jc w:val="both"/>
        <w:rPr>
          <w:bCs/>
          <w:lang w:val="fr-FR"/>
        </w:rPr>
      </w:pPr>
      <w:r w:rsidRPr="006835D9">
        <w:rPr>
          <w:bCs/>
          <w:iCs/>
          <w:lang w:val="fr-FR"/>
        </w:rPr>
        <w:t>“</w:t>
      </w:r>
      <w:r w:rsidR="00520996" w:rsidRPr="006835D9">
        <w:rPr>
          <w:bCs/>
          <w:lang w:val="fr-FR"/>
        </w:rPr>
        <w:t>(GRV)</w:t>
      </w:r>
      <w:r w:rsidR="00920263" w:rsidRPr="006835D9">
        <w:rPr>
          <w:bCs/>
          <w:lang w:val="fr-FR"/>
        </w:rPr>
        <w:t>”</w:t>
      </w:r>
      <w:r w:rsidR="00FC1209" w:rsidRPr="00FC1209">
        <w:rPr>
          <w:bCs/>
          <w:lang w:val="fr-FR"/>
        </w:rPr>
        <w:t>.</w:t>
      </w:r>
    </w:p>
    <w:p w14:paraId="3F6334EA" w14:textId="2907C248" w:rsidR="00520996" w:rsidRPr="006835D9" w:rsidRDefault="00520996" w:rsidP="00520996">
      <w:pPr>
        <w:spacing w:before="120" w:after="120"/>
        <w:ind w:left="1134" w:right="282"/>
        <w:jc w:val="both"/>
        <w:rPr>
          <w:bCs/>
          <w:lang w:val="fr-FR"/>
        </w:rPr>
      </w:pPr>
      <w:r w:rsidRPr="006835D9">
        <w:rPr>
          <w:bCs/>
          <w:lang w:val="fr-FR"/>
        </w:rPr>
        <w:lastRenderedPageBreak/>
        <w:t xml:space="preserve">Dans la définition de </w:t>
      </w:r>
      <w:r w:rsidR="00560AC8" w:rsidRPr="006835D9">
        <w:rPr>
          <w:bCs/>
          <w:iCs/>
          <w:lang w:val="fr-FR"/>
        </w:rPr>
        <w:t>“</w:t>
      </w:r>
      <w:r w:rsidRPr="006835D9">
        <w:rPr>
          <w:bCs/>
          <w:i/>
          <w:lang w:val="fr-FR"/>
        </w:rPr>
        <w:t>Indice de sûreté-criticité (CSI</w:t>
      </w:r>
      <w:r w:rsidRPr="006835D9">
        <w:rPr>
          <w:bCs/>
          <w:i/>
          <w:vertAlign w:val="superscript"/>
          <w:lang w:val="fr-FR"/>
        </w:rPr>
        <w:t>8)/*</w:t>
      </w:r>
      <w:r w:rsidRPr="006835D9">
        <w:rPr>
          <w:bCs/>
          <w:i/>
          <w:lang w:val="fr-FR"/>
        </w:rPr>
        <w:t>)</w:t>
      </w:r>
      <w:r w:rsidR="00920263" w:rsidRPr="006835D9">
        <w:rPr>
          <w:bCs/>
          <w:lang w:val="fr-FR"/>
        </w:rPr>
        <w:t>”</w:t>
      </w:r>
      <w:r w:rsidRPr="006835D9">
        <w:rPr>
          <w:bCs/>
          <w:lang w:val="fr-FR"/>
        </w:rPr>
        <w:t>, supprimer :</w:t>
      </w:r>
    </w:p>
    <w:p w14:paraId="5BF1C2EF" w14:textId="05B5DC66" w:rsidR="00520996" w:rsidRPr="006835D9" w:rsidRDefault="006803BC" w:rsidP="00520996">
      <w:pPr>
        <w:spacing w:before="120" w:after="120"/>
        <w:ind w:left="1134" w:right="282"/>
        <w:jc w:val="both"/>
        <w:rPr>
          <w:bCs/>
          <w:lang w:val="fr-FR"/>
        </w:rPr>
      </w:pPr>
      <w:r w:rsidRPr="006835D9">
        <w:rPr>
          <w:bCs/>
          <w:iCs/>
          <w:lang w:val="fr-FR"/>
        </w:rPr>
        <w:t>“</w:t>
      </w:r>
      <w:r w:rsidR="00520996" w:rsidRPr="006835D9">
        <w:rPr>
          <w:bCs/>
          <w:lang w:val="fr-FR"/>
        </w:rPr>
        <w:t>(CSI</w:t>
      </w:r>
      <w:r w:rsidR="00520996" w:rsidRPr="006835D9">
        <w:rPr>
          <w:bCs/>
          <w:vertAlign w:val="superscript"/>
          <w:lang w:val="fr-FR"/>
        </w:rPr>
        <w:t>8)/</w:t>
      </w:r>
      <w:r w:rsidR="00520996" w:rsidRPr="00282ACB">
        <w:rPr>
          <w:bCs/>
          <w:lang w:val="fr-FR"/>
        </w:rPr>
        <w:t>*</w:t>
      </w:r>
      <w:r w:rsidR="00520996" w:rsidRPr="006835D9">
        <w:rPr>
          <w:bCs/>
          <w:lang w:val="fr-FR"/>
        </w:rPr>
        <w:t>)</w:t>
      </w:r>
      <w:r w:rsidR="00920263" w:rsidRPr="006835D9">
        <w:rPr>
          <w:bCs/>
          <w:lang w:val="fr-FR"/>
        </w:rPr>
        <w:t>”</w:t>
      </w:r>
      <w:r w:rsidR="00FC1209" w:rsidRPr="00FC1209">
        <w:rPr>
          <w:bCs/>
          <w:lang w:val="fr-FR"/>
        </w:rPr>
        <w:t>.</w:t>
      </w:r>
    </w:p>
    <w:p w14:paraId="64D02111" w14:textId="1CD375F5" w:rsidR="00520996" w:rsidRPr="006835D9" w:rsidRDefault="00520996" w:rsidP="00520996">
      <w:pPr>
        <w:spacing w:before="120" w:after="120"/>
        <w:ind w:left="1134" w:right="282"/>
        <w:jc w:val="both"/>
        <w:rPr>
          <w:bCs/>
          <w:lang w:val="fr-FR"/>
        </w:rPr>
      </w:pPr>
      <w:r w:rsidRPr="006835D9">
        <w:rPr>
          <w:bCs/>
          <w:lang w:val="fr-FR"/>
        </w:rPr>
        <w:t>Dans la définition de « </w:t>
      </w:r>
      <w:r w:rsidRPr="006835D9">
        <w:rPr>
          <w:bCs/>
          <w:i/>
          <w:lang w:val="fr-FR"/>
        </w:rPr>
        <w:t>Indice de transport (TI</w:t>
      </w:r>
      <w:r w:rsidRPr="006835D9">
        <w:rPr>
          <w:bCs/>
          <w:i/>
          <w:vertAlign w:val="superscript"/>
          <w:lang w:val="fr-FR"/>
        </w:rPr>
        <w:t>9)/**</w:t>
      </w:r>
      <w:r w:rsidRPr="006835D9">
        <w:rPr>
          <w:bCs/>
          <w:i/>
          <w:lang w:val="fr-FR"/>
        </w:rPr>
        <w:t>)</w:t>
      </w:r>
      <w:r w:rsidR="00920263" w:rsidRPr="006835D9">
        <w:rPr>
          <w:bCs/>
          <w:lang w:val="fr-FR"/>
        </w:rPr>
        <w:t>”</w:t>
      </w:r>
      <w:r w:rsidRPr="006835D9">
        <w:rPr>
          <w:bCs/>
          <w:lang w:val="fr-FR"/>
        </w:rPr>
        <w:t>, supprimer :</w:t>
      </w:r>
    </w:p>
    <w:p w14:paraId="1F9165A4" w14:textId="7C8DD63C" w:rsidR="00520996" w:rsidRPr="006835D9" w:rsidRDefault="00560AC8" w:rsidP="00520996">
      <w:pPr>
        <w:spacing w:before="120" w:after="120"/>
        <w:ind w:left="1134" w:right="282"/>
        <w:jc w:val="both"/>
        <w:rPr>
          <w:bCs/>
          <w:lang w:val="fr-FR"/>
        </w:rPr>
      </w:pPr>
      <w:r w:rsidRPr="006835D9">
        <w:rPr>
          <w:bCs/>
          <w:iCs/>
          <w:lang w:val="fr-FR"/>
        </w:rPr>
        <w:t>“</w:t>
      </w:r>
      <w:r w:rsidR="00520996" w:rsidRPr="006835D9">
        <w:rPr>
          <w:bCs/>
          <w:lang w:val="fr-FR"/>
        </w:rPr>
        <w:t>(TI</w:t>
      </w:r>
      <w:r w:rsidR="00520996" w:rsidRPr="006835D9">
        <w:rPr>
          <w:bCs/>
          <w:vertAlign w:val="superscript"/>
          <w:lang w:val="fr-FR"/>
        </w:rPr>
        <w:t>9)/</w:t>
      </w:r>
      <w:r w:rsidR="00520996" w:rsidRPr="00282ACB">
        <w:rPr>
          <w:bCs/>
          <w:lang w:val="fr-FR"/>
        </w:rPr>
        <w:t>**</w:t>
      </w:r>
      <w:r w:rsidR="00520996" w:rsidRPr="006835D9">
        <w:rPr>
          <w:bCs/>
          <w:lang w:val="fr-FR"/>
        </w:rPr>
        <w:t>)</w:t>
      </w:r>
      <w:r w:rsidR="00920263" w:rsidRPr="006835D9">
        <w:rPr>
          <w:bCs/>
          <w:lang w:val="fr-FR"/>
        </w:rPr>
        <w:t>”</w:t>
      </w:r>
      <w:r w:rsidR="00FC1209" w:rsidRPr="00FC1209">
        <w:rPr>
          <w:bCs/>
          <w:lang w:val="fr-FR"/>
        </w:rPr>
        <w:t>.</w:t>
      </w:r>
    </w:p>
    <w:p w14:paraId="27F4FD9A" w14:textId="5F7E3BC0" w:rsidR="00520996" w:rsidRPr="006835D9" w:rsidRDefault="00520996" w:rsidP="00520996">
      <w:pPr>
        <w:spacing w:before="120" w:after="120"/>
        <w:ind w:left="1134" w:right="1133"/>
        <w:jc w:val="both"/>
        <w:rPr>
          <w:bCs/>
          <w:lang w:val="fr-FR"/>
        </w:rPr>
      </w:pPr>
      <w:r w:rsidRPr="006835D9">
        <w:rPr>
          <w:bCs/>
          <w:lang w:val="fr-FR"/>
        </w:rPr>
        <w:tab/>
        <w:t>[L</w:t>
      </w:r>
      <w:r w:rsidR="00F70B88">
        <w:rPr>
          <w:bCs/>
          <w:lang w:val="fr-FR"/>
        </w:rPr>
        <w:t>’</w:t>
      </w:r>
      <w:r w:rsidRPr="006835D9">
        <w:rPr>
          <w:bCs/>
          <w:lang w:val="fr-FR"/>
        </w:rPr>
        <w:t xml:space="preserve">amendement relatif à la définition de </w:t>
      </w:r>
      <w:r w:rsidR="00560AC8" w:rsidRPr="006835D9">
        <w:rPr>
          <w:bCs/>
          <w:iCs/>
          <w:lang w:val="fr-FR"/>
        </w:rPr>
        <w:t>“</w:t>
      </w:r>
      <w:r w:rsidRPr="006835D9">
        <w:rPr>
          <w:bCs/>
          <w:i/>
          <w:lang w:val="fr-FR"/>
        </w:rPr>
        <w:t>Masse nette de matières explosibles</w:t>
      </w:r>
      <w:r w:rsidR="00920263" w:rsidRPr="006835D9">
        <w:rPr>
          <w:bCs/>
          <w:lang w:val="fr-FR"/>
        </w:rPr>
        <w:t>”</w:t>
      </w:r>
      <w:r w:rsidRPr="006835D9">
        <w:rPr>
          <w:bCs/>
          <w:lang w:val="fr-FR"/>
        </w:rPr>
        <w:t xml:space="preserve"> dans les versions allemande et anglaise ne s</w:t>
      </w:r>
      <w:r w:rsidR="00F70B88">
        <w:rPr>
          <w:bCs/>
          <w:lang w:val="fr-FR"/>
        </w:rPr>
        <w:t>’</w:t>
      </w:r>
      <w:r w:rsidRPr="006835D9">
        <w:rPr>
          <w:bCs/>
          <w:lang w:val="fr-FR"/>
        </w:rPr>
        <w:t>applique pas au texte français</w:t>
      </w:r>
      <w:r w:rsidR="00FC1209" w:rsidRPr="00FC1209">
        <w:rPr>
          <w:bCs/>
          <w:lang w:val="fr-FR"/>
        </w:rPr>
        <w:t>.</w:t>
      </w:r>
      <w:r w:rsidRPr="006835D9">
        <w:rPr>
          <w:bCs/>
          <w:lang w:val="fr-FR"/>
        </w:rPr>
        <w:t>]</w:t>
      </w:r>
    </w:p>
    <w:p w14:paraId="7CB1B92F" w14:textId="5809A5C8" w:rsidR="00520996" w:rsidRPr="006835D9" w:rsidRDefault="00520996" w:rsidP="00520996">
      <w:pPr>
        <w:spacing w:before="120" w:after="120"/>
        <w:ind w:left="1134" w:right="1133"/>
        <w:jc w:val="both"/>
        <w:rPr>
          <w:bCs/>
          <w:lang w:val="fr-FR"/>
        </w:rPr>
      </w:pPr>
      <w:r w:rsidRPr="006835D9">
        <w:rPr>
          <w:bCs/>
          <w:lang w:val="fr-FR"/>
        </w:rPr>
        <w:t xml:space="preserve">Remplacer la définition de </w:t>
      </w:r>
      <w:r w:rsidR="00920263" w:rsidRPr="006835D9">
        <w:rPr>
          <w:bCs/>
          <w:iCs/>
          <w:lang w:val="fr-FR"/>
        </w:rPr>
        <w:t>“</w:t>
      </w:r>
      <w:r w:rsidRPr="006835D9">
        <w:rPr>
          <w:bCs/>
          <w:i/>
          <w:lang w:val="fr-FR"/>
        </w:rPr>
        <w:t>SGH</w:t>
      </w:r>
      <w:bookmarkStart w:id="4" w:name="_Hlk74120042"/>
      <w:r w:rsidR="00920263" w:rsidRPr="006835D9">
        <w:rPr>
          <w:bCs/>
          <w:lang w:val="fr-FR"/>
        </w:rPr>
        <w:t>”</w:t>
      </w:r>
      <w:bookmarkEnd w:id="4"/>
      <w:r w:rsidRPr="006835D9">
        <w:rPr>
          <w:bCs/>
          <w:lang w:val="fr-FR"/>
        </w:rPr>
        <w:t>, par la définition suivante :</w:t>
      </w:r>
    </w:p>
    <w:p w14:paraId="491A41C6" w14:textId="38C3A367" w:rsidR="00520996" w:rsidRPr="006835D9" w:rsidRDefault="00560AC8" w:rsidP="00520996">
      <w:pPr>
        <w:spacing w:before="120" w:after="120"/>
        <w:ind w:left="1134" w:right="1133"/>
        <w:jc w:val="both"/>
        <w:rPr>
          <w:bCs/>
          <w:lang w:val="fr-FR"/>
        </w:rPr>
      </w:pPr>
      <w:r w:rsidRPr="006835D9">
        <w:rPr>
          <w:bCs/>
          <w:iCs/>
          <w:lang w:val="fr-FR"/>
        </w:rPr>
        <w:t>“</w:t>
      </w:r>
      <w:r w:rsidR="00F70B88">
        <w:rPr>
          <w:rStyle w:val="hgkelc"/>
        </w:rPr>
        <w:t>‘</w:t>
      </w:r>
      <w:r w:rsidR="00520996" w:rsidRPr="006835D9">
        <w:rPr>
          <w:bCs/>
          <w:i/>
          <w:lang w:val="fr-FR"/>
        </w:rPr>
        <w:t xml:space="preserve">Système </w:t>
      </w:r>
      <w:r w:rsidR="00F70B88">
        <w:rPr>
          <w:bCs/>
          <w:i/>
          <w:lang w:val="fr-FR"/>
        </w:rPr>
        <w:t>g</w:t>
      </w:r>
      <w:r w:rsidR="00520996" w:rsidRPr="006835D9">
        <w:rPr>
          <w:bCs/>
          <w:i/>
          <w:lang w:val="fr-FR"/>
        </w:rPr>
        <w:t xml:space="preserve">énéral </w:t>
      </w:r>
      <w:r w:rsidR="00F70B88">
        <w:rPr>
          <w:bCs/>
          <w:i/>
          <w:lang w:val="fr-FR"/>
        </w:rPr>
        <w:t>h</w:t>
      </w:r>
      <w:r w:rsidR="00520996" w:rsidRPr="006835D9">
        <w:rPr>
          <w:bCs/>
          <w:i/>
          <w:lang w:val="fr-FR"/>
        </w:rPr>
        <w:t>armonisé de classification et d</w:t>
      </w:r>
      <w:r w:rsidR="00F70B88">
        <w:rPr>
          <w:bCs/>
          <w:i/>
          <w:lang w:val="fr-FR"/>
        </w:rPr>
        <w:t>’</w:t>
      </w:r>
      <w:r w:rsidR="00520996" w:rsidRPr="006835D9">
        <w:rPr>
          <w:bCs/>
          <w:i/>
          <w:lang w:val="fr-FR"/>
        </w:rPr>
        <w:t>étiquetage des produits chimiques</w:t>
      </w:r>
      <w:r w:rsidR="00F70B88">
        <w:rPr>
          <w:bCs/>
          <w:iCs/>
          <w:lang w:val="fr-FR"/>
        </w:rPr>
        <w:t>’</w:t>
      </w:r>
      <w:r w:rsidR="00520996" w:rsidRPr="006835D9">
        <w:rPr>
          <w:bCs/>
          <w:lang w:val="fr-FR"/>
        </w:rPr>
        <w:t>, la neuvième édition révisée de la publication des Nations Unies ainsi intitulée (ST/SG/AC</w:t>
      </w:r>
      <w:r w:rsidR="00FC1209" w:rsidRPr="00FC1209">
        <w:rPr>
          <w:bCs/>
          <w:lang w:val="fr-FR"/>
        </w:rPr>
        <w:t>.</w:t>
      </w:r>
      <w:r w:rsidR="00520996" w:rsidRPr="006835D9">
        <w:rPr>
          <w:bCs/>
          <w:lang w:val="fr-FR"/>
        </w:rPr>
        <w:t>10/30/Rev</w:t>
      </w:r>
      <w:r w:rsidR="00FC1209" w:rsidRPr="00FC1209">
        <w:rPr>
          <w:bCs/>
          <w:lang w:val="fr-FR"/>
        </w:rPr>
        <w:t>.</w:t>
      </w:r>
      <w:r w:rsidR="00520996" w:rsidRPr="006835D9">
        <w:rPr>
          <w:bCs/>
          <w:lang w:val="fr-FR"/>
        </w:rPr>
        <w:t>9) ;</w:t>
      </w:r>
      <w:r w:rsidR="00920263" w:rsidRPr="006835D9">
        <w:rPr>
          <w:bCs/>
          <w:lang w:val="fr-FR"/>
        </w:rPr>
        <w:t>”</w:t>
      </w:r>
      <w:r w:rsidR="00FC1209" w:rsidRPr="00FC1209">
        <w:rPr>
          <w:bCs/>
          <w:lang w:val="fr-FR"/>
        </w:rPr>
        <w:t>.</w:t>
      </w:r>
    </w:p>
    <w:p w14:paraId="0F5A32F5" w14:textId="30E48352" w:rsidR="00520996" w:rsidRPr="006835D9" w:rsidRDefault="00520996" w:rsidP="00520996">
      <w:pPr>
        <w:spacing w:before="120" w:after="120"/>
        <w:ind w:left="1134" w:right="1133"/>
        <w:jc w:val="both"/>
        <w:rPr>
          <w:bCs/>
          <w:lang w:val="fr-FR"/>
        </w:rPr>
      </w:pPr>
      <w:r w:rsidRPr="006835D9">
        <w:rPr>
          <w:bCs/>
          <w:lang w:val="fr-FR"/>
        </w:rPr>
        <w:t xml:space="preserve">Dans la définition de </w:t>
      </w:r>
      <w:r w:rsidR="00560AC8" w:rsidRPr="006835D9">
        <w:rPr>
          <w:bCs/>
          <w:iCs/>
          <w:lang w:val="fr-FR"/>
        </w:rPr>
        <w:t>“</w:t>
      </w:r>
      <w:r w:rsidRPr="006835D9">
        <w:rPr>
          <w:bCs/>
          <w:i/>
          <w:lang w:val="fr-FR"/>
        </w:rPr>
        <w:t>Température de décomposition auto-accélérée (TDAA)</w:t>
      </w:r>
      <w:r w:rsidR="00920263" w:rsidRPr="006835D9">
        <w:rPr>
          <w:bCs/>
          <w:lang w:val="fr-FR"/>
        </w:rPr>
        <w:t>”</w:t>
      </w:r>
      <w:r w:rsidRPr="006835D9">
        <w:rPr>
          <w:bCs/>
          <w:lang w:val="fr-FR"/>
        </w:rPr>
        <w:t>, supprimer :</w:t>
      </w:r>
    </w:p>
    <w:p w14:paraId="1261954F" w14:textId="4225B82E" w:rsidR="00520996" w:rsidRPr="006835D9" w:rsidRDefault="00560AC8" w:rsidP="00520996">
      <w:pPr>
        <w:spacing w:before="120" w:after="120"/>
        <w:ind w:left="1134" w:right="1133"/>
        <w:jc w:val="both"/>
        <w:rPr>
          <w:bCs/>
          <w:lang w:val="fr-FR"/>
        </w:rPr>
      </w:pPr>
      <w:r w:rsidRPr="006835D9">
        <w:rPr>
          <w:bCs/>
          <w:iCs/>
          <w:lang w:val="fr-FR"/>
        </w:rPr>
        <w:t>“</w:t>
      </w:r>
      <w:r w:rsidR="00520996" w:rsidRPr="006835D9">
        <w:rPr>
          <w:bCs/>
          <w:lang w:val="fr-FR"/>
        </w:rPr>
        <w:t>(TDAA)</w:t>
      </w:r>
      <w:r w:rsidR="00920263" w:rsidRPr="006835D9">
        <w:rPr>
          <w:bCs/>
          <w:lang w:val="fr-FR"/>
        </w:rPr>
        <w:t>”</w:t>
      </w:r>
      <w:r w:rsidR="00FC1209" w:rsidRPr="00FC1209">
        <w:rPr>
          <w:bCs/>
          <w:lang w:val="fr-FR"/>
        </w:rPr>
        <w:t>.</w:t>
      </w:r>
    </w:p>
    <w:p w14:paraId="44A9A2EF" w14:textId="67EA9189" w:rsidR="00520996" w:rsidRPr="006835D9" w:rsidRDefault="00520996" w:rsidP="00520996">
      <w:pPr>
        <w:spacing w:before="120" w:after="120"/>
        <w:ind w:left="1134" w:right="1133"/>
        <w:jc w:val="both"/>
        <w:rPr>
          <w:bCs/>
          <w:lang w:val="fr-FR"/>
        </w:rPr>
      </w:pPr>
      <w:r w:rsidRPr="006835D9">
        <w:rPr>
          <w:bCs/>
          <w:lang w:val="fr-FR"/>
        </w:rPr>
        <w:t xml:space="preserve">Dans la définition de </w:t>
      </w:r>
      <w:r w:rsidR="00560AC8" w:rsidRPr="006835D9">
        <w:rPr>
          <w:bCs/>
          <w:iCs/>
          <w:lang w:val="fr-FR"/>
        </w:rPr>
        <w:t>“</w:t>
      </w:r>
      <w:r w:rsidRPr="006835D9">
        <w:rPr>
          <w:bCs/>
          <w:i/>
          <w:lang w:val="fr-FR"/>
        </w:rPr>
        <w:t>Température de polymérisation auto-accélérée (TPAA)</w:t>
      </w:r>
      <w:r w:rsidR="00920263" w:rsidRPr="006835D9">
        <w:rPr>
          <w:bCs/>
          <w:lang w:val="fr-FR"/>
        </w:rPr>
        <w:t>”</w:t>
      </w:r>
      <w:r w:rsidRPr="006835D9">
        <w:rPr>
          <w:bCs/>
          <w:lang w:val="fr-FR"/>
        </w:rPr>
        <w:t>, supprimer :</w:t>
      </w:r>
    </w:p>
    <w:p w14:paraId="3ADC7D3F" w14:textId="6E11A6C0" w:rsidR="00520996" w:rsidRPr="006835D9" w:rsidRDefault="00560AC8" w:rsidP="00520996">
      <w:pPr>
        <w:spacing w:before="120" w:after="120"/>
        <w:ind w:left="1134" w:right="1133"/>
        <w:jc w:val="both"/>
        <w:rPr>
          <w:bCs/>
          <w:lang w:val="fr-FR"/>
        </w:rPr>
      </w:pPr>
      <w:r w:rsidRPr="006835D9">
        <w:rPr>
          <w:bCs/>
          <w:iCs/>
          <w:lang w:val="fr-FR"/>
        </w:rPr>
        <w:t>“</w:t>
      </w:r>
      <w:r w:rsidR="00520996" w:rsidRPr="006835D9">
        <w:rPr>
          <w:bCs/>
          <w:lang w:val="fr-FR"/>
        </w:rPr>
        <w:t>(TPAA)</w:t>
      </w:r>
      <w:r w:rsidR="00920263" w:rsidRPr="006835D9">
        <w:rPr>
          <w:bCs/>
          <w:lang w:val="fr-FR"/>
        </w:rPr>
        <w:t>”</w:t>
      </w:r>
      <w:r w:rsidR="00FC1209" w:rsidRPr="00FC1209">
        <w:rPr>
          <w:bCs/>
          <w:lang w:val="fr-FR"/>
        </w:rPr>
        <w:t>.</w:t>
      </w:r>
    </w:p>
    <w:p w14:paraId="37BDAC3C" w14:textId="30BA808A" w:rsidR="00520996" w:rsidRPr="006835D9" w:rsidRDefault="00520996" w:rsidP="00520996">
      <w:pPr>
        <w:spacing w:before="120" w:after="120"/>
        <w:ind w:left="1134" w:right="1133"/>
        <w:jc w:val="both"/>
        <w:rPr>
          <w:bCs/>
          <w:lang w:val="fr-FR"/>
        </w:rPr>
      </w:pPr>
      <w:r w:rsidRPr="006835D9">
        <w:rPr>
          <w:bCs/>
          <w:lang w:val="fr-FR"/>
        </w:rPr>
        <w:t>(ADR</w:t>
      </w:r>
      <w:r w:rsidR="00F70B88">
        <w:rPr>
          <w:bCs/>
          <w:lang w:val="fr-FR"/>
        </w:rPr>
        <w:t> </w:t>
      </w:r>
      <w:r w:rsidRPr="006835D9">
        <w:rPr>
          <w:bCs/>
          <w:lang w:val="fr-FR"/>
        </w:rPr>
        <w:t xml:space="preserve">:) Dans la définition de </w:t>
      </w:r>
      <w:r w:rsidR="00560AC8" w:rsidRPr="006835D9">
        <w:rPr>
          <w:bCs/>
          <w:iCs/>
          <w:lang w:val="fr-FR"/>
        </w:rPr>
        <w:t>“</w:t>
      </w:r>
      <w:r w:rsidRPr="006835D9">
        <w:rPr>
          <w:bCs/>
          <w:i/>
          <w:lang w:val="fr-FR"/>
        </w:rPr>
        <w:t>Unité mobile de fabrication d</w:t>
      </w:r>
      <w:r w:rsidR="00F70B88">
        <w:rPr>
          <w:bCs/>
          <w:i/>
          <w:lang w:val="fr-FR"/>
        </w:rPr>
        <w:t>’</w:t>
      </w:r>
      <w:r w:rsidRPr="006835D9">
        <w:rPr>
          <w:bCs/>
          <w:i/>
          <w:lang w:val="fr-FR"/>
        </w:rPr>
        <w:t>explosifs</w:t>
      </w:r>
      <w:r w:rsidR="00920263" w:rsidRPr="006835D9">
        <w:rPr>
          <w:bCs/>
          <w:lang w:val="fr-FR"/>
        </w:rPr>
        <w:t>”</w:t>
      </w:r>
      <w:r w:rsidRPr="006835D9">
        <w:rPr>
          <w:bCs/>
          <w:lang w:val="fr-FR"/>
        </w:rPr>
        <w:t>, supprimer :</w:t>
      </w:r>
    </w:p>
    <w:p w14:paraId="0285452E" w14:textId="75176215" w:rsidR="00520996" w:rsidRPr="006835D9" w:rsidRDefault="00560AC8" w:rsidP="00520996">
      <w:pPr>
        <w:spacing w:before="120" w:after="120"/>
        <w:ind w:left="1134" w:right="1133"/>
        <w:jc w:val="both"/>
        <w:rPr>
          <w:bCs/>
          <w:lang w:val="fr-FR"/>
        </w:rPr>
      </w:pPr>
      <w:r w:rsidRPr="006835D9">
        <w:rPr>
          <w:bCs/>
          <w:iCs/>
          <w:lang w:val="fr-FR"/>
        </w:rPr>
        <w:t>“</w:t>
      </w:r>
      <w:r w:rsidR="00520996" w:rsidRPr="006835D9">
        <w:rPr>
          <w:bCs/>
          <w:lang w:val="fr-FR"/>
        </w:rPr>
        <w:t>(MEMU)</w:t>
      </w:r>
      <w:r w:rsidR="00520996" w:rsidRPr="006835D9">
        <w:rPr>
          <w:bCs/>
          <w:vertAlign w:val="superscript"/>
          <w:lang w:val="fr-FR"/>
        </w:rPr>
        <w:t>*</w:t>
      </w:r>
      <w:r w:rsidR="00920263" w:rsidRPr="006835D9">
        <w:rPr>
          <w:bCs/>
          <w:lang w:val="fr-FR"/>
        </w:rPr>
        <w:t>”</w:t>
      </w:r>
      <w:r w:rsidR="00FC1209" w:rsidRPr="00FC1209">
        <w:rPr>
          <w:bCs/>
          <w:lang w:val="fr-FR"/>
        </w:rPr>
        <w:t>.</w:t>
      </w:r>
    </w:p>
    <w:p w14:paraId="4DBB9ED9" w14:textId="2715B681" w:rsidR="00520996" w:rsidRPr="006835D9" w:rsidRDefault="00520996" w:rsidP="00520996">
      <w:pPr>
        <w:pStyle w:val="SingleTxtG"/>
        <w:ind w:right="1133"/>
        <w:rPr>
          <w:bCs/>
          <w:i/>
          <w:iCs/>
          <w:lang w:val="fr-FR"/>
        </w:rPr>
      </w:pPr>
      <w:r w:rsidRPr="006835D9">
        <w:rPr>
          <w:bCs/>
          <w:lang w:val="fr-FR"/>
        </w:rPr>
        <w:tab/>
      </w:r>
      <w:r w:rsidRPr="006835D9">
        <w:rPr>
          <w:bCs/>
          <w:i/>
          <w:iCs/>
          <w:lang w:val="fr-FR"/>
        </w:rPr>
        <w:t>(Document de référence : document informel INF</w:t>
      </w:r>
      <w:r w:rsidR="00FC1209" w:rsidRPr="00FC1209">
        <w:rPr>
          <w:bCs/>
          <w:i/>
          <w:iCs/>
          <w:lang w:val="fr-FR"/>
        </w:rPr>
        <w:t>.</w:t>
      </w:r>
      <w:r w:rsidRPr="006835D9">
        <w:rPr>
          <w:bCs/>
          <w:i/>
          <w:iCs/>
          <w:lang w:val="fr-FR"/>
        </w:rPr>
        <w:t xml:space="preserve"> 39 tel qu</w:t>
      </w:r>
      <w:r w:rsidR="00F70B88">
        <w:rPr>
          <w:bCs/>
          <w:i/>
          <w:iCs/>
          <w:lang w:val="fr-FR"/>
        </w:rPr>
        <w:t>’</w:t>
      </w:r>
      <w:r w:rsidRPr="006835D9">
        <w:rPr>
          <w:bCs/>
          <w:i/>
          <w:iCs/>
          <w:lang w:val="fr-FR"/>
        </w:rPr>
        <w:t>amendé)</w:t>
      </w:r>
    </w:p>
    <w:p w14:paraId="31C9B9F6" w14:textId="2EFD41EB" w:rsidR="00520996" w:rsidRPr="006835D9" w:rsidRDefault="00520996" w:rsidP="00520996">
      <w:pPr>
        <w:spacing w:before="120" w:after="120"/>
        <w:ind w:left="1134" w:right="1133"/>
        <w:rPr>
          <w:bCs/>
          <w:lang w:val="fr-FR"/>
        </w:rPr>
      </w:pPr>
      <w:r w:rsidRPr="006835D9">
        <w:rPr>
          <w:bCs/>
          <w:lang w:val="fr-FR"/>
        </w:rPr>
        <w:t>Ajouter une nouvelle section 1</w:t>
      </w:r>
      <w:r w:rsidR="00FC1209" w:rsidRPr="00FC1209">
        <w:rPr>
          <w:bCs/>
          <w:lang w:val="fr-FR"/>
        </w:rPr>
        <w:t>.</w:t>
      </w:r>
      <w:r w:rsidRPr="006835D9">
        <w:rPr>
          <w:bCs/>
          <w:lang w:val="fr-FR"/>
        </w:rPr>
        <w:t>2</w:t>
      </w:r>
      <w:r w:rsidR="00FC1209" w:rsidRPr="00FC1209">
        <w:rPr>
          <w:bCs/>
          <w:lang w:val="fr-FR"/>
        </w:rPr>
        <w:t>.</w:t>
      </w:r>
      <w:r w:rsidRPr="006835D9">
        <w:rPr>
          <w:bCs/>
          <w:lang w:val="fr-FR"/>
        </w:rPr>
        <w:t>3 ainsi conçue :</w:t>
      </w:r>
    </w:p>
    <w:p w14:paraId="22EFD5A8" w14:textId="06667B36" w:rsidR="00520996" w:rsidRPr="006835D9" w:rsidRDefault="00520996" w:rsidP="00520996">
      <w:pPr>
        <w:pStyle w:val="SingleTxtG"/>
        <w:spacing w:before="120"/>
        <w:ind w:left="2268" w:right="1133" w:hanging="1134"/>
        <w:rPr>
          <w:bCs/>
          <w:lang w:val="fr-FR"/>
        </w:rPr>
      </w:pPr>
      <w:r w:rsidRPr="006835D9">
        <w:rPr>
          <w:bCs/>
          <w:lang w:val="fr-FR"/>
        </w:rPr>
        <w:t>« 1</w:t>
      </w:r>
      <w:r w:rsidR="00FC1209" w:rsidRPr="00FC1209">
        <w:rPr>
          <w:bCs/>
          <w:lang w:val="fr-FR"/>
        </w:rPr>
        <w:t>.</w:t>
      </w:r>
      <w:r w:rsidRPr="006835D9">
        <w:rPr>
          <w:bCs/>
          <w:lang w:val="fr-FR"/>
        </w:rPr>
        <w:t>2</w:t>
      </w:r>
      <w:r w:rsidR="00FC1209" w:rsidRPr="00FC1209">
        <w:rPr>
          <w:bCs/>
          <w:lang w:val="fr-FR"/>
        </w:rPr>
        <w:t>.</w:t>
      </w:r>
      <w:r w:rsidRPr="006835D9">
        <w:rPr>
          <w:bCs/>
          <w:lang w:val="fr-FR"/>
        </w:rPr>
        <w:t>3</w:t>
      </w:r>
      <w:r w:rsidRPr="006835D9">
        <w:rPr>
          <w:bCs/>
          <w:lang w:val="fr-FR"/>
        </w:rPr>
        <w:tab/>
        <w:t>Liste d</w:t>
      </w:r>
      <w:r w:rsidR="00F70B88">
        <w:rPr>
          <w:bCs/>
          <w:lang w:val="fr-FR"/>
        </w:rPr>
        <w:t>’</w:t>
      </w:r>
      <w:r w:rsidRPr="006835D9">
        <w:rPr>
          <w:bCs/>
          <w:lang w:val="fr-FR"/>
        </w:rPr>
        <w:t>abréviations</w:t>
      </w:r>
    </w:p>
    <w:p w14:paraId="65E445DA" w14:textId="64DDD4EF" w:rsidR="00520996" w:rsidRPr="006835D9" w:rsidRDefault="00520996" w:rsidP="00520996">
      <w:pPr>
        <w:pStyle w:val="SingleTxtG"/>
        <w:spacing w:before="120"/>
        <w:ind w:right="1133"/>
        <w:rPr>
          <w:bCs/>
          <w:lang w:val="fr-FR"/>
        </w:rPr>
      </w:pPr>
      <w:r w:rsidRPr="006835D9">
        <w:rPr>
          <w:bCs/>
          <w:lang w:val="fr-FR"/>
        </w:rPr>
        <w:t xml:space="preserve">Dans le </w:t>
      </w:r>
      <w:r>
        <w:rPr>
          <w:bCs/>
          <w:lang w:val="fr-FR"/>
        </w:rPr>
        <w:t>RID, l</w:t>
      </w:r>
      <w:r w:rsidR="00F70B88">
        <w:rPr>
          <w:bCs/>
          <w:lang w:val="fr-FR"/>
        </w:rPr>
        <w:t>’</w:t>
      </w:r>
      <w:r>
        <w:rPr>
          <w:bCs/>
          <w:lang w:val="fr-FR"/>
        </w:rPr>
        <w:t>ADR et l</w:t>
      </w:r>
      <w:r w:rsidR="00F70B88">
        <w:rPr>
          <w:bCs/>
          <w:lang w:val="fr-FR"/>
        </w:rPr>
        <w:t>’</w:t>
      </w:r>
      <w:r>
        <w:rPr>
          <w:bCs/>
          <w:lang w:val="fr-FR"/>
        </w:rPr>
        <w:t>ADN</w:t>
      </w:r>
      <w:r w:rsidRPr="006835D9">
        <w:rPr>
          <w:bCs/>
          <w:lang w:val="fr-FR"/>
        </w:rPr>
        <w:t xml:space="preserve"> sont utilisés des abréviations, des acronymes et des désignations abrégées de textes réglementaires, dont la signification est la suivante :</w:t>
      </w:r>
    </w:p>
    <w:p w14:paraId="0158A267" w14:textId="77777777" w:rsidR="00520996" w:rsidRPr="006835D9" w:rsidRDefault="00520996" w:rsidP="00F70B88">
      <w:pPr>
        <w:pStyle w:val="H23G"/>
        <w:rPr>
          <w:lang w:val="fr-FR"/>
        </w:rPr>
      </w:pPr>
      <w:r w:rsidRPr="006835D9">
        <w:rPr>
          <w:lang w:val="fr-FR"/>
        </w:rPr>
        <w:tab/>
      </w:r>
      <w:r w:rsidRPr="006835D9">
        <w:rPr>
          <w:lang w:val="fr-FR"/>
        </w:rPr>
        <w:tab/>
        <w:t>A</w:t>
      </w:r>
    </w:p>
    <w:p w14:paraId="405AF39A" w14:textId="77777777" w:rsidR="00520996" w:rsidRPr="006835D9" w:rsidRDefault="00520996" w:rsidP="00520996">
      <w:pPr>
        <w:spacing w:before="120" w:after="120"/>
        <w:ind w:left="1134" w:right="1133"/>
        <w:jc w:val="both"/>
        <w:rPr>
          <w:bCs/>
          <w:lang w:val="fr-FR"/>
        </w:rPr>
      </w:pPr>
      <w:r w:rsidRPr="006835D9">
        <w:rPr>
          <w:bCs/>
          <w:iCs/>
          <w:lang w:val="fr-FR"/>
        </w:rPr>
        <w:t>“</w:t>
      </w:r>
      <w:r w:rsidRPr="006835D9">
        <w:rPr>
          <w:bCs/>
          <w:i/>
          <w:lang w:val="fr-FR"/>
        </w:rPr>
        <w:t>ADN</w:t>
      </w:r>
      <w:r w:rsidRPr="006835D9">
        <w:rPr>
          <w:bCs/>
          <w:iCs/>
          <w:lang w:val="fr-FR"/>
        </w:rPr>
        <w:t>”</w:t>
      </w:r>
      <w:r w:rsidRPr="006835D9">
        <w:rPr>
          <w:bCs/>
          <w:lang w:val="fr-FR"/>
        </w:rPr>
        <w:t>, Accord européen relatif au transport international des marchandises dangereuses par voies de navigation intérieures ;</w:t>
      </w:r>
    </w:p>
    <w:p w14:paraId="7C403EE6" w14:textId="77777777" w:rsidR="00520996" w:rsidRPr="006835D9" w:rsidRDefault="00520996" w:rsidP="00520996">
      <w:pPr>
        <w:keepNext/>
        <w:spacing w:before="120" w:after="120"/>
        <w:ind w:left="1134" w:right="1133"/>
        <w:rPr>
          <w:bCs/>
          <w:lang w:val="fr-FR"/>
        </w:rPr>
      </w:pPr>
      <w:r w:rsidRPr="006835D9">
        <w:rPr>
          <w:bCs/>
          <w:lang w:val="fr-FR"/>
        </w:rPr>
        <w:t>(RID :)</w:t>
      </w:r>
    </w:p>
    <w:p w14:paraId="47B9EEB2" w14:textId="77777777" w:rsidR="00520996" w:rsidRPr="006835D9" w:rsidRDefault="00520996" w:rsidP="00520996">
      <w:pPr>
        <w:spacing w:before="120" w:after="120"/>
        <w:ind w:left="1134" w:right="1133"/>
        <w:jc w:val="both"/>
        <w:rPr>
          <w:bCs/>
          <w:lang w:val="fr-FR"/>
        </w:rPr>
      </w:pPr>
      <w:r w:rsidRPr="006835D9">
        <w:rPr>
          <w:bCs/>
          <w:iCs/>
          <w:lang w:val="fr-FR"/>
        </w:rPr>
        <w:t>“</w:t>
      </w:r>
      <w:r w:rsidRPr="006835D9">
        <w:rPr>
          <w:bCs/>
          <w:i/>
          <w:lang w:val="fr-FR"/>
        </w:rPr>
        <w:t>ADR</w:t>
      </w:r>
      <w:r w:rsidRPr="006835D9">
        <w:rPr>
          <w:bCs/>
          <w:iCs/>
          <w:lang w:val="fr-FR"/>
        </w:rPr>
        <w:t>”</w:t>
      </w:r>
      <w:r w:rsidRPr="006835D9">
        <w:rPr>
          <w:bCs/>
          <w:lang w:val="fr-FR"/>
        </w:rPr>
        <w:t>, Accord relatif au transport international des marchandises dangereuses par route, y compris les accords particuliers qui ont été signés par tous les pays intéressés par le transport ;</w:t>
      </w:r>
    </w:p>
    <w:p w14:paraId="4307074B" w14:textId="71C03471" w:rsidR="00520996" w:rsidRPr="006835D9" w:rsidRDefault="00520996" w:rsidP="00520996">
      <w:pPr>
        <w:spacing w:before="120" w:after="120"/>
        <w:ind w:left="1134" w:right="1133"/>
        <w:jc w:val="both"/>
        <w:rPr>
          <w:bCs/>
          <w:lang w:val="fr-FR"/>
        </w:rPr>
      </w:pPr>
      <w:r w:rsidRPr="006835D9">
        <w:rPr>
          <w:bCs/>
          <w:lang w:val="fr-FR"/>
        </w:rPr>
        <w:t>“</w:t>
      </w:r>
      <w:r w:rsidRPr="006835D9">
        <w:rPr>
          <w:bCs/>
          <w:i/>
          <w:iCs/>
          <w:lang w:val="fr-FR"/>
        </w:rPr>
        <w:t>AIEA</w:t>
      </w:r>
      <w:r w:rsidRPr="006835D9">
        <w:rPr>
          <w:bCs/>
          <w:lang w:val="fr-FR"/>
        </w:rPr>
        <w:t>”, Agence internationale de l</w:t>
      </w:r>
      <w:r w:rsidR="00F70B88">
        <w:rPr>
          <w:bCs/>
          <w:lang w:val="fr-FR"/>
        </w:rPr>
        <w:t>’</w:t>
      </w:r>
      <w:r w:rsidRPr="006835D9">
        <w:rPr>
          <w:bCs/>
          <w:lang w:val="fr-FR"/>
        </w:rPr>
        <w:t>énergie atomique (AIEA), (AIEA, P</w:t>
      </w:r>
      <w:r w:rsidR="00FC1209" w:rsidRPr="00FC1209">
        <w:rPr>
          <w:bCs/>
          <w:lang w:val="fr-FR"/>
        </w:rPr>
        <w:t>.</w:t>
      </w:r>
      <w:r w:rsidRPr="006835D9">
        <w:rPr>
          <w:bCs/>
          <w:lang w:val="fr-FR"/>
        </w:rPr>
        <w:t>O</w:t>
      </w:r>
      <w:r w:rsidR="00FC1209" w:rsidRPr="00FC1209">
        <w:rPr>
          <w:bCs/>
          <w:lang w:val="fr-FR"/>
        </w:rPr>
        <w:t>.</w:t>
      </w:r>
      <w:r w:rsidRPr="006835D9">
        <w:rPr>
          <w:bCs/>
          <w:lang w:val="fr-FR"/>
        </w:rPr>
        <w:t xml:space="preserve"> Box 100, A</w:t>
      </w:r>
      <w:r w:rsidRPr="006835D9">
        <w:rPr>
          <w:bCs/>
          <w:lang w:val="fr-FR"/>
        </w:rPr>
        <w:noBreakHyphen/>
        <w:t xml:space="preserve">1400 Vienne, Autriche), </w:t>
      </w:r>
      <w:hyperlink r:id="rId12" w:history="1">
        <w:r w:rsidRPr="006835D9">
          <w:rPr>
            <w:rStyle w:val="Hyperlink"/>
            <w:bCs/>
            <w:lang w:val="fr-FR"/>
          </w:rPr>
          <w:t>www</w:t>
        </w:r>
        <w:r w:rsidR="00FC1209" w:rsidRPr="00FC1209">
          <w:rPr>
            <w:rStyle w:val="Hyperlink"/>
            <w:bCs/>
            <w:lang w:val="fr-FR"/>
          </w:rPr>
          <w:t>.</w:t>
        </w:r>
        <w:r w:rsidRPr="006835D9">
          <w:rPr>
            <w:rStyle w:val="Hyperlink"/>
            <w:bCs/>
            <w:lang w:val="fr-FR"/>
          </w:rPr>
          <w:t>iaea</w:t>
        </w:r>
        <w:r w:rsidR="00FC1209" w:rsidRPr="00FC1209">
          <w:rPr>
            <w:rStyle w:val="Hyperlink"/>
            <w:bCs/>
            <w:lang w:val="fr-FR"/>
          </w:rPr>
          <w:t>.</w:t>
        </w:r>
        <w:r w:rsidRPr="006835D9">
          <w:rPr>
            <w:rStyle w:val="Hyperlink"/>
            <w:bCs/>
            <w:lang w:val="fr-FR"/>
          </w:rPr>
          <w:t>org</w:t>
        </w:r>
      </w:hyperlink>
      <w:r w:rsidRPr="006835D9">
        <w:rPr>
          <w:bCs/>
          <w:lang w:val="fr-FR"/>
        </w:rPr>
        <w:t> ;</w:t>
      </w:r>
    </w:p>
    <w:p w14:paraId="7FAF9FE9" w14:textId="518F5A17" w:rsidR="00520996" w:rsidRPr="00790457" w:rsidRDefault="00520996" w:rsidP="00520996">
      <w:pPr>
        <w:spacing w:before="120" w:after="120"/>
        <w:ind w:left="1134" w:right="1133"/>
        <w:jc w:val="both"/>
        <w:rPr>
          <w:bCs/>
          <w:lang w:val="en-US"/>
        </w:rPr>
      </w:pPr>
      <w:r w:rsidRPr="00790457">
        <w:rPr>
          <w:bCs/>
          <w:iCs/>
          <w:lang w:val="en-US"/>
        </w:rPr>
        <w:t>“</w:t>
      </w:r>
      <w:r w:rsidRPr="00790457">
        <w:rPr>
          <w:bCs/>
          <w:i/>
          <w:lang w:val="en-US"/>
        </w:rPr>
        <w:t>ASTM</w:t>
      </w:r>
      <w:r w:rsidRPr="00790457">
        <w:rPr>
          <w:bCs/>
          <w:iCs/>
          <w:lang w:val="en-US"/>
        </w:rPr>
        <w:t xml:space="preserve">”, </w:t>
      </w:r>
      <w:r w:rsidRPr="00790457">
        <w:rPr>
          <w:bCs/>
          <w:lang w:val="en-US"/>
        </w:rPr>
        <w:t>American Society for Testing and Materials (ASTM International, 100 Barr Harbor Drive, PO Box C700, West Conshohocken, PA, 19428-2959, États-Unis d</w:t>
      </w:r>
      <w:r w:rsidR="00F70B88">
        <w:rPr>
          <w:bCs/>
          <w:lang w:val="en-US"/>
        </w:rPr>
        <w:t>’</w:t>
      </w:r>
      <w:r w:rsidRPr="00790457">
        <w:rPr>
          <w:bCs/>
          <w:lang w:val="en-US"/>
        </w:rPr>
        <w:t xml:space="preserve">Amérique), </w:t>
      </w:r>
      <w:hyperlink r:id="rId13" w:history="1">
        <w:r w:rsidRPr="00790457">
          <w:rPr>
            <w:rStyle w:val="Hyperlink"/>
            <w:bCs/>
            <w:lang w:val="en-US"/>
          </w:rPr>
          <w:t>www</w:t>
        </w:r>
        <w:r w:rsidR="00FC1209" w:rsidRPr="00FC1209">
          <w:rPr>
            <w:rStyle w:val="Hyperlink"/>
            <w:bCs/>
            <w:lang w:val="en-US"/>
          </w:rPr>
          <w:t>.</w:t>
        </w:r>
        <w:r w:rsidRPr="00790457">
          <w:rPr>
            <w:rStyle w:val="Hyperlink"/>
            <w:bCs/>
            <w:lang w:val="en-US"/>
          </w:rPr>
          <w:t>astm</w:t>
        </w:r>
        <w:r w:rsidR="00FC1209" w:rsidRPr="00FC1209">
          <w:rPr>
            <w:rStyle w:val="Hyperlink"/>
            <w:bCs/>
            <w:lang w:val="en-US"/>
          </w:rPr>
          <w:t>.</w:t>
        </w:r>
        <w:r w:rsidRPr="00790457">
          <w:rPr>
            <w:rStyle w:val="Hyperlink"/>
            <w:bCs/>
            <w:lang w:val="en-US"/>
          </w:rPr>
          <w:t>org</w:t>
        </w:r>
      </w:hyperlink>
      <w:r w:rsidRPr="00790457">
        <w:rPr>
          <w:bCs/>
          <w:lang w:val="en-US"/>
        </w:rPr>
        <w:t> ;</w:t>
      </w:r>
    </w:p>
    <w:p w14:paraId="0F969B6B" w14:textId="77777777" w:rsidR="00520996" w:rsidRPr="006835D9" w:rsidRDefault="00520996" w:rsidP="00520996">
      <w:pPr>
        <w:pStyle w:val="H23G"/>
        <w:ind w:right="282"/>
        <w:rPr>
          <w:lang w:val="fr-FR"/>
        </w:rPr>
      </w:pPr>
      <w:r w:rsidRPr="00790457">
        <w:rPr>
          <w:b w:val="0"/>
          <w:bCs/>
          <w:lang w:val="en-US"/>
        </w:rPr>
        <w:tab/>
      </w:r>
      <w:r w:rsidRPr="00790457">
        <w:rPr>
          <w:b w:val="0"/>
          <w:bCs/>
          <w:lang w:val="en-US"/>
        </w:rPr>
        <w:tab/>
      </w:r>
      <w:r w:rsidRPr="006835D9">
        <w:rPr>
          <w:lang w:val="fr-FR"/>
        </w:rPr>
        <w:t>C</w:t>
      </w:r>
    </w:p>
    <w:p w14:paraId="1FD50F65" w14:textId="19BB477C" w:rsidR="00520996" w:rsidRPr="006835D9" w:rsidRDefault="00520996" w:rsidP="00520996">
      <w:pPr>
        <w:pStyle w:val="SingleTxtG"/>
        <w:spacing w:before="120"/>
        <w:ind w:right="1133"/>
        <w:rPr>
          <w:bCs/>
          <w:lang w:val="fr-FR"/>
        </w:rPr>
      </w:pPr>
      <w:r w:rsidRPr="006835D9">
        <w:rPr>
          <w:bCs/>
          <w:lang w:val="fr-FR"/>
        </w:rPr>
        <w:t>“</w:t>
      </w:r>
      <w:r w:rsidRPr="006835D9">
        <w:rPr>
          <w:bCs/>
          <w:i/>
          <w:iCs/>
          <w:lang w:val="fr-FR"/>
        </w:rPr>
        <w:t>CEE-ONU</w:t>
      </w:r>
      <w:r w:rsidRPr="006835D9">
        <w:rPr>
          <w:bCs/>
          <w:lang w:val="fr-FR"/>
        </w:rPr>
        <w:t>”, Commission Économique des Nations Unies pour l</w:t>
      </w:r>
      <w:r w:rsidR="00F70B88">
        <w:rPr>
          <w:bCs/>
          <w:lang w:val="fr-FR"/>
        </w:rPr>
        <w:t>’</w:t>
      </w:r>
      <w:r w:rsidRPr="006835D9">
        <w:rPr>
          <w:bCs/>
          <w:lang w:val="fr-FR"/>
        </w:rPr>
        <w:t xml:space="preserve">Europe (CEE-ONU, Palais des Nations, 8-14 avenue de la Paix, CH-1211 Genève 10, Suisse), </w:t>
      </w:r>
      <w:hyperlink r:id="rId14" w:history="1">
        <w:r w:rsidRPr="006835D9">
          <w:rPr>
            <w:rStyle w:val="Hyperlink"/>
            <w:bCs/>
            <w:lang w:val="fr-FR"/>
          </w:rPr>
          <w:t>www</w:t>
        </w:r>
        <w:r w:rsidR="00FC1209" w:rsidRPr="00FC1209">
          <w:rPr>
            <w:rStyle w:val="Hyperlink"/>
            <w:bCs/>
            <w:lang w:val="fr-FR"/>
          </w:rPr>
          <w:t>.</w:t>
        </w:r>
        <w:r w:rsidRPr="006835D9">
          <w:rPr>
            <w:rStyle w:val="Hyperlink"/>
            <w:bCs/>
            <w:lang w:val="fr-FR"/>
          </w:rPr>
          <w:t>unece</w:t>
        </w:r>
        <w:r w:rsidR="00FC1209" w:rsidRPr="00FC1209">
          <w:rPr>
            <w:rStyle w:val="Hyperlink"/>
            <w:bCs/>
            <w:lang w:val="fr-FR"/>
          </w:rPr>
          <w:t>.</w:t>
        </w:r>
        <w:r w:rsidRPr="006835D9">
          <w:rPr>
            <w:rStyle w:val="Hyperlink"/>
            <w:bCs/>
            <w:lang w:val="fr-FR"/>
          </w:rPr>
          <w:t>org</w:t>
        </w:r>
      </w:hyperlink>
      <w:r w:rsidRPr="006835D9">
        <w:rPr>
          <w:bCs/>
          <w:lang w:val="fr-FR"/>
        </w:rPr>
        <w:t> ;</w:t>
      </w:r>
    </w:p>
    <w:p w14:paraId="4BBC6005" w14:textId="1B066584" w:rsidR="00520996" w:rsidRPr="006835D9" w:rsidRDefault="00520996" w:rsidP="00520996">
      <w:pPr>
        <w:spacing w:before="120" w:after="120"/>
        <w:ind w:left="1134" w:right="1133"/>
        <w:jc w:val="both"/>
        <w:rPr>
          <w:bCs/>
          <w:lang w:val="fr-FR"/>
        </w:rPr>
      </w:pPr>
      <w:r w:rsidRPr="006835D9">
        <w:rPr>
          <w:bCs/>
          <w:iCs/>
          <w:lang w:val="fr-FR"/>
        </w:rPr>
        <w:t>“</w:t>
      </w:r>
      <w:r w:rsidRPr="006835D9">
        <w:rPr>
          <w:bCs/>
          <w:i/>
          <w:lang w:val="fr-FR"/>
        </w:rPr>
        <w:t>CGA</w:t>
      </w:r>
      <w:r w:rsidRPr="006835D9">
        <w:rPr>
          <w:bCs/>
          <w:iCs/>
          <w:lang w:val="fr-FR"/>
        </w:rPr>
        <w:t>”, “</w:t>
      </w:r>
      <w:r w:rsidRPr="006835D9">
        <w:rPr>
          <w:bCs/>
          <w:lang w:val="fr-FR"/>
        </w:rPr>
        <w:t>Compressed Gas Association” (CGA, 14501 George Carter Way, Suite 103, Chantilly, VA 20151, États-Unis d</w:t>
      </w:r>
      <w:r w:rsidR="00F70B88">
        <w:rPr>
          <w:bCs/>
          <w:lang w:val="fr-FR"/>
        </w:rPr>
        <w:t>’</w:t>
      </w:r>
      <w:r w:rsidRPr="006835D9">
        <w:rPr>
          <w:bCs/>
          <w:lang w:val="fr-FR"/>
        </w:rPr>
        <w:t xml:space="preserve">Amérique), </w:t>
      </w:r>
      <w:hyperlink r:id="rId15" w:history="1">
        <w:r w:rsidRPr="006835D9">
          <w:rPr>
            <w:rStyle w:val="Hyperlink"/>
            <w:bCs/>
            <w:lang w:val="fr-FR"/>
          </w:rPr>
          <w:t>www</w:t>
        </w:r>
        <w:r w:rsidR="00FC1209" w:rsidRPr="00FC1209">
          <w:rPr>
            <w:rStyle w:val="Hyperlink"/>
            <w:bCs/>
            <w:lang w:val="fr-FR"/>
          </w:rPr>
          <w:t>.</w:t>
        </w:r>
        <w:r w:rsidRPr="006835D9">
          <w:rPr>
            <w:rStyle w:val="Hyperlink"/>
            <w:bCs/>
            <w:lang w:val="fr-FR"/>
          </w:rPr>
          <w:t>cganet</w:t>
        </w:r>
        <w:r w:rsidR="00FC1209" w:rsidRPr="00FC1209">
          <w:rPr>
            <w:rStyle w:val="Hyperlink"/>
            <w:bCs/>
            <w:lang w:val="fr-FR"/>
          </w:rPr>
          <w:t>.</w:t>
        </w:r>
        <w:r w:rsidRPr="006835D9">
          <w:rPr>
            <w:rStyle w:val="Hyperlink"/>
            <w:bCs/>
            <w:lang w:val="fr-FR"/>
          </w:rPr>
          <w:t>com</w:t>
        </w:r>
      </w:hyperlink>
      <w:r w:rsidRPr="006835D9">
        <w:rPr>
          <w:bCs/>
          <w:lang w:val="fr-FR"/>
        </w:rPr>
        <w:t> ;</w:t>
      </w:r>
    </w:p>
    <w:p w14:paraId="14BC80DA" w14:textId="313E7652" w:rsidR="00520996" w:rsidRPr="006835D9" w:rsidRDefault="00520996" w:rsidP="00520996">
      <w:pPr>
        <w:spacing w:before="120" w:after="120"/>
        <w:ind w:left="1134" w:right="1133"/>
        <w:jc w:val="both"/>
        <w:rPr>
          <w:bCs/>
          <w:iCs/>
          <w:lang w:val="fr-FR"/>
        </w:rPr>
      </w:pPr>
      <w:r w:rsidRPr="006835D9">
        <w:rPr>
          <w:bCs/>
          <w:iCs/>
          <w:lang w:val="fr-FR"/>
        </w:rPr>
        <w:t>“</w:t>
      </w:r>
      <w:r w:rsidRPr="006835D9">
        <w:rPr>
          <w:bCs/>
          <w:i/>
          <w:lang w:val="fr-FR"/>
        </w:rPr>
        <w:t>CGEM</w:t>
      </w:r>
      <w:r w:rsidRPr="006835D9">
        <w:rPr>
          <w:bCs/>
          <w:iCs/>
          <w:lang w:val="fr-FR"/>
        </w:rPr>
        <w:t>”, “Conteneur à gaz à éléments multiples” (voir 1</w:t>
      </w:r>
      <w:r w:rsidR="00FC1209" w:rsidRPr="00FC1209">
        <w:rPr>
          <w:bCs/>
          <w:iCs/>
          <w:lang w:val="fr-FR"/>
        </w:rPr>
        <w:t>.</w:t>
      </w:r>
      <w:r w:rsidRPr="006835D9">
        <w:rPr>
          <w:bCs/>
          <w:iCs/>
          <w:lang w:val="fr-FR"/>
        </w:rPr>
        <w:t>2</w:t>
      </w:r>
      <w:r w:rsidR="00FC1209" w:rsidRPr="00FC1209">
        <w:rPr>
          <w:bCs/>
          <w:iCs/>
          <w:lang w:val="fr-FR"/>
        </w:rPr>
        <w:t>.</w:t>
      </w:r>
      <w:r w:rsidRPr="006835D9">
        <w:rPr>
          <w:bCs/>
          <w:iCs/>
          <w:lang w:val="fr-FR"/>
        </w:rPr>
        <w:t>1) ;</w:t>
      </w:r>
    </w:p>
    <w:p w14:paraId="1EA7E74A" w14:textId="77777777" w:rsidR="00520996" w:rsidRPr="006835D9" w:rsidRDefault="00520996" w:rsidP="00520996">
      <w:pPr>
        <w:spacing w:before="120" w:after="120"/>
        <w:ind w:left="1134" w:right="1133"/>
        <w:jc w:val="both"/>
        <w:rPr>
          <w:bCs/>
          <w:lang w:val="fr-FR"/>
        </w:rPr>
      </w:pPr>
      <w:r w:rsidRPr="006835D9">
        <w:rPr>
          <w:bCs/>
          <w:iCs/>
          <w:lang w:val="fr-FR"/>
        </w:rPr>
        <w:t>“</w:t>
      </w:r>
      <w:r w:rsidRPr="006835D9">
        <w:rPr>
          <w:bCs/>
          <w:i/>
          <w:lang w:val="fr-FR"/>
        </w:rPr>
        <w:t>CIM</w:t>
      </w:r>
      <w:r w:rsidRPr="006835D9">
        <w:rPr>
          <w:bCs/>
          <w:iCs/>
          <w:lang w:val="fr-FR"/>
        </w:rPr>
        <w:t xml:space="preserve">”, </w:t>
      </w:r>
      <w:r w:rsidRPr="006835D9">
        <w:rPr>
          <w:bCs/>
          <w:lang w:val="fr-FR"/>
        </w:rPr>
        <w:t>Règles uniformes concernant le contrat de transport international ferroviaire des marchandises (Appendice B à la Convention relative aux transports internationaux ferroviaires (COTIF)), telles que modifiées ;</w:t>
      </w:r>
    </w:p>
    <w:p w14:paraId="2A60CF49" w14:textId="77777777" w:rsidR="00520996" w:rsidRPr="006835D9" w:rsidRDefault="00520996" w:rsidP="00520996">
      <w:pPr>
        <w:spacing w:before="120" w:after="120"/>
        <w:ind w:left="1134" w:right="1133"/>
        <w:jc w:val="both"/>
        <w:rPr>
          <w:bCs/>
          <w:lang w:val="fr-FR"/>
        </w:rPr>
      </w:pPr>
      <w:r w:rsidRPr="006835D9">
        <w:rPr>
          <w:bCs/>
          <w:iCs/>
          <w:lang w:val="fr-FR"/>
        </w:rPr>
        <w:t>“</w:t>
      </w:r>
      <w:r w:rsidRPr="006835D9">
        <w:rPr>
          <w:bCs/>
          <w:i/>
          <w:lang w:val="fr-FR"/>
        </w:rPr>
        <w:t>CMR</w:t>
      </w:r>
      <w:r w:rsidRPr="006835D9">
        <w:rPr>
          <w:bCs/>
          <w:iCs/>
          <w:lang w:val="fr-FR"/>
        </w:rPr>
        <w:t>”,</w:t>
      </w:r>
      <w:r w:rsidRPr="006835D9">
        <w:rPr>
          <w:bCs/>
          <w:lang w:val="fr-FR"/>
        </w:rPr>
        <w:t xml:space="preserve"> Convention relative au contrat de transport international de marchandises par route (Genève, 19 mai 1956), telle que modifiée ;</w:t>
      </w:r>
    </w:p>
    <w:p w14:paraId="5EFCEF58" w14:textId="2545612F" w:rsidR="00520996" w:rsidRPr="006835D9" w:rsidRDefault="00520996" w:rsidP="005D3FA5">
      <w:pPr>
        <w:spacing w:before="120" w:after="120"/>
        <w:ind w:left="1134" w:right="1134"/>
        <w:jc w:val="both"/>
        <w:rPr>
          <w:bCs/>
          <w:lang w:val="fr-FR"/>
        </w:rPr>
      </w:pPr>
      <w:r w:rsidRPr="006835D9">
        <w:rPr>
          <w:bCs/>
          <w:iCs/>
          <w:lang w:val="fr-FR"/>
        </w:rPr>
        <w:lastRenderedPageBreak/>
        <w:t>“</w:t>
      </w:r>
      <w:r w:rsidRPr="006835D9">
        <w:rPr>
          <w:bCs/>
          <w:i/>
          <w:lang w:val="fr-FR"/>
        </w:rPr>
        <w:t>CSC</w:t>
      </w:r>
      <w:r w:rsidRPr="006835D9">
        <w:rPr>
          <w:bCs/>
          <w:iCs/>
          <w:lang w:val="fr-FR"/>
        </w:rPr>
        <w:t xml:space="preserve">”, </w:t>
      </w:r>
      <w:r w:rsidRPr="006835D9">
        <w:rPr>
          <w:bCs/>
          <w:lang w:val="fr-FR"/>
        </w:rPr>
        <w:t xml:space="preserve">Convention internationale sur la sécurité des conteneurs (Genève, 1972) telle que modifiée et publiée par </w:t>
      </w:r>
      <w:r w:rsidRPr="004D2C7C">
        <w:rPr>
          <w:bCs/>
          <w:lang w:val="fr-FR"/>
        </w:rPr>
        <w:t>l</w:t>
      </w:r>
      <w:r w:rsidR="00F70B88" w:rsidRPr="004D2C7C">
        <w:rPr>
          <w:bCs/>
          <w:lang w:val="fr-FR"/>
        </w:rPr>
        <w:t>’</w:t>
      </w:r>
      <w:r w:rsidRPr="004D2C7C">
        <w:rPr>
          <w:bCs/>
          <w:lang w:val="fr-FR"/>
        </w:rPr>
        <w:t xml:space="preserve">Organisation </w:t>
      </w:r>
      <w:r w:rsidR="00835D26" w:rsidRPr="004D2C7C">
        <w:rPr>
          <w:bCs/>
          <w:lang w:val="fr-FR"/>
        </w:rPr>
        <w:t>m</w:t>
      </w:r>
      <w:r w:rsidRPr="004D2C7C">
        <w:rPr>
          <w:bCs/>
          <w:lang w:val="fr-FR"/>
        </w:rPr>
        <w:t xml:space="preserve">aritime </w:t>
      </w:r>
      <w:r w:rsidR="00835D26" w:rsidRPr="004D2C7C">
        <w:rPr>
          <w:bCs/>
          <w:lang w:val="fr-FR"/>
        </w:rPr>
        <w:t>i</w:t>
      </w:r>
      <w:r w:rsidRPr="004D2C7C">
        <w:rPr>
          <w:bCs/>
          <w:lang w:val="fr-FR"/>
        </w:rPr>
        <w:t>nternationale (</w:t>
      </w:r>
      <w:r w:rsidRPr="006835D9">
        <w:rPr>
          <w:bCs/>
          <w:lang w:val="fr-FR"/>
        </w:rPr>
        <w:t>OMI), à Londres ;</w:t>
      </w:r>
    </w:p>
    <w:p w14:paraId="2876FC48" w14:textId="1DBAA5BD" w:rsidR="00520996" w:rsidRPr="006835D9" w:rsidRDefault="00520996" w:rsidP="00520996">
      <w:pPr>
        <w:spacing w:before="120" w:after="120"/>
        <w:ind w:left="1134" w:right="1133"/>
        <w:rPr>
          <w:bCs/>
          <w:lang w:val="fr-FR"/>
        </w:rPr>
      </w:pPr>
      <w:r w:rsidRPr="006835D9">
        <w:rPr>
          <w:bCs/>
          <w:iCs/>
          <w:lang w:val="fr-FR"/>
        </w:rPr>
        <w:t>“</w:t>
      </w:r>
      <w:r w:rsidRPr="006835D9">
        <w:rPr>
          <w:bCs/>
          <w:i/>
          <w:lang w:val="fr-FR"/>
        </w:rPr>
        <w:t>CSI</w:t>
      </w:r>
      <w:r w:rsidRPr="006835D9">
        <w:rPr>
          <w:bCs/>
          <w:iCs/>
          <w:lang w:val="fr-FR"/>
        </w:rPr>
        <w:t>”*,</w:t>
      </w:r>
      <w:r w:rsidRPr="006835D9">
        <w:rPr>
          <w:bCs/>
          <w:i/>
          <w:lang w:val="fr-FR"/>
        </w:rPr>
        <w:t xml:space="preserve"> </w:t>
      </w:r>
      <w:r w:rsidRPr="006835D9">
        <w:rPr>
          <w:bCs/>
          <w:lang w:val="fr-FR"/>
        </w:rPr>
        <w:t>“Indice de sûreté-criticité” (voir 1</w:t>
      </w:r>
      <w:r w:rsidR="00FC1209" w:rsidRPr="00FC1209">
        <w:rPr>
          <w:bCs/>
          <w:lang w:val="fr-FR"/>
        </w:rPr>
        <w:t>.</w:t>
      </w:r>
      <w:r w:rsidRPr="006835D9">
        <w:rPr>
          <w:bCs/>
          <w:lang w:val="fr-FR"/>
        </w:rPr>
        <w:t>2</w:t>
      </w:r>
      <w:r w:rsidR="00FC1209" w:rsidRPr="00FC1209">
        <w:rPr>
          <w:bCs/>
          <w:lang w:val="fr-FR"/>
        </w:rPr>
        <w:t>.</w:t>
      </w:r>
      <w:r w:rsidRPr="006835D9">
        <w:rPr>
          <w:bCs/>
          <w:lang w:val="fr-FR"/>
        </w:rPr>
        <w:t>1) ;</w:t>
      </w:r>
    </w:p>
    <w:p w14:paraId="77B90C8D" w14:textId="77777777" w:rsidR="00520996" w:rsidRPr="006835D9" w:rsidRDefault="00520996" w:rsidP="00520996">
      <w:pPr>
        <w:spacing w:before="120" w:after="120"/>
        <w:ind w:left="1134" w:right="1133"/>
        <w:rPr>
          <w:bCs/>
          <w:lang w:val="fr-FR"/>
        </w:rPr>
      </w:pPr>
      <w:r w:rsidRPr="006835D9">
        <w:rPr>
          <w:bCs/>
          <w:u w:val="single"/>
          <w:lang w:val="fr-FR"/>
        </w:rPr>
        <w:t>________</w:t>
      </w:r>
    </w:p>
    <w:p w14:paraId="1123787C" w14:textId="5181259F" w:rsidR="00520996" w:rsidRDefault="00520996" w:rsidP="00520996">
      <w:pPr>
        <w:spacing w:before="120" w:after="120"/>
        <w:ind w:left="1134" w:right="1133" w:firstLine="567"/>
        <w:rPr>
          <w:bCs/>
          <w:lang w:val="fr-FR"/>
        </w:rPr>
      </w:pPr>
      <w:r w:rsidRPr="006835D9">
        <w:rPr>
          <w:bCs/>
          <w:lang w:val="fr-FR"/>
        </w:rPr>
        <w:t>*</w:t>
      </w:r>
      <w:r w:rsidRPr="006835D9">
        <w:rPr>
          <w:bCs/>
          <w:lang w:val="fr-FR"/>
        </w:rPr>
        <w:tab/>
        <w:t>L</w:t>
      </w:r>
      <w:r w:rsidR="00F70B88">
        <w:rPr>
          <w:bCs/>
          <w:lang w:val="fr-FR"/>
        </w:rPr>
        <w:t>’</w:t>
      </w:r>
      <w:r w:rsidRPr="006835D9">
        <w:rPr>
          <w:bCs/>
          <w:lang w:val="fr-FR"/>
        </w:rPr>
        <w:t>acronyme « CSI » correspond au terme anglais « Criticality Safety Index »</w:t>
      </w:r>
      <w:r w:rsidR="00FC1209" w:rsidRPr="00FC1209">
        <w:rPr>
          <w:bCs/>
          <w:lang w:val="fr-FR"/>
        </w:rPr>
        <w:t>.</w:t>
      </w:r>
    </w:p>
    <w:p w14:paraId="774C933C" w14:textId="77777777" w:rsidR="00520996" w:rsidRPr="006835D9" w:rsidRDefault="00520996" w:rsidP="00520996">
      <w:pPr>
        <w:pStyle w:val="H23G"/>
        <w:ind w:right="282"/>
        <w:rPr>
          <w:lang w:val="fr-FR"/>
        </w:rPr>
      </w:pPr>
      <w:r w:rsidRPr="006835D9">
        <w:rPr>
          <w:b w:val="0"/>
          <w:bCs/>
          <w:lang w:val="fr-FR"/>
        </w:rPr>
        <w:tab/>
      </w:r>
      <w:r w:rsidRPr="006835D9">
        <w:rPr>
          <w:b w:val="0"/>
          <w:bCs/>
          <w:lang w:val="fr-FR"/>
        </w:rPr>
        <w:tab/>
      </w:r>
      <w:r w:rsidRPr="006835D9">
        <w:rPr>
          <w:lang w:val="fr-FR"/>
        </w:rPr>
        <w:t>E</w:t>
      </w:r>
    </w:p>
    <w:p w14:paraId="4FB95989" w14:textId="77777777" w:rsidR="00520996" w:rsidRPr="006835D9" w:rsidRDefault="00520996" w:rsidP="00520996">
      <w:pPr>
        <w:keepNext/>
        <w:spacing w:before="120" w:after="120"/>
        <w:ind w:left="1134" w:right="1133"/>
        <w:rPr>
          <w:bCs/>
          <w:lang w:val="fr-FR"/>
        </w:rPr>
      </w:pPr>
      <w:r w:rsidRPr="006835D9">
        <w:rPr>
          <w:bCs/>
          <w:lang w:val="fr-FR"/>
        </w:rPr>
        <w:t>(RID :)</w:t>
      </w:r>
    </w:p>
    <w:p w14:paraId="14ACB69D" w14:textId="0C90C517" w:rsidR="00520996" w:rsidRPr="006835D9" w:rsidRDefault="00520996" w:rsidP="00520996">
      <w:pPr>
        <w:spacing w:before="120" w:after="120"/>
        <w:ind w:left="1134" w:right="1133"/>
        <w:rPr>
          <w:bCs/>
          <w:lang w:val="fr-FR"/>
        </w:rPr>
      </w:pPr>
      <w:bookmarkStart w:id="5" w:name="_Hlk55892579"/>
      <w:r w:rsidRPr="006835D9">
        <w:rPr>
          <w:bCs/>
          <w:iCs/>
          <w:lang w:val="fr-FR"/>
        </w:rPr>
        <w:t>“</w:t>
      </w:r>
      <w:r w:rsidRPr="006835D9">
        <w:rPr>
          <w:bCs/>
          <w:i/>
          <w:lang w:val="fr-FR"/>
        </w:rPr>
        <w:t>ECE</w:t>
      </w:r>
      <w:r w:rsidRPr="006835D9">
        <w:rPr>
          <w:bCs/>
          <w:iCs/>
          <w:lang w:val="fr-FR"/>
        </w:rPr>
        <w:t>”,</w:t>
      </w:r>
      <w:r w:rsidRPr="006835D9">
        <w:rPr>
          <w:bCs/>
          <w:lang w:val="fr-FR"/>
        </w:rPr>
        <w:t xml:space="preserve"> </w:t>
      </w:r>
      <w:bookmarkEnd w:id="5"/>
      <w:r w:rsidRPr="006835D9">
        <w:rPr>
          <w:bCs/>
          <w:lang w:val="fr-FR"/>
        </w:rPr>
        <w:t>“Entité chargée de l</w:t>
      </w:r>
      <w:r w:rsidR="00F70B88">
        <w:rPr>
          <w:bCs/>
          <w:lang w:val="fr-FR"/>
        </w:rPr>
        <w:t>’</w:t>
      </w:r>
      <w:r w:rsidRPr="006835D9">
        <w:rPr>
          <w:bCs/>
          <w:lang w:val="fr-FR"/>
        </w:rPr>
        <w:t>entretien” (voir 1</w:t>
      </w:r>
      <w:r w:rsidR="00FC1209" w:rsidRPr="00FC1209">
        <w:rPr>
          <w:bCs/>
          <w:lang w:val="fr-FR"/>
        </w:rPr>
        <w:t>.</w:t>
      </w:r>
      <w:r w:rsidRPr="006835D9">
        <w:rPr>
          <w:bCs/>
          <w:lang w:val="fr-FR"/>
        </w:rPr>
        <w:t>2</w:t>
      </w:r>
      <w:r w:rsidR="00FC1209" w:rsidRPr="00FC1209">
        <w:rPr>
          <w:bCs/>
          <w:lang w:val="fr-FR"/>
        </w:rPr>
        <w:t>.</w:t>
      </w:r>
      <w:r w:rsidRPr="006835D9">
        <w:rPr>
          <w:bCs/>
          <w:lang w:val="fr-FR"/>
        </w:rPr>
        <w:t>1) ;</w:t>
      </w:r>
    </w:p>
    <w:p w14:paraId="40E65058" w14:textId="306E0396" w:rsidR="00520996" w:rsidRPr="006835D9" w:rsidRDefault="00520996" w:rsidP="00520996">
      <w:pPr>
        <w:spacing w:before="120" w:after="120"/>
        <w:ind w:left="1134" w:right="1133"/>
        <w:rPr>
          <w:bCs/>
          <w:lang w:val="fr-FR"/>
        </w:rPr>
      </w:pPr>
      <w:r w:rsidRPr="006835D9">
        <w:rPr>
          <w:bCs/>
          <w:iCs/>
          <w:lang w:val="fr-FR"/>
        </w:rPr>
        <w:t>“</w:t>
      </w:r>
      <w:r w:rsidRPr="006835D9">
        <w:rPr>
          <w:bCs/>
          <w:i/>
          <w:lang w:val="fr-FR"/>
        </w:rPr>
        <w:t>EIGA</w:t>
      </w:r>
      <w:r w:rsidRPr="006835D9">
        <w:rPr>
          <w:bCs/>
          <w:iCs/>
          <w:lang w:val="fr-FR"/>
        </w:rPr>
        <w:t xml:space="preserve">”, Association européenne des gaz industriels (EIGA, </w:t>
      </w:r>
      <w:r w:rsidRPr="006835D9">
        <w:rPr>
          <w:bCs/>
          <w:lang w:val="fr-FR"/>
        </w:rPr>
        <w:t>30 Avenue de l</w:t>
      </w:r>
      <w:r w:rsidR="00F70B88">
        <w:rPr>
          <w:bCs/>
          <w:lang w:val="fr-FR"/>
        </w:rPr>
        <w:t>’</w:t>
      </w:r>
      <w:r w:rsidRPr="006835D9">
        <w:rPr>
          <w:bCs/>
          <w:lang w:val="fr-FR"/>
        </w:rPr>
        <w:t xml:space="preserve">Astronomie, B-1210 Bruxelles, Belgique), </w:t>
      </w:r>
      <w:hyperlink r:id="rId16" w:history="1">
        <w:r w:rsidRPr="006835D9">
          <w:rPr>
            <w:rStyle w:val="Hyperlink"/>
            <w:bCs/>
            <w:lang w:val="fr-FR"/>
          </w:rPr>
          <w:t>www</w:t>
        </w:r>
        <w:r w:rsidR="00FC1209" w:rsidRPr="00FC1209">
          <w:rPr>
            <w:rStyle w:val="Hyperlink"/>
            <w:bCs/>
            <w:lang w:val="fr-FR"/>
          </w:rPr>
          <w:t>.</w:t>
        </w:r>
        <w:r w:rsidRPr="006835D9">
          <w:rPr>
            <w:rStyle w:val="Hyperlink"/>
            <w:bCs/>
            <w:lang w:val="fr-FR"/>
          </w:rPr>
          <w:t>eiga</w:t>
        </w:r>
        <w:r w:rsidR="00FC1209" w:rsidRPr="00FC1209">
          <w:rPr>
            <w:rStyle w:val="Hyperlink"/>
            <w:bCs/>
            <w:lang w:val="fr-FR"/>
          </w:rPr>
          <w:t>.</w:t>
        </w:r>
        <w:r w:rsidRPr="006835D9">
          <w:rPr>
            <w:rStyle w:val="Hyperlink"/>
            <w:bCs/>
            <w:lang w:val="fr-FR"/>
          </w:rPr>
          <w:t>eu</w:t>
        </w:r>
      </w:hyperlink>
      <w:r w:rsidRPr="006835D9">
        <w:rPr>
          <w:bCs/>
          <w:lang w:val="fr-FR"/>
        </w:rPr>
        <w:t> ;</w:t>
      </w:r>
    </w:p>
    <w:p w14:paraId="5EA5195B" w14:textId="6A2330E7" w:rsidR="00520996" w:rsidRPr="006835D9" w:rsidRDefault="00520996" w:rsidP="00520996">
      <w:pPr>
        <w:spacing w:before="120" w:after="120"/>
        <w:ind w:left="1134" w:right="1133"/>
        <w:jc w:val="both"/>
        <w:rPr>
          <w:bCs/>
          <w:lang w:val="fr-FR"/>
        </w:rPr>
      </w:pPr>
      <w:r w:rsidRPr="006835D9">
        <w:rPr>
          <w:bCs/>
          <w:iCs/>
          <w:lang w:val="fr-FR"/>
        </w:rPr>
        <w:t>“</w:t>
      </w:r>
      <w:r w:rsidRPr="006835D9">
        <w:rPr>
          <w:bCs/>
          <w:i/>
          <w:lang w:val="fr-FR"/>
        </w:rPr>
        <w:t>EN</w:t>
      </w:r>
      <w:r w:rsidRPr="006835D9">
        <w:rPr>
          <w:bCs/>
          <w:iCs/>
          <w:lang w:val="fr-FR"/>
        </w:rPr>
        <w:t>”</w:t>
      </w:r>
      <w:r w:rsidRPr="006835D9">
        <w:rPr>
          <w:bCs/>
          <w:lang w:val="fr-FR"/>
        </w:rPr>
        <w:t xml:space="preserve"> (norme), une norme européenne publiée par le Comité européen de normalisation (CEN) (CEN, Avenue Marnix 17, B-1000 Bruxelles, Belgique), </w:t>
      </w:r>
      <w:hyperlink r:id="rId17" w:history="1">
        <w:r w:rsidRPr="006835D9">
          <w:rPr>
            <w:rStyle w:val="Hyperlink"/>
            <w:bCs/>
            <w:lang w:val="fr-FR"/>
          </w:rPr>
          <w:t>www</w:t>
        </w:r>
        <w:r w:rsidR="00FC1209" w:rsidRPr="00FC1209">
          <w:rPr>
            <w:rStyle w:val="Hyperlink"/>
            <w:bCs/>
            <w:lang w:val="fr-FR"/>
          </w:rPr>
          <w:t>.</w:t>
        </w:r>
        <w:r w:rsidRPr="006835D9">
          <w:rPr>
            <w:rStyle w:val="Hyperlink"/>
            <w:bCs/>
            <w:lang w:val="fr-FR"/>
          </w:rPr>
          <w:t>cen</w:t>
        </w:r>
        <w:r w:rsidR="00FC1209" w:rsidRPr="00FC1209">
          <w:rPr>
            <w:rStyle w:val="Hyperlink"/>
            <w:bCs/>
            <w:lang w:val="fr-FR"/>
          </w:rPr>
          <w:t>.</w:t>
        </w:r>
        <w:r w:rsidRPr="006835D9">
          <w:rPr>
            <w:rStyle w:val="Hyperlink"/>
            <w:bCs/>
            <w:lang w:val="fr-FR"/>
          </w:rPr>
          <w:t>eu</w:t>
        </w:r>
      </w:hyperlink>
      <w:r w:rsidRPr="006835D9">
        <w:rPr>
          <w:bCs/>
          <w:lang w:val="fr-FR"/>
        </w:rPr>
        <w:t> ;</w:t>
      </w:r>
    </w:p>
    <w:p w14:paraId="7ECAACA5" w14:textId="77777777" w:rsidR="00520996" w:rsidRPr="006835D9" w:rsidRDefault="00520996" w:rsidP="00520996">
      <w:pPr>
        <w:pStyle w:val="H23G"/>
        <w:ind w:right="282"/>
        <w:rPr>
          <w:lang w:val="fr-FR"/>
        </w:rPr>
      </w:pPr>
      <w:r w:rsidRPr="006835D9">
        <w:rPr>
          <w:b w:val="0"/>
          <w:bCs/>
          <w:lang w:val="fr-FR"/>
        </w:rPr>
        <w:tab/>
      </w:r>
      <w:r w:rsidRPr="006835D9">
        <w:rPr>
          <w:b w:val="0"/>
          <w:bCs/>
          <w:lang w:val="fr-FR"/>
        </w:rPr>
        <w:tab/>
      </w:r>
      <w:r w:rsidRPr="006835D9">
        <w:rPr>
          <w:lang w:val="fr-FR"/>
        </w:rPr>
        <w:t>G</w:t>
      </w:r>
    </w:p>
    <w:p w14:paraId="404E280F" w14:textId="29A662B0" w:rsidR="00520996" w:rsidRPr="006835D9" w:rsidRDefault="00520996" w:rsidP="00520996">
      <w:pPr>
        <w:spacing w:before="120" w:after="120"/>
        <w:ind w:left="1134" w:right="282"/>
        <w:rPr>
          <w:bCs/>
          <w:lang w:val="fr-FR"/>
        </w:rPr>
      </w:pPr>
      <w:r w:rsidRPr="006835D9">
        <w:rPr>
          <w:bCs/>
          <w:lang w:val="fr-FR"/>
        </w:rPr>
        <w:t>“</w:t>
      </w:r>
      <w:r w:rsidRPr="006835D9">
        <w:rPr>
          <w:bCs/>
          <w:i/>
          <w:iCs/>
          <w:lang w:val="fr-FR"/>
        </w:rPr>
        <w:t>GNC</w:t>
      </w:r>
      <w:r w:rsidRPr="006835D9">
        <w:rPr>
          <w:bCs/>
          <w:lang w:val="fr-FR"/>
        </w:rPr>
        <w:t>”, “Gaz naturel comprimé” (voir 1</w:t>
      </w:r>
      <w:r w:rsidR="00FC1209" w:rsidRPr="00FC1209">
        <w:rPr>
          <w:bCs/>
          <w:lang w:val="fr-FR"/>
        </w:rPr>
        <w:t>.</w:t>
      </w:r>
      <w:r w:rsidRPr="006835D9">
        <w:rPr>
          <w:bCs/>
          <w:lang w:val="fr-FR"/>
        </w:rPr>
        <w:t>2</w:t>
      </w:r>
      <w:r w:rsidR="00FC1209" w:rsidRPr="00FC1209">
        <w:rPr>
          <w:bCs/>
          <w:lang w:val="fr-FR"/>
        </w:rPr>
        <w:t>.</w:t>
      </w:r>
      <w:r w:rsidRPr="006835D9">
        <w:rPr>
          <w:bCs/>
          <w:lang w:val="fr-FR"/>
        </w:rPr>
        <w:t>1) ;</w:t>
      </w:r>
    </w:p>
    <w:p w14:paraId="11639381" w14:textId="6AB04BAF" w:rsidR="00520996" w:rsidRPr="006835D9" w:rsidRDefault="00520996" w:rsidP="00520996">
      <w:pPr>
        <w:spacing w:before="120" w:after="120"/>
        <w:ind w:left="1134" w:right="282"/>
        <w:rPr>
          <w:bCs/>
          <w:lang w:val="fr-FR"/>
        </w:rPr>
      </w:pPr>
      <w:r w:rsidRPr="006835D9">
        <w:rPr>
          <w:bCs/>
          <w:iCs/>
          <w:lang w:val="fr-FR"/>
        </w:rPr>
        <w:t>“</w:t>
      </w:r>
      <w:r w:rsidRPr="006835D9">
        <w:rPr>
          <w:bCs/>
          <w:i/>
          <w:lang w:val="fr-FR"/>
        </w:rPr>
        <w:t>GNL</w:t>
      </w:r>
      <w:r w:rsidRPr="006835D9">
        <w:rPr>
          <w:bCs/>
          <w:iCs/>
          <w:lang w:val="fr-FR"/>
        </w:rPr>
        <w:t>”,</w:t>
      </w:r>
      <w:r w:rsidRPr="006835D9">
        <w:rPr>
          <w:bCs/>
          <w:i/>
          <w:lang w:val="fr-FR"/>
        </w:rPr>
        <w:t xml:space="preserve"> </w:t>
      </w:r>
      <w:r w:rsidRPr="006835D9">
        <w:rPr>
          <w:bCs/>
          <w:lang w:val="fr-FR"/>
        </w:rPr>
        <w:t>“Gaz naturel liquéfié” (voir 1</w:t>
      </w:r>
      <w:r w:rsidR="00FC1209" w:rsidRPr="00FC1209">
        <w:rPr>
          <w:bCs/>
          <w:lang w:val="fr-FR"/>
        </w:rPr>
        <w:t>.</w:t>
      </w:r>
      <w:r w:rsidRPr="006835D9">
        <w:rPr>
          <w:bCs/>
          <w:lang w:val="fr-FR"/>
        </w:rPr>
        <w:t>2</w:t>
      </w:r>
      <w:r w:rsidR="00FC1209" w:rsidRPr="00FC1209">
        <w:rPr>
          <w:bCs/>
          <w:lang w:val="fr-FR"/>
        </w:rPr>
        <w:t>.</w:t>
      </w:r>
      <w:r w:rsidRPr="006835D9">
        <w:rPr>
          <w:bCs/>
          <w:lang w:val="fr-FR"/>
        </w:rPr>
        <w:t>1) ;</w:t>
      </w:r>
    </w:p>
    <w:p w14:paraId="341E7D5A" w14:textId="48B4BF36" w:rsidR="00520996" w:rsidRPr="006835D9" w:rsidRDefault="00520996" w:rsidP="00520996">
      <w:pPr>
        <w:spacing w:before="120" w:after="120"/>
        <w:ind w:left="1134" w:right="282"/>
        <w:rPr>
          <w:bCs/>
          <w:lang w:val="fr-FR"/>
        </w:rPr>
      </w:pPr>
      <w:r w:rsidRPr="006835D9">
        <w:rPr>
          <w:bCs/>
          <w:iCs/>
          <w:lang w:val="fr-FR"/>
        </w:rPr>
        <w:t>“</w:t>
      </w:r>
      <w:r w:rsidRPr="006835D9">
        <w:rPr>
          <w:bCs/>
          <w:i/>
          <w:lang w:val="fr-FR"/>
        </w:rPr>
        <w:t>GPL</w:t>
      </w:r>
      <w:r w:rsidRPr="006835D9">
        <w:rPr>
          <w:bCs/>
          <w:iCs/>
          <w:lang w:val="fr-FR"/>
        </w:rPr>
        <w:t>”,</w:t>
      </w:r>
      <w:r w:rsidRPr="006835D9">
        <w:rPr>
          <w:bCs/>
          <w:i/>
          <w:lang w:val="fr-FR"/>
        </w:rPr>
        <w:t xml:space="preserve"> </w:t>
      </w:r>
      <w:r w:rsidRPr="006835D9">
        <w:rPr>
          <w:bCs/>
          <w:lang w:val="fr-FR"/>
        </w:rPr>
        <w:t>“Gaz de pétrole liquéfié” (voir 1</w:t>
      </w:r>
      <w:r w:rsidR="00FC1209" w:rsidRPr="00FC1209">
        <w:rPr>
          <w:bCs/>
          <w:lang w:val="fr-FR"/>
        </w:rPr>
        <w:t>.</w:t>
      </w:r>
      <w:r w:rsidRPr="006835D9">
        <w:rPr>
          <w:bCs/>
          <w:lang w:val="fr-FR"/>
        </w:rPr>
        <w:t>2</w:t>
      </w:r>
      <w:r w:rsidR="00FC1209" w:rsidRPr="00FC1209">
        <w:rPr>
          <w:bCs/>
          <w:lang w:val="fr-FR"/>
        </w:rPr>
        <w:t>.</w:t>
      </w:r>
      <w:r w:rsidRPr="006835D9">
        <w:rPr>
          <w:bCs/>
          <w:lang w:val="fr-FR"/>
        </w:rPr>
        <w:t>1) ;</w:t>
      </w:r>
    </w:p>
    <w:p w14:paraId="10BBB619" w14:textId="6A3A5E1B" w:rsidR="00520996" w:rsidRPr="006835D9" w:rsidRDefault="00520996" w:rsidP="00520996">
      <w:pPr>
        <w:spacing w:before="120" w:after="120"/>
        <w:ind w:left="1134" w:right="282"/>
        <w:jc w:val="both"/>
        <w:rPr>
          <w:bCs/>
          <w:iCs/>
          <w:lang w:val="fr-FR"/>
        </w:rPr>
      </w:pPr>
      <w:r w:rsidRPr="006835D9">
        <w:rPr>
          <w:bCs/>
          <w:lang w:val="fr-FR"/>
        </w:rPr>
        <w:t>“</w:t>
      </w:r>
      <w:r w:rsidRPr="006835D9">
        <w:rPr>
          <w:bCs/>
          <w:i/>
          <w:iCs/>
          <w:lang w:val="fr-FR"/>
        </w:rPr>
        <w:t>GRV</w:t>
      </w:r>
      <w:r w:rsidRPr="006835D9">
        <w:rPr>
          <w:bCs/>
          <w:lang w:val="fr-FR"/>
        </w:rPr>
        <w:t>”,</w:t>
      </w:r>
      <w:r w:rsidRPr="006835D9">
        <w:rPr>
          <w:bCs/>
          <w:iCs/>
          <w:lang w:val="fr-FR"/>
        </w:rPr>
        <w:t xml:space="preserve"> “Grand emballage pour vrac”</w:t>
      </w:r>
      <w:r w:rsidRPr="006835D9">
        <w:rPr>
          <w:bCs/>
          <w:lang w:val="fr-FR"/>
        </w:rPr>
        <w:t xml:space="preserve"> (voir 1</w:t>
      </w:r>
      <w:r w:rsidR="00FC1209" w:rsidRPr="00FC1209">
        <w:rPr>
          <w:bCs/>
          <w:lang w:val="fr-FR"/>
        </w:rPr>
        <w:t>.</w:t>
      </w:r>
      <w:r w:rsidRPr="006835D9">
        <w:rPr>
          <w:bCs/>
          <w:lang w:val="fr-FR"/>
        </w:rPr>
        <w:t>2</w:t>
      </w:r>
      <w:r w:rsidR="00FC1209" w:rsidRPr="00FC1209">
        <w:rPr>
          <w:bCs/>
          <w:lang w:val="fr-FR"/>
        </w:rPr>
        <w:t>.</w:t>
      </w:r>
      <w:r w:rsidRPr="006835D9">
        <w:rPr>
          <w:bCs/>
          <w:lang w:val="fr-FR"/>
        </w:rPr>
        <w:t>1)</w:t>
      </w:r>
      <w:r w:rsidRPr="006835D9">
        <w:rPr>
          <w:bCs/>
          <w:iCs/>
          <w:lang w:val="fr-FR"/>
        </w:rPr>
        <w:t> ;</w:t>
      </w:r>
    </w:p>
    <w:p w14:paraId="0C458CBD" w14:textId="77777777" w:rsidR="00520996" w:rsidRPr="006835D9" w:rsidRDefault="00520996" w:rsidP="00520996">
      <w:pPr>
        <w:pStyle w:val="H23G"/>
        <w:ind w:right="282"/>
        <w:rPr>
          <w:lang w:val="fr-FR"/>
        </w:rPr>
      </w:pPr>
      <w:r w:rsidRPr="006835D9">
        <w:rPr>
          <w:b w:val="0"/>
          <w:bCs/>
          <w:lang w:val="fr-FR"/>
        </w:rPr>
        <w:tab/>
      </w:r>
      <w:r w:rsidRPr="006835D9">
        <w:rPr>
          <w:b w:val="0"/>
          <w:bCs/>
          <w:lang w:val="fr-FR"/>
        </w:rPr>
        <w:tab/>
      </w:r>
      <w:r w:rsidRPr="006835D9">
        <w:rPr>
          <w:lang w:val="fr-FR"/>
        </w:rPr>
        <w:t>I</w:t>
      </w:r>
    </w:p>
    <w:p w14:paraId="6334F637" w14:textId="771BAB89" w:rsidR="00520996" w:rsidRPr="006835D9" w:rsidRDefault="00520996" w:rsidP="00520996">
      <w:pPr>
        <w:spacing w:before="120" w:after="120"/>
        <w:ind w:left="1134" w:right="282"/>
        <w:rPr>
          <w:bCs/>
          <w:lang w:val="fr-FR"/>
        </w:rPr>
      </w:pPr>
      <w:r w:rsidRPr="006835D9">
        <w:rPr>
          <w:bCs/>
          <w:iCs/>
          <w:lang w:val="fr-FR"/>
        </w:rPr>
        <w:t>“</w:t>
      </w:r>
      <w:r w:rsidRPr="006835D9">
        <w:rPr>
          <w:bCs/>
          <w:i/>
          <w:lang w:val="fr-FR"/>
        </w:rPr>
        <w:t>IMDG</w:t>
      </w:r>
      <w:r w:rsidRPr="006835D9">
        <w:rPr>
          <w:bCs/>
          <w:iCs/>
          <w:lang w:val="fr-FR"/>
        </w:rPr>
        <w:t>”,</w:t>
      </w:r>
      <w:r w:rsidRPr="006835D9">
        <w:rPr>
          <w:bCs/>
          <w:i/>
          <w:lang w:val="fr-FR"/>
        </w:rPr>
        <w:t xml:space="preserve"> </w:t>
      </w:r>
      <w:r w:rsidRPr="006835D9">
        <w:rPr>
          <w:bCs/>
          <w:lang w:val="fr-FR"/>
        </w:rPr>
        <w:t>“Code IMDG” (voir 1</w:t>
      </w:r>
      <w:r w:rsidR="00FC1209" w:rsidRPr="00FC1209">
        <w:rPr>
          <w:bCs/>
          <w:lang w:val="fr-FR"/>
        </w:rPr>
        <w:t>.</w:t>
      </w:r>
      <w:r w:rsidRPr="006835D9">
        <w:rPr>
          <w:bCs/>
          <w:lang w:val="fr-FR"/>
        </w:rPr>
        <w:t>2</w:t>
      </w:r>
      <w:r w:rsidR="00FC1209" w:rsidRPr="00FC1209">
        <w:rPr>
          <w:bCs/>
          <w:lang w:val="fr-FR"/>
        </w:rPr>
        <w:t>.</w:t>
      </w:r>
      <w:r w:rsidRPr="006835D9">
        <w:rPr>
          <w:bCs/>
          <w:lang w:val="fr-FR"/>
        </w:rPr>
        <w:t>1) ;</w:t>
      </w:r>
    </w:p>
    <w:p w14:paraId="01D687BB" w14:textId="4338746E" w:rsidR="00520996" w:rsidRPr="006835D9" w:rsidRDefault="00520996" w:rsidP="00520996">
      <w:pPr>
        <w:spacing w:before="120" w:after="120"/>
        <w:ind w:left="1134" w:right="1133"/>
        <w:jc w:val="both"/>
        <w:rPr>
          <w:bCs/>
          <w:spacing w:val="-2"/>
          <w:lang w:val="fr-FR"/>
        </w:rPr>
      </w:pPr>
      <w:r w:rsidRPr="006835D9">
        <w:rPr>
          <w:bCs/>
          <w:iCs/>
          <w:spacing w:val="-2"/>
          <w:lang w:val="fr-FR"/>
        </w:rPr>
        <w:t>“</w:t>
      </w:r>
      <w:r w:rsidRPr="006835D9">
        <w:rPr>
          <w:bCs/>
          <w:i/>
          <w:spacing w:val="-2"/>
          <w:lang w:val="fr-FR"/>
        </w:rPr>
        <w:t>ISO</w:t>
      </w:r>
      <w:r w:rsidRPr="006835D9">
        <w:rPr>
          <w:bCs/>
          <w:iCs/>
          <w:spacing w:val="-2"/>
          <w:lang w:val="fr-FR"/>
        </w:rPr>
        <w:t>”</w:t>
      </w:r>
      <w:r w:rsidRPr="006835D9">
        <w:rPr>
          <w:bCs/>
          <w:spacing w:val="-2"/>
          <w:lang w:val="fr-FR"/>
        </w:rPr>
        <w:t xml:space="preserve"> (norme), une norme internationale publiée par l</w:t>
      </w:r>
      <w:r w:rsidR="00F70B88">
        <w:rPr>
          <w:bCs/>
          <w:spacing w:val="-2"/>
          <w:lang w:val="fr-FR"/>
        </w:rPr>
        <w:t>’</w:t>
      </w:r>
      <w:r w:rsidRPr="006835D9">
        <w:rPr>
          <w:bCs/>
          <w:spacing w:val="-2"/>
          <w:lang w:val="fr-FR"/>
        </w:rPr>
        <w:t>Organisation internationale de normalisation (ISO), (ISO − 1, rue de Varembé</w:t>
      </w:r>
      <w:r w:rsidR="00FC1209" w:rsidRPr="00FC1209">
        <w:rPr>
          <w:bCs/>
          <w:spacing w:val="-2"/>
          <w:lang w:val="fr-FR"/>
        </w:rPr>
        <w:t>.</w:t>
      </w:r>
      <w:r w:rsidRPr="006835D9">
        <w:rPr>
          <w:bCs/>
          <w:spacing w:val="-2"/>
          <w:lang w:val="fr-FR"/>
        </w:rPr>
        <w:t xml:space="preserve"> CH-1204 Genève 20, Suisse), </w:t>
      </w:r>
      <w:hyperlink r:id="rId18" w:history="1">
        <w:r w:rsidRPr="006835D9">
          <w:rPr>
            <w:rStyle w:val="Hyperlink"/>
            <w:bCs/>
            <w:spacing w:val="-2"/>
            <w:lang w:val="fr-FR"/>
          </w:rPr>
          <w:t>www</w:t>
        </w:r>
        <w:r w:rsidR="00FC1209" w:rsidRPr="00FC1209">
          <w:rPr>
            <w:rStyle w:val="Hyperlink"/>
            <w:bCs/>
            <w:spacing w:val="-2"/>
            <w:lang w:val="fr-FR"/>
          </w:rPr>
          <w:t>.</w:t>
        </w:r>
        <w:r w:rsidRPr="006835D9">
          <w:rPr>
            <w:rStyle w:val="Hyperlink"/>
            <w:bCs/>
            <w:spacing w:val="-2"/>
            <w:lang w:val="fr-FR"/>
          </w:rPr>
          <w:t>iso</w:t>
        </w:r>
        <w:r w:rsidR="00FC1209" w:rsidRPr="00FC1209">
          <w:rPr>
            <w:rStyle w:val="Hyperlink"/>
            <w:bCs/>
            <w:spacing w:val="-2"/>
            <w:lang w:val="fr-FR"/>
          </w:rPr>
          <w:t>.</w:t>
        </w:r>
        <w:r w:rsidRPr="006835D9">
          <w:rPr>
            <w:rStyle w:val="Hyperlink"/>
            <w:bCs/>
            <w:spacing w:val="-2"/>
            <w:lang w:val="fr-FR"/>
          </w:rPr>
          <w:t>org</w:t>
        </w:r>
      </w:hyperlink>
      <w:r w:rsidRPr="006835D9">
        <w:rPr>
          <w:bCs/>
          <w:spacing w:val="-2"/>
          <w:lang w:val="fr-FR"/>
        </w:rPr>
        <w:t> ;</w:t>
      </w:r>
    </w:p>
    <w:p w14:paraId="1E21CC0E" w14:textId="77777777" w:rsidR="00520996" w:rsidRPr="006835D9" w:rsidRDefault="00520996" w:rsidP="00520996">
      <w:pPr>
        <w:pStyle w:val="H23G"/>
        <w:ind w:right="282"/>
        <w:rPr>
          <w:lang w:val="fr-FR"/>
        </w:rPr>
      </w:pPr>
      <w:r w:rsidRPr="006835D9">
        <w:rPr>
          <w:b w:val="0"/>
          <w:bCs/>
          <w:lang w:val="fr-FR"/>
        </w:rPr>
        <w:tab/>
      </w:r>
      <w:r w:rsidRPr="006835D9">
        <w:rPr>
          <w:b w:val="0"/>
          <w:bCs/>
          <w:lang w:val="fr-FR"/>
        </w:rPr>
        <w:tab/>
      </w:r>
      <w:r w:rsidRPr="006835D9">
        <w:rPr>
          <w:lang w:val="fr-FR"/>
        </w:rPr>
        <w:t>L</w:t>
      </w:r>
    </w:p>
    <w:p w14:paraId="119DF4A1" w14:textId="07441034" w:rsidR="00520996" w:rsidRPr="006835D9" w:rsidRDefault="00520996" w:rsidP="00520996">
      <w:pPr>
        <w:pStyle w:val="SingleTxtG"/>
        <w:ind w:right="1133"/>
        <w:rPr>
          <w:bCs/>
          <w:lang w:val="fr-FR"/>
        </w:rPr>
      </w:pPr>
      <w:r w:rsidRPr="006835D9">
        <w:rPr>
          <w:bCs/>
          <w:iCs/>
          <w:lang w:val="fr-FR"/>
        </w:rPr>
        <w:t>“</w:t>
      </w:r>
      <w:r w:rsidRPr="006835D9">
        <w:rPr>
          <w:bCs/>
          <w:i/>
          <w:lang w:val="fr-FR"/>
        </w:rPr>
        <w:t>LSA</w:t>
      </w:r>
      <w:r w:rsidRPr="006835D9">
        <w:rPr>
          <w:bCs/>
          <w:iCs/>
          <w:lang w:val="fr-FR"/>
        </w:rPr>
        <w:t>”*</w:t>
      </w:r>
      <w:r w:rsidRPr="006835D9">
        <w:rPr>
          <w:bCs/>
          <w:i/>
          <w:lang w:val="fr-FR"/>
        </w:rPr>
        <w:t xml:space="preserve"> (matière)</w:t>
      </w:r>
      <w:r w:rsidRPr="006835D9">
        <w:rPr>
          <w:bCs/>
          <w:lang w:val="fr-FR"/>
        </w:rPr>
        <w:t>, matière de faible activité spécifique (voir 2</w:t>
      </w:r>
      <w:r w:rsidR="00FC1209" w:rsidRPr="00FC1209">
        <w:rPr>
          <w:bCs/>
          <w:lang w:val="fr-FR"/>
        </w:rPr>
        <w:t>.</w:t>
      </w:r>
      <w:r w:rsidRPr="006835D9">
        <w:rPr>
          <w:bCs/>
          <w:lang w:val="fr-FR"/>
        </w:rPr>
        <w:t>2</w:t>
      </w:r>
      <w:r w:rsidR="00FC1209" w:rsidRPr="00FC1209">
        <w:rPr>
          <w:bCs/>
          <w:lang w:val="fr-FR"/>
        </w:rPr>
        <w:t>.</w:t>
      </w:r>
      <w:r w:rsidRPr="006835D9">
        <w:rPr>
          <w:bCs/>
          <w:lang w:val="fr-FR"/>
        </w:rPr>
        <w:t>7</w:t>
      </w:r>
      <w:r w:rsidR="00FC1209" w:rsidRPr="00FC1209">
        <w:rPr>
          <w:bCs/>
          <w:lang w:val="fr-FR"/>
        </w:rPr>
        <w:t>.</w:t>
      </w:r>
      <w:r w:rsidRPr="006835D9">
        <w:rPr>
          <w:bCs/>
          <w:lang w:val="fr-FR"/>
        </w:rPr>
        <w:t>1</w:t>
      </w:r>
      <w:r w:rsidR="00FC1209" w:rsidRPr="00FC1209">
        <w:rPr>
          <w:bCs/>
          <w:lang w:val="fr-FR"/>
        </w:rPr>
        <w:t>.</w:t>
      </w:r>
      <w:r w:rsidRPr="006835D9">
        <w:rPr>
          <w:bCs/>
          <w:lang w:val="fr-FR"/>
        </w:rPr>
        <w:t>3) ;</w:t>
      </w:r>
    </w:p>
    <w:p w14:paraId="73BE902A" w14:textId="77777777" w:rsidR="00520996" w:rsidRPr="006835D9" w:rsidRDefault="00520996" w:rsidP="00520996">
      <w:pPr>
        <w:spacing w:before="120" w:after="120"/>
        <w:ind w:left="1134" w:right="1133"/>
        <w:jc w:val="both"/>
        <w:rPr>
          <w:bCs/>
          <w:iCs/>
          <w:lang w:val="fr-FR"/>
        </w:rPr>
      </w:pPr>
      <w:r w:rsidRPr="006835D9">
        <w:rPr>
          <w:bCs/>
          <w:u w:val="single"/>
          <w:lang w:val="fr-FR"/>
        </w:rPr>
        <w:tab/>
        <w:t>________</w:t>
      </w:r>
    </w:p>
    <w:p w14:paraId="70AD86A1" w14:textId="5F05CEE4" w:rsidR="00520996" w:rsidRDefault="00520996" w:rsidP="00F70B88">
      <w:pPr>
        <w:spacing w:before="120" w:after="120"/>
        <w:ind w:left="1134" w:right="1133" w:firstLine="567"/>
        <w:jc w:val="both"/>
        <w:rPr>
          <w:bCs/>
          <w:iCs/>
          <w:lang w:val="fr-FR"/>
        </w:rPr>
      </w:pPr>
      <w:r w:rsidRPr="006835D9">
        <w:rPr>
          <w:bCs/>
          <w:iCs/>
          <w:lang w:val="fr-FR"/>
        </w:rPr>
        <w:t>*</w:t>
      </w:r>
      <w:r w:rsidRPr="006835D9">
        <w:rPr>
          <w:bCs/>
          <w:iCs/>
          <w:lang w:val="fr-FR"/>
        </w:rPr>
        <w:tab/>
        <w:t>L</w:t>
      </w:r>
      <w:r w:rsidR="00F70B88">
        <w:rPr>
          <w:bCs/>
          <w:iCs/>
          <w:lang w:val="fr-FR"/>
        </w:rPr>
        <w:t>’</w:t>
      </w:r>
      <w:r w:rsidRPr="006835D9">
        <w:rPr>
          <w:bCs/>
          <w:iCs/>
          <w:lang w:val="fr-FR"/>
        </w:rPr>
        <w:t>acronyme « LSA » correspond au terme anglais « Low Specific Activity »</w:t>
      </w:r>
      <w:r w:rsidR="00FC1209" w:rsidRPr="00FC1209">
        <w:rPr>
          <w:bCs/>
          <w:iCs/>
          <w:lang w:val="fr-FR"/>
        </w:rPr>
        <w:t>.</w:t>
      </w:r>
      <w:r>
        <w:rPr>
          <w:bCs/>
          <w:iCs/>
          <w:lang w:val="fr-FR"/>
        </w:rPr>
        <w:t xml:space="preserve"> </w:t>
      </w:r>
    </w:p>
    <w:p w14:paraId="2EB1A64C" w14:textId="77777777" w:rsidR="00520996" w:rsidRPr="006835D9" w:rsidRDefault="00520996" w:rsidP="00520996">
      <w:pPr>
        <w:pStyle w:val="H23G"/>
        <w:ind w:right="282"/>
        <w:rPr>
          <w:lang w:val="fr-FR"/>
        </w:rPr>
      </w:pPr>
      <w:r w:rsidRPr="006835D9">
        <w:rPr>
          <w:b w:val="0"/>
          <w:bCs/>
          <w:lang w:val="fr-FR"/>
        </w:rPr>
        <w:tab/>
      </w:r>
      <w:r w:rsidRPr="006835D9">
        <w:rPr>
          <w:b w:val="0"/>
          <w:bCs/>
          <w:lang w:val="fr-FR"/>
        </w:rPr>
        <w:tab/>
      </w:r>
      <w:r w:rsidRPr="006835D9">
        <w:rPr>
          <w:lang w:val="fr-FR"/>
        </w:rPr>
        <w:t>M</w:t>
      </w:r>
    </w:p>
    <w:p w14:paraId="70458D8B" w14:textId="77777777" w:rsidR="00520996" w:rsidRPr="006835D9" w:rsidRDefault="00520996" w:rsidP="00520996">
      <w:pPr>
        <w:keepNext/>
        <w:spacing w:before="120" w:after="120"/>
        <w:ind w:left="1134" w:right="1133"/>
        <w:rPr>
          <w:bCs/>
          <w:iCs/>
          <w:lang w:val="fr-FR"/>
        </w:rPr>
      </w:pPr>
      <w:r w:rsidRPr="006835D9">
        <w:rPr>
          <w:bCs/>
          <w:iCs/>
          <w:lang w:val="fr-FR"/>
        </w:rPr>
        <w:t>(ADR :)</w:t>
      </w:r>
    </w:p>
    <w:p w14:paraId="375408D4" w14:textId="3BF10A61" w:rsidR="00520996" w:rsidRPr="006835D9" w:rsidRDefault="00520996" w:rsidP="00520996">
      <w:pPr>
        <w:spacing w:before="120" w:after="120"/>
        <w:ind w:left="1134" w:right="1133"/>
        <w:rPr>
          <w:bCs/>
          <w:lang w:val="fr-FR"/>
        </w:rPr>
      </w:pPr>
      <w:r w:rsidRPr="006835D9">
        <w:rPr>
          <w:bCs/>
          <w:iCs/>
          <w:lang w:val="fr-FR"/>
        </w:rPr>
        <w:t>“</w:t>
      </w:r>
      <w:bookmarkStart w:id="6" w:name="_Hlk55897905"/>
      <w:r w:rsidRPr="006835D9">
        <w:rPr>
          <w:bCs/>
          <w:i/>
          <w:lang w:val="fr-FR"/>
        </w:rPr>
        <w:t>MEMU</w:t>
      </w:r>
      <w:bookmarkEnd w:id="6"/>
      <w:r w:rsidRPr="006835D9">
        <w:rPr>
          <w:bCs/>
          <w:iCs/>
          <w:lang w:val="fr-FR"/>
        </w:rPr>
        <w:t>”*,</w:t>
      </w:r>
      <w:r w:rsidRPr="006835D9">
        <w:rPr>
          <w:bCs/>
          <w:lang w:val="fr-FR"/>
        </w:rPr>
        <w:t xml:space="preserve"> “Unité mobile de fabrication d</w:t>
      </w:r>
      <w:r w:rsidR="00F70B88">
        <w:rPr>
          <w:bCs/>
          <w:lang w:val="fr-FR"/>
        </w:rPr>
        <w:t>’</w:t>
      </w:r>
      <w:r w:rsidRPr="006835D9">
        <w:rPr>
          <w:bCs/>
          <w:lang w:val="fr-FR"/>
        </w:rPr>
        <w:t>explosifs” (voir 1</w:t>
      </w:r>
      <w:r w:rsidR="00FC1209" w:rsidRPr="00FC1209">
        <w:rPr>
          <w:bCs/>
          <w:lang w:val="fr-FR"/>
        </w:rPr>
        <w:t>.</w:t>
      </w:r>
      <w:r w:rsidRPr="006835D9">
        <w:rPr>
          <w:bCs/>
          <w:lang w:val="fr-FR"/>
        </w:rPr>
        <w:t>2</w:t>
      </w:r>
      <w:r w:rsidR="00FC1209" w:rsidRPr="00FC1209">
        <w:rPr>
          <w:bCs/>
          <w:lang w:val="fr-FR"/>
        </w:rPr>
        <w:t>.</w:t>
      </w:r>
      <w:r w:rsidRPr="006835D9">
        <w:rPr>
          <w:bCs/>
          <w:lang w:val="fr-FR"/>
        </w:rPr>
        <w:t>1) ;</w:t>
      </w:r>
    </w:p>
    <w:p w14:paraId="2DE38642" w14:textId="77777777" w:rsidR="00520996" w:rsidRPr="006835D9" w:rsidRDefault="00520996" w:rsidP="00520996">
      <w:pPr>
        <w:spacing w:before="120" w:after="120"/>
        <w:ind w:left="1134" w:right="1133"/>
        <w:jc w:val="both"/>
        <w:rPr>
          <w:bCs/>
          <w:iCs/>
          <w:lang w:val="fr-FR"/>
        </w:rPr>
      </w:pPr>
      <w:r w:rsidRPr="006835D9">
        <w:rPr>
          <w:bCs/>
          <w:u w:val="single"/>
          <w:lang w:val="fr-FR"/>
        </w:rPr>
        <w:tab/>
        <w:t>________</w:t>
      </w:r>
    </w:p>
    <w:p w14:paraId="0CA25245" w14:textId="7DDC3301" w:rsidR="00520996" w:rsidRPr="00790457" w:rsidRDefault="00520996" w:rsidP="00520996">
      <w:pPr>
        <w:spacing w:before="120" w:after="120"/>
        <w:ind w:left="1134" w:right="1133" w:firstLine="567"/>
        <w:jc w:val="both"/>
        <w:rPr>
          <w:b/>
          <w:bCs/>
          <w:iCs/>
          <w:lang w:val="fr-FR"/>
        </w:rPr>
      </w:pPr>
      <w:r w:rsidRPr="006835D9">
        <w:rPr>
          <w:bCs/>
          <w:iCs/>
          <w:lang w:val="fr-FR"/>
        </w:rPr>
        <w:t>*</w:t>
      </w:r>
      <w:r w:rsidRPr="006835D9">
        <w:rPr>
          <w:bCs/>
          <w:iCs/>
          <w:lang w:val="fr-FR"/>
        </w:rPr>
        <w:tab/>
        <w:t>L</w:t>
      </w:r>
      <w:r w:rsidR="00F70B88">
        <w:rPr>
          <w:bCs/>
          <w:iCs/>
          <w:lang w:val="fr-FR"/>
        </w:rPr>
        <w:t>’</w:t>
      </w:r>
      <w:r w:rsidRPr="006835D9">
        <w:rPr>
          <w:bCs/>
          <w:iCs/>
          <w:lang w:val="fr-FR"/>
        </w:rPr>
        <w:t>acronyme « MEMU » correspond au terme anglais « Mobile Explosives Manufacturing Unit »</w:t>
      </w:r>
      <w:r w:rsidR="00FC1209" w:rsidRPr="00FC1209">
        <w:rPr>
          <w:bCs/>
          <w:iCs/>
          <w:lang w:val="fr-FR"/>
        </w:rPr>
        <w:t>.</w:t>
      </w:r>
      <w:r>
        <w:rPr>
          <w:bCs/>
          <w:iCs/>
          <w:lang w:val="fr-FR"/>
        </w:rPr>
        <w:t xml:space="preserve"> </w:t>
      </w:r>
    </w:p>
    <w:p w14:paraId="4D187441" w14:textId="77777777" w:rsidR="00520996" w:rsidRPr="006835D9" w:rsidRDefault="00520996" w:rsidP="00520996">
      <w:pPr>
        <w:pStyle w:val="H23G"/>
        <w:ind w:right="282"/>
        <w:rPr>
          <w:lang w:val="fr-FR"/>
        </w:rPr>
      </w:pPr>
      <w:r w:rsidRPr="006835D9">
        <w:rPr>
          <w:b w:val="0"/>
          <w:bCs/>
          <w:lang w:val="fr-FR"/>
        </w:rPr>
        <w:tab/>
      </w:r>
      <w:r w:rsidRPr="006835D9">
        <w:rPr>
          <w:b w:val="0"/>
          <w:bCs/>
          <w:lang w:val="fr-FR"/>
        </w:rPr>
        <w:tab/>
      </w:r>
      <w:r w:rsidRPr="006835D9">
        <w:rPr>
          <w:lang w:val="fr-FR"/>
        </w:rPr>
        <w:t>N</w:t>
      </w:r>
    </w:p>
    <w:p w14:paraId="3E30C98A" w14:textId="718ACFF8" w:rsidR="00520996" w:rsidRPr="006835D9" w:rsidRDefault="00520996" w:rsidP="00520996">
      <w:pPr>
        <w:spacing w:before="120" w:after="120"/>
        <w:ind w:left="1134" w:right="1133"/>
        <w:rPr>
          <w:bCs/>
          <w:lang w:val="fr-FR"/>
        </w:rPr>
      </w:pPr>
      <w:r w:rsidRPr="006835D9">
        <w:rPr>
          <w:bCs/>
          <w:lang w:val="fr-FR"/>
        </w:rPr>
        <w:t>“</w:t>
      </w:r>
      <w:r w:rsidRPr="006835D9">
        <w:rPr>
          <w:bCs/>
          <w:i/>
          <w:iCs/>
          <w:lang w:val="fr-FR"/>
        </w:rPr>
        <w:t>N</w:t>
      </w:r>
      <w:r w:rsidR="00FC1209" w:rsidRPr="00FC1209">
        <w:rPr>
          <w:bCs/>
          <w:i/>
          <w:iCs/>
          <w:lang w:val="fr-FR"/>
        </w:rPr>
        <w:t>.</w:t>
      </w:r>
      <w:r w:rsidRPr="006835D9">
        <w:rPr>
          <w:bCs/>
          <w:i/>
          <w:iCs/>
          <w:lang w:val="fr-FR"/>
        </w:rPr>
        <w:t>S</w:t>
      </w:r>
      <w:r w:rsidR="00FC1209" w:rsidRPr="00FC1209">
        <w:rPr>
          <w:bCs/>
          <w:i/>
          <w:iCs/>
          <w:lang w:val="fr-FR"/>
        </w:rPr>
        <w:t>.</w:t>
      </w:r>
      <w:r w:rsidRPr="006835D9">
        <w:rPr>
          <w:bCs/>
          <w:i/>
          <w:iCs/>
          <w:lang w:val="fr-FR"/>
        </w:rPr>
        <w:t>A</w:t>
      </w:r>
      <w:r w:rsidR="00FC1209" w:rsidRPr="00FC1209">
        <w:rPr>
          <w:bCs/>
          <w:i/>
          <w:iCs/>
          <w:lang w:val="fr-FR"/>
        </w:rPr>
        <w:t>.</w:t>
      </w:r>
      <w:r w:rsidRPr="006835D9">
        <w:rPr>
          <w:bCs/>
          <w:lang w:val="fr-FR"/>
        </w:rPr>
        <w:t>”, “Rubrique N</w:t>
      </w:r>
      <w:r w:rsidR="00FC1209" w:rsidRPr="00FC1209">
        <w:rPr>
          <w:bCs/>
          <w:lang w:val="fr-FR"/>
        </w:rPr>
        <w:t>.</w:t>
      </w:r>
      <w:r w:rsidRPr="006835D9">
        <w:rPr>
          <w:bCs/>
          <w:lang w:val="fr-FR"/>
        </w:rPr>
        <w:t>S</w:t>
      </w:r>
      <w:r w:rsidR="00FC1209" w:rsidRPr="00FC1209">
        <w:rPr>
          <w:bCs/>
          <w:lang w:val="fr-FR"/>
        </w:rPr>
        <w:t>.</w:t>
      </w:r>
      <w:r w:rsidRPr="006835D9">
        <w:rPr>
          <w:bCs/>
          <w:lang w:val="fr-FR"/>
        </w:rPr>
        <w:t>A</w:t>
      </w:r>
      <w:r w:rsidR="00FC1209" w:rsidRPr="00FC1209">
        <w:rPr>
          <w:bCs/>
          <w:lang w:val="fr-FR"/>
        </w:rPr>
        <w:t>.</w:t>
      </w:r>
      <w:r w:rsidRPr="006835D9">
        <w:rPr>
          <w:bCs/>
          <w:lang w:val="fr-FR"/>
        </w:rPr>
        <w:t>” (voir 1</w:t>
      </w:r>
      <w:r w:rsidR="00FC1209" w:rsidRPr="00FC1209">
        <w:rPr>
          <w:bCs/>
          <w:lang w:val="fr-FR"/>
        </w:rPr>
        <w:t>.</w:t>
      </w:r>
      <w:r w:rsidRPr="006835D9">
        <w:rPr>
          <w:bCs/>
          <w:lang w:val="fr-FR"/>
        </w:rPr>
        <w:t>2</w:t>
      </w:r>
      <w:r w:rsidR="00FC1209" w:rsidRPr="00FC1209">
        <w:rPr>
          <w:bCs/>
          <w:lang w:val="fr-FR"/>
        </w:rPr>
        <w:t>.</w:t>
      </w:r>
      <w:r w:rsidRPr="006835D9">
        <w:rPr>
          <w:bCs/>
          <w:lang w:val="fr-FR"/>
        </w:rPr>
        <w:t>1) ;</w:t>
      </w:r>
    </w:p>
    <w:p w14:paraId="70B08A7F" w14:textId="77777777" w:rsidR="00520996" w:rsidRPr="006835D9" w:rsidRDefault="00520996" w:rsidP="00520996">
      <w:pPr>
        <w:pStyle w:val="H23G"/>
        <w:ind w:right="282"/>
        <w:rPr>
          <w:lang w:val="fr-FR"/>
        </w:rPr>
      </w:pPr>
      <w:r w:rsidRPr="006835D9">
        <w:rPr>
          <w:b w:val="0"/>
          <w:bCs/>
          <w:lang w:val="fr-FR"/>
        </w:rPr>
        <w:tab/>
      </w:r>
      <w:r w:rsidRPr="006835D9">
        <w:rPr>
          <w:b w:val="0"/>
          <w:bCs/>
          <w:lang w:val="fr-FR"/>
        </w:rPr>
        <w:tab/>
      </w:r>
      <w:r w:rsidRPr="006835D9">
        <w:rPr>
          <w:lang w:val="fr-FR"/>
        </w:rPr>
        <w:t>O</w:t>
      </w:r>
    </w:p>
    <w:p w14:paraId="3FBE2266" w14:textId="718F4CAB" w:rsidR="00520996" w:rsidRPr="006835D9" w:rsidRDefault="00520996" w:rsidP="00520996">
      <w:pPr>
        <w:pStyle w:val="SingleTxtG"/>
        <w:spacing w:before="120"/>
        <w:ind w:right="1133"/>
        <w:rPr>
          <w:bCs/>
          <w:lang w:val="fr-FR"/>
        </w:rPr>
      </w:pPr>
      <w:r w:rsidRPr="006835D9">
        <w:rPr>
          <w:bCs/>
          <w:lang w:val="fr-FR"/>
        </w:rPr>
        <w:t>“</w:t>
      </w:r>
      <w:r w:rsidRPr="006835D9">
        <w:rPr>
          <w:bCs/>
          <w:i/>
          <w:iCs/>
          <w:lang w:val="fr-FR"/>
        </w:rPr>
        <w:t>OACI</w:t>
      </w:r>
      <w:r w:rsidRPr="006835D9">
        <w:rPr>
          <w:bCs/>
          <w:lang w:val="fr-FR"/>
        </w:rPr>
        <w:t>”, Organisation de l</w:t>
      </w:r>
      <w:r w:rsidR="00F70B88">
        <w:rPr>
          <w:bCs/>
          <w:lang w:val="fr-FR"/>
        </w:rPr>
        <w:t>’</w:t>
      </w:r>
      <w:r w:rsidRPr="006835D9">
        <w:rPr>
          <w:bCs/>
          <w:lang w:val="fr-FR"/>
        </w:rPr>
        <w:t xml:space="preserve">aviation civile internationale (OACI, 999 University Street, Montréal, Québec H3C 5H7, Canada), </w:t>
      </w:r>
      <w:hyperlink r:id="rId19" w:history="1">
        <w:r w:rsidRPr="006835D9">
          <w:rPr>
            <w:rStyle w:val="Hyperlink"/>
            <w:bCs/>
            <w:lang w:val="fr-FR"/>
          </w:rPr>
          <w:t>www</w:t>
        </w:r>
        <w:r w:rsidR="00FC1209" w:rsidRPr="00FC1209">
          <w:rPr>
            <w:rStyle w:val="Hyperlink"/>
            <w:bCs/>
            <w:lang w:val="fr-FR"/>
          </w:rPr>
          <w:t>.</w:t>
        </w:r>
        <w:r w:rsidRPr="006835D9">
          <w:rPr>
            <w:rStyle w:val="Hyperlink"/>
            <w:bCs/>
            <w:lang w:val="fr-FR"/>
          </w:rPr>
          <w:t>icao</w:t>
        </w:r>
        <w:r w:rsidR="00FC1209" w:rsidRPr="00FC1209">
          <w:rPr>
            <w:rStyle w:val="Hyperlink"/>
            <w:bCs/>
            <w:lang w:val="fr-FR"/>
          </w:rPr>
          <w:t>.</w:t>
        </w:r>
        <w:r w:rsidRPr="006835D9">
          <w:rPr>
            <w:rStyle w:val="Hyperlink"/>
            <w:bCs/>
            <w:lang w:val="fr-FR"/>
          </w:rPr>
          <w:t>org</w:t>
        </w:r>
      </w:hyperlink>
      <w:r w:rsidRPr="006835D9">
        <w:rPr>
          <w:bCs/>
          <w:lang w:val="fr-FR"/>
        </w:rPr>
        <w:t> ;</w:t>
      </w:r>
    </w:p>
    <w:p w14:paraId="7C3A6B0F" w14:textId="109E9793" w:rsidR="00520996" w:rsidRPr="006835D9" w:rsidRDefault="00520996" w:rsidP="00520996">
      <w:pPr>
        <w:pStyle w:val="SingleTxtG"/>
        <w:spacing w:before="120"/>
        <w:ind w:right="1133"/>
        <w:rPr>
          <w:bCs/>
          <w:lang w:val="fr-FR"/>
        </w:rPr>
      </w:pPr>
      <w:r w:rsidRPr="006835D9">
        <w:rPr>
          <w:bCs/>
          <w:lang w:val="fr-FR"/>
        </w:rPr>
        <w:t>“</w:t>
      </w:r>
      <w:r w:rsidRPr="006835D9">
        <w:rPr>
          <w:bCs/>
          <w:i/>
          <w:iCs/>
          <w:lang w:val="fr-FR"/>
        </w:rPr>
        <w:t>OMI</w:t>
      </w:r>
      <w:r w:rsidRPr="006835D9">
        <w:rPr>
          <w:bCs/>
          <w:lang w:val="fr-FR"/>
        </w:rPr>
        <w:t xml:space="preserve">”, Organisation maritime internationale (OMI, 4 Albert Embankment, Londres SE1 7SR, Royaume-Uni), </w:t>
      </w:r>
      <w:hyperlink r:id="rId20" w:history="1">
        <w:r w:rsidRPr="006835D9">
          <w:rPr>
            <w:rStyle w:val="Hyperlink"/>
            <w:bCs/>
            <w:lang w:val="fr-FR"/>
          </w:rPr>
          <w:t>www</w:t>
        </w:r>
        <w:r w:rsidR="00FC1209" w:rsidRPr="00FC1209">
          <w:rPr>
            <w:rStyle w:val="Hyperlink"/>
            <w:bCs/>
            <w:lang w:val="fr-FR"/>
          </w:rPr>
          <w:t>.</w:t>
        </w:r>
        <w:r w:rsidRPr="006835D9">
          <w:rPr>
            <w:rStyle w:val="Hyperlink"/>
            <w:bCs/>
            <w:lang w:val="fr-FR"/>
          </w:rPr>
          <w:t>imo</w:t>
        </w:r>
        <w:r w:rsidR="00FC1209" w:rsidRPr="00FC1209">
          <w:rPr>
            <w:rStyle w:val="Hyperlink"/>
            <w:bCs/>
            <w:lang w:val="fr-FR"/>
          </w:rPr>
          <w:t>.</w:t>
        </w:r>
        <w:r w:rsidRPr="006835D9">
          <w:rPr>
            <w:rStyle w:val="Hyperlink"/>
            <w:bCs/>
            <w:lang w:val="fr-FR"/>
          </w:rPr>
          <w:t>org</w:t>
        </w:r>
      </w:hyperlink>
      <w:r w:rsidRPr="006835D9">
        <w:rPr>
          <w:bCs/>
          <w:lang w:val="fr-FR"/>
        </w:rPr>
        <w:t> ;</w:t>
      </w:r>
    </w:p>
    <w:p w14:paraId="682A0DA4" w14:textId="77777777" w:rsidR="00520996" w:rsidRPr="006835D9" w:rsidRDefault="00520996" w:rsidP="00F70B88">
      <w:pPr>
        <w:keepNext/>
        <w:spacing w:before="120" w:after="120"/>
        <w:ind w:left="1134" w:right="1133"/>
        <w:jc w:val="both"/>
        <w:rPr>
          <w:bCs/>
          <w:iCs/>
          <w:lang w:val="fr-FR"/>
        </w:rPr>
      </w:pPr>
      <w:r w:rsidRPr="006835D9">
        <w:rPr>
          <w:bCs/>
          <w:iCs/>
          <w:lang w:val="fr-FR"/>
        </w:rPr>
        <w:lastRenderedPageBreak/>
        <w:t>(RID :)</w:t>
      </w:r>
    </w:p>
    <w:p w14:paraId="305A3BB3" w14:textId="612E3133" w:rsidR="00520996" w:rsidRPr="006835D9" w:rsidRDefault="00520996" w:rsidP="00520996">
      <w:pPr>
        <w:spacing w:before="120" w:after="120"/>
        <w:ind w:left="1134" w:right="1133"/>
        <w:jc w:val="both"/>
        <w:rPr>
          <w:bCs/>
          <w:lang w:val="fr-FR"/>
        </w:rPr>
      </w:pPr>
      <w:r w:rsidRPr="006835D9">
        <w:rPr>
          <w:bCs/>
          <w:iCs/>
          <w:lang w:val="fr-FR"/>
        </w:rPr>
        <w:t>“</w:t>
      </w:r>
      <w:r w:rsidRPr="006835D9">
        <w:rPr>
          <w:bCs/>
          <w:i/>
          <w:lang w:val="fr-FR"/>
        </w:rPr>
        <w:t>OTIF</w:t>
      </w:r>
      <w:r w:rsidRPr="006835D9">
        <w:rPr>
          <w:bCs/>
          <w:iCs/>
          <w:lang w:val="fr-FR"/>
        </w:rPr>
        <w:t>”,</w:t>
      </w:r>
      <w:r w:rsidRPr="006835D9">
        <w:rPr>
          <w:bCs/>
          <w:i/>
          <w:lang w:val="fr-FR"/>
        </w:rPr>
        <w:t xml:space="preserve"> </w:t>
      </w:r>
      <w:r w:rsidRPr="006835D9">
        <w:rPr>
          <w:bCs/>
          <w:lang w:val="fr-FR"/>
        </w:rPr>
        <w:t xml:space="preserve">Organisation intergouvernementale pour les transports internationaux ferroviaires (OTIF, Gryphenhübeliweg 30, CH-3006 Berne, Suisse), </w:t>
      </w:r>
      <w:hyperlink r:id="rId21" w:history="1">
        <w:r w:rsidRPr="006835D9">
          <w:rPr>
            <w:rStyle w:val="Hyperlink"/>
            <w:bCs/>
            <w:lang w:val="fr-FR"/>
          </w:rPr>
          <w:t>www</w:t>
        </w:r>
        <w:r w:rsidR="00FC1209" w:rsidRPr="00FC1209">
          <w:rPr>
            <w:rStyle w:val="Hyperlink"/>
            <w:bCs/>
            <w:lang w:val="fr-FR"/>
          </w:rPr>
          <w:t>.</w:t>
        </w:r>
        <w:r w:rsidRPr="006835D9">
          <w:rPr>
            <w:rStyle w:val="Hyperlink"/>
            <w:bCs/>
            <w:lang w:val="fr-FR"/>
          </w:rPr>
          <w:t>otif</w:t>
        </w:r>
        <w:r w:rsidR="00FC1209" w:rsidRPr="00FC1209">
          <w:rPr>
            <w:rStyle w:val="Hyperlink"/>
            <w:bCs/>
            <w:lang w:val="fr-FR"/>
          </w:rPr>
          <w:t>.</w:t>
        </w:r>
        <w:r w:rsidRPr="006835D9">
          <w:rPr>
            <w:rStyle w:val="Hyperlink"/>
            <w:bCs/>
            <w:lang w:val="fr-FR"/>
          </w:rPr>
          <w:t>org</w:t>
        </w:r>
      </w:hyperlink>
      <w:r w:rsidRPr="006835D9">
        <w:rPr>
          <w:bCs/>
          <w:lang w:val="fr-FR"/>
        </w:rPr>
        <w:t> ;</w:t>
      </w:r>
    </w:p>
    <w:p w14:paraId="10B103D1" w14:textId="77777777" w:rsidR="00520996" w:rsidRPr="006835D9" w:rsidRDefault="00520996" w:rsidP="00520996">
      <w:pPr>
        <w:pStyle w:val="H23G"/>
        <w:ind w:right="282"/>
        <w:rPr>
          <w:lang w:val="fr-FR"/>
        </w:rPr>
      </w:pPr>
      <w:r w:rsidRPr="006835D9">
        <w:rPr>
          <w:b w:val="0"/>
          <w:bCs/>
          <w:lang w:val="fr-FR"/>
        </w:rPr>
        <w:tab/>
      </w:r>
      <w:r w:rsidRPr="006835D9">
        <w:rPr>
          <w:b w:val="0"/>
          <w:bCs/>
          <w:lang w:val="fr-FR"/>
        </w:rPr>
        <w:tab/>
      </w:r>
      <w:r w:rsidRPr="006835D9">
        <w:rPr>
          <w:lang w:val="fr-FR"/>
        </w:rPr>
        <w:t>R</w:t>
      </w:r>
    </w:p>
    <w:p w14:paraId="71EC2ED5" w14:textId="77777777" w:rsidR="00520996" w:rsidRPr="006835D9" w:rsidRDefault="00520996" w:rsidP="00520996">
      <w:pPr>
        <w:keepNext/>
        <w:spacing w:before="120" w:after="120"/>
        <w:ind w:left="1134" w:right="1133"/>
        <w:rPr>
          <w:bCs/>
          <w:lang w:val="fr-FR"/>
        </w:rPr>
      </w:pPr>
      <w:r w:rsidRPr="006835D9">
        <w:rPr>
          <w:bCs/>
          <w:lang w:val="fr-FR"/>
        </w:rPr>
        <w:t>(ADR :)</w:t>
      </w:r>
    </w:p>
    <w:p w14:paraId="0CCD8D47" w14:textId="77777777" w:rsidR="00520996" w:rsidRPr="006835D9" w:rsidRDefault="00520996" w:rsidP="00520996">
      <w:pPr>
        <w:spacing w:before="120" w:after="120"/>
        <w:ind w:left="1134" w:right="1133"/>
        <w:jc w:val="both"/>
        <w:rPr>
          <w:bCs/>
          <w:i/>
          <w:lang w:val="fr-FR"/>
        </w:rPr>
      </w:pPr>
      <w:r w:rsidRPr="006835D9">
        <w:rPr>
          <w:bCs/>
          <w:iCs/>
          <w:lang w:val="fr-FR"/>
        </w:rPr>
        <w:t>“</w:t>
      </w:r>
      <w:r w:rsidRPr="006835D9">
        <w:rPr>
          <w:bCs/>
          <w:i/>
          <w:lang w:val="fr-FR"/>
        </w:rPr>
        <w:t>RID</w:t>
      </w:r>
      <w:r w:rsidRPr="006835D9">
        <w:rPr>
          <w:bCs/>
          <w:iCs/>
          <w:lang w:val="fr-FR"/>
        </w:rPr>
        <w:t>”,</w:t>
      </w:r>
      <w:r w:rsidRPr="006835D9">
        <w:rPr>
          <w:bCs/>
          <w:lang w:val="fr-FR"/>
        </w:rPr>
        <w:t xml:space="preserve"> Règlement concernant le transport international ferroviaire des marchandises dangereuses, appendice C de la COTIF (Convention relative aux transports internationaux ferroviaires) ;</w:t>
      </w:r>
    </w:p>
    <w:p w14:paraId="44B1A5D9" w14:textId="77777777" w:rsidR="00520996" w:rsidRPr="006835D9" w:rsidRDefault="00520996" w:rsidP="00520996">
      <w:pPr>
        <w:pStyle w:val="H23G"/>
        <w:ind w:right="282"/>
        <w:rPr>
          <w:lang w:val="fr-FR"/>
        </w:rPr>
      </w:pPr>
      <w:r w:rsidRPr="006835D9">
        <w:rPr>
          <w:b w:val="0"/>
          <w:bCs/>
          <w:lang w:val="fr-FR"/>
        </w:rPr>
        <w:tab/>
      </w:r>
      <w:r w:rsidRPr="006835D9">
        <w:rPr>
          <w:b w:val="0"/>
          <w:bCs/>
          <w:lang w:val="fr-FR"/>
        </w:rPr>
        <w:tab/>
      </w:r>
      <w:r w:rsidRPr="006835D9">
        <w:rPr>
          <w:lang w:val="fr-FR"/>
        </w:rPr>
        <w:t>S</w:t>
      </w:r>
    </w:p>
    <w:p w14:paraId="6E34537D" w14:textId="538A73A9" w:rsidR="00520996" w:rsidRPr="006835D9" w:rsidRDefault="00520996" w:rsidP="00520996">
      <w:pPr>
        <w:spacing w:before="120" w:after="120"/>
        <w:ind w:left="1134" w:right="1133"/>
        <w:jc w:val="both"/>
        <w:rPr>
          <w:bCs/>
          <w:lang w:val="fr-FR"/>
        </w:rPr>
      </w:pPr>
      <w:r w:rsidRPr="006835D9">
        <w:rPr>
          <w:bCs/>
          <w:iCs/>
          <w:lang w:val="fr-FR"/>
        </w:rPr>
        <w:t>“</w:t>
      </w:r>
      <w:r w:rsidRPr="006835D9">
        <w:rPr>
          <w:bCs/>
          <w:i/>
          <w:lang w:val="fr-FR"/>
        </w:rPr>
        <w:t>SCO</w:t>
      </w:r>
      <w:r w:rsidRPr="006835D9">
        <w:rPr>
          <w:bCs/>
          <w:iCs/>
          <w:lang w:val="fr-FR"/>
        </w:rPr>
        <w:t>”</w:t>
      </w:r>
      <w:r w:rsidRPr="006835D9">
        <w:rPr>
          <w:bCs/>
          <w:lang w:val="fr-FR"/>
        </w:rPr>
        <w:t>, objet contaminé superficiellement (voir 2</w:t>
      </w:r>
      <w:r w:rsidR="00FC1209" w:rsidRPr="00FC1209">
        <w:rPr>
          <w:bCs/>
          <w:lang w:val="fr-FR"/>
        </w:rPr>
        <w:t>.</w:t>
      </w:r>
      <w:r w:rsidRPr="006835D9">
        <w:rPr>
          <w:bCs/>
          <w:lang w:val="fr-FR"/>
        </w:rPr>
        <w:t>2</w:t>
      </w:r>
      <w:r w:rsidR="00FC1209" w:rsidRPr="00FC1209">
        <w:rPr>
          <w:bCs/>
          <w:lang w:val="fr-FR"/>
        </w:rPr>
        <w:t>.</w:t>
      </w:r>
      <w:r w:rsidRPr="006835D9">
        <w:rPr>
          <w:bCs/>
          <w:lang w:val="fr-FR"/>
        </w:rPr>
        <w:t>7</w:t>
      </w:r>
      <w:r w:rsidR="00FC1209" w:rsidRPr="00FC1209">
        <w:rPr>
          <w:bCs/>
          <w:lang w:val="fr-FR"/>
        </w:rPr>
        <w:t>.</w:t>
      </w:r>
      <w:r w:rsidRPr="006835D9">
        <w:rPr>
          <w:bCs/>
          <w:lang w:val="fr-FR"/>
        </w:rPr>
        <w:t>1</w:t>
      </w:r>
      <w:r w:rsidR="00FC1209" w:rsidRPr="00FC1209">
        <w:rPr>
          <w:bCs/>
          <w:lang w:val="fr-FR"/>
        </w:rPr>
        <w:t>.</w:t>
      </w:r>
      <w:r w:rsidRPr="006835D9">
        <w:rPr>
          <w:bCs/>
          <w:lang w:val="fr-FR"/>
        </w:rPr>
        <w:t>3) ;</w:t>
      </w:r>
    </w:p>
    <w:p w14:paraId="6873E48F" w14:textId="77777777" w:rsidR="00520996" w:rsidRPr="006835D9" w:rsidRDefault="00520996" w:rsidP="00520996">
      <w:pPr>
        <w:spacing w:before="120" w:after="120"/>
        <w:ind w:left="1134" w:right="1133"/>
        <w:jc w:val="both"/>
        <w:rPr>
          <w:bCs/>
          <w:iCs/>
          <w:lang w:val="fr-FR"/>
        </w:rPr>
      </w:pPr>
      <w:r w:rsidRPr="006835D9">
        <w:rPr>
          <w:bCs/>
          <w:u w:val="single"/>
          <w:lang w:val="fr-FR"/>
        </w:rPr>
        <w:tab/>
        <w:t>________</w:t>
      </w:r>
    </w:p>
    <w:p w14:paraId="41142F6B" w14:textId="3D79FC43" w:rsidR="00520996" w:rsidRDefault="00520996" w:rsidP="00F70B88">
      <w:pPr>
        <w:spacing w:before="120" w:after="120"/>
        <w:ind w:left="1134" w:right="1133" w:firstLine="567"/>
        <w:jc w:val="both"/>
        <w:rPr>
          <w:bCs/>
          <w:iCs/>
          <w:lang w:val="fr-FR"/>
        </w:rPr>
      </w:pPr>
      <w:r w:rsidRPr="006835D9">
        <w:rPr>
          <w:bCs/>
          <w:iCs/>
          <w:lang w:val="fr-FR"/>
        </w:rPr>
        <w:t>*</w:t>
      </w:r>
      <w:r w:rsidRPr="006835D9">
        <w:rPr>
          <w:bCs/>
          <w:iCs/>
          <w:lang w:val="fr-FR"/>
        </w:rPr>
        <w:tab/>
        <w:t>L</w:t>
      </w:r>
      <w:r w:rsidR="00F70B88">
        <w:rPr>
          <w:bCs/>
          <w:iCs/>
          <w:lang w:val="fr-FR"/>
        </w:rPr>
        <w:t>’</w:t>
      </w:r>
      <w:r w:rsidRPr="006835D9">
        <w:rPr>
          <w:bCs/>
          <w:iCs/>
          <w:lang w:val="fr-FR"/>
        </w:rPr>
        <w:t>acronyme « SCO » correspond au terme anglais « Surface Contaminated Object »</w:t>
      </w:r>
      <w:r w:rsidR="00FC1209" w:rsidRPr="00FC1209">
        <w:rPr>
          <w:bCs/>
          <w:iCs/>
          <w:lang w:val="fr-FR"/>
        </w:rPr>
        <w:t>.</w:t>
      </w:r>
    </w:p>
    <w:p w14:paraId="50E8DFD4" w14:textId="00920DB1" w:rsidR="00520996" w:rsidRPr="006835D9" w:rsidRDefault="00520996" w:rsidP="00520996">
      <w:pPr>
        <w:spacing w:before="120" w:after="120"/>
        <w:ind w:left="1134" w:right="1133"/>
        <w:jc w:val="both"/>
        <w:rPr>
          <w:bCs/>
          <w:lang w:val="fr-FR"/>
        </w:rPr>
      </w:pPr>
      <w:r w:rsidRPr="006835D9">
        <w:rPr>
          <w:bCs/>
          <w:iCs/>
          <w:lang w:val="fr-FR"/>
        </w:rPr>
        <w:t>“</w:t>
      </w:r>
      <w:r w:rsidRPr="006835D9">
        <w:rPr>
          <w:bCs/>
          <w:i/>
          <w:lang w:val="fr-FR"/>
        </w:rPr>
        <w:t>SGH</w:t>
      </w:r>
      <w:r w:rsidRPr="006835D9">
        <w:rPr>
          <w:bCs/>
          <w:iCs/>
          <w:lang w:val="fr-FR"/>
        </w:rPr>
        <w:t>”,</w:t>
      </w:r>
      <w:r w:rsidRPr="006835D9">
        <w:rPr>
          <w:bCs/>
          <w:lang w:val="fr-FR"/>
        </w:rPr>
        <w:t xml:space="preserve"> </w:t>
      </w:r>
      <w:r w:rsidRPr="004D2C7C">
        <w:rPr>
          <w:bCs/>
          <w:iCs/>
          <w:lang w:val="fr-FR"/>
        </w:rPr>
        <w:t>“</w:t>
      </w:r>
      <w:r w:rsidRPr="004D2C7C">
        <w:rPr>
          <w:bCs/>
          <w:lang w:val="fr-FR"/>
        </w:rPr>
        <w:t xml:space="preserve">Système </w:t>
      </w:r>
      <w:r w:rsidR="00835D26" w:rsidRPr="004D2C7C">
        <w:rPr>
          <w:bCs/>
          <w:lang w:val="fr-FR"/>
        </w:rPr>
        <w:t>g</w:t>
      </w:r>
      <w:r w:rsidRPr="004D2C7C">
        <w:rPr>
          <w:bCs/>
          <w:lang w:val="fr-FR"/>
        </w:rPr>
        <w:t xml:space="preserve">énéral </w:t>
      </w:r>
      <w:r w:rsidR="00835D26" w:rsidRPr="004D2C7C">
        <w:rPr>
          <w:bCs/>
          <w:lang w:val="fr-FR"/>
        </w:rPr>
        <w:t>h</w:t>
      </w:r>
      <w:r w:rsidRPr="004D2C7C">
        <w:rPr>
          <w:bCs/>
          <w:lang w:val="fr-FR"/>
        </w:rPr>
        <w:t>armonisé de</w:t>
      </w:r>
      <w:r w:rsidRPr="006835D9">
        <w:rPr>
          <w:bCs/>
          <w:lang w:val="fr-FR"/>
        </w:rPr>
        <w:t xml:space="preserve"> classification et d</w:t>
      </w:r>
      <w:r w:rsidR="00F70B88">
        <w:rPr>
          <w:bCs/>
          <w:lang w:val="fr-FR"/>
        </w:rPr>
        <w:t>’</w:t>
      </w:r>
      <w:r w:rsidRPr="006835D9">
        <w:rPr>
          <w:bCs/>
          <w:lang w:val="fr-FR"/>
        </w:rPr>
        <w:t xml:space="preserve">étiquetage des </w:t>
      </w:r>
      <w:r w:rsidRPr="006835D9">
        <w:rPr>
          <w:bCs/>
          <w:iCs/>
          <w:lang w:val="fr-FR"/>
        </w:rPr>
        <w:t>produits</w:t>
      </w:r>
      <w:r w:rsidRPr="006835D9">
        <w:rPr>
          <w:bCs/>
          <w:lang w:val="fr-FR"/>
        </w:rPr>
        <w:t xml:space="preserve"> chimiques</w:t>
      </w:r>
      <w:r w:rsidRPr="006835D9">
        <w:rPr>
          <w:bCs/>
          <w:iCs/>
          <w:lang w:val="fr-FR"/>
        </w:rPr>
        <w:t>”</w:t>
      </w:r>
      <w:r w:rsidRPr="006835D9">
        <w:rPr>
          <w:bCs/>
          <w:lang w:val="fr-FR"/>
        </w:rPr>
        <w:t xml:space="preserve"> (voir 1</w:t>
      </w:r>
      <w:r w:rsidR="00FC1209" w:rsidRPr="00FC1209">
        <w:rPr>
          <w:bCs/>
          <w:lang w:val="fr-FR"/>
        </w:rPr>
        <w:t>.</w:t>
      </w:r>
      <w:r w:rsidRPr="006835D9">
        <w:rPr>
          <w:bCs/>
          <w:lang w:val="fr-FR"/>
        </w:rPr>
        <w:t>2</w:t>
      </w:r>
      <w:r w:rsidR="00FC1209" w:rsidRPr="00FC1209">
        <w:rPr>
          <w:bCs/>
          <w:lang w:val="fr-FR"/>
        </w:rPr>
        <w:t>.</w:t>
      </w:r>
      <w:r w:rsidRPr="006835D9">
        <w:rPr>
          <w:bCs/>
          <w:lang w:val="fr-FR"/>
        </w:rPr>
        <w:t>1) ;</w:t>
      </w:r>
    </w:p>
    <w:p w14:paraId="10DFABAC" w14:textId="77777777" w:rsidR="00520996" w:rsidRPr="006835D9" w:rsidRDefault="00520996" w:rsidP="00520996">
      <w:pPr>
        <w:keepNext/>
        <w:spacing w:before="120" w:after="120"/>
        <w:ind w:left="1134" w:right="1133"/>
        <w:rPr>
          <w:bCs/>
          <w:lang w:val="fr-FR"/>
        </w:rPr>
      </w:pPr>
      <w:r w:rsidRPr="006835D9">
        <w:rPr>
          <w:bCs/>
          <w:lang w:val="fr-FR"/>
        </w:rPr>
        <w:t>(RID :)</w:t>
      </w:r>
    </w:p>
    <w:p w14:paraId="6FC9AF49" w14:textId="0C37DEBD" w:rsidR="00520996" w:rsidRPr="006835D9" w:rsidRDefault="00520996" w:rsidP="00520996">
      <w:pPr>
        <w:spacing w:before="120" w:after="120"/>
        <w:ind w:left="1134" w:right="1133"/>
        <w:jc w:val="both"/>
        <w:rPr>
          <w:bCs/>
          <w:lang w:val="fr-FR"/>
        </w:rPr>
      </w:pPr>
      <w:r w:rsidRPr="006835D9">
        <w:rPr>
          <w:bCs/>
          <w:iCs/>
          <w:lang w:val="fr-FR"/>
        </w:rPr>
        <w:t>“</w:t>
      </w:r>
      <w:r w:rsidRPr="006835D9">
        <w:rPr>
          <w:bCs/>
          <w:i/>
          <w:lang w:val="fr-FR"/>
        </w:rPr>
        <w:t>SMGS</w:t>
      </w:r>
      <w:r w:rsidRPr="006835D9">
        <w:rPr>
          <w:bCs/>
          <w:iCs/>
          <w:lang w:val="fr-FR"/>
        </w:rPr>
        <w:t>”,</w:t>
      </w:r>
      <w:r w:rsidRPr="006835D9">
        <w:rPr>
          <w:bCs/>
          <w:lang w:val="fr-FR"/>
        </w:rPr>
        <w:t xml:space="preserve"> Accord concernant le transport international ferroviaire des marchandises par chemin de fer de l</w:t>
      </w:r>
      <w:r w:rsidR="00F70B88">
        <w:rPr>
          <w:bCs/>
          <w:lang w:val="fr-FR"/>
        </w:rPr>
        <w:t>’</w:t>
      </w:r>
      <w:r w:rsidRPr="006835D9">
        <w:rPr>
          <w:bCs/>
          <w:lang w:val="fr-FR"/>
        </w:rPr>
        <w:t>Organisation pour la coopération des chemins de fer (OSJD), (OSJD, ul</w:t>
      </w:r>
      <w:r w:rsidR="00FC1209" w:rsidRPr="00FC1209">
        <w:rPr>
          <w:bCs/>
          <w:lang w:val="fr-FR"/>
        </w:rPr>
        <w:t>.</w:t>
      </w:r>
      <w:r w:rsidRPr="006835D9">
        <w:rPr>
          <w:bCs/>
          <w:lang w:val="fr-FR"/>
        </w:rPr>
        <w:t xml:space="preserve"> Hoza, 63/67 PL-00-681 Varsovie, Pologne), </w:t>
      </w:r>
      <w:hyperlink r:id="rId22" w:history="1">
        <w:r w:rsidRPr="006835D9">
          <w:rPr>
            <w:rStyle w:val="Hyperlink"/>
            <w:bCs/>
            <w:lang w:val="fr-FR"/>
          </w:rPr>
          <w:t>www</w:t>
        </w:r>
        <w:r w:rsidR="00FC1209" w:rsidRPr="00FC1209">
          <w:rPr>
            <w:rStyle w:val="Hyperlink"/>
            <w:bCs/>
            <w:lang w:val="fr-FR"/>
          </w:rPr>
          <w:t>.</w:t>
        </w:r>
        <w:r w:rsidRPr="006835D9">
          <w:rPr>
            <w:rStyle w:val="Hyperlink"/>
            <w:bCs/>
            <w:lang w:val="fr-FR"/>
          </w:rPr>
          <w:t>en</w:t>
        </w:r>
        <w:r w:rsidR="00FC1209" w:rsidRPr="00FC1209">
          <w:rPr>
            <w:rStyle w:val="Hyperlink"/>
            <w:bCs/>
            <w:lang w:val="fr-FR"/>
          </w:rPr>
          <w:t>.</w:t>
        </w:r>
        <w:r w:rsidRPr="006835D9">
          <w:rPr>
            <w:rStyle w:val="Hyperlink"/>
            <w:bCs/>
            <w:lang w:val="fr-FR"/>
          </w:rPr>
          <w:t>osjd</w:t>
        </w:r>
        <w:r w:rsidR="00FC1209" w:rsidRPr="00FC1209">
          <w:rPr>
            <w:rStyle w:val="Hyperlink"/>
            <w:bCs/>
            <w:lang w:val="fr-FR"/>
          </w:rPr>
          <w:t>.</w:t>
        </w:r>
        <w:r w:rsidRPr="006835D9">
          <w:rPr>
            <w:rStyle w:val="Hyperlink"/>
            <w:bCs/>
            <w:lang w:val="fr-FR"/>
          </w:rPr>
          <w:t>org</w:t>
        </w:r>
      </w:hyperlink>
      <w:r w:rsidRPr="006835D9">
        <w:rPr>
          <w:bCs/>
          <w:lang w:val="fr-FR"/>
        </w:rPr>
        <w:t> ;</w:t>
      </w:r>
    </w:p>
    <w:p w14:paraId="27568080" w14:textId="77777777" w:rsidR="00520996" w:rsidRPr="006835D9" w:rsidRDefault="00520996" w:rsidP="00520996">
      <w:pPr>
        <w:keepNext/>
        <w:spacing w:before="120" w:after="120"/>
        <w:ind w:left="1134" w:right="1133"/>
        <w:rPr>
          <w:bCs/>
          <w:lang w:val="fr-FR"/>
        </w:rPr>
      </w:pPr>
      <w:r w:rsidRPr="006835D9">
        <w:rPr>
          <w:bCs/>
          <w:lang w:val="fr-FR"/>
        </w:rPr>
        <w:t>(RID :)</w:t>
      </w:r>
    </w:p>
    <w:p w14:paraId="3C8C8771" w14:textId="47A9CF44" w:rsidR="00520996" w:rsidRPr="006835D9" w:rsidRDefault="00520996" w:rsidP="00520996">
      <w:pPr>
        <w:spacing w:before="120" w:after="120"/>
        <w:ind w:left="1134" w:right="1133"/>
        <w:jc w:val="both"/>
        <w:rPr>
          <w:bCs/>
          <w:lang w:val="fr-FR"/>
        </w:rPr>
      </w:pPr>
      <w:r w:rsidRPr="006835D9">
        <w:rPr>
          <w:bCs/>
          <w:iCs/>
          <w:lang w:val="fr-FR"/>
        </w:rPr>
        <w:t>“</w:t>
      </w:r>
      <w:r w:rsidRPr="006835D9">
        <w:rPr>
          <w:bCs/>
          <w:i/>
          <w:lang w:val="fr-FR"/>
        </w:rPr>
        <w:t>Annexe 2 au SMGS</w:t>
      </w:r>
      <w:r w:rsidRPr="006835D9">
        <w:rPr>
          <w:bCs/>
          <w:iCs/>
          <w:lang w:val="fr-FR"/>
        </w:rPr>
        <w:t>”</w:t>
      </w:r>
      <w:r w:rsidRPr="006835D9">
        <w:rPr>
          <w:bCs/>
          <w:lang w:val="fr-FR"/>
        </w:rPr>
        <w:t>, Prescriptions pour le transport de marchandises dangereuses formant l</w:t>
      </w:r>
      <w:r w:rsidR="00F70B88">
        <w:rPr>
          <w:bCs/>
          <w:lang w:val="fr-FR"/>
        </w:rPr>
        <w:t>’</w:t>
      </w:r>
      <w:r w:rsidRPr="006835D9">
        <w:rPr>
          <w:bCs/>
          <w:lang w:val="fr-FR"/>
        </w:rPr>
        <w:t>annexe 2 au SMGS ;</w:t>
      </w:r>
    </w:p>
    <w:p w14:paraId="7634C4D4" w14:textId="77777777" w:rsidR="00520996" w:rsidRPr="006835D9" w:rsidRDefault="00520996" w:rsidP="00520996">
      <w:pPr>
        <w:pStyle w:val="H23G"/>
        <w:ind w:right="282"/>
        <w:rPr>
          <w:lang w:val="fr-FR"/>
        </w:rPr>
      </w:pPr>
      <w:r w:rsidRPr="006835D9">
        <w:rPr>
          <w:b w:val="0"/>
          <w:bCs/>
          <w:lang w:val="fr-FR"/>
        </w:rPr>
        <w:tab/>
      </w:r>
      <w:r w:rsidRPr="006835D9">
        <w:rPr>
          <w:b w:val="0"/>
          <w:bCs/>
          <w:lang w:val="fr-FR"/>
        </w:rPr>
        <w:tab/>
      </w:r>
      <w:r w:rsidRPr="006835D9">
        <w:rPr>
          <w:lang w:val="fr-FR"/>
        </w:rPr>
        <w:t>T</w:t>
      </w:r>
    </w:p>
    <w:p w14:paraId="616FDD7E" w14:textId="641661AF" w:rsidR="00520996" w:rsidRPr="006835D9" w:rsidRDefault="00520996" w:rsidP="00520996">
      <w:pPr>
        <w:spacing w:before="120" w:after="120"/>
        <w:ind w:left="1134" w:right="1133"/>
        <w:jc w:val="both"/>
        <w:rPr>
          <w:bCs/>
          <w:iCs/>
          <w:lang w:val="fr-FR"/>
        </w:rPr>
      </w:pPr>
      <w:r w:rsidRPr="006835D9">
        <w:rPr>
          <w:bCs/>
          <w:iCs/>
          <w:lang w:val="fr-FR"/>
        </w:rPr>
        <w:t>“</w:t>
      </w:r>
      <w:r w:rsidRPr="006835D9">
        <w:rPr>
          <w:bCs/>
          <w:i/>
          <w:lang w:val="fr-FR"/>
        </w:rPr>
        <w:t>TDAA</w:t>
      </w:r>
      <w:r w:rsidRPr="006835D9">
        <w:rPr>
          <w:bCs/>
          <w:iCs/>
          <w:lang w:val="fr-FR"/>
        </w:rPr>
        <w:t xml:space="preserve">”, “Température de décomposition auto-accélérée” </w:t>
      </w:r>
      <w:r w:rsidRPr="006835D9">
        <w:rPr>
          <w:bCs/>
          <w:lang w:val="fr-FR"/>
        </w:rPr>
        <w:t>(voir 1</w:t>
      </w:r>
      <w:r w:rsidR="00FC1209" w:rsidRPr="00FC1209">
        <w:rPr>
          <w:bCs/>
          <w:lang w:val="fr-FR"/>
        </w:rPr>
        <w:t>.</w:t>
      </w:r>
      <w:r w:rsidRPr="006835D9">
        <w:rPr>
          <w:bCs/>
          <w:lang w:val="fr-FR"/>
        </w:rPr>
        <w:t>2</w:t>
      </w:r>
      <w:r w:rsidR="00FC1209" w:rsidRPr="00FC1209">
        <w:rPr>
          <w:bCs/>
          <w:lang w:val="fr-FR"/>
        </w:rPr>
        <w:t>.</w:t>
      </w:r>
      <w:r w:rsidRPr="006835D9">
        <w:rPr>
          <w:bCs/>
          <w:lang w:val="fr-FR"/>
        </w:rPr>
        <w:t>1)</w:t>
      </w:r>
      <w:r w:rsidRPr="006835D9">
        <w:rPr>
          <w:bCs/>
          <w:iCs/>
          <w:lang w:val="fr-FR"/>
        </w:rPr>
        <w:t> ;</w:t>
      </w:r>
    </w:p>
    <w:p w14:paraId="1B911AF2" w14:textId="4DBC76D0" w:rsidR="00520996" w:rsidRPr="006835D9" w:rsidRDefault="00520996" w:rsidP="00520996">
      <w:pPr>
        <w:spacing w:before="120" w:after="120"/>
        <w:ind w:left="1134" w:right="1133"/>
        <w:jc w:val="both"/>
        <w:rPr>
          <w:bCs/>
          <w:iCs/>
          <w:lang w:val="fr-FR"/>
        </w:rPr>
      </w:pPr>
      <w:r w:rsidRPr="006835D9">
        <w:rPr>
          <w:bCs/>
          <w:iCs/>
          <w:lang w:val="fr-FR"/>
        </w:rPr>
        <w:t>“</w:t>
      </w:r>
      <w:r w:rsidRPr="006835D9">
        <w:rPr>
          <w:bCs/>
          <w:i/>
          <w:lang w:val="fr-FR"/>
        </w:rPr>
        <w:t>TI</w:t>
      </w:r>
      <w:r w:rsidRPr="006835D9">
        <w:rPr>
          <w:bCs/>
          <w:iCs/>
          <w:lang w:val="fr-FR"/>
        </w:rPr>
        <w:t>”*, “Indice de transport” (voir 1</w:t>
      </w:r>
      <w:r w:rsidR="00FC1209" w:rsidRPr="00FC1209">
        <w:rPr>
          <w:bCs/>
          <w:iCs/>
          <w:lang w:val="fr-FR"/>
        </w:rPr>
        <w:t>.</w:t>
      </w:r>
      <w:r w:rsidRPr="006835D9">
        <w:rPr>
          <w:bCs/>
          <w:iCs/>
          <w:lang w:val="fr-FR"/>
        </w:rPr>
        <w:t>2</w:t>
      </w:r>
      <w:r w:rsidR="00FC1209" w:rsidRPr="00FC1209">
        <w:rPr>
          <w:bCs/>
          <w:iCs/>
          <w:lang w:val="fr-FR"/>
        </w:rPr>
        <w:t>.</w:t>
      </w:r>
      <w:r w:rsidRPr="006835D9">
        <w:rPr>
          <w:bCs/>
          <w:iCs/>
          <w:lang w:val="fr-FR"/>
        </w:rPr>
        <w:t>1) ;</w:t>
      </w:r>
    </w:p>
    <w:p w14:paraId="28C3662B" w14:textId="77777777" w:rsidR="00520996" w:rsidRPr="006835D9" w:rsidRDefault="00520996" w:rsidP="00520996">
      <w:pPr>
        <w:spacing w:before="120" w:after="120"/>
        <w:ind w:left="1134" w:right="1133"/>
        <w:jc w:val="both"/>
        <w:rPr>
          <w:bCs/>
          <w:iCs/>
          <w:lang w:val="fr-FR"/>
        </w:rPr>
      </w:pPr>
      <w:r w:rsidRPr="006835D9">
        <w:rPr>
          <w:bCs/>
          <w:u w:val="single"/>
          <w:lang w:val="fr-FR"/>
        </w:rPr>
        <w:tab/>
        <w:t>________</w:t>
      </w:r>
    </w:p>
    <w:p w14:paraId="6B33588F" w14:textId="3A5EA789" w:rsidR="00520996" w:rsidRDefault="00520996" w:rsidP="00520996">
      <w:pPr>
        <w:spacing w:before="120" w:after="120"/>
        <w:ind w:left="1134" w:right="1133" w:firstLine="567"/>
        <w:jc w:val="both"/>
        <w:rPr>
          <w:bCs/>
          <w:iCs/>
          <w:lang w:val="fr-FR"/>
        </w:rPr>
      </w:pPr>
      <w:r w:rsidRPr="006835D9">
        <w:rPr>
          <w:bCs/>
          <w:iCs/>
          <w:lang w:val="fr-FR"/>
        </w:rPr>
        <w:t>*</w:t>
      </w:r>
      <w:r w:rsidRPr="006835D9">
        <w:rPr>
          <w:bCs/>
          <w:iCs/>
          <w:lang w:val="fr-FR"/>
        </w:rPr>
        <w:tab/>
        <w:t>L</w:t>
      </w:r>
      <w:r w:rsidR="00F70B88">
        <w:rPr>
          <w:bCs/>
          <w:iCs/>
          <w:lang w:val="fr-FR"/>
        </w:rPr>
        <w:t>’</w:t>
      </w:r>
      <w:r w:rsidRPr="006835D9">
        <w:rPr>
          <w:bCs/>
          <w:iCs/>
          <w:lang w:val="fr-FR"/>
        </w:rPr>
        <w:t>acronyme « TI » correspond au terme anglais « Transport Index »</w:t>
      </w:r>
      <w:r w:rsidR="00FC1209" w:rsidRPr="00FC1209">
        <w:rPr>
          <w:bCs/>
          <w:iCs/>
          <w:lang w:val="fr-FR"/>
        </w:rPr>
        <w:t>.</w:t>
      </w:r>
    </w:p>
    <w:p w14:paraId="4BEEF1FC" w14:textId="647F9362" w:rsidR="00520996" w:rsidRPr="006835D9" w:rsidRDefault="00520996" w:rsidP="00520996">
      <w:pPr>
        <w:spacing w:before="120" w:after="120"/>
        <w:ind w:left="1134" w:right="1133"/>
        <w:jc w:val="both"/>
        <w:rPr>
          <w:bCs/>
          <w:iCs/>
          <w:lang w:val="fr-FR"/>
        </w:rPr>
      </w:pPr>
      <w:r w:rsidRPr="006835D9">
        <w:rPr>
          <w:bCs/>
          <w:iCs/>
          <w:lang w:val="fr-FR"/>
        </w:rPr>
        <w:t>“</w:t>
      </w:r>
      <w:r w:rsidRPr="006835D9">
        <w:rPr>
          <w:bCs/>
          <w:i/>
          <w:lang w:val="fr-FR"/>
        </w:rPr>
        <w:t>TPAA</w:t>
      </w:r>
      <w:r w:rsidRPr="006835D9">
        <w:rPr>
          <w:bCs/>
          <w:iCs/>
          <w:lang w:val="fr-FR"/>
        </w:rPr>
        <w:t xml:space="preserve">”, “Température de polymérisation auto-accélérée” </w:t>
      </w:r>
      <w:r w:rsidRPr="006835D9">
        <w:rPr>
          <w:bCs/>
          <w:lang w:val="fr-FR"/>
        </w:rPr>
        <w:t>(voir 1</w:t>
      </w:r>
      <w:r w:rsidR="00FC1209" w:rsidRPr="00FC1209">
        <w:rPr>
          <w:bCs/>
          <w:lang w:val="fr-FR"/>
        </w:rPr>
        <w:t>.</w:t>
      </w:r>
      <w:r w:rsidRPr="006835D9">
        <w:rPr>
          <w:bCs/>
          <w:lang w:val="fr-FR"/>
        </w:rPr>
        <w:t>2</w:t>
      </w:r>
      <w:r w:rsidR="00FC1209" w:rsidRPr="00FC1209">
        <w:rPr>
          <w:bCs/>
          <w:lang w:val="fr-FR"/>
        </w:rPr>
        <w:t>.</w:t>
      </w:r>
      <w:r w:rsidRPr="006835D9">
        <w:rPr>
          <w:bCs/>
          <w:lang w:val="fr-FR"/>
        </w:rPr>
        <w:t>1)</w:t>
      </w:r>
      <w:r w:rsidRPr="006835D9">
        <w:rPr>
          <w:bCs/>
          <w:iCs/>
          <w:lang w:val="fr-FR"/>
        </w:rPr>
        <w:t> ;</w:t>
      </w:r>
    </w:p>
    <w:p w14:paraId="28C62837" w14:textId="77777777" w:rsidR="00520996" w:rsidRPr="006835D9" w:rsidRDefault="00520996" w:rsidP="00520996">
      <w:pPr>
        <w:pStyle w:val="H23G"/>
        <w:ind w:right="282"/>
        <w:rPr>
          <w:lang w:val="fr-FR"/>
        </w:rPr>
      </w:pPr>
      <w:r w:rsidRPr="006835D9">
        <w:rPr>
          <w:b w:val="0"/>
          <w:bCs/>
          <w:lang w:val="fr-FR"/>
        </w:rPr>
        <w:tab/>
      </w:r>
      <w:r w:rsidRPr="006835D9">
        <w:rPr>
          <w:b w:val="0"/>
          <w:bCs/>
          <w:lang w:val="fr-FR"/>
        </w:rPr>
        <w:tab/>
      </w:r>
      <w:r w:rsidRPr="006835D9">
        <w:rPr>
          <w:lang w:val="fr-FR"/>
        </w:rPr>
        <w:t>U</w:t>
      </w:r>
    </w:p>
    <w:p w14:paraId="55018D63" w14:textId="41C42962" w:rsidR="00520996" w:rsidRPr="006835D9" w:rsidRDefault="00520996" w:rsidP="00520996">
      <w:pPr>
        <w:spacing w:before="120" w:after="120"/>
        <w:ind w:left="1134" w:right="1133"/>
        <w:jc w:val="both"/>
        <w:rPr>
          <w:bCs/>
          <w:lang w:val="fr-FR"/>
        </w:rPr>
      </w:pPr>
      <w:r w:rsidRPr="006835D9">
        <w:rPr>
          <w:bCs/>
          <w:iCs/>
          <w:lang w:val="fr-FR"/>
        </w:rPr>
        <w:t>“</w:t>
      </w:r>
      <w:r w:rsidRPr="006835D9">
        <w:rPr>
          <w:bCs/>
          <w:i/>
          <w:lang w:val="fr-FR"/>
        </w:rPr>
        <w:t>UIC</w:t>
      </w:r>
      <w:r w:rsidRPr="006835D9">
        <w:rPr>
          <w:bCs/>
          <w:iCs/>
          <w:lang w:val="fr-FR"/>
        </w:rPr>
        <w:t>”</w:t>
      </w:r>
      <w:r w:rsidRPr="006835D9">
        <w:rPr>
          <w:bCs/>
          <w:lang w:val="fr-FR"/>
        </w:rPr>
        <w:t xml:space="preserve">, Union </w:t>
      </w:r>
      <w:r w:rsidR="00835D26" w:rsidRPr="004D2C7C">
        <w:rPr>
          <w:bCs/>
          <w:lang w:val="fr-FR"/>
        </w:rPr>
        <w:t>i</w:t>
      </w:r>
      <w:r w:rsidRPr="004D2C7C">
        <w:rPr>
          <w:bCs/>
          <w:lang w:val="fr-FR"/>
        </w:rPr>
        <w:t>nternationale</w:t>
      </w:r>
      <w:r w:rsidRPr="006835D9">
        <w:rPr>
          <w:bCs/>
          <w:lang w:val="fr-FR"/>
        </w:rPr>
        <w:t xml:space="preserve"> des Chemins de Fer (UIC, 16 rue Jean Rey, F-75015 Paris, France), </w:t>
      </w:r>
      <w:hyperlink r:id="rId23" w:history="1">
        <w:r w:rsidRPr="006835D9">
          <w:rPr>
            <w:rStyle w:val="Hyperlink"/>
            <w:bCs/>
            <w:lang w:val="fr-FR"/>
          </w:rPr>
          <w:t>www</w:t>
        </w:r>
        <w:r w:rsidR="00FC1209" w:rsidRPr="00FC1209">
          <w:rPr>
            <w:rStyle w:val="Hyperlink"/>
            <w:bCs/>
            <w:lang w:val="fr-FR"/>
          </w:rPr>
          <w:t>.</w:t>
        </w:r>
        <w:r w:rsidRPr="006835D9">
          <w:rPr>
            <w:rStyle w:val="Hyperlink"/>
            <w:bCs/>
            <w:lang w:val="fr-FR"/>
          </w:rPr>
          <w:t>uic</w:t>
        </w:r>
        <w:r w:rsidR="00FC1209" w:rsidRPr="00FC1209">
          <w:rPr>
            <w:rStyle w:val="Hyperlink"/>
            <w:bCs/>
            <w:lang w:val="fr-FR"/>
          </w:rPr>
          <w:t>.</w:t>
        </w:r>
        <w:r w:rsidRPr="006835D9">
          <w:rPr>
            <w:rStyle w:val="Hyperlink"/>
            <w:bCs/>
            <w:lang w:val="fr-FR"/>
          </w:rPr>
          <w:t>org</w:t>
        </w:r>
      </w:hyperlink>
      <w:r w:rsidRPr="006835D9">
        <w:rPr>
          <w:bCs/>
          <w:lang w:val="fr-FR"/>
        </w:rPr>
        <w:t> ; »</w:t>
      </w:r>
      <w:r w:rsidR="00FC1209" w:rsidRPr="00FC1209">
        <w:rPr>
          <w:bCs/>
          <w:lang w:val="fr-FR"/>
        </w:rPr>
        <w:t>.</w:t>
      </w:r>
      <w:r w:rsidRPr="006835D9">
        <w:rPr>
          <w:bCs/>
          <w:lang w:val="fr-FR"/>
        </w:rPr>
        <w:t> »</w:t>
      </w:r>
      <w:r w:rsidR="00FC1209" w:rsidRPr="00FC1209">
        <w:rPr>
          <w:bCs/>
          <w:lang w:val="fr-FR"/>
        </w:rPr>
        <w:t>.</w:t>
      </w:r>
    </w:p>
    <w:p w14:paraId="3799ECC7" w14:textId="49979F5D" w:rsidR="00520996" w:rsidRPr="006835D9" w:rsidRDefault="00520996" w:rsidP="00520996">
      <w:pPr>
        <w:pStyle w:val="SingleTxtG"/>
        <w:ind w:right="1133"/>
        <w:rPr>
          <w:bCs/>
          <w:lang w:val="fr-FR"/>
        </w:rPr>
      </w:pPr>
      <w:r w:rsidRPr="006835D9">
        <w:rPr>
          <w:bCs/>
          <w:i/>
          <w:iCs/>
          <w:lang w:val="fr-FR"/>
        </w:rPr>
        <w:t xml:space="preserve">(Document de référence : </w:t>
      </w:r>
      <w:r w:rsidRPr="006835D9">
        <w:rPr>
          <w:i/>
          <w:iCs/>
          <w:lang w:val="fr-FR"/>
        </w:rPr>
        <w:t>ECE/TRANS/WP</w:t>
      </w:r>
      <w:r w:rsidR="00FC1209" w:rsidRPr="00FC1209">
        <w:rPr>
          <w:i/>
          <w:iCs/>
          <w:lang w:val="fr-FR"/>
        </w:rPr>
        <w:t>.</w:t>
      </w:r>
      <w:r w:rsidRPr="006835D9">
        <w:rPr>
          <w:i/>
          <w:iCs/>
          <w:lang w:val="fr-FR"/>
        </w:rPr>
        <w:t>15/AC</w:t>
      </w:r>
      <w:r w:rsidR="00FC1209" w:rsidRPr="00FC1209">
        <w:rPr>
          <w:i/>
          <w:iCs/>
          <w:lang w:val="fr-FR"/>
        </w:rPr>
        <w:t>.</w:t>
      </w:r>
      <w:r w:rsidRPr="006835D9">
        <w:rPr>
          <w:i/>
          <w:iCs/>
          <w:lang w:val="fr-FR"/>
        </w:rPr>
        <w:t xml:space="preserve">1/2020/13 et </w:t>
      </w:r>
      <w:r w:rsidRPr="006835D9">
        <w:rPr>
          <w:bCs/>
          <w:i/>
          <w:iCs/>
          <w:lang w:val="fr-FR"/>
        </w:rPr>
        <w:t>document informel INF</w:t>
      </w:r>
      <w:r w:rsidR="00FC1209" w:rsidRPr="00FC1209">
        <w:rPr>
          <w:bCs/>
          <w:i/>
          <w:iCs/>
          <w:lang w:val="fr-FR"/>
        </w:rPr>
        <w:t>.</w:t>
      </w:r>
      <w:r w:rsidRPr="006835D9">
        <w:rPr>
          <w:bCs/>
          <w:i/>
          <w:iCs/>
          <w:lang w:val="fr-FR"/>
        </w:rPr>
        <w:t>39 tel qu</w:t>
      </w:r>
      <w:r w:rsidR="00F70B88">
        <w:rPr>
          <w:bCs/>
          <w:i/>
          <w:iCs/>
          <w:lang w:val="fr-FR"/>
        </w:rPr>
        <w:t>’</w:t>
      </w:r>
      <w:r w:rsidRPr="006835D9">
        <w:rPr>
          <w:bCs/>
          <w:i/>
          <w:iCs/>
          <w:lang w:val="fr-FR"/>
        </w:rPr>
        <w:t>amendé)</w:t>
      </w:r>
    </w:p>
    <w:p w14:paraId="2AD258D3" w14:textId="45C5F793" w:rsidR="00520996" w:rsidRDefault="00520996" w:rsidP="00520996">
      <w:pPr>
        <w:pStyle w:val="H1G"/>
        <w:rPr>
          <w:lang w:val="fr-FR"/>
        </w:rPr>
      </w:pPr>
      <w:r>
        <w:rPr>
          <w:lang w:val="fr-FR"/>
        </w:rPr>
        <w:tab/>
      </w:r>
      <w:r>
        <w:rPr>
          <w:lang w:val="fr-FR"/>
        </w:rPr>
        <w:tab/>
        <w:t>Chapitre 1</w:t>
      </w:r>
      <w:r w:rsidR="00FC1209" w:rsidRPr="00FC1209">
        <w:rPr>
          <w:lang w:val="fr-FR"/>
        </w:rPr>
        <w:t>.</w:t>
      </w:r>
      <w:r>
        <w:rPr>
          <w:lang w:val="fr-FR"/>
        </w:rPr>
        <w:t>6</w:t>
      </w:r>
    </w:p>
    <w:p w14:paraId="62A6525E" w14:textId="473CC28B" w:rsidR="00520996" w:rsidRPr="006835D9" w:rsidRDefault="00520996" w:rsidP="00520996">
      <w:pPr>
        <w:pStyle w:val="SingleTxtG"/>
        <w:ind w:right="282"/>
        <w:rPr>
          <w:bCs/>
          <w:snapToGrid w:val="0"/>
          <w:szCs w:val="24"/>
          <w:lang w:val="fr-FR"/>
        </w:rPr>
      </w:pPr>
      <w:r w:rsidRPr="006835D9">
        <w:rPr>
          <w:bCs/>
          <w:lang w:val="fr-FR"/>
        </w:rPr>
        <w:tab/>
      </w:r>
      <w:r>
        <w:rPr>
          <w:bCs/>
          <w:lang w:val="fr-FR"/>
        </w:rPr>
        <w:t>1</w:t>
      </w:r>
      <w:r w:rsidR="00FC1209" w:rsidRPr="00FC1209">
        <w:rPr>
          <w:bCs/>
          <w:lang w:val="fr-FR"/>
        </w:rPr>
        <w:t>.</w:t>
      </w:r>
      <w:r>
        <w:rPr>
          <w:bCs/>
          <w:lang w:val="fr-FR"/>
        </w:rPr>
        <w:t>6</w:t>
      </w:r>
      <w:r w:rsidR="00FC1209" w:rsidRPr="00FC1209">
        <w:rPr>
          <w:bCs/>
          <w:lang w:val="fr-FR"/>
        </w:rPr>
        <w:t>.</w:t>
      </w:r>
      <w:r>
        <w:rPr>
          <w:bCs/>
          <w:lang w:val="fr-FR"/>
        </w:rPr>
        <w:t>4</w:t>
      </w:r>
      <w:r w:rsidRPr="006835D9">
        <w:rPr>
          <w:bCs/>
          <w:lang w:val="fr-FR"/>
        </w:rPr>
        <w:tab/>
      </w:r>
      <w:r w:rsidRPr="006835D9">
        <w:rPr>
          <w:bCs/>
          <w:lang w:val="fr-FR"/>
        </w:rPr>
        <w:tab/>
      </w:r>
      <w:r w:rsidRPr="006835D9">
        <w:rPr>
          <w:bCs/>
          <w:snapToGrid w:val="0"/>
          <w:szCs w:val="24"/>
          <w:lang w:val="fr-FR"/>
        </w:rPr>
        <w:t>Ajouter la nouvelle mesure transitoire suivante :</w:t>
      </w:r>
    </w:p>
    <w:p w14:paraId="21B2D770" w14:textId="4620E5E5" w:rsidR="00520996" w:rsidRDefault="00520996" w:rsidP="00F70B88">
      <w:pPr>
        <w:pStyle w:val="SingleTxtG"/>
        <w:ind w:left="2268" w:hanging="1134"/>
        <w:rPr>
          <w:rFonts w:asciiTheme="majorBidi" w:hAnsiTheme="majorBidi" w:cstheme="majorBidi"/>
          <w:bCs/>
          <w:lang w:val="fr-FR"/>
        </w:rPr>
      </w:pPr>
      <w:r w:rsidRPr="006835D9">
        <w:rPr>
          <w:bCs/>
          <w:snapToGrid w:val="0"/>
          <w:szCs w:val="24"/>
          <w:lang w:val="fr-FR"/>
        </w:rPr>
        <w:t>« 1</w:t>
      </w:r>
      <w:r w:rsidR="00FC1209" w:rsidRPr="00FC1209">
        <w:rPr>
          <w:bCs/>
          <w:snapToGrid w:val="0"/>
          <w:szCs w:val="24"/>
          <w:lang w:val="fr-FR"/>
        </w:rPr>
        <w:t>.</w:t>
      </w:r>
      <w:r w:rsidRPr="006835D9">
        <w:rPr>
          <w:bCs/>
          <w:snapToGrid w:val="0"/>
          <w:szCs w:val="24"/>
          <w:lang w:val="fr-FR"/>
        </w:rPr>
        <w:t>6</w:t>
      </w:r>
      <w:r w:rsidR="00FC1209" w:rsidRPr="00FC1209">
        <w:rPr>
          <w:bCs/>
          <w:snapToGrid w:val="0"/>
          <w:szCs w:val="24"/>
          <w:lang w:val="fr-FR"/>
        </w:rPr>
        <w:t>.</w:t>
      </w:r>
      <w:r w:rsidRPr="006835D9">
        <w:rPr>
          <w:bCs/>
          <w:snapToGrid w:val="0"/>
          <w:szCs w:val="24"/>
          <w:lang w:val="fr-FR"/>
        </w:rPr>
        <w:t>4</w:t>
      </w:r>
      <w:r w:rsidR="00FC1209" w:rsidRPr="00FC1209">
        <w:rPr>
          <w:bCs/>
          <w:snapToGrid w:val="0"/>
          <w:szCs w:val="24"/>
          <w:lang w:val="fr-FR"/>
        </w:rPr>
        <w:t>.</w:t>
      </w:r>
      <w:r w:rsidRPr="006835D9">
        <w:rPr>
          <w:bCs/>
          <w:snapToGrid w:val="0"/>
          <w:szCs w:val="24"/>
          <w:lang w:val="fr-FR"/>
        </w:rPr>
        <w:t>56</w:t>
      </w:r>
      <w:r w:rsidRPr="006835D9">
        <w:rPr>
          <w:bCs/>
          <w:snapToGrid w:val="0"/>
          <w:szCs w:val="24"/>
          <w:lang w:val="fr-FR"/>
        </w:rPr>
        <w:tab/>
      </w:r>
      <w:r w:rsidRPr="006450E9">
        <w:rPr>
          <w:rFonts w:asciiTheme="majorBidi" w:hAnsiTheme="majorBidi" w:cstheme="majorBidi"/>
          <w:bCs/>
          <w:lang w:val="fr-FR"/>
        </w:rPr>
        <w:t>Les conteneurs-citernes construits avant le 1</w:t>
      </w:r>
      <w:r w:rsidRPr="006450E9">
        <w:rPr>
          <w:rFonts w:asciiTheme="majorBidi" w:hAnsiTheme="majorBidi" w:cstheme="majorBidi"/>
          <w:bCs/>
          <w:vertAlign w:val="superscript"/>
          <w:lang w:val="fr-FR"/>
        </w:rPr>
        <w:t>er</w:t>
      </w:r>
      <w:r w:rsidRPr="006450E9">
        <w:rPr>
          <w:rFonts w:asciiTheme="majorBidi" w:hAnsiTheme="majorBidi" w:cstheme="majorBidi"/>
          <w:bCs/>
          <w:lang w:val="fr-FR"/>
        </w:rPr>
        <w:t xml:space="preserve"> juillet 2023 conformément aux prescriptions applicables jusqu</w:t>
      </w:r>
      <w:r w:rsidR="00F70B88">
        <w:rPr>
          <w:rFonts w:asciiTheme="majorBidi" w:hAnsiTheme="majorBidi" w:cstheme="majorBidi"/>
          <w:bCs/>
          <w:lang w:val="fr-FR"/>
        </w:rPr>
        <w:t>’</w:t>
      </w:r>
      <w:r w:rsidRPr="006450E9">
        <w:rPr>
          <w:rFonts w:asciiTheme="majorBidi" w:hAnsiTheme="majorBidi" w:cstheme="majorBidi"/>
          <w:bCs/>
          <w:lang w:val="fr-FR"/>
        </w:rPr>
        <w:t>au 31 décembre 2022, mais qui ne sont pas conformes aux prescriptions du 6</w:t>
      </w:r>
      <w:r w:rsidR="00FC1209" w:rsidRPr="00FC1209">
        <w:rPr>
          <w:rFonts w:asciiTheme="majorBidi" w:hAnsiTheme="majorBidi" w:cstheme="majorBidi"/>
          <w:bCs/>
          <w:lang w:val="fr-FR"/>
        </w:rPr>
        <w:t>.</w:t>
      </w:r>
      <w:r w:rsidRPr="006450E9">
        <w:rPr>
          <w:rFonts w:asciiTheme="majorBidi" w:hAnsiTheme="majorBidi" w:cstheme="majorBidi"/>
          <w:bCs/>
          <w:lang w:val="fr-FR"/>
        </w:rPr>
        <w:t>8</w:t>
      </w:r>
      <w:r w:rsidR="00FC1209" w:rsidRPr="00FC1209">
        <w:rPr>
          <w:rFonts w:asciiTheme="majorBidi" w:hAnsiTheme="majorBidi" w:cstheme="majorBidi"/>
          <w:bCs/>
          <w:lang w:val="fr-FR"/>
        </w:rPr>
        <w:t>.</w:t>
      </w:r>
      <w:r w:rsidRPr="006450E9">
        <w:rPr>
          <w:rFonts w:asciiTheme="majorBidi" w:hAnsiTheme="majorBidi" w:cstheme="majorBidi"/>
          <w:bCs/>
          <w:lang w:val="fr-FR"/>
        </w:rPr>
        <w:t>2</w:t>
      </w:r>
      <w:r w:rsidR="00FC1209" w:rsidRPr="00FC1209">
        <w:rPr>
          <w:rFonts w:asciiTheme="majorBidi" w:hAnsiTheme="majorBidi" w:cstheme="majorBidi"/>
          <w:bCs/>
          <w:lang w:val="fr-FR"/>
        </w:rPr>
        <w:t>.</w:t>
      </w:r>
      <w:r w:rsidRPr="006450E9">
        <w:rPr>
          <w:rFonts w:asciiTheme="majorBidi" w:hAnsiTheme="majorBidi" w:cstheme="majorBidi"/>
          <w:bCs/>
          <w:lang w:val="fr-FR"/>
        </w:rPr>
        <w:t>2</w:t>
      </w:r>
      <w:r w:rsidR="00FC1209" w:rsidRPr="00FC1209">
        <w:rPr>
          <w:rFonts w:asciiTheme="majorBidi" w:hAnsiTheme="majorBidi" w:cstheme="majorBidi"/>
          <w:bCs/>
          <w:lang w:val="fr-FR"/>
        </w:rPr>
        <w:t>.</w:t>
      </w:r>
      <w:r w:rsidRPr="006450E9">
        <w:rPr>
          <w:rFonts w:asciiTheme="majorBidi" w:hAnsiTheme="majorBidi" w:cstheme="majorBidi"/>
          <w:bCs/>
          <w:lang w:val="fr-FR"/>
        </w:rPr>
        <w:t>4, deuxième paragraphe</w:t>
      </w:r>
      <w:r w:rsidRPr="006835D9">
        <w:rPr>
          <w:rFonts w:asciiTheme="majorBidi" w:hAnsiTheme="majorBidi" w:cstheme="majorBidi"/>
          <w:bCs/>
          <w:lang w:val="fr-FR"/>
        </w:rPr>
        <w:t>,</w:t>
      </w:r>
      <w:r w:rsidRPr="006450E9">
        <w:rPr>
          <w:rFonts w:asciiTheme="majorBidi" w:hAnsiTheme="majorBidi" w:cstheme="majorBidi"/>
          <w:bCs/>
          <w:lang w:val="fr-FR"/>
        </w:rPr>
        <w:t xml:space="preserve"> applicables à partir du 1</w:t>
      </w:r>
      <w:r w:rsidRPr="006450E9">
        <w:rPr>
          <w:rFonts w:asciiTheme="majorBidi" w:hAnsiTheme="majorBidi" w:cstheme="majorBidi"/>
          <w:bCs/>
          <w:vertAlign w:val="superscript"/>
          <w:lang w:val="fr-FR"/>
        </w:rPr>
        <w:t>er</w:t>
      </w:r>
      <w:r w:rsidRPr="006450E9">
        <w:rPr>
          <w:rFonts w:asciiTheme="majorBidi" w:hAnsiTheme="majorBidi" w:cstheme="majorBidi"/>
          <w:bCs/>
          <w:lang w:val="fr-FR"/>
        </w:rPr>
        <w:t xml:space="preserve"> janvier 2023 pourront encore être utilisés</w:t>
      </w:r>
      <w:r w:rsidR="00FC1209" w:rsidRPr="00FC1209">
        <w:rPr>
          <w:rFonts w:asciiTheme="majorBidi" w:hAnsiTheme="majorBidi" w:cstheme="majorBidi"/>
          <w:bCs/>
          <w:lang w:val="fr-FR"/>
        </w:rPr>
        <w:t>.</w:t>
      </w:r>
      <w:r>
        <w:rPr>
          <w:rFonts w:asciiTheme="majorBidi" w:hAnsiTheme="majorBidi" w:cstheme="majorBidi"/>
          <w:bCs/>
          <w:lang w:val="fr-FR"/>
        </w:rPr>
        <w:t> »</w:t>
      </w:r>
      <w:r w:rsidR="00FC1209" w:rsidRPr="00FC1209">
        <w:rPr>
          <w:rFonts w:asciiTheme="majorBidi" w:hAnsiTheme="majorBidi" w:cstheme="majorBidi"/>
          <w:bCs/>
          <w:lang w:val="fr-FR"/>
        </w:rPr>
        <w:t>.</w:t>
      </w:r>
    </w:p>
    <w:p w14:paraId="3D53EC8D" w14:textId="2007D384" w:rsidR="00520996" w:rsidRPr="006835D9" w:rsidRDefault="00520996" w:rsidP="00633E2F">
      <w:pPr>
        <w:pStyle w:val="SingleTxtG"/>
        <w:ind w:right="282"/>
        <w:rPr>
          <w:bCs/>
          <w:lang w:val="fr-FR"/>
        </w:rPr>
      </w:pPr>
      <w:r w:rsidRPr="006835D9">
        <w:rPr>
          <w:bCs/>
          <w:i/>
          <w:iCs/>
          <w:lang w:val="fr-FR"/>
        </w:rPr>
        <w:t>(Documents de référence : ECE/TRANS/WP</w:t>
      </w:r>
      <w:r w:rsidR="00FC1209" w:rsidRPr="00FC1209">
        <w:rPr>
          <w:bCs/>
          <w:i/>
          <w:iCs/>
          <w:lang w:val="fr-FR"/>
        </w:rPr>
        <w:t>.</w:t>
      </w:r>
      <w:r w:rsidRPr="006835D9">
        <w:rPr>
          <w:bCs/>
          <w:i/>
          <w:iCs/>
          <w:lang w:val="fr-FR"/>
        </w:rPr>
        <w:t>15/AC</w:t>
      </w:r>
      <w:r w:rsidR="00FC1209" w:rsidRPr="00FC1209">
        <w:rPr>
          <w:bCs/>
          <w:i/>
          <w:iCs/>
          <w:lang w:val="fr-FR"/>
        </w:rPr>
        <w:t>.</w:t>
      </w:r>
      <w:r w:rsidRPr="006835D9">
        <w:rPr>
          <w:bCs/>
          <w:i/>
          <w:iCs/>
          <w:lang w:val="fr-FR"/>
        </w:rPr>
        <w:t>1/2021/8 et document informel INF</w:t>
      </w:r>
      <w:r w:rsidR="00FC1209" w:rsidRPr="00FC1209">
        <w:rPr>
          <w:bCs/>
          <w:i/>
          <w:iCs/>
          <w:lang w:val="fr-FR"/>
        </w:rPr>
        <w:t>.</w:t>
      </w:r>
      <w:r w:rsidRPr="006835D9">
        <w:rPr>
          <w:bCs/>
          <w:i/>
          <w:iCs/>
          <w:lang w:val="fr-FR"/>
        </w:rPr>
        <w:t>43)</w:t>
      </w:r>
    </w:p>
    <w:p w14:paraId="57A6A53A" w14:textId="225CA488" w:rsidR="00520996" w:rsidRDefault="00520996" w:rsidP="00520996">
      <w:pPr>
        <w:pStyle w:val="H1G"/>
        <w:rPr>
          <w:lang w:val="fr-FR"/>
        </w:rPr>
      </w:pPr>
      <w:r>
        <w:rPr>
          <w:lang w:val="fr-FR"/>
        </w:rPr>
        <w:lastRenderedPageBreak/>
        <w:tab/>
      </w:r>
      <w:r>
        <w:rPr>
          <w:lang w:val="fr-FR"/>
        </w:rPr>
        <w:tab/>
        <w:t>Chapitre 1</w:t>
      </w:r>
      <w:r w:rsidR="00FC1209" w:rsidRPr="00FC1209">
        <w:rPr>
          <w:lang w:val="fr-FR"/>
        </w:rPr>
        <w:t>.</w:t>
      </w:r>
      <w:r>
        <w:rPr>
          <w:lang w:val="fr-FR"/>
        </w:rPr>
        <w:t>10</w:t>
      </w:r>
    </w:p>
    <w:p w14:paraId="2F1D9144" w14:textId="121D2896" w:rsidR="00520996" w:rsidRPr="006835D9" w:rsidRDefault="00520996" w:rsidP="00C629FC">
      <w:pPr>
        <w:pStyle w:val="SingleTxtG"/>
        <w:ind w:left="2268" w:hanging="1134"/>
        <w:rPr>
          <w:bCs/>
          <w:lang w:val="fr-FR"/>
        </w:rPr>
      </w:pPr>
      <w:r w:rsidRPr="006835D9">
        <w:rPr>
          <w:bCs/>
          <w:lang w:val="fr-FR"/>
        </w:rPr>
        <w:t>1</w:t>
      </w:r>
      <w:r w:rsidR="00FC1209" w:rsidRPr="00FC1209">
        <w:rPr>
          <w:bCs/>
          <w:lang w:val="fr-FR"/>
        </w:rPr>
        <w:t>.</w:t>
      </w:r>
      <w:r w:rsidRPr="006835D9">
        <w:rPr>
          <w:bCs/>
          <w:lang w:val="fr-FR"/>
        </w:rPr>
        <w:t>10</w:t>
      </w:r>
      <w:r w:rsidR="00FC1209" w:rsidRPr="00FC1209">
        <w:rPr>
          <w:bCs/>
          <w:lang w:val="fr-FR"/>
        </w:rPr>
        <w:t>.</w:t>
      </w:r>
      <w:r w:rsidRPr="006835D9">
        <w:rPr>
          <w:bCs/>
          <w:lang w:val="fr-FR"/>
        </w:rPr>
        <w:t>4</w:t>
      </w:r>
      <w:r w:rsidR="00C629FC">
        <w:rPr>
          <w:bCs/>
          <w:lang w:val="fr-FR"/>
        </w:rPr>
        <w:tab/>
      </w:r>
      <w:r w:rsidRPr="006835D9">
        <w:rPr>
          <w:bCs/>
          <w:lang w:val="fr-FR"/>
        </w:rPr>
        <w:t>Dans la première phrase, après « 0500, », insérer « 0511, »</w:t>
      </w:r>
      <w:r w:rsidR="00FC1209" w:rsidRPr="00FC1209">
        <w:rPr>
          <w:bCs/>
          <w:lang w:val="fr-FR"/>
        </w:rPr>
        <w:t>.</w:t>
      </w:r>
    </w:p>
    <w:p w14:paraId="1C5AA676" w14:textId="44DAB6DD" w:rsidR="00520996" w:rsidRPr="006835D9" w:rsidRDefault="00520996" w:rsidP="00520996">
      <w:pPr>
        <w:pStyle w:val="SingleTxtG"/>
        <w:rPr>
          <w:bCs/>
          <w:i/>
          <w:iCs/>
          <w:lang w:val="fr-FR"/>
        </w:rPr>
      </w:pPr>
      <w:r w:rsidRPr="006835D9">
        <w:rPr>
          <w:bCs/>
          <w:i/>
          <w:iCs/>
          <w:lang w:val="fr-FR"/>
        </w:rPr>
        <w:t>(Document de référence : ECE/TRANS/WP</w:t>
      </w:r>
      <w:r w:rsidR="00FC1209" w:rsidRPr="00FC1209">
        <w:rPr>
          <w:bCs/>
          <w:i/>
          <w:iCs/>
          <w:lang w:val="fr-FR"/>
        </w:rPr>
        <w:t>.</w:t>
      </w:r>
      <w:r w:rsidRPr="006835D9">
        <w:rPr>
          <w:bCs/>
          <w:i/>
          <w:iCs/>
          <w:lang w:val="fr-FR"/>
        </w:rPr>
        <w:t>15/AC</w:t>
      </w:r>
      <w:r w:rsidR="00FC1209" w:rsidRPr="00FC1209">
        <w:rPr>
          <w:bCs/>
          <w:i/>
          <w:iCs/>
          <w:lang w:val="fr-FR"/>
        </w:rPr>
        <w:t>.</w:t>
      </w:r>
      <w:r w:rsidRPr="006835D9">
        <w:rPr>
          <w:bCs/>
          <w:i/>
          <w:iCs/>
          <w:lang w:val="fr-FR"/>
        </w:rPr>
        <w:t>1/2021/4)</w:t>
      </w:r>
    </w:p>
    <w:p w14:paraId="5CB0BEA7" w14:textId="201316A5" w:rsidR="00520996" w:rsidRPr="006835D9" w:rsidRDefault="00520996" w:rsidP="00520996">
      <w:pPr>
        <w:pStyle w:val="H1G"/>
        <w:rPr>
          <w:lang w:val="fr-FR"/>
        </w:rPr>
      </w:pPr>
      <w:r w:rsidRPr="006835D9">
        <w:rPr>
          <w:lang w:val="fr-FR"/>
        </w:rPr>
        <w:tab/>
      </w:r>
      <w:r w:rsidRPr="006835D9">
        <w:rPr>
          <w:lang w:val="fr-FR"/>
        </w:rPr>
        <w:tab/>
      </w:r>
      <w:r w:rsidRPr="006835D9">
        <w:rPr>
          <w:lang w:val="fr-FR"/>
        </w:rPr>
        <w:tab/>
        <w:t>Chapitre 2</w:t>
      </w:r>
      <w:r w:rsidR="00FC1209" w:rsidRPr="00FC1209">
        <w:rPr>
          <w:lang w:val="fr-FR"/>
        </w:rPr>
        <w:t>.</w:t>
      </w:r>
      <w:r w:rsidRPr="006835D9">
        <w:rPr>
          <w:lang w:val="fr-FR"/>
        </w:rPr>
        <w:t>2</w:t>
      </w:r>
    </w:p>
    <w:p w14:paraId="1EF0FB16" w14:textId="13A2E36B" w:rsidR="00520996" w:rsidRPr="006835D9" w:rsidRDefault="00520996" w:rsidP="00C629FC">
      <w:pPr>
        <w:pStyle w:val="SingleTxtG"/>
        <w:ind w:left="2268" w:hanging="1134"/>
        <w:rPr>
          <w:bCs/>
          <w:lang w:val="fr-FR"/>
        </w:rPr>
      </w:pPr>
      <w:r w:rsidRPr="006835D9">
        <w:rPr>
          <w:bCs/>
          <w:lang w:val="fr-FR"/>
        </w:rPr>
        <w:t>2</w:t>
      </w:r>
      <w:r w:rsidR="00FC1209" w:rsidRPr="00FC1209">
        <w:rPr>
          <w:bCs/>
          <w:lang w:val="fr-FR"/>
        </w:rPr>
        <w:t>.</w:t>
      </w:r>
      <w:r w:rsidRPr="006835D9">
        <w:rPr>
          <w:bCs/>
          <w:lang w:val="fr-FR"/>
        </w:rPr>
        <w:t>2</w:t>
      </w:r>
      <w:r w:rsidR="00FC1209" w:rsidRPr="00FC1209">
        <w:rPr>
          <w:bCs/>
          <w:lang w:val="fr-FR"/>
        </w:rPr>
        <w:t>.</w:t>
      </w:r>
      <w:r w:rsidRPr="006835D9">
        <w:rPr>
          <w:bCs/>
          <w:lang w:val="fr-FR"/>
        </w:rPr>
        <w:t>9</w:t>
      </w:r>
      <w:r w:rsidR="00FC1209" w:rsidRPr="00FC1209">
        <w:rPr>
          <w:bCs/>
          <w:lang w:val="fr-FR"/>
        </w:rPr>
        <w:t>.</w:t>
      </w:r>
      <w:r w:rsidRPr="006835D9">
        <w:rPr>
          <w:bCs/>
          <w:lang w:val="fr-FR"/>
        </w:rPr>
        <w:t>3</w:t>
      </w:r>
      <w:r w:rsidRPr="006835D9">
        <w:rPr>
          <w:bCs/>
          <w:lang w:val="fr-FR"/>
        </w:rPr>
        <w:tab/>
      </w:r>
      <w:r w:rsidRPr="006835D9">
        <w:rPr>
          <w:bCs/>
          <w:lang w:val="fr-FR"/>
        </w:rPr>
        <w:tab/>
        <w:t>[L</w:t>
      </w:r>
      <w:r w:rsidR="00F70B88">
        <w:rPr>
          <w:bCs/>
          <w:lang w:val="fr-FR"/>
        </w:rPr>
        <w:t>’</w:t>
      </w:r>
      <w:r w:rsidRPr="006835D9">
        <w:rPr>
          <w:bCs/>
          <w:lang w:val="fr-FR"/>
        </w:rPr>
        <w:t>amendement au code de classification M11, No ONU 3359, dans la version allemande ne s</w:t>
      </w:r>
      <w:r w:rsidR="00F70B88">
        <w:rPr>
          <w:bCs/>
          <w:lang w:val="fr-FR"/>
        </w:rPr>
        <w:t>’</w:t>
      </w:r>
      <w:r w:rsidRPr="006835D9">
        <w:rPr>
          <w:bCs/>
          <w:lang w:val="fr-FR"/>
        </w:rPr>
        <w:t>applique pas au texte français</w:t>
      </w:r>
      <w:r w:rsidR="00FC1209" w:rsidRPr="00FC1209">
        <w:rPr>
          <w:bCs/>
          <w:lang w:val="fr-FR"/>
        </w:rPr>
        <w:t>.</w:t>
      </w:r>
      <w:r w:rsidRPr="006835D9">
        <w:rPr>
          <w:bCs/>
          <w:lang w:val="fr-FR"/>
        </w:rPr>
        <w:t>]</w:t>
      </w:r>
    </w:p>
    <w:p w14:paraId="1DDD440D" w14:textId="4426D566" w:rsidR="00520996" w:rsidRPr="006835D9" w:rsidRDefault="00520996" w:rsidP="00520996">
      <w:pPr>
        <w:pStyle w:val="H1G"/>
        <w:rPr>
          <w:lang w:val="fr-FR"/>
        </w:rPr>
      </w:pPr>
      <w:r w:rsidRPr="006835D9">
        <w:rPr>
          <w:lang w:val="fr-FR"/>
        </w:rPr>
        <w:tab/>
      </w:r>
      <w:r w:rsidRPr="006835D9">
        <w:rPr>
          <w:lang w:val="fr-FR"/>
        </w:rPr>
        <w:tab/>
        <w:t>Chapitre 3</w:t>
      </w:r>
      <w:r w:rsidR="00FC1209" w:rsidRPr="00FC1209">
        <w:rPr>
          <w:lang w:val="fr-FR"/>
        </w:rPr>
        <w:t>.</w:t>
      </w:r>
      <w:r w:rsidRPr="006835D9">
        <w:rPr>
          <w:lang w:val="fr-FR"/>
        </w:rPr>
        <w:t>2, tableau A</w:t>
      </w:r>
    </w:p>
    <w:p w14:paraId="4C885E05" w14:textId="3893CC7D" w:rsidR="00520996" w:rsidRPr="006835D9" w:rsidRDefault="00520996" w:rsidP="00520996">
      <w:pPr>
        <w:pStyle w:val="SingleTxtG"/>
        <w:ind w:right="1133"/>
        <w:rPr>
          <w:bCs/>
          <w:lang w:val="fr-FR"/>
        </w:rPr>
      </w:pPr>
      <w:r w:rsidRPr="006835D9">
        <w:rPr>
          <w:bCs/>
          <w:lang w:val="fr-FR"/>
        </w:rPr>
        <w:t xml:space="preserve">Pour les </w:t>
      </w:r>
      <w:r w:rsidR="00C629FC">
        <w:rPr>
          <w:bCs/>
          <w:lang w:val="fr-FR"/>
        </w:rPr>
        <w:t>numéros</w:t>
      </w:r>
      <w:r w:rsidRPr="006835D9">
        <w:rPr>
          <w:bCs/>
          <w:lang w:val="fr-FR"/>
        </w:rPr>
        <w:t xml:space="preserve"> ONU auxquels la disposition spéciale 386 est affectée dans la colonne (6), insérer « 676 » dans la colonne (6)</w:t>
      </w:r>
      <w:r w:rsidR="00FC1209" w:rsidRPr="00FC1209">
        <w:rPr>
          <w:bCs/>
          <w:lang w:val="fr-FR"/>
        </w:rPr>
        <w:t>.</w:t>
      </w:r>
    </w:p>
    <w:p w14:paraId="268BC19B" w14:textId="55D66543" w:rsidR="00520996" w:rsidRPr="00C629FC" w:rsidRDefault="00520996" w:rsidP="00C629FC">
      <w:pPr>
        <w:pStyle w:val="SingleTxtG"/>
        <w:ind w:right="1133"/>
        <w:rPr>
          <w:bCs/>
          <w:spacing w:val="-4"/>
          <w:lang w:val="fr-FR"/>
        </w:rPr>
      </w:pPr>
      <w:r w:rsidRPr="00C629FC">
        <w:rPr>
          <w:bCs/>
          <w:i/>
          <w:iCs/>
          <w:spacing w:val="-4"/>
          <w:lang w:val="fr-FR"/>
        </w:rPr>
        <w:t>(Document de référence : document ECE/TRANS/WP</w:t>
      </w:r>
      <w:r w:rsidR="00FC1209" w:rsidRPr="00FC1209">
        <w:rPr>
          <w:bCs/>
          <w:i/>
          <w:iCs/>
          <w:spacing w:val="-4"/>
          <w:lang w:val="fr-FR"/>
        </w:rPr>
        <w:t>.</w:t>
      </w:r>
      <w:r w:rsidRPr="00C629FC">
        <w:rPr>
          <w:bCs/>
          <w:i/>
          <w:iCs/>
          <w:spacing w:val="-4"/>
          <w:lang w:val="fr-FR"/>
        </w:rPr>
        <w:t>15/AC</w:t>
      </w:r>
      <w:r w:rsidR="00FC1209" w:rsidRPr="00FC1209">
        <w:rPr>
          <w:bCs/>
          <w:i/>
          <w:iCs/>
          <w:spacing w:val="-4"/>
          <w:lang w:val="fr-FR"/>
        </w:rPr>
        <w:t>.</w:t>
      </w:r>
      <w:r w:rsidRPr="00C629FC">
        <w:rPr>
          <w:bCs/>
          <w:i/>
          <w:iCs/>
          <w:spacing w:val="-4"/>
          <w:lang w:val="fr-FR"/>
        </w:rPr>
        <w:t>1/2020/51/Rev</w:t>
      </w:r>
      <w:r w:rsidR="00FC1209" w:rsidRPr="00FC1209">
        <w:rPr>
          <w:bCs/>
          <w:i/>
          <w:iCs/>
          <w:spacing w:val="-4"/>
          <w:lang w:val="fr-FR"/>
        </w:rPr>
        <w:t>.</w:t>
      </w:r>
      <w:r w:rsidRPr="00C629FC">
        <w:rPr>
          <w:bCs/>
          <w:i/>
          <w:iCs/>
          <w:spacing w:val="-4"/>
          <w:lang w:val="fr-FR"/>
        </w:rPr>
        <w:t>1 tel qu</w:t>
      </w:r>
      <w:r w:rsidR="00F70B88" w:rsidRPr="00C629FC">
        <w:rPr>
          <w:bCs/>
          <w:i/>
          <w:iCs/>
          <w:spacing w:val="-4"/>
          <w:lang w:val="fr-FR"/>
        </w:rPr>
        <w:t>’</w:t>
      </w:r>
      <w:r w:rsidRPr="00C629FC">
        <w:rPr>
          <w:bCs/>
          <w:i/>
          <w:iCs/>
          <w:spacing w:val="-4"/>
          <w:lang w:val="fr-FR"/>
        </w:rPr>
        <w:t>amendé)</w:t>
      </w:r>
    </w:p>
    <w:p w14:paraId="3F8BD0F0" w14:textId="4EDAE645" w:rsidR="00520996" w:rsidRPr="006835D9" w:rsidRDefault="00520996" w:rsidP="00C629FC">
      <w:pPr>
        <w:kinsoku/>
        <w:overflowPunct/>
        <w:autoSpaceDE/>
        <w:autoSpaceDN/>
        <w:adjustRightInd/>
        <w:spacing w:before="120" w:after="120" w:line="240" w:lineRule="auto"/>
        <w:ind w:left="1134" w:right="1134"/>
        <w:rPr>
          <w:lang w:val="fr-FR" w:eastAsia="fr-FR"/>
        </w:rPr>
      </w:pPr>
      <w:r w:rsidRPr="006835D9">
        <w:rPr>
          <w:lang w:val="fr-FR" w:eastAsia="fr-FR"/>
        </w:rPr>
        <w:t>Modifier les rubriques suivantes</w:t>
      </w:r>
      <w:r>
        <w:rPr>
          <w:lang w:val="fr-FR" w:eastAsia="fr-FR"/>
        </w:rPr>
        <w:t> </w:t>
      </w:r>
      <w:r w:rsidRPr="006835D9">
        <w:rPr>
          <w:lang w:val="fr-FR" w:eastAsia="fr-FR"/>
        </w:rPr>
        <w:t>:</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086"/>
        <w:gridCol w:w="6285"/>
      </w:tblGrid>
      <w:tr w:rsidR="00520996" w:rsidRPr="006835D9" w14:paraId="6D97A389" w14:textId="77777777" w:rsidTr="00191B2A">
        <w:trPr>
          <w:cantSplit/>
          <w:tblHeader/>
        </w:trPr>
        <w:tc>
          <w:tcPr>
            <w:tcW w:w="1134" w:type="dxa"/>
            <w:tcBorders>
              <w:top w:val="single" w:sz="4" w:space="0" w:color="auto"/>
              <w:left w:val="single" w:sz="4" w:space="0" w:color="auto"/>
              <w:bottom w:val="single" w:sz="4" w:space="0" w:color="auto"/>
              <w:right w:val="single" w:sz="4" w:space="0" w:color="auto"/>
            </w:tcBorders>
            <w:hideMark/>
          </w:tcPr>
          <w:p w14:paraId="71DB5F27" w14:textId="397C516D" w:rsidR="00520996" w:rsidRPr="006835D9" w:rsidRDefault="00520996" w:rsidP="00191B2A">
            <w:pPr>
              <w:tabs>
                <w:tab w:val="left" w:pos="1418"/>
              </w:tabs>
              <w:kinsoku/>
              <w:overflowPunct/>
              <w:autoSpaceDE/>
              <w:autoSpaceDN/>
              <w:adjustRightInd/>
              <w:snapToGrid/>
              <w:spacing w:before="60" w:after="60" w:line="220" w:lineRule="atLeast"/>
              <w:ind w:left="57" w:right="57"/>
              <w:rPr>
                <w:rFonts w:eastAsia="Calibri" w:cs="Arial"/>
                <w:bCs/>
                <w:szCs w:val="22"/>
                <w:lang w:val="fr-FR"/>
              </w:rPr>
            </w:pPr>
            <w:r>
              <w:rPr>
                <w:rFonts w:cs="Arial"/>
                <w:bCs/>
                <w:szCs w:val="22"/>
                <w:lang w:val="fr-FR" w:eastAsia="fr-FR"/>
              </w:rPr>
              <w:t>No ONU</w:t>
            </w:r>
          </w:p>
        </w:tc>
        <w:tc>
          <w:tcPr>
            <w:tcW w:w="1086" w:type="dxa"/>
            <w:tcBorders>
              <w:top w:val="single" w:sz="4" w:space="0" w:color="auto"/>
              <w:left w:val="single" w:sz="4" w:space="0" w:color="auto"/>
              <w:bottom w:val="single" w:sz="4" w:space="0" w:color="auto"/>
              <w:right w:val="single" w:sz="4" w:space="0" w:color="auto"/>
            </w:tcBorders>
            <w:hideMark/>
          </w:tcPr>
          <w:p w14:paraId="07DE3E74" w14:textId="77777777" w:rsidR="00520996" w:rsidRPr="006835D9" w:rsidRDefault="00520996" w:rsidP="00191B2A">
            <w:pPr>
              <w:tabs>
                <w:tab w:val="left" w:pos="1418"/>
              </w:tabs>
              <w:kinsoku/>
              <w:overflowPunct/>
              <w:autoSpaceDE/>
              <w:autoSpaceDN/>
              <w:adjustRightInd/>
              <w:snapToGrid/>
              <w:spacing w:before="60" w:after="60" w:line="220" w:lineRule="atLeast"/>
              <w:ind w:left="57" w:right="57"/>
              <w:rPr>
                <w:rFonts w:eastAsia="Calibri" w:cs="Arial"/>
                <w:bCs/>
                <w:szCs w:val="22"/>
                <w:lang w:val="fr-FR"/>
              </w:rPr>
            </w:pPr>
            <w:r>
              <w:rPr>
                <w:rFonts w:cs="Arial"/>
                <w:bCs/>
                <w:szCs w:val="22"/>
                <w:lang w:val="fr-FR" w:eastAsia="fr-FR"/>
              </w:rPr>
              <w:t>Colonne</w:t>
            </w:r>
          </w:p>
        </w:tc>
        <w:tc>
          <w:tcPr>
            <w:tcW w:w="6285" w:type="dxa"/>
            <w:tcBorders>
              <w:top w:val="single" w:sz="4" w:space="0" w:color="auto"/>
              <w:left w:val="single" w:sz="4" w:space="0" w:color="auto"/>
              <w:bottom w:val="single" w:sz="4" w:space="0" w:color="auto"/>
              <w:right w:val="single" w:sz="4" w:space="0" w:color="auto"/>
            </w:tcBorders>
            <w:hideMark/>
          </w:tcPr>
          <w:p w14:paraId="740E8F2D" w14:textId="77777777" w:rsidR="00520996" w:rsidRPr="006835D9" w:rsidRDefault="00520996" w:rsidP="00191B2A">
            <w:pPr>
              <w:tabs>
                <w:tab w:val="left" w:pos="1418"/>
              </w:tabs>
              <w:kinsoku/>
              <w:overflowPunct/>
              <w:autoSpaceDE/>
              <w:autoSpaceDN/>
              <w:adjustRightInd/>
              <w:snapToGrid/>
              <w:spacing w:before="60" w:after="60" w:line="220" w:lineRule="atLeast"/>
              <w:ind w:left="57" w:right="57"/>
              <w:rPr>
                <w:rFonts w:eastAsia="Calibri" w:cs="Arial"/>
                <w:bCs/>
                <w:szCs w:val="22"/>
                <w:lang w:val="fr-FR"/>
              </w:rPr>
            </w:pPr>
            <w:r w:rsidRPr="006835D9">
              <w:rPr>
                <w:rFonts w:cs="Arial"/>
                <w:bCs/>
                <w:szCs w:val="22"/>
                <w:lang w:val="fr-FR" w:eastAsia="fr-FR"/>
              </w:rPr>
              <w:t>Amend</w:t>
            </w:r>
            <w:r>
              <w:rPr>
                <w:rFonts w:cs="Arial"/>
                <w:bCs/>
                <w:szCs w:val="22"/>
                <w:lang w:val="fr-FR" w:eastAsia="fr-FR"/>
              </w:rPr>
              <w:t>e</w:t>
            </w:r>
            <w:r w:rsidRPr="006835D9">
              <w:rPr>
                <w:rFonts w:cs="Arial"/>
                <w:bCs/>
                <w:szCs w:val="22"/>
                <w:lang w:val="fr-FR" w:eastAsia="fr-FR"/>
              </w:rPr>
              <w:t>ment</w:t>
            </w:r>
          </w:p>
        </w:tc>
      </w:tr>
      <w:tr w:rsidR="00520996" w:rsidRPr="006835D9" w14:paraId="42E4BB21" w14:textId="77777777" w:rsidTr="00191B2A">
        <w:trPr>
          <w:cantSplit/>
        </w:trPr>
        <w:tc>
          <w:tcPr>
            <w:tcW w:w="1134" w:type="dxa"/>
            <w:tcBorders>
              <w:top w:val="single" w:sz="4" w:space="0" w:color="auto"/>
              <w:left w:val="single" w:sz="4" w:space="0" w:color="auto"/>
              <w:bottom w:val="single" w:sz="4" w:space="0" w:color="auto"/>
              <w:right w:val="single" w:sz="4" w:space="0" w:color="auto"/>
            </w:tcBorders>
            <w:hideMark/>
          </w:tcPr>
          <w:p w14:paraId="6D69B813" w14:textId="77777777" w:rsidR="00520996" w:rsidRPr="006835D9" w:rsidRDefault="00520996" w:rsidP="00191B2A">
            <w:pPr>
              <w:tabs>
                <w:tab w:val="left" w:pos="1418"/>
              </w:tabs>
              <w:kinsoku/>
              <w:overflowPunct/>
              <w:autoSpaceDE/>
              <w:autoSpaceDN/>
              <w:adjustRightInd/>
              <w:snapToGrid/>
              <w:spacing w:before="60" w:after="60" w:line="220" w:lineRule="atLeast"/>
              <w:ind w:left="57" w:right="57"/>
              <w:rPr>
                <w:rFonts w:eastAsia="Calibri" w:cs="Arial"/>
                <w:szCs w:val="22"/>
                <w:lang w:val="fr-FR"/>
              </w:rPr>
            </w:pPr>
            <w:r w:rsidRPr="006835D9">
              <w:rPr>
                <w:rFonts w:eastAsia="Calibri" w:cs="Arial"/>
                <w:szCs w:val="22"/>
                <w:lang w:val="fr-FR"/>
              </w:rPr>
              <w:t>2426</w:t>
            </w:r>
          </w:p>
        </w:tc>
        <w:tc>
          <w:tcPr>
            <w:tcW w:w="1086" w:type="dxa"/>
            <w:tcBorders>
              <w:top w:val="single" w:sz="4" w:space="0" w:color="auto"/>
              <w:left w:val="single" w:sz="4" w:space="0" w:color="auto"/>
              <w:bottom w:val="single" w:sz="4" w:space="0" w:color="auto"/>
              <w:right w:val="single" w:sz="4" w:space="0" w:color="auto"/>
            </w:tcBorders>
            <w:hideMark/>
          </w:tcPr>
          <w:p w14:paraId="0BC7B41B" w14:textId="77777777" w:rsidR="00520996" w:rsidRPr="006835D9" w:rsidRDefault="00520996" w:rsidP="00191B2A">
            <w:pPr>
              <w:tabs>
                <w:tab w:val="left" w:pos="1418"/>
              </w:tabs>
              <w:kinsoku/>
              <w:overflowPunct/>
              <w:autoSpaceDE/>
              <w:autoSpaceDN/>
              <w:adjustRightInd/>
              <w:snapToGrid/>
              <w:spacing w:before="60" w:after="60" w:line="220" w:lineRule="atLeast"/>
              <w:ind w:left="57" w:right="57"/>
              <w:rPr>
                <w:rFonts w:eastAsia="Calibri" w:cs="Arial"/>
                <w:szCs w:val="22"/>
                <w:lang w:val="fr-FR"/>
              </w:rPr>
            </w:pPr>
            <w:r w:rsidRPr="006835D9">
              <w:rPr>
                <w:rFonts w:eastAsia="Calibri" w:cs="Arial"/>
                <w:szCs w:val="22"/>
                <w:lang w:val="fr-FR"/>
              </w:rPr>
              <w:t>(2)</w:t>
            </w:r>
          </w:p>
        </w:tc>
        <w:tc>
          <w:tcPr>
            <w:tcW w:w="6285" w:type="dxa"/>
            <w:tcBorders>
              <w:top w:val="single" w:sz="4" w:space="0" w:color="auto"/>
              <w:left w:val="single" w:sz="4" w:space="0" w:color="auto"/>
              <w:bottom w:val="single" w:sz="4" w:space="0" w:color="auto"/>
              <w:right w:val="single" w:sz="4" w:space="0" w:color="auto"/>
            </w:tcBorders>
            <w:hideMark/>
          </w:tcPr>
          <w:p w14:paraId="07552563" w14:textId="7E067A67" w:rsidR="00520996" w:rsidRPr="006835D9" w:rsidRDefault="00520996" w:rsidP="00191B2A">
            <w:pPr>
              <w:tabs>
                <w:tab w:val="left" w:pos="1418"/>
              </w:tabs>
              <w:kinsoku/>
              <w:overflowPunct/>
              <w:autoSpaceDE/>
              <w:autoSpaceDN/>
              <w:adjustRightInd/>
              <w:snapToGrid/>
              <w:spacing w:before="60" w:after="60" w:line="220" w:lineRule="atLeast"/>
              <w:ind w:left="57" w:right="57"/>
              <w:rPr>
                <w:lang w:val="fr-FR" w:eastAsia="fr-FR"/>
              </w:rPr>
            </w:pPr>
            <w:r>
              <w:rPr>
                <w:bCs/>
                <w:lang w:val="fr-FR"/>
              </w:rPr>
              <w:t>S</w:t>
            </w:r>
            <w:r w:rsidRPr="006835D9">
              <w:rPr>
                <w:bCs/>
                <w:lang w:val="fr-FR"/>
              </w:rPr>
              <w:t>upprimer « à plus de 80</w:t>
            </w:r>
            <w:r w:rsidR="00191B2A">
              <w:rPr>
                <w:bCs/>
                <w:lang w:val="fr-FR"/>
              </w:rPr>
              <w:t> </w:t>
            </w:r>
            <w:r w:rsidRPr="006835D9">
              <w:rPr>
                <w:bCs/>
                <w:lang w:val="fr-FR"/>
              </w:rPr>
              <w:t>% mais à 93</w:t>
            </w:r>
            <w:r w:rsidR="00191B2A">
              <w:rPr>
                <w:bCs/>
                <w:lang w:val="fr-FR"/>
              </w:rPr>
              <w:t> </w:t>
            </w:r>
            <w:r w:rsidRPr="006835D9">
              <w:rPr>
                <w:bCs/>
                <w:lang w:val="fr-FR"/>
              </w:rPr>
              <w:t>% au maximum »</w:t>
            </w:r>
          </w:p>
          <w:p w14:paraId="6887F591" w14:textId="757AD4C2" w:rsidR="00520996" w:rsidRPr="006835D9" w:rsidRDefault="00520996" w:rsidP="00191B2A">
            <w:pPr>
              <w:tabs>
                <w:tab w:val="left" w:pos="1418"/>
              </w:tabs>
              <w:kinsoku/>
              <w:overflowPunct/>
              <w:autoSpaceDE/>
              <w:autoSpaceDN/>
              <w:adjustRightInd/>
              <w:snapToGrid/>
              <w:spacing w:before="60" w:after="60" w:line="220" w:lineRule="atLeast"/>
              <w:ind w:left="57" w:right="57"/>
              <w:rPr>
                <w:rFonts w:eastAsia="Calibri" w:cs="Arial"/>
                <w:i/>
                <w:iCs/>
                <w:szCs w:val="22"/>
                <w:lang w:val="fr-FR"/>
              </w:rPr>
            </w:pPr>
            <w:r w:rsidRPr="006835D9">
              <w:rPr>
                <w:i/>
                <w:iCs/>
                <w:lang w:val="fr-FR" w:eastAsia="fr-FR"/>
              </w:rPr>
              <w:t>(Document de référence : document ECE/TRANS/WP</w:t>
            </w:r>
            <w:r w:rsidR="00FC1209" w:rsidRPr="00FC1209">
              <w:rPr>
                <w:i/>
                <w:iCs/>
                <w:lang w:val="fr-FR" w:eastAsia="fr-FR"/>
              </w:rPr>
              <w:t>.</w:t>
            </w:r>
            <w:r w:rsidRPr="006835D9">
              <w:rPr>
                <w:i/>
                <w:iCs/>
                <w:lang w:val="fr-FR" w:eastAsia="fr-FR"/>
              </w:rPr>
              <w:t>15/AC</w:t>
            </w:r>
            <w:r w:rsidR="00FC1209" w:rsidRPr="00FC1209">
              <w:rPr>
                <w:i/>
                <w:iCs/>
                <w:lang w:val="fr-FR" w:eastAsia="fr-FR"/>
              </w:rPr>
              <w:t>.</w:t>
            </w:r>
            <w:r w:rsidRPr="006835D9">
              <w:rPr>
                <w:i/>
                <w:iCs/>
                <w:lang w:val="fr-FR" w:eastAsia="fr-FR"/>
              </w:rPr>
              <w:t>1/2021/13)</w:t>
            </w:r>
          </w:p>
        </w:tc>
      </w:tr>
      <w:tr w:rsidR="00520996" w:rsidRPr="006835D9" w14:paraId="0700CEDA" w14:textId="77777777" w:rsidTr="00191B2A">
        <w:trPr>
          <w:cantSplit/>
        </w:trPr>
        <w:tc>
          <w:tcPr>
            <w:tcW w:w="1134" w:type="dxa"/>
            <w:tcBorders>
              <w:top w:val="single" w:sz="4" w:space="0" w:color="auto"/>
              <w:left w:val="single" w:sz="4" w:space="0" w:color="auto"/>
              <w:bottom w:val="single" w:sz="4" w:space="0" w:color="auto"/>
              <w:right w:val="single" w:sz="4" w:space="0" w:color="auto"/>
            </w:tcBorders>
          </w:tcPr>
          <w:p w14:paraId="5BEBB9B4" w14:textId="77777777" w:rsidR="00520996" w:rsidRPr="006835D9" w:rsidRDefault="00520996" w:rsidP="00191B2A">
            <w:pPr>
              <w:tabs>
                <w:tab w:val="left" w:pos="1418"/>
              </w:tabs>
              <w:kinsoku/>
              <w:overflowPunct/>
              <w:autoSpaceDE/>
              <w:autoSpaceDN/>
              <w:adjustRightInd/>
              <w:snapToGrid/>
              <w:spacing w:before="60" w:after="60" w:line="220" w:lineRule="atLeast"/>
              <w:ind w:left="57" w:right="57"/>
              <w:rPr>
                <w:rFonts w:eastAsia="Calibri" w:cs="Arial"/>
                <w:szCs w:val="22"/>
                <w:lang w:val="fr-FR"/>
              </w:rPr>
            </w:pPr>
            <w:r w:rsidRPr="006835D9">
              <w:rPr>
                <w:rFonts w:eastAsia="Calibri" w:cs="Arial"/>
                <w:szCs w:val="22"/>
                <w:lang w:val="fr-FR"/>
              </w:rPr>
              <w:t>3359</w:t>
            </w:r>
          </w:p>
        </w:tc>
        <w:tc>
          <w:tcPr>
            <w:tcW w:w="1086" w:type="dxa"/>
            <w:tcBorders>
              <w:top w:val="single" w:sz="4" w:space="0" w:color="auto"/>
              <w:left w:val="single" w:sz="4" w:space="0" w:color="auto"/>
              <w:bottom w:val="single" w:sz="4" w:space="0" w:color="auto"/>
              <w:right w:val="single" w:sz="4" w:space="0" w:color="auto"/>
            </w:tcBorders>
          </w:tcPr>
          <w:p w14:paraId="7D400AA0" w14:textId="77777777" w:rsidR="00520996" w:rsidRPr="006835D9" w:rsidRDefault="00520996" w:rsidP="00191B2A">
            <w:pPr>
              <w:tabs>
                <w:tab w:val="left" w:pos="1418"/>
              </w:tabs>
              <w:kinsoku/>
              <w:overflowPunct/>
              <w:autoSpaceDE/>
              <w:autoSpaceDN/>
              <w:adjustRightInd/>
              <w:snapToGrid/>
              <w:spacing w:before="60" w:after="60" w:line="220" w:lineRule="atLeast"/>
              <w:ind w:left="57" w:right="57"/>
              <w:rPr>
                <w:rFonts w:eastAsia="Calibri" w:cs="Arial"/>
                <w:szCs w:val="22"/>
                <w:lang w:val="fr-FR"/>
              </w:rPr>
            </w:pPr>
            <w:r w:rsidRPr="006835D9">
              <w:rPr>
                <w:rFonts w:eastAsia="Calibri" w:cs="Arial"/>
                <w:szCs w:val="22"/>
                <w:lang w:val="fr-FR"/>
              </w:rPr>
              <w:t>(2)</w:t>
            </w:r>
          </w:p>
        </w:tc>
        <w:tc>
          <w:tcPr>
            <w:tcW w:w="6285" w:type="dxa"/>
            <w:tcBorders>
              <w:top w:val="single" w:sz="4" w:space="0" w:color="auto"/>
              <w:left w:val="single" w:sz="4" w:space="0" w:color="auto"/>
              <w:bottom w:val="single" w:sz="4" w:space="0" w:color="auto"/>
              <w:right w:val="single" w:sz="4" w:space="0" w:color="auto"/>
            </w:tcBorders>
          </w:tcPr>
          <w:p w14:paraId="1CE48CF8" w14:textId="50046379" w:rsidR="00520996" w:rsidRPr="006835D9" w:rsidRDefault="00520996" w:rsidP="00191B2A">
            <w:pPr>
              <w:tabs>
                <w:tab w:val="left" w:pos="1418"/>
              </w:tabs>
              <w:kinsoku/>
              <w:overflowPunct/>
              <w:autoSpaceDE/>
              <w:autoSpaceDN/>
              <w:adjustRightInd/>
              <w:snapToGrid/>
              <w:spacing w:before="60" w:after="60" w:line="220" w:lineRule="atLeast"/>
              <w:ind w:left="57" w:right="57"/>
              <w:rPr>
                <w:rFonts w:eastAsia="Calibri" w:cs="Arial"/>
                <w:szCs w:val="22"/>
                <w:lang w:val="fr-FR"/>
              </w:rPr>
            </w:pPr>
            <w:r w:rsidRPr="006835D9">
              <w:rPr>
                <w:lang w:val="fr-FR" w:eastAsia="fr-FR"/>
              </w:rPr>
              <w:t xml:space="preserve">[Amendement </w:t>
            </w:r>
            <w:r>
              <w:rPr>
                <w:lang w:val="fr-FR" w:eastAsia="fr-FR"/>
              </w:rPr>
              <w:t>dans la version allemande uniquement</w:t>
            </w:r>
            <w:r w:rsidR="00FC1209" w:rsidRPr="00FC1209">
              <w:rPr>
                <w:lang w:val="fr-FR" w:eastAsia="fr-FR"/>
              </w:rPr>
              <w:t>.</w:t>
            </w:r>
            <w:r w:rsidRPr="006835D9">
              <w:rPr>
                <w:lang w:val="fr-FR" w:eastAsia="fr-FR"/>
              </w:rPr>
              <w:t>]</w:t>
            </w:r>
          </w:p>
        </w:tc>
      </w:tr>
    </w:tbl>
    <w:p w14:paraId="02728376" w14:textId="7FA9C613" w:rsidR="00520996" w:rsidRPr="004D2C7C" w:rsidRDefault="00520996" w:rsidP="00520996">
      <w:pPr>
        <w:pStyle w:val="H1G"/>
        <w:rPr>
          <w:lang w:val="fr-FR"/>
        </w:rPr>
      </w:pPr>
      <w:r>
        <w:rPr>
          <w:lang w:val="fr-FR"/>
        </w:rPr>
        <w:tab/>
      </w:r>
      <w:r>
        <w:rPr>
          <w:lang w:val="fr-FR"/>
        </w:rPr>
        <w:tab/>
      </w:r>
      <w:r w:rsidRPr="004D2C7C">
        <w:rPr>
          <w:lang w:val="fr-FR"/>
        </w:rPr>
        <w:t>Chapitre 3</w:t>
      </w:r>
      <w:r w:rsidR="00FC1209" w:rsidRPr="004D2C7C">
        <w:rPr>
          <w:lang w:val="fr-FR"/>
        </w:rPr>
        <w:t>.</w:t>
      </w:r>
      <w:r w:rsidRPr="004D2C7C">
        <w:rPr>
          <w:lang w:val="fr-FR"/>
        </w:rPr>
        <w:t>2, tableau B</w:t>
      </w:r>
    </w:p>
    <w:p w14:paraId="7E29E509" w14:textId="179187D6" w:rsidR="00520996" w:rsidRPr="004D2C7C" w:rsidRDefault="00520996" w:rsidP="00520996">
      <w:pPr>
        <w:pStyle w:val="SingleTxtG"/>
        <w:ind w:right="1133"/>
        <w:rPr>
          <w:bCs/>
          <w:lang w:val="fr-FR"/>
        </w:rPr>
      </w:pPr>
      <w:r w:rsidRPr="004D2C7C">
        <w:rPr>
          <w:bCs/>
          <w:lang w:val="fr-FR"/>
        </w:rPr>
        <w:t>[L</w:t>
      </w:r>
      <w:r w:rsidR="00F70B88" w:rsidRPr="004D2C7C">
        <w:rPr>
          <w:bCs/>
          <w:lang w:val="fr-FR"/>
        </w:rPr>
        <w:t>’</w:t>
      </w:r>
      <w:r w:rsidRPr="004D2C7C">
        <w:rPr>
          <w:bCs/>
          <w:lang w:val="fr-FR"/>
        </w:rPr>
        <w:t>amendement dans la version allemande ne s</w:t>
      </w:r>
      <w:r w:rsidR="00F70B88" w:rsidRPr="004D2C7C">
        <w:rPr>
          <w:bCs/>
          <w:lang w:val="fr-FR"/>
        </w:rPr>
        <w:t>’</w:t>
      </w:r>
      <w:r w:rsidRPr="004D2C7C">
        <w:rPr>
          <w:bCs/>
          <w:lang w:val="fr-FR"/>
        </w:rPr>
        <w:t>applique pas au texte français</w:t>
      </w:r>
      <w:r w:rsidR="00FC1209" w:rsidRPr="004D2C7C">
        <w:rPr>
          <w:bCs/>
          <w:lang w:val="fr-FR"/>
        </w:rPr>
        <w:t>.</w:t>
      </w:r>
      <w:r w:rsidRPr="004D2C7C">
        <w:rPr>
          <w:bCs/>
          <w:lang w:val="fr-FR"/>
        </w:rPr>
        <w:t>]</w:t>
      </w:r>
    </w:p>
    <w:p w14:paraId="284479B1" w14:textId="4D1CC824" w:rsidR="00520996" w:rsidRPr="006835D9" w:rsidRDefault="00520996" w:rsidP="00520996">
      <w:pPr>
        <w:pStyle w:val="H1G"/>
        <w:rPr>
          <w:lang w:val="fr-FR"/>
        </w:rPr>
      </w:pPr>
      <w:r w:rsidRPr="004D2C7C">
        <w:rPr>
          <w:lang w:val="fr-FR"/>
        </w:rPr>
        <w:tab/>
      </w:r>
      <w:r w:rsidRPr="004D2C7C">
        <w:rPr>
          <w:lang w:val="fr-FR"/>
        </w:rPr>
        <w:tab/>
      </w:r>
      <w:r w:rsidRPr="004D2C7C">
        <w:rPr>
          <w:lang w:val="fr-FR"/>
        </w:rPr>
        <w:tab/>
        <w:t>Chapitre 3</w:t>
      </w:r>
      <w:r w:rsidR="00FC1209" w:rsidRPr="004D2C7C">
        <w:rPr>
          <w:lang w:val="fr-FR"/>
        </w:rPr>
        <w:t>.</w:t>
      </w:r>
      <w:r w:rsidRPr="004D2C7C">
        <w:rPr>
          <w:lang w:val="fr-FR"/>
        </w:rPr>
        <w:t>2, tableau B</w:t>
      </w:r>
    </w:p>
    <w:p w14:paraId="65FD4999" w14:textId="77777777" w:rsidR="00520996" w:rsidRDefault="00520996" w:rsidP="00520996">
      <w:pPr>
        <w:pStyle w:val="SingleTxtG"/>
        <w:ind w:right="1133"/>
        <w:rPr>
          <w:bCs/>
          <w:lang w:val="fr-FR"/>
        </w:rPr>
      </w:pPr>
      <w:r>
        <w:rPr>
          <w:bCs/>
          <w:lang w:val="fr-FR"/>
        </w:rPr>
        <w:t>Modifier les rubriques suivantes :</w:t>
      </w:r>
    </w:p>
    <w:tbl>
      <w:tblPr>
        <w:tblW w:w="850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134"/>
        <w:gridCol w:w="3968"/>
      </w:tblGrid>
      <w:tr w:rsidR="00520996" w:rsidRPr="00375740" w14:paraId="6B26BE43" w14:textId="77777777" w:rsidTr="00520996">
        <w:trPr>
          <w:cantSplit/>
          <w:tblHeader/>
        </w:trPr>
        <w:tc>
          <w:tcPr>
            <w:tcW w:w="3402" w:type="dxa"/>
            <w:tcBorders>
              <w:top w:val="single" w:sz="4" w:space="0" w:color="auto"/>
              <w:left w:val="single" w:sz="4" w:space="0" w:color="auto"/>
              <w:bottom w:val="single" w:sz="4" w:space="0" w:color="auto"/>
              <w:right w:val="single" w:sz="4" w:space="0" w:color="auto"/>
            </w:tcBorders>
            <w:hideMark/>
          </w:tcPr>
          <w:p w14:paraId="40FD6BAB" w14:textId="77777777" w:rsidR="00520996" w:rsidRPr="00375740" w:rsidRDefault="00520996" w:rsidP="00C629FC">
            <w:pPr>
              <w:tabs>
                <w:tab w:val="left" w:pos="1418"/>
              </w:tabs>
              <w:kinsoku/>
              <w:overflowPunct/>
              <w:autoSpaceDE/>
              <w:autoSpaceDN/>
              <w:adjustRightInd/>
              <w:snapToGrid/>
              <w:spacing w:before="60" w:after="60" w:line="220" w:lineRule="atLeast"/>
              <w:ind w:left="57" w:right="57"/>
              <w:rPr>
                <w:rFonts w:eastAsia="Calibri" w:cs="Arial"/>
                <w:bCs/>
                <w:szCs w:val="22"/>
                <w:lang w:val="en-GB"/>
              </w:rPr>
            </w:pPr>
            <w:r>
              <w:rPr>
                <w:bCs/>
                <w:szCs w:val="22"/>
                <w:lang w:val="en-GB" w:eastAsia="fr-FR"/>
              </w:rPr>
              <w:t>Nom et description</w:t>
            </w:r>
          </w:p>
        </w:tc>
        <w:tc>
          <w:tcPr>
            <w:tcW w:w="1134" w:type="dxa"/>
            <w:tcBorders>
              <w:top w:val="single" w:sz="4" w:space="0" w:color="auto"/>
              <w:left w:val="single" w:sz="4" w:space="0" w:color="auto"/>
              <w:bottom w:val="single" w:sz="4" w:space="0" w:color="auto"/>
              <w:right w:val="single" w:sz="4" w:space="0" w:color="auto"/>
            </w:tcBorders>
            <w:hideMark/>
          </w:tcPr>
          <w:p w14:paraId="551846FA" w14:textId="714CA6C6" w:rsidR="00520996" w:rsidRPr="00375740" w:rsidRDefault="00520996" w:rsidP="00C629FC">
            <w:pPr>
              <w:tabs>
                <w:tab w:val="left" w:pos="1418"/>
              </w:tabs>
              <w:kinsoku/>
              <w:overflowPunct/>
              <w:autoSpaceDE/>
              <w:autoSpaceDN/>
              <w:adjustRightInd/>
              <w:snapToGrid/>
              <w:spacing w:before="60" w:after="60" w:line="220" w:lineRule="atLeast"/>
              <w:ind w:left="57" w:right="57"/>
              <w:rPr>
                <w:rFonts w:eastAsia="Calibri" w:cs="Arial"/>
                <w:bCs/>
                <w:szCs w:val="22"/>
                <w:lang w:val="en-GB"/>
              </w:rPr>
            </w:pPr>
            <w:r>
              <w:rPr>
                <w:bCs/>
                <w:szCs w:val="22"/>
                <w:lang w:val="en-GB" w:eastAsia="fr-FR"/>
              </w:rPr>
              <w:t>No ONU</w:t>
            </w:r>
          </w:p>
        </w:tc>
        <w:tc>
          <w:tcPr>
            <w:tcW w:w="3968" w:type="dxa"/>
            <w:tcBorders>
              <w:top w:val="single" w:sz="4" w:space="0" w:color="auto"/>
              <w:left w:val="single" w:sz="4" w:space="0" w:color="auto"/>
              <w:bottom w:val="single" w:sz="4" w:space="0" w:color="auto"/>
              <w:right w:val="single" w:sz="4" w:space="0" w:color="auto"/>
            </w:tcBorders>
            <w:hideMark/>
          </w:tcPr>
          <w:p w14:paraId="1F67C614" w14:textId="77777777" w:rsidR="00520996" w:rsidRPr="007C7063" w:rsidRDefault="00520996" w:rsidP="00C629FC">
            <w:pPr>
              <w:tabs>
                <w:tab w:val="left" w:pos="1418"/>
              </w:tabs>
              <w:kinsoku/>
              <w:overflowPunct/>
              <w:autoSpaceDE/>
              <w:autoSpaceDN/>
              <w:adjustRightInd/>
              <w:snapToGrid/>
              <w:spacing w:before="60" w:after="60" w:line="220" w:lineRule="atLeast"/>
              <w:ind w:left="57" w:right="57"/>
              <w:rPr>
                <w:rFonts w:eastAsia="Calibri" w:cs="Arial"/>
                <w:bCs/>
                <w:szCs w:val="22"/>
                <w:lang w:val="fr-FR"/>
              </w:rPr>
            </w:pPr>
            <w:r w:rsidRPr="007C7063">
              <w:rPr>
                <w:bCs/>
                <w:szCs w:val="22"/>
                <w:lang w:val="fr-FR" w:eastAsia="fr-FR"/>
              </w:rPr>
              <w:t>Amendement</w:t>
            </w:r>
          </w:p>
        </w:tc>
      </w:tr>
      <w:tr w:rsidR="00520996" w:rsidRPr="00375740" w14:paraId="5AB1460A" w14:textId="77777777" w:rsidTr="00520996">
        <w:trPr>
          <w:cantSplit/>
        </w:trPr>
        <w:tc>
          <w:tcPr>
            <w:tcW w:w="3402" w:type="dxa"/>
            <w:tcBorders>
              <w:top w:val="single" w:sz="4" w:space="0" w:color="auto"/>
              <w:left w:val="single" w:sz="4" w:space="0" w:color="auto"/>
              <w:bottom w:val="single" w:sz="4" w:space="0" w:color="auto"/>
              <w:right w:val="single" w:sz="4" w:space="0" w:color="auto"/>
            </w:tcBorders>
            <w:hideMark/>
          </w:tcPr>
          <w:p w14:paraId="485DF7BE" w14:textId="21BBBFA0" w:rsidR="00520996" w:rsidRPr="00790457" w:rsidRDefault="00520996" w:rsidP="00C629FC">
            <w:pPr>
              <w:tabs>
                <w:tab w:val="left" w:pos="1418"/>
              </w:tabs>
              <w:kinsoku/>
              <w:overflowPunct/>
              <w:autoSpaceDE/>
              <w:autoSpaceDN/>
              <w:adjustRightInd/>
              <w:snapToGrid/>
              <w:spacing w:before="60" w:after="60" w:line="220" w:lineRule="atLeast"/>
              <w:ind w:left="57" w:right="57"/>
              <w:rPr>
                <w:rFonts w:eastAsia="Calibri" w:cs="Arial"/>
                <w:szCs w:val="22"/>
                <w:lang w:val="fr-FR"/>
              </w:rPr>
            </w:pPr>
            <w:r w:rsidRPr="006835D9">
              <w:rPr>
                <w:bCs/>
                <w:lang w:val="fr-FR"/>
              </w:rPr>
              <w:t>NITRATE D</w:t>
            </w:r>
            <w:r w:rsidR="00F70B88">
              <w:rPr>
                <w:bCs/>
                <w:lang w:val="fr-FR"/>
              </w:rPr>
              <w:t>’</w:t>
            </w:r>
            <w:r w:rsidRPr="006835D9">
              <w:rPr>
                <w:bCs/>
                <w:lang w:val="fr-FR"/>
              </w:rPr>
              <w:t>AMMONIUM LIQUIDE, solution chaude concentrée à plus de 80</w:t>
            </w:r>
            <w:r w:rsidR="00C629FC">
              <w:rPr>
                <w:bCs/>
                <w:lang w:val="fr-FR"/>
              </w:rPr>
              <w:t> </w:t>
            </w:r>
            <w:r w:rsidRPr="006835D9">
              <w:rPr>
                <w:bCs/>
                <w:lang w:val="fr-FR"/>
              </w:rPr>
              <w:t>% mais à</w:t>
            </w:r>
            <w:r w:rsidR="00C629FC">
              <w:rPr>
                <w:bCs/>
                <w:lang w:val="fr-FR"/>
              </w:rPr>
              <w:t> </w:t>
            </w:r>
            <w:r w:rsidRPr="006835D9">
              <w:rPr>
                <w:bCs/>
                <w:lang w:val="fr-FR"/>
              </w:rPr>
              <w:t>93</w:t>
            </w:r>
            <w:r w:rsidR="00C629FC">
              <w:rPr>
                <w:bCs/>
                <w:lang w:val="fr-FR"/>
              </w:rPr>
              <w:t> </w:t>
            </w:r>
            <w:r w:rsidRPr="006835D9">
              <w:rPr>
                <w:bCs/>
                <w:lang w:val="fr-FR"/>
              </w:rPr>
              <w:t>% au maximum</w:t>
            </w:r>
          </w:p>
        </w:tc>
        <w:tc>
          <w:tcPr>
            <w:tcW w:w="1134" w:type="dxa"/>
            <w:tcBorders>
              <w:top w:val="single" w:sz="4" w:space="0" w:color="auto"/>
              <w:left w:val="single" w:sz="4" w:space="0" w:color="auto"/>
              <w:bottom w:val="single" w:sz="4" w:space="0" w:color="auto"/>
              <w:right w:val="single" w:sz="4" w:space="0" w:color="auto"/>
            </w:tcBorders>
            <w:hideMark/>
          </w:tcPr>
          <w:p w14:paraId="57F600F9" w14:textId="77777777" w:rsidR="00520996" w:rsidRPr="00375740" w:rsidRDefault="00520996" w:rsidP="00C629FC">
            <w:pPr>
              <w:tabs>
                <w:tab w:val="left" w:pos="1418"/>
              </w:tabs>
              <w:kinsoku/>
              <w:overflowPunct/>
              <w:autoSpaceDE/>
              <w:autoSpaceDN/>
              <w:adjustRightInd/>
              <w:snapToGrid/>
              <w:spacing w:before="60" w:after="60" w:line="220" w:lineRule="atLeast"/>
              <w:ind w:left="57" w:right="57"/>
              <w:rPr>
                <w:rFonts w:eastAsia="Calibri" w:cs="Arial"/>
                <w:szCs w:val="22"/>
                <w:lang w:val="en-GB"/>
              </w:rPr>
            </w:pPr>
            <w:r w:rsidRPr="00375740">
              <w:rPr>
                <w:rFonts w:eastAsia="Calibri" w:cs="Arial"/>
                <w:szCs w:val="22"/>
                <w:lang w:val="en-GB"/>
              </w:rPr>
              <w:t>2426</w:t>
            </w:r>
          </w:p>
        </w:tc>
        <w:tc>
          <w:tcPr>
            <w:tcW w:w="3968" w:type="dxa"/>
            <w:tcBorders>
              <w:top w:val="single" w:sz="4" w:space="0" w:color="auto"/>
              <w:left w:val="single" w:sz="4" w:space="0" w:color="auto"/>
              <w:bottom w:val="single" w:sz="4" w:space="0" w:color="auto"/>
              <w:right w:val="single" w:sz="4" w:space="0" w:color="auto"/>
            </w:tcBorders>
            <w:hideMark/>
          </w:tcPr>
          <w:p w14:paraId="13903F34" w14:textId="2A456B89" w:rsidR="00520996" w:rsidRPr="007C7063" w:rsidRDefault="00520996" w:rsidP="00C629FC">
            <w:pPr>
              <w:tabs>
                <w:tab w:val="left" w:pos="1418"/>
              </w:tabs>
              <w:kinsoku/>
              <w:overflowPunct/>
              <w:autoSpaceDE/>
              <w:autoSpaceDN/>
              <w:adjustRightInd/>
              <w:snapToGrid/>
              <w:spacing w:before="60" w:after="60" w:line="220" w:lineRule="atLeast"/>
              <w:ind w:left="57" w:right="57"/>
              <w:rPr>
                <w:rFonts w:eastAsia="Calibri" w:cs="Arial"/>
                <w:szCs w:val="22"/>
                <w:lang w:val="fr-FR"/>
              </w:rPr>
            </w:pPr>
            <w:r w:rsidRPr="007C7063">
              <w:rPr>
                <w:bCs/>
                <w:lang w:val="fr-FR"/>
              </w:rPr>
              <w:t>Dans la colonne (1), supprimer « à plus de 80</w:t>
            </w:r>
            <w:r w:rsidR="00C629FC">
              <w:rPr>
                <w:bCs/>
                <w:lang w:val="fr-FR"/>
              </w:rPr>
              <w:t> </w:t>
            </w:r>
            <w:r w:rsidRPr="007C7063">
              <w:rPr>
                <w:bCs/>
                <w:lang w:val="fr-FR"/>
              </w:rPr>
              <w:t>% mais à 93</w:t>
            </w:r>
            <w:r w:rsidR="00C629FC">
              <w:rPr>
                <w:bCs/>
                <w:lang w:val="fr-FR"/>
              </w:rPr>
              <w:t> </w:t>
            </w:r>
            <w:r w:rsidRPr="007C7063">
              <w:rPr>
                <w:bCs/>
                <w:lang w:val="fr-FR"/>
              </w:rPr>
              <w:t>% au maximum »</w:t>
            </w:r>
            <w:r w:rsidR="00FC1209" w:rsidRPr="00FC1209">
              <w:rPr>
                <w:bCs/>
                <w:lang w:val="fr-FR"/>
              </w:rPr>
              <w:t>.</w:t>
            </w:r>
          </w:p>
          <w:p w14:paraId="1FD57334" w14:textId="400B933D" w:rsidR="00520996" w:rsidRPr="007C7063" w:rsidRDefault="00520996" w:rsidP="00C629FC">
            <w:pPr>
              <w:tabs>
                <w:tab w:val="left" w:pos="1418"/>
              </w:tabs>
              <w:kinsoku/>
              <w:overflowPunct/>
              <w:autoSpaceDE/>
              <w:autoSpaceDN/>
              <w:adjustRightInd/>
              <w:snapToGrid/>
              <w:spacing w:before="60" w:after="60" w:line="220" w:lineRule="atLeast"/>
              <w:ind w:left="57" w:right="57"/>
              <w:rPr>
                <w:rFonts w:eastAsia="Calibri" w:cs="Arial"/>
                <w:szCs w:val="22"/>
                <w:lang w:val="fr-FR"/>
              </w:rPr>
            </w:pPr>
            <w:r w:rsidRPr="007C7063">
              <w:rPr>
                <w:lang w:val="fr-FR" w:eastAsia="fr-FR"/>
              </w:rPr>
              <w:t>(</w:t>
            </w:r>
            <w:r w:rsidRPr="007C7063">
              <w:rPr>
                <w:bCs/>
                <w:i/>
                <w:iCs/>
                <w:lang w:val="fr-FR"/>
              </w:rPr>
              <w:t>Document de référence : document ECE/TRANS/WP</w:t>
            </w:r>
            <w:r w:rsidR="00FC1209" w:rsidRPr="00FC1209">
              <w:rPr>
                <w:bCs/>
                <w:i/>
                <w:iCs/>
                <w:lang w:val="fr-FR"/>
              </w:rPr>
              <w:t>.</w:t>
            </w:r>
            <w:r w:rsidRPr="007C7063">
              <w:rPr>
                <w:bCs/>
                <w:i/>
                <w:iCs/>
                <w:lang w:val="fr-FR"/>
              </w:rPr>
              <w:t>15/AC</w:t>
            </w:r>
            <w:r w:rsidR="00FC1209" w:rsidRPr="00FC1209">
              <w:rPr>
                <w:bCs/>
                <w:i/>
                <w:iCs/>
                <w:lang w:val="fr-FR"/>
              </w:rPr>
              <w:t>.</w:t>
            </w:r>
            <w:r w:rsidRPr="007C7063">
              <w:rPr>
                <w:bCs/>
                <w:i/>
                <w:iCs/>
                <w:lang w:val="fr-FR"/>
              </w:rPr>
              <w:t>1/2021/13</w:t>
            </w:r>
            <w:r w:rsidRPr="007C7063">
              <w:rPr>
                <w:i/>
                <w:iCs/>
                <w:lang w:val="fr-FR" w:eastAsia="fr-FR"/>
              </w:rPr>
              <w:t>)</w:t>
            </w:r>
          </w:p>
        </w:tc>
      </w:tr>
      <w:tr w:rsidR="00520996" w:rsidRPr="00375740" w14:paraId="645E54C2" w14:textId="77777777" w:rsidTr="00520996">
        <w:trPr>
          <w:cantSplit/>
        </w:trPr>
        <w:tc>
          <w:tcPr>
            <w:tcW w:w="3402" w:type="dxa"/>
            <w:tcBorders>
              <w:top w:val="single" w:sz="4" w:space="0" w:color="auto"/>
              <w:left w:val="single" w:sz="4" w:space="0" w:color="auto"/>
              <w:bottom w:val="single" w:sz="4" w:space="0" w:color="auto"/>
              <w:right w:val="single" w:sz="4" w:space="0" w:color="auto"/>
            </w:tcBorders>
          </w:tcPr>
          <w:p w14:paraId="5DD8D7A8" w14:textId="77777777" w:rsidR="00520996" w:rsidRPr="00790457" w:rsidRDefault="00520996" w:rsidP="00C629FC">
            <w:pPr>
              <w:tabs>
                <w:tab w:val="left" w:pos="1418"/>
              </w:tabs>
              <w:kinsoku/>
              <w:overflowPunct/>
              <w:autoSpaceDE/>
              <w:autoSpaceDN/>
              <w:adjustRightInd/>
              <w:snapToGrid/>
              <w:spacing w:before="60" w:after="60" w:line="220" w:lineRule="atLeast"/>
              <w:ind w:left="57" w:right="57"/>
              <w:rPr>
                <w:rFonts w:eastAsia="Calibri" w:cs="Arial"/>
                <w:szCs w:val="22"/>
                <w:lang w:val="fr-FR"/>
              </w:rPr>
            </w:pPr>
            <w:r w:rsidRPr="00790457">
              <w:rPr>
                <w:rFonts w:eastAsia="Calibri" w:cs="Arial"/>
                <w:szCs w:val="22"/>
                <w:lang w:val="fr-FR"/>
              </w:rPr>
              <w:t>ENGIN DE TRANSPORT SOUS FUMIGATION</w:t>
            </w:r>
          </w:p>
        </w:tc>
        <w:tc>
          <w:tcPr>
            <w:tcW w:w="1134" w:type="dxa"/>
            <w:tcBorders>
              <w:top w:val="single" w:sz="4" w:space="0" w:color="auto"/>
              <w:left w:val="single" w:sz="4" w:space="0" w:color="auto"/>
              <w:bottom w:val="single" w:sz="4" w:space="0" w:color="auto"/>
              <w:right w:val="single" w:sz="4" w:space="0" w:color="auto"/>
            </w:tcBorders>
          </w:tcPr>
          <w:p w14:paraId="62D622B1" w14:textId="77777777" w:rsidR="00520996" w:rsidRPr="00375740" w:rsidRDefault="00520996" w:rsidP="00C629FC">
            <w:pPr>
              <w:tabs>
                <w:tab w:val="left" w:pos="1418"/>
              </w:tabs>
              <w:kinsoku/>
              <w:overflowPunct/>
              <w:autoSpaceDE/>
              <w:autoSpaceDN/>
              <w:adjustRightInd/>
              <w:snapToGrid/>
              <w:spacing w:before="60" w:after="60" w:line="220" w:lineRule="atLeast"/>
              <w:ind w:left="57" w:right="57"/>
              <w:rPr>
                <w:rFonts w:eastAsia="Calibri" w:cs="Arial"/>
                <w:szCs w:val="22"/>
                <w:lang w:val="en-GB"/>
              </w:rPr>
            </w:pPr>
            <w:r w:rsidRPr="00375740">
              <w:rPr>
                <w:rFonts w:eastAsia="Calibri" w:cs="Arial"/>
                <w:szCs w:val="22"/>
                <w:lang w:val="en-GB"/>
              </w:rPr>
              <w:t>3359</w:t>
            </w:r>
          </w:p>
        </w:tc>
        <w:tc>
          <w:tcPr>
            <w:tcW w:w="3968" w:type="dxa"/>
            <w:tcBorders>
              <w:top w:val="single" w:sz="4" w:space="0" w:color="auto"/>
              <w:left w:val="single" w:sz="4" w:space="0" w:color="auto"/>
              <w:bottom w:val="single" w:sz="4" w:space="0" w:color="auto"/>
              <w:right w:val="single" w:sz="4" w:space="0" w:color="auto"/>
            </w:tcBorders>
          </w:tcPr>
          <w:p w14:paraId="4BFDD843" w14:textId="34A6C1D7" w:rsidR="00520996" w:rsidRPr="00790457" w:rsidRDefault="00520996" w:rsidP="00C629FC">
            <w:pPr>
              <w:tabs>
                <w:tab w:val="left" w:pos="1418"/>
              </w:tabs>
              <w:kinsoku/>
              <w:overflowPunct/>
              <w:autoSpaceDE/>
              <w:autoSpaceDN/>
              <w:adjustRightInd/>
              <w:snapToGrid/>
              <w:spacing w:before="60" w:after="60" w:line="220" w:lineRule="atLeast"/>
              <w:ind w:left="57" w:right="57"/>
              <w:rPr>
                <w:rFonts w:eastAsia="Calibri" w:cs="Arial"/>
                <w:szCs w:val="22"/>
                <w:lang w:val="fr-FR"/>
              </w:rPr>
            </w:pPr>
            <w:r w:rsidRPr="006835D9">
              <w:rPr>
                <w:lang w:val="fr-FR" w:eastAsia="fr-FR"/>
              </w:rPr>
              <w:t xml:space="preserve">[Amendement </w:t>
            </w:r>
            <w:r>
              <w:rPr>
                <w:lang w:val="fr-FR" w:eastAsia="fr-FR"/>
              </w:rPr>
              <w:t>dans la version allemande uniquement</w:t>
            </w:r>
            <w:r w:rsidR="00FC1209" w:rsidRPr="00FC1209">
              <w:rPr>
                <w:lang w:val="fr-FR" w:eastAsia="fr-FR"/>
              </w:rPr>
              <w:t>.</w:t>
            </w:r>
            <w:r w:rsidRPr="006835D9">
              <w:rPr>
                <w:lang w:val="fr-FR" w:eastAsia="fr-FR"/>
              </w:rPr>
              <w:t>]</w:t>
            </w:r>
          </w:p>
        </w:tc>
      </w:tr>
    </w:tbl>
    <w:p w14:paraId="550FEFD0" w14:textId="1CCBB3BC" w:rsidR="00520996" w:rsidRPr="006835D9" w:rsidRDefault="00520996" w:rsidP="00520996">
      <w:pPr>
        <w:pStyle w:val="H1G"/>
        <w:rPr>
          <w:lang w:val="fr-FR"/>
        </w:rPr>
      </w:pPr>
      <w:r w:rsidRPr="006835D9">
        <w:rPr>
          <w:lang w:val="fr-FR"/>
        </w:rPr>
        <w:tab/>
      </w:r>
      <w:r w:rsidRPr="006835D9">
        <w:rPr>
          <w:lang w:val="fr-FR"/>
        </w:rPr>
        <w:tab/>
        <w:t>Chapitre 3</w:t>
      </w:r>
      <w:r w:rsidR="00FC1209" w:rsidRPr="00FC1209">
        <w:rPr>
          <w:lang w:val="fr-FR"/>
        </w:rPr>
        <w:t>.</w:t>
      </w:r>
      <w:r w:rsidRPr="006835D9">
        <w:rPr>
          <w:lang w:val="fr-FR"/>
        </w:rPr>
        <w:t>3</w:t>
      </w:r>
    </w:p>
    <w:p w14:paraId="5F6FF46C" w14:textId="1A8F596D" w:rsidR="00520996" w:rsidRDefault="00520996" w:rsidP="00520996">
      <w:pPr>
        <w:pStyle w:val="SingleTxtG"/>
        <w:ind w:right="282"/>
        <w:rPr>
          <w:bCs/>
          <w:lang w:val="fr-FR"/>
        </w:rPr>
      </w:pPr>
      <w:r>
        <w:rPr>
          <w:bCs/>
          <w:lang w:val="fr-FR"/>
        </w:rPr>
        <w:t>DS 302</w:t>
      </w:r>
      <w:r>
        <w:rPr>
          <w:bCs/>
          <w:lang w:val="fr-FR"/>
        </w:rPr>
        <w:tab/>
      </w:r>
      <w:r w:rsidRPr="006835D9">
        <w:rPr>
          <w:bCs/>
          <w:lang w:val="fr-FR"/>
        </w:rPr>
        <w:t>[Amendement à la version allemande uniquement</w:t>
      </w:r>
      <w:r w:rsidR="00FC1209" w:rsidRPr="00FC1209">
        <w:rPr>
          <w:bCs/>
          <w:lang w:val="fr-FR"/>
        </w:rPr>
        <w:t>.</w:t>
      </w:r>
      <w:r w:rsidRPr="006835D9">
        <w:rPr>
          <w:bCs/>
          <w:lang w:val="fr-FR"/>
        </w:rPr>
        <w:t>]</w:t>
      </w:r>
    </w:p>
    <w:p w14:paraId="6500C8B8" w14:textId="080A8CC2" w:rsidR="00520996" w:rsidRPr="009712AC" w:rsidRDefault="00520996" w:rsidP="00520996">
      <w:pPr>
        <w:pStyle w:val="SingleTxtG"/>
        <w:ind w:right="282"/>
        <w:rPr>
          <w:bCs/>
          <w:lang w:val="fr-FR"/>
        </w:rPr>
      </w:pPr>
      <w:r w:rsidRPr="006835D9">
        <w:rPr>
          <w:bCs/>
          <w:lang w:val="fr-FR"/>
        </w:rPr>
        <w:tab/>
      </w:r>
      <w:r>
        <w:rPr>
          <w:bCs/>
          <w:lang w:val="fr-FR"/>
        </w:rPr>
        <w:t>DS 327</w:t>
      </w:r>
      <w:r>
        <w:rPr>
          <w:bCs/>
          <w:lang w:val="fr-FR"/>
        </w:rPr>
        <w:tab/>
      </w:r>
      <w:r w:rsidRPr="009712AC">
        <w:rPr>
          <w:bCs/>
          <w:lang w:val="fr-FR"/>
        </w:rPr>
        <w:t xml:space="preserve">Dans la première phrase, remplacer </w:t>
      </w:r>
      <w:r>
        <w:rPr>
          <w:bCs/>
          <w:lang w:val="fr-FR"/>
        </w:rPr>
        <w:t>« </w:t>
      </w:r>
      <w:r w:rsidRPr="009712AC">
        <w:rPr>
          <w:bCs/>
          <w:lang w:val="fr-FR"/>
        </w:rPr>
        <w:t>5</w:t>
      </w:r>
      <w:r w:rsidR="00FC1209" w:rsidRPr="00FC1209">
        <w:rPr>
          <w:bCs/>
          <w:lang w:val="fr-FR"/>
        </w:rPr>
        <w:t>.</w:t>
      </w:r>
      <w:r w:rsidRPr="009712AC">
        <w:rPr>
          <w:bCs/>
          <w:lang w:val="fr-FR"/>
        </w:rPr>
        <w:t>4</w:t>
      </w:r>
      <w:r w:rsidR="00FC1209" w:rsidRPr="00FC1209">
        <w:rPr>
          <w:bCs/>
          <w:lang w:val="fr-FR"/>
        </w:rPr>
        <w:t>.</w:t>
      </w:r>
      <w:r w:rsidRPr="009712AC">
        <w:rPr>
          <w:bCs/>
          <w:lang w:val="fr-FR"/>
        </w:rPr>
        <w:t>1</w:t>
      </w:r>
      <w:r w:rsidR="00FC1209" w:rsidRPr="00FC1209">
        <w:rPr>
          <w:bCs/>
          <w:lang w:val="fr-FR"/>
        </w:rPr>
        <w:t>.</w:t>
      </w:r>
      <w:r w:rsidRPr="009712AC">
        <w:rPr>
          <w:bCs/>
          <w:lang w:val="fr-FR"/>
        </w:rPr>
        <w:t>1</w:t>
      </w:r>
      <w:r w:rsidR="00FC1209" w:rsidRPr="00FC1209">
        <w:rPr>
          <w:bCs/>
          <w:lang w:val="fr-FR"/>
        </w:rPr>
        <w:t>.</w:t>
      </w:r>
      <w:r w:rsidRPr="009712AC">
        <w:rPr>
          <w:bCs/>
          <w:lang w:val="fr-FR"/>
        </w:rPr>
        <w:t>3</w:t>
      </w:r>
      <w:r>
        <w:rPr>
          <w:bCs/>
          <w:lang w:val="fr-FR"/>
        </w:rPr>
        <w:t> »</w:t>
      </w:r>
      <w:r w:rsidRPr="009712AC">
        <w:rPr>
          <w:bCs/>
          <w:lang w:val="fr-FR"/>
        </w:rPr>
        <w:t xml:space="preserve"> </w:t>
      </w:r>
      <w:r>
        <w:rPr>
          <w:bCs/>
          <w:lang w:val="fr-FR"/>
        </w:rPr>
        <w:t>par « </w:t>
      </w:r>
      <w:r w:rsidRPr="009712AC">
        <w:rPr>
          <w:bCs/>
          <w:lang w:val="fr-FR"/>
        </w:rPr>
        <w:t>5</w:t>
      </w:r>
      <w:r w:rsidR="00FC1209" w:rsidRPr="00FC1209">
        <w:rPr>
          <w:bCs/>
          <w:lang w:val="fr-FR"/>
        </w:rPr>
        <w:t>.</w:t>
      </w:r>
      <w:r w:rsidRPr="009712AC">
        <w:rPr>
          <w:bCs/>
          <w:lang w:val="fr-FR"/>
        </w:rPr>
        <w:t>4</w:t>
      </w:r>
      <w:r w:rsidR="00FC1209" w:rsidRPr="00FC1209">
        <w:rPr>
          <w:bCs/>
          <w:lang w:val="fr-FR"/>
        </w:rPr>
        <w:t>.</w:t>
      </w:r>
      <w:r w:rsidRPr="009712AC">
        <w:rPr>
          <w:bCs/>
          <w:lang w:val="fr-FR"/>
        </w:rPr>
        <w:t>1</w:t>
      </w:r>
      <w:r w:rsidR="00FC1209" w:rsidRPr="00FC1209">
        <w:rPr>
          <w:bCs/>
          <w:lang w:val="fr-FR"/>
        </w:rPr>
        <w:t>.</w:t>
      </w:r>
      <w:r w:rsidRPr="009712AC">
        <w:rPr>
          <w:bCs/>
          <w:lang w:val="fr-FR"/>
        </w:rPr>
        <w:t>1</w:t>
      </w:r>
      <w:r w:rsidR="00FC1209" w:rsidRPr="00FC1209">
        <w:rPr>
          <w:bCs/>
          <w:lang w:val="fr-FR"/>
        </w:rPr>
        <w:t>.</w:t>
      </w:r>
      <w:r w:rsidRPr="009712AC">
        <w:rPr>
          <w:bCs/>
          <w:lang w:val="fr-FR"/>
        </w:rPr>
        <w:t>3</w:t>
      </w:r>
      <w:r w:rsidR="00FC1209" w:rsidRPr="00FC1209">
        <w:rPr>
          <w:bCs/>
          <w:lang w:val="fr-FR"/>
        </w:rPr>
        <w:t>.</w:t>
      </w:r>
      <w:r w:rsidRPr="009712AC">
        <w:rPr>
          <w:bCs/>
          <w:lang w:val="fr-FR"/>
        </w:rPr>
        <w:t>1</w:t>
      </w:r>
      <w:r>
        <w:rPr>
          <w:bCs/>
          <w:lang w:val="fr-FR"/>
        </w:rPr>
        <w:t> »</w:t>
      </w:r>
      <w:r w:rsidR="00FC1209" w:rsidRPr="00FC1209">
        <w:rPr>
          <w:bCs/>
          <w:lang w:val="fr-FR"/>
        </w:rPr>
        <w:t>.</w:t>
      </w:r>
    </w:p>
    <w:p w14:paraId="6A2133DA" w14:textId="44ACCDF1" w:rsidR="00520996" w:rsidRPr="009712AC" w:rsidRDefault="00520996" w:rsidP="005D3FA5">
      <w:pPr>
        <w:pStyle w:val="SingleTxtG"/>
        <w:rPr>
          <w:bCs/>
          <w:i/>
          <w:iCs/>
          <w:lang w:val="fr-FR"/>
        </w:rPr>
      </w:pPr>
      <w:r w:rsidRPr="009712AC">
        <w:rPr>
          <w:bCs/>
          <w:i/>
          <w:iCs/>
          <w:lang w:val="fr-FR"/>
        </w:rPr>
        <w:t>(Document de référence : ECE/TRANS/WP</w:t>
      </w:r>
      <w:r w:rsidR="00FC1209" w:rsidRPr="00FC1209">
        <w:rPr>
          <w:bCs/>
          <w:i/>
          <w:iCs/>
          <w:lang w:val="fr-FR"/>
        </w:rPr>
        <w:t>.</w:t>
      </w:r>
      <w:r w:rsidRPr="009712AC">
        <w:rPr>
          <w:bCs/>
          <w:i/>
          <w:iCs/>
          <w:lang w:val="fr-FR"/>
        </w:rPr>
        <w:t>15/AC</w:t>
      </w:r>
      <w:r w:rsidR="00FC1209" w:rsidRPr="00FC1209">
        <w:rPr>
          <w:bCs/>
          <w:i/>
          <w:iCs/>
          <w:lang w:val="fr-FR"/>
        </w:rPr>
        <w:t>.</w:t>
      </w:r>
      <w:r w:rsidRPr="009712AC">
        <w:rPr>
          <w:bCs/>
          <w:i/>
          <w:iCs/>
          <w:lang w:val="fr-FR"/>
        </w:rPr>
        <w:t>1/2021/18 et document informel INF</w:t>
      </w:r>
      <w:r w:rsidR="00FC1209" w:rsidRPr="00FC1209">
        <w:rPr>
          <w:bCs/>
          <w:i/>
          <w:iCs/>
          <w:lang w:val="fr-FR"/>
        </w:rPr>
        <w:t>.</w:t>
      </w:r>
      <w:r w:rsidRPr="009712AC">
        <w:rPr>
          <w:bCs/>
          <w:i/>
          <w:iCs/>
          <w:lang w:val="fr-FR"/>
        </w:rPr>
        <w:t>42, amendement de conséquence)</w:t>
      </w:r>
    </w:p>
    <w:p w14:paraId="16CF1973" w14:textId="6BF980F2" w:rsidR="00520996" w:rsidRDefault="00520996" w:rsidP="00520996">
      <w:pPr>
        <w:pStyle w:val="SingleTxtG"/>
        <w:rPr>
          <w:b/>
          <w:lang w:val="fr-FR"/>
        </w:rPr>
      </w:pPr>
      <w:r w:rsidRPr="00BD1CF6">
        <w:rPr>
          <w:bCs/>
          <w:lang w:val="fr-FR"/>
        </w:rPr>
        <w:t>DS 363</w:t>
      </w:r>
      <w:r>
        <w:rPr>
          <w:b/>
          <w:lang w:val="fr-FR"/>
        </w:rPr>
        <w:tab/>
      </w:r>
      <w:r w:rsidRPr="00650C05">
        <w:rPr>
          <w:lang w:val="fr-FR"/>
        </w:rPr>
        <w:t>À la fin de l</w:t>
      </w:r>
      <w:r w:rsidR="00F70B88">
        <w:rPr>
          <w:lang w:val="fr-FR"/>
        </w:rPr>
        <w:t>’</w:t>
      </w:r>
      <w:r w:rsidRPr="00650C05">
        <w:rPr>
          <w:lang w:val="fr-FR"/>
        </w:rPr>
        <w:t>alinéa j), ajouter le nouveau nota suivant :</w:t>
      </w:r>
    </w:p>
    <w:p w14:paraId="22100FCB" w14:textId="1A0E10C3" w:rsidR="00520996" w:rsidRDefault="00520996" w:rsidP="00520996">
      <w:pPr>
        <w:pStyle w:val="SingleTxtG"/>
        <w:rPr>
          <w:bCs/>
        </w:rPr>
      </w:pPr>
      <w:r w:rsidRPr="00993C2C">
        <w:rPr>
          <w:lang w:val="fr-FR"/>
        </w:rPr>
        <w:t>« </w:t>
      </w:r>
      <w:r w:rsidRPr="00BD1CF6">
        <w:rPr>
          <w:b/>
          <w:bCs/>
          <w:i/>
          <w:iCs/>
        </w:rPr>
        <w:t>NOTA :</w:t>
      </w:r>
      <w:r w:rsidRPr="00BD1CF6">
        <w:rPr>
          <w:b/>
          <w:bCs/>
          <w:i/>
          <w:iCs/>
        </w:rPr>
        <w:tab/>
      </w:r>
      <w:r w:rsidRPr="00BD1CF6">
        <w:rPr>
          <w:bCs/>
          <w:i/>
          <w:iCs/>
        </w:rPr>
        <w:t>L</w:t>
      </w:r>
      <w:r w:rsidR="00F70B88">
        <w:rPr>
          <w:bCs/>
          <w:i/>
          <w:iCs/>
        </w:rPr>
        <w:t>’</w:t>
      </w:r>
      <w:r w:rsidRPr="00BD1CF6">
        <w:rPr>
          <w:bCs/>
          <w:i/>
          <w:iCs/>
        </w:rPr>
        <w:t xml:space="preserve">étiquetage et </w:t>
      </w:r>
      <w:r w:rsidRPr="00BD1CF6">
        <w:rPr>
          <w:i/>
          <w:iCs/>
        </w:rPr>
        <w:t>le</w:t>
      </w:r>
      <w:r w:rsidRPr="00BD1CF6">
        <w:rPr>
          <w:bCs/>
          <w:i/>
          <w:iCs/>
        </w:rPr>
        <w:t xml:space="preserve"> placardage conforme aux présentes dispositions des moteurs et machines de capacité supérieures à 450 l mais contenant une quantité de combustible liquide ne dépassant pas 60 l est autorisé</w:t>
      </w:r>
      <w:r w:rsidR="00FC1209" w:rsidRPr="00FC1209">
        <w:rPr>
          <w:bCs/>
          <w:i/>
          <w:iCs/>
        </w:rPr>
        <w:t>.</w:t>
      </w:r>
      <w:r w:rsidRPr="00993C2C">
        <w:rPr>
          <w:bCs/>
        </w:rPr>
        <w:t> »</w:t>
      </w:r>
      <w:r w:rsidR="00FC1209" w:rsidRPr="00FC1209">
        <w:rPr>
          <w:bCs/>
        </w:rPr>
        <w:t>.</w:t>
      </w:r>
    </w:p>
    <w:p w14:paraId="5D3AAF5E" w14:textId="7D0D605E" w:rsidR="00520996" w:rsidRPr="00993C2C" w:rsidRDefault="00520996" w:rsidP="00520996">
      <w:pPr>
        <w:pStyle w:val="SingleTxtG"/>
        <w:rPr>
          <w:lang w:val="fr-FR"/>
        </w:rPr>
      </w:pPr>
      <w:r w:rsidRPr="0092530B">
        <w:rPr>
          <w:i/>
          <w:iCs/>
          <w:lang w:val="fr-FR"/>
        </w:rPr>
        <w:t xml:space="preserve">(Document de référence : </w:t>
      </w:r>
      <w:r>
        <w:rPr>
          <w:i/>
          <w:iCs/>
          <w:lang w:val="fr-FR"/>
        </w:rPr>
        <w:t>document informel INF</w:t>
      </w:r>
      <w:r w:rsidR="00FC1209" w:rsidRPr="00FC1209">
        <w:rPr>
          <w:i/>
          <w:iCs/>
          <w:lang w:val="fr-FR"/>
        </w:rPr>
        <w:t>.</w:t>
      </w:r>
      <w:r>
        <w:rPr>
          <w:i/>
          <w:iCs/>
          <w:lang w:val="fr-FR"/>
        </w:rPr>
        <w:t>34</w:t>
      </w:r>
      <w:r w:rsidRPr="0092530B">
        <w:rPr>
          <w:i/>
          <w:iCs/>
          <w:lang w:val="fr-FR"/>
        </w:rPr>
        <w:t>)</w:t>
      </w:r>
    </w:p>
    <w:p w14:paraId="2F669413" w14:textId="77777777" w:rsidR="00520996" w:rsidRPr="0092530B" w:rsidRDefault="00520996" w:rsidP="00520996">
      <w:pPr>
        <w:pStyle w:val="SingleTxtG"/>
        <w:rPr>
          <w:lang w:val="fr-FR"/>
        </w:rPr>
      </w:pPr>
      <w:r w:rsidRPr="00BD1CF6">
        <w:rPr>
          <w:bCs/>
          <w:lang w:val="fr-FR"/>
        </w:rPr>
        <w:lastRenderedPageBreak/>
        <w:t>DS 593</w:t>
      </w:r>
      <w:r w:rsidRPr="00222AB5">
        <w:rPr>
          <w:bCs/>
          <w:lang w:val="fr-FR"/>
        </w:rPr>
        <w:tab/>
      </w:r>
      <w:r w:rsidRPr="0092530B">
        <w:rPr>
          <w:lang w:val="fr-FR"/>
        </w:rPr>
        <w:t xml:space="preserve">Modifier </w:t>
      </w:r>
      <w:r>
        <w:rPr>
          <w:lang w:val="fr-FR"/>
        </w:rPr>
        <w:t>pour lire comme suit</w:t>
      </w:r>
      <w:r w:rsidRPr="0092530B">
        <w:rPr>
          <w:lang w:val="fr-FR"/>
        </w:rPr>
        <w:t> :</w:t>
      </w:r>
    </w:p>
    <w:p w14:paraId="0D4B5819" w14:textId="6BF486E6" w:rsidR="00520996" w:rsidRPr="0092530B" w:rsidRDefault="00520996" w:rsidP="005D3FA5">
      <w:pPr>
        <w:pStyle w:val="SingleTxtG"/>
        <w:rPr>
          <w:lang w:val="fr-FR"/>
        </w:rPr>
      </w:pPr>
      <w:r w:rsidRPr="0092530B">
        <w:rPr>
          <w:lang w:val="fr-FR"/>
        </w:rPr>
        <w:t>« Ce gaz, lorsqu</w:t>
      </w:r>
      <w:r w:rsidR="00F70B88">
        <w:rPr>
          <w:lang w:val="fr-FR"/>
        </w:rPr>
        <w:t>’</w:t>
      </w:r>
      <w:r w:rsidRPr="0092530B">
        <w:rPr>
          <w:lang w:val="fr-FR"/>
        </w:rPr>
        <w:t>il est utilisé pour refroidir des marchandises ne répondant aux critères d</w:t>
      </w:r>
      <w:r w:rsidR="00F70B88">
        <w:rPr>
          <w:lang w:val="fr-FR"/>
        </w:rPr>
        <w:t>’</w:t>
      </w:r>
      <w:r w:rsidRPr="0092530B">
        <w:rPr>
          <w:lang w:val="fr-FR"/>
        </w:rPr>
        <w:t>aucune classe, par exemple des échantillons médicaux ou biologiques, et qu</w:t>
      </w:r>
      <w:r w:rsidR="00F70B88">
        <w:rPr>
          <w:lang w:val="fr-FR"/>
        </w:rPr>
        <w:t>’</w:t>
      </w:r>
      <w:r w:rsidRPr="0092530B">
        <w:rPr>
          <w:lang w:val="fr-FR"/>
        </w:rPr>
        <w:t>il est contenu dans des récipients à double cloison qui satisfont aux dispositions de l</w:t>
      </w:r>
      <w:r w:rsidR="00F70B88">
        <w:rPr>
          <w:lang w:val="fr-FR"/>
        </w:rPr>
        <w:t>’</w:t>
      </w:r>
      <w:r w:rsidRPr="0092530B">
        <w:rPr>
          <w:lang w:val="fr-FR"/>
        </w:rPr>
        <w:t>instruction d</w:t>
      </w:r>
      <w:r w:rsidR="00F70B88">
        <w:rPr>
          <w:lang w:val="fr-FR"/>
        </w:rPr>
        <w:t>’</w:t>
      </w:r>
      <w:r w:rsidRPr="0092530B">
        <w:rPr>
          <w:lang w:val="fr-FR"/>
        </w:rPr>
        <w:t>emballage P203 6), prescriptions applicables aux récipients cryogéniques ouverts, du 4</w:t>
      </w:r>
      <w:r w:rsidR="00FC1209" w:rsidRPr="00FC1209">
        <w:rPr>
          <w:lang w:val="fr-FR"/>
        </w:rPr>
        <w:t>.</w:t>
      </w:r>
      <w:r w:rsidRPr="0092530B">
        <w:rPr>
          <w:lang w:val="fr-FR"/>
        </w:rPr>
        <w:t>1</w:t>
      </w:r>
      <w:r w:rsidR="00FC1209" w:rsidRPr="00FC1209">
        <w:rPr>
          <w:lang w:val="fr-FR"/>
        </w:rPr>
        <w:t>.</w:t>
      </w:r>
      <w:r w:rsidRPr="0092530B">
        <w:rPr>
          <w:lang w:val="fr-FR"/>
        </w:rPr>
        <w:t>4</w:t>
      </w:r>
      <w:r w:rsidR="00FC1209" w:rsidRPr="00FC1209">
        <w:rPr>
          <w:lang w:val="fr-FR"/>
        </w:rPr>
        <w:t>.</w:t>
      </w:r>
      <w:r w:rsidRPr="0092530B">
        <w:rPr>
          <w:lang w:val="fr-FR"/>
        </w:rPr>
        <w:t>1</w:t>
      </w:r>
      <w:r>
        <w:rPr>
          <w:lang w:val="fr-FR"/>
        </w:rPr>
        <w:t xml:space="preserve"> &lt;(ADN :) de l</w:t>
      </w:r>
      <w:r w:rsidR="00F70B88">
        <w:rPr>
          <w:lang w:val="fr-FR"/>
        </w:rPr>
        <w:t>’</w:t>
      </w:r>
      <w:r>
        <w:rPr>
          <w:lang w:val="fr-FR"/>
        </w:rPr>
        <w:t>ADR&gt;</w:t>
      </w:r>
      <w:r w:rsidRPr="0092530B">
        <w:rPr>
          <w:lang w:val="fr-FR"/>
        </w:rPr>
        <w:t>, n</w:t>
      </w:r>
      <w:r w:rsidR="00F70B88">
        <w:rPr>
          <w:lang w:val="fr-FR"/>
        </w:rPr>
        <w:t>’</w:t>
      </w:r>
      <w:r w:rsidRPr="0092530B">
        <w:rPr>
          <w:lang w:val="fr-FR"/>
        </w:rPr>
        <w:t>est pas soumis aux prescriptions du RID</w:t>
      </w:r>
      <w:r>
        <w:rPr>
          <w:lang w:val="fr-FR"/>
        </w:rPr>
        <w:t xml:space="preserve">, </w:t>
      </w:r>
      <w:r w:rsidRPr="0092530B">
        <w:rPr>
          <w:lang w:val="fr-FR"/>
        </w:rPr>
        <w:t>de l</w:t>
      </w:r>
      <w:r w:rsidR="00F70B88">
        <w:rPr>
          <w:lang w:val="fr-FR"/>
        </w:rPr>
        <w:t>’</w:t>
      </w:r>
      <w:r w:rsidRPr="0092530B">
        <w:rPr>
          <w:lang w:val="fr-FR"/>
        </w:rPr>
        <w:t>ADR</w:t>
      </w:r>
      <w:r>
        <w:rPr>
          <w:lang w:val="fr-FR"/>
        </w:rPr>
        <w:t xml:space="preserve"> ou de l</w:t>
      </w:r>
      <w:r w:rsidR="00F70B88">
        <w:rPr>
          <w:lang w:val="fr-FR"/>
        </w:rPr>
        <w:t>’</w:t>
      </w:r>
      <w:r>
        <w:rPr>
          <w:lang w:val="fr-FR"/>
        </w:rPr>
        <w:t>ADN</w:t>
      </w:r>
      <w:r w:rsidRPr="0092530B">
        <w:rPr>
          <w:lang w:val="fr-FR"/>
        </w:rPr>
        <w:t xml:space="preserve"> excepté tel qu</w:t>
      </w:r>
      <w:r w:rsidR="00F70B88">
        <w:rPr>
          <w:lang w:val="fr-FR"/>
        </w:rPr>
        <w:t>’</w:t>
      </w:r>
      <w:r w:rsidRPr="0092530B">
        <w:rPr>
          <w:lang w:val="fr-FR"/>
        </w:rPr>
        <w:t>indiqué au 5</w:t>
      </w:r>
      <w:r w:rsidR="00FC1209" w:rsidRPr="00FC1209">
        <w:rPr>
          <w:lang w:val="fr-FR"/>
        </w:rPr>
        <w:t>.</w:t>
      </w:r>
      <w:r w:rsidRPr="0092530B">
        <w:rPr>
          <w:lang w:val="fr-FR"/>
        </w:rPr>
        <w:t>5</w:t>
      </w:r>
      <w:r w:rsidR="00FC1209" w:rsidRPr="00FC1209">
        <w:rPr>
          <w:lang w:val="fr-FR"/>
        </w:rPr>
        <w:t>.</w:t>
      </w:r>
      <w:r w:rsidRPr="0092530B">
        <w:rPr>
          <w:lang w:val="fr-FR"/>
        </w:rPr>
        <w:t>3</w:t>
      </w:r>
      <w:r w:rsidR="00FC1209" w:rsidRPr="00FC1209">
        <w:rPr>
          <w:lang w:val="fr-FR"/>
        </w:rPr>
        <w:t>.</w:t>
      </w:r>
      <w:r w:rsidRPr="0092530B">
        <w:rPr>
          <w:lang w:val="fr-FR"/>
        </w:rPr>
        <w:t> »</w:t>
      </w:r>
      <w:r w:rsidR="00FC1209" w:rsidRPr="00FC1209">
        <w:rPr>
          <w:lang w:val="fr-FR"/>
        </w:rPr>
        <w:t>.</w:t>
      </w:r>
    </w:p>
    <w:p w14:paraId="1E7F7D98" w14:textId="690397B4" w:rsidR="00520996" w:rsidRDefault="00520996" w:rsidP="00520996">
      <w:pPr>
        <w:pStyle w:val="SingleTxtG"/>
        <w:rPr>
          <w:i/>
          <w:iCs/>
          <w:lang w:val="fr-FR"/>
        </w:rPr>
      </w:pPr>
      <w:r w:rsidRPr="0092530B">
        <w:rPr>
          <w:i/>
          <w:iCs/>
          <w:lang w:val="fr-FR"/>
        </w:rPr>
        <w:t>(Document de référ</w:t>
      </w:r>
      <w:r>
        <w:rPr>
          <w:i/>
          <w:iCs/>
          <w:lang w:val="fr-FR"/>
        </w:rPr>
        <w:t>ence : ECE/TRANS/WP</w:t>
      </w:r>
      <w:r w:rsidR="00FC1209" w:rsidRPr="00FC1209">
        <w:rPr>
          <w:i/>
          <w:iCs/>
          <w:lang w:val="fr-FR"/>
        </w:rPr>
        <w:t>.</w:t>
      </w:r>
      <w:r>
        <w:rPr>
          <w:i/>
          <w:iCs/>
          <w:lang w:val="fr-FR"/>
        </w:rPr>
        <w:t>15/AC</w:t>
      </w:r>
      <w:r w:rsidR="00FC1209" w:rsidRPr="00FC1209">
        <w:rPr>
          <w:i/>
          <w:iCs/>
          <w:lang w:val="fr-FR"/>
        </w:rPr>
        <w:t>.</w:t>
      </w:r>
      <w:r>
        <w:rPr>
          <w:i/>
          <w:iCs/>
          <w:lang w:val="fr-FR"/>
        </w:rPr>
        <w:t>1/2021</w:t>
      </w:r>
      <w:r w:rsidRPr="0092530B">
        <w:rPr>
          <w:i/>
          <w:iCs/>
          <w:lang w:val="fr-FR"/>
        </w:rPr>
        <w:t>/15, option A)</w:t>
      </w:r>
    </w:p>
    <w:p w14:paraId="1C01E0C6" w14:textId="77777777" w:rsidR="00520996" w:rsidRPr="006835D9" w:rsidRDefault="00520996" w:rsidP="00520996">
      <w:pPr>
        <w:pStyle w:val="SingleTxtG"/>
        <w:ind w:right="282"/>
        <w:rPr>
          <w:bCs/>
          <w:lang w:val="fr-FR"/>
        </w:rPr>
      </w:pPr>
      <w:r w:rsidRPr="006835D9">
        <w:rPr>
          <w:bCs/>
          <w:lang w:val="fr-FR"/>
        </w:rPr>
        <w:t>DS 644</w:t>
      </w:r>
      <w:r w:rsidRPr="006835D9">
        <w:rPr>
          <w:bCs/>
          <w:lang w:val="fr-FR"/>
        </w:rPr>
        <w:tab/>
        <w:t>Insérer le nouveau deuxième tiret suivant :</w:t>
      </w:r>
    </w:p>
    <w:p w14:paraId="0F18DA62" w14:textId="7119A9D9" w:rsidR="00520996" w:rsidRPr="006835D9" w:rsidRDefault="00520996" w:rsidP="00520996">
      <w:pPr>
        <w:pStyle w:val="SingleTxtG"/>
        <w:ind w:left="1701" w:right="282" w:hanging="567"/>
        <w:rPr>
          <w:bCs/>
          <w:lang w:val="fr-FR"/>
        </w:rPr>
      </w:pPr>
      <w:r w:rsidRPr="006835D9">
        <w:rPr>
          <w:bCs/>
          <w:lang w:val="fr-FR"/>
        </w:rPr>
        <w:t>« -</w:t>
      </w:r>
      <w:r w:rsidRPr="006835D9">
        <w:rPr>
          <w:bCs/>
          <w:lang w:val="fr-FR"/>
        </w:rPr>
        <w:tab/>
        <w:t>La solution ne contienne pas plus de 93 % de nitrate d</w:t>
      </w:r>
      <w:r w:rsidR="00F70B88">
        <w:rPr>
          <w:bCs/>
          <w:lang w:val="fr-FR"/>
        </w:rPr>
        <w:t>’</w:t>
      </w:r>
      <w:r w:rsidRPr="006835D9">
        <w:rPr>
          <w:bCs/>
          <w:lang w:val="fr-FR"/>
        </w:rPr>
        <w:t>ammonium</w:t>
      </w:r>
      <w:r w:rsidR="00FC1209" w:rsidRPr="00FC1209">
        <w:rPr>
          <w:bCs/>
          <w:lang w:val="fr-FR"/>
        </w:rPr>
        <w:t>.</w:t>
      </w:r>
      <w:r w:rsidRPr="006835D9">
        <w:rPr>
          <w:bCs/>
          <w:lang w:val="fr-FR"/>
        </w:rPr>
        <w:t> »</w:t>
      </w:r>
      <w:r w:rsidR="00FC1209" w:rsidRPr="00FC1209">
        <w:rPr>
          <w:bCs/>
          <w:lang w:val="fr-FR"/>
        </w:rPr>
        <w:t>.</w:t>
      </w:r>
    </w:p>
    <w:p w14:paraId="477E9BE5" w14:textId="044585B0" w:rsidR="00520996" w:rsidRPr="006835D9" w:rsidRDefault="00520996" w:rsidP="00520996">
      <w:pPr>
        <w:pStyle w:val="SingleTxtG"/>
        <w:ind w:left="1701" w:right="282" w:hanging="567"/>
        <w:rPr>
          <w:bCs/>
          <w:i/>
          <w:iCs/>
          <w:lang w:val="fr-FR"/>
        </w:rPr>
      </w:pPr>
      <w:r w:rsidRPr="006835D9">
        <w:rPr>
          <w:bCs/>
          <w:i/>
          <w:iCs/>
          <w:lang w:val="fr-FR"/>
        </w:rPr>
        <w:t>(Document de référence : document ECE/TRANS/WP</w:t>
      </w:r>
      <w:r w:rsidR="00FC1209" w:rsidRPr="00FC1209">
        <w:rPr>
          <w:bCs/>
          <w:i/>
          <w:iCs/>
          <w:lang w:val="fr-FR"/>
        </w:rPr>
        <w:t>.</w:t>
      </w:r>
      <w:r w:rsidRPr="006835D9">
        <w:rPr>
          <w:bCs/>
          <w:i/>
          <w:iCs/>
          <w:lang w:val="fr-FR"/>
        </w:rPr>
        <w:t>15/AC</w:t>
      </w:r>
      <w:r w:rsidR="00FC1209" w:rsidRPr="00FC1209">
        <w:rPr>
          <w:bCs/>
          <w:i/>
          <w:iCs/>
          <w:lang w:val="fr-FR"/>
        </w:rPr>
        <w:t>.</w:t>
      </w:r>
      <w:r w:rsidRPr="006835D9">
        <w:rPr>
          <w:bCs/>
          <w:i/>
          <w:iCs/>
          <w:lang w:val="fr-FR"/>
        </w:rPr>
        <w:t>1/2021/13 tel qu</w:t>
      </w:r>
      <w:r w:rsidR="00F70B88">
        <w:rPr>
          <w:bCs/>
          <w:i/>
          <w:iCs/>
          <w:lang w:val="fr-FR"/>
        </w:rPr>
        <w:t>’</w:t>
      </w:r>
      <w:r w:rsidRPr="006835D9">
        <w:rPr>
          <w:bCs/>
          <w:i/>
          <w:iCs/>
          <w:lang w:val="fr-FR"/>
        </w:rPr>
        <w:t>amendé)</w:t>
      </w:r>
    </w:p>
    <w:p w14:paraId="5F2F862B" w14:textId="65F2B289" w:rsidR="00520996" w:rsidRPr="007C6BEA" w:rsidRDefault="00520996" w:rsidP="00520996">
      <w:pPr>
        <w:tabs>
          <w:tab w:val="left" w:pos="2268"/>
        </w:tabs>
        <w:kinsoku/>
        <w:overflowPunct/>
        <w:autoSpaceDE/>
        <w:autoSpaceDN/>
        <w:adjustRightInd/>
        <w:spacing w:before="120" w:after="120" w:line="240" w:lineRule="auto"/>
        <w:ind w:left="2552" w:right="1134" w:hanging="1418"/>
        <w:rPr>
          <w:u w:val="single"/>
          <w:lang w:val="fr-FR" w:eastAsia="fr-FR"/>
        </w:rPr>
      </w:pPr>
      <w:r w:rsidRPr="00790457">
        <w:rPr>
          <w:bCs/>
          <w:lang w:val="fr-FR" w:eastAsia="fr-FR"/>
        </w:rPr>
        <w:t>DS 650</w:t>
      </w:r>
      <w:r w:rsidRPr="00790457">
        <w:rPr>
          <w:lang w:val="fr-FR" w:eastAsia="fr-FR"/>
        </w:rPr>
        <w:tab/>
      </w:r>
      <w:r>
        <w:rPr>
          <w:lang w:val="fr-FR" w:eastAsia="fr-FR"/>
        </w:rPr>
        <w:t>Dans l</w:t>
      </w:r>
      <w:r w:rsidR="00F70B88">
        <w:rPr>
          <w:lang w:val="fr-FR" w:eastAsia="fr-FR"/>
        </w:rPr>
        <w:t>’</w:t>
      </w:r>
      <w:r>
        <w:rPr>
          <w:lang w:val="fr-FR" w:eastAsia="fr-FR"/>
        </w:rPr>
        <w:t xml:space="preserve">alinéa </w:t>
      </w:r>
      <w:r w:rsidRPr="007C6BEA">
        <w:rPr>
          <w:lang w:val="fr-FR" w:eastAsia="fr-FR"/>
        </w:rPr>
        <w:t xml:space="preserve">e), </w:t>
      </w:r>
      <w:r>
        <w:rPr>
          <w:lang w:val="fr-FR" w:eastAsia="fr-FR"/>
        </w:rPr>
        <w:t>remplacer « </w:t>
      </w:r>
      <w:r w:rsidRPr="007C6BEA">
        <w:rPr>
          <w:lang w:val="fr-FR" w:eastAsia="fr-FR"/>
        </w:rPr>
        <w:t>5</w:t>
      </w:r>
      <w:r w:rsidR="00FC1209" w:rsidRPr="00FC1209">
        <w:rPr>
          <w:lang w:val="fr-FR" w:eastAsia="fr-FR"/>
        </w:rPr>
        <w:t>.</w:t>
      </w:r>
      <w:r w:rsidRPr="007C6BEA">
        <w:rPr>
          <w:lang w:val="fr-FR" w:eastAsia="fr-FR"/>
        </w:rPr>
        <w:t>4</w:t>
      </w:r>
      <w:r w:rsidR="00FC1209" w:rsidRPr="00FC1209">
        <w:rPr>
          <w:lang w:val="fr-FR" w:eastAsia="fr-FR"/>
        </w:rPr>
        <w:t>.</w:t>
      </w:r>
      <w:r w:rsidRPr="007C6BEA">
        <w:rPr>
          <w:lang w:val="fr-FR" w:eastAsia="fr-FR"/>
        </w:rPr>
        <w:t>1</w:t>
      </w:r>
      <w:r w:rsidR="00FC1209" w:rsidRPr="00FC1209">
        <w:rPr>
          <w:lang w:val="fr-FR" w:eastAsia="fr-FR"/>
        </w:rPr>
        <w:t>.</w:t>
      </w:r>
      <w:r w:rsidRPr="007C6BEA">
        <w:rPr>
          <w:lang w:val="fr-FR" w:eastAsia="fr-FR"/>
        </w:rPr>
        <w:t>1</w:t>
      </w:r>
      <w:r w:rsidR="00FC1209" w:rsidRPr="00FC1209">
        <w:rPr>
          <w:lang w:val="fr-FR" w:eastAsia="fr-FR"/>
        </w:rPr>
        <w:t>.</w:t>
      </w:r>
      <w:r w:rsidRPr="007C6BEA">
        <w:rPr>
          <w:lang w:val="fr-FR" w:eastAsia="fr-FR"/>
        </w:rPr>
        <w:t>3</w:t>
      </w:r>
      <w:r>
        <w:rPr>
          <w:lang w:val="fr-FR" w:eastAsia="fr-FR"/>
        </w:rPr>
        <w:t> » par « </w:t>
      </w:r>
      <w:r w:rsidRPr="007C6BEA">
        <w:rPr>
          <w:lang w:val="fr-FR" w:eastAsia="fr-FR"/>
        </w:rPr>
        <w:t>5</w:t>
      </w:r>
      <w:r w:rsidR="00FC1209" w:rsidRPr="00FC1209">
        <w:rPr>
          <w:lang w:val="fr-FR" w:eastAsia="fr-FR"/>
        </w:rPr>
        <w:t>.</w:t>
      </w:r>
      <w:r w:rsidRPr="007C6BEA">
        <w:rPr>
          <w:lang w:val="fr-FR" w:eastAsia="fr-FR"/>
        </w:rPr>
        <w:t>4</w:t>
      </w:r>
      <w:r w:rsidR="00FC1209" w:rsidRPr="00FC1209">
        <w:rPr>
          <w:lang w:val="fr-FR" w:eastAsia="fr-FR"/>
        </w:rPr>
        <w:t>.</w:t>
      </w:r>
      <w:r w:rsidRPr="007C6BEA">
        <w:rPr>
          <w:lang w:val="fr-FR" w:eastAsia="fr-FR"/>
        </w:rPr>
        <w:t>1</w:t>
      </w:r>
      <w:r w:rsidR="00FC1209" w:rsidRPr="00FC1209">
        <w:rPr>
          <w:lang w:val="fr-FR" w:eastAsia="fr-FR"/>
        </w:rPr>
        <w:t>.</w:t>
      </w:r>
      <w:r w:rsidRPr="007C6BEA">
        <w:rPr>
          <w:lang w:val="fr-FR" w:eastAsia="fr-FR"/>
        </w:rPr>
        <w:t>1</w:t>
      </w:r>
      <w:r w:rsidR="00FC1209" w:rsidRPr="00FC1209">
        <w:rPr>
          <w:lang w:val="fr-FR" w:eastAsia="fr-FR"/>
        </w:rPr>
        <w:t>.</w:t>
      </w:r>
      <w:r w:rsidRPr="007C6BEA">
        <w:rPr>
          <w:lang w:val="fr-FR" w:eastAsia="fr-FR"/>
        </w:rPr>
        <w:t>3</w:t>
      </w:r>
      <w:r w:rsidR="00FC1209" w:rsidRPr="00FC1209">
        <w:rPr>
          <w:lang w:val="fr-FR" w:eastAsia="fr-FR"/>
        </w:rPr>
        <w:t>.</w:t>
      </w:r>
      <w:r w:rsidRPr="007C6BEA">
        <w:rPr>
          <w:lang w:val="fr-FR" w:eastAsia="fr-FR"/>
        </w:rPr>
        <w:t>1</w:t>
      </w:r>
      <w:r>
        <w:rPr>
          <w:lang w:val="fr-FR" w:eastAsia="fr-FR"/>
        </w:rPr>
        <w:t> »</w:t>
      </w:r>
      <w:r w:rsidR="00FC1209" w:rsidRPr="00FC1209">
        <w:rPr>
          <w:lang w:val="fr-FR" w:eastAsia="fr-FR"/>
        </w:rPr>
        <w:t>.</w:t>
      </w:r>
    </w:p>
    <w:p w14:paraId="3D3B01A1" w14:textId="201C2637" w:rsidR="00520996" w:rsidRPr="007C6BEA" w:rsidRDefault="00520996" w:rsidP="00520996">
      <w:pPr>
        <w:kinsoku/>
        <w:overflowPunct/>
        <w:autoSpaceDE/>
        <w:autoSpaceDN/>
        <w:adjustRightInd/>
        <w:spacing w:before="120" w:after="120" w:line="240" w:lineRule="auto"/>
        <w:ind w:left="1134" w:right="1134"/>
        <w:rPr>
          <w:i/>
          <w:iCs/>
          <w:lang w:val="fr-FR" w:eastAsia="fr-FR"/>
        </w:rPr>
      </w:pPr>
      <w:r w:rsidRPr="007C6BEA">
        <w:rPr>
          <w:i/>
          <w:iCs/>
          <w:lang w:val="fr-FR" w:eastAsia="fr-FR"/>
        </w:rPr>
        <w:t>(</w:t>
      </w:r>
      <w:r w:rsidRPr="009712AC">
        <w:rPr>
          <w:bCs/>
          <w:i/>
          <w:iCs/>
          <w:lang w:val="fr-FR"/>
        </w:rPr>
        <w:t>Document de référence : ECE/TRANS/WP</w:t>
      </w:r>
      <w:r w:rsidR="00FC1209" w:rsidRPr="00FC1209">
        <w:rPr>
          <w:bCs/>
          <w:i/>
          <w:iCs/>
          <w:lang w:val="fr-FR"/>
        </w:rPr>
        <w:t>.</w:t>
      </w:r>
      <w:r w:rsidRPr="009712AC">
        <w:rPr>
          <w:bCs/>
          <w:i/>
          <w:iCs/>
          <w:lang w:val="fr-FR"/>
        </w:rPr>
        <w:t>15/AC</w:t>
      </w:r>
      <w:r w:rsidR="00FC1209" w:rsidRPr="00FC1209">
        <w:rPr>
          <w:bCs/>
          <w:i/>
          <w:iCs/>
          <w:lang w:val="fr-FR"/>
        </w:rPr>
        <w:t>.</w:t>
      </w:r>
      <w:r w:rsidRPr="009712AC">
        <w:rPr>
          <w:bCs/>
          <w:i/>
          <w:iCs/>
          <w:lang w:val="fr-FR"/>
        </w:rPr>
        <w:t>1/2021/18 et document informel INF</w:t>
      </w:r>
      <w:r w:rsidR="00FC1209" w:rsidRPr="00FC1209">
        <w:rPr>
          <w:bCs/>
          <w:i/>
          <w:iCs/>
          <w:lang w:val="fr-FR"/>
        </w:rPr>
        <w:t>.</w:t>
      </w:r>
      <w:r w:rsidRPr="009712AC">
        <w:rPr>
          <w:bCs/>
          <w:i/>
          <w:iCs/>
          <w:lang w:val="fr-FR"/>
        </w:rPr>
        <w:t>42, amendement de conséquence</w:t>
      </w:r>
      <w:r w:rsidRPr="007C6BEA">
        <w:rPr>
          <w:i/>
          <w:iCs/>
          <w:lang w:val="fr-FR" w:eastAsia="fr-FR"/>
        </w:rPr>
        <w:t>)</w:t>
      </w:r>
    </w:p>
    <w:p w14:paraId="1BBA4772" w14:textId="37C7C362" w:rsidR="00520996" w:rsidRPr="00384E7D" w:rsidRDefault="00520996" w:rsidP="00520996">
      <w:pPr>
        <w:pStyle w:val="SingleTxtG"/>
        <w:ind w:left="1701" w:right="282" w:hanging="567"/>
        <w:rPr>
          <w:bCs/>
          <w:iCs/>
          <w:lang w:val="fr-FR"/>
        </w:rPr>
      </w:pPr>
      <w:r w:rsidRPr="00790457">
        <w:rPr>
          <w:bCs/>
          <w:lang w:val="fr-FR" w:eastAsia="fr-FR"/>
        </w:rPr>
        <w:t>DS</w:t>
      </w:r>
      <w:r w:rsidRPr="00384E7D">
        <w:rPr>
          <w:bCs/>
          <w:iCs/>
          <w:lang w:val="fr-FR"/>
        </w:rPr>
        <w:t xml:space="preserve"> 654</w:t>
      </w:r>
      <w:r w:rsidRPr="00384E7D">
        <w:rPr>
          <w:bCs/>
          <w:iCs/>
          <w:lang w:val="fr-FR"/>
        </w:rPr>
        <w:tab/>
      </w:r>
      <w:r>
        <w:rPr>
          <w:bCs/>
          <w:iCs/>
          <w:lang w:val="fr-FR"/>
        </w:rPr>
        <w:t>Dans la première phrase</w:t>
      </w:r>
      <w:r w:rsidRPr="00384E7D">
        <w:rPr>
          <w:bCs/>
          <w:iCs/>
          <w:lang w:val="fr-FR"/>
        </w:rPr>
        <w:t xml:space="preserve">, </w:t>
      </w:r>
      <w:r>
        <w:rPr>
          <w:bCs/>
          <w:iCs/>
          <w:lang w:val="fr-FR"/>
        </w:rPr>
        <w:t>remplacer « </w:t>
      </w:r>
      <w:r w:rsidRPr="00384E7D">
        <w:rPr>
          <w:bCs/>
          <w:iCs/>
          <w:lang w:val="fr-FR"/>
        </w:rPr>
        <w:t>5</w:t>
      </w:r>
      <w:r w:rsidR="00FC1209" w:rsidRPr="00FC1209">
        <w:rPr>
          <w:bCs/>
          <w:iCs/>
          <w:lang w:val="fr-FR"/>
        </w:rPr>
        <w:t>.</w:t>
      </w:r>
      <w:r w:rsidRPr="00384E7D">
        <w:rPr>
          <w:bCs/>
          <w:iCs/>
          <w:lang w:val="fr-FR"/>
        </w:rPr>
        <w:t>4</w:t>
      </w:r>
      <w:r w:rsidR="00FC1209" w:rsidRPr="00FC1209">
        <w:rPr>
          <w:bCs/>
          <w:iCs/>
          <w:lang w:val="fr-FR"/>
        </w:rPr>
        <w:t>.</w:t>
      </w:r>
      <w:r w:rsidRPr="00384E7D">
        <w:rPr>
          <w:bCs/>
          <w:iCs/>
          <w:lang w:val="fr-FR"/>
        </w:rPr>
        <w:t>1</w:t>
      </w:r>
      <w:r w:rsidR="00FC1209" w:rsidRPr="00FC1209">
        <w:rPr>
          <w:bCs/>
          <w:iCs/>
          <w:lang w:val="fr-FR"/>
        </w:rPr>
        <w:t>.</w:t>
      </w:r>
      <w:r w:rsidRPr="00384E7D">
        <w:rPr>
          <w:bCs/>
          <w:iCs/>
          <w:lang w:val="fr-FR"/>
        </w:rPr>
        <w:t>1</w:t>
      </w:r>
      <w:r w:rsidR="00FC1209" w:rsidRPr="00FC1209">
        <w:rPr>
          <w:bCs/>
          <w:iCs/>
          <w:lang w:val="fr-FR"/>
        </w:rPr>
        <w:t>.</w:t>
      </w:r>
      <w:r w:rsidRPr="00384E7D">
        <w:rPr>
          <w:bCs/>
          <w:iCs/>
          <w:lang w:val="fr-FR"/>
        </w:rPr>
        <w:t>3</w:t>
      </w:r>
      <w:r>
        <w:rPr>
          <w:bCs/>
          <w:iCs/>
          <w:lang w:val="fr-FR"/>
        </w:rPr>
        <w:t> » par « </w:t>
      </w:r>
      <w:r w:rsidRPr="00384E7D">
        <w:rPr>
          <w:bCs/>
          <w:iCs/>
          <w:lang w:val="fr-FR"/>
        </w:rPr>
        <w:t>5</w:t>
      </w:r>
      <w:r w:rsidR="00FC1209" w:rsidRPr="00FC1209">
        <w:rPr>
          <w:bCs/>
          <w:iCs/>
          <w:lang w:val="fr-FR"/>
        </w:rPr>
        <w:t>.</w:t>
      </w:r>
      <w:r w:rsidRPr="00384E7D">
        <w:rPr>
          <w:bCs/>
          <w:iCs/>
          <w:lang w:val="fr-FR"/>
        </w:rPr>
        <w:t>4</w:t>
      </w:r>
      <w:r w:rsidR="00FC1209" w:rsidRPr="00FC1209">
        <w:rPr>
          <w:bCs/>
          <w:iCs/>
          <w:lang w:val="fr-FR"/>
        </w:rPr>
        <w:t>.</w:t>
      </w:r>
      <w:r w:rsidRPr="00384E7D">
        <w:rPr>
          <w:bCs/>
          <w:iCs/>
          <w:lang w:val="fr-FR"/>
        </w:rPr>
        <w:t>1</w:t>
      </w:r>
      <w:r w:rsidR="00FC1209" w:rsidRPr="00FC1209">
        <w:rPr>
          <w:bCs/>
          <w:iCs/>
          <w:lang w:val="fr-FR"/>
        </w:rPr>
        <w:t>.</w:t>
      </w:r>
      <w:r w:rsidRPr="00384E7D">
        <w:rPr>
          <w:bCs/>
          <w:iCs/>
          <w:lang w:val="fr-FR"/>
        </w:rPr>
        <w:t>1</w:t>
      </w:r>
      <w:r w:rsidR="00FC1209" w:rsidRPr="00FC1209">
        <w:rPr>
          <w:bCs/>
          <w:iCs/>
          <w:lang w:val="fr-FR"/>
        </w:rPr>
        <w:t>.</w:t>
      </w:r>
      <w:r w:rsidRPr="00384E7D">
        <w:rPr>
          <w:bCs/>
          <w:iCs/>
          <w:lang w:val="fr-FR"/>
        </w:rPr>
        <w:t>3</w:t>
      </w:r>
      <w:r w:rsidR="00FC1209" w:rsidRPr="00FC1209">
        <w:rPr>
          <w:bCs/>
          <w:iCs/>
          <w:lang w:val="fr-FR"/>
        </w:rPr>
        <w:t>.</w:t>
      </w:r>
      <w:r w:rsidRPr="00384E7D">
        <w:rPr>
          <w:bCs/>
          <w:iCs/>
          <w:lang w:val="fr-FR"/>
        </w:rPr>
        <w:t>1</w:t>
      </w:r>
      <w:r>
        <w:rPr>
          <w:bCs/>
          <w:iCs/>
          <w:lang w:val="fr-FR"/>
        </w:rPr>
        <w:t> »</w:t>
      </w:r>
      <w:r w:rsidR="00FC1209" w:rsidRPr="00FC1209">
        <w:rPr>
          <w:bCs/>
          <w:iCs/>
          <w:lang w:val="fr-FR"/>
        </w:rPr>
        <w:t>.</w:t>
      </w:r>
    </w:p>
    <w:p w14:paraId="54539E9B" w14:textId="6249C8E8" w:rsidR="00520996" w:rsidRPr="007C6BEA" w:rsidRDefault="00520996" w:rsidP="00520996">
      <w:pPr>
        <w:kinsoku/>
        <w:overflowPunct/>
        <w:autoSpaceDE/>
        <w:autoSpaceDN/>
        <w:adjustRightInd/>
        <w:spacing w:before="120" w:after="120" w:line="240" w:lineRule="auto"/>
        <w:ind w:left="1134" w:right="1134"/>
        <w:rPr>
          <w:i/>
          <w:iCs/>
          <w:lang w:val="fr-FR" w:eastAsia="fr-FR"/>
        </w:rPr>
      </w:pPr>
      <w:r w:rsidRPr="007C6BEA">
        <w:rPr>
          <w:i/>
          <w:iCs/>
          <w:lang w:val="fr-FR" w:eastAsia="fr-FR"/>
        </w:rPr>
        <w:t>(</w:t>
      </w:r>
      <w:r w:rsidRPr="009712AC">
        <w:rPr>
          <w:bCs/>
          <w:i/>
          <w:iCs/>
          <w:lang w:val="fr-FR"/>
        </w:rPr>
        <w:t>Document de référence : ECE/TRANS/WP</w:t>
      </w:r>
      <w:r w:rsidR="00FC1209" w:rsidRPr="00FC1209">
        <w:rPr>
          <w:bCs/>
          <w:i/>
          <w:iCs/>
          <w:lang w:val="fr-FR"/>
        </w:rPr>
        <w:t>.</w:t>
      </w:r>
      <w:r w:rsidRPr="009712AC">
        <w:rPr>
          <w:bCs/>
          <w:i/>
          <w:iCs/>
          <w:lang w:val="fr-FR"/>
        </w:rPr>
        <w:t>15/AC</w:t>
      </w:r>
      <w:r w:rsidR="00FC1209" w:rsidRPr="00FC1209">
        <w:rPr>
          <w:bCs/>
          <w:i/>
          <w:iCs/>
          <w:lang w:val="fr-FR"/>
        </w:rPr>
        <w:t>.</w:t>
      </w:r>
      <w:r w:rsidRPr="009712AC">
        <w:rPr>
          <w:bCs/>
          <w:i/>
          <w:iCs/>
          <w:lang w:val="fr-FR"/>
        </w:rPr>
        <w:t>1/2021/18 et document informel INF</w:t>
      </w:r>
      <w:r w:rsidR="00FC1209" w:rsidRPr="00FC1209">
        <w:rPr>
          <w:bCs/>
          <w:i/>
          <w:iCs/>
          <w:lang w:val="fr-FR"/>
        </w:rPr>
        <w:t>.</w:t>
      </w:r>
      <w:r w:rsidRPr="009712AC">
        <w:rPr>
          <w:bCs/>
          <w:i/>
          <w:iCs/>
          <w:lang w:val="fr-FR"/>
        </w:rPr>
        <w:t>42, amendement de conséquence</w:t>
      </w:r>
      <w:r w:rsidRPr="007C6BEA">
        <w:rPr>
          <w:i/>
          <w:iCs/>
          <w:lang w:val="fr-FR" w:eastAsia="fr-FR"/>
        </w:rPr>
        <w:t>)</w:t>
      </w:r>
    </w:p>
    <w:p w14:paraId="26F87102" w14:textId="77777777" w:rsidR="00520996" w:rsidRPr="006835D9" w:rsidRDefault="00520996" w:rsidP="00520996">
      <w:pPr>
        <w:pStyle w:val="SingleTxtG"/>
        <w:ind w:left="1701" w:right="282" w:hanging="567"/>
        <w:rPr>
          <w:bCs/>
          <w:iCs/>
          <w:lang w:val="fr-FR"/>
        </w:rPr>
      </w:pPr>
      <w:r w:rsidRPr="006835D9">
        <w:rPr>
          <w:bCs/>
          <w:iCs/>
          <w:lang w:val="fr-FR"/>
        </w:rPr>
        <w:t>Ajouter la nouvelle disposition spéciale 676 libellée comme suit :</w:t>
      </w:r>
    </w:p>
    <w:p w14:paraId="24142542" w14:textId="6089BBDD" w:rsidR="00520996" w:rsidRPr="006835D9" w:rsidRDefault="00520996" w:rsidP="00C629FC">
      <w:pPr>
        <w:pStyle w:val="SingleTxtG"/>
        <w:ind w:left="2268" w:hanging="1134"/>
        <w:rPr>
          <w:bCs/>
          <w:iCs/>
          <w:lang w:val="fr-FR"/>
        </w:rPr>
      </w:pPr>
      <w:r w:rsidRPr="006835D9">
        <w:rPr>
          <w:bCs/>
          <w:iCs/>
          <w:lang w:val="fr-FR"/>
        </w:rPr>
        <w:t>« 676</w:t>
      </w:r>
      <w:r w:rsidRPr="006835D9">
        <w:rPr>
          <w:bCs/>
          <w:iCs/>
          <w:lang w:val="fr-FR"/>
        </w:rPr>
        <w:tab/>
        <w:t>Pour le transport de colis contenant des matières qui polymérisent, il n</w:t>
      </w:r>
      <w:r w:rsidR="00F70B88">
        <w:rPr>
          <w:bCs/>
          <w:iCs/>
          <w:lang w:val="fr-FR"/>
        </w:rPr>
        <w:t>’</w:t>
      </w:r>
      <w:r w:rsidRPr="006835D9">
        <w:rPr>
          <w:bCs/>
          <w:iCs/>
          <w:lang w:val="fr-FR"/>
        </w:rPr>
        <w:t>est pas nécessaire d</w:t>
      </w:r>
      <w:r w:rsidR="00F70B88">
        <w:rPr>
          <w:bCs/>
          <w:iCs/>
          <w:lang w:val="fr-FR"/>
        </w:rPr>
        <w:t>’</w:t>
      </w:r>
      <w:r w:rsidRPr="006835D9">
        <w:rPr>
          <w:bCs/>
          <w:iCs/>
          <w:lang w:val="fr-FR"/>
        </w:rPr>
        <w:t xml:space="preserve">appliquer les prescriptions de la disposition spéciale 386 </w:t>
      </w:r>
      <w:r w:rsidRPr="006835D9">
        <w:rPr>
          <w:bCs/>
          <w:lang w:val="fr-FR"/>
        </w:rPr>
        <w:t>&lt;</w:t>
      </w:r>
      <w:r w:rsidRPr="006835D9">
        <w:rPr>
          <w:bCs/>
          <w:iCs/>
          <w:lang w:val="fr-FR"/>
        </w:rPr>
        <w:t>(ADR :) conjointement avec celles des 7</w:t>
      </w:r>
      <w:r w:rsidR="00FC1209" w:rsidRPr="00FC1209">
        <w:rPr>
          <w:bCs/>
          <w:iCs/>
          <w:lang w:val="fr-FR"/>
        </w:rPr>
        <w:t>.</w:t>
      </w:r>
      <w:r w:rsidRPr="006835D9">
        <w:rPr>
          <w:bCs/>
          <w:iCs/>
          <w:lang w:val="fr-FR"/>
        </w:rPr>
        <w:t>1</w:t>
      </w:r>
      <w:r w:rsidR="00FC1209" w:rsidRPr="00FC1209">
        <w:rPr>
          <w:bCs/>
          <w:iCs/>
          <w:lang w:val="fr-FR"/>
        </w:rPr>
        <w:t>.</w:t>
      </w:r>
      <w:r w:rsidRPr="006835D9">
        <w:rPr>
          <w:bCs/>
          <w:iCs/>
          <w:lang w:val="fr-FR"/>
        </w:rPr>
        <w:t>7</w:t>
      </w:r>
      <w:r w:rsidR="00FC1209" w:rsidRPr="00FC1209">
        <w:rPr>
          <w:bCs/>
          <w:iCs/>
          <w:lang w:val="fr-FR"/>
        </w:rPr>
        <w:t>.</w:t>
      </w:r>
      <w:r w:rsidRPr="006835D9">
        <w:rPr>
          <w:bCs/>
          <w:iCs/>
          <w:lang w:val="fr-FR"/>
        </w:rPr>
        <w:t>3, 7</w:t>
      </w:r>
      <w:r w:rsidR="00FC1209" w:rsidRPr="00FC1209">
        <w:rPr>
          <w:bCs/>
          <w:iCs/>
          <w:lang w:val="fr-FR"/>
        </w:rPr>
        <w:t>.</w:t>
      </w:r>
      <w:r w:rsidRPr="006835D9">
        <w:rPr>
          <w:bCs/>
          <w:iCs/>
          <w:lang w:val="fr-FR"/>
        </w:rPr>
        <w:t>1</w:t>
      </w:r>
      <w:r w:rsidR="00FC1209" w:rsidRPr="00FC1209">
        <w:rPr>
          <w:bCs/>
          <w:iCs/>
          <w:lang w:val="fr-FR"/>
        </w:rPr>
        <w:t>.</w:t>
      </w:r>
      <w:r w:rsidRPr="006835D9">
        <w:rPr>
          <w:bCs/>
          <w:iCs/>
          <w:lang w:val="fr-FR"/>
        </w:rPr>
        <w:t>7</w:t>
      </w:r>
      <w:r w:rsidR="00FC1209" w:rsidRPr="00FC1209">
        <w:rPr>
          <w:bCs/>
          <w:iCs/>
          <w:lang w:val="fr-FR"/>
        </w:rPr>
        <w:t>.</w:t>
      </w:r>
      <w:r w:rsidRPr="006835D9">
        <w:rPr>
          <w:bCs/>
          <w:iCs/>
          <w:lang w:val="fr-FR"/>
        </w:rPr>
        <w:t>4, 5</w:t>
      </w:r>
      <w:r w:rsidR="00FC1209" w:rsidRPr="00FC1209">
        <w:rPr>
          <w:bCs/>
          <w:iCs/>
          <w:lang w:val="fr-FR"/>
        </w:rPr>
        <w:t>.</w:t>
      </w:r>
      <w:r w:rsidRPr="006835D9">
        <w:rPr>
          <w:bCs/>
          <w:iCs/>
          <w:lang w:val="fr-FR"/>
        </w:rPr>
        <w:t>4</w:t>
      </w:r>
      <w:r w:rsidR="00FC1209" w:rsidRPr="00FC1209">
        <w:rPr>
          <w:bCs/>
          <w:iCs/>
          <w:lang w:val="fr-FR"/>
        </w:rPr>
        <w:t>.</w:t>
      </w:r>
      <w:r w:rsidRPr="006835D9">
        <w:rPr>
          <w:bCs/>
          <w:iCs/>
          <w:lang w:val="fr-FR"/>
        </w:rPr>
        <w:t>1</w:t>
      </w:r>
      <w:r w:rsidR="00FC1209" w:rsidRPr="00FC1209">
        <w:rPr>
          <w:bCs/>
          <w:iCs/>
          <w:lang w:val="fr-FR"/>
        </w:rPr>
        <w:t>.</w:t>
      </w:r>
      <w:r w:rsidRPr="006835D9">
        <w:rPr>
          <w:bCs/>
          <w:iCs/>
          <w:lang w:val="fr-FR"/>
        </w:rPr>
        <w:t>1</w:t>
      </w:r>
      <w:r w:rsidR="00FC1209" w:rsidRPr="00FC1209">
        <w:rPr>
          <w:bCs/>
          <w:iCs/>
          <w:lang w:val="fr-FR"/>
        </w:rPr>
        <w:t>.</w:t>
      </w:r>
      <w:r w:rsidRPr="006835D9">
        <w:rPr>
          <w:bCs/>
          <w:iCs/>
          <w:lang w:val="fr-FR"/>
        </w:rPr>
        <w:t>15 et 5</w:t>
      </w:r>
      <w:r w:rsidR="00FC1209" w:rsidRPr="00FC1209">
        <w:rPr>
          <w:bCs/>
          <w:iCs/>
          <w:lang w:val="fr-FR"/>
        </w:rPr>
        <w:t>.</w:t>
      </w:r>
      <w:r w:rsidRPr="006835D9">
        <w:rPr>
          <w:bCs/>
          <w:iCs/>
          <w:lang w:val="fr-FR"/>
        </w:rPr>
        <w:t>4</w:t>
      </w:r>
      <w:r w:rsidR="00FC1209" w:rsidRPr="00FC1209">
        <w:rPr>
          <w:bCs/>
          <w:iCs/>
          <w:lang w:val="fr-FR"/>
        </w:rPr>
        <w:t>.</w:t>
      </w:r>
      <w:r w:rsidRPr="006835D9">
        <w:rPr>
          <w:bCs/>
          <w:iCs/>
          <w:lang w:val="fr-FR"/>
        </w:rPr>
        <w:t>1</w:t>
      </w:r>
      <w:r w:rsidR="00FC1209" w:rsidRPr="00FC1209">
        <w:rPr>
          <w:bCs/>
          <w:iCs/>
          <w:lang w:val="fr-FR"/>
        </w:rPr>
        <w:t>.</w:t>
      </w:r>
      <w:r w:rsidRPr="006835D9">
        <w:rPr>
          <w:bCs/>
          <w:iCs/>
          <w:lang w:val="fr-FR"/>
        </w:rPr>
        <w:t>2</w:t>
      </w:r>
      <w:r w:rsidR="00FC1209" w:rsidRPr="00FC1209">
        <w:rPr>
          <w:bCs/>
          <w:iCs/>
          <w:lang w:val="fr-FR"/>
        </w:rPr>
        <w:t>.</w:t>
      </w:r>
      <w:r w:rsidRPr="006835D9">
        <w:rPr>
          <w:bCs/>
          <w:iCs/>
          <w:lang w:val="fr-FR"/>
        </w:rPr>
        <w:t>3</w:t>
      </w:r>
      <w:r w:rsidR="00FC1209" w:rsidRPr="00FC1209">
        <w:rPr>
          <w:bCs/>
          <w:iCs/>
          <w:lang w:val="fr-FR"/>
        </w:rPr>
        <w:t>.</w:t>
      </w:r>
      <w:r w:rsidRPr="006835D9">
        <w:rPr>
          <w:bCs/>
          <w:iCs/>
          <w:lang w:val="fr-FR"/>
        </w:rPr>
        <w:t>1</w:t>
      </w:r>
      <w:r w:rsidRPr="006835D9">
        <w:rPr>
          <w:bCs/>
          <w:lang w:val="fr-FR"/>
        </w:rPr>
        <w:t>&gt;</w:t>
      </w:r>
      <w:r w:rsidRPr="006835D9">
        <w:rPr>
          <w:bCs/>
          <w:iCs/>
          <w:lang w:val="fr-FR"/>
        </w:rPr>
        <w:t>, lorsque ces matières sont transportées en vue de leur élimination ou de leur recyclage, pour autant que les conditions suivantes soient remplies</w:t>
      </w:r>
      <w:r w:rsidR="00C629FC">
        <w:rPr>
          <w:bCs/>
          <w:iCs/>
          <w:lang w:val="fr-FR"/>
        </w:rPr>
        <w:t> </w:t>
      </w:r>
      <w:r w:rsidRPr="006835D9">
        <w:rPr>
          <w:bCs/>
          <w:iCs/>
          <w:lang w:val="fr-FR"/>
        </w:rPr>
        <w:t>:</w:t>
      </w:r>
    </w:p>
    <w:p w14:paraId="33E60C0D" w14:textId="3997F898" w:rsidR="00520996" w:rsidRPr="006835D9" w:rsidRDefault="00520996" w:rsidP="004D14C0">
      <w:pPr>
        <w:pStyle w:val="SingleTxtG"/>
        <w:ind w:left="2835" w:hanging="567"/>
        <w:rPr>
          <w:bCs/>
          <w:iCs/>
          <w:lang w:val="fr-FR"/>
        </w:rPr>
      </w:pPr>
      <w:r w:rsidRPr="006835D9">
        <w:rPr>
          <w:bCs/>
          <w:iCs/>
          <w:lang w:val="fr-FR"/>
        </w:rPr>
        <w:t>a)</w:t>
      </w:r>
      <w:r w:rsidRPr="006835D9">
        <w:rPr>
          <w:bCs/>
          <w:iCs/>
          <w:lang w:val="fr-FR"/>
        </w:rPr>
        <w:tab/>
        <w:t>Avant le chargement, un examen a montré qu</w:t>
      </w:r>
      <w:r w:rsidR="00F70B88">
        <w:rPr>
          <w:bCs/>
          <w:iCs/>
          <w:lang w:val="fr-FR"/>
        </w:rPr>
        <w:t>’</w:t>
      </w:r>
      <w:r w:rsidRPr="006835D9">
        <w:rPr>
          <w:bCs/>
          <w:iCs/>
          <w:lang w:val="fr-FR"/>
        </w:rPr>
        <w:t>il n</w:t>
      </w:r>
      <w:r w:rsidR="00F70B88">
        <w:rPr>
          <w:bCs/>
          <w:iCs/>
          <w:lang w:val="fr-FR"/>
        </w:rPr>
        <w:t>’</w:t>
      </w:r>
      <w:r w:rsidRPr="006835D9">
        <w:rPr>
          <w:bCs/>
          <w:iCs/>
          <w:lang w:val="fr-FR"/>
        </w:rPr>
        <w:t>y a pas d</w:t>
      </w:r>
      <w:r w:rsidR="00F70B88">
        <w:rPr>
          <w:bCs/>
          <w:iCs/>
          <w:lang w:val="fr-FR"/>
        </w:rPr>
        <w:t>’</w:t>
      </w:r>
      <w:r w:rsidRPr="006835D9">
        <w:rPr>
          <w:bCs/>
          <w:iCs/>
          <w:lang w:val="fr-FR"/>
        </w:rPr>
        <w:t>écart significatif entre la température extérieure du colis et la température ambiante</w:t>
      </w:r>
      <w:r w:rsidR="00C629FC">
        <w:rPr>
          <w:bCs/>
          <w:iCs/>
          <w:lang w:val="fr-FR"/>
        </w:rPr>
        <w:t> </w:t>
      </w:r>
      <w:r w:rsidRPr="006835D9">
        <w:rPr>
          <w:bCs/>
          <w:iCs/>
          <w:lang w:val="fr-FR"/>
        </w:rPr>
        <w:t>;</w:t>
      </w:r>
    </w:p>
    <w:p w14:paraId="1B69159B" w14:textId="77777777" w:rsidR="00520996" w:rsidRPr="006835D9" w:rsidRDefault="00520996" w:rsidP="004D14C0">
      <w:pPr>
        <w:pStyle w:val="SingleTxtG"/>
        <w:ind w:left="2835" w:hanging="567"/>
        <w:rPr>
          <w:bCs/>
          <w:iCs/>
          <w:lang w:val="fr-FR"/>
        </w:rPr>
      </w:pPr>
      <w:r w:rsidRPr="006835D9">
        <w:rPr>
          <w:bCs/>
          <w:iCs/>
          <w:lang w:val="fr-FR"/>
        </w:rPr>
        <w:t>b)</w:t>
      </w:r>
      <w:r w:rsidRPr="006835D9">
        <w:rPr>
          <w:bCs/>
          <w:iCs/>
          <w:lang w:val="fr-FR"/>
        </w:rPr>
        <w:tab/>
        <w:t xml:space="preserve">Le transport a </w:t>
      </w:r>
      <w:r>
        <w:rPr>
          <w:bCs/>
          <w:iCs/>
          <w:lang w:val="fr-FR"/>
        </w:rPr>
        <w:t>été effectué</w:t>
      </w:r>
      <w:r w:rsidRPr="006835D9">
        <w:rPr>
          <w:bCs/>
          <w:iCs/>
          <w:lang w:val="fr-FR"/>
        </w:rPr>
        <w:t xml:space="preserve"> dans un délai maximum de 24 heures à compter de cet examen ;</w:t>
      </w:r>
    </w:p>
    <w:p w14:paraId="296EAEB5" w14:textId="4EE8E27D" w:rsidR="00520996" w:rsidRPr="006835D9" w:rsidRDefault="00520996" w:rsidP="004D14C0">
      <w:pPr>
        <w:pStyle w:val="SingleTxtG"/>
        <w:ind w:left="2835" w:hanging="567"/>
        <w:rPr>
          <w:bCs/>
          <w:iCs/>
          <w:lang w:val="fr-FR"/>
        </w:rPr>
      </w:pPr>
      <w:r w:rsidRPr="006835D9">
        <w:rPr>
          <w:bCs/>
          <w:iCs/>
          <w:lang w:val="fr-FR"/>
        </w:rPr>
        <w:t>c)</w:t>
      </w:r>
      <w:r w:rsidRPr="006835D9">
        <w:rPr>
          <w:bCs/>
          <w:iCs/>
          <w:lang w:val="fr-FR"/>
        </w:rPr>
        <w:tab/>
        <w:t>Les colis sont protégés de la lumière du soleil directe et des effets d</w:t>
      </w:r>
      <w:r w:rsidR="00F70B88">
        <w:rPr>
          <w:bCs/>
          <w:iCs/>
          <w:lang w:val="fr-FR"/>
        </w:rPr>
        <w:t>’</w:t>
      </w:r>
      <w:r w:rsidRPr="006835D9">
        <w:rPr>
          <w:bCs/>
          <w:iCs/>
          <w:lang w:val="fr-FR"/>
        </w:rPr>
        <w:t>autres sources de chaleur (par exemple, d</w:t>
      </w:r>
      <w:r w:rsidR="00F70B88">
        <w:rPr>
          <w:bCs/>
          <w:iCs/>
          <w:lang w:val="fr-FR"/>
        </w:rPr>
        <w:t>’</w:t>
      </w:r>
      <w:r w:rsidRPr="006835D9">
        <w:rPr>
          <w:bCs/>
          <w:iCs/>
          <w:lang w:val="fr-FR"/>
        </w:rPr>
        <w:t>autres colis transportés au-delà de la température ambiante) pendant le transport ;</w:t>
      </w:r>
    </w:p>
    <w:p w14:paraId="16310F9A" w14:textId="77777777" w:rsidR="00520996" w:rsidRPr="006835D9" w:rsidRDefault="00520996" w:rsidP="00C629FC">
      <w:pPr>
        <w:pStyle w:val="SingleTxtG"/>
        <w:ind w:left="2268"/>
        <w:rPr>
          <w:bCs/>
          <w:iCs/>
          <w:lang w:val="fr-FR"/>
        </w:rPr>
      </w:pPr>
      <w:r w:rsidRPr="006835D9">
        <w:rPr>
          <w:bCs/>
          <w:iCs/>
          <w:lang w:val="fr-FR"/>
        </w:rPr>
        <w:t>d)</w:t>
      </w:r>
      <w:r w:rsidRPr="006835D9">
        <w:rPr>
          <w:bCs/>
          <w:iCs/>
          <w:lang w:val="fr-FR"/>
        </w:rPr>
        <w:tab/>
        <w:t>Pendant le transport, la température ambiante est inférieure à 45 °C ;</w:t>
      </w:r>
    </w:p>
    <w:p w14:paraId="7330431C" w14:textId="77777777" w:rsidR="00520996" w:rsidRPr="006835D9" w:rsidRDefault="00520996" w:rsidP="00C629FC">
      <w:pPr>
        <w:pStyle w:val="SingleTxtG"/>
        <w:ind w:left="2268"/>
        <w:rPr>
          <w:bCs/>
          <w:iCs/>
          <w:lang w:val="fr-FR"/>
        </w:rPr>
      </w:pPr>
      <w:r w:rsidRPr="006835D9">
        <w:rPr>
          <w:bCs/>
          <w:iCs/>
          <w:lang w:val="fr-FR"/>
        </w:rPr>
        <w:t>e)</w:t>
      </w:r>
      <w:r w:rsidRPr="006835D9">
        <w:rPr>
          <w:bCs/>
          <w:iCs/>
          <w:lang w:val="fr-FR"/>
        </w:rPr>
        <w:tab/>
        <w:t>Les wagons/véhicules et les conteneurs sont correctement ventilés ;</w:t>
      </w:r>
    </w:p>
    <w:p w14:paraId="1D8B83E8" w14:textId="51C3FA63" w:rsidR="00520996" w:rsidRPr="006835D9" w:rsidRDefault="00520996" w:rsidP="004D14C0">
      <w:pPr>
        <w:pStyle w:val="SingleTxtG"/>
        <w:ind w:left="2835" w:hanging="567"/>
        <w:rPr>
          <w:bCs/>
          <w:iCs/>
          <w:lang w:val="fr-FR"/>
        </w:rPr>
      </w:pPr>
      <w:r w:rsidRPr="006835D9">
        <w:rPr>
          <w:bCs/>
          <w:iCs/>
          <w:lang w:val="fr-FR"/>
        </w:rPr>
        <w:t>f)</w:t>
      </w:r>
      <w:r w:rsidRPr="006835D9">
        <w:rPr>
          <w:bCs/>
          <w:iCs/>
          <w:lang w:val="fr-FR"/>
        </w:rPr>
        <w:tab/>
        <w:t>Les matières sont transportées dans des emballages d</w:t>
      </w:r>
      <w:r w:rsidR="00F70B88">
        <w:rPr>
          <w:bCs/>
          <w:iCs/>
          <w:lang w:val="fr-FR"/>
        </w:rPr>
        <w:t>’</w:t>
      </w:r>
      <w:r w:rsidRPr="006835D9">
        <w:rPr>
          <w:bCs/>
          <w:iCs/>
          <w:lang w:val="fr-FR"/>
        </w:rPr>
        <w:t>une capacité maximale de 1 000 litres</w:t>
      </w:r>
      <w:r w:rsidR="00FC1209" w:rsidRPr="00FC1209">
        <w:rPr>
          <w:bCs/>
          <w:iCs/>
          <w:lang w:val="fr-FR"/>
        </w:rPr>
        <w:t>.</w:t>
      </w:r>
    </w:p>
    <w:p w14:paraId="0C502324" w14:textId="71143590" w:rsidR="00520996" w:rsidRPr="006835D9" w:rsidRDefault="00520996" w:rsidP="00C629FC">
      <w:pPr>
        <w:pStyle w:val="SingleTxtG"/>
        <w:ind w:left="2268"/>
        <w:rPr>
          <w:bCs/>
          <w:iCs/>
          <w:lang w:val="fr-FR"/>
        </w:rPr>
      </w:pPr>
      <w:r w:rsidRPr="006835D9">
        <w:rPr>
          <w:bCs/>
          <w:iCs/>
          <w:lang w:val="fr-FR"/>
        </w:rPr>
        <w:t>Au cours de l</w:t>
      </w:r>
      <w:r w:rsidR="00F70B88">
        <w:rPr>
          <w:bCs/>
          <w:iCs/>
          <w:lang w:val="fr-FR"/>
        </w:rPr>
        <w:t>’</w:t>
      </w:r>
      <w:r w:rsidRPr="006835D9">
        <w:rPr>
          <w:bCs/>
          <w:iCs/>
          <w:lang w:val="fr-FR"/>
        </w:rPr>
        <w:t>évaluation des matières devant être transportées suivant les prescriptions de cette disposition spéciale, des mesures supplémentaires visant à prévenir les dangers liés à la polymérisation peuvent être envisagées, par exemple l</w:t>
      </w:r>
      <w:r w:rsidR="00F70B88">
        <w:rPr>
          <w:bCs/>
          <w:iCs/>
          <w:lang w:val="fr-FR"/>
        </w:rPr>
        <w:t>’</w:t>
      </w:r>
      <w:r w:rsidRPr="006835D9">
        <w:rPr>
          <w:bCs/>
          <w:iCs/>
          <w:lang w:val="fr-FR"/>
        </w:rPr>
        <w:t>ajout d</w:t>
      </w:r>
      <w:r w:rsidR="00F70B88">
        <w:rPr>
          <w:bCs/>
          <w:iCs/>
          <w:lang w:val="fr-FR"/>
        </w:rPr>
        <w:t>’</w:t>
      </w:r>
      <w:r w:rsidRPr="006835D9">
        <w:rPr>
          <w:bCs/>
          <w:iCs/>
          <w:lang w:val="fr-FR"/>
        </w:rPr>
        <w:t>inhibiteurs</w:t>
      </w:r>
      <w:r w:rsidR="00FC1209" w:rsidRPr="00FC1209">
        <w:rPr>
          <w:bCs/>
          <w:iCs/>
          <w:lang w:val="fr-FR"/>
        </w:rPr>
        <w:t>.</w:t>
      </w:r>
      <w:r w:rsidRPr="006835D9">
        <w:rPr>
          <w:bCs/>
          <w:iCs/>
          <w:lang w:val="fr-FR"/>
        </w:rPr>
        <w:t> »</w:t>
      </w:r>
      <w:r w:rsidR="00FC1209" w:rsidRPr="00FC1209">
        <w:rPr>
          <w:bCs/>
          <w:iCs/>
          <w:lang w:val="fr-FR"/>
        </w:rPr>
        <w:t>.</w:t>
      </w:r>
    </w:p>
    <w:p w14:paraId="7960D6F8" w14:textId="23182D87" w:rsidR="00520996" w:rsidRPr="005D3FA5" w:rsidRDefault="00520996" w:rsidP="005D3FA5">
      <w:pPr>
        <w:pStyle w:val="SingleTxtG"/>
        <w:rPr>
          <w:bCs/>
          <w:spacing w:val="-2"/>
          <w:lang w:val="fr-FR"/>
        </w:rPr>
      </w:pPr>
      <w:r w:rsidRPr="005D3FA5">
        <w:rPr>
          <w:bCs/>
          <w:i/>
          <w:iCs/>
          <w:spacing w:val="-2"/>
          <w:lang w:val="fr-FR"/>
        </w:rPr>
        <w:t>(Document de référence : document ECE/TRANS/WP</w:t>
      </w:r>
      <w:r w:rsidR="00FC1209" w:rsidRPr="005D3FA5">
        <w:rPr>
          <w:bCs/>
          <w:i/>
          <w:iCs/>
          <w:spacing w:val="-2"/>
          <w:lang w:val="fr-FR"/>
        </w:rPr>
        <w:t>.</w:t>
      </w:r>
      <w:r w:rsidRPr="005D3FA5">
        <w:rPr>
          <w:bCs/>
          <w:i/>
          <w:iCs/>
          <w:spacing w:val="-2"/>
          <w:lang w:val="fr-FR"/>
        </w:rPr>
        <w:t>15/AC</w:t>
      </w:r>
      <w:r w:rsidR="00FC1209" w:rsidRPr="005D3FA5">
        <w:rPr>
          <w:bCs/>
          <w:i/>
          <w:iCs/>
          <w:spacing w:val="-2"/>
          <w:lang w:val="fr-FR"/>
        </w:rPr>
        <w:t>.</w:t>
      </w:r>
      <w:r w:rsidRPr="005D3FA5">
        <w:rPr>
          <w:bCs/>
          <w:i/>
          <w:iCs/>
          <w:spacing w:val="-2"/>
          <w:lang w:val="fr-FR"/>
        </w:rPr>
        <w:t>1/2020/51/Rev</w:t>
      </w:r>
      <w:r w:rsidR="00FC1209" w:rsidRPr="005D3FA5">
        <w:rPr>
          <w:bCs/>
          <w:i/>
          <w:iCs/>
          <w:spacing w:val="-2"/>
          <w:lang w:val="fr-FR"/>
        </w:rPr>
        <w:t>.</w:t>
      </w:r>
      <w:r w:rsidRPr="005D3FA5">
        <w:rPr>
          <w:bCs/>
          <w:i/>
          <w:iCs/>
          <w:spacing w:val="-2"/>
          <w:lang w:val="fr-FR"/>
        </w:rPr>
        <w:t>1 tel qu</w:t>
      </w:r>
      <w:r w:rsidR="00F70B88" w:rsidRPr="005D3FA5">
        <w:rPr>
          <w:bCs/>
          <w:i/>
          <w:iCs/>
          <w:spacing w:val="-2"/>
          <w:lang w:val="fr-FR"/>
        </w:rPr>
        <w:t>’</w:t>
      </w:r>
      <w:r w:rsidRPr="005D3FA5">
        <w:rPr>
          <w:bCs/>
          <w:i/>
          <w:iCs/>
          <w:spacing w:val="-2"/>
          <w:lang w:val="fr-FR"/>
        </w:rPr>
        <w:t>amendé)</w:t>
      </w:r>
    </w:p>
    <w:p w14:paraId="1323DF75" w14:textId="53C2096F" w:rsidR="00520996" w:rsidRPr="006835D9" w:rsidRDefault="00520996" w:rsidP="00520996">
      <w:pPr>
        <w:pStyle w:val="H1G"/>
        <w:rPr>
          <w:lang w:val="fr-FR"/>
        </w:rPr>
      </w:pPr>
      <w:r w:rsidRPr="006835D9">
        <w:rPr>
          <w:lang w:val="fr-FR"/>
        </w:rPr>
        <w:tab/>
      </w:r>
      <w:r w:rsidRPr="006835D9">
        <w:rPr>
          <w:lang w:val="fr-FR"/>
        </w:rPr>
        <w:tab/>
        <w:t>Chapitre 4</w:t>
      </w:r>
      <w:r w:rsidR="00FC1209" w:rsidRPr="00FC1209">
        <w:rPr>
          <w:lang w:val="fr-FR"/>
        </w:rPr>
        <w:t>.</w:t>
      </w:r>
      <w:r w:rsidRPr="006835D9">
        <w:rPr>
          <w:lang w:val="fr-FR"/>
        </w:rPr>
        <w:t>1</w:t>
      </w:r>
    </w:p>
    <w:p w14:paraId="62404C9D" w14:textId="7F73B747" w:rsidR="00520996" w:rsidRPr="006835D9" w:rsidRDefault="00520996" w:rsidP="004D14C0">
      <w:pPr>
        <w:pStyle w:val="SingleTxtG"/>
        <w:ind w:left="2268" w:hanging="1134"/>
        <w:rPr>
          <w:bCs/>
          <w:lang w:val="fr-FR"/>
        </w:rPr>
      </w:pPr>
      <w:r w:rsidRPr="006835D9">
        <w:rPr>
          <w:bCs/>
          <w:lang w:val="fr-FR"/>
        </w:rPr>
        <w:t>4</w:t>
      </w:r>
      <w:r w:rsidR="00FC1209" w:rsidRPr="00FC1209">
        <w:rPr>
          <w:bCs/>
          <w:lang w:val="fr-FR"/>
        </w:rPr>
        <w:t>.</w:t>
      </w:r>
      <w:r w:rsidRPr="006835D9">
        <w:rPr>
          <w:bCs/>
          <w:lang w:val="fr-FR"/>
        </w:rPr>
        <w:t>1</w:t>
      </w:r>
      <w:r w:rsidR="00FC1209" w:rsidRPr="00FC1209">
        <w:rPr>
          <w:bCs/>
          <w:lang w:val="fr-FR"/>
        </w:rPr>
        <w:t>.</w:t>
      </w:r>
      <w:r w:rsidRPr="006835D9">
        <w:rPr>
          <w:bCs/>
          <w:lang w:val="fr-FR"/>
        </w:rPr>
        <w:t>6</w:t>
      </w:r>
      <w:r w:rsidR="00FC1209" w:rsidRPr="00FC1209">
        <w:rPr>
          <w:bCs/>
          <w:lang w:val="fr-FR"/>
        </w:rPr>
        <w:t>.</w:t>
      </w:r>
      <w:r w:rsidRPr="006835D9">
        <w:rPr>
          <w:bCs/>
          <w:lang w:val="fr-FR"/>
        </w:rPr>
        <w:t>8</w:t>
      </w:r>
      <w:r w:rsidRPr="006835D9">
        <w:rPr>
          <w:bCs/>
          <w:lang w:val="fr-FR"/>
        </w:rPr>
        <w:tab/>
        <w:t>Modifier les alinéas b) et c) pour lire comme suit :</w:t>
      </w:r>
    </w:p>
    <w:p w14:paraId="57C81D51" w14:textId="6DF0CCA1" w:rsidR="00520996" w:rsidRPr="006835D9" w:rsidRDefault="00520996" w:rsidP="00520996">
      <w:pPr>
        <w:pStyle w:val="SingleTxtG"/>
        <w:ind w:right="1133"/>
        <w:rPr>
          <w:bCs/>
          <w:lang w:val="fr-FR"/>
        </w:rPr>
      </w:pPr>
      <w:r w:rsidRPr="006835D9">
        <w:rPr>
          <w:bCs/>
          <w:lang w:val="fr-FR"/>
        </w:rPr>
        <w:t>« b)</w:t>
      </w:r>
      <w:r w:rsidRPr="006835D9">
        <w:rPr>
          <w:bCs/>
          <w:lang w:val="fr-FR"/>
        </w:rPr>
        <w:tab/>
        <w:t>Les robinets sont protégés par des chapeaux fermés ou ouverts</w:t>
      </w:r>
      <w:r w:rsidR="00FC1209" w:rsidRPr="00FC1209">
        <w:rPr>
          <w:bCs/>
          <w:lang w:val="fr-FR"/>
        </w:rPr>
        <w:t>.</w:t>
      </w:r>
      <w:r w:rsidRPr="006835D9">
        <w:rPr>
          <w:bCs/>
          <w:lang w:val="fr-FR"/>
        </w:rPr>
        <w:t xml:space="preserve"> Les chapeaux fermés doivent être munis d</w:t>
      </w:r>
      <w:r w:rsidR="00F70B88">
        <w:rPr>
          <w:bCs/>
          <w:lang w:val="fr-FR"/>
        </w:rPr>
        <w:t>’</w:t>
      </w:r>
      <w:r w:rsidRPr="006835D9">
        <w:rPr>
          <w:bCs/>
          <w:lang w:val="fr-FR"/>
        </w:rPr>
        <w:t>évents de section suffisante pour évacuer les gaz en cas de fuite aux robinets ; »</w:t>
      </w:r>
      <w:r w:rsidR="00FC1209" w:rsidRPr="00FC1209">
        <w:rPr>
          <w:bCs/>
          <w:lang w:val="fr-FR"/>
        </w:rPr>
        <w:t>.</w:t>
      </w:r>
    </w:p>
    <w:p w14:paraId="3319970D" w14:textId="4535D976" w:rsidR="00520996" w:rsidRPr="006835D9" w:rsidRDefault="00520996" w:rsidP="00520996">
      <w:pPr>
        <w:pStyle w:val="SingleTxtG"/>
        <w:ind w:right="1133"/>
        <w:rPr>
          <w:bCs/>
          <w:lang w:val="fr-FR"/>
        </w:rPr>
      </w:pPr>
      <w:r w:rsidRPr="006835D9">
        <w:rPr>
          <w:bCs/>
          <w:lang w:val="fr-FR"/>
        </w:rPr>
        <w:lastRenderedPageBreak/>
        <w:t>c)</w:t>
      </w:r>
      <w:r w:rsidRPr="006835D9">
        <w:rPr>
          <w:bCs/>
          <w:lang w:val="fr-FR"/>
        </w:rPr>
        <w:tab/>
        <w:t>Les robinets sont protégés par des collerettes ou par des dispositifs de protection inamovibles ; »</w:t>
      </w:r>
      <w:r w:rsidR="00FC1209" w:rsidRPr="00FC1209">
        <w:rPr>
          <w:bCs/>
          <w:lang w:val="fr-FR"/>
        </w:rPr>
        <w:t>.</w:t>
      </w:r>
    </w:p>
    <w:p w14:paraId="77C49367" w14:textId="2DA7B00B" w:rsidR="00520996" w:rsidRPr="006835D9" w:rsidRDefault="00520996" w:rsidP="00520996">
      <w:pPr>
        <w:pStyle w:val="SingleTxtG"/>
        <w:ind w:right="1133"/>
        <w:rPr>
          <w:bCs/>
          <w:i/>
          <w:iCs/>
          <w:lang w:val="fr-FR"/>
        </w:rPr>
      </w:pPr>
      <w:r w:rsidRPr="006835D9">
        <w:rPr>
          <w:bCs/>
          <w:i/>
          <w:iCs/>
          <w:lang w:val="fr-FR"/>
        </w:rPr>
        <w:t>(Document de référence : document ECE/TRANS/WP</w:t>
      </w:r>
      <w:r w:rsidR="00FC1209" w:rsidRPr="00FC1209">
        <w:rPr>
          <w:bCs/>
          <w:i/>
          <w:iCs/>
          <w:lang w:val="fr-FR"/>
        </w:rPr>
        <w:t>.</w:t>
      </w:r>
      <w:r w:rsidRPr="006835D9">
        <w:rPr>
          <w:bCs/>
          <w:i/>
          <w:iCs/>
          <w:lang w:val="fr-FR"/>
        </w:rPr>
        <w:t>15/AC</w:t>
      </w:r>
      <w:r w:rsidR="00FC1209" w:rsidRPr="00FC1209">
        <w:rPr>
          <w:bCs/>
          <w:i/>
          <w:iCs/>
          <w:lang w:val="fr-FR"/>
        </w:rPr>
        <w:t>.</w:t>
      </w:r>
      <w:r w:rsidRPr="006835D9">
        <w:rPr>
          <w:bCs/>
          <w:i/>
          <w:iCs/>
          <w:lang w:val="fr-FR"/>
        </w:rPr>
        <w:t>1/2021/12 tel qu</w:t>
      </w:r>
      <w:r w:rsidR="00F70B88">
        <w:rPr>
          <w:bCs/>
          <w:i/>
          <w:iCs/>
          <w:lang w:val="fr-FR"/>
        </w:rPr>
        <w:t>’</w:t>
      </w:r>
      <w:r w:rsidRPr="006835D9">
        <w:rPr>
          <w:bCs/>
          <w:i/>
          <w:iCs/>
          <w:lang w:val="fr-FR"/>
        </w:rPr>
        <w:t>amendé</w:t>
      </w:r>
      <w:r>
        <w:rPr>
          <w:bCs/>
          <w:i/>
          <w:iCs/>
          <w:lang w:val="fr-FR"/>
        </w:rPr>
        <w:t xml:space="preserve"> pour la version française</w:t>
      </w:r>
      <w:r w:rsidRPr="006835D9">
        <w:rPr>
          <w:bCs/>
          <w:i/>
          <w:iCs/>
          <w:lang w:val="fr-FR"/>
        </w:rPr>
        <w:t>)</w:t>
      </w:r>
    </w:p>
    <w:p w14:paraId="4B57D3C6" w14:textId="7B37D3E8" w:rsidR="00520996" w:rsidRPr="006835D9" w:rsidRDefault="00520996" w:rsidP="00520996">
      <w:pPr>
        <w:pStyle w:val="SingleTxtG"/>
        <w:ind w:right="1133"/>
        <w:rPr>
          <w:bCs/>
          <w:lang w:val="fr-FR"/>
        </w:rPr>
      </w:pPr>
      <w:r w:rsidRPr="006835D9">
        <w:rPr>
          <w:bCs/>
          <w:lang w:val="fr-FR"/>
        </w:rPr>
        <w:t>4</w:t>
      </w:r>
      <w:r w:rsidR="00FC1209" w:rsidRPr="00FC1209">
        <w:rPr>
          <w:bCs/>
          <w:lang w:val="fr-FR"/>
        </w:rPr>
        <w:t>.</w:t>
      </w:r>
      <w:r w:rsidRPr="006835D9">
        <w:rPr>
          <w:bCs/>
          <w:lang w:val="fr-FR"/>
        </w:rPr>
        <w:t>1</w:t>
      </w:r>
      <w:r w:rsidR="00FC1209" w:rsidRPr="00FC1209">
        <w:rPr>
          <w:bCs/>
          <w:lang w:val="fr-FR"/>
        </w:rPr>
        <w:t>.</w:t>
      </w:r>
      <w:r w:rsidRPr="006835D9">
        <w:rPr>
          <w:bCs/>
          <w:lang w:val="fr-FR"/>
        </w:rPr>
        <w:t>6</w:t>
      </w:r>
      <w:r w:rsidR="00FC1209" w:rsidRPr="00FC1209">
        <w:rPr>
          <w:bCs/>
          <w:lang w:val="fr-FR"/>
        </w:rPr>
        <w:t>.</w:t>
      </w:r>
      <w:r w:rsidRPr="006835D9">
        <w:rPr>
          <w:bCs/>
          <w:lang w:val="fr-FR"/>
        </w:rPr>
        <w:t>15</w:t>
      </w:r>
      <w:r w:rsidRPr="006835D9">
        <w:rPr>
          <w:bCs/>
          <w:lang w:val="fr-FR"/>
        </w:rPr>
        <w:tab/>
        <w:t>Dans le rapport ECE/TRANS/WP</w:t>
      </w:r>
      <w:r w:rsidR="00FC1209" w:rsidRPr="00FC1209">
        <w:rPr>
          <w:bCs/>
          <w:lang w:val="fr-FR"/>
        </w:rPr>
        <w:t>.</w:t>
      </w:r>
      <w:r w:rsidRPr="006835D9">
        <w:rPr>
          <w:bCs/>
          <w:lang w:val="fr-FR"/>
        </w:rPr>
        <w:t>15/AC</w:t>
      </w:r>
      <w:r w:rsidR="00FC1209" w:rsidRPr="00FC1209">
        <w:rPr>
          <w:bCs/>
          <w:lang w:val="fr-FR"/>
        </w:rPr>
        <w:t>.</w:t>
      </w:r>
      <w:r w:rsidRPr="006835D9">
        <w:rPr>
          <w:bCs/>
          <w:lang w:val="fr-FR"/>
        </w:rPr>
        <w:t>1/158</w:t>
      </w:r>
      <w:r>
        <w:rPr>
          <w:bCs/>
          <w:lang w:val="fr-FR"/>
        </w:rPr>
        <w:t xml:space="preserve"> </w:t>
      </w:r>
      <w:r w:rsidR="00191B2A">
        <w:rPr>
          <w:bCs/>
          <w:lang w:val="fr-FR"/>
        </w:rPr>
        <w:t>− </w:t>
      </w:r>
      <w:r w:rsidRPr="007149C6">
        <w:rPr>
          <w:bCs/>
        </w:rPr>
        <w:t>OTIF/RID/RC/2021-A</w:t>
      </w:r>
      <w:r w:rsidRPr="006835D9">
        <w:rPr>
          <w:bCs/>
          <w:lang w:val="fr-FR"/>
        </w:rPr>
        <w:t>, remplacer le Tableau 1 par le tableau suivant :</w:t>
      </w:r>
    </w:p>
    <w:p w14:paraId="0364286D" w14:textId="34F337E5" w:rsidR="00520996" w:rsidRPr="006835D9" w:rsidRDefault="00520996" w:rsidP="00520996">
      <w:pPr>
        <w:pStyle w:val="Heading1"/>
        <w:spacing w:after="120"/>
        <w:rPr>
          <w:bCs/>
          <w:lang w:val="fr-FR"/>
        </w:rPr>
      </w:pPr>
      <w:r w:rsidRPr="006835D9">
        <w:rPr>
          <w:bCs/>
          <w:lang w:val="fr-FR"/>
        </w:rPr>
        <w:t xml:space="preserve">« Tableau 1 : Normes pour les récipients à pression </w:t>
      </w:r>
      <w:r w:rsidR="004D14C0" w:rsidRPr="007149C6">
        <w:rPr>
          <w:bCs/>
        </w:rPr>
        <w:t>“</w:t>
      </w:r>
      <w:r w:rsidRPr="006835D9">
        <w:rPr>
          <w:bCs/>
          <w:lang w:val="fr-FR"/>
        </w:rPr>
        <w:t>UN</w:t>
      </w:r>
      <w:r w:rsidR="004D14C0" w:rsidRPr="006835D9">
        <w:rPr>
          <w:bCs/>
          <w:iCs/>
          <w:lang w:val="fr-FR"/>
        </w:rPr>
        <w:t>”</w:t>
      </w:r>
      <w:r w:rsidRPr="006835D9">
        <w:rPr>
          <w:bCs/>
          <w:lang w:val="fr-FR"/>
        </w:rPr>
        <w:t xml:space="preserve"> et </w:t>
      </w:r>
      <w:r w:rsidR="004D14C0" w:rsidRPr="007149C6">
        <w:rPr>
          <w:bCs/>
        </w:rPr>
        <w:t>“</w:t>
      </w:r>
      <w:r w:rsidRPr="006835D9">
        <w:rPr>
          <w:bCs/>
          <w:lang w:val="fr-FR"/>
        </w:rPr>
        <w:t>non UN</w:t>
      </w:r>
      <w:r w:rsidR="004D14C0" w:rsidRPr="006835D9">
        <w:rPr>
          <w:bCs/>
          <w:iCs/>
          <w:lang w:val="fr-FR"/>
        </w:rPr>
        <w: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3"/>
        <w:gridCol w:w="2693"/>
        <w:gridCol w:w="4399"/>
      </w:tblGrid>
      <w:tr w:rsidR="00520996" w:rsidRPr="00394205" w14:paraId="25CF5321" w14:textId="77777777" w:rsidTr="00BD20D3">
        <w:trPr>
          <w:tblHeader/>
        </w:trPr>
        <w:tc>
          <w:tcPr>
            <w:tcW w:w="1413" w:type="dxa"/>
            <w:tcBorders>
              <w:top w:val="single" w:sz="4" w:space="0" w:color="auto"/>
              <w:left w:val="single" w:sz="4" w:space="0" w:color="auto"/>
              <w:bottom w:val="single" w:sz="4" w:space="0" w:color="auto"/>
              <w:right w:val="single" w:sz="4" w:space="0" w:color="auto"/>
            </w:tcBorders>
            <w:vAlign w:val="bottom"/>
            <w:hideMark/>
          </w:tcPr>
          <w:p w14:paraId="346F9ABD" w14:textId="77777777" w:rsidR="00520996" w:rsidRPr="00394205" w:rsidRDefault="00520996" w:rsidP="00520996">
            <w:pPr>
              <w:spacing w:before="60" w:after="60"/>
              <w:ind w:left="57" w:right="57"/>
              <w:rPr>
                <w:bCs/>
                <w:lang w:val="fr-FR"/>
              </w:rPr>
            </w:pPr>
            <w:r w:rsidRPr="00394205">
              <w:rPr>
                <w:bCs/>
                <w:lang w:val="fr-FR"/>
              </w:rPr>
              <w:t xml:space="preserve">Paragraphes applicables </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89026E4" w14:textId="77777777" w:rsidR="00520996" w:rsidRPr="00394205" w:rsidRDefault="00520996" w:rsidP="00520996">
            <w:pPr>
              <w:spacing w:before="60" w:after="60"/>
              <w:ind w:left="57" w:right="57"/>
              <w:rPr>
                <w:bCs/>
                <w:lang w:val="fr-FR"/>
              </w:rPr>
            </w:pPr>
            <w:r w:rsidRPr="00394205">
              <w:rPr>
                <w:bCs/>
                <w:lang w:val="fr-FR"/>
              </w:rPr>
              <w:t>Référence</w:t>
            </w:r>
          </w:p>
        </w:tc>
        <w:tc>
          <w:tcPr>
            <w:tcW w:w="4399" w:type="dxa"/>
            <w:tcBorders>
              <w:top w:val="single" w:sz="4" w:space="0" w:color="auto"/>
              <w:left w:val="single" w:sz="4" w:space="0" w:color="auto"/>
              <w:bottom w:val="single" w:sz="4" w:space="0" w:color="auto"/>
              <w:right w:val="single" w:sz="4" w:space="0" w:color="auto"/>
            </w:tcBorders>
            <w:vAlign w:val="bottom"/>
            <w:hideMark/>
          </w:tcPr>
          <w:p w14:paraId="0D30D7B1" w14:textId="77777777" w:rsidR="00520996" w:rsidRPr="00394205" w:rsidRDefault="00520996" w:rsidP="00520996">
            <w:pPr>
              <w:spacing w:before="60" w:after="60"/>
              <w:ind w:left="57" w:right="57"/>
              <w:rPr>
                <w:bCs/>
                <w:u w:val="single"/>
                <w:lang w:val="fr-FR"/>
              </w:rPr>
            </w:pPr>
            <w:r w:rsidRPr="00394205">
              <w:rPr>
                <w:bCs/>
                <w:lang w:val="fr-FR"/>
              </w:rPr>
              <w:t>Titre du document</w:t>
            </w:r>
          </w:p>
        </w:tc>
      </w:tr>
      <w:tr w:rsidR="00520996" w:rsidRPr="006835D9" w14:paraId="7C42140B" w14:textId="77777777" w:rsidTr="00BD20D3">
        <w:tc>
          <w:tcPr>
            <w:tcW w:w="1413" w:type="dxa"/>
            <w:vMerge w:val="restart"/>
            <w:tcBorders>
              <w:top w:val="single" w:sz="4" w:space="0" w:color="auto"/>
              <w:left w:val="single" w:sz="4" w:space="0" w:color="auto"/>
              <w:bottom w:val="single" w:sz="4" w:space="0" w:color="auto"/>
              <w:right w:val="single" w:sz="4" w:space="0" w:color="auto"/>
            </w:tcBorders>
            <w:hideMark/>
          </w:tcPr>
          <w:p w14:paraId="1DB4EAD0" w14:textId="310C63DE" w:rsidR="00520996" w:rsidRPr="006835D9" w:rsidRDefault="00520996" w:rsidP="00520996">
            <w:pPr>
              <w:spacing w:before="60" w:after="60"/>
              <w:ind w:left="57" w:right="57"/>
              <w:rPr>
                <w:bCs/>
                <w:lang w:val="fr-FR"/>
              </w:rPr>
            </w:pPr>
            <w:r w:rsidRPr="006835D9">
              <w:rPr>
                <w:bCs/>
                <w:lang w:val="fr-FR"/>
              </w:rPr>
              <w:t>4</w:t>
            </w:r>
            <w:r w:rsidR="00FC1209" w:rsidRPr="00FC1209">
              <w:rPr>
                <w:bCs/>
                <w:lang w:val="fr-FR"/>
              </w:rPr>
              <w:t>.</w:t>
            </w:r>
            <w:r w:rsidRPr="006835D9">
              <w:rPr>
                <w:bCs/>
                <w:lang w:val="fr-FR"/>
              </w:rPr>
              <w:t>1</w:t>
            </w:r>
            <w:r w:rsidR="00FC1209" w:rsidRPr="00FC1209">
              <w:rPr>
                <w:bCs/>
                <w:lang w:val="fr-FR"/>
              </w:rPr>
              <w:t>.</w:t>
            </w:r>
            <w:r w:rsidRPr="006835D9">
              <w:rPr>
                <w:bCs/>
                <w:lang w:val="fr-FR"/>
              </w:rPr>
              <w:t>6</w:t>
            </w:r>
            <w:r w:rsidR="00FC1209" w:rsidRPr="00FC1209">
              <w:rPr>
                <w:bCs/>
                <w:lang w:val="fr-FR"/>
              </w:rPr>
              <w:t>.</w:t>
            </w:r>
            <w:r w:rsidRPr="006835D9">
              <w:rPr>
                <w:bCs/>
                <w:lang w:val="fr-FR"/>
              </w:rPr>
              <w:t>2</w:t>
            </w:r>
          </w:p>
        </w:tc>
        <w:tc>
          <w:tcPr>
            <w:tcW w:w="2693" w:type="dxa"/>
            <w:tcBorders>
              <w:top w:val="single" w:sz="4" w:space="0" w:color="auto"/>
              <w:left w:val="single" w:sz="4" w:space="0" w:color="auto"/>
              <w:bottom w:val="single" w:sz="4" w:space="0" w:color="auto"/>
              <w:right w:val="single" w:sz="4" w:space="0" w:color="auto"/>
            </w:tcBorders>
            <w:hideMark/>
          </w:tcPr>
          <w:p w14:paraId="40A0EE87" w14:textId="77777777" w:rsidR="00520996" w:rsidRPr="006835D9" w:rsidRDefault="00520996" w:rsidP="00520996">
            <w:pPr>
              <w:spacing w:before="60" w:after="60"/>
              <w:ind w:left="57" w:right="57"/>
              <w:rPr>
                <w:bCs/>
                <w:lang w:val="fr-FR"/>
              </w:rPr>
            </w:pPr>
            <w:r w:rsidRPr="006835D9">
              <w:rPr>
                <w:bCs/>
                <w:lang w:val="fr-FR"/>
              </w:rPr>
              <w:t>EN ISO 11114-1:2020</w:t>
            </w:r>
          </w:p>
        </w:tc>
        <w:tc>
          <w:tcPr>
            <w:tcW w:w="4399" w:type="dxa"/>
            <w:tcBorders>
              <w:top w:val="single" w:sz="4" w:space="0" w:color="auto"/>
              <w:left w:val="single" w:sz="4" w:space="0" w:color="auto"/>
              <w:bottom w:val="single" w:sz="4" w:space="0" w:color="auto"/>
              <w:right w:val="single" w:sz="4" w:space="0" w:color="auto"/>
            </w:tcBorders>
            <w:hideMark/>
          </w:tcPr>
          <w:p w14:paraId="78EB7706" w14:textId="0B78B218" w:rsidR="00520996" w:rsidRPr="006835D9" w:rsidRDefault="00520996" w:rsidP="00520996">
            <w:pPr>
              <w:spacing w:before="60" w:after="60"/>
              <w:ind w:left="57" w:right="57"/>
              <w:rPr>
                <w:bCs/>
                <w:u w:val="single"/>
                <w:lang w:val="fr-FR"/>
              </w:rPr>
            </w:pPr>
            <w:r w:rsidRPr="006835D9">
              <w:rPr>
                <w:bCs/>
                <w:lang w:val="fr-FR"/>
              </w:rPr>
              <w:t>Bouteilles à gaz − Compatibilité des matériaux des bouteilles et des robinets avec les contenus gazeux −</w:t>
            </w:r>
            <w:r w:rsidR="00BD20D3">
              <w:rPr>
                <w:bCs/>
                <w:lang w:val="fr-FR"/>
              </w:rPr>
              <w:t> </w:t>
            </w:r>
            <w:r w:rsidRPr="006835D9">
              <w:rPr>
                <w:bCs/>
                <w:lang w:val="fr-FR"/>
              </w:rPr>
              <w:t xml:space="preserve">Partie 1 : Matériaux métalliques </w:t>
            </w:r>
          </w:p>
        </w:tc>
      </w:tr>
      <w:tr w:rsidR="00520996" w:rsidRPr="006835D9" w14:paraId="10BCF81F" w14:textId="77777777" w:rsidTr="00BD20D3">
        <w:tc>
          <w:tcPr>
            <w:tcW w:w="1413" w:type="dxa"/>
            <w:vMerge/>
            <w:tcBorders>
              <w:top w:val="single" w:sz="4" w:space="0" w:color="auto"/>
              <w:left w:val="single" w:sz="4" w:space="0" w:color="auto"/>
              <w:bottom w:val="single" w:sz="4" w:space="0" w:color="auto"/>
              <w:right w:val="single" w:sz="4" w:space="0" w:color="auto"/>
            </w:tcBorders>
            <w:vAlign w:val="center"/>
            <w:hideMark/>
          </w:tcPr>
          <w:p w14:paraId="0E07D55F" w14:textId="77777777" w:rsidR="00520996" w:rsidRPr="006835D9" w:rsidRDefault="00520996" w:rsidP="00520996">
            <w:pPr>
              <w:suppressAutoHyphens w:val="0"/>
              <w:kinsoku/>
              <w:overflowPunct/>
              <w:autoSpaceDE/>
              <w:autoSpaceDN/>
              <w:adjustRightInd/>
              <w:snapToGrid/>
              <w:spacing w:line="276" w:lineRule="auto"/>
              <w:rPr>
                <w:bCs/>
                <w:lang w:val="fr-FR"/>
              </w:rPr>
            </w:pPr>
          </w:p>
        </w:tc>
        <w:tc>
          <w:tcPr>
            <w:tcW w:w="2693" w:type="dxa"/>
            <w:tcBorders>
              <w:top w:val="single" w:sz="4" w:space="0" w:color="auto"/>
              <w:left w:val="single" w:sz="4" w:space="0" w:color="auto"/>
              <w:bottom w:val="single" w:sz="4" w:space="0" w:color="auto"/>
              <w:right w:val="single" w:sz="4" w:space="0" w:color="auto"/>
            </w:tcBorders>
            <w:hideMark/>
          </w:tcPr>
          <w:p w14:paraId="5D915C3A" w14:textId="77777777" w:rsidR="00520996" w:rsidRPr="006835D9" w:rsidRDefault="00520996" w:rsidP="00520996">
            <w:pPr>
              <w:spacing w:before="60" w:after="60"/>
              <w:ind w:left="57" w:right="57"/>
              <w:rPr>
                <w:bCs/>
                <w:lang w:val="fr-FR"/>
              </w:rPr>
            </w:pPr>
            <w:r w:rsidRPr="006835D9">
              <w:rPr>
                <w:bCs/>
                <w:lang w:val="fr-FR"/>
              </w:rPr>
              <w:t>EN ISO 11114-2:2013</w:t>
            </w:r>
          </w:p>
        </w:tc>
        <w:tc>
          <w:tcPr>
            <w:tcW w:w="4399" w:type="dxa"/>
            <w:tcBorders>
              <w:top w:val="single" w:sz="4" w:space="0" w:color="auto"/>
              <w:left w:val="single" w:sz="4" w:space="0" w:color="auto"/>
              <w:bottom w:val="single" w:sz="4" w:space="0" w:color="auto"/>
              <w:right w:val="single" w:sz="4" w:space="0" w:color="auto"/>
            </w:tcBorders>
            <w:hideMark/>
          </w:tcPr>
          <w:p w14:paraId="2C8BF82F" w14:textId="44CC40FA" w:rsidR="00520996" w:rsidRPr="006835D9" w:rsidRDefault="00520996" w:rsidP="00520996">
            <w:pPr>
              <w:spacing w:before="60" w:after="60"/>
              <w:ind w:left="57" w:right="57"/>
              <w:rPr>
                <w:bCs/>
                <w:u w:val="single"/>
                <w:lang w:val="fr-FR"/>
              </w:rPr>
            </w:pPr>
            <w:r w:rsidRPr="006835D9">
              <w:rPr>
                <w:bCs/>
                <w:lang w:val="fr-FR"/>
              </w:rPr>
              <w:t>Bouteilles à gaz − Compatibilité des matériaux des bouteilles et des robinets avec les contenus gazeux −</w:t>
            </w:r>
            <w:r w:rsidR="00BD20D3">
              <w:rPr>
                <w:bCs/>
                <w:lang w:val="fr-FR"/>
              </w:rPr>
              <w:t> </w:t>
            </w:r>
            <w:r w:rsidRPr="006835D9">
              <w:rPr>
                <w:bCs/>
                <w:lang w:val="fr-FR"/>
              </w:rPr>
              <w:t>Partie 2 : Matériaux non métalliques</w:t>
            </w:r>
          </w:p>
        </w:tc>
      </w:tr>
      <w:tr w:rsidR="00520996" w:rsidRPr="006835D9" w14:paraId="2E6B181F" w14:textId="77777777" w:rsidTr="00BD20D3">
        <w:tc>
          <w:tcPr>
            <w:tcW w:w="1413" w:type="dxa"/>
            <w:tcBorders>
              <w:top w:val="single" w:sz="4" w:space="0" w:color="auto"/>
              <w:left w:val="single" w:sz="4" w:space="0" w:color="auto"/>
              <w:bottom w:val="single" w:sz="4" w:space="0" w:color="auto"/>
              <w:right w:val="single" w:sz="4" w:space="0" w:color="auto"/>
            </w:tcBorders>
            <w:hideMark/>
          </w:tcPr>
          <w:p w14:paraId="3C8776F5" w14:textId="171825BF" w:rsidR="00520996" w:rsidRPr="006835D9" w:rsidRDefault="00520996" w:rsidP="00520996">
            <w:pPr>
              <w:spacing w:before="60" w:after="60"/>
              <w:ind w:left="57" w:right="57"/>
              <w:rPr>
                <w:bCs/>
                <w:lang w:val="fr-FR"/>
              </w:rPr>
            </w:pPr>
            <w:r w:rsidRPr="006835D9">
              <w:rPr>
                <w:bCs/>
                <w:lang w:val="fr-FR"/>
              </w:rPr>
              <w:t>4</w:t>
            </w:r>
            <w:r w:rsidR="00FC1209" w:rsidRPr="00FC1209">
              <w:rPr>
                <w:bCs/>
                <w:lang w:val="fr-FR"/>
              </w:rPr>
              <w:t>.</w:t>
            </w:r>
            <w:r w:rsidRPr="006835D9">
              <w:rPr>
                <w:bCs/>
                <w:lang w:val="fr-FR"/>
              </w:rPr>
              <w:t>1</w:t>
            </w:r>
            <w:r w:rsidR="00FC1209" w:rsidRPr="00FC1209">
              <w:rPr>
                <w:bCs/>
                <w:lang w:val="fr-FR"/>
              </w:rPr>
              <w:t>.</w:t>
            </w:r>
            <w:r w:rsidRPr="006835D9">
              <w:rPr>
                <w:bCs/>
                <w:lang w:val="fr-FR"/>
              </w:rPr>
              <w:t>6</w:t>
            </w:r>
            <w:r w:rsidR="00FC1209" w:rsidRPr="00FC1209">
              <w:rPr>
                <w:bCs/>
                <w:lang w:val="fr-FR"/>
              </w:rPr>
              <w:t>.</w:t>
            </w:r>
            <w:r w:rsidRPr="006835D9">
              <w:rPr>
                <w:bCs/>
                <w:lang w:val="fr-FR"/>
              </w:rPr>
              <w:t>4</w:t>
            </w:r>
          </w:p>
        </w:tc>
        <w:tc>
          <w:tcPr>
            <w:tcW w:w="2693" w:type="dxa"/>
            <w:tcBorders>
              <w:top w:val="single" w:sz="4" w:space="0" w:color="auto"/>
              <w:left w:val="single" w:sz="4" w:space="0" w:color="auto"/>
              <w:bottom w:val="single" w:sz="4" w:space="0" w:color="auto"/>
              <w:right w:val="single" w:sz="4" w:space="0" w:color="auto"/>
            </w:tcBorders>
            <w:hideMark/>
          </w:tcPr>
          <w:p w14:paraId="33EB6999" w14:textId="77777777" w:rsidR="00520996" w:rsidRPr="006835D9" w:rsidRDefault="00520996" w:rsidP="00520996">
            <w:pPr>
              <w:spacing w:before="60" w:after="60"/>
              <w:ind w:left="57" w:right="57"/>
              <w:rPr>
                <w:bCs/>
                <w:lang w:val="fr-FR"/>
              </w:rPr>
            </w:pPr>
            <w:r w:rsidRPr="006835D9">
              <w:rPr>
                <w:bCs/>
                <w:lang w:val="fr-FR"/>
              </w:rPr>
              <w:t xml:space="preserve">ISO 11621:1997 </w:t>
            </w:r>
            <w:r w:rsidRPr="006835D9">
              <w:rPr>
                <w:bCs/>
                <w:lang w:val="fr-FR"/>
              </w:rPr>
              <w:br/>
              <w:t>ou EN ISO 11621:2005</w:t>
            </w:r>
          </w:p>
        </w:tc>
        <w:tc>
          <w:tcPr>
            <w:tcW w:w="4399" w:type="dxa"/>
            <w:tcBorders>
              <w:top w:val="single" w:sz="4" w:space="0" w:color="auto"/>
              <w:left w:val="single" w:sz="4" w:space="0" w:color="auto"/>
              <w:bottom w:val="single" w:sz="4" w:space="0" w:color="auto"/>
              <w:right w:val="single" w:sz="4" w:space="0" w:color="auto"/>
            </w:tcBorders>
            <w:hideMark/>
          </w:tcPr>
          <w:p w14:paraId="693EEF31" w14:textId="77777777" w:rsidR="00520996" w:rsidRPr="006835D9" w:rsidRDefault="00520996" w:rsidP="00520996">
            <w:pPr>
              <w:spacing w:before="60" w:after="60"/>
              <w:ind w:left="57" w:right="57"/>
              <w:rPr>
                <w:bCs/>
                <w:u w:val="single"/>
                <w:lang w:val="fr-FR"/>
              </w:rPr>
            </w:pPr>
            <w:r w:rsidRPr="006835D9">
              <w:rPr>
                <w:bCs/>
                <w:lang w:val="fr-FR"/>
              </w:rPr>
              <w:t>Bouteilles à gaz − Mode opératoire pour le changement de service de gaz</w:t>
            </w:r>
          </w:p>
        </w:tc>
      </w:tr>
      <w:tr w:rsidR="00520996" w:rsidRPr="006835D9" w14:paraId="4252E46C" w14:textId="77777777" w:rsidTr="00BD20D3">
        <w:tc>
          <w:tcPr>
            <w:tcW w:w="1413" w:type="dxa"/>
            <w:vMerge w:val="restart"/>
            <w:tcBorders>
              <w:top w:val="single" w:sz="4" w:space="0" w:color="auto"/>
              <w:left w:val="single" w:sz="4" w:space="0" w:color="auto"/>
              <w:bottom w:val="single" w:sz="4" w:space="0" w:color="auto"/>
              <w:right w:val="single" w:sz="4" w:space="0" w:color="auto"/>
            </w:tcBorders>
            <w:hideMark/>
          </w:tcPr>
          <w:p w14:paraId="5D8937A0" w14:textId="72FDD9E3" w:rsidR="00520996" w:rsidRPr="006835D9" w:rsidRDefault="00520996" w:rsidP="00520996">
            <w:pPr>
              <w:spacing w:before="60" w:after="60"/>
              <w:ind w:left="57" w:right="57"/>
              <w:rPr>
                <w:bCs/>
                <w:lang w:val="fr-FR"/>
              </w:rPr>
            </w:pPr>
            <w:r w:rsidRPr="006835D9">
              <w:rPr>
                <w:bCs/>
                <w:lang w:val="fr-FR"/>
              </w:rPr>
              <w:t>4</w:t>
            </w:r>
            <w:r w:rsidR="00FC1209" w:rsidRPr="00FC1209">
              <w:rPr>
                <w:bCs/>
                <w:lang w:val="fr-FR"/>
              </w:rPr>
              <w:t>.</w:t>
            </w:r>
            <w:r w:rsidRPr="006835D9">
              <w:rPr>
                <w:bCs/>
                <w:lang w:val="fr-FR"/>
              </w:rPr>
              <w:t>1</w:t>
            </w:r>
            <w:r w:rsidR="00FC1209" w:rsidRPr="00FC1209">
              <w:rPr>
                <w:bCs/>
                <w:lang w:val="fr-FR"/>
              </w:rPr>
              <w:t>.</w:t>
            </w:r>
            <w:r w:rsidRPr="006835D9">
              <w:rPr>
                <w:bCs/>
                <w:lang w:val="fr-FR"/>
              </w:rPr>
              <w:t>6</w:t>
            </w:r>
            <w:r w:rsidR="00FC1209" w:rsidRPr="00FC1209">
              <w:rPr>
                <w:bCs/>
                <w:lang w:val="fr-FR"/>
              </w:rPr>
              <w:t>.</w:t>
            </w:r>
            <w:r w:rsidRPr="006835D9">
              <w:rPr>
                <w:bCs/>
                <w:lang w:val="fr-FR"/>
              </w:rPr>
              <w:t>8 Robinets munis d</w:t>
            </w:r>
            <w:r w:rsidR="00F70B88">
              <w:rPr>
                <w:bCs/>
                <w:lang w:val="fr-FR"/>
              </w:rPr>
              <w:t>’</w:t>
            </w:r>
            <w:r w:rsidRPr="006835D9">
              <w:rPr>
                <w:bCs/>
                <w:lang w:val="fr-FR"/>
              </w:rPr>
              <w:t>une protection intégrée</w:t>
            </w:r>
          </w:p>
        </w:tc>
        <w:tc>
          <w:tcPr>
            <w:tcW w:w="2693" w:type="dxa"/>
            <w:tcBorders>
              <w:top w:val="single" w:sz="4" w:space="0" w:color="auto"/>
              <w:left w:val="single" w:sz="4" w:space="0" w:color="auto"/>
              <w:bottom w:val="single" w:sz="4" w:space="0" w:color="auto"/>
              <w:right w:val="single" w:sz="4" w:space="0" w:color="auto"/>
            </w:tcBorders>
            <w:hideMark/>
          </w:tcPr>
          <w:p w14:paraId="7427D136" w14:textId="32C2588F" w:rsidR="00520996" w:rsidRPr="006835D9" w:rsidRDefault="00520996" w:rsidP="00520996">
            <w:pPr>
              <w:spacing w:before="60" w:after="60"/>
              <w:ind w:left="57" w:right="57"/>
              <w:rPr>
                <w:bCs/>
                <w:lang w:val="fr-FR"/>
              </w:rPr>
            </w:pPr>
            <w:r w:rsidRPr="006835D9">
              <w:rPr>
                <w:bCs/>
                <w:lang w:val="fr-FR"/>
              </w:rPr>
              <w:t>Article 4</w:t>
            </w:r>
            <w:r w:rsidR="00FC1209" w:rsidRPr="00FC1209">
              <w:rPr>
                <w:bCs/>
                <w:lang w:val="fr-FR"/>
              </w:rPr>
              <w:t>.</w:t>
            </w:r>
            <w:r w:rsidRPr="006835D9">
              <w:rPr>
                <w:bCs/>
                <w:lang w:val="fr-FR"/>
              </w:rPr>
              <w:t>6</w:t>
            </w:r>
            <w:r w:rsidR="00FC1209" w:rsidRPr="00FC1209">
              <w:rPr>
                <w:bCs/>
                <w:lang w:val="fr-FR"/>
              </w:rPr>
              <w:t>.</w:t>
            </w:r>
            <w:r w:rsidRPr="006835D9">
              <w:rPr>
                <w:bCs/>
                <w:lang w:val="fr-FR"/>
              </w:rPr>
              <w:t xml:space="preserve">2 de </w:t>
            </w:r>
            <w:r w:rsidRPr="006835D9">
              <w:rPr>
                <w:bCs/>
                <w:lang w:val="fr-FR"/>
              </w:rPr>
              <w:br/>
              <w:t>EN ISO 10297:2006 ou</w:t>
            </w:r>
          </w:p>
          <w:p w14:paraId="3691E786" w14:textId="20434DCB" w:rsidR="00520996" w:rsidRPr="006835D9" w:rsidRDefault="00520996" w:rsidP="00520996">
            <w:pPr>
              <w:spacing w:before="60" w:after="60"/>
              <w:ind w:left="57" w:right="57"/>
              <w:rPr>
                <w:bCs/>
                <w:lang w:val="fr-FR"/>
              </w:rPr>
            </w:pPr>
            <w:r w:rsidRPr="006835D9">
              <w:rPr>
                <w:bCs/>
                <w:lang w:val="fr-FR"/>
              </w:rPr>
              <w:t>Article 5</w:t>
            </w:r>
            <w:r w:rsidR="00FC1209" w:rsidRPr="00FC1209">
              <w:rPr>
                <w:bCs/>
                <w:lang w:val="fr-FR"/>
              </w:rPr>
              <w:t>.</w:t>
            </w:r>
            <w:r w:rsidRPr="006835D9">
              <w:rPr>
                <w:bCs/>
                <w:lang w:val="fr-FR"/>
              </w:rPr>
              <w:t>5</w:t>
            </w:r>
            <w:r w:rsidR="00FC1209" w:rsidRPr="00FC1209">
              <w:rPr>
                <w:bCs/>
                <w:lang w:val="fr-FR"/>
              </w:rPr>
              <w:t>.</w:t>
            </w:r>
            <w:r w:rsidRPr="006835D9">
              <w:rPr>
                <w:bCs/>
                <w:lang w:val="fr-FR"/>
              </w:rPr>
              <w:t xml:space="preserve">2 de </w:t>
            </w:r>
            <w:r w:rsidRPr="006835D9">
              <w:rPr>
                <w:bCs/>
                <w:lang w:val="fr-FR"/>
              </w:rPr>
              <w:br/>
              <w:t>EN ISO 10297:2014 ou</w:t>
            </w:r>
          </w:p>
          <w:p w14:paraId="166BD088" w14:textId="165B8DC0" w:rsidR="00520996" w:rsidRPr="006835D9" w:rsidRDefault="00520996" w:rsidP="00520996">
            <w:pPr>
              <w:spacing w:before="60" w:after="60"/>
              <w:ind w:left="57" w:right="57"/>
              <w:rPr>
                <w:bCs/>
                <w:lang w:val="fr-FR"/>
              </w:rPr>
            </w:pPr>
            <w:r w:rsidRPr="006835D9">
              <w:rPr>
                <w:bCs/>
                <w:lang w:val="fr-FR"/>
              </w:rPr>
              <w:t>Article 5</w:t>
            </w:r>
            <w:r w:rsidR="00FC1209" w:rsidRPr="00FC1209">
              <w:rPr>
                <w:bCs/>
                <w:lang w:val="fr-FR"/>
              </w:rPr>
              <w:t>.</w:t>
            </w:r>
            <w:r w:rsidRPr="006835D9">
              <w:rPr>
                <w:bCs/>
                <w:lang w:val="fr-FR"/>
              </w:rPr>
              <w:t>5</w:t>
            </w:r>
            <w:r w:rsidR="00FC1209" w:rsidRPr="00FC1209">
              <w:rPr>
                <w:bCs/>
                <w:lang w:val="fr-FR"/>
              </w:rPr>
              <w:t>.</w:t>
            </w:r>
            <w:r w:rsidRPr="006835D9">
              <w:rPr>
                <w:bCs/>
                <w:lang w:val="fr-FR"/>
              </w:rPr>
              <w:t xml:space="preserve">2 de </w:t>
            </w:r>
            <w:r w:rsidRPr="006835D9">
              <w:rPr>
                <w:bCs/>
                <w:lang w:val="fr-FR"/>
              </w:rPr>
              <w:br/>
              <w:t>EN ISO 10297:2014 + A1:2017</w:t>
            </w:r>
          </w:p>
        </w:tc>
        <w:tc>
          <w:tcPr>
            <w:tcW w:w="4399" w:type="dxa"/>
            <w:tcBorders>
              <w:top w:val="single" w:sz="4" w:space="0" w:color="auto"/>
              <w:left w:val="single" w:sz="4" w:space="0" w:color="auto"/>
              <w:bottom w:val="single" w:sz="4" w:space="0" w:color="auto"/>
              <w:right w:val="single" w:sz="4" w:space="0" w:color="auto"/>
            </w:tcBorders>
            <w:hideMark/>
          </w:tcPr>
          <w:p w14:paraId="412BA482" w14:textId="0A7484A9" w:rsidR="00520996" w:rsidRPr="006835D9" w:rsidRDefault="00520996" w:rsidP="00520996">
            <w:pPr>
              <w:spacing w:before="60" w:after="60"/>
              <w:ind w:left="57" w:right="57"/>
              <w:rPr>
                <w:bCs/>
                <w:u w:val="single"/>
                <w:lang w:val="fr-FR"/>
              </w:rPr>
            </w:pPr>
            <w:r w:rsidRPr="006835D9">
              <w:rPr>
                <w:bCs/>
                <w:lang w:val="fr-FR"/>
              </w:rPr>
              <w:t>Bouteilles à gaz − Robinets de bouteilles −</w:t>
            </w:r>
            <w:r w:rsidR="00191B2A">
              <w:rPr>
                <w:bCs/>
                <w:lang w:val="fr-FR"/>
              </w:rPr>
              <w:t> </w:t>
            </w:r>
            <w:r w:rsidRPr="006835D9">
              <w:rPr>
                <w:bCs/>
                <w:lang w:val="fr-FR"/>
              </w:rPr>
              <w:t>Spécifications et essais de type</w:t>
            </w:r>
          </w:p>
        </w:tc>
      </w:tr>
      <w:tr w:rsidR="00520996" w:rsidRPr="006835D9" w14:paraId="49764F33" w14:textId="77777777" w:rsidTr="00BD20D3">
        <w:tc>
          <w:tcPr>
            <w:tcW w:w="1413" w:type="dxa"/>
            <w:vMerge/>
            <w:tcBorders>
              <w:top w:val="single" w:sz="4" w:space="0" w:color="auto"/>
              <w:left w:val="single" w:sz="4" w:space="0" w:color="auto"/>
              <w:bottom w:val="single" w:sz="4" w:space="0" w:color="auto"/>
              <w:right w:val="single" w:sz="4" w:space="0" w:color="auto"/>
            </w:tcBorders>
            <w:vAlign w:val="center"/>
            <w:hideMark/>
          </w:tcPr>
          <w:p w14:paraId="0111CADF" w14:textId="77777777" w:rsidR="00520996" w:rsidRPr="006835D9" w:rsidRDefault="00520996" w:rsidP="00520996">
            <w:pPr>
              <w:suppressAutoHyphens w:val="0"/>
              <w:kinsoku/>
              <w:overflowPunct/>
              <w:autoSpaceDE/>
              <w:autoSpaceDN/>
              <w:adjustRightInd/>
              <w:snapToGrid/>
              <w:spacing w:line="276" w:lineRule="auto"/>
              <w:rPr>
                <w:bCs/>
                <w:lang w:val="fr-FR"/>
              </w:rPr>
            </w:pPr>
          </w:p>
        </w:tc>
        <w:tc>
          <w:tcPr>
            <w:tcW w:w="2693" w:type="dxa"/>
            <w:tcBorders>
              <w:top w:val="single" w:sz="4" w:space="0" w:color="auto"/>
              <w:left w:val="single" w:sz="4" w:space="0" w:color="auto"/>
              <w:bottom w:val="single" w:sz="4" w:space="0" w:color="auto"/>
              <w:right w:val="single" w:sz="4" w:space="0" w:color="auto"/>
            </w:tcBorders>
            <w:hideMark/>
          </w:tcPr>
          <w:p w14:paraId="22A07301" w14:textId="1A0C7EB3" w:rsidR="00520996" w:rsidRPr="006835D9" w:rsidRDefault="00520996" w:rsidP="00520996">
            <w:pPr>
              <w:spacing w:before="60" w:after="60"/>
              <w:ind w:left="57" w:right="57"/>
              <w:rPr>
                <w:bCs/>
                <w:lang w:val="fr-FR"/>
              </w:rPr>
            </w:pPr>
            <w:r w:rsidRPr="006835D9">
              <w:rPr>
                <w:bCs/>
                <w:lang w:val="fr-FR"/>
              </w:rPr>
              <w:t>Article 5</w:t>
            </w:r>
            <w:r w:rsidR="00FC1209" w:rsidRPr="00FC1209">
              <w:rPr>
                <w:bCs/>
                <w:lang w:val="fr-FR"/>
              </w:rPr>
              <w:t>.</w:t>
            </w:r>
            <w:r w:rsidRPr="006835D9">
              <w:rPr>
                <w:bCs/>
                <w:lang w:val="fr-FR"/>
              </w:rPr>
              <w:t>3</w:t>
            </w:r>
            <w:r w:rsidR="00FC1209" w:rsidRPr="00FC1209">
              <w:rPr>
                <w:bCs/>
                <w:lang w:val="fr-FR"/>
              </w:rPr>
              <w:t>.</w:t>
            </w:r>
            <w:r w:rsidRPr="006835D9">
              <w:rPr>
                <w:bCs/>
                <w:lang w:val="fr-FR"/>
              </w:rPr>
              <w:t xml:space="preserve">8 de </w:t>
            </w:r>
            <w:r w:rsidRPr="006835D9">
              <w:rPr>
                <w:bCs/>
                <w:lang w:val="fr-FR"/>
              </w:rPr>
              <w:br/>
              <w:t>EN 13152:2001 + A1:2003</w:t>
            </w:r>
          </w:p>
        </w:tc>
        <w:tc>
          <w:tcPr>
            <w:tcW w:w="4399" w:type="dxa"/>
            <w:tcBorders>
              <w:top w:val="single" w:sz="4" w:space="0" w:color="auto"/>
              <w:left w:val="single" w:sz="4" w:space="0" w:color="auto"/>
              <w:bottom w:val="single" w:sz="4" w:space="0" w:color="auto"/>
              <w:right w:val="single" w:sz="4" w:space="0" w:color="auto"/>
            </w:tcBorders>
            <w:hideMark/>
          </w:tcPr>
          <w:p w14:paraId="0068A45E" w14:textId="77777777" w:rsidR="00520996" w:rsidRPr="006835D9" w:rsidRDefault="00520996" w:rsidP="00520996">
            <w:pPr>
              <w:spacing w:before="60" w:after="60"/>
              <w:ind w:left="57" w:right="57"/>
              <w:rPr>
                <w:bCs/>
                <w:u w:val="single"/>
                <w:lang w:val="fr-FR"/>
              </w:rPr>
            </w:pPr>
            <w:r w:rsidRPr="006835D9">
              <w:rPr>
                <w:bCs/>
                <w:lang w:val="fr-FR"/>
              </w:rPr>
              <w:t>Spécifications et essais pour valves de bouteilles de gaz de pétrole liquéfié (GPL) − Fermeture automatique</w:t>
            </w:r>
          </w:p>
        </w:tc>
      </w:tr>
      <w:tr w:rsidR="00520996" w:rsidRPr="006835D9" w14:paraId="3F5C61EE" w14:textId="77777777" w:rsidTr="00BD20D3">
        <w:tc>
          <w:tcPr>
            <w:tcW w:w="1413" w:type="dxa"/>
            <w:vMerge/>
            <w:tcBorders>
              <w:top w:val="single" w:sz="4" w:space="0" w:color="auto"/>
              <w:left w:val="single" w:sz="4" w:space="0" w:color="auto"/>
              <w:bottom w:val="single" w:sz="4" w:space="0" w:color="auto"/>
              <w:right w:val="single" w:sz="4" w:space="0" w:color="auto"/>
            </w:tcBorders>
            <w:vAlign w:val="center"/>
            <w:hideMark/>
          </w:tcPr>
          <w:p w14:paraId="5AC93DB1" w14:textId="77777777" w:rsidR="00520996" w:rsidRPr="006835D9" w:rsidRDefault="00520996" w:rsidP="00520996">
            <w:pPr>
              <w:suppressAutoHyphens w:val="0"/>
              <w:kinsoku/>
              <w:overflowPunct/>
              <w:autoSpaceDE/>
              <w:autoSpaceDN/>
              <w:adjustRightInd/>
              <w:snapToGrid/>
              <w:spacing w:line="276" w:lineRule="auto"/>
              <w:rPr>
                <w:bCs/>
                <w:lang w:val="fr-FR"/>
              </w:rPr>
            </w:pPr>
          </w:p>
        </w:tc>
        <w:tc>
          <w:tcPr>
            <w:tcW w:w="2693" w:type="dxa"/>
            <w:tcBorders>
              <w:top w:val="single" w:sz="4" w:space="0" w:color="auto"/>
              <w:left w:val="single" w:sz="4" w:space="0" w:color="auto"/>
              <w:bottom w:val="single" w:sz="4" w:space="0" w:color="auto"/>
              <w:right w:val="single" w:sz="4" w:space="0" w:color="auto"/>
            </w:tcBorders>
            <w:hideMark/>
          </w:tcPr>
          <w:p w14:paraId="75509DE4" w14:textId="677C647A" w:rsidR="00520996" w:rsidRPr="006835D9" w:rsidRDefault="00520996" w:rsidP="00520996">
            <w:pPr>
              <w:spacing w:before="60" w:after="60"/>
              <w:ind w:left="57" w:right="57"/>
              <w:rPr>
                <w:bCs/>
                <w:lang w:val="fr-FR"/>
              </w:rPr>
            </w:pPr>
            <w:r w:rsidRPr="006835D9">
              <w:rPr>
                <w:bCs/>
                <w:lang w:val="fr-FR"/>
              </w:rPr>
              <w:t>Article 5</w:t>
            </w:r>
            <w:r w:rsidR="00FC1209" w:rsidRPr="00FC1209">
              <w:rPr>
                <w:bCs/>
                <w:lang w:val="fr-FR"/>
              </w:rPr>
              <w:t>.</w:t>
            </w:r>
            <w:r w:rsidRPr="006835D9">
              <w:rPr>
                <w:bCs/>
                <w:lang w:val="fr-FR"/>
              </w:rPr>
              <w:t>3</w:t>
            </w:r>
            <w:r w:rsidR="00FC1209" w:rsidRPr="00FC1209">
              <w:rPr>
                <w:bCs/>
                <w:lang w:val="fr-FR"/>
              </w:rPr>
              <w:t>.</w:t>
            </w:r>
            <w:r w:rsidRPr="006835D9">
              <w:rPr>
                <w:bCs/>
                <w:lang w:val="fr-FR"/>
              </w:rPr>
              <w:t xml:space="preserve">7 de </w:t>
            </w:r>
            <w:r w:rsidRPr="006835D9">
              <w:rPr>
                <w:bCs/>
                <w:lang w:val="fr-FR"/>
              </w:rPr>
              <w:br/>
              <w:t>EN 13153:2001 + A1:2003</w:t>
            </w:r>
          </w:p>
        </w:tc>
        <w:tc>
          <w:tcPr>
            <w:tcW w:w="4399" w:type="dxa"/>
            <w:tcBorders>
              <w:top w:val="single" w:sz="4" w:space="0" w:color="auto"/>
              <w:left w:val="single" w:sz="4" w:space="0" w:color="auto"/>
              <w:bottom w:val="single" w:sz="4" w:space="0" w:color="auto"/>
              <w:right w:val="single" w:sz="4" w:space="0" w:color="auto"/>
            </w:tcBorders>
            <w:hideMark/>
          </w:tcPr>
          <w:p w14:paraId="30C637EE" w14:textId="77777777" w:rsidR="00520996" w:rsidRPr="006835D9" w:rsidRDefault="00520996" w:rsidP="00520996">
            <w:pPr>
              <w:spacing w:before="60" w:after="60"/>
              <w:ind w:left="57" w:right="57"/>
              <w:rPr>
                <w:bCs/>
                <w:u w:val="single"/>
                <w:lang w:val="fr-FR"/>
              </w:rPr>
            </w:pPr>
            <w:r w:rsidRPr="006835D9">
              <w:rPr>
                <w:bCs/>
                <w:lang w:val="fr-FR"/>
              </w:rPr>
              <w:t>Spécifications et essais pour valves de bouteilles de gaz de pétrole liquéfié (GPL) − Fermeture manuelle</w:t>
            </w:r>
          </w:p>
        </w:tc>
      </w:tr>
      <w:tr w:rsidR="00520996" w:rsidRPr="006835D9" w14:paraId="2A39E7F7" w14:textId="77777777" w:rsidTr="00BD20D3">
        <w:tc>
          <w:tcPr>
            <w:tcW w:w="1413" w:type="dxa"/>
            <w:vMerge/>
            <w:tcBorders>
              <w:top w:val="single" w:sz="4" w:space="0" w:color="auto"/>
              <w:left w:val="single" w:sz="4" w:space="0" w:color="auto"/>
              <w:bottom w:val="single" w:sz="4" w:space="0" w:color="auto"/>
              <w:right w:val="single" w:sz="4" w:space="0" w:color="auto"/>
            </w:tcBorders>
            <w:vAlign w:val="center"/>
            <w:hideMark/>
          </w:tcPr>
          <w:p w14:paraId="5625B157" w14:textId="77777777" w:rsidR="00520996" w:rsidRPr="006835D9" w:rsidRDefault="00520996" w:rsidP="00520996">
            <w:pPr>
              <w:suppressAutoHyphens w:val="0"/>
              <w:kinsoku/>
              <w:overflowPunct/>
              <w:autoSpaceDE/>
              <w:autoSpaceDN/>
              <w:adjustRightInd/>
              <w:snapToGrid/>
              <w:spacing w:line="276" w:lineRule="auto"/>
              <w:rPr>
                <w:bCs/>
                <w:lang w:val="fr-FR"/>
              </w:rPr>
            </w:pPr>
          </w:p>
        </w:tc>
        <w:tc>
          <w:tcPr>
            <w:tcW w:w="2693" w:type="dxa"/>
            <w:tcBorders>
              <w:top w:val="single" w:sz="4" w:space="0" w:color="auto"/>
              <w:left w:val="single" w:sz="4" w:space="0" w:color="auto"/>
              <w:bottom w:val="single" w:sz="4" w:space="0" w:color="auto"/>
              <w:right w:val="single" w:sz="4" w:space="0" w:color="auto"/>
            </w:tcBorders>
            <w:hideMark/>
          </w:tcPr>
          <w:p w14:paraId="7F113430" w14:textId="4AC3E856" w:rsidR="00520996" w:rsidRPr="006835D9" w:rsidRDefault="00520996" w:rsidP="00520996">
            <w:pPr>
              <w:spacing w:before="60" w:after="60"/>
              <w:ind w:left="57" w:right="57"/>
              <w:rPr>
                <w:bCs/>
                <w:lang w:val="fr-FR"/>
              </w:rPr>
            </w:pPr>
            <w:r w:rsidRPr="006835D9">
              <w:rPr>
                <w:bCs/>
                <w:lang w:val="fr-FR"/>
              </w:rPr>
              <w:t>Article 5</w:t>
            </w:r>
            <w:r w:rsidR="00FC1209" w:rsidRPr="00FC1209">
              <w:rPr>
                <w:bCs/>
                <w:lang w:val="fr-FR"/>
              </w:rPr>
              <w:t>.</w:t>
            </w:r>
            <w:r w:rsidRPr="006835D9">
              <w:rPr>
                <w:bCs/>
                <w:lang w:val="fr-FR"/>
              </w:rPr>
              <w:t xml:space="preserve">9 de </w:t>
            </w:r>
            <w:r w:rsidRPr="006835D9">
              <w:rPr>
                <w:bCs/>
                <w:lang w:val="fr-FR"/>
              </w:rPr>
              <w:br/>
              <w:t>EN ISO 14245:2010 ou</w:t>
            </w:r>
          </w:p>
          <w:p w14:paraId="520C109E" w14:textId="3500B7BF" w:rsidR="00520996" w:rsidRPr="006835D9" w:rsidRDefault="00520996" w:rsidP="00520996">
            <w:pPr>
              <w:spacing w:before="60" w:after="60"/>
              <w:ind w:left="57" w:right="57"/>
              <w:rPr>
                <w:bCs/>
                <w:lang w:val="fr-FR"/>
              </w:rPr>
            </w:pPr>
            <w:r w:rsidRPr="006835D9">
              <w:rPr>
                <w:bCs/>
                <w:lang w:val="fr-FR"/>
              </w:rPr>
              <w:t>Article 5</w:t>
            </w:r>
            <w:r w:rsidR="00FC1209" w:rsidRPr="00FC1209">
              <w:rPr>
                <w:bCs/>
                <w:lang w:val="fr-FR"/>
              </w:rPr>
              <w:t>.</w:t>
            </w:r>
            <w:r w:rsidRPr="006835D9">
              <w:rPr>
                <w:bCs/>
                <w:lang w:val="fr-FR"/>
              </w:rPr>
              <w:t xml:space="preserve">9 de </w:t>
            </w:r>
            <w:r w:rsidRPr="006835D9">
              <w:rPr>
                <w:bCs/>
                <w:lang w:val="fr-FR"/>
              </w:rPr>
              <w:br/>
              <w:t>EN ISO 14245:2019</w:t>
            </w:r>
          </w:p>
        </w:tc>
        <w:tc>
          <w:tcPr>
            <w:tcW w:w="4399" w:type="dxa"/>
            <w:tcBorders>
              <w:top w:val="single" w:sz="4" w:space="0" w:color="auto"/>
              <w:left w:val="single" w:sz="4" w:space="0" w:color="auto"/>
              <w:bottom w:val="single" w:sz="4" w:space="0" w:color="auto"/>
              <w:right w:val="single" w:sz="4" w:space="0" w:color="auto"/>
            </w:tcBorders>
            <w:hideMark/>
          </w:tcPr>
          <w:p w14:paraId="33E66EEA" w14:textId="77777777" w:rsidR="00520996" w:rsidRPr="006835D9" w:rsidRDefault="00520996" w:rsidP="00520996">
            <w:pPr>
              <w:spacing w:before="60" w:after="60"/>
              <w:ind w:left="57" w:right="57"/>
              <w:rPr>
                <w:bCs/>
                <w:u w:val="single"/>
                <w:lang w:val="fr-FR"/>
              </w:rPr>
            </w:pPr>
            <w:r w:rsidRPr="006835D9">
              <w:rPr>
                <w:bCs/>
                <w:lang w:val="fr-FR"/>
              </w:rPr>
              <w:t>Bouteilles à gaz − Spécifications et essais pour valves de bouteilles de GPL − Fermeture automatique</w:t>
            </w:r>
          </w:p>
        </w:tc>
      </w:tr>
      <w:tr w:rsidR="00520996" w:rsidRPr="006835D9" w14:paraId="40814E03" w14:textId="77777777" w:rsidTr="00BD20D3">
        <w:tc>
          <w:tcPr>
            <w:tcW w:w="1413" w:type="dxa"/>
            <w:vMerge/>
            <w:tcBorders>
              <w:top w:val="single" w:sz="4" w:space="0" w:color="auto"/>
              <w:left w:val="single" w:sz="4" w:space="0" w:color="auto"/>
              <w:bottom w:val="single" w:sz="4" w:space="0" w:color="auto"/>
              <w:right w:val="single" w:sz="4" w:space="0" w:color="auto"/>
            </w:tcBorders>
            <w:vAlign w:val="center"/>
            <w:hideMark/>
          </w:tcPr>
          <w:p w14:paraId="0A84CA39" w14:textId="77777777" w:rsidR="00520996" w:rsidRPr="006835D9" w:rsidRDefault="00520996" w:rsidP="00520996">
            <w:pPr>
              <w:suppressAutoHyphens w:val="0"/>
              <w:kinsoku/>
              <w:overflowPunct/>
              <w:autoSpaceDE/>
              <w:autoSpaceDN/>
              <w:adjustRightInd/>
              <w:snapToGrid/>
              <w:spacing w:line="276" w:lineRule="auto"/>
              <w:rPr>
                <w:bCs/>
                <w:lang w:val="fr-FR"/>
              </w:rPr>
            </w:pPr>
          </w:p>
        </w:tc>
        <w:tc>
          <w:tcPr>
            <w:tcW w:w="2693" w:type="dxa"/>
            <w:tcBorders>
              <w:top w:val="single" w:sz="4" w:space="0" w:color="auto"/>
              <w:left w:val="single" w:sz="4" w:space="0" w:color="auto"/>
              <w:bottom w:val="single" w:sz="4" w:space="0" w:color="auto"/>
              <w:right w:val="single" w:sz="4" w:space="0" w:color="auto"/>
            </w:tcBorders>
            <w:hideMark/>
          </w:tcPr>
          <w:p w14:paraId="234E97DE" w14:textId="5025D6F7" w:rsidR="00520996" w:rsidRPr="006835D9" w:rsidRDefault="00520996" w:rsidP="00520996">
            <w:pPr>
              <w:spacing w:before="60" w:after="60"/>
              <w:ind w:left="57" w:right="57"/>
              <w:rPr>
                <w:bCs/>
                <w:lang w:val="fr-FR"/>
              </w:rPr>
            </w:pPr>
            <w:r w:rsidRPr="006835D9">
              <w:rPr>
                <w:bCs/>
                <w:lang w:val="fr-FR"/>
              </w:rPr>
              <w:t>Article 5</w:t>
            </w:r>
            <w:r w:rsidR="00FC1209" w:rsidRPr="00FC1209">
              <w:rPr>
                <w:bCs/>
                <w:lang w:val="fr-FR"/>
              </w:rPr>
              <w:t>.</w:t>
            </w:r>
            <w:r w:rsidRPr="006835D9">
              <w:rPr>
                <w:bCs/>
                <w:lang w:val="fr-FR"/>
              </w:rPr>
              <w:t xml:space="preserve">10 de </w:t>
            </w:r>
            <w:r w:rsidRPr="006835D9">
              <w:rPr>
                <w:bCs/>
                <w:lang w:val="fr-FR"/>
              </w:rPr>
              <w:br/>
              <w:t>EN ISO 15995:2010 ou</w:t>
            </w:r>
          </w:p>
          <w:p w14:paraId="1924EB1B" w14:textId="69148978" w:rsidR="00520996" w:rsidRPr="006835D9" w:rsidRDefault="00520996" w:rsidP="00520996">
            <w:pPr>
              <w:spacing w:before="60" w:after="60"/>
              <w:ind w:left="57" w:right="57"/>
              <w:rPr>
                <w:bCs/>
                <w:lang w:val="fr-FR"/>
              </w:rPr>
            </w:pPr>
            <w:r w:rsidRPr="006835D9">
              <w:rPr>
                <w:bCs/>
                <w:lang w:val="fr-FR"/>
              </w:rPr>
              <w:t>Article 5</w:t>
            </w:r>
            <w:r w:rsidR="00FC1209" w:rsidRPr="00FC1209">
              <w:rPr>
                <w:bCs/>
                <w:lang w:val="fr-FR"/>
              </w:rPr>
              <w:t>.</w:t>
            </w:r>
            <w:r w:rsidRPr="006835D9">
              <w:rPr>
                <w:bCs/>
                <w:lang w:val="fr-FR"/>
              </w:rPr>
              <w:t xml:space="preserve">10 de </w:t>
            </w:r>
            <w:r w:rsidRPr="006835D9">
              <w:rPr>
                <w:bCs/>
                <w:lang w:val="fr-FR"/>
              </w:rPr>
              <w:br/>
              <w:t>EN ISO 15995:2019</w:t>
            </w:r>
          </w:p>
        </w:tc>
        <w:tc>
          <w:tcPr>
            <w:tcW w:w="4399" w:type="dxa"/>
            <w:tcBorders>
              <w:top w:val="single" w:sz="4" w:space="0" w:color="auto"/>
              <w:left w:val="single" w:sz="4" w:space="0" w:color="auto"/>
              <w:bottom w:val="single" w:sz="4" w:space="0" w:color="auto"/>
              <w:right w:val="single" w:sz="4" w:space="0" w:color="auto"/>
            </w:tcBorders>
            <w:hideMark/>
          </w:tcPr>
          <w:p w14:paraId="385C1AEA" w14:textId="77777777" w:rsidR="00520996" w:rsidRPr="006835D9" w:rsidRDefault="00520996" w:rsidP="00520996">
            <w:pPr>
              <w:spacing w:before="60" w:after="60"/>
              <w:ind w:left="57" w:right="57"/>
              <w:rPr>
                <w:bCs/>
                <w:u w:val="single"/>
                <w:lang w:val="fr-FR"/>
              </w:rPr>
            </w:pPr>
            <w:r w:rsidRPr="006835D9">
              <w:rPr>
                <w:bCs/>
                <w:lang w:val="fr-FR"/>
              </w:rPr>
              <w:t>Bouteilles à gaz − Spécifications et essais pour valves de bouteilles de GPL − Fermeture manuelle</w:t>
            </w:r>
          </w:p>
        </w:tc>
      </w:tr>
      <w:tr w:rsidR="00520996" w:rsidRPr="006835D9" w14:paraId="1585D7CD" w14:textId="77777777" w:rsidTr="00BD20D3">
        <w:tc>
          <w:tcPr>
            <w:tcW w:w="1413" w:type="dxa"/>
            <w:vMerge/>
            <w:tcBorders>
              <w:top w:val="single" w:sz="4" w:space="0" w:color="auto"/>
              <w:left w:val="single" w:sz="4" w:space="0" w:color="auto"/>
              <w:bottom w:val="single" w:sz="4" w:space="0" w:color="auto"/>
              <w:right w:val="single" w:sz="4" w:space="0" w:color="auto"/>
            </w:tcBorders>
            <w:vAlign w:val="center"/>
            <w:hideMark/>
          </w:tcPr>
          <w:p w14:paraId="3B9A9C1C" w14:textId="77777777" w:rsidR="00520996" w:rsidRPr="006835D9" w:rsidRDefault="00520996" w:rsidP="00520996">
            <w:pPr>
              <w:suppressAutoHyphens w:val="0"/>
              <w:kinsoku/>
              <w:overflowPunct/>
              <w:autoSpaceDE/>
              <w:autoSpaceDN/>
              <w:adjustRightInd/>
              <w:snapToGrid/>
              <w:spacing w:line="276" w:lineRule="auto"/>
              <w:rPr>
                <w:bCs/>
                <w:lang w:val="fr-FR"/>
              </w:rPr>
            </w:pPr>
          </w:p>
        </w:tc>
        <w:tc>
          <w:tcPr>
            <w:tcW w:w="2693" w:type="dxa"/>
            <w:tcBorders>
              <w:top w:val="single" w:sz="4" w:space="0" w:color="auto"/>
              <w:left w:val="single" w:sz="4" w:space="0" w:color="auto"/>
              <w:bottom w:val="single" w:sz="4" w:space="0" w:color="auto"/>
              <w:right w:val="single" w:sz="4" w:space="0" w:color="auto"/>
            </w:tcBorders>
            <w:hideMark/>
          </w:tcPr>
          <w:p w14:paraId="3563C1E7" w14:textId="1C1384DC" w:rsidR="00520996" w:rsidRPr="006835D9" w:rsidRDefault="00520996" w:rsidP="00520996">
            <w:pPr>
              <w:spacing w:before="60" w:after="60"/>
              <w:ind w:left="57" w:right="57"/>
              <w:rPr>
                <w:bCs/>
                <w:lang w:val="fr-FR"/>
              </w:rPr>
            </w:pPr>
            <w:r w:rsidRPr="006835D9">
              <w:rPr>
                <w:bCs/>
                <w:lang w:val="fr-FR"/>
              </w:rPr>
              <w:t>Article 5</w:t>
            </w:r>
            <w:r w:rsidR="00FC1209" w:rsidRPr="00FC1209">
              <w:rPr>
                <w:bCs/>
                <w:lang w:val="fr-FR"/>
              </w:rPr>
              <w:t>.</w:t>
            </w:r>
            <w:r w:rsidRPr="006835D9">
              <w:rPr>
                <w:bCs/>
                <w:lang w:val="fr-FR"/>
              </w:rPr>
              <w:t>4</w:t>
            </w:r>
            <w:r w:rsidR="00FC1209" w:rsidRPr="00FC1209">
              <w:rPr>
                <w:bCs/>
                <w:lang w:val="fr-FR"/>
              </w:rPr>
              <w:t>.</w:t>
            </w:r>
            <w:r w:rsidRPr="006835D9">
              <w:rPr>
                <w:bCs/>
                <w:lang w:val="fr-FR"/>
              </w:rPr>
              <w:t xml:space="preserve">2 de </w:t>
            </w:r>
            <w:r w:rsidRPr="006835D9">
              <w:rPr>
                <w:bCs/>
                <w:lang w:val="fr-FR"/>
              </w:rPr>
              <w:br/>
              <w:t>EN ISO 17879:2017</w:t>
            </w:r>
          </w:p>
        </w:tc>
        <w:tc>
          <w:tcPr>
            <w:tcW w:w="4399" w:type="dxa"/>
            <w:tcBorders>
              <w:top w:val="single" w:sz="4" w:space="0" w:color="auto"/>
              <w:left w:val="single" w:sz="4" w:space="0" w:color="auto"/>
              <w:bottom w:val="single" w:sz="4" w:space="0" w:color="auto"/>
              <w:right w:val="single" w:sz="4" w:space="0" w:color="auto"/>
            </w:tcBorders>
            <w:hideMark/>
          </w:tcPr>
          <w:p w14:paraId="4F128BB1" w14:textId="77777777" w:rsidR="00520996" w:rsidRPr="006835D9" w:rsidRDefault="00520996" w:rsidP="00520996">
            <w:pPr>
              <w:spacing w:before="60" w:after="60"/>
              <w:ind w:left="57" w:right="57"/>
              <w:rPr>
                <w:bCs/>
                <w:u w:val="single"/>
                <w:lang w:val="fr-FR"/>
              </w:rPr>
            </w:pPr>
            <w:r w:rsidRPr="006835D9">
              <w:rPr>
                <w:bCs/>
                <w:lang w:val="fr-FR"/>
              </w:rPr>
              <w:t>Bouteilles à gaz − Robinets de bouteilles équipés de clapets auto-obturants − Spécifications et essais de type</w:t>
            </w:r>
          </w:p>
        </w:tc>
      </w:tr>
      <w:tr w:rsidR="00520996" w:rsidRPr="006835D9" w14:paraId="0AF583A1" w14:textId="77777777" w:rsidTr="00BD20D3">
        <w:tc>
          <w:tcPr>
            <w:tcW w:w="1413" w:type="dxa"/>
            <w:vMerge/>
            <w:tcBorders>
              <w:top w:val="single" w:sz="4" w:space="0" w:color="auto"/>
              <w:left w:val="single" w:sz="4" w:space="0" w:color="auto"/>
              <w:bottom w:val="single" w:sz="4" w:space="0" w:color="auto"/>
              <w:right w:val="single" w:sz="4" w:space="0" w:color="auto"/>
            </w:tcBorders>
            <w:vAlign w:val="center"/>
            <w:hideMark/>
          </w:tcPr>
          <w:p w14:paraId="4AB4866C" w14:textId="77777777" w:rsidR="00520996" w:rsidRPr="006835D9" w:rsidRDefault="00520996" w:rsidP="00520996">
            <w:pPr>
              <w:suppressAutoHyphens w:val="0"/>
              <w:kinsoku/>
              <w:overflowPunct/>
              <w:autoSpaceDE/>
              <w:autoSpaceDN/>
              <w:adjustRightInd/>
              <w:snapToGrid/>
              <w:spacing w:line="276" w:lineRule="auto"/>
              <w:rPr>
                <w:bCs/>
                <w:lang w:val="fr-FR"/>
              </w:rPr>
            </w:pPr>
          </w:p>
        </w:tc>
        <w:tc>
          <w:tcPr>
            <w:tcW w:w="2693" w:type="dxa"/>
            <w:tcBorders>
              <w:top w:val="single" w:sz="4" w:space="0" w:color="auto"/>
              <w:left w:val="single" w:sz="4" w:space="0" w:color="auto"/>
              <w:bottom w:val="single" w:sz="4" w:space="0" w:color="auto"/>
              <w:right w:val="single" w:sz="4" w:space="0" w:color="auto"/>
            </w:tcBorders>
            <w:hideMark/>
          </w:tcPr>
          <w:p w14:paraId="0A95CADC" w14:textId="345FC0C2" w:rsidR="00520996" w:rsidRPr="006835D9" w:rsidRDefault="00520996" w:rsidP="00520996">
            <w:pPr>
              <w:spacing w:before="60" w:after="60" w:line="240" w:lineRule="auto"/>
              <w:ind w:left="57" w:right="57"/>
              <w:rPr>
                <w:bCs/>
                <w:iCs/>
                <w:lang w:val="fr-FR"/>
              </w:rPr>
            </w:pPr>
            <w:r w:rsidRPr="006835D9">
              <w:rPr>
                <w:bCs/>
                <w:iCs/>
                <w:lang w:val="fr-FR"/>
              </w:rPr>
              <w:t>Article 7</w:t>
            </w:r>
            <w:r w:rsidR="00FC1209" w:rsidRPr="00FC1209">
              <w:rPr>
                <w:bCs/>
                <w:iCs/>
                <w:lang w:val="fr-FR"/>
              </w:rPr>
              <w:t>.</w:t>
            </w:r>
            <w:r w:rsidRPr="006835D9">
              <w:rPr>
                <w:bCs/>
                <w:iCs/>
                <w:lang w:val="fr-FR"/>
              </w:rPr>
              <w:t>4 de</w:t>
            </w:r>
            <w:r w:rsidRPr="006835D9">
              <w:rPr>
                <w:bCs/>
                <w:iCs/>
                <w:lang w:val="fr-FR"/>
              </w:rPr>
              <w:br/>
              <w:t>EN 12205:2001 ou</w:t>
            </w:r>
          </w:p>
          <w:p w14:paraId="2F94036F" w14:textId="7C78F979" w:rsidR="00520996" w:rsidRPr="006835D9" w:rsidRDefault="00520996" w:rsidP="00520996">
            <w:pPr>
              <w:spacing w:before="60" w:after="60" w:line="240" w:lineRule="auto"/>
              <w:ind w:left="57" w:right="57"/>
              <w:rPr>
                <w:bCs/>
                <w:iCs/>
                <w:lang w:val="fr-FR"/>
              </w:rPr>
            </w:pPr>
            <w:r w:rsidRPr="006835D9">
              <w:rPr>
                <w:bCs/>
                <w:iCs/>
                <w:lang w:val="fr-FR"/>
              </w:rPr>
              <w:t>Article 9</w:t>
            </w:r>
            <w:r w:rsidR="00FC1209" w:rsidRPr="00FC1209">
              <w:rPr>
                <w:bCs/>
                <w:iCs/>
                <w:lang w:val="fr-FR"/>
              </w:rPr>
              <w:t>.</w:t>
            </w:r>
            <w:r w:rsidRPr="006835D9">
              <w:rPr>
                <w:bCs/>
                <w:iCs/>
                <w:lang w:val="fr-FR"/>
              </w:rPr>
              <w:t>2</w:t>
            </w:r>
            <w:r w:rsidR="00FC1209" w:rsidRPr="00FC1209">
              <w:rPr>
                <w:bCs/>
                <w:iCs/>
                <w:lang w:val="fr-FR"/>
              </w:rPr>
              <w:t>.</w:t>
            </w:r>
            <w:r w:rsidRPr="006835D9">
              <w:rPr>
                <w:bCs/>
                <w:iCs/>
                <w:lang w:val="fr-FR"/>
              </w:rPr>
              <w:t xml:space="preserve">5 de </w:t>
            </w:r>
            <w:r w:rsidRPr="006835D9">
              <w:rPr>
                <w:bCs/>
                <w:iCs/>
                <w:lang w:val="fr-FR"/>
              </w:rPr>
              <w:br/>
              <w:t>EN ISO 11118:2015 ou</w:t>
            </w:r>
          </w:p>
          <w:p w14:paraId="5C5484ED" w14:textId="69F80DDC" w:rsidR="00520996" w:rsidRPr="006835D9" w:rsidRDefault="00520996" w:rsidP="00520996">
            <w:pPr>
              <w:spacing w:before="60" w:after="60" w:line="240" w:lineRule="auto"/>
              <w:ind w:left="57" w:right="57"/>
              <w:rPr>
                <w:bCs/>
                <w:lang w:val="fr-FR"/>
              </w:rPr>
            </w:pPr>
            <w:r w:rsidRPr="006835D9">
              <w:rPr>
                <w:bCs/>
                <w:iCs/>
                <w:lang w:val="fr-FR"/>
              </w:rPr>
              <w:t>Article 9</w:t>
            </w:r>
            <w:r w:rsidR="00FC1209" w:rsidRPr="00FC1209">
              <w:rPr>
                <w:bCs/>
                <w:iCs/>
                <w:lang w:val="fr-FR"/>
              </w:rPr>
              <w:t>.</w:t>
            </w:r>
            <w:r w:rsidRPr="006835D9">
              <w:rPr>
                <w:bCs/>
                <w:iCs/>
                <w:lang w:val="fr-FR"/>
              </w:rPr>
              <w:t>2</w:t>
            </w:r>
            <w:r w:rsidR="00FC1209" w:rsidRPr="00FC1209">
              <w:rPr>
                <w:bCs/>
                <w:iCs/>
                <w:lang w:val="fr-FR"/>
              </w:rPr>
              <w:t>.</w:t>
            </w:r>
            <w:r w:rsidRPr="006835D9">
              <w:rPr>
                <w:bCs/>
                <w:iCs/>
                <w:lang w:val="fr-FR"/>
              </w:rPr>
              <w:t xml:space="preserve">5 de </w:t>
            </w:r>
            <w:r w:rsidRPr="006835D9">
              <w:rPr>
                <w:bCs/>
                <w:iCs/>
                <w:lang w:val="fr-FR"/>
              </w:rPr>
              <w:br/>
              <w:t>EN ISO 11118:2015 + A1:2020</w:t>
            </w:r>
          </w:p>
        </w:tc>
        <w:tc>
          <w:tcPr>
            <w:tcW w:w="4399" w:type="dxa"/>
            <w:tcBorders>
              <w:top w:val="single" w:sz="4" w:space="0" w:color="auto"/>
              <w:left w:val="single" w:sz="4" w:space="0" w:color="auto"/>
              <w:bottom w:val="single" w:sz="4" w:space="0" w:color="auto"/>
              <w:right w:val="single" w:sz="4" w:space="0" w:color="auto"/>
            </w:tcBorders>
            <w:hideMark/>
          </w:tcPr>
          <w:p w14:paraId="317C5C81" w14:textId="113254A0" w:rsidR="00520996" w:rsidRPr="006835D9" w:rsidRDefault="00520996" w:rsidP="00520996">
            <w:pPr>
              <w:spacing w:before="60" w:after="60"/>
              <w:ind w:left="57" w:right="57"/>
              <w:rPr>
                <w:bCs/>
                <w:lang w:val="fr-FR"/>
              </w:rPr>
            </w:pPr>
            <w:r w:rsidRPr="006835D9">
              <w:rPr>
                <w:bCs/>
                <w:iCs/>
                <w:lang w:val="fr-FR"/>
              </w:rPr>
              <w:t>Bouteilles à gaz − Bouteilles à gaz métalliques non rechargeables − Spécifications et méthodes d</w:t>
            </w:r>
            <w:r w:rsidR="00F70B88">
              <w:rPr>
                <w:bCs/>
                <w:iCs/>
                <w:lang w:val="fr-FR"/>
              </w:rPr>
              <w:t>’</w:t>
            </w:r>
            <w:r w:rsidRPr="006835D9">
              <w:rPr>
                <w:bCs/>
                <w:iCs/>
                <w:lang w:val="fr-FR"/>
              </w:rPr>
              <w:t xml:space="preserve">essai </w:t>
            </w:r>
          </w:p>
        </w:tc>
      </w:tr>
      <w:tr w:rsidR="00520996" w:rsidRPr="006835D9" w14:paraId="7B12E9FF" w14:textId="77777777" w:rsidTr="00BD20D3">
        <w:tc>
          <w:tcPr>
            <w:tcW w:w="1413" w:type="dxa"/>
            <w:vMerge w:val="restart"/>
            <w:tcBorders>
              <w:top w:val="single" w:sz="4" w:space="0" w:color="auto"/>
              <w:left w:val="single" w:sz="4" w:space="0" w:color="auto"/>
              <w:bottom w:val="single" w:sz="4" w:space="0" w:color="auto"/>
              <w:right w:val="single" w:sz="4" w:space="0" w:color="auto"/>
            </w:tcBorders>
            <w:hideMark/>
          </w:tcPr>
          <w:p w14:paraId="07C764E6" w14:textId="24FB372C" w:rsidR="00520996" w:rsidRPr="006835D9" w:rsidRDefault="00520996" w:rsidP="00BD20D3">
            <w:pPr>
              <w:keepNext/>
              <w:spacing w:before="60" w:after="60"/>
              <w:ind w:left="57" w:right="57"/>
              <w:rPr>
                <w:bCs/>
                <w:lang w:val="fr-FR"/>
              </w:rPr>
            </w:pPr>
            <w:r w:rsidRPr="006835D9">
              <w:rPr>
                <w:bCs/>
                <w:lang w:val="fr-FR"/>
              </w:rPr>
              <w:lastRenderedPageBreak/>
              <w:t>4</w:t>
            </w:r>
            <w:r w:rsidR="00FC1209" w:rsidRPr="00FC1209">
              <w:rPr>
                <w:bCs/>
                <w:lang w:val="fr-FR"/>
              </w:rPr>
              <w:t>.</w:t>
            </w:r>
            <w:r w:rsidRPr="006835D9">
              <w:rPr>
                <w:bCs/>
                <w:lang w:val="fr-FR"/>
              </w:rPr>
              <w:t>1</w:t>
            </w:r>
            <w:r w:rsidR="00FC1209" w:rsidRPr="00FC1209">
              <w:rPr>
                <w:bCs/>
                <w:lang w:val="fr-FR"/>
              </w:rPr>
              <w:t>.</w:t>
            </w:r>
            <w:r w:rsidRPr="006835D9">
              <w:rPr>
                <w:bCs/>
                <w:lang w:val="fr-FR"/>
              </w:rPr>
              <w:t>6</w:t>
            </w:r>
            <w:r w:rsidR="00FC1209" w:rsidRPr="00FC1209">
              <w:rPr>
                <w:bCs/>
                <w:lang w:val="fr-FR"/>
              </w:rPr>
              <w:t>.</w:t>
            </w:r>
            <w:r w:rsidRPr="006835D9">
              <w:rPr>
                <w:bCs/>
                <w:lang w:val="fr-FR"/>
              </w:rPr>
              <w:t>8 b)</w:t>
            </w:r>
          </w:p>
        </w:tc>
        <w:tc>
          <w:tcPr>
            <w:tcW w:w="2693" w:type="dxa"/>
            <w:tcBorders>
              <w:top w:val="single" w:sz="4" w:space="0" w:color="auto"/>
              <w:left w:val="single" w:sz="4" w:space="0" w:color="auto"/>
              <w:bottom w:val="single" w:sz="4" w:space="0" w:color="auto"/>
              <w:right w:val="single" w:sz="4" w:space="0" w:color="auto"/>
            </w:tcBorders>
            <w:hideMark/>
          </w:tcPr>
          <w:p w14:paraId="077681E2" w14:textId="77777777" w:rsidR="00520996" w:rsidRPr="006835D9" w:rsidRDefault="00520996" w:rsidP="00BD20D3">
            <w:pPr>
              <w:keepNext/>
              <w:spacing w:before="60" w:after="60"/>
              <w:ind w:left="57" w:right="57"/>
              <w:rPr>
                <w:bCs/>
                <w:iCs/>
                <w:lang w:val="fr-FR"/>
              </w:rPr>
            </w:pPr>
            <w:r w:rsidRPr="006835D9">
              <w:rPr>
                <w:bCs/>
                <w:iCs/>
                <w:lang w:val="fr-FR"/>
              </w:rPr>
              <w:t xml:space="preserve">ISO 11117:1998 ou </w:t>
            </w:r>
            <w:r w:rsidRPr="006835D9">
              <w:rPr>
                <w:bCs/>
                <w:iCs/>
                <w:lang w:val="fr-FR"/>
              </w:rPr>
              <w:br/>
              <w:t xml:space="preserve">EN ISO 11117:2008 + Cor 1:2009 ou </w:t>
            </w:r>
            <w:r w:rsidRPr="006835D9">
              <w:rPr>
                <w:bCs/>
                <w:iCs/>
                <w:lang w:val="fr-FR"/>
              </w:rPr>
              <w:br/>
              <w:t>EN ISO 11117:2019</w:t>
            </w:r>
          </w:p>
        </w:tc>
        <w:tc>
          <w:tcPr>
            <w:tcW w:w="4399" w:type="dxa"/>
            <w:tcBorders>
              <w:top w:val="single" w:sz="4" w:space="0" w:color="auto"/>
              <w:left w:val="single" w:sz="4" w:space="0" w:color="auto"/>
              <w:bottom w:val="single" w:sz="4" w:space="0" w:color="auto"/>
              <w:right w:val="single" w:sz="4" w:space="0" w:color="auto"/>
            </w:tcBorders>
            <w:hideMark/>
          </w:tcPr>
          <w:p w14:paraId="686162A9" w14:textId="77777777" w:rsidR="00520996" w:rsidRPr="006835D9" w:rsidRDefault="00520996" w:rsidP="00BD20D3">
            <w:pPr>
              <w:keepNext/>
              <w:spacing w:before="60" w:after="60"/>
              <w:ind w:left="57" w:right="57"/>
              <w:rPr>
                <w:bCs/>
                <w:iCs/>
                <w:lang w:val="fr-FR"/>
              </w:rPr>
            </w:pPr>
            <w:r w:rsidRPr="006835D9">
              <w:rPr>
                <w:bCs/>
                <w:iCs/>
                <w:lang w:val="fr-FR"/>
              </w:rPr>
              <w:t>Bouteilles à gaz − Chapeaux fermés et chapeaux ouverts de protection des robinets − Conception, construction et essais</w:t>
            </w:r>
          </w:p>
        </w:tc>
      </w:tr>
      <w:tr w:rsidR="00520996" w:rsidRPr="006835D9" w14:paraId="2E6549AE" w14:textId="77777777" w:rsidTr="00BD20D3">
        <w:tc>
          <w:tcPr>
            <w:tcW w:w="1413" w:type="dxa"/>
            <w:vMerge/>
            <w:tcBorders>
              <w:top w:val="single" w:sz="4" w:space="0" w:color="auto"/>
              <w:left w:val="single" w:sz="4" w:space="0" w:color="auto"/>
              <w:bottom w:val="single" w:sz="4" w:space="0" w:color="auto"/>
              <w:right w:val="single" w:sz="4" w:space="0" w:color="auto"/>
            </w:tcBorders>
            <w:vAlign w:val="center"/>
            <w:hideMark/>
          </w:tcPr>
          <w:p w14:paraId="1FA7DE77" w14:textId="77777777" w:rsidR="00520996" w:rsidRPr="006835D9" w:rsidRDefault="00520996" w:rsidP="00BD20D3">
            <w:pPr>
              <w:keepNext/>
              <w:suppressAutoHyphens w:val="0"/>
              <w:kinsoku/>
              <w:overflowPunct/>
              <w:autoSpaceDE/>
              <w:autoSpaceDN/>
              <w:adjustRightInd/>
              <w:snapToGrid/>
              <w:spacing w:line="276" w:lineRule="auto"/>
              <w:rPr>
                <w:bCs/>
                <w:lang w:val="fr-FR"/>
              </w:rPr>
            </w:pPr>
          </w:p>
        </w:tc>
        <w:tc>
          <w:tcPr>
            <w:tcW w:w="2693" w:type="dxa"/>
            <w:tcBorders>
              <w:top w:val="single" w:sz="4" w:space="0" w:color="auto"/>
              <w:left w:val="single" w:sz="4" w:space="0" w:color="auto"/>
              <w:bottom w:val="single" w:sz="4" w:space="0" w:color="auto"/>
              <w:right w:val="single" w:sz="4" w:space="0" w:color="auto"/>
            </w:tcBorders>
            <w:hideMark/>
          </w:tcPr>
          <w:p w14:paraId="060E3468" w14:textId="77777777" w:rsidR="00520996" w:rsidRPr="006835D9" w:rsidRDefault="00520996" w:rsidP="00BD20D3">
            <w:pPr>
              <w:keepNext/>
              <w:spacing w:before="60" w:after="60"/>
              <w:ind w:left="57" w:right="57"/>
              <w:rPr>
                <w:bCs/>
                <w:iCs/>
                <w:lang w:val="fr-FR"/>
              </w:rPr>
            </w:pPr>
            <w:r w:rsidRPr="006835D9">
              <w:rPr>
                <w:bCs/>
                <w:iCs/>
                <w:lang w:val="fr-FR"/>
              </w:rPr>
              <w:t>EN 962:1996 +A2:2000</w:t>
            </w:r>
          </w:p>
        </w:tc>
        <w:tc>
          <w:tcPr>
            <w:tcW w:w="4399" w:type="dxa"/>
            <w:tcBorders>
              <w:top w:val="single" w:sz="4" w:space="0" w:color="auto"/>
              <w:left w:val="single" w:sz="4" w:space="0" w:color="auto"/>
              <w:bottom w:val="single" w:sz="4" w:space="0" w:color="auto"/>
              <w:right w:val="single" w:sz="4" w:space="0" w:color="auto"/>
            </w:tcBorders>
            <w:hideMark/>
          </w:tcPr>
          <w:p w14:paraId="69FD1D98" w14:textId="77777777" w:rsidR="00520996" w:rsidRPr="006835D9" w:rsidRDefault="00520996" w:rsidP="00BD20D3">
            <w:pPr>
              <w:keepNext/>
              <w:spacing w:before="60" w:after="60"/>
              <w:ind w:left="57" w:right="57"/>
              <w:rPr>
                <w:bCs/>
                <w:iCs/>
                <w:spacing w:val="-2"/>
                <w:lang w:val="fr-FR"/>
              </w:rPr>
            </w:pPr>
            <w:r w:rsidRPr="006835D9">
              <w:rPr>
                <w:bCs/>
                <w:iCs/>
                <w:spacing w:val="-2"/>
                <w:lang w:val="fr-FR"/>
              </w:rPr>
              <w:t>Bouteilles à gaz transportables − Chapeaux fermés et chapeaux ouverts de protection des robinets de bouteilles à gaz industriels et médicaux − Conception, construction et essais</w:t>
            </w:r>
          </w:p>
        </w:tc>
      </w:tr>
      <w:tr w:rsidR="00520996" w:rsidRPr="006835D9" w14:paraId="152BFB8A" w14:textId="77777777" w:rsidTr="00BD20D3">
        <w:tc>
          <w:tcPr>
            <w:tcW w:w="1413" w:type="dxa"/>
            <w:tcBorders>
              <w:top w:val="single" w:sz="4" w:space="0" w:color="auto"/>
              <w:left w:val="single" w:sz="4" w:space="0" w:color="auto"/>
              <w:bottom w:val="single" w:sz="4" w:space="0" w:color="auto"/>
              <w:right w:val="single" w:sz="4" w:space="0" w:color="auto"/>
            </w:tcBorders>
            <w:hideMark/>
          </w:tcPr>
          <w:p w14:paraId="7EC85C8B" w14:textId="48386885" w:rsidR="00520996" w:rsidRPr="006835D9" w:rsidRDefault="00520996" w:rsidP="00191B2A">
            <w:pPr>
              <w:keepNext/>
              <w:spacing w:before="60" w:after="60"/>
              <w:ind w:left="57" w:right="57"/>
              <w:rPr>
                <w:bCs/>
                <w:lang w:val="fr-FR"/>
              </w:rPr>
            </w:pPr>
            <w:r w:rsidRPr="006835D9">
              <w:rPr>
                <w:bCs/>
                <w:lang w:val="fr-FR"/>
              </w:rPr>
              <w:t>4</w:t>
            </w:r>
            <w:r w:rsidR="00FC1209" w:rsidRPr="00FC1209">
              <w:rPr>
                <w:bCs/>
                <w:lang w:val="fr-FR"/>
              </w:rPr>
              <w:t>.</w:t>
            </w:r>
            <w:r w:rsidRPr="006835D9">
              <w:rPr>
                <w:bCs/>
                <w:lang w:val="fr-FR"/>
              </w:rPr>
              <w:t>1</w:t>
            </w:r>
            <w:r w:rsidR="00FC1209" w:rsidRPr="00FC1209">
              <w:rPr>
                <w:bCs/>
                <w:lang w:val="fr-FR"/>
              </w:rPr>
              <w:t>.</w:t>
            </w:r>
            <w:r w:rsidRPr="006835D9">
              <w:rPr>
                <w:bCs/>
                <w:lang w:val="fr-FR"/>
              </w:rPr>
              <w:t>6</w:t>
            </w:r>
            <w:r w:rsidR="00FC1209" w:rsidRPr="00FC1209">
              <w:rPr>
                <w:bCs/>
                <w:lang w:val="fr-FR"/>
              </w:rPr>
              <w:t>.</w:t>
            </w:r>
            <w:r w:rsidRPr="006835D9">
              <w:rPr>
                <w:bCs/>
                <w:lang w:val="fr-FR"/>
              </w:rPr>
              <w:t>8 c)</w:t>
            </w:r>
          </w:p>
        </w:tc>
        <w:tc>
          <w:tcPr>
            <w:tcW w:w="7092" w:type="dxa"/>
            <w:gridSpan w:val="2"/>
            <w:tcBorders>
              <w:top w:val="single" w:sz="4" w:space="0" w:color="auto"/>
              <w:left w:val="single" w:sz="4" w:space="0" w:color="auto"/>
              <w:bottom w:val="single" w:sz="4" w:space="0" w:color="auto"/>
              <w:right w:val="single" w:sz="4" w:space="0" w:color="auto"/>
            </w:tcBorders>
            <w:hideMark/>
          </w:tcPr>
          <w:p w14:paraId="67933382" w14:textId="6A664E2C" w:rsidR="00520996" w:rsidRPr="006835D9" w:rsidRDefault="00520996" w:rsidP="00191B2A">
            <w:pPr>
              <w:keepNext/>
              <w:spacing w:before="60" w:after="60"/>
              <w:ind w:left="57" w:right="57"/>
              <w:rPr>
                <w:bCs/>
                <w:iCs/>
                <w:lang w:val="fr-FR"/>
              </w:rPr>
            </w:pPr>
            <w:r w:rsidRPr="006835D9">
              <w:rPr>
                <w:bCs/>
                <w:iCs/>
                <w:lang w:val="fr-FR"/>
              </w:rPr>
              <w:t>Les prescriptions pour les collerettes et les dispositifs de protection inamovibles servant à protéger le robinet conformément au 4</w:t>
            </w:r>
            <w:r w:rsidR="00FC1209" w:rsidRPr="00FC1209">
              <w:rPr>
                <w:bCs/>
                <w:iCs/>
                <w:lang w:val="fr-FR"/>
              </w:rPr>
              <w:t>.</w:t>
            </w:r>
            <w:r w:rsidRPr="006835D9">
              <w:rPr>
                <w:bCs/>
                <w:iCs/>
                <w:lang w:val="fr-FR"/>
              </w:rPr>
              <w:t>1</w:t>
            </w:r>
            <w:r w:rsidR="00FC1209" w:rsidRPr="00FC1209">
              <w:rPr>
                <w:bCs/>
                <w:iCs/>
                <w:lang w:val="fr-FR"/>
              </w:rPr>
              <w:t>.</w:t>
            </w:r>
            <w:r w:rsidRPr="006835D9">
              <w:rPr>
                <w:bCs/>
                <w:iCs/>
                <w:lang w:val="fr-FR"/>
              </w:rPr>
              <w:t>6</w:t>
            </w:r>
            <w:r w:rsidR="00FC1209" w:rsidRPr="00FC1209">
              <w:rPr>
                <w:bCs/>
                <w:iCs/>
                <w:lang w:val="fr-FR"/>
              </w:rPr>
              <w:t>.</w:t>
            </w:r>
            <w:r w:rsidRPr="006835D9">
              <w:rPr>
                <w:bCs/>
                <w:iCs/>
                <w:lang w:val="fr-FR"/>
              </w:rPr>
              <w:t>8 c) sont indiquées dans les normes applicables de conception de l</w:t>
            </w:r>
            <w:r w:rsidR="00F70B88">
              <w:rPr>
                <w:bCs/>
                <w:iCs/>
                <w:lang w:val="fr-FR"/>
              </w:rPr>
              <w:t>’</w:t>
            </w:r>
            <w:r w:rsidRPr="006835D9">
              <w:rPr>
                <w:bCs/>
                <w:iCs/>
                <w:lang w:val="fr-FR"/>
              </w:rPr>
              <w:t>enveloppe des récipients à pression (voir 6</w:t>
            </w:r>
            <w:r w:rsidR="00FC1209" w:rsidRPr="00FC1209">
              <w:rPr>
                <w:bCs/>
                <w:iCs/>
                <w:lang w:val="fr-FR"/>
              </w:rPr>
              <w:t>.</w:t>
            </w:r>
            <w:r w:rsidRPr="006835D9">
              <w:rPr>
                <w:bCs/>
                <w:iCs/>
                <w:lang w:val="fr-FR"/>
              </w:rPr>
              <w:t>2</w:t>
            </w:r>
            <w:r w:rsidR="00FC1209" w:rsidRPr="00FC1209">
              <w:rPr>
                <w:bCs/>
                <w:iCs/>
                <w:lang w:val="fr-FR"/>
              </w:rPr>
              <w:t>.</w:t>
            </w:r>
            <w:r w:rsidRPr="006835D9">
              <w:rPr>
                <w:bCs/>
                <w:iCs/>
                <w:lang w:val="fr-FR"/>
              </w:rPr>
              <w:t>2</w:t>
            </w:r>
            <w:r w:rsidR="00FC1209" w:rsidRPr="00FC1209">
              <w:rPr>
                <w:bCs/>
                <w:iCs/>
                <w:lang w:val="fr-FR"/>
              </w:rPr>
              <w:t>.</w:t>
            </w:r>
            <w:r w:rsidRPr="006835D9">
              <w:rPr>
                <w:bCs/>
                <w:iCs/>
                <w:lang w:val="fr-FR"/>
              </w:rPr>
              <w:t xml:space="preserve">3 pour les récipients à pression </w:t>
            </w:r>
            <w:r w:rsidR="00BD20D3" w:rsidRPr="007149C6">
              <w:rPr>
                <w:bCs/>
              </w:rPr>
              <w:t>“</w:t>
            </w:r>
            <w:r w:rsidR="00BD20D3" w:rsidRPr="006835D9">
              <w:rPr>
                <w:bCs/>
                <w:lang w:val="fr-FR"/>
              </w:rPr>
              <w:t>UN</w:t>
            </w:r>
            <w:r w:rsidR="00BD20D3" w:rsidRPr="006835D9">
              <w:rPr>
                <w:bCs/>
                <w:iCs/>
                <w:lang w:val="fr-FR"/>
              </w:rPr>
              <w:t>”</w:t>
            </w:r>
            <w:r w:rsidRPr="006835D9">
              <w:rPr>
                <w:bCs/>
                <w:iCs/>
                <w:lang w:val="fr-FR"/>
              </w:rPr>
              <w:t xml:space="preserve"> et 6</w:t>
            </w:r>
            <w:r w:rsidR="00FC1209" w:rsidRPr="00FC1209">
              <w:rPr>
                <w:bCs/>
                <w:iCs/>
                <w:lang w:val="fr-FR"/>
              </w:rPr>
              <w:t>.</w:t>
            </w:r>
            <w:r w:rsidRPr="006835D9">
              <w:rPr>
                <w:bCs/>
                <w:iCs/>
                <w:lang w:val="fr-FR"/>
              </w:rPr>
              <w:t>2</w:t>
            </w:r>
            <w:r w:rsidR="00FC1209" w:rsidRPr="00FC1209">
              <w:rPr>
                <w:bCs/>
                <w:iCs/>
                <w:lang w:val="fr-FR"/>
              </w:rPr>
              <w:t>.</w:t>
            </w:r>
            <w:r w:rsidRPr="006835D9">
              <w:rPr>
                <w:bCs/>
                <w:iCs/>
                <w:lang w:val="fr-FR"/>
              </w:rPr>
              <w:t>4</w:t>
            </w:r>
            <w:r w:rsidR="00FC1209" w:rsidRPr="00FC1209">
              <w:rPr>
                <w:bCs/>
                <w:iCs/>
                <w:lang w:val="fr-FR"/>
              </w:rPr>
              <w:t>.</w:t>
            </w:r>
            <w:r w:rsidRPr="006835D9">
              <w:rPr>
                <w:bCs/>
                <w:iCs/>
                <w:lang w:val="fr-FR"/>
              </w:rPr>
              <w:t xml:space="preserve">1 pour les récipients à pression </w:t>
            </w:r>
            <w:r w:rsidR="00BD20D3" w:rsidRPr="007149C6">
              <w:rPr>
                <w:bCs/>
              </w:rPr>
              <w:t>“</w:t>
            </w:r>
            <w:r w:rsidR="00BD20D3">
              <w:rPr>
                <w:bCs/>
              </w:rPr>
              <w:t xml:space="preserve">non </w:t>
            </w:r>
            <w:r w:rsidR="00BD20D3" w:rsidRPr="006835D9">
              <w:rPr>
                <w:bCs/>
                <w:lang w:val="fr-FR"/>
              </w:rPr>
              <w:t>UN</w:t>
            </w:r>
            <w:r w:rsidR="00BD20D3" w:rsidRPr="006835D9">
              <w:rPr>
                <w:bCs/>
                <w:iCs/>
                <w:lang w:val="fr-FR"/>
              </w:rPr>
              <w:t>”</w:t>
            </w:r>
            <w:r w:rsidRPr="006835D9">
              <w:rPr>
                <w:bCs/>
                <w:iCs/>
                <w:lang w:val="fr-FR"/>
              </w:rPr>
              <w:t>)</w:t>
            </w:r>
            <w:r w:rsidR="00FC1209" w:rsidRPr="00FC1209">
              <w:rPr>
                <w:bCs/>
                <w:iCs/>
                <w:lang w:val="fr-FR"/>
              </w:rPr>
              <w:t>.</w:t>
            </w:r>
          </w:p>
        </w:tc>
      </w:tr>
      <w:tr w:rsidR="00520996" w:rsidRPr="006835D9" w14:paraId="58E6F172" w14:textId="77777777" w:rsidTr="00BD20D3">
        <w:tc>
          <w:tcPr>
            <w:tcW w:w="1413" w:type="dxa"/>
            <w:tcBorders>
              <w:top w:val="single" w:sz="4" w:space="0" w:color="auto"/>
              <w:left w:val="single" w:sz="4" w:space="0" w:color="auto"/>
              <w:bottom w:val="single" w:sz="4" w:space="0" w:color="auto"/>
              <w:right w:val="single" w:sz="4" w:space="0" w:color="auto"/>
            </w:tcBorders>
            <w:hideMark/>
          </w:tcPr>
          <w:p w14:paraId="535D9388" w14:textId="34C6BF0B" w:rsidR="00520996" w:rsidRPr="006835D9" w:rsidRDefault="00520996" w:rsidP="00520996">
            <w:pPr>
              <w:spacing w:before="60" w:after="60"/>
              <w:ind w:left="57" w:right="57"/>
              <w:rPr>
                <w:bCs/>
                <w:lang w:val="fr-FR"/>
              </w:rPr>
            </w:pPr>
            <w:r w:rsidRPr="006835D9">
              <w:rPr>
                <w:bCs/>
                <w:lang w:val="fr-FR"/>
              </w:rPr>
              <w:t>4</w:t>
            </w:r>
            <w:r w:rsidR="00FC1209" w:rsidRPr="00FC1209">
              <w:rPr>
                <w:bCs/>
                <w:lang w:val="fr-FR"/>
              </w:rPr>
              <w:t>.</w:t>
            </w:r>
            <w:r w:rsidRPr="006835D9">
              <w:rPr>
                <w:bCs/>
                <w:lang w:val="fr-FR"/>
              </w:rPr>
              <w:t>1</w:t>
            </w:r>
            <w:r w:rsidR="00FC1209" w:rsidRPr="00FC1209">
              <w:rPr>
                <w:bCs/>
                <w:lang w:val="fr-FR"/>
              </w:rPr>
              <w:t>.</w:t>
            </w:r>
            <w:r w:rsidRPr="006835D9">
              <w:rPr>
                <w:bCs/>
                <w:lang w:val="fr-FR"/>
              </w:rPr>
              <w:t>6</w:t>
            </w:r>
            <w:r w:rsidR="00FC1209" w:rsidRPr="00FC1209">
              <w:rPr>
                <w:bCs/>
                <w:lang w:val="fr-FR"/>
              </w:rPr>
              <w:t>.</w:t>
            </w:r>
            <w:r w:rsidRPr="006835D9">
              <w:rPr>
                <w:bCs/>
                <w:lang w:val="fr-FR"/>
              </w:rPr>
              <w:t>8 b) et c)</w:t>
            </w:r>
          </w:p>
        </w:tc>
        <w:tc>
          <w:tcPr>
            <w:tcW w:w="2693" w:type="dxa"/>
            <w:tcBorders>
              <w:top w:val="single" w:sz="4" w:space="0" w:color="auto"/>
              <w:left w:val="single" w:sz="4" w:space="0" w:color="auto"/>
              <w:bottom w:val="single" w:sz="4" w:space="0" w:color="auto"/>
              <w:right w:val="single" w:sz="4" w:space="0" w:color="auto"/>
            </w:tcBorders>
            <w:hideMark/>
          </w:tcPr>
          <w:p w14:paraId="47F19D4D" w14:textId="77777777" w:rsidR="00520996" w:rsidRPr="006835D9" w:rsidRDefault="00520996" w:rsidP="00520996">
            <w:pPr>
              <w:spacing w:before="60" w:after="60"/>
              <w:ind w:left="57" w:right="57"/>
              <w:rPr>
                <w:bCs/>
                <w:lang w:val="fr-FR"/>
              </w:rPr>
            </w:pPr>
            <w:r w:rsidRPr="006835D9">
              <w:rPr>
                <w:bCs/>
                <w:lang w:val="fr-FR"/>
              </w:rPr>
              <w:t>ISO 16111:2008 ou</w:t>
            </w:r>
          </w:p>
          <w:p w14:paraId="1B2C6519" w14:textId="77777777" w:rsidR="00520996" w:rsidRPr="006835D9" w:rsidRDefault="00520996" w:rsidP="00520996">
            <w:pPr>
              <w:spacing w:before="60" w:after="60"/>
              <w:ind w:left="57" w:right="57"/>
              <w:rPr>
                <w:bCs/>
                <w:lang w:val="fr-FR"/>
              </w:rPr>
            </w:pPr>
            <w:r w:rsidRPr="006835D9">
              <w:rPr>
                <w:bCs/>
                <w:lang w:val="fr-FR"/>
              </w:rPr>
              <w:t>ISO 16111:2018</w:t>
            </w:r>
          </w:p>
        </w:tc>
        <w:tc>
          <w:tcPr>
            <w:tcW w:w="4399" w:type="dxa"/>
            <w:tcBorders>
              <w:top w:val="single" w:sz="4" w:space="0" w:color="auto"/>
              <w:left w:val="single" w:sz="4" w:space="0" w:color="auto"/>
              <w:bottom w:val="single" w:sz="4" w:space="0" w:color="auto"/>
              <w:right w:val="single" w:sz="4" w:space="0" w:color="auto"/>
            </w:tcBorders>
            <w:hideMark/>
          </w:tcPr>
          <w:p w14:paraId="112F268F" w14:textId="7A7C051B" w:rsidR="00520996" w:rsidRPr="006835D9" w:rsidRDefault="00520996" w:rsidP="00520996">
            <w:pPr>
              <w:spacing w:before="60" w:after="60"/>
              <w:ind w:left="57" w:right="57"/>
              <w:rPr>
                <w:bCs/>
                <w:u w:val="single"/>
                <w:lang w:val="fr-FR"/>
              </w:rPr>
            </w:pPr>
            <w:r w:rsidRPr="006835D9">
              <w:rPr>
                <w:bCs/>
                <w:lang w:val="fr-FR"/>
              </w:rPr>
              <w:t>Appareils de stockage de gaz transportables −</w:t>
            </w:r>
            <w:r w:rsidR="00BD20D3">
              <w:rPr>
                <w:bCs/>
                <w:lang w:val="fr-FR"/>
              </w:rPr>
              <w:t> </w:t>
            </w:r>
            <w:r w:rsidRPr="006835D9">
              <w:rPr>
                <w:bCs/>
                <w:lang w:val="fr-FR"/>
              </w:rPr>
              <w:t>Hydrogène absorbé dans un hydrure métallique réversible</w:t>
            </w:r>
          </w:p>
        </w:tc>
      </w:tr>
    </w:tbl>
    <w:p w14:paraId="2EC996C7" w14:textId="412F0ADD" w:rsidR="00520996" w:rsidRPr="006835D9" w:rsidRDefault="00520996" w:rsidP="00191B2A">
      <w:pPr>
        <w:pStyle w:val="SingleTxtG"/>
        <w:ind w:right="0"/>
        <w:jc w:val="right"/>
        <w:rPr>
          <w:bCs/>
          <w:iCs/>
          <w:lang w:val="fr-FR"/>
        </w:rPr>
      </w:pPr>
      <w:r w:rsidRPr="006835D9">
        <w:rPr>
          <w:bCs/>
          <w:lang w:val="fr-FR"/>
        </w:rPr>
        <w:t> »</w:t>
      </w:r>
      <w:r w:rsidR="00FC1209" w:rsidRPr="00FC1209">
        <w:rPr>
          <w:bCs/>
          <w:lang w:val="fr-FR"/>
        </w:rPr>
        <w:t>.</w:t>
      </w:r>
    </w:p>
    <w:p w14:paraId="06AA2D82" w14:textId="076152B4" w:rsidR="00520996" w:rsidRPr="006835D9" w:rsidRDefault="00520996" w:rsidP="00520996">
      <w:pPr>
        <w:pStyle w:val="SingleTxtG"/>
        <w:ind w:right="1133"/>
        <w:rPr>
          <w:bCs/>
          <w:lang w:val="fr-FR"/>
        </w:rPr>
      </w:pPr>
      <w:r w:rsidRPr="006835D9">
        <w:rPr>
          <w:bCs/>
          <w:i/>
          <w:iCs/>
          <w:lang w:val="fr-FR"/>
        </w:rPr>
        <w:t>(Document de référence : document ECE/TRANS/WP</w:t>
      </w:r>
      <w:r w:rsidR="00FC1209" w:rsidRPr="00FC1209">
        <w:rPr>
          <w:bCs/>
          <w:i/>
          <w:iCs/>
          <w:lang w:val="fr-FR"/>
        </w:rPr>
        <w:t>.</w:t>
      </w:r>
      <w:r w:rsidRPr="006835D9">
        <w:rPr>
          <w:bCs/>
          <w:i/>
          <w:iCs/>
          <w:lang w:val="fr-FR"/>
        </w:rPr>
        <w:t>15/AC</w:t>
      </w:r>
      <w:r w:rsidR="00FC1209" w:rsidRPr="00FC1209">
        <w:rPr>
          <w:bCs/>
          <w:i/>
          <w:iCs/>
          <w:lang w:val="fr-FR"/>
        </w:rPr>
        <w:t>.</w:t>
      </w:r>
      <w:r w:rsidRPr="006835D9">
        <w:rPr>
          <w:bCs/>
          <w:i/>
          <w:iCs/>
          <w:lang w:val="fr-FR"/>
        </w:rPr>
        <w:t>1/2021/12 tel qu</w:t>
      </w:r>
      <w:r w:rsidR="00F70B88">
        <w:rPr>
          <w:bCs/>
          <w:i/>
          <w:iCs/>
          <w:lang w:val="fr-FR"/>
        </w:rPr>
        <w:t>’</w:t>
      </w:r>
      <w:r w:rsidRPr="006835D9">
        <w:rPr>
          <w:bCs/>
          <w:i/>
          <w:iCs/>
          <w:lang w:val="fr-FR"/>
        </w:rPr>
        <w:t>amendé par le document informel INF</w:t>
      </w:r>
      <w:r w:rsidR="00FC1209" w:rsidRPr="00FC1209">
        <w:rPr>
          <w:bCs/>
          <w:i/>
          <w:iCs/>
          <w:lang w:val="fr-FR"/>
        </w:rPr>
        <w:t>.</w:t>
      </w:r>
      <w:r w:rsidRPr="006835D9">
        <w:rPr>
          <w:bCs/>
          <w:i/>
          <w:iCs/>
          <w:lang w:val="fr-FR"/>
        </w:rPr>
        <w:t>30)</w:t>
      </w:r>
    </w:p>
    <w:p w14:paraId="49A08634" w14:textId="2EEAB622" w:rsidR="00520996" w:rsidRPr="006835D9" w:rsidRDefault="00520996" w:rsidP="00520996">
      <w:pPr>
        <w:pStyle w:val="H1G"/>
        <w:rPr>
          <w:lang w:val="fr-FR"/>
        </w:rPr>
      </w:pPr>
      <w:r w:rsidRPr="006835D9">
        <w:rPr>
          <w:lang w:val="fr-FR"/>
        </w:rPr>
        <w:tab/>
      </w:r>
      <w:r w:rsidRPr="006835D9">
        <w:rPr>
          <w:lang w:val="fr-FR"/>
        </w:rPr>
        <w:tab/>
        <w:t>Chapitre 4</w:t>
      </w:r>
      <w:r w:rsidR="00FC1209" w:rsidRPr="00FC1209">
        <w:rPr>
          <w:lang w:val="fr-FR"/>
        </w:rPr>
        <w:t>.</w:t>
      </w:r>
      <w:r w:rsidRPr="006835D9">
        <w:rPr>
          <w:lang w:val="fr-FR"/>
        </w:rPr>
        <w:t>2</w:t>
      </w:r>
    </w:p>
    <w:p w14:paraId="2E4958A6" w14:textId="1C7ED476" w:rsidR="00520996" w:rsidRPr="006835D9" w:rsidRDefault="00520996" w:rsidP="005D3FA5">
      <w:pPr>
        <w:pStyle w:val="SingleTxtG"/>
        <w:ind w:left="2268" w:hanging="1134"/>
        <w:rPr>
          <w:bCs/>
          <w:lang w:val="fr-FR"/>
        </w:rPr>
      </w:pPr>
      <w:r w:rsidRPr="006835D9">
        <w:rPr>
          <w:bCs/>
          <w:lang w:val="fr-FR"/>
        </w:rPr>
        <w:t>4</w:t>
      </w:r>
      <w:r w:rsidR="00FC1209" w:rsidRPr="00FC1209">
        <w:rPr>
          <w:bCs/>
          <w:lang w:val="fr-FR"/>
        </w:rPr>
        <w:t>.</w:t>
      </w:r>
      <w:r w:rsidRPr="006835D9">
        <w:rPr>
          <w:bCs/>
          <w:lang w:val="fr-FR"/>
        </w:rPr>
        <w:t>2</w:t>
      </w:r>
      <w:r w:rsidR="00FC1209" w:rsidRPr="00FC1209">
        <w:rPr>
          <w:bCs/>
          <w:lang w:val="fr-FR"/>
        </w:rPr>
        <w:t>.</w:t>
      </w:r>
      <w:r w:rsidRPr="006835D9">
        <w:rPr>
          <w:bCs/>
          <w:lang w:val="fr-FR"/>
        </w:rPr>
        <w:t>5</w:t>
      </w:r>
      <w:r w:rsidR="00FC1209" w:rsidRPr="00FC1209">
        <w:rPr>
          <w:bCs/>
          <w:lang w:val="fr-FR"/>
        </w:rPr>
        <w:t>.</w:t>
      </w:r>
      <w:r w:rsidRPr="006835D9">
        <w:rPr>
          <w:bCs/>
          <w:lang w:val="fr-FR"/>
        </w:rPr>
        <w:t>2</w:t>
      </w:r>
      <w:r w:rsidR="00FC1209" w:rsidRPr="00FC1209">
        <w:rPr>
          <w:bCs/>
          <w:lang w:val="fr-FR"/>
        </w:rPr>
        <w:t>.</w:t>
      </w:r>
      <w:r w:rsidRPr="006835D9">
        <w:rPr>
          <w:bCs/>
          <w:lang w:val="fr-FR"/>
        </w:rPr>
        <w:t>6</w:t>
      </w:r>
      <w:r w:rsidRPr="006835D9">
        <w:rPr>
          <w:bCs/>
          <w:lang w:val="fr-FR"/>
        </w:rPr>
        <w:tab/>
        <w:t>[L</w:t>
      </w:r>
      <w:r w:rsidR="00F70B88">
        <w:rPr>
          <w:bCs/>
          <w:lang w:val="fr-FR"/>
        </w:rPr>
        <w:t>’</w:t>
      </w:r>
      <w:r w:rsidRPr="006835D9">
        <w:rPr>
          <w:bCs/>
          <w:lang w:val="fr-FR"/>
        </w:rPr>
        <w:t xml:space="preserve">amendement </w:t>
      </w:r>
      <w:r>
        <w:rPr>
          <w:bCs/>
          <w:lang w:val="fr-FR"/>
        </w:rPr>
        <w:t>à l</w:t>
      </w:r>
      <w:r w:rsidR="00F70B88">
        <w:rPr>
          <w:bCs/>
          <w:lang w:val="fr-FR"/>
        </w:rPr>
        <w:t>’</w:t>
      </w:r>
      <w:r>
        <w:rPr>
          <w:bCs/>
          <w:lang w:val="fr-FR"/>
        </w:rPr>
        <w:t xml:space="preserve">instruction de transport en citernes mobiles T50 </w:t>
      </w:r>
      <w:r w:rsidRPr="006835D9">
        <w:rPr>
          <w:bCs/>
          <w:lang w:val="fr-FR"/>
        </w:rPr>
        <w:t>dans la version allemande ne s</w:t>
      </w:r>
      <w:r w:rsidR="00F70B88">
        <w:rPr>
          <w:bCs/>
          <w:lang w:val="fr-FR"/>
        </w:rPr>
        <w:t>’</w:t>
      </w:r>
      <w:r w:rsidRPr="006835D9">
        <w:rPr>
          <w:bCs/>
          <w:lang w:val="fr-FR"/>
        </w:rPr>
        <w:t>applique pas au texte français</w:t>
      </w:r>
      <w:r w:rsidR="00FC1209" w:rsidRPr="00FC1209">
        <w:rPr>
          <w:bCs/>
          <w:lang w:val="fr-FR"/>
        </w:rPr>
        <w:t>.</w:t>
      </w:r>
      <w:r w:rsidRPr="006835D9">
        <w:rPr>
          <w:bCs/>
          <w:lang w:val="fr-FR"/>
        </w:rPr>
        <w:t>]</w:t>
      </w:r>
    </w:p>
    <w:p w14:paraId="4EDAB763" w14:textId="29E4204F" w:rsidR="00520996" w:rsidRPr="006835D9" w:rsidRDefault="00520996" w:rsidP="00520996">
      <w:pPr>
        <w:pStyle w:val="H1G"/>
        <w:rPr>
          <w:lang w:val="fr-FR"/>
        </w:rPr>
      </w:pPr>
      <w:r w:rsidRPr="006835D9">
        <w:rPr>
          <w:lang w:val="fr-FR"/>
        </w:rPr>
        <w:tab/>
      </w:r>
      <w:r w:rsidRPr="006835D9">
        <w:rPr>
          <w:lang w:val="fr-FR"/>
        </w:rPr>
        <w:tab/>
        <w:t>Chapitre 4</w:t>
      </w:r>
      <w:r w:rsidR="00FC1209" w:rsidRPr="00FC1209">
        <w:rPr>
          <w:lang w:val="fr-FR"/>
        </w:rPr>
        <w:t>.</w:t>
      </w:r>
      <w:r w:rsidRPr="006835D9">
        <w:rPr>
          <w:lang w:val="fr-FR"/>
        </w:rPr>
        <w:t>3</w:t>
      </w:r>
    </w:p>
    <w:p w14:paraId="37BA3E10" w14:textId="00C03F90" w:rsidR="00520996" w:rsidRPr="006835D9" w:rsidRDefault="00520996" w:rsidP="00520996">
      <w:pPr>
        <w:pStyle w:val="SingleTxtG"/>
        <w:ind w:right="1133"/>
        <w:rPr>
          <w:bCs/>
          <w:lang w:val="fr-FR"/>
        </w:rPr>
      </w:pPr>
      <w:r w:rsidRPr="006835D9">
        <w:rPr>
          <w:bCs/>
          <w:lang w:val="fr-FR"/>
        </w:rPr>
        <w:t>4</w:t>
      </w:r>
      <w:r w:rsidR="00FC1209" w:rsidRPr="00FC1209">
        <w:rPr>
          <w:bCs/>
          <w:lang w:val="fr-FR"/>
        </w:rPr>
        <w:t>.</w:t>
      </w:r>
      <w:r w:rsidRPr="006835D9">
        <w:rPr>
          <w:bCs/>
          <w:lang w:val="fr-FR"/>
        </w:rPr>
        <w:t>3</w:t>
      </w:r>
      <w:r w:rsidR="00FC1209" w:rsidRPr="00FC1209">
        <w:rPr>
          <w:bCs/>
          <w:lang w:val="fr-FR"/>
        </w:rPr>
        <w:t>.</w:t>
      </w:r>
      <w:r w:rsidRPr="006835D9">
        <w:rPr>
          <w:bCs/>
          <w:lang w:val="fr-FR"/>
        </w:rPr>
        <w:t>4</w:t>
      </w:r>
      <w:r w:rsidR="00FC1209" w:rsidRPr="00FC1209">
        <w:rPr>
          <w:bCs/>
          <w:lang w:val="fr-FR"/>
        </w:rPr>
        <w:t>.</w:t>
      </w:r>
      <w:r w:rsidRPr="006835D9">
        <w:rPr>
          <w:bCs/>
          <w:lang w:val="fr-FR"/>
        </w:rPr>
        <w:t>1</w:t>
      </w:r>
      <w:r w:rsidR="00FC1209" w:rsidRPr="00FC1209">
        <w:rPr>
          <w:bCs/>
          <w:lang w:val="fr-FR"/>
        </w:rPr>
        <w:t>.</w:t>
      </w:r>
      <w:r w:rsidRPr="006835D9">
        <w:rPr>
          <w:bCs/>
          <w:lang w:val="fr-FR"/>
        </w:rPr>
        <w:t>3</w:t>
      </w:r>
      <w:r w:rsidRPr="006835D9">
        <w:rPr>
          <w:bCs/>
          <w:lang w:val="fr-FR"/>
        </w:rPr>
        <w:tab/>
        <w:t>Dans le tableau, sous « Classe 5</w:t>
      </w:r>
      <w:r w:rsidR="00FC1209" w:rsidRPr="00FC1209">
        <w:rPr>
          <w:bCs/>
          <w:lang w:val="fr-FR"/>
        </w:rPr>
        <w:t>.</w:t>
      </w:r>
      <w:r w:rsidRPr="006835D9">
        <w:rPr>
          <w:bCs/>
          <w:lang w:val="fr-FR"/>
        </w:rPr>
        <w:t>1 », pour le No ONU 2426, modifier le nom et la description pour lire comme suit :</w:t>
      </w:r>
    </w:p>
    <w:p w14:paraId="7EEBB144" w14:textId="13B17827" w:rsidR="00520996" w:rsidRPr="006835D9" w:rsidRDefault="00520996" w:rsidP="00520996">
      <w:pPr>
        <w:pStyle w:val="SingleTxtG"/>
        <w:ind w:right="1133"/>
        <w:rPr>
          <w:bCs/>
          <w:lang w:val="fr-FR"/>
        </w:rPr>
      </w:pPr>
      <w:r w:rsidRPr="006835D9">
        <w:rPr>
          <w:bCs/>
          <w:lang w:val="fr-FR"/>
        </w:rPr>
        <w:t>« NITRATE D</w:t>
      </w:r>
      <w:r w:rsidR="00F70B88">
        <w:rPr>
          <w:bCs/>
          <w:lang w:val="fr-FR"/>
        </w:rPr>
        <w:t>’</w:t>
      </w:r>
      <w:r w:rsidRPr="006835D9">
        <w:rPr>
          <w:bCs/>
          <w:lang w:val="fr-FR"/>
        </w:rPr>
        <w:t>AMMONIUM LIQUIDE, solution chaude concentrée »</w:t>
      </w:r>
      <w:r w:rsidR="00FC1209" w:rsidRPr="00FC1209">
        <w:rPr>
          <w:bCs/>
          <w:lang w:val="fr-FR"/>
        </w:rPr>
        <w:t>.</w:t>
      </w:r>
    </w:p>
    <w:p w14:paraId="1DA785E3" w14:textId="327AAD62" w:rsidR="00520996" w:rsidRPr="00633E2F" w:rsidRDefault="00520996" w:rsidP="00633E2F">
      <w:pPr>
        <w:pStyle w:val="SingleTxtG"/>
        <w:ind w:right="1133"/>
        <w:rPr>
          <w:bCs/>
          <w:lang w:val="fr-FR"/>
        </w:rPr>
      </w:pPr>
      <w:r w:rsidRPr="006835D9">
        <w:rPr>
          <w:bCs/>
          <w:i/>
          <w:iCs/>
          <w:lang w:val="fr-FR"/>
        </w:rPr>
        <w:t>(Document de référence : document ECE/TRANS/WP</w:t>
      </w:r>
      <w:r w:rsidR="00FC1209" w:rsidRPr="00FC1209">
        <w:rPr>
          <w:bCs/>
          <w:i/>
          <w:iCs/>
          <w:lang w:val="fr-FR"/>
        </w:rPr>
        <w:t>.</w:t>
      </w:r>
      <w:r w:rsidRPr="006835D9">
        <w:rPr>
          <w:bCs/>
          <w:i/>
          <w:iCs/>
          <w:lang w:val="fr-FR"/>
        </w:rPr>
        <w:t>15/AC</w:t>
      </w:r>
      <w:r w:rsidR="00FC1209" w:rsidRPr="00FC1209">
        <w:rPr>
          <w:bCs/>
          <w:i/>
          <w:iCs/>
          <w:lang w:val="fr-FR"/>
        </w:rPr>
        <w:t>.</w:t>
      </w:r>
      <w:r w:rsidRPr="006835D9">
        <w:rPr>
          <w:bCs/>
          <w:i/>
          <w:iCs/>
          <w:lang w:val="fr-FR"/>
        </w:rPr>
        <w:t>1/2021/13 tel qu</w:t>
      </w:r>
      <w:r w:rsidR="00F70B88">
        <w:rPr>
          <w:bCs/>
          <w:i/>
          <w:iCs/>
          <w:lang w:val="fr-FR"/>
        </w:rPr>
        <w:t>’</w:t>
      </w:r>
      <w:r w:rsidRPr="006835D9">
        <w:rPr>
          <w:bCs/>
          <w:i/>
          <w:iCs/>
          <w:lang w:val="fr-FR"/>
        </w:rPr>
        <w:t>amendé)</w:t>
      </w:r>
    </w:p>
    <w:p w14:paraId="3EC81873" w14:textId="4E82BD1F" w:rsidR="00520996" w:rsidRPr="006835D9" w:rsidRDefault="00520996" w:rsidP="00520996">
      <w:pPr>
        <w:pStyle w:val="H1G"/>
        <w:rPr>
          <w:lang w:val="fr-FR"/>
        </w:rPr>
      </w:pPr>
      <w:r w:rsidRPr="006835D9">
        <w:rPr>
          <w:lang w:val="fr-FR"/>
        </w:rPr>
        <w:tab/>
      </w:r>
      <w:r>
        <w:rPr>
          <w:lang w:val="fr-FR"/>
        </w:rPr>
        <w:tab/>
      </w:r>
      <w:r w:rsidRPr="006835D9">
        <w:rPr>
          <w:lang w:val="fr-FR"/>
        </w:rPr>
        <w:t>Chapitre 5</w:t>
      </w:r>
      <w:r w:rsidR="00FC1209" w:rsidRPr="00FC1209">
        <w:rPr>
          <w:lang w:val="fr-FR"/>
        </w:rPr>
        <w:t>.</w:t>
      </w:r>
      <w:r w:rsidRPr="006835D9">
        <w:rPr>
          <w:lang w:val="fr-FR"/>
        </w:rPr>
        <w:t>4</w:t>
      </w:r>
    </w:p>
    <w:p w14:paraId="1D5EDC74" w14:textId="4E4C4249" w:rsidR="00520996" w:rsidRPr="006835D9" w:rsidRDefault="00520996" w:rsidP="00520996">
      <w:pPr>
        <w:pStyle w:val="SingleTxtG"/>
        <w:ind w:right="1133"/>
        <w:rPr>
          <w:bCs/>
          <w:lang w:val="fr-FR"/>
        </w:rPr>
      </w:pPr>
      <w:r w:rsidRPr="006835D9">
        <w:rPr>
          <w:bCs/>
          <w:lang w:val="fr-FR"/>
        </w:rPr>
        <w:t>5</w:t>
      </w:r>
      <w:r w:rsidR="00FC1209" w:rsidRPr="00FC1209">
        <w:rPr>
          <w:bCs/>
          <w:lang w:val="fr-FR"/>
        </w:rPr>
        <w:t>.</w:t>
      </w:r>
      <w:r w:rsidRPr="006835D9">
        <w:rPr>
          <w:bCs/>
          <w:lang w:val="fr-FR"/>
        </w:rPr>
        <w:t>4</w:t>
      </w:r>
      <w:r w:rsidR="00FC1209" w:rsidRPr="00FC1209">
        <w:rPr>
          <w:bCs/>
          <w:lang w:val="fr-FR"/>
        </w:rPr>
        <w:t>.</w:t>
      </w:r>
      <w:r w:rsidRPr="006835D9">
        <w:rPr>
          <w:bCs/>
          <w:lang w:val="fr-FR"/>
        </w:rPr>
        <w:t>1</w:t>
      </w:r>
      <w:r w:rsidR="00FC1209" w:rsidRPr="00FC1209">
        <w:rPr>
          <w:bCs/>
          <w:lang w:val="fr-FR"/>
        </w:rPr>
        <w:t>.</w:t>
      </w:r>
      <w:r w:rsidRPr="006835D9">
        <w:rPr>
          <w:bCs/>
          <w:lang w:val="fr-FR"/>
        </w:rPr>
        <w:t>1</w:t>
      </w:r>
      <w:r w:rsidR="00FC1209" w:rsidRPr="00FC1209">
        <w:rPr>
          <w:bCs/>
          <w:lang w:val="fr-FR"/>
        </w:rPr>
        <w:t>.</w:t>
      </w:r>
      <w:r w:rsidRPr="006835D9">
        <w:rPr>
          <w:bCs/>
          <w:lang w:val="fr-FR"/>
        </w:rPr>
        <w:t>3</w:t>
      </w:r>
      <w:r w:rsidRPr="006835D9">
        <w:rPr>
          <w:bCs/>
          <w:lang w:val="fr-FR"/>
        </w:rPr>
        <w:tab/>
        <w:t>Renuméroter en tant que 5</w:t>
      </w:r>
      <w:r w:rsidR="00FC1209" w:rsidRPr="00FC1209">
        <w:rPr>
          <w:bCs/>
          <w:lang w:val="fr-FR"/>
        </w:rPr>
        <w:t>.</w:t>
      </w:r>
      <w:r w:rsidRPr="006835D9">
        <w:rPr>
          <w:bCs/>
          <w:lang w:val="fr-FR"/>
        </w:rPr>
        <w:t>4</w:t>
      </w:r>
      <w:r w:rsidR="00FC1209" w:rsidRPr="00FC1209">
        <w:rPr>
          <w:bCs/>
          <w:lang w:val="fr-FR"/>
        </w:rPr>
        <w:t>.</w:t>
      </w:r>
      <w:r w:rsidRPr="006835D9">
        <w:rPr>
          <w:bCs/>
          <w:lang w:val="fr-FR"/>
        </w:rPr>
        <w:t>1</w:t>
      </w:r>
      <w:r w:rsidR="00FC1209" w:rsidRPr="00FC1209">
        <w:rPr>
          <w:bCs/>
          <w:lang w:val="fr-FR"/>
        </w:rPr>
        <w:t>.</w:t>
      </w:r>
      <w:r w:rsidRPr="006835D9">
        <w:rPr>
          <w:bCs/>
          <w:lang w:val="fr-FR"/>
        </w:rPr>
        <w:t>1</w:t>
      </w:r>
      <w:r w:rsidR="00FC1209" w:rsidRPr="00FC1209">
        <w:rPr>
          <w:bCs/>
          <w:lang w:val="fr-FR"/>
        </w:rPr>
        <w:t>.</w:t>
      </w:r>
      <w:r w:rsidRPr="006835D9">
        <w:rPr>
          <w:bCs/>
          <w:lang w:val="fr-FR"/>
        </w:rPr>
        <w:t>3</w:t>
      </w:r>
      <w:r w:rsidR="00FC1209" w:rsidRPr="00FC1209">
        <w:rPr>
          <w:bCs/>
          <w:lang w:val="fr-FR"/>
        </w:rPr>
        <w:t>.</w:t>
      </w:r>
      <w:r w:rsidRPr="006835D9">
        <w:rPr>
          <w:bCs/>
          <w:lang w:val="fr-FR"/>
        </w:rPr>
        <w:t>1</w:t>
      </w:r>
      <w:r w:rsidR="00FC1209" w:rsidRPr="00FC1209">
        <w:rPr>
          <w:bCs/>
          <w:lang w:val="fr-FR"/>
        </w:rPr>
        <w:t>.</w:t>
      </w:r>
    </w:p>
    <w:p w14:paraId="5B3C1E76" w14:textId="6D90161A" w:rsidR="00520996" w:rsidRPr="006835D9" w:rsidRDefault="00520996" w:rsidP="00520996">
      <w:pPr>
        <w:pStyle w:val="SingleTxtG"/>
        <w:ind w:right="1133"/>
        <w:rPr>
          <w:bCs/>
          <w:iCs/>
          <w:lang w:val="fr-FR"/>
        </w:rPr>
      </w:pPr>
      <w:r>
        <w:rPr>
          <w:bCs/>
          <w:iCs/>
          <w:lang w:val="fr-FR"/>
        </w:rPr>
        <w:tab/>
      </w:r>
      <w:r w:rsidRPr="006835D9">
        <w:rPr>
          <w:bCs/>
          <w:iCs/>
          <w:lang w:val="fr-FR"/>
        </w:rPr>
        <w:t>Insérer le nouveau 5</w:t>
      </w:r>
      <w:r w:rsidR="00FC1209" w:rsidRPr="00FC1209">
        <w:rPr>
          <w:bCs/>
          <w:iCs/>
          <w:lang w:val="fr-FR"/>
        </w:rPr>
        <w:t>.</w:t>
      </w:r>
      <w:r w:rsidRPr="006835D9">
        <w:rPr>
          <w:bCs/>
          <w:iCs/>
          <w:lang w:val="fr-FR"/>
        </w:rPr>
        <w:t>4</w:t>
      </w:r>
      <w:r w:rsidR="00FC1209" w:rsidRPr="00FC1209">
        <w:rPr>
          <w:bCs/>
          <w:iCs/>
          <w:lang w:val="fr-FR"/>
        </w:rPr>
        <w:t>.</w:t>
      </w:r>
      <w:r w:rsidRPr="006835D9">
        <w:rPr>
          <w:bCs/>
          <w:iCs/>
          <w:lang w:val="fr-FR"/>
        </w:rPr>
        <w:t>1</w:t>
      </w:r>
      <w:r w:rsidR="00FC1209" w:rsidRPr="00FC1209">
        <w:rPr>
          <w:bCs/>
          <w:iCs/>
          <w:lang w:val="fr-FR"/>
        </w:rPr>
        <w:t>.</w:t>
      </w:r>
      <w:r w:rsidRPr="006835D9">
        <w:rPr>
          <w:bCs/>
          <w:iCs/>
          <w:lang w:val="fr-FR"/>
        </w:rPr>
        <w:t>1</w:t>
      </w:r>
      <w:r w:rsidR="00FC1209" w:rsidRPr="00FC1209">
        <w:rPr>
          <w:bCs/>
          <w:iCs/>
          <w:lang w:val="fr-FR"/>
        </w:rPr>
        <w:t>.</w:t>
      </w:r>
      <w:r w:rsidRPr="006835D9">
        <w:rPr>
          <w:bCs/>
          <w:iCs/>
          <w:lang w:val="fr-FR"/>
        </w:rPr>
        <w:t>3</w:t>
      </w:r>
      <w:r w:rsidR="00FC1209" w:rsidRPr="00FC1209">
        <w:rPr>
          <w:bCs/>
          <w:iCs/>
          <w:lang w:val="fr-FR"/>
        </w:rPr>
        <w:t>.</w:t>
      </w:r>
      <w:r w:rsidRPr="006835D9">
        <w:rPr>
          <w:bCs/>
          <w:iCs/>
          <w:lang w:val="fr-FR"/>
        </w:rPr>
        <w:t>2 suivant :</w:t>
      </w:r>
    </w:p>
    <w:p w14:paraId="2C698A48" w14:textId="4FBB1B8B" w:rsidR="00520996" w:rsidRPr="006835D9" w:rsidRDefault="00520996" w:rsidP="00BD20D3">
      <w:pPr>
        <w:pStyle w:val="SingleTxtG"/>
        <w:ind w:left="2268" w:hanging="1134"/>
        <w:rPr>
          <w:bCs/>
          <w:iCs/>
          <w:lang w:val="fr-FR"/>
        </w:rPr>
      </w:pPr>
      <w:r w:rsidRPr="006835D9">
        <w:rPr>
          <w:bCs/>
          <w:iCs/>
          <w:lang w:val="fr-FR"/>
        </w:rPr>
        <w:t>« 5</w:t>
      </w:r>
      <w:r w:rsidR="00FC1209" w:rsidRPr="00FC1209">
        <w:rPr>
          <w:bCs/>
          <w:iCs/>
          <w:lang w:val="fr-FR"/>
        </w:rPr>
        <w:t>.</w:t>
      </w:r>
      <w:r w:rsidRPr="006835D9">
        <w:rPr>
          <w:bCs/>
          <w:iCs/>
          <w:lang w:val="fr-FR"/>
        </w:rPr>
        <w:t>4</w:t>
      </w:r>
      <w:r w:rsidR="00FC1209" w:rsidRPr="00FC1209">
        <w:rPr>
          <w:bCs/>
          <w:iCs/>
          <w:lang w:val="fr-FR"/>
        </w:rPr>
        <w:t>.</w:t>
      </w:r>
      <w:r w:rsidRPr="006835D9">
        <w:rPr>
          <w:bCs/>
          <w:iCs/>
          <w:lang w:val="fr-FR"/>
        </w:rPr>
        <w:t>1</w:t>
      </w:r>
      <w:r w:rsidR="00FC1209" w:rsidRPr="00FC1209">
        <w:rPr>
          <w:bCs/>
          <w:iCs/>
          <w:lang w:val="fr-FR"/>
        </w:rPr>
        <w:t>.</w:t>
      </w:r>
      <w:r w:rsidRPr="006835D9">
        <w:rPr>
          <w:bCs/>
          <w:iCs/>
          <w:lang w:val="fr-FR"/>
        </w:rPr>
        <w:t>1</w:t>
      </w:r>
      <w:r w:rsidR="00FC1209" w:rsidRPr="00FC1209">
        <w:rPr>
          <w:bCs/>
          <w:iCs/>
          <w:lang w:val="fr-FR"/>
        </w:rPr>
        <w:t>.</w:t>
      </w:r>
      <w:r w:rsidRPr="006835D9">
        <w:rPr>
          <w:bCs/>
          <w:iCs/>
          <w:lang w:val="fr-FR"/>
        </w:rPr>
        <w:t>3</w:t>
      </w:r>
      <w:r w:rsidR="00FC1209" w:rsidRPr="00FC1209">
        <w:rPr>
          <w:bCs/>
          <w:iCs/>
          <w:lang w:val="fr-FR"/>
        </w:rPr>
        <w:t>.</w:t>
      </w:r>
      <w:r w:rsidRPr="006835D9">
        <w:rPr>
          <w:bCs/>
          <w:iCs/>
          <w:lang w:val="fr-FR"/>
        </w:rPr>
        <w:t>2</w:t>
      </w:r>
      <w:r w:rsidRPr="006835D9">
        <w:rPr>
          <w:bCs/>
          <w:iCs/>
          <w:lang w:val="fr-FR"/>
        </w:rPr>
        <w:tab/>
        <w:t>S</w:t>
      </w:r>
      <w:r w:rsidR="00F70B88">
        <w:rPr>
          <w:bCs/>
          <w:iCs/>
          <w:lang w:val="fr-FR"/>
        </w:rPr>
        <w:t>’</w:t>
      </w:r>
      <w:r w:rsidRPr="006835D9">
        <w:rPr>
          <w:bCs/>
          <w:iCs/>
          <w:lang w:val="fr-FR"/>
        </w:rPr>
        <w:t>il est impossible de mesurer la quantité exacte de déchets transportés sur le lieu de chargement, la quantité visée au 5</w:t>
      </w:r>
      <w:r w:rsidR="00FC1209" w:rsidRPr="00FC1209">
        <w:rPr>
          <w:bCs/>
          <w:iCs/>
          <w:lang w:val="fr-FR"/>
        </w:rPr>
        <w:t>.</w:t>
      </w:r>
      <w:r w:rsidRPr="006835D9">
        <w:rPr>
          <w:bCs/>
          <w:iCs/>
          <w:lang w:val="fr-FR"/>
        </w:rPr>
        <w:t>4</w:t>
      </w:r>
      <w:r w:rsidR="00FC1209" w:rsidRPr="00FC1209">
        <w:rPr>
          <w:bCs/>
          <w:iCs/>
          <w:lang w:val="fr-FR"/>
        </w:rPr>
        <w:t>.</w:t>
      </w:r>
      <w:r w:rsidRPr="006835D9">
        <w:rPr>
          <w:bCs/>
          <w:iCs/>
          <w:lang w:val="fr-FR"/>
        </w:rPr>
        <w:t>1</w:t>
      </w:r>
      <w:r w:rsidR="00FC1209" w:rsidRPr="00FC1209">
        <w:rPr>
          <w:bCs/>
          <w:iCs/>
          <w:lang w:val="fr-FR"/>
        </w:rPr>
        <w:t>.</w:t>
      </w:r>
      <w:r w:rsidRPr="006835D9">
        <w:rPr>
          <w:bCs/>
          <w:iCs/>
          <w:lang w:val="fr-FR"/>
        </w:rPr>
        <w:t>1</w:t>
      </w:r>
      <w:r w:rsidR="00FC1209" w:rsidRPr="00FC1209">
        <w:rPr>
          <w:bCs/>
          <w:iCs/>
          <w:lang w:val="fr-FR"/>
        </w:rPr>
        <w:t>.</w:t>
      </w:r>
      <w:r w:rsidRPr="006835D9">
        <w:rPr>
          <w:bCs/>
          <w:iCs/>
          <w:lang w:val="fr-FR"/>
        </w:rPr>
        <w:t>1 f) peut être estimée dans les cas suivants selon les conditions suivantes :</w:t>
      </w:r>
    </w:p>
    <w:p w14:paraId="67EAB7D5" w14:textId="3761B82F" w:rsidR="00520996" w:rsidRPr="006835D9" w:rsidRDefault="00520996" w:rsidP="00520996">
      <w:pPr>
        <w:pStyle w:val="SingleTxtG"/>
        <w:ind w:left="2694" w:right="1133" w:hanging="426"/>
        <w:rPr>
          <w:bCs/>
          <w:iCs/>
          <w:lang w:val="fr-FR"/>
        </w:rPr>
      </w:pPr>
      <w:r w:rsidRPr="006835D9">
        <w:rPr>
          <w:bCs/>
          <w:iCs/>
          <w:lang w:val="fr-FR"/>
        </w:rPr>
        <w:t>a)</w:t>
      </w:r>
      <w:r w:rsidRPr="006835D9">
        <w:rPr>
          <w:bCs/>
          <w:iCs/>
          <w:lang w:val="fr-FR"/>
        </w:rPr>
        <w:tab/>
      </w:r>
      <w:r w:rsidR="00BD20D3">
        <w:rPr>
          <w:bCs/>
          <w:iCs/>
          <w:lang w:val="fr-FR"/>
        </w:rPr>
        <w:t>P</w:t>
      </w:r>
      <w:r w:rsidRPr="006835D9">
        <w:rPr>
          <w:bCs/>
          <w:iCs/>
          <w:lang w:val="fr-FR"/>
        </w:rPr>
        <w:t>our les emballages, une liste des emballages précisant leur type et leur volume nominal est ajoutée au document de transport ;</w:t>
      </w:r>
    </w:p>
    <w:p w14:paraId="329B51C1" w14:textId="4A46D78C" w:rsidR="00520996" w:rsidRPr="006835D9" w:rsidRDefault="00520996" w:rsidP="00520996">
      <w:pPr>
        <w:pStyle w:val="SingleTxtG"/>
        <w:ind w:left="2694" w:right="1133" w:hanging="426"/>
        <w:rPr>
          <w:bCs/>
          <w:iCs/>
          <w:lang w:val="fr-FR"/>
        </w:rPr>
      </w:pPr>
      <w:r w:rsidRPr="006835D9">
        <w:rPr>
          <w:bCs/>
          <w:iCs/>
          <w:lang w:val="fr-FR"/>
        </w:rPr>
        <w:t>b)</w:t>
      </w:r>
      <w:r w:rsidRPr="006835D9">
        <w:rPr>
          <w:bCs/>
          <w:iCs/>
          <w:lang w:val="fr-FR"/>
        </w:rPr>
        <w:tab/>
      </w:r>
      <w:r w:rsidR="00BD20D3">
        <w:rPr>
          <w:bCs/>
          <w:iCs/>
          <w:lang w:val="fr-FR"/>
        </w:rPr>
        <w:t>P</w:t>
      </w:r>
      <w:r w:rsidRPr="006835D9">
        <w:rPr>
          <w:bCs/>
          <w:iCs/>
          <w:lang w:val="fr-FR"/>
        </w:rPr>
        <w:t>our les conteneurs, l</w:t>
      </w:r>
      <w:r w:rsidR="00F70B88">
        <w:rPr>
          <w:bCs/>
          <w:iCs/>
          <w:lang w:val="fr-FR"/>
        </w:rPr>
        <w:t>’</w:t>
      </w:r>
      <w:r w:rsidRPr="006835D9">
        <w:rPr>
          <w:bCs/>
          <w:iCs/>
          <w:lang w:val="fr-FR"/>
        </w:rPr>
        <w:t>estimation se base sur leur volume nominal et les autres informations disponibles, par exemple le type de déchets, la densité moyenne, le taux de remplissage ;</w:t>
      </w:r>
    </w:p>
    <w:p w14:paraId="0B9C17C2" w14:textId="587F9839" w:rsidR="00520996" w:rsidRPr="006835D9" w:rsidRDefault="00520996" w:rsidP="00520996">
      <w:pPr>
        <w:pStyle w:val="SingleTxtG"/>
        <w:ind w:left="2694" w:right="1133" w:hanging="426"/>
        <w:rPr>
          <w:bCs/>
          <w:iCs/>
          <w:lang w:val="fr-FR"/>
        </w:rPr>
      </w:pPr>
      <w:r w:rsidRPr="006835D9">
        <w:rPr>
          <w:bCs/>
          <w:iCs/>
          <w:lang w:val="fr-FR"/>
        </w:rPr>
        <w:t>c)</w:t>
      </w:r>
      <w:r w:rsidRPr="006835D9">
        <w:rPr>
          <w:bCs/>
          <w:iCs/>
          <w:lang w:val="fr-FR"/>
        </w:rPr>
        <w:tab/>
      </w:r>
      <w:r w:rsidR="00BD20D3">
        <w:rPr>
          <w:bCs/>
          <w:iCs/>
          <w:lang w:val="fr-FR"/>
        </w:rPr>
        <w:t>P</w:t>
      </w:r>
      <w:r w:rsidRPr="006835D9">
        <w:rPr>
          <w:bCs/>
          <w:iCs/>
          <w:lang w:val="fr-FR"/>
        </w:rPr>
        <w:t>our les citernes à déchets opérant sous vide, l</w:t>
      </w:r>
      <w:r w:rsidR="00F70B88">
        <w:rPr>
          <w:bCs/>
          <w:iCs/>
          <w:lang w:val="fr-FR"/>
        </w:rPr>
        <w:t>’</w:t>
      </w:r>
      <w:r w:rsidRPr="006835D9">
        <w:rPr>
          <w:bCs/>
          <w:iCs/>
          <w:lang w:val="fr-FR"/>
        </w:rPr>
        <w:t>estimation est justifiée, par exemple au moyen d</w:t>
      </w:r>
      <w:r w:rsidR="00F70B88">
        <w:rPr>
          <w:bCs/>
          <w:iCs/>
          <w:lang w:val="fr-FR"/>
        </w:rPr>
        <w:t>’</w:t>
      </w:r>
      <w:r w:rsidRPr="006835D9">
        <w:rPr>
          <w:bCs/>
          <w:iCs/>
          <w:lang w:val="fr-FR"/>
        </w:rPr>
        <w:t>une estimation fournie par l</w:t>
      </w:r>
      <w:r w:rsidR="00F70B88">
        <w:rPr>
          <w:bCs/>
          <w:iCs/>
          <w:lang w:val="fr-FR"/>
        </w:rPr>
        <w:t>’</w:t>
      </w:r>
      <w:r w:rsidRPr="006835D9">
        <w:rPr>
          <w:bCs/>
          <w:iCs/>
          <w:lang w:val="fr-FR"/>
        </w:rPr>
        <w:t>expéditeur ou par les équipements du véhicule</w:t>
      </w:r>
      <w:r w:rsidR="00FC1209" w:rsidRPr="00FC1209">
        <w:rPr>
          <w:bCs/>
          <w:iCs/>
          <w:lang w:val="fr-FR"/>
        </w:rPr>
        <w:t>.</w:t>
      </w:r>
    </w:p>
    <w:p w14:paraId="7E481B41" w14:textId="2C14B70D" w:rsidR="00520996" w:rsidRPr="006835D9" w:rsidRDefault="00520996" w:rsidP="00BD20D3">
      <w:pPr>
        <w:pStyle w:val="SingleTxtG"/>
        <w:keepNext/>
        <w:ind w:left="2694" w:right="1133" w:hanging="426"/>
        <w:rPr>
          <w:bCs/>
          <w:iCs/>
          <w:lang w:val="fr-FR"/>
        </w:rPr>
      </w:pPr>
      <w:r w:rsidRPr="006835D9">
        <w:rPr>
          <w:bCs/>
          <w:iCs/>
          <w:lang w:val="fr-FR"/>
        </w:rPr>
        <w:lastRenderedPageBreak/>
        <w:t>Une telle estimation de la quantité n</w:t>
      </w:r>
      <w:r w:rsidR="00F70B88">
        <w:rPr>
          <w:bCs/>
          <w:iCs/>
          <w:lang w:val="fr-FR"/>
        </w:rPr>
        <w:t>’</w:t>
      </w:r>
      <w:r w:rsidRPr="006835D9">
        <w:rPr>
          <w:bCs/>
          <w:iCs/>
          <w:lang w:val="fr-FR"/>
        </w:rPr>
        <w:t>est pas autorisée pour :</w:t>
      </w:r>
    </w:p>
    <w:p w14:paraId="2F4A8C25" w14:textId="36A5B814" w:rsidR="00520996" w:rsidRPr="006835D9" w:rsidRDefault="00520996" w:rsidP="00520996">
      <w:pPr>
        <w:pStyle w:val="SingleTxtG"/>
        <w:ind w:left="2694" w:right="1133" w:hanging="426"/>
        <w:rPr>
          <w:bCs/>
          <w:iCs/>
          <w:lang w:val="fr-FR"/>
        </w:rPr>
      </w:pPr>
      <w:r w:rsidRPr="006835D9">
        <w:rPr>
          <w:bCs/>
          <w:iCs/>
          <w:lang w:val="fr-FR"/>
        </w:rPr>
        <w:t>-</w:t>
      </w:r>
      <w:r w:rsidRPr="006835D9">
        <w:rPr>
          <w:bCs/>
          <w:iCs/>
          <w:lang w:val="fr-FR"/>
        </w:rPr>
        <w:tab/>
      </w:r>
      <w:r w:rsidR="00BD20D3">
        <w:rPr>
          <w:bCs/>
          <w:iCs/>
          <w:lang w:val="fr-FR"/>
        </w:rPr>
        <w:t>L</w:t>
      </w:r>
      <w:r w:rsidRPr="006835D9">
        <w:rPr>
          <w:bCs/>
          <w:iCs/>
          <w:lang w:val="fr-FR"/>
        </w:rPr>
        <w:t>es exemptions pour lesquelles la quantité exacte est essentielle (par exemple 1</w:t>
      </w:r>
      <w:r w:rsidR="00FC1209" w:rsidRPr="00FC1209">
        <w:rPr>
          <w:bCs/>
          <w:iCs/>
          <w:lang w:val="fr-FR"/>
        </w:rPr>
        <w:t>.</w:t>
      </w:r>
      <w:r w:rsidRPr="006835D9">
        <w:rPr>
          <w:bCs/>
          <w:iCs/>
          <w:lang w:val="fr-FR"/>
        </w:rPr>
        <w:t>1</w:t>
      </w:r>
      <w:r w:rsidR="00FC1209" w:rsidRPr="00FC1209">
        <w:rPr>
          <w:bCs/>
          <w:iCs/>
          <w:lang w:val="fr-FR"/>
        </w:rPr>
        <w:t>.</w:t>
      </w:r>
      <w:r w:rsidRPr="006835D9">
        <w:rPr>
          <w:bCs/>
          <w:iCs/>
          <w:lang w:val="fr-FR"/>
        </w:rPr>
        <w:t>3</w:t>
      </w:r>
      <w:r w:rsidR="00FC1209" w:rsidRPr="00FC1209">
        <w:rPr>
          <w:bCs/>
          <w:iCs/>
          <w:lang w:val="fr-FR"/>
        </w:rPr>
        <w:t>.</w:t>
      </w:r>
      <w:r w:rsidRPr="006835D9">
        <w:rPr>
          <w:bCs/>
          <w:iCs/>
          <w:lang w:val="fr-FR"/>
        </w:rPr>
        <w:t>6) ;</w:t>
      </w:r>
    </w:p>
    <w:p w14:paraId="59EF20E9" w14:textId="37C6AF74" w:rsidR="00520996" w:rsidRPr="006835D9" w:rsidRDefault="00520996" w:rsidP="00520996">
      <w:pPr>
        <w:pStyle w:val="SingleTxtG"/>
        <w:ind w:left="2694" w:right="1133" w:hanging="426"/>
        <w:rPr>
          <w:bCs/>
          <w:iCs/>
          <w:lang w:val="fr-FR"/>
        </w:rPr>
      </w:pPr>
      <w:r w:rsidRPr="006835D9">
        <w:rPr>
          <w:bCs/>
          <w:iCs/>
          <w:lang w:val="fr-FR"/>
        </w:rPr>
        <w:t>-</w:t>
      </w:r>
      <w:r w:rsidRPr="006835D9">
        <w:rPr>
          <w:bCs/>
          <w:iCs/>
          <w:lang w:val="fr-FR"/>
        </w:rPr>
        <w:tab/>
      </w:r>
      <w:r w:rsidR="00BD20D3">
        <w:rPr>
          <w:bCs/>
          <w:iCs/>
          <w:lang w:val="fr-FR"/>
        </w:rPr>
        <w:t>L</w:t>
      </w:r>
      <w:r w:rsidRPr="006835D9">
        <w:rPr>
          <w:bCs/>
          <w:iCs/>
          <w:lang w:val="fr-FR"/>
        </w:rPr>
        <w:t>es déchets contenant les matières visées au 2</w:t>
      </w:r>
      <w:r w:rsidR="00FC1209" w:rsidRPr="00FC1209">
        <w:rPr>
          <w:bCs/>
          <w:iCs/>
          <w:lang w:val="fr-FR"/>
        </w:rPr>
        <w:t>.</w:t>
      </w:r>
      <w:r w:rsidRPr="006835D9">
        <w:rPr>
          <w:bCs/>
          <w:iCs/>
          <w:lang w:val="fr-FR"/>
        </w:rPr>
        <w:t>1</w:t>
      </w:r>
      <w:r w:rsidR="00FC1209" w:rsidRPr="00FC1209">
        <w:rPr>
          <w:bCs/>
          <w:iCs/>
          <w:lang w:val="fr-FR"/>
        </w:rPr>
        <w:t>.</w:t>
      </w:r>
      <w:r w:rsidRPr="006835D9">
        <w:rPr>
          <w:bCs/>
          <w:iCs/>
          <w:lang w:val="fr-FR"/>
        </w:rPr>
        <w:t>3</w:t>
      </w:r>
      <w:r w:rsidR="00FC1209" w:rsidRPr="00FC1209">
        <w:rPr>
          <w:bCs/>
          <w:iCs/>
          <w:lang w:val="fr-FR"/>
        </w:rPr>
        <w:t>.</w:t>
      </w:r>
      <w:r w:rsidRPr="006835D9">
        <w:rPr>
          <w:bCs/>
          <w:iCs/>
          <w:lang w:val="fr-FR"/>
        </w:rPr>
        <w:t>5</w:t>
      </w:r>
      <w:r w:rsidR="00FC1209" w:rsidRPr="00FC1209">
        <w:rPr>
          <w:bCs/>
          <w:iCs/>
          <w:lang w:val="fr-FR"/>
        </w:rPr>
        <w:t>.</w:t>
      </w:r>
      <w:r w:rsidRPr="006835D9">
        <w:rPr>
          <w:bCs/>
          <w:iCs/>
          <w:lang w:val="fr-FR"/>
        </w:rPr>
        <w:t>3 et/ou les matières de la classe 4</w:t>
      </w:r>
      <w:r w:rsidR="00FC1209" w:rsidRPr="00FC1209">
        <w:rPr>
          <w:bCs/>
          <w:iCs/>
          <w:lang w:val="fr-FR"/>
        </w:rPr>
        <w:t>.</w:t>
      </w:r>
      <w:r w:rsidRPr="006835D9">
        <w:rPr>
          <w:bCs/>
          <w:iCs/>
          <w:lang w:val="fr-FR"/>
        </w:rPr>
        <w:t>3 ;</w:t>
      </w:r>
    </w:p>
    <w:p w14:paraId="45CE70B2" w14:textId="7BD7B3B9" w:rsidR="00520996" w:rsidRPr="006835D9" w:rsidRDefault="00520996" w:rsidP="00520996">
      <w:pPr>
        <w:pStyle w:val="SingleTxtG"/>
        <w:ind w:left="2694" w:right="1133" w:hanging="426"/>
        <w:rPr>
          <w:bCs/>
          <w:iCs/>
          <w:lang w:val="fr-FR"/>
        </w:rPr>
      </w:pPr>
      <w:r w:rsidRPr="006835D9">
        <w:rPr>
          <w:bCs/>
          <w:iCs/>
          <w:lang w:val="fr-FR"/>
        </w:rPr>
        <w:t>-</w:t>
      </w:r>
      <w:r w:rsidRPr="006835D9">
        <w:rPr>
          <w:bCs/>
          <w:iCs/>
          <w:lang w:val="fr-FR"/>
        </w:rPr>
        <w:tab/>
      </w:r>
      <w:r w:rsidR="00BD20D3">
        <w:rPr>
          <w:bCs/>
          <w:iCs/>
          <w:lang w:val="fr-FR"/>
        </w:rPr>
        <w:t>L</w:t>
      </w:r>
      <w:r w:rsidRPr="006835D9">
        <w:rPr>
          <w:bCs/>
          <w:iCs/>
          <w:lang w:val="fr-FR"/>
        </w:rPr>
        <w:t>es citernes autres que les citernes à déchets opérant sous vide</w:t>
      </w:r>
      <w:r w:rsidR="00FC1209" w:rsidRPr="00FC1209">
        <w:rPr>
          <w:bCs/>
          <w:iCs/>
          <w:lang w:val="fr-FR"/>
        </w:rPr>
        <w:t>.</w:t>
      </w:r>
    </w:p>
    <w:p w14:paraId="1BC645A4" w14:textId="77777777" w:rsidR="00520996" w:rsidRPr="006835D9" w:rsidRDefault="00520996" w:rsidP="00520996">
      <w:pPr>
        <w:pStyle w:val="SingleTxtG"/>
        <w:ind w:left="2694" w:right="1133" w:hanging="426"/>
        <w:rPr>
          <w:bCs/>
          <w:iCs/>
          <w:lang w:val="fr-FR"/>
        </w:rPr>
      </w:pPr>
      <w:r w:rsidRPr="006835D9">
        <w:rPr>
          <w:bCs/>
          <w:iCs/>
          <w:lang w:val="fr-FR"/>
        </w:rPr>
        <w:t>[Le document de transport doit porter la mention suivante :</w:t>
      </w:r>
    </w:p>
    <w:p w14:paraId="206A6A6A" w14:textId="7ADD5C5C" w:rsidR="00520996" w:rsidRPr="006835D9" w:rsidRDefault="00BD20D3" w:rsidP="00520996">
      <w:pPr>
        <w:pStyle w:val="SingleTxtG"/>
        <w:ind w:left="2694" w:right="1133" w:hanging="426"/>
        <w:rPr>
          <w:bCs/>
          <w:iCs/>
          <w:lang w:val="fr-FR"/>
        </w:rPr>
      </w:pPr>
      <w:r w:rsidRPr="007149C6">
        <w:rPr>
          <w:bCs/>
        </w:rPr>
        <w:t>“</w:t>
      </w:r>
      <w:r w:rsidR="00520996" w:rsidRPr="006835D9">
        <w:rPr>
          <w:bCs/>
          <w:iCs/>
          <w:lang w:val="fr-FR"/>
        </w:rPr>
        <w:t>QUANTITÉ ESTIMÉE CONFORMÉMENT AU 5</w:t>
      </w:r>
      <w:r w:rsidR="00FC1209" w:rsidRPr="00FC1209">
        <w:rPr>
          <w:bCs/>
          <w:iCs/>
          <w:lang w:val="fr-FR"/>
        </w:rPr>
        <w:t>.</w:t>
      </w:r>
      <w:r w:rsidR="00520996" w:rsidRPr="006835D9">
        <w:rPr>
          <w:bCs/>
          <w:iCs/>
          <w:lang w:val="fr-FR"/>
        </w:rPr>
        <w:t>4</w:t>
      </w:r>
      <w:r w:rsidR="00FC1209" w:rsidRPr="00FC1209">
        <w:rPr>
          <w:bCs/>
          <w:iCs/>
          <w:lang w:val="fr-FR"/>
        </w:rPr>
        <w:t>.</w:t>
      </w:r>
      <w:r w:rsidR="00520996" w:rsidRPr="006835D9">
        <w:rPr>
          <w:bCs/>
          <w:iCs/>
          <w:lang w:val="fr-FR"/>
        </w:rPr>
        <w:t>1</w:t>
      </w:r>
      <w:r w:rsidR="00FC1209" w:rsidRPr="00FC1209">
        <w:rPr>
          <w:bCs/>
          <w:iCs/>
          <w:lang w:val="fr-FR"/>
        </w:rPr>
        <w:t>.</w:t>
      </w:r>
      <w:r w:rsidR="00520996" w:rsidRPr="006835D9">
        <w:rPr>
          <w:bCs/>
          <w:iCs/>
          <w:lang w:val="fr-FR"/>
        </w:rPr>
        <w:t>1</w:t>
      </w:r>
      <w:r w:rsidR="00FC1209" w:rsidRPr="00FC1209">
        <w:rPr>
          <w:bCs/>
          <w:iCs/>
          <w:lang w:val="fr-FR"/>
        </w:rPr>
        <w:t>.</w:t>
      </w:r>
      <w:r w:rsidR="00520996" w:rsidRPr="006835D9">
        <w:rPr>
          <w:bCs/>
          <w:iCs/>
          <w:lang w:val="fr-FR"/>
        </w:rPr>
        <w:t>3</w:t>
      </w:r>
      <w:r w:rsidR="00FC1209" w:rsidRPr="00FC1209">
        <w:rPr>
          <w:bCs/>
          <w:iCs/>
          <w:lang w:val="fr-FR"/>
        </w:rPr>
        <w:t>.</w:t>
      </w:r>
      <w:r w:rsidR="00520996" w:rsidRPr="006835D9">
        <w:rPr>
          <w:bCs/>
          <w:iCs/>
          <w:lang w:val="fr-FR"/>
        </w:rPr>
        <w:t>2</w:t>
      </w:r>
      <w:r w:rsidRPr="006835D9">
        <w:rPr>
          <w:bCs/>
          <w:iCs/>
          <w:lang w:val="fr-FR"/>
        </w:rPr>
        <w:t>”</w:t>
      </w:r>
      <w:r w:rsidR="00FC1209" w:rsidRPr="00FC1209">
        <w:rPr>
          <w:bCs/>
          <w:iCs/>
          <w:lang w:val="fr-FR"/>
        </w:rPr>
        <w:t>.</w:t>
      </w:r>
      <w:r w:rsidR="00520996" w:rsidRPr="006835D9">
        <w:rPr>
          <w:bCs/>
          <w:iCs/>
          <w:lang w:val="fr-FR"/>
        </w:rPr>
        <w:t>] »</w:t>
      </w:r>
      <w:r w:rsidR="00FC1209" w:rsidRPr="00FC1209">
        <w:rPr>
          <w:bCs/>
          <w:iCs/>
          <w:lang w:val="fr-FR"/>
        </w:rPr>
        <w:t>.</w:t>
      </w:r>
    </w:p>
    <w:p w14:paraId="2D812313" w14:textId="4C3D25E4" w:rsidR="00520996" w:rsidRPr="006835D9" w:rsidRDefault="00520996" w:rsidP="00520996">
      <w:pPr>
        <w:pStyle w:val="SingleTxtG"/>
        <w:ind w:right="1133"/>
        <w:rPr>
          <w:bCs/>
          <w:iCs/>
          <w:lang w:val="fr-FR"/>
        </w:rPr>
      </w:pPr>
      <w:r w:rsidRPr="006835D9">
        <w:rPr>
          <w:bCs/>
          <w:i/>
          <w:iCs/>
          <w:lang w:val="fr-FR"/>
        </w:rPr>
        <w:t>(Documents de référence : ECE/TRANS/WP</w:t>
      </w:r>
      <w:r w:rsidR="00FC1209" w:rsidRPr="00FC1209">
        <w:rPr>
          <w:bCs/>
          <w:i/>
          <w:iCs/>
          <w:lang w:val="fr-FR"/>
        </w:rPr>
        <w:t>.</w:t>
      </w:r>
      <w:r w:rsidRPr="006835D9">
        <w:rPr>
          <w:bCs/>
          <w:i/>
          <w:iCs/>
          <w:lang w:val="fr-FR"/>
        </w:rPr>
        <w:t>15/AC</w:t>
      </w:r>
      <w:r w:rsidR="00FC1209" w:rsidRPr="00FC1209">
        <w:rPr>
          <w:bCs/>
          <w:i/>
          <w:iCs/>
          <w:lang w:val="fr-FR"/>
        </w:rPr>
        <w:t>.</w:t>
      </w:r>
      <w:r w:rsidRPr="006835D9">
        <w:rPr>
          <w:bCs/>
          <w:i/>
          <w:iCs/>
          <w:lang w:val="fr-FR"/>
        </w:rPr>
        <w:t>1/2021/18 et document informel INF</w:t>
      </w:r>
      <w:r w:rsidR="00FC1209" w:rsidRPr="00FC1209">
        <w:rPr>
          <w:bCs/>
          <w:i/>
          <w:iCs/>
          <w:lang w:val="fr-FR"/>
        </w:rPr>
        <w:t>.</w:t>
      </w:r>
      <w:r w:rsidRPr="006835D9">
        <w:rPr>
          <w:bCs/>
          <w:i/>
          <w:iCs/>
          <w:lang w:val="fr-FR"/>
        </w:rPr>
        <w:t>42 tels qu</w:t>
      </w:r>
      <w:r w:rsidR="00F70B88">
        <w:rPr>
          <w:bCs/>
          <w:i/>
          <w:iCs/>
          <w:lang w:val="fr-FR"/>
        </w:rPr>
        <w:t>’</w:t>
      </w:r>
      <w:r w:rsidRPr="006835D9">
        <w:rPr>
          <w:bCs/>
          <w:i/>
          <w:iCs/>
          <w:lang w:val="fr-FR"/>
        </w:rPr>
        <w:t>amendés)</w:t>
      </w:r>
    </w:p>
    <w:p w14:paraId="4E2B5D14" w14:textId="0A201162" w:rsidR="00520996" w:rsidRPr="006835D9" w:rsidRDefault="00520996" w:rsidP="00520996">
      <w:pPr>
        <w:pStyle w:val="SingleTxtG"/>
        <w:ind w:left="2268" w:right="1133" w:hanging="1134"/>
        <w:rPr>
          <w:bCs/>
          <w:lang w:val="fr-FR"/>
        </w:rPr>
      </w:pPr>
      <w:r w:rsidRPr="006835D9">
        <w:rPr>
          <w:bCs/>
          <w:lang w:val="fr-FR"/>
        </w:rPr>
        <w:t>5</w:t>
      </w:r>
      <w:r w:rsidR="00FC1209" w:rsidRPr="00FC1209">
        <w:rPr>
          <w:bCs/>
          <w:lang w:val="fr-FR"/>
        </w:rPr>
        <w:t>.</w:t>
      </w:r>
      <w:r w:rsidRPr="006835D9">
        <w:rPr>
          <w:bCs/>
          <w:lang w:val="fr-FR"/>
        </w:rPr>
        <w:t>4</w:t>
      </w:r>
      <w:r w:rsidR="00FC1209" w:rsidRPr="00FC1209">
        <w:rPr>
          <w:bCs/>
          <w:lang w:val="fr-FR"/>
        </w:rPr>
        <w:t>.</w:t>
      </w:r>
      <w:r w:rsidRPr="006835D9">
        <w:rPr>
          <w:bCs/>
          <w:lang w:val="fr-FR"/>
        </w:rPr>
        <w:t>2</w:t>
      </w:r>
      <w:r w:rsidRPr="006835D9">
        <w:rPr>
          <w:bCs/>
          <w:lang w:val="fr-FR"/>
        </w:rPr>
        <w:tab/>
      </w:r>
      <w:r w:rsidRPr="006835D9">
        <w:rPr>
          <w:bCs/>
          <w:lang w:val="fr-FR"/>
        </w:rPr>
        <w:tab/>
        <w:t>Dans le premier paragraphe, à la fin, remplacer « avec le document de transport » par :</w:t>
      </w:r>
    </w:p>
    <w:p w14:paraId="709EA58C" w14:textId="6DACB0D1" w:rsidR="00520996" w:rsidRPr="006835D9" w:rsidRDefault="00520996" w:rsidP="00520996">
      <w:pPr>
        <w:pStyle w:val="SingleTxtG"/>
        <w:ind w:left="2268" w:right="1133"/>
        <w:rPr>
          <w:bCs/>
          <w:lang w:val="fr-FR"/>
        </w:rPr>
      </w:pPr>
      <w:r w:rsidRPr="006835D9">
        <w:rPr>
          <w:bCs/>
          <w:lang w:val="fr-FR"/>
        </w:rPr>
        <w:t>« au transporteur maritime par les responsables de l</w:t>
      </w:r>
      <w:r w:rsidR="00F70B88">
        <w:rPr>
          <w:bCs/>
          <w:lang w:val="fr-FR"/>
        </w:rPr>
        <w:t>’</w:t>
      </w:r>
      <w:r w:rsidRPr="006835D9">
        <w:rPr>
          <w:bCs/>
          <w:lang w:val="fr-FR"/>
        </w:rPr>
        <w:t>empotage du conteneur</w:t>
      </w:r>
      <w:r w:rsidR="00FC1209" w:rsidRPr="00FC1209">
        <w:rPr>
          <w:bCs/>
          <w:lang w:val="fr-FR"/>
        </w:rPr>
        <w:t>.</w:t>
      </w:r>
      <w:r w:rsidRPr="006835D9">
        <w:rPr>
          <w:bCs/>
          <w:lang w:val="fr-FR"/>
        </w:rPr>
        <w:t> »</w:t>
      </w:r>
      <w:r w:rsidR="00FC1209" w:rsidRPr="00FC1209">
        <w:rPr>
          <w:bCs/>
          <w:lang w:val="fr-FR"/>
        </w:rPr>
        <w:t>.</w:t>
      </w:r>
    </w:p>
    <w:p w14:paraId="1141F189" w14:textId="77777777" w:rsidR="00520996" w:rsidRPr="006835D9" w:rsidRDefault="00520996" w:rsidP="00520996">
      <w:pPr>
        <w:pStyle w:val="SingleTxtG"/>
        <w:ind w:left="2268" w:right="1133"/>
        <w:rPr>
          <w:bCs/>
          <w:lang w:val="fr-FR"/>
        </w:rPr>
      </w:pPr>
      <w:r w:rsidRPr="006835D9">
        <w:rPr>
          <w:bCs/>
          <w:lang w:val="fr-FR"/>
        </w:rPr>
        <w:t>Dans la première phrase du deuxième paragraphe, après « Un document unique », insérer :</w:t>
      </w:r>
    </w:p>
    <w:p w14:paraId="29DBCA0C" w14:textId="230B5E1C" w:rsidR="00520996" w:rsidRPr="006835D9" w:rsidRDefault="00520996" w:rsidP="00520996">
      <w:pPr>
        <w:pStyle w:val="SingleTxtG"/>
        <w:ind w:left="2268" w:right="1133"/>
        <w:rPr>
          <w:bCs/>
          <w:lang w:val="fr-FR"/>
        </w:rPr>
      </w:pPr>
      <w:r w:rsidRPr="006835D9">
        <w:rPr>
          <w:bCs/>
          <w:lang w:val="fr-FR"/>
        </w:rPr>
        <w:t>« (voir par exemple 5</w:t>
      </w:r>
      <w:r w:rsidR="00FC1209" w:rsidRPr="00FC1209">
        <w:rPr>
          <w:bCs/>
          <w:lang w:val="fr-FR"/>
        </w:rPr>
        <w:t>.</w:t>
      </w:r>
      <w:r w:rsidRPr="006835D9">
        <w:rPr>
          <w:bCs/>
          <w:lang w:val="fr-FR"/>
        </w:rPr>
        <w:t>4</w:t>
      </w:r>
      <w:r w:rsidR="00FC1209" w:rsidRPr="00FC1209">
        <w:rPr>
          <w:bCs/>
          <w:lang w:val="fr-FR"/>
        </w:rPr>
        <w:t>.</w:t>
      </w:r>
      <w:r w:rsidRPr="006835D9">
        <w:rPr>
          <w:bCs/>
          <w:lang w:val="fr-FR"/>
        </w:rPr>
        <w:t>5) »</w:t>
      </w:r>
      <w:r w:rsidR="00FC1209" w:rsidRPr="00FC1209">
        <w:rPr>
          <w:bCs/>
          <w:lang w:val="fr-FR"/>
        </w:rPr>
        <w:t>.</w:t>
      </w:r>
    </w:p>
    <w:p w14:paraId="6FE2E774" w14:textId="77777777" w:rsidR="00520996" w:rsidRPr="006835D9" w:rsidRDefault="00520996" w:rsidP="00520996">
      <w:pPr>
        <w:pStyle w:val="SingleTxtG"/>
        <w:ind w:left="2268" w:right="1133"/>
        <w:rPr>
          <w:bCs/>
          <w:lang w:val="fr-FR"/>
        </w:rPr>
      </w:pPr>
      <w:r w:rsidRPr="006835D9">
        <w:rPr>
          <w:bCs/>
          <w:lang w:val="fr-FR"/>
        </w:rPr>
        <w:tab/>
        <w:t>À la fin de la première phrase du deuxième paragraphe, supprimer :</w:t>
      </w:r>
    </w:p>
    <w:p w14:paraId="6ED636B6" w14:textId="7C8591E1" w:rsidR="00520996" w:rsidRPr="006835D9" w:rsidRDefault="00520996" w:rsidP="00520996">
      <w:pPr>
        <w:pStyle w:val="SingleTxtG"/>
        <w:ind w:left="2268" w:right="282"/>
        <w:rPr>
          <w:bCs/>
          <w:lang w:val="fr-FR"/>
        </w:rPr>
      </w:pPr>
      <w:r w:rsidRPr="006835D9">
        <w:rPr>
          <w:bCs/>
          <w:lang w:val="fr-FR"/>
        </w:rPr>
        <w:t>« ; dans le cas contraire, ces documents doivent être attachés »</w:t>
      </w:r>
      <w:r w:rsidR="00FC1209" w:rsidRPr="00FC1209">
        <w:rPr>
          <w:bCs/>
          <w:lang w:val="fr-FR"/>
        </w:rPr>
        <w:t>.</w:t>
      </w:r>
    </w:p>
    <w:p w14:paraId="2AFDE1C6" w14:textId="517E66FA" w:rsidR="00520996" w:rsidRPr="006835D9" w:rsidRDefault="00520996" w:rsidP="005D3FA5">
      <w:pPr>
        <w:pStyle w:val="SingleTxtG"/>
        <w:ind w:left="2268"/>
        <w:rPr>
          <w:bCs/>
          <w:lang w:val="fr-FR"/>
        </w:rPr>
      </w:pPr>
      <w:r w:rsidRPr="006835D9">
        <w:rPr>
          <w:bCs/>
          <w:lang w:val="fr-FR"/>
        </w:rPr>
        <w:tab/>
        <w:t>Dans la deuxième phra</w:t>
      </w:r>
      <w:r w:rsidR="005D3FA5">
        <w:rPr>
          <w:bCs/>
          <w:lang w:val="fr-FR"/>
        </w:rPr>
        <w:t xml:space="preserve"> </w:t>
      </w:r>
      <w:r w:rsidRPr="006835D9">
        <w:rPr>
          <w:bCs/>
          <w:lang w:val="fr-FR"/>
        </w:rPr>
        <w:t>se du deuxième paragraphe, remplacer « doit remplir » par :</w:t>
      </w:r>
    </w:p>
    <w:p w14:paraId="68CB33EE" w14:textId="78C0F492" w:rsidR="00520996" w:rsidRPr="006835D9" w:rsidRDefault="00520996" w:rsidP="00520996">
      <w:pPr>
        <w:pStyle w:val="SingleTxtG"/>
        <w:ind w:left="2268" w:right="282"/>
        <w:rPr>
          <w:bCs/>
          <w:lang w:val="fr-FR"/>
        </w:rPr>
      </w:pPr>
      <w:r w:rsidRPr="006835D9">
        <w:rPr>
          <w:bCs/>
          <w:lang w:val="fr-FR"/>
        </w:rPr>
        <w:t>« remplit »</w:t>
      </w:r>
      <w:r w:rsidR="00FC1209" w:rsidRPr="00FC1209">
        <w:rPr>
          <w:bCs/>
          <w:lang w:val="fr-FR"/>
        </w:rPr>
        <w:t>.</w:t>
      </w:r>
    </w:p>
    <w:p w14:paraId="56942AD8" w14:textId="71B7A545" w:rsidR="00520996" w:rsidRPr="006835D9" w:rsidRDefault="00520996" w:rsidP="00520996">
      <w:pPr>
        <w:pStyle w:val="SingleTxtG"/>
        <w:ind w:left="2268" w:right="282"/>
        <w:rPr>
          <w:bCs/>
          <w:lang w:val="fr-FR"/>
        </w:rPr>
      </w:pPr>
      <w:r w:rsidRPr="006835D9">
        <w:rPr>
          <w:bCs/>
          <w:lang w:val="fr-FR"/>
        </w:rPr>
        <w:tab/>
        <w:t>Supprimer le nota figurant après le deuxième paragraphe</w:t>
      </w:r>
      <w:r w:rsidR="00FC1209" w:rsidRPr="00FC1209">
        <w:rPr>
          <w:bCs/>
          <w:lang w:val="fr-FR"/>
        </w:rPr>
        <w:t>.</w:t>
      </w:r>
    </w:p>
    <w:p w14:paraId="0D3C8434" w14:textId="77777777" w:rsidR="00520996" w:rsidRPr="006835D9" w:rsidRDefault="00520996" w:rsidP="00520996">
      <w:pPr>
        <w:pStyle w:val="SingleTxtG"/>
        <w:ind w:left="2268" w:right="282"/>
        <w:rPr>
          <w:bCs/>
          <w:lang w:val="fr-FR"/>
        </w:rPr>
      </w:pPr>
      <w:r w:rsidRPr="006835D9">
        <w:rPr>
          <w:bCs/>
          <w:lang w:val="fr-FR"/>
        </w:rPr>
        <w:tab/>
        <w:t>Dans le dernier paragraphe, remplacer « peut être fourni » par :</w:t>
      </w:r>
    </w:p>
    <w:p w14:paraId="65A8694C" w14:textId="5E08243B" w:rsidR="00520996" w:rsidRPr="006835D9" w:rsidRDefault="00520996" w:rsidP="00520996">
      <w:pPr>
        <w:pStyle w:val="SingleTxtG"/>
        <w:ind w:left="2268" w:right="282"/>
        <w:rPr>
          <w:bCs/>
          <w:lang w:val="fr-FR"/>
        </w:rPr>
      </w:pPr>
      <w:r w:rsidRPr="006835D9">
        <w:rPr>
          <w:bCs/>
          <w:lang w:val="fr-FR"/>
        </w:rPr>
        <w:t>« peut également être fourni »</w:t>
      </w:r>
      <w:r w:rsidR="00FC1209" w:rsidRPr="00FC1209">
        <w:rPr>
          <w:bCs/>
          <w:lang w:val="fr-FR"/>
        </w:rPr>
        <w:t>.</w:t>
      </w:r>
    </w:p>
    <w:p w14:paraId="08DC8179" w14:textId="5D260C1B" w:rsidR="00520996" w:rsidRPr="006835D9" w:rsidRDefault="00520996" w:rsidP="00520996">
      <w:pPr>
        <w:pStyle w:val="SingleTxtG"/>
        <w:ind w:right="1133"/>
        <w:rPr>
          <w:bCs/>
          <w:lang w:val="fr-FR"/>
        </w:rPr>
      </w:pPr>
      <w:r w:rsidRPr="006835D9">
        <w:rPr>
          <w:bCs/>
          <w:i/>
          <w:iCs/>
          <w:lang w:val="fr-FR"/>
        </w:rPr>
        <w:t>(Document de référence : ECE/TRANS/WP</w:t>
      </w:r>
      <w:r w:rsidR="00FC1209" w:rsidRPr="00FC1209">
        <w:rPr>
          <w:bCs/>
          <w:i/>
          <w:iCs/>
          <w:lang w:val="fr-FR"/>
        </w:rPr>
        <w:t>.</w:t>
      </w:r>
      <w:r w:rsidRPr="006835D9">
        <w:rPr>
          <w:bCs/>
          <w:i/>
          <w:iCs/>
          <w:lang w:val="fr-FR"/>
        </w:rPr>
        <w:t>15/AC</w:t>
      </w:r>
      <w:r w:rsidR="00FC1209" w:rsidRPr="00FC1209">
        <w:rPr>
          <w:bCs/>
          <w:i/>
          <w:iCs/>
          <w:lang w:val="fr-FR"/>
        </w:rPr>
        <w:t>.</w:t>
      </w:r>
      <w:r w:rsidRPr="006835D9">
        <w:rPr>
          <w:bCs/>
          <w:i/>
          <w:iCs/>
          <w:lang w:val="fr-FR"/>
        </w:rPr>
        <w:t>1/2021/22 tel qu</w:t>
      </w:r>
      <w:r w:rsidR="00F70B88">
        <w:rPr>
          <w:bCs/>
          <w:i/>
          <w:iCs/>
          <w:lang w:val="fr-FR"/>
        </w:rPr>
        <w:t>’</w:t>
      </w:r>
      <w:r w:rsidRPr="006835D9">
        <w:rPr>
          <w:bCs/>
          <w:i/>
          <w:iCs/>
          <w:lang w:val="fr-FR"/>
        </w:rPr>
        <w:t>amendé par le document informel INF</w:t>
      </w:r>
      <w:r w:rsidR="00FC1209" w:rsidRPr="00FC1209">
        <w:rPr>
          <w:bCs/>
          <w:i/>
          <w:iCs/>
          <w:lang w:val="fr-FR"/>
        </w:rPr>
        <w:t>.</w:t>
      </w:r>
      <w:r w:rsidRPr="006835D9">
        <w:rPr>
          <w:bCs/>
          <w:i/>
          <w:iCs/>
          <w:lang w:val="fr-FR"/>
        </w:rPr>
        <w:t>40)</w:t>
      </w:r>
    </w:p>
    <w:p w14:paraId="0E5FB1E9" w14:textId="20418C22" w:rsidR="00520996" w:rsidRPr="006835D9" w:rsidRDefault="00520996" w:rsidP="00520996">
      <w:pPr>
        <w:pStyle w:val="H1G"/>
        <w:rPr>
          <w:lang w:val="fr-FR"/>
        </w:rPr>
      </w:pPr>
      <w:r w:rsidRPr="006835D9">
        <w:rPr>
          <w:lang w:val="fr-FR"/>
        </w:rPr>
        <w:tab/>
      </w:r>
      <w:r w:rsidRPr="006835D9">
        <w:rPr>
          <w:lang w:val="fr-FR"/>
        </w:rPr>
        <w:tab/>
        <w:t>Chapitre 5</w:t>
      </w:r>
      <w:r w:rsidR="00FC1209" w:rsidRPr="00FC1209">
        <w:rPr>
          <w:lang w:val="fr-FR"/>
        </w:rPr>
        <w:t>.</w:t>
      </w:r>
      <w:r w:rsidRPr="006835D9">
        <w:rPr>
          <w:lang w:val="fr-FR"/>
        </w:rPr>
        <w:t>5</w:t>
      </w:r>
    </w:p>
    <w:p w14:paraId="0838FEE8" w14:textId="0097A656" w:rsidR="00520996" w:rsidRPr="006835D9" w:rsidRDefault="00520996" w:rsidP="00520996">
      <w:pPr>
        <w:pStyle w:val="SingleTxtG"/>
        <w:ind w:right="1133"/>
        <w:rPr>
          <w:bCs/>
          <w:lang w:val="fr-FR"/>
        </w:rPr>
      </w:pPr>
      <w:r w:rsidRPr="006835D9">
        <w:rPr>
          <w:bCs/>
          <w:lang w:val="fr-FR"/>
        </w:rPr>
        <w:t>5</w:t>
      </w:r>
      <w:r w:rsidR="00FC1209" w:rsidRPr="00FC1209">
        <w:rPr>
          <w:bCs/>
          <w:lang w:val="fr-FR"/>
        </w:rPr>
        <w:t>.</w:t>
      </w:r>
      <w:r w:rsidRPr="006835D9">
        <w:rPr>
          <w:bCs/>
          <w:lang w:val="fr-FR"/>
        </w:rPr>
        <w:t>5</w:t>
      </w:r>
      <w:r w:rsidR="00FC1209" w:rsidRPr="00FC1209">
        <w:rPr>
          <w:bCs/>
          <w:lang w:val="fr-FR"/>
        </w:rPr>
        <w:t>.</w:t>
      </w:r>
      <w:r w:rsidRPr="006835D9">
        <w:rPr>
          <w:bCs/>
          <w:lang w:val="fr-FR"/>
        </w:rPr>
        <w:t>2</w:t>
      </w:r>
      <w:r w:rsidRPr="006835D9">
        <w:rPr>
          <w:bCs/>
          <w:lang w:val="fr-FR"/>
        </w:rPr>
        <w:tab/>
      </w:r>
      <w:r w:rsidRPr="006835D9">
        <w:rPr>
          <w:bCs/>
          <w:lang w:val="fr-FR"/>
        </w:rPr>
        <w:tab/>
        <w:t>[L</w:t>
      </w:r>
      <w:r w:rsidR="00F70B88">
        <w:rPr>
          <w:bCs/>
          <w:lang w:val="fr-FR"/>
        </w:rPr>
        <w:t>’</w:t>
      </w:r>
      <w:r w:rsidRPr="006835D9">
        <w:rPr>
          <w:bCs/>
          <w:lang w:val="fr-FR"/>
        </w:rPr>
        <w:t>amendement dans la version allemande ne s</w:t>
      </w:r>
      <w:r w:rsidR="00F70B88">
        <w:rPr>
          <w:bCs/>
          <w:lang w:val="fr-FR"/>
        </w:rPr>
        <w:t>’</w:t>
      </w:r>
      <w:r w:rsidRPr="006835D9">
        <w:rPr>
          <w:bCs/>
          <w:lang w:val="fr-FR"/>
        </w:rPr>
        <w:t>applique pas au texte français</w:t>
      </w:r>
      <w:r w:rsidR="00FC1209" w:rsidRPr="00FC1209">
        <w:rPr>
          <w:bCs/>
          <w:lang w:val="fr-FR"/>
        </w:rPr>
        <w:t>.</w:t>
      </w:r>
      <w:r w:rsidRPr="006835D9">
        <w:rPr>
          <w:bCs/>
          <w:lang w:val="fr-FR"/>
        </w:rPr>
        <w:t>]</w:t>
      </w:r>
    </w:p>
    <w:p w14:paraId="0D97B3CC" w14:textId="7A015529" w:rsidR="00520996" w:rsidRPr="006835D9" w:rsidRDefault="00520996" w:rsidP="00520996">
      <w:pPr>
        <w:pStyle w:val="SingleTxtG"/>
        <w:ind w:right="1133"/>
        <w:rPr>
          <w:bCs/>
          <w:lang w:val="fr-FR"/>
        </w:rPr>
      </w:pPr>
      <w:r w:rsidRPr="006835D9">
        <w:rPr>
          <w:bCs/>
          <w:lang w:val="fr-FR"/>
        </w:rPr>
        <w:t>5</w:t>
      </w:r>
      <w:r w:rsidR="00FC1209" w:rsidRPr="00FC1209">
        <w:rPr>
          <w:bCs/>
          <w:lang w:val="fr-FR"/>
        </w:rPr>
        <w:t>.</w:t>
      </w:r>
      <w:r w:rsidRPr="006835D9">
        <w:rPr>
          <w:bCs/>
          <w:lang w:val="fr-FR"/>
        </w:rPr>
        <w:t>5</w:t>
      </w:r>
      <w:r w:rsidR="00FC1209" w:rsidRPr="00FC1209">
        <w:rPr>
          <w:bCs/>
          <w:lang w:val="fr-FR"/>
        </w:rPr>
        <w:t>.</w:t>
      </w:r>
      <w:r w:rsidRPr="006835D9">
        <w:rPr>
          <w:bCs/>
          <w:lang w:val="fr-FR"/>
        </w:rPr>
        <w:t>2</w:t>
      </w:r>
      <w:r w:rsidR="00FC1209" w:rsidRPr="00FC1209">
        <w:rPr>
          <w:bCs/>
          <w:lang w:val="fr-FR"/>
        </w:rPr>
        <w:t>.</w:t>
      </w:r>
      <w:r w:rsidRPr="006835D9">
        <w:rPr>
          <w:bCs/>
          <w:lang w:val="fr-FR"/>
        </w:rPr>
        <w:t>1</w:t>
      </w:r>
      <w:r w:rsidR="00FC1209" w:rsidRPr="00FC1209">
        <w:rPr>
          <w:bCs/>
          <w:lang w:val="fr-FR"/>
        </w:rPr>
        <w:t>.</w:t>
      </w:r>
      <w:r w:rsidRPr="006835D9">
        <w:rPr>
          <w:bCs/>
          <w:lang w:val="fr-FR"/>
        </w:rPr>
        <w:t>1</w:t>
      </w:r>
      <w:r w:rsidRPr="006835D9">
        <w:rPr>
          <w:bCs/>
          <w:lang w:val="fr-FR"/>
        </w:rPr>
        <w:tab/>
        <w:t>[L</w:t>
      </w:r>
      <w:r w:rsidR="00F70B88">
        <w:rPr>
          <w:bCs/>
          <w:lang w:val="fr-FR"/>
        </w:rPr>
        <w:t>’</w:t>
      </w:r>
      <w:r w:rsidRPr="006835D9">
        <w:rPr>
          <w:bCs/>
          <w:lang w:val="fr-FR"/>
        </w:rPr>
        <w:t>amendement dans la version allemande ne s</w:t>
      </w:r>
      <w:r w:rsidR="00F70B88">
        <w:rPr>
          <w:bCs/>
          <w:lang w:val="fr-FR"/>
        </w:rPr>
        <w:t>’</w:t>
      </w:r>
      <w:r w:rsidRPr="006835D9">
        <w:rPr>
          <w:bCs/>
          <w:lang w:val="fr-FR"/>
        </w:rPr>
        <w:t>applique pas au texte français</w:t>
      </w:r>
      <w:r w:rsidR="00FC1209" w:rsidRPr="00FC1209">
        <w:rPr>
          <w:bCs/>
          <w:lang w:val="fr-FR"/>
        </w:rPr>
        <w:t>.</w:t>
      </w:r>
      <w:r w:rsidRPr="006835D9">
        <w:rPr>
          <w:bCs/>
          <w:lang w:val="fr-FR"/>
        </w:rPr>
        <w:t>]</w:t>
      </w:r>
    </w:p>
    <w:p w14:paraId="0FD93E5A" w14:textId="08CB59A4" w:rsidR="00520996" w:rsidRPr="006835D9" w:rsidRDefault="00520996" w:rsidP="00520996">
      <w:pPr>
        <w:pStyle w:val="SingleTxtG"/>
        <w:ind w:right="1133"/>
        <w:rPr>
          <w:bCs/>
          <w:lang w:val="fr-FR"/>
        </w:rPr>
      </w:pPr>
      <w:r w:rsidRPr="006835D9">
        <w:rPr>
          <w:bCs/>
          <w:lang w:val="fr-FR"/>
        </w:rPr>
        <w:t>5</w:t>
      </w:r>
      <w:r w:rsidR="00FC1209" w:rsidRPr="00FC1209">
        <w:rPr>
          <w:bCs/>
          <w:lang w:val="fr-FR"/>
        </w:rPr>
        <w:t>.</w:t>
      </w:r>
      <w:r w:rsidRPr="006835D9">
        <w:rPr>
          <w:bCs/>
          <w:lang w:val="fr-FR"/>
        </w:rPr>
        <w:t>5</w:t>
      </w:r>
      <w:r w:rsidR="00FC1209" w:rsidRPr="00FC1209">
        <w:rPr>
          <w:bCs/>
          <w:lang w:val="fr-FR"/>
        </w:rPr>
        <w:t>.</w:t>
      </w:r>
      <w:r w:rsidRPr="006835D9">
        <w:rPr>
          <w:bCs/>
          <w:lang w:val="fr-FR"/>
        </w:rPr>
        <w:t>2</w:t>
      </w:r>
      <w:r w:rsidR="00FC1209" w:rsidRPr="00FC1209">
        <w:rPr>
          <w:bCs/>
          <w:lang w:val="fr-FR"/>
        </w:rPr>
        <w:t>.</w:t>
      </w:r>
      <w:r w:rsidRPr="006835D9">
        <w:rPr>
          <w:bCs/>
          <w:lang w:val="fr-FR"/>
        </w:rPr>
        <w:t>1</w:t>
      </w:r>
      <w:r w:rsidR="00FC1209" w:rsidRPr="00FC1209">
        <w:rPr>
          <w:bCs/>
          <w:lang w:val="fr-FR"/>
        </w:rPr>
        <w:t>.</w:t>
      </w:r>
      <w:r w:rsidRPr="006835D9">
        <w:rPr>
          <w:bCs/>
          <w:lang w:val="fr-FR"/>
        </w:rPr>
        <w:t>2</w:t>
      </w:r>
      <w:r w:rsidRPr="006835D9">
        <w:rPr>
          <w:bCs/>
          <w:lang w:val="fr-FR"/>
        </w:rPr>
        <w:tab/>
        <w:t>[L</w:t>
      </w:r>
      <w:r w:rsidR="00F70B88">
        <w:rPr>
          <w:bCs/>
          <w:lang w:val="fr-FR"/>
        </w:rPr>
        <w:t>’</w:t>
      </w:r>
      <w:r w:rsidRPr="006835D9">
        <w:rPr>
          <w:bCs/>
          <w:lang w:val="fr-FR"/>
        </w:rPr>
        <w:t>amendement dans la version allemande ne s</w:t>
      </w:r>
      <w:r w:rsidR="00F70B88">
        <w:rPr>
          <w:bCs/>
          <w:lang w:val="fr-FR"/>
        </w:rPr>
        <w:t>’</w:t>
      </w:r>
      <w:r w:rsidRPr="006835D9">
        <w:rPr>
          <w:bCs/>
          <w:lang w:val="fr-FR"/>
        </w:rPr>
        <w:t>applique pas au texte français</w:t>
      </w:r>
      <w:r w:rsidR="00FC1209" w:rsidRPr="00FC1209">
        <w:rPr>
          <w:bCs/>
          <w:lang w:val="fr-FR"/>
        </w:rPr>
        <w:t>.</w:t>
      </w:r>
      <w:r w:rsidRPr="006835D9">
        <w:rPr>
          <w:bCs/>
          <w:lang w:val="fr-FR"/>
        </w:rPr>
        <w:t>]</w:t>
      </w:r>
    </w:p>
    <w:p w14:paraId="1C39C0BD" w14:textId="326D34DC" w:rsidR="00520996" w:rsidRPr="006835D9" w:rsidRDefault="00520996" w:rsidP="00520996">
      <w:pPr>
        <w:pStyle w:val="SingleTxtG"/>
        <w:ind w:right="1133"/>
        <w:rPr>
          <w:bCs/>
          <w:lang w:val="fr-FR"/>
        </w:rPr>
      </w:pPr>
      <w:r w:rsidRPr="006835D9">
        <w:rPr>
          <w:bCs/>
          <w:lang w:val="fr-FR"/>
        </w:rPr>
        <w:t>5</w:t>
      </w:r>
      <w:r w:rsidR="00FC1209" w:rsidRPr="00FC1209">
        <w:rPr>
          <w:bCs/>
          <w:lang w:val="fr-FR"/>
        </w:rPr>
        <w:t>.</w:t>
      </w:r>
      <w:r w:rsidRPr="006835D9">
        <w:rPr>
          <w:bCs/>
          <w:lang w:val="fr-FR"/>
        </w:rPr>
        <w:t>5</w:t>
      </w:r>
      <w:r w:rsidR="00FC1209" w:rsidRPr="00FC1209">
        <w:rPr>
          <w:bCs/>
          <w:lang w:val="fr-FR"/>
        </w:rPr>
        <w:t>.</w:t>
      </w:r>
      <w:r w:rsidRPr="006835D9">
        <w:rPr>
          <w:bCs/>
          <w:lang w:val="fr-FR"/>
        </w:rPr>
        <w:t>2</w:t>
      </w:r>
      <w:r w:rsidR="00FC1209" w:rsidRPr="00FC1209">
        <w:rPr>
          <w:bCs/>
          <w:lang w:val="fr-FR"/>
        </w:rPr>
        <w:t>.</w:t>
      </w:r>
      <w:r w:rsidRPr="006835D9">
        <w:rPr>
          <w:bCs/>
          <w:lang w:val="fr-FR"/>
        </w:rPr>
        <w:t>1</w:t>
      </w:r>
      <w:r w:rsidR="00FC1209" w:rsidRPr="00FC1209">
        <w:rPr>
          <w:bCs/>
          <w:lang w:val="fr-FR"/>
        </w:rPr>
        <w:t>.</w:t>
      </w:r>
      <w:r w:rsidRPr="006835D9">
        <w:rPr>
          <w:bCs/>
          <w:lang w:val="fr-FR"/>
        </w:rPr>
        <w:t>3</w:t>
      </w:r>
      <w:r w:rsidRPr="006835D9">
        <w:rPr>
          <w:bCs/>
          <w:lang w:val="fr-FR"/>
        </w:rPr>
        <w:tab/>
        <w:t>[L</w:t>
      </w:r>
      <w:r w:rsidR="00F70B88">
        <w:rPr>
          <w:bCs/>
          <w:lang w:val="fr-FR"/>
        </w:rPr>
        <w:t>’</w:t>
      </w:r>
      <w:r w:rsidRPr="006835D9">
        <w:rPr>
          <w:bCs/>
          <w:lang w:val="fr-FR"/>
        </w:rPr>
        <w:t>amendement dans la version allemande ne s</w:t>
      </w:r>
      <w:r w:rsidR="00F70B88">
        <w:rPr>
          <w:bCs/>
          <w:lang w:val="fr-FR"/>
        </w:rPr>
        <w:t>’</w:t>
      </w:r>
      <w:r w:rsidRPr="006835D9">
        <w:rPr>
          <w:bCs/>
          <w:lang w:val="fr-FR"/>
        </w:rPr>
        <w:t>applique pas au texte français</w:t>
      </w:r>
      <w:r w:rsidR="00FC1209" w:rsidRPr="00FC1209">
        <w:rPr>
          <w:bCs/>
          <w:lang w:val="fr-FR"/>
        </w:rPr>
        <w:t>.</w:t>
      </w:r>
      <w:r w:rsidRPr="006835D9">
        <w:rPr>
          <w:bCs/>
          <w:lang w:val="fr-FR"/>
        </w:rPr>
        <w:t>]</w:t>
      </w:r>
    </w:p>
    <w:p w14:paraId="6EA3D56B" w14:textId="56E42C6A" w:rsidR="00520996" w:rsidRPr="006835D9" w:rsidRDefault="00520996" w:rsidP="00520996">
      <w:pPr>
        <w:pStyle w:val="SingleTxtG"/>
        <w:ind w:right="1133"/>
        <w:rPr>
          <w:bCs/>
          <w:lang w:val="fr-FR"/>
        </w:rPr>
      </w:pPr>
      <w:r w:rsidRPr="006835D9">
        <w:rPr>
          <w:bCs/>
          <w:lang w:val="fr-FR"/>
        </w:rPr>
        <w:t>5</w:t>
      </w:r>
      <w:r w:rsidR="00FC1209" w:rsidRPr="00FC1209">
        <w:rPr>
          <w:bCs/>
          <w:lang w:val="fr-FR"/>
        </w:rPr>
        <w:t>.</w:t>
      </w:r>
      <w:r w:rsidRPr="006835D9">
        <w:rPr>
          <w:bCs/>
          <w:lang w:val="fr-FR"/>
        </w:rPr>
        <w:t>5</w:t>
      </w:r>
      <w:r w:rsidR="00FC1209" w:rsidRPr="00FC1209">
        <w:rPr>
          <w:bCs/>
          <w:lang w:val="fr-FR"/>
        </w:rPr>
        <w:t>.</w:t>
      </w:r>
      <w:r w:rsidRPr="006835D9">
        <w:rPr>
          <w:bCs/>
          <w:lang w:val="fr-FR"/>
        </w:rPr>
        <w:t>2</w:t>
      </w:r>
      <w:r w:rsidR="00FC1209" w:rsidRPr="00FC1209">
        <w:rPr>
          <w:bCs/>
          <w:lang w:val="fr-FR"/>
        </w:rPr>
        <w:t>.</w:t>
      </w:r>
      <w:r w:rsidRPr="006835D9">
        <w:rPr>
          <w:bCs/>
          <w:lang w:val="fr-FR"/>
        </w:rPr>
        <w:t>2</w:t>
      </w:r>
      <w:r w:rsidRPr="006835D9">
        <w:rPr>
          <w:bCs/>
          <w:lang w:val="fr-FR"/>
        </w:rPr>
        <w:tab/>
      </w:r>
      <w:r w:rsidRPr="006835D9">
        <w:rPr>
          <w:bCs/>
          <w:lang w:val="fr-FR"/>
        </w:rPr>
        <w:tab/>
        <w:t>[L</w:t>
      </w:r>
      <w:r w:rsidR="00F70B88">
        <w:rPr>
          <w:bCs/>
          <w:lang w:val="fr-FR"/>
        </w:rPr>
        <w:t>’</w:t>
      </w:r>
      <w:r w:rsidRPr="006835D9">
        <w:rPr>
          <w:bCs/>
          <w:lang w:val="fr-FR"/>
        </w:rPr>
        <w:t>amendement dans la version allemande ne s</w:t>
      </w:r>
      <w:r w:rsidR="00F70B88">
        <w:rPr>
          <w:bCs/>
          <w:lang w:val="fr-FR"/>
        </w:rPr>
        <w:t>’</w:t>
      </w:r>
      <w:r w:rsidRPr="006835D9">
        <w:rPr>
          <w:bCs/>
          <w:lang w:val="fr-FR"/>
        </w:rPr>
        <w:t>applique pas au texte français</w:t>
      </w:r>
      <w:r w:rsidR="00FC1209" w:rsidRPr="00FC1209">
        <w:rPr>
          <w:bCs/>
          <w:lang w:val="fr-FR"/>
        </w:rPr>
        <w:t>.</w:t>
      </w:r>
      <w:r w:rsidRPr="006835D9">
        <w:rPr>
          <w:bCs/>
          <w:lang w:val="fr-FR"/>
        </w:rPr>
        <w:t>]</w:t>
      </w:r>
    </w:p>
    <w:p w14:paraId="1E3F6402" w14:textId="46B1D950" w:rsidR="00520996" w:rsidRPr="006835D9" w:rsidRDefault="00520996" w:rsidP="00520996">
      <w:pPr>
        <w:pStyle w:val="SingleTxtG"/>
        <w:ind w:right="1133"/>
        <w:rPr>
          <w:bCs/>
          <w:lang w:val="fr-FR"/>
        </w:rPr>
      </w:pPr>
      <w:r w:rsidRPr="006835D9">
        <w:rPr>
          <w:bCs/>
          <w:lang w:val="fr-FR"/>
        </w:rPr>
        <w:t>5</w:t>
      </w:r>
      <w:r w:rsidR="00FC1209" w:rsidRPr="00FC1209">
        <w:rPr>
          <w:bCs/>
          <w:lang w:val="fr-FR"/>
        </w:rPr>
        <w:t>.</w:t>
      </w:r>
      <w:r w:rsidRPr="006835D9">
        <w:rPr>
          <w:bCs/>
          <w:lang w:val="fr-FR"/>
        </w:rPr>
        <w:t>5</w:t>
      </w:r>
      <w:r w:rsidR="00FC1209" w:rsidRPr="00FC1209">
        <w:rPr>
          <w:bCs/>
          <w:lang w:val="fr-FR"/>
        </w:rPr>
        <w:t>.</w:t>
      </w:r>
      <w:r w:rsidRPr="006835D9">
        <w:rPr>
          <w:bCs/>
          <w:lang w:val="fr-FR"/>
        </w:rPr>
        <w:t>2</w:t>
      </w:r>
      <w:r w:rsidR="00FC1209" w:rsidRPr="00FC1209">
        <w:rPr>
          <w:bCs/>
          <w:lang w:val="fr-FR"/>
        </w:rPr>
        <w:t>.</w:t>
      </w:r>
      <w:r w:rsidRPr="006835D9">
        <w:rPr>
          <w:bCs/>
          <w:lang w:val="fr-FR"/>
        </w:rPr>
        <w:t>3</w:t>
      </w:r>
      <w:r w:rsidR="00FC1209" w:rsidRPr="00FC1209">
        <w:rPr>
          <w:bCs/>
          <w:lang w:val="fr-FR"/>
        </w:rPr>
        <w:t>.</w:t>
      </w:r>
      <w:r w:rsidRPr="006835D9">
        <w:rPr>
          <w:bCs/>
          <w:lang w:val="fr-FR"/>
        </w:rPr>
        <w:t>1</w:t>
      </w:r>
      <w:r w:rsidRPr="006835D9">
        <w:rPr>
          <w:bCs/>
          <w:lang w:val="fr-FR"/>
        </w:rPr>
        <w:tab/>
        <w:t>[L</w:t>
      </w:r>
      <w:r w:rsidR="00F70B88">
        <w:rPr>
          <w:bCs/>
          <w:lang w:val="fr-FR"/>
        </w:rPr>
        <w:t>’</w:t>
      </w:r>
      <w:r w:rsidRPr="006835D9">
        <w:rPr>
          <w:bCs/>
          <w:lang w:val="fr-FR"/>
        </w:rPr>
        <w:t>amendement dans la version allemande ne s</w:t>
      </w:r>
      <w:r w:rsidR="00F70B88">
        <w:rPr>
          <w:bCs/>
          <w:lang w:val="fr-FR"/>
        </w:rPr>
        <w:t>’</w:t>
      </w:r>
      <w:r w:rsidRPr="006835D9">
        <w:rPr>
          <w:bCs/>
          <w:lang w:val="fr-FR"/>
        </w:rPr>
        <w:t>applique pas au texte français</w:t>
      </w:r>
      <w:r w:rsidR="00FC1209" w:rsidRPr="00FC1209">
        <w:rPr>
          <w:bCs/>
          <w:lang w:val="fr-FR"/>
        </w:rPr>
        <w:t>.</w:t>
      </w:r>
      <w:r w:rsidRPr="006835D9">
        <w:rPr>
          <w:bCs/>
          <w:lang w:val="fr-FR"/>
        </w:rPr>
        <w:t>]</w:t>
      </w:r>
    </w:p>
    <w:p w14:paraId="00EC5734" w14:textId="2559EB74" w:rsidR="00520996" w:rsidRPr="006835D9" w:rsidRDefault="00520996" w:rsidP="00520996">
      <w:pPr>
        <w:pStyle w:val="SingleTxtG"/>
        <w:ind w:right="1133"/>
        <w:rPr>
          <w:bCs/>
          <w:lang w:val="fr-FR"/>
        </w:rPr>
      </w:pPr>
      <w:r w:rsidRPr="006835D9">
        <w:rPr>
          <w:bCs/>
          <w:lang w:val="fr-FR"/>
        </w:rPr>
        <w:t>5</w:t>
      </w:r>
      <w:r w:rsidR="00FC1209" w:rsidRPr="00FC1209">
        <w:rPr>
          <w:bCs/>
          <w:lang w:val="fr-FR"/>
        </w:rPr>
        <w:t>.</w:t>
      </w:r>
      <w:r w:rsidRPr="006835D9">
        <w:rPr>
          <w:bCs/>
          <w:lang w:val="fr-FR"/>
        </w:rPr>
        <w:t>5</w:t>
      </w:r>
      <w:r w:rsidR="00FC1209" w:rsidRPr="00FC1209">
        <w:rPr>
          <w:bCs/>
          <w:lang w:val="fr-FR"/>
        </w:rPr>
        <w:t>.</w:t>
      </w:r>
      <w:r w:rsidRPr="006835D9">
        <w:rPr>
          <w:bCs/>
          <w:lang w:val="fr-FR"/>
        </w:rPr>
        <w:t>2</w:t>
      </w:r>
      <w:r w:rsidR="00FC1209" w:rsidRPr="00FC1209">
        <w:rPr>
          <w:bCs/>
          <w:lang w:val="fr-FR"/>
        </w:rPr>
        <w:t>.</w:t>
      </w:r>
      <w:r w:rsidRPr="006835D9">
        <w:rPr>
          <w:bCs/>
          <w:lang w:val="fr-FR"/>
        </w:rPr>
        <w:t>3</w:t>
      </w:r>
      <w:r w:rsidR="00FC1209" w:rsidRPr="00FC1209">
        <w:rPr>
          <w:bCs/>
          <w:lang w:val="fr-FR"/>
        </w:rPr>
        <w:t>.</w:t>
      </w:r>
      <w:r w:rsidRPr="006835D9">
        <w:rPr>
          <w:bCs/>
          <w:lang w:val="fr-FR"/>
        </w:rPr>
        <w:t>3</w:t>
      </w:r>
      <w:r w:rsidRPr="006835D9">
        <w:rPr>
          <w:bCs/>
          <w:lang w:val="fr-FR"/>
        </w:rPr>
        <w:tab/>
        <w:t>[L</w:t>
      </w:r>
      <w:r w:rsidR="00F70B88">
        <w:rPr>
          <w:bCs/>
          <w:lang w:val="fr-FR"/>
        </w:rPr>
        <w:t>’</w:t>
      </w:r>
      <w:r w:rsidRPr="006835D9">
        <w:rPr>
          <w:bCs/>
          <w:lang w:val="fr-FR"/>
        </w:rPr>
        <w:t>amendement dans la version allemande ne s</w:t>
      </w:r>
      <w:r w:rsidR="00F70B88">
        <w:rPr>
          <w:bCs/>
          <w:lang w:val="fr-FR"/>
        </w:rPr>
        <w:t>’</w:t>
      </w:r>
      <w:r w:rsidRPr="006835D9">
        <w:rPr>
          <w:bCs/>
          <w:lang w:val="fr-FR"/>
        </w:rPr>
        <w:t>applique pas au texte français</w:t>
      </w:r>
      <w:r w:rsidR="00FC1209" w:rsidRPr="00FC1209">
        <w:rPr>
          <w:bCs/>
          <w:lang w:val="fr-FR"/>
        </w:rPr>
        <w:t>.</w:t>
      </w:r>
      <w:r w:rsidRPr="006835D9">
        <w:rPr>
          <w:bCs/>
          <w:lang w:val="fr-FR"/>
        </w:rPr>
        <w:t>]</w:t>
      </w:r>
    </w:p>
    <w:p w14:paraId="05DA1B65" w14:textId="1E914DA7" w:rsidR="00520996" w:rsidRPr="006835D9" w:rsidRDefault="00520996" w:rsidP="00520996">
      <w:pPr>
        <w:pStyle w:val="SingleTxtG"/>
        <w:ind w:right="1133"/>
        <w:rPr>
          <w:bCs/>
          <w:lang w:val="fr-FR"/>
        </w:rPr>
      </w:pPr>
      <w:r w:rsidRPr="006835D9">
        <w:rPr>
          <w:bCs/>
          <w:lang w:val="fr-FR"/>
        </w:rPr>
        <w:t>5</w:t>
      </w:r>
      <w:r w:rsidR="00FC1209" w:rsidRPr="00FC1209">
        <w:rPr>
          <w:bCs/>
          <w:lang w:val="fr-FR"/>
        </w:rPr>
        <w:t>.</w:t>
      </w:r>
      <w:r w:rsidRPr="006835D9">
        <w:rPr>
          <w:bCs/>
          <w:lang w:val="fr-FR"/>
        </w:rPr>
        <w:t>5</w:t>
      </w:r>
      <w:r w:rsidR="00FC1209" w:rsidRPr="00FC1209">
        <w:rPr>
          <w:bCs/>
          <w:lang w:val="fr-FR"/>
        </w:rPr>
        <w:t>.</w:t>
      </w:r>
      <w:r w:rsidRPr="006835D9">
        <w:rPr>
          <w:bCs/>
          <w:lang w:val="fr-FR"/>
        </w:rPr>
        <w:t>2</w:t>
      </w:r>
      <w:r w:rsidR="00FC1209" w:rsidRPr="00FC1209">
        <w:rPr>
          <w:bCs/>
          <w:lang w:val="fr-FR"/>
        </w:rPr>
        <w:t>.</w:t>
      </w:r>
      <w:r w:rsidRPr="006835D9">
        <w:rPr>
          <w:bCs/>
          <w:lang w:val="fr-FR"/>
        </w:rPr>
        <w:t>3</w:t>
      </w:r>
      <w:r w:rsidR="00FC1209" w:rsidRPr="00FC1209">
        <w:rPr>
          <w:bCs/>
          <w:lang w:val="fr-FR"/>
        </w:rPr>
        <w:t>.</w:t>
      </w:r>
      <w:r w:rsidRPr="006835D9">
        <w:rPr>
          <w:bCs/>
          <w:lang w:val="fr-FR"/>
        </w:rPr>
        <w:t>4</w:t>
      </w:r>
      <w:r w:rsidRPr="006835D9">
        <w:rPr>
          <w:bCs/>
          <w:lang w:val="fr-FR"/>
        </w:rPr>
        <w:tab/>
        <w:t>[L</w:t>
      </w:r>
      <w:r w:rsidR="00F70B88">
        <w:rPr>
          <w:bCs/>
          <w:lang w:val="fr-FR"/>
        </w:rPr>
        <w:t>’</w:t>
      </w:r>
      <w:r w:rsidRPr="006835D9">
        <w:rPr>
          <w:bCs/>
          <w:lang w:val="fr-FR"/>
        </w:rPr>
        <w:t>amendement dans la version allemande ne s</w:t>
      </w:r>
      <w:r w:rsidR="00F70B88">
        <w:rPr>
          <w:bCs/>
          <w:lang w:val="fr-FR"/>
        </w:rPr>
        <w:t>’</w:t>
      </w:r>
      <w:r w:rsidRPr="006835D9">
        <w:rPr>
          <w:bCs/>
          <w:lang w:val="fr-FR"/>
        </w:rPr>
        <w:t>applique pas au texte français</w:t>
      </w:r>
      <w:r w:rsidR="00FC1209" w:rsidRPr="00FC1209">
        <w:rPr>
          <w:bCs/>
          <w:lang w:val="fr-FR"/>
        </w:rPr>
        <w:t>.</w:t>
      </w:r>
      <w:r w:rsidRPr="006835D9">
        <w:rPr>
          <w:bCs/>
          <w:lang w:val="fr-FR"/>
        </w:rPr>
        <w:t>]</w:t>
      </w:r>
    </w:p>
    <w:p w14:paraId="1B599955" w14:textId="6B891CF5" w:rsidR="00520996" w:rsidRPr="006835D9" w:rsidRDefault="00520996" w:rsidP="00520996">
      <w:pPr>
        <w:pStyle w:val="SingleTxtG"/>
        <w:ind w:right="1133"/>
        <w:rPr>
          <w:bCs/>
          <w:lang w:val="fr-FR"/>
        </w:rPr>
      </w:pPr>
      <w:r w:rsidRPr="006835D9">
        <w:rPr>
          <w:bCs/>
          <w:lang w:val="fr-FR"/>
        </w:rPr>
        <w:t>5</w:t>
      </w:r>
      <w:r w:rsidR="00FC1209" w:rsidRPr="00FC1209">
        <w:rPr>
          <w:bCs/>
          <w:lang w:val="fr-FR"/>
        </w:rPr>
        <w:t>.</w:t>
      </w:r>
      <w:r w:rsidRPr="006835D9">
        <w:rPr>
          <w:bCs/>
          <w:lang w:val="fr-FR"/>
        </w:rPr>
        <w:t>5</w:t>
      </w:r>
      <w:r w:rsidR="00FC1209" w:rsidRPr="00FC1209">
        <w:rPr>
          <w:bCs/>
          <w:lang w:val="fr-FR"/>
        </w:rPr>
        <w:t>.</w:t>
      </w:r>
      <w:r w:rsidRPr="006835D9">
        <w:rPr>
          <w:bCs/>
          <w:lang w:val="fr-FR"/>
        </w:rPr>
        <w:t>2</w:t>
      </w:r>
      <w:r w:rsidR="00FC1209" w:rsidRPr="00FC1209">
        <w:rPr>
          <w:bCs/>
          <w:lang w:val="fr-FR"/>
        </w:rPr>
        <w:t>.</w:t>
      </w:r>
      <w:r w:rsidRPr="006835D9">
        <w:rPr>
          <w:bCs/>
          <w:lang w:val="fr-FR"/>
        </w:rPr>
        <w:t>3</w:t>
      </w:r>
      <w:r w:rsidR="00FC1209" w:rsidRPr="00FC1209">
        <w:rPr>
          <w:bCs/>
          <w:lang w:val="fr-FR"/>
        </w:rPr>
        <w:t>.</w:t>
      </w:r>
      <w:r w:rsidRPr="006835D9">
        <w:rPr>
          <w:bCs/>
          <w:lang w:val="fr-FR"/>
        </w:rPr>
        <w:t>5</w:t>
      </w:r>
      <w:r w:rsidRPr="006835D9">
        <w:rPr>
          <w:bCs/>
          <w:lang w:val="fr-FR"/>
        </w:rPr>
        <w:tab/>
        <w:t>[L</w:t>
      </w:r>
      <w:r w:rsidR="00F70B88">
        <w:rPr>
          <w:bCs/>
          <w:lang w:val="fr-FR"/>
        </w:rPr>
        <w:t>’</w:t>
      </w:r>
      <w:r w:rsidRPr="006835D9">
        <w:rPr>
          <w:bCs/>
          <w:lang w:val="fr-FR"/>
        </w:rPr>
        <w:t>amendement dans la version allemande ne s</w:t>
      </w:r>
      <w:r w:rsidR="00F70B88">
        <w:rPr>
          <w:bCs/>
          <w:lang w:val="fr-FR"/>
        </w:rPr>
        <w:t>’</w:t>
      </w:r>
      <w:r w:rsidRPr="006835D9">
        <w:rPr>
          <w:bCs/>
          <w:lang w:val="fr-FR"/>
        </w:rPr>
        <w:t>applique pas au texte français</w:t>
      </w:r>
      <w:r w:rsidR="00FC1209" w:rsidRPr="00FC1209">
        <w:rPr>
          <w:bCs/>
          <w:lang w:val="fr-FR"/>
        </w:rPr>
        <w:t>.</w:t>
      </w:r>
      <w:r w:rsidRPr="006835D9">
        <w:rPr>
          <w:bCs/>
          <w:lang w:val="fr-FR"/>
        </w:rPr>
        <w:t>]</w:t>
      </w:r>
    </w:p>
    <w:p w14:paraId="575C1439" w14:textId="0CB5C5D9" w:rsidR="00520996" w:rsidRPr="006835D9" w:rsidRDefault="00520996" w:rsidP="00520996">
      <w:pPr>
        <w:pStyle w:val="SingleTxtG"/>
        <w:ind w:right="1133"/>
        <w:rPr>
          <w:bCs/>
          <w:lang w:val="fr-FR"/>
        </w:rPr>
      </w:pPr>
      <w:r w:rsidRPr="006835D9">
        <w:rPr>
          <w:bCs/>
          <w:lang w:val="fr-FR"/>
        </w:rPr>
        <w:t>5</w:t>
      </w:r>
      <w:r w:rsidR="00FC1209" w:rsidRPr="00FC1209">
        <w:rPr>
          <w:bCs/>
          <w:lang w:val="fr-FR"/>
        </w:rPr>
        <w:t>.</w:t>
      </w:r>
      <w:r w:rsidRPr="006835D9">
        <w:rPr>
          <w:bCs/>
          <w:lang w:val="fr-FR"/>
        </w:rPr>
        <w:t>5</w:t>
      </w:r>
      <w:r w:rsidR="00FC1209" w:rsidRPr="00FC1209">
        <w:rPr>
          <w:bCs/>
          <w:lang w:val="fr-FR"/>
        </w:rPr>
        <w:t>.</w:t>
      </w:r>
      <w:r w:rsidRPr="006835D9">
        <w:rPr>
          <w:bCs/>
          <w:lang w:val="fr-FR"/>
        </w:rPr>
        <w:t>2</w:t>
      </w:r>
      <w:r w:rsidR="00FC1209" w:rsidRPr="00FC1209">
        <w:rPr>
          <w:bCs/>
          <w:lang w:val="fr-FR"/>
        </w:rPr>
        <w:t>.</w:t>
      </w:r>
      <w:r w:rsidRPr="006835D9">
        <w:rPr>
          <w:bCs/>
          <w:lang w:val="fr-FR"/>
        </w:rPr>
        <w:t>4</w:t>
      </w:r>
      <w:r w:rsidR="00FC1209" w:rsidRPr="00FC1209">
        <w:rPr>
          <w:bCs/>
          <w:lang w:val="fr-FR"/>
        </w:rPr>
        <w:t>.</w:t>
      </w:r>
      <w:r w:rsidRPr="006835D9">
        <w:rPr>
          <w:bCs/>
          <w:lang w:val="fr-FR"/>
        </w:rPr>
        <w:t>1</w:t>
      </w:r>
      <w:r w:rsidRPr="006835D9">
        <w:rPr>
          <w:bCs/>
          <w:lang w:val="fr-FR"/>
        </w:rPr>
        <w:tab/>
        <w:t>[L</w:t>
      </w:r>
      <w:r w:rsidR="00F70B88">
        <w:rPr>
          <w:bCs/>
          <w:lang w:val="fr-FR"/>
        </w:rPr>
        <w:t>’</w:t>
      </w:r>
      <w:r w:rsidRPr="006835D9">
        <w:rPr>
          <w:bCs/>
          <w:lang w:val="fr-FR"/>
        </w:rPr>
        <w:t>amendement dans la version allemande ne s</w:t>
      </w:r>
      <w:r w:rsidR="00F70B88">
        <w:rPr>
          <w:bCs/>
          <w:lang w:val="fr-FR"/>
        </w:rPr>
        <w:t>’</w:t>
      </w:r>
      <w:r w:rsidRPr="006835D9">
        <w:rPr>
          <w:bCs/>
          <w:lang w:val="fr-FR"/>
        </w:rPr>
        <w:t>applique pas au texte français</w:t>
      </w:r>
      <w:r w:rsidR="00FC1209" w:rsidRPr="00FC1209">
        <w:rPr>
          <w:bCs/>
          <w:lang w:val="fr-FR"/>
        </w:rPr>
        <w:t>.</w:t>
      </w:r>
      <w:r w:rsidRPr="006835D9">
        <w:rPr>
          <w:bCs/>
          <w:lang w:val="fr-FR"/>
        </w:rPr>
        <w:t>]</w:t>
      </w:r>
    </w:p>
    <w:p w14:paraId="0280AE0F" w14:textId="3F72B94E" w:rsidR="00520996" w:rsidRPr="006835D9" w:rsidRDefault="00520996" w:rsidP="00520996">
      <w:pPr>
        <w:pStyle w:val="SingleTxtG"/>
        <w:ind w:right="1133"/>
        <w:rPr>
          <w:bCs/>
          <w:lang w:val="fr-FR"/>
        </w:rPr>
      </w:pPr>
      <w:r w:rsidRPr="006835D9">
        <w:rPr>
          <w:bCs/>
          <w:lang w:val="fr-FR"/>
        </w:rPr>
        <w:t>5</w:t>
      </w:r>
      <w:r w:rsidR="00FC1209" w:rsidRPr="00FC1209">
        <w:rPr>
          <w:bCs/>
          <w:lang w:val="fr-FR"/>
        </w:rPr>
        <w:t>.</w:t>
      </w:r>
      <w:r w:rsidRPr="006835D9">
        <w:rPr>
          <w:bCs/>
          <w:lang w:val="fr-FR"/>
        </w:rPr>
        <w:t>5</w:t>
      </w:r>
      <w:r w:rsidR="00FC1209" w:rsidRPr="00FC1209">
        <w:rPr>
          <w:bCs/>
          <w:lang w:val="fr-FR"/>
        </w:rPr>
        <w:t>.</w:t>
      </w:r>
      <w:r w:rsidRPr="006835D9">
        <w:rPr>
          <w:bCs/>
          <w:lang w:val="fr-FR"/>
        </w:rPr>
        <w:t>2</w:t>
      </w:r>
      <w:r w:rsidR="00FC1209" w:rsidRPr="00FC1209">
        <w:rPr>
          <w:bCs/>
          <w:lang w:val="fr-FR"/>
        </w:rPr>
        <w:t>.</w:t>
      </w:r>
      <w:r w:rsidRPr="006835D9">
        <w:rPr>
          <w:bCs/>
          <w:lang w:val="fr-FR"/>
        </w:rPr>
        <w:t>4</w:t>
      </w:r>
      <w:r w:rsidR="00FC1209" w:rsidRPr="00FC1209">
        <w:rPr>
          <w:bCs/>
          <w:lang w:val="fr-FR"/>
        </w:rPr>
        <w:t>.</w:t>
      </w:r>
      <w:r w:rsidRPr="006835D9">
        <w:rPr>
          <w:bCs/>
          <w:lang w:val="fr-FR"/>
        </w:rPr>
        <w:t>4</w:t>
      </w:r>
      <w:r w:rsidRPr="006835D9">
        <w:rPr>
          <w:bCs/>
          <w:lang w:val="fr-FR"/>
        </w:rPr>
        <w:tab/>
        <w:t>[L</w:t>
      </w:r>
      <w:r w:rsidR="00F70B88">
        <w:rPr>
          <w:bCs/>
          <w:lang w:val="fr-FR"/>
        </w:rPr>
        <w:t>’</w:t>
      </w:r>
      <w:r w:rsidRPr="006835D9">
        <w:rPr>
          <w:bCs/>
          <w:lang w:val="fr-FR"/>
        </w:rPr>
        <w:t>amendement dans la version allemande ne s</w:t>
      </w:r>
      <w:r w:rsidR="00F70B88">
        <w:rPr>
          <w:bCs/>
          <w:lang w:val="fr-FR"/>
        </w:rPr>
        <w:t>’</w:t>
      </w:r>
      <w:r w:rsidRPr="006835D9">
        <w:rPr>
          <w:bCs/>
          <w:lang w:val="fr-FR"/>
        </w:rPr>
        <w:t>applique pas au texte français</w:t>
      </w:r>
      <w:r w:rsidR="00FC1209" w:rsidRPr="00FC1209">
        <w:rPr>
          <w:bCs/>
          <w:lang w:val="fr-FR"/>
        </w:rPr>
        <w:t>.</w:t>
      </w:r>
      <w:r w:rsidRPr="006835D9">
        <w:rPr>
          <w:bCs/>
          <w:lang w:val="fr-FR"/>
        </w:rPr>
        <w:t>]</w:t>
      </w:r>
    </w:p>
    <w:p w14:paraId="1DA21B11" w14:textId="21307DE3" w:rsidR="00520996" w:rsidRPr="006835D9" w:rsidRDefault="00520996" w:rsidP="00520996">
      <w:pPr>
        <w:pStyle w:val="H1G"/>
        <w:rPr>
          <w:lang w:val="fr-FR"/>
        </w:rPr>
      </w:pPr>
      <w:r w:rsidRPr="006835D9">
        <w:rPr>
          <w:lang w:val="fr-FR"/>
        </w:rPr>
        <w:lastRenderedPageBreak/>
        <w:tab/>
      </w:r>
      <w:r w:rsidRPr="006835D9">
        <w:rPr>
          <w:lang w:val="fr-FR"/>
        </w:rPr>
        <w:tab/>
        <w:t>Chapitre 6</w:t>
      </w:r>
      <w:r w:rsidR="00FC1209" w:rsidRPr="00FC1209">
        <w:rPr>
          <w:lang w:val="fr-FR"/>
        </w:rPr>
        <w:t>.</w:t>
      </w:r>
      <w:r w:rsidRPr="006835D9">
        <w:rPr>
          <w:lang w:val="fr-FR"/>
        </w:rPr>
        <w:t>2</w:t>
      </w:r>
    </w:p>
    <w:p w14:paraId="6EF515B2" w14:textId="115D4DB8" w:rsidR="00520996" w:rsidRPr="006835D9" w:rsidRDefault="00520996" w:rsidP="00520996">
      <w:pPr>
        <w:pStyle w:val="SingleTxtG"/>
        <w:keepNext/>
        <w:rPr>
          <w:bCs/>
          <w:lang w:val="fr-FR"/>
        </w:rPr>
      </w:pPr>
      <w:r w:rsidRPr="006835D9">
        <w:rPr>
          <w:bCs/>
          <w:lang w:val="fr-FR"/>
        </w:rPr>
        <w:tab/>
        <w:t>6</w:t>
      </w:r>
      <w:r w:rsidR="00FC1209" w:rsidRPr="00FC1209">
        <w:rPr>
          <w:bCs/>
          <w:lang w:val="fr-FR"/>
        </w:rPr>
        <w:t>.</w:t>
      </w:r>
      <w:r w:rsidRPr="006835D9">
        <w:rPr>
          <w:bCs/>
          <w:lang w:val="fr-FR"/>
        </w:rPr>
        <w:t>2</w:t>
      </w:r>
      <w:r w:rsidR="00FC1209" w:rsidRPr="00FC1209">
        <w:rPr>
          <w:bCs/>
          <w:lang w:val="fr-FR"/>
        </w:rPr>
        <w:t>.</w:t>
      </w:r>
      <w:r w:rsidRPr="006835D9">
        <w:rPr>
          <w:bCs/>
          <w:lang w:val="fr-FR"/>
        </w:rPr>
        <w:t>3</w:t>
      </w:r>
      <w:r w:rsidR="00FC1209" w:rsidRPr="00FC1209">
        <w:rPr>
          <w:bCs/>
          <w:lang w:val="fr-FR"/>
        </w:rPr>
        <w:t>.</w:t>
      </w:r>
      <w:r w:rsidRPr="006835D9">
        <w:rPr>
          <w:bCs/>
          <w:lang w:val="fr-FR"/>
        </w:rPr>
        <w:t>1</w:t>
      </w:r>
      <w:r w:rsidR="00FC1209" w:rsidRPr="00FC1209">
        <w:rPr>
          <w:bCs/>
          <w:lang w:val="fr-FR"/>
        </w:rPr>
        <w:t>.</w:t>
      </w:r>
      <w:r w:rsidRPr="006835D9">
        <w:rPr>
          <w:bCs/>
          <w:lang w:val="fr-FR"/>
        </w:rPr>
        <w:t>5</w:t>
      </w:r>
      <w:r w:rsidRPr="006835D9">
        <w:rPr>
          <w:bCs/>
          <w:lang w:val="fr-FR"/>
        </w:rPr>
        <w:tab/>
        <w:t xml:space="preserve">Modifier </w:t>
      </w:r>
      <w:r>
        <w:rPr>
          <w:bCs/>
          <w:lang w:val="fr-FR"/>
        </w:rPr>
        <w:t>pour lire comme suit</w:t>
      </w:r>
      <w:r w:rsidRPr="006835D9">
        <w:rPr>
          <w:bCs/>
          <w:lang w:val="fr-FR"/>
        </w:rPr>
        <w:t> :</w:t>
      </w:r>
    </w:p>
    <w:p w14:paraId="4B4E3930" w14:textId="0840717F" w:rsidR="00520996" w:rsidRPr="006835D9" w:rsidRDefault="00520996" w:rsidP="00B528D4">
      <w:pPr>
        <w:pStyle w:val="SingleTxtG"/>
        <w:ind w:left="2268"/>
        <w:rPr>
          <w:bCs/>
          <w:lang w:val="fr-FR"/>
        </w:rPr>
      </w:pPr>
      <w:r w:rsidRPr="006835D9">
        <w:rPr>
          <w:bCs/>
          <w:lang w:val="fr-FR"/>
        </w:rPr>
        <w:t>« Les bouteilles d</w:t>
      </w:r>
      <w:r w:rsidR="00F70B88">
        <w:rPr>
          <w:bCs/>
          <w:lang w:val="fr-FR"/>
        </w:rPr>
        <w:t>’</w:t>
      </w:r>
      <w:r w:rsidRPr="006835D9">
        <w:rPr>
          <w:bCs/>
          <w:lang w:val="fr-FR"/>
        </w:rPr>
        <w:t>acétylène ne peuvent être munies de bouchons fusibles ou d</w:t>
      </w:r>
      <w:r w:rsidR="00F70B88">
        <w:rPr>
          <w:bCs/>
          <w:lang w:val="fr-FR"/>
        </w:rPr>
        <w:t>’</w:t>
      </w:r>
      <w:r w:rsidRPr="006835D9">
        <w:rPr>
          <w:bCs/>
          <w:lang w:val="fr-FR"/>
        </w:rPr>
        <w:t>autres dispositifs de décompression</w:t>
      </w:r>
      <w:r w:rsidR="00FC1209" w:rsidRPr="00FC1209">
        <w:rPr>
          <w:bCs/>
          <w:lang w:val="fr-FR"/>
        </w:rPr>
        <w:t>.</w:t>
      </w:r>
      <w:r w:rsidRPr="006835D9">
        <w:rPr>
          <w:bCs/>
          <w:lang w:val="fr-FR"/>
        </w:rPr>
        <w:t> »</w:t>
      </w:r>
      <w:r w:rsidR="00FC1209" w:rsidRPr="00FC1209">
        <w:rPr>
          <w:bCs/>
          <w:lang w:val="fr-FR"/>
        </w:rPr>
        <w:t>.</w:t>
      </w:r>
    </w:p>
    <w:p w14:paraId="12F4B318" w14:textId="16C17A79" w:rsidR="00520996" w:rsidRPr="006835D9" w:rsidRDefault="00520996" w:rsidP="005D3FA5">
      <w:pPr>
        <w:pStyle w:val="SingleTxtG"/>
        <w:rPr>
          <w:bCs/>
          <w:lang w:val="fr-FR"/>
        </w:rPr>
      </w:pPr>
      <w:r w:rsidRPr="006835D9">
        <w:rPr>
          <w:bCs/>
          <w:i/>
          <w:iCs/>
          <w:lang w:val="fr-FR"/>
        </w:rPr>
        <w:t>(Documents de référence : ECE/TRANS/WP</w:t>
      </w:r>
      <w:r w:rsidR="00FC1209" w:rsidRPr="00FC1209">
        <w:rPr>
          <w:bCs/>
          <w:i/>
          <w:iCs/>
          <w:lang w:val="fr-FR"/>
        </w:rPr>
        <w:t>.</w:t>
      </w:r>
      <w:r w:rsidRPr="006835D9">
        <w:rPr>
          <w:bCs/>
          <w:i/>
          <w:iCs/>
          <w:lang w:val="fr-FR"/>
        </w:rPr>
        <w:t>15/AC</w:t>
      </w:r>
      <w:r w:rsidR="00FC1209" w:rsidRPr="00FC1209">
        <w:rPr>
          <w:bCs/>
          <w:i/>
          <w:iCs/>
          <w:lang w:val="fr-FR"/>
        </w:rPr>
        <w:t>.</w:t>
      </w:r>
      <w:r w:rsidRPr="006835D9">
        <w:rPr>
          <w:bCs/>
          <w:i/>
          <w:iCs/>
          <w:lang w:val="fr-FR"/>
        </w:rPr>
        <w:t xml:space="preserve">1/2021/20 </w:t>
      </w:r>
      <w:r>
        <w:rPr>
          <w:bCs/>
          <w:i/>
          <w:iCs/>
          <w:lang w:val="fr-FR"/>
        </w:rPr>
        <w:t>tel qu</w:t>
      </w:r>
      <w:r w:rsidR="00F70B88">
        <w:rPr>
          <w:bCs/>
          <w:i/>
          <w:iCs/>
          <w:lang w:val="fr-FR"/>
        </w:rPr>
        <w:t>’</w:t>
      </w:r>
      <w:r>
        <w:rPr>
          <w:bCs/>
          <w:i/>
          <w:iCs/>
          <w:lang w:val="fr-FR"/>
        </w:rPr>
        <w:t>amendé dans le document</w:t>
      </w:r>
      <w:r w:rsidRPr="006835D9">
        <w:rPr>
          <w:bCs/>
          <w:i/>
          <w:iCs/>
          <w:lang w:val="fr-FR"/>
        </w:rPr>
        <w:t xml:space="preserve"> informel INF</w:t>
      </w:r>
      <w:r w:rsidR="00FC1209" w:rsidRPr="00FC1209">
        <w:rPr>
          <w:bCs/>
          <w:i/>
          <w:iCs/>
          <w:lang w:val="fr-FR"/>
        </w:rPr>
        <w:t>.</w:t>
      </w:r>
      <w:r w:rsidRPr="006835D9">
        <w:rPr>
          <w:bCs/>
          <w:i/>
          <w:iCs/>
          <w:lang w:val="fr-FR"/>
        </w:rPr>
        <w:t>8)</w:t>
      </w:r>
    </w:p>
    <w:p w14:paraId="50874C3A" w14:textId="434CAF28" w:rsidR="00520996" w:rsidRPr="006835D9" w:rsidRDefault="00520996" w:rsidP="00520996">
      <w:pPr>
        <w:pStyle w:val="SingleTxtG"/>
        <w:ind w:right="1133"/>
        <w:rPr>
          <w:bCs/>
          <w:lang w:val="fr-FR"/>
        </w:rPr>
      </w:pPr>
      <w:r w:rsidRPr="006835D9">
        <w:rPr>
          <w:bCs/>
          <w:lang w:val="fr-FR"/>
        </w:rPr>
        <w:t>6</w:t>
      </w:r>
      <w:r w:rsidR="00FC1209" w:rsidRPr="00FC1209">
        <w:rPr>
          <w:bCs/>
          <w:lang w:val="fr-FR"/>
        </w:rPr>
        <w:t>.</w:t>
      </w:r>
      <w:r w:rsidRPr="006835D9">
        <w:rPr>
          <w:bCs/>
          <w:lang w:val="fr-FR"/>
        </w:rPr>
        <w:t>2</w:t>
      </w:r>
      <w:r w:rsidR="00FC1209" w:rsidRPr="00FC1209">
        <w:rPr>
          <w:bCs/>
          <w:lang w:val="fr-FR"/>
        </w:rPr>
        <w:t>.</w:t>
      </w:r>
      <w:r w:rsidRPr="006835D9">
        <w:rPr>
          <w:bCs/>
          <w:lang w:val="fr-FR"/>
        </w:rPr>
        <w:t>4</w:t>
      </w:r>
      <w:r w:rsidR="00FC1209" w:rsidRPr="00FC1209">
        <w:rPr>
          <w:bCs/>
          <w:lang w:val="fr-FR"/>
        </w:rPr>
        <w:t>.</w:t>
      </w:r>
      <w:r w:rsidRPr="006835D9">
        <w:rPr>
          <w:bCs/>
          <w:lang w:val="fr-FR"/>
        </w:rPr>
        <w:t>1</w:t>
      </w:r>
      <w:r w:rsidRPr="006835D9">
        <w:rPr>
          <w:bCs/>
          <w:lang w:val="fr-FR"/>
        </w:rPr>
        <w:tab/>
      </w:r>
      <w:r w:rsidRPr="006835D9">
        <w:rPr>
          <w:bCs/>
          <w:lang w:val="fr-FR"/>
        </w:rPr>
        <w:tab/>
        <w:t>Dans le tableau, sous « </w:t>
      </w:r>
      <w:r w:rsidRPr="006835D9">
        <w:rPr>
          <w:bCs/>
          <w:i/>
          <w:lang w:val="fr-FR"/>
        </w:rPr>
        <w:t>pour la conception et la fabrication</w:t>
      </w:r>
      <w:r w:rsidRPr="006835D9">
        <w:rPr>
          <w:bCs/>
          <w:lang w:val="fr-FR"/>
        </w:rPr>
        <w:t> » :</w:t>
      </w:r>
    </w:p>
    <w:p w14:paraId="718422DC" w14:textId="0AEC93EA" w:rsidR="00520996" w:rsidRPr="006835D9" w:rsidRDefault="00BD20D3" w:rsidP="00520996">
      <w:pPr>
        <w:pStyle w:val="SingleTxtG"/>
        <w:ind w:right="1133"/>
        <w:rPr>
          <w:bCs/>
          <w:lang w:val="fr-FR"/>
        </w:rPr>
      </w:pPr>
      <w:r w:rsidRPr="006835D9">
        <w:rPr>
          <w:rFonts w:cs="Arial"/>
          <w:bCs/>
          <w:szCs w:val="22"/>
          <w:lang w:val="fr-FR"/>
        </w:rPr>
        <w:t>–</w:t>
      </w:r>
      <w:r w:rsidRPr="006835D9">
        <w:rPr>
          <w:rFonts w:cs="Arial"/>
          <w:bCs/>
          <w:szCs w:val="22"/>
          <w:lang w:val="fr-FR"/>
        </w:rPr>
        <w:tab/>
      </w:r>
      <w:r w:rsidR="00520996" w:rsidRPr="006835D9">
        <w:rPr>
          <w:bCs/>
          <w:lang w:val="fr-FR"/>
        </w:rPr>
        <w:t>Pour la norme « EN ISO 7866:2012 + AC:2014 », dans la colonne (4), remplacer « Jusqu</w:t>
      </w:r>
      <w:r w:rsidR="00F70B88">
        <w:rPr>
          <w:bCs/>
          <w:lang w:val="fr-FR"/>
        </w:rPr>
        <w:t>’</w:t>
      </w:r>
      <w:r w:rsidR="00520996" w:rsidRPr="006835D9">
        <w:rPr>
          <w:bCs/>
          <w:lang w:val="fr-FR"/>
        </w:rPr>
        <w:t>à nouvel ordre » par :</w:t>
      </w:r>
    </w:p>
    <w:p w14:paraId="753A514C" w14:textId="43D33D05" w:rsidR="00520996" w:rsidRPr="006835D9" w:rsidRDefault="00520996" w:rsidP="00520996">
      <w:pPr>
        <w:pStyle w:val="SingleTxtG"/>
        <w:ind w:right="1133"/>
        <w:rPr>
          <w:bCs/>
          <w:lang w:val="fr-FR"/>
        </w:rPr>
      </w:pPr>
      <w:r w:rsidRPr="006835D9">
        <w:rPr>
          <w:bCs/>
          <w:lang w:val="fr-FR"/>
        </w:rPr>
        <w:t>« Entre le 1</w:t>
      </w:r>
      <w:r w:rsidRPr="006835D9">
        <w:rPr>
          <w:bCs/>
          <w:vertAlign w:val="superscript"/>
          <w:lang w:val="fr-FR"/>
        </w:rPr>
        <w:t>er</w:t>
      </w:r>
      <w:r w:rsidRPr="006835D9">
        <w:rPr>
          <w:bCs/>
          <w:lang w:val="fr-FR"/>
        </w:rPr>
        <w:t xml:space="preserve"> janvier 2015 et le 31 décembre 2024 »</w:t>
      </w:r>
      <w:r w:rsidR="00FC1209" w:rsidRPr="00FC1209">
        <w:rPr>
          <w:bCs/>
          <w:lang w:val="fr-FR"/>
        </w:rPr>
        <w:t>.</w:t>
      </w:r>
    </w:p>
    <w:p w14:paraId="594DC8B8" w14:textId="54EC5E5A" w:rsidR="00520996" w:rsidRPr="006835D9" w:rsidRDefault="00BD20D3" w:rsidP="00520996">
      <w:pPr>
        <w:pStyle w:val="SingleTxtG"/>
        <w:ind w:right="1133"/>
        <w:rPr>
          <w:bCs/>
          <w:lang w:val="fr-FR"/>
        </w:rPr>
      </w:pPr>
      <w:r w:rsidRPr="006835D9">
        <w:rPr>
          <w:rFonts w:cs="Arial"/>
          <w:bCs/>
          <w:szCs w:val="22"/>
          <w:lang w:val="fr-FR"/>
        </w:rPr>
        <w:t>–</w:t>
      </w:r>
      <w:r w:rsidRPr="006835D9">
        <w:rPr>
          <w:rFonts w:cs="Arial"/>
          <w:bCs/>
          <w:szCs w:val="22"/>
          <w:lang w:val="fr-FR"/>
        </w:rPr>
        <w:tab/>
      </w:r>
      <w:r w:rsidR="00520996" w:rsidRPr="006835D9">
        <w:rPr>
          <w:bCs/>
          <w:lang w:val="fr-FR"/>
        </w:rPr>
        <w:t>Après la ligne pour la norme « EN ISO 7866:2012 + AC:2014 », ajouter la nouvelle ligne suivante :</w:t>
      </w:r>
    </w:p>
    <w:p w14:paraId="181A1B47" w14:textId="77777777" w:rsidR="00520996" w:rsidRPr="006835D9" w:rsidRDefault="00520996" w:rsidP="00191B2A">
      <w:pPr>
        <w:pStyle w:val="SingleTxtG"/>
        <w:keepNext/>
        <w:ind w:right="282"/>
        <w:rPr>
          <w:bCs/>
          <w:lang w:val="fr-FR"/>
        </w:rPr>
      </w:pPr>
      <w:r w:rsidRPr="006835D9">
        <w:rPr>
          <w:bCs/>
          <w:lang w:val="fr-FR"/>
        </w:rPr>
        <w:t>« </w:t>
      </w:r>
    </w:p>
    <w:tbl>
      <w:tblPr>
        <w:tblW w:w="8469" w:type="dxa"/>
        <w:tblInd w:w="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3543"/>
        <w:gridCol w:w="1012"/>
        <w:gridCol w:w="956"/>
        <w:gridCol w:w="874"/>
      </w:tblGrid>
      <w:tr w:rsidR="00520996" w14:paraId="393A4AEE" w14:textId="77777777" w:rsidTr="00191B2A">
        <w:tc>
          <w:tcPr>
            <w:tcW w:w="20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C9543DE" w14:textId="77777777" w:rsidR="00520996" w:rsidRPr="006835D9" w:rsidRDefault="00520996" w:rsidP="00191B2A">
            <w:pPr>
              <w:widowControl w:val="0"/>
              <w:spacing w:before="60" w:after="60" w:line="220" w:lineRule="atLeast"/>
              <w:ind w:left="57" w:right="57"/>
              <w:jc w:val="center"/>
              <w:rPr>
                <w:rFonts w:cs="Arial"/>
                <w:bCs/>
                <w:lang w:val="fr-FR"/>
              </w:rPr>
            </w:pPr>
            <w:r w:rsidRPr="006835D9">
              <w:rPr>
                <w:rFonts w:cs="Arial"/>
                <w:bCs/>
                <w:lang w:val="fr-FR"/>
              </w:rPr>
              <w:t>(1)</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55963A8" w14:textId="77777777" w:rsidR="00520996" w:rsidRPr="006835D9" w:rsidRDefault="00520996" w:rsidP="00191B2A">
            <w:pPr>
              <w:widowControl w:val="0"/>
              <w:spacing w:before="60" w:after="60" w:line="220" w:lineRule="atLeast"/>
              <w:ind w:left="57" w:right="57"/>
              <w:jc w:val="center"/>
              <w:rPr>
                <w:rFonts w:cs="Arial"/>
                <w:bCs/>
                <w:lang w:val="fr-FR"/>
              </w:rPr>
            </w:pPr>
            <w:r w:rsidRPr="006835D9">
              <w:rPr>
                <w:rFonts w:cs="Arial"/>
                <w:bCs/>
                <w:lang w:val="fr-FR"/>
              </w:rPr>
              <w:t>(2)</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150ECDD" w14:textId="77777777" w:rsidR="00520996" w:rsidRPr="006835D9" w:rsidRDefault="00520996" w:rsidP="00191B2A">
            <w:pPr>
              <w:widowControl w:val="0"/>
              <w:spacing w:before="60" w:after="60" w:line="220" w:lineRule="atLeast"/>
              <w:ind w:left="57" w:right="57"/>
              <w:jc w:val="center"/>
              <w:rPr>
                <w:rFonts w:cs="Arial"/>
                <w:bCs/>
                <w:lang w:val="fr-FR"/>
              </w:rPr>
            </w:pPr>
            <w:r w:rsidRPr="006835D9">
              <w:rPr>
                <w:rFonts w:cs="Arial"/>
                <w:bCs/>
                <w:lang w:val="fr-FR"/>
              </w:rPr>
              <w:t>(3)</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89BA30A" w14:textId="77777777" w:rsidR="00520996" w:rsidRPr="006835D9" w:rsidRDefault="00520996" w:rsidP="00191B2A">
            <w:pPr>
              <w:widowControl w:val="0"/>
              <w:spacing w:before="60" w:after="60" w:line="220" w:lineRule="atLeast"/>
              <w:ind w:left="57" w:right="57"/>
              <w:jc w:val="center"/>
              <w:rPr>
                <w:rFonts w:cs="Arial"/>
                <w:bCs/>
                <w:lang w:val="fr-FR"/>
              </w:rPr>
            </w:pPr>
            <w:r w:rsidRPr="006835D9">
              <w:rPr>
                <w:rFonts w:cs="Arial"/>
                <w:bCs/>
                <w:lang w:val="fr-FR"/>
              </w:rPr>
              <w:t>(4)</w:t>
            </w:r>
          </w:p>
        </w:tc>
        <w:tc>
          <w:tcPr>
            <w:tcW w:w="8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5CA9EC9" w14:textId="77777777" w:rsidR="00520996" w:rsidRPr="006835D9" w:rsidRDefault="00520996" w:rsidP="00191B2A">
            <w:pPr>
              <w:widowControl w:val="0"/>
              <w:spacing w:before="60" w:after="60" w:line="220" w:lineRule="atLeast"/>
              <w:ind w:left="57" w:right="57"/>
              <w:jc w:val="center"/>
              <w:rPr>
                <w:rFonts w:cs="Arial"/>
                <w:bCs/>
                <w:lang w:val="fr-FR"/>
              </w:rPr>
            </w:pPr>
            <w:r w:rsidRPr="006835D9">
              <w:rPr>
                <w:rFonts w:cs="Arial"/>
                <w:bCs/>
                <w:lang w:val="fr-FR"/>
              </w:rPr>
              <w:t>(5)</w:t>
            </w:r>
          </w:p>
        </w:tc>
      </w:tr>
      <w:tr w:rsidR="00520996" w14:paraId="645562A4" w14:textId="77777777" w:rsidTr="00191B2A">
        <w:tc>
          <w:tcPr>
            <w:tcW w:w="20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C5951FF" w14:textId="77777777" w:rsidR="00520996" w:rsidRPr="006835D9" w:rsidRDefault="00520996" w:rsidP="00191B2A">
            <w:pPr>
              <w:widowControl w:val="0"/>
              <w:spacing w:before="60" w:after="60" w:line="220" w:lineRule="atLeast"/>
              <w:ind w:left="57" w:right="57"/>
              <w:rPr>
                <w:rFonts w:cs="Arial"/>
                <w:bCs/>
                <w:lang w:val="fr-FR"/>
              </w:rPr>
            </w:pPr>
            <w:r w:rsidRPr="006835D9">
              <w:rPr>
                <w:bCs/>
                <w:lang w:val="fr-FR"/>
              </w:rPr>
              <w:t>EN ISO 7866:2012 + A1:2020</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9AB6CB1" w14:textId="1F93ED0E" w:rsidR="00520996" w:rsidRPr="006835D9" w:rsidRDefault="00520996" w:rsidP="00191B2A">
            <w:pPr>
              <w:widowControl w:val="0"/>
              <w:spacing w:before="60" w:after="60" w:line="220" w:lineRule="atLeast"/>
              <w:ind w:left="57" w:right="57"/>
              <w:rPr>
                <w:rFonts w:cs="Arial"/>
                <w:bCs/>
                <w:lang w:val="fr-FR"/>
              </w:rPr>
            </w:pPr>
            <w:r w:rsidRPr="006835D9">
              <w:rPr>
                <w:rFonts w:cs="Arial"/>
                <w:bCs/>
                <w:lang w:val="fr-FR"/>
              </w:rPr>
              <w:t xml:space="preserve">Bouteilles à gaz </w:t>
            </w:r>
            <w:r w:rsidR="00BD20D3">
              <w:rPr>
                <w:rFonts w:cs="Arial"/>
                <w:bCs/>
                <w:lang w:val="fr-FR"/>
              </w:rPr>
              <w:t>−</w:t>
            </w:r>
            <w:r w:rsidRPr="006835D9">
              <w:rPr>
                <w:rFonts w:cs="Arial"/>
                <w:bCs/>
                <w:lang w:val="fr-FR"/>
              </w:rPr>
              <w:t xml:space="preserve"> Bouteilles à gaz sans soudure en alliage d</w:t>
            </w:r>
            <w:r w:rsidR="00F70B88">
              <w:rPr>
                <w:rFonts w:cs="Arial"/>
                <w:bCs/>
                <w:lang w:val="fr-FR"/>
              </w:rPr>
              <w:t>’</w:t>
            </w:r>
            <w:r w:rsidRPr="006835D9">
              <w:rPr>
                <w:rFonts w:cs="Arial"/>
                <w:bCs/>
                <w:lang w:val="fr-FR"/>
              </w:rPr>
              <w:t xml:space="preserve">aluminium destinées à être rechargées </w:t>
            </w:r>
            <w:r w:rsidR="00BD20D3">
              <w:rPr>
                <w:rFonts w:cs="Arial"/>
                <w:bCs/>
                <w:lang w:val="fr-FR"/>
              </w:rPr>
              <w:t>−</w:t>
            </w:r>
            <w:r w:rsidRPr="006835D9">
              <w:rPr>
                <w:rFonts w:cs="Arial"/>
                <w:bCs/>
                <w:lang w:val="fr-FR"/>
              </w:rPr>
              <w:t xml:space="preserve"> Conception, construction et essais</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0759FF7" w14:textId="3B4E3075" w:rsidR="00520996" w:rsidRPr="006835D9" w:rsidRDefault="00520996" w:rsidP="00191B2A">
            <w:pPr>
              <w:widowControl w:val="0"/>
              <w:spacing w:before="60" w:after="60" w:line="220" w:lineRule="atLeast"/>
              <w:ind w:left="57" w:right="57"/>
              <w:rPr>
                <w:rFonts w:cs="Arial"/>
                <w:bCs/>
                <w:lang w:val="fr-FR"/>
              </w:rPr>
            </w:pPr>
            <w:r w:rsidRPr="006835D9">
              <w:rPr>
                <w:rFonts w:cs="Arial"/>
                <w:bCs/>
                <w:lang w:val="fr-FR"/>
              </w:rPr>
              <w:t>6</w:t>
            </w:r>
            <w:r w:rsidR="00FC1209" w:rsidRPr="00FC1209">
              <w:rPr>
                <w:rFonts w:cs="Arial"/>
                <w:bCs/>
                <w:lang w:val="fr-FR"/>
              </w:rPr>
              <w:t>.</w:t>
            </w:r>
            <w:r w:rsidRPr="006835D9">
              <w:rPr>
                <w:rFonts w:cs="Arial"/>
                <w:bCs/>
                <w:lang w:val="fr-FR"/>
              </w:rPr>
              <w:t>2</w:t>
            </w:r>
            <w:r w:rsidR="00FC1209" w:rsidRPr="00FC1209">
              <w:rPr>
                <w:rFonts w:cs="Arial"/>
                <w:bCs/>
                <w:lang w:val="fr-FR"/>
              </w:rPr>
              <w:t>.</w:t>
            </w:r>
            <w:r w:rsidRPr="006835D9">
              <w:rPr>
                <w:rFonts w:cs="Arial"/>
                <w:bCs/>
                <w:lang w:val="fr-FR"/>
              </w:rPr>
              <w:t>3</w:t>
            </w:r>
            <w:r w:rsidR="00FC1209" w:rsidRPr="00FC1209">
              <w:rPr>
                <w:rFonts w:cs="Arial"/>
                <w:bCs/>
                <w:lang w:val="fr-FR"/>
              </w:rPr>
              <w:t>.</w:t>
            </w:r>
            <w:r w:rsidRPr="006835D9">
              <w:rPr>
                <w:rFonts w:cs="Arial"/>
                <w:bCs/>
                <w:lang w:val="fr-FR"/>
              </w:rPr>
              <w:t>1 et 6</w:t>
            </w:r>
            <w:r w:rsidR="00FC1209" w:rsidRPr="00FC1209">
              <w:rPr>
                <w:rFonts w:cs="Arial"/>
                <w:bCs/>
                <w:lang w:val="fr-FR"/>
              </w:rPr>
              <w:t>.</w:t>
            </w:r>
            <w:r w:rsidRPr="006835D9">
              <w:rPr>
                <w:rFonts w:cs="Arial"/>
                <w:bCs/>
                <w:lang w:val="fr-FR"/>
              </w:rPr>
              <w:t>2</w:t>
            </w:r>
            <w:r w:rsidR="00FC1209" w:rsidRPr="00FC1209">
              <w:rPr>
                <w:rFonts w:cs="Arial"/>
                <w:bCs/>
                <w:lang w:val="fr-FR"/>
              </w:rPr>
              <w:t>.</w:t>
            </w:r>
            <w:r w:rsidRPr="006835D9">
              <w:rPr>
                <w:rFonts w:cs="Arial"/>
                <w:bCs/>
                <w:lang w:val="fr-FR"/>
              </w:rPr>
              <w:t>3</w:t>
            </w:r>
            <w:r w:rsidR="00FC1209" w:rsidRPr="00FC1209">
              <w:rPr>
                <w:rFonts w:cs="Arial"/>
                <w:bCs/>
                <w:lang w:val="fr-FR"/>
              </w:rPr>
              <w:t>.</w:t>
            </w:r>
            <w:r w:rsidRPr="006835D9">
              <w:rPr>
                <w:rFonts w:cs="Arial"/>
                <w:bCs/>
                <w:lang w:val="fr-FR"/>
              </w:rPr>
              <w:t>4</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B867C27" w14:textId="23DB8626" w:rsidR="00520996" w:rsidRPr="006835D9" w:rsidRDefault="00520996" w:rsidP="00191B2A">
            <w:pPr>
              <w:widowControl w:val="0"/>
              <w:spacing w:before="60" w:after="60" w:line="220" w:lineRule="atLeast"/>
              <w:ind w:left="57" w:right="57"/>
              <w:jc w:val="center"/>
              <w:rPr>
                <w:rFonts w:cs="Arial"/>
                <w:bCs/>
                <w:lang w:val="fr-FR"/>
              </w:rPr>
            </w:pPr>
            <w:r w:rsidRPr="006835D9">
              <w:rPr>
                <w:rFonts w:cs="Arial"/>
                <w:bCs/>
                <w:lang w:val="fr-FR"/>
              </w:rPr>
              <w:t>Jusqu</w:t>
            </w:r>
            <w:r w:rsidR="00F70B88">
              <w:rPr>
                <w:rFonts w:cs="Arial"/>
                <w:bCs/>
                <w:lang w:val="fr-FR"/>
              </w:rPr>
              <w:t>’</w:t>
            </w:r>
            <w:r w:rsidRPr="006835D9">
              <w:rPr>
                <w:rFonts w:cs="Arial"/>
                <w:bCs/>
                <w:lang w:val="fr-FR"/>
              </w:rPr>
              <w:t>à nouvel ordre</w:t>
            </w:r>
          </w:p>
        </w:tc>
        <w:tc>
          <w:tcPr>
            <w:tcW w:w="8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155D190" w14:textId="77777777" w:rsidR="00520996" w:rsidRPr="006835D9" w:rsidRDefault="00520996" w:rsidP="00191B2A">
            <w:pPr>
              <w:widowControl w:val="0"/>
              <w:spacing w:before="60" w:after="60" w:line="220" w:lineRule="atLeast"/>
              <w:ind w:left="57" w:right="57"/>
              <w:rPr>
                <w:rFonts w:cs="Arial"/>
                <w:bCs/>
                <w:lang w:val="fr-FR"/>
              </w:rPr>
            </w:pPr>
          </w:p>
        </w:tc>
      </w:tr>
    </w:tbl>
    <w:p w14:paraId="3AB62BE8" w14:textId="0DC056F8" w:rsidR="00520996" w:rsidRPr="006835D9" w:rsidRDefault="00520996" w:rsidP="00191B2A">
      <w:pPr>
        <w:pStyle w:val="SingleTxtG"/>
        <w:ind w:right="0"/>
        <w:jc w:val="right"/>
        <w:rPr>
          <w:bCs/>
          <w:lang w:val="fr-FR"/>
        </w:rPr>
      </w:pPr>
      <w:r w:rsidRPr="006835D9">
        <w:rPr>
          <w:bCs/>
          <w:lang w:val="fr-FR"/>
        </w:rPr>
        <w:t> »</w:t>
      </w:r>
      <w:r w:rsidR="00FC1209" w:rsidRPr="00FC1209">
        <w:rPr>
          <w:bCs/>
          <w:lang w:val="fr-FR"/>
        </w:rPr>
        <w:t>.</w:t>
      </w:r>
    </w:p>
    <w:p w14:paraId="79BF468F" w14:textId="77777777" w:rsidR="00520996" w:rsidRPr="006835D9" w:rsidRDefault="00520996" w:rsidP="00520996">
      <w:pPr>
        <w:pStyle w:val="SingleTxtG"/>
        <w:ind w:right="282"/>
        <w:rPr>
          <w:bCs/>
          <w:lang w:val="fr-FR"/>
        </w:rPr>
      </w:pPr>
      <w:r w:rsidRPr="003F4D91">
        <w:rPr>
          <w:b/>
          <w:bCs/>
          <w:lang w:val="fr-FR"/>
        </w:rPr>
        <w:t>[</w:t>
      </w:r>
      <w:r w:rsidRPr="006835D9">
        <w:rPr>
          <w:bCs/>
          <w:lang w:val="fr-FR"/>
        </w:rPr>
        <w:t>–</w:t>
      </w:r>
      <w:r w:rsidRPr="006835D9">
        <w:rPr>
          <w:bCs/>
          <w:lang w:val="fr-FR"/>
        </w:rPr>
        <w:tab/>
        <w:t>Pour la norme « EN 12245:2002 », dans la colonne (2), insérer le nota suivant :</w:t>
      </w:r>
    </w:p>
    <w:p w14:paraId="3A02CFA4" w14:textId="7C56C2D0" w:rsidR="00520996" w:rsidRPr="006835D9" w:rsidRDefault="00520996" w:rsidP="00520996">
      <w:pPr>
        <w:pStyle w:val="SingleTxtG"/>
        <w:ind w:right="282"/>
        <w:rPr>
          <w:bCs/>
          <w:lang w:val="fr-FR"/>
        </w:rPr>
      </w:pPr>
      <w:r w:rsidRPr="006835D9">
        <w:rPr>
          <w:bCs/>
          <w:lang w:val="fr-FR"/>
        </w:rPr>
        <w:t>« </w:t>
      </w:r>
      <w:r w:rsidRPr="00AB7AF3">
        <w:rPr>
          <w:b/>
          <w:i/>
          <w:iCs/>
          <w:lang w:val="fr-FR"/>
        </w:rPr>
        <w:t>NOTA :</w:t>
      </w:r>
      <w:r w:rsidRPr="00AB7AF3">
        <w:rPr>
          <w:bCs/>
          <w:i/>
          <w:iCs/>
          <w:lang w:val="fr-FR"/>
        </w:rPr>
        <w:tab/>
        <w:t>Cette norme ne doit pas être utilisée pour les gaz classés comme GPL</w:t>
      </w:r>
      <w:r w:rsidR="00FC1209" w:rsidRPr="00FC1209">
        <w:rPr>
          <w:bCs/>
          <w:i/>
          <w:iCs/>
          <w:lang w:val="fr-FR"/>
        </w:rPr>
        <w:t>.</w:t>
      </w:r>
      <w:r w:rsidRPr="006835D9">
        <w:rPr>
          <w:bCs/>
          <w:lang w:val="fr-FR"/>
        </w:rPr>
        <w:t> »</w:t>
      </w:r>
      <w:r w:rsidR="00FC1209" w:rsidRPr="00FC1209">
        <w:rPr>
          <w:bCs/>
          <w:lang w:val="fr-FR"/>
        </w:rPr>
        <w:t>.</w:t>
      </w:r>
      <w:r w:rsidRPr="003F4D91">
        <w:rPr>
          <w:b/>
          <w:lang w:val="fr-FR"/>
        </w:rPr>
        <w:t>]</w:t>
      </w:r>
    </w:p>
    <w:p w14:paraId="18E48B71" w14:textId="77777777" w:rsidR="00520996" w:rsidRPr="006835D9" w:rsidRDefault="00520996" w:rsidP="00520996">
      <w:pPr>
        <w:pStyle w:val="SingleTxtG"/>
        <w:ind w:right="282"/>
        <w:rPr>
          <w:bCs/>
          <w:lang w:val="fr-FR"/>
        </w:rPr>
      </w:pPr>
      <w:r w:rsidRPr="003F4D91">
        <w:rPr>
          <w:b/>
          <w:lang w:val="fr-FR"/>
        </w:rPr>
        <w:t>[</w:t>
      </w:r>
      <w:r w:rsidRPr="006835D9">
        <w:rPr>
          <w:bCs/>
          <w:lang w:val="fr-FR"/>
        </w:rPr>
        <w:t>–</w:t>
      </w:r>
      <w:r w:rsidRPr="006835D9">
        <w:rPr>
          <w:bCs/>
          <w:lang w:val="fr-FR"/>
        </w:rPr>
        <w:tab/>
        <w:t>Pour la norme « EN 12245:2002 », dans la colonne (5), insérer :</w:t>
      </w:r>
    </w:p>
    <w:p w14:paraId="12C61EC2" w14:textId="19B470A1" w:rsidR="00520996" w:rsidRPr="006835D9" w:rsidRDefault="00520996" w:rsidP="00520996">
      <w:pPr>
        <w:pStyle w:val="SingleTxtG"/>
        <w:ind w:right="282"/>
        <w:rPr>
          <w:bCs/>
          <w:lang w:val="fr-FR"/>
        </w:rPr>
      </w:pPr>
      <w:r w:rsidRPr="006835D9">
        <w:rPr>
          <w:bCs/>
          <w:lang w:val="fr-FR"/>
        </w:rPr>
        <w:t>« 31 décembre 2023, pour les bouteilles pour GPL</w:t>
      </w:r>
      <w:r w:rsidR="00FC1209" w:rsidRPr="00FC1209">
        <w:rPr>
          <w:bCs/>
          <w:lang w:val="fr-FR"/>
        </w:rPr>
        <w:t>.</w:t>
      </w:r>
      <w:r w:rsidRPr="006835D9">
        <w:rPr>
          <w:bCs/>
          <w:lang w:val="fr-FR"/>
        </w:rPr>
        <w:t> »</w:t>
      </w:r>
      <w:r w:rsidR="00FC1209" w:rsidRPr="00FC1209">
        <w:rPr>
          <w:bCs/>
          <w:lang w:val="fr-FR"/>
        </w:rPr>
        <w:t>.</w:t>
      </w:r>
      <w:r w:rsidRPr="003F4D91">
        <w:rPr>
          <w:b/>
          <w:lang w:val="fr-FR"/>
        </w:rPr>
        <w:t>]</w:t>
      </w:r>
    </w:p>
    <w:p w14:paraId="5596AE80" w14:textId="77777777" w:rsidR="00520996" w:rsidRPr="006835D9" w:rsidRDefault="00520996" w:rsidP="005D3FA5">
      <w:pPr>
        <w:pStyle w:val="SingleTxtG"/>
        <w:rPr>
          <w:bCs/>
          <w:lang w:val="fr-FR"/>
        </w:rPr>
      </w:pPr>
      <w:r w:rsidRPr="003F4D91">
        <w:rPr>
          <w:b/>
          <w:lang w:val="fr-FR"/>
        </w:rPr>
        <w:t>[</w:t>
      </w:r>
      <w:r w:rsidRPr="006835D9">
        <w:rPr>
          <w:bCs/>
          <w:lang w:val="fr-FR"/>
        </w:rPr>
        <w:t>–</w:t>
      </w:r>
      <w:r w:rsidRPr="006835D9">
        <w:rPr>
          <w:bCs/>
          <w:lang w:val="fr-FR"/>
        </w:rPr>
        <w:tab/>
        <w:t>Pour la norme « EN 12245:2009 + A1:2011 », dans la colonne (2), numéroter le nota existant en tant que nota 1 et insérer le nouveau nota 2 suivant :</w:t>
      </w:r>
    </w:p>
    <w:p w14:paraId="10B13CEB" w14:textId="12909059" w:rsidR="00520996" w:rsidRPr="006835D9" w:rsidRDefault="00520996" w:rsidP="00520996">
      <w:pPr>
        <w:pStyle w:val="SingleTxtG"/>
        <w:ind w:right="1133"/>
        <w:rPr>
          <w:bCs/>
          <w:lang w:val="fr-FR"/>
        </w:rPr>
      </w:pPr>
      <w:r w:rsidRPr="006835D9">
        <w:rPr>
          <w:bCs/>
          <w:lang w:val="fr-FR"/>
        </w:rPr>
        <w:t>« </w:t>
      </w:r>
      <w:r w:rsidRPr="00AB7AF3">
        <w:rPr>
          <w:b/>
          <w:i/>
          <w:iCs/>
          <w:lang w:val="fr-FR"/>
        </w:rPr>
        <w:t>NOTA 2 :</w:t>
      </w:r>
      <w:r w:rsidRPr="00AB7AF3">
        <w:rPr>
          <w:bCs/>
          <w:i/>
          <w:iCs/>
          <w:lang w:val="fr-FR"/>
        </w:rPr>
        <w:tab/>
        <w:t>Cette norme ne doit pas être utilisée pour les gaz classés comme GPL</w:t>
      </w:r>
      <w:r w:rsidR="00FC1209" w:rsidRPr="00FC1209">
        <w:rPr>
          <w:bCs/>
          <w:i/>
          <w:iCs/>
          <w:lang w:val="fr-FR"/>
        </w:rPr>
        <w:t>.</w:t>
      </w:r>
      <w:r w:rsidRPr="006835D9">
        <w:rPr>
          <w:bCs/>
          <w:lang w:val="fr-FR"/>
        </w:rPr>
        <w:t> »</w:t>
      </w:r>
      <w:r w:rsidR="00FC1209" w:rsidRPr="00FC1209">
        <w:rPr>
          <w:bCs/>
          <w:lang w:val="fr-FR"/>
        </w:rPr>
        <w:t>.</w:t>
      </w:r>
      <w:r w:rsidRPr="003F4D91">
        <w:rPr>
          <w:b/>
          <w:lang w:val="fr-FR"/>
        </w:rPr>
        <w:t>]</w:t>
      </w:r>
    </w:p>
    <w:p w14:paraId="7A7AC3BB" w14:textId="77777777" w:rsidR="00520996" w:rsidRPr="006835D9" w:rsidRDefault="00520996" w:rsidP="00520996">
      <w:pPr>
        <w:pStyle w:val="SingleTxtG"/>
        <w:ind w:right="1133"/>
        <w:rPr>
          <w:bCs/>
          <w:lang w:val="fr-FR"/>
        </w:rPr>
      </w:pPr>
      <w:r w:rsidRPr="003F4D91">
        <w:rPr>
          <w:b/>
          <w:lang w:val="fr-FR"/>
        </w:rPr>
        <w:t>[</w:t>
      </w:r>
      <w:r w:rsidRPr="006835D9">
        <w:rPr>
          <w:bCs/>
          <w:lang w:val="fr-FR"/>
        </w:rPr>
        <w:t>–</w:t>
      </w:r>
      <w:r w:rsidRPr="006835D9">
        <w:rPr>
          <w:bCs/>
          <w:lang w:val="fr-FR"/>
        </w:rPr>
        <w:tab/>
        <w:t>Pour la norme « EN 12245:2009 + A1:2011 », dans la colonne (5), insérer :</w:t>
      </w:r>
    </w:p>
    <w:p w14:paraId="52B3DE42" w14:textId="3B8AF249" w:rsidR="00520996" w:rsidRPr="006835D9" w:rsidRDefault="00520996" w:rsidP="00520996">
      <w:pPr>
        <w:pStyle w:val="SingleTxtG"/>
        <w:ind w:right="1133"/>
        <w:rPr>
          <w:bCs/>
          <w:lang w:val="fr-FR"/>
        </w:rPr>
      </w:pPr>
      <w:r w:rsidRPr="006835D9">
        <w:rPr>
          <w:bCs/>
          <w:lang w:val="fr-FR"/>
        </w:rPr>
        <w:t>« 31 décembre 2023, pour les bouteilles pour GPL</w:t>
      </w:r>
      <w:r w:rsidR="00FC1209" w:rsidRPr="00FC1209">
        <w:rPr>
          <w:bCs/>
          <w:lang w:val="fr-FR"/>
        </w:rPr>
        <w:t>.</w:t>
      </w:r>
      <w:r w:rsidRPr="006835D9">
        <w:rPr>
          <w:bCs/>
          <w:lang w:val="fr-FR"/>
        </w:rPr>
        <w:t> »</w:t>
      </w:r>
      <w:r w:rsidR="00FC1209" w:rsidRPr="00FC1209">
        <w:rPr>
          <w:bCs/>
          <w:lang w:val="fr-FR"/>
        </w:rPr>
        <w:t>.</w:t>
      </w:r>
      <w:r w:rsidRPr="003F4D91">
        <w:rPr>
          <w:b/>
          <w:lang w:val="fr-FR"/>
        </w:rPr>
        <w:t>]</w:t>
      </w:r>
    </w:p>
    <w:p w14:paraId="59627798" w14:textId="60CC0EC8" w:rsidR="00520996" w:rsidRPr="006835D9" w:rsidRDefault="00520996" w:rsidP="00520996">
      <w:pPr>
        <w:pStyle w:val="SingleTxtG"/>
        <w:keepNext/>
        <w:ind w:right="1133"/>
        <w:rPr>
          <w:bCs/>
          <w:lang w:val="fr-FR"/>
        </w:rPr>
      </w:pPr>
      <w:r w:rsidRPr="006835D9">
        <w:rPr>
          <w:rFonts w:cs="Arial"/>
          <w:bCs/>
          <w:szCs w:val="22"/>
          <w:lang w:val="fr-FR"/>
        </w:rPr>
        <w:t>–</w:t>
      </w:r>
      <w:r w:rsidRPr="006835D9">
        <w:rPr>
          <w:rFonts w:cs="Arial"/>
          <w:bCs/>
          <w:szCs w:val="22"/>
          <w:lang w:val="fr-FR"/>
        </w:rPr>
        <w:tab/>
      </w:r>
      <w:r w:rsidRPr="006835D9">
        <w:rPr>
          <w:bCs/>
          <w:lang w:val="fr-FR"/>
        </w:rPr>
        <w:t>Pour la norme « EN ISO 11118:2015 », dans la colonne (4), remplacer « Jusqu</w:t>
      </w:r>
      <w:r w:rsidR="00F70B88">
        <w:rPr>
          <w:bCs/>
          <w:lang w:val="fr-FR"/>
        </w:rPr>
        <w:t>’</w:t>
      </w:r>
      <w:r w:rsidRPr="006835D9">
        <w:rPr>
          <w:bCs/>
          <w:lang w:val="fr-FR"/>
        </w:rPr>
        <w:t>à nouvel ordre » par :</w:t>
      </w:r>
    </w:p>
    <w:p w14:paraId="3192F875" w14:textId="5BEA9133" w:rsidR="00520996" w:rsidRPr="006835D9" w:rsidRDefault="00520996" w:rsidP="00520996">
      <w:pPr>
        <w:pStyle w:val="SingleTxtG"/>
        <w:ind w:right="282"/>
        <w:rPr>
          <w:bCs/>
          <w:lang w:val="fr-FR"/>
        </w:rPr>
      </w:pPr>
      <w:r w:rsidRPr="006835D9">
        <w:rPr>
          <w:bCs/>
          <w:lang w:val="fr-FR"/>
        </w:rPr>
        <w:t>« Entre le 1</w:t>
      </w:r>
      <w:r w:rsidRPr="006835D9">
        <w:rPr>
          <w:bCs/>
          <w:vertAlign w:val="superscript"/>
          <w:lang w:val="fr-FR"/>
        </w:rPr>
        <w:t>er</w:t>
      </w:r>
      <w:r w:rsidRPr="006835D9">
        <w:rPr>
          <w:bCs/>
          <w:lang w:val="fr-FR"/>
        </w:rPr>
        <w:t xml:space="preserve"> janvier 2017 et le 31 décembre 2024 »</w:t>
      </w:r>
      <w:r w:rsidR="00FC1209" w:rsidRPr="00FC1209">
        <w:rPr>
          <w:bCs/>
          <w:lang w:val="fr-FR"/>
        </w:rPr>
        <w:t>.</w:t>
      </w:r>
    </w:p>
    <w:p w14:paraId="6E526C1B" w14:textId="77777777" w:rsidR="00520996" w:rsidRPr="006835D9" w:rsidRDefault="00520996" w:rsidP="00B528D4">
      <w:pPr>
        <w:pStyle w:val="SingleTxtG"/>
        <w:rPr>
          <w:bCs/>
          <w:lang w:val="fr-FR"/>
        </w:rPr>
      </w:pPr>
      <w:r w:rsidRPr="006835D9">
        <w:rPr>
          <w:rFonts w:cs="Arial"/>
          <w:bCs/>
          <w:szCs w:val="22"/>
          <w:lang w:val="fr-FR"/>
        </w:rPr>
        <w:t>–</w:t>
      </w:r>
      <w:r w:rsidRPr="006835D9">
        <w:rPr>
          <w:rFonts w:cs="Arial"/>
          <w:bCs/>
          <w:szCs w:val="22"/>
          <w:lang w:val="fr-FR"/>
        </w:rPr>
        <w:tab/>
      </w:r>
      <w:r w:rsidRPr="006835D9">
        <w:rPr>
          <w:bCs/>
          <w:lang w:val="fr-FR"/>
        </w:rPr>
        <w:t>Après la ligne pour la norme « EN ISO 11118:2015 », ajouter la nouvelle ligne suivante :</w:t>
      </w:r>
    </w:p>
    <w:p w14:paraId="6B0A2C36" w14:textId="77777777" w:rsidR="00520996" w:rsidRPr="006835D9" w:rsidRDefault="00520996" w:rsidP="00B528D4">
      <w:pPr>
        <w:pStyle w:val="SingleTxtG"/>
        <w:ind w:right="284"/>
        <w:rPr>
          <w:bCs/>
          <w:lang w:val="fr-FR"/>
        </w:rPr>
      </w:pPr>
      <w:r w:rsidRPr="006835D9">
        <w:rPr>
          <w:bCs/>
          <w:lang w:val="fr-FR"/>
        </w:rPr>
        <w:t>« </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3"/>
        <w:gridCol w:w="3197"/>
        <w:gridCol w:w="915"/>
        <w:gridCol w:w="865"/>
        <w:gridCol w:w="601"/>
      </w:tblGrid>
      <w:tr w:rsidR="00520996" w14:paraId="2443499D" w14:textId="77777777" w:rsidTr="00B528D4">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04EFCBF" w14:textId="77777777" w:rsidR="00520996" w:rsidRPr="006835D9" w:rsidRDefault="00520996" w:rsidP="00BD20D3">
            <w:pPr>
              <w:widowControl w:val="0"/>
              <w:spacing w:before="60" w:after="60" w:line="220" w:lineRule="atLeast"/>
              <w:ind w:left="57" w:right="57"/>
              <w:jc w:val="center"/>
              <w:rPr>
                <w:rFonts w:cs="Arial"/>
                <w:bCs/>
                <w:lang w:val="fr-FR"/>
              </w:rPr>
            </w:pPr>
            <w:r w:rsidRPr="006835D9">
              <w:rPr>
                <w:rFonts w:cs="Arial"/>
                <w:bCs/>
                <w:lang w:val="fr-FR"/>
              </w:rPr>
              <w:t>(1)</w:t>
            </w:r>
          </w:p>
        </w:tc>
        <w:tc>
          <w:tcPr>
            <w:tcW w:w="35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142D8DE" w14:textId="77777777" w:rsidR="00520996" w:rsidRPr="006835D9" w:rsidRDefault="00520996" w:rsidP="00BD20D3">
            <w:pPr>
              <w:widowControl w:val="0"/>
              <w:spacing w:before="60" w:after="60" w:line="220" w:lineRule="atLeast"/>
              <w:ind w:left="57" w:right="57"/>
              <w:jc w:val="center"/>
              <w:rPr>
                <w:rFonts w:cs="Arial"/>
                <w:bCs/>
                <w:lang w:val="fr-FR"/>
              </w:rPr>
            </w:pPr>
            <w:r w:rsidRPr="006835D9">
              <w:rPr>
                <w:rFonts w:cs="Arial"/>
                <w:bCs/>
                <w:lang w:val="fr-FR"/>
              </w:rPr>
              <w:t>(2)</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C86A04E" w14:textId="77777777" w:rsidR="00520996" w:rsidRPr="006835D9" w:rsidRDefault="00520996" w:rsidP="00BD20D3">
            <w:pPr>
              <w:widowControl w:val="0"/>
              <w:spacing w:before="60" w:after="60" w:line="220" w:lineRule="atLeast"/>
              <w:ind w:left="57" w:right="57"/>
              <w:jc w:val="center"/>
              <w:rPr>
                <w:rFonts w:cs="Arial"/>
                <w:bCs/>
                <w:lang w:val="fr-FR"/>
              </w:rPr>
            </w:pPr>
            <w:r w:rsidRPr="006835D9">
              <w:rPr>
                <w:rFonts w:cs="Arial"/>
                <w:bCs/>
                <w:lang w:val="fr-FR"/>
              </w:rPr>
              <w:t>(3)</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3C0A887" w14:textId="77777777" w:rsidR="00520996" w:rsidRPr="006835D9" w:rsidRDefault="00520996" w:rsidP="00BD20D3">
            <w:pPr>
              <w:widowControl w:val="0"/>
              <w:spacing w:before="60" w:after="60" w:line="220" w:lineRule="atLeast"/>
              <w:ind w:left="57" w:right="57"/>
              <w:jc w:val="center"/>
              <w:rPr>
                <w:rFonts w:cs="Arial"/>
                <w:bCs/>
                <w:lang w:val="fr-FR"/>
              </w:rPr>
            </w:pPr>
            <w:r w:rsidRPr="006835D9">
              <w:rPr>
                <w:rFonts w:cs="Arial"/>
                <w:bCs/>
                <w:lang w:val="fr-FR"/>
              </w:rPr>
              <w:t>(4)</w:t>
            </w:r>
          </w:p>
        </w:tc>
        <w:tc>
          <w:tcPr>
            <w:tcW w:w="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10E14DD" w14:textId="77777777" w:rsidR="00520996" w:rsidRPr="006835D9" w:rsidRDefault="00520996" w:rsidP="00BD20D3">
            <w:pPr>
              <w:widowControl w:val="0"/>
              <w:spacing w:before="60" w:after="60" w:line="220" w:lineRule="atLeast"/>
              <w:ind w:left="57" w:right="57"/>
              <w:jc w:val="center"/>
              <w:rPr>
                <w:rFonts w:cs="Arial"/>
                <w:bCs/>
                <w:lang w:val="fr-FR"/>
              </w:rPr>
            </w:pPr>
            <w:r w:rsidRPr="006835D9">
              <w:rPr>
                <w:rFonts w:cs="Arial"/>
                <w:bCs/>
                <w:lang w:val="fr-FR"/>
              </w:rPr>
              <w:t>(5)</w:t>
            </w:r>
          </w:p>
        </w:tc>
      </w:tr>
      <w:tr w:rsidR="00520996" w14:paraId="1E77E30C" w14:textId="77777777" w:rsidTr="00B528D4">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46BD205" w14:textId="77777777" w:rsidR="00520996" w:rsidRPr="006835D9" w:rsidRDefault="00520996" w:rsidP="00BD20D3">
            <w:pPr>
              <w:widowControl w:val="0"/>
              <w:spacing w:before="60" w:after="60" w:line="220" w:lineRule="atLeast"/>
              <w:ind w:left="57" w:right="57"/>
              <w:rPr>
                <w:rFonts w:cs="Arial"/>
                <w:bCs/>
                <w:lang w:val="fr-FR"/>
              </w:rPr>
            </w:pPr>
            <w:r w:rsidRPr="006835D9">
              <w:rPr>
                <w:bCs/>
                <w:lang w:val="fr-FR"/>
              </w:rPr>
              <w:t>EN ISO 11118:2015 + A1:2020</w:t>
            </w:r>
          </w:p>
        </w:tc>
        <w:tc>
          <w:tcPr>
            <w:tcW w:w="35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764D651" w14:textId="0CB0ECF5" w:rsidR="00520996" w:rsidRPr="006835D9" w:rsidRDefault="00520996" w:rsidP="00BD20D3">
            <w:pPr>
              <w:widowControl w:val="0"/>
              <w:spacing w:before="60" w:after="60" w:line="220" w:lineRule="atLeast"/>
              <w:ind w:left="57" w:right="57"/>
              <w:rPr>
                <w:rFonts w:cs="Arial"/>
                <w:bCs/>
                <w:lang w:val="fr-FR"/>
              </w:rPr>
            </w:pPr>
            <w:r w:rsidRPr="006835D9">
              <w:rPr>
                <w:rFonts w:cs="Arial"/>
                <w:bCs/>
                <w:lang w:val="fr-FR"/>
              </w:rPr>
              <w:t xml:space="preserve">Bouteilles à gaz </w:t>
            </w:r>
            <w:r w:rsidR="00B528D4">
              <w:rPr>
                <w:rFonts w:cs="Arial"/>
                <w:bCs/>
                <w:lang w:val="fr-FR"/>
              </w:rPr>
              <w:t>−</w:t>
            </w:r>
            <w:r w:rsidRPr="006835D9">
              <w:rPr>
                <w:rFonts w:cs="Arial"/>
                <w:bCs/>
                <w:lang w:val="fr-FR"/>
              </w:rPr>
              <w:t xml:space="preserve"> Bouteilles à gaz métalliques non rechargeables </w:t>
            </w:r>
            <w:r w:rsidR="00B528D4">
              <w:rPr>
                <w:rFonts w:cs="Arial"/>
                <w:bCs/>
                <w:lang w:val="fr-FR"/>
              </w:rPr>
              <w:t>−</w:t>
            </w:r>
            <w:r w:rsidRPr="006835D9">
              <w:rPr>
                <w:rFonts w:cs="Arial"/>
                <w:bCs/>
                <w:lang w:val="fr-FR"/>
              </w:rPr>
              <w:t xml:space="preserve"> Spécifications et méthodes d</w:t>
            </w:r>
            <w:r w:rsidR="00F70B88">
              <w:rPr>
                <w:rFonts w:cs="Arial"/>
                <w:bCs/>
                <w:lang w:val="fr-FR"/>
              </w:rPr>
              <w:t>’</w:t>
            </w:r>
            <w:r w:rsidRPr="006835D9">
              <w:rPr>
                <w:rFonts w:cs="Arial"/>
                <w:bCs/>
                <w:lang w:val="fr-FR"/>
              </w:rPr>
              <w:t>essai</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27ECCB8" w14:textId="04A8050B" w:rsidR="00520996" w:rsidRPr="006835D9" w:rsidRDefault="00520996" w:rsidP="00BD20D3">
            <w:pPr>
              <w:widowControl w:val="0"/>
              <w:spacing w:before="60" w:after="60" w:line="220" w:lineRule="atLeast"/>
              <w:ind w:left="57" w:right="57"/>
              <w:rPr>
                <w:rFonts w:cs="Arial"/>
                <w:bCs/>
                <w:lang w:val="fr-FR"/>
              </w:rPr>
            </w:pPr>
            <w:r w:rsidRPr="006835D9">
              <w:rPr>
                <w:rFonts w:cs="Arial"/>
                <w:bCs/>
                <w:lang w:val="fr-FR"/>
              </w:rPr>
              <w:t>6</w:t>
            </w:r>
            <w:r w:rsidR="00FC1209" w:rsidRPr="00FC1209">
              <w:rPr>
                <w:rFonts w:cs="Arial"/>
                <w:bCs/>
                <w:lang w:val="fr-FR"/>
              </w:rPr>
              <w:t>.</w:t>
            </w:r>
            <w:r w:rsidRPr="006835D9">
              <w:rPr>
                <w:rFonts w:cs="Arial"/>
                <w:bCs/>
                <w:lang w:val="fr-FR"/>
              </w:rPr>
              <w:t>2</w:t>
            </w:r>
            <w:r w:rsidR="00FC1209" w:rsidRPr="00FC1209">
              <w:rPr>
                <w:rFonts w:cs="Arial"/>
                <w:bCs/>
                <w:lang w:val="fr-FR"/>
              </w:rPr>
              <w:t>.</w:t>
            </w:r>
            <w:r w:rsidRPr="006835D9">
              <w:rPr>
                <w:rFonts w:cs="Arial"/>
                <w:bCs/>
                <w:lang w:val="fr-FR"/>
              </w:rPr>
              <w:t>3</w:t>
            </w:r>
            <w:r w:rsidR="00FC1209" w:rsidRPr="00FC1209">
              <w:rPr>
                <w:rFonts w:cs="Arial"/>
                <w:bCs/>
                <w:lang w:val="fr-FR"/>
              </w:rPr>
              <w:t>.</w:t>
            </w:r>
            <w:r w:rsidRPr="006835D9">
              <w:rPr>
                <w:rFonts w:cs="Arial"/>
                <w:bCs/>
                <w:lang w:val="fr-FR"/>
              </w:rPr>
              <w:t>1, 6</w:t>
            </w:r>
            <w:r w:rsidR="00FC1209" w:rsidRPr="00FC1209">
              <w:rPr>
                <w:rFonts w:cs="Arial"/>
                <w:bCs/>
                <w:lang w:val="fr-FR"/>
              </w:rPr>
              <w:t>.</w:t>
            </w:r>
            <w:r w:rsidRPr="006835D9">
              <w:rPr>
                <w:rFonts w:cs="Arial"/>
                <w:bCs/>
                <w:lang w:val="fr-FR"/>
              </w:rPr>
              <w:t>2</w:t>
            </w:r>
            <w:r w:rsidR="00FC1209" w:rsidRPr="00FC1209">
              <w:rPr>
                <w:rFonts w:cs="Arial"/>
                <w:bCs/>
                <w:lang w:val="fr-FR"/>
              </w:rPr>
              <w:t>.</w:t>
            </w:r>
            <w:r w:rsidRPr="006835D9">
              <w:rPr>
                <w:rFonts w:cs="Arial"/>
                <w:bCs/>
                <w:lang w:val="fr-FR"/>
              </w:rPr>
              <w:t>3</w:t>
            </w:r>
            <w:r w:rsidR="00FC1209" w:rsidRPr="00FC1209">
              <w:rPr>
                <w:rFonts w:cs="Arial"/>
                <w:bCs/>
                <w:lang w:val="fr-FR"/>
              </w:rPr>
              <w:t>.</w:t>
            </w:r>
            <w:r w:rsidRPr="006835D9">
              <w:rPr>
                <w:rFonts w:cs="Arial"/>
                <w:bCs/>
                <w:lang w:val="fr-FR"/>
              </w:rPr>
              <w:t>3 et 6</w:t>
            </w:r>
            <w:r w:rsidR="00FC1209" w:rsidRPr="00FC1209">
              <w:rPr>
                <w:rFonts w:cs="Arial"/>
                <w:bCs/>
                <w:lang w:val="fr-FR"/>
              </w:rPr>
              <w:t>.</w:t>
            </w:r>
            <w:r w:rsidRPr="006835D9">
              <w:rPr>
                <w:rFonts w:cs="Arial"/>
                <w:bCs/>
                <w:lang w:val="fr-FR"/>
              </w:rPr>
              <w:t>2</w:t>
            </w:r>
            <w:r w:rsidR="00FC1209" w:rsidRPr="00FC1209">
              <w:rPr>
                <w:rFonts w:cs="Arial"/>
                <w:bCs/>
                <w:lang w:val="fr-FR"/>
              </w:rPr>
              <w:t>.</w:t>
            </w:r>
            <w:r w:rsidRPr="006835D9">
              <w:rPr>
                <w:rFonts w:cs="Arial"/>
                <w:bCs/>
                <w:lang w:val="fr-FR"/>
              </w:rPr>
              <w:t>3</w:t>
            </w:r>
            <w:r w:rsidR="00FC1209" w:rsidRPr="00FC1209">
              <w:rPr>
                <w:rFonts w:cs="Arial"/>
                <w:bCs/>
                <w:lang w:val="fr-FR"/>
              </w:rPr>
              <w:t>.</w:t>
            </w:r>
            <w:r w:rsidRPr="006835D9">
              <w:rPr>
                <w:rFonts w:cs="Arial"/>
                <w:bCs/>
                <w:lang w:val="fr-FR"/>
              </w:rPr>
              <w:t>4</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580B33F" w14:textId="5FEF314F" w:rsidR="00520996" w:rsidRPr="006835D9" w:rsidRDefault="00520996" w:rsidP="00BD20D3">
            <w:pPr>
              <w:widowControl w:val="0"/>
              <w:spacing w:before="60" w:after="60" w:line="220" w:lineRule="atLeast"/>
              <w:ind w:left="57" w:right="57"/>
              <w:jc w:val="center"/>
              <w:rPr>
                <w:rFonts w:cs="Arial"/>
                <w:bCs/>
                <w:lang w:val="fr-FR"/>
              </w:rPr>
            </w:pPr>
            <w:r w:rsidRPr="006835D9">
              <w:rPr>
                <w:rFonts w:cs="Arial"/>
                <w:bCs/>
                <w:lang w:val="fr-FR"/>
              </w:rPr>
              <w:t>Jusqu</w:t>
            </w:r>
            <w:r w:rsidR="00F70B88">
              <w:rPr>
                <w:rFonts w:cs="Arial"/>
                <w:bCs/>
                <w:lang w:val="fr-FR"/>
              </w:rPr>
              <w:t>’</w:t>
            </w:r>
            <w:r w:rsidRPr="006835D9">
              <w:rPr>
                <w:rFonts w:cs="Arial"/>
                <w:bCs/>
                <w:lang w:val="fr-FR"/>
              </w:rPr>
              <w:t>à nouvel ordre</w:t>
            </w:r>
          </w:p>
        </w:tc>
        <w:tc>
          <w:tcPr>
            <w:tcW w:w="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6929DD" w14:textId="77777777" w:rsidR="00520996" w:rsidRPr="006835D9" w:rsidRDefault="00520996" w:rsidP="00BD20D3">
            <w:pPr>
              <w:widowControl w:val="0"/>
              <w:spacing w:before="60" w:after="60" w:line="220" w:lineRule="atLeast"/>
              <w:ind w:left="57" w:right="57"/>
              <w:rPr>
                <w:rFonts w:cs="Arial"/>
                <w:bCs/>
                <w:lang w:val="fr-FR"/>
              </w:rPr>
            </w:pPr>
          </w:p>
        </w:tc>
      </w:tr>
    </w:tbl>
    <w:p w14:paraId="784DFC14" w14:textId="7C372E81" w:rsidR="00520996" w:rsidRPr="006835D9" w:rsidRDefault="00520996" w:rsidP="00B528D4">
      <w:pPr>
        <w:pStyle w:val="SingleTxtG"/>
        <w:jc w:val="right"/>
        <w:rPr>
          <w:bCs/>
          <w:lang w:val="fr-FR"/>
        </w:rPr>
      </w:pPr>
      <w:r w:rsidRPr="006835D9">
        <w:rPr>
          <w:bCs/>
          <w:lang w:val="fr-FR"/>
        </w:rPr>
        <w:t> »</w:t>
      </w:r>
      <w:r w:rsidR="00FC1209" w:rsidRPr="00FC1209">
        <w:rPr>
          <w:bCs/>
          <w:lang w:val="fr-FR"/>
        </w:rPr>
        <w:t>.</w:t>
      </w:r>
    </w:p>
    <w:p w14:paraId="62CC785C" w14:textId="77777777" w:rsidR="00520996" w:rsidRPr="006835D9" w:rsidRDefault="00520996" w:rsidP="00520996">
      <w:pPr>
        <w:pStyle w:val="SingleTxtG"/>
        <w:ind w:right="1133"/>
        <w:rPr>
          <w:bCs/>
          <w:lang w:val="fr-FR"/>
        </w:rPr>
      </w:pPr>
      <w:r w:rsidRPr="006835D9">
        <w:rPr>
          <w:bCs/>
          <w:lang w:val="fr-FR"/>
        </w:rPr>
        <w:tab/>
        <w:t>–</w:t>
      </w:r>
      <w:r w:rsidRPr="006835D9">
        <w:rPr>
          <w:bCs/>
          <w:lang w:val="fr-FR"/>
        </w:rPr>
        <w:tab/>
        <w:t>Pour la norme « EN 14427:2004 + A1 :2005 », dans la colonne (5), insérer :</w:t>
      </w:r>
    </w:p>
    <w:p w14:paraId="59324D3E" w14:textId="72C8EA78" w:rsidR="00520996" w:rsidRPr="006835D9" w:rsidRDefault="00520996" w:rsidP="00520996">
      <w:pPr>
        <w:pStyle w:val="SingleTxtG"/>
        <w:ind w:right="1133"/>
        <w:rPr>
          <w:bCs/>
          <w:lang w:val="fr-FR"/>
        </w:rPr>
      </w:pPr>
      <w:r w:rsidRPr="006835D9">
        <w:rPr>
          <w:bCs/>
          <w:lang w:val="fr-FR"/>
        </w:rPr>
        <w:t>« 31 décembre 2023, pour les bouteilles sans liner constituées de deux pièces assemblées</w:t>
      </w:r>
      <w:r w:rsidR="00FC1209" w:rsidRPr="00FC1209">
        <w:rPr>
          <w:bCs/>
          <w:lang w:val="fr-FR"/>
        </w:rPr>
        <w:t>.</w:t>
      </w:r>
      <w:r w:rsidRPr="006835D9">
        <w:rPr>
          <w:bCs/>
          <w:lang w:val="fr-FR"/>
        </w:rPr>
        <w:t> »</w:t>
      </w:r>
      <w:r w:rsidR="00FC1209" w:rsidRPr="00FC1209">
        <w:rPr>
          <w:bCs/>
          <w:lang w:val="fr-FR"/>
        </w:rPr>
        <w:t>.</w:t>
      </w:r>
    </w:p>
    <w:p w14:paraId="79CA2BF8" w14:textId="77777777" w:rsidR="00520996" w:rsidRPr="006835D9" w:rsidRDefault="00520996" w:rsidP="00520996">
      <w:pPr>
        <w:pStyle w:val="SingleTxtG"/>
        <w:ind w:right="1133"/>
        <w:rPr>
          <w:bCs/>
          <w:lang w:val="fr-FR"/>
        </w:rPr>
      </w:pPr>
      <w:r w:rsidRPr="006835D9">
        <w:rPr>
          <w:bCs/>
          <w:lang w:val="fr-FR"/>
        </w:rPr>
        <w:tab/>
        <w:t>–</w:t>
      </w:r>
      <w:r w:rsidRPr="006835D9">
        <w:rPr>
          <w:bCs/>
          <w:lang w:val="fr-FR"/>
        </w:rPr>
        <w:tab/>
        <w:t>Pour la norme « EN 14427:2014 », dans la colonne (2), insérer le nota suivant :</w:t>
      </w:r>
    </w:p>
    <w:p w14:paraId="5C05D13D" w14:textId="4CF4E8AB" w:rsidR="00520996" w:rsidRPr="006835D9" w:rsidRDefault="00520996" w:rsidP="00B528D4">
      <w:pPr>
        <w:pStyle w:val="SingleTxtG"/>
        <w:ind w:left="2268" w:right="1133" w:hanging="1134"/>
        <w:rPr>
          <w:bCs/>
          <w:lang w:val="fr-FR"/>
        </w:rPr>
      </w:pPr>
      <w:r w:rsidRPr="006835D9">
        <w:rPr>
          <w:bCs/>
          <w:lang w:val="fr-FR"/>
        </w:rPr>
        <w:t>« </w:t>
      </w:r>
      <w:r w:rsidRPr="009E4407">
        <w:rPr>
          <w:b/>
          <w:i/>
          <w:iCs/>
          <w:lang w:val="fr-FR"/>
        </w:rPr>
        <w:t>NOTA :</w:t>
      </w:r>
      <w:r w:rsidRPr="009E4407">
        <w:rPr>
          <w:bCs/>
          <w:i/>
          <w:iCs/>
          <w:lang w:val="fr-FR"/>
        </w:rPr>
        <w:tab/>
        <w:t>Cette norme ne doit pas être utilisée pour les bouteilles sans liner constituées de deux pièces assemblées</w:t>
      </w:r>
      <w:r w:rsidR="00FC1209" w:rsidRPr="00FC1209">
        <w:rPr>
          <w:bCs/>
          <w:i/>
          <w:iCs/>
          <w:lang w:val="fr-FR"/>
        </w:rPr>
        <w:t>.</w:t>
      </w:r>
      <w:r w:rsidRPr="006835D9">
        <w:rPr>
          <w:bCs/>
          <w:lang w:val="fr-FR"/>
        </w:rPr>
        <w:t> »</w:t>
      </w:r>
      <w:r w:rsidR="00FC1209" w:rsidRPr="00FC1209">
        <w:rPr>
          <w:bCs/>
          <w:lang w:val="fr-FR"/>
        </w:rPr>
        <w:t>.</w:t>
      </w:r>
    </w:p>
    <w:p w14:paraId="6638ECA5" w14:textId="77777777" w:rsidR="00520996" w:rsidRPr="006835D9" w:rsidRDefault="00520996" w:rsidP="00520996">
      <w:pPr>
        <w:pStyle w:val="SingleTxtG"/>
        <w:ind w:right="1133"/>
        <w:rPr>
          <w:bCs/>
          <w:lang w:val="fr-FR"/>
        </w:rPr>
      </w:pPr>
      <w:r w:rsidRPr="006835D9">
        <w:rPr>
          <w:bCs/>
          <w:lang w:val="fr-FR"/>
        </w:rPr>
        <w:lastRenderedPageBreak/>
        <w:tab/>
        <w:t>–</w:t>
      </w:r>
      <w:r w:rsidRPr="006835D9">
        <w:rPr>
          <w:bCs/>
          <w:lang w:val="fr-FR"/>
        </w:rPr>
        <w:tab/>
        <w:t>Pour la norme « EN 14427:2014 », dans la colonne (5), insérer :</w:t>
      </w:r>
    </w:p>
    <w:p w14:paraId="30DB6DD4" w14:textId="4657FBEA" w:rsidR="00520996" w:rsidRPr="006835D9" w:rsidRDefault="00520996" w:rsidP="00520996">
      <w:pPr>
        <w:pStyle w:val="SingleTxtG"/>
        <w:ind w:right="1133"/>
        <w:rPr>
          <w:bCs/>
          <w:lang w:val="fr-FR"/>
        </w:rPr>
      </w:pPr>
      <w:r w:rsidRPr="006835D9">
        <w:rPr>
          <w:bCs/>
          <w:lang w:val="fr-FR"/>
        </w:rPr>
        <w:t>« 31 décembre 2023, pour les bouteilles sans liner constituées de deux pièces assemblées</w:t>
      </w:r>
      <w:r w:rsidR="00FC1209" w:rsidRPr="00FC1209">
        <w:rPr>
          <w:bCs/>
          <w:lang w:val="fr-FR"/>
        </w:rPr>
        <w:t>.</w:t>
      </w:r>
      <w:r w:rsidRPr="006835D9">
        <w:rPr>
          <w:bCs/>
          <w:lang w:val="fr-FR"/>
        </w:rPr>
        <w:t> »</w:t>
      </w:r>
      <w:r w:rsidR="00FC1209" w:rsidRPr="00FC1209">
        <w:rPr>
          <w:bCs/>
          <w:lang w:val="fr-FR"/>
        </w:rPr>
        <w:t>.</w:t>
      </w:r>
    </w:p>
    <w:p w14:paraId="6D112977" w14:textId="06D1294E" w:rsidR="00520996" w:rsidRPr="006835D9" w:rsidRDefault="00520996" w:rsidP="00520996">
      <w:pPr>
        <w:pStyle w:val="SingleTxtG"/>
        <w:ind w:right="1133"/>
        <w:rPr>
          <w:bCs/>
          <w:i/>
          <w:iCs/>
          <w:lang w:val="fr-FR"/>
        </w:rPr>
      </w:pPr>
      <w:r w:rsidRPr="006835D9">
        <w:rPr>
          <w:bCs/>
          <w:lang w:val="fr-FR"/>
        </w:rPr>
        <w:tab/>
      </w:r>
      <w:r w:rsidRPr="006835D9">
        <w:rPr>
          <w:bCs/>
          <w:i/>
          <w:iCs/>
          <w:lang w:val="fr-FR"/>
        </w:rPr>
        <w:t>(Document de référence : document informel INF</w:t>
      </w:r>
      <w:r w:rsidR="00FC1209" w:rsidRPr="00FC1209">
        <w:rPr>
          <w:bCs/>
          <w:i/>
          <w:iCs/>
          <w:lang w:val="fr-FR"/>
        </w:rPr>
        <w:t>.</w:t>
      </w:r>
      <w:r w:rsidRPr="006835D9">
        <w:rPr>
          <w:bCs/>
          <w:i/>
          <w:iCs/>
          <w:lang w:val="fr-FR"/>
        </w:rPr>
        <w:t>5/Rev</w:t>
      </w:r>
      <w:r w:rsidR="00FC1209" w:rsidRPr="00FC1209">
        <w:rPr>
          <w:bCs/>
          <w:i/>
          <w:iCs/>
          <w:lang w:val="fr-FR"/>
        </w:rPr>
        <w:t>.</w:t>
      </w:r>
      <w:r w:rsidRPr="006835D9">
        <w:rPr>
          <w:bCs/>
          <w:i/>
          <w:iCs/>
          <w:lang w:val="fr-FR"/>
        </w:rPr>
        <w:t>1)</w:t>
      </w:r>
    </w:p>
    <w:p w14:paraId="4670B710" w14:textId="560D1BC3" w:rsidR="00520996" w:rsidRPr="006835D9" w:rsidRDefault="00520996" w:rsidP="00B528D4">
      <w:pPr>
        <w:pStyle w:val="SingleTxtG"/>
        <w:ind w:left="2268" w:right="1133" w:hanging="1134"/>
        <w:rPr>
          <w:bCs/>
          <w:lang w:val="fr-FR"/>
        </w:rPr>
      </w:pPr>
      <w:r w:rsidRPr="006835D9">
        <w:rPr>
          <w:bCs/>
          <w:lang w:val="fr-FR"/>
        </w:rPr>
        <w:t>6</w:t>
      </w:r>
      <w:r w:rsidR="00FC1209" w:rsidRPr="00FC1209">
        <w:rPr>
          <w:bCs/>
          <w:lang w:val="fr-FR"/>
        </w:rPr>
        <w:t>.</w:t>
      </w:r>
      <w:r w:rsidRPr="006835D9">
        <w:rPr>
          <w:bCs/>
          <w:lang w:val="fr-FR"/>
        </w:rPr>
        <w:t>2</w:t>
      </w:r>
      <w:r w:rsidR="00FC1209" w:rsidRPr="00FC1209">
        <w:rPr>
          <w:bCs/>
          <w:lang w:val="fr-FR"/>
        </w:rPr>
        <w:t>.</w:t>
      </w:r>
      <w:r w:rsidRPr="006835D9">
        <w:rPr>
          <w:bCs/>
          <w:lang w:val="fr-FR"/>
        </w:rPr>
        <w:t>5</w:t>
      </w:r>
      <w:r w:rsidR="00FC1209" w:rsidRPr="00FC1209">
        <w:rPr>
          <w:bCs/>
          <w:lang w:val="fr-FR"/>
        </w:rPr>
        <w:t>.</w:t>
      </w:r>
      <w:r w:rsidRPr="006835D9">
        <w:rPr>
          <w:bCs/>
          <w:lang w:val="fr-FR"/>
        </w:rPr>
        <w:t>4</w:t>
      </w:r>
      <w:r w:rsidR="00FC1209" w:rsidRPr="00FC1209">
        <w:rPr>
          <w:bCs/>
          <w:lang w:val="fr-FR"/>
        </w:rPr>
        <w:t>.</w:t>
      </w:r>
      <w:r w:rsidRPr="006835D9">
        <w:rPr>
          <w:bCs/>
          <w:lang w:val="fr-FR"/>
        </w:rPr>
        <w:t>2</w:t>
      </w:r>
      <w:r w:rsidRPr="006835D9">
        <w:rPr>
          <w:bCs/>
          <w:lang w:val="fr-FR"/>
        </w:rPr>
        <w:tab/>
        <w:t>L</w:t>
      </w:r>
      <w:r w:rsidR="00F70B88">
        <w:rPr>
          <w:bCs/>
          <w:lang w:val="fr-FR"/>
        </w:rPr>
        <w:t>’</w:t>
      </w:r>
      <w:r w:rsidRPr="006835D9">
        <w:rPr>
          <w:bCs/>
          <w:lang w:val="fr-FR"/>
        </w:rPr>
        <w:t>amendement dans le rapport ECE/TRANS/WP</w:t>
      </w:r>
      <w:r w:rsidR="00FC1209" w:rsidRPr="00FC1209">
        <w:rPr>
          <w:bCs/>
          <w:lang w:val="fr-FR"/>
        </w:rPr>
        <w:t>.</w:t>
      </w:r>
      <w:r w:rsidRPr="006835D9">
        <w:rPr>
          <w:bCs/>
          <w:lang w:val="fr-FR"/>
        </w:rPr>
        <w:t>15/AC</w:t>
      </w:r>
      <w:r w:rsidR="00FC1209" w:rsidRPr="00FC1209">
        <w:rPr>
          <w:bCs/>
          <w:lang w:val="fr-FR"/>
        </w:rPr>
        <w:t>.</w:t>
      </w:r>
      <w:r w:rsidRPr="006835D9">
        <w:rPr>
          <w:bCs/>
          <w:lang w:val="fr-FR"/>
        </w:rPr>
        <w:t>1/158</w:t>
      </w:r>
      <w:r>
        <w:rPr>
          <w:bCs/>
          <w:lang w:val="fr-FR"/>
        </w:rPr>
        <w:t xml:space="preserve"> </w:t>
      </w:r>
      <w:r w:rsidR="00B528D4">
        <w:rPr>
          <w:bCs/>
          <w:lang w:val="fr-FR" w:eastAsia="de-CH"/>
        </w:rPr>
        <w:t>− </w:t>
      </w:r>
      <w:r w:rsidRPr="002E64A6">
        <w:rPr>
          <w:bCs/>
          <w:lang w:eastAsia="de-CH"/>
        </w:rPr>
        <w:t>OTIF/RID/RC/2020-A</w:t>
      </w:r>
      <w:r w:rsidRPr="006835D9">
        <w:rPr>
          <w:bCs/>
          <w:lang w:val="fr-FR"/>
        </w:rPr>
        <w:t xml:space="preserve"> reçoit la teneur suivante :</w:t>
      </w:r>
    </w:p>
    <w:p w14:paraId="6D2BABF7" w14:textId="42FD8AA2" w:rsidR="00520996" w:rsidRPr="006835D9" w:rsidRDefault="00520996" w:rsidP="00520996">
      <w:pPr>
        <w:pStyle w:val="SingleTxtG"/>
        <w:ind w:right="1133"/>
        <w:rPr>
          <w:bCs/>
          <w:lang w:val="fr-FR"/>
        </w:rPr>
      </w:pPr>
      <w:r>
        <w:rPr>
          <w:bCs/>
          <w:lang w:val="fr-FR"/>
        </w:rPr>
        <w:t>6</w:t>
      </w:r>
      <w:r w:rsidR="00FC1209" w:rsidRPr="00FC1209">
        <w:rPr>
          <w:bCs/>
          <w:lang w:val="fr-FR"/>
        </w:rPr>
        <w:t>.</w:t>
      </w:r>
      <w:r>
        <w:rPr>
          <w:bCs/>
          <w:lang w:val="fr-FR"/>
        </w:rPr>
        <w:t>2</w:t>
      </w:r>
      <w:r w:rsidR="00FC1209" w:rsidRPr="00FC1209">
        <w:rPr>
          <w:bCs/>
          <w:lang w:val="fr-FR"/>
        </w:rPr>
        <w:t>.</w:t>
      </w:r>
      <w:r>
        <w:rPr>
          <w:bCs/>
          <w:lang w:val="fr-FR"/>
        </w:rPr>
        <w:t>5</w:t>
      </w:r>
      <w:r w:rsidR="00FC1209" w:rsidRPr="00FC1209">
        <w:rPr>
          <w:bCs/>
          <w:lang w:val="fr-FR"/>
        </w:rPr>
        <w:t>.</w:t>
      </w:r>
      <w:r>
        <w:rPr>
          <w:bCs/>
          <w:lang w:val="fr-FR"/>
        </w:rPr>
        <w:t>4</w:t>
      </w:r>
      <w:r w:rsidR="00FC1209" w:rsidRPr="00FC1209">
        <w:rPr>
          <w:bCs/>
          <w:lang w:val="fr-FR"/>
        </w:rPr>
        <w:t>.</w:t>
      </w:r>
      <w:r>
        <w:rPr>
          <w:bCs/>
          <w:lang w:val="fr-FR"/>
        </w:rPr>
        <w:t>2</w:t>
      </w:r>
      <w:r>
        <w:rPr>
          <w:bCs/>
          <w:lang w:val="fr-FR"/>
        </w:rPr>
        <w:tab/>
        <w:t>À la fin de la phrase, r</w:t>
      </w:r>
      <w:r w:rsidRPr="006835D9">
        <w:rPr>
          <w:bCs/>
          <w:lang w:val="fr-FR"/>
        </w:rPr>
        <w:t>emplacer « EN 1975:1999 + A1:2003 » par :</w:t>
      </w:r>
    </w:p>
    <w:p w14:paraId="3F7103B0" w14:textId="381814D2" w:rsidR="00520996" w:rsidRPr="006835D9" w:rsidRDefault="00B528D4" w:rsidP="00B528D4">
      <w:pPr>
        <w:pStyle w:val="SingleTxtG"/>
        <w:ind w:left="2268"/>
        <w:rPr>
          <w:bCs/>
          <w:lang w:val="fr-FR"/>
        </w:rPr>
      </w:pPr>
      <w:r>
        <w:rPr>
          <w:bCs/>
          <w:lang w:val="fr-FR" w:eastAsia="de-CH"/>
        </w:rPr>
        <w:t>− </w:t>
      </w:r>
      <w:r w:rsidR="00520996" w:rsidRPr="006835D9">
        <w:rPr>
          <w:bCs/>
          <w:lang w:val="fr-FR"/>
        </w:rPr>
        <w:t>« EN ISO 7866:2012 + A1:2020»</w:t>
      </w:r>
      <w:r w:rsidR="00FC1209" w:rsidRPr="00FC1209">
        <w:rPr>
          <w:bCs/>
          <w:lang w:val="fr-FR"/>
        </w:rPr>
        <w:t>.</w:t>
      </w:r>
    </w:p>
    <w:p w14:paraId="6DA75293" w14:textId="7023EEEC" w:rsidR="00520996" w:rsidRPr="006835D9" w:rsidRDefault="00520996" w:rsidP="00520996">
      <w:pPr>
        <w:pStyle w:val="SingleTxtG"/>
        <w:ind w:right="282"/>
        <w:rPr>
          <w:bCs/>
          <w:i/>
          <w:iCs/>
          <w:lang w:val="fr-FR"/>
        </w:rPr>
      </w:pPr>
      <w:r w:rsidRPr="006835D9">
        <w:rPr>
          <w:bCs/>
          <w:i/>
          <w:iCs/>
          <w:lang w:val="fr-FR"/>
        </w:rPr>
        <w:t>(Document de référence : document informel INF</w:t>
      </w:r>
      <w:r w:rsidR="00FC1209" w:rsidRPr="00FC1209">
        <w:rPr>
          <w:bCs/>
          <w:i/>
          <w:iCs/>
          <w:lang w:val="fr-FR"/>
        </w:rPr>
        <w:t>.</w:t>
      </w:r>
      <w:r w:rsidRPr="006835D9">
        <w:rPr>
          <w:bCs/>
          <w:i/>
          <w:iCs/>
          <w:lang w:val="fr-FR"/>
        </w:rPr>
        <w:t>5/Rev</w:t>
      </w:r>
      <w:r w:rsidR="00FC1209" w:rsidRPr="00FC1209">
        <w:rPr>
          <w:bCs/>
          <w:i/>
          <w:iCs/>
          <w:lang w:val="fr-FR"/>
        </w:rPr>
        <w:t>.</w:t>
      </w:r>
      <w:r w:rsidRPr="006835D9">
        <w:rPr>
          <w:bCs/>
          <w:i/>
          <w:iCs/>
          <w:lang w:val="fr-FR"/>
        </w:rPr>
        <w:t>1)</w:t>
      </w:r>
    </w:p>
    <w:p w14:paraId="4717B0DC" w14:textId="4F1D68B1" w:rsidR="00520996" w:rsidRPr="006835D9" w:rsidRDefault="00520996" w:rsidP="00520996">
      <w:pPr>
        <w:pStyle w:val="H1G"/>
        <w:rPr>
          <w:lang w:val="fr-FR"/>
        </w:rPr>
      </w:pPr>
      <w:r w:rsidRPr="006835D9">
        <w:rPr>
          <w:lang w:val="fr-FR"/>
        </w:rPr>
        <w:tab/>
      </w:r>
      <w:r w:rsidRPr="006835D9">
        <w:rPr>
          <w:lang w:val="fr-FR"/>
        </w:rPr>
        <w:tab/>
        <w:t>Chapitre 6</w:t>
      </w:r>
      <w:r w:rsidR="00FC1209" w:rsidRPr="00FC1209">
        <w:rPr>
          <w:lang w:val="fr-FR"/>
        </w:rPr>
        <w:t>.</w:t>
      </w:r>
      <w:r w:rsidRPr="006835D9">
        <w:rPr>
          <w:lang w:val="fr-FR"/>
        </w:rPr>
        <w:t>8</w:t>
      </w:r>
    </w:p>
    <w:p w14:paraId="72E8D1A5" w14:textId="77777777" w:rsidR="00520996" w:rsidRPr="006835D9" w:rsidRDefault="00520996" w:rsidP="00520996">
      <w:pPr>
        <w:pStyle w:val="SingleTxtG"/>
        <w:ind w:right="282"/>
        <w:rPr>
          <w:bCs/>
          <w:lang w:val="fr-FR"/>
        </w:rPr>
      </w:pPr>
      <w:r w:rsidRPr="006835D9">
        <w:rPr>
          <w:bCs/>
          <w:lang w:val="fr-FR"/>
        </w:rPr>
        <w:t>(ADR uniquement :)</w:t>
      </w:r>
    </w:p>
    <w:p w14:paraId="68BF8C18" w14:textId="0E9F61F6" w:rsidR="00520996" w:rsidRPr="006835D9" w:rsidRDefault="00520996" w:rsidP="00B528D4">
      <w:pPr>
        <w:pStyle w:val="SingleTxtG"/>
        <w:ind w:left="2268" w:hanging="1134"/>
        <w:rPr>
          <w:bCs/>
          <w:lang w:val="fr-FR"/>
        </w:rPr>
      </w:pPr>
      <w:r w:rsidRPr="006835D9">
        <w:rPr>
          <w:bCs/>
          <w:lang w:val="fr-FR"/>
        </w:rPr>
        <w:t>6</w:t>
      </w:r>
      <w:r w:rsidR="00FC1209" w:rsidRPr="00FC1209">
        <w:rPr>
          <w:bCs/>
          <w:lang w:val="fr-FR"/>
        </w:rPr>
        <w:t>.</w:t>
      </w:r>
      <w:r w:rsidRPr="006835D9">
        <w:rPr>
          <w:bCs/>
          <w:lang w:val="fr-FR"/>
        </w:rPr>
        <w:t>8</w:t>
      </w:r>
      <w:r w:rsidR="00FC1209" w:rsidRPr="00FC1209">
        <w:rPr>
          <w:bCs/>
          <w:lang w:val="fr-FR"/>
        </w:rPr>
        <w:t>.</w:t>
      </w:r>
      <w:r w:rsidRPr="006835D9">
        <w:rPr>
          <w:bCs/>
          <w:lang w:val="fr-FR"/>
        </w:rPr>
        <w:t>2</w:t>
      </w:r>
      <w:r w:rsidR="00FC1209" w:rsidRPr="00FC1209">
        <w:rPr>
          <w:bCs/>
          <w:lang w:val="fr-FR"/>
        </w:rPr>
        <w:t>.</w:t>
      </w:r>
      <w:r w:rsidRPr="006835D9">
        <w:rPr>
          <w:bCs/>
          <w:lang w:val="fr-FR"/>
        </w:rPr>
        <w:t>1</w:t>
      </w:r>
      <w:r w:rsidR="00FC1209" w:rsidRPr="00FC1209">
        <w:rPr>
          <w:bCs/>
          <w:lang w:val="fr-FR"/>
        </w:rPr>
        <w:t>.</w:t>
      </w:r>
      <w:r w:rsidRPr="006835D9">
        <w:rPr>
          <w:bCs/>
          <w:lang w:val="fr-FR"/>
        </w:rPr>
        <w:t>23</w:t>
      </w:r>
      <w:r w:rsidRPr="006835D9">
        <w:rPr>
          <w:bCs/>
          <w:lang w:val="fr-FR"/>
        </w:rPr>
        <w:tab/>
        <w:t>Déplacer la dernière phrase du premier paragraphe à la fin du deuxième paragraphe</w:t>
      </w:r>
      <w:r w:rsidR="00FC1209" w:rsidRPr="00FC1209">
        <w:rPr>
          <w:bCs/>
          <w:lang w:val="fr-FR"/>
        </w:rPr>
        <w:t>.</w:t>
      </w:r>
    </w:p>
    <w:p w14:paraId="176E56F4" w14:textId="77777777" w:rsidR="00520996" w:rsidRPr="006835D9" w:rsidRDefault="00520996" w:rsidP="00520996">
      <w:pPr>
        <w:pStyle w:val="SingleTxtG"/>
        <w:ind w:right="707"/>
        <w:rPr>
          <w:bCs/>
          <w:lang w:val="fr-FR"/>
        </w:rPr>
      </w:pPr>
      <w:r w:rsidRPr="006835D9">
        <w:rPr>
          <w:bCs/>
          <w:lang w:val="fr-FR"/>
        </w:rPr>
        <w:tab/>
      </w:r>
      <w:r w:rsidRPr="006835D9">
        <w:rPr>
          <w:bCs/>
          <w:lang w:val="fr-FR"/>
        </w:rPr>
        <w:tab/>
      </w:r>
      <w:r w:rsidRPr="006835D9">
        <w:rPr>
          <w:bCs/>
          <w:lang w:val="fr-FR"/>
        </w:rPr>
        <w:tab/>
        <w:t>Avant le dernier paragraphe, ajouter le nouveau paragraphe suivant :</w:t>
      </w:r>
    </w:p>
    <w:p w14:paraId="7F0A8722" w14:textId="3798950D" w:rsidR="00520996" w:rsidRPr="006835D9" w:rsidRDefault="00520996" w:rsidP="00B528D4">
      <w:pPr>
        <w:pStyle w:val="SingleTxtG"/>
        <w:ind w:left="2268"/>
        <w:rPr>
          <w:bCs/>
          <w:lang w:val="fr-FR"/>
        </w:rPr>
      </w:pPr>
      <w:r w:rsidRPr="006835D9">
        <w:rPr>
          <w:bCs/>
          <w:lang w:val="fr-FR"/>
        </w:rPr>
        <w:t>« Les soudures réalisées au cours de réparations ou de modifications sont évaluées comme indiqué ci-dessus et conformément aux contrôles non destructifs spécifiés dans la ou les normes pertinentes telles que référencées au 6</w:t>
      </w:r>
      <w:r w:rsidR="00FC1209" w:rsidRPr="00FC1209">
        <w:rPr>
          <w:bCs/>
          <w:lang w:val="fr-FR"/>
        </w:rPr>
        <w:t>.</w:t>
      </w:r>
      <w:r w:rsidRPr="006835D9">
        <w:rPr>
          <w:bCs/>
          <w:lang w:val="fr-FR"/>
        </w:rPr>
        <w:t>8</w:t>
      </w:r>
      <w:r w:rsidR="00FC1209" w:rsidRPr="00FC1209">
        <w:rPr>
          <w:bCs/>
          <w:lang w:val="fr-FR"/>
        </w:rPr>
        <w:t>.</w:t>
      </w:r>
      <w:r w:rsidRPr="006835D9">
        <w:rPr>
          <w:bCs/>
          <w:lang w:val="fr-FR"/>
        </w:rPr>
        <w:t>2</w:t>
      </w:r>
      <w:r w:rsidR="00FC1209" w:rsidRPr="00FC1209">
        <w:rPr>
          <w:bCs/>
          <w:lang w:val="fr-FR"/>
        </w:rPr>
        <w:t>.</w:t>
      </w:r>
      <w:r w:rsidRPr="006835D9">
        <w:rPr>
          <w:bCs/>
          <w:lang w:val="fr-FR"/>
        </w:rPr>
        <w:t>6</w:t>
      </w:r>
      <w:r w:rsidR="00FC1209" w:rsidRPr="00FC1209">
        <w:rPr>
          <w:bCs/>
          <w:lang w:val="fr-FR"/>
        </w:rPr>
        <w:t>.</w:t>
      </w:r>
      <w:r w:rsidRPr="006835D9">
        <w:rPr>
          <w:bCs/>
          <w:lang w:val="fr-FR"/>
        </w:rPr>
        <w:t>2</w:t>
      </w:r>
      <w:r w:rsidR="00FC1209" w:rsidRPr="00FC1209">
        <w:rPr>
          <w:bCs/>
          <w:lang w:val="fr-FR"/>
        </w:rPr>
        <w:t>.</w:t>
      </w:r>
      <w:r w:rsidRPr="006835D9">
        <w:rPr>
          <w:bCs/>
          <w:lang w:val="fr-FR"/>
        </w:rPr>
        <w:t> »</w:t>
      </w:r>
      <w:r w:rsidR="00FC1209" w:rsidRPr="00FC1209">
        <w:rPr>
          <w:bCs/>
          <w:lang w:val="fr-FR"/>
        </w:rPr>
        <w:t>.</w:t>
      </w:r>
    </w:p>
    <w:p w14:paraId="51EF21E8" w14:textId="52F0620F" w:rsidR="00520996" w:rsidRPr="006835D9" w:rsidRDefault="00520996" w:rsidP="00B528D4">
      <w:pPr>
        <w:pStyle w:val="SingleTxtG"/>
        <w:rPr>
          <w:bCs/>
          <w:lang w:val="fr-FR"/>
        </w:rPr>
      </w:pPr>
      <w:r w:rsidRPr="006835D9">
        <w:rPr>
          <w:bCs/>
          <w:i/>
          <w:iCs/>
          <w:lang w:val="fr-FR"/>
        </w:rPr>
        <w:t>(Documents de référence : document informel INF</w:t>
      </w:r>
      <w:r w:rsidR="00FC1209" w:rsidRPr="00FC1209">
        <w:rPr>
          <w:bCs/>
          <w:i/>
          <w:iCs/>
          <w:lang w:val="fr-FR"/>
        </w:rPr>
        <w:t>.</w:t>
      </w:r>
      <w:r w:rsidRPr="006835D9">
        <w:rPr>
          <w:bCs/>
          <w:i/>
          <w:iCs/>
          <w:lang w:val="fr-FR"/>
        </w:rPr>
        <w:t xml:space="preserve">11 </w:t>
      </w:r>
      <w:r>
        <w:rPr>
          <w:bCs/>
          <w:i/>
          <w:iCs/>
          <w:lang w:val="fr-FR"/>
        </w:rPr>
        <w:t>tel qu</w:t>
      </w:r>
      <w:r w:rsidR="00F70B88">
        <w:rPr>
          <w:bCs/>
          <w:i/>
          <w:iCs/>
          <w:lang w:val="fr-FR"/>
        </w:rPr>
        <w:t>’</w:t>
      </w:r>
      <w:r>
        <w:rPr>
          <w:bCs/>
          <w:i/>
          <w:iCs/>
          <w:lang w:val="fr-FR"/>
        </w:rPr>
        <w:t>amendé par le document informel</w:t>
      </w:r>
      <w:r w:rsidRPr="006835D9">
        <w:rPr>
          <w:bCs/>
          <w:i/>
          <w:iCs/>
          <w:lang w:val="fr-FR"/>
        </w:rPr>
        <w:t xml:space="preserve"> INF</w:t>
      </w:r>
      <w:r w:rsidR="00FC1209" w:rsidRPr="00FC1209">
        <w:rPr>
          <w:bCs/>
          <w:i/>
          <w:iCs/>
          <w:lang w:val="fr-FR"/>
        </w:rPr>
        <w:t>.</w:t>
      </w:r>
      <w:r w:rsidRPr="006835D9">
        <w:rPr>
          <w:bCs/>
          <w:i/>
          <w:iCs/>
          <w:lang w:val="fr-FR"/>
        </w:rPr>
        <w:t>43)</w:t>
      </w:r>
    </w:p>
    <w:p w14:paraId="5DF4932D" w14:textId="51658116" w:rsidR="00520996" w:rsidRPr="00A43C20" w:rsidRDefault="00520996" w:rsidP="00B528D4">
      <w:pPr>
        <w:pStyle w:val="SingleTxtG"/>
        <w:ind w:left="2268" w:hanging="1134"/>
        <w:rPr>
          <w:bCs/>
        </w:rPr>
      </w:pPr>
      <w:r w:rsidRPr="00A43C20">
        <w:rPr>
          <w:bCs/>
        </w:rPr>
        <w:t>6</w:t>
      </w:r>
      <w:r w:rsidR="00FC1209" w:rsidRPr="00FC1209">
        <w:rPr>
          <w:bCs/>
        </w:rPr>
        <w:t>.</w:t>
      </w:r>
      <w:r w:rsidRPr="00A43C20">
        <w:rPr>
          <w:bCs/>
        </w:rPr>
        <w:t>8</w:t>
      </w:r>
      <w:r w:rsidR="00FC1209" w:rsidRPr="00FC1209">
        <w:rPr>
          <w:bCs/>
        </w:rPr>
        <w:t>.</w:t>
      </w:r>
      <w:r w:rsidRPr="00A43C20">
        <w:rPr>
          <w:bCs/>
        </w:rPr>
        <w:t>2</w:t>
      </w:r>
      <w:r w:rsidR="00FC1209" w:rsidRPr="00FC1209">
        <w:rPr>
          <w:bCs/>
        </w:rPr>
        <w:t>.</w:t>
      </w:r>
      <w:r w:rsidRPr="00A43C20">
        <w:rPr>
          <w:bCs/>
        </w:rPr>
        <w:t>2</w:t>
      </w:r>
      <w:r w:rsidR="00FC1209" w:rsidRPr="00FC1209">
        <w:rPr>
          <w:bCs/>
        </w:rPr>
        <w:t>.</w:t>
      </w:r>
      <w:r w:rsidRPr="00A43C20">
        <w:rPr>
          <w:bCs/>
        </w:rPr>
        <w:t>2</w:t>
      </w:r>
      <w:r w:rsidRPr="00A43C20">
        <w:rPr>
          <w:bCs/>
        </w:rPr>
        <w:tab/>
        <w:t>À la fin du septième paragraphe, ajouter une référence à la note de bas de page</w:t>
      </w:r>
      <w:r w:rsidR="00B528D4">
        <w:rPr>
          <w:bCs/>
        </w:rPr>
        <w:t> </w:t>
      </w:r>
      <w:r w:rsidRPr="00A43C20">
        <w:rPr>
          <w:bCs/>
        </w:rPr>
        <w:t>9) libellée comme suit :</w:t>
      </w:r>
    </w:p>
    <w:p w14:paraId="0ABF13A5" w14:textId="444F6D96" w:rsidR="00520996" w:rsidRPr="00A43C20" w:rsidRDefault="00520996" w:rsidP="00B528D4">
      <w:pPr>
        <w:pStyle w:val="SingleTxtG"/>
        <w:ind w:left="2268"/>
        <w:rPr>
          <w:bCs/>
          <w:lang w:val="fr-FR"/>
        </w:rPr>
      </w:pPr>
      <w:r w:rsidRPr="00A43C20">
        <w:rPr>
          <w:bCs/>
          <w:lang w:val="fr-FR"/>
        </w:rPr>
        <w:t>« </w:t>
      </w:r>
      <w:r w:rsidRPr="00A43C20">
        <w:rPr>
          <w:bCs/>
          <w:vertAlign w:val="superscript"/>
          <w:lang w:val="fr-FR"/>
        </w:rPr>
        <w:t>9</w:t>
      </w:r>
      <w:r w:rsidRPr="00A43C20">
        <w:rPr>
          <w:bCs/>
          <w:lang w:val="fr-FR"/>
        </w:rPr>
        <w:tab/>
        <w:t>Le mode de fonctionnement des systèmes de raccords secs est la fermeture automatique</w:t>
      </w:r>
      <w:r w:rsidR="00FC1209" w:rsidRPr="00FC1209">
        <w:rPr>
          <w:bCs/>
          <w:lang w:val="fr-FR"/>
        </w:rPr>
        <w:t>.</w:t>
      </w:r>
      <w:r w:rsidRPr="00A43C20">
        <w:rPr>
          <w:bCs/>
          <w:lang w:val="fr-FR"/>
        </w:rPr>
        <w:t xml:space="preserve"> Par conséquent, un indicateur d</w:t>
      </w:r>
      <w:r w:rsidR="00F70B88">
        <w:rPr>
          <w:bCs/>
          <w:lang w:val="fr-FR"/>
        </w:rPr>
        <w:t>’</w:t>
      </w:r>
      <w:r w:rsidRPr="00A43C20">
        <w:rPr>
          <w:bCs/>
          <w:lang w:val="fr-FR"/>
        </w:rPr>
        <w:t>ouverture/fermeture n</w:t>
      </w:r>
      <w:r w:rsidR="00F70B88">
        <w:rPr>
          <w:bCs/>
          <w:lang w:val="fr-FR"/>
        </w:rPr>
        <w:t>’</w:t>
      </w:r>
      <w:r w:rsidRPr="00A43C20">
        <w:rPr>
          <w:bCs/>
          <w:lang w:val="fr-FR"/>
        </w:rPr>
        <w:t>est pas nécessaire</w:t>
      </w:r>
      <w:r w:rsidR="00FC1209" w:rsidRPr="00FC1209">
        <w:rPr>
          <w:bCs/>
          <w:lang w:val="fr-FR"/>
        </w:rPr>
        <w:t>.</w:t>
      </w:r>
      <w:r w:rsidRPr="00A43C20">
        <w:rPr>
          <w:bCs/>
          <w:lang w:val="fr-FR"/>
        </w:rPr>
        <w:t xml:space="preserve"> Ce type de fermeture ne peut être utilisé que comme deuxième ou troisième fermeture</w:t>
      </w:r>
      <w:r w:rsidR="00FC1209" w:rsidRPr="00FC1209">
        <w:rPr>
          <w:bCs/>
          <w:lang w:val="fr-FR"/>
        </w:rPr>
        <w:t>.</w:t>
      </w:r>
      <w:r w:rsidRPr="00A43C20">
        <w:rPr>
          <w:bCs/>
          <w:lang w:val="fr-FR"/>
        </w:rPr>
        <w:t> »</w:t>
      </w:r>
      <w:r w:rsidR="00FC1209" w:rsidRPr="00FC1209">
        <w:rPr>
          <w:bCs/>
          <w:lang w:val="fr-FR"/>
        </w:rPr>
        <w:t>.</w:t>
      </w:r>
    </w:p>
    <w:p w14:paraId="5F6162CD" w14:textId="1565126E" w:rsidR="00520996" w:rsidRPr="00A43C20" w:rsidRDefault="00520996" w:rsidP="00B528D4">
      <w:pPr>
        <w:pStyle w:val="SingleTxtG"/>
        <w:rPr>
          <w:bCs/>
        </w:rPr>
      </w:pPr>
      <w:r w:rsidRPr="00A43C20">
        <w:rPr>
          <w:bCs/>
          <w:i/>
          <w:iCs/>
        </w:rPr>
        <w:t>(Documents de référence : documents informels INF</w:t>
      </w:r>
      <w:r w:rsidR="00FC1209" w:rsidRPr="00FC1209">
        <w:rPr>
          <w:bCs/>
          <w:i/>
          <w:iCs/>
        </w:rPr>
        <w:t>.</w:t>
      </w:r>
      <w:r w:rsidRPr="00A43C20">
        <w:rPr>
          <w:bCs/>
          <w:i/>
          <w:iCs/>
        </w:rPr>
        <w:t>14 et INF</w:t>
      </w:r>
      <w:r w:rsidR="00FC1209" w:rsidRPr="00FC1209">
        <w:rPr>
          <w:bCs/>
          <w:i/>
          <w:iCs/>
        </w:rPr>
        <w:t>.</w:t>
      </w:r>
      <w:r w:rsidRPr="00A43C20">
        <w:rPr>
          <w:bCs/>
          <w:i/>
          <w:iCs/>
        </w:rPr>
        <w:t>43)</w:t>
      </w:r>
    </w:p>
    <w:p w14:paraId="361845B7" w14:textId="7EA42EAB" w:rsidR="00520996" w:rsidRPr="00A43C20" w:rsidRDefault="00520996" w:rsidP="00B528D4">
      <w:pPr>
        <w:pStyle w:val="SingleTxtG"/>
        <w:ind w:left="2268" w:hanging="1134"/>
        <w:rPr>
          <w:bCs/>
          <w:lang w:val="fr-FR"/>
        </w:rPr>
      </w:pPr>
      <w:r w:rsidRPr="00A43C20">
        <w:rPr>
          <w:bCs/>
          <w:lang w:val="fr-FR"/>
        </w:rPr>
        <w:t>6</w:t>
      </w:r>
      <w:r w:rsidR="00FC1209" w:rsidRPr="00FC1209">
        <w:rPr>
          <w:bCs/>
          <w:lang w:val="fr-FR"/>
        </w:rPr>
        <w:t>.</w:t>
      </w:r>
      <w:r w:rsidRPr="00A43C20">
        <w:rPr>
          <w:bCs/>
          <w:lang w:val="fr-FR"/>
        </w:rPr>
        <w:t>8</w:t>
      </w:r>
      <w:r w:rsidR="00FC1209" w:rsidRPr="00FC1209">
        <w:rPr>
          <w:bCs/>
          <w:lang w:val="fr-FR"/>
        </w:rPr>
        <w:t>.</w:t>
      </w:r>
      <w:r w:rsidRPr="00A43C20">
        <w:rPr>
          <w:bCs/>
          <w:lang w:val="fr-FR"/>
        </w:rPr>
        <w:t>2</w:t>
      </w:r>
      <w:r w:rsidR="00FC1209" w:rsidRPr="00FC1209">
        <w:rPr>
          <w:bCs/>
          <w:lang w:val="fr-FR"/>
        </w:rPr>
        <w:t>.</w:t>
      </w:r>
      <w:r w:rsidRPr="00A43C20">
        <w:rPr>
          <w:bCs/>
          <w:lang w:val="fr-FR"/>
        </w:rPr>
        <w:t>2</w:t>
      </w:r>
      <w:r w:rsidR="00FC1209" w:rsidRPr="00FC1209">
        <w:rPr>
          <w:bCs/>
          <w:lang w:val="fr-FR"/>
        </w:rPr>
        <w:t>.</w:t>
      </w:r>
      <w:r w:rsidRPr="00A43C20">
        <w:rPr>
          <w:bCs/>
          <w:lang w:val="fr-FR"/>
        </w:rPr>
        <w:t>4</w:t>
      </w:r>
      <w:r w:rsidRPr="00A43C20">
        <w:rPr>
          <w:bCs/>
          <w:lang w:val="fr-FR"/>
        </w:rPr>
        <w:tab/>
        <w:t>Après la première phrase, dans la colonne de droite, insérer le nouveau paragraphe suivant :</w:t>
      </w:r>
    </w:p>
    <w:tbl>
      <w:tblPr>
        <w:tblW w:w="0" w:type="auto"/>
        <w:tblInd w:w="1134" w:type="dxa"/>
        <w:tblLook w:val="04A0" w:firstRow="1" w:lastRow="0" w:firstColumn="1" w:lastColumn="0" w:noHBand="0" w:noVBand="1"/>
      </w:tblPr>
      <w:tblGrid>
        <w:gridCol w:w="3710"/>
        <w:gridCol w:w="3709"/>
      </w:tblGrid>
      <w:tr w:rsidR="00520996" w:rsidRPr="00A43C20" w14:paraId="6B42CDE6" w14:textId="77777777" w:rsidTr="001F76D5">
        <w:tc>
          <w:tcPr>
            <w:tcW w:w="3710" w:type="dxa"/>
            <w:tcBorders>
              <w:top w:val="nil"/>
              <w:left w:val="nil"/>
              <w:bottom w:val="nil"/>
            </w:tcBorders>
          </w:tcPr>
          <w:p w14:paraId="5C373EE4" w14:textId="77777777" w:rsidR="00520996" w:rsidRPr="00A43C20" w:rsidRDefault="00520996" w:rsidP="00520996">
            <w:pPr>
              <w:pStyle w:val="SingleTxtG"/>
              <w:ind w:left="0"/>
              <w:rPr>
                <w:bCs/>
                <w:lang w:val="fr-FR"/>
              </w:rPr>
            </w:pPr>
          </w:p>
        </w:tc>
        <w:tc>
          <w:tcPr>
            <w:tcW w:w="3709" w:type="dxa"/>
            <w:tcBorders>
              <w:top w:val="nil"/>
              <w:bottom w:val="nil"/>
              <w:right w:val="nil"/>
            </w:tcBorders>
          </w:tcPr>
          <w:p w14:paraId="4E74A09F" w14:textId="5FCD29AB" w:rsidR="00520996" w:rsidRPr="00A43C20" w:rsidRDefault="00520996" w:rsidP="005D3FA5">
            <w:pPr>
              <w:pStyle w:val="SingleTxtG"/>
              <w:ind w:left="85" w:right="0"/>
              <w:rPr>
                <w:bCs/>
                <w:lang w:val="fr-FR"/>
              </w:rPr>
            </w:pPr>
            <w:r w:rsidRPr="00A43C20">
              <w:rPr>
                <w:rFonts w:asciiTheme="majorBidi" w:hAnsiTheme="majorBidi" w:cstheme="majorBidi"/>
                <w:bCs/>
                <w:color w:val="000000"/>
                <w:lang w:val="fr-FR" w:eastAsia="fr-FR"/>
              </w:rPr>
              <w:t xml:space="preserve">[« Pour les </w:t>
            </w:r>
            <w:r>
              <w:rPr>
                <w:rFonts w:asciiTheme="majorBidi" w:hAnsiTheme="majorBidi" w:cstheme="majorBidi"/>
                <w:bCs/>
                <w:color w:val="000000"/>
                <w:lang w:val="fr-FR" w:eastAsia="fr-FR"/>
              </w:rPr>
              <w:t>[</w:t>
            </w:r>
            <w:r w:rsidRPr="004D6EB3">
              <w:rPr>
                <w:rFonts w:asciiTheme="majorBidi" w:hAnsiTheme="majorBidi" w:cstheme="majorBidi"/>
                <w:bCs/>
                <w:color w:val="000000"/>
                <w:lang w:val="fr-FR" w:eastAsia="fr-FR"/>
              </w:rPr>
              <w:t>conteneurs-citernes d</w:t>
            </w:r>
            <w:r w:rsidR="00F70B88">
              <w:rPr>
                <w:rFonts w:asciiTheme="majorBidi" w:hAnsiTheme="majorBidi" w:cstheme="majorBidi"/>
                <w:bCs/>
                <w:color w:val="000000"/>
                <w:lang w:val="fr-FR" w:eastAsia="fr-FR"/>
              </w:rPr>
              <w:t>’</w:t>
            </w:r>
            <w:r w:rsidRPr="004D6EB3">
              <w:rPr>
                <w:rFonts w:asciiTheme="majorBidi" w:hAnsiTheme="majorBidi" w:cstheme="majorBidi"/>
                <w:bCs/>
                <w:color w:val="000000"/>
                <w:lang w:val="fr-FR" w:eastAsia="fr-FR"/>
              </w:rPr>
              <w:t>une capacité de [plus de 40 000 litres/36 000 kg de masse brute],</w:t>
            </w:r>
            <w:r w:rsidRPr="004D6EB3">
              <w:rPr>
                <w:rFonts w:asciiTheme="majorBidi" w:hAnsiTheme="majorBidi" w:cstheme="majorBidi"/>
                <w:bCs/>
              </w:rPr>
              <w:t xml:space="preserve"> </w:t>
            </w:r>
            <w:r w:rsidRPr="004D6EB3">
              <w:rPr>
                <w:rFonts w:asciiTheme="majorBidi" w:hAnsiTheme="majorBidi" w:cstheme="majorBidi"/>
                <w:bCs/>
                <w:color w:val="000000"/>
                <w:lang w:val="fr-FR" w:eastAsia="fr-FR"/>
              </w:rPr>
              <w:t>destinés au transport [de matières à l</w:t>
            </w:r>
            <w:r w:rsidR="00F70B88">
              <w:rPr>
                <w:rFonts w:asciiTheme="majorBidi" w:hAnsiTheme="majorBidi" w:cstheme="majorBidi"/>
                <w:bCs/>
                <w:color w:val="000000"/>
                <w:lang w:val="fr-FR" w:eastAsia="fr-FR"/>
              </w:rPr>
              <w:t>’</w:t>
            </w:r>
            <w:r w:rsidRPr="004D6EB3">
              <w:rPr>
                <w:rFonts w:asciiTheme="majorBidi" w:hAnsiTheme="majorBidi" w:cstheme="majorBidi"/>
                <w:bCs/>
                <w:color w:val="000000"/>
                <w:lang w:val="fr-FR" w:eastAsia="fr-FR"/>
              </w:rPr>
              <w:t>état liquide]/[liquides], qui ne sont pas partagés en sections d</w:t>
            </w:r>
            <w:r w:rsidR="00F70B88">
              <w:rPr>
                <w:rFonts w:asciiTheme="majorBidi" w:hAnsiTheme="majorBidi" w:cstheme="majorBidi"/>
                <w:bCs/>
                <w:color w:val="000000"/>
                <w:lang w:val="fr-FR" w:eastAsia="fr-FR"/>
              </w:rPr>
              <w:t>’</w:t>
            </w:r>
            <w:r w:rsidRPr="004D6EB3">
              <w:rPr>
                <w:rFonts w:asciiTheme="majorBidi" w:hAnsiTheme="majorBidi" w:cstheme="majorBidi"/>
                <w:bCs/>
                <w:color w:val="000000"/>
                <w:lang w:val="fr-FR" w:eastAsia="fr-FR"/>
              </w:rPr>
              <w:t>une capacité maximales de 7</w:t>
            </w:r>
            <w:r w:rsidR="00B528D4">
              <w:rPr>
                <w:rFonts w:asciiTheme="majorBidi" w:hAnsiTheme="majorBidi" w:cstheme="majorBidi"/>
                <w:bCs/>
                <w:color w:val="000000"/>
                <w:lang w:val="fr-FR" w:eastAsia="fr-FR"/>
              </w:rPr>
              <w:t> </w:t>
            </w:r>
            <w:r w:rsidRPr="004D6EB3">
              <w:rPr>
                <w:rFonts w:asciiTheme="majorBidi" w:hAnsiTheme="majorBidi" w:cstheme="majorBidi"/>
                <w:bCs/>
                <w:color w:val="000000"/>
                <w:lang w:val="fr-FR" w:eastAsia="fr-FR"/>
              </w:rPr>
              <w:t>500</w:t>
            </w:r>
            <w:r w:rsidR="00B528D4">
              <w:rPr>
                <w:rFonts w:asciiTheme="majorBidi" w:hAnsiTheme="majorBidi" w:cstheme="majorBidi"/>
                <w:bCs/>
                <w:color w:val="000000"/>
                <w:lang w:val="fr-FR" w:eastAsia="fr-FR"/>
              </w:rPr>
              <w:t> </w:t>
            </w:r>
            <w:r w:rsidRPr="004D6EB3">
              <w:rPr>
                <w:rFonts w:asciiTheme="majorBidi" w:hAnsiTheme="majorBidi" w:cstheme="majorBidi"/>
                <w:bCs/>
                <w:color w:val="000000"/>
                <w:lang w:val="fr-FR" w:eastAsia="fr-FR"/>
              </w:rPr>
              <w:t>litres au moyen de cloisons ou de brise-flots, ces ouvertures doivent être munies de fermetures qui sont conçues pour une pression d</w:t>
            </w:r>
            <w:r w:rsidR="00F70B88">
              <w:rPr>
                <w:rFonts w:asciiTheme="majorBidi" w:hAnsiTheme="majorBidi" w:cstheme="majorBidi"/>
                <w:bCs/>
                <w:color w:val="000000"/>
                <w:lang w:val="fr-FR" w:eastAsia="fr-FR"/>
              </w:rPr>
              <w:t>’</w:t>
            </w:r>
            <w:r w:rsidRPr="004D6EB3">
              <w:rPr>
                <w:rFonts w:asciiTheme="majorBidi" w:hAnsiTheme="majorBidi" w:cstheme="majorBidi"/>
                <w:bCs/>
                <w:color w:val="000000"/>
                <w:lang w:val="fr-FR" w:eastAsia="fr-FR"/>
              </w:rPr>
              <w:t>épreuve d</w:t>
            </w:r>
            <w:r w:rsidR="00F70B88">
              <w:rPr>
                <w:rFonts w:asciiTheme="majorBidi" w:hAnsiTheme="majorBidi" w:cstheme="majorBidi"/>
                <w:bCs/>
                <w:color w:val="000000"/>
                <w:lang w:val="fr-FR" w:eastAsia="fr-FR"/>
              </w:rPr>
              <w:t>’</w:t>
            </w:r>
            <w:r w:rsidRPr="004D6EB3">
              <w:rPr>
                <w:rFonts w:asciiTheme="majorBidi" w:hAnsiTheme="majorBidi" w:cstheme="majorBidi"/>
                <w:bCs/>
                <w:color w:val="000000"/>
                <w:lang w:val="fr-FR" w:eastAsia="fr-FR"/>
              </w:rPr>
              <w:t>au moins 0,4 MPa (4 bar)</w:t>
            </w:r>
            <w:r w:rsidR="00FC1209" w:rsidRPr="00FC1209">
              <w:rPr>
                <w:rFonts w:asciiTheme="majorBidi" w:hAnsiTheme="majorBidi" w:cstheme="majorBidi"/>
                <w:bCs/>
                <w:color w:val="000000"/>
                <w:lang w:val="fr-FR" w:eastAsia="fr-FR"/>
              </w:rPr>
              <w:t>.</w:t>
            </w:r>
            <w:r w:rsidRPr="004D6EB3">
              <w:rPr>
                <w:rFonts w:asciiTheme="majorBidi" w:hAnsiTheme="majorBidi" w:cstheme="majorBidi"/>
                <w:bCs/>
                <w:color w:val="000000"/>
                <w:lang w:val="fr-FR" w:eastAsia="fr-FR"/>
              </w:rPr>
              <w:t xml:space="preserve"> Les couvercles de dôme articulés pour ces conteneurs-citernes ayant une pression d</w:t>
            </w:r>
            <w:r w:rsidR="00F70B88">
              <w:rPr>
                <w:rFonts w:asciiTheme="majorBidi" w:hAnsiTheme="majorBidi" w:cstheme="majorBidi"/>
                <w:bCs/>
                <w:color w:val="000000"/>
                <w:lang w:val="fr-FR" w:eastAsia="fr-FR"/>
              </w:rPr>
              <w:t>’</w:t>
            </w:r>
            <w:r w:rsidRPr="004D6EB3">
              <w:rPr>
                <w:rFonts w:asciiTheme="majorBidi" w:hAnsiTheme="majorBidi" w:cstheme="majorBidi"/>
                <w:bCs/>
                <w:color w:val="000000"/>
                <w:lang w:val="fr-FR" w:eastAsia="fr-FR"/>
              </w:rPr>
              <w:t>épreuve supérieure à 0,6 MPa (6 bar) ne sont pas autorisés</w:t>
            </w:r>
            <w:r w:rsidR="00FC1209" w:rsidRPr="00FC1209">
              <w:rPr>
                <w:rFonts w:asciiTheme="majorBidi" w:hAnsiTheme="majorBidi" w:cstheme="majorBidi"/>
                <w:bCs/>
                <w:color w:val="000000"/>
                <w:lang w:val="fr-FR" w:eastAsia="fr-FR"/>
              </w:rPr>
              <w:t>.</w:t>
            </w:r>
            <w:r w:rsidRPr="004D6EB3">
              <w:rPr>
                <w:rFonts w:asciiTheme="majorBidi" w:hAnsiTheme="majorBidi" w:cstheme="majorBidi"/>
                <w:bCs/>
                <w:color w:val="000000"/>
                <w:lang w:val="fr-FR" w:eastAsia="fr-FR"/>
              </w:rPr>
              <w:t> »</w:t>
            </w:r>
            <w:r w:rsidR="00FC1209" w:rsidRPr="00FC1209">
              <w:rPr>
                <w:rFonts w:asciiTheme="majorBidi" w:hAnsiTheme="majorBidi" w:cstheme="majorBidi"/>
                <w:bCs/>
                <w:color w:val="000000"/>
                <w:lang w:val="fr-FR" w:eastAsia="fr-FR"/>
              </w:rPr>
              <w:t>.</w:t>
            </w:r>
            <w:r w:rsidRPr="00A43C20">
              <w:rPr>
                <w:rFonts w:asciiTheme="majorBidi" w:hAnsiTheme="majorBidi" w:cstheme="majorBidi"/>
                <w:bCs/>
                <w:color w:val="000000"/>
                <w:lang w:val="fr-FR" w:eastAsia="fr-FR"/>
              </w:rPr>
              <w:t>]</w:t>
            </w:r>
          </w:p>
        </w:tc>
      </w:tr>
    </w:tbl>
    <w:p w14:paraId="7CE1DE19" w14:textId="1F1965CA" w:rsidR="00520996" w:rsidRPr="00A43C20" w:rsidRDefault="00520996" w:rsidP="00520996">
      <w:pPr>
        <w:pStyle w:val="SingleTxtG"/>
        <w:rPr>
          <w:bCs/>
          <w:i/>
          <w:iCs/>
          <w:lang w:val="fr-FR"/>
        </w:rPr>
      </w:pPr>
      <w:r w:rsidRPr="00A43C20">
        <w:rPr>
          <w:bCs/>
          <w:i/>
          <w:iCs/>
          <w:lang w:val="fr-FR"/>
        </w:rPr>
        <w:t>(Documents de référence : ECE/TRANS/WP</w:t>
      </w:r>
      <w:r w:rsidR="00FC1209" w:rsidRPr="00FC1209">
        <w:rPr>
          <w:bCs/>
          <w:i/>
          <w:iCs/>
          <w:lang w:val="fr-FR"/>
        </w:rPr>
        <w:t>.</w:t>
      </w:r>
      <w:r w:rsidRPr="00A43C20">
        <w:rPr>
          <w:bCs/>
          <w:i/>
          <w:iCs/>
          <w:lang w:val="fr-FR"/>
        </w:rPr>
        <w:t>15/AC</w:t>
      </w:r>
      <w:r w:rsidR="00FC1209" w:rsidRPr="00FC1209">
        <w:rPr>
          <w:bCs/>
          <w:i/>
          <w:iCs/>
          <w:lang w:val="fr-FR"/>
        </w:rPr>
        <w:t>.</w:t>
      </w:r>
      <w:r w:rsidRPr="00A43C20">
        <w:rPr>
          <w:bCs/>
          <w:i/>
          <w:iCs/>
          <w:lang w:val="fr-FR"/>
        </w:rPr>
        <w:t>1/2021/8 et document informel INF</w:t>
      </w:r>
      <w:r w:rsidR="00FC1209" w:rsidRPr="00FC1209">
        <w:rPr>
          <w:bCs/>
          <w:i/>
          <w:iCs/>
          <w:lang w:val="fr-FR"/>
        </w:rPr>
        <w:t>.</w:t>
      </w:r>
      <w:r w:rsidRPr="00A43C20">
        <w:rPr>
          <w:bCs/>
          <w:i/>
          <w:iCs/>
          <w:lang w:val="fr-FR"/>
        </w:rPr>
        <w:t>43)</w:t>
      </w:r>
    </w:p>
    <w:p w14:paraId="00125481" w14:textId="63CC2E88" w:rsidR="00520996" w:rsidRPr="00222AB5" w:rsidRDefault="00520996" w:rsidP="001F76D5">
      <w:pPr>
        <w:pStyle w:val="SingleTxtG"/>
        <w:ind w:left="2268" w:hanging="1134"/>
        <w:rPr>
          <w:bCs/>
        </w:rPr>
      </w:pPr>
      <w:r w:rsidRPr="00A43C20">
        <w:rPr>
          <w:bCs/>
        </w:rPr>
        <w:t>6</w:t>
      </w:r>
      <w:r w:rsidR="00FC1209" w:rsidRPr="00FC1209">
        <w:rPr>
          <w:bCs/>
        </w:rPr>
        <w:t>.</w:t>
      </w:r>
      <w:r w:rsidRPr="00A43C20">
        <w:rPr>
          <w:bCs/>
        </w:rPr>
        <w:t>8</w:t>
      </w:r>
      <w:r w:rsidR="00FC1209" w:rsidRPr="00FC1209">
        <w:rPr>
          <w:bCs/>
        </w:rPr>
        <w:t>.</w:t>
      </w:r>
      <w:r w:rsidRPr="00A43C20">
        <w:rPr>
          <w:bCs/>
        </w:rPr>
        <w:t>2</w:t>
      </w:r>
      <w:r w:rsidR="00FC1209" w:rsidRPr="00FC1209">
        <w:rPr>
          <w:bCs/>
        </w:rPr>
        <w:t>.</w:t>
      </w:r>
      <w:r w:rsidRPr="00A43C20">
        <w:rPr>
          <w:bCs/>
        </w:rPr>
        <w:t>4</w:t>
      </w:r>
      <w:r w:rsidR="00FC1209" w:rsidRPr="00FC1209">
        <w:rPr>
          <w:bCs/>
        </w:rPr>
        <w:t>.</w:t>
      </w:r>
      <w:r w:rsidRPr="00A43C20">
        <w:rPr>
          <w:bCs/>
        </w:rPr>
        <w:t>3</w:t>
      </w:r>
      <w:r w:rsidRPr="00222AB5">
        <w:rPr>
          <w:bCs/>
        </w:rPr>
        <w:tab/>
        <w:t>Au premier paragraphe, dans la première phrase, remplacer « tous les » par « au plus tard »</w:t>
      </w:r>
      <w:r w:rsidR="00FC1209" w:rsidRPr="00FC1209">
        <w:rPr>
          <w:bCs/>
        </w:rPr>
        <w:t>.</w:t>
      </w:r>
    </w:p>
    <w:p w14:paraId="5A40903C" w14:textId="5546F4F9" w:rsidR="00520996" w:rsidRDefault="00520996" w:rsidP="005D3FA5">
      <w:pPr>
        <w:pStyle w:val="SingleTxtG"/>
        <w:ind w:left="2268"/>
        <w:rPr>
          <w:bCs/>
        </w:rPr>
      </w:pPr>
      <w:r w:rsidRPr="00222AB5">
        <w:rPr>
          <w:bCs/>
          <w:i/>
          <w:iCs/>
          <w:lang w:val="fr-FR"/>
        </w:rPr>
        <w:tab/>
      </w:r>
      <w:r w:rsidRPr="00222AB5">
        <w:rPr>
          <w:bCs/>
        </w:rPr>
        <w:t>Au troisième paragraphe, remplacer « la date prévue » par « la date spécifiée » et remplacer « cette date » par « cette date anticipée »</w:t>
      </w:r>
      <w:r w:rsidR="00FC1209" w:rsidRPr="00FC1209">
        <w:rPr>
          <w:bCs/>
        </w:rPr>
        <w:t>.</w:t>
      </w:r>
    </w:p>
    <w:p w14:paraId="28558823" w14:textId="666866BD" w:rsidR="00520996" w:rsidRPr="00222AB5" w:rsidRDefault="00520996" w:rsidP="00520996">
      <w:pPr>
        <w:pStyle w:val="SingleTxtG"/>
        <w:ind w:right="282"/>
        <w:rPr>
          <w:bCs/>
          <w:i/>
          <w:iCs/>
          <w:lang w:val="fr-FR"/>
        </w:rPr>
      </w:pPr>
      <w:r w:rsidRPr="00222AB5">
        <w:rPr>
          <w:bCs/>
          <w:i/>
          <w:iCs/>
          <w:lang w:val="fr-FR"/>
        </w:rPr>
        <w:lastRenderedPageBreak/>
        <w:t>(Documents de référence : ECE/TRANS/WP</w:t>
      </w:r>
      <w:r w:rsidR="00FC1209" w:rsidRPr="00FC1209">
        <w:rPr>
          <w:bCs/>
          <w:i/>
          <w:iCs/>
          <w:lang w:val="fr-FR"/>
        </w:rPr>
        <w:t>.</w:t>
      </w:r>
      <w:r w:rsidRPr="00222AB5">
        <w:rPr>
          <w:bCs/>
          <w:i/>
          <w:iCs/>
          <w:lang w:val="fr-FR"/>
        </w:rPr>
        <w:t>15/AC</w:t>
      </w:r>
      <w:r w:rsidR="00FC1209" w:rsidRPr="00FC1209">
        <w:rPr>
          <w:bCs/>
          <w:i/>
          <w:iCs/>
          <w:lang w:val="fr-FR"/>
        </w:rPr>
        <w:t>.</w:t>
      </w:r>
      <w:r w:rsidRPr="00222AB5">
        <w:rPr>
          <w:bCs/>
          <w:i/>
          <w:iCs/>
          <w:lang w:val="fr-FR"/>
        </w:rPr>
        <w:t>1/2021/19 et document informel INF</w:t>
      </w:r>
      <w:r w:rsidR="00FC1209" w:rsidRPr="00FC1209">
        <w:rPr>
          <w:bCs/>
          <w:i/>
          <w:iCs/>
          <w:lang w:val="fr-FR"/>
        </w:rPr>
        <w:t>.</w:t>
      </w:r>
      <w:r w:rsidRPr="00222AB5">
        <w:rPr>
          <w:bCs/>
          <w:i/>
          <w:iCs/>
          <w:lang w:val="fr-FR"/>
        </w:rPr>
        <w:t>43)</w:t>
      </w:r>
    </w:p>
    <w:p w14:paraId="74546461" w14:textId="365F3579" w:rsidR="00520996" w:rsidRPr="00222AB5" w:rsidRDefault="00520996" w:rsidP="00520996">
      <w:pPr>
        <w:pStyle w:val="SingleTxtG"/>
        <w:ind w:right="707"/>
        <w:rPr>
          <w:bCs/>
        </w:rPr>
      </w:pPr>
      <w:r w:rsidRPr="00222AB5">
        <w:rPr>
          <w:bCs/>
        </w:rPr>
        <w:t>[</w:t>
      </w:r>
      <w:r w:rsidRPr="00A43C20">
        <w:rPr>
          <w:bCs/>
        </w:rPr>
        <w:t>6</w:t>
      </w:r>
      <w:r w:rsidR="00FC1209" w:rsidRPr="00FC1209">
        <w:rPr>
          <w:bCs/>
        </w:rPr>
        <w:t>.</w:t>
      </w:r>
      <w:r w:rsidRPr="00A43C20">
        <w:rPr>
          <w:bCs/>
        </w:rPr>
        <w:t>8</w:t>
      </w:r>
      <w:r w:rsidR="00FC1209" w:rsidRPr="00FC1209">
        <w:rPr>
          <w:bCs/>
        </w:rPr>
        <w:t>.</w:t>
      </w:r>
      <w:r w:rsidRPr="00A43C20">
        <w:rPr>
          <w:bCs/>
        </w:rPr>
        <w:t>2</w:t>
      </w:r>
      <w:r w:rsidR="00FC1209" w:rsidRPr="00FC1209">
        <w:rPr>
          <w:bCs/>
        </w:rPr>
        <w:t>.</w:t>
      </w:r>
      <w:r w:rsidRPr="00A43C20">
        <w:rPr>
          <w:bCs/>
        </w:rPr>
        <w:t>6</w:t>
      </w:r>
      <w:r w:rsidR="00FC1209" w:rsidRPr="00FC1209">
        <w:rPr>
          <w:bCs/>
        </w:rPr>
        <w:t>.</w:t>
      </w:r>
      <w:r w:rsidRPr="00A43C20">
        <w:rPr>
          <w:bCs/>
        </w:rPr>
        <w:t>2</w:t>
      </w:r>
      <w:r w:rsidRPr="00222AB5">
        <w:rPr>
          <w:bCs/>
        </w:rPr>
        <w:tab/>
        <w:t xml:space="preserve">Modifier le tableau </w:t>
      </w:r>
      <w:r>
        <w:rPr>
          <w:bCs/>
        </w:rPr>
        <w:t>pour lire comme suit</w:t>
      </w:r>
      <w:r w:rsidRPr="00222AB5">
        <w:rPr>
          <w:bCs/>
        </w:rPr>
        <w:t> :</w:t>
      </w:r>
    </w:p>
    <w:p w14:paraId="649BC9E2" w14:textId="0738F97B" w:rsidR="00520996" w:rsidRPr="00E33DE4" w:rsidRDefault="00520996" w:rsidP="001F76D5">
      <w:pPr>
        <w:pStyle w:val="SingleTxtG"/>
        <w:ind w:left="2835" w:hanging="567"/>
        <w:rPr>
          <w:rFonts w:cs="Arial"/>
          <w:bCs/>
          <w:szCs w:val="22"/>
        </w:rPr>
      </w:pPr>
      <w:r w:rsidRPr="00222AB5">
        <w:rPr>
          <w:bCs/>
          <w:szCs w:val="22"/>
        </w:rPr>
        <w:t>–</w:t>
      </w:r>
      <w:r w:rsidRPr="00222AB5">
        <w:rPr>
          <w:bCs/>
          <w:szCs w:val="22"/>
        </w:rPr>
        <w:tab/>
      </w:r>
      <w:r w:rsidRPr="00222AB5">
        <w:rPr>
          <w:bCs/>
        </w:rPr>
        <w:t>Pour la norme « EN 12972:2018 », dans la colonne (3), avant « 6</w:t>
      </w:r>
      <w:r w:rsidR="00FC1209" w:rsidRPr="00FC1209">
        <w:rPr>
          <w:bCs/>
        </w:rPr>
        <w:t>.</w:t>
      </w:r>
      <w:r w:rsidRPr="00222AB5">
        <w:rPr>
          <w:bCs/>
        </w:rPr>
        <w:t>8</w:t>
      </w:r>
      <w:r w:rsidR="00FC1209" w:rsidRPr="00FC1209">
        <w:rPr>
          <w:bCs/>
        </w:rPr>
        <w:t>.</w:t>
      </w:r>
      <w:r w:rsidRPr="00222AB5">
        <w:rPr>
          <w:bCs/>
        </w:rPr>
        <w:t>2</w:t>
      </w:r>
      <w:r w:rsidR="00FC1209" w:rsidRPr="00FC1209">
        <w:rPr>
          <w:bCs/>
        </w:rPr>
        <w:t>.</w:t>
      </w:r>
      <w:r w:rsidRPr="00222AB5">
        <w:rPr>
          <w:bCs/>
        </w:rPr>
        <w:t xml:space="preserve">4 », </w:t>
      </w:r>
      <w:r>
        <w:rPr>
          <w:bCs/>
        </w:rPr>
        <w:t>ajouter</w:t>
      </w:r>
      <w:r w:rsidRPr="00E33DE4">
        <w:rPr>
          <w:bCs/>
        </w:rPr>
        <w:t> « </w:t>
      </w:r>
      <w:r w:rsidRPr="00E33DE4">
        <w:rPr>
          <w:bCs/>
          <w:szCs w:val="22"/>
        </w:rPr>
        <w:t>6</w:t>
      </w:r>
      <w:r w:rsidR="00FC1209" w:rsidRPr="00FC1209">
        <w:rPr>
          <w:bCs/>
          <w:szCs w:val="22"/>
        </w:rPr>
        <w:t>.</w:t>
      </w:r>
      <w:r w:rsidRPr="00E33DE4">
        <w:rPr>
          <w:bCs/>
          <w:szCs w:val="22"/>
        </w:rPr>
        <w:t>8</w:t>
      </w:r>
      <w:r w:rsidR="00FC1209" w:rsidRPr="00FC1209">
        <w:rPr>
          <w:bCs/>
          <w:szCs w:val="22"/>
        </w:rPr>
        <w:t>.</w:t>
      </w:r>
      <w:r w:rsidRPr="00E33DE4">
        <w:rPr>
          <w:bCs/>
          <w:szCs w:val="22"/>
        </w:rPr>
        <w:t>2</w:t>
      </w:r>
      <w:r w:rsidR="00FC1209" w:rsidRPr="00FC1209">
        <w:rPr>
          <w:bCs/>
          <w:szCs w:val="22"/>
        </w:rPr>
        <w:t>.</w:t>
      </w:r>
      <w:r w:rsidRPr="00E33DE4">
        <w:rPr>
          <w:bCs/>
          <w:szCs w:val="22"/>
        </w:rPr>
        <w:t>1</w:t>
      </w:r>
      <w:r w:rsidR="00FC1209" w:rsidRPr="00FC1209">
        <w:rPr>
          <w:bCs/>
          <w:szCs w:val="22"/>
        </w:rPr>
        <w:t>.</w:t>
      </w:r>
      <w:r w:rsidRPr="00E33DE4">
        <w:rPr>
          <w:bCs/>
          <w:szCs w:val="22"/>
        </w:rPr>
        <w:t>23</w:t>
      </w:r>
      <w:r w:rsidRPr="00E33DE4">
        <w:rPr>
          <w:bCs/>
        </w:rPr>
        <w:t> »</w:t>
      </w:r>
      <w:r w:rsidR="00FC1209" w:rsidRPr="00FC1209">
        <w:rPr>
          <w:bCs/>
        </w:rPr>
        <w:t>.</w:t>
      </w:r>
      <w:r w:rsidRPr="00E33DE4">
        <w:rPr>
          <w:bCs/>
        </w:rPr>
        <w:t>]</w:t>
      </w:r>
    </w:p>
    <w:p w14:paraId="479CCBA0" w14:textId="27594E1D" w:rsidR="00520996" w:rsidRPr="00A43C20" w:rsidRDefault="00520996" w:rsidP="00520996">
      <w:pPr>
        <w:pStyle w:val="SingleTxtG"/>
        <w:ind w:right="282"/>
        <w:rPr>
          <w:bCs/>
          <w:iCs/>
          <w:lang w:val="fr-FR"/>
        </w:rPr>
      </w:pPr>
      <w:r w:rsidRPr="00E33DE4">
        <w:rPr>
          <w:bCs/>
          <w:i/>
          <w:iCs/>
        </w:rPr>
        <w:t>(Documents de référence : documents informels INF</w:t>
      </w:r>
      <w:r w:rsidR="00FC1209" w:rsidRPr="00FC1209">
        <w:rPr>
          <w:bCs/>
          <w:i/>
          <w:iCs/>
        </w:rPr>
        <w:t>.</w:t>
      </w:r>
      <w:r w:rsidRPr="00E33DE4">
        <w:rPr>
          <w:bCs/>
          <w:i/>
          <w:iCs/>
        </w:rPr>
        <w:t>11 et INF</w:t>
      </w:r>
      <w:r w:rsidR="00FC1209" w:rsidRPr="00FC1209">
        <w:rPr>
          <w:bCs/>
          <w:i/>
          <w:iCs/>
        </w:rPr>
        <w:t>.</w:t>
      </w:r>
      <w:r w:rsidRPr="00E33DE4">
        <w:rPr>
          <w:bCs/>
          <w:i/>
          <w:iCs/>
        </w:rPr>
        <w:t>43)</w:t>
      </w:r>
    </w:p>
    <w:p w14:paraId="653CA1DF" w14:textId="7855484D" w:rsidR="00520996" w:rsidRPr="00A43C20" w:rsidRDefault="00520996" w:rsidP="001F76D5">
      <w:pPr>
        <w:pStyle w:val="SingleTxtG"/>
        <w:rPr>
          <w:bCs/>
          <w:iCs/>
          <w:lang w:val="fr-FR"/>
        </w:rPr>
      </w:pPr>
      <w:r w:rsidRPr="00A43C20">
        <w:rPr>
          <w:bCs/>
          <w:iCs/>
          <w:lang w:val="fr-FR"/>
        </w:rPr>
        <w:t>6</w:t>
      </w:r>
      <w:r w:rsidR="00FC1209" w:rsidRPr="00FC1209">
        <w:rPr>
          <w:bCs/>
          <w:iCs/>
          <w:lang w:val="fr-FR"/>
        </w:rPr>
        <w:t>.</w:t>
      </w:r>
      <w:r w:rsidRPr="00A43C20">
        <w:rPr>
          <w:bCs/>
          <w:iCs/>
          <w:lang w:val="fr-FR"/>
        </w:rPr>
        <w:t>8</w:t>
      </w:r>
      <w:r w:rsidR="00FC1209" w:rsidRPr="00FC1209">
        <w:rPr>
          <w:bCs/>
          <w:iCs/>
          <w:lang w:val="fr-FR"/>
        </w:rPr>
        <w:t>.</w:t>
      </w:r>
      <w:r w:rsidRPr="00A43C20">
        <w:rPr>
          <w:bCs/>
          <w:iCs/>
          <w:lang w:val="fr-FR"/>
        </w:rPr>
        <w:t>3</w:t>
      </w:r>
      <w:r w:rsidR="00FC1209" w:rsidRPr="00FC1209">
        <w:rPr>
          <w:bCs/>
          <w:iCs/>
          <w:lang w:val="fr-FR"/>
        </w:rPr>
        <w:t>.</w:t>
      </w:r>
      <w:r w:rsidRPr="00A43C20">
        <w:rPr>
          <w:bCs/>
          <w:iCs/>
          <w:lang w:val="fr-FR"/>
        </w:rPr>
        <w:t>4</w:t>
      </w:r>
      <w:r w:rsidR="00FC1209" w:rsidRPr="00FC1209">
        <w:rPr>
          <w:bCs/>
          <w:iCs/>
          <w:lang w:val="fr-FR"/>
        </w:rPr>
        <w:t>.</w:t>
      </w:r>
      <w:r w:rsidRPr="00A43C20">
        <w:rPr>
          <w:bCs/>
          <w:iCs/>
          <w:lang w:val="fr-FR"/>
        </w:rPr>
        <w:t>6</w:t>
      </w:r>
      <w:r w:rsidRPr="00A43C20">
        <w:rPr>
          <w:bCs/>
          <w:iCs/>
          <w:lang w:val="fr-FR"/>
        </w:rPr>
        <w:tab/>
      </w:r>
      <w:r w:rsidRPr="00A43C20">
        <w:rPr>
          <w:bCs/>
          <w:lang w:val="fr-FR"/>
        </w:rPr>
        <w:t>D</w:t>
      </w:r>
      <w:r w:rsidRPr="00A43C20">
        <w:rPr>
          <w:bCs/>
        </w:rPr>
        <w:t>ans le rapport ECE/TRANS/WP</w:t>
      </w:r>
      <w:r w:rsidR="00FC1209" w:rsidRPr="00FC1209">
        <w:rPr>
          <w:bCs/>
        </w:rPr>
        <w:t>.</w:t>
      </w:r>
      <w:r w:rsidRPr="00A43C20">
        <w:rPr>
          <w:bCs/>
        </w:rPr>
        <w:t>15/AC</w:t>
      </w:r>
      <w:r w:rsidR="00FC1209" w:rsidRPr="00FC1209">
        <w:rPr>
          <w:bCs/>
        </w:rPr>
        <w:t>.</w:t>
      </w:r>
      <w:r w:rsidRPr="00A43C20">
        <w:rPr>
          <w:bCs/>
        </w:rPr>
        <w:t>1/158</w:t>
      </w:r>
      <w:r>
        <w:rPr>
          <w:bCs/>
        </w:rPr>
        <w:t xml:space="preserve"> </w:t>
      </w:r>
      <w:r w:rsidR="00B528D4">
        <w:rPr>
          <w:rFonts w:cs="Arial"/>
          <w:bCs/>
          <w:szCs w:val="22"/>
        </w:rPr>
        <w:t>−</w:t>
      </w:r>
      <w:r w:rsidRPr="002E64A6">
        <w:rPr>
          <w:rFonts w:cs="Arial"/>
          <w:bCs/>
          <w:szCs w:val="22"/>
        </w:rPr>
        <w:t xml:space="preserve"> OTIF/RID/RC/2020-A</w:t>
      </w:r>
      <w:r w:rsidRPr="00A43C20">
        <w:rPr>
          <w:bCs/>
        </w:rPr>
        <w:t>, remplacer l</w:t>
      </w:r>
      <w:r w:rsidR="00F70B88">
        <w:rPr>
          <w:bCs/>
        </w:rPr>
        <w:t>’</w:t>
      </w:r>
      <w:r w:rsidRPr="00A43C20">
        <w:rPr>
          <w:bCs/>
        </w:rPr>
        <w:t>amendement relatif au 6</w:t>
      </w:r>
      <w:r w:rsidR="00FC1209" w:rsidRPr="00FC1209">
        <w:rPr>
          <w:bCs/>
        </w:rPr>
        <w:t>.</w:t>
      </w:r>
      <w:r w:rsidRPr="00A43C20">
        <w:rPr>
          <w:bCs/>
        </w:rPr>
        <w:t>8</w:t>
      </w:r>
      <w:r w:rsidR="00FC1209" w:rsidRPr="00FC1209">
        <w:rPr>
          <w:bCs/>
        </w:rPr>
        <w:t>.</w:t>
      </w:r>
      <w:r w:rsidRPr="00A43C20">
        <w:rPr>
          <w:bCs/>
        </w:rPr>
        <w:t>3</w:t>
      </w:r>
      <w:r w:rsidR="00FC1209" w:rsidRPr="00FC1209">
        <w:rPr>
          <w:bCs/>
        </w:rPr>
        <w:t>.</w:t>
      </w:r>
      <w:r w:rsidRPr="00A43C20">
        <w:rPr>
          <w:bCs/>
        </w:rPr>
        <w:t>4</w:t>
      </w:r>
      <w:r w:rsidR="00FC1209" w:rsidRPr="00FC1209">
        <w:rPr>
          <w:bCs/>
        </w:rPr>
        <w:t>.</w:t>
      </w:r>
      <w:r w:rsidRPr="00A43C20">
        <w:rPr>
          <w:bCs/>
        </w:rPr>
        <w:t>6 par l</w:t>
      </w:r>
      <w:r w:rsidR="00F70B88">
        <w:rPr>
          <w:bCs/>
        </w:rPr>
        <w:t>’</w:t>
      </w:r>
      <w:r w:rsidRPr="00A43C20">
        <w:rPr>
          <w:bCs/>
        </w:rPr>
        <w:t>amendement suivant :</w:t>
      </w:r>
    </w:p>
    <w:p w14:paraId="621AE5AA" w14:textId="4C18D74E" w:rsidR="00520996" w:rsidRPr="00A43C20" w:rsidRDefault="00520996" w:rsidP="00520996">
      <w:pPr>
        <w:pStyle w:val="SingleTxtG"/>
        <w:ind w:right="282"/>
        <w:rPr>
          <w:bCs/>
          <w:iCs/>
          <w:lang w:val="fr-FR"/>
        </w:rPr>
      </w:pPr>
      <w:r w:rsidRPr="00A43C20">
        <w:rPr>
          <w:bCs/>
          <w:iCs/>
          <w:lang w:val="fr-FR"/>
        </w:rPr>
        <w:t>« 6</w:t>
      </w:r>
      <w:r w:rsidR="00FC1209" w:rsidRPr="00FC1209">
        <w:rPr>
          <w:bCs/>
          <w:iCs/>
          <w:lang w:val="fr-FR"/>
        </w:rPr>
        <w:t>.</w:t>
      </w:r>
      <w:r w:rsidRPr="00A43C20">
        <w:rPr>
          <w:bCs/>
          <w:iCs/>
          <w:lang w:val="fr-FR"/>
        </w:rPr>
        <w:t>8</w:t>
      </w:r>
      <w:r w:rsidR="00FC1209" w:rsidRPr="00FC1209">
        <w:rPr>
          <w:bCs/>
          <w:iCs/>
          <w:lang w:val="fr-FR"/>
        </w:rPr>
        <w:t>.</w:t>
      </w:r>
      <w:r w:rsidRPr="00A43C20">
        <w:rPr>
          <w:bCs/>
          <w:iCs/>
          <w:lang w:val="fr-FR"/>
        </w:rPr>
        <w:t>3</w:t>
      </w:r>
      <w:r w:rsidR="00FC1209" w:rsidRPr="00FC1209">
        <w:rPr>
          <w:bCs/>
          <w:iCs/>
          <w:lang w:val="fr-FR"/>
        </w:rPr>
        <w:t>.</w:t>
      </w:r>
      <w:r w:rsidRPr="00A43C20">
        <w:rPr>
          <w:bCs/>
          <w:iCs/>
          <w:lang w:val="fr-FR"/>
        </w:rPr>
        <w:t>4</w:t>
      </w:r>
      <w:r w:rsidR="00FC1209" w:rsidRPr="00FC1209">
        <w:rPr>
          <w:bCs/>
          <w:iCs/>
          <w:lang w:val="fr-FR"/>
        </w:rPr>
        <w:t>.</w:t>
      </w:r>
      <w:r w:rsidRPr="00A43C20">
        <w:rPr>
          <w:bCs/>
          <w:iCs/>
          <w:lang w:val="fr-FR"/>
        </w:rPr>
        <w:t>6</w:t>
      </w:r>
      <w:r w:rsidRPr="00A43C20">
        <w:rPr>
          <w:bCs/>
          <w:iCs/>
          <w:lang w:val="fr-FR"/>
        </w:rPr>
        <w:tab/>
        <w:t xml:space="preserve">Modifier </w:t>
      </w:r>
      <w:r>
        <w:rPr>
          <w:bCs/>
          <w:iCs/>
          <w:lang w:val="fr-FR"/>
        </w:rPr>
        <w:t>pour lire comme suit</w:t>
      </w:r>
      <w:r w:rsidRPr="00A43C20">
        <w:rPr>
          <w:bCs/>
          <w:iCs/>
          <w:lang w:val="fr-FR"/>
        </w:rPr>
        <w:t> :</w:t>
      </w:r>
    </w:p>
    <w:p w14:paraId="3CE99C0D" w14:textId="77777777" w:rsidR="00520996" w:rsidRPr="00A43C20" w:rsidRDefault="00520996" w:rsidP="00520996">
      <w:pPr>
        <w:pStyle w:val="SingleTxtG"/>
        <w:ind w:right="282"/>
        <w:rPr>
          <w:bCs/>
          <w:iCs/>
        </w:rPr>
      </w:pPr>
      <w:r w:rsidRPr="00A43C20">
        <w:rPr>
          <w:bCs/>
          <w:iCs/>
        </w:rPr>
        <w:t>(RID :)</w:t>
      </w:r>
    </w:p>
    <w:p w14:paraId="69146AC6" w14:textId="2A5221D0" w:rsidR="00520996" w:rsidRPr="00A43C20" w:rsidRDefault="00520996" w:rsidP="00520996">
      <w:pPr>
        <w:pStyle w:val="SingleTxtG"/>
        <w:ind w:right="282"/>
        <w:rPr>
          <w:bCs/>
          <w:iCs/>
        </w:rPr>
      </w:pPr>
      <w:r w:rsidRPr="00A43C20">
        <w:rPr>
          <w:bCs/>
          <w:iCs/>
        </w:rPr>
        <w:t>« 6</w:t>
      </w:r>
      <w:r w:rsidR="00FC1209" w:rsidRPr="00FC1209">
        <w:rPr>
          <w:bCs/>
          <w:iCs/>
        </w:rPr>
        <w:t>.</w:t>
      </w:r>
      <w:r w:rsidRPr="00A43C20">
        <w:rPr>
          <w:bCs/>
          <w:iCs/>
        </w:rPr>
        <w:t>8</w:t>
      </w:r>
      <w:r w:rsidR="00FC1209" w:rsidRPr="00FC1209">
        <w:rPr>
          <w:bCs/>
          <w:iCs/>
        </w:rPr>
        <w:t>.</w:t>
      </w:r>
      <w:r w:rsidRPr="00A43C20">
        <w:rPr>
          <w:bCs/>
          <w:iCs/>
        </w:rPr>
        <w:t>3</w:t>
      </w:r>
      <w:r w:rsidR="00FC1209" w:rsidRPr="00FC1209">
        <w:rPr>
          <w:bCs/>
          <w:iCs/>
        </w:rPr>
        <w:t>.</w:t>
      </w:r>
      <w:r w:rsidRPr="00A43C20">
        <w:rPr>
          <w:bCs/>
          <w:iCs/>
        </w:rPr>
        <w:t>4</w:t>
      </w:r>
      <w:r w:rsidR="00FC1209" w:rsidRPr="00FC1209">
        <w:rPr>
          <w:bCs/>
          <w:iCs/>
        </w:rPr>
        <w:t>.</w:t>
      </w:r>
      <w:r w:rsidRPr="00A43C20">
        <w:rPr>
          <w:bCs/>
          <w:iCs/>
        </w:rPr>
        <w:t>6</w:t>
      </w:r>
      <w:r w:rsidRPr="00A43C20">
        <w:rPr>
          <w:bCs/>
          <w:iCs/>
        </w:rPr>
        <w:tab/>
        <w:t>Pour les citernes destinées au transport des gaz liquéfiés réfrigérés :</w:t>
      </w:r>
    </w:p>
    <w:p w14:paraId="4F5115C8" w14:textId="0081E3FB" w:rsidR="00520996" w:rsidRPr="00A43C20" w:rsidRDefault="00520996" w:rsidP="00B528D4">
      <w:pPr>
        <w:pStyle w:val="SingleTxtG"/>
        <w:ind w:left="2268"/>
        <w:rPr>
          <w:bCs/>
          <w:iCs/>
        </w:rPr>
      </w:pPr>
      <w:r w:rsidRPr="00A43C20">
        <w:rPr>
          <w:bCs/>
          <w:iCs/>
        </w:rPr>
        <w:t>a)</w:t>
      </w:r>
      <w:r w:rsidRPr="00A43C20">
        <w:rPr>
          <w:bCs/>
          <w:iCs/>
        </w:rPr>
        <w:tab/>
        <w:t>Par dérogation aux prescriptions du 6</w:t>
      </w:r>
      <w:r w:rsidR="00FC1209" w:rsidRPr="00FC1209">
        <w:rPr>
          <w:bCs/>
          <w:iCs/>
        </w:rPr>
        <w:t>.</w:t>
      </w:r>
      <w:r w:rsidRPr="00A43C20">
        <w:rPr>
          <w:bCs/>
          <w:iCs/>
        </w:rPr>
        <w:t>8</w:t>
      </w:r>
      <w:r w:rsidR="00FC1209" w:rsidRPr="00FC1209">
        <w:rPr>
          <w:bCs/>
          <w:iCs/>
        </w:rPr>
        <w:t>.</w:t>
      </w:r>
      <w:r w:rsidRPr="00A43C20">
        <w:rPr>
          <w:bCs/>
          <w:iCs/>
        </w:rPr>
        <w:t>2</w:t>
      </w:r>
      <w:r w:rsidR="00FC1209" w:rsidRPr="00FC1209">
        <w:rPr>
          <w:bCs/>
          <w:iCs/>
        </w:rPr>
        <w:t>.</w:t>
      </w:r>
      <w:r w:rsidRPr="00A43C20">
        <w:rPr>
          <w:bCs/>
          <w:iCs/>
        </w:rPr>
        <w:t>4</w:t>
      </w:r>
      <w:r w:rsidR="00FC1209" w:rsidRPr="00FC1209">
        <w:rPr>
          <w:bCs/>
          <w:iCs/>
        </w:rPr>
        <w:t>.</w:t>
      </w:r>
      <w:r w:rsidRPr="00A43C20">
        <w:rPr>
          <w:bCs/>
          <w:iCs/>
        </w:rPr>
        <w:t>2, les contrôles périodiques doivent être effectués au plus tard huit ans après le contrôle initial et ensuite, au plus tard tous les douze ans</w:t>
      </w:r>
      <w:r w:rsidR="00FC1209" w:rsidRPr="00FC1209">
        <w:rPr>
          <w:bCs/>
          <w:iCs/>
        </w:rPr>
        <w:t>.</w:t>
      </w:r>
    </w:p>
    <w:p w14:paraId="74BD6A0D" w14:textId="069D79BE" w:rsidR="00520996" w:rsidRPr="00A43C20" w:rsidRDefault="00520996" w:rsidP="00B528D4">
      <w:pPr>
        <w:pStyle w:val="SingleTxtG"/>
        <w:ind w:left="2268"/>
        <w:rPr>
          <w:bCs/>
          <w:iCs/>
        </w:rPr>
      </w:pPr>
      <w:r w:rsidRPr="00A43C20">
        <w:rPr>
          <w:bCs/>
          <w:iCs/>
        </w:rPr>
        <w:t>b)</w:t>
      </w:r>
      <w:r w:rsidRPr="00A43C20">
        <w:rPr>
          <w:bCs/>
          <w:iCs/>
        </w:rPr>
        <w:tab/>
        <w:t>Par dérogation aux prescriptions du 6</w:t>
      </w:r>
      <w:r w:rsidR="00FC1209" w:rsidRPr="00FC1209">
        <w:rPr>
          <w:bCs/>
          <w:iCs/>
        </w:rPr>
        <w:t>.</w:t>
      </w:r>
      <w:r w:rsidRPr="00A43C20">
        <w:rPr>
          <w:bCs/>
          <w:iCs/>
        </w:rPr>
        <w:t>8</w:t>
      </w:r>
      <w:r w:rsidR="00FC1209" w:rsidRPr="00FC1209">
        <w:rPr>
          <w:bCs/>
          <w:iCs/>
        </w:rPr>
        <w:t>.</w:t>
      </w:r>
      <w:r w:rsidRPr="00A43C20">
        <w:rPr>
          <w:bCs/>
          <w:iCs/>
        </w:rPr>
        <w:t>2</w:t>
      </w:r>
      <w:r w:rsidR="00FC1209" w:rsidRPr="00FC1209">
        <w:rPr>
          <w:bCs/>
          <w:iCs/>
        </w:rPr>
        <w:t>.</w:t>
      </w:r>
      <w:r w:rsidRPr="00A43C20">
        <w:rPr>
          <w:bCs/>
          <w:iCs/>
        </w:rPr>
        <w:t>4</w:t>
      </w:r>
      <w:r w:rsidR="00FC1209" w:rsidRPr="00FC1209">
        <w:rPr>
          <w:bCs/>
          <w:iCs/>
        </w:rPr>
        <w:t>.</w:t>
      </w:r>
      <w:r w:rsidRPr="00A43C20">
        <w:rPr>
          <w:bCs/>
          <w:iCs/>
        </w:rPr>
        <w:t>3, les contrôles intermédiaires doivent être effectués au plus tard six ans après chaque contrôle périodique</w:t>
      </w:r>
      <w:r w:rsidR="00FC1209" w:rsidRPr="00FC1209">
        <w:rPr>
          <w:bCs/>
          <w:iCs/>
        </w:rPr>
        <w:t>.</w:t>
      </w:r>
      <w:r w:rsidRPr="00A43C20">
        <w:rPr>
          <w:bCs/>
          <w:iCs/>
        </w:rPr>
        <w:t> »</w:t>
      </w:r>
      <w:r w:rsidR="00FC1209" w:rsidRPr="00FC1209">
        <w:rPr>
          <w:bCs/>
          <w:iCs/>
        </w:rPr>
        <w:t>.</w:t>
      </w:r>
    </w:p>
    <w:p w14:paraId="219A711B" w14:textId="77777777" w:rsidR="00520996" w:rsidRPr="00A43C20" w:rsidRDefault="00520996" w:rsidP="00520996">
      <w:pPr>
        <w:pStyle w:val="SingleTxtG"/>
        <w:ind w:right="282"/>
        <w:rPr>
          <w:bCs/>
          <w:iCs/>
        </w:rPr>
      </w:pPr>
      <w:r w:rsidRPr="00A43C20">
        <w:rPr>
          <w:bCs/>
          <w:iCs/>
        </w:rPr>
        <w:t>(ADR :)</w:t>
      </w:r>
    </w:p>
    <w:p w14:paraId="3CF1E05E" w14:textId="1982E95E" w:rsidR="00520996" w:rsidRPr="00A43C20" w:rsidRDefault="00520996" w:rsidP="00520996">
      <w:pPr>
        <w:pStyle w:val="SingleTxtG"/>
        <w:ind w:right="282"/>
        <w:rPr>
          <w:bCs/>
          <w:iCs/>
        </w:rPr>
      </w:pPr>
      <w:r w:rsidRPr="00A43C20">
        <w:rPr>
          <w:bCs/>
          <w:iCs/>
        </w:rPr>
        <w:t>« 6</w:t>
      </w:r>
      <w:r w:rsidR="00FC1209" w:rsidRPr="00FC1209">
        <w:rPr>
          <w:bCs/>
          <w:iCs/>
        </w:rPr>
        <w:t>.</w:t>
      </w:r>
      <w:r w:rsidRPr="00A43C20">
        <w:rPr>
          <w:bCs/>
          <w:iCs/>
        </w:rPr>
        <w:t>8</w:t>
      </w:r>
      <w:r w:rsidR="00FC1209" w:rsidRPr="00FC1209">
        <w:rPr>
          <w:bCs/>
          <w:iCs/>
        </w:rPr>
        <w:t>.</w:t>
      </w:r>
      <w:r w:rsidRPr="00A43C20">
        <w:rPr>
          <w:bCs/>
          <w:iCs/>
        </w:rPr>
        <w:t>3</w:t>
      </w:r>
      <w:r w:rsidR="00FC1209" w:rsidRPr="00FC1209">
        <w:rPr>
          <w:bCs/>
          <w:iCs/>
        </w:rPr>
        <w:t>.</w:t>
      </w:r>
      <w:r w:rsidRPr="00A43C20">
        <w:rPr>
          <w:bCs/>
          <w:iCs/>
        </w:rPr>
        <w:t>4</w:t>
      </w:r>
      <w:r w:rsidR="00FC1209" w:rsidRPr="00FC1209">
        <w:rPr>
          <w:bCs/>
          <w:iCs/>
        </w:rPr>
        <w:t>.</w:t>
      </w:r>
      <w:r w:rsidRPr="00A43C20">
        <w:rPr>
          <w:bCs/>
          <w:iCs/>
        </w:rPr>
        <w:t>6</w:t>
      </w:r>
      <w:r w:rsidRPr="00A43C20">
        <w:rPr>
          <w:bCs/>
          <w:iCs/>
        </w:rPr>
        <w:tab/>
        <w:t>Pour les citernes destinées au transport des gaz liquéfiés réfrigérés :</w:t>
      </w:r>
    </w:p>
    <w:p w14:paraId="26393B89" w14:textId="6694FF49" w:rsidR="00520996" w:rsidRPr="00A43C20" w:rsidRDefault="00520996" w:rsidP="00B528D4">
      <w:pPr>
        <w:pStyle w:val="SingleTxtG"/>
        <w:ind w:left="2268"/>
        <w:rPr>
          <w:bCs/>
          <w:iCs/>
        </w:rPr>
      </w:pPr>
      <w:r w:rsidRPr="00A43C20">
        <w:rPr>
          <w:bCs/>
          <w:iCs/>
        </w:rPr>
        <w:t>a)</w:t>
      </w:r>
      <w:r w:rsidRPr="00A43C20">
        <w:rPr>
          <w:bCs/>
          <w:iCs/>
        </w:rPr>
        <w:tab/>
        <w:t>Par dérogation aux prescriptions du 6</w:t>
      </w:r>
      <w:r w:rsidR="00FC1209" w:rsidRPr="00FC1209">
        <w:rPr>
          <w:bCs/>
          <w:iCs/>
        </w:rPr>
        <w:t>.</w:t>
      </w:r>
      <w:r w:rsidRPr="00A43C20">
        <w:rPr>
          <w:bCs/>
          <w:iCs/>
        </w:rPr>
        <w:t>8</w:t>
      </w:r>
      <w:r w:rsidR="00FC1209" w:rsidRPr="00FC1209">
        <w:rPr>
          <w:bCs/>
          <w:iCs/>
        </w:rPr>
        <w:t>.</w:t>
      </w:r>
      <w:r w:rsidRPr="00A43C20">
        <w:rPr>
          <w:bCs/>
          <w:iCs/>
        </w:rPr>
        <w:t>2</w:t>
      </w:r>
      <w:r w:rsidR="00FC1209" w:rsidRPr="00FC1209">
        <w:rPr>
          <w:bCs/>
          <w:iCs/>
        </w:rPr>
        <w:t>.</w:t>
      </w:r>
      <w:r w:rsidRPr="00A43C20">
        <w:rPr>
          <w:bCs/>
          <w:iCs/>
        </w:rPr>
        <w:t>4</w:t>
      </w:r>
      <w:r w:rsidR="00FC1209" w:rsidRPr="00FC1209">
        <w:rPr>
          <w:bCs/>
          <w:iCs/>
        </w:rPr>
        <w:t>.</w:t>
      </w:r>
      <w:r w:rsidRPr="00A43C20">
        <w:rPr>
          <w:bCs/>
          <w:iCs/>
        </w:rPr>
        <w:t>2, les contrôles périodiques doivent être effectués</w:t>
      </w:r>
    </w:p>
    <w:tbl>
      <w:tblPr>
        <w:tblW w:w="0" w:type="auto"/>
        <w:tblInd w:w="1985" w:type="dxa"/>
        <w:tblLook w:val="04A0" w:firstRow="1" w:lastRow="0" w:firstColumn="1" w:lastColumn="0" w:noHBand="0" w:noVBand="1"/>
      </w:tblPr>
      <w:tblGrid>
        <w:gridCol w:w="3608"/>
        <w:gridCol w:w="2960"/>
      </w:tblGrid>
      <w:tr w:rsidR="00520996" w:rsidRPr="004D6EB3" w14:paraId="20EEEC30" w14:textId="77777777" w:rsidTr="001F76D5">
        <w:tc>
          <w:tcPr>
            <w:tcW w:w="3608" w:type="dxa"/>
            <w:tcBorders>
              <w:top w:val="nil"/>
              <w:left w:val="nil"/>
              <w:bottom w:val="nil"/>
            </w:tcBorders>
          </w:tcPr>
          <w:p w14:paraId="7CADB1E2" w14:textId="742966DB" w:rsidR="00520996" w:rsidRPr="004D6EB3" w:rsidRDefault="00B528D4" w:rsidP="00520996">
            <w:pPr>
              <w:pStyle w:val="SingleTxtG"/>
              <w:ind w:left="133" w:right="282" w:firstLine="1"/>
              <w:rPr>
                <w:bCs/>
                <w:iCs/>
              </w:rPr>
            </w:pPr>
            <w:r>
              <w:rPr>
                <w:bCs/>
                <w:iCs/>
              </w:rPr>
              <w:t xml:space="preserve"> </w:t>
            </w:r>
            <w:r w:rsidR="00520996" w:rsidRPr="004D6EB3">
              <w:rPr>
                <w:bCs/>
                <w:iCs/>
              </w:rPr>
              <w:t>au plus tard six ans</w:t>
            </w:r>
          </w:p>
        </w:tc>
        <w:tc>
          <w:tcPr>
            <w:tcW w:w="2960" w:type="dxa"/>
            <w:tcBorders>
              <w:top w:val="nil"/>
              <w:bottom w:val="nil"/>
              <w:right w:val="nil"/>
            </w:tcBorders>
          </w:tcPr>
          <w:p w14:paraId="2E8E375E" w14:textId="77777777" w:rsidR="00520996" w:rsidRPr="004D6EB3" w:rsidRDefault="00520996" w:rsidP="00520996">
            <w:pPr>
              <w:pStyle w:val="SingleTxtG"/>
              <w:ind w:left="194" w:right="282" w:hanging="79"/>
              <w:rPr>
                <w:bCs/>
                <w:iCs/>
              </w:rPr>
            </w:pPr>
            <w:r w:rsidRPr="004D6EB3">
              <w:rPr>
                <w:bCs/>
                <w:iCs/>
              </w:rPr>
              <w:t>au plus tard huit ans</w:t>
            </w:r>
          </w:p>
        </w:tc>
      </w:tr>
    </w:tbl>
    <w:p w14:paraId="08E7BB84" w14:textId="483F057B" w:rsidR="00520996" w:rsidRPr="00A43C20" w:rsidRDefault="00520996" w:rsidP="00B528D4">
      <w:pPr>
        <w:pStyle w:val="SingleTxtG"/>
        <w:ind w:left="2268"/>
        <w:rPr>
          <w:bCs/>
          <w:iCs/>
        </w:rPr>
      </w:pPr>
      <w:r w:rsidRPr="00A43C20">
        <w:rPr>
          <w:bCs/>
          <w:iCs/>
        </w:rPr>
        <w:t>après le contrôle initial et ensuite, au plus tard tous les douze ans</w:t>
      </w:r>
      <w:r w:rsidR="00FC1209" w:rsidRPr="00FC1209">
        <w:rPr>
          <w:bCs/>
          <w:iCs/>
        </w:rPr>
        <w:t>.</w:t>
      </w:r>
    </w:p>
    <w:p w14:paraId="3D1174C5" w14:textId="7739F19A" w:rsidR="00520996" w:rsidRPr="00A43C20" w:rsidRDefault="00520996" w:rsidP="00B528D4">
      <w:pPr>
        <w:pStyle w:val="SingleTxtG"/>
        <w:ind w:left="2268"/>
        <w:rPr>
          <w:bCs/>
          <w:iCs/>
        </w:rPr>
      </w:pPr>
      <w:r w:rsidRPr="00A43C20">
        <w:rPr>
          <w:bCs/>
          <w:iCs/>
        </w:rPr>
        <w:t>b)</w:t>
      </w:r>
      <w:r w:rsidRPr="00A43C20">
        <w:rPr>
          <w:bCs/>
          <w:iCs/>
        </w:rPr>
        <w:tab/>
        <w:t>Par dérogation aux prescriptions du 6</w:t>
      </w:r>
      <w:r w:rsidR="00FC1209" w:rsidRPr="00FC1209">
        <w:rPr>
          <w:bCs/>
          <w:iCs/>
        </w:rPr>
        <w:t>.</w:t>
      </w:r>
      <w:r w:rsidRPr="00A43C20">
        <w:rPr>
          <w:bCs/>
          <w:iCs/>
        </w:rPr>
        <w:t>8</w:t>
      </w:r>
      <w:r w:rsidR="00FC1209" w:rsidRPr="00FC1209">
        <w:rPr>
          <w:bCs/>
          <w:iCs/>
        </w:rPr>
        <w:t>.</w:t>
      </w:r>
      <w:r w:rsidRPr="00A43C20">
        <w:rPr>
          <w:bCs/>
          <w:iCs/>
        </w:rPr>
        <w:t>2</w:t>
      </w:r>
      <w:r w:rsidR="00FC1209" w:rsidRPr="00FC1209">
        <w:rPr>
          <w:bCs/>
          <w:iCs/>
        </w:rPr>
        <w:t>.</w:t>
      </w:r>
      <w:r w:rsidRPr="00A43C20">
        <w:rPr>
          <w:bCs/>
          <w:iCs/>
        </w:rPr>
        <w:t>4</w:t>
      </w:r>
      <w:r w:rsidR="00FC1209" w:rsidRPr="00FC1209">
        <w:rPr>
          <w:bCs/>
          <w:iCs/>
        </w:rPr>
        <w:t>.</w:t>
      </w:r>
      <w:r w:rsidRPr="00A43C20">
        <w:rPr>
          <w:bCs/>
          <w:iCs/>
        </w:rPr>
        <w:t>3, les contrôles intermédiaires doivent être effectués au plus tard six ans après chaque contrôle périodique</w:t>
      </w:r>
      <w:r w:rsidR="00FC1209" w:rsidRPr="00FC1209">
        <w:rPr>
          <w:bCs/>
          <w:iCs/>
        </w:rPr>
        <w:t>.</w:t>
      </w:r>
      <w:r w:rsidRPr="00A43C20">
        <w:rPr>
          <w:bCs/>
          <w:iCs/>
        </w:rPr>
        <w:t> »</w:t>
      </w:r>
      <w:r w:rsidR="00FC1209" w:rsidRPr="00FC1209">
        <w:rPr>
          <w:bCs/>
          <w:iCs/>
        </w:rPr>
        <w:t>.</w:t>
      </w:r>
    </w:p>
    <w:p w14:paraId="61B97DC9" w14:textId="12CDF705" w:rsidR="00520996" w:rsidRPr="00A43C20" w:rsidRDefault="00520996" w:rsidP="001F76D5">
      <w:pPr>
        <w:pStyle w:val="SingleTxtG"/>
        <w:rPr>
          <w:bCs/>
          <w:i/>
          <w:iCs/>
          <w:lang w:val="fr-FR"/>
        </w:rPr>
      </w:pPr>
      <w:r w:rsidRPr="00A43C20">
        <w:rPr>
          <w:bCs/>
          <w:i/>
          <w:iCs/>
          <w:lang w:val="fr-FR"/>
        </w:rPr>
        <w:t xml:space="preserve">(Documents de référence : </w:t>
      </w:r>
      <w:r>
        <w:rPr>
          <w:bCs/>
          <w:i/>
          <w:iCs/>
          <w:lang w:val="fr-FR"/>
        </w:rPr>
        <w:t>document informel</w:t>
      </w:r>
      <w:r w:rsidRPr="00286EDC">
        <w:rPr>
          <w:bCs/>
          <w:i/>
          <w:iCs/>
          <w:lang w:val="fr-FR"/>
        </w:rPr>
        <w:t xml:space="preserve"> INF</w:t>
      </w:r>
      <w:r w:rsidR="00FC1209" w:rsidRPr="00FC1209">
        <w:rPr>
          <w:bCs/>
          <w:i/>
          <w:iCs/>
          <w:lang w:val="fr-FR"/>
        </w:rPr>
        <w:t>.</w:t>
      </w:r>
      <w:r w:rsidRPr="00286EDC">
        <w:rPr>
          <w:bCs/>
          <w:i/>
          <w:iCs/>
          <w:lang w:val="fr-FR"/>
        </w:rPr>
        <w:t xml:space="preserve">64 </w:t>
      </w:r>
      <w:r>
        <w:rPr>
          <w:bCs/>
          <w:i/>
          <w:iCs/>
          <w:lang w:val="fr-FR"/>
        </w:rPr>
        <w:t>de la session d</w:t>
      </w:r>
      <w:r w:rsidR="00F70B88">
        <w:rPr>
          <w:bCs/>
          <w:i/>
          <w:iCs/>
          <w:lang w:val="fr-FR"/>
        </w:rPr>
        <w:t>’</w:t>
      </w:r>
      <w:r>
        <w:rPr>
          <w:bCs/>
          <w:i/>
          <w:iCs/>
          <w:lang w:val="fr-FR"/>
        </w:rPr>
        <w:t>automne</w:t>
      </w:r>
      <w:r w:rsidRPr="00286EDC">
        <w:rPr>
          <w:bCs/>
          <w:i/>
          <w:iCs/>
          <w:lang w:val="fr-FR"/>
        </w:rPr>
        <w:t xml:space="preserve"> 2020 </w:t>
      </w:r>
      <w:r>
        <w:rPr>
          <w:bCs/>
          <w:i/>
          <w:iCs/>
          <w:lang w:val="fr-FR"/>
        </w:rPr>
        <w:t>de la Réunion commune</w:t>
      </w:r>
      <w:r w:rsidRPr="00286EDC">
        <w:rPr>
          <w:bCs/>
          <w:i/>
          <w:iCs/>
          <w:lang w:val="fr-FR"/>
        </w:rPr>
        <w:t>, ECE/TRANS/WP</w:t>
      </w:r>
      <w:r w:rsidR="00FC1209" w:rsidRPr="00FC1209">
        <w:rPr>
          <w:bCs/>
          <w:i/>
          <w:iCs/>
          <w:lang w:val="fr-FR"/>
        </w:rPr>
        <w:t>.</w:t>
      </w:r>
      <w:r w:rsidRPr="00286EDC">
        <w:rPr>
          <w:bCs/>
          <w:i/>
          <w:iCs/>
          <w:lang w:val="fr-FR"/>
        </w:rPr>
        <w:t>15/AC</w:t>
      </w:r>
      <w:r w:rsidR="00FC1209" w:rsidRPr="00FC1209">
        <w:rPr>
          <w:bCs/>
          <w:i/>
          <w:iCs/>
          <w:lang w:val="fr-FR"/>
        </w:rPr>
        <w:t>.</w:t>
      </w:r>
      <w:r w:rsidRPr="00286EDC">
        <w:rPr>
          <w:bCs/>
          <w:i/>
          <w:iCs/>
          <w:lang w:val="fr-FR"/>
        </w:rPr>
        <w:t xml:space="preserve">1/2020/1 </w:t>
      </w:r>
      <w:r>
        <w:rPr>
          <w:bCs/>
          <w:i/>
          <w:iCs/>
          <w:lang w:val="fr-FR"/>
        </w:rPr>
        <w:t>et</w:t>
      </w:r>
      <w:r w:rsidRPr="00286EDC">
        <w:rPr>
          <w:bCs/>
          <w:i/>
          <w:iCs/>
          <w:lang w:val="fr-FR"/>
        </w:rPr>
        <w:t xml:space="preserve"> ECE/TRANS/WP</w:t>
      </w:r>
      <w:r w:rsidR="00FC1209" w:rsidRPr="00FC1209">
        <w:rPr>
          <w:bCs/>
          <w:i/>
          <w:iCs/>
          <w:lang w:val="fr-FR"/>
        </w:rPr>
        <w:t>.</w:t>
      </w:r>
      <w:r w:rsidRPr="00286EDC">
        <w:rPr>
          <w:bCs/>
          <w:i/>
          <w:iCs/>
          <w:lang w:val="fr-FR"/>
        </w:rPr>
        <w:t>15/AC</w:t>
      </w:r>
      <w:r w:rsidR="00FC1209" w:rsidRPr="00FC1209">
        <w:rPr>
          <w:bCs/>
          <w:i/>
          <w:iCs/>
          <w:lang w:val="fr-FR"/>
        </w:rPr>
        <w:t>.</w:t>
      </w:r>
      <w:r w:rsidRPr="00286EDC">
        <w:rPr>
          <w:bCs/>
          <w:i/>
          <w:iCs/>
          <w:lang w:val="fr-FR"/>
        </w:rPr>
        <w:t>1/2020/7, ECE/TRANS/WP</w:t>
      </w:r>
      <w:r w:rsidR="00FC1209" w:rsidRPr="00FC1209">
        <w:rPr>
          <w:bCs/>
          <w:i/>
          <w:iCs/>
          <w:lang w:val="fr-FR"/>
        </w:rPr>
        <w:t>.</w:t>
      </w:r>
      <w:r w:rsidRPr="00286EDC">
        <w:rPr>
          <w:bCs/>
          <w:i/>
          <w:iCs/>
          <w:lang w:val="fr-FR"/>
        </w:rPr>
        <w:t>15/</w:t>
      </w:r>
      <w:r w:rsidR="00EB3890">
        <w:rPr>
          <w:bCs/>
          <w:i/>
          <w:iCs/>
          <w:lang w:val="fr-FR"/>
        </w:rPr>
        <w:t xml:space="preserve"> </w:t>
      </w:r>
      <w:r w:rsidRPr="00286EDC">
        <w:rPr>
          <w:bCs/>
          <w:i/>
          <w:iCs/>
          <w:lang w:val="fr-FR"/>
        </w:rPr>
        <w:t>AC</w:t>
      </w:r>
      <w:r w:rsidR="00FC1209" w:rsidRPr="00FC1209">
        <w:rPr>
          <w:bCs/>
          <w:i/>
          <w:iCs/>
          <w:lang w:val="fr-FR"/>
        </w:rPr>
        <w:t>.</w:t>
      </w:r>
      <w:r w:rsidRPr="00286EDC">
        <w:rPr>
          <w:bCs/>
          <w:i/>
          <w:iCs/>
          <w:lang w:val="fr-FR"/>
        </w:rPr>
        <w:t xml:space="preserve">1/2021/19, </w:t>
      </w:r>
      <w:r>
        <w:rPr>
          <w:bCs/>
          <w:i/>
          <w:iCs/>
          <w:lang w:val="fr-FR"/>
        </w:rPr>
        <w:t>tels qu</w:t>
      </w:r>
      <w:r w:rsidR="00F70B88">
        <w:rPr>
          <w:bCs/>
          <w:i/>
          <w:iCs/>
          <w:lang w:val="fr-FR"/>
        </w:rPr>
        <w:t>’</w:t>
      </w:r>
      <w:r>
        <w:rPr>
          <w:bCs/>
          <w:i/>
          <w:iCs/>
          <w:lang w:val="fr-FR"/>
        </w:rPr>
        <w:t>amendés par le document informel</w:t>
      </w:r>
      <w:r w:rsidRPr="00286EDC">
        <w:rPr>
          <w:bCs/>
          <w:i/>
          <w:iCs/>
          <w:lang w:val="fr-FR"/>
        </w:rPr>
        <w:t xml:space="preserve"> INF</w:t>
      </w:r>
      <w:r w:rsidR="00FC1209" w:rsidRPr="00FC1209">
        <w:rPr>
          <w:bCs/>
          <w:i/>
          <w:iCs/>
          <w:lang w:val="fr-FR"/>
        </w:rPr>
        <w:t>.</w:t>
      </w:r>
      <w:r w:rsidRPr="00286EDC">
        <w:rPr>
          <w:bCs/>
          <w:i/>
          <w:iCs/>
          <w:lang w:val="fr-FR"/>
        </w:rPr>
        <w:t>43</w:t>
      </w:r>
      <w:r w:rsidRPr="00A43C20">
        <w:rPr>
          <w:bCs/>
          <w:i/>
          <w:iCs/>
          <w:lang w:val="fr-FR"/>
        </w:rPr>
        <w:t>)</w:t>
      </w:r>
    </w:p>
    <w:p w14:paraId="241B6828" w14:textId="0C958A02" w:rsidR="00520996" w:rsidRPr="00A43C20" w:rsidRDefault="00520996" w:rsidP="00520996">
      <w:pPr>
        <w:pStyle w:val="SingleTxtG"/>
        <w:ind w:right="282"/>
        <w:rPr>
          <w:bCs/>
        </w:rPr>
      </w:pPr>
      <w:r w:rsidRPr="00A43C20">
        <w:rPr>
          <w:bCs/>
        </w:rPr>
        <w:t>6</w:t>
      </w:r>
      <w:r w:rsidR="00FC1209" w:rsidRPr="00FC1209">
        <w:rPr>
          <w:bCs/>
        </w:rPr>
        <w:t>.</w:t>
      </w:r>
      <w:r w:rsidRPr="00A43C20">
        <w:rPr>
          <w:bCs/>
        </w:rPr>
        <w:t>8</w:t>
      </w:r>
      <w:r w:rsidR="00FC1209" w:rsidRPr="00FC1209">
        <w:rPr>
          <w:bCs/>
        </w:rPr>
        <w:t>.</w:t>
      </w:r>
      <w:r w:rsidRPr="00A43C20">
        <w:rPr>
          <w:bCs/>
        </w:rPr>
        <w:t>4 d)</w:t>
      </w:r>
    </w:p>
    <w:p w14:paraId="4A777BBB" w14:textId="25736CD6" w:rsidR="00520996" w:rsidRPr="00A43C20" w:rsidRDefault="00520996" w:rsidP="00520996">
      <w:pPr>
        <w:pStyle w:val="SingleTxtG"/>
        <w:ind w:right="282"/>
        <w:rPr>
          <w:bCs/>
          <w:iCs/>
        </w:rPr>
      </w:pPr>
      <w:r w:rsidRPr="00A43C20">
        <w:rPr>
          <w:bCs/>
          <w:iCs/>
        </w:rPr>
        <w:t>TT3</w:t>
      </w:r>
      <w:r w:rsidRPr="00A43C20">
        <w:rPr>
          <w:bCs/>
          <w:iCs/>
        </w:rPr>
        <w:tab/>
      </w:r>
      <w:r w:rsidRPr="00A43C20">
        <w:rPr>
          <w:bCs/>
          <w:iCs/>
        </w:rPr>
        <w:tab/>
        <w:t xml:space="preserve">Modifier </w:t>
      </w:r>
      <w:r>
        <w:rPr>
          <w:bCs/>
          <w:iCs/>
        </w:rPr>
        <w:t xml:space="preserve">pour lire </w:t>
      </w:r>
      <w:r w:rsidRPr="00A43C20">
        <w:rPr>
          <w:bCs/>
          <w:iCs/>
        </w:rPr>
        <w:t>comme suit :</w:t>
      </w:r>
    </w:p>
    <w:p w14:paraId="64D28D6C" w14:textId="77777777" w:rsidR="00520996" w:rsidRPr="00EB3890" w:rsidRDefault="00520996" w:rsidP="00520996">
      <w:pPr>
        <w:pStyle w:val="SingleTxtG"/>
        <w:ind w:right="282"/>
        <w:rPr>
          <w:bCs/>
          <w:iCs/>
        </w:rPr>
      </w:pPr>
      <w:r w:rsidRPr="00EB3890">
        <w:rPr>
          <w:bCs/>
          <w:iCs/>
        </w:rPr>
        <w:t>(RID :)</w:t>
      </w:r>
    </w:p>
    <w:tbl>
      <w:tblPr>
        <w:tblW w:w="0" w:type="auto"/>
        <w:tblInd w:w="1134" w:type="dxa"/>
        <w:tblLook w:val="04A0" w:firstRow="1" w:lastRow="0" w:firstColumn="1" w:lastColumn="0" w:noHBand="0" w:noVBand="1"/>
      </w:tblPr>
      <w:tblGrid>
        <w:gridCol w:w="1129"/>
        <w:gridCol w:w="1923"/>
        <w:gridCol w:w="4367"/>
      </w:tblGrid>
      <w:tr w:rsidR="001F76D5" w:rsidRPr="00EB3890" w14:paraId="7C204392" w14:textId="77777777" w:rsidTr="001F76D5">
        <w:tc>
          <w:tcPr>
            <w:tcW w:w="1129" w:type="dxa"/>
            <w:tcBorders>
              <w:top w:val="nil"/>
              <w:left w:val="nil"/>
              <w:bottom w:val="nil"/>
              <w:right w:val="nil"/>
            </w:tcBorders>
          </w:tcPr>
          <w:p w14:paraId="7C8855ED" w14:textId="77777777" w:rsidR="00520996" w:rsidRPr="00EB3890" w:rsidRDefault="00520996" w:rsidP="00520996">
            <w:pPr>
              <w:pStyle w:val="SingleTxtG"/>
              <w:ind w:left="0" w:right="282"/>
              <w:rPr>
                <w:bCs/>
                <w:iCs/>
              </w:rPr>
            </w:pPr>
            <w:r w:rsidRPr="00EB3890">
              <w:rPr>
                <w:bCs/>
                <w:iCs/>
              </w:rPr>
              <w:t>« TT3</w:t>
            </w:r>
          </w:p>
        </w:tc>
        <w:tc>
          <w:tcPr>
            <w:tcW w:w="1923" w:type="dxa"/>
            <w:tcBorders>
              <w:top w:val="nil"/>
              <w:left w:val="nil"/>
              <w:bottom w:val="nil"/>
            </w:tcBorders>
          </w:tcPr>
          <w:p w14:paraId="1555624E" w14:textId="77777777" w:rsidR="00520996" w:rsidRPr="00EB3890" w:rsidRDefault="00520996" w:rsidP="00520996">
            <w:pPr>
              <w:pStyle w:val="SingleTxtG"/>
              <w:ind w:left="0" w:right="282" w:firstLine="34"/>
              <w:rPr>
                <w:bCs/>
                <w:iCs/>
              </w:rPr>
            </w:pPr>
            <w:r w:rsidRPr="00EB3890">
              <w:rPr>
                <w:bCs/>
                <w:iCs/>
              </w:rPr>
              <w:t>(réservé)</w:t>
            </w:r>
            <w:r w:rsidRPr="00EB3890" w:rsidDel="00573189">
              <w:rPr>
                <w:bCs/>
                <w:iCs/>
              </w:rPr>
              <w:t xml:space="preserve"> </w:t>
            </w:r>
          </w:p>
        </w:tc>
        <w:tc>
          <w:tcPr>
            <w:tcW w:w="4367" w:type="dxa"/>
            <w:tcBorders>
              <w:top w:val="nil"/>
              <w:bottom w:val="nil"/>
              <w:right w:val="nil"/>
            </w:tcBorders>
          </w:tcPr>
          <w:p w14:paraId="07A911E5" w14:textId="4A305F75" w:rsidR="00520996" w:rsidRPr="00EB3890" w:rsidRDefault="00520996" w:rsidP="00520996">
            <w:pPr>
              <w:pStyle w:val="SingleTxtG"/>
              <w:ind w:left="142" w:right="282" w:firstLine="5"/>
              <w:rPr>
                <w:bCs/>
                <w:iCs/>
                <w:highlight w:val="yellow"/>
              </w:rPr>
            </w:pPr>
            <w:r w:rsidRPr="00EB3890">
              <w:rPr>
                <w:bCs/>
              </w:rPr>
              <w:t>Par dérogation aux prescriptions du 6</w:t>
            </w:r>
            <w:r w:rsidR="00FC1209" w:rsidRPr="00FC1209">
              <w:rPr>
                <w:bCs/>
              </w:rPr>
              <w:t>.</w:t>
            </w:r>
            <w:r w:rsidRPr="00EB3890">
              <w:rPr>
                <w:bCs/>
              </w:rPr>
              <w:t>8</w:t>
            </w:r>
            <w:r w:rsidR="00FC1209" w:rsidRPr="00FC1209">
              <w:rPr>
                <w:bCs/>
              </w:rPr>
              <w:t>.</w:t>
            </w:r>
            <w:r w:rsidRPr="00EB3890">
              <w:rPr>
                <w:bCs/>
              </w:rPr>
              <w:t>2</w:t>
            </w:r>
            <w:r w:rsidR="00FC1209" w:rsidRPr="00FC1209">
              <w:rPr>
                <w:bCs/>
              </w:rPr>
              <w:t>.</w:t>
            </w:r>
            <w:r w:rsidRPr="00EB3890">
              <w:rPr>
                <w:bCs/>
              </w:rPr>
              <w:t>4</w:t>
            </w:r>
            <w:r w:rsidR="00FC1209" w:rsidRPr="00FC1209">
              <w:rPr>
                <w:bCs/>
              </w:rPr>
              <w:t>.</w:t>
            </w:r>
            <w:r w:rsidRPr="00EB3890">
              <w:rPr>
                <w:bCs/>
              </w:rPr>
              <w:t>2, les contrôles périodiques doivent être effectués au plus tard tous les huit ans et comprennent en outre un contrôle des épaisseurs au moyen d</w:t>
            </w:r>
            <w:r w:rsidR="00F70B88" w:rsidRPr="00EB3890">
              <w:rPr>
                <w:bCs/>
              </w:rPr>
              <w:t>’</w:t>
            </w:r>
            <w:r w:rsidRPr="00EB3890">
              <w:rPr>
                <w:bCs/>
              </w:rPr>
              <w:t>instruments appropriés</w:t>
            </w:r>
            <w:r w:rsidR="00FC1209" w:rsidRPr="00FC1209">
              <w:rPr>
                <w:bCs/>
              </w:rPr>
              <w:t>.</w:t>
            </w:r>
            <w:r w:rsidRPr="00EB3890">
              <w:rPr>
                <w:bCs/>
              </w:rPr>
              <w:t xml:space="preserve"> Pour ces citernes, l</w:t>
            </w:r>
            <w:r w:rsidR="00F70B88" w:rsidRPr="00EB3890">
              <w:rPr>
                <w:bCs/>
              </w:rPr>
              <w:t>’</w:t>
            </w:r>
            <w:r w:rsidRPr="00EB3890">
              <w:rPr>
                <w:bCs/>
              </w:rPr>
              <w:t>épreuve d</w:t>
            </w:r>
            <w:r w:rsidR="00F70B88" w:rsidRPr="00EB3890">
              <w:rPr>
                <w:bCs/>
              </w:rPr>
              <w:t>’</w:t>
            </w:r>
            <w:r w:rsidRPr="00EB3890">
              <w:rPr>
                <w:bCs/>
              </w:rPr>
              <w:t>étanchéité et la vérification prévues au 6</w:t>
            </w:r>
            <w:r w:rsidR="00FC1209" w:rsidRPr="00FC1209">
              <w:rPr>
                <w:bCs/>
              </w:rPr>
              <w:t>.</w:t>
            </w:r>
            <w:r w:rsidRPr="00EB3890">
              <w:rPr>
                <w:bCs/>
              </w:rPr>
              <w:t>8</w:t>
            </w:r>
            <w:r w:rsidR="00FC1209" w:rsidRPr="00FC1209">
              <w:rPr>
                <w:bCs/>
              </w:rPr>
              <w:t>.</w:t>
            </w:r>
            <w:r w:rsidRPr="00EB3890">
              <w:rPr>
                <w:bCs/>
              </w:rPr>
              <w:t>2</w:t>
            </w:r>
            <w:r w:rsidR="00FC1209" w:rsidRPr="00FC1209">
              <w:rPr>
                <w:bCs/>
              </w:rPr>
              <w:t>.</w:t>
            </w:r>
            <w:r w:rsidRPr="00EB3890">
              <w:rPr>
                <w:bCs/>
              </w:rPr>
              <w:t>4</w:t>
            </w:r>
            <w:r w:rsidR="00FC1209" w:rsidRPr="00FC1209">
              <w:rPr>
                <w:bCs/>
              </w:rPr>
              <w:t>.</w:t>
            </w:r>
            <w:r w:rsidRPr="00EB3890">
              <w:rPr>
                <w:bCs/>
              </w:rPr>
              <w:t>3 doivent être effectués au plus tard tous les quatre ans</w:t>
            </w:r>
            <w:r w:rsidR="00FC1209" w:rsidRPr="00FC1209">
              <w:rPr>
                <w:bCs/>
              </w:rPr>
              <w:t>.</w:t>
            </w:r>
            <w:r w:rsidRPr="00EB3890">
              <w:rPr>
                <w:bCs/>
              </w:rPr>
              <w:t> »</w:t>
            </w:r>
            <w:r w:rsidR="00FC1209" w:rsidRPr="00FC1209">
              <w:rPr>
                <w:bCs/>
              </w:rPr>
              <w:t>.</w:t>
            </w:r>
          </w:p>
        </w:tc>
      </w:tr>
    </w:tbl>
    <w:p w14:paraId="7CCD3FE1" w14:textId="77777777" w:rsidR="00520996" w:rsidRPr="00EB3890" w:rsidRDefault="00520996" w:rsidP="00520996">
      <w:pPr>
        <w:pStyle w:val="SingleTxtG"/>
        <w:ind w:right="282"/>
        <w:rPr>
          <w:bCs/>
          <w:iCs/>
        </w:rPr>
      </w:pPr>
      <w:r w:rsidRPr="00EB3890">
        <w:rPr>
          <w:bCs/>
          <w:iCs/>
        </w:rPr>
        <w:t>(ADR :)</w:t>
      </w:r>
    </w:p>
    <w:p w14:paraId="6918A714" w14:textId="2EE6B495" w:rsidR="00520996" w:rsidRPr="00EB3890" w:rsidRDefault="00520996" w:rsidP="001F76D5">
      <w:pPr>
        <w:pStyle w:val="SingleTxtG"/>
        <w:ind w:left="2268" w:hanging="1134"/>
        <w:rPr>
          <w:bCs/>
        </w:rPr>
      </w:pPr>
      <w:r w:rsidRPr="00EB3890">
        <w:rPr>
          <w:bCs/>
          <w:iCs/>
        </w:rPr>
        <w:t>« TT3</w:t>
      </w:r>
      <w:r w:rsidRPr="00EB3890">
        <w:rPr>
          <w:bCs/>
          <w:iCs/>
        </w:rPr>
        <w:tab/>
      </w:r>
      <w:r w:rsidRPr="00EB3890">
        <w:rPr>
          <w:bCs/>
          <w:iCs/>
        </w:rPr>
        <w:tab/>
      </w:r>
      <w:r w:rsidRPr="00EB3890">
        <w:rPr>
          <w:bCs/>
        </w:rPr>
        <w:t>Par dérogation aux prescriptions du 6</w:t>
      </w:r>
      <w:r w:rsidR="00FC1209" w:rsidRPr="00FC1209">
        <w:rPr>
          <w:bCs/>
        </w:rPr>
        <w:t>.</w:t>
      </w:r>
      <w:r w:rsidRPr="00EB3890">
        <w:rPr>
          <w:bCs/>
        </w:rPr>
        <w:t>8</w:t>
      </w:r>
      <w:r w:rsidR="00FC1209" w:rsidRPr="00FC1209">
        <w:rPr>
          <w:bCs/>
        </w:rPr>
        <w:t>.</w:t>
      </w:r>
      <w:r w:rsidRPr="00EB3890">
        <w:rPr>
          <w:bCs/>
        </w:rPr>
        <w:t>2</w:t>
      </w:r>
      <w:r w:rsidR="00FC1209" w:rsidRPr="00FC1209">
        <w:rPr>
          <w:bCs/>
        </w:rPr>
        <w:t>.</w:t>
      </w:r>
      <w:r w:rsidRPr="00EB3890">
        <w:rPr>
          <w:bCs/>
        </w:rPr>
        <w:t>4</w:t>
      </w:r>
      <w:r w:rsidR="00FC1209" w:rsidRPr="00FC1209">
        <w:rPr>
          <w:bCs/>
        </w:rPr>
        <w:t>.</w:t>
      </w:r>
      <w:r w:rsidRPr="00EB3890">
        <w:rPr>
          <w:bCs/>
        </w:rPr>
        <w:t>2, les contrôles périodiques doivent être effectués au plus tard tous les huit ans et comprennent en outre un contrôle des épaisseurs au moyen d</w:t>
      </w:r>
      <w:r w:rsidR="00F70B88" w:rsidRPr="00EB3890">
        <w:rPr>
          <w:bCs/>
        </w:rPr>
        <w:t>’</w:t>
      </w:r>
      <w:r w:rsidRPr="00EB3890">
        <w:rPr>
          <w:bCs/>
        </w:rPr>
        <w:t>instruments appropriés</w:t>
      </w:r>
      <w:r w:rsidR="00FC1209" w:rsidRPr="00FC1209">
        <w:rPr>
          <w:bCs/>
        </w:rPr>
        <w:t>.</w:t>
      </w:r>
      <w:r w:rsidRPr="00EB3890">
        <w:rPr>
          <w:bCs/>
        </w:rPr>
        <w:t xml:space="preserve"> Pour ces citernes, l</w:t>
      </w:r>
      <w:r w:rsidR="00F70B88" w:rsidRPr="00EB3890">
        <w:rPr>
          <w:bCs/>
        </w:rPr>
        <w:t>’</w:t>
      </w:r>
      <w:r w:rsidRPr="00EB3890">
        <w:rPr>
          <w:bCs/>
        </w:rPr>
        <w:t>épreuve d</w:t>
      </w:r>
      <w:r w:rsidR="00F70B88" w:rsidRPr="00EB3890">
        <w:rPr>
          <w:bCs/>
        </w:rPr>
        <w:t>’</w:t>
      </w:r>
      <w:r w:rsidRPr="00EB3890">
        <w:rPr>
          <w:bCs/>
        </w:rPr>
        <w:t>étanchéité et la vérification prévues au 6</w:t>
      </w:r>
      <w:r w:rsidR="00FC1209" w:rsidRPr="00FC1209">
        <w:rPr>
          <w:bCs/>
        </w:rPr>
        <w:t>.</w:t>
      </w:r>
      <w:r w:rsidRPr="00EB3890">
        <w:rPr>
          <w:bCs/>
        </w:rPr>
        <w:t>8</w:t>
      </w:r>
      <w:r w:rsidR="00FC1209" w:rsidRPr="00FC1209">
        <w:rPr>
          <w:bCs/>
        </w:rPr>
        <w:t>.</w:t>
      </w:r>
      <w:r w:rsidRPr="00EB3890">
        <w:rPr>
          <w:bCs/>
        </w:rPr>
        <w:t>2</w:t>
      </w:r>
      <w:r w:rsidR="00FC1209" w:rsidRPr="00FC1209">
        <w:rPr>
          <w:bCs/>
        </w:rPr>
        <w:t>.</w:t>
      </w:r>
      <w:r w:rsidRPr="00EB3890">
        <w:rPr>
          <w:bCs/>
        </w:rPr>
        <w:t>4</w:t>
      </w:r>
      <w:r w:rsidR="00FC1209" w:rsidRPr="00FC1209">
        <w:rPr>
          <w:bCs/>
        </w:rPr>
        <w:t>.</w:t>
      </w:r>
      <w:r w:rsidRPr="00EB3890">
        <w:rPr>
          <w:bCs/>
        </w:rPr>
        <w:t>3 doivent être effectués au plus tard tous les quatre ans</w:t>
      </w:r>
      <w:r w:rsidR="00FC1209" w:rsidRPr="00FC1209">
        <w:rPr>
          <w:bCs/>
        </w:rPr>
        <w:t>.</w:t>
      </w:r>
      <w:r w:rsidRPr="00EB3890">
        <w:rPr>
          <w:bCs/>
        </w:rPr>
        <w:t> »</w:t>
      </w:r>
      <w:r w:rsidR="00FC1209" w:rsidRPr="00FC1209">
        <w:rPr>
          <w:bCs/>
        </w:rPr>
        <w:t>.</w:t>
      </w:r>
    </w:p>
    <w:p w14:paraId="71CE8C58" w14:textId="6DDA7E84" w:rsidR="00520996" w:rsidRPr="00EB3890" w:rsidRDefault="00520996" w:rsidP="001F76D5">
      <w:pPr>
        <w:pStyle w:val="SingleTxtG"/>
        <w:rPr>
          <w:bCs/>
          <w:i/>
          <w:lang w:val="fr-FR"/>
        </w:rPr>
      </w:pPr>
      <w:r w:rsidRPr="00EB3890">
        <w:rPr>
          <w:bCs/>
          <w:i/>
          <w:lang w:val="fr-FR"/>
        </w:rPr>
        <w:t>(</w:t>
      </w:r>
      <w:r w:rsidRPr="00EB3890">
        <w:rPr>
          <w:bCs/>
          <w:i/>
          <w:iCs/>
          <w:lang w:val="fr-FR"/>
        </w:rPr>
        <w:t xml:space="preserve">Document de référence : </w:t>
      </w:r>
      <w:r w:rsidRPr="00EB3890">
        <w:rPr>
          <w:bCs/>
          <w:i/>
          <w:lang w:val="fr-FR"/>
        </w:rPr>
        <w:t>ECE/TRANS/WP</w:t>
      </w:r>
      <w:r w:rsidR="00FC1209" w:rsidRPr="00FC1209">
        <w:rPr>
          <w:bCs/>
          <w:i/>
          <w:lang w:val="fr-FR"/>
        </w:rPr>
        <w:t>.</w:t>
      </w:r>
      <w:r w:rsidRPr="00EB3890">
        <w:rPr>
          <w:bCs/>
          <w:i/>
          <w:lang w:val="fr-FR"/>
        </w:rPr>
        <w:t>15/AC</w:t>
      </w:r>
      <w:r w:rsidR="00FC1209" w:rsidRPr="00FC1209">
        <w:rPr>
          <w:bCs/>
          <w:i/>
          <w:lang w:val="fr-FR"/>
        </w:rPr>
        <w:t>.</w:t>
      </w:r>
      <w:r w:rsidRPr="00EB3890">
        <w:rPr>
          <w:bCs/>
          <w:i/>
          <w:lang w:val="fr-FR"/>
        </w:rPr>
        <w:t>1/2021/19, tel qu</w:t>
      </w:r>
      <w:r w:rsidR="00F70B88" w:rsidRPr="00EB3890">
        <w:rPr>
          <w:bCs/>
          <w:i/>
          <w:lang w:val="fr-FR"/>
        </w:rPr>
        <w:t>’</w:t>
      </w:r>
      <w:r w:rsidRPr="00EB3890">
        <w:rPr>
          <w:bCs/>
          <w:i/>
          <w:lang w:val="fr-FR"/>
        </w:rPr>
        <w:t>amendé par le document informel INF</w:t>
      </w:r>
      <w:r w:rsidR="00FC1209" w:rsidRPr="00FC1209">
        <w:rPr>
          <w:bCs/>
          <w:i/>
          <w:lang w:val="fr-FR"/>
        </w:rPr>
        <w:t>.</w:t>
      </w:r>
      <w:r w:rsidRPr="00EB3890">
        <w:rPr>
          <w:bCs/>
          <w:i/>
          <w:lang w:val="fr-FR"/>
        </w:rPr>
        <w:t>43)</w:t>
      </w:r>
    </w:p>
    <w:p w14:paraId="44D8123D" w14:textId="77777777" w:rsidR="001F76D5" w:rsidRDefault="00520996" w:rsidP="001F76D5">
      <w:pPr>
        <w:pStyle w:val="SingleTxtG"/>
        <w:ind w:left="2268" w:hanging="1134"/>
        <w:rPr>
          <w:bCs/>
          <w:iCs/>
          <w:lang w:val="fr-FR"/>
        </w:rPr>
      </w:pPr>
      <w:r w:rsidRPr="007141DD">
        <w:rPr>
          <w:bCs/>
          <w:iCs/>
          <w:lang w:val="fr-FR"/>
        </w:rPr>
        <w:lastRenderedPageBreak/>
        <w:t>(RID</w:t>
      </w:r>
      <w:r>
        <w:rPr>
          <w:bCs/>
          <w:iCs/>
          <w:lang w:val="fr-FR"/>
        </w:rPr>
        <w:t xml:space="preserve"> uniquement</w:t>
      </w:r>
      <w:r w:rsidRPr="007141DD">
        <w:rPr>
          <w:bCs/>
          <w:iCs/>
          <w:lang w:val="fr-FR"/>
        </w:rPr>
        <w:t> :)</w:t>
      </w:r>
    </w:p>
    <w:p w14:paraId="1BEB0342" w14:textId="6480AED0" w:rsidR="00520996" w:rsidRPr="00A43C20" w:rsidRDefault="00520996" w:rsidP="001F76D5">
      <w:pPr>
        <w:pStyle w:val="SingleTxtG"/>
        <w:ind w:left="2268" w:hanging="1134"/>
        <w:rPr>
          <w:bCs/>
          <w:iCs/>
          <w:lang w:val="fr-FR"/>
        </w:rPr>
      </w:pPr>
      <w:r w:rsidRPr="00A43C20">
        <w:rPr>
          <w:bCs/>
          <w:iCs/>
          <w:lang w:val="fr-FR"/>
        </w:rPr>
        <w:t>TT4</w:t>
      </w:r>
      <w:r w:rsidRPr="00A43C20">
        <w:rPr>
          <w:bCs/>
          <w:iCs/>
          <w:lang w:val="fr-FR"/>
        </w:rPr>
        <w:tab/>
        <w:t>[L</w:t>
      </w:r>
      <w:r w:rsidR="00F70B88">
        <w:rPr>
          <w:bCs/>
          <w:iCs/>
          <w:lang w:val="fr-FR"/>
        </w:rPr>
        <w:t>’</w:t>
      </w:r>
      <w:r w:rsidRPr="00A43C20">
        <w:rPr>
          <w:bCs/>
          <w:iCs/>
          <w:lang w:val="fr-FR"/>
        </w:rPr>
        <w:t>amendement dans la version anglaise ne s</w:t>
      </w:r>
      <w:r w:rsidR="00F70B88">
        <w:rPr>
          <w:bCs/>
          <w:iCs/>
          <w:lang w:val="fr-FR"/>
        </w:rPr>
        <w:t>’</w:t>
      </w:r>
      <w:r w:rsidRPr="00A43C20">
        <w:rPr>
          <w:bCs/>
          <w:iCs/>
          <w:lang w:val="fr-FR"/>
        </w:rPr>
        <w:t>applique pas au texte français</w:t>
      </w:r>
      <w:r w:rsidR="00FC1209" w:rsidRPr="00FC1209">
        <w:rPr>
          <w:bCs/>
          <w:iCs/>
          <w:lang w:val="fr-FR"/>
        </w:rPr>
        <w:t>.</w:t>
      </w:r>
      <w:r w:rsidRPr="00A43C20">
        <w:rPr>
          <w:bCs/>
          <w:iCs/>
          <w:lang w:val="fr-FR"/>
        </w:rPr>
        <w:t>]</w:t>
      </w:r>
    </w:p>
    <w:p w14:paraId="21E8B50C" w14:textId="558E9CD2" w:rsidR="00520996" w:rsidRPr="007141DD" w:rsidRDefault="00520996" w:rsidP="001F76D5">
      <w:pPr>
        <w:pStyle w:val="SingleTxtG"/>
        <w:rPr>
          <w:bCs/>
          <w:i/>
          <w:lang w:val="fr-FR"/>
        </w:rPr>
      </w:pPr>
      <w:r w:rsidRPr="007141DD">
        <w:rPr>
          <w:bCs/>
          <w:i/>
          <w:lang w:val="fr-FR"/>
        </w:rPr>
        <w:t>(</w:t>
      </w:r>
      <w:r w:rsidRPr="00A43C20">
        <w:rPr>
          <w:bCs/>
          <w:i/>
          <w:iCs/>
          <w:lang w:val="fr-FR"/>
        </w:rPr>
        <w:t xml:space="preserve">Document de référence : </w:t>
      </w:r>
      <w:r w:rsidRPr="007141DD">
        <w:rPr>
          <w:bCs/>
          <w:i/>
          <w:lang w:val="fr-FR"/>
        </w:rPr>
        <w:t>ECE/TRANS/WP</w:t>
      </w:r>
      <w:r w:rsidR="00FC1209" w:rsidRPr="00FC1209">
        <w:rPr>
          <w:bCs/>
          <w:i/>
          <w:lang w:val="fr-FR"/>
        </w:rPr>
        <w:t>.</w:t>
      </w:r>
      <w:r w:rsidRPr="007141DD">
        <w:rPr>
          <w:bCs/>
          <w:i/>
          <w:lang w:val="fr-FR"/>
        </w:rPr>
        <w:t>15/AC</w:t>
      </w:r>
      <w:r w:rsidR="00FC1209" w:rsidRPr="00FC1209">
        <w:rPr>
          <w:bCs/>
          <w:i/>
          <w:lang w:val="fr-FR"/>
        </w:rPr>
        <w:t>.</w:t>
      </w:r>
      <w:r w:rsidRPr="007141DD">
        <w:rPr>
          <w:bCs/>
          <w:i/>
          <w:lang w:val="fr-FR"/>
        </w:rPr>
        <w:t xml:space="preserve">1/2021/19, </w:t>
      </w:r>
      <w:r>
        <w:rPr>
          <w:bCs/>
          <w:i/>
          <w:lang w:val="fr-FR"/>
        </w:rPr>
        <w:t>tel qu</w:t>
      </w:r>
      <w:r w:rsidR="00F70B88">
        <w:rPr>
          <w:bCs/>
          <w:i/>
          <w:lang w:val="fr-FR"/>
        </w:rPr>
        <w:t>’</w:t>
      </w:r>
      <w:r>
        <w:rPr>
          <w:bCs/>
          <w:i/>
          <w:lang w:val="fr-FR"/>
        </w:rPr>
        <w:t>amendé par le document informel</w:t>
      </w:r>
      <w:r w:rsidRPr="007141DD">
        <w:rPr>
          <w:bCs/>
          <w:i/>
          <w:lang w:val="fr-FR"/>
        </w:rPr>
        <w:t xml:space="preserve"> INF</w:t>
      </w:r>
      <w:r w:rsidR="00FC1209" w:rsidRPr="00FC1209">
        <w:rPr>
          <w:bCs/>
          <w:i/>
          <w:lang w:val="fr-FR"/>
        </w:rPr>
        <w:t>.</w:t>
      </w:r>
      <w:r w:rsidRPr="007141DD">
        <w:rPr>
          <w:bCs/>
          <w:i/>
          <w:lang w:val="fr-FR"/>
        </w:rPr>
        <w:t>43)</w:t>
      </w:r>
    </w:p>
    <w:p w14:paraId="77765E6E" w14:textId="6CA9598C" w:rsidR="00520996" w:rsidRPr="00A43C20" w:rsidRDefault="00520996" w:rsidP="001F76D5">
      <w:pPr>
        <w:pStyle w:val="SingleTxtG"/>
        <w:ind w:left="2268" w:hanging="1134"/>
        <w:rPr>
          <w:bCs/>
        </w:rPr>
      </w:pPr>
      <w:r w:rsidRPr="00A43C20">
        <w:rPr>
          <w:bCs/>
          <w:iCs/>
          <w:lang w:val="fr-FR"/>
        </w:rPr>
        <w:t>TT5</w:t>
      </w:r>
      <w:r w:rsidRPr="00A43C20">
        <w:rPr>
          <w:bCs/>
          <w:iCs/>
          <w:lang w:val="fr-FR"/>
        </w:rPr>
        <w:tab/>
      </w:r>
      <w:r w:rsidRPr="00A43C20">
        <w:rPr>
          <w:bCs/>
          <w:lang w:val="fr-FR"/>
        </w:rPr>
        <w:t>R</w:t>
      </w:r>
      <w:r w:rsidRPr="00A43C20">
        <w:rPr>
          <w:bCs/>
        </w:rPr>
        <w:t>emplacer « doivent avoir lieu » par « doivent être effectués »</w:t>
      </w:r>
      <w:r w:rsidR="00FC1209" w:rsidRPr="00FC1209">
        <w:rPr>
          <w:bCs/>
        </w:rPr>
        <w:t>.</w:t>
      </w:r>
    </w:p>
    <w:p w14:paraId="13119055" w14:textId="132353E1" w:rsidR="00520996" w:rsidRPr="007141DD" w:rsidRDefault="00520996" w:rsidP="001F76D5">
      <w:pPr>
        <w:pStyle w:val="SingleTxtG"/>
        <w:rPr>
          <w:bCs/>
          <w:i/>
          <w:lang w:val="fr-FR"/>
        </w:rPr>
      </w:pPr>
      <w:r w:rsidRPr="007141DD">
        <w:rPr>
          <w:bCs/>
          <w:i/>
          <w:lang w:val="fr-FR"/>
        </w:rPr>
        <w:t>(</w:t>
      </w:r>
      <w:r w:rsidRPr="00A43C20">
        <w:rPr>
          <w:bCs/>
          <w:i/>
          <w:iCs/>
          <w:lang w:val="fr-FR"/>
        </w:rPr>
        <w:t xml:space="preserve">Document de référence : </w:t>
      </w:r>
      <w:r w:rsidRPr="007141DD">
        <w:rPr>
          <w:bCs/>
          <w:i/>
          <w:lang w:val="fr-FR"/>
        </w:rPr>
        <w:t>ECE/TRANS/WP</w:t>
      </w:r>
      <w:r w:rsidR="00FC1209" w:rsidRPr="00FC1209">
        <w:rPr>
          <w:bCs/>
          <w:i/>
          <w:lang w:val="fr-FR"/>
        </w:rPr>
        <w:t>.</w:t>
      </w:r>
      <w:r w:rsidRPr="007141DD">
        <w:rPr>
          <w:bCs/>
          <w:i/>
          <w:lang w:val="fr-FR"/>
        </w:rPr>
        <w:t>15/AC</w:t>
      </w:r>
      <w:r w:rsidR="00FC1209" w:rsidRPr="00FC1209">
        <w:rPr>
          <w:bCs/>
          <w:i/>
          <w:lang w:val="fr-FR"/>
        </w:rPr>
        <w:t>.</w:t>
      </w:r>
      <w:r w:rsidRPr="007141DD">
        <w:rPr>
          <w:bCs/>
          <w:i/>
          <w:lang w:val="fr-FR"/>
        </w:rPr>
        <w:t xml:space="preserve">1/2021/19, </w:t>
      </w:r>
      <w:r>
        <w:rPr>
          <w:bCs/>
          <w:i/>
          <w:lang w:val="fr-FR"/>
        </w:rPr>
        <w:t>tel qu</w:t>
      </w:r>
      <w:r w:rsidR="00F70B88">
        <w:rPr>
          <w:bCs/>
          <w:i/>
          <w:lang w:val="fr-FR"/>
        </w:rPr>
        <w:t>’</w:t>
      </w:r>
      <w:r>
        <w:rPr>
          <w:bCs/>
          <w:i/>
          <w:lang w:val="fr-FR"/>
        </w:rPr>
        <w:t>amendé par le document informel</w:t>
      </w:r>
      <w:r w:rsidRPr="007141DD">
        <w:rPr>
          <w:bCs/>
          <w:i/>
          <w:lang w:val="fr-FR"/>
        </w:rPr>
        <w:t xml:space="preserve"> INF</w:t>
      </w:r>
      <w:r w:rsidR="00FC1209" w:rsidRPr="00FC1209">
        <w:rPr>
          <w:bCs/>
          <w:i/>
          <w:lang w:val="fr-FR"/>
        </w:rPr>
        <w:t>.</w:t>
      </w:r>
      <w:r w:rsidRPr="007141DD">
        <w:rPr>
          <w:bCs/>
          <w:i/>
          <w:lang w:val="fr-FR"/>
        </w:rPr>
        <w:t>43)</w:t>
      </w:r>
    </w:p>
    <w:p w14:paraId="23DAD5C9" w14:textId="68BCE3CB" w:rsidR="00520996" w:rsidRPr="00A43C20" w:rsidRDefault="00520996" w:rsidP="001F76D5">
      <w:pPr>
        <w:pStyle w:val="SingleTxtG"/>
        <w:ind w:left="2268" w:hanging="1134"/>
        <w:rPr>
          <w:bCs/>
        </w:rPr>
      </w:pPr>
      <w:r w:rsidRPr="00A43C20">
        <w:rPr>
          <w:bCs/>
          <w:iCs/>
        </w:rPr>
        <w:t>TT6</w:t>
      </w:r>
      <w:r w:rsidRPr="00A43C20">
        <w:rPr>
          <w:bCs/>
          <w:iCs/>
        </w:rPr>
        <w:tab/>
      </w:r>
      <w:r w:rsidRPr="00A43C20">
        <w:rPr>
          <w:bCs/>
        </w:rPr>
        <w:t>Remplacer « doit avoir lieu » par « doit être effectué »</w:t>
      </w:r>
      <w:r w:rsidR="00FC1209" w:rsidRPr="00FC1209">
        <w:rPr>
          <w:bCs/>
        </w:rPr>
        <w:t>.</w:t>
      </w:r>
    </w:p>
    <w:p w14:paraId="1D484FBF" w14:textId="11ED4D13" w:rsidR="00520996" w:rsidRPr="007141DD" w:rsidRDefault="00520996" w:rsidP="001F76D5">
      <w:pPr>
        <w:pStyle w:val="SingleTxtG"/>
        <w:rPr>
          <w:bCs/>
          <w:i/>
          <w:lang w:val="fr-FR"/>
        </w:rPr>
      </w:pPr>
      <w:r w:rsidRPr="007141DD">
        <w:rPr>
          <w:bCs/>
          <w:i/>
          <w:lang w:val="fr-FR"/>
        </w:rPr>
        <w:t>(</w:t>
      </w:r>
      <w:r w:rsidRPr="00A43C20">
        <w:rPr>
          <w:bCs/>
          <w:i/>
          <w:iCs/>
          <w:lang w:val="fr-FR"/>
        </w:rPr>
        <w:t xml:space="preserve">Document de référence : </w:t>
      </w:r>
      <w:r w:rsidRPr="007141DD">
        <w:rPr>
          <w:bCs/>
          <w:i/>
          <w:lang w:val="fr-FR"/>
        </w:rPr>
        <w:t>ECE/TRANS/WP</w:t>
      </w:r>
      <w:r w:rsidR="00FC1209" w:rsidRPr="00FC1209">
        <w:rPr>
          <w:bCs/>
          <w:i/>
          <w:lang w:val="fr-FR"/>
        </w:rPr>
        <w:t>.</w:t>
      </w:r>
      <w:r w:rsidRPr="007141DD">
        <w:rPr>
          <w:bCs/>
          <w:i/>
          <w:lang w:val="fr-FR"/>
        </w:rPr>
        <w:t>15/AC</w:t>
      </w:r>
      <w:r w:rsidR="00FC1209" w:rsidRPr="00FC1209">
        <w:rPr>
          <w:bCs/>
          <w:i/>
          <w:lang w:val="fr-FR"/>
        </w:rPr>
        <w:t>.</w:t>
      </w:r>
      <w:r w:rsidRPr="007141DD">
        <w:rPr>
          <w:bCs/>
          <w:i/>
          <w:lang w:val="fr-FR"/>
        </w:rPr>
        <w:t xml:space="preserve">1/2021/19, </w:t>
      </w:r>
      <w:r>
        <w:rPr>
          <w:bCs/>
          <w:i/>
          <w:lang w:val="fr-FR"/>
        </w:rPr>
        <w:t>tel qu</w:t>
      </w:r>
      <w:r w:rsidR="00F70B88">
        <w:rPr>
          <w:bCs/>
          <w:i/>
          <w:lang w:val="fr-FR"/>
        </w:rPr>
        <w:t>’</w:t>
      </w:r>
      <w:r>
        <w:rPr>
          <w:bCs/>
          <w:i/>
          <w:lang w:val="fr-FR"/>
        </w:rPr>
        <w:t>amendé par le document informel</w:t>
      </w:r>
      <w:r w:rsidRPr="007141DD">
        <w:rPr>
          <w:bCs/>
          <w:i/>
          <w:lang w:val="fr-FR"/>
        </w:rPr>
        <w:t xml:space="preserve"> INF</w:t>
      </w:r>
      <w:r w:rsidR="00FC1209" w:rsidRPr="00FC1209">
        <w:rPr>
          <w:bCs/>
          <w:i/>
          <w:lang w:val="fr-FR"/>
        </w:rPr>
        <w:t>.</w:t>
      </w:r>
      <w:r w:rsidRPr="007141DD">
        <w:rPr>
          <w:bCs/>
          <w:i/>
          <w:lang w:val="fr-FR"/>
        </w:rPr>
        <w:t>43)</w:t>
      </w:r>
    </w:p>
    <w:p w14:paraId="7A28100D" w14:textId="78FB31A7" w:rsidR="00520996" w:rsidRPr="00A43C20" w:rsidRDefault="00520996" w:rsidP="001F76D5">
      <w:pPr>
        <w:pStyle w:val="SingleTxtG"/>
        <w:ind w:left="2268" w:hanging="1134"/>
        <w:rPr>
          <w:bCs/>
          <w:iCs/>
        </w:rPr>
      </w:pPr>
      <w:r w:rsidRPr="00A43C20">
        <w:rPr>
          <w:bCs/>
          <w:iCs/>
        </w:rPr>
        <w:t>TT10</w:t>
      </w:r>
      <w:r w:rsidRPr="00A43C20">
        <w:rPr>
          <w:bCs/>
          <w:iCs/>
        </w:rPr>
        <w:tab/>
      </w:r>
      <w:r w:rsidRPr="00A43C20">
        <w:rPr>
          <w:bCs/>
          <w:lang w:val="fr-FR"/>
        </w:rPr>
        <w:t>R</w:t>
      </w:r>
      <w:r w:rsidRPr="00A43C20">
        <w:rPr>
          <w:bCs/>
        </w:rPr>
        <w:t>emplacer « doivent avoir lieu » par « doivent être effectués »</w:t>
      </w:r>
      <w:r w:rsidR="00FC1209" w:rsidRPr="00FC1209">
        <w:rPr>
          <w:bCs/>
        </w:rPr>
        <w:t>.</w:t>
      </w:r>
    </w:p>
    <w:p w14:paraId="6DFCAF5E" w14:textId="61AC2CC0" w:rsidR="00520996" w:rsidRPr="00761F9B" w:rsidRDefault="00520996" w:rsidP="001F76D5">
      <w:pPr>
        <w:pStyle w:val="SingleTxtG"/>
        <w:rPr>
          <w:bCs/>
          <w:i/>
          <w:lang w:val="fr-FR"/>
        </w:rPr>
      </w:pPr>
      <w:r w:rsidRPr="007141DD">
        <w:rPr>
          <w:bCs/>
          <w:i/>
          <w:lang w:val="fr-FR"/>
        </w:rPr>
        <w:t>(</w:t>
      </w:r>
      <w:r w:rsidRPr="00A43C20">
        <w:rPr>
          <w:bCs/>
          <w:i/>
          <w:iCs/>
          <w:lang w:val="fr-FR"/>
        </w:rPr>
        <w:t xml:space="preserve">Document de référence : </w:t>
      </w:r>
      <w:r w:rsidRPr="007141DD">
        <w:rPr>
          <w:bCs/>
          <w:i/>
          <w:lang w:val="fr-FR"/>
        </w:rPr>
        <w:t>ECE/TRANS/WP</w:t>
      </w:r>
      <w:r w:rsidR="00FC1209" w:rsidRPr="00FC1209">
        <w:rPr>
          <w:bCs/>
          <w:i/>
          <w:lang w:val="fr-FR"/>
        </w:rPr>
        <w:t>.</w:t>
      </w:r>
      <w:r w:rsidRPr="007141DD">
        <w:rPr>
          <w:bCs/>
          <w:i/>
          <w:lang w:val="fr-FR"/>
        </w:rPr>
        <w:t>15/AC</w:t>
      </w:r>
      <w:r w:rsidR="00FC1209" w:rsidRPr="00FC1209">
        <w:rPr>
          <w:bCs/>
          <w:i/>
          <w:lang w:val="fr-FR"/>
        </w:rPr>
        <w:t>.</w:t>
      </w:r>
      <w:r w:rsidRPr="007141DD">
        <w:rPr>
          <w:bCs/>
          <w:i/>
          <w:lang w:val="fr-FR"/>
        </w:rPr>
        <w:t xml:space="preserve">1/2021/19, </w:t>
      </w:r>
      <w:r>
        <w:rPr>
          <w:bCs/>
          <w:i/>
          <w:lang w:val="fr-FR"/>
        </w:rPr>
        <w:t>tel qu</w:t>
      </w:r>
      <w:r w:rsidR="00F70B88">
        <w:rPr>
          <w:bCs/>
          <w:i/>
          <w:lang w:val="fr-FR"/>
        </w:rPr>
        <w:t>’</w:t>
      </w:r>
      <w:r>
        <w:rPr>
          <w:bCs/>
          <w:i/>
          <w:lang w:val="fr-FR"/>
        </w:rPr>
        <w:t>amendé par le document informel</w:t>
      </w:r>
      <w:r w:rsidRPr="007141DD">
        <w:rPr>
          <w:bCs/>
          <w:i/>
          <w:lang w:val="fr-FR"/>
        </w:rPr>
        <w:t xml:space="preserve"> INF</w:t>
      </w:r>
      <w:r w:rsidR="00FC1209" w:rsidRPr="00FC1209">
        <w:rPr>
          <w:bCs/>
          <w:i/>
          <w:lang w:val="fr-FR"/>
        </w:rPr>
        <w:t>.</w:t>
      </w:r>
      <w:r w:rsidRPr="007141DD">
        <w:rPr>
          <w:bCs/>
          <w:i/>
          <w:lang w:val="fr-FR"/>
        </w:rPr>
        <w:t>43)</w:t>
      </w:r>
    </w:p>
    <w:p w14:paraId="11E091AD" w14:textId="77777777" w:rsidR="00520996" w:rsidRDefault="00520996" w:rsidP="001F76D5">
      <w:pPr>
        <w:pStyle w:val="SingleTxtG"/>
        <w:rPr>
          <w:bCs/>
          <w:lang w:val="fr-FR"/>
        </w:rPr>
      </w:pPr>
      <w:r>
        <w:rPr>
          <w:bCs/>
          <w:lang w:val="fr-FR"/>
        </w:rPr>
        <w:t>(ADR uniquement :)</w:t>
      </w:r>
    </w:p>
    <w:p w14:paraId="6F415C4E" w14:textId="03E6C64B" w:rsidR="00520996" w:rsidRPr="006835D9" w:rsidRDefault="00520996" w:rsidP="001F76D5">
      <w:pPr>
        <w:pStyle w:val="SingleTxtG"/>
        <w:ind w:left="2268" w:right="282" w:hanging="1134"/>
        <w:rPr>
          <w:bCs/>
          <w:lang w:val="fr-FR"/>
        </w:rPr>
      </w:pPr>
      <w:r w:rsidRPr="006835D9">
        <w:rPr>
          <w:bCs/>
          <w:lang w:val="fr-FR"/>
        </w:rPr>
        <w:t>TT11</w:t>
      </w:r>
      <w:r w:rsidRPr="006835D9">
        <w:rPr>
          <w:bCs/>
          <w:lang w:val="fr-FR"/>
        </w:rPr>
        <w:tab/>
        <w:t xml:space="preserve">Dans </w:t>
      </w:r>
      <w:r w:rsidRPr="00BC5802">
        <w:rPr>
          <w:bCs/>
          <w:lang w:val="fr-FR"/>
        </w:rPr>
        <w:t>l</w:t>
      </w:r>
      <w:r w:rsidR="00F70B88">
        <w:rPr>
          <w:bCs/>
          <w:lang w:val="fr-FR"/>
        </w:rPr>
        <w:t>’</w:t>
      </w:r>
      <w:r w:rsidRPr="00BC5802">
        <w:rPr>
          <w:bCs/>
          <w:lang w:val="fr-FR"/>
        </w:rPr>
        <w:t>énumération des normes</w:t>
      </w:r>
      <w:r>
        <w:rPr>
          <w:bCs/>
          <w:lang w:val="fr-FR"/>
        </w:rPr>
        <w:t xml:space="preserve"> après la deuxième phrase</w:t>
      </w:r>
      <w:r w:rsidRPr="006835D9">
        <w:rPr>
          <w:bCs/>
          <w:lang w:val="fr-FR"/>
        </w:rPr>
        <w:t> :</w:t>
      </w:r>
    </w:p>
    <w:p w14:paraId="397F20F6" w14:textId="77777777" w:rsidR="00520996" w:rsidRPr="006835D9" w:rsidRDefault="00520996" w:rsidP="001F76D5">
      <w:pPr>
        <w:pStyle w:val="SingleTxtG"/>
        <w:ind w:left="2268"/>
        <w:rPr>
          <w:rFonts w:asciiTheme="majorBidi" w:hAnsiTheme="majorBidi" w:cstheme="majorBidi"/>
          <w:bCs/>
          <w:lang w:val="fr-FR"/>
        </w:rPr>
      </w:pPr>
      <w:r w:rsidRPr="006835D9">
        <w:rPr>
          <w:bCs/>
          <w:lang w:val="fr-FR"/>
        </w:rPr>
        <w:tab/>
        <w:t>–</w:t>
      </w:r>
      <w:r w:rsidRPr="006835D9">
        <w:rPr>
          <w:bCs/>
          <w:lang w:val="fr-FR"/>
        </w:rPr>
        <w:tab/>
        <w:t>Remplacer « </w:t>
      </w:r>
      <w:r w:rsidRPr="006835D9">
        <w:rPr>
          <w:rFonts w:asciiTheme="majorBidi" w:hAnsiTheme="majorBidi" w:cstheme="majorBidi"/>
          <w:bCs/>
          <w:lang w:val="fr-FR"/>
        </w:rPr>
        <w:t>EN ISO 17640:2010 » par :</w:t>
      </w:r>
    </w:p>
    <w:p w14:paraId="5D204453" w14:textId="4BB4116B" w:rsidR="00520996" w:rsidRPr="006835D9" w:rsidRDefault="00520996" w:rsidP="001F76D5">
      <w:pPr>
        <w:pStyle w:val="SingleTxtG"/>
        <w:ind w:left="2268"/>
        <w:rPr>
          <w:rFonts w:asciiTheme="majorBidi" w:hAnsiTheme="majorBidi" w:cstheme="majorBidi"/>
          <w:bCs/>
          <w:lang w:val="fr-FR"/>
        </w:rPr>
      </w:pPr>
      <w:r w:rsidRPr="006835D9">
        <w:rPr>
          <w:rFonts w:asciiTheme="majorBidi" w:hAnsiTheme="majorBidi" w:cstheme="majorBidi"/>
          <w:bCs/>
          <w:lang w:val="fr-FR"/>
        </w:rPr>
        <w:tab/>
      </w:r>
      <w:r w:rsidRPr="006835D9">
        <w:rPr>
          <w:rFonts w:asciiTheme="majorBidi" w:hAnsiTheme="majorBidi" w:cstheme="majorBidi"/>
          <w:bCs/>
          <w:lang w:val="fr-FR"/>
        </w:rPr>
        <w:tab/>
      </w:r>
      <w:r w:rsidRPr="006835D9">
        <w:rPr>
          <w:bCs/>
          <w:lang w:val="fr-FR"/>
        </w:rPr>
        <w:t>« </w:t>
      </w:r>
      <w:r w:rsidRPr="006835D9">
        <w:rPr>
          <w:rFonts w:asciiTheme="majorBidi" w:hAnsiTheme="majorBidi" w:cstheme="majorBidi"/>
          <w:bCs/>
          <w:lang w:val="fr-FR"/>
        </w:rPr>
        <w:t>EN ISO 17640:2018 »</w:t>
      </w:r>
      <w:r w:rsidR="00FC1209" w:rsidRPr="00FC1209">
        <w:rPr>
          <w:rFonts w:asciiTheme="majorBidi" w:hAnsiTheme="majorBidi" w:cstheme="majorBidi"/>
          <w:bCs/>
          <w:lang w:val="fr-FR"/>
        </w:rPr>
        <w:t>.</w:t>
      </w:r>
    </w:p>
    <w:p w14:paraId="39E9FE84" w14:textId="6C0AC2AB" w:rsidR="00520996" w:rsidRPr="006835D9" w:rsidRDefault="00520996" w:rsidP="001F76D5">
      <w:pPr>
        <w:pStyle w:val="SingleTxtG"/>
        <w:ind w:left="2268"/>
        <w:rPr>
          <w:rFonts w:asciiTheme="majorBidi" w:hAnsiTheme="majorBidi" w:cstheme="majorBidi"/>
          <w:bCs/>
          <w:lang w:val="fr-FR"/>
        </w:rPr>
      </w:pPr>
      <w:r w:rsidRPr="006835D9">
        <w:rPr>
          <w:bCs/>
          <w:lang w:val="fr-FR"/>
        </w:rPr>
        <w:tab/>
        <w:t>–</w:t>
      </w:r>
      <w:r w:rsidRPr="006835D9">
        <w:rPr>
          <w:bCs/>
          <w:lang w:val="fr-FR"/>
        </w:rPr>
        <w:tab/>
        <w:t>Remplacer « </w:t>
      </w:r>
      <w:r w:rsidRPr="006835D9">
        <w:rPr>
          <w:rFonts w:asciiTheme="majorBidi" w:hAnsiTheme="majorBidi" w:cstheme="majorBidi"/>
          <w:bCs/>
          <w:lang w:val="fr-FR"/>
        </w:rPr>
        <w:t>EN ISO 17638:2009 » par :</w:t>
      </w:r>
      <w:r w:rsidR="00FC1209">
        <w:rPr>
          <w:rFonts w:asciiTheme="majorBidi" w:hAnsiTheme="majorBidi" w:cstheme="majorBidi"/>
          <w:bCs/>
          <w:lang w:val="fr-FR"/>
        </w:rPr>
        <w:t xml:space="preserve"> </w:t>
      </w:r>
    </w:p>
    <w:p w14:paraId="60D5EA0A" w14:textId="4E48C8FA" w:rsidR="00520996" w:rsidRPr="006835D9" w:rsidRDefault="00520996" w:rsidP="001F76D5">
      <w:pPr>
        <w:pStyle w:val="SingleTxtG"/>
        <w:ind w:left="2268"/>
        <w:rPr>
          <w:rFonts w:asciiTheme="majorBidi" w:hAnsiTheme="majorBidi" w:cstheme="majorBidi"/>
          <w:bCs/>
          <w:lang w:val="fr-FR"/>
        </w:rPr>
      </w:pPr>
      <w:r w:rsidRPr="006835D9">
        <w:rPr>
          <w:rFonts w:asciiTheme="majorBidi" w:hAnsiTheme="majorBidi" w:cstheme="majorBidi"/>
          <w:bCs/>
          <w:lang w:val="fr-FR"/>
        </w:rPr>
        <w:tab/>
      </w:r>
      <w:r w:rsidRPr="006835D9">
        <w:rPr>
          <w:rFonts w:asciiTheme="majorBidi" w:hAnsiTheme="majorBidi" w:cstheme="majorBidi"/>
          <w:bCs/>
          <w:lang w:val="fr-FR"/>
        </w:rPr>
        <w:tab/>
      </w:r>
      <w:r w:rsidRPr="006835D9">
        <w:rPr>
          <w:bCs/>
          <w:lang w:val="fr-FR"/>
        </w:rPr>
        <w:t>« </w:t>
      </w:r>
      <w:r w:rsidRPr="006835D9">
        <w:rPr>
          <w:rFonts w:asciiTheme="majorBidi" w:hAnsiTheme="majorBidi" w:cstheme="majorBidi"/>
          <w:bCs/>
          <w:lang w:val="fr-FR"/>
        </w:rPr>
        <w:t>EN ISO 17638:2016 »</w:t>
      </w:r>
      <w:r w:rsidR="00FC1209" w:rsidRPr="00FC1209">
        <w:rPr>
          <w:rFonts w:asciiTheme="majorBidi" w:hAnsiTheme="majorBidi" w:cstheme="majorBidi"/>
          <w:bCs/>
          <w:lang w:val="fr-FR"/>
        </w:rPr>
        <w:t>.</w:t>
      </w:r>
    </w:p>
    <w:p w14:paraId="0980648B" w14:textId="61E31CFE" w:rsidR="00520996" w:rsidRPr="006835D9" w:rsidRDefault="00520996" w:rsidP="001F76D5">
      <w:pPr>
        <w:pStyle w:val="SingleTxtG"/>
        <w:ind w:left="2268"/>
        <w:rPr>
          <w:rFonts w:asciiTheme="majorBidi" w:hAnsiTheme="majorBidi" w:cstheme="majorBidi"/>
          <w:bCs/>
          <w:lang w:val="fr-FR"/>
        </w:rPr>
      </w:pPr>
      <w:r w:rsidRPr="006835D9">
        <w:rPr>
          <w:bCs/>
          <w:lang w:val="fr-FR"/>
        </w:rPr>
        <w:t>–</w:t>
      </w:r>
      <w:r w:rsidRPr="006835D9">
        <w:rPr>
          <w:bCs/>
          <w:lang w:val="fr-FR"/>
        </w:rPr>
        <w:tab/>
        <w:t>Remplacer « </w:t>
      </w:r>
      <w:r w:rsidRPr="006835D9">
        <w:rPr>
          <w:rFonts w:asciiTheme="majorBidi" w:hAnsiTheme="majorBidi" w:cstheme="majorBidi"/>
          <w:bCs/>
          <w:lang w:val="fr-FR"/>
        </w:rPr>
        <w:t>EN ISO 23278:2009 (</w:t>
      </w:r>
      <w:r w:rsidRPr="006835D9">
        <w:rPr>
          <w:bCs/>
          <w:lang w:val="fr-FR"/>
        </w:rPr>
        <w:t>Contrôle par magnétoscopie des soudures</w:t>
      </w:r>
      <w:r w:rsidR="00FC1209" w:rsidRPr="00FC1209">
        <w:rPr>
          <w:bCs/>
          <w:lang w:val="fr-FR"/>
        </w:rPr>
        <w:t>.</w:t>
      </w:r>
      <w:r w:rsidRPr="006835D9">
        <w:rPr>
          <w:bCs/>
          <w:lang w:val="fr-FR"/>
        </w:rPr>
        <w:t xml:space="preserve"> Niveaux d</w:t>
      </w:r>
      <w:r w:rsidR="00F70B88">
        <w:rPr>
          <w:bCs/>
          <w:lang w:val="fr-FR"/>
        </w:rPr>
        <w:t>’</w:t>
      </w:r>
      <w:r w:rsidRPr="006835D9">
        <w:rPr>
          <w:bCs/>
          <w:lang w:val="fr-FR"/>
        </w:rPr>
        <w:t>acceptation)</w:t>
      </w:r>
      <w:r w:rsidRPr="006835D9">
        <w:rPr>
          <w:rFonts w:asciiTheme="majorBidi" w:hAnsiTheme="majorBidi" w:cstheme="majorBidi"/>
          <w:bCs/>
          <w:lang w:val="fr-FR"/>
        </w:rPr>
        <w:t> » par :</w:t>
      </w:r>
    </w:p>
    <w:p w14:paraId="1D9DD2FC" w14:textId="7848D12F" w:rsidR="00520996" w:rsidRPr="006835D9" w:rsidRDefault="00520996" w:rsidP="001F76D5">
      <w:pPr>
        <w:pStyle w:val="SingleTxtG"/>
        <w:ind w:left="2268" w:hanging="567"/>
        <w:rPr>
          <w:rFonts w:asciiTheme="majorBidi" w:hAnsiTheme="majorBidi" w:cstheme="majorBidi"/>
          <w:bCs/>
          <w:lang w:val="fr-FR"/>
        </w:rPr>
      </w:pPr>
      <w:r w:rsidRPr="006835D9">
        <w:rPr>
          <w:rFonts w:asciiTheme="majorBidi" w:hAnsiTheme="majorBidi" w:cstheme="majorBidi"/>
          <w:bCs/>
          <w:lang w:val="fr-FR"/>
        </w:rPr>
        <w:tab/>
      </w:r>
      <w:r w:rsidRPr="006835D9">
        <w:rPr>
          <w:rFonts w:asciiTheme="majorBidi" w:hAnsiTheme="majorBidi" w:cstheme="majorBidi"/>
          <w:bCs/>
          <w:lang w:val="fr-FR"/>
        </w:rPr>
        <w:tab/>
      </w:r>
      <w:r w:rsidRPr="006835D9">
        <w:rPr>
          <w:bCs/>
          <w:lang w:val="fr-FR"/>
        </w:rPr>
        <w:t>« </w:t>
      </w:r>
      <w:r w:rsidRPr="006835D9">
        <w:rPr>
          <w:rFonts w:asciiTheme="majorBidi" w:hAnsiTheme="majorBidi" w:cstheme="majorBidi"/>
          <w:bCs/>
          <w:lang w:val="fr-FR"/>
        </w:rPr>
        <w:t xml:space="preserve">EN ISO 23278:2015 </w:t>
      </w:r>
      <w:r w:rsidRPr="006835D9">
        <w:rPr>
          <w:bCs/>
          <w:lang w:val="fr-FR"/>
        </w:rPr>
        <w:t xml:space="preserve">(Contrôle non destructif des assemblages soudés </w:t>
      </w:r>
      <w:r w:rsidR="001F76D5">
        <w:rPr>
          <w:bCs/>
          <w:lang w:val="fr-FR"/>
        </w:rPr>
        <w:t>− </w:t>
      </w:r>
      <w:r w:rsidRPr="006835D9">
        <w:rPr>
          <w:bCs/>
          <w:lang w:val="fr-FR"/>
        </w:rPr>
        <w:t xml:space="preserve">Contrôle par magnétoscopie </w:t>
      </w:r>
      <w:r w:rsidR="001F76D5">
        <w:rPr>
          <w:bCs/>
          <w:lang w:val="fr-FR"/>
        </w:rPr>
        <w:t>−</w:t>
      </w:r>
      <w:r w:rsidRPr="006835D9">
        <w:rPr>
          <w:bCs/>
          <w:lang w:val="fr-FR"/>
        </w:rPr>
        <w:t xml:space="preserve"> Niveaux d</w:t>
      </w:r>
      <w:r w:rsidR="00F70B88">
        <w:rPr>
          <w:bCs/>
          <w:lang w:val="fr-FR"/>
        </w:rPr>
        <w:t>’</w:t>
      </w:r>
      <w:r w:rsidRPr="006835D9">
        <w:rPr>
          <w:bCs/>
          <w:lang w:val="fr-FR"/>
        </w:rPr>
        <w:t>acceptation)</w:t>
      </w:r>
      <w:r w:rsidRPr="006835D9">
        <w:rPr>
          <w:rFonts w:asciiTheme="majorBidi" w:hAnsiTheme="majorBidi" w:cstheme="majorBidi"/>
          <w:bCs/>
          <w:lang w:val="fr-FR"/>
        </w:rPr>
        <w:t> »</w:t>
      </w:r>
      <w:r w:rsidR="00FC1209" w:rsidRPr="00FC1209">
        <w:rPr>
          <w:rFonts w:asciiTheme="majorBidi" w:hAnsiTheme="majorBidi" w:cstheme="majorBidi"/>
          <w:bCs/>
          <w:lang w:val="fr-FR"/>
        </w:rPr>
        <w:t>.</w:t>
      </w:r>
    </w:p>
    <w:p w14:paraId="4AB3C0A6" w14:textId="77777777" w:rsidR="00520996" w:rsidRPr="006835D9" w:rsidRDefault="00520996" w:rsidP="001F76D5">
      <w:pPr>
        <w:pStyle w:val="SingleTxtG"/>
        <w:ind w:left="2268"/>
        <w:rPr>
          <w:rFonts w:asciiTheme="majorBidi" w:hAnsiTheme="majorBidi" w:cstheme="majorBidi"/>
          <w:bCs/>
          <w:lang w:val="fr-FR"/>
        </w:rPr>
      </w:pPr>
      <w:r w:rsidRPr="006835D9">
        <w:rPr>
          <w:bCs/>
          <w:lang w:val="fr-FR"/>
        </w:rPr>
        <w:tab/>
        <w:t>–</w:t>
      </w:r>
      <w:r w:rsidRPr="006835D9">
        <w:rPr>
          <w:bCs/>
          <w:lang w:val="fr-FR"/>
        </w:rPr>
        <w:tab/>
        <w:t>Remplacer « </w:t>
      </w:r>
      <w:r w:rsidRPr="006835D9">
        <w:rPr>
          <w:rFonts w:asciiTheme="majorBidi" w:hAnsiTheme="majorBidi" w:cstheme="majorBidi"/>
          <w:bCs/>
          <w:lang w:val="fr-FR"/>
        </w:rPr>
        <w:t>EN 1711:2000 » par :</w:t>
      </w:r>
    </w:p>
    <w:p w14:paraId="6CF2757F" w14:textId="0CB71656" w:rsidR="00520996" w:rsidRPr="006835D9" w:rsidRDefault="00520996" w:rsidP="001F76D5">
      <w:pPr>
        <w:pStyle w:val="SingleTxtG"/>
        <w:ind w:left="2268"/>
        <w:rPr>
          <w:rFonts w:asciiTheme="majorBidi" w:hAnsiTheme="majorBidi" w:cstheme="majorBidi"/>
          <w:bCs/>
          <w:lang w:val="fr-FR"/>
        </w:rPr>
      </w:pPr>
      <w:r w:rsidRPr="006835D9">
        <w:rPr>
          <w:rFonts w:asciiTheme="majorBidi" w:hAnsiTheme="majorBidi" w:cstheme="majorBidi"/>
          <w:bCs/>
          <w:lang w:val="fr-FR"/>
        </w:rPr>
        <w:tab/>
      </w:r>
      <w:r w:rsidRPr="006835D9">
        <w:rPr>
          <w:bCs/>
          <w:lang w:val="fr-FR"/>
        </w:rPr>
        <w:t>« </w:t>
      </w:r>
      <w:r w:rsidRPr="006835D9">
        <w:rPr>
          <w:rFonts w:asciiTheme="majorBidi" w:hAnsiTheme="majorBidi" w:cstheme="majorBidi"/>
          <w:bCs/>
          <w:lang w:val="fr-FR"/>
        </w:rPr>
        <w:t>EN ISO 17643:2015 »</w:t>
      </w:r>
      <w:r w:rsidR="00FC1209" w:rsidRPr="00FC1209">
        <w:rPr>
          <w:rFonts w:asciiTheme="majorBidi" w:hAnsiTheme="majorBidi" w:cstheme="majorBidi"/>
          <w:bCs/>
          <w:lang w:val="fr-FR"/>
        </w:rPr>
        <w:t>.</w:t>
      </w:r>
    </w:p>
    <w:p w14:paraId="2C927722" w14:textId="5370A917" w:rsidR="00520996" w:rsidRPr="006835D9" w:rsidRDefault="00520996" w:rsidP="001F76D5">
      <w:pPr>
        <w:pStyle w:val="SingleTxtG"/>
        <w:ind w:left="2268" w:hanging="567"/>
        <w:rPr>
          <w:rFonts w:asciiTheme="majorBidi" w:hAnsiTheme="majorBidi" w:cstheme="majorBidi"/>
          <w:bCs/>
          <w:lang w:val="fr-FR"/>
        </w:rPr>
      </w:pPr>
      <w:r w:rsidRPr="006835D9">
        <w:rPr>
          <w:bCs/>
          <w:lang w:val="fr-FR"/>
        </w:rPr>
        <w:t>–</w:t>
      </w:r>
      <w:r w:rsidRPr="006835D9">
        <w:rPr>
          <w:bCs/>
          <w:lang w:val="fr-FR"/>
        </w:rPr>
        <w:tab/>
        <w:t>Remplacer « </w:t>
      </w:r>
      <w:r w:rsidRPr="006835D9">
        <w:rPr>
          <w:rFonts w:asciiTheme="majorBidi" w:hAnsiTheme="majorBidi" w:cstheme="majorBidi"/>
          <w:bCs/>
          <w:lang w:val="fr-FR"/>
        </w:rPr>
        <w:t xml:space="preserve">EN 14127:2011 </w:t>
      </w:r>
      <w:r w:rsidRPr="006835D9">
        <w:rPr>
          <w:bCs/>
          <w:lang w:val="fr-FR"/>
        </w:rPr>
        <w:t>−</w:t>
      </w:r>
      <w:r w:rsidRPr="006835D9">
        <w:rPr>
          <w:rFonts w:asciiTheme="majorBidi" w:hAnsiTheme="majorBidi" w:cstheme="majorBidi"/>
          <w:bCs/>
          <w:lang w:val="fr-FR"/>
        </w:rPr>
        <w:t xml:space="preserve"> </w:t>
      </w:r>
      <w:r w:rsidRPr="006835D9">
        <w:rPr>
          <w:bCs/>
          <w:lang w:val="fr-FR"/>
        </w:rPr>
        <w:t>Essais non destructifs − Mesure de l</w:t>
      </w:r>
      <w:r w:rsidR="00F70B88">
        <w:rPr>
          <w:bCs/>
          <w:lang w:val="fr-FR"/>
        </w:rPr>
        <w:t>’</w:t>
      </w:r>
      <w:r w:rsidRPr="006835D9">
        <w:rPr>
          <w:bCs/>
          <w:lang w:val="fr-FR"/>
        </w:rPr>
        <w:t>épaisseur par ultrasons</w:t>
      </w:r>
      <w:r w:rsidR="00FC1209" w:rsidRPr="00FC1209">
        <w:rPr>
          <w:bCs/>
          <w:lang w:val="fr-FR"/>
        </w:rPr>
        <w:t>.</w:t>
      </w:r>
      <w:r w:rsidRPr="006835D9">
        <w:rPr>
          <w:rFonts w:asciiTheme="majorBidi" w:hAnsiTheme="majorBidi" w:cstheme="majorBidi"/>
          <w:bCs/>
          <w:lang w:val="fr-FR"/>
        </w:rPr>
        <w:t> » par :</w:t>
      </w:r>
    </w:p>
    <w:p w14:paraId="09F11FB5" w14:textId="0E9E459E" w:rsidR="00520996" w:rsidRPr="006835D9" w:rsidRDefault="00520996" w:rsidP="001F76D5">
      <w:pPr>
        <w:pStyle w:val="SingleTxtG"/>
        <w:ind w:left="2268"/>
        <w:rPr>
          <w:rFonts w:asciiTheme="majorBidi" w:hAnsiTheme="majorBidi" w:cstheme="majorBidi"/>
          <w:bCs/>
          <w:lang w:val="fr-FR"/>
        </w:rPr>
      </w:pPr>
      <w:r w:rsidRPr="006835D9">
        <w:rPr>
          <w:rFonts w:asciiTheme="majorBidi" w:hAnsiTheme="majorBidi" w:cstheme="majorBidi"/>
          <w:bCs/>
          <w:lang w:val="fr-FR"/>
        </w:rPr>
        <w:tab/>
      </w:r>
      <w:r w:rsidRPr="006835D9">
        <w:rPr>
          <w:bCs/>
          <w:lang w:val="fr-FR"/>
        </w:rPr>
        <w:t>« </w:t>
      </w:r>
      <w:r w:rsidRPr="006835D9">
        <w:rPr>
          <w:rFonts w:asciiTheme="majorBidi" w:hAnsiTheme="majorBidi" w:cstheme="majorBidi"/>
          <w:bCs/>
          <w:lang w:val="fr-FR"/>
        </w:rPr>
        <w:t xml:space="preserve">EN ISO 16809:2019 </w:t>
      </w:r>
      <w:r w:rsidRPr="006835D9">
        <w:rPr>
          <w:bCs/>
          <w:lang w:val="fr-FR"/>
        </w:rPr>
        <w:t>− Essais non destructifs − Mesurage de l</w:t>
      </w:r>
      <w:r w:rsidR="00F70B88">
        <w:rPr>
          <w:bCs/>
          <w:lang w:val="fr-FR"/>
        </w:rPr>
        <w:t>’</w:t>
      </w:r>
      <w:r w:rsidRPr="006835D9">
        <w:rPr>
          <w:bCs/>
          <w:lang w:val="fr-FR"/>
        </w:rPr>
        <w:t>épaisseur par ultrasons</w:t>
      </w:r>
      <w:r w:rsidR="00FC1209" w:rsidRPr="00FC1209">
        <w:rPr>
          <w:bCs/>
          <w:lang w:val="fr-FR"/>
        </w:rPr>
        <w:t>.</w:t>
      </w:r>
      <w:r w:rsidRPr="006835D9">
        <w:rPr>
          <w:rFonts w:asciiTheme="majorBidi" w:hAnsiTheme="majorBidi" w:cstheme="majorBidi"/>
          <w:bCs/>
          <w:lang w:val="fr-FR"/>
        </w:rPr>
        <w:t> »</w:t>
      </w:r>
      <w:r w:rsidR="00FC1209" w:rsidRPr="00FC1209">
        <w:rPr>
          <w:rFonts w:asciiTheme="majorBidi" w:hAnsiTheme="majorBidi" w:cstheme="majorBidi"/>
          <w:bCs/>
          <w:lang w:val="fr-FR"/>
        </w:rPr>
        <w:t>.</w:t>
      </w:r>
    </w:p>
    <w:p w14:paraId="0C43862A" w14:textId="34EB9A40" w:rsidR="001F76D5" w:rsidRDefault="00520996" w:rsidP="001F76D5">
      <w:pPr>
        <w:pStyle w:val="SingleTxtG"/>
        <w:spacing w:before="120"/>
        <w:ind w:left="2268"/>
        <w:rPr>
          <w:bCs/>
          <w:lang w:val="fr-FR"/>
        </w:rPr>
      </w:pPr>
      <w:r w:rsidRPr="006835D9">
        <w:rPr>
          <w:rFonts w:asciiTheme="majorBidi" w:hAnsiTheme="majorBidi" w:cstheme="majorBidi"/>
          <w:bCs/>
          <w:lang w:val="fr-FR"/>
        </w:rPr>
        <w:t xml:space="preserve">Dans le paragraphe figurant sous le tableau, remplacer </w:t>
      </w:r>
      <w:r w:rsidRPr="006762D3">
        <w:rPr>
          <w:bCs/>
          <w:lang w:val="fr-FR"/>
        </w:rPr>
        <w:t>« EN ISO 23278:2009 (Contrôle par magnétoscopie des soudures</w:t>
      </w:r>
      <w:r w:rsidR="00FC1209" w:rsidRPr="00FC1209">
        <w:rPr>
          <w:bCs/>
          <w:lang w:val="fr-FR"/>
        </w:rPr>
        <w:t>.</w:t>
      </w:r>
      <w:r w:rsidRPr="006762D3">
        <w:rPr>
          <w:bCs/>
          <w:lang w:val="fr-FR"/>
        </w:rPr>
        <w:t xml:space="preserve"> Niveaux d</w:t>
      </w:r>
      <w:r w:rsidR="00F70B88">
        <w:rPr>
          <w:bCs/>
          <w:lang w:val="fr-FR"/>
        </w:rPr>
        <w:t>’</w:t>
      </w:r>
      <w:r w:rsidRPr="006762D3">
        <w:rPr>
          <w:bCs/>
          <w:lang w:val="fr-FR"/>
        </w:rPr>
        <w:t>acceptation)</w:t>
      </w:r>
      <w:r w:rsidR="00FC1209">
        <w:rPr>
          <w:bCs/>
          <w:lang w:val="fr-FR"/>
        </w:rPr>
        <w:t> </w:t>
      </w:r>
      <w:r w:rsidRPr="006762D3">
        <w:rPr>
          <w:bCs/>
          <w:lang w:val="fr-FR"/>
        </w:rPr>
        <w:t>» par «</w:t>
      </w:r>
      <w:r w:rsidR="001F76D5">
        <w:rPr>
          <w:bCs/>
          <w:lang w:val="fr-FR"/>
        </w:rPr>
        <w:t> </w:t>
      </w:r>
      <w:r w:rsidRPr="006762D3">
        <w:rPr>
          <w:bCs/>
          <w:lang w:val="fr-FR"/>
        </w:rPr>
        <w:t>EN</w:t>
      </w:r>
      <w:r w:rsidR="001F76D5">
        <w:rPr>
          <w:bCs/>
          <w:lang w:val="fr-FR"/>
        </w:rPr>
        <w:t> </w:t>
      </w:r>
      <w:r w:rsidRPr="006762D3">
        <w:rPr>
          <w:bCs/>
          <w:lang w:val="fr-FR"/>
        </w:rPr>
        <w:t xml:space="preserve">ISO 23278:2015 (Contrôle non destructif des assemblages soudés </w:t>
      </w:r>
      <w:r w:rsidR="001F76D5">
        <w:rPr>
          <w:bCs/>
          <w:lang w:val="fr-FR"/>
        </w:rPr>
        <w:t>−</w:t>
      </w:r>
      <w:r w:rsidR="00FC1209">
        <w:rPr>
          <w:bCs/>
          <w:lang w:val="fr-FR"/>
        </w:rPr>
        <w:t> </w:t>
      </w:r>
      <w:r w:rsidRPr="006762D3">
        <w:rPr>
          <w:bCs/>
          <w:lang w:val="fr-FR"/>
        </w:rPr>
        <w:t>Contrôle par magnétoscopie - Niveaux d</w:t>
      </w:r>
      <w:r w:rsidR="00F70B88">
        <w:rPr>
          <w:bCs/>
          <w:lang w:val="fr-FR"/>
        </w:rPr>
        <w:t>’</w:t>
      </w:r>
      <w:r w:rsidRPr="006762D3">
        <w:rPr>
          <w:bCs/>
          <w:lang w:val="fr-FR"/>
        </w:rPr>
        <w:t>acceptation) »</w:t>
      </w:r>
      <w:r w:rsidR="00FC1209" w:rsidRPr="00FC1209">
        <w:rPr>
          <w:bCs/>
          <w:lang w:val="fr-FR"/>
        </w:rPr>
        <w:t>.</w:t>
      </w:r>
      <w:r w:rsidRPr="006762D3" w:rsidDel="006762D3">
        <w:rPr>
          <w:bCs/>
          <w:lang w:val="fr-FR"/>
        </w:rPr>
        <w:t xml:space="preserve"> </w:t>
      </w:r>
    </w:p>
    <w:p w14:paraId="025A19C1" w14:textId="762A34C7" w:rsidR="00520996" w:rsidRDefault="00520996" w:rsidP="00520996">
      <w:pPr>
        <w:pStyle w:val="SingleTxtG"/>
        <w:spacing w:before="120"/>
        <w:ind w:right="282"/>
        <w:rPr>
          <w:bCs/>
          <w:i/>
          <w:iCs/>
          <w:lang w:val="fr-FR"/>
        </w:rPr>
      </w:pPr>
      <w:r w:rsidRPr="006835D9">
        <w:rPr>
          <w:bCs/>
          <w:i/>
          <w:iCs/>
          <w:lang w:val="fr-FR"/>
        </w:rPr>
        <w:t>(Document de référence : document informel INF</w:t>
      </w:r>
      <w:r w:rsidR="00FC1209" w:rsidRPr="00FC1209">
        <w:rPr>
          <w:bCs/>
          <w:i/>
          <w:iCs/>
          <w:lang w:val="fr-FR"/>
        </w:rPr>
        <w:t>.</w:t>
      </w:r>
      <w:r w:rsidRPr="006835D9">
        <w:rPr>
          <w:bCs/>
          <w:i/>
          <w:iCs/>
          <w:lang w:val="fr-FR"/>
        </w:rPr>
        <w:t>5/Rev</w:t>
      </w:r>
      <w:r w:rsidR="00FC1209" w:rsidRPr="00FC1209">
        <w:rPr>
          <w:bCs/>
          <w:i/>
          <w:iCs/>
          <w:lang w:val="fr-FR"/>
        </w:rPr>
        <w:t>.</w:t>
      </w:r>
      <w:r w:rsidRPr="006835D9">
        <w:rPr>
          <w:bCs/>
          <w:i/>
          <w:iCs/>
          <w:lang w:val="fr-FR"/>
        </w:rPr>
        <w:t>1)</w:t>
      </w:r>
    </w:p>
    <w:p w14:paraId="559AC107" w14:textId="10C2B37D" w:rsidR="00520996" w:rsidRDefault="00520996" w:rsidP="00520996">
      <w:pPr>
        <w:pStyle w:val="H1G"/>
      </w:pPr>
      <w:r w:rsidRPr="006835D9">
        <w:rPr>
          <w:bCs/>
          <w:lang w:val="fr-FR"/>
        </w:rPr>
        <w:tab/>
      </w:r>
      <w:r w:rsidRPr="006835D9">
        <w:rPr>
          <w:bCs/>
          <w:lang w:val="fr-FR"/>
        </w:rPr>
        <w:tab/>
      </w:r>
      <w:r>
        <w:tab/>
        <w:t>Chapitre 6</w:t>
      </w:r>
      <w:r w:rsidR="00FC1209" w:rsidRPr="00FC1209">
        <w:t>.</w:t>
      </w:r>
      <w:r>
        <w:t>10</w:t>
      </w:r>
    </w:p>
    <w:p w14:paraId="2CEC0110" w14:textId="557D0E5D" w:rsidR="00520996" w:rsidRPr="002479D1" w:rsidRDefault="00520996" w:rsidP="001F76D5">
      <w:pPr>
        <w:pStyle w:val="SingleTxtG"/>
        <w:ind w:left="2268" w:hanging="1134"/>
        <w:rPr>
          <w:bCs/>
          <w:iCs/>
          <w:lang w:val="fr-FR"/>
        </w:rPr>
      </w:pPr>
      <w:r w:rsidRPr="00FD70C5">
        <w:rPr>
          <w:bCs/>
        </w:rPr>
        <w:t>6</w:t>
      </w:r>
      <w:r w:rsidR="00FC1209" w:rsidRPr="00FC1209">
        <w:rPr>
          <w:bCs/>
        </w:rPr>
        <w:t>.</w:t>
      </w:r>
      <w:r w:rsidRPr="00FD70C5">
        <w:rPr>
          <w:bCs/>
        </w:rPr>
        <w:t>10</w:t>
      </w:r>
      <w:r w:rsidR="00FC1209" w:rsidRPr="00FC1209">
        <w:rPr>
          <w:bCs/>
        </w:rPr>
        <w:t>.</w:t>
      </w:r>
      <w:r w:rsidRPr="00FD70C5">
        <w:rPr>
          <w:bCs/>
        </w:rPr>
        <w:t>4</w:t>
      </w:r>
      <w:r w:rsidRPr="002479D1">
        <w:rPr>
          <w:bCs/>
        </w:rPr>
        <w:tab/>
      </w:r>
      <w:r w:rsidRPr="002479D1">
        <w:rPr>
          <w:bCs/>
          <w:iCs/>
          <w:lang w:val="fr-FR"/>
        </w:rPr>
        <w:t>[L</w:t>
      </w:r>
      <w:r>
        <w:rPr>
          <w:bCs/>
          <w:iCs/>
          <w:lang w:val="fr-FR"/>
        </w:rPr>
        <w:t xml:space="preserve">es </w:t>
      </w:r>
      <w:r w:rsidRPr="002479D1">
        <w:rPr>
          <w:bCs/>
          <w:iCs/>
          <w:lang w:val="fr-FR"/>
        </w:rPr>
        <w:t>amendement</w:t>
      </w:r>
      <w:r>
        <w:rPr>
          <w:bCs/>
          <w:iCs/>
          <w:lang w:val="fr-FR"/>
        </w:rPr>
        <w:t>s</w:t>
      </w:r>
      <w:r w:rsidRPr="002479D1">
        <w:rPr>
          <w:bCs/>
          <w:iCs/>
          <w:lang w:val="fr-FR"/>
        </w:rPr>
        <w:t xml:space="preserve"> dans la version anglaise ne s</w:t>
      </w:r>
      <w:r w:rsidR="00F70B88">
        <w:rPr>
          <w:bCs/>
          <w:iCs/>
          <w:lang w:val="fr-FR"/>
        </w:rPr>
        <w:t>’</w:t>
      </w:r>
      <w:r w:rsidRPr="002479D1">
        <w:rPr>
          <w:bCs/>
          <w:iCs/>
          <w:lang w:val="fr-FR"/>
        </w:rPr>
        <w:t>applique</w:t>
      </w:r>
      <w:r>
        <w:rPr>
          <w:bCs/>
          <w:iCs/>
          <w:lang w:val="fr-FR"/>
        </w:rPr>
        <w:t>nt</w:t>
      </w:r>
      <w:r w:rsidRPr="002479D1">
        <w:rPr>
          <w:bCs/>
          <w:iCs/>
          <w:lang w:val="fr-FR"/>
        </w:rPr>
        <w:t xml:space="preserve"> pas au texte français</w:t>
      </w:r>
      <w:r w:rsidR="00FC1209" w:rsidRPr="00FC1209">
        <w:rPr>
          <w:bCs/>
          <w:iCs/>
          <w:lang w:val="fr-FR"/>
        </w:rPr>
        <w:t>.</w:t>
      </w:r>
      <w:r w:rsidRPr="002479D1">
        <w:rPr>
          <w:bCs/>
          <w:iCs/>
          <w:lang w:val="fr-FR"/>
        </w:rPr>
        <w:t>]</w:t>
      </w:r>
    </w:p>
    <w:p w14:paraId="74F19348" w14:textId="77777777" w:rsidR="00520996" w:rsidRPr="00FD70C5" w:rsidRDefault="00520996" w:rsidP="00520996">
      <w:pPr>
        <w:pStyle w:val="H23G"/>
        <w:rPr>
          <w:b w:val="0"/>
          <w:bCs/>
          <w:iCs/>
        </w:rPr>
      </w:pPr>
      <w:r w:rsidRPr="00FD70C5">
        <w:rPr>
          <w:b w:val="0"/>
          <w:bCs/>
          <w:iCs/>
        </w:rPr>
        <w:tab/>
      </w:r>
      <w:r w:rsidRPr="00FD70C5">
        <w:rPr>
          <w:b w:val="0"/>
          <w:bCs/>
          <w:iCs/>
        </w:rPr>
        <w:tab/>
      </w:r>
      <w:r w:rsidRPr="00FD70C5">
        <w:rPr>
          <w:b w:val="0"/>
          <w:bCs/>
        </w:rPr>
        <w:t>(ADR uniquement :)</w:t>
      </w:r>
    </w:p>
    <w:p w14:paraId="72AC3481" w14:textId="52F0E6A6" w:rsidR="00520996" w:rsidRPr="00FD70C5" w:rsidRDefault="00520996" w:rsidP="00520996">
      <w:pPr>
        <w:pStyle w:val="H1G"/>
      </w:pPr>
      <w:r w:rsidRPr="00222AB5">
        <w:tab/>
      </w:r>
      <w:r w:rsidRPr="00222AB5">
        <w:tab/>
        <w:t>Chapitre</w:t>
      </w:r>
      <w:r w:rsidRPr="00FD70C5">
        <w:t xml:space="preserve"> 6</w:t>
      </w:r>
      <w:r w:rsidR="00FC1209" w:rsidRPr="00FC1209">
        <w:t>.</w:t>
      </w:r>
      <w:r w:rsidRPr="00FD70C5">
        <w:t>12</w:t>
      </w:r>
    </w:p>
    <w:p w14:paraId="536722BC" w14:textId="0C9C7564" w:rsidR="00520996" w:rsidRPr="00FD70C5" w:rsidRDefault="00520996" w:rsidP="00FC1209">
      <w:pPr>
        <w:pStyle w:val="SingleTxtG"/>
        <w:ind w:left="2268" w:hanging="1134"/>
        <w:rPr>
          <w:bCs/>
          <w:lang w:eastAsia="en-GB"/>
        </w:rPr>
      </w:pPr>
      <w:r w:rsidRPr="0015778D">
        <w:rPr>
          <w:bCs/>
        </w:rPr>
        <w:t>6</w:t>
      </w:r>
      <w:r w:rsidR="00FC1209" w:rsidRPr="00FC1209">
        <w:rPr>
          <w:bCs/>
        </w:rPr>
        <w:t>.</w:t>
      </w:r>
      <w:r w:rsidRPr="0015778D">
        <w:rPr>
          <w:bCs/>
        </w:rPr>
        <w:t>12</w:t>
      </w:r>
      <w:r w:rsidR="00FC1209" w:rsidRPr="00FC1209">
        <w:rPr>
          <w:bCs/>
        </w:rPr>
        <w:t>.</w:t>
      </w:r>
      <w:r w:rsidRPr="0015778D">
        <w:rPr>
          <w:bCs/>
        </w:rPr>
        <w:t>3</w:t>
      </w:r>
      <w:r w:rsidR="00FC1209" w:rsidRPr="00FC1209">
        <w:rPr>
          <w:bCs/>
        </w:rPr>
        <w:t>.</w:t>
      </w:r>
      <w:r w:rsidRPr="0015778D">
        <w:rPr>
          <w:bCs/>
        </w:rPr>
        <w:t>2</w:t>
      </w:r>
      <w:r w:rsidR="00FC1209" w:rsidRPr="00FC1209">
        <w:rPr>
          <w:bCs/>
        </w:rPr>
        <w:t>.</w:t>
      </w:r>
      <w:r w:rsidRPr="0015778D">
        <w:rPr>
          <w:bCs/>
        </w:rPr>
        <w:t>6</w:t>
      </w:r>
      <w:r w:rsidRPr="0015778D">
        <w:rPr>
          <w:bCs/>
        </w:rPr>
        <w:tab/>
      </w:r>
      <w:r w:rsidRPr="00FD70C5">
        <w:rPr>
          <w:bCs/>
        </w:rPr>
        <w:t xml:space="preserve">Dans la </w:t>
      </w:r>
      <w:r w:rsidRPr="00FD70C5">
        <w:rPr>
          <w:bCs/>
          <w:lang w:eastAsia="en-GB"/>
        </w:rPr>
        <w:t>dernière phrase, remplacer « au moins tous les trois ans » par « au plus tard tous les trois ans »</w:t>
      </w:r>
      <w:r w:rsidR="00FC1209" w:rsidRPr="00FC1209">
        <w:rPr>
          <w:bCs/>
          <w:lang w:eastAsia="en-GB"/>
        </w:rPr>
        <w:t>.</w:t>
      </w:r>
    </w:p>
    <w:p w14:paraId="36AC7976" w14:textId="18DB6018" w:rsidR="00520996" w:rsidRPr="00FC1C12" w:rsidRDefault="00520996" w:rsidP="001F76D5">
      <w:pPr>
        <w:pStyle w:val="SingleTxtG"/>
        <w:rPr>
          <w:b/>
        </w:rPr>
      </w:pPr>
      <w:r w:rsidRPr="0092530B">
        <w:rPr>
          <w:i/>
          <w:iCs/>
          <w:lang w:val="fr-FR"/>
        </w:rPr>
        <w:lastRenderedPageBreak/>
        <w:t>(Document</w:t>
      </w:r>
      <w:r>
        <w:rPr>
          <w:i/>
          <w:iCs/>
          <w:lang w:val="fr-FR"/>
        </w:rPr>
        <w:t>s</w:t>
      </w:r>
      <w:r w:rsidRPr="0092530B">
        <w:rPr>
          <w:i/>
          <w:iCs/>
          <w:lang w:val="fr-FR"/>
        </w:rPr>
        <w:t xml:space="preserve"> de référ</w:t>
      </w:r>
      <w:r>
        <w:rPr>
          <w:i/>
          <w:iCs/>
          <w:lang w:val="fr-FR"/>
        </w:rPr>
        <w:t>ence : ECE/TRANS/WP</w:t>
      </w:r>
      <w:r w:rsidR="00FC1209" w:rsidRPr="00FC1209">
        <w:rPr>
          <w:i/>
          <w:iCs/>
          <w:lang w:val="fr-FR"/>
        </w:rPr>
        <w:t>.</w:t>
      </w:r>
      <w:r>
        <w:rPr>
          <w:i/>
          <w:iCs/>
          <w:lang w:val="fr-FR"/>
        </w:rPr>
        <w:t>15/AC</w:t>
      </w:r>
      <w:r w:rsidR="00FC1209" w:rsidRPr="00FC1209">
        <w:rPr>
          <w:i/>
          <w:iCs/>
          <w:lang w:val="fr-FR"/>
        </w:rPr>
        <w:t>.</w:t>
      </w:r>
      <w:r>
        <w:rPr>
          <w:i/>
          <w:iCs/>
          <w:lang w:val="fr-FR"/>
        </w:rPr>
        <w:t>1/2021/19 tel qu</w:t>
      </w:r>
      <w:r w:rsidR="00F70B88">
        <w:rPr>
          <w:i/>
          <w:iCs/>
          <w:lang w:val="fr-FR"/>
        </w:rPr>
        <w:t>’</w:t>
      </w:r>
      <w:r>
        <w:rPr>
          <w:i/>
          <w:iCs/>
          <w:lang w:val="fr-FR"/>
        </w:rPr>
        <w:t>amendé par le document informel INF</w:t>
      </w:r>
      <w:r w:rsidR="00FC1209" w:rsidRPr="00FC1209">
        <w:rPr>
          <w:i/>
          <w:iCs/>
          <w:lang w:val="fr-FR"/>
        </w:rPr>
        <w:t>.</w:t>
      </w:r>
      <w:r>
        <w:rPr>
          <w:i/>
          <w:iCs/>
          <w:lang w:val="fr-FR"/>
        </w:rPr>
        <w:t>43</w:t>
      </w:r>
      <w:r w:rsidRPr="0092530B">
        <w:rPr>
          <w:i/>
          <w:iCs/>
          <w:lang w:val="fr-FR"/>
        </w:rPr>
        <w:t>)</w:t>
      </w:r>
    </w:p>
    <w:p w14:paraId="11BC84AD" w14:textId="75550C9C" w:rsidR="00520996" w:rsidRPr="007D5062" w:rsidRDefault="00520996" w:rsidP="00520996">
      <w:pPr>
        <w:pStyle w:val="H1G"/>
      </w:pPr>
      <w:r w:rsidRPr="007D5062">
        <w:tab/>
      </w:r>
      <w:r w:rsidRPr="007D5062">
        <w:tab/>
        <w:t>Chapitre</w:t>
      </w:r>
      <w:r>
        <w:t xml:space="preserve"> 7</w:t>
      </w:r>
      <w:r w:rsidR="00FC1209" w:rsidRPr="00FC1209">
        <w:t>.</w:t>
      </w:r>
      <w:r>
        <w:t>4</w:t>
      </w:r>
    </w:p>
    <w:p w14:paraId="083AAE67" w14:textId="31FF8E65" w:rsidR="00520996" w:rsidRPr="006835D9" w:rsidRDefault="00520996" w:rsidP="00520996">
      <w:pPr>
        <w:pStyle w:val="SingleTxtG"/>
        <w:rPr>
          <w:lang w:val="fr-FR"/>
        </w:rPr>
      </w:pPr>
      <w:r w:rsidRPr="006835D9">
        <w:rPr>
          <w:lang w:val="fr-FR"/>
        </w:rPr>
        <w:t>(RID :) Chapitre 7</w:t>
      </w:r>
      <w:r w:rsidR="00FC1209" w:rsidRPr="00FC1209">
        <w:rPr>
          <w:lang w:val="fr-FR"/>
        </w:rPr>
        <w:t>.</w:t>
      </w:r>
      <w:r w:rsidRPr="006835D9">
        <w:rPr>
          <w:lang w:val="fr-FR"/>
        </w:rPr>
        <w:t>4/(ADR :) Chapitre 7</w:t>
      </w:r>
      <w:r w:rsidR="00FC1209" w:rsidRPr="00FC1209">
        <w:rPr>
          <w:lang w:val="fr-FR"/>
        </w:rPr>
        <w:t>.</w:t>
      </w:r>
      <w:r w:rsidRPr="006835D9">
        <w:rPr>
          <w:lang w:val="fr-FR"/>
        </w:rPr>
        <w:t>4, 7</w:t>
      </w:r>
      <w:r w:rsidR="00FC1209" w:rsidRPr="00FC1209">
        <w:rPr>
          <w:lang w:val="fr-FR"/>
        </w:rPr>
        <w:t>.</w:t>
      </w:r>
      <w:r w:rsidRPr="006835D9">
        <w:rPr>
          <w:lang w:val="fr-FR"/>
        </w:rPr>
        <w:t>4</w:t>
      </w:r>
      <w:r w:rsidR="00FC1209" w:rsidRPr="00FC1209">
        <w:rPr>
          <w:lang w:val="fr-FR"/>
        </w:rPr>
        <w:t>.</w:t>
      </w:r>
      <w:r w:rsidRPr="006835D9">
        <w:rPr>
          <w:lang w:val="fr-FR"/>
        </w:rPr>
        <w:t>1</w:t>
      </w:r>
    </w:p>
    <w:p w14:paraId="4E4158D1" w14:textId="77777777" w:rsidR="00520996" w:rsidRPr="006835D9" w:rsidRDefault="00520996" w:rsidP="00520996">
      <w:pPr>
        <w:pStyle w:val="SingleTxtG"/>
        <w:ind w:right="707"/>
        <w:rPr>
          <w:bCs/>
          <w:lang w:val="fr-FR"/>
        </w:rPr>
      </w:pPr>
      <w:r w:rsidRPr="006835D9">
        <w:rPr>
          <w:bCs/>
          <w:lang w:val="fr-FR"/>
        </w:rPr>
        <w:tab/>
        <w:t xml:space="preserve">Modifier la première phrase </w:t>
      </w:r>
      <w:r>
        <w:rPr>
          <w:bCs/>
          <w:lang w:val="fr-FR"/>
        </w:rPr>
        <w:t xml:space="preserve">pour lire </w:t>
      </w:r>
      <w:r w:rsidRPr="006835D9">
        <w:rPr>
          <w:bCs/>
          <w:lang w:val="fr-FR"/>
        </w:rPr>
        <w:t>comme suit :</w:t>
      </w:r>
    </w:p>
    <w:p w14:paraId="3BF93AFE" w14:textId="4C25D1C3" w:rsidR="00520996" w:rsidRPr="006835D9" w:rsidRDefault="00520996" w:rsidP="00520996">
      <w:pPr>
        <w:pStyle w:val="SingleTxtG"/>
        <w:ind w:right="1133"/>
        <w:rPr>
          <w:bCs/>
          <w:lang w:val="fr-FR"/>
        </w:rPr>
      </w:pPr>
      <w:r w:rsidRPr="006835D9">
        <w:rPr>
          <w:bCs/>
          <w:lang w:val="fr-FR"/>
        </w:rPr>
        <w:t>« Une marchandise dangereuse ne peut être transportée en citernes que lorsqu</w:t>
      </w:r>
      <w:r w:rsidR="00F70B88">
        <w:rPr>
          <w:bCs/>
          <w:lang w:val="fr-FR"/>
        </w:rPr>
        <w:t>’</w:t>
      </w:r>
      <w:r w:rsidRPr="006835D9">
        <w:rPr>
          <w:bCs/>
          <w:lang w:val="fr-FR"/>
        </w:rPr>
        <w:t>une instruction de transport en citernes mobiles est indiquée dans la colonne (10) ou un code-citerne est indiqué dans la colonne (12) du tableau A du chapitre 3</w:t>
      </w:r>
      <w:r w:rsidR="00FC1209" w:rsidRPr="00FC1209">
        <w:rPr>
          <w:bCs/>
          <w:lang w:val="fr-FR"/>
        </w:rPr>
        <w:t>.</w:t>
      </w:r>
      <w:r w:rsidRPr="006835D9">
        <w:rPr>
          <w:bCs/>
          <w:lang w:val="fr-FR"/>
        </w:rPr>
        <w:t>2 sauf si une autorité compétente a délivré une autorisation dans les conditions précisées au 6</w:t>
      </w:r>
      <w:r w:rsidR="00FC1209" w:rsidRPr="00FC1209">
        <w:rPr>
          <w:bCs/>
          <w:lang w:val="fr-FR"/>
        </w:rPr>
        <w:t>.</w:t>
      </w:r>
      <w:r w:rsidRPr="006835D9">
        <w:rPr>
          <w:bCs/>
          <w:lang w:val="fr-FR"/>
        </w:rPr>
        <w:t>7</w:t>
      </w:r>
      <w:r w:rsidR="00FC1209" w:rsidRPr="00FC1209">
        <w:rPr>
          <w:bCs/>
          <w:lang w:val="fr-FR"/>
        </w:rPr>
        <w:t>.</w:t>
      </w:r>
      <w:r w:rsidRPr="006835D9">
        <w:rPr>
          <w:bCs/>
          <w:lang w:val="fr-FR"/>
        </w:rPr>
        <w:t>1</w:t>
      </w:r>
      <w:r w:rsidR="00FC1209" w:rsidRPr="00FC1209">
        <w:rPr>
          <w:bCs/>
          <w:lang w:val="fr-FR"/>
        </w:rPr>
        <w:t>.</w:t>
      </w:r>
      <w:r w:rsidRPr="006835D9">
        <w:rPr>
          <w:bCs/>
          <w:lang w:val="fr-FR"/>
        </w:rPr>
        <w:t>3</w:t>
      </w:r>
      <w:r w:rsidR="00FC1209" w:rsidRPr="00FC1209">
        <w:rPr>
          <w:bCs/>
          <w:lang w:val="fr-FR"/>
        </w:rPr>
        <w:t>.</w:t>
      </w:r>
      <w:r w:rsidRPr="006835D9">
        <w:rPr>
          <w:bCs/>
          <w:lang w:val="fr-FR"/>
        </w:rPr>
        <w:t> »</w:t>
      </w:r>
      <w:r w:rsidR="00FC1209" w:rsidRPr="00FC1209">
        <w:rPr>
          <w:bCs/>
          <w:lang w:val="fr-FR"/>
        </w:rPr>
        <w:t>.</w:t>
      </w:r>
    </w:p>
    <w:p w14:paraId="6358FFC8" w14:textId="5AC93703" w:rsidR="00520996" w:rsidRDefault="00520996" w:rsidP="00520996">
      <w:pPr>
        <w:pStyle w:val="SingleTxtG"/>
        <w:ind w:right="707"/>
        <w:rPr>
          <w:bCs/>
          <w:i/>
          <w:iCs/>
          <w:lang w:val="fr-FR"/>
        </w:rPr>
      </w:pPr>
      <w:r w:rsidRPr="006835D9">
        <w:rPr>
          <w:bCs/>
          <w:i/>
          <w:iCs/>
          <w:lang w:val="fr-FR"/>
        </w:rPr>
        <w:t>(Document de référence : document informel INF</w:t>
      </w:r>
      <w:r w:rsidR="00FC1209" w:rsidRPr="00FC1209">
        <w:rPr>
          <w:bCs/>
          <w:i/>
          <w:iCs/>
          <w:lang w:val="fr-FR"/>
        </w:rPr>
        <w:t>.</w:t>
      </w:r>
      <w:r w:rsidRPr="006835D9">
        <w:rPr>
          <w:bCs/>
          <w:i/>
          <w:iCs/>
          <w:lang w:val="fr-FR"/>
        </w:rPr>
        <w:t>4)</w:t>
      </w:r>
    </w:p>
    <w:p w14:paraId="68598FDE" w14:textId="4A178246" w:rsidR="00520996" w:rsidRPr="00523E9F" w:rsidRDefault="00520996" w:rsidP="00520996">
      <w:pPr>
        <w:pStyle w:val="H1G"/>
      </w:pPr>
      <w:r>
        <w:tab/>
      </w:r>
      <w:r>
        <w:tab/>
      </w:r>
      <w:r w:rsidRPr="00523E9F">
        <w:t>Chapitre 8</w:t>
      </w:r>
      <w:r w:rsidR="00FC1209" w:rsidRPr="00FC1209">
        <w:t>.</w:t>
      </w:r>
      <w:r w:rsidRPr="00523E9F">
        <w:t>1</w:t>
      </w:r>
    </w:p>
    <w:p w14:paraId="4EF12D49" w14:textId="77777777" w:rsidR="00520996" w:rsidRPr="00523E9F" w:rsidRDefault="00520996" w:rsidP="00520996">
      <w:pPr>
        <w:spacing w:after="120"/>
        <w:ind w:left="1134" w:right="282"/>
        <w:jc w:val="both"/>
      </w:pPr>
      <w:r w:rsidRPr="00523E9F">
        <w:t>(ADR</w:t>
      </w:r>
      <w:r>
        <w:t xml:space="preserve"> uniquement</w:t>
      </w:r>
      <w:r w:rsidRPr="00523E9F">
        <w:t> :)</w:t>
      </w:r>
    </w:p>
    <w:p w14:paraId="15632A1B" w14:textId="5706284C" w:rsidR="00520996" w:rsidRPr="00523E9F" w:rsidRDefault="00520996" w:rsidP="00520996">
      <w:pPr>
        <w:spacing w:after="120"/>
        <w:ind w:left="1134" w:right="282"/>
        <w:jc w:val="both"/>
      </w:pPr>
      <w:r w:rsidRPr="00735446">
        <w:rPr>
          <w:bCs/>
        </w:rPr>
        <w:t>8</w:t>
      </w:r>
      <w:r w:rsidR="00FC1209" w:rsidRPr="00FC1209">
        <w:rPr>
          <w:bCs/>
        </w:rPr>
        <w:t>.</w:t>
      </w:r>
      <w:r w:rsidRPr="00735446">
        <w:rPr>
          <w:bCs/>
        </w:rPr>
        <w:t>1</w:t>
      </w:r>
      <w:r w:rsidR="00FC1209" w:rsidRPr="00FC1209">
        <w:rPr>
          <w:bCs/>
        </w:rPr>
        <w:t>.</w:t>
      </w:r>
      <w:r w:rsidRPr="00735446">
        <w:rPr>
          <w:bCs/>
        </w:rPr>
        <w:t>2</w:t>
      </w:r>
      <w:r w:rsidR="00FC1209" w:rsidRPr="00FC1209">
        <w:rPr>
          <w:bCs/>
        </w:rPr>
        <w:t>.</w:t>
      </w:r>
      <w:r w:rsidRPr="00735446">
        <w:rPr>
          <w:bCs/>
        </w:rPr>
        <w:t>1</w:t>
      </w:r>
      <w:r w:rsidRPr="00735446">
        <w:rPr>
          <w:bCs/>
        </w:rPr>
        <w:tab/>
      </w:r>
      <w:r w:rsidRPr="00523E9F">
        <w:tab/>
        <w:t>À l</w:t>
      </w:r>
      <w:r w:rsidR="00F70B88">
        <w:t>’</w:t>
      </w:r>
      <w:r w:rsidRPr="00523E9F">
        <w:t>alinéa a), supprimer :</w:t>
      </w:r>
    </w:p>
    <w:p w14:paraId="18530675" w14:textId="718762FA" w:rsidR="00520996" w:rsidRPr="00523E9F" w:rsidRDefault="00520996" w:rsidP="00520996">
      <w:pPr>
        <w:spacing w:after="120"/>
        <w:ind w:left="1134" w:right="282"/>
        <w:jc w:val="both"/>
      </w:pPr>
      <w:r w:rsidRPr="00523E9F">
        <w:t xml:space="preserve">« et, le cas échéant, le </w:t>
      </w:r>
      <w:r w:rsidR="00354479" w:rsidRPr="00783974">
        <w:t>“</w:t>
      </w:r>
      <w:r w:rsidRPr="00523E9F">
        <w:t>certificat d</w:t>
      </w:r>
      <w:r w:rsidR="00F70B88">
        <w:t>’</w:t>
      </w:r>
      <w:r w:rsidRPr="00523E9F">
        <w:t>empotage du conteneur ou du véhicule</w:t>
      </w:r>
      <w:r w:rsidR="00354479" w:rsidRPr="00783974">
        <w:t>”</w:t>
      </w:r>
      <w:r w:rsidRPr="00523E9F">
        <w:t> »</w:t>
      </w:r>
      <w:r w:rsidR="00FC1209" w:rsidRPr="00FC1209">
        <w:t>.</w:t>
      </w:r>
    </w:p>
    <w:p w14:paraId="442B7645" w14:textId="6448711E" w:rsidR="00520996" w:rsidRPr="00523E9F" w:rsidRDefault="00520996" w:rsidP="001F76D5">
      <w:pPr>
        <w:spacing w:after="120"/>
        <w:ind w:left="1134" w:right="1134"/>
        <w:jc w:val="both"/>
      </w:pPr>
      <w:r w:rsidRPr="00523E9F">
        <w:rPr>
          <w:i/>
          <w:iCs/>
        </w:rPr>
        <w:t xml:space="preserve">(Document de référence : </w:t>
      </w:r>
      <w:r w:rsidRPr="00523E9F">
        <w:rPr>
          <w:i/>
          <w:iCs/>
          <w:lang w:val="fr-FR"/>
        </w:rPr>
        <w:t>ECE/TRANS/WP</w:t>
      </w:r>
      <w:r w:rsidR="00FC1209" w:rsidRPr="00FC1209">
        <w:rPr>
          <w:i/>
          <w:iCs/>
          <w:lang w:val="fr-FR"/>
        </w:rPr>
        <w:t>.</w:t>
      </w:r>
      <w:r w:rsidRPr="00523E9F">
        <w:rPr>
          <w:i/>
          <w:iCs/>
          <w:lang w:val="fr-FR"/>
        </w:rPr>
        <w:t>15/AC</w:t>
      </w:r>
      <w:r w:rsidR="00FC1209" w:rsidRPr="00FC1209">
        <w:rPr>
          <w:i/>
          <w:iCs/>
          <w:lang w:val="fr-FR"/>
        </w:rPr>
        <w:t>.</w:t>
      </w:r>
      <w:r w:rsidRPr="00523E9F">
        <w:rPr>
          <w:i/>
          <w:iCs/>
          <w:lang w:val="fr-FR"/>
        </w:rPr>
        <w:t>1/2021/22 tel qu</w:t>
      </w:r>
      <w:r w:rsidR="00F70B88">
        <w:rPr>
          <w:i/>
          <w:iCs/>
          <w:lang w:val="fr-FR"/>
        </w:rPr>
        <w:t>’</w:t>
      </w:r>
      <w:r w:rsidRPr="00523E9F">
        <w:rPr>
          <w:i/>
          <w:iCs/>
          <w:lang w:val="fr-FR"/>
        </w:rPr>
        <w:t xml:space="preserve">amendé par le </w:t>
      </w:r>
      <w:r w:rsidRPr="00523E9F">
        <w:rPr>
          <w:i/>
          <w:iCs/>
        </w:rPr>
        <w:t>document informel INF</w:t>
      </w:r>
      <w:r w:rsidR="00FC1209" w:rsidRPr="00FC1209">
        <w:rPr>
          <w:i/>
          <w:iCs/>
        </w:rPr>
        <w:t>.</w:t>
      </w:r>
      <w:r w:rsidRPr="00523E9F">
        <w:rPr>
          <w:i/>
          <w:iCs/>
        </w:rPr>
        <w:t>40)</w:t>
      </w:r>
    </w:p>
    <w:p w14:paraId="5264FEA5" w14:textId="582311A0" w:rsidR="00520996" w:rsidRPr="00523E9F" w:rsidRDefault="00520996" w:rsidP="00520996">
      <w:pPr>
        <w:spacing w:after="120"/>
        <w:ind w:left="1134" w:right="1133"/>
        <w:jc w:val="both"/>
      </w:pPr>
      <w:r w:rsidRPr="00523E9F">
        <w:t>(ADN</w:t>
      </w:r>
      <w:r>
        <w:t xml:space="preserve"> uniquement</w:t>
      </w:r>
      <w:r w:rsidRPr="00523E9F">
        <w:t> :)</w:t>
      </w:r>
    </w:p>
    <w:p w14:paraId="0789E805" w14:textId="13B36826" w:rsidR="00520996" w:rsidRPr="00523E9F" w:rsidRDefault="00520996" w:rsidP="00191B2A">
      <w:pPr>
        <w:keepNext/>
        <w:spacing w:after="120"/>
        <w:ind w:left="1134" w:right="1133"/>
        <w:jc w:val="both"/>
      </w:pPr>
      <w:r w:rsidRPr="00735446">
        <w:rPr>
          <w:bCs/>
        </w:rPr>
        <w:t>8</w:t>
      </w:r>
      <w:r w:rsidR="00FC1209" w:rsidRPr="00FC1209">
        <w:rPr>
          <w:bCs/>
        </w:rPr>
        <w:t>.</w:t>
      </w:r>
      <w:r w:rsidRPr="00735446">
        <w:rPr>
          <w:bCs/>
        </w:rPr>
        <w:t>1</w:t>
      </w:r>
      <w:r w:rsidR="00FC1209" w:rsidRPr="00FC1209">
        <w:rPr>
          <w:bCs/>
        </w:rPr>
        <w:t>.</w:t>
      </w:r>
      <w:r w:rsidRPr="00735446">
        <w:rPr>
          <w:bCs/>
        </w:rPr>
        <w:t>2</w:t>
      </w:r>
      <w:r w:rsidR="00FC1209" w:rsidRPr="00FC1209">
        <w:rPr>
          <w:bCs/>
        </w:rPr>
        <w:t>.</w:t>
      </w:r>
      <w:r w:rsidRPr="00735446">
        <w:rPr>
          <w:bCs/>
        </w:rPr>
        <w:t>1</w:t>
      </w:r>
      <w:r w:rsidRPr="00735446">
        <w:rPr>
          <w:bCs/>
        </w:rPr>
        <w:tab/>
      </w:r>
      <w:r w:rsidRPr="00523E9F">
        <w:tab/>
        <w:t>À l</w:t>
      </w:r>
      <w:r w:rsidR="00F70B88">
        <w:t>’</w:t>
      </w:r>
      <w:r w:rsidRPr="00523E9F">
        <w:t>alinéa b), supprimer :</w:t>
      </w:r>
    </w:p>
    <w:p w14:paraId="5096C6C1" w14:textId="69911C41" w:rsidR="00520996" w:rsidRPr="00523E9F" w:rsidRDefault="00520996" w:rsidP="00191B2A">
      <w:pPr>
        <w:keepNext/>
        <w:spacing w:after="120"/>
        <w:ind w:left="1134" w:right="1133"/>
        <w:jc w:val="both"/>
      </w:pPr>
      <w:r w:rsidRPr="00523E9F">
        <w:t xml:space="preserve">« et, le cas échéant, le </w:t>
      </w:r>
      <w:r w:rsidR="00783974" w:rsidRPr="00783974">
        <w:t>“</w:t>
      </w:r>
      <w:r w:rsidRPr="00523E9F">
        <w:t>certificat d</w:t>
      </w:r>
      <w:r w:rsidR="00F70B88">
        <w:t>’</w:t>
      </w:r>
      <w:r w:rsidRPr="00523E9F">
        <w:t>empotage du conteneur ou du véhicule</w:t>
      </w:r>
      <w:r w:rsidR="00783974" w:rsidRPr="00783974">
        <w:t>”</w:t>
      </w:r>
      <w:r w:rsidRPr="00523E9F">
        <w:t> »</w:t>
      </w:r>
      <w:r w:rsidR="00FC1209" w:rsidRPr="00FC1209">
        <w:t>.</w:t>
      </w:r>
    </w:p>
    <w:p w14:paraId="4353CA22" w14:textId="1AF19283" w:rsidR="00520996" w:rsidRDefault="00520996" w:rsidP="00520996">
      <w:pPr>
        <w:spacing w:after="120"/>
        <w:ind w:left="1134" w:right="1133"/>
        <w:jc w:val="both"/>
        <w:rPr>
          <w:i/>
          <w:iCs/>
        </w:rPr>
      </w:pPr>
      <w:r w:rsidRPr="00523E9F">
        <w:rPr>
          <w:i/>
          <w:iCs/>
        </w:rPr>
        <w:t xml:space="preserve">(Document de référence : </w:t>
      </w:r>
      <w:r w:rsidRPr="00523E9F">
        <w:rPr>
          <w:i/>
          <w:iCs/>
          <w:lang w:val="fr-FR"/>
        </w:rPr>
        <w:t>ECE/TRANS/WP</w:t>
      </w:r>
      <w:r w:rsidR="00FC1209" w:rsidRPr="00FC1209">
        <w:rPr>
          <w:i/>
          <w:iCs/>
          <w:lang w:val="fr-FR"/>
        </w:rPr>
        <w:t>.</w:t>
      </w:r>
      <w:r w:rsidRPr="00523E9F">
        <w:rPr>
          <w:i/>
          <w:iCs/>
          <w:lang w:val="fr-FR"/>
        </w:rPr>
        <w:t>15/AC</w:t>
      </w:r>
      <w:r w:rsidR="00FC1209" w:rsidRPr="00FC1209">
        <w:rPr>
          <w:i/>
          <w:iCs/>
          <w:lang w:val="fr-FR"/>
        </w:rPr>
        <w:t>.</w:t>
      </w:r>
      <w:r w:rsidRPr="00523E9F">
        <w:rPr>
          <w:i/>
          <w:iCs/>
          <w:lang w:val="fr-FR"/>
        </w:rPr>
        <w:t>1/2021/22 tel qu</w:t>
      </w:r>
      <w:r w:rsidR="00F70B88">
        <w:rPr>
          <w:i/>
          <w:iCs/>
          <w:lang w:val="fr-FR"/>
        </w:rPr>
        <w:t>’</w:t>
      </w:r>
      <w:r w:rsidRPr="00523E9F">
        <w:rPr>
          <w:i/>
          <w:iCs/>
          <w:lang w:val="fr-FR"/>
        </w:rPr>
        <w:t xml:space="preserve">amendé par le </w:t>
      </w:r>
      <w:r w:rsidRPr="00523E9F">
        <w:rPr>
          <w:i/>
          <w:iCs/>
        </w:rPr>
        <w:t>document informel INF</w:t>
      </w:r>
      <w:r w:rsidR="00FC1209" w:rsidRPr="00FC1209">
        <w:rPr>
          <w:i/>
          <w:iCs/>
        </w:rPr>
        <w:t>.</w:t>
      </w:r>
      <w:r w:rsidRPr="00523E9F">
        <w:rPr>
          <w:i/>
          <w:iCs/>
        </w:rPr>
        <w:t>40)</w:t>
      </w:r>
    </w:p>
    <w:p w14:paraId="007E4309" w14:textId="77777777" w:rsidR="00520996" w:rsidRDefault="00520996" w:rsidP="00520996">
      <w:pPr>
        <w:suppressAutoHyphens w:val="0"/>
        <w:kinsoku/>
        <w:overflowPunct/>
        <w:autoSpaceDE/>
        <w:autoSpaceDN/>
        <w:adjustRightInd/>
        <w:snapToGrid/>
        <w:spacing w:after="200" w:line="276" w:lineRule="auto"/>
        <w:rPr>
          <w:i/>
          <w:iCs/>
        </w:rPr>
      </w:pPr>
      <w:r>
        <w:rPr>
          <w:i/>
          <w:iCs/>
        </w:rPr>
        <w:br w:type="page"/>
      </w:r>
    </w:p>
    <w:p w14:paraId="5551612E" w14:textId="77777777" w:rsidR="00520996" w:rsidRDefault="00520996" w:rsidP="00520996">
      <w:pPr>
        <w:pStyle w:val="HChG"/>
        <w:rPr>
          <w:lang w:val="en-US"/>
        </w:rPr>
      </w:pPr>
      <w:r w:rsidRPr="00726708">
        <w:rPr>
          <w:lang w:val="en-US"/>
        </w:rPr>
        <w:lastRenderedPageBreak/>
        <w:t>Annex</w:t>
      </w:r>
      <w:r>
        <w:rPr>
          <w:lang w:val="en-US"/>
        </w:rPr>
        <w:t>e</w:t>
      </w:r>
      <w:r w:rsidRPr="00726708">
        <w:rPr>
          <w:lang w:val="en-US"/>
        </w:rPr>
        <w:t xml:space="preserve"> III</w:t>
      </w:r>
    </w:p>
    <w:p w14:paraId="06DE6B18" w14:textId="3DCF659A" w:rsidR="00520996" w:rsidRPr="00726708" w:rsidRDefault="00520996" w:rsidP="00520996">
      <w:pPr>
        <w:pStyle w:val="SingleTxtG"/>
        <w:jc w:val="right"/>
        <w:rPr>
          <w:b/>
          <w:lang w:val="en-US"/>
        </w:rPr>
      </w:pPr>
      <w:r w:rsidRPr="00726708">
        <w:rPr>
          <w:rStyle w:val="normaltextrun"/>
          <w:color w:val="000000"/>
          <w:bdr w:val="none" w:sz="0" w:space="0" w:color="auto" w:frame="1"/>
          <w:lang w:val="en-US"/>
        </w:rPr>
        <w:t>[</w:t>
      </w:r>
      <w:r w:rsidRPr="00520996">
        <w:rPr>
          <w:rStyle w:val="normaltextrun"/>
          <w:i/>
          <w:iCs/>
          <w:color w:val="000000"/>
          <w:bdr w:val="none" w:sz="0" w:space="0" w:color="auto" w:frame="1"/>
          <w:lang w:val="en-US"/>
        </w:rPr>
        <w:t xml:space="preserve">Anglais </w:t>
      </w:r>
      <w:r>
        <w:rPr>
          <w:rStyle w:val="normaltextrun"/>
          <w:i/>
          <w:iCs/>
          <w:color w:val="000000"/>
          <w:bdr w:val="none" w:sz="0" w:space="0" w:color="auto" w:frame="1"/>
          <w:lang w:val="en-US"/>
        </w:rPr>
        <w:t>seulement</w:t>
      </w:r>
      <w:r w:rsidRPr="00726708">
        <w:rPr>
          <w:rStyle w:val="normaltextrun"/>
          <w:color w:val="000000"/>
          <w:bdr w:val="none" w:sz="0" w:space="0" w:color="auto" w:frame="1"/>
          <w:lang w:val="en-US"/>
        </w:rPr>
        <w:t>]</w:t>
      </w:r>
    </w:p>
    <w:p w14:paraId="2C8E47CA" w14:textId="77777777" w:rsidR="00835D26" w:rsidRPr="00835D26" w:rsidRDefault="00835D26" w:rsidP="00835D26">
      <w:pPr>
        <w:pStyle w:val="HChG"/>
        <w:rPr>
          <w:lang w:val="en-US"/>
        </w:rPr>
      </w:pPr>
      <w:r>
        <w:tab/>
      </w:r>
      <w:r>
        <w:tab/>
      </w:r>
      <w:r w:rsidRPr="00835D26">
        <w:rPr>
          <w:lang w:val="en-US"/>
        </w:rPr>
        <w:t>Terms of reference of the informal working group on the carriage of molten aluminium</w:t>
      </w:r>
    </w:p>
    <w:p w14:paraId="6964EA12" w14:textId="77777777" w:rsidR="00835D26" w:rsidRPr="00D27A4C" w:rsidRDefault="00835D26" w:rsidP="00835D26">
      <w:pPr>
        <w:spacing w:before="240"/>
        <w:jc w:val="both"/>
        <w:rPr>
          <w:u w:val="single"/>
          <w:lang w:val="en-US"/>
        </w:rPr>
      </w:pPr>
    </w:p>
    <w:p w14:paraId="5F749EA3" w14:textId="77777777" w:rsidR="00835D26" w:rsidRPr="00835D26" w:rsidRDefault="00835D26" w:rsidP="00835D26">
      <w:pPr>
        <w:pStyle w:val="SingleTxtG"/>
        <w:rPr>
          <w:lang w:val="en-US"/>
        </w:rPr>
      </w:pPr>
      <w:r w:rsidRPr="00835D26">
        <w:rPr>
          <w:lang w:val="en-US"/>
        </w:rPr>
        <w:t>Based on the proposal in official document ECE/TRANS/WP.15/AC.1/2021/1 and the discussion of the Joint Meeting at its spring 2021 session, an informal working group was established with the following terms of reference:</w:t>
      </w:r>
    </w:p>
    <w:p w14:paraId="17F6B4D9" w14:textId="77777777" w:rsidR="00835D26" w:rsidRPr="00835D26" w:rsidRDefault="00835D26" w:rsidP="00835D26">
      <w:pPr>
        <w:pStyle w:val="SingleTxtG"/>
        <w:numPr>
          <w:ilvl w:val="0"/>
          <w:numId w:val="18"/>
        </w:numPr>
        <w:kinsoku/>
        <w:overflowPunct/>
        <w:autoSpaceDE/>
        <w:autoSpaceDN/>
        <w:adjustRightInd/>
        <w:snapToGrid/>
        <w:rPr>
          <w:lang w:val="en-US"/>
        </w:rPr>
      </w:pPr>
      <w:r w:rsidRPr="00835D26">
        <w:rPr>
          <w:lang w:val="en-US"/>
        </w:rPr>
        <w:t>Develop appropriate RID/ADR provisions for the safe transport of molten aluminium of UN number 3257, in particular on:</w:t>
      </w:r>
    </w:p>
    <w:p w14:paraId="6E84B64E" w14:textId="77777777" w:rsidR="00835D26" w:rsidRPr="00B87AE2" w:rsidRDefault="00835D26" w:rsidP="00835D26">
      <w:pPr>
        <w:pStyle w:val="SingleTxtG"/>
        <w:numPr>
          <w:ilvl w:val="0"/>
          <w:numId w:val="17"/>
        </w:numPr>
        <w:kinsoku/>
        <w:overflowPunct/>
        <w:autoSpaceDE/>
        <w:autoSpaceDN/>
        <w:adjustRightInd/>
        <w:snapToGrid/>
        <w:rPr>
          <w:lang w:val="en-US"/>
        </w:rPr>
      </w:pPr>
      <w:r w:rsidRPr="00B87AE2">
        <w:rPr>
          <w:lang w:val="en-US"/>
        </w:rPr>
        <w:t>The design, construction, approval and inspection of vats, taking into account experience with accidents with molten aluminium and likely effects of heating cycles and the temperature on the material;</w:t>
      </w:r>
    </w:p>
    <w:p w14:paraId="7452C77E" w14:textId="77777777" w:rsidR="00835D26" w:rsidRPr="00B87AE2" w:rsidRDefault="00835D26" w:rsidP="00835D26">
      <w:pPr>
        <w:pStyle w:val="SingleTxtG"/>
        <w:numPr>
          <w:ilvl w:val="0"/>
          <w:numId w:val="17"/>
        </w:numPr>
        <w:kinsoku/>
        <w:overflowPunct/>
        <w:autoSpaceDE/>
        <w:autoSpaceDN/>
        <w:adjustRightInd/>
        <w:snapToGrid/>
        <w:rPr>
          <w:lang w:val="en-US"/>
        </w:rPr>
      </w:pPr>
      <w:r w:rsidRPr="00B87AE2">
        <w:rPr>
          <w:lang w:val="en-US"/>
        </w:rPr>
        <w:t>The approval and inspection of vats;</w:t>
      </w:r>
    </w:p>
    <w:p w14:paraId="26BC220A" w14:textId="77777777" w:rsidR="00835D26" w:rsidRPr="00B87AE2" w:rsidRDefault="00835D26" w:rsidP="00835D26">
      <w:pPr>
        <w:pStyle w:val="SingleTxtG"/>
        <w:numPr>
          <w:ilvl w:val="0"/>
          <w:numId w:val="17"/>
        </w:numPr>
        <w:kinsoku/>
        <w:overflowPunct/>
        <w:autoSpaceDE/>
        <w:autoSpaceDN/>
        <w:adjustRightInd/>
        <w:snapToGrid/>
        <w:rPr>
          <w:lang w:val="en-US"/>
        </w:rPr>
      </w:pPr>
      <w:r w:rsidRPr="00B87AE2">
        <w:rPr>
          <w:lang w:val="en-US"/>
        </w:rPr>
        <w:t>The marking of vats and documentation requirements;</w:t>
      </w:r>
    </w:p>
    <w:p w14:paraId="1A729774" w14:textId="77777777" w:rsidR="00835D26" w:rsidRDefault="00835D26" w:rsidP="00835D26">
      <w:pPr>
        <w:pStyle w:val="SingleTxtG"/>
        <w:numPr>
          <w:ilvl w:val="0"/>
          <w:numId w:val="17"/>
        </w:numPr>
        <w:kinsoku/>
        <w:overflowPunct/>
        <w:autoSpaceDE/>
        <w:autoSpaceDN/>
        <w:adjustRightInd/>
        <w:snapToGrid/>
      </w:pPr>
      <w:r>
        <w:t>Fire and explosion protection;</w:t>
      </w:r>
    </w:p>
    <w:p w14:paraId="3928EAFF" w14:textId="77777777" w:rsidR="00835D26" w:rsidRPr="00B87AE2" w:rsidRDefault="00835D26" w:rsidP="00835D26">
      <w:pPr>
        <w:pStyle w:val="SingleTxtG"/>
        <w:numPr>
          <w:ilvl w:val="0"/>
          <w:numId w:val="17"/>
        </w:numPr>
        <w:kinsoku/>
        <w:overflowPunct/>
        <w:autoSpaceDE/>
        <w:autoSpaceDN/>
        <w:adjustRightInd/>
        <w:snapToGrid/>
        <w:rPr>
          <w:lang w:val="en-US"/>
        </w:rPr>
      </w:pPr>
      <w:r w:rsidRPr="00B87AE2">
        <w:rPr>
          <w:lang w:val="en-US"/>
        </w:rPr>
        <w:t>The vehicles/wagons for the carriage of vats (e.g. stability, attachment of vats);</w:t>
      </w:r>
    </w:p>
    <w:p w14:paraId="71CC18C4" w14:textId="77777777" w:rsidR="00835D26" w:rsidRPr="00B87AE2" w:rsidRDefault="00835D26" w:rsidP="00835D26">
      <w:pPr>
        <w:pStyle w:val="SingleTxtG"/>
        <w:numPr>
          <w:ilvl w:val="0"/>
          <w:numId w:val="17"/>
        </w:numPr>
        <w:kinsoku/>
        <w:overflowPunct/>
        <w:autoSpaceDE/>
        <w:autoSpaceDN/>
        <w:adjustRightInd/>
        <w:snapToGrid/>
        <w:rPr>
          <w:lang w:val="en-US"/>
        </w:rPr>
      </w:pPr>
      <w:r w:rsidRPr="00B87AE2">
        <w:rPr>
          <w:lang w:val="en-US"/>
        </w:rPr>
        <w:t>Training requirements, like training of the driver for the vehicles (e.g. driving physics, specific handling behaviour).</w:t>
      </w:r>
    </w:p>
    <w:p w14:paraId="3DDF1921" w14:textId="77777777" w:rsidR="00835D26" w:rsidRPr="00B87AE2" w:rsidRDefault="00835D26" w:rsidP="00835D26">
      <w:pPr>
        <w:pStyle w:val="SingleTxtG"/>
        <w:numPr>
          <w:ilvl w:val="0"/>
          <w:numId w:val="18"/>
        </w:numPr>
        <w:kinsoku/>
        <w:overflowPunct/>
        <w:autoSpaceDE/>
        <w:autoSpaceDN/>
        <w:adjustRightInd/>
        <w:snapToGrid/>
        <w:rPr>
          <w:lang w:val="en-US"/>
        </w:rPr>
      </w:pPr>
      <w:r w:rsidRPr="00B87AE2">
        <w:rPr>
          <w:lang w:val="en-US"/>
        </w:rPr>
        <w:t>Review the impact on existing national provisions in particular on the assignment of VC 3.</w:t>
      </w:r>
    </w:p>
    <w:p w14:paraId="32D3DFA1" w14:textId="77777777" w:rsidR="00835D26" w:rsidRPr="00B87AE2" w:rsidRDefault="00835D26" w:rsidP="00835D26">
      <w:pPr>
        <w:pStyle w:val="SingleTxtG"/>
        <w:numPr>
          <w:ilvl w:val="0"/>
          <w:numId w:val="18"/>
        </w:numPr>
        <w:kinsoku/>
        <w:overflowPunct/>
        <w:autoSpaceDE/>
        <w:autoSpaceDN/>
        <w:adjustRightInd/>
        <w:snapToGrid/>
        <w:rPr>
          <w:lang w:val="en-US"/>
        </w:rPr>
      </w:pPr>
      <w:r w:rsidRPr="00B87AE2">
        <w:rPr>
          <w:lang w:val="en-US"/>
        </w:rPr>
        <w:t>Analyse the need for transitional periods.</w:t>
      </w:r>
    </w:p>
    <w:p w14:paraId="0536F8C3" w14:textId="77777777" w:rsidR="00835D26" w:rsidRPr="00B87AE2" w:rsidRDefault="00835D26" w:rsidP="00835D26">
      <w:pPr>
        <w:pStyle w:val="SingleTxtG"/>
        <w:numPr>
          <w:ilvl w:val="0"/>
          <w:numId w:val="18"/>
        </w:numPr>
        <w:kinsoku/>
        <w:overflowPunct/>
        <w:autoSpaceDE/>
        <w:autoSpaceDN/>
        <w:adjustRightInd/>
        <w:snapToGrid/>
        <w:rPr>
          <w:lang w:val="en-US"/>
        </w:rPr>
      </w:pPr>
      <w:r w:rsidRPr="00B87AE2">
        <w:rPr>
          <w:lang w:val="en-US"/>
        </w:rPr>
        <w:t>Analyse the possible impact of modifications of the vats at reception facilities.</w:t>
      </w:r>
    </w:p>
    <w:p w14:paraId="6682C21F" w14:textId="28F1F914" w:rsidR="00F9573C" w:rsidRDefault="00835D26" w:rsidP="00835D26">
      <w:pPr>
        <w:pStyle w:val="SingleTxtG"/>
      </w:pPr>
      <w:r w:rsidRPr="00D27A4C">
        <w:rPr>
          <w:rFonts w:cs="Arial"/>
          <w:i/>
          <w:iCs/>
          <w:szCs w:val="22"/>
        </w:rPr>
        <w:t>(Reference document: informal document INF</w:t>
      </w:r>
      <w:r w:rsidRPr="0037473B">
        <w:rPr>
          <w:rFonts w:cs="Arial"/>
          <w:i/>
          <w:iCs/>
          <w:szCs w:val="22"/>
        </w:rPr>
        <w:t>.</w:t>
      </w:r>
      <w:r w:rsidRPr="00D27A4C">
        <w:rPr>
          <w:rFonts w:cs="Arial"/>
          <w:i/>
          <w:iCs/>
          <w:szCs w:val="22"/>
        </w:rPr>
        <w:t>41)</w:t>
      </w:r>
    </w:p>
    <w:p w14:paraId="5CB27DA0" w14:textId="19325F88" w:rsidR="00520996" w:rsidRPr="00AE7FD5" w:rsidRDefault="00520996" w:rsidP="00AE7FD5">
      <w:pPr>
        <w:pStyle w:val="SingleTxtG"/>
        <w:spacing w:before="240" w:after="0"/>
        <w:jc w:val="center"/>
        <w:rPr>
          <w:u w:val="single"/>
        </w:rPr>
      </w:pPr>
      <w:r>
        <w:tab/>
      </w:r>
      <w:r w:rsidR="00AE7FD5">
        <w:rPr>
          <w:u w:val="single"/>
        </w:rPr>
        <w:tab/>
      </w:r>
      <w:r w:rsidR="00AE7FD5">
        <w:rPr>
          <w:u w:val="single"/>
        </w:rPr>
        <w:tab/>
      </w:r>
      <w:r w:rsidR="00AE7FD5">
        <w:rPr>
          <w:u w:val="single"/>
        </w:rPr>
        <w:tab/>
      </w:r>
    </w:p>
    <w:sectPr w:rsidR="00520996" w:rsidRPr="00AE7FD5" w:rsidSect="00520996">
      <w:headerReference w:type="even" r:id="rId24"/>
      <w:headerReference w:type="default" r:id="rId25"/>
      <w:footerReference w:type="even" r:id="rId26"/>
      <w:footerReference w:type="default" r:id="rId27"/>
      <w:footerReference w:type="first" r:id="rId2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BBB8F" w14:textId="77777777" w:rsidR="00FC1209" w:rsidRDefault="00FC1209" w:rsidP="00F95C08">
      <w:pPr>
        <w:spacing w:line="240" w:lineRule="auto"/>
      </w:pPr>
    </w:p>
  </w:endnote>
  <w:endnote w:type="continuationSeparator" w:id="0">
    <w:p w14:paraId="20AAE9FE" w14:textId="77777777" w:rsidR="00FC1209" w:rsidRPr="00AC3823" w:rsidRDefault="00FC1209" w:rsidP="00AC3823">
      <w:pPr>
        <w:pStyle w:val="Footer"/>
      </w:pPr>
    </w:p>
  </w:endnote>
  <w:endnote w:type="continuationNotice" w:id="1">
    <w:p w14:paraId="32017111" w14:textId="77777777" w:rsidR="00FC1209" w:rsidRDefault="00FC12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EB7C0" w14:textId="6599E194" w:rsidR="00FC1209" w:rsidRPr="00520996" w:rsidRDefault="00FC1209" w:rsidP="00520996">
    <w:pPr>
      <w:pStyle w:val="Footer"/>
      <w:tabs>
        <w:tab w:val="right" w:pos="9638"/>
      </w:tabs>
    </w:pPr>
    <w:r w:rsidRPr="00520996">
      <w:rPr>
        <w:b/>
        <w:sz w:val="18"/>
      </w:rPr>
      <w:fldChar w:fldCharType="begin"/>
    </w:r>
    <w:r w:rsidRPr="00520996">
      <w:rPr>
        <w:b/>
        <w:sz w:val="18"/>
      </w:rPr>
      <w:instrText xml:space="preserve"> PAGE  \* MERGEFORMAT </w:instrText>
    </w:r>
    <w:r w:rsidRPr="00520996">
      <w:rPr>
        <w:b/>
        <w:sz w:val="18"/>
      </w:rPr>
      <w:fldChar w:fldCharType="separate"/>
    </w:r>
    <w:r w:rsidRPr="00520996">
      <w:rPr>
        <w:b/>
        <w:noProof/>
        <w:sz w:val="18"/>
      </w:rPr>
      <w:t>2</w:t>
    </w:r>
    <w:r w:rsidRPr="00520996">
      <w:rPr>
        <w:b/>
        <w:sz w:val="18"/>
      </w:rPr>
      <w:fldChar w:fldCharType="end"/>
    </w:r>
    <w:r>
      <w:rPr>
        <w:b/>
        <w:sz w:val="18"/>
      </w:rPr>
      <w:tab/>
    </w:r>
    <w:r>
      <w:t>GE</w:t>
    </w:r>
    <w:r w:rsidRPr="00FC1209">
      <w:t>.</w:t>
    </w:r>
    <w:r>
      <w:t>21-05218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9D736" w14:textId="6D5157E3" w:rsidR="00FC1209" w:rsidRPr="00520996" w:rsidRDefault="00FC1209" w:rsidP="00520996">
    <w:pPr>
      <w:pStyle w:val="Footer"/>
      <w:tabs>
        <w:tab w:val="right" w:pos="9638"/>
      </w:tabs>
      <w:rPr>
        <w:b/>
        <w:sz w:val="18"/>
      </w:rPr>
    </w:pPr>
    <w:r>
      <w:t>GE</w:t>
    </w:r>
    <w:r w:rsidRPr="00FC1209">
      <w:t>.</w:t>
    </w:r>
    <w:r>
      <w:t>21-05218</w:t>
    </w:r>
    <w:r>
      <w:tab/>
    </w:r>
    <w:r w:rsidRPr="00520996">
      <w:rPr>
        <w:b/>
        <w:sz w:val="18"/>
      </w:rPr>
      <w:fldChar w:fldCharType="begin"/>
    </w:r>
    <w:r w:rsidRPr="00520996">
      <w:rPr>
        <w:b/>
        <w:sz w:val="18"/>
      </w:rPr>
      <w:instrText xml:space="preserve"> PAGE  \* MERGEFORMAT </w:instrText>
    </w:r>
    <w:r w:rsidRPr="00520996">
      <w:rPr>
        <w:b/>
        <w:sz w:val="18"/>
      </w:rPr>
      <w:fldChar w:fldCharType="separate"/>
    </w:r>
    <w:r w:rsidRPr="00520996">
      <w:rPr>
        <w:b/>
        <w:noProof/>
        <w:sz w:val="18"/>
      </w:rPr>
      <w:t>3</w:t>
    </w:r>
    <w:r w:rsidRPr="005209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70DDB" w14:textId="437C5687" w:rsidR="00FC1209" w:rsidRPr="00520996" w:rsidRDefault="00FC1209" w:rsidP="00520996">
    <w:pPr>
      <w:pStyle w:val="Footer"/>
      <w:spacing w:before="120"/>
      <w:rPr>
        <w:sz w:val="20"/>
      </w:rPr>
    </w:pPr>
    <w:r>
      <w:rPr>
        <w:sz w:val="20"/>
      </w:rPr>
      <w:t>GE</w:t>
    </w:r>
    <w:r w:rsidRPr="00FC1209">
      <w:rPr>
        <w:sz w:val="20"/>
      </w:rPr>
      <w:t>.</w:t>
    </w:r>
    <w:r>
      <w:rPr>
        <w:noProof/>
        <w:lang w:eastAsia="fr-CH"/>
      </w:rPr>
      <w:drawing>
        <wp:anchor distT="0" distB="0" distL="114300" distR="114300" simplePos="0" relativeHeight="251659264" behindDoc="0" locked="0" layoutInCell="1" allowOverlap="0" wp14:anchorId="7DC5FE07" wp14:editId="540E1B4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21-05218  (F)</w:t>
    </w:r>
    <w:r>
      <w:rPr>
        <w:noProof/>
        <w:sz w:val="20"/>
      </w:rPr>
      <w:drawing>
        <wp:anchor distT="0" distB="0" distL="114300" distR="114300" simplePos="0" relativeHeight="251660288" behindDoc="0" locked="0" layoutInCell="1" allowOverlap="1" wp14:anchorId="4495F301" wp14:editId="3AA0C03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080621    </w:t>
    </w:r>
    <w:r w:rsidR="00987D6D">
      <w:rPr>
        <w:sz w:val="20"/>
      </w:rPr>
      <w:t>090621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FDD79" w14:textId="77777777" w:rsidR="00FC1209" w:rsidRPr="00AC3823" w:rsidRDefault="00FC1209" w:rsidP="00AC3823">
      <w:pPr>
        <w:pStyle w:val="Footer"/>
        <w:tabs>
          <w:tab w:val="right" w:pos="2155"/>
        </w:tabs>
        <w:spacing w:after="80" w:line="240" w:lineRule="atLeast"/>
        <w:ind w:left="680"/>
        <w:rPr>
          <w:u w:val="single"/>
        </w:rPr>
      </w:pPr>
      <w:r>
        <w:rPr>
          <w:u w:val="single"/>
        </w:rPr>
        <w:tab/>
      </w:r>
    </w:p>
  </w:footnote>
  <w:footnote w:type="continuationSeparator" w:id="0">
    <w:p w14:paraId="36A7CD41" w14:textId="77777777" w:rsidR="00FC1209" w:rsidRPr="00AC3823" w:rsidRDefault="00FC1209" w:rsidP="00AC3823">
      <w:pPr>
        <w:pStyle w:val="Footer"/>
        <w:tabs>
          <w:tab w:val="right" w:pos="2155"/>
        </w:tabs>
        <w:spacing w:after="80" w:line="240" w:lineRule="atLeast"/>
        <w:ind w:left="680"/>
        <w:rPr>
          <w:u w:val="single"/>
        </w:rPr>
      </w:pPr>
      <w:r>
        <w:rPr>
          <w:u w:val="single"/>
        </w:rPr>
        <w:tab/>
      </w:r>
    </w:p>
  </w:footnote>
  <w:footnote w:type="continuationNotice" w:id="1">
    <w:p w14:paraId="082A0E1B" w14:textId="77777777" w:rsidR="00FC1209" w:rsidRPr="00AC3823" w:rsidRDefault="00FC1209">
      <w:pPr>
        <w:spacing w:line="240" w:lineRule="auto"/>
        <w:rPr>
          <w:sz w:val="2"/>
          <w:szCs w:val="2"/>
        </w:rPr>
      </w:pPr>
    </w:p>
  </w:footnote>
  <w:footnote w:id="2">
    <w:p w14:paraId="1B4F5F6A" w14:textId="3BCA0B01" w:rsidR="00FC1209" w:rsidRPr="004B56AD" w:rsidRDefault="00FC1209">
      <w:pPr>
        <w:pStyle w:val="FootnoteText"/>
      </w:pPr>
      <w:r>
        <w:rPr>
          <w:rStyle w:val="FootnoteReference"/>
        </w:rPr>
        <w:tab/>
      </w:r>
      <w:r w:rsidRPr="004B56AD">
        <w:rPr>
          <w:rStyle w:val="FootnoteReference"/>
          <w:sz w:val="20"/>
          <w:vertAlign w:val="baseline"/>
        </w:rPr>
        <w:t>*</w:t>
      </w:r>
      <w:r>
        <w:rPr>
          <w:rStyle w:val="FootnoteReference"/>
          <w:sz w:val="20"/>
          <w:vertAlign w:val="baseline"/>
        </w:rPr>
        <w:tab/>
      </w:r>
      <w:r w:rsidRPr="00363C42">
        <w:t>Diffusé par l’Organisation intergouvernementale pour les transports internationaux ferroviaires (OTIF), sous la cote OTIF/RID/RC/2020-A</w:t>
      </w:r>
      <w:r w:rsidRPr="00FC1209">
        <w:t>.</w:t>
      </w:r>
      <w:r w:rsidRPr="00363C42">
        <w:t xml:space="preserve"> Sauf indication contraire, les autres documents auxquels il est fait référence dans le présent rapport et qui portent une cote ECE/TRANS/WP</w:t>
      </w:r>
      <w:r w:rsidRPr="00FC1209">
        <w:t>.</w:t>
      </w:r>
      <w:r w:rsidRPr="00363C42">
        <w:t>15/AC</w:t>
      </w:r>
      <w:r w:rsidRPr="00FC1209">
        <w:t>.</w:t>
      </w:r>
      <w:r w:rsidRPr="00363C42">
        <w:t>1/ suivie de l’année et d’un numéro de série ont été diffusés par l’OTIF sous la cote OTIF/RID/RC/ suivie de l’année et du même numéro de série</w:t>
      </w:r>
      <w:r w:rsidRPr="00FC120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F4E90" w14:textId="4E628758" w:rsidR="00FC1209" w:rsidRPr="00520996" w:rsidRDefault="00B610FF">
    <w:pPr>
      <w:pStyle w:val="Header"/>
    </w:pPr>
    <w:r>
      <w:fldChar w:fldCharType="begin"/>
    </w:r>
    <w:r>
      <w:instrText xml:space="preserve"> TITLE  \* MERGEFORMAT </w:instrText>
    </w:r>
    <w:r>
      <w:fldChar w:fldCharType="separate"/>
    </w:r>
    <w:r w:rsidR="001262AF">
      <w:t>ECE/TRANS/WP.15/AC.1/160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BB842" w14:textId="56007836" w:rsidR="00FC1209" w:rsidRPr="00520996" w:rsidRDefault="00B610FF" w:rsidP="00520996">
    <w:pPr>
      <w:pStyle w:val="Header"/>
      <w:jc w:val="right"/>
    </w:pPr>
    <w:r>
      <w:fldChar w:fldCharType="begin"/>
    </w:r>
    <w:r>
      <w:instrText xml:space="preserve"> TITLE  \* MERGEFORMAT </w:instrText>
    </w:r>
    <w:r>
      <w:fldChar w:fldCharType="separate"/>
    </w:r>
    <w:r w:rsidR="001262AF">
      <w:t>ECE/TRANS/WP.15/AC.1/160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A63809"/>
    <w:multiLevelType w:val="hybridMultilevel"/>
    <w:tmpl w:val="E7820E22"/>
    <w:lvl w:ilvl="0" w:tplc="0407000F">
      <w:start w:val="1"/>
      <w:numFmt w:val="decimal"/>
      <w:lvlText w:val="%1."/>
      <w:lvlJc w:val="left"/>
      <w:pPr>
        <w:ind w:left="1494" w:hanging="360"/>
      </w:p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99E0DF1"/>
    <w:multiLevelType w:val="hybridMultilevel"/>
    <w:tmpl w:val="F00C870C"/>
    <w:lvl w:ilvl="0" w:tplc="04070017">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A58"/>
    <w:rsid w:val="00017F94"/>
    <w:rsid w:val="00023842"/>
    <w:rsid w:val="000334F9"/>
    <w:rsid w:val="00045FEB"/>
    <w:rsid w:val="0007796D"/>
    <w:rsid w:val="00091C56"/>
    <w:rsid w:val="0009510F"/>
    <w:rsid w:val="000B0D2D"/>
    <w:rsid w:val="000B7790"/>
    <w:rsid w:val="00111F2F"/>
    <w:rsid w:val="001262AF"/>
    <w:rsid w:val="0014365E"/>
    <w:rsid w:val="00143C66"/>
    <w:rsid w:val="00176178"/>
    <w:rsid w:val="00191B2A"/>
    <w:rsid w:val="001F525A"/>
    <w:rsid w:val="001F76D5"/>
    <w:rsid w:val="00201148"/>
    <w:rsid w:val="00214828"/>
    <w:rsid w:val="00223272"/>
    <w:rsid w:val="0024779E"/>
    <w:rsid w:val="00257168"/>
    <w:rsid w:val="002744B8"/>
    <w:rsid w:val="00282ACB"/>
    <w:rsid w:val="002832AC"/>
    <w:rsid w:val="002D7C93"/>
    <w:rsid w:val="00305801"/>
    <w:rsid w:val="00354479"/>
    <w:rsid w:val="003916DE"/>
    <w:rsid w:val="00394205"/>
    <w:rsid w:val="003F56B9"/>
    <w:rsid w:val="00421996"/>
    <w:rsid w:val="00441C3B"/>
    <w:rsid w:val="00446FE5"/>
    <w:rsid w:val="00452396"/>
    <w:rsid w:val="00477EB2"/>
    <w:rsid w:val="004837D8"/>
    <w:rsid w:val="004B56AD"/>
    <w:rsid w:val="004D14C0"/>
    <w:rsid w:val="004D2C7C"/>
    <w:rsid w:val="004E2EED"/>
    <w:rsid w:val="004E468C"/>
    <w:rsid w:val="00500CEC"/>
    <w:rsid w:val="00520996"/>
    <w:rsid w:val="00537CE2"/>
    <w:rsid w:val="005505B7"/>
    <w:rsid w:val="00560AC8"/>
    <w:rsid w:val="00573BE5"/>
    <w:rsid w:val="00586ED3"/>
    <w:rsid w:val="00596AA9"/>
    <w:rsid w:val="005D3FA5"/>
    <w:rsid w:val="00633E2F"/>
    <w:rsid w:val="006803BC"/>
    <w:rsid w:val="006E5DF8"/>
    <w:rsid w:val="0071601D"/>
    <w:rsid w:val="00740CE1"/>
    <w:rsid w:val="00783974"/>
    <w:rsid w:val="007A62E6"/>
    <w:rsid w:val="007F20FA"/>
    <w:rsid w:val="0080684C"/>
    <w:rsid w:val="00835D26"/>
    <w:rsid w:val="008446F5"/>
    <w:rsid w:val="00871C75"/>
    <w:rsid w:val="008776DC"/>
    <w:rsid w:val="008D5EF9"/>
    <w:rsid w:val="00911A58"/>
    <w:rsid w:val="00920263"/>
    <w:rsid w:val="009446C0"/>
    <w:rsid w:val="009705C8"/>
    <w:rsid w:val="00987D6D"/>
    <w:rsid w:val="009C1CF4"/>
    <w:rsid w:val="009D5720"/>
    <w:rsid w:val="009F6B74"/>
    <w:rsid w:val="00A3029F"/>
    <w:rsid w:val="00A30353"/>
    <w:rsid w:val="00AC1EF9"/>
    <w:rsid w:val="00AC3823"/>
    <w:rsid w:val="00AE323C"/>
    <w:rsid w:val="00AE7FD5"/>
    <w:rsid w:val="00AF0CB5"/>
    <w:rsid w:val="00B00181"/>
    <w:rsid w:val="00B00B0D"/>
    <w:rsid w:val="00B45F2E"/>
    <w:rsid w:val="00B528D4"/>
    <w:rsid w:val="00B610FF"/>
    <w:rsid w:val="00B654EC"/>
    <w:rsid w:val="00B765F7"/>
    <w:rsid w:val="00B77993"/>
    <w:rsid w:val="00B87AE2"/>
    <w:rsid w:val="00BA0CA9"/>
    <w:rsid w:val="00BD20D3"/>
    <w:rsid w:val="00C02897"/>
    <w:rsid w:val="00C629FC"/>
    <w:rsid w:val="00C77D44"/>
    <w:rsid w:val="00C97039"/>
    <w:rsid w:val="00CB5BC7"/>
    <w:rsid w:val="00D3439C"/>
    <w:rsid w:val="00D7622E"/>
    <w:rsid w:val="00DB1831"/>
    <w:rsid w:val="00DB542B"/>
    <w:rsid w:val="00DD3BFD"/>
    <w:rsid w:val="00DF6678"/>
    <w:rsid w:val="00E0299A"/>
    <w:rsid w:val="00E85C74"/>
    <w:rsid w:val="00EA6547"/>
    <w:rsid w:val="00EB3890"/>
    <w:rsid w:val="00EC0D37"/>
    <w:rsid w:val="00ED7237"/>
    <w:rsid w:val="00EF2E22"/>
    <w:rsid w:val="00F33282"/>
    <w:rsid w:val="00F35BAF"/>
    <w:rsid w:val="00F660DF"/>
    <w:rsid w:val="00F70B88"/>
    <w:rsid w:val="00F76255"/>
    <w:rsid w:val="00F80E49"/>
    <w:rsid w:val="00F94664"/>
    <w:rsid w:val="00F9573C"/>
    <w:rsid w:val="00F95C08"/>
    <w:rsid w:val="00FC120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5A661A"/>
  <w15:docId w15:val="{E5BE8946-8391-441F-B132-13B8E2EC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520996"/>
    <w:rPr>
      <w:rFonts w:ascii="Times New Roman" w:eastAsiaTheme="minorHAnsi" w:hAnsi="Times New Roman" w:cs="Times New Roman"/>
      <w:sz w:val="20"/>
      <w:szCs w:val="20"/>
      <w:lang w:eastAsia="en-US"/>
    </w:rPr>
  </w:style>
  <w:style w:type="character" w:customStyle="1" w:styleId="HChGChar">
    <w:name w:val="_ H _Ch_G Char"/>
    <w:link w:val="HChG"/>
    <w:qFormat/>
    <w:rsid w:val="00520996"/>
    <w:rPr>
      <w:rFonts w:ascii="Times New Roman" w:eastAsiaTheme="minorHAnsi" w:hAnsi="Times New Roman" w:cs="Times New Roman"/>
      <w:b/>
      <w:sz w:val="28"/>
      <w:szCs w:val="20"/>
      <w:lang w:eastAsia="en-US"/>
    </w:rPr>
  </w:style>
  <w:style w:type="character" w:customStyle="1" w:styleId="H1GChar">
    <w:name w:val="_ H_1_G Char"/>
    <w:link w:val="H1G"/>
    <w:locked/>
    <w:rsid w:val="00520996"/>
    <w:rPr>
      <w:rFonts w:ascii="Times New Roman" w:eastAsiaTheme="minorHAnsi" w:hAnsi="Times New Roman" w:cs="Times New Roman"/>
      <w:b/>
      <w:sz w:val="24"/>
      <w:szCs w:val="20"/>
      <w:lang w:eastAsia="en-US"/>
    </w:rPr>
  </w:style>
  <w:style w:type="character" w:customStyle="1" w:styleId="H23GChar">
    <w:name w:val="_ H_2/3_G Char"/>
    <w:link w:val="H23G"/>
    <w:locked/>
    <w:rsid w:val="00520996"/>
    <w:rPr>
      <w:rFonts w:ascii="Times New Roman" w:eastAsiaTheme="minorHAnsi" w:hAnsi="Times New Roman" w:cs="Times New Roman"/>
      <w:b/>
      <w:sz w:val="20"/>
      <w:szCs w:val="20"/>
      <w:lang w:eastAsia="en-US"/>
    </w:rPr>
  </w:style>
  <w:style w:type="character" w:styleId="CommentReference">
    <w:name w:val="annotation reference"/>
    <w:basedOn w:val="DefaultParagraphFont"/>
    <w:uiPriority w:val="99"/>
    <w:semiHidden/>
    <w:unhideWhenUsed/>
    <w:rsid w:val="00520996"/>
    <w:rPr>
      <w:sz w:val="16"/>
      <w:szCs w:val="16"/>
    </w:rPr>
  </w:style>
  <w:style w:type="paragraph" w:styleId="CommentText">
    <w:name w:val="annotation text"/>
    <w:basedOn w:val="Normal"/>
    <w:link w:val="CommentTextChar"/>
    <w:uiPriority w:val="99"/>
    <w:semiHidden/>
    <w:unhideWhenUsed/>
    <w:rsid w:val="00520996"/>
    <w:pPr>
      <w:spacing w:line="240" w:lineRule="auto"/>
    </w:pPr>
  </w:style>
  <w:style w:type="character" w:customStyle="1" w:styleId="CommentTextChar">
    <w:name w:val="Comment Text Char"/>
    <w:basedOn w:val="DefaultParagraphFont"/>
    <w:link w:val="CommentText"/>
    <w:uiPriority w:val="99"/>
    <w:semiHidden/>
    <w:rsid w:val="00520996"/>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20996"/>
    <w:rPr>
      <w:b/>
      <w:bCs/>
    </w:rPr>
  </w:style>
  <w:style w:type="character" w:customStyle="1" w:styleId="CommentSubjectChar">
    <w:name w:val="Comment Subject Char"/>
    <w:basedOn w:val="CommentTextChar"/>
    <w:link w:val="CommentSubject"/>
    <w:uiPriority w:val="99"/>
    <w:semiHidden/>
    <w:rsid w:val="00520996"/>
    <w:rPr>
      <w:rFonts w:ascii="Times New Roman" w:eastAsiaTheme="minorHAnsi" w:hAnsi="Times New Roman" w:cs="Times New Roman"/>
      <w:b/>
      <w:bCs/>
      <w:sz w:val="20"/>
      <w:szCs w:val="20"/>
      <w:lang w:eastAsia="en-US"/>
    </w:rPr>
  </w:style>
  <w:style w:type="character" w:customStyle="1" w:styleId="normaltextrun">
    <w:name w:val="normaltextrun"/>
    <w:basedOn w:val="DefaultParagraphFont"/>
    <w:rsid w:val="00520996"/>
  </w:style>
  <w:style w:type="character" w:customStyle="1" w:styleId="hgkelc">
    <w:name w:val="hgkelc"/>
    <w:basedOn w:val="DefaultParagraphFont"/>
    <w:rsid w:val="00F70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tm.org" TargetMode="External"/><Relationship Id="rId18" Type="http://schemas.openxmlformats.org/officeDocument/2006/relationships/hyperlink" Target="http://www.iso.or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otif.org" TargetMode="External"/><Relationship Id="rId7" Type="http://schemas.openxmlformats.org/officeDocument/2006/relationships/image" Target="media/image1.wmf"/><Relationship Id="rId12" Type="http://schemas.openxmlformats.org/officeDocument/2006/relationships/hyperlink" Target="http://www.iaea.org" TargetMode="External"/><Relationship Id="rId17" Type="http://schemas.openxmlformats.org/officeDocument/2006/relationships/hyperlink" Target="http://www.cen.eu" TargetMode="External"/><Relationship Id="rId25" Type="http://schemas.openxmlformats.org/officeDocument/2006/relationships/header" Target="header2.xm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eiga.eu" TargetMode="External"/><Relationship Id="rId20" Type="http://schemas.openxmlformats.org/officeDocument/2006/relationships/hyperlink" Target="http://www.imo.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transparency/regexpert/index.cfm?%20do=groupDetail.groupDetail&amp;groupID=3280" TargetMode="External"/><Relationship Id="rId24" Type="http://schemas.openxmlformats.org/officeDocument/2006/relationships/header" Target="header1.xm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www.cganet.com" TargetMode="External"/><Relationship Id="rId23" Type="http://schemas.openxmlformats.org/officeDocument/2006/relationships/hyperlink" Target="http://www.uic.org" TargetMode="External"/><Relationship Id="rId28" Type="http://schemas.openxmlformats.org/officeDocument/2006/relationships/footer" Target="footer3.xml"/><Relationship Id="rId10" Type="http://schemas.openxmlformats.org/officeDocument/2006/relationships/hyperlink" Target="mailto:steve.gillingham@dft.gov.uk" TargetMode="External"/><Relationship Id="rId19" Type="http://schemas.openxmlformats.org/officeDocument/2006/relationships/hyperlink" Target="http://www.icao.org"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aldo.celasco@iru.org" TargetMode="External"/><Relationship Id="rId14" Type="http://schemas.openxmlformats.org/officeDocument/2006/relationships/hyperlink" Target="http://www.unece.org" TargetMode="External"/><Relationship Id="rId22" Type="http://schemas.openxmlformats.org/officeDocument/2006/relationships/hyperlink" Target="http://www.en.osjd.org" TargetMode="External"/><Relationship Id="rId27" Type="http://schemas.openxmlformats.org/officeDocument/2006/relationships/footer" Target="footer2.xml"/><Relationship Id="rId30" Type="http://schemas.openxmlformats.org/officeDocument/2006/relationships/theme" Target="theme/theme1.xml"/><Relationship Id="rId8" Type="http://schemas.openxmlformats.org/officeDocument/2006/relationships/hyperlink" Target="https://www.federalregister.gov/documents/2020/11/25/2020-23712/hazardous-materials-adoption-of-miscellaneous-petitions-to-reduce-regulatory-burden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CC5153-3127-4FB5-B2CF-D6976D18127B}"/>
</file>

<file path=customXml/itemProps2.xml><?xml version="1.0" encoding="utf-8"?>
<ds:datastoreItem xmlns:ds="http://schemas.openxmlformats.org/officeDocument/2006/customXml" ds:itemID="{27F5E2E5-0512-486A-8FF8-9B2CD9B22624}"/>
</file>

<file path=customXml/itemProps3.xml><?xml version="1.0" encoding="utf-8"?>
<ds:datastoreItem xmlns:ds="http://schemas.openxmlformats.org/officeDocument/2006/customXml" ds:itemID="{C7670CB9-6F15-4A25-A9F8-B64BECE76BB4}"/>
</file>

<file path=docProps/app.xml><?xml version="1.0" encoding="utf-8"?>
<Properties xmlns="http://schemas.openxmlformats.org/officeDocument/2006/extended-properties" xmlns:vt="http://schemas.openxmlformats.org/officeDocument/2006/docPropsVTypes">
  <Template>Normal.dotm</Template>
  <TotalTime>1</TotalTime>
  <Pages>28</Pages>
  <Words>9782</Words>
  <Characters>55760</Characters>
  <Application>Microsoft Office Word</Application>
  <DocSecurity>0</DocSecurity>
  <Lines>464</Lines>
  <Paragraphs>130</Paragraphs>
  <ScaleCrop>false</ScaleCrop>
  <HeadingPairs>
    <vt:vector size="2" baseType="variant">
      <vt:variant>
        <vt:lpstr>Titre</vt:lpstr>
      </vt:variant>
      <vt:variant>
        <vt:i4>1</vt:i4>
      </vt:variant>
    </vt:vector>
  </HeadingPairs>
  <TitlesOfParts>
    <vt:vector size="1" baseType="lpstr">
      <vt:lpstr>ECE/TRANS/WP.15/AC.1/160</vt:lpstr>
    </vt:vector>
  </TitlesOfParts>
  <Company>DCM</Company>
  <LinksUpToDate>false</LinksUpToDate>
  <CharactersWithSpaces>65412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ECE/TRANS/WP.15/AC.1/160</dc:title>
  <dc:subject/>
  <dc:creator>Maud DARICHE</dc:creator>
  <cp:keywords/>
  <cp:lastModifiedBy>Christine Barrio-Champeau</cp:lastModifiedBy>
  <cp:revision>2</cp:revision>
  <cp:lastPrinted>2021-06-09T13:32:00Z</cp:lastPrinted>
  <dcterms:created xsi:type="dcterms:W3CDTF">2021-06-09T13:57:00Z</dcterms:created>
  <dcterms:modified xsi:type="dcterms:W3CDTF">2021-06-09T13:57:00Z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