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6E61C0" w14:paraId="29A4E8B9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31C259F" w14:textId="77777777" w:rsidR="00F35BAF" w:rsidRPr="00DB58B5" w:rsidRDefault="00F35BAF" w:rsidP="006E61C0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9DC171B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B6F588C" w14:textId="30EDB892" w:rsidR="00F35BAF" w:rsidRPr="006E61C0" w:rsidRDefault="006E61C0" w:rsidP="006E61C0">
            <w:pPr>
              <w:jc w:val="right"/>
              <w:rPr>
                <w:lang w:val="en-US"/>
              </w:rPr>
            </w:pPr>
            <w:r w:rsidRPr="006E61C0">
              <w:rPr>
                <w:sz w:val="40"/>
                <w:lang w:val="en-US"/>
              </w:rPr>
              <w:t>ECE</w:t>
            </w:r>
            <w:r w:rsidRPr="006E61C0">
              <w:rPr>
                <w:lang w:val="en-US"/>
              </w:rPr>
              <w:t>/TRANS/WP.15/AC.1/160/Add.1</w:t>
            </w:r>
          </w:p>
        </w:tc>
      </w:tr>
      <w:tr w:rsidR="00F35BAF" w:rsidRPr="00DB58B5" w14:paraId="5862660A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680D068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568EE4F" wp14:editId="058B2FAF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6C7FF66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F438193" w14:textId="77777777" w:rsidR="00F35BAF" w:rsidRDefault="006E61C0" w:rsidP="00C97039">
            <w:pPr>
              <w:spacing w:before="240"/>
            </w:pPr>
            <w:r>
              <w:t>Distr. générale</w:t>
            </w:r>
          </w:p>
          <w:p w14:paraId="5AAA63C8" w14:textId="77777777" w:rsidR="006E61C0" w:rsidRDefault="006E61C0" w:rsidP="006E61C0">
            <w:pPr>
              <w:spacing w:line="240" w:lineRule="exact"/>
            </w:pPr>
            <w:r>
              <w:t>20 avril 2021</w:t>
            </w:r>
          </w:p>
          <w:p w14:paraId="785D423B" w14:textId="77777777" w:rsidR="006E61C0" w:rsidRDefault="006E61C0" w:rsidP="006E61C0">
            <w:pPr>
              <w:spacing w:line="240" w:lineRule="exact"/>
            </w:pPr>
            <w:r>
              <w:t>Français</w:t>
            </w:r>
          </w:p>
          <w:p w14:paraId="419DA8D2" w14:textId="47CBF927" w:rsidR="006E61C0" w:rsidRPr="00DB58B5" w:rsidRDefault="006E61C0" w:rsidP="006E61C0">
            <w:pPr>
              <w:spacing w:line="240" w:lineRule="exact"/>
            </w:pPr>
            <w:r>
              <w:t>Original : anglais</w:t>
            </w:r>
          </w:p>
        </w:tc>
      </w:tr>
    </w:tbl>
    <w:p w14:paraId="51F18119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38F27266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7B198851" w14:textId="62891F7F" w:rsidR="006E61C0" w:rsidRPr="00606333" w:rsidRDefault="006E61C0" w:rsidP="009D75C7">
      <w:pPr>
        <w:spacing w:before="120"/>
        <w:rPr>
          <w:b/>
          <w:sz w:val="24"/>
          <w:szCs w:val="24"/>
          <w:lang w:val="fr-FR"/>
        </w:rPr>
      </w:pPr>
      <w:r w:rsidRPr="00606333">
        <w:rPr>
          <w:b/>
          <w:sz w:val="24"/>
          <w:szCs w:val="24"/>
          <w:lang w:val="fr-FR"/>
        </w:rPr>
        <w:t>Groupe de travail des transports de</w:t>
      </w:r>
      <w:r w:rsidR="009D75C7">
        <w:rPr>
          <w:b/>
          <w:sz w:val="24"/>
          <w:szCs w:val="24"/>
          <w:lang w:val="fr-FR"/>
        </w:rPr>
        <w:t xml:space="preserve"> </w:t>
      </w:r>
      <w:r w:rsidRPr="00606333">
        <w:rPr>
          <w:b/>
          <w:sz w:val="24"/>
          <w:szCs w:val="24"/>
          <w:lang w:val="fr-FR"/>
        </w:rPr>
        <w:t>marchandises dangereuses</w:t>
      </w:r>
    </w:p>
    <w:p w14:paraId="1D8F8184" w14:textId="115ADED7" w:rsidR="006E61C0" w:rsidRPr="009D75C7" w:rsidRDefault="006E61C0" w:rsidP="009D75C7">
      <w:pPr>
        <w:spacing w:before="120"/>
        <w:rPr>
          <w:b/>
          <w:lang w:val="fr-FR"/>
        </w:rPr>
      </w:pPr>
      <w:r w:rsidRPr="009D75C7">
        <w:rPr>
          <w:b/>
          <w:lang w:val="fr-FR"/>
        </w:rPr>
        <w:t xml:space="preserve">Réunion commune de la Commission d’experts du RID </w:t>
      </w:r>
      <w:r w:rsidR="009D75C7">
        <w:rPr>
          <w:b/>
          <w:lang w:val="fr-FR"/>
        </w:rPr>
        <w:br/>
      </w:r>
      <w:r w:rsidRPr="009D75C7">
        <w:rPr>
          <w:b/>
          <w:lang w:val="fr-FR"/>
        </w:rPr>
        <w:t>et du Groupe de travail des transports de marchandises dangereuses</w:t>
      </w:r>
    </w:p>
    <w:p w14:paraId="2568629F" w14:textId="6FB942F3" w:rsidR="006E61C0" w:rsidRPr="00606333" w:rsidRDefault="006E61C0" w:rsidP="009D75C7">
      <w:pPr>
        <w:pStyle w:val="HChG"/>
        <w:rPr>
          <w:lang w:val="fr-FR"/>
        </w:rPr>
      </w:pPr>
      <w:r w:rsidRPr="00606333">
        <w:rPr>
          <w:lang w:val="fr-FR"/>
        </w:rPr>
        <w:tab/>
      </w:r>
      <w:r w:rsidRPr="00606333">
        <w:rPr>
          <w:lang w:val="fr-FR"/>
        </w:rPr>
        <w:tab/>
        <w:t xml:space="preserve">Rapport de la Réunion commune de la Commission </w:t>
      </w:r>
      <w:r w:rsidR="009D75C7">
        <w:rPr>
          <w:lang w:val="fr-FR"/>
        </w:rPr>
        <w:br/>
      </w:r>
      <w:r w:rsidRPr="00606333">
        <w:rPr>
          <w:lang w:val="fr-FR"/>
        </w:rPr>
        <w:t>d</w:t>
      </w:r>
      <w:r>
        <w:rPr>
          <w:lang w:val="fr-FR"/>
        </w:rPr>
        <w:t>’</w:t>
      </w:r>
      <w:r w:rsidRPr="00606333">
        <w:rPr>
          <w:lang w:val="fr-FR"/>
        </w:rPr>
        <w:t xml:space="preserve">experts du RID et du Groupe de travail </w:t>
      </w:r>
      <w:r w:rsidR="009D75C7">
        <w:rPr>
          <w:lang w:val="fr-FR"/>
        </w:rPr>
        <w:br/>
      </w:r>
      <w:r w:rsidRPr="00606333">
        <w:rPr>
          <w:lang w:val="fr-FR"/>
        </w:rPr>
        <w:t>des transports de</w:t>
      </w:r>
      <w:r w:rsidR="009D75C7">
        <w:rPr>
          <w:lang w:val="fr-FR"/>
        </w:rPr>
        <w:t xml:space="preserve"> </w:t>
      </w:r>
      <w:r w:rsidRPr="00606333">
        <w:rPr>
          <w:lang w:val="fr-FR"/>
        </w:rPr>
        <w:t xml:space="preserve">marchandises dangereuses </w:t>
      </w:r>
      <w:r w:rsidR="009D75C7">
        <w:rPr>
          <w:lang w:val="fr-FR"/>
        </w:rPr>
        <w:br/>
      </w:r>
      <w:r w:rsidRPr="00606333">
        <w:rPr>
          <w:lang w:val="fr-FR"/>
        </w:rPr>
        <w:t xml:space="preserve">sur </w:t>
      </w:r>
      <w:r>
        <w:rPr>
          <w:lang w:val="fr-FR"/>
        </w:rPr>
        <w:t xml:space="preserve">les travaux de </w:t>
      </w:r>
      <w:r w:rsidRPr="00606333">
        <w:rPr>
          <w:lang w:val="fr-FR"/>
        </w:rPr>
        <w:t>sa session de</w:t>
      </w:r>
      <w:r w:rsidR="009D75C7">
        <w:rPr>
          <w:lang w:val="fr-FR"/>
        </w:rPr>
        <w:t xml:space="preserve"> </w:t>
      </w:r>
      <w:r w:rsidRPr="00606333">
        <w:rPr>
          <w:lang w:val="fr-FR"/>
        </w:rPr>
        <w:t>printemps 2021</w:t>
      </w:r>
      <w:r w:rsidRPr="009D75C7">
        <w:rPr>
          <w:rStyle w:val="FootnoteReference"/>
          <w:b w:val="0"/>
          <w:bCs/>
          <w:position w:val="4"/>
          <w:sz w:val="20"/>
          <w:szCs w:val="22"/>
          <w:vertAlign w:val="baseline"/>
          <w:lang w:val="fr-FR"/>
        </w:rPr>
        <w:footnoteReference w:customMarkFollows="1" w:id="2"/>
        <w:t>*</w:t>
      </w:r>
    </w:p>
    <w:p w14:paraId="309C340C" w14:textId="77777777" w:rsidR="006E61C0" w:rsidRPr="00606333" w:rsidRDefault="006E61C0" w:rsidP="009D75C7">
      <w:pPr>
        <w:pStyle w:val="H56G"/>
        <w:rPr>
          <w:lang w:val="fr-FR"/>
        </w:rPr>
      </w:pPr>
      <w:r w:rsidRPr="00606333">
        <w:rPr>
          <w:lang w:val="fr-FR"/>
        </w:rPr>
        <w:tab/>
      </w:r>
      <w:r w:rsidRPr="00606333">
        <w:rPr>
          <w:lang w:val="fr-FR"/>
        </w:rPr>
        <w:tab/>
        <w:t>tenue à Berne, du 14 au 19 mars 2021</w:t>
      </w:r>
    </w:p>
    <w:p w14:paraId="7385725E" w14:textId="77777777" w:rsidR="006E61C0" w:rsidRPr="00606333" w:rsidRDefault="006E61C0" w:rsidP="009D75C7">
      <w:pPr>
        <w:pStyle w:val="H23G"/>
        <w:rPr>
          <w:lang w:val="fr-FR"/>
        </w:rPr>
      </w:pPr>
      <w:r w:rsidRPr="00606333">
        <w:rPr>
          <w:lang w:val="fr-FR"/>
        </w:rPr>
        <w:tab/>
      </w:r>
      <w:r w:rsidRPr="00606333">
        <w:rPr>
          <w:lang w:val="fr-FR"/>
        </w:rPr>
        <w:tab/>
        <w:t>Add</w:t>
      </w:r>
      <w:r>
        <w:rPr>
          <w:lang w:val="fr-FR"/>
        </w:rPr>
        <w:t>itif</w:t>
      </w:r>
      <w:r w:rsidRPr="009D75C7">
        <w:rPr>
          <w:rStyle w:val="FootnoteReference"/>
          <w:b w:val="0"/>
          <w:bCs/>
          <w:sz w:val="20"/>
          <w:szCs w:val="22"/>
          <w:vertAlign w:val="baseline"/>
          <w:lang w:val="fr-FR"/>
        </w:rPr>
        <w:footnoteReference w:customMarkFollows="1" w:id="3"/>
        <w:t>**</w:t>
      </w:r>
    </w:p>
    <w:p w14:paraId="61818153" w14:textId="77777777" w:rsidR="006E61C0" w:rsidRPr="00606333" w:rsidRDefault="006E61C0" w:rsidP="009D75C7">
      <w:pPr>
        <w:pStyle w:val="H1G"/>
        <w:rPr>
          <w:lang w:val="fr-FR"/>
        </w:rPr>
      </w:pPr>
      <w:r w:rsidRPr="00606333">
        <w:rPr>
          <w:lang w:val="fr-FR"/>
        </w:rPr>
        <w:tab/>
      </w:r>
      <w:r w:rsidRPr="00606333">
        <w:rPr>
          <w:lang w:val="fr-FR"/>
        </w:rPr>
        <w:tab/>
        <w:t>Annexe I</w:t>
      </w:r>
    </w:p>
    <w:p w14:paraId="404B2CB0" w14:textId="77777777" w:rsidR="006E61C0" w:rsidRPr="00606333" w:rsidRDefault="006E61C0" w:rsidP="009D75C7">
      <w:pPr>
        <w:pStyle w:val="H1G"/>
        <w:rPr>
          <w:lang w:val="fr-FR"/>
        </w:rPr>
      </w:pPr>
      <w:r w:rsidRPr="00606333">
        <w:rPr>
          <w:lang w:val="fr-FR"/>
        </w:rPr>
        <w:tab/>
      </w:r>
      <w:r w:rsidRPr="00606333">
        <w:rPr>
          <w:lang w:val="fr-FR"/>
        </w:rPr>
        <w:tab/>
        <w:t xml:space="preserve">Rapport du </w:t>
      </w:r>
      <w:r>
        <w:rPr>
          <w:lang w:val="fr-FR"/>
        </w:rPr>
        <w:t>G</w:t>
      </w:r>
      <w:r w:rsidRPr="00606333">
        <w:rPr>
          <w:lang w:val="fr-FR"/>
        </w:rPr>
        <w:t xml:space="preserve">roupe de travail </w:t>
      </w:r>
      <w:r>
        <w:rPr>
          <w:lang w:val="fr-FR"/>
        </w:rPr>
        <w:t>d</w:t>
      </w:r>
      <w:r w:rsidRPr="00606333">
        <w:rPr>
          <w:lang w:val="fr-FR"/>
        </w:rPr>
        <w:t>es citernes</w:t>
      </w:r>
    </w:p>
    <w:p w14:paraId="1EFE261E" w14:textId="32176FC8" w:rsidR="006E61C0" w:rsidRPr="00606333" w:rsidRDefault="006E61C0" w:rsidP="00CB30E1">
      <w:pPr>
        <w:pStyle w:val="SingleTxtG"/>
        <w:rPr>
          <w:lang w:val="fr-FR"/>
        </w:rPr>
      </w:pPr>
      <w:r>
        <w:rPr>
          <w:lang w:val="fr-FR"/>
        </w:rPr>
        <w:t>1.</w:t>
      </w:r>
      <w:r w:rsidRPr="00606333">
        <w:rPr>
          <w:lang w:val="fr-FR"/>
        </w:rPr>
        <w:tab/>
        <w:t xml:space="preserve">Le Groupe de travail </w:t>
      </w:r>
      <w:r>
        <w:rPr>
          <w:lang w:val="fr-FR"/>
        </w:rPr>
        <w:t>d</w:t>
      </w:r>
      <w:r w:rsidRPr="00606333">
        <w:rPr>
          <w:lang w:val="fr-FR"/>
        </w:rPr>
        <w:t>es citernes s</w:t>
      </w:r>
      <w:r>
        <w:rPr>
          <w:lang w:val="fr-FR"/>
        </w:rPr>
        <w:t>’</w:t>
      </w:r>
      <w:r w:rsidRPr="00606333">
        <w:rPr>
          <w:lang w:val="fr-FR"/>
        </w:rPr>
        <w:t>est réuni du 15 au 17</w:t>
      </w:r>
      <w:r w:rsidR="00CB30E1">
        <w:rPr>
          <w:lang w:val="fr-FR"/>
        </w:rPr>
        <w:t> </w:t>
      </w:r>
      <w:r w:rsidRPr="00606333">
        <w:rPr>
          <w:lang w:val="fr-FR"/>
        </w:rPr>
        <w:t xml:space="preserve">mars 2021 </w:t>
      </w:r>
      <w:r>
        <w:rPr>
          <w:lang w:val="fr-FR"/>
        </w:rPr>
        <w:t xml:space="preserve">sous forme </w:t>
      </w:r>
      <w:r w:rsidRPr="00606333">
        <w:rPr>
          <w:lang w:val="fr-FR"/>
        </w:rPr>
        <w:t>virtuelle sur mandat de la Réunion commune RID/ADR/ADN, sous la présidence de M.</w:t>
      </w:r>
      <w:r w:rsidR="00CB30E1">
        <w:rPr>
          <w:lang w:val="fr-FR"/>
        </w:rPr>
        <w:t> </w:t>
      </w:r>
      <w:r w:rsidRPr="00606333">
        <w:rPr>
          <w:lang w:val="fr-FR"/>
        </w:rPr>
        <w:t>Arne</w:t>
      </w:r>
      <w:r w:rsidR="00CB30E1">
        <w:rPr>
          <w:lang w:val="fr-FR"/>
        </w:rPr>
        <w:t> </w:t>
      </w:r>
      <w:r w:rsidRPr="00606333">
        <w:rPr>
          <w:lang w:val="fr-FR"/>
        </w:rPr>
        <w:t>Bale (Royaume-Uni), M.</w:t>
      </w:r>
      <w:r w:rsidR="00CB30E1">
        <w:rPr>
          <w:lang w:val="fr-FR"/>
        </w:rPr>
        <w:t> </w:t>
      </w:r>
      <w:r w:rsidRPr="00606333">
        <w:rPr>
          <w:lang w:val="fr-FR"/>
        </w:rPr>
        <w:t xml:space="preserve">Kees de Putter (Pays-Bas) </w:t>
      </w:r>
      <w:r>
        <w:rPr>
          <w:lang w:val="fr-FR"/>
        </w:rPr>
        <w:t>officiant en tant que</w:t>
      </w:r>
      <w:r w:rsidRPr="00606333">
        <w:rPr>
          <w:lang w:val="fr-FR"/>
        </w:rPr>
        <w:t xml:space="preserve"> secrétaire. Les documents pertinents ont été soumis à la session plénière et </w:t>
      </w:r>
      <w:r>
        <w:rPr>
          <w:lang w:val="fr-FR"/>
        </w:rPr>
        <w:t>communiqués</w:t>
      </w:r>
      <w:r w:rsidRPr="00606333">
        <w:rPr>
          <w:lang w:val="fr-FR"/>
        </w:rPr>
        <w:t xml:space="preserve"> au </w:t>
      </w:r>
      <w:r>
        <w:rPr>
          <w:lang w:val="fr-FR"/>
        </w:rPr>
        <w:t>G</w:t>
      </w:r>
      <w:r w:rsidRPr="00606333">
        <w:rPr>
          <w:lang w:val="fr-FR"/>
        </w:rPr>
        <w:t>roupe de travail pour examen.</w:t>
      </w:r>
    </w:p>
    <w:p w14:paraId="17091FFF" w14:textId="200C2EF7" w:rsidR="006E61C0" w:rsidRPr="00606333" w:rsidRDefault="006E61C0" w:rsidP="00CB30E1">
      <w:pPr>
        <w:pStyle w:val="SingleTxtG"/>
        <w:rPr>
          <w:lang w:val="fr-FR"/>
        </w:rPr>
      </w:pPr>
      <w:r>
        <w:rPr>
          <w:lang w:val="fr-FR"/>
        </w:rPr>
        <w:t>2.</w:t>
      </w:r>
      <w:r w:rsidRPr="00606333">
        <w:rPr>
          <w:lang w:val="fr-FR"/>
        </w:rPr>
        <w:tab/>
      </w:r>
      <w:r>
        <w:rPr>
          <w:lang w:val="fr-FR"/>
        </w:rPr>
        <w:t>En ce qui concernait</w:t>
      </w:r>
      <w:r w:rsidRPr="00606333">
        <w:rPr>
          <w:lang w:val="fr-FR"/>
        </w:rPr>
        <w:t xml:space="preserve"> le </w:t>
      </w:r>
      <w:r>
        <w:rPr>
          <w:lang w:val="fr-FR"/>
        </w:rPr>
        <w:t>Groupe de travail des citernes</w:t>
      </w:r>
      <w:r w:rsidRPr="00606333">
        <w:rPr>
          <w:lang w:val="fr-FR"/>
        </w:rPr>
        <w:t>, 43</w:t>
      </w:r>
      <w:r w:rsidR="00CB30E1">
        <w:rPr>
          <w:lang w:val="fr-FR"/>
        </w:rPr>
        <w:t> </w:t>
      </w:r>
      <w:r w:rsidRPr="00606333">
        <w:rPr>
          <w:lang w:val="fr-FR"/>
        </w:rPr>
        <w:t>experts de 15</w:t>
      </w:r>
      <w:r w:rsidR="00CB30E1">
        <w:rPr>
          <w:lang w:val="fr-FR"/>
        </w:rPr>
        <w:t> </w:t>
      </w:r>
      <w:r w:rsidRPr="00606333">
        <w:rPr>
          <w:lang w:val="fr-FR"/>
        </w:rPr>
        <w:t>pays et 8</w:t>
      </w:r>
      <w:r>
        <w:rPr>
          <w:lang w:val="fr-FR"/>
        </w:rPr>
        <w:t> </w:t>
      </w:r>
      <w:r w:rsidRPr="00606333">
        <w:rPr>
          <w:lang w:val="fr-FR"/>
        </w:rPr>
        <w:t>organisations non gouvernementales s</w:t>
      </w:r>
      <w:r>
        <w:rPr>
          <w:lang w:val="fr-FR"/>
        </w:rPr>
        <w:t>’étaie</w:t>
      </w:r>
      <w:r w:rsidRPr="00606333">
        <w:rPr>
          <w:lang w:val="fr-FR"/>
        </w:rPr>
        <w:t>n</w:t>
      </w:r>
      <w:r>
        <w:rPr>
          <w:lang w:val="fr-FR"/>
        </w:rPr>
        <w:t>t</w:t>
      </w:r>
      <w:r w:rsidRPr="00606333">
        <w:rPr>
          <w:lang w:val="fr-FR"/>
        </w:rPr>
        <w:t xml:space="preserve"> inscrits pour participer. Ils ont traité les documents officiels et informels suivants</w:t>
      </w:r>
      <w:r>
        <w:rPr>
          <w:lang w:val="fr-FR"/>
        </w:rPr>
        <w:t> :</w:t>
      </w:r>
    </w:p>
    <w:p w14:paraId="541D3DF8" w14:textId="3AA883EB" w:rsidR="006E61C0" w:rsidRPr="00606333" w:rsidRDefault="006E61C0" w:rsidP="00CB30E1">
      <w:pPr>
        <w:pStyle w:val="SingleTxtG"/>
        <w:spacing w:after="0"/>
        <w:rPr>
          <w:lang w:val="fr-FR"/>
        </w:rPr>
      </w:pPr>
      <w:r w:rsidRPr="00606333">
        <w:rPr>
          <w:i/>
          <w:lang w:val="fr-FR"/>
        </w:rPr>
        <w:t>Document</w:t>
      </w:r>
      <w:r>
        <w:rPr>
          <w:i/>
          <w:lang w:val="fr-FR"/>
        </w:rPr>
        <w:t>(</w:t>
      </w:r>
      <w:r w:rsidRPr="00606333">
        <w:rPr>
          <w:i/>
          <w:lang w:val="fr-FR"/>
        </w:rPr>
        <w:t>s</w:t>
      </w:r>
      <w:r>
        <w:rPr>
          <w:i/>
          <w:lang w:val="fr-FR"/>
        </w:rPr>
        <w:t>) </w:t>
      </w:r>
      <w:r w:rsidRPr="00CB30E1">
        <w:rPr>
          <w:iCs/>
          <w:lang w:val="fr-FR"/>
        </w:rPr>
        <w:t>:</w:t>
      </w:r>
      <w:r w:rsidRPr="00606333">
        <w:rPr>
          <w:lang w:val="fr-FR"/>
        </w:rPr>
        <w:tab/>
        <w:t>ECE/TRANS/WP.15/AC.1/2021/3 (UIP)</w:t>
      </w:r>
    </w:p>
    <w:p w14:paraId="00DF461D" w14:textId="77777777" w:rsidR="006E61C0" w:rsidRPr="00606333" w:rsidRDefault="006E61C0" w:rsidP="00CB30E1">
      <w:pPr>
        <w:pStyle w:val="SingleTxtG"/>
        <w:spacing w:after="0"/>
        <w:ind w:left="2835"/>
        <w:rPr>
          <w:lang w:val="fr-FR"/>
        </w:rPr>
      </w:pPr>
      <w:r w:rsidRPr="00606333">
        <w:rPr>
          <w:lang w:val="fr-FR"/>
        </w:rPr>
        <w:tab/>
        <w:t>ECE/TRANS/WP.15/AC.1/2021/5 (France)</w:t>
      </w:r>
    </w:p>
    <w:p w14:paraId="1091730C" w14:textId="77777777" w:rsidR="006E61C0" w:rsidRPr="00606333" w:rsidRDefault="006E61C0" w:rsidP="00CB30E1">
      <w:pPr>
        <w:pStyle w:val="SingleTxtG"/>
        <w:spacing w:after="0"/>
        <w:ind w:left="2835"/>
        <w:rPr>
          <w:lang w:val="fr-FR"/>
        </w:rPr>
      </w:pPr>
      <w:r w:rsidRPr="00606333">
        <w:rPr>
          <w:lang w:val="fr-FR"/>
        </w:rPr>
        <w:tab/>
        <w:t>ECE/TRANS/WP.15/AC.1/2021/6 (Allemagne)</w:t>
      </w:r>
    </w:p>
    <w:p w14:paraId="36F742CB" w14:textId="77777777" w:rsidR="006E61C0" w:rsidRPr="00606333" w:rsidRDefault="006E61C0" w:rsidP="00CB30E1">
      <w:pPr>
        <w:pStyle w:val="SingleTxtG"/>
        <w:spacing w:after="0"/>
        <w:ind w:left="2835"/>
        <w:rPr>
          <w:lang w:val="fr-FR"/>
        </w:rPr>
      </w:pPr>
      <w:r w:rsidRPr="00606333">
        <w:rPr>
          <w:lang w:val="fr-FR"/>
        </w:rPr>
        <w:tab/>
        <w:t>ECE/TRANS/WP.15/AC.1/2021/8 (Belgique)</w:t>
      </w:r>
    </w:p>
    <w:p w14:paraId="46CA23E6" w14:textId="77777777" w:rsidR="006E61C0" w:rsidRPr="00606333" w:rsidRDefault="006E61C0" w:rsidP="00CB30E1">
      <w:pPr>
        <w:pStyle w:val="SingleTxtG"/>
        <w:spacing w:after="0"/>
        <w:ind w:left="2835"/>
        <w:rPr>
          <w:lang w:val="fr-FR"/>
        </w:rPr>
      </w:pPr>
      <w:r w:rsidRPr="00606333">
        <w:rPr>
          <w:lang w:val="fr-FR"/>
        </w:rPr>
        <w:tab/>
        <w:t>ECE/TRANS/WP.15/AC.1/2021/10 (Pologne)</w:t>
      </w:r>
    </w:p>
    <w:p w14:paraId="53D00EE9" w14:textId="77777777" w:rsidR="006E61C0" w:rsidRPr="00606333" w:rsidRDefault="006E61C0" w:rsidP="00CB30E1">
      <w:pPr>
        <w:pStyle w:val="SingleTxtG"/>
        <w:spacing w:after="0"/>
        <w:ind w:left="2835"/>
        <w:rPr>
          <w:lang w:val="fr-FR"/>
        </w:rPr>
      </w:pPr>
      <w:r w:rsidRPr="00606333">
        <w:rPr>
          <w:lang w:val="fr-FR"/>
        </w:rPr>
        <w:tab/>
        <w:t>ECE/TRANS/WP.15/AC.1/2021/11 (Pays-Bas)</w:t>
      </w:r>
    </w:p>
    <w:p w14:paraId="6FD8F11C" w14:textId="77777777" w:rsidR="006E61C0" w:rsidRPr="00606333" w:rsidRDefault="006E61C0" w:rsidP="00CB30E1">
      <w:pPr>
        <w:pStyle w:val="SingleTxtG"/>
        <w:spacing w:after="0"/>
        <w:ind w:left="2835"/>
        <w:rPr>
          <w:lang w:val="fr-FR"/>
        </w:rPr>
      </w:pPr>
      <w:r w:rsidRPr="00606333">
        <w:rPr>
          <w:lang w:val="fr-FR"/>
        </w:rPr>
        <w:tab/>
        <w:t>ECE/TRANS/WP.15/AC.1/2021/19 (Royaume-Uni)</w:t>
      </w:r>
    </w:p>
    <w:p w14:paraId="70A6B1A9" w14:textId="77777777" w:rsidR="006E61C0" w:rsidRPr="00606333" w:rsidRDefault="006E61C0" w:rsidP="00CB30E1">
      <w:pPr>
        <w:pStyle w:val="SingleTxtG"/>
        <w:spacing w:after="0"/>
        <w:ind w:left="2835"/>
        <w:rPr>
          <w:lang w:val="fr-FR"/>
        </w:rPr>
      </w:pPr>
      <w:r w:rsidRPr="00606333">
        <w:rPr>
          <w:lang w:val="fr-FR"/>
        </w:rPr>
        <w:tab/>
        <w:t>ECE/TRANS/WP.15/AC.1/2021/21 (secrétariat de l</w:t>
      </w:r>
      <w:r>
        <w:rPr>
          <w:lang w:val="fr-FR"/>
        </w:rPr>
        <w:t>’</w:t>
      </w:r>
      <w:r w:rsidRPr="00606333">
        <w:rPr>
          <w:lang w:val="fr-FR"/>
        </w:rPr>
        <w:t>OTIF)</w:t>
      </w:r>
    </w:p>
    <w:p w14:paraId="45FA8F37" w14:textId="05C80079" w:rsidR="006E61C0" w:rsidRPr="00606333" w:rsidRDefault="00CB30E1" w:rsidP="00CB30E1">
      <w:pPr>
        <w:pStyle w:val="SingleTxtG"/>
        <w:spacing w:after="0"/>
        <w:ind w:left="3402" w:hanging="2268"/>
        <w:jc w:val="left"/>
        <w:rPr>
          <w:lang w:val="fr-FR"/>
        </w:rPr>
      </w:pPr>
      <w:r w:rsidRPr="00CB30E1">
        <w:rPr>
          <w:i/>
          <w:iCs/>
          <w:lang w:val="fr-FR"/>
        </w:rPr>
        <w:lastRenderedPageBreak/>
        <w:t xml:space="preserve">Documents </w:t>
      </w:r>
      <w:r w:rsidR="006E61C0" w:rsidRPr="00CB30E1">
        <w:rPr>
          <w:i/>
          <w:iCs/>
          <w:lang w:val="fr-FR"/>
        </w:rPr>
        <w:t>informels</w:t>
      </w:r>
      <w:r>
        <w:rPr>
          <w:i/>
          <w:iCs/>
          <w:lang w:val="fr-FR"/>
        </w:rPr>
        <w:t> </w:t>
      </w:r>
      <w:r>
        <w:rPr>
          <w:lang w:val="fr-FR"/>
        </w:rPr>
        <w:t>:</w:t>
      </w:r>
      <w:r>
        <w:rPr>
          <w:lang w:val="fr-FR"/>
        </w:rPr>
        <w:tab/>
      </w:r>
      <w:r w:rsidR="006E61C0" w:rsidRPr="00606333">
        <w:rPr>
          <w:lang w:val="fr-FR"/>
        </w:rPr>
        <w:t>INF.9 (ITCO)</w:t>
      </w:r>
      <w:r w:rsidR="006E61C0">
        <w:rPr>
          <w:lang w:val="fr-FR"/>
        </w:rPr>
        <w:t xml:space="preserve">, </w:t>
      </w:r>
      <w:r w:rsidR="006E61C0" w:rsidRPr="00606333">
        <w:rPr>
          <w:lang w:val="fr-FR"/>
        </w:rPr>
        <w:t>INF.18 (</w:t>
      </w:r>
      <w:r w:rsidR="006E61C0">
        <w:rPr>
          <w:lang w:val="fr-FR"/>
        </w:rPr>
        <w:t>s</w:t>
      </w:r>
      <w:r w:rsidR="006E61C0" w:rsidRPr="00606333">
        <w:rPr>
          <w:lang w:val="fr-FR"/>
        </w:rPr>
        <w:t>ecrétariat)</w:t>
      </w:r>
      <w:r w:rsidR="006E61C0">
        <w:rPr>
          <w:lang w:val="fr-FR"/>
        </w:rPr>
        <w:t xml:space="preserve">, </w:t>
      </w:r>
      <w:r w:rsidR="006E61C0" w:rsidRPr="00606333">
        <w:rPr>
          <w:lang w:val="fr-FR"/>
        </w:rPr>
        <w:t>INF.11</w:t>
      </w:r>
      <w:r w:rsidR="006E61C0">
        <w:rPr>
          <w:lang w:val="fr-FR"/>
        </w:rPr>
        <w:t> </w:t>
      </w:r>
      <w:r w:rsidR="006E61C0" w:rsidRPr="00606333">
        <w:rPr>
          <w:lang w:val="fr-FR"/>
        </w:rPr>
        <w:t>(Royaume-Uni)</w:t>
      </w:r>
      <w:r w:rsidR="006E61C0">
        <w:rPr>
          <w:lang w:val="fr-FR"/>
        </w:rPr>
        <w:t xml:space="preserve">, </w:t>
      </w:r>
      <w:r w:rsidR="006E61C0" w:rsidRPr="00606333">
        <w:rPr>
          <w:lang w:val="fr-FR"/>
        </w:rPr>
        <w:t>INF.21 (EIGA)</w:t>
      </w:r>
      <w:r w:rsidR="006E61C0">
        <w:rPr>
          <w:lang w:val="fr-FR"/>
        </w:rPr>
        <w:t xml:space="preserve">, </w:t>
      </w:r>
      <w:r w:rsidR="006E61C0" w:rsidRPr="00606333">
        <w:rPr>
          <w:lang w:val="fr-FR"/>
        </w:rPr>
        <w:t>INF.12 (Pays-Bas</w:t>
      </w:r>
      <w:r w:rsidR="006E61C0">
        <w:rPr>
          <w:lang w:val="fr-FR"/>
        </w:rPr>
        <w:t xml:space="preserve">, </w:t>
      </w:r>
      <w:r w:rsidR="006E61C0" w:rsidRPr="00606333">
        <w:rPr>
          <w:lang w:val="fr-FR"/>
        </w:rPr>
        <w:t>INF.13</w:t>
      </w:r>
      <w:r w:rsidR="006E61C0">
        <w:rPr>
          <w:lang w:val="fr-FR"/>
        </w:rPr>
        <w:t> </w:t>
      </w:r>
      <w:r w:rsidR="006E61C0" w:rsidRPr="00606333">
        <w:rPr>
          <w:lang w:val="fr-FR"/>
        </w:rPr>
        <w:t>(CEN)</w:t>
      </w:r>
      <w:r w:rsidR="006E61C0">
        <w:rPr>
          <w:lang w:val="fr-FR"/>
        </w:rPr>
        <w:t xml:space="preserve">, </w:t>
      </w:r>
      <w:r>
        <w:rPr>
          <w:lang w:val="fr-FR"/>
        </w:rPr>
        <w:br/>
      </w:r>
      <w:r w:rsidR="006E61C0" w:rsidRPr="00606333">
        <w:rPr>
          <w:lang w:val="fr-FR"/>
        </w:rPr>
        <w:t>INF.23 (Allemagne et UIP)</w:t>
      </w:r>
      <w:r w:rsidR="006E61C0">
        <w:rPr>
          <w:lang w:val="fr-FR"/>
        </w:rPr>
        <w:t xml:space="preserve">, </w:t>
      </w:r>
      <w:r w:rsidR="006E61C0" w:rsidRPr="00606333">
        <w:rPr>
          <w:lang w:val="fr-FR"/>
        </w:rPr>
        <w:t>INF.31 (Royaume-Uni)</w:t>
      </w:r>
      <w:r w:rsidR="006E61C0">
        <w:rPr>
          <w:lang w:val="fr-FR"/>
        </w:rPr>
        <w:t xml:space="preserve">, </w:t>
      </w:r>
      <w:r>
        <w:rPr>
          <w:lang w:val="fr-FR"/>
        </w:rPr>
        <w:br/>
      </w:r>
      <w:r w:rsidR="006E61C0" w:rsidRPr="00606333">
        <w:rPr>
          <w:lang w:val="fr-FR"/>
        </w:rPr>
        <w:t>INF.14 (Pays-Bas et UIP)</w:t>
      </w:r>
      <w:r w:rsidR="006E61C0">
        <w:rPr>
          <w:lang w:val="fr-FR"/>
        </w:rPr>
        <w:t xml:space="preserve">, </w:t>
      </w:r>
      <w:r w:rsidR="006E61C0" w:rsidRPr="00606333">
        <w:rPr>
          <w:lang w:val="fr-FR"/>
        </w:rPr>
        <w:t>INF.35 (France)</w:t>
      </w:r>
      <w:r w:rsidR="006E61C0">
        <w:rPr>
          <w:lang w:val="fr-FR"/>
        </w:rPr>
        <w:t xml:space="preserve">, </w:t>
      </w:r>
      <w:r>
        <w:rPr>
          <w:lang w:val="fr-FR"/>
        </w:rPr>
        <w:br/>
      </w:r>
      <w:r w:rsidR="006E61C0" w:rsidRPr="00606333">
        <w:rPr>
          <w:lang w:val="fr-FR"/>
        </w:rPr>
        <w:t>INF.15 (Royaume-Uni)</w:t>
      </w:r>
      <w:r w:rsidR="006E61C0">
        <w:rPr>
          <w:lang w:val="fr-FR"/>
        </w:rPr>
        <w:t xml:space="preserve">, </w:t>
      </w:r>
      <w:r w:rsidR="006E61C0" w:rsidRPr="00606333">
        <w:rPr>
          <w:lang w:val="fr-FR"/>
        </w:rPr>
        <w:t>INF.37 (UIC)</w:t>
      </w:r>
      <w:r w:rsidR="006E61C0">
        <w:rPr>
          <w:lang w:val="fr-FR"/>
        </w:rPr>
        <w:t xml:space="preserve">, </w:t>
      </w:r>
      <w:r w:rsidR="006E61C0" w:rsidRPr="00606333">
        <w:rPr>
          <w:lang w:val="fr-FR"/>
        </w:rPr>
        <w:t>INF.16 (Pologne)</w:t>
      </w:r>
      <w:r>
        <w:rPr>
          <w:lang w:val="fr-FR"/>
        </w:rPr>
        <w:t>.</w:t>
      </w:r>
    </w:p>
    <w:p w14:paraId="3854FD55" w14:textId="0EA3A3ED" w:rsidR="006E61C0" w:rsidRPr="00606333" w:rsidRDefault="00CB30E1" w:rsidP="00CB30E1">
      <w:pPr>
        <w:pStyle w:val="HChG"/>
        <w:rPr>
          <w:lang w:val="fr-FR"/>
        </w:rPr>
      </w:pPr>
      <w:r>
        <w:rPr>
          <w:lang w:val="fr-FR"/>
        </w:rPr>
        <w:tab/>
      </w:r>
      <w:r w:rsidR="006E61C0" w:rsidRPr="00606333">
        <w:rPr>
          <w:lang w:val="fr-FR"/>
        </w:rPr>
        <w:t>I.</w:t>
      </w:r>
      <w:r w:rsidR="006E61C0" w:rsidRPr="00606333">
        <w:rPr>
          <w:lang w:val="fr-FR"/>
        </w:rPr>
        <w:tab/>
      </w:r>
      <w:r w:rsidR="006E61C0" w:rsidRPr="00606333">
        <w:rPr>
          <w:lang w:val="fr-FR"/>
        </w:rPr>
        <w:tab/>
        <w:t>Section 1</w:t>
      </w:r>
      <w:r w:rsidR="006E61C0">
        <w:rPr>
          <w:lang w:val="fr-FR"/>
        </w:rPr>
        <w:t> :</w:t>
      </w:r>
      <w:r w:rsidR="006E61C0" w:rsidRPr="00606333">
        <w:rPr>
          <w:lang w:val="fr-FR"/>
        </w:rPr>
        <w:t xml:space="preserve"> Résultats des </w:t>
      </w:r>
      <w:r w:rsidR="006E61C0">
        <w:rPr>
          <w:lang w:val="fr-FR"/>
        </w:rPr>
        <w:t>débats</w:t>
      </w:r>
      <w:r w:rsidR="006E61C0" w:rsidRPr="00606333">
        <w:rPr>
          <w:lang w:val="fr-FR"/>
        </w:rPr>
        <w:t xml:space="preserve"> </w:t>
      </w:r>
      <w:r w:rsidR="006E61C0">
        <w:rPr>
          <w:lang w:val="fr-FR"/>
        </w:rPr>
        <w:t>nécessitant l’</w:t>
      </w:r>
      <w:r w:rsidR="006E61C0" w:rsidRPr="00606333">
        <w:rPr>
          <w:lang w:val="fr-FR"/>
        </w:rPr>
        <w:t>appr</w:t>
      </w:r>
      <w:r w:rsidR="006E61C0">
        <w:rPr>
          <w:lang w:val="fr-FR"/>
        </w:rPr>
        <w:t xml:space="preserve">obation </w:t>
      </w:r>
      <w:r>
        <w:rPr>
          <w:lang w:val="fr-FR"/>
        </w:rPr>
        <w:br/>
      </w:r>
      <w:r w:rsidR="006E61C0">
        <w:rPr>
          <w:lang w:val="fr-FR"/>
        </w:rPr>
        <w:t>de</w:t>
      </w:r>
      <w:r>
        <w:rPr>
          <w:lang w:val="fr-FR"/>
        </w:rPr>
        <w:t xml:space="preserve"> </w:t>
      </w:r>
      <w:r w:rsidR="006E61C0" w:rsidRPr="00606333">
        <w:rPr>
          <w:lang w:val="fr-FR"/>
        </w:rPr>
        <w:t>la</w:t>
      </w:r>
      <w:r>
        <w:rPr>
          <w:lang w:val="fr-FR"/>
        </w:rPr>
        <w:t xml:space="preserve"> </w:t>
      </w:r>
      <w:r w:rsidR="006E61C0" w:rsidRPr="00606333">
        <w:rPr>
          <w:lang w:val="fr-FR"/>
        </w:rPr>
        <w:t xml:space="preserve">Réunion </w:t>
      </w:r>
      <w:r w:rsidR="006E61C0">
        <w:rPr>
          <w:lang w:val="fr-FR"/>
        </w:rPr>
        <w:t>commune</w:t>
      </w:r>
    </w:p>
    <w:p w14:paraId="2F87833E" w14:textId="6339BCCC" w:rsidR="006E61C0" w:rsidRPr="00606333" w:rsidRDefault="00CB30E1" w:rsidP="00CB30E1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6E61C0" w:rsidRPr="00606333">
        <w:rPr>
          <w:lang w:val="fr-FR"/>
        </w:rPr>
        <w:t>Point 1</w:t>
      </w:r>
      <w:r w:rsidR="006E61C0">
        <w:rPr>
          <w:lang w:val="fr-FR"/>
        </w:rPr>
        <w:t> :</w:t>
      </w:r>
      <w:r>
        <w:rPr>
          <w:lang w:val="fr-FR"/>
        </w:rPr>
        <w:t xml:space="preserve"> </w:t>
      </w:r>
      <w:r w:rsidR="006E61C0" w:rsidRPr="00497108">
        <w:rPr>
          <w:lang w:val="fr-FR"/>
        </w:rPr>
        <w:t>Très grands conteneurs-citernes</w:t>
      </w:r>
      <w:r w:rsidR="006E61C0">
        <w:rPr>
          <w:lang w:val="fr-FR"/>
        </w:rPr>
        <w:t> :</w:t>
      </w:r>
      <w:r w:rsidR="006E61C0" w:rsidRPr="00606333">
        <w:rPr>
          <w:lang w:val="fr-FR"/>
        </w:rPr>
        <w:t xml:space="preserve"> </w:t>
      </w:r>
      <w:r w:rsidR="006E61C0" w:rsidRPr="00C23842">
        <w:rPr>
          <w:lang w:val="fr-FR"/>
        </w:rPr>
        <w:t xml:space="preserve">trappes de visite </w:t>
      </w:r>
      <w:r>
        <w:rPr>
          <w:lang w:val="fr-FR"/>
        </w:rPr>
        <w:br/>
      </w:r>
      <w:r w:rsidR="006E61C0" w:rsidRPr="00606333">
        <w:rPr>
          <w:lang w:val="fr-FR"/>
        </w:rPr>
        <w:t>et couvercles dôme</w:t>
      </w:r>
      <w:r w:rsidR="006E61C0">
        <w:rPr>
          <w:lang w:val="fr-FR"/>
        </w:rPr>
        <w:t>s</w:t>
      </w:r>
    </w:p>
    <w:p w14:paraId="7CC2A16F" w14:textId="77777777" w:rsidR="006E61C0" w:rsidRPr="00606333" w:rsidRDefault="006E61C0" w:rsidP="00CB30E1">
      <w:pPr>
        <w:pStyle w:val="SingleTxtG"/>
        <w:ind w:left="3402" w:hanging="2268"/>
        <w:jc w:val="left"/>
        <w:rPr>
          <w:bCs/>
          <w:lang w:val="fr-FR"/>
        </w:rPr>
      </w:pPr>
      <w:r w:rsidRPr="00606333">
        <w:rPr>
          <w:bCs/>
          <w:i/>
          <w:lang w:val="fr-FR"/>
        </w:rPr>
        <w:t>Document</w:t>
      </w:r>
      <w:r>
        <w:rPr>
          <w:bCs/>
          <w:i/>
          <w:lang w:val="fr-FR"/>
        </w:rPr>
        <w:t>(</w:t>
      </w:r>
      <w:r w:rsidRPr="00606333">
        <w:rPr>
          <w:bCs/>
          <w:i/>
          <w:lang w:val="fr-FR"/>
        </w:rPr>
        <w:t>s</w:t>
      </w:r>
      <w:r>
        <w:rPr>
          <w:bCs/>
          <w:i/>
          <w:lang w:val="fr-FR"/>
        </w:rPr>
        <w:t>) :</w:t>
      </w:r>
      <w:r w:rsidRPr="00606333">
        <w:rPr>
          <w:bCs/>
          <w:i/>
          <w:lang w:val="fr-FR"/>
        </w:rPr>
        <w:t xml:space="preserve"> </w:t>
      </w:r>
      <w:r w:rsidRPr="00606333">
        <w:rPr>
          <w:bCs/>
          <w:lang w:val="fr-FR"/>
        </w:rPr>
        <w:tab/>
        <w:t>ECE/TRANS/WP.15/AC.1/2021/8 (Belgique)</w:t>
      </w:r>
      <w:r>
        <w:rPr>
          <w:bCs/>
          <w:lang w:val="fr-FR"/>
        </w:rPr>
        <w:br/>
      </w:r>
      <w:r w:rsidRPr="00606333">
        <w:rPr>
          <w:bCs/>
          <w:lang w:val="fr-FR"/>
        </w:rPr>
        <w:t>ECE/TRANS/WP.15/AC.1/2021/21 (secrétariat de l</w:t>
      </w:r>
      <w:r>
        <w:rPr>
          <w:bCs/>
          <w:lang w:val="fr-FR"/>
        </w:rPr>
        <w:t>’</w:t>
      </w:r>
      <w:r w:rsidRPr="00606333">
        <w:rPr>
          <w:bCs/>
          <w:lang w:val="fr-FR"/>
        </w:rPr>
        <w:t>OTIF)</w:t>
      </w:r>
    </w:p>
    <w:p w14:paraId="51B81D34" w14:textId="51188330" w:rsidR="006E61C0" w:rsidRPr="00606333" w:rsidRDefault="00CB30E1" w:rsidP="00CB30E1">
      <w:pPr>
        <w:pStyle w:val="SingleTxtG"/>
        <w:ind w:left="3402" w:hanging="2268"/>
        <w:jc w:val="left"/>
        <w:rPr>
          <w:bCs/>
          <w:lang w:val="fr-FR"/>
        </w:rPr>
      </w:pPr>
      <w:r w:rsidRPr="00CB30E1">
        <w:rPr>
          <w:bCs/>
          <w:i/>
          <w:lang w:val="fr-FR"/>
        </w:rPr>
        <w:t xml:space="preserve">Document </w:t>
      </w:r>
      <w:r w:rsidR="006E61C0" w:rsidRPr="00CB30E1">
        <w:rPr>
          <w:bCs/>
          <w:i/>
          <w:lang w:val="fr-FR"/>
        </w:rPr>
        <w:t>informel</w:t>
      </w:r>
      <w:r>
        <w:rPr>
          <w:bCs/>
          <w:iCs/>
          <w:lang w:val="fr-FR"/>
        </w:rPr>
        <w:t> :</w:t>
      </w:r>
      <w:r>
        <w:rPr>
          <w:bCs/>
          <w:iCs/>
          <w:lang w:val="fr-FR"/>
        </w:rPr>
        <w:tab/>
      </w:r>
      <w:r w:rsidR="006E61C0" w:rsidRPr="00606333">
        <w:rPr>
          <w:bCs/>
          <w:lang w:val="fr-FR"/>
        </w:rPr>
        <w:t>INF.23 (Allemagne et UIP)</w:t>
      </w:r>
      <w:r>
        <w:rPr>
          <w:bCs/>
          <w:lang w:val="fr-FR"/>
        </w:rPr>
        <w:t>.</w:t>
      </w:r>
    </w:p>
    <w:p w14:paraId="1F4533BA" w14:textId="77777777" w:rsidR="006E61C0" w:rsidRPr="00606333" w:rsidRDefault="006E61C0" w:rsidP="00CB30E1">
      <w:pPr>
        <w:pStyle w:val="SingleTxtG"/>
        <w:rPr>
          <w:lang w:val="fr-FR"/>
        </w:rPr>
      </w:pPr>
      <w:r w:rsidRPr="00606333">
        <w:rPr>
          <w:lang w:val="fr-FR"/>
        </w:rPr>
        <w:t>3</w:t>
      </w:r>
      <w:r>
        <w:rPr>
          <w:lang w:val="fr-FR"/>
        </w:rPr>
        <w:t>.</w:t>
      </w:r>
      <w:r>
        <w:rPr>
          <w:lang w:val="fr-FR"/>
        </w:rPr>
        <w:tab/>
      </w:r>
      <w:r w:rsidRPr="00606333">
        <w:rPr>
          <w:lang w:val="fr-FR"/>
        </w:rPr>
        <w:t>Les experts se sont accordés sur l</w:t>
      </w:r>
      <w:r>
        <w:rPr>
          <w:lang w:val="fr-FR"/>
        </w:rPr>
        <w:t>’</w:t>
      </w:r>
      <w:r w:rsidRPr="00606333">
        <w:rPr>
          <w:lang w:val="fr-FR"/>
        </w:rPr>
        <w:t xml:space="preserve">utilisation de </w:t>
      </w:r>
      <w:r w:rsidRPr="00C23842">
        <w:rPr>
          <w:lang w:val="fr-FR"/>
        </w:rPr>
        <w:t>trappe</w:t>
      </w:r>
      <w:r>
        <w:rPr>
          <w:lang w:val="fr-FR"/>
        </w:rPr>
        <w:t>s</w:t>
      </w:r>
      <w:r w:rsidRPr="00C23842">
        <w:rPr>
          <w:lang w:val="fr-FR"/>
        </w:rPr>
        <w:t xml:space="preserve"> de visite </w:t>
      </w:r>
      <w:r w:rsidRPr="00606333">
        <w:rPr>
          <w:lang w:val="fr-FR"/>
        </w:rPr>
        <w:t>conçu</w:t>
      </w:r>
      <w:r>
        <w:rPr>
          <w:lang w:val="fr-FR"/>
        </w:rPr>
        <w:t>e</w:t>
      </w:r>
      <w:r w:rsidRPr="00606333">
        <w:rPr>
          <w:lang w:val="fr-FR"/>
        </w:rPr>
        <w:t>s pour une pression d</w:t>
      </w:r>
      <w:r>
        <w:rPr>
          <w:lang w:val="fr-FR"/>
        </w:rPr>
        <w:t>’</w:t>
      </w:r>
      <w:r w:rsidRPr="00606333">
        <w:rPr>
          <w:lang w:val="fr-FR"/>
        </w:rPr>
        <w:t>épreuve d</w:t>
      </w:r>
      <w:r>
        <w:rPr>
          <w:lang w:val="fr-FR"/>
        </w:rPr>
        <w:t>’</w:t>
      </w:r>
      <w:r w:rsidRPr="00606333">
        <w:rPr>
          <w:lang w:val="fr-FR"/>
        </w:rPr>
        <w:t>au moins 4 bar</w:t>
      </w:r>
      <w:r>
        <w:rPr>
          <w:lang w:val="fr-FR"/>
        </w:rPr>
        <w:t>s</w:t>
      </w:r>
      <w:r w:rsidRPr="00606333">
        <w:rPr>
          <w:lang w:val="fr-FR"/>
        </w:rPr>
        <w:t xml:space="preserve">. </w:t>
      </w:r>
      <w:r>
        <w:rPr>
          <w:lang w:val="fr-FR"/>
        </w:rPr>
        <w:t>Elle</w:t>
      </w:r>
      <w:r w:rsidRPr="00606333">
        <w:rPr>
          <w:lang w:val="fr-FR"/>
        </w:rPr>
        <w:t>s ne seraient utilisé</w:t>
      </w:r>
      <w:r>
        <w:rPr>
          <w:lang w:val="fr-FR"/>
        </w:rPr>
        <w:t>e</w:t>
      </w:r>
      <w:r w:rsidRPr="00606333">
        <w:rPr>
          <w:lang w:val="fr-FR"/>
        </w:rPr>
        <w:t xml:space="preserve">s que sur les réservoirs destinés au transport de </w:t>
      </w:r>
      <w:r>
        <w:rPr>
          <w:color w:val="000000"/>
        </w:rPr>
        <w:t xml:space="preserve">matières </w:t>
      </w:r>
      <w:r w:rsidRPr="00606333">
        <w:rPr>
          <w:lang w:val="fr-FR"/>
        </w:rPr>
        <w:t xml:space="preserve">liquides et éventuellement de </w:t>
      </w:r>
      <w:r w:rsidRPr="001C4614">
        <w:rPr>
          <w:lang w:val="fr-FR"/>
        </w:rPr>
        <w:t xml:space="preserve">matières solides </w:t>
      </w:r>
      <w:r w:rsidRPr="00606333">
        <w:rPr>
          <w:lang w:val="fr-FR"/>
        </w:rPr>
        <w:t>à l</w:t>
      </w:r>
      <w:r>
        <w:rPr>
          <w:lang w:val="fr-FR"/>
        </w:rPr>
        <w:t>’</w:t>
      </w:r>
      <w:r w:rsidRPr="00606333">
        <w:rPr>
          <w:lang w:val="fr-FR"/>
        </w:rPr>
        <w:t>état fondu. Les citernes pour matières pulvérulentes ou granulaires et les gaz ne seraient pas concerné</w:t>
      </w:r>
      <w:r>
        <w:rPr>
          <w:lang w:val="fr-FR"/>
        </w:rPr>
        <w:t>e</w:t>
      </w:r>
      <w:r w:rsidRPr="00606333">
        <w:rPr>
          <w:lang w:val="fr-FR"/>
        </w:rPr>
        <w:t>s en raison de l</w:t>
      </w:r>
      <w:r>
        <w:rPr>
          <w:lang w:val="fr-FR"/>
        </w:rPr>
        <w:t>’</w:t>
      </w:r>
      <w:r w:rsidRPr="00606333">
        <w:rPr>
          <w:lang w:val="fr-FR"/>
        </w:rPr>
        <w:t xml:space="preserve">absence de coup de bélier et des pressions de calcul plus élevées des citernes et des </w:t>
      </w:r>
      <w:r w:rsidRPr="00C23842">
        <w:rPr>
          <w:lang w:val="fr-FR"/>
        </w:rPr>
        <w:t>trappe</w:t>
      </w:r>
      <w:r>
        <w:rPr>
          <w:lang w:val="fr-FR"/>
        </w:rPr>
        <w:t>s</w:t>
      </w:r>
      <w:r w:rsidRPr="00C23842">
        <w:rPr>
          <w:lang w:val="fr-FR"/>
        </w:rPr>
        <w:t xml:space="preserve"> de visite</w:t>
      </w:r>
      <w:r w:rsidRPr="00606333">
        <w:rPr>
          <w:lang w:val="fr-FR"/>
        </w:rPr>
        <w:t>. Il a été décidé de maintenir le texte proposé entre crochets en attendant l</w:t>
      </w:r>
      <w:r>
        <w:rPr>
          <w:lang w:val="fr-FR"/>
        </w:rPr>
        <w:t>’</w:t>
      </w:r>
      <w:r w:rsidRPr="00606333">
        <w:rPr>
          <w:lang w:val="fr-FR"/>
        </w:rPr>
        <w:t>élaboration de critères spécifiques pour ces conteneurs-citernes. Il a été décidé d</w:t>
      </w:r>
      <w:r>
        <w:rPr>
          <w:lang w:val="fr-FR"/>
        </w:rPr>
        <w:t>’</w:t>
      </w:r>
      <w:r w:rsidRPr="00606333">
        <w:rPr>
          <w:lang w:val="fr-FR"/>
        </w:rPr>
        <w:t>inclure les nouvelles dispositions dans le RID et l</w:t>
      </w:r>
      <w:r>
        <w:rPr>
          <w:lang w:val="fr-FR"/>
        </w:rPr>
        <w:t>’</w:t>
      </w:r>
      <w:r w:rsidRPr="00606333">
        <w:rPr>
          <w:lang w:val="fr-FR"/>
        </w:rPr>
        <w:t>ADR pour permettre leur utilisation future en transport routier.</w:t>
      </w:r>
    </w:p>
    <w:p w14:paraId="3CDE2643" w14:textId="77777777" w:rsidR="006E61C0" w:rsidRPr="00606333" w:rsidRDefault="006E61C0" w:rsidP="00CB30E1">
      <w:pPr>
        <w:pStyle w:val="SingleTxtG"/>
        <w:rPr>
          <w:lang w:val="fr-FR"/>
        </w:rPr>
      </w:pPr>
      <w:r>
        <w:rPr>
          <w:lang w:val="fr-FR"/>
        </w:rPr>
        <w:t>4.</w:t>
      </w:r>
      <w:r>
        <w:rPr>
          <w:lang w:val="fr-FR"/>
        </w:rPr>
        <w:tab/>
      </w:r>
      <w:r w:rsidRPr="00606333">
        <w:rPr>
          <w:lang w:val="fr-FR"/>
        </w:rPr>
        <w:t>L</w:t>
      </w:r>
      <w:r>
        <w:rPr>
          <w:lang w:val="fr-FR"/>
        </w:rPr>
        <w:t>’idée d’</w:t>
      </w:r>
      <w:r w:rsidRPr="00606333">
        <w:rPr>
          <w:lang w:val="fr-FR"/>
        </w:rPr>
        <w:t>élabor</w:t>
      </w:r>
      <w:r>
        <w:rPr>
          <w:lang w:val="fr-FR"/>
        </w:rPr>
        <w:t xml:space="preserve">er </w:t>
      </w:r>
      <w:r w:rsidRPr="00606333">
        <w:rPr>
          <w:lang w:val="fr-FR"/>
        </w:rPr>
        <w:t>une définition d</w:t>
      </w:r>
      <w:r>
        <w:rPr>
          <w:lang w:val="fr-FR"/>
        </w:rPr>
        <w:t>es</w:t>
      </w:r>
      <w:r w:rsidRPr="00606333">
        <w:rPr>
          <w:lang w:val="fr-FR"/>
        </w:rPr>
        <w:t xml:space="preserve"> </w:t>
      </w:r>
      <w:r>
        <w:rPr>
          <w:lang w:val="fr-FR"/>
        </w:rPr>
        <w:t>« très grands conteneurs-citernes »</w:t>
      </w:r>
      <w:r w:rsidRPr="00606333">
        <w:rPr>
          <w:lang w:val="fr-FR"/>
        </w:rPr>
        <w:t xml:space="preserve"> a </w:t>
      </w:r>
      <w:r>
        <w:rPr>
          <w:lang w:val="fr-FR"/>
        </w:rPr>
        <w:t>reçu du soutien</w:t>
      </w:r>
      <w:r w:rsidRPr="00606333">
        <w:rPr>
          <w:lang w:val="fr-FR"/>
        </w:rPr>
        <w:t xml:space="preserve">, car plusieurs </w:t>
      </w:r>
      <w:r>
        <w:rPr>
          <w:lang w:val="fr-FR"/>
        </w:rPr>
        <w:t>prescriptions</w:t>
      </w:r>
      <w:r w:rsidRPr="00606333">
        <w:rPr>
          <w:lang w:val="fr-FR"/>
        </w:rPr>
        <w:t xml:space="preserve"> supplémentaires p</w:t>
      </w:r>
      <w:r>
        <w:rPr>
          <w:lang w:val="fr-FR"/>
        </w:rPr>
        <w:t>ouvai</w:t>
      </w:r>
      <w:r w:rsidRPr="00606333">
        <w:rPr>
          <w:lang w:val="fr-FR"/>
        </w:rPr>
        <w:t>ent s</w:t>
      </w:r>
      <w:r>
        <w:rPr>
          <w:lang w:val="fr-FR"/>
        </w:rPr>
        <w:t>’</w:t>
      </w:r>
      <w:r w:rsidRPr="00606333">
        <w:rPr>
          <w:lang w:val="fr-FR"/>
        </w:rPr>
        <w:t>appliquer. Cependant, il s</w:t>
      </w:r>
      <w:r>
        <w:rPr>
          <w:lang w:val="fr-FR"/>
        </w:rPr>
        <w:t>’</w:t>
      </w:r>
      <w:r w:rsidRPr="00606333">
        <w:rPr>
          <w:lang w:val="fr-FR"/>
        </w:rPr>
        <w:t>est avéré impossible d</w:t>
      </w:r>
      <w:r>
        <w:rPr>
          <w:lang w:val="fr-FR"/>
        </w:rPr>
        <w:t>’</w:t>
      </w:r>
      <w:r w:rsidRPr="00606333">
        <w:rPr>
          <w:lang w:val="fr-FR"/>
        </w:rPr>
        <w:t>élaborer une définition au cours de la session, car les critères permettant de distinguer ces conteneurs n</w:t>
      </w:r>
      <w:r>
        <w:rPr>
          <w:lang w:val="fr-FR"/>
        </w:rPr>
        <w:t>’</w:t>
      </w:r>
      <w:r w:rsidRPr="00606333">
        <w:rPr>
          <w:lang w:val="fr-FR"/>
        </w:rPr>
        <w:t>étaient pas encore clairs. Il a été estimé que non seulement la capacité, mais aussi le poids brut maximal et les dimensions extérieures pouvaient être des critères.</w:t>
      </w:r>
    </w:p>
    <w:p w14:paraId="316E9AF4" w14:textId="77777777" w:rsidR="006E61C0" w:rsidRPr="00606333" w:rsidRDefault="006E61C0" w:rsidP="00CB30E1">
      <w:pPr>
        <w:pStyle w:val="SingleTxtG"/>
        <w:rPr>
          <w:lang w:val="fr-FR"/>
        </w:rPr>
      </w:pPr>
      <w:r w:rsidRPr="00606333">
        <w:rPr>
          <w:lang w:val="fr-FR"/>
        </w:rPr>
        <w:t>5.</w:t>
      </w:r>
      <w:r w:rsidRPr="00606333">
        <w:rPr>
          <w:lang w:val="fr-FR"/>
        </w:rPr>
        <w:tab/>
      </w:r>
      <w:r>
        <w:rPr>
          <w:lang w:val="fr-FR"/>
        </w:rPr>
        <w:t>Concernant</w:t>
      </w:r>
      <w:r w:rsidRPr="00606333">
        <w:rPr>
          <w:lang w:val="fr-FR"/>
        </w:rPr>
        <w:t xml:space="preserve"> le document informel INF.23, aucune conclusion n</w:t>
      </w:r>
      <w:r>
        <w:rPr>
          <w:lang w:val="fr-FR"/>
        </w:rPr>
        <w:t>’</w:t>
      </w:r>
      <w:r w:rsidRPr="00606333">
        <w:rPr>
          <w:lang w:val="fr-FR"/>
        </w:rPr>
        <w:t xml:space="preserve">a pu être tirée </w:t>
      </w:r>
      <w:r>
        <w:rPr>
          <w:lang w:val="fr-FR"/>
        </w:rPr>
        <w:t>à propos de</w:t>
      </w:r>
      <w:r w:rsidRPr="00606333">
        <w:rPr>
          <w:lang w:val="fr-FR"/>
        </w:rPr>
        <w:t xml:space="preserve"> la question des accélérations spécifiques qui s</w:t>
      </w:r>
      <w:r>
        <w:rPr>
          <w:lang w:val="fr-FR"/>
        </w:rPr>
        <w:t>’</w:t>
      </w:r>
      <w:r w:rsidRPr="00606333">
        <w:rPr>
          <w:lang w:val="fr-FR"/>
        </w:rPr>
        <w:t>appliqueraient à ces conteneurs-citernes lors des manœuvres au-delà de la norme de 2</w:t>
      </w:r>
      <w:r>
        <w:rPr>
          <w:lang w:val="fr-FR"/>
        </w:rPr>
        <w:t> </w:t>
      </w:r>
      <w:r w:rsidRPr="00606333">
        <w:rPr>
          <w:lang w:val="fr-FR"/>
        </w:rPr>
        <w:t>g pour le RID et l</w:t>
      </w:r>
      <w:r>
        <w:rPr>
          <w:lang w:val="fr-FR"/>
        </w:rPr>
        <w:t>’</w:t>
      </w:r>
      <w:r w:rsidRPr="00606333">
        <w:rPr>
          <w:lang w:val="fr-FR"/>
        </w:rPr>
        <w:t xml:space="preserve">ADR. </w:t>
      </w:r>
      <w:r>
        <w:rPr>
          <w:lang w:val="fr-FR"/>
        </w:rPr>
        <w:t>Étant donné</w:t>
      </w:r>
      <w:r w:rsidRPr="00606333">
        <w:rPr>
          <w:lang w:val="fr-FR"/>
        </w:rPr>
        <w:t xml:space="preserve"> </w:t>
      </w:r>
      <w:r>
        <w:rPr>
          <w:lang w:val="fr-FR"/>
        </w:rPr>
        <w:t>qu’</w:t>
      </w:r>
      <w:r w:rsidRPr="00606333">
        <w:rPr>
          <w:lang w:val="fr-FR"/>
        </w:rPr>
        <w:t>il s</w:t>
      </w:r>
      <w:r>
        <w:rPr>
          <w:lang w:val="fr-FR"/>
        </w:rPr>
        <w:t>’</w:t>
      </w:r>
      <w:r w:rsidRPr="00606333">
        <w:rPr>
          <w:lang w:val="fr-FR"/>
        </w:rPr>
        <w:t>agi</w:t>
      </w:r>
      <w:r>
        <w:rPr>
          <w:lang w:val="fr-FR"/>
        </w:rPr>
        <w:t>ssai</w:t>
      </w:r>
      <w:r w:rsidRPr="00606333">
        <w:rPr>
          <w:lang w:val="fr-FR"/>
        </w:rPr>
        <w:t>t d</w:t>
      </w:r>
      <w:r>
        <w:rPr>
          <w:lang w:val="fr-FR"/>
        </w:rPr>
        <w:t>’</w:t>
      </w:r>
      <w:r w:rsidRPr="00606333">
        <w:rPr>
          <w:lang w:val="fr-FR"/>
        </w:rPr>
        <w:t xml:space="preserve">un </w:t>
      </w:r>
      <w:r>
        <w:rPr>
          <w:lang w:val="fr-FR"/>
        </w:rPr>
        <w:t>problème</w:t>
      </w:r>
      <w:r w:rsidRPr="00606333">
        <w:rPr>
          <w:lang w:val="fr-FR"/>
        </w:rPr>
        <w:t xml:space="preserve"> typiquement ferroviaire, il a été estimé qu</w:t>
      </w:r>
      <w:r>
        <w:rPr>
          <w:lang w:val="fr-FR"/>
        </w:rPr>
        <w:t>’il</w:t>
      </w:r>
      <w:r w:rsidRPr="00606333">
        <w:rPr>
          <w:lang w:val="fr-FR"/>
        </w:rPr>
        <w:t xml:space="preserve"> devrait être </w:t>
      </w:r>
      <w:r>
        <w:rPr>
          <w:lang w:val="fr-FR"/>
        </w:rPr>
        <w:t>examiné</w:t>
      </w:r>
      <w:r w:rsidRPr="00606333">
        <w:rPr>
          <w:lang w:val="fr-FR"/>
        </w:rPr>
        <w:t xml:space="preserve"> plus avant dans le </w:t>
      </w:r>
      <w:r>
        <w:rPr>
          <w:lang w:val="fr-FR"/>
        </w:rPr>
        <w:t xml:space="preserve">cadre du </w:t>
      </w:r>
      <w:r w:rsidRPr="00606333">
        <w:rPr>
          <w:lang w:val="fr-FR"/>
        </w:rPr>
        <w:t>groupe de travail permanent de la Commission d</w:t>
      </w:r>
      <w:r>
        <w:rPr>
          <w:lang w:val="fr-FR"/>
        </w:rPr>
        <w:t>’</w:t>
      </w:r>
      <w:r w:rsidRPr="00606333">
        <w:rPr>
          <w:lang w:val="fr-FR"/>
        </w:rPr>
        <w:t>experts du RID.</w:t>
      </w:r>
    </w:p>
    <w:p w14:paraId="7B3B4878" w14:textId="77777777" w:rsidR="006E61C0" w:rsidRPr="00606333" w:rsidRDefault="006E61C0" w:rsidP="00CB30E1">
      <w:pPr>
        <w:pStyle w:val="SingleTxtG"/>
        <w:rPr>
          <w:lang w:val="fr-FR"/>
        </w:rPr>
      </w:pPr>
      <w:r>
        <w:rPr>
          <w:lang w:val="fr-FR"/>
        </w:rPr>
        <w:t>6.</w:t>
      </w:r>
      <w:r w:rsidRPr="00606333">
        <w:rPr>
          <w:lang w:val="fr-FR"/>
        </w:rPr>
        <w:tab/>
      </w:r>
      <w:r>
        <w:rPr>
          <w:lang w:val="fr-FR"/>
        </w:rPr>
        <w:t>T</w:t>
      </w:r>
      <w:r w:rsidRPr="00606333">
        <w:rPr>
          <w:lang w:val="fr-FR"/>
        </w:rPr>
        <w:t>ous les</w:t>
      </w:r>
      <w:r w:rsidRPr="00C23842">
        <w:t xml:space="preserve"> </w:t>
      </w:r>
      <w:r w:rsidRPr="00C23842">
        <w:rPr>
          <w:lang w:val="fr-FR"/>
        </w:rPr>
        <w:t>très grand</w:t>
      </w:r>
      <w:r>
        <w:rPr>
          <w:lang w:val="fr-FR"/>
        </w:rPr>
        <w:t>s</w:t>
      </w:r>
      <w:r w:rsidRPr="00C23842">
        <w:rPr>
          <w:lang w:val="fr-FR"/>
        </w:rPr>
        <w:t xml:space="preserve"> </w:t>
      </w:r>
      <w:r w:rsidRPr="00606333">
        <w:rPr>
          <w:lang w:val="fr-FR"/>
        </w:rPr>
        <w:t xml:space="preserve">conteneurs-citernes connus </w:t>
      </w:r>
      <w:r>
        <w:rPr>
          <w:lang w:val="fr-FR"/>
        </w:rPr>
        <w:t>éta</w:t>
      </w:r>
      <w:r w:rsidRPr="00606333">
        <w:rPr>
          <w:lang w:val="fr-FR"/>
        </w:rPr>
        <w:t xml:space="preserve">ient conformes à la nouvelle disposition, </w:t>
      </w:r>
      <w:r>
        <w:rPr>
          <w:lang w:val="fr-FR"/>
        </w:rPr>
        <w:t xml:space="preserve">mais </w:t>
      </w:r>
      <w:r w:rsidRPr="00606333">
        <w:rPr>
          <w:lang w:val="fr-FR"/>
        </w:rPr>
        <w:t>il a été décidé d</w:t>
      </w:r>
      <w:r>
        <w:rPr>
          <w:lang w:val="fr-FR"/>
        </w:rPr>
        <w:t>’</w:t>
      </w:r>
      <w:r w:rsidRPr="00606333">
        <w:rPr>
          <w:lang w:val="fr-FR"/>
        </w:rPr>
        <w:t xml:space="preserve">inclure une nouvelle mesure transitoire au cas où </w:t>
      </w:r>
      <w:r>
        <w:rPr>
          <w:lang w:val="fr-FR"/>
        </w:rPr>
        <w:t xml:space="preserve">il en </w:t>
      </w:r>
      <w:r w:rsidRPr="00606333">
        <w:rPr>
          <w:lang w:val="fr-FR"/>
        </w:rPr>
        <w:t>existerait d</w:t>
      </w:r>
      <w:r>
        <w:rPr>
          <w:lang w:val="fr-FR"/>
        </w:rPr>
        <w:t>’</w:t>
      </w:r>
      <w:r w:rsidRPr="00606333">
        <w:rPr>
          <w:lang w:val="fr-FR"/>
        </w:rPr>
        <w:t>autres. Il a été décidé de maintenir la mesure transitoire entre crochets, ainsi que le nouveau texte proposé pour le 6.8.2.2.4, pour examen ultérieur.</w:t>
      </w:r>
    </w:p>
    <w:p w14:paraId="2C582EE3" w14:textId="77777777" w:rsidR="006E61C0" w:rsidRPr="00606333" w:rsidRDefault="006E61C0" w:rsidP="00CB30E1">
      <w:pPr>
        <w:pStyle w:val="H23G"/>
        <w:rPr>
          <w:lang w:val="fr-FR"/>
        </w:rPr>
      </w:pPr>
      <w:r w:rsidRPr="00606333">
        <w:rPr>
          <w:lang w:val="fr-FR"/>
        </w:rPr>
        <w:tab/>
      </w:r>
      <w:r w:rsidRPr="00606333">
        <w:rPr>
          <w:lang w:val="fr-FR"/>
        </w:rPr>
        <w:tab/>
        <w:t>Proposition 1</w:t>
      </w:r>
      <w:r>
        <w:rPr>
          <w:lang w:val="fr-FR"/>
        </w:rPr>
        <w:t> :</w:t>
      </w:r>
      <w:r w:rsidRPr="00606333">
        <w:rPr>
          <w:lang w:val="fr-FR"/>
        </w:rPr>
        <w:t xml:space="preserve"> au 6.8.2.2.4 </w:t>
      </w:r>
      <w:r>
        <w:rPr>
          <w:lang w:val="fr-FR"/>
        </w:rPr>
        <w:t xml:space="preserve">du </w:t>
      </w:r>
      <w:r w:rsidRPr="00606333">
        <w:rPr>
          <w:lang w:val="fr-FR"/>
        </w:rPr>
        <w:t>RID</w:t>
      </w:r>
      <w:r>
        <w:rPr>
          <w:lang w:val="fr-FR"/>
        </w:rPr>
        <w:t xml:space="preserve"> et de l’</w:t>
      </w:r>
      <w:r w:rsidRPr="00606333">
        <w:rPr>
          <w:lang w:val="fr-FR"/>
        </w:rPr>
        <w:t>ADR, inclure un nouveau libellé à droite après la première phrase (</w:t>
      </w:r>
      <w:r>
        <w:rPr>
          <w:lang w:val="fr-FR"/>
        </w:rPr>
        <w:t xml:space="preserve">le </w:t>
      </w:r>
      <w:r w:rsidRPr="00606333">
        <w:rPr>
          <w:lang w:val="fr-FR"/>
        </w:rPr>
        <w:t>nouveau texte</w:t>
      </w:r>
      <w:r>
        <w:rPr>
          <w:lang w:val="fr-FR"/>
        </w:rPr>
        <w:t xml:space="preserve"> est</w:t>
      </w:r>
      <w:r w:rsidRPr="00606333">
        <w:rPr>
          <w:lang w:val="fr-FR"/>
        </w:rPr>
        <w:t xml:space="preserve"> souligné)</w:t>
      </w:r>
      <w:r>
        <w:rPr>
          <w:lang w:val="fr-FR"/>
        </w:rPr>
        <w:t> :</w:t>
      </w:r>
    </w:p>
    <w:tbl>
      <w:tblPr>
        <w:tblW w:w="7371" w:type="dxa"/>
        <w:tblInd w:w="1134" w:type="dxa"/>
        <w:tblLook w:val="04A0" w:firstRow="1" w:lastRow="0" w:firstColumn="1" w:lastColumn="0" w:noHBand="0" w:noVBand="1"/>
      </w:tblPr>
      <w:tblGrid>
        <w:gridCol w:w="2730"/>
        <w:gridCol w:w="4641"/>
      </w:tblGrid>
      <w:tr w:rsidR="006E61C0" w:rsidRPr="00606333" w14:paraId="7766167B" w14:textId="77777777" w:rsidTr="00CB30E1">
        <w:tc>
          <w:tcPr>
            <w:tcW w:w="2730" w:type="dxa"/>
            <w:tcBorders>
              <w:right w:val="single" w:sz="4" w:space="0" w:color="auto"/>
            </w:tcBorders>
          </w:tcPr>
          <w:p w14:paraId="4E0B87B7" w14:textId="77777777" w:rsidR="006E61C0" w:rsidRPr="00606333" w:rsidRDefault="006E61C0" w:rsidP="00532AE4">
            <w:pPr>
              <w:rPr>
                <w:i/>
                <w:iCs/>
                <w:color w:val="222222"/>
                <w:shd w:val="clear" w:color="auto" w:fill="FFFFFF"/>
                <w:lang w:val="fr-FR"/>
              </w:rPr>
            </w:pPr>
          </w:p>
        </w:tc>
        <w:tc>
          <w:tcPr>
            <w:tcW w:w="4641" w:type="dxa"/>
            <w:tcBorders>
              <w:left w:val="single" w:sz="4" w:space="0" w:color="auto"/>
            </w:tcBorders>
          </w:tcPr>
          <w:p w14:paraId="2B625BBC" w14:textId="2E43448F" w:rsidR="006E61C0" w:rsidRPr="00606333" w:rsidRDefault="006E61C0" w:rsidP="00532AE4">
            <w:pPr>
              <w:rPr>
                <w:color w:val="222222"/>
                <w:u w:val="single"/>
                <w:shd w:val="clear" w:color="auto" w:fill="FFFFFF"/>
                <w:lang w:val="fr-FR"/>
              </w:rPr>
            </w:pPr>
            <w:r>
              <w:rPr>
                <w:color w:val="222222"/>
                <w:u w:val="single"/>
                <w:shd w:val="clear" w:color="auto" w:fill="FFFFFF"/>
                <w:lang w:val="fr-FR"/>
              </w:rPr>
              <w:t>« </w:t>
            </w:r>
            <w:r w:rsidRPr="00606333">
              <w:rPr>
                <w:color w:val="222222"/>
                <w:u w:val="single"/>
                <w:shd w:val="clear" w:color="auto" w:fill="FFFFFF"/>
                <w:lang w:val="fr-FR"/>
              </w:rPr>
              <w:t>Ces ouvertures pour les conteneurs-citernes d</w:t>
            </w:r>
            <w:r>
              <w:rPr>
                <w:color w:val="222222"/>
                <w:u w:val="single"/>
                <w:shd w:val="clear" w:color="auto" w:fill="FFFFFF"/>
                <w:lang w:val="fr-FR"/>
              </w:rPr>
              <w:t>’</w:t>
            </w:r>
            <w:r w:rsidRPr="00606333">
              <w:rPr>
                <w:color w:val="222222"/>
                <w:u w:val="single"/>
                <w:shd w:val="clear" w:color="auto" w:fill="FFFFFF"/>
                <w:lang w:val="fr-FR"/>
              </w:rPr>
              <w:t>une capacité de [plus de 40</w:t>
            </w:r>
            <w:r w:rsidR="00CB30E1">
              <w:rPr>
                <w:color w:val="222222"/>
                <w:u w:val="single"/>
                <w:shd w:val="clear" w:color="auto" w:fill="FFFFFF"/>
                <w:lang w:val="fr-FR"/>
              </w:rPr>
              <w:t> </w:t>
            </w:r>
            <w:r w:rsidRPr="00606333">
              <w:rPr>
                <w:color w:val="222222"/>
                <w:u w:val="single"/>
                <w:shd w:val="clear" w:color="auto" w:fill="FFFFFF"/>
                <w:lang w:val="fr-FR"/>
              </w:rPr>
              <w:t>000</w:t>
            </w:r>
            <w:r w:rsidR="00CB30E1">
              <w:rPr>
                <w:color w:val="222222"/>
                <w:u w:val="single"/>
                <w:shd w:val="clear" w:color="auto" w:fill="FFFFFF"/>
                <w:lang w:val="fr-FR"/>
              </w:rPr>
              <w:t> </w:t>
            </w:r>
            <w:r w:rsidRPr="00606333">
              <w:rPr>
                <w:color w:val="222222"/>
                <w:u w:val="single"/>
                <w:shd w:val="clear" w:color="auto" w:fill="FFFFFF"/>
                <w:lang w:val="fr-FR"/>
              </w:rPr>
              <w:t>litres</w:t>
            </w:r>
            <w:r>
              <w:rPr>
                <w:color w:val="222222"/>
                <w:u w:val="single"/>
                <w:shd w:val="clear" w:color="auto" w:fill="FFFFFF"/>
                <w:lang w:val="fr-FR"/>
              </w:rPr>
              <w:t xml:space="preserve"> ou </w:t>
            </w:r>
            <w:r w:rsidRPr="00606333">
              <w:rPr>
                <w:color w:val="222222"/>
                <w:u w:val="single"/>
                <w:shd w:val="clear" w:color="auto" w:fill="FFFFFF"/>
                <w:lang w:val="fr-FR"/>
              </w:rPr>
              <w:t>36</w:t>
            </w:r>
            <w:r w:rsidR="00CB30E1">
              <w:rPr>
                <w:color w:val="222222"/>
                <w:u w:val="single"/>
                <w:shd w:val="clear" w:color="auto" w:fill="FFFFFF"/>
                <w:lang w:val="fr-FR"/>
              </w:rPr>
              <w:t> </w:t>
            </w:r>
            <w:r w:rsidRPr="00606333">
              <w:rPr>
                <w:color w:val="222222"/>
                <w:u w:val="single"/>
                <w:shd w:val="clear" w:color="auto" w:fill="FFFFFF"/>
                <w:lang w:val="fr-FR"/>
              </w:rPr>
              <w:t>000</w:t>
            </w:r>
            <w:r w:rsidR="00CB30E1">
              <w:rPr>
                <w:color w:val="222222"/>
                <w:u w:val="single"/>
                <w:shd w:val="clear" w:color="auto" w:fill="FFFFFF"/>
                <w:lang w:val="fr-FR"/>
              </w:rPr>
              <w:t> </w:t>
            </w:r>
            <w:r w:rsidRPr="00606333">
              <w:rPr>
                <w:color w:val="222222"/>
                <w:u w:val="single"/>
                <w:shd w:val="clear" w:color="auto" w:fill="FFFFFF"/>
                <w:lang w:val="fr-FR"/>
              </w:rPr>
              <w:t>kg de poids brut] destinés au transport de [</w:t>
            </w:r>
            <w:r w:rsidRPr="001C4614">
              <w:rPr>
                <w:color w:val="222222"/>
                <w:u w:val="single"/>
                <w:shd w:val="clear" w:color="auto" w:fill="FFFFFF"/>
                <w:lang w:val="fr-FR"/>
              </w:rPr>
              <w:t xml:space="preserve">matières </w:t>
            </w:r>
            <w:r w:rsidRPr="00606333">
              <w:rPr>
                <w:color w:val="222222"/>
                <w:u w:val="single"/>
                <w:shd w:val="clear" w:color="auto" w:fill="FFFFFF"/>
                <w:lang w:val="fr-FR"/>
              </w:rPr>
              <w:t>liquides] [matières à l</w:t>
            </w:r>
            <w:r>
              <w:rPr>
                <w:color w:val="222222"/>
                <w:u w:val="single"/>
                <w:shd w:val="clear" w:color="auto" w:fill="FFFFFF"/>
                <w:lang w:val="fr-FR"/>
              </w:rPr>
              <w:t>’</w:t>
            </w:r>
            <w:r w:rsidRPr="00606333">
              <w:rPr>
                <w:color w:val="222222"/>
                <w:u w:val="single"/>
                <w:shd w:val="clear" w:color="auto" w:fill="FFFFFF"/>
                <w:lang w:val="fr-FR"/>
              </w:rPr>
              <w:t xml:space="preserve">état liquide] </w:t>
            </w:r>
            <w:r>
              <w:rPr>
                <w:color w:val="222222"/>
                <w:u w:val="single"/>
                <w:shd w:val="clear" w:color="auto" w:fill="FFFFFF"/>
                <w:lang w:val="fr-FR"/>
              </w:rPr>
              <w:t xml:space="preserve">et </w:t>
            </w:r>
            <w:r w:rsidRPr="00606333">
              <w:rPr>
                <w:color w:val="222222"/>
                <w:u w:val="single"/>
                <w:shd w:val="clear" w:color="auto" w:fill="FFFFFF"/>
                <w:lang w:val="fr-FR"/>
              </w:rPr>
              <w:t>qui ne sont pas divisés par des cloisons ou des brise-flots en sections d</w:t>
            </w:r>
            <w:r>
              <w:rPr>
                <w:color w:val="222222"/>
                <w:u w:val="single"/>
                <w:shd w:val="clear" w:color="auto" w:fill="FFFFFF"/>
                <w:lang w:val="fr-FR"/>
              </w:rPr>
              <w:t>’</w:t>
            </w:r>
            <w:r w:rsidRPr="00606333">
              <w:rPr>
                <w:color w:val="222222"/>
                <w:u w:val="single"/>
                <w:shd w:val="clear" w:color="auto" w:fill="FFFFFF"/>
                <w:lang w:val="fr-FR"/>
              </w:rPr>
              <w:t>une capacité maximale de 7</w:t>
            </w:r>
            <w:r w:rsidR="00CB30E1">
              <w:rPr>
                <w:color w:val="222222"/>
                <w:u w:val="single"/>
                <w:shd w:val="clear" w:color="auto" w:fill="FFFFFF"/>
                <w:lang w:val="fr-FR"/>
              </w:rPr>
              <w:t> </w:t>
            </w:r>
            <w:r w:rsidRPr="00606333">
              <w:rPr>
                <w:color w:val="222222"/>
                <w:u w:val="single"/>
                <w:shd w:val="clear" w:color="auto" w:fill="FFFFFF"/>
                <w:lang w:val="fr-FR"/>
              </w:rPr>
              <w:t>500</w:t>
            </w:r>
            <w:r w:rsidR="00CB30E1">
              <w:rPr>
                <w:color w:val="222222"/>
                <w:u w:val="single"/>
                <w:shd w:val="clear" w:color="auto" w:fill="FFFFFF"/>
                <w:lang w:val="fr-FR"/>
              </w:rPr>
              <w:t> </w:t>
            </w:r>
            <w:r w:rsidRPr="00606333">
              <w:rPr>
                <w:color w:val="222222"/>
                <w:u w:val="single"/>
                <w:shd w:val="clear" w:color="auto" w:fill="FFFFFF"/>
                <w:lang w:val="fr-FR"/>
              </w:rPr>
              <w:t>litres doivent être munies de fermetures conçues pour une pression d</w:t>
            </w:r>
            <w:r>
              <w:rPr>
                <w:color w:val="222222"/>
                <w:u w:val="single"/>
                <w:shd w:val="clear" w:color="auto" w:fill="FFFFFF"/>
                <w:lang w:val="fr-FR"/>
              </w:rPr>
              <w:t>’</w:t>
            </w:r>
            <w:r w:rsidRPr="00606333">
              <w:rPr>
                <w:color w:val="222222"/>
                <w:u w:val="single"/>
                <w:shd w:val="clear" w:color="auto" w:fill="FFFFFF"/>
                <w:lang w:val="fr-FR"/>
              </w:rPr>
              <w:t>épreuve d</w:t>
            </w:r>
            <w:r>
              <w:rPr>
                <w:color w:val="222222"/>
                <w:u w:val="single"/>
                <w:shd w:val="clear" w:color="auto" w:fill="FFFFFF"/>
                <w:lang w:val="fr-FR"/>
              </w:rPr>
              <w:t>’</w:t>
            </w:r>
            <w:r w:rsidRPr="00606333">
              <w:rPr>
                <w:color w:val="222222"/>
                <w:u w:val="single"/>
                <w:shd w:val="clear" w:color="auto" w:fill="FFFFFF"/>
                <w:lang w:val="fr-FR"/>
              </w:rPr>
              <w:t>au moins 0</w:t>
            </w:r>
            <w:r>
              <w:rPr>
                <w:color w:val="222222"/>
                <w:u w:val="single"/>
                <w:shd w:val="clear" w:color="auto" w:fill="FFFFFF"/>
                <w:lang w:val="fr-FR"/>
              </w:rPr>
              <w:t>,</w:t>
            </w:r>
            <w:r w:rsidRPr="00606333">
              <w:rPr>
                <w:color w:val="222222"/>
                <w:u w:val="single"/>
                <w:shd w:val="clear" w:color="auto" w:fill="FFFFFF"/>
                <w:lang w:val="fr-FR"/>
              </w:rPr>
              <w:t>4</w:t>
            </w:r>
            <w:r>
              <w:rPr>
                <w:color w:val="222222"/>
                <w:u w:val="single"/>
                <w:shd w:val="clear" w:color="auto" w:fill="FFFFFF"/>
                <w:lang w:val="fr-FR"/>
              </w:rPr>
              <w:t> </w:t>
            </w:r>
            <w:r w:rsidRPr="00606333">
              <w:rPr>
                <w:color w:val="222222"/>
                <w:u w:val="single"/>
                <w:shd w:val="clear" w:color="auto" w:fill="FFFFFF"/>
                <w:lang w:val="fr-FR"/>
              </w:rPr>
              <w:t>MPa (4</w:t>
            </w:r>
            <w:r>
              <w:rPr>
                <w:color w:val="222222"/>
                <w:u w:val="single"/>
                <w:shd w:val="clear" w:color="auto" w:fill="FFFFFF"/>
                <w:lang w:val="fr-FR"/>
              </w:rPr>
              <w:t> </w:t>
            </w:r>
            <w:r w:rsidRPr="00606333">
              <w:rPr>
                <w:color w:val="222222"/>
                <w:u w:val="single"/>
                <w:shd w:val="clear" w:color="auto" w:fill="FFFFFF"/>
                <w:lang w:val="fr-FR"/>
              </w:rPr>
              <w:t>bar</w:t>
            </w:r>
            <w:r>
              <w:rPr>
                <w:color w:val="222222"/>
                <w:u w:val="single"/>
                <w:shd w:val="clear" w:color="auto" w:fill="FFFFFF"/>
                <w:lang w:val="fr-FR"/>
              </w:rPr>
              <w:t>s</w:t>
            </w:r>
            <w:r w:rsidRPr="00606333">
              <w:rPr>
                <w:color w:val="222222"/>
                <w:u w:val="single"/>
                <w:shd w:val="clear" w:color="auto" w:fill="FFFFFF"/>
                <w:lang w:val="fr-FR"/>
              </w:rPr>
              <w:t>). Les couvercles dôme</w:t>
            </w:r>
            <w:r>
              <w:rPr>
                <w:color w:val="222222"/>
                <w:u w:val="single"/>
                <w:shd w:val="clear" w:color="auto" w:fill="FFFFFF"/>
                <w:lang w:val="fr-FR"/>
              </w:rPr>
              <w:t>s</w:t>
            </w:r>
            <w:r w:rsidRPr="00606333">
              <w:rPr>
                <w:color w:val="222222"/>
                <w:u w:val="single"/>
                <w:shd w:val="clear" w:color="auto" w:fill="FFFFFF"/>
                <w:lang w:val="fr-FR"/>
              </w:rPr>
              <w:t xml:space="preserve"> à charnière pour ces conteneurs-citernes dont la pression d</w:t>
            </w:r>
            <w:r>
              <w:rPr>
                <w:color w:val="222222"/>
                <w:u w:val="single"/>
                <w:shd w:val="clear" w:color="auto" w:fill="FFFFFF"/>
                <w:lang w:val="fr-FR"/>
              </w:rPr>
              <w:t>’</w:t>
            </w:r>
            <w:r w:rsidRPr="00606333">
              <w:rPr>
                <w:color w:val="222222"/>
                <w:u w:val="single"/>
                <w:shd w:val="clear" w:color="auto" w:fill="FFFFFF"/>
                <w:lang w:val="fr-FR"/>
              </w:rPr>
              <w:t>épreuve est supérieure à 0,6</w:t>
            </w:r>
            <w:r w:rsidR="00CB30E1">
              <w:rPr>
                <w:color w:val="222222"/>
                <w:u w:val="single"/>
                <w:shd w:val="clear" w:color="auto" w:fill="FFFFFF"/>
                <w:lang w:val="fr-FR"/>
              </w:rPr>
              <w:t> </w:t>
            </w:r>
            <w:r w:rsidRPr="00606333">
              <w:rPr>
                <w:color w:val="222222"/>
                <w:u w:val="single"/>
                <w:shd w:val="clear" w:color="auto" w:fill="FFFFFF"/>
                <w:lang w:val="fr-FR"/>
              </w:rPr>
              <w:t>MPa (6 bars) ne sont pas autorisés.</w:t>
            </w:r>
            <w:r>
              <w:rPr>
                <w:color w:val="222222"/>
                <w:u w:val="single"/>
                <w:shd w:val="clear" w:color="auto" w:fill="FFFFFF"/>
                <w:lang w:val="fr-FR"/>
              </w:rPr>
              <w:t> ».</w:t>
            </w:r>
            <w:r w:rsidRPr="00606333">
              <w:rPr>
                <w:color w:val="222222"/>
                <w:u w:val="single"/>
                <w:shd w:val="clear" w:color="auto" w:fill="FFFFFF"/>
                <w:lang w:val="fr-FR"/>
              </w:rPr>
              <w:t>]</w:t>
            </w:r>
          </w:p>
        </w:tc>
      </w:tr>
    </w:tbl>
    <w:p w14:paraId="22796F10" w14:textId="77777777" w:rsidR="006E61C0" w:rsidRPr="00606333" w:rsidRDefault="006E61C0" w:rsidP="00CB30E1">
      <w:pPr>
        <w:pStyle w:val="H23G"/>
        <w:keepNext w:val="0"/>
        <w:rPr>
          <w:lang w:val="fr-FR"/>
        </w:rPr>
      </w:pPr>
      <w:r w:rsidRPr="00606333">
        <w:rPr>
          <w:lang w:val="fr-FR"/>
        </w:rPr>
        <w:lastRenderedPageBreak/>
        <w:tab/>
      </w:r>
      <w:r w:rsidRPr="00606333">
        <w:rPr>
          <w:lang w:val="fr-FR"/>
        </w:rPr>
        <w:tab/>
        <w:t>Proposition 2</w:t>
      </w:r>
      <w:r>
        <w:rPr>
          <w:lang w:val="fr-FR"/>
        </w:rPr>
        <w:t> :</w:t>
      </w:r>
      <w:r w:rsidRPr="00606333">
        <w:rPr>
          <w:lang w:val="fr-FR"/>
        </w:rPr>
        <w:t xml:space="preserve"> </w:t>
      </w:r>
      <w:r>
        <w:rPr>
          <w:lang w:val="fr-FR"/>
        </w:rPr>
        <w:t>ajouter</w:t>
      </w:r>
      <w:r w:rsidRPr="00606333">
        <w:rPr>
          <w:lang w:val="fr-FR"/>
        </w:rPr>
        <w:t xml:space="preserve"> une nouvelle mesure transitoire</w:t>
      </w:r>
      <w:r>
        <w:rPr>
          <w:lang w:val="fr-FR"/>
        </w:rPr>
        <w:t>,</w:t>
      </w:r>
      <w:r w:rsidRPr="00606333">
        <w:rPr>
          <w:lang w:val="fr-FR"/>
        </w:rPr>
        <w:t xml:space="preserve"> libellée comme suit</w:t>
      </w:r>
      <w:r>
        <w:rPr>
          <w:lang w:val="fr-FR"/>
        </w:rPr>
        <w:t> :</w:t>
      </w:r>
    </w:p>
    <w:p w14:paraId="27A66E63" w14:textId="62DF1836" w:rsidR="006E61C0" w:rsidRPr="00606333" w:rsidRDefault="006E61C0" w:rsidP="00CB30E1">
      <w:pPr>
        <w:pStyle w:val="SingleTxtG"/>
        <w:ind w:left="2268" w:hanging="1134"/>
        <w:rPr>
          <w:shd w:val="clear" w:color="auto" w:fill="FFFFFF"/>
          <w:lang w:val="fr-FR"/>
        </w:rPr>
      </w:pPr>
      <w:r>
        <w:rPr>
          <w:lang w:val="fr-FR"/>
        </w:rPr>
        <w:t>« </w:t>
      </w:r>
      <w:r w:rsidRPr="00606333">
        <w:rPr>
          <w:shd w:val="clear" w:color="auto" w:fill="FFFFFF"/>
          <w:lang w:val="fr-FR"/>
        </w:rPr>
        <w:t>[1.6.4.xx</w:t>
      </w:r>
      <w:r>
        <w:rPr>
          <w:shd w:val="clear" w:color="auto" w:fill="FFFFFF"/>
          <w:lang w:val="fr-FR"/>
        </w:rPr>
        <w:tab/>
      </w:r>
      <w:r w:rsidRPr="00606333">
        <w:rPr>
          <w:shd w:val="clear" w:color="auto" w:fill="FFFFFF"/>
          <w:lang w:val="fr-FR"/>
        </w:rPr>
        <w:t>Les conteneurs-citernes construits avant le 1</w:t>
      </w:r>
      <w:r w:rsidRPr="00ED1F05">
        <w:rPr>
          <w:shd w:val="clear" w:color="auto" w:fill="FFFFFF"/>
          <w:vertAlign w:val="superscript"/>
          <w:lang w:val="fr-FR"/>
        </w:rPr>
        <w:t>er</w:t>
      </w:r>
      <w:r>
        <w:rPr>
          <w:shd w:val="clear" w:color="auto" w:fill="FFFFFF"/>
          <w:lang w:val="fr-FR"/>
        </w:rPr>
        <w:t> </w:t>
      </w:r>
      <w:r w:rsidRPr="00606333">
        <w:rPr>
          <w:shd w:val="clear" w:color="auto" w:fill="FFFFFF"/>
          <w:lang w:val="fr-FR"/>
        </w:rPr>
        <w:t>juillet 2023 conformément aux prescriptions en vigueur jusqu</w:t>
      </w:r>
      <w:r>
        <w:rPr>
          <w:shd w:val="clear" w:color="auto" w:fill="FFFFFF"/>
          <w:lang w:val="fr-FR"/>
        </w:rPr>
        <w:t>’</w:t>
      </w:r>
      <w:r w:rsidRPr="00606333">
        <w:rPr>
          <w:shd w:val="clear" w:color="auto" w:fill="FFFFFF"/>
          <w:lang w:val="fr-FR"/>
        </w:rPr>
        <w:t>au 31</w:t>
      </w:r>
      <w:r w:rsidR="00CB30E1">
        <w:rPr>
          <w:shd w:val="clear" w:color="auto" w:fill="FFFFFF"/>
          <w:lang w:val="fr-FR"/>
        </w:rPr>
        <w:t> </w:t>
      </w:r>
      <w:r w:rsidRPr="00606333">
        <w:rPr>
          <w:shd w:val="clear" w:color="auto" w:fill="FFFFFF"/>
          <w:lang w:val="fr-FR"/>
        </w:rPr>
        <w:t>décembre 2022, mais qui ne sont pas conformes aux prescriptions du deuxième alinéa</w:t>
      </w:r>
      <w:r>
        <w:rPr>
          <w:shd w:val="clear" w:color="auto" w:fill="FFFFFF"/>
          <w:lang w:val="fr-FR"/>
        </w:rPr>
        <w:t xml:space="preserve"> du</w:t>
      </w:r>
      <w:r w:rsidRPr="00606333">
        <w:rPr>
          <w:shd w:val="clear" w:color="auto" w:fill="FFFFFF"/>
          <w:lang w:val="fr-FR"/>
        </w:rPr>
        <w:t xml:space="preserve"> 6.8.2.2.4 applicables à partir du 1</w:t>
      </w:r>
      <w:r w:rsidRPr="00544C67">
        <w:rPr>
          <w:shd w:val="clear" w:color="auto" w:fill="FFFFFF"/>
          <w:vertAlign w:val="superscript"/>
          <w:lang w:val="fr-FR"/>
        </w:rPr>
        <w:t>er</w:t>
      </w:r>
      <w:r w:rsidR="00CB30E1">
        <w:rPr>
          <w:shd w:val="clear" w:color="auto" w:fill="FFFFFF"/>
          <w:lang w:val="fr-FR"/>
        </w:rPr>
        <w:t> </w:t>
      </w:r>
      <w:r w:rsidRPr="00606333">
        <w:rPr>
          <w:shd w:val="clear" w:color="auto" w:fill="FFFFFF"/>
          <w:lang w:val="fr-FR"/>
        </w:rPr>
        <w:t xml:space="preserve">janvier 2023, pourront </w:t>
      </w:r>
      <w:r>
        <w:rPr>
          <w:shd w:val="clear" w:color="auto" w:fill="FFFFFF"/>
          <w:lang w:val="fr-FR"/>
        </w:rPr>
        <w:t>continuer</w:t>
      </w:r>
      <w:r w:rsidRPr="00606333">
        <w:rPr>
          <w:shd w:val="clear" w:color="auto" w:fill="FFFFFF"/>
          <w:lang w:val="fr-FR"/>
        </w:rPr>
        <w:t xml:space="preserve"> </w:t>
      </w:r>
      <w:r>
        <w:rPr>
          <w:shd w:val="clear" w:color="auto" w:fill="FFFFFF"/>
          <w:lang w:val="fr-FR"/>
        </w:rPr>
        <w:t>d’</w:t>
      </w:r>
      <w:r w:rsidRPr="00606333">
        <w:rPr>
          <w:shd w:val="clear" w:color="auto" w:fill="FFFFFF"/>
          <w:lang w:val="fr-FR"/>
        </w:rPr>
        <w:t>être utilisés</w:t>
      </w:r>
      <w:r>
        <w:rPr>
          <w:shd w:val="clear" w:color="auto" w:fill="FFFFFF"/>
          <w:lang w:val="fr-FR"/>
        </w:rPr>
        <w:t>.</w:t>
      </w:r>
      <w:r w:rsidRPr="00606333">
        <w:rPr>
          <w:shd w:val="clear" w:color="auto" w:fill="FFFFFF"/>
          <w:lang w:val="fr-FR"/>
        </w:rPr>
        <w:t>]</w:t>
      </w:r>
      <w:r>
        <w:rPr>
          <w:lang w:val="fr-FR"/>
        </w:rPr>
        <w:t> ».</w:t>
      </w:r>
    </w:p>
    <w:p w14:paraId="36E5A0EF" w14:textId="474E3702" w:rsidR="006E61C0" w:rsidRPr="00606333" w:rsidRDefault="00CB30E1" w:rsidP="00CB30E1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6E61C0" w:rsidRPr="00606333">
        <w:rPr>
          <w:lang w:val="fr-FR"/>
        </w:rPr>
        <w:t>Point 2</w:t>
      </w:r>
      <w:bookmarkStart w:id="0" w:name="_Hlk50936435"/>
      <w:r w:rsidR="006E61C0">
        <w:rPr>
          <w:lang w:val="fr-FR"/>
        </w:rPr>
        <w:t> :</w:t>
      </w:r>
      <w:r w:rsidR="006E61C0" w:rsidRPr="00606333">
        <w:rPr>
          <w:lang w:val="fr-FR"/>
        </w:rPr>
        <w:t xml:space="preserve"> </w:t>
      </w:r>
      <w:bookmarkEnd w:id="0"/>
      <w:r w:rsidR="006E61C0">
        <w:rPr>
          <w:lang w:val="fr-FR"/>
        </w:rPr>
        <w:t>Précis</w:t>
      </w:r>
      <w:r w:rsidR="006E61C0" w:rsidRPr="00606333">
        <w:rPr>
          <w:lang w:val="fr-FR"/>
        </w:rPr>
        <w:t xml:space="preserve">ion </w:t>
      </w:r>
      <w:r w:rsidR="006E61C0">
        <w:rPr>
          <w:lang w:val="fr-FR"/>
        </w:rPr>
        <w:t>concernant l</w:t>
      </w:r>
      <w:r w:rsidR="006E61C0" w:rsidRPr="00606333">
        <w:rPr>
          <w:lang w:val="fr-FR"/>
        </w:rPr>
        <w:t>es dates d</w:t>
      </w:r>
      <w:r w:rsidR="006E61C0">
        <w:rPr>
          <w:lang w:val="fr-FR"/>
        </w:rPr>
        <w:t>’</w:t>
      </w:r>
      <w:r w:rsidR="006E61C0" w:rsidRPr="00606333">
        <w:rPr>
          <w:lang w:val="fr-FR"/>
        </w:rPr>
        <w:t>expiration des inspections dans les chapitres 6.8, 6.10 et 6.12</w:t>
      </w:r>
    </w:p>
    <w:p w14:paraId="225BC9EB" w14:textId="276EDF64" w:rsidR="006E61C0" w:rsidRPr="00606333" w:rsidRDefault="006E61C0" w:rsidP="00CB30E1">
      <w:pPr>
        <w:pStyle w:val="SingleTxtG"/>
        <w:rPr>
          <w:lang w:val="fr-FR"/>
        </w:rPr>
      </w:pPr>
      <w:r w:rsidRPr="00606333">
        <w:rPr>
          <w:i/>
          <w:lang w:val="fr-FR"/>
        </w:rPr>
        <w:t>Documen</w:t>
      </w:r>
      <w:r>
        <w:rPr>
          <w:i/>
          <w:lang w:val="fr-FR"/>
        </w:rPr>
        <w:t>t(s)</w:t>
      </w:r>
      <w:r w:rsidRPr="00CB30E1">
        <w:rPr>
          <w:iCs/>
          <w:lang w:val="fr-FR"/>
        </w:rPr>
        <w:t> :</w:t>
      </w:r>
      <w:r w:rsidRPr="00606333">
        <w:rPr>
          <w:lang w:val="fr-FR"/>
        </w:rPr>
        <w:tab/>
        <w:t>ECE/TRANS/WP.15/AC.1/2021/19 (Royaume-Uni)</w:t>
      </w:r>
      <w:r w:rsidR="00CB30E1">
        <w:rPr>
          <w:lang w:val="fr-FR"/>
        </w:rPr>
        <w:t>.</w:t>
      </w:r>
    </w:p>
    <w:p w14:paraId="365DEEB9" w14:textId="77777777" w:rsidR="006E61C0" w:rsidRPr="00606333" w:rsidRDefault="006E61C0" w:rsidP="00CB30E1">
      <w:pPr>
        <w:pStyle w:val="SingleTxtG"/>
        <w:rPr>
          <w:lang w:val="fr-FR"/>
        </w:rPr>
      </w:pPr>
      <w:r w:rsidRPr="00606333">
        <w:rPr>
          <w:lang w:val="fr-FR"/>
        </w:rPr>
        <w:t>7.</w:t>
      </w:r>
      <w:r w:rsidRPr="00606333">
        <w:rPr>
          <w:lang w:val="fr-FR"/>
        </w:rPr>
        <w:tab/>
        <w:t xml:space="preserve">Les experts ont </w:t>
      </w:r>
      <w:r>
        <w:rPr>
          <w:lang w:val="fr-FR"/>
        </w:rPr>
        <w:t>appuyé</w:t>
      </w:r>
      <w:r w:rsidRPr="00606333">
        <w:rPr>
          <w:lang w:val="fr-FR"/>
        </w:rPr>
        <w:t xml:space="preserve"> les propos</w:t>
      </w:r>
      <w:r>
        <w:rPr>
          <w:lang w:val="fr-FR"/>
        </w:rPr>
        <w:t>ition</w:t>
      </w:r>
      <w:r w:rsidRPr="00606333">
        <w:rPr>
          <w:lang w:val="fr-FR"/>
        </w:rPr>
        <w:t xml:space="preserve">s </w:t>
      </w:r>
      <w:r>
        <w:rPr>
          <w:lang w:val="fr-FR"/>
        </w:rPr>
        <w:t>d’</w:t>
      </w:r>
      <w:r w:rsidRPr="00606333">
        <w:rPr>
          <w:lang w:val="fr-FR"/>
        </w:rPr>
        <w:t xml:space="preserve">amendement </w:t>
      </w:r>
      <w:r>
        <w:rPr>
          <w:lang w:val="fr-FR"/>
        </w:rPr>
        <w:t>visant à</w:t>
      </w:r>
      <w:r w:rsidRPr="00606333">
        <w:rPr>
          <w:lang w:val="fr-FR"/>
        </w:rPr>
        <w:t xml:space="preserve"> </w:t>
      </w:r>
      <w:r>
        <w:rPr>
          <w:lang w:val="fr-FR"/>
        </w:rPr>
        <w:t>précis</w:t>
      </w:r>
      <w:r w:rsidRPr="00606333">
        <w:rPr>
          <w:lang w:val="fr-FR"/>
        </w:rPr>
        <w:t>er les dates d</w:t>
      </w:r>
      <w:r>
        <w:rPr>
          <w:lang w:val="fr-FR"/>
        </w:rPr>
        <w:t>’</w:t>
      </w:r>
      <w:r w:rsidRPr="00606333">
        <w:rPr>
          <w:lang w:val="fr-FR"/>
        </w:rPr>
        <w:t xml:space="preserve">inspection et </w:t>
      </w:r>
      <w:r>
        <w:rPr>
          <w:lang w:val="fr-FR"/>
        </w:rPr>
        <w:t>à</w:t>
      </w:r>
      <w:r w:rsidRPr="00606333">
        <w:rPr>
          <w:lang w:val="fr-FR"/>
        </w:rPr>
        <w:t xml:space="preserve"> harmoniser </w:t>
      </w:r>
      <w:r>
        <w:rPr>
          <w:lang w:val="fr-FR"/>
        </w:rPr>
        <w:t xml:space="preserve">les termes employés </w:t>
      </w:r>
      <w:r w:rsidRPr="00606333">
        <w:rPr>
          <w:lang w:val="fr-FR"/>
        </w:rPr>
        <w:t xml:space="preserve">avec </w:t>
      </w:r>
      <w:r>
        <w:rPr>
          <w:lang w:val="fr-FR"/>
        </w:rPr>
        <w:t xml:space="preserve">ceux </w:t>
      </w:r>
      <w:r w:rsidRPr="00606333">
        <w:rPr>
          <w:lang w:val="fr-FR"/>
        </w:rPr>
        <w:t xml:space="preserve">utilisés au </w:t>
      </w:r>
      <w:r>
        <w:rPr>
          <w:lang w:val="fr-FR"/>
        </w:rPr>
        <w:t>chapitre </w:t>
      </w:r>
      <w:r w:rsidRPr="00606333">
        <w:rPr>
          <w:lang w:val="fr-FR"/>
        </w:rPr>
        <w:t>6.7. Les amendements s</w:t>
      </w:r>
      <w:r>
        <w:rPr>
          <w:lang w:val="fr-FR"/>
        </w:rPr>
        <w:t>’</w:t>
      </w:r>
      <w:r w:rsidRPr="00606333">
        <w:rPr>
          <w:lang w:val="fr-FR"/>
        </w:rPr>
        <w:t>appliquent en principe à la version anglaise du RID et de l</w:t>
      </w:r>
      <w:r>
        <w:rPr>
          <w:lang w:val="fr-FR"/>
        </w:rPr>
        <w:t>’</w:t>
      </w:r>
      <w:r w:rsidRPr="00606333">
        <w:rPr>
          <w:lang w:val="fr-FR"/>
        </w:rPr>
        <w:t xml:space="preserve">ADR, mais des amendements </w:t>
      </w:r>
      <w:r>
        <w:rPr>
          <w:lang w:val="fr-FR"/>
        </w:rPr>
        <w:t xml:space="preserve">de </w:t>
      </w:r>
      <w:r w:rsidRPr="00606333">
        <w:rPr>
          <w:lang w:val="fr-FR"/>
        </w:rPr>
        <w:t>conséquen</w:t>
      </w:r>
      <w:r>
        <w:rPr>
          <w:lang w:val="fr-FR"/>
        </w:rPr>
        <w:t>ce</w:t>
      </w:r>
      <w:r w:rsidRPr="00606333">
        <w:rPr>
          <w:lang w:val="fr-FR"/>
        </w:rPr>
        <w:t xml:space="preserve"> </w:t>
      </w:r>
      <w:r>
        <w:rPr>
          <w:lang w:val="fr-FR"/>
        </w:rPr>
        <w:t xml:space="preserve">sont nécessaires </w:t>
      </w:r>
      <w:r w:rsidRPr="00606333">
        <w:rPr>
          <w:lang w:val="fr-FR"/>
        </w:rPr>
        <w:t>dans les autres versions linguistiques.</w:t>
      </w:r>
    </w:p>
    <w:p w14:paraId="4C9C0B71" w14:textId="77777777" w:rsidR="006E61C0" w:rsidRPr="00606333" w:rsidRDefault="006E61C0" w:rsidP="00CB30E1">
      <w:pPr>
        <w:pStyle w:val="H23G"/>
        <w:rPr>
          <w:lang w:val="fr-FR"/>
        </w:rPr>
      </w:pPr>
      <w:r w:rsidRPr="00606333">
        <w:rPr>
          <w:lang w:val="fr-FR"/>
        </w:rPr>
        <w:tab/>
      </w:r>
      <w:r w:rsidRPr="00606333">
        <w:rPr>
          <w:lang w:val="fr-FR"/>
        </w:rPr>
        <w:tab/>
        <w:t>Proposition 3</w:t>
      </w:r>
      <w:r>
        <w:rPr>
          <w:lang w:val="fr-FR"/>
        </w:rPr>
        <w:t> :</w:t>
      </w:r>
      <w:r w:rsidRPr="00606333">
        <w:rPr>
          <w:lang w:val="fr-FR"/>
        </w:rPr>
        <w:t xml:space="preserve"> modifier les 6.8.2.4.3, 6.8.3.4.6, 6.8.4, 6.10.4 et 6.12.3.2.6 comme suit (le</w:t>
      </w:r>
      <w:r>
        <w:rPr>
          <w:lang w:val="fr-FR"/>
        </w:rPr>
        <w:t xml:space="preserve">s ajouts sont </w:t>
      </w:r>
      <w:r w:rsidRPr="00606333">
        <w:rPr>
          <w:lang w:val="fr-FR"/>
        </w:rPr>
        <w:t>souligné</w:t>
      </w:r>
      <w:r>
        <w:rPr>
          <w:lang w:val="fr-FR"/>
        </w:rPr>
        <w:t>s</w:t>
      </w:r>
      <w:r w:rsidRPr="00606333">
        <w:rPr>
          <w:lang w:val="fr-FR"/>
        </w:rPr>
        <w:t xml:space="preserve"> et le</w:t>
      </w:r>
      <w:r>
        <w:rPr>
          <w:lang w:val="fr-FR"/>
        </w:rPr>
        <w:t>s</w:t>
      </w:r>
      <w:r w:rsidRPr="00606333">
        <w:rPr>
          <w:lang w:val="fr-FR"/>
        </w:rPr>
        <w:t xml:space="preserve"> suppr</w:t>
      </w:r>
      <w:r>
        <w:rPr>
          <w:lang w:val="fr-FR"/>
        </w:rPr>
        <w:t>essions</w:t>
      </w:r>
      <w:r w:rsidRPr="00606333">
        <w:rPr>
          <w:lang w:val="fr-FR"/>
        </w:rPr>
        <w:t xml:space="preserve"> </w:t>
      </w:r>
      <w:r>
        <w:rPr>
          <w:lang w:val="fr-FR"/>
        </w:rPr>
        <w:t>sont</w:t>
      </w:r>
      <w:r w:rsidRPr="00606333">
        <w:rPr>
          <w:lang w:val="fr-FR"/>
        </w:rPr>
        <w:t xml:space="preserve"> b</w:t>
      </w:r>
      <w:r>
        <w:rPr>
          <w:lang w:val="fr-FR"/>
        </w:rPr>
        <w:t>iff</w:t>
      </w:r>
      <w:r w:rsidRPr="00606333">
        <w:rPr>
          <w:lang w:val="fr-FR"/>
        </w:rPr>
        <w:t>é</w:t>
      </w:r>
      <w:r>
        <w:rPr>
          <w:lang w:val="fr-FR"/>
        </w:rPr>
        <w:t>es</w:t>
      </w:r>
      <w:r w:rsidRPr="00606333">
        <w:rPr>
          <w:lang w:val="fr-FR"/>
        </w:rPr>
        <w:t>)</w:t>
      </w:r>
      <w:r>
        <w:rPr>
          <w:lang w:val="fr-FR"/>
        </w:rPr>
        <w:t> :</w:t>
      </w:r>
    </w:p>
    <w:p w14:paraId="196FDEE5" w14:textId="210F1676" w:rsidR="006E61C0" w:rsidRDefault="006E61C0" w:rsidP="00335C46">
      <w:pPr>
        <w:pStyle w:val="SingleTxtG"/>
        <w:ind w:left="2268" w:hanging="1134"/>
        <w:rPr>
          <w:strike/>
          <w:lang w:val="fr-FR"/>
        </w:rPr>
      </w:pPr>
      <w:r w:rsidRPr="00B97EF5">
        <w:rPr>
          <w:lang w:val="fr-FR"/>
        </w:rPr>
        <w:t>« 6.8.2.4.3</w:t>
      </w:r>
      <w:r w:rsidRPr="00B97EF5">
        <w:rPr>
          <w:lang w:val="fr-FR"/>
        </w:rPr>
        <w:tab/>
        <w:t xml:space="preserve">Les réservoirs et leurs équipements doivent être soumis à des contrôles </w:t>
      </w:r>
      <w:bookmarkStart w:id="1" w:name="_Hlk62041534"/>
      <w:r w:rsidRPr="00B97EF5">
        <w:rPr>
          <w:lang w:val="fr-FR"/>
        </w:rPr>
        <w:t xml:space="preserve">intermédiaires </w:t>
      </w:r>
      <w:bookmarkStart w:id="2" w:name="_Hlk62041587"/>
      <w:bookmarkStart w:id="3" w:name="_Hlk62041568"/>
      <w:bookmarkEnd w:id="1"/>
      <w:r w:rsidRPr="00E407BB">
        <w:rPr>
          <w:u w:val="single"/>
          <w:lang w:val="fr-FR"/>
        </w:rPr>
        <w:t>au plus tard</w:t>
      </w:r>
      <w:r w:rsidRPr="00F6225F">
        <w:rPr>
          <w:strike/>
          <w:lang w:val="fr-FR"/>
        </w:rPr>
        <w:t xml:space="preserve"> </w:t>
      </w:r>
      <w:r w:rsidRPr="00AD0B57">
        <w:rPr>
          <w:strike/>
          <w:lang w:val="fr-FR"/>
        </w:rPr>
        <w:t>tous les</w:t>
      </w:r>
    </w:p>
    <w:tbl>
      <w:tblPr>
        <w:tblStyle w:val="TableGrid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9"/>
        <w:gridCol w:w="3523"/>
      </w:tblGrid>
      <w:tr w:rsidR="00335C46" w:rsidRPr="00335C46" w14:paraId="66BD640D" w14:textId="77777777" w:rsidTr="00532AE4">
        <w:trPr>
          <w:trHeight w:val="87"/>
        </w:trPr>
        <w:tc>
          <w:tcPr>
            <w:tcW w:w="4089" w:type="dxa"/>
            <w:tcBorders>
              <w:right w:val="single" w:sz="4" w:space="0" w:color="auto"/>
            </w:tcBorders>
          </w:tcPr>
          <w:p w14:paraId="70B63D16" w14:textId="72185162" w:rsidR="00335C46" w:rsidRPr="00335C46" w:rsidRDefault="00335C46" w:rsidP="00532AE4">
            <w:pPr>
              <w:pStyle w:val="NormalWeb"/>
              <w:spacing w:after="120" w:afterAutospacing="0"/>
              <w:ind w:left="970" w:right="1134"/>
              <w:jc w:val="both"/>
              <w:rPr>
                <w:sz w:val="20"/>
                <w:szCs w:val="20"/>
                <w:lang w:val="fr-CH"/>
              </w:rPr>
            </w:pPr>
            <w:r w:rsidRPr="00335C46">
              <w:rPr>
                <w:sz w:val="20"/>
                <w:szCs w:val="20"/>
                <w:lang w:val="fr-CH"/>
              </w:rPr>
              <w:t>quatre ans (RID)/trois ans (ADR)</w:t>
            </w:r>
          </w:p>
        </w:tc>
        <w:tc>
          <w:tcPr>
            <w:tcW w:w="3523" w:type="dxa"/>
            <w:tcBorders>
              <w:left w:val="single" w:sz="4" w:space="0" w:color="auto"/>
            </w:tcBorders>
          </w:tcPr>
          <w:p w14:paraId="1A526A1C" w14:textId="477F9C38" w:rsidR="00335C46" w:rsidRPr="00756253" w:rsidRDefault="00335C46" w:rsidP="00532AE4">
            <w:pPr>
              <w:pStyle w:val="NormalWeb"/>
              <w:ind w:left="280" w:right="1134"/>
              <w:jc w:val="both"/>
              <w:rPr>
                <w:sz w:val="20"/>
                <w:szCs w:val="20"/>
              </w:rPr>
            </w:pPr>
            <w:r w:rsidRPr="00335C46">
              <w:rPr>
                <w:sz w:val="20"/>
                <w:szCs w:val="20"/>
              </w:rPr>
              <w:t>deux ans et demi</w:t>
            </w:r>
          </w:p>
        </w:tc>
      </w:tr>
    </w:tbl>
    <w:bookmarkEnd w:id="2"/>
    <w:p w14:paraId="2AB8CF53" w14:textId="77777777" w:rsidR="006E61C0" w:rsidRDefault="006E61C0" w:rsidP="00335C46">
      <w:pPr>
        <w:pStyle w:val="SingleTxtG"/>
        <w:ind w:left="2268"/>
        <w:rPr>
          <w:lang w:val="fr-FR"/>
        </w:rPr>
      </w:pPr>
      <w:r>
        <w:rPr>
          <w:lang w:val="fr-FR"/>
        </w:rPr>
        <w:tab/>
      </w:r>
      <w:bookmarkStart w:id="4" w:name="_Hlk62041633"/>
      <w:bookmarkEnd w:id="3"/>
      <w:r w:rsidRPr="0057561C">
        <w:rPr>
          <w:lang w:val="fr-FR"/>
        </w:rPr>
        <w:t>après le contrôle initial et chaque contrôle périodique. Ces contrôles intermédiaires peuvent être effectués dans les trois mois avant ou après la date spécifiée.</w:t>
      </w:r>
    </w:p>
    <w:p w14:paraId="0EF6714E" w14:textId="77777777" w:rsidR="006E61C0" w:rsidRDefault="006E61C0" w:rsidP="00335C46">
      <w:pPr>
        <w:pStyle w:val="SingleTxtG"/>
        <w:ind w:left="2268"/>
        <w:rPr>
          <w:lang w:val="fr-FR"/>
        </w:rPr>
      </w:pPr>
      <w:r w:rsidRPr="0057561C">
        <w:rPr>
          <w:lang w:val="fr-FR"/>
        </w:rPr>
        <w:t>Cependant, le contrôle intermédiaire peut être effectué à tout moment avant la date spécifiée.</w:t>
      </w:r>
    </w:p>
    <w:p w14:paraId="1F65821F" w14:textId="4F2D533E" w:rsidR="006E61C0" w:rsidRDefault="006E61C0" w:rsidP="00335C46">
      <w:pPr>
        <w:pStyle w:val="SingleTxtG"/>
        <w:ind w:left="2268"/>
        <w:rPr>
          <w:lang w:val="fr-FR"/>
        </w:rPr>
      </w:pPr>
      <w:r w:rsidRPr="0057561C">
        <w:rPr>
          <w:lang w:val="fr-FR"/>
        </w:rPr>
        <w:t xml:space="preserve">Si un contrôle intermédiaire est effectué plus de trois mois avant la date </w:t>
      </w:r>
      <w:r w:rsidRPr="00E407BB">
        <w:rPr>
          <w:strike/>
          <w:lang w:val="fr-FR"/>
        </w:rPr>
        <w:t>prévue</w:t>
      </w:r>
      <w:r>
        <w:rPr>
          <w:lang w:val="fr-FR"/>
        </w:rPr>
        <w:t xml:space="preserve"> </w:t>
      </w:r>
      <w:r w:rsidRPr="00E407BB">
        <w:rPr>
          <w:u w:val="single"/>
          <w:lang w:val="fr-FR"/>
        </w:rPr>
        <w:t>spécifiée</w:t>
      </w:r>
      <w:r w:rsidRPr="0057561C">
        <w:rPr>
          <w:lang w:val="fr-FR"/>
        </w:rPr>
        <w:t>, un autre contrôle intermédiaire doit être effectué au plus tard</w:t>
      </w:r>
    </w:p>
    <w:tbl>
      <w:tblPr>
        <w:tblStyle w:val="TableGrid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716"/>
      </w:tblGrid>
      <w:tr w:rsidR="00335C46" w:rsidRPr="00335C46" w14:paraId="5C8D38B2" w14:textId="77777777" w:rsidTr="00532AE4">
        <w:tc>
          <w:tcPr>
            <w:tcW w:w="4111" w:type="dxa"/>
          </w:tcPr>
          <w:p w14:paraId="069E8130" w14:textId="39FF50D4" w:rsidR="00335C46" w:rsidRPr="00335C46" w:rsidRDefault="00335C46" w:rsidP="00532AE4">
            <w:pPr>
              <w:pStyle w:val="NormalWeb"/>
              <w:spacing w:after="120" w:afterAutospacing="0"/>
              <w:ind w:left="970" w:right="1134"/>
              <w:jc w:val="both"/>
              <w:rPr>
                <w:sz w:val="20"/>
                <w:szCs w:val="20"/>
                <w:lang w:val="fr-CH"/>
              </w:rPr>
            </w:pPr>
            <w:r w:rsidRPr="00335C46">
              <w:rPr>
                <w:sz w:val="20"/>
                <w:szCs w:val="20"/>
                <w:lang w:val="fr-CH"/>
              </w:rPr>
              <w:t>quatre ans (RID)/trois ans (ADR)</w:t>
            </w:r>
          </w:p>
        </w:tc>
        <w:tc>
          <w:tcPr>
            <w:tcW w:w="3716" w:type="dxa"/>
          </w:tcPr>
          <w:p w14:paraId="09CEC5F7" w14:textId="2E0D1392" w:rsidR="00335C46" w:rsidRPr="00756253" w:rsidRDefault="00335C46" w:rsidP="00532AE4">
            <w:pPr>
              <w:pStyle w:val="NormalWeb"/>
              <w:ind w:left="142" w:right="1134"/>
              <w:jc w:val="both"/>
              <w:rPr>
                <w:sz w:val="20"/>
                <w:szCs w:val="20"/>
              </w:rPr>
            </w:pPr>
            <w:r w:rsidRPr="00335C46">
              <w:rPr>
                <w:sz w:val="20"/>
                <w:szCs w:val="20"/>
              </w:rPr>
              <w:t>deux ans et demi</w:t>
            </w:r>
          </w:p>
        </w:tc>
      </w:tr>
    </w:tbl>
    <w:p w14:paraId="1D7D3CEF" w14:textId="77777777" w:rsidR="006E61C0" w:rsidRDefault="006E61C0" w:rsidP="00335C46">
      <w:pPr>
        <w:pStyle w:val="SingleTxtG"/>
        <w:ind w:left="2268"/>
        <w:rPr>
          <w:lang w:val="fr-FR"/>
        </w:rPr>
      </w:pPr>
      <w:r w:rsidRPr="0057561C">
        <w:rPr>
          <w:lang w:val="fr-FR"/>
        </w:rPr>
        <w:t>après cette date.</w:t>
      </w:r>
      <w:bookmarkEnd w:id="4"/>
      <w:r>
        <w:rPr>
          <w:lang w:val="fr-FR"/>
        </w:rPr>
        <w:t> ».</w:t>
      </w:r>
    </w:p>
    <w:p w14:paraId="68974E80" w14:textId="77777777" w:rsidR="006E61C0" w:rsidRPr="00606333" w:rsidRDefault="006E61C0" w:rsidP="00335C46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</w:t>
      </w:r>
      <w:r w:rsidRPr="00606333">
        <w:rPr>
          <w:lang w:val="fr-FR"/>
        </w:rPr>
        <w:t>6.8.3.4.6</w:t>
      </w:r>
      <w:r w:rsidRPr="00606333">
        <w:rPr>
          <w:lang w:val="fr-FR"/>
        </w:rPr>
        <w:tab/>
        <w:t>Pour les citernes destinées au transport de gaz liquéfiés réfrigérés</w:t>
      </w:r>
      <w:r>
        <w:rPr>
          <w:lang w:val="fr-FR"/>
        </w:rPr>
        <w:t> :</w:t>
      </w:r>
    </w:p>
    <w:p w14:paraId="0FAB6EC0" w14:textId="78047798" w:rsidR="006E61C0" w:rsidRDefault="00335C46" w:rsidP="00335C46">
      <w:pPr>
        <w:pStyle w:val="SingleTxtG"/>
        <w:ind w:left="2268"/>
        <w:rPr>
          <w:lang w:val="fr-FR"/>
        </w:rPr>
      </w:pPr>
      <w:r>
        <w:rPr>
          <w:lang w:val="fr-FR"/>
        </w:rPr>
        <w:t>a)</w:t>
      </w:r>
      <w:r>
        <w:rPr>
          <w:lang w:val="fr-FR"/>
        </w:rPr>
        <w:tab/>
      </w:r>
      <w:r w:rsidR="006E61C0" w:rsidRPr="00AB4E78">
        <w:rPr>
          <w:lang w:val="fr-FR"/>
        </w:rPr>
        <w:t xml:space="preserve">Par dérogation aux prescriptions du 6.8.2.4.2, les contrôles périodiques doivent </w:t>
      </w:r>
      <w:r w:rsidR="006E61C0" w:rsidRPr="00AB4E78">
        <w:rPr>
          <w:strike/>
          <w:lang w:val="fr-FR"/>
        </w:rPr>
        <w:t>avoir lieu</w:t>
      </w:r>
      <w:r w:rsidR="006E61C0">
        <w:rPr>
          <w:lang w:val="fr-FR"/>
        </w:rPr>
        <w:t xml:space="preserve"> </w:t>
      </w:r>
      <w:r w:rsidR="006E61C0" w:rsidRPr="00AB4E78">
        <w:rPr>
          <w:u w:val="single"/>
          <w:lang w:val="fr-FR"/>
        </w:rPr>
        <w:t>être effectués au plus tard</w:t>
      </w:r>
      <w:r w:rsidR="006E61C0">
        <w:rPr>
          <w:u w:val="single"/>
          <w:lang w:val="fr-FR"/>
        </w:rPr>
        <w:t> </w:t>
      </w:r>
      <w:r w:rsidR="006E61C0" w:rsidRPr="00AB4E78">
        <w:rPr>
          <w:lang w:val="fr-FR"/>
        </w:rPr>
        <w:t xml:space="preserve">: </w:t>
      </w:r>
    </w:p>
    <w:tbl>
      <w:tblPr>
        <w:tblStyle w:val="TableGrid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737"/>
      </w:tblGrid>
      <w:tr w:rsidR="00335C46" w:rsidRPr="00335C46" w14:paraId="24D863CC" w14:textId="77777777" w:rsidTr="00532AE4">
        <w:trPr>
          <w:trHeight w:val="92"/>
        </w:trPr>
        <w:tc>
          <w:tcPr>
            <w:tcW w:w="3686" w:type="dxa"/>
          </w:tcPr>
          <w:p w14:paraId="59876561" w14:textId="0B19869A" w:rsidR="00335C46" w:rsidRPr="00335C46" w:rsidRDefault="00335C46" w:rsidP="00532AE4">
            <w:pPr>
              <w:pStyle w:val="NormalWeb"/>
              <w:ind w:left="688" w:right="985" w:hanging="20"/>
              <w:rPr>
                <w:sz w:val="20"/>
                <w:szCs w:val="20"/>
                <w:lang w:val="fr-CH"/>
              </w:rPr>
            </w:pPr>
            <w:r w:rsidRPr="00335C46">
              <w:rPr>
                <w:strike/>
                <w:sz w:val="20"/>
                <w:szCs w:val="20"/>
                <w:lang w:val="fr-CH"/>
              </w:rPr>
              <w:t>au plus tard après</w:t>
            </w:r>
            <w:r w:rsidRPr="00335C46">
              <w:rPr>
                <w:sz w:val="20"/>
                <w:szCs w:val="20"/>
                <w:lang w:val="fr-CH"/>
              </w:rPr>
              <w:t xml:space="preserve"> huit ans (RID)/six ans</w:t>
            </w:r>
          </w:p>
        </w:tc>
        <w:tc>
          <w:tcPr>
            <w:tcW w:w="3737" w:type="dxa"/>
          </w:tcPr>
          <w:p w14:paraId="3A49308D" w14:textId="1A2929D5" w:rsidR="00335C46" w:rsidRPr="00335C46" w:rsidRDefault="00335C46" w:rsidP="00532AE4">
            <w:pPr>
              <w:pStyle w:val="NormalWeb"/>
              <w:ind w:left="278" w:right="1134" w:hanging="20"/>
              <w:rPr>
                <w:sz w:val="20"/>
                <w:szCs w:val="20"/>
                <w:lang w:val="fr-CH"/>
              </w:rPr>
            </w:pPr>
            <w:r w:rsidRPr="00335C46">
              <w:rPr>
                <w:bCs/>
                <w:strike/>
                <w:sz w:val="20"/>
                <w:szCs w:val="20"/>
                <w:lang w:val="fr-CH"/>
              </w:rPr>
              <w:t xml:space="preserve">au plus tard </w:t>
            </w:r>
            <w:r w:rsidRPr="00335C46">
              <w:rPr>
                <w:bCs/>
                <w:sz w:val="20"/>
                <w:szCs w:val="20"/>
                <w:lang w:val="fr-CH"/>
              </w:rPr>
              <w:t>après huit ans</w:t>
            </w:r>
          </w:p>
        </w:tc>
      </w:tr>
    </w:tbl>
    <w:p w14:paraId="2E37A7B5" w14:textId="77777777" w:rsidR="006E61C0" w:rsidRDefault="006E61C0" w:rsidP="00335C46">
      <w:pPr>
        <w:pStyle w:val="SingleTxtG"/>
        <w:ind w:left="2268"/>
        <w:rPr>
          <w:lang w:val="fr-FR"/>
        </w:rPr>
      </w:pPr>
      <w:r w:rsidRPr="00AB4E78">
        <w:rPr>
          <w:strike/>
          <w:lang w:val="fr-FR"/>
        </w:rPr>
        <w:t>de service</w:t>
      </w:r>
      <w:r w:rsidRPr="0057561C">
        <w:rPr>
          <w:lang w:val="fr-FR"/>
        </w:rPr>
        <w:t xml:space="preserve"> </w:t>
      </w:r>
      <w:r>
        <w:rPr>
          <w:u w:val="single"/>
          <w:lang w:val="fr-FR"/>
        </w:rPr>
        <w:t>après le contrôle initial</w:t>
      </w:r>
      <w:r w:rsidRPr="005E68BE">
        <w:rPr>
          <w:lang w:val="fr-FR"/>
        </w:rPr>
        <w:t xml:space="preserve"> </w:t>
      </w:r>
      <w:r w:rsidRPr="0057561C">
        <w:rPr>
          <w:lang w:val="fr-FR"/>
        </w:rPr>
        <w:t xml:space="preserve">et ensuite, </w:t>
      </w:r>
      <w:r w:rsidRPr="005E68BE">
        <w:rPr>
          <w:strike/>
          <w:lang w:val="fr-FR"/>
        </w:rPr>
        <w:t>au minimum</w:t>
      </w:r>
      <w:r w:rsidRPr="0057561C">
        <w:rPr>
          <w:lang w:val="fr-FR"/>
        </w:rPr>
        <w:t xml:space="preserve"> </w:t>
      </w:r>
      <w:r w:rsidRPr="005E68BE">
        <w:rPr>
          <w:u w:val="single"/>
          <w:lang w:val="fr-FR"/>
        </w:rPr>
        <w:t>au plus tard</w:t>
      </w:r>
      <w:r>
        <w:rPr>
          <w:lang w:val="fr-FR"/>
        </w:rPr>
        <w:t xml:space="preserve"> </w:t>
      </w:r>
      <w:r w:rsidRPr="0057561C">
        <w:rPr>
          <w:lang w:val="fr-FR"/>
        </w:rPr>
        <w:t>tous les douze ans pour les citernes destinées au transport des gaz liquéfiés réfrigérés.</w:t>
      </w:r>
    </w:p>
    <w:p w14:paraId="28299289" w14:textId="77777777" w:rsidR="006E61C0" w:rsidRDefault="006E61C0" w:rsidP="00335C46">
      <w:pPr>
        <w:pStyle w:val="SingleTxtG"/>
        <w:ind w:left="2268"/>
        <w:rPr>
          <w:lang w:val="fr-FR"/>
        </w:rPr>
      </w:pPr>
      <w:r w:rsidRPr="00606333">
        <w:rPr>
          <w:lang w:val="fr-FR"/>
        </w:rPr>
        <w:tab/>
      </w:r>
      <w:r>
        <w:rPr>
          <w:lang w:val="fr-FR"/>
        </w:rPr>
        <w:t>b)</w:t>
      </w:r>
      <w:r>
        <w:rPr>
          <w:lang w:val="fr-FR"/>
        </w:rPr>
        <w:tab/>
      </w:r>
      <w:r w:rsidRPr="00683088">
        <w:rPr>
          <w:lang w:val="fr-FR"/>
        </w:rPr>
        <w:t xml:space="preserve">Par dérogation aux prescriptions du 6.8.2.4.3, les contrôles intermédiaires doivent </w:t>
      </w:r>
      <w:r w:rsidRPr="00683088">
        <w:rPr>
          <w:strike/>
          <w:lang w:val="fr-FR"/>
        </w:rPr>
        <w:t xml:space="preserve">avoir lieu </w:t>
      </w:r>
      <w:r w:rsidRPr="00683088">
        <w:rPr>
          <w:u w:val="single"/>
          <w:lang w:val="fr-FR"/>
        </w:rPr>
        <w:t>être effectués au plus tard</w:t>
      </w:r>
      <w:r w:rsidRPr="00683088">
        <w:rPr>
          <w:lang w:val="fr-FR"/>
        </w:rPr>
        <w:t xml:space="preserve"> six ans après chaque contrôle périodique</w:t>
      </w:r>
      <w:r>
        <w:rPr>
          <w:lang w:val="fr-FR"/>
        </w:rPr>
        <w:t>. ».</w:t>
      </w:r>
    </w:p>
    <w:p w14:paraId="5DE76C0E" w14:textId="77777777" w:rsidR="006E61C0" w:rsidRPr="00606333" w:rsidRDefault="006E61C0" w:rsidP="00335C46">
      <w:pPr>
        <w:pStyle w:val="SingleTxtG"/>
        <w:keepNext/>
        <w:ind w:left="2268" w:hanging="1134"/>
        <w:rPr>
          <w:lang w:val="fr-FR"/>
        </w:rPr>
      </w:pPr>
      <w:r w:rsidRPr="00606333">
        <w:rPr>
          <w:lang w:val="fr-FR"/>
        </w:rPr>
        <w:t>6.8.4</w:t>
      </w:r>
      <w:r w:rsidRPr="00606333">
        <w:rPr>
          <w:lang w:val="fr-FR"/>
        </w:rPr>
        <w:tab/>
        <w:t>Dispositions spéciales</w:t>
      </w:r>
      <w:r>
        <w:rPr>
          <w:lang w:val="fr-FR"/>
        </w:rPr>
        <w:t>, alinéa</w:t>
      </w:r>
      <w:r w:rsidRPr="00606333">
        <w:rPr>
          <w:lang w:val="fr-FR"/>
        </w:rPr>
        <w:t xml:space="preserve"> d), </w:t>
      </w:r>
      <w:r w:rsidRPr="00683088">
        <w:rPr>
          <w:lang w:val="fr-FR"/>
        </w:rPr>
        <w:t xml:space="preserve">Épreuves </w:t>
      </w:r>
      <w:r w:rsidRPr="00606333">
        <w:rPr>
          <w:lang w:val="fr-FR"/>
        </w:rPr>
        <w:t>(TT)</w:t>
      </w:r>
    </w:p>
    <w:p w14:paraId="12295092" w14:textId="77777777" w:rsidR="006E61C0" w:rsidRDefault="006E61C0" w:rsidP="00335C46">
      <w:pPr>
        <w:pStyle w:val="SingleTxtG"/>
        <w:keepNext/>
        <w:ind w:left="2268" w:hanging="1134"/>
        <w:rPr>
          <w:lang w:val="fr-FR"/>
        </w:rPr>
      </w:pPr>
      <w:r>
        <w:rPr>
          <w:bCs/>
          <w:lang w:val="fr-FR"/>
        </w:rPr>
        <w:t>« </w:t>
      </w:r>
      <w:r w:rsidRPr="00606333">
        <w:rPr>
          <w:b/>
          <w:lang w:val="fr-FR"/>
        </w:rPr>
        <w:t>TT3</w:t>
      </w:r>
      <w:r w:rsidRPr="00606333">
        <w:rPr>
          <w:b/>
          <w:lang w:val="fr-FR"/>
        </w:rPr>
        <w:tab/>
      </w:r>
      <w:r w:rsidRPr="00683088">
        <w:rPr>
          <w:lang w:val="fr-FR"/>
        </w:rPr>
        <w:t xml:space="preserve">Par dérogation aux prescriptions du 6.8.2.4.2, les contrôles périodiques </w:t>
      </w:r>
      <w:r w:rsidRPr="00683088">
        <w:rPr>
          <w:strike/>
          <w:lang w:val="fr-FR"/>
        </w:rPr>
        <w:t>auront lieu</w:t>
      </w:r>
      <w:r w:rsidRPr="00683088">
        <w:rPr>
          <w:lang w:val="fr-FR"/>
        </w:rPr>
        <w:t xml:space="preserve"> </w:t>
      </w:r>
      <w:bookmarkStart w:id="5" w:name="_Hlk73379580"/>
      <w:r>
        <w:rPr>
          <w:u w:val="single"/>
          <w:lang w:val="fr-FR"/>
        </w:rPr>
        <w:t>sero</w:t>
      </w:r>
      <w:r w:rsidRPr="00683088">
        <w:rPr>
          <w:u w:val="single"/>
          <w:lang w:val="fr-FR"/>
        </w:rPr>
        <w:t>nt effectués</w:t>
      </w:r>
      <w:r w:rsidRPr="00683088">
        <w:rPr>
          <w:lang w:val="fr-FR"/>
        </w:rPr>
        <w:t xml:space="preserve"> </w:t>
      </w:r>
      <w:bookmarkEnd w:id="5"/>
      <w:r w:rsidRPr="00683088">
        <w:rPr>
          <w:lang w:val="fr-FR"/>
        </w:rPr>
        <w:t>au plus tard tous les huit ans et comporteront en outre un contrôle des épaisseurs au moyen d</w:t>
      </w:r>
      <w:r>
        <w:rPr>
          <w:lang w:val="fr-FR"/>
        </w:rPr>
        <w:t>’</w:t>
      </w:r>
      <w:r w:rsidRPr="00683088">
        <w:rPr>
          <w:lang w:val="fr-FR"/>
        </w:rPr>
        <w:t>instruments appropriés. Pour ces citernes, l</w:t>
      </w:r>
      <w:r>
        <w:rPr>
          <w:lang w:val="fr-FR"/>
        </w:rPr>
        <w:t>’</w:t>
      </w:r>
      <w:r w:rsidRPr="00683088">
        <w:rPr>
          <w:lang w:val="fr-FR"/>
        </w:rPr>
        <w:t>épreuve d</w:t>
      </w:r>
      <w:r>
        <w:rPr>
          <w:lang w:val="fr-FR"/>
        </w:rPr>
        <w:t>’</w:t>
      </w:r>
      <w:r w:rsidRPr="00683088">
        <w:rPr>
          <w:lang w:val="fr-FR"/>
        </w:rPr>
        <w:t xml:space="preserve">étanchéité et la vérification prévues au 6.8.2.4.3 </w:t>
      </w:r>
      <w:r w:rsidRPr="00902D00">
        <w:rPr>
          <w:strike/>
          <w:lang w:val="fr-FR"/>
        </w:rPr>
        <w:t>auront lieu</w:t>
      </w:r>
      <w:r w:rsidRPr="00683088">
        <w:rPr>
          <w:lang w:val="fr-FR"/>
        </w:rPr>
        <w:t xml:space="preserve"> </w:t>
      </w:r>
      <w:r>
        <w:rPr>
          <w:u w:val="single"/>
          <w:lang w:val="fr-FR"/>
        </w:rPr>
        <w:t>sero</w:t>
      </w:r>
      <w:r w:rsidRPr="00683088">
        <w:rPr>
          <w:u w:val="single"/>
          <w:lang w:val="fr-FR"/>
        </w:rPr>
        <w:t>nt effectué</w:t>
      </w:r>
      <w:r>
        <w:rPr>
          <w:u w:val="single"/>
          <w:lang w:val="fr-FR"/>
        </w:rPr>
        <w:t>e</w:t>
      </w:r>
      <w:r w:rsidRPr="00683088">
        <w:rPr>
          <w:u w:val="single"/>
          <w:lang w:val="fr-FR"/>
        </w:rPr>
        <w:t>s</w:t>
      </w:r>
      <w:r>
        <w:rPr>
          <w:lang w:val="fr-FR"/>
        </w:rPr>
        <w:t xml:space="preserve"> </w:t>
      </w:r>
      <w:r w:rsidRPr="00683088">
        <w:rPr>
          <w:lang w:val="fr-FR"/>
        </w:rPr>
        <w:t>au plus tard tous les quatre ans</w:t>
      </w:r>
      <w:r>
        <w:rPr>
          <w:lang w:val="fr-FR"/>
        </w:rPr>
        <w:t>. ».</w:t>
      </w:r>
    </w:p>
    <w:p w14:paraId="5604B1B3" w14:textId="322E56FF" w:rsidR="006E61C0" w:rsidRDefault="006E61C0" w:rsidP="00335C46">
      <w:pPr>
        <w:pStyle w:val="SingleTxtG"/>
        <w:ind w:left="2268" w:hanging="1134"/>
        <w:rPr>
          <w:bCs/>
          <w:i/>
          <w:iCs/>
          <w:lang w:val="fr-FR"/>
        </w:rPr>
      </w:pPr>
      <w:r>
        <w:rPr>
          <w:bCs/>
          <w:lang w:val="fr-FR"/>
        </w:rPr>
        <w:t>« </w:t>
      </w:r>
      <w:r w:rsidRPr="00606333">
        <w:rPr>
          <w:b/>
          <w:lang w:val="fr-FR"/>
        </w:rPr>
        <w:t>TT4</w:t>
      </w:r>
      <w:r w:rsidRPr="00606333">
        <w:rPr>
          <w:bCs/>
          <w:lang w:val="fr-FR"/>
        </w:rPr>
        <w:tab/>
        <w:t xml:space="preserve">(RID </w:t>
      </w:r>
      <w:r w:rsidRPr="00606333">
        <w:rPr>
          <w:lang w:val="fr-FR"/>
        </w:rPr>
        <w:t>uniquement</w:t>
      </w:r>
      <w:r w:rsidRPr="00606333">
        <w:rPr>
          <w:bCs/>
          <w:lang w:val="fr-FR"/>
        </w:rPr>
        <w:t xml:space="preserve">) </w:t>
      </w:r>
      <w:bookmarkStart w:id="6" w:name="_Hlk73383583"/>
      <w:r w:rsidRPr="00300781">
        <w:rPr>
          <w:bCs/>
          <w:i/>
          <w:iCs/>
          <w:lang w:val="fr-FR"/>
        </w:rPr>
        <w:t>(Modification sans objet en français</w:t>
      </w:r>
      <w:r>
        <w:rPr>
          <w:bCs/>
          <w:i/>
          <w:iCs/>
          <w:lang w:val="fr-FR"/>
        </w:rPr>
        <w:t>.</w:t>
      </w:r>
      <w:r w:rsidRPr="00300781">
        <w:rPr>
          <w:bCs/>
          <w:i/>
          <w:iCs/>
          <w:lang w:val="fr-FR"/>
        </w:rPr>
        <w:t>)</w:t>
      </w:r>
      <w:bookmarkEnd w:id="6"/>
    </w:p>
    <w:p w14:paraId="0D2216DE" w14:textId="77777777" w:rsidR="006E61C0" w:rsidRPr="00606333" w:rsidRDefault="006E61C0" w:rsidP="00335C46">
      <w:pPr>
        <w:pStyle w:val="SingleTxtG"/>
        <w:keepNext/>
        <w:ind w:left="2268" w:hanging="1134"/>
        <w:rPr>
          <w:lang w:val="fr-FR"/>
        </w:rPr>
      </w:pPr>
      <w:r>
        <w:rPr>
          <w:bCs/>
          <w:lang w:val="fr-FR"/>
        </w:rPr>
        <w:lastRenderedPageBreak/>
        <w:t>« </w:t>
      </w:r>
      <w:r w:rsidRPr="00606333">
        <w:rPr>
          <w:b/>
          <w:lang w:val="fr-FR"/>
        </w:rPr>
        <w:t>TT5</w:t>
      </w:r>
      <w:r w:rsidRPr="00606333">
        <w:rPr>
          <w:b/>
          <w:lang w:val="fr-FR"/>
        </w:rPr>
        <w:tab/>
      </w:r>
      <w:r w:rsidRPr="00300781">
        <w:rPr>
          <w:lang w:val="fr-FR"/>
        </w:rPr>
        <w:t xml:space="preserve">Les épreuves de pression hydraulique doivent </w:t>
      </w:r>
      <w:r w:rsidRPr="00300781">
        <w:rPr>
          <w:strike/>
          <w:lang w:val="fr-FR"/>
        </w:rPr>
        <w:t>avoir lieu</w:t>
      </w:r>
      <w:r w:rsidRPr="00300781">
        <w:rPr>
          <w:lang w:val="fr-FR"/>
        </w:rPr>
        <w:t xml:space="preserve"> </w:t>
      </w:r>
      <w:r w:rsidRPr="00300781">
        <w:rPr>
          <w:u w:val="single"/>
          <w:lang w:val="fr-FR"/>
        </w:rPr>
        <w:t>être effectuées</w:t>
      </w:r>
      <w:r>
        <w:rPr>
          <w:lang w:val="fr-FR"/>
        </w:rPr>
        <w:t xml:space="preserve"> </w:t>
      </w:r>
      <w:r w:rsidRPr="00300781">
        <w:rPr>
          <w:lang w:val="fr-FR"/>
        </w:rPr>
        <w:t>au plus tard tous les</w:t>
      </w:r>
      <w:r>
        <w:rPr>
          <w:lang w:val="fr-FR"/>
        </w:rPr>
        <w:t xml:space="preserve"> </w:t>
      </w:r>
    </w:p>
    <w:tbl>
      <w:tblPr>
        <w:tblW w:w="6237" w:type="dxa"/>
        <w:tblInd w:w="2268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2"/>
        <w:gridCol w:w="2995"/>
      </w:tblGrid>
      <w:tr w:rsidR="006E61C0" w:rsidRPr="00606333" w14:paraId="7963CB67" w14:textId="77777777" w:rsidTr="00335C46">
        <w:tc>
          <w:tcPr>
            <w:tcW w:w="3686" w:type="dxa"/>
          </w:tcPr>
          <w:p w14:paraId="6FD3F945" w14:textId="08285B4F" w:rsidR="006E61C0" w:rsidRPr="00606333" w:rsidRDefault="006E61C0" w:rsidP="00335C46">
            <w:pPr>
              <w:rPr>
                <w:lang w:val="fr-FR"/>
              </w:rPr>
            </w:pPr>
            <w:bookmarkStart w:id="7" w:name="_Hlk73522677"/>
            <w:r>
              <w:rPr>
                <w:lang w:val="fr-FR"/>
              </w:rPr>
              <w:t>quatre</w:t>
            </w:r>
            <w:r w:rsidRPr="00606333">
              <w:rPr>
                <w:lang w:val="fr-FR"/>
              </w:rPr>
              <w:t xml:space="preserve"> ans (RID)/</w:t>
            </w:r>
            <w:r>
              <w:rPr>
                <w:lang w:val="fr-FR"/>
              </w:rPr>
              <w:t>trois</w:t>
            </w:r>
            <w:r w:rsidRPr="00606333">
              <w:rPr>
                <w:lang w:val="fr-FR"/>
              </w:rPr>
              <w:t xml:space="preserve"> ans (ADR)</w:t>
            </w:r>
            <w:r>
              <w:rPr>
                <w:lang w:val="fr-FR"/>
              </w:rPr>
              <w:t>.</w:t>
            </w:r>
          </w:p>
        </w:tc>
        <w:tc>
          <w:tcPr>
            <w:tcW w:w="3402" w:type="dxa"/>
          </w:tcPr>
          <w:p w14:paraId="320EB5DE" w14:textId="77777777" w:rsidR="006E61C0" w:rsidRPr="00606333" w:rsidRDefault="006E61C0" w:rsidP="00532AE4">
            <w:pPr>
              <w:rPr>
                <w:lang w:val="fr-FR"/>
              </w:rPr>
            </w:pPr>
            <w:r w:rsidRPr="00962B46">
              <w:rPr>
                <w:lang w:val="fr-FR"/>
              </w:rPr>
              <w:t>deux ans et demi</w:t>
            </w:r>
            <w:r w:rsidRPr="00606333">
              <w:rPr>
                <w:lang w:val="fr-FR"/>
              </w:rPr>
              <w:t>.</w:t>
            </w:r>
          </w:p>
        </w:tc>
      </w:tr>
    </w:tbl>
    <w:bookmarkEnd w:id="7"/>
    <w:p w14:paraId="047F32BF" w14:textId="229B203B" w:rsidR="006E61C0" w:rsidRDefault="006E61C0" w:rsidP="00335C46">
      <w:pPr>
        <w:pStyle w:val="SingleTxtG"/>
        <w:jc w:val="right"/>
        <w:rPr>
          <w:lang w:val="fr-FR"/>
        </w:rPr>
      </w:pPr>
      <w:r w:rsidRPr="00606210">
        <w:rPr>
          <w:lang w:val="fr-FR"/>
        </w:rPr>
        <w:t>».</w:t>
      </w:r>
    </w:p>
    <w:tbl>
      <w:tblPr>
        <w:tblW w:w="7385" w:type="dxa"/>
        <w:tblInd w:w="1120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2995"/>
      </w:tblGrid>
      <w:tr w:rsidR="00335C46" w:rsidRPr="00335C46" w14:paraId="2EF2C53E" w14:textId="77777777" w:rsidTr="00335C46">
        <w:tc>
          <w:tcPr>
            <w:tcW w:w="4390" w:type="dxa"/>
          </w:tcPr>
          <w:p w14:paraId="104B2A37" w14:textId="0DE115EE" w:rsidR="00335C46" w:rsidRPr="00335C46" w:rsidRDefault="00335C46" w:rsidP="0095653F">
            <w:pPr>
              <w:pStyle w:val="SingleTxtG"/>
              <w:ind w:right="0" w:hanging="1134"/>
              <w:jc w:val="left"/>
              <w:rPr>
                <w:lang w:val="fr-FR"/>
              </w:rPr>
            </w:pPr>
            <w:r w:rsidRPr="00335C46">
              <w:rPr>
                <w:lang w:val="fr-FR"/>
              </w:rPr>
              <w:t>«</w:t>
            </w:r>
            <w:r w:rsidRPr="00335C46">
              <w:rPr>
                <w:b/>
                <w:bCs/>
                <w:lang w:val="fr-FR"/>
              </w:rPr>
              <w:t xml:space="preserve"> TT6</w:t>
            </w:r>
            <w:r w:rsidR="0095653F">
              <w:rPr>
                <w:b/>
                <w:bCs/>
                <w:lang w:val="fr-FR"/>
              </w:rPr>
              <w:tab/>
            </w:r>
            <w:r w:rsidR="0095653F" w:rsidRPr="0095653F">
              <w:rPr>
                <w:lang w:val="fr-FR"/>
              </w:rPr>
              <w:tab/>
              <w:t xml:space="preserve">Le contrôle périodique doit </w:t>
            </w:r>
            <w:r w:rsidR="0095653F" w:rsidRPr="0095653F">
              <w:rPr>
                <w:strike/>
                <w:lang w:val="fr-FR"/>
              </w:rPr>
              <w:t>avoir lieu</w:t>
            </w:r>
            <w:r w:rsidR="0095653F" w:rsidRPr="0095653F">
              <w:rPr>
                <w:lang w:val="fr-FR"/>
              </w:rPr>
              <w:t xml:space="preserve"> </w:t>
            </w:r>
            <w:r w:rsidR="0095653F" w:rsidRPr="0095653F">
              <w:rPr>
                <w:u w:val="single"/>
                <w:lang w:val="fr-FR"/>
              </w:rPr>
              <w:t>être effectué</w:t>
            </w:r>
            <w:r w:rsidR="0095653F" w:rsidRPr="0095653F">
              <w:rPr>
                <w:lang w:val="fr-FR"/>
              </w:rPr>
              <w:t xml:space="preserve"> au plus tard tous les quatre ans (RID)/trois ans (ADR).</w:t>
            </w:r>
          </w:p>
        </w:tc>
        <w:tc>
          <w:tcPr>
            <w:tcW w:w="2995" w:type="dxa"/>
          </w:tcPr>
          <w:p w14:paraId="2E9F43A4" w14:textId="3BE38611" w:rsidR="00335C46" w:rsidRPr="00335C46" w:rsidRDefault="00335C46" w:rsidP="00335C46">
            <w:pPr>
              <w:pStyle w:val="SingleTxtG"/>
              <w:ind w:left="0"/>
              <w:rPr>
                <w:lang w:val="fr-FR"/>
              </w:rPr>
            </w:pPr>
          </w:p>
        </w:tc>
      </w:tr>
    </w:tbl>
    <w:p w14:paraId="76723D34" w14:textId="77777777" w:rsidR="006E61C0" w:rsidRDefault="006E61C0" w:rsidP="0095653F">
      <w:pPr>
        <w:pStyle w:val="SingleTxtG"/>
        <w:jc w:val="right"/>
        <w:rPr>
          <w:bCs/>
          <w:lang w:val="fr-FR"/>
        </w:rPr>
      </w:pPr>
      <w:r>
        <w:rPr>
          <w:lang w:val="fr-FR"/>
        </w:rPr>
        <w:t>».</w:t>
      </w:r>
    </w:p>
    <w:p w14:paraId="17A2F0CD" w14:textId="77777777" w:rsidR="006E61C0" w:rsidRPr="00606333" w:rsidRDefault="006E61C0" w:rsidP="00335C46">
      <w:pPr>
        <w:pStyle w:val="SingleTxtG"/>
        <w:keepNext/>
        <w:ind w:left="2268" w:hanging="1134"/>
        <w:rPr>
          <w:lang w:val="fr-FR"/>
        </w:rPr>
      </w:pPr>
      <w:r>
        <w:rPr>
          <w:bCs/>
          <w:lang w:val="fr-FR"/>
        </w:rPr>
        <w:t>« </w:t>
      </w:r>
      <w:r w:rsidRPr="00606333">
        <w:rPr>
          <w:b/>
          <w:lang w:val="fr-FR"/>
        </w:rPr>
        <w:t>TT10</w:t>
      </w:r>
      <w:r w:rsidRPr="00606333">
        <w:rPr>
          <w:bCs/>
          <w:lang w:val="fr-FR"/>
        </w:rPr>
        <w:tab/>
        <w:t xml:space="preserve">Les contrôles périodiques prévus au 6.8.2.4.2 doivent </w:t>
      </w:r>
      <w:r w:rsidRPr="0098650F">
        <w:rPr>
          <w:bCs/>
          <w:strike/>
          <w:lang w:val="fr-FR"/>
        </w:rPr>
        <w:t>avoir lieu</w:t>
      </w:r>
      <w:r w:rsidRPr="0098650F">
        <w:rPr>
          <w:bCs/>
          <w:lang w:val="fr-FR"/>
        </w:rPr>
        <w:t xml:space="preserve"> </w:t>
      </w:r>
      <w:r w:rsidRPr="0098650F">
        <w:rPr>
          <w:bCs/>
          <w:u w:val="single"/>
          <w:lang w:val="fr-FR"/>
        </w:rPr>
        <w:t>être effectués</w:t>
      </w:r>
      <w:r>
        <w:rPr>
          <w:bCs/>
          <w:lang w:val="fr-FR"/>
        </w:rPr>
        <w:t xml:space="preserve"> </w:t>
      </w:r>
      <w:r w:rsidRPr="0098650F">
        <w:rPr>
          <w:bCs/>
          <w:lang w:val="fr-FR"/>
        </w:rPr>
        <w:t>au plus tard</w:t>
      </w:r>
      <w:r>
        <w:rPr>
          <w:bCs/>
          <w:lang w:val="fr-FR"/>
        </w:rPr>
        <w:t xml:space="preserve"> </w:t>
      </w:r>
      <w:r w:rsidRPr="0098650F">
        <w:rPr>
          <w:bCs/>
          <w:u w:val="single"/>
          <w:lang w:val="fr-FR"/>
        </w:rPr>
        <w:t>tous les</w:t>
      </w:r>
      <w:r w:rsidRPr="0098650F">
        <w:rPr>
          <w:bCs/>
          <w:lang w:val="fr-FR"/>
        </w:rPr>
        <w:t> :</w:t>
      </w:r>
    </w:p>
    <w:tbl>
      <w:tblPr>
        <w:tblW w:w="6237" w:type="dxa"/>
        <w:tblInd w:w="2268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2"/>
        <w:gridCol w:w="2995"/>
      </w:tblGrid>
      <w:tr w:rsidR="0095653F" w:rsidRPr="0095653F" w14:paraId="6F2764DE" w14:textId="77777777" w:rsidTr="00532AE4">
        <w:tc>
          <w:tcPr>
            <w:tcW w:w="3686" w:type="dxa"/>
          </w:tcPr>
          <w:p w14:paraId="5BD7BF62" w14:textId="77777777" w:rsidR="0095653F" w:rsidRPr="0095653F" w:rsidRDefault="0095653F" w:rsidP="0095653F">
            <w:pPr>
              <w:rPr>
                <w:bCs/>
                <w:lang w:val="fr-FR"/>
              </w:rPr>
            </w:pPr>
            <w:r w:rsidRPr="0095653F">
              <w:rPr>
                <w:bCs/>
                <w:lang w:val="fr-FR"/>
              </w:rPr>
              <w:t>quatre ans (RID)/trois ans (ADR).</w:t>
            </w:r>
          </w:p>
        </w:tc>
        <w:tc>
          <w:tcPr>
            <w:tcW w:w="3402" w:type="dxa"/>
          </w:tcPr>
          <w:p w14:paraId="7ED5E7B7" w14:textId="77777777" w:rsidR="0095653F" w:rsidRPr="0095653F" w:rsidRDefault="0095653F" w:rsidP="0095653F">
            <w:pPr>
              <w:rPr>
                <w:bCs/>
                <w:lang w:val="fr-FR"/>
              </w:rPr>
            </w:pPr>
            <w:r w:rsidRPr="0095653F">
              <w:rPr>
                <w:bCs/>
                <w:lang w:val="fr-FR"/>
              </w:rPr>
              <w:t>deux ans et demi.</w:t>
            </w:r>
          </w:p>
        </w:tc>
      </w:tr>
    </w:tbl>
    <w:p w14:paraId="2B3A8A43" w14:textId="18D5F421" w:rsidR="006E61C0" w:rsidRDefault="006E61C0" w:rsidP="0095653F">
      <w:pPr>
        <w:pStyle w:val="SingleTxtG"/>
        <w:jc w:val="right"/>
        <w:rPr>
          <w:lang w:val="fr-FR"/>
        </w:rPr>
      </w:pPr>
      <w:r>
        <w:rPr>
          <w:lang w:val="fr-FR"/>
        </w:rPr>
        <w:t>».</w:t>
      </w:r>
    </w:p>
    <w:p w14:paraId="7FD6E6B5" w14:textId="77777777" w:rsidR="006E61C0" w:rsidRDefault="006E61C0" w:rsidP="0095653F">
      <w:pPr>
        <w:pStyle w:val="SingleTxtG"/>
        <w:keepNext/>
        <w:ind w:left="2268" w:hanging="1134"/>
        <w:rPr>
          <w:lang w:val="fr-FR" w:eastAsia="en-GB"/>
        </w:rPr>
      </w:pPr>
      <w:r w:rsidRPr="00606333">
        <w:rPr>
          <w:lang w:val="fr-FR" w:eastAsia="en-GB"/>
        </w:rPr>
        <w:t>6.10.4</w:t>
      </w:r>
      <w:r w:rsidRPr="00606333">
        <w:rPr>
          <w:lang w:val="fr-FR" w:eastAsia="en-GB"/>
        </w:rPr>
        <w:tab/>
        <w:t xml:space="preserve">(ADR) </w:t>
      </w:r>
      <w:r w:rsidRPr="0095653F">
        <w:rPr>
          <w:i/>
          <w:iCs/>
          <w:lang w:val="fr-FR"/>
        </w:rPr>
        <w:t>(Modification sans objet en français.)</w:t>
      </w:r>
    </w:p>
    <w:p w14:paraId="725D9AB2" w14:textId="77777777" w:rsidR="006E61C0" w:rsidRPr="00606333" w:rsidRDefault="006E61C0" w:rsidP="0095653F">
      <w:pPr>
        <w:pStyle w:val="SingleTxtG"/>
        <w:keepNext/>
        <w:ind w:left="2268" w:hanging="1134"/>
        <w:rPr>
          <w:lang w:val="fr-FR" w:eastAsia="en-GB"/>
        </w:rPr>
      </w:pPr>
      <w:r w:rsidRPr="00606333">
        <w:rPr>
          <w:lang w:val="fr-FR" w:eastAsia="en-GB"/>
        </w:rPr>
        <w:t>6.10.4</w:t>
      </w:r>
      <w:r w:rsidRPr="00606333">
        <w:rPr>
          <w:lang w:val="fr-FR" w:eastAsia="en-GB"/>
        </w:rPr>
        <w:tab/>
        <w:t xml:space="preserve">(RID) </w:t>
      </w:r>
      <w:r w:rsidRPr="00300781">
        <w:rPr>
          <w:bCs/>
          <w:i/>
          <w:iCs/>
          <w:lang w:val="fr-FR"/>
        </w:rPr>
        <w:t>(Modification sans objet en français</w:t>
      </w:r>
      <w:r>
        <w:rPr>
          <w:bCs/>
          <w:i/>
          <w:iCs/>
          <w:lang w:val="fr-FR"/>
        </w:rPr>
        <w:t>.</w:t>
      </w:r>
      <w:r w:rsidRPr="00300781">
        <w:rPr>
          <w:bCs/>
          <w:i/>
          <w:iCs/>
          <w:lang w:val="fr-FR"/>
        </w:rPr>
        <w:t>)</w:t>
      </w:r>
    </w:p>
    <w:p w14:paraId="0C04A311" w14:textId="77777777" w:rsidR="006E61C0" w:rsidRPr="000519DA" w:rsidRDefault="006E61C0" w:rsidP="0095653F">
      <w:pPr>
        <w:pStyle w:val="SingleTxtG"/>
        <w:keepNext/>
        <w:ind w:left="2268" w:hanging="1134"/>
        <w:rPr>
          <w:lang w:val="fr-FR" w:eastAsia="en-GB"/>
        </w:rPr>
      </w:pPr>
      <w:bookmarkStart w:id="8" w:name="_Hlk73383675"/>
      <w:r w:rsidRPr="00606333">
        <w:rPr>
          <w:lang w:val="fr-FR" w:eastAsia="en-GB"/>
        </w:rPr>
        <w:t>6.12.3.2.6</w:t>
      </w:r>
      <w:bookmarkEnd w:id="8"/>
      <w:r w:rsidRPr="00606333">
        <w:rPr>
          <w:lang w:val="fr-FR" w:eastAsia="en-GB"/>
        </w:rPr>
        <w:tab/>
        <w:t xml:space="preserve">(ADR uniquement) </w:t>
      </w:r>
      <w:r>
        <w:rPr>
          <w:lang w:val="fr-FR" w:eastAsia="en-GB"/>
        </w:rPr>
        <w:t>« </w:t>
      </w:r>
      <w:r w:rsidRPr="000519DA">
        <w:rPr>
          <w:lang w:val="fr-FR" w:eastAsia="en-GB"/>
        </w:rPr>
        <w:t xml:space="preserve">Les prescriptions </w:t>
      </w:r>
      <w:r>
        <w:rPr>
          <w:lang w:val="fr-FR" w:eastAsia="en-GB"/>
        </w:rPr>
        <w:t xml:space="preserve">… </w:t>
      </w:r>
      <w:r w:rsidRPr="000519DA">
        <w:rPr>
          <w:lang w:val="fr-FR" w:eastAsia="en-GB"/>
        </w:rPr>
        <w:t xml:space="preserve">ou du propriétaire de la MEMU. Les réservoirs et leurs équipements doivent être soumis </w:t>
      </w:r>
      <w:r w:rsidRPr="000519DA">
        <w:rPr>
          <w:strike/>
          <w:lang w:val="fr-FR" w:eastAsia="en-GB"/>
        </w:rPr>
        <w:t>au moins</w:t>
      </w:r>
      <w:r w:rsidRPr="000519DA">
        <w:rPr>
          <w:lang w:val="fr-FR" w:eastAsia="en-GB"/>
        </w:rPr>
        <w:t xml:space="preserve"> </w:t>
      </w:r>
      <w:r w:rsidRPr="000519DA">
        <w:rPr>
          <w:u w:val="single"/>
          <w:lang w:val="fr-FR" w:eastAsia="en-GB"/>
        </w:rPr>
        <w:t>au plus tard</w:t>
      </w:r>
      <w:r>
        <w:rPr>
          <w:lang w:val="fr-FR" w:eastAsia="en-GB"/>
        </w:rPr>
        <w:t xml:space="preserve"> </w:t>
      </w:r>
      <w:r w:rsidRPr="000519DA">
        <w:rPr>
          <w:lang w:val="fr-FR" w:eastAsia="en-GB"/>
        </w:rPr>
        <w:t>tous les trois ans à un examen visuel de l</w:t>
      </w:r>
      <w:r>
        <w:rPr>
          <w:lang w:val="fr-FR" w:eastAsia="en-GB"/>
        </w:rPr>
        <w:t>’</w:t>
      </w:r>
      <w:r w:rsidRPr="000519DA">
        <w:rPr>
          <w:lang w:val="fr-FR" w:eastAsia="en-GB"/>
        </w:rPr>
        <w:t>état extérieur et intérieur, et à une épreuve d</w:t>
      </w:r>
      <w:r>
        <w:rPr>
          <w:lang w:val="fr-FR" w:eastAsia="en-GB"/>
        </w:rPr>
        <w:t>’</w:t>
      </w:r>
      <w:r w:rsidRPr="000519DA">
        <w:rPr>
          <w:lang w:val="fr-FR" w:eastAsia="en-GB"/>
        </w:rPr>
        <w:t>étanchéité, devant donner satisfaction à l</w:t>
      </w:r>
      <w:r>
        <w:rPr>
          <w:lang w:val="fr-FR" w:eastAsia="en-GB"/>
        </w:rPr>
        <w:t>’</w:t>
      </w:r>
      <w:r w:rsidRPr="000519DA">
        <w:rPr>
          <w:lang w:val="fr-FR" w:eastAsia="en-GB"/>
        </w:rPr>
        <w:t>autorité compétente.</w:t>
      </w:r>
      <w:r>
        <w:rPr>
          <w:lang w:val="fr-FR" w:eastAsia="en-GB"/>
        </w:rPr>
        <w:t> ».</w:t>
      </w:r>
    </w:p>
    <w:p w14:paraId="28F07528" w14:textId="38BA1110" w:rsidR="006E61C0" w:rsidRPr="00606333" w:rsidRDefault="0095653F" w:rsidP="0095653F">
      <w:pPr>
        <w:pStyle w:val="H23G"/>
        <w:rPr>
          <w:i/>
          <w:iCs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6E61C0" w:rsidRPr="00606333">
        <w:rPr>
          <w:lang w:val="fr-FR"/>
        </w:rPr>
        <w:t>Point 3</w:t>
      </w:r>
      <w:r w:rsidR="006E61C0">
        <w:rPr>
          <w:lang w:val="fr-FR"/>
        </w:rPr>
        <w:t> :</w:t>
      </w:r>
      <w:r>
        <w:rPr>
          <w:lang w:val="fr-FR"/>
        </w:rPr>
        <w:t xml:space="preserve"> </w:t>
      </w:r>
      <w:r w:rsidR="006E61C0">
        <w:rPr>
          <w:lang w:val="fr-FR"/>
        </w:rPr>
        <w:t>Précis</w:t>
      </w:r>
      <w:r w:rsidR="006E61C0" w:rsidRPr="00606333">
        <w:rPr>
          <w:lang w:val="fr-FR"/>
        </w:rPr>
        <w:t>ion</w:t>
      </w:r>
      <w:r w:rsidR="006E61C0">
        <w:rPr>
          <w:lang w:val="fr-FR"/>
        </w:rPr>
        <w:t>s</w:t>
      </w:r>
      <w:r w:rsidR="006E61C0" w:rsidRPr="00606333">
        <w:rPr>
          <w:lang w:val="fr-FR"/>
        </w:rPr>
        <w:t xml:space="preserve"> </w:t>
      </w:r>
      <w:r w:rsidR="006E61C0">
        <w:rPr>
          <w:lang w:val="fr-FR"/>
        </w:rPr>
        <w:t>concernant l</w:t>
      </w:r>
      <w:r w:rsidR="006E61C0" w:rsidRPr="00606333">
        <w:rPr>
          <w:lang w:val="fr-FR"/>
        </w:rPr>
        <w:t xml:space="preserve">es </w:t>
      </w:r>
      <w:r w:rsidR="006E61C0">
        <w:rPr>
          <w:lang w:val="fr-FR"/>
        </w:rPr>
        <w:t>prescriptions</w:t>
      </w:r>
      <w:r w:rsidR="006E61C0" w:rsidRPr="00606333">
        <w:rPr>
          <w:lang w:val="fr-FR"/>
        </w:rPr>
        <w:t xml:space="preserve"> relatives aux </w:t>
      </w:r>
      <w:r w:rsidR="006E61C0">
        <w:rPr>
          <w:lang w:val="fr-FR"/>
        </w:rPr>
        <w:t>contrôle</w:t>
      </w:r>
      <w:r w:rsidR="006E61C0" w:rsidRPr="00606333">
        <w:rPr>
          <w:lang w:val="fr-FR"/>
        </w:rPr>
        <w:t xml:space="preserve">s </w:t>
      </w:r>
      <w:r>
        <w:rPr>
          <w:lang w:val="fr-FR"/>
        </w:rPr>
        <w:br/>
      </w:r>
      <w:r w:rsidR="006E61C0" w:rsidRPr="00606333">
        <w:rPr>
          <w:lang w:val="fr-FR"/>
        </w:rPr>
        <w:t>non destructifs dans</w:t>
      </w:r>
      <w:r w:rsidR="006E61C0">
        <w:rPr>
          <w:lang w:val="fr-FR"/>
        </w:rPr>
        <w:t> </w:t>
      </w:r>
      <w:r w:rsidR="006E61C0" w:rsidRPr="00606333">
        <w:rPr>
          <w:lang w:val="fr-FR"/>
        </w:rPr>
        <w:t>le</w:t>
      </w:r>
      <w:r w:rsidR="006E61C0">
        <w:rPr>
          <w:lang w:val="fr-FR"/>
        </w:rPr>
        <w:t> </w:t>
      </w:r>
      <w:bookmarkStart w:id="9" w:name="_Hlk73386594"/>
      <w:r w:rsidR="006E61C0" w:rsidRPr="00606333">
        <w:rPr>
          <w:lang w:val="fr-FR"/>
        </w:rPr>
        <w:t>6.8.2.1.23</w:t>
      </w:r>
      <w:bookmarkEnd w:id="9"/>
      <w:r w:rsidR="006E61C0" w:rsidRPr="00606333">
        <w:rPr>
          <w:lang w:val="fr-FR"/>
        </w:rPr>
        <w:t xml:space="preserve"> du RID</w:t>
      </w:r>
      <w:r w:rsidR="006E61C0">
        <w:rPr>
          <w:lang w:val="fr-FR"/>
        </w:rPr>
        <w:t xml:space="preserve"> et de l’</w:t>
      </w:r>
      <w:r w:rsidR="006E61C0" w:rsidRPr="00606333">
        <w:rPr>
          <w:lang w:val="fr-FR"/>
        </w:rPr>
        <w:t>ADR</w:t>
      </w:r>
    </w:p>
    <w:p w14:paraId="2BCB38EE" w14:textId="58B72D6D" w:rsidR="006E61C0" w:rsidRPr="00606333" w:rsidRDefault="006E61C0" w:rsidP="0095653F">
      <w:pPr>
        <w:pStyle w:val="SingleTxtG"/>
        <w:rPr>
          <w:bCs/>
          <w:iCs/>
          <w:lang w:val="fr-FR"/>
        </w:rPr>
      </w:pPr>
      <w:r w:rsidRPr="00DB2349">
        <w:rPr>
          <w:bCs/>
          <w:i/>
          <w:iCs/>
          <w:lang w:val="fr-FR"/>
        </w:rPr>
        <w:t>Document(s)</w:t>
      </w:r>
      <w:r w:rsidRPr="0095653F">
        <w:rPr>
          <w:bCs/>
          <w:lang w:val="fr-FR"/>
        </w:rPr>
        <w:t> :</w:t>
      </w:r>
      <w:r w:rsidRPr="00DB2349">
        <w:rPr>
          <w:bCs/>
          <w:i/>
          <w:iCs/>
          <w:lang w:val="fr-FR"/>
        </w:rPr>
        <w:tab/>
      </w:r>
      <w:r w:rsidR="0095653F" w:rsidRPr="0095653F">
        <w:rPr>
          <w:bCs/>
          <w:i/>
          <w:iCs/>
          <w:lang w:val="fr-FR"/>
        </w:rPr>
        <w:t xml:space="preserve">Document </w:t>
      </w:r>
      <w:r w:rsidRPr="0095653F">
        <w:rPr>
          <w:bCs/>
          <w:i/>
          <w:iCs/>
          <w:lang w:val="fr-FR"/>
        </w:rPr>
        <w:t>informel</w:t>
      </w:r>
      <w:r w:rsidRPr="00DB2349">
        <w:rPr>
          <w:bCs/>
          <w:lang w:val="fr-FR"/>
        </w:rPr>
        <w:t xml:space="preserve"> </w:t>
      </w:r>
      <w:r w:rsidRPr="00606333">
        <w:rPr>
          <w:bCs/>
          <w:iCs/>
          <w:lang w:val="fr-FR"/>
        </w:rPr>
        <w:t>INF.11 (Royaume-Uni)</w:t>
      </w:r>
    </w:p>
    <w:p w14:paraId="2E53BB2F" w14:textId="77777777" w:rsidR="006E61C0" w:rsidRPr="00606333" w:rsidRDefault="006E61C0" w:rsidP="0095653F">
      <w:pPr>
        <w:pStyle w:val="SingleTxtG"/>
        <w:keepNext/>
        <w:rPr>
          <w:lang w:val="fr-FR"/>
        </w:rPr>
      </w:pPr>
      <w:r w:rsidRPr="00606333">
        <w:rPr>
          <w:lang w:val="fr-FR"/>
        </w:rPr>
        <w:t>8</w:t>
      </w:r>
      <w:r>
        <w:rPr>
          <w:lang w:val="fr-FR"/>
        </w:rPr>
        <w:t>.</w:t>
      </w:r>
      <w:r w:rsidRPr="00606333">
        <w:rPr>
          <w:lang w:val="fr-FR"/>
        </w:rPr>
        <w:tab/>
      </w:r>
      <w:r>
        <w:rPr>
          <w:lang w:val="fr-FR"/>
        </w:rPr>
        <w:t>Dans le</w:t>
      </w:r>
      <w:r w:rsidRPr="00606333">
        <w:rPr>
          <w:lang w:val="fr-FR"/>
        </w:rPr>
        <w:t xml:space="preserve"> document </w:t>
      </w:r>
      <w:r>
        <w:rPr>
          <w:lang w:val="fr-FR"/>
        </w:rPr>
        <w:t xml:space="preserve">informel sont </w:t>
      </w:r>
      <w:r w:rsidRPr="00606333">
        <w:rPr>
          <w:lang w:val="fr-FR"/>
        </w:rPr>
        <w:t>propos</w:t>
      </w:r>
      <w:r>
        <w:rPr>
          <w:lang w:val="fr-FR"/>
        </w:rPr>
        <w:t>ées</w:t>
      </w:r>
      <w:r w:rsidRPr="00606333">
        <w:rPr>
          <w:lang w:val="fr-FR"/>
        </w:rPr>
        <w:t xml:space="preserve"> plusieurs améliorations </w:t>
      </w:r>
      <w:r>
        <w:rPr>
          <w:lang w:val="fr-FR"/>
        </w:rPr>
        <w:t>d</w:t>
      </w:r>
      <w:r w:rsidRPr="00606333">
        <w:rPr>
          <w:lang w:val="fr-FR"/>
        </w:rPr>
        <w:t xml:space="preserve">u 6.8.2.1.23 concernant le soudage et </w:t>
      </w:r>
      <w:r>
        <w:rPr>
          <w:lang w:val="fr-FR"/>
        </w:rPr>
        <w:t xml:space="preserve">le </w:t>
      </w:r>
      <w:r w:rsidRPr="00B66B0C">
        <w:rPr>
          <w:lang w:val="fr-FR"/>
        </w:rPr>
        <w:t>contrôle</w:t>
      </w:r>
      <w:r w:rsidRPr="00606333">
        <w:rPr>
          <w:lang w:val="fr-FR"/>
        </w:rPr>
        <w:t xml:space="preserve"> des soudures. Les modifications proposées p</w:t>
      </w:r>
      <w:r>
        <w:rPr>
          <w:lang w:val="fr-FR"/>
        </w:rPr>
        <w:t>euv</w:t>
      </w:r>
      <w:r w:rsidRPr="00606333">
        <w:rPr>
          <w:lang w:val="fr-FR"/>
        </w:rPr>
        <w:t xml:space="preserve">ent être divisées en quatre parties. </w:t>
      </w:r>
      <w:r>
        <w:rPr>
          <w:lang w:val="fr-FR"/>
        </w:rPr>
        <w:t>U</w:t>
      </w:r>
      <w:r w:rsidRPr="00606333">
        <w:rPr>
          <w:lang w:val="fr-FR"/>
        </w:rPr>
        <w:t>n consensus</w:t>
      </w:r>
      <w:r>
        <w:rPr>
          <w:lang w:val="fr-FR"/>
        </w:rPr>
        <w:t xml:space="preserve"> s’est dégagé pour :</w:t>
      </w:r>
    </w:p>
    <w:p w14:paraId="5D40C0CE" w14:textId="77777777" w:rsidR="006E61C0" w:rsidRPr="00606333" w:rsidRDefault="006E61C0" w:rsidP="0095653F">
      <w:pPr>
        <w:pStyle w:val="SingleTxtG"/>
        <w:ind w:firstLine="567"/>
        <w:rPr>
          <w:lang w:val="fr-FR"/>
        </w:rPr>
      </w:pPr>
      <w:r w:rsidRPr="00606333">
        <w:rPr>
          <w:lang w:val="fr-FR"/>
        </w:rPr>
        <w:t>a)</w:t>
      </w:r>
      <w:r w:rsidRPr="00606333">
        <w:rPr>
          <w:lang w:val="fr-FR"/>
        </w:rPr>
        <w:tab/>
      </w:r>
      <w:r>
        <w:rPr>
          <w:lang w:val="fr-FR"/>
        </w:rPr>
        <w:t>D</w:t>
      </w:r>
      <w:r w:rsidRPr="00606333">
        <w:rPr>
          <w:lang w:val="fr-FR"/>
        </w:rPr>
        <w:t>éplac</w:t>
      </w:r>
      <w:r>
        <w:rPr>
          <w:lang w:val="fr-FR"/>
        </w:rPr>
        <w:t>er</w:t>
      </w:r>
      <w:r w:rsidRPr="00606333">
        <w:rPr>
          <w:lang w:val="fr-FR"/>
        </w:rPr>
        <w:t xml:space="preserve"> la dernière phrase du premier </w:t>
      </w:r>
      <w:r>
        <w:rPr>
          <w:lang w:val="fr-FR"/>
        </w:rPr>
        <w:t>alinéa</w:t>
      </w:r>
      <w:r w:rsidRPr="00606333">
        <w:rPr>
          <w:lang w:val="fr-FR"/>
        </w:rPr>
        <w:t xml:space="preserve"> à la fin du deuxième </w:t>
      </w:r>
      <w:r w:rsidRPr="00B66B0C">
        <w:rPr>
          <w:lang w:val="fr-FR"/>
        </w:rPr>
        <w:t>alinéa</w:t>
      </w:r>
      <w:r>
        <w:rPr>
          <w:lang w:val="fr-FR"/>
        </w:rPr>
        <w:t> ;</w:t>
      </w:r>
    </w:p>
    <w:p w14:paraId="18318AA9" w14:textId="77777777" w:rsidR="006E61C0" w:rsidRPr="00606333" w:rsidRDefault="006E61C0" w:rsidP="0095653F">
      <w:pPr>
        <w:pStyle w:val="SingleTxtG"/>
        <w:ind w:firstLine="567"/>
        <w:rPr>
          <w:lang w:val="fr-FR"/>
        </w:rPr>
      </w:pPr>
      <w:r w:rsidRPr="00606333">
        <w:rPr>
          <w:lang w:val="fr-FR"/>
        </w:rPr>
        <w:t>b)</w:t>
      </w:r>
      <w:r w:rsidRPr="00606333">
        <w:rPr>
          <w:lang w:val="fr-FR"/>
        </w:rPr>
        <w:tab/>
      </w:r>
      <w:r>
        <w:rPr>
          <w:lang w:val="fr-FR"/>
        </w:rPr>
        <w:t>Ajouter</w:t>
      </w:r>
      <w:r w:rsidRPr="00606333">
        <w:rPr>
          <w:lang w:val="fr-FR"/>
        </w:rPr>
        <w:t xml:space="preserve"> un nouve</w:t>
      </w:r>
      <w:r>
        <w:rPr>
          <w:lang w:val="fr-FR"/>
        </w:rPr>
        <w:t>l</w:t>
      </w:r>
      <w:r w:rsidRPr="00606333">
        <w:rPr>
          <w:lang w:val="fr-FR"/>
        </w:rPr>
        <w:t xml:space="preserve"> </w:t>
      </w:r>
      <w:r>
        <w:rPr>
          <w:lang w:val="fr-FR"/>
        </w:rPr>
        <w:t>alinéa,</w:t>
      </w:r>
      <w:r w:rsidRPr="00E10288">
        <w:rPr>
          <w:lang w:val="fr-FR"/>
        </w:rPr>
        <w:t xml:space="preserve"> </w:t>
      </w:r>
      <w:r w:rsidRPr="00606333">
        <w:rPr>
          <w:lang w:val="fr-FR"/>
        </w:rPr>
        <w:t xml:space="preserve">après </w:t>
      </w:r>
      <w:r>
        <w:rPr>
          <w:lang w:val="fr-FR"/>
        </w:rPr>
        <w:t>débat</w:t>
      </w:r>
      <w:r w:rsidRPr="00606333">
        <w:rPr>
          <w:lang w:val="fr-FR"/>
        </w:rPr>
        <w:t xml:space="preserve"> et modification d</w:t>
      </w:r>
      <w:r>
        <w:rPr>
          <w:lang w:val="fr-FR"/>
        </w:rPr>
        <w:t>e son</w:t>
      </w:r>
      <w:r w:rsidRPr="00606333">
        <w:rPr>
          <w:lang w:val="fr-FR"/>
        </w:rPr>
        <w:t xml:space="preserve"> libellé</w:t>
      </w:r>
      <w:r>
        <w:rPr>
          <w:lang w:val="fr-FR"/>
        </w:rPr>
        <w:t>,</w:t>
      </w:r>
      <w:r w:rsidRPr="00606333">
        <w:rPr>
          <w:lang w:val="fr-FR"/>
        </w:rPr>
        <w:t xml:space="preserve"> avant le dernier </w:t>
      </w:r>
      <w:r>
        <w:rPr>
          <w:lang w:val="fr-FR"/>
        </w:rPr>
        <w:t xml:space="preserve">alinéa </w:t>
      </w:r>
      <w:r w:rsidRPr="00606333">
        <w:rPr>
          <w:lang w:val="fr-FR"/>
        </w:rPr>
        <w:t>du 6.8.2.1.23</w:t>
      </w:r>
      <w:r>
        <w:rPr>
          <w:lang w:val="fr-FR"/>
        </w:rPr>
        <w:t> ;</w:t>
      </w:r>
    </w:p>
    <w:p w14:paraId="3FA1377B" w14:textId="77777777" w:rsidR="006E61C0" w:rsidRPr="00606333" w:rsidRDefault="006E61C0" w:rsidP="0095653F">
      <w:pPr>
        <w:pStyle w:val="SingleTxtG"/>
        <w:ind w:firstLine="567"/>
        <w:rPr>
          <w:lang w:val="fr-FR"/>
        </w:rPr>
      </w:pPr>
      <w:r w:rsidRPr="00606333">
        <w:rPr>
          <w:lang w:val="fr-FR"/>
        </w:rPr>
        <w:t>c)</w:t>
      </w:r>
      <w:r w:rsidRPr="00606333">
        <w:rPr>
          <w:lang w:val="fr-FR"/>
        </w:rPr>
        <w:tab/>
      </w:r>
      <w:r>
        <w:rPr>
          <w:lang w:val="fr-FR"/>
        </w:rPr>
        <w:t>N</w:t>
      </w:r>
      <w:r w:rsidRPr="00606333">
        <w:rPr>
          <w:lang w:val="fr-FR"/>
        </w:rPr>
        <w:t xml:space="preserve">e pas adopter la proposition </w:t>
      </w:r>
      <w:r>
        <w:rPr>
          <w:lang w:val="fr-FR"/>
        </w:rPr>
        <w:t>concernant</w:t>
      </w:r>
      <w:r w:rsidRPr="00606333">
        <w:rPr>
          <w:lang w:val="fr-FR"/>
        </w:rPr>
        <w:t xml:space="preserve"> le dernier </w:t>
      </w:r>
      <w:r>
        <w:rPr>
          <w:lang w:val="fr-FR"/>
        </w:rPr>
        <w:t>alinéa</w:t>
      </w:r>
      <w:r w:rsidRPr="00606333">
        <w:rPr>
          <w:lang w:val="fr-FR"/>
        </w:rPr>
        <w:t xml:space="preserve"> du 6.8.2.1.23. Le fait de donner une liste exhaustive des parties impliquées dans la construction, l</w:t>
      </w:r>
      <w:r>
        <w:rPr>
          <w:lang w:val="fr-FR"/>
        </w:rPr>
        <w:t>’</w:t>
      </w:r>
      <w:r w:rsidRPr="00606333">
        <w:rPr>
          <w:lang w:val="fr-FR"/>
        </w:rPr>
        <w:t xml:space="preserve">entretien et la réparation des citernes pourrait </w:t>
      </w:r>
      <w:r>
        <w:rPr>
          <w:lang w:val="fr-FR"/>
        </w:rPr>
        <w:t>aboutir à ce</w:t>
      </w:r>
      <w:r w:rsidRPr="00606333">
        <w:rPr>
          <w:lang w:val="fr-FR"/>
        </w:rPr>
        <w:t xml:space="preserve"> que certaines parties ne se sentent pas obligées de </w:t>
      </w:r>
      <w:r>
        <w:rPr>
          <w:lang w:val="fr-FR"/>
        </w:rPr>
        <w:t xml:space="preserve">se conformer aux </w:t>
      </w:r>
      <w:r w:rsidRPr="00606333">
        <w:rPr>
          <w:lang w:val="fr-FR"/>
        </w:rPr>
        <w:t>prescriptions du 6.8.2.1.23</w:t>
      </w:r>
      <w:r>
        <w:rPr>
          <w:lang w:val="fr-FR"/>
        </w:rPr>
        <w:t> ;</w:t>
      </w:r>
    </w:p>
    <w:p w14:paraId="26DA4B78" w14:textId="77777777" w:rsidR="006E61C0" w:rsidRDefault="006E61C0" w:rsidP="0095653F">
      <w:pPr>
        <w:pStyle w:val="SingleTxtG"/>
        <w:ind w:firstLine="567"/>
        <w:rPr>
          <w:lang w:val="fr-FR"/>
        </w:rPr>
      </w:pPr>
      <w:r w:rsidRPr="00606333">
        <w:rPr>
          <w:lang w:val="fr-FR"/>
        </w:rPr>
        <w:t>d)</w:t>
      </w:r>
      <w:r w:rsidRPr="00606333">
        <w:rPr>
          <w:lang w:val="fr-FR"/>
        </w:rPr>
        <w:tab/>
      </w:r>
      <w:r>
        <w:rPr>
          <w:lang w:val="fr-FR"/>
        </w:rPr>
        <w:t>M</w:t>
      </w:r>
      <w:r w:rsidRPr="00606333">
        <w:rPr>
          <w:lang w:val="fr-FR"/>
        </w:rPr>
        <w:t>odifi</w:t>
      </w:r>
      <w:r>
        <w:rPr>
          <w:lang w:val="fr-FR"/>
        </w:rPr>
        <w:t>er</w:t>
      </w:r>
      <w:r w:rsidRPr="00B66B0C">
        <w:rPr>
          <w:lang w:val="fr-FR"/>
        </w:rPr>
        <w:t xml:space="preserve"> </w:t>
      </w:r>
      <w:r>
        <w:rPr>
          <w:lang w:val="fr-FR"/>
        </w:rPr>
        <w:t>a</w:t>
      </w:r>
      <w:r w:rsidRPr="00606333">
        <w:rPr>
          <w:lang w:val="fr-FR"/>
        </w:rPr>
        <w:t>u 6.8.2.6.2</w:t>
      </w:r>
      <w:r>
        <w:rPr>
          <w:lang w:val="fr-FR"/>
        </w:rPr>
        <w:t xml:space="preserve"> le</w:t>
      </w:r>
      <w:r w:rsidRPr="00606333">
        <w:rPr>
          <w:lang w:val="fr-FR"/>
        </w:rPr>
        <w:t xml:space="preserve"> tableau de la norme EN 12972</w:t>
      </w:r>
      <w:r>
        <w:rPr>
          <w:lang w:val="fr-FR"/>
        </w:rPr>
        <w:t>:</w:t>
      </w:r>
      <w:r w:rsidRPr="00606333">
        <w:rPr>
          <w:lang w:val="fr-FR"/>
        </w:rPr>
        <w:t xml:space="preserve">2018, car cela rendrait la norme applicable à </w:t>
      </w:r>
      <w:r>
        <w:rPr>
          <w:lang w:val="fr-FR"/>
        </w:rPr>
        <w:t>la prescription</w:t>
      </w:r>
      <w:r w:rsidRPr="00606333">
        <w:rPr>
          <w:lang w:val="fr-FR"/>
        </w:rPr>
        <w:t xml:space="preserve"> de soudage.</w:t>
      </w:r>
    </w:p>
    <w:p w14:paraId="1F8DEFA5" w14:textId="77777777" w:rsidR="006E61C0" w:rsidRPr="00606333" w:rsidRDefault="006E61C0" w:rsidP="0095653F">
      <w:pPr>
        <w:pStyle w:val="H23G"/>
        <w:rPr>
          <w:lang w:val="fr-FR"/>
        </w:rPr>
      </w:pPr>
      <w:r w:rsidRPr="00606333">
        <w:rPr>
          <w:lang w:val="fr-FR"/>
        </w:rPr>
        <w:tab/>
      </w:r>
      <w:r w:rsidRPr="00606333">
        <w:rPr>
          <w:lang w:val="fr-FR"/>
        </w:rPr>
        <w:tab/>
        <w:t>Proposition 4</w:t>
      </w:r>
      <w:r>
        <w:rPr>
          <w:lang w:val="fr-FR"/>
        </w:rPr>
        <w:t> :</w:t>
      </w:r>
      <w:r w:rsidRPr="00606333">
        <w:rPr>
          <w:lang w:val="fr-FR"/>
        </w:rPr>
        <w:t xml:space="preserve"> modifier les premier et deuxième </w:t>
      </w:r>
      <w:r>
        <w:rPr>
          <w:lang w:val="fr-FR"/>
        </w:rPr>
        <w:t>alinéas</w:t>
      </w:r>
      <w:r w:rsidRPr="00606333">
        <w:rPr>
          <w:lang w:val="fr-FR"/>
        </w:rPr>
        <w:t xml:space="preserve"> du 6.8.2.1.23</w:t>
      </w:r>
      <w:r>
        <w:rPr>
          <w:lang w:val="fr-FR"/>
        </w:rPr>
        <w:t>,</w:t>
      </w:r>
      <w:r w:rsidRPr="00606333">
        <w:rPr>
          <w:lang w:val="fr-FR"/>
        </w:rPr>
        <w:t xml:space="preserve"> comme suit (le</w:t>
      </w:r>
      <w:r>
        <w:rPr>
          <w:lang w:val="fr-FR"/>
        </w:rPr>
        <w:t>s </w:t>
      </w:r>
      <w:r w:rsidRPr="00606333">
        <w:rPr>
          <w:lang w:val="fr-FR"/>
        </w:rPr>
        <w:t>supp</w:t>
      </w:r>
      <w:r>
        <w:rPr>
          <w:lang w:val="fr-FR"/>
        </w:rPr>
        <w:t>ressions sont biffées</w:t>
      </w:r>
      <w:r w:rsidRPr="00606333">
        <w:rPr>
          <w:lang w:val="fr-FR"/>
        </w:rPr>
        <w:t xml:space="preserve"> et le</w:t>
      </w:r>
      <w:r>
        <w:rPr>
          <w:lang w:val="fr-FR"/>
        </w:rPr>
        <w:t xml:space="preserve"> texte déplacé est</w:t>
      </w:r>
      <w:r w:rsidRPr="00606333">
        <w:rPr>
          <w:lang w:val="fr-FR"/>
        </w:rPr>
        <w:t xml:space="preserve"> souligné)</w:t>
      </w:r>
      <w:r>
        <w:rPr>
          <w:lang w:val="fr-FR"/>
        </w:rPr>
        <w:t> :</w:t>
      </w:r>
    </w:p>
    <w:p w14:paraId="232F577F" w14:textId="77777777" w:rsidR="006E61C0" w:rsidRPr="00606333" w:rsidRDefault="006E61C0" w:rsidP="0095653F">
      <w:pPr>
        <w:pStyle w:val="SingleTxtG"/>
        <w:keepNext/>
        <w:ind w:left="2268" w:hanging="1134"/>
        <w:rPr>
          <w:lang w:val="fr-FR"/>
        </w:rPr>
      </w:pPr>
      <w:r>
        <w:rPr>
          <w:lang w:val="fr-FR"/>
        </w:rPr>
        <w:t>« </w:t>
      </w:r>
      <w:r w:rsidRPr="00606333">
        <w:rPr>
          <w:lang w:val="fr-FR"/>
        </w:rPr>
        <w:t>6.8.2.1.23</w:t>
      </w:r>
      <w:r w:rsidRPr="00606333">
        <w:rPr>
          <w:lang w:val="fr-FR"/>
        </w:rPr>
        <w:tab/>
      </w:r>
      <w:r w:rsidRPr="00606333">
        <w:rPr>
          <w:lang w:val="fr-FR" w:eastAsia="en-GB"/>
        </w:rPr>
        <w:t xml:space="preserve">Soudage </w:t>
      </w:r>
      <w:r w:rsidRPr="00606333">
        <w:rPr>
          <w:lang w:val="fr-FR"/>
        </w:rPr>
        <w:t>et contrôle des soudures</w:t>
      </w:r>
    </w:p>
    <w:p w14:paraId="6A3C72B5" w14:textId="77777777" w:rsidR="006E61C0" w:rsidRPr="00606333" w:rsidRDefault="006E61C0" w:rsidP="0095653F">
      <w:pPr>
        <w:pStyle w:val="SingleTxtG"/>
        <w:keepNext/>
        <w:ind w:left="2268"/>
        <w:rPr>
          <w:strike/>
          <w:lang w:val="fr-FR"/>
        </w:rPr>
      </w:pPr>
      <w:r w:rsidRPr="00606333">
        <w:rPr>
          <w:lang w:val="fr-FR"/>
        </w:rPr>
        <w:tab/>
        <w:t>L</w:t>
      </w:r>
      <w:r>
        <w:rPr>
          <w:lang w:val="fr-FR"/>
        </w:rPr>
        <w:t>’</w:t>
      </w:r>
      <w:r w:rsidRPr="00606333">
        <w:rPr>
          <w:lang w:val="fr-FR"/>
        </w:rPr>
        <w:t xml:space="preserve">organisme </w:t>
      </w:r>
      <w:r>
        <w:rPr>
          <w:lang w:val="fr-FR"/>
        </w:rPr>
        <w:t xml:space="preserve">effectuant </w:t>
      </w:r>
      <w:r w:rsidRPr="00606333">
        <w:rPr>
          <w:lang w:val="fr-FR"/>
        </w:rPr>
        <w:t>de</w:t>
      </w:r>
      <w:r>
        <w:rPr>
          <w:lang w:val="fr-FR"/>
        </w:rPr>
        <w:t>s</w:t>
      </w:r>
      <w:r w:rsidRPr="00606333">
        <w:rPr>
          <w:lang w:val="fr-FR"/>
        </w:rPr>
        <w:t xml:space="preserve"> </w:t>
      </w:r>
      <w:r w:rsidRPr="00606333">
        <w:rPr>
          <w:lang w:val="fr-FR" w:eastAsia="en-GB"/>
        </w:rPr>
        <w:t>contrôle</w:t>
      </w:r>
      <w:r>
        <w:rPr>
          <w:lang w:val="fr-FR" w:eastAsia="en-GB"/>
        </w:rPr>
        <w:t>s</w:t>
      </w:r>
      <w:r w:rsidRPr="00606333">
        <w:rPr>
          <w:lang w:val="fr-FR" w:eastAsia="en-GB"/>
        </w:rPr>
        <w:t xml:space="preserve"> </w:t>
      </w:r>
      <w:r>
        <w:rPr>
          <w:lang w:val="fr-FR"/>
        </w:rPr>
        <w:t>…</w:t>
      </w:r>
      <w:r w:rsidRPr="00606333">
        <w:rPr>
          <w:lang w:val="fr-FR"/>
        </w:rPr>
        <w:t xml:space="preserve"> (y compris les traitements thermiques </w:t>
      </w:r>
      <w:r>
        <w:rPr>
          <w:lang w:val="fr-FR"/>
        </w:rPr>
        <w:t>qui pourraient être</w:t>
      </w:r>
      <w:r w:rsidRPr="00606333">
        <w:rPr>
          <w:lang w:val="fr-FR"/>
        </w:rPr>
        <w:t xml:space="preserve"> nécessaires) a été démontrée par des essais. </w:t>
      </w:r>
      <w:r w:rsidRPr="00B007D5">
        <w:rPr>
          <w:strike/>
          <w:lang w:val="fr-FR"/>
        </w:rPr>
        <w:t>Des</w:t>
      </w:r>
      <w:r w:rsidRPr="00606333">
        <w:rPr>
          <w:lang w:val="fr-FR"/>
        </w:rPr>
        <w:t xml:space="preserve"> </w:t>
      </w:r>
      <w:r w:rsidRPr="00606333">
        <w:rPr>
          <w:strike/>
          <w:lang w:val="fr-FR"/>
        </w:rPr>
        <w:t xml:space="preserve">contrôles non destructifs </w:t>
      </w:r>
      <w:bookmarkStart w:id="10" w:name="_Hlk73388103"/>
      <w:r>
        <w:rPr>
          <w:strike/>
          <w:lang w:val="fr-FR"/>
        </w:rPr>
        <w:t>doivent être</w:t>
      </w:r>
      <w:r w:rsidRPr="00606333">
        <w:rPr>
          <w:strike/>
          <w:lang w:val="fr-FR"/>
        </w:rPr>
        <w:t xml:space="preserve"> effectués par radiographie ou par ultrasons</w:t>
      </w:r>
      <w:r w:rsidRPr="00B007D5">
        <w:rPr>
          <w:strike/>
          <w:vertAlign w:val="superscript"/>
          <w:lang w:val="fr-FR"/>
        </w:rPr>
        <w:t>7</w:t>
      </w:r>
      <w:r w:rsidRPr="00606333">
        <w:rPr>
          <w:strike/>
          <w:lang w:val="fr-FR"/>
        </w:rPr>
        <w:t xml:space="preserve"> et doivent confirmer que la qualité du soudage </w:t>
      </w:r>
      <w:r>
        <w:rPr>
          <w:strike/>
          <w:lang w:val="fr-FR"/>
        </w:rPr>
        <w:t>correspond aux sollicitations</w:t>
      </w:r>
      <w:bookmarkEnd w:id="10"/>
      <w:r w:rsidRPr="00606333">
        <w:rPr>
          <w:strike/>
          <w:lang w:val="fr-FR"/>
        </w:rPr>
        <w:t>.</w:t>
      </w:r>
    </w:p>
    <w:p w14:paraId="2C098636" w14:textId="77777777" w:rsidR="006E61C0" w:rsidRPr="00606333" w:rsidRDefault="006E61C0" w:rsidP="0095653F">
      <w:pPr>
        <w:pStyle w:val="SingleTxtG"/>
        <w:keepNext/>
        <w:ind w:left="2268"/>
        <w:rPr>
          <w:u w:val="single"/>
          <w:lang w:val="fr-FR"/>
        </w:rPr>
      </w:pPr>
      <w:r w:rsidRPr="00606333">
        <w:rPr>
          <w:lang w:val="fr-FR"/>
        </w:rPr>
        <w:tab/>
        <w:t xml:space="preserve">Les contrôles </w:t>
      </w:r>
      <w:r w:rsidRPr="00606333">
        <w:rPr>
          <w:lang w:val="fr-FR" w:eastAsia="en-GB"/>
        </w:rPr>
        <w:t xml:space="preserve">suivants </w:t>
      </w:r>
      <w:r w:rsidRPr="00606333">
        <w:rPr>
          <w:lang w:val="fr-FR"/>
        </w:rPr>
        <w:t xml:space="preserve">doivent être effectués pour les soudures réalisées par chaque procédé de soudage utilisé par le </w:t>
      </w:r>
      <w:r>
        <w:rPr>
          <w:lang w:val="fr-FR"/>
        </w:rPr>
        <w:t>constructeur,</w:t>
      </w:r>
      <w:r w:rsidRPr="00606333">
        <w:rPr>
          <w:lang w:val="fr-FR"/>
        </w:rPr>
        <w:t xml:space="preserve"> en </w:t>
      </w:r>
      <w:r>
        <w:rPr>
          <w:lang w:val="fr-FR"/>
        </w:rPr>
        <w:t>tenant compte</w:t>
      </w:r>
      <w:r w:rsidRPr="00606333">
        <w:rPr>
          <w:lang w:val="fr-FR"/>
        </w:rPr>
        <w:t xml:space="preserve"> de la valeur du coefficient λ utilisé</w:t>
      </w:r>
      <w:r>
        <w:rPr>
          <w:lang w:val="fr-FR"/>
        </w:rPr>
        <w:t>e</w:t>
      </w:r>
      <w:r w:rsidRPr="00606333">
        <w:rPr>
          <w:lang w:val="fr-FR"/>
        </w:rPr>
        <w:t xml:space="preserve"> pour déterminer l</w:t>
      </w:r>
      <w:r>
        <w:rPr>
          <w:lang w:val="fr-FR"/>
        </w:rPr>
        <w:t>’</w:t>
      </w:r>
      <w:r w:rsidRPr="00606333">
        <w:rPr>
          <w:lang w:val="fr-FR"/>
        </w:rPr>
        <w:t>épaisseur d</w:t>
      </w:r>
      <w:r>
        <w:rPr>
          <w:lang w:val="fr-FR"/>
        </w:rPr>
        <w:t>u réservoir</w:t>
      </w:r>
      <w:r w:rsidRPr="00606333">
        <w:rPr>
          <w:lang w:val="fr-FR"/>
        </w:rPr>
        <w:t xml:space="preserve"> au 6.8.2.1.17. </w:t>
      </w:r>
      <w:r w:rsidRPr="00B007D5">
        <w:rPr>
          <w:u w:val="single"/>
          <w:lang w:val="fr-FR"/>
        </w:rPr>
        <w:t>Des</w:t>
      </w:r>
      <w:r w:rsidRPr="00606333">
        <w:rPr>
          <w:lang w:val="fr-FR"/>
        </w:rPr>
        <w:t xml:space="preserve"> </w:t>
      </w:r>
      <w:r w:rsidRPr="00606333">
        <w:rPr>
          <w:u w:val="single"/>
          <w:lang w:val="fr-FR"/>
        </w:rPr>
        <w:t xml:space="preserve">contrôles non destructifs </w:t>
      </w:r>
      <w:r w:rsidRPr="00B007D5">
        <w:rPr>
          <w:u w:val="single"/>
          <w:lang w:val="fr-FR"/>
        </w:rPr>
        <w:t xml:space="preserve">doivent être effectués par </w:t>
      </w:r>
      <w:r w:rsidRPr="00B007D5">
        <w:rPr>
          <w:u w:val="single"/>
          <w:lang w:val="fr-FR"/>
        </w:rPr>
        <w:lastRenderedPageBreak/>
        <w:t>radiographie ou par ultrasons</w:t>
      </w:r>
      <w:r w:rsidRPr="0095653F">
        <w:rPr>
          <w:sz w:val="18"/>
          <w:szCs w:val="18"/>
          <w:u w:val="single"/>
          <w:vertAlign w:val="superscript"/>
          <w:lang w:val="fr-FR"/>
        </w:rPr>
        <w:t>7</w:t>
      </w:r>
      <w:r w:rsidRPr="00B007D5">
        <w:rPr>
          <w:u w:val="single"/>
          <w:lang w:val="fr-FR"/>
        </w:rPr>
        <w:t xml:space="preserve"> et doivent confirmer que la qualité du soudage correspond aux sollicitations</w:t>
      </w:r>
      <w:r w:rsidRPr="00606333">
        <w:rPr>
          <w:u w:val="single"/>
          <w:lang w:val="fr-FR"/>
        </w:rPr>
        <w:t>.</w:t>
      </w:r>
      <w:r>
        <w:rPr>
          <w:lang w:val="fr-FR"/>
        </w:rPr>
        <w:t> ».</w:t>
      </w:r>
    </w:p>
    <w:p w14:paraId="046E9425" w14:textId="0E11771C" w:rsidR="006E61C0" w:rsidRPr="00606333" w:rsidRDefault="006E61C0" w:rsidP="0095653F">
      <w:pPr>
        <w:pStyle w:val="H23G"/>
        <w:rPr>
          <w:lang w:val="fr-FR"/>
        </w:rPr>
      </w:pPr>
      <w:r w:rsidRPr="00606333">
        <w:rPr>
          <w:lang w:val="fr-FR"/>
        </w:rPr>
        <w:tab/>
      </w:r>
      <w:r w:rsidRPr="00606333">
        <w:rPr>
          <w:lang w:val="fr-FR"/>
        </w:rPr>
        <w:tab/>
        <w:t>Proposition 5</w:t>
      </w:r>
      <w:r>
        <w:rPr>
          <w:lang w:val="fr-FR"/>
        </w:rPr>
        <w:t> :</w:t>
      </w:r>
      <w:r w:rsidRPr="00606333">
        <w:rPr>
          <w:lang w:val="fr-FR"/>
        </w:rPr>
        <w:t xml:space="preserve"> </w:t>
      </w:r>
      <w:r>
        <w:rPr>
          <w:lang w:val="fr-FR"/>
        </w:rPr>
        <w:t>ajouter</w:t>
      </w:r>
      <w:r w:rsidRPr="00606333">
        <w:rPr>
          <w:lang w:val="fr-FR"/>
        </w:rPr>
        <w:t xml:space="preserve"> un nouvel avant-dernier </w:t>
      </w:r>
      <w:r>
        <w:rPr>
          <w:lang w:val="fr-FR"/>
        </w:rPr>
        <w:t>alinéa, libellé</w:t>
      </w:r>
      <w:r w:rsidRPr="00606333">
        <w:rPr>
          <w:lang w:val="fr-FR"/>
        </w:rPr>
        <w:t xml:space="preserve"> comme suit </w:t>
      </w:r>
      <w:r w:rsidR="0095653F">
        <w:rPr>
          <w:lang w:val="fr-FR"/>
        </w:rPr>
        <w:br/>
      </w:r>
      <w:r w:rsidRPr="00606333">
        <w:rPr>
          <w:lang w:val="fr-FR"/>
        </w:rPr>
        <w:t>(l</w:t>
      </w:r>
      <w:r>
        <w:rPr>
          <w:lang w:val="fr-FR"/>
        </w:rPr>
        <w:t>e</w:t>
      </w:r>
      <w:r w:rsidRPr="00606333">
        <w:rPr>
          <w:lang w:val="fr-FR"/>
        </w:rPr>
        <w:t xml:space="preserve"> nouve</w:t>
      </w:r>
      <w:r>
        <w:rPr>
          <w:lang w:val="fr-FR"/>
        </w:rPr>
        <w:t>au</w:t>
      </w:r>
      <w:r w:rsidRPr="00606333">
        <w:rPr>
          <w:lang w:val="fr-FR"/>
        </w:rPr>
        <w:t xml:space="preserve"> </w:t>
      </w:r>
      <w:r>
        <w:rPr>
          <w:lang w:val="fr-FR"/>
        </w:rPr>
        <w:t>texte</w:t>
      </w:r>
      <w:r w:rsidRPr="00606333">
        <w:rPr>
          <w:lang w:val="fr-FR"/>
        </w:rPr>
        <w:t xml:space="preserve"> est souligné)</w:t>
      </w:r>
      <w:r>
        <w:rPr>
          <w:lang w:val="fr-FR"/>
        </w:rPr>
        <w:t> :</w:t>
      </w:r>
    </w:p>
    <w:p w14:paraId="213610B5" w14:textId="77777777" w:rsidR="006E61C0" w:rsidRPr="00606333" w:rsidRDefault="006E61C0" w:rsidP="0095653F">
      <w:pPr>
        <w:pStyle w:val="SingleTxtG"/>
        <w:keepNext/>
        <w:ind w:left="2268"/>
        <w:rPr>
          <w:color w:val="222222"/>
          <w:u w:val="single"/>
          <w:lang w:val="fr-FR"/>
        </w:rPr>
      </w:pPr>
      <w:r w:rsidRPr="00606333">
        <w:rPr>
          <w:color w:val="222222"/>
          <w:lang w:val="fr-FR"/>
        </w:rPr>
        <w:tab/>
      </w:r>
      <w:r>
        <w:rPr>
          <w:color w:val="222222"/>
          <w:lang w:val="fr-FR"/>
        </w:rPr>
        <w:t>« </w:t>
      </w:r>
      <w:r w:rsidRPr="00606333">
        <w:rPr>
          <w:color w:val="222222"/>
          <w:u w:val="single"/>
          <w:lang w:val="fr-FR"/>
        </w:rPr>
        <w:t xml:space="preserve">Les soudures réalisées lors de réparations ou de modifications doivent être évaluées </w:t>
      </w:r>
      <w:r w:rsidRPr="00606333">
        <w:rPr>
          <w:u w:val="single"/>
          <w:lang w:val="fr-FR"/>
        </w:rPr>
        <w:t xml:space="preserve">comme ci-dessus et </w:t>
      </w:r>
      <w:r w:rsidRPr="00606333">
        <w:rPr>
          <w:color w:val="222222"/>
          <w:u w:val="single"/>
          <w:lang w:val="fr-FR"/>
        </w:rPr>
        <w:t>conformément aux essais non destructifs spécifiés dans la ou les normes pertinentes référencées au 6.8.2.6.2.</w:t>
      </w:r>
      <w:r>
        <w:rPr>
          <w:color w:val="222222"/>
          <w:lang w:val="fr-FR"/>
        </w:rPr>
        <w:t> ».</w:t>
      </w:r>
    </w:p>
    <w:p w14:paraId="322BAB40" w14:textId="77777777" w:rsidR="006E61C0" w:rsidRPr="00606333" w:rsidRDefault="006E61C0" w:rsidP="0095653F">
      <w:pPr>
        <w:pStyle w:val="H23G"/>
        <w:rPr>
          <w:lang w:val="fr-FR"/>
        </w:rPr>
      </w:pPr>
      <w:r w:rsidRPr="00606333">
        <w:rPr>
          <w:lang w:val="fr-FR"/>
        </w:rPr>
        <w:tab/>
      </w:r>
      <w:r w:rsidRPr="00606333">
        <w:rPr>
          <w:lang w:val="fr-FR"/>
        </w:rPr>
        <w:tab/>
        <w:t>Proposition 6</w:t>
      </w:r>
      <w:r>
        <w:rPr>
          <w:lang w:val="fr-FR"/>
        </w:rPr>
        <w:t> :</w:t>
      </w:r>
      <w:r w:rsidRPr="00606333">
        <w:rPr>
          <w:lang w:val="fr-FR"/>
        </w:rPr>
        <w:t xml:space="preserve"> modifier la troisième colonne du tableau du 6.8.2.6.2 </w:t>
      </w:r>
      <w:r>
        <w:rPr>
          <w:lang w:val="fr-FR"/>
        </w:rPr>
        <w:t>concernant</w:t>
      </w:r>
      <w:r w:rsidRPr="00606333">
        <w:rPr>
          <w:lang w:val="fr-FR"/>
        </w:rPr>
        <w:t xml:space="preserve"> la</w:t>
      </w:r>
      <w:r>
        <w:rPr>
          <w:lang w:val="fr-FR"/>
        </w:rPr>
        <w:t> </w:t>
      </w:r>
      <w:r w:rsidRPr="00606333">
        <w:rPr>
          <w:lang w:val="fr-FR"/>
        </w:rPr>
        <w:t>norme EN 1297</w:t>
      </w:r>
      <w:r>
        <w:rPr>
          <w:lang w:val="fr-FR"/>
        </w:rPr>
        <w:t>2:</w:t>
      </w:r>
      <w:r w:rsidRPr="00606333">
        <w:rPr>
          <w:lang w:val="fr-FR"/>
        </w:rPr>
        <w:t>2018 comme suit (l</w:t>
      </w:r>
      <w:r>
        <w:rPr>
          <w:lang w:val="fr-FR"/>
        </w:rPr>
        <w:t>’ajout</w:t>
      </w:r>
      <w:r w:rsidRPr="00606333">
        <w:rPr>
          <w:lang w:val="fr-FR"/>
        </w:rPr>
        <w:t xml:space="preserve"> est souligné)</w:t>
      </w:r>
      <w:r>
        <w:rPr>
          <w:lang w:val="fr-FR"/>
        </w:rPr>
        <w:t> :</w:t>
      </w:r>
    </w:p>
    <w:tbl>
      <w:tblPr>
        <w:tblW w:w="8505" w:type="dxa"/>
        <w:tblInd w:w="1129" w:type="dxa"/>
        <w:tblLook w:val="04A0" w:firstRow="1" w:lastRow="0" w:firstColumn="1" w:lastColumn="0" w:noHBand="0" w:noVBand="1"/>
      </w:tblPr>
      <w:tblGrid>
        <w:gridCol w:w="1874"/>
        <w:gridCol w:w="3172"/>
        <w:gridCol w:w="1585"/>
        <w:gridCol w:w="1874"/>
      </w:tblGrid>
      <w:tr w:rsidR="006E61C0" w:rsidRPr="00606333" w14:paraId="62431CF6" w14:textId="77777777" w:rsidTr="0095653F">
        <w:trPr>
          <w:trHeight w:val="834"/>
        </w:trPr>
        <w:tc>
          <w:tcPr>
            <w:tcW w:w="1843" w:type="dxa"/>
          </w:tcPr>
          <w:p w14:paraId="50557244" w14:textId="77777777" w:rsidR="006E61C0" w:rsidRPr="00606333" w:rsidRDefault="006E61C0" w:rsidP="00532AE4">
            <w:pPr>
              <w:rPr>
                <w:i/>
                <w:iCs/>
                <w:lang w:val="fr-FR"/>
              </w:rPr>
            </w:pPr>
            <w:r w:rsidRPr="00606333">
              <w:rPr>
                <w:i/>
                <w:iCs/>
                <w:lang w:val="fr-FR"/>
              </w:rPr>
              <w:t>EN 12972</w:t>
            </w:r>
            <w:r>
              <w:rPr>
                <w:i/>
                <w:iCs/>
                <w:lang w:val="fr-FR"/>
              </w:rPr>
              <w:t>:</w:t>
            </w:r>
            <w:r w:rsidRPr="00606333">
              <w:rPr>
                <w:i/>
                <w:iCs/>
                <w:lang w:val="fr-FR"/>
              </w:rPr>
              <w:t>2018</w:t>
            </w:r>
          </w:p>
        </w:tc>
        <w:tc>
          <w:tcPr>
            <w:tcW w:w="3119" w:type="dxa"/>
          </w:tcPr>
          <w:p w14:paraId="790D877F" w14:textId="77777777" w:rsidR="006E61C0" w:rsidRPr="00606333" w:rsidRDefault="006E61C0" w:rsidP="00532AE4">
            <w:pPr>
              <w:rPr>
                <w:i/>
                <w:iCs/>
                <w:lang w:val="fr-FR"/>
              </w:rPr>
            </w:pPr>
            <w:r w:rsidRPr="00845D1F">
              <w:rPr>
                <w:i/>
                <w:iCs/>
                <w:lang w:val="fr-FR"/>
              </w:rPr>
              <w:t>Citernes destinées au transport de</w:t>
            </w:r>
            <w:r>
              <w:rPr>
                <w:i/>
                <w:iCs/>
                <w:lang w:val="fr-FR"/>
              </w:rPr>
              <w:t> </w:t>
            </w:r>
            <w:r w:rsidRPr="00845D1F">
              <w:rPr>
                <w:i/>
                <w:iCs/>
                <w:lang w:val="fr-FR"/>
              </w:rPr>
              <w:t>matières</w:t>
            </w:r>
            <w:r>
              <w:rPr>
                <w:i/>
                <w:iCs/>
                <w:lang w:val="fr-FR"/>
              </w:rPr>
              <w:t xml:space="preserve"> </w:t>
            </w:r>
            <w:r w:rsidRPr="00845D1F">
              <w:rPr>
                <w:i/>
                <w:iCs/>
                <w:lang w:val="fr-FR"/>
              </w:rPr>
              <w:t>dangereuses − épreuve, contrôle et marquage</w:t>
            </w:r>
            <w:r>
              <w:rPr>
                <w:i/>
                <w:iCs/>
                <w:lang w:val="fr-FR"/>
              </w:rPr>
              <w:t xml:space="preserve"> </w:t>
            </w:r>
            <w:r w:rsidRPr="00845D1F">
              <w:rPr>
                <w:i/>
                <w:iCs/>
                <w:lang w:val="fr-FR"/>
              </w:rPr>
              <w:t>des citernes métalliques</w:t>
            </w:r>
          </w:p>
        </w:tc>
        <w:tc>
          <w:tcPr>
            <w:tcW w:w="1559" w:type="dxa"/>
          </w:tcPr>
          <w:p w14:paraId="17140974" w14:textId="77777777" w:rsidR="006E61C0" w:rsidRPr="00606333" w:rsidRDefault="006E61C0" w:rsidP="00532AE4">
            <w:pPr>
              <w:rPr>
                <w:i/>
                <w:iCs/>
                <w:u w:val="single"/>
                <w:lang w:val="fr-FR"/>
              </w:rPr>
            </w:pPr>
            <w:r w:rsidRPr="00606333">
              <w:rPr>
                <w:i/>
                <w:iCs/>
                <w:u w:val="single"/>
                <w:lang w:val="fr-FR"/>
              </w:rPr>
              <w:t>6.8.2.1.23</w:t>
            </w:r>
          </w:p>
          <w:p w14:paraId="76BB536C" w14:textId="77777777" w:rsidR="006E61C0" w:rsidRPr="00606333" w:rsidRDefault="006E61C0" w:rsidP="00532AE4">
            <w:pPr>
              <w:rPr>
                <w:i/>
                <w:iCs/>
                <w:lang w:val="fr-FR"/>
              </w:rPr>
            </w:pPr>
            <w:r w:rsidRPr="00606333">
              <w:rPr>
                <w:i/>
                <w:iCs/>
                <w:lang w:val="fr-FR"/>
              </w:rPr>
              <w:t xml:space="preserve">6.8.2.4 </w:t>
            </w:r>
          </w:p>
          <w:p w14:paraId="0B7C3D7D" w14:textId="77777777" w:rsidR="006E61C0" w:rsidRPr="00606333" w:rsidRDefault="006E61C0" w:rsidP="00532AE4">
            <w:pPr>
              <w:rPr>
                <w:i/>
                <w:iCs/>
                <w:lang w:val="fr-FR"/>
              </w:rPr>
            </w:pPr>
            <w:r w:rsidRPr="00606333">
              <w:rPr>
                <w:i/>
                <w:iCs/>
                <w:lang w:val="fr-FR"/>
              </w:rPr>
              <w:t xml:space="preserve">6.8.3.4 </w:t>
            </w:r>
          </w:p>
        </w:tc>
        <w:tc>
          <w:tcPr>
            <w:tcW w:w="1843" w:type="dxa"/>
          </w:tcPr>
          <w:p w14:paraId="384FA393" w14:textId="77777777" w:rsidR="006E61C0" w:rsidRPr="00606333" w:rsidRDefault="006E61C0" w:rsidP="00532AE4">
            <w:pPr>
              <w:rPr>
                <w:i/>
                <w:iCs/>
                <w:lang w:val="fr-FR"/>
              </w:rPr>
            </w:pPr>
            <w:r w:rsidRPr="00606333">
              <w:rPr>
                <w:i/>
                <w:iCs/>
                <w:lang w:val="fr-FR"/>
              </w:rPr>
              <w:t>Obligatoirement à</w:t>
            </w:r>
            <w:r>
              <w:rPr>
                <w:i/>
                <w:iCs/>
                <w:lang w:val="fr-FR"/>
              </w:rPr>
              <w:t> </w:t>
            </w:r>
            <w:r w:rsidRPr="00606333">
              <w:rPr>
                <w:i/>
                <w:iCs/>
                <w:lang w:val="fr-FR"/>
              </w:rPr>
              <w:t>partir du 1</w:t>
            </w:r>
            <w:r w:rsidRPr="00D95ADA">
              <w:rPr>
                <w:i/>
                <w:iCs/>
                <w:vertAlign w:val="superscript"/>
                <w:lang w:val="fr-FR"/>
              </w:rPr>
              <w:t>er</w:t>
            </w:r>
            <w:r>
              <w:rPr>
                <w:i/>
                <w:iCs/>
                <w:lang w:val="fr-FR"/>
              </w:rPr>
              <w:t> </w:t>
            </w:r>
            <w:r w:rsidRPr="00606333">
              <w:rPr>
                <w:i/>
                <w:iCs/>
                <w:lang w:val="fr-FR"/>
              </w:rPr>
              <w:t>juillet 2021</w:t>
            </w:r>
          </w:p>
        </w:tc>
      </w:tr>
    </w:tbl>
    <w:p w14:paraId="74FE6AAA" w14:textId="69B9E16E" w:rsidR="006E61C0" w:rsidRPr="00606333" w:rsidRDefault="0095653F" w:rsidP="0095653F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6E61C0" w:rsidRPr="00606333">
        <w:rPr>
          <w:lang w:val="fr-FR"/>
        </w:rPr>
        <w:t>Article 4</w:t>
      </w:r>
      <w:r w:rsidR="006E61C0">
        <w:rPr>
          <w:lang w:val="fr-FR"/>
        </w:rPr>
        <w:t> :</w:t>
      </w:r>
      <w:r>
        <w:rPr>
          <w:lang w:val="fr-FR"/>
        </w:rPr>
        <w:t xml:space="preserve"> </w:t>
      </w:r>
      <w:r w:rsidR="006E61C0">
        <w:rPr>
          <w:lang w:val="fr-FR"/>
        </w:rPr>
        <w:t xml:space="preserve">Raccords à </w:t>
      </w:r>
      <w:r w:rsidR="006E61C0" w:rsidRPr="00815A1A">
        <w:rPr>
          <w:lang w:val="fr-FR"/>
        </w:rPr>
        <w:t>désaccouplement</w:t>
      </w:r>
      <w:r w:rsidR="006E61C0">
        <w:rPr>
          <w:lang w:val="fr-FR"/>
        </w:rPr>
        <w:t xml:space="preserve"> </w:t>
      </w:r>
      <w:r w:rsidR="006E61C0" w:rsidRPr="00606333">
        <w:rPr>
          <w:lang w:val="fr-FR"/>
        </w:rPr>
        <w:t>s</w:t>
      </w:r>
      <w:r w:rsidR="006E61C0">
        <w:rPr>
          <w:lang w:val="fr-FR"/>
        </w:rPr>
        <w:t>ec</w:t>
      </w:r>
    </w:p>
    <w:p w14:paraId="5F4EE195" w14:textId="323533B2" w:rsidR="006E61C0" w:rsidRPr="00606333" w:rsidRDefault="006E61C0" w:rsidP="0095653F">
      <w:pPr>
        <w:pStyle w:val="SingleTxtG"/>
        <w:rPr>
          <w:lang w:val="fr-FR"/>
        </w:rPr>
      </w:pPr>
      <w:bookmarkStart w:id="11" w:name="_Hlk73365061"/>
      <w:r w:rsidRPr="004576AE">
        <w:rPr>
          <w:i/>
          <w:lang w:val="fr-FR"/>
        </w:rPr>
        <w:t>Document(s)</w:t>
      </w:r>
      <w:r>
        <w:rPr>
          <w:i/>
          <w:lang w:val="fr-FR"/>
        </w:rPr>
        <w:t> </w:t>
      </w:r>
      <w:r w:rsidRPr="0095653F">
        <w:rPr>
          <w:iCs/>
          <w:lang w:val="fr-FR"/>
        </w:rPr>
        <w:t>:</w:t>
      </w:r>
      <w:r w:rsidRPr="004576AE">
        <w:rPr>
          <w:iCs/>
          <w:lang w:val="fr-FR"/>
        </w:rPr>
        <w:tab/>
      </w:r>
      <w:r w:rsidR="0095653F" w:rsidRPr="0095653F">
        <w:rPr>
          <w:i/>
          <w:lang w:val="fr-FR"/>
        </w:rPr>
        <w:t xml:space="preserve">Document </w:t>
      </w:r>
      <w:r w:rsidRPr="0095653F">
        <w:rPr>
          <w:i/>
          <w:lang w:val="fr-FR"/>
        </w:rPr>
        <w:t>informel</w:t>
      </w:r>
      <w:r w:rsidRPr="004576AE">
        <w:rPr>
          <w:iCs/>
          <w:lang w:val="fr-FR"/>
        </w:rPr>
        <w:t xml:space="preserve"> </w:t>
      </w:r>
      <w:bookmarkEnd w:id="11"/>
      <w:r w:rsidRPr="00606333">
        <w:rPr>
          <w:lang w:val="fr-FR"/>
        </w:rPr>
        <w:t>INF.14 (Pays-Bas et UIP)</w:t>
      </w:r>
      <w:r w:rsidR="0095653F">
        <w:rPr>
          <w:lang w:val="fr-FR"/>
        </w:rPr>
        <w:t>.</w:t>
      </w:r>
    </w:p>
    <w:p w14:paraId="70310BA2" w14:textId="77777777" w:rsidR="006E61C0" w:rsidRPr="00606333" w:rsidRDefault="006E61C0" w:rsidP="0095653F">
      <w:pPr>
        <w:pStyle w:val="SingleTxtG"/>
        <w:rPr>
          <w:lang w:val="fr-FR"/>
        </w:rPr>
      </w:pPr>
      <w:r w:rsidRPr="00606333">
        <w:rPr>
          <w:lang w:val="fr-FR"/>
        </w:rPr>
        <w:t>9.</w:t>
      </w:r>
      <w:r w:rsidRPr="00606333">
        <w:rPr>
          <w:lang w:val="fr-FR"/>
        </w:rPr>
        <w:tab/>
        <w:t>Lors de la session d</w:t>
      </w:r>
      <w:r>
        <w:rPr>
          <w:lang w:val="fr-FR"/>
        </w:rPr>
        <w:t>’</w:t>
      </w:r>
      <w:r w:rsidRPr="00606333">
        <w:rPr>
          <w:lang w:val="fr-FR"/>
        </w:rPr>
        <w:t>automne 2013</w:t>
      </w:r>
      <w:r>
        <w:rPr>
          <w:lang w:val="fr-FR"/>
        </w:rPr>
        <w:t xml:space="preserve"> </w:t>
      </w:r>
      <w:r w:rsidRPr="00606333">
        <w:rPr>
          <w:lang w:val="fr-FR"/>
        </w:rPr>
        <w:t>de la Réunion commune, l</w:t>
      </w:r>
      <w:r>
        <w:rPr>
          <w:lang w:val="fr-FR"/>
        </w:rPr>
        <w:t>’</w:t>
      </w:r>
      <w:r w:rsidRPr="00606333">
        <w:rPr>
          <w:lang w:val="fr-FR"/>
        </w:rPr>
        <w:t xml:space="preserve">utilisation de raccords dits </w:t>
      </w:r>
      <w:r>
        <w:rPr>
          <w:lang w:val="fr-FR"/>
        </w:rPr>
        <w:t>« </w:t>
      </w:r>
      <w:r w:rsidRPr="00606333">
        <w:rPr>
          <w:lang w:val="fr-FR"/>
        </w:rPr>
        <w:t xml:space="preserve">à </w:t>
      </w:r>
      <w:r w:rsidRPr="00815A1A">
        <w:rPr>
          <w:lang w:val="fr-FR"/>
        </w:rPr>
        <w:t>désaccouplement sec</w:t>
      </w:r>
      <w:r>
        <w:rPr>
          <w:lang w:val="fr-FR"/>
        </w:rPr>
        <w:t> »</w:t>
      </w:r>
      <w:r w:rsidRPr="00606333">
        <w:rPr>
          <w:lang w:val="fr-FR"/>
        </w:rPr>
        <w:t xml:space="preserve"> avait déjà été </w:t>
      </w:r>
      <w:r>
        <w:rPr>
          <w:lang w:val="fr-FR"/>
        </w:rPr>
        <w:t>envisagée</w:t>
      </w:r>
      <w:r w:rsidRPr="00606333">
        <w:rPr>
          <w:lang w:val="fr-FR"/>
        </w:rPr>
        <w:t>. À l</w:t>
      </w:r>
      <w:r>
        <w:rPr>
          <w:lang w:val="fr-FR"/>
        </w:rPr>
        <w:t>’</w:t>
      </w:r>
      <w:r w:rsidRPr="00606333">
        <w:rPr>
          <w:lang w:val="fr-FR"/>
        </w:rPr>
        <w:t xml:space="preserve">époque, il avait été convenu que ceux-ci pouvaient être utilisés comme deuxième ou troisième fermeture en série dans les tuyaux de remplissage et de </w:t>
      </w:r>
      <w:r>
        <w:rPr>
          <w:lang w:val="fr-FR"/>
        </w:rPr>
        <w:t>vidange</w:t>
      </w:r>
      <w:r w:rsidRPr="00606333">
        <w:rPr>
          <w:lang w:val="fr-FR"/>
        </w:rPr>
        <w:t xml:space="preserve"> par le fond. Cependant, aucune modification du texte n</w:t>
      </w:r>
      <w:r>
        <w:rPr>
          <w:lang w:val="fr-FR"/>
        </w:rPr>
        <w:t>’</w:t>
      </w:r>
      <w:r w:rsidRPr="00606333">
        <w:rPr>
          <w:lang w:val="fr-FR"/>
        </w:rPr>
        <w:t xml:space="preserve">avait été </w:t>
      </w:r>
      <w:r>
        <w:rPr>
          <w:lang w:val="fr-FR"/>
        </w:rPr>
        <w:t>établie</w:t>
      </w:r>
      <w:r w:rsidRPr="00606333">
        <w:rPr>
          <w:lang w:val="fr-FR"/>
        </w:rPr>
        <w:t xml:space="preserve"> pour une </w:t>
      </w:r>
      <w:r>
        <w:rPr>
          <w:lang w:val="fr-FR"/>
        </w:rPr>
        <w:t>future</w:t>
      </w:r>
      <w:r w:rsidRPr="00606333">
        <w:rPr>
          <w:lang w:val="fr-FR"/>
        </w:rPr>
        <w:t xml:space="preserve"> session.</w:t>
      </w:r>
    </w:p>
    <w:p w14:paraId="24984562" w14:textId="77777777" w:rsidR="006E61C0" w:rsidRPr="00606333" w:rsidRDefault="006E61C0" w:rsidP="0095653F">
      <w:pPr>
        <w:pStyle w:val="SingleTxtG"/>
        <w:rPr>
          <w:lang w:val="fr-FR"/>
        </w:rPr>
      </w:pPr>
      <w:r>
        <w:rPr>
          <w:lang w:val="fr-FR"/>
        </w:rPr>
        <w:t>10.</w:t>
      </w:r>
      <w:r>
        <w:rPr>
          <w:lang w:val="fr-FR"/>
        </w:rPr>
        <w:tab/>
      </w:r>
      <w:r w:rsidRPr="00606333">
        <w:rPr>
          <w:lang w:val="fr-FR"/>
        </w:rPr>
        <w:t>L</w:t>
      </w:r>
      <w:r>
        <w:rPr>
          <w:lang w:val="fr-FR"/>
        </w:rPr>
        <w:t>’</w:t>
      </w:r>
      <w:r w:rsidRPr="00606333">
        <w:rPr>
          <w:lang w:val="fr-FR"/>
        </w:rPr>
        <w:t xml:space="preserve">option 1 a été préférée par les experts, car la formulation </w:t>
      </w:r>
      <w:r>
        <w:rPr>
          <w:lang w:val="fr-FR"/>
        </w:rPr>
        <w:t>additionnelle</w:t>
      </w:r>
      <w:r w:rsidRPr="00606333">
        <w:rPr>
          <w:lang w:val="fr-FR"/>
        </w:rPr>
        <w:t xml:space="preserve"> </w:t>
      </w:r>
      <w:r>
        <w:rPr>
          <w:lang w:val="fr-FR"/>
        </w:rPr>
        <w:t>« </w:t>
      </w:r>
      <w:r w:rsidRPr="00606333">
        <w:rPr>
          <w:lang w:val="fr-FR"/>
        </w:rPr>
        <w:t>et les systèmes similaires</w:t>
      </w:r>
      <w:r>
        <w:rPr>
          <w:lang w:val="fr-FR"/>
        </w:rPr>
        <w:t> »</w:t>
      </w:r>
      <w:r w:rsidRPr="00606333">
        <w:rPr>
          <w:lang w:val="fr-FR"/>
        </w:rPr>
        <w:t xml:space="preserve"> de l</w:t>
      </w:r>
      <w:r>
        <w:rPr>
          <w:lang w:val="fr-FR"/>
        </w:rPr>
        <w:t>’</w:t>
      </w:r>
      <w:r w:rsidRPr="00606333">
        <w:rPr>
          <w:lang w:val="fr-FR"/>
        </w:rPr>
        <w:t xml:space="preserve">option 2 a été jugée susceptible de donner lieu à des interprétations non souhaitées. </w:t>
      </w:r>
      <w:r>
        <w:rPr>
          <w:lang w:val="fr-FR"/>
        </w:rPr>
        <w:t xml:space="preserve">Étant donné qu’il existait </w:t>
      </w:r>
      <w:r w:rsidRPr="00606333">
        <w:rPr>
          <w:lang w:val="fr-FR"/>
        </w:rPr>
        <w:t>un consensus entre les experts, il a été proposé d</w:t>
      </w:r>
      <w:r>
        <w:rPr>
          <w:lang w:val="fr-FR"/>
        </w:rPr>
        <w:t>’</w:t>
      </w:r>
      <w:r w:rsidRPr="00606333">
        <w:rPr>
          <w:lang w:val="fr-FR"/>
        </w:rPr>
        <w:t>adopter l</w:t>
      </w:r>
      <w:r>
        <w:rPr>
          <w:lang w:val="fr-FR"/>
        </w:rPr>
        <w:t>’</w:t>
      </w:r>
      <w:r w:rsidRPr="00606333">
        <w:rPr>
          <w:lang w:val="fr-FR"/>
        </w:rPr>
        <w:t xml:space="preserve">option 1 </w:t>
      </w:r>
      <w:r>
        <w:rPr>
          <w:lang w:val="fr-FR"/>
        </w:rPr>
        <w:t xml:space="preserve">moyennant </w:t>
      </w:r>
      <w:r w:rsidRPr="00606333">
        <w:rPr>
          <w:lang w:val="fr-FR"/>
        </w:rPr>
        <w:t>des modifications rédactionnelles.</w:t>
      </w:r>
    </w:p>
    <w:p w14:paraId="00AA7A13" w14:textId="2DD5CDB2" w:rsidR="006E61C0" w:rsidRPr="00606333" w:rsidRDefault="006E61C0" w:rsidP="0095653F">
      <w:pPr>
        <w:pStyle w:val="H23G"/>
        <w:rPr>
          <w:lang w:val="fr-FR"/>
        </w:rPr>
      </w:pPr>
      <w:r w:rsidRPr="00606333">
        <w:rPr>
          <w:lang w:val="fr-FR"/>
        </w:rPr>
        <w:tab/>
      </w:r>
      <w:r w:rsidRPr="00606333">
        <w:rPr>
          <w:lang w:val="fr-FR"/>
        </w:rPr>
        <w:tab/>
        <w:t>Proposition 7</w:t>
      </w:r>
      <w:r>
        <w:rPr>
          <w:lang w:val="fr-FR"/>
        </w:rPr>
        <w:t> :</w:t>
      </w:r>
      <w:r w:rsidRPr="00606333">
        <w:rPr>
          <w:lang w:val="fr-FR"/>
        </w:rPr>
        <w:t xml:space="preserve"> Introduire une nouvelle note de bas de page </w:t>
      </w:r>
      <w:r w:rsidRPr="00606333">
        <w:rPr>
          <w:vertAlign w:val="superscript"/>
          <w:lang w:val="fr-FR"/>
        </w:rPr>
        <w:t xml:space="preserve">9 </w:t>
      </w:r>
      <w:r w:rsidRPr="00606333">
        <w:rPr>
          <w:lang w:val="fr-FR"/>
        </w:rPr>
        <w:t xml:space="preserve">à la fin </w:t>
      </w:r>
      <w:r w:rsidR="0095653F">
        <w:rPr>
          <w:lang w:val="fr-FR"/>
        </w:rPr>
        <w:br/>
      </w:r>
      <w:r w:rsidRPr="00606333">
        <w:rPr>
          <w:lang w:val="fr-FR"/>
        </w:rPr>
        <w:t xml:space="preserve">du septième </w:t>
      </w:r>
      <w:r>
        <w:rPr>
          <w:lang w:val="fr-FR"/>
        </w:rPr>
        <w:t>alinéa</w:t>
      </w:r>
      <w:r w:rsidRPr="00606333">
        <w:rPr>
          <w:lang w:val="fr-FR"/>
        </w:rPr>
        <w:t xml:space="preserve"> du 6.8.2.2.2 et renuméroter</w:t>
      </w:r>
      <w:r w:rsidRPr="00DE72BD">
        <w:rPr>
          <w:lang w:val="fr-FR"/>
        </w:rPr>
        <w:t xml:space="preserve"> </w:t>
      </w:r>
      <w:r w:rsidRPr="00606333">
        <w:rPr>
          <w:lang w:val="fr-FR"/>
        </w:rPr>
        <w:t xml:space="preserve">en conséquence </w:t>
      </w:r>
      <w:r w:rsidR="0095653F">
        <w:rPr>
          <w:lang w:val="fr-FR"/>
        </w:rPr>
        <w:br/>
      </w:r>
      <w:r w:rsidRPr="00606333">
        <w:rPr>
          <w:lang w:val="fr-FR"/>
        </w:rPr>
        <w:t>les notes de bas de page suivantes</w:t>
      </w:r>
      <w:r>
        <w:rPr>
          <w:lang w:val="fr-FR"/>
        </w:rPr>
        <w:t> :</w:t>
      </w:r>
    </w:p>
    <w:p w14:paraId="2719EA98" w14:textId="77777777" w:rsidR="006E61C0" w:rsidRPr="00D95ADA" w:rsidRDefault="006E61C0" w:rsidP="0095653F">
      <w:pPr>
        <w:pStyle w:val="SingleTxtG"/>
        <w:rPr>
          <w:lang w:val="fr-FR"/>
        </w:rPr>
      </w:pPr>
      <w:r>
        <w:rPr>
          <w:color w:val="222222"/>
          <w:lang w:val="fr-FR"/>
        </w:rPr>
        <w:t>« </w:t>
      </w:r>
      <w:r w:rsidRPr="00606333">
        <w:rPr>
          <w:vertAlign w:val="superscript"/>
          <w:lang w:val="fr-FR"/>
        </w:rPr>
        <w:t>9</w:t>
      </w:r>
      <w:r w:rsidRPr="00606333">
        <w:rPr>
          <w:lang w:val="fr-FR"/>
        </w:rPr>
        <w:tab/>
      </w:r>
      <w:r w:rsidRPr="00606333">
        <w:rPr>
          <w:i/>
          <w:iCs/>
          <w:lang w:val="fr-FR"/>
        </w:rPr>
        <w:t xml:space="preserve">Le mode de fonctionnement des raccords à </w:t>
      </w:r>
      <w:r w:rsidRPr="00DE72BD">
        <w:rPr>
          <w:i/>
          <w:iCs/>
          <w:lang w:val="fr-FR"/>
        </w:rPr>
        <w:t xml:space="preserve">désaccouplement sec </w:t>
      </w:r>
      <w:r w:rsidRPr="00606333">
        <w:rPr>
          <w:i/>
          <w:iCs/>
          <w:lang w:val="fr-FR"/>
        </w:rPr>
        <w:t>est l</w:t>
      </w:r>
      <w:r>
        <w:rPr>
          <w:i/>
          <w:iCs/>
          <w:lang w:val="fr-FR"/>
        </w:rPr>
        <w:t>’</w:t>
      </w:r>
      <w:r w:rsidRPr="00606333">
        <w:rPr>
          <w:i/>
          <w:iCs/>
          <w:lang w:val="fr-FR"/>
        </w:rPr>
        <w:t xml:space="preserve">autofermeture. Par conséquent, un </w:t>
      </w:r>
      <w:r>
        <w:rPr>
          <w:i/>
          <w:iCs/>
          <w:lang w:val="fr-FR"/>
        </w:rPr>
        <w:t>témoin</w:t>
      </w:r>
      <w:r w:rsidRPr="00606333">
        <w:rPr>
          <w:i/>
          <w:iCs/>
          <w:lang w:val="fr-FR"/>
        </w:rPr>
        <w:t xml:space="preserve"> d</w:t>
      </w:r>
      <w:r>
        <w:rPr>
          <w:i/>
          <w:iCs/>
          <w:lang w:val="fr-FR"/>
        </w:rPr>
        <w:t>’</w:t>
      </w:r>
      <w:r w:rsidRPr="00606333">
        <w:rPr>
          <w:i/>
          <w:iCs/>
          <w:lang w:val="fr-FR"/>
        </w:rPr>
        <w:t>ouvertur</w:t>
      </w:r>
      <w:r>
        <w:rPr>
          <w:i/>
          <w:iCs/>
          <w:lang w:val="fr-FR"/>
        </w:rPr>
        <w:t xml:space="preserve">e et </w:t>
      </w:r>
      <w:r w:rsidRPr="00606333">
        <w:rPr>
          <w:i/>
          <w:iCs/>
          <w:lang w:val="fr-FR"/>
        </w:rPr>
        <w:t>fermeture n</w:t>
      </w:r>
      <w:r>
        <w:rPr>
          <w:i/>
          <w:iCs/>
          <w:lang w:val="fr-FR"/>
        </w:rPr>
        <w:t>’</w:t>
      </w:r>
      <w:r w:rsidRPr="00606333">
        <w:rPr>
          <w:i/>
          <w:iCs/>
          <w:lang w:val="fr-FR"/>
        </w:rPr>
        <w:t>est pas nécessaire. Ce type de fermeture ne doit être utilisé que comme deuxième ou troisième fermeture.</w:t>
      </w:r>
      <w:r>
        <w:rPr>
          <w:lang w:val="fr-FR"/>
        </w:rPr>
        <w:t> ».</w:t>
      </w:r>
    </w:p>
    <w:p w14:paraId="28498BD5" w14:textId="40DF0B90" w:rsidR="006E61C0" w:rsidRPr="00606333" w:rsidRDefault="0095653F" w:rsidP="0095653F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6E61C0" w:rsidRPr="00606333">
        <w:rPr>
          <w:lang w:val="fr-FR"/>
        </w:rPr>
        <w:t>Section 2</w:t>
      </w:r>
      <w:r w:rsidR="006E61C0">
        <w:rPr>
          <w:lang w:val="fr-FR"/>
        </w:rPr>
        <w:t> :</w:t>
      </w:r>
      <w:r w:rsidR="006E61C0" w:rsidRPr="00606333">
        <w:rPr>
          <w:lang w:val="fr-FR"/>
        </w:rPr>
        <w:t xml:space="preserve"> Résultats des </w:t>
      </w:r>
      <w:r w:rsidR="006E61C0">
        <w:rPr>
          <w:lang w:val="fr-FR"/>
        </w:rPr>
        <w:t>débats</w:t>
      </w:r>
      <w:r w:rsidR="006E61C0" w:rsidRPr="00606333">
        <w:rPr>
          <w:lang w:val="fr-FR"/>
        </w:rPr>
        <w:t xml:space="preserve"> sur les documents </w:t>
      </w:r>
      <w:r>
        <w:rPr>
          <w:lang w:val="fr-FR"/>
        </w:rPr>
        <w:br/>
      </w:r>
      <w:r w:rsidR="006E61C0" w:rsidRPr="00606333">
        <w:rPr>
          <w:lang w:val="fr-FR"/>
        </w:rPr>
        <w:t>ne nécessit</w:t>
      </w:r>
      <w:r w:rsidR="006E61C0">
        <w:rPr>
          <w:lang w:val="fr-FR"/>
        </w:rPr>
        <w:t>a</w:t>
      </w:r>
      <w:r w:rsidR="006E61C0" w:rsidRPr="00606333">
        <w:rPr>
          <w:lang w:val="fr-FR"/>
        </w:rPr>
        <w:t>nt pas</w:t>
      </w:r>
      <w:r>
        <w:rPr>
          <w:lang w:val="fr-FR"/>
        </w:rPr>
        <w:t xml:space="preserve"> </w:t>
      </w:r>
      <w:r w:rsidR="006E61C0" w:rsidRPr="00606333">
        <w:rPr>
          <w:lang w:val="fr-FR"/>
        </w:rPr>
        <w:t>approbation d</w:t>
      </w:r>
      <w:r w:rsidR="006E61C0">
        <w:rPr>
          <w:lang w:val="fr-FR"/>
        </w:rPr>
        <w:t>e leur</w:t>
      </w:r>
      <w:r w:rsidR="006E61C0" w:rsidRPr="00606333">
        <w:rPr>
          <w:lang w:val="fr-FR"/>
        </w:rPr>
        <w:t xml:space="preserve"> résultat</w:t>
      </w:r>
    </w:p>
    <w:p w14:paraId="28863BB7" w14:textId="71331664" w:rsidR="006E61C0" w:rsidRPr="00606333" w:rsidRDefault="0095653F" w:rsidP="0095653F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6E61C0" w:rsidRPr="00606333">
        <w:rPr>
          <w:lang w:val="fr-FR"/>
        </w:rPr>
        <w:t>Point 5</w:t>
      </w:r>
      <w:r w:rsidR="006E61C0">
        <w:rPr>
          <w:lang w:val="fr-FR"/>
        </w:rPr>
        <w:t> :</w:t>
      </w:r>
      <w:r>
        <w:rPr>
          <w:lang w:val="fr-FR"/>
        </w:rPr>
        <w:t xml:space="preserve"> </w:t>
      </w:r>
      <w:r w:rsidR="006E61C0">
        <w:rPr>
          <w:lang w:val="fr-FR"/>
        </w:rPr>
        <w:t>Précis</w:t>
      </w:r>
      <w:r w:rsidR="006E61C0" w:rsidRPr="00606333">
        <w:rPr>
          <w:lang w:val="fr-FR"/>
        </w:rPr>
        <w:t>ion</w:t>
      </w:r>
      <w:r w:rsidR="006E61C0">
        <w:rPr>
          <w:lang w:val="fr-FR"/>
        </w:rPr>
        <w:t>s</w:t>
      </w:r>
      <w:r w:rsidR="006E61C0" w:rsidRPr="00606333">
        <w:rPr>
          <w:lang w:val="fr-FR"/>
        </w:rPr>
        <w:t xml:space="preserve"> </w:t>
      </w:r>
      <w:r w:rsidR="006E61C0">
        <w:rPr>
          <w:lang w:val="fr-FR"/>
        </w:rPr>
        <w:t>concernant</w:t>
      </w:r>
      <w:r w:rsidR="006E61C0" w:rsidRPr="00606333">
        <w:rPr>
          <w:lang w:val="fr-FR"/>
        </w:rPr>
        <w:t xml:space="preserve"> l</w:t>
      </w:r>
      <w:r w:rsidR="006E61C0">
        <w:rPr>
          <w:lang w:val="fr-FR"/>
        </w:rPr>
        <w:t>’</w:t>
      </w:r>
      <w:r w:rsidR="006E61C0" w:rsidRPr="00606333">
        <w:rPr>
          <w:lang w:val="fr-FR"/>
        </w:rPr>
        <w:t xml:space="preserve">utilisation des réservoirs après </w:t>
      </w:r>
      <w:r>
        <w:rPr>
          <w:lang w:val="fr-FR"/>
        </w:rPr>
        <w:br/>
      </w:r>
      <w:r w:rsidR="006E61C0" w:rsidRPr="00606333">
        <w:rPr>
          <w:lang w:val="fr-FR"/>
        </w:rPr>
        <w:t>la date limite spécifiée pour</w:t>
      </w:r>
      <w:r>
        <w:rPr>
          <w:lang w:val="fr-FR"/>
        </w:rPr>
        <w:t xml:space="preserve"> </w:t>
      </w:r>
      <w:r w:rsidR="006E61C0" w:rsidRPr="00606333">
        <w:rPr>
          <w:lang w:val="fr-FR"/>
        </w:rPr>
        <w:t>l</w:t>
      </w:r>
      <w:r w:rsidR="006E61C0">
        <w:rPr>
          <w:lang w:val="fr-FR"/>
        </w:rPr>
        <w:t>’essai</w:t>
      </w:r>
      <w:r w:rsidR="006E61C0" w:rsidRPr="00606333">
        <w:rPr>
          <w:lang w:val="fr-FR"/>
        </w:rPr>
        <w:t xml:space="preserve"> ou </w:t>
      </w:r>
      <w:r w:rsidR="006E61C0">
        <w:rPr>
          <w:lang w:val="fr-FR"/>
        </w:rPr>
        <w:t xml:space="preserve">le </w:t>
      </w:r>
      <w:r w:rsidR="006E61C0" w:rsidRPr="00606333">
        <w:rPr>
          <w:lang w:val="fr-FR"/>
        </w:rPr>
        <w:t>contrôle</w:t>
      </w:r>
      <w:r w:rsidR="006E61C0">
        <w:rPr>
          <w:lang w:val="fr-FR"/>
        </w:rPr>
        <w:t xml:space="preserve"> suivants</w:t>
      </w:r>
    </w:p>
    <w:p w14:paraId="40ADA8B2" w14:textId="5B4E159B" w:rsidR="006E61C0" w:rsidRPr="00606333" w:rsidRDefault="006E61C0" w:rsidP="0095653F">
      <w:pPr>
        <w:pStyle w:val="SingleTxtG"/>
        <w:ind w:left="2835" w:hanging="1701"/>
        <w:jc w:val="left"/>
        <w:rPr>
          <w:bCs/>
          <w:lang w:val="fr-FR"/>
        </w:rPr>
      </w:pPr>
      <w:r w:rsidRPr="00606333">
        <w:rPr>
          <w:bCs/>
          <w:i/>
          <w:lang w:val="fr-FR"/>
        </w:rPr>
        <w:t>Document</w:t>
      </w:r>
      <w:r>
        <w:rPr>
          <w:bCs/>
          <w:i/>
          <w:lang w:val="fr-FR"/>
        </w:rPr>
        <w:t>(</w:t>
      </w:r>
      <w:r w:rsidRPr="00606333">
        <w:rPr>
          <w:bCs/>
          <w:i/>
          <w:lang w:val="fr-FR"/>
        </w:rPr>
        <w:t>s</w:t>
      </w:r>
      <w:r>
        <w:rPr>
          <w:bCs/>
          <w:i/>
          <w:lang w:val="fr-FR"/>
        </w:rPr>
        <w:t>)</w:t>
      </w:r>
      <w:r w:rsidRPr="0095653F">
        <w:rPr>
          <w:bCs/>
          <w:iCs/>
          <w:lang w:val="fr-FR"/>
        </w:rPr>
        <w:t> :</w:t>
      </w:r>
      <w:r w:rsidRPr="00606333">
        <w:rPr>
          <w:bCs/>
          <w:lang w:val="fr-FR"/>
        </w:rPr>
        <w:tab/>
        <w:t>ECE/TRANS/WP.15/AC.1/2021/3 (UIP)</w:t>
      </w:r>
      <w:r>
        <w:rPr>
          <w:bCs/>
          <w:lang w:val="fr-FR"/>
        </w:rPr>
        <w:br/>
      </w:r>
      <w:r w:rsidRPr="00606333">
        <w:rPr>
          <w:bCs/>
          <w:lang w:val="fr-FR"/>
        </w:rPr>
        <w:t>ECE/TRANS/WP.15/AC.1/2021/10 (Pologne)</w:t>
      </w:r>
    </w:p>
    <w:p w14:paraId="612D8240" w14:textId="27A25C28" w:rsidR="006E61C0" w:rsidRPr="00606333" w:rsidRDefault="0095653F" w:rsidP="0095653F">
      <w:pPr>
        <w:pStyle w:val="SingleTxtG"/>
        <w:ind w:left="2835" w:hanging="1701"/>
        <w:jc w:val="left"/>
        <w:rPr>
          <w:bCs/>
          <w:lang w:val="fr-FR"/>
        </w:rPr>
      </w:pPr>
      <w:r w:rsidRPr="0095653F">
        <w:rPr>
          <w:bCs/>
          <w:i/>
          <w:iCs/>
          <w:lang w:val="fr-FR"/>
        </w:rPr>
        <w:t xml:space="preserve">Documents </w:t>
      </w:r>
      <w:r w:rsidR="006E61C0" w:rsidRPr="0095653F">
        <w:rPr>
          <w:bCs/>
          <w:i/>
          <w:iCs/>
          <w:lang w:val="fr-FR"/>
        </w:rPr>
        <w:t>informels</w:t>
      </w:r>
      <w:r>
        <w:rPr>
          <w:bCs/>
          <w:lang w:val="fr-FR"/>
        </w:rPr>
        <w:t xml:space="preserve"> </w:t>
      </w:r>
      <w:r w:rsidR="006E61C0" w:rsidRPr="00606333">
        <w:rPr>
          <w:bCs/>
          <w:lang w:val="fr-FR"/>
        </w:rPr>
        <w:t>INF.16 (Pologne)</w:t>
      </w:r>
      <w:r w:rsidR="006E61C0">
        <w:rPr>
          <w:bCs/>
          <w:lang w:val="fr-FR"/>
        </w:rPr>
        <w:t xml:space="preserve">, </w:t>
      </w:r>
      <w:r w:rsidR="006E61C0" w:rsidRPr="00606333">
        <w:rPr>
          <w:bCs/>
          <w:lang w:val="fr-FR"/>
        </w:rPr>
        <w:t>INF.37 (UIC)</w:t>
      </w:r>
      <w:r>
        <w:rPr>
          <w:bCs/>
          <w:lang w:val="fr-FR"/>
        </w:rPr>
        <w:t>.</w:t>
      </w:r>
    </w:p>
    <w:p w14:paraId="29EAC1A5" w14:textId="77777777" w:rsidR="006E61C0" w:rsidRPr="00606333" w:rsidRDefault="006E61C0" w:rsidP="0095653F">
      <w:pPr>
        <w:pStyle w:val="SingleTxtG"/>
        <w:rPr>
          <w:lang w:val="fr-FR"/>
        </w:rPr>
      </w:pPr>
      <w:r>
        <w:rPr>
          <w:lang w:val="fr-FR"/>
        </w:rPr>
        <w:t>11.</w:t>
      </w:r>
      <w:r>
        <w:rPr>
          <w:lang w:val="fr-FR"/>
        </w:rPr>
        <w:tab/>
      </w:r>
      <w:r w:rsidRPr="00606333">
        <w:rPr>
          <w:lang w:val="fr-FR"/>
        </w:rPr>
        <w:t>Le paragraphe 6.8.2.4.3 permet d</w:t>
      </w:r>
      <w:r>
        <w:rPr>
          <w:lang w:val="fr-FR"/>
        </w:rPr>
        <w:t>’</w:t>
      </w:r>
      <w:r w:rsidRPr="00606333">
        <w:rPr>
          <w:lang w:val="fr-FR"/>
        </w:rPr>
        <w:t xml:space="preserve">effectuer </w:t>
      </w:r>
      <w:r>
        <w:rPr>
          <w:lang w:val="fr-FR"/>
        </w:rPr>
        <w:t>un contrôle</w:t>
      </w:r>
      <w:r w:rsidRPr="00606333">
        <w:rPr>
          <w:lang w:val="fr-FR"/>
        </w:rPr>
        <w:t xml:space="preserve"> intermédiaire jusqu</w:t>
      </w:r>
      <w:r>
        <w:rPr>
          <w:lang w:val="fr-FR"/>
        </w:rPr>
        <w:t>’</w:t>
      </w:r>
      <w:r w:rsidRPr="00606333">
        <w:rPr>
          <w:lang w:val="fr-FR"/>
        </w:rPr>
        <w:t xml:space="preserve">à trois mois après la date spécifiée. La question </w:t>
      </w:r>
      <w:r>
        <w:rPr>
          <w:lang w:val="fr-FR"/>
        </w:rPr>
        <w:t>était</w:t>
      </w:r>
      <w:r w:rsidRPr="00606333">
        <w:rPr>
          <w:lang w:val="fr-FR"/>
        </w:rPr>
        <w:t xml:space="preserve"> de savoir ce qui </w:t>
      </w:r>
      <w:r>
        <w:rPr>
          <w:lang w:val="fr-FR"/>
        </w:rPr>
        <w:t>était</w:t>
      </w:r>
      <w:r w:rsidRPr="00606333">
        <w:rPr>
          <w:lang w:val="fr-FR"/>
        </w:rPr>
        <w:t xml:space="preserve"> autorisé pendant cette période de trois mois. Certains experts étaient d</w:t>
      </w:r>
      <w:r>
        <w:rPr>
          <w:lang w:val="fr-FR"/>
        </w:rPr>
        <w:t>’</w:t>
      </w:r>
      <w:r w:rsidRPr="00606333">
        <w:rPr>
          <w:lang w:val="fr-FR"/>
        </w:rPr>
        <w:t>avis que la citerne pouvait être remplie, transportée et vidée comme d</w:t>
      </w:r>
      <w:r>
        <w:rPr>
          <w:lang w:val="fr-FR"/>
        </w:rPr>
        <w:t>’</w:t>
      </w:r>
      <w:r w:rsidRPr="00606333">
        <w:rPr>
          <w:lang w:val="fr-FR"/>
        </w:rPr>
        <w:t xml:space="preserve">habitude </w:t>
      </w:r>
      <w:r w:rsidRPr="00606333">
        <w:rPr>
          <w:u w:val="single"/>
          <w:lang w:val="fr-FR"/>
        </w:rPr>
        <w:t>pendant</w:t>
      </w:r>
      <w:r w:rsidRPr="00BA31E7">
        <w:rPr>
          <w:lang w:val="fr-FR"/>
        </w:rPr>
        <w:t xml:space="preserve"> </w:t>
      </w:r>
      <w:r w:rsidRPr="00606333">
        <w:rPr>
          <w:lang w:val="fr-FR"/>
        </w:rPr>
        <w:t xml:space="preserve">cette période, étant donné que le contrôle périodique </w:t>
      </w:r>
      <w:r>
        <w:rPr>
          <w:lang w:val="fr-FR"/>
        </w:rPr>
        <w:t>était</w:t>
      </w:r>
      <w:r w:rsidRPr="00606333">
        <w:rPr>
          <w:lang w:val="fr-FR"/>
        </w:rPr>
        <w:t xml:space="preserve"> toujours valable et que le 4.3.2.3.7 ne f</w:t>
      </w:r>
      <w:r>
        <w:rPr>
          <w:lang w:val="fr-FR"/>
        </w:rPr>
        <w:t>ais</w:t>
      </w:r>
      <w:r w:rsidRPr="00606333">
        <w:rPr>
          <w:lang w:val="fr-FR"/>
        </w:rPr>
        <w:t>ait pas référence au contrôle intermédiaire, tandis que d</w:t>
      </w:r>
      <w:r>
        <w:rPr>
          <w:lang w:val="fr-FR"/>
        </w:rPr>
        <w:t>’</w:t>
      </w:r>
      <w:r w:rsidRPr="00606333">
        <w:rPr>
          <w:lang w:val="fr-FR"/>
        </w:rPr>
        <w:t>autres étaient d</w:t>
      </w:r>
      <w:r>
        <w:rPr>
          <w:lang w:val="fr-FR"/>
        </w:rPr>
        <w:t>’</w:t>
      </w:r>
      <w:r w:rsidRPr="00606333">
        <w:rPr>
          <w:lang w:val="fr-FR"/>
        </w:rPr>
        <w:t xml:space="preserve">avis que la citerne ne pouvait être transportée et vidée que si elle était remplie </w:t>
      </w:r>
      <w:r w:rsidRPr="00606333">
        <w:rPr>
          <w:u w:val="single"/>
          <w:lang w:val="fr-FR"/>
        </w:rPr>
        <w:t>avant</w:t>
      </w:r>
      <w:r w:rsidRPr="00BA31E7">
        <w:rPr>
          <w:lang w:val="fr-FR"/>
        </w:rPr>
        <w:t xml:space="preserve"> </w:t>
      </w:r>
      <w:r w:rsidRPr="00606333">
        <w:rPr>
          <w:lang w:val="fr-FR"/>
        </w:rPr>
        <w:t>cette période conformément au 6.7.</w:t>
      </w:r>
    </w:p>
    <w:p w14:paraId="2E139C1A" w14:textId="77777777" w:rsidR="006E61C0" w:rsidRPr="00606333" w:rsidRDefault="006E61C0" w:rsidP="0095653F">
      <w:pPr>
        <w:pStyle w:val="SingleTxtG"/>
        <w:rPr>
          <w:lang w:val="fr-FR"/>
        </w:rPr>
      </w:pPr>
      <w:r>
        <w:rPr>
          <w:lang w:val="fr-FR"/>
        </w:rPr>
        <w:lastRenderedPageBreak/>
        <w:t>12.</w:t>
      </w:r>
      <w:r w:rsidRPr="00606333">
        <w:rPr>
          <w:lang w:val="fr-FR"/>
        </w:rPr>
        <w:tab/>
        <w:t xml:space="preserve">Au cours </w:t>
      </w:r>
      <w:r>
        <w:rPr>
          <w:lang w:val="fr-FR"/>
        </w:rPr>
        <w:t>du débat</w:t>
      </w:r>
      <w:r w:rsidRPr="00606333">
        <w:rPr>
          <w:lang w:val="fr-FR"/>
        </w:rPr>
        <w:t>, aucun consensus n</w:t>
      </w:r>
      <w:r>
        <w:rPr>
          <w:lang w:val="fr-FR"/>
        </w:rPr>
        <w:t>’</w:t>
      </w:r>
      <w:r w:rsidRPr="00606333">
        <w:rPr>
          <w:lang w:val="fr-FR"/>
        </w:rPr>
        <w:t>a été atteint, si ce n</w:t>
      </w:r>
      <w:r>
        <w:rPr>
          <w:lang w:val="fr-FR"/>
        </w:rPr>
        <w:t>’</w:t>
      </w:r>
      <w:r w:rsidRPr="00606333">
        <w:rPr>
          <w:lang w:val="fr-FR"/>
        </w:rPr>
        <w:t>est de convenir qu</w:t>
      </w:r>
      <w:r>
        <w:rPr>
          <w:lang w:val="fr-FR"/>
        </w:rPr>
        <w:t>’</w:t>
      </w:r>
      <w:r w:rsidRPr="00606333">
        <w:rPr>
          <w:lang w:val="fr-FR"/>
        </w:rPr>
        <w:t xml:space="preserve">une </w:t>
      </w:r>
      <w:r>
        <w:rPr>
          <w:lang w:val="fr-FR"/>
        </w:rPr>
        <w:t>stratégie</w:t>
      </w:r>
      <w:r w:rsidRPr="00606333">
        <w:rPr>
          <w:lang w:val="fr-FR"/>
        </w:rPr>
        <w:t xml:space="preserve"> commune était nécessaire et que les délibérations du </w:t>
      </w:r>
      <w:r>
        <w:rPr>
          <w:lang w:val="fr-FR"/>
        </w:rPr>
        <w:t>Groupe de travail des citernes</w:t>
      </w:r>
      <w:r w:rsidRPr="00606333">
        <w:rPr>
          <w:lang w:val="fr-FR"/>
        </w:rPr>
        <w:t xml:space="preserve"> bénéficieraient d</w:t>
      </w:r>
      <w:r>
        <w:rPr>
          <w:lang w:val="fr-FR"/>
        </w:rPr>
        <w:t>’</w:t>
      </w:r>
      <w:r w:rsidRPr="00606333">
        <w:rPr>
          <w:lang w:val="fr-FR"/>
        </w:rPr>
        <w:t>un échange de vues en séance plénière.</w:t>
      </w:r>
    </w:p>
    <w:p w14:paraId="41585E06" w14:textId="081415D5" w:rsidR="006E61C0" w:rsidRPr="00606333" w:rsidRDefault="006E61C0" w:rsidP="0095653F">
      <w:pPr>
        <w:pStyle w:val="SingleTxtG"/>
        <w:rPr>
          <w:color w:val="222222"/>
          <w:lang w:val="fr-FR"/>
        </w:rPr>
      </w:pPr>
      <w:r>
        <w:rPr>
          <w:color w:val="222222"/>
          <w:lang w:val="fr-FR"/>
        </w:rPr>
        <w:t>13.</w:t>
      </w:r>
      <w:r>
        <w:rPr>
          <w:color w:val="222222"/>
          <w:lang w:val="fr-FR"/>
        </w:rPr>
        <w:tab/>
      </w:r>
      <w:r w:rsidRPr="00606333">
        <w:rPr>
          <w:color w:val="222222"/>
          <w:lang w:val="fr-FR"/>
        </w:rPr>
        <w:t>Il a été estimé que la sécurité ne serait pas nécessairement compromise, et souligné que la possibilité d</w:t>
      </w:r>
      <w:r>
        <w:rPr>
          <w:color w:val="222222"/>
          <w:lang w:val="fr-FR"/>
        </w:rPr>
        <w:t>’</w:t>
      </w:r>
      <w:r w:rsidRPr="00606333">
        <w:rPr>
          <w:color w:val="222222"/>
          <w:lang w:val="fr-FR"/>
        </w:rPr>
        <w:t>effectuer l</w:t>
      </w:r>
      <w:r>
        <w:rPr>
          <w:color w:val="222222"/>
          <w:lang w:val="fr-FR"/>
        </w:rPr>
        <w:t>’</w:t>
      </w:r>
      <w:r w:rsidRPr="00606333">
        <w:rPr>
          <w:color w:val="222222"/>
          <w:lang w:val="fr-FR"/>
        </w:rPr>
        <w:t xml:space="preserve">inspection </w:t>
      </w:r>
      <w:r w:rsidRPr="00606333">
        <w:rPr>
          <w:lang w:val="fr-FR"/>
        </w:rPr>
        <w:t xml:space="preserve">intermédiaire </w:t>
      </w:r>
      <w:r w:rsidRPr="00606333">
        <w:rPr>
          <w:color w:val="222222"/>
          <w:lang w:val="fr-FR"/>
        </w:rPr>
        <w:t xml:space="preserve">trois mois avant ou après la date spécifiée avait été approuvée </w:t>
      </w:r>
      <w:r>
        <w:rPr>
          <w:color w:val="222222"/>
          <w:lang w:val="fr-FR"/>
        </w:rPr>
        <w:t xml:space="preserve">à </w:t>
      </w:r>
      <w:r w:rsidRPr="00606333">
        <w:rPr>
          <w:color w:val="222222"/>
          <w:lang w:val="fr-FR"/>
        </w:rPr>
        <w:t>la session d</w:t>
      </w:r>
      <w:r>
        <w:rPr>
          <w:color w:val="222222"/>
          <w:lang w:val="fr-FR"/>
        </w:rPr>
        <w:t>’</w:t>
      </w:r>
      <w:r w:rsidRPr="00606333">
        <w:rPr>
          <w:color w:val="222222"/>
          <w:lang w:val="fr-FR"/>
        </w:rPr>
        <w:t>automne 2006 de la Réunion commune (voir ECE/TRANS/WP.15/AC.1/104/Add.1, par</w:t>
      </w:r>
      <w:r>
        <w:rPr>
          <w:color w:val="222222"/>
          <w:lang w:val="fr-FR"/>
        </w:rPr>
        <w:t>.</w:t>
      </w:r>
      <w:r w:rsidR="0095653F">
        <w:rPr>
          <w:color w:val="222222"/>
          <w:lang w:val="fr-FR"/>
        </w:rPr>
        <w:t> </w:t>
      </w:r>
      <w:r w:rsidRPr="00606333">
        <w:rPr>
          <w:color w:val="222222"/>
          <w:lang w:val="fr-FR"/>
        </w:rPr>
        <w:t xml:space="preserve">6). </w:t>
      </w:r>
      <w:r>
        <w:rPr>
          <w:color w:val="222222"/>
          <w:lang w:val="fr-FR"/>
        </w:rPr>
        <w:t>À</w:t>
      </w:r>
      <w:r w:rsidRPr="00606333">
        <w:rPr>
          <w:color w:val="222222"/>
          <w:lang w:val="fr-FR"/>
        </w:rPr>
        <w:t xml:space="preserve"> cette époque, le </w:t>
      </w:r>
      <w:r>
        <w:rPr>
          <w:color w:val="222222"/>
          <w:lang w:val="fr-FR"/>
        </w:rPr>
        <w:t>Groupe de travail des citernes</w:t>
      </w:r>
      <w:r w:rsidRPr="00606333">
        <w:rPr>
          <w:color w:val="222222"/>
          <w:lang w:val="fr-FR"/>
        </w:rPr>
        <w:t xml:space="preserve"> avait conclu </w:t>
      </w:r>
      <w:r>
        <w:rPr>
          <w:color w:val="222222"/>
          <w:lang w:val="fr-FR"/>
        </w:rPr>
        <w:t>ainsi :</w:t>
      </w:r>
      <w:r w:rsidRPr="00606333">
        <w:rPr>
          <w:color w:val="222222"/>
          <w:lang w:val="fr-FR"/>
        </w:rPr>
        <w:t xml:space="preserve"> </w:t>
      </w:r>
      <w:r>
        <w:rPr>
          <w:color w:val="222222"/>
          <w:lang w:val="fr-FR"/>
        </w:rPr>
        <w:t>« </w:t>
      </w:r>
      <w:r w:rsidRPr="006D1E73">
        <w:rPr>
          <w:color w:val="222222"/>
          <w:lang w:val="fr-FR"/>
        </w:rPr>
        <w:t>Une flexibilité dans le temps ne doit s</w:t>
      </w:r>
      <w:r>
        <w:rPr>
          <w:color w:val="222222"/>
          <w:lang w:val="fr-FR"/>
        </w:rPr>
        <w:t>’</w:t>
      </w:r>
      <w:r w:rsidRPr="006D1E73">
        <w:rPr>
          <w:color w:val="222222"/>
          <w:lang w:val="fr-FR"/>
        </w:rPr>
        <w:t>appliquer que pour le contrôle intermédiaire exclusivement et non pas pour l</w:t>
      </w:r>
      <w:r>
        <w:rPr>
          <w:color w:val="222222"/>
          <w:lang w:val="fr-FR"/>
        </w:rPr>
        <w:t>’</w:t>
      </w:r>
      <w:r w:rsidRPr="006D1E73">
        <w:rPr>
          <w:color w:val="222222"/>
          <w:lang w:val="fr-FR"/>
        </w:rPr>
        <w:t>épreuve périodique. Cette manière de procéder a été unanimement approuvé</w:t>
      </w:r>
      <w:r>
        <w:rPr>
          <w:color w:val="222222"/>
          <w:lang w:val="fr-FR"/>
        </w:rPr>
        <w:t>e. »</w:t>
      </w:r>
      <w:r w:rsidRPr="00606333">
        <w:rPr>
          <w:color w:val="222222"/>
          <w:lang w:val="fr-FR"/>
        </w:rPr>
        <w:t>.</w:t>
      </w:r>
    </w:p>
    <w:p w14:paraId="761BD814" w14:textId="65CC4E24" w:rsidR="006E61C0" w:rsidRPr="00606333" w:rsidRDefault="0095653F" w:rsidP="0095653F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6E61C0" w:rsidRPr="00606333">
        <w:rPr>
          <w:lang w:val="fr-FR"/>
        </w:rPr>
        <w:t>Point 6</w:t>
      </w:r>
      <w:r w:rsidR="006E61C0">
        <w:rPr>
          <w:lang w:val="fr-FR"/>
        </w:rPr>
        <w:t> :</w:t>
      </w:r>
      <w:r>
        <w:rPr>
          <w:lang w:val="fr-FR"/>
        </w:rPr>
        <w:t xml:space="preserve"> </w:t>
      </w:r>
      <w:r w:rsidR="006E61C0">
        <w:rPr>
          <w:lang w:val="fr-FR"/>
        </w:rPr>
        <w:t>Citernes</w:t>
      </w:r>
      <w:r w:rsidR="006E61C0" w:rsidRPr="00606333">
        <w:rPr>
          <w:lang w:val="fr-FR"/>
        </w:rPr>
        <w:t xml:space="preserve"> à déchets fonctionnant sous vide</w:t>
      </w:r>
      <w:r w:rsidR="006E61C0">
        <w:rPr>
          <w:lang w:val="fr-FR"/>
        </w:rPr>
        <w:t> :</w:t>
      </w:r>
      <w:r w:rsidR="006E61C0" w:rsidRPr="00606333">
        <w:rPr>
          <w:lang w:val="fr-FR"/>
        </w:rPr>
        <w:t xml:space="preserve"> </w:t>
      </w:r>
      <w:r w:rsidR="006E61C0">
        <w:rPr>
          <w:lang w:val="fr-FR"/>
        </w:rPr>
        <w:t>p</w:t>
      </w:r>
      <w:r w:rsidR="006E61C0" w:rsidRPr="00606333">
        <w:rPr>
          <w:lang w:val="fr-FR"/>
        </w:rPr>
        <w:t>rotection contre les explosions</w:t>
      </w:r>
      <w:r w:rsidR="006E61C0" w:rsidRPr="00BA051B">
        <w:rPr>
          <w:lang w:val="fr-FR"/>
        </w:rPr>
        <w:t xml:space="preserve"> </w:t>
      </w:r>
      <w:r w:rsidR="006E61C0">
        <w:rPr>
          <w:lang w:val="fr-FR"/>
        </w:rPr>
        <w:t xml:space="preserve">d’origine </w:t>
      </w:r>
      <w:r w:rsidR="006E61C0" w:rsidRPr="00606333">
        <w:rPr>
          <w:lang w:val="fr-FR"/>
        </w:rPr>
        <w:t>non électrique</w:t>
      </w:r>
    </w:p>
    <w:p w14:paraId="253D778B" w14:textId="4696A731" w:rsidR="006E61C0" w:rsidRPr="00606333" w:rsidRDefault="006E61C0" w:rsidP="0095653F">
      <w:pPr>
        <w:pStyle w:val="SingleTxtG"/>
        <w:ind w:left="2835" w:hanging="1701"/>
        <w:jc w:val="left"/>
        <w:rPr>
          <w:bCs/>
          <w:lang w:val="fr-FR"/>
        </w:rPr>
      </w:pPr>
      <w:r w:rsidRPr="00606333">
        <w:rPr>
          <w:bCs/>
          <w:i/>
          <w:lang w:val="fr-FR"/>
        </w:rPr>
        <w:t>Documen</w:t>
      </w:r>
      <w:r>
        <w:rPr>
          <w:bCs/>
          <w:i/>
          <w:lang w:val="fr-FR"/>
        </w:rPr>
        <w:t>t(s) </w:t>
      </w:r>
      <w:r w:rsidRPr="0095653F">
        <w:rPr>
          <w:bCs/>
          <w:iCs/>
          <w:lang w:val="fr-FR"/>
        </w:rPr>
        <w:t>:</w:t>
      </w:r>
      <w:r w:rsidRPr="00606333">
        <w:rPr>
          <w:bCs/>
          <w:lang w:val="fr-FR"/>
        </w:rPr>
        <w:tab/>
        <w:t>ECE/TRANS/WP.15/AC.1/2021/6 (Allemagne)</w:t>
      </w:r>
      <w:r w:rsidR="0095653F">
        <w:rPr>
          <w:bCs/>
          <w:lang w:val="fr-FR"/>
        </w:rPr>
        <w:t>.</w:t>
      </w:r>
    </w:p>
    <w:p w14:paraId="421FE823" w14:textId="21A04DEB" w:rsidR="006E61C0" w:rsidRPr="00606333" w:rsidRDefault="006E61C0" w:rsidP="0095653F">
      <w:pPr>
        <w:pStyle w:val="SingleTxtG"/>
        <w:rPr>
          <w:lang w:val="fr-FR"/>
        </w:rPr>
      </w:pPr>
      <w:r>
        <w:rPr>
          <w:lang w:val="fr-FR"/>
        </w:rPr>
        <w:t>14.</w:t>
      </w:r>
      <w:r w:rsidRPr="00606333">
        <w:rPr>
          <w:lang w:val="fr-FR"/>
        </w:rPr>
        <w:tab/>
        <w:t xml:space="preserve">Lorsque des </w:t>
      </w:r>
      <w:r>
        <w:rPr>
          <w:lang w:val="fr-FR"/>
        </w:rPr>
        <w:t>matières</w:t>
      </w:r>
      <w:r w:rsidRPr="00606333">
        <w:rPr>
          <w:lang w:val="fr-FR"/>
        </w:rPr>
        <w:t xml:space="preserve"> inflammables d</w:t>
      </w:r>
      <w:r>
        <w:rPr>
          <w:lang w:val="fr-FR"/>
        </w:rPr>
        <w:t>evai</w:t>
      </w:r>
      <w:r w:rsidRPr="00606333">
        <w:rPr>
          <w:lang w:val="fr-FR"/>
        </w:rPr>
        <w:t xml:space="preserve">ent être transportées dans des </w:t>
      </w:r>
      <w:r>
        <w:rPr>
          <w:lang w:val="fr-FR"/>
        </w:rPr>
        <w:t>citernes</w:t>
      </w:r>
      <w:r w:rsidRPr="00606333">
        <w:rPr>
          <w:lang w:val="fr-FR"/>
        </w:rPr>
        <w:t xml:space="preserve"> à déchets fonctionnant sous vide, l</w:t>
      </w:r>
      <w:r>
        <w:rPr>
          <w:lang w:val="fr-FR"/>
        </w:rPr>
        <w:t>’</w:t>
      </w:r>
      <w:r w:rsidRPr="00606333">
        <w:rPr>
          <w:lang w:val="fr-FR"/>
        </w:rPr>
        <w:t xml:space="preserve">inflammation des vapeurs </w:t>
      </w:r>
      <w:r>
        <w:rPr>
          <w:lang w:val="fr-FR"/>
        </w:rPr>
        <w:t>deva</w:t>
      </w:r>
      <w:r w:rsidRPr="00606333">
        <w:rPr>
          <w:lang w:val="fr-FR"/>
        </w:rPr>
        <w:t xml:space="preserve">it être empêchée par des </w:t>
      </w:r>
      <w:r>
        <w:rPr>
          <w:lang w:val="fr-FR"/>
        </w:rPr>
        <w:t>coupe</w:t>
      </w:r>
      <w:r w:rsidRPr="00606333">
        <w:rPr>
          <w:lang w:val="fr-FR"/>
        </w:rPr>
        <w:t>-flammes</w:t>
      </w:r>
      <w:r>
        <w:rPr>
          <w:lang w:val="fr-FR"/>
        </w:rPr>
        <w:t xml:space="preserve"> et</w:t>
      </w:r>
      <w:r w:rsidRPr="00606333">
        <w:rPr>
          <w:lang w:val="fr-FR"/>
        </w:rPr>
        <w:t xml:space="preserve"> une conception </w:t>
      </w:r>
      <w:r>
        <w:rPr>
          <w:lang w:val="fr-FR"/>
        </w:rPr>
        <w:t>anti-</w:t>
      </w:r>
      <w:r w:rsidRPr="00606333">
        <w:rPr>
          <w:lang w:val="fr-FR"/>
        </w:rPr>
        <w:t xml:space="preserve">étincelle </w:t>
      </w:r>
      <w:r w:rsidRPr="00222288">
        <w:rPr>
          <w:lang w:val="fr-FR"/>
        </w:rPr>
        <w:t>du dispositif pompe/exhausteur</w:t>
      </w:r>
      <w:r>
        <w:rPr>
          <w:lang w:val="fr-FR"/>
        </w:rPr>
        <w:t>,</w:t>
      </w:r>
      <w:r w:rsidRPr="00222288">
        <w:rPr>
          <w:lang w:val="fr-FR"/>
        </w:rPr>
        <w:t xml:space="preserve"> </w:t>
      </w:r>
      <w:r w:rsidRPr="00606333">
        <w:rPr>
          <w:lang w:val="fr-FR"/>
        </w:rPr>
        <w:t>ou le réservoir d</w:t>
      </w:r>
      <w:r>
        <w:rPr>
          <w:lang w:val="fr-FR"/>
        </w:rPr>
        <w:t>eva</w:t>
      </w:r>
      <w:r w:rsidRPr="00606333">
        <w:rPr>
          <w:lang w:val="fr-FR"/>
        </w:rPr>
        <w:t xml:space="preserve">it </w:t>
      </w:r>
      <w:r>
        <w:rPr>
          <w:lang w:val="fr-FR"/>
        </w:rPr>
        <w:t>pouvoir</w:t>
      </w:r>
      <w:r w:rsidRPr="00606333">
        <w:rPr>
          <w:lang w:val="fr-FR"/>
        </w:rPr>
        <w:t xml:space="preserve"> résist</w:t>
      </w:r>
      <w:r>
        <w:rPr>
          <w:lang w:val="fr-FR"/>
        </w:rPr>
        <w:t>er à un</w:t>
      </w:r>
      <w:r w:rsidRPr="00606333">
        <w:rPr>
          <w:lang w:val="fr-FR"/>
        </w:rPr>
        <w:t xml:space="preserve"> choc d</w:t>
      </w:r>
      <w:r>
        <w:rPr>
          <w:lang w:val="fr-FR"/>
        </w:rPr>
        <w:t>û</w:t>
      </w:r>
      <w:r w:rsidRPr="00606333">
        <w:rPr>
          <w:lang w:val="fr-FR"/>
        </w:rPr>
        <w:t xml:space="preserve"> à la pression d</w:t>
      </w:r>
      <w:r>
        <w:rPr>
          <w:lang w:val="fr-FR"/>
        </w:rPr>
        <w:t>’</w:t>
      </w:r>
      <w:r w:rsidRPr="00606333">
        <w:rPr>
          <w:lang w:val="fr-FR"/>
        </w:rPr>
        <w:t xml:space="preserve">explosion. Les pompes dites </w:t>
      </w:r>
      <w:r>
        <w:rPr>
          <w:lang w:val="fr-FR"/>
        </w:rPr>
        <w:t>« </w:t>
      </w:r>
      <w:r w:rsidRPr="00606333">
        <w:rPr>
          <w:lang w:val="fr-FR"/>
        </w:rPr>
        <w:t>à</w:t>
      </w:r>
      <w:r w:rsidR="00291DFD">
        <w:rPr>
          <w:lang w:val="fr-FR"/>
        </w:rPr>
        <w:t> </w:t>
      </w:r>
      <w:r w:rsidRPr="00606333">
        <w:rPr>
          <w:lang w:val="fr-FR"/>
        </w:rPr>
        <w:t>anneau liquide</w:t>
      </w:r>
      <w:r>
        <w:rPr>
          <w:lang w:val="fr-FR"/>
        </w:rPr>
        <w:t> »</w:t>
      </w:r>
      <w:r w:rsidRPr="00606333">
        <w:rPr>
          <w:lang w:val="fr-FR"/>
        </w:rPr>
        <w:t xml:space="preserve"> </w:t>
      </w:r>
      <w:r>
        <w:rPr>
          <w:lang w:val="fr-FR"/>
        </w:rPr>
        <w:t>étaie</w:t>
      </w:r>
      <w:r w:rsidRPr="00606333">
        <w:rPr>
          <w:lang w:val="fr-FR"/>
        </w:rPr>
        <w:t>nt considérées comme étant de conception anti-étincelle. Après des évaluations récentes en Allemagne, il a été estimé qu</w:t>
      </w:r>
      <w:r>
        <w:rPr>
          <w:lang w:val="fr-FR"/>
        </w:rPr>
        <w:t>’</w:t>
      </w:r>
      <w:r w:rsidRPr="00606333">
        <w:rPr>
          <w:lang w:val="fr-FR"/>
        </w:rPr>
        <w:t xml:space="preserve">il pouvait </w:t>
      </w:r>
      <w:r>
        <w:rPr>
          <w:lang w:val="fr-FR"/>
        </w:rPr>
        <w:t>existe</w:t>
      </w:r>
      <w:r w:rsidRPr="00606333">
        <w:rPr>
          <w:lang w:val="fr-FR"/>
        </w:rPr>
        <w:t>r des risques particuliers si l</w:t>
      </w:r>
      <w:r>
        <w:rPr>
          <w:lang w:val="fr-FR"/>
        </w:rPr>
        <w:t>’</w:t>
      </w:r>
      <w:r w:rsidRPr="00606333">
        <w:rPr>
          <w:lang w:val="fr-FR"/>
        </w:rPr>
        <w:t>a</w:t>
      </w:r>
      <w:r>
        <w:rPr>
          <w:lang w:val="fr-FR"/>
        </w:rPr>
        <w:t>li</w:t>
      </w:r>
      <w:r w:rsidRPr="00606333">
        <w:rPr>
          <w:lang w:val="fr-FR"/>
        </w:rPr>
        <w:t>ment</w:t>
      </w:r>
      <w:r>
        <w:rPr>
          <w:lang w:val="fr-FR"/>
        </w:rPr>
        <w:t>ation</w:t>
      </w:r>
      <w:r w:rsidRPr="00606333">
        <w:rPr>
          <w:lang w:val="fr-FR"/>
        </w:rPr>
        <w:t xml:space="preserve"> en eau était insuffisant</w:t>
      </w:r>
      <w:r>
        <w:rPr>
          <w:lang w:val="fr-FR"/>
        </w:rPr>
        <w:t>e</w:t>
      </w:r>
      <w:r w:rsidRPr="00606333">
        <w:rPr>
          <w:lang w:val="fr-FR"/>
        </w:rPr>
        <w:t xml:space="preserve">. Il a donc été proposé que la conception soit vérifiée par rapport à la norme ISO 80079, parties 36/37 pour la protection contre les explosions </w:t>
      </w:r>
      <w:r w:rsidRPr="007833D9">
        <w:rPr>
          <w:lang w:val="fr-FR"/>
        </w:rPr>
        <w:t>d</w:t>
      </w:r>
      <w:r>
        <w:rPr>
          <w:lang w:val="fr-FR"/>
        </w:rPr>
        <w:t>’</w:t>
      </w:r>
      <w:r w:rsidRPr="007833D9">
        <w:rPr>
          <w:lang w:val="fr-FR"/>
        </w:rPr>
        <w:t>origine non électrique</w:t>
      </w:r>
      <w:r w:rsidRPr="00606333">
        <w:rPr>
          <w:lang w:val="fr-FR"/>
        </w:rPr>
        <w:t>.</w:t>
      </w:r>
    </w:p>
    <w:p w14:paraId="5D195BFB" w14:textId="77777777" w:rsidR="006E61C0" w:rsidRPr="00606333" w:rsidRDefault="006E61C0" w:rsidP="0095653F">
      <w:pPr>
        <w:pStyle w:val="SingleTxtG"/>
        <w:rPr>
          <w:lang w:val="fr-FR"/>
        </w:rPr>
      </w:pPr>
      <w:r>
        <w:rPr>
          <w:lang w:val="fr-FR"/>
        </w:rPr>
        <w:t>15.</w:t>
      </w:r>
      <w:r w:rsidRPr="00606333">
        <w:rPr>
          <w:lang w:val="fr-FR"/>
        </w:rPr>
        <w:tab/>
        <w:t>Plusieurs experts ont estimé que ces pompes n</w:t>
      </w:r>
      <w:r>
        <w:rPr>
          <w:lang w:val="fr-FR"/>
        </w:rPr>
        <w:t>’avaie</w:t>
      </w:r>
      <w:r w:rsidRPr="00606333">
        <w:rPr>
          <w:lang w:val="fr-FR"/>
        </w:rPr>
        <w:t>nt pas posé de problèmes d</w:t>
      </w:r>
      <w:r>
        <w:rPr>
          <w:lang w:val="fr-FR"/>
        </w:rPr>
        <w:t>’</w:t>
      </w:r>
      <w:r w:rsidRPr="003D5285">
        <w:rPr>
          <w:lang w:val="fr-FR"/>
        </w:rPr>
        <w:t>inflammation</w:t>
      </w:r>
      <w:r w:rsidRPr="00606333">
        <w:rPr>
          <w:lang w:val="fr-FR"/>
        </w:rPr>
        <w:t xml:space="preserve"> dans le passé. </w:t>
      </w:r>
      <w:r>
        <w:rPr>
          <w:lang w:val="fr-FR"/>
        </w:rPr>
        <w:t>S</w:t>
      </w:r>
      <w:r w:rsidRPr="00606333">
        <w:rPr>
          <w:lang w:val="fr-FR"/>
        </w:rPr>
        <w:t>i de nouvelles normes étaient disponibles, elles devraient être prises en compte. Des questions ont été posées sur la disponibilité des pompes</w:t>
      </w:r>
      <w:r>
        <w:rPr>
          <w:lang w:val="fr-FR"/>
        </w:rPr>
        <w:t xml:space="preserve"> en question</w:t>
      </w:r>
      <w:r w:rsidRPr="00606333">
        <w:rPr>
          <w:lang w:val="fr-FR"/>
        </w:rPr>
        <w:t xml:space="preserve"> et les coûts supplémentaires. En conséquence de la mise en conformité avec la norme, il a été dit qu</w:t>
      </w:r>
      <w:r>
        <w:rPr>
          <w:lang w:val="fr-FR"/>
        </w:rPr>
        <w:t xml:space="preserve">’il </w:t>
      </w:r>
      <w:r w:rsidRPr="00606333">
        <w:rPr>
          <w:lang w:val="fr-FR"/>
        </w:rPr>
        <w:t>serait nécessaire</w:t>
      </w:r>
      <w:r>
        <w:rPr>
          <w:lang w:val="fr-FR"/>
        </w:rPr>
        <w:t xml:space="preserve"> de</w:t>
      </w:r>
      <w:r w:rsidRPr="00606333">
        <w:rPr>
          <w:lang w:val="fr-FR"/>
        </w:rPr>
        <w:t xml:space="preserve"> </w:t>
      </w:r>
      <w:r>
        <w:rPr>
          <w:lang w:val="fr-FR"/>
        </w:rPr>
        <w:t>mettre en place</w:t>
      </w:r>
      <w:r w:rsidRPr="00606333">
        <w:rPr>
          <w:lang w:val="fr-FR"/>
        </w:rPr>
        <w:t xml:space="preserve"> de</w:t>
      </w:r>
      <w:r>
        <w:rPr>
          <w:lang w:val="fr-FR"/>
        </w:rPr>
        <w:t>s</w:t>
      </w:r>
      <w:r w:rsidRPr="00606333">
        <w:rPr>
          <w:lang w:val="fr-FR"/>
        </w:rPr>
        <w:t xml:space="preserve"> capteurs vérifi</w:t>
      </w:r>
      <w:r>
        <w:rPr>
          <w:lang w:val="fr-FR"/>
        </w:rPr>
        <w:t>a</w:t>
      </w:r>
      <w:r w:rsidRPr="00606333">
        <w:rPr>
          <w:lang w:val="fr-FR"/>
        </w:rPr>
        <w:t>nt l</w:t>
      </w:r>
      <w:r>
        <w:rPr>
          <w:lang w:val="fr-FR"/>
        </w:rPr>
        <w:t>’</w:t>
      </w:r>
      <w:r w:rsidRPr="00606333">
        <w:rPr>
          <w:lang w:val="fr-FR"/>
        </w:rPr>
        <w:t>alimentation en eau et l</w:t>
      </w:r>
      <w:r>
        <w:rPr>
          <w:lang w:val="fr-FR"/>
        </w:rPr>
        <w:t>’</w:t>
      </w:r>
      <w:r w:rsidRPr="007051C9">
        <w:rPr>
          <w:lang w:val="fr-FR"/>
        </w:rPr>
        <w:t xml:space="preserve">écoulement </w:t>
      </w:r>
      <w:r w:rsidRPr="00606333">
        <w:rPr>
          <w:lang w:val="fr-FR"/>
        </w:rPr>
        <w:t xml:space="preserve">dans la pompe. Il </w:t>
      </w:r>
      <w:r>
        <w:rPr>
          <w:lang w:val="fr-FR"/>
        </w:rPr>
        <w:t>serait</w:t>
      </w:r>
      <w:r w:rsidRPr="00606333">
        <w:rPr>
          <w:lang w:val="fr-FR"/>
        </w:rPr>
        <w:t xml:space="preserve"> </w:t>
      </w:r>
      <w:r>
        <w:rPr>
          <w:lang w:val="fr-FR"/>
        </w:rPr>
        <w:t>aussi</w:t>
      </w:r>
      <w:r w:rsidRPr="00606333">
        <w:rPr>
          <w:lang w:val="fr-FR"/>
        </w:rPr>
        <w:t xml:space="preserve"> </w:t>
      </w:r>
      <w:r>
        <w:rPr>
          <w:lang w:val="fr-FR"/>
        </w:rPr>
        <w:t>possible d’</w:t>
      </w:r>
      <w:r w:rsidRPr="00606333">
        <w:rPr>
          <w:lang w:val="fr-FR"/>
        </w:rPr>
        <w:t>inclu</w:t>
      </w:r>
      <w:r>
        <w:rPr>
          <w:lang w:val="fr-FR"/>
        </w:rPr>
        <w:t>r</w:t>
      </w:r>
      <w:r w:rsidRPr="00606333">
        <w:rPr>
          <w:lang w:val="fr-FR"/>
        </w:rPr>
        <w:t>e des dispositions techniques pour ce type de pompe</w:t>
      </w:r>
      <w:r>
        <w:rPr>
          <w:lang w:val="fr-FR"/>
        </w:rPr>
        <w:t>. Il</w:t>
      </w:r>
      <w:r w:rsidRPr="00606333">
        <w:rPr>
          <w:lang w:val="fr-FR"/>
        </w:rPr>
        <w:t xml:space="preserve"> a été convenu que le 6.10.3.8 serait l</w:t>
      </w:r>
      <w:r>
        <w:rPr>
          <w:lang w:val="fr-FR"/>
        </w:rPr>
        <w:t>’</w:t>
      </w:r>
      <w:r w:rsidRPr="00606333">
        <w:rPr>
          <w:lang w:val="fr-FR"/>
        </w:rPr>
        <w:t>e</w:t>
      </w:r>
      <w:r>
        <w:rPr>
          <w:lang w:val="fr-FR"/>
        </w:rPr>
        <w:t>mplacement</w:t>
      </w:r>
      <w:r w:rsidRPr="00606333">
        <w:rPr>
          <w:lang w:val="fr-FR"/>
        </w:rPr>
        <w:t xml:space="preserve"> </w:t>
      </w:r>
      <w:r>
        <w:rPr>
          <w:lang w:val="fr-FR"/>
        </w:rPr>
        <w:t xml:space="preserve">le mieux approprié </w:t>
      </w:r>
      <w:r w:rsidRPr="00606333">
        <w:rPr>
          <w:lang w:val="fr-FR"/>
        </w:rPr>
        <w:t xml:space="preserve">pour </w:t>
      </w:r>
      <w:r>
        <w:rPr>
          <w:lang w:val="fr-FR"/>
        </w:rPr>
        <w:t>c</w:t>
      </w:r>
      <w:r w:rsidRPr="00606333">
        <w:rPr>
          <w:lang w:val="fr-FR"/>
        </w:rPr>
        <w:t>es dispositions. Le représentant de l</w:t>
      </w:r>
      <w:r>
        <w:rPr>
          <w:lang w:val="fr-FR"/>
        </w:rPr>
        <w:t>’</w:t>
      </w:r>
      <w:r w:rsidRPr="00606333">
        <w:rPr>
          <w:lang w:val="fr-FR"/>
        </w:rPr>
        <w:t xml:space="preserve">Allemagne a pris note des </w:t>
      </w:r>
      <w:r>
        <w:rPr>
          <w:lang w:val="fr-FR"/>
        </w:rPr>
        <w:t>observations</w:t>
      </w:r>
      <w:r w:rsidRPr="00606333">
        <w:rPr>
          <w:lang w:val="fr-FR"/>
        </w:rPr>
        <w:t xml:space="preserve"> formulées, avec l</w:t>
      </w:r>
      <w:r>
        <w:rPr>
          <w:lang w:val="fr-FR"/>
        </w:rPr>
        <w:t>’</w:t>
      </w:r>
      <w:r w:rsidRPr="00606333">
        <w:rPr>
          <w:lang w:val="fr-FR"/>
        </w:rPr>
        <w:t>intention de revenir sur le sujet lors d</w:t>
      </w:r>
      <w:r>
        <w:rPr>
          <w:lang w:val="fr-FR"/>
        </w:rPr>
        <w:t>’</w:t>
      </w:r>
      <w:r w:rsidRPr="00606333">
        <w:rPr>
          <w:lang w:val="fr-FR"/>
        </w:rPr>
        <w:t xml:space="preserve">une </w:t>
      </w:r>
      <w:r>
        <w:rPr>
          <w:lang w:val="fr-FR"/>
        </w:rPr>
        <w:t>future</w:t>
      </w:r>
      <w:r w:rsidRPr="00606333">
        <w:rPr>
          <w:lang w:val="fr-FR"/>
        </w:rPr>
        <w:t xml:space="preserve"> session.</w:t>
      </w:r>
    </w:p>
    <w:p w14:paraId="30EAA126" w14:textId="22107BE8" w:rsidR="006E61C0" w:rsidRPr="00606333" w:rsidRDefault="00291DFD" w:rsidP="00291DFD">
      <w:pPr>
        <w:pStyle w:val="H1G"/>
        <w:rPr>
          <w:sz w:val="22"/>
          <w:szCs w:val="22"/>
          <w:lang w:val="fr-FR"/>
        </w:rPr>
      </w:pPr>
      <w:bookmarkStart w:id="12" w:name="_Hlk66831883"/>
      <w:r>
        <w:rPr>
          <w:bCs/>
          <w:sz w:val="22"/>
          <w:szCs w:val="22"/>
          <w:lang w:val="fr-FR"/>
        </w:rPr>
        <w:tab/>
      </w:r>
      <w:r>
        <w:rPr>
          <w:bCs/>
          <w:sz w:val="22"/>
          <w:szCs w:val="22"/>
          <w:lang w:val="fr-FR"/>
        </w:rPr>
        <w:tab/>
      </w:r>
      <w:r w:rsidR="006E61C0" w:rsidRPr="00606333">
        <w:rPr>
          <w:bCs/>
          <w:sz w:val="22"/>
          <w:szCs w:val="22"/>
          <w:lang w:val="fr-FR"/>
        </w:rPr>
        <w:t>Point 7</w:t>
      </w:r>
      <w:r w:rsidR="006E61C0">
        <w:rPr>
          <w:bCs/>
          <w:sz w:val="22"/>
          <w:szCs w:val="22"/>
          <w:lang w:val="fr-FR"/>
        </w:rPr>
        <w:t> :</w:t>
      </w:r>
      <w:r w:rsidR="006E61C0" w:rsidRPr="00606333">
        <w:rPr>
          <w:bCs/>
          <w:sz w:val="22"/>
          <w:szCs w:val="22"/>
          <w:lang w:val="fr-FR"/>
        </w:rPr>
        <w:t xml:space="preserve"> </w:t>
      </w:r>
      <w:bookmarkEnd w:id="12"/>
      <w:r w:rsidR="006E61C0" w:rsidRPr="00C25D2E">
        <w:rPr>
          <w:lang w:val="fr-FR"/>
        </w:rPr>
        <w:t>Révision des prescriptions du 6.8.3.2 du RID et de l</w:t>
      </w:r>
      <w:r w:rsidR="006E61C0">
        <w:rPr>
          <w:lang w:val="fr-FR"/>
        </w:rPr>
        <w:t>’</w:t>
      </w:r>
      <w:r w:rsidR="006E61C0" w:rsidRPr="00C25D2E">
        <w:rPr>
          <w:lang w:val="fr-FR"/>
        </w:rPr>
        <w:t>ADR relatives aux équipements et</w:t>
      </w:r>
      <w:r w:rsidR="006E61C0">
        <w:rPr>
          <w:lang w:val="fr-FR"/>
        </w:rPr>
        <w:t> </w:t>
      </w:r>
      <w:r w:rsidR="006E61C0" w:rsidRPr="00C25D2E">
        <w:rPr>
          <w:lang w:val="fr-FR"/>
        </w:rPr>
        <w:t xml:space="preserve">à la fonction de fermeture automatique </w:t>
      </w:r>
      <w:r>
        <w:rPr>
          <w:lang w:val="fr-FR"/>
        </w:rPr>
        <w:br/>
      </w:r>
      <w:r w:rsidR="006E61C0" w:rsidRPr="00C25D2E">
        <w:rPr>
          <w:lang w:val="fr-FR"/>
        </w:rPr>
        <w:t xml:space="preserve">des obturateurs sur les raccords à la phase vapeur des citernes </w:t>
      </w:r>
      <w:r>
        <w:rPr>
          <w:lang w:val="fr-FR"/>
        </w:rPr>
        <w:br/>
      </w:r>
      <w:r w:rsidR="006E61C0" w:rsidRPr="00C25D2E">
        <w:rPr>
          <w:lang w:val="fr-FR"/>
        </w:rPr>
        <w:t xml:space="preserve">destinées au transport des gaz liquéfiés et des gaz liquéfiés </w:t>
      </w:r>
      <w:r>
        <w:rPr>
          <w:lang w:val="fr-FR"/>
        </w:rPr>
        <w:br/>
      </w:r>
      <w:r w:rsidR="006E61C0" w:rsidRPr="00C25D2E">
        <w:rPr>
          <w:lang w:val="fr-FR"/>
        </w:rPr>
        <w:t>réfrigérés toxiques et inflammables</w:t>
      </w:r>
      <w:r w:rsidR="006E61C0" w:rsidRPr="00606333">
        <w:rPr>
          <w:bCs/>
          <w:sz w:val="22"/>
          <w:szCs w:val="22"/>
          <w:lang w:val="fr-FR"/>
        </w:rPr>
        <w:t xml:space="preserve"> </w:t>
      </w:r>
    </w:p>
    <w:p w14:paraId="3434F709" w14:textId="77777777" w:rsidR="006E61C0" w:rsidRPr="00606333" w:rsidRDefault="006E61C0" w:rsidP="00291DFD">
      <w:pPr>
        <w:pStyle w:val="SingleTxtG"/>
        <w:ind w:left="2835" w:hanging="1701"/>
        <w:jc w:val="left"/>
        <w:rPr>
          <w:lang w:val="fr-FR"/>
        </w:rPr>
      </w:pPr>
      <w:r w:rsidRPr="00606333">
        <w:rPr>
          <w:i/>
          <w:lang w:val="fr-FR"/>
        </w:rPr>
        <w:t>Document</w:t>
      </w:r>
      <w:r>
        <w:rPr>
          <w:i/>
          <w:lang w:val="fr-FR"/>
        </w:rPr>
        <w:t>(s)</w:t>
      </w:r>
      <w:r w:rsidRPr="00291DFD">
        <w:rPr>
          <w:iCs/>
          <w:lang w:val="fr-FR"/>
        </w:rPr>
        <w:t> :</w:t>
      </w:r>
      <w:r w:rsidRPr="00606333">
        <w:rPr>
          <w:lang w:val="fr-FR"/>
        </w:rPr>
        <w:tab/>
        <w:t>ECE/TRANS/WP.15/AC.1/2021/11 (Pays-Bas)</w:t>
      </w:r>
    </w:p>
    <w:p w14:paraId="6EF5F201" w14:textId="26154B04" w:rsidR="006E61C0" w:rsidRPr="00606333" w:rsidRDefault="00291DFD" w:rsidP="00291DFD">
      <w:pPr>
        <w:pStyle w:val="SingleTxtG"/>
        <w:ind w:left="2835" w:hanging="1701"/>
        <w:jc w:val="left"/>
        <w:rPr>
          <w:lang w:val="fr-FR"/>
        </w:rPr>
      </w:pPr>
      <w:r w:rsidRPr="00291DFD">
        <w:rPr>
          <w:i/>
          <w:lang w:val="fr-FR"/>
        </w:rPr>
        <w:t xml:space="preserve">Document </w:t>
      </w:r>
      <w:r w:rsidR="006E61C0" w:rsidRPr="00291DFD">
        <w:rPr>
          <w:i/>
          <w:lang w:val="fr-FR"/>
        </w:rPr>
        <w:t>informel</w:t>
      </w:r>
      <w:r>
        <w:rPr>
          <w:i/>
          <w:lang w:val="fr-FR"/>
        </w:rPr>
        <w:t> </w:t>
      </w:r>
      <w:r w:rsidRPr="00291DFD">
        <w:rPr>
          <w:iCs/>
          <w:lang w:val="fr-FR"/>
        </w:rPr>
        <w:t>:</w:t>
      </w:r>
      <w:r>
        <w:rPr>
          <w:iCs/>
          <w:lang w:val="fr-FR"/>
        </w:rPr>
        <w:tab/>
      </w:r>
      <w:r w:rsidR="006E61C0" w:rsidRPr="00606333">
        <w:rPr>
          <w:lang w:val="fr-FR"/>
        </w:rPr>
        <w:t>INF.21 (EIGA)</w:t>
      </w:r>
      <w:r>
        <w:rPr>
          <w:lang w:val="fr-FR"/>
        </w:rPr>
        <w:t>.</w:t>
      </w:r>
    </w:p>
    <w:p w14:paraId="6C51F31E" w14:textId="3404B0D9" w:rsidR="006E61C0" w:rsidRPr="00606333" w:rsidRDefault="006E61C0" w:rsidP="00291DFD">
      <w:pPr>
        <w:pStyle w:val="SingleTxtG"/>
        <w:rPr>
          <w:lang w:val="fr-FR"/>
        </w:rPr>
      </w:pPr>
      <w:r w:rsidRPr="00606333">
        <w:rPr>
          <w:lang w:val="fr-FR"/>
        </w:rPr>
        <w:t>16.</w:t>
      </w:r>
      <w:r w:rsidRPr="00606333">
        <w:rPr>
          <w:lang w:val="fr-FR"/>
        </w:rPr>
        <w:tab/>
        <w:t xml:space="preserve">La plupart des experts ont exprimé leur </w:t>
      </w:r>
      <w:r>
        <w:rPr>
          <w:lang w:val="fr-FR"/>
        </w:rPr>
        <w:t>appui</w:t>
      </w:r>
      <w:r w:rsidRPr="00606333">
        <w:rPr>
          <w:lang w:val="fr-FR"/>
        </w:rPr>
        <w:t xml:space="preserve"> de principe aux propositions faites par les Pays-Bas. </w:t>
      </w:r>
      <w:r>
        <w:rPr>
          <w:lang w:val="fr-FR"/>
        </w:rPr>
        <w:t>L’</w:t>
      </w:r>
      <w:r w:rsidRPr="00606333">
        <w:rPr>
          <w:lang w:val="fr-FR"/>
        </w:rPr>
        <w:t>hydrogène liquéfié réfrigéré pou</w:t>
      </w:r>
      <w:r>
        <w:rPr>
          <w:lang w:val="fr-FR"/>
        </w:rPr>
        <w:t>v</w:t>
      </w:r>
      <w:r w:rsidRPr="00606333">
        <w:rPr>
          <w:lang w:val="fr-FR"/>
        </w:rPr>
        <w:t xml:space="preserve">ait nécessiter une </w:t>
      </w:r>
      <w:r>
        <w:rPr>
          <w:lang w:val="fr-FR"/>
        </w:rPr>
        <w:t>stratégie</w:t>
      </w:r>
      <w:r w:rsidRPr="00606333">
        <w:rPr>
          <w:lang w:val="fr-FR"/>
        </w:rPr>
        <w:t xml:space="preserve"> différente et le chapitre</w:t>
      </w:r>
      <w:r w:rsidR="00291DFD">
        <w:rPr>
          <w:lang w:val="fr-FR"/>
        </w:rPr>
        <w:t> </w:t>
      </w:r>
      <w:r w:rsidRPr="00606333">
        <w:rPr>
          <w:lang w:val="fr-FR"/>
        </w:rPr>
        <w:t>6.7 devait également être abordé. Il a été proposé d</w:t>
      </w:r>
      <w:r>
        <w:rPr>
          <w:lang w:val="fr-FR"/>
        </w:rPr>
        <w:t>’</w:t>
      </w:r>
      <w:r w:rsidRPr="00606333">
        <w:rPr>
          <w:lang w:val="fr-FR"/>
        </w:rPr>
        <w:t xml:space="preserve">organiser un groupe de travail </w:t>
      </w:r>
      <w:r>
        <w:rPr>
          <w:lang w:val="fr-FR"/>
        </w:rPr>
        <w:t xml:space="preserve">spécial </w:t>
      </w:r>
      <w:r w:rsidRPr="00606333">
        <w:rPr>
          <w:lang w:val="fr-FR"/>
        </w:rPr>
        <w:t>chargé de ces questions. L</w:t>
      </w:r>
      <w:r>
        <w:rPr>
          <w:lang w:val="fr-FR"/>
        </w:rPr>
        <w:t>’</w:t>
      </w:r>
      <w:r w:rsidRPr="00606333">
        <w:rPr>
          <w:lang w:val="fr-FR"/>
        </w:rPr>
        <w:t xml:space="preserve">expert des Pays-Bas a convenu que </w:t>
      </w:r>
      <w:r>
        <w:rPr>
          <w:lang w:val="fr-FR"/>
        </w:rPr>
        <w:t>d’autres</w:t>
      </w:r>
      <w:r w:rsidRPr="00606333">
        <w:rPr>
          <w:lang w:val="fr-FR"/>
        </w:rPr>
        <w:t xml:space="preserve"> améliorations étaient nécessaires, mais a souligné que </w:t>
      </w:r>
      <w:r>
        <w:rPr>
          <w:lang w:val="fr-FR"/>
        </w:rPr>
        <w:t>des</w:t>
      </w:r>
      <w:r w:rsidRPr="00606333">
        <w:rPr>
          <w:lang w:val="fr-FR"/>
        </w:rPr>
        <w:t xml:space="preserve"> précisions sur </w:t>
      </w:r>
      <w:r>
        <w:rPr>
          <w:lang w:val="fr-FR"/>
        </w:rPr>
        <w:t xml:space="preserve">le matériel destiné au transport du </w:t>
      </w:r>
      <w:r w:rsidRPr="00606333">
        <w:rPr>
          <w:lang w:val="fr-FR"/>
        </w:rPr>
        <w:t>gaz naturel liquéfié devraient être incluses dans l</w:t>
      </w:r>
      <w:r>
        <w:rPr>
          <w:lang w:val="fr-FR"/>
        </w:rPr>
        <w:t xml:space="preserve">’édition de </w:t>
      </w:r>
      <w:r w:rsidRPr="00606333">
        <w:rPr>
          <w:lang w:val="fr-FR"/>
        </w:rPr>
        <w:t>2023</w:t>
      </w:r>
      <w:r>
        <w:rPr>
          <w:lang w:val="fr-FR"/>
        </w:rPr>
        <w:t xml:space="preserve"> du</w:t>
      </w:r>
      <w:r w:rsidRPr="00606333">
        <w:rPr>
          <w:lang w:val="fr-FR"/>
        </w:rPr>
        <w:t xml:space="preserve"> RID</w:t>
      </w:r>
      <w:r>
        <w:rPr>
          <w:lang w:val="fr-FR"/>
        </w:rPr>
        <w:t xml:space="preserve"> et de l’</w:t>
      </w:r>
      <w:r w:rsidRPr="00606333">
        <w:rPr>
          <w:lang w:val="fr-FR"/>
        </w:rPr>
        <w:t>ADR.</w:t>
      </w:r>
    </w:p>
    <w:p w14:paraId="1EE8AF53" w14:textId="6860D41F" w:rsidR="006E61C0" w:rsidRPr="00606333" w:rsidRDefault="00291DFD" w:rsidP="00291DFD">
      <w:pPr>
        <w:pStyle w:val="H1G"/>
        <w:rPr>
          <w:lang w:val="fr-FR"/>
        </w:rPr>
      </w:pPr>
      <w:r>
        <w:rPr>
          <w:lang w:val="fr-FR"/>
        </w:rPr>
        <w:lastRenderedPageBreak/>
        <w:tab/>
      </w:r>
      <w:r>
        <w:rPr>
          <w:lang w:val="fr-FR"/>
        </w:rPr>
        <w:tab/>
      </w:r>
      <w:r w:rsidR="006E61C0" w:rsidRPr="00606333">
        <w:rPr>
          <w:lang w:val="fr-FR"/>
        </w:rPr>
        <w:t>Point 8</w:t>
      </w:r>
      <w:r w:rsidR="006E61C0">
        <w:rPr>
          <w:lang w:val="fr-FR"/>
        </w:rPr>
        <w:t> :</w:t>
      </w:r>
      <w:r>
        <w:rPr>
          <w:lang w:val="fr-FR"/>
        </w:rPr>
        <w:t xml:space="preserve"> </w:t>
      </w:r>
      <w:r w:rsidR="006E61C0" w:rsidRPr="00606333">
        <w:rPr>
          <w:lang w:val="fr-FR"/>
        </w:rPr>
        <w:t xml:space="preserve">Adoption du </w:t>
      </w:r>
      <w:r w:rsidR="006E61C0">
        <w:rPr>
          <w:lang w:val="fr-FR"/>
        </w:rPr>
        <w:t>R</w:t>
      </w:r>
      <w:r w:rsidR="006E61C0" w:rsidRPr="00606333">
        <w:rPr>
          <w:lang w:val="fr-FR"/>
        </w:rPr>
        <w:t>èglement type de l</w:t>
      </w:r>
      <w:r w:rsidR="006E61C0">
        <w:rPr>
          <w:lang w:val="fr-FR"/>
        </w:rPr>
        <w:t>’</w:t>
      </w:r>
      <w:r w:rsidR="006E61C0" w:rsidRPr="00606333">
        <w:rPr>
          <w:lang w:val="fr-FR"/>
        </w:rPr>
        <w:t xml:space="preserve">ONU sur les citernes mobiles </w:t>
      </w:r>
      <w:r w:rsidR="006E61C0" w:rsidRPr="009331A4">
        <w:rPr>
          <w:lang w:val="fr-FR"/>
        </w:rPr>
        <w:t xml:space="preserve">en matière plastique renforcée de fibres </w:t>
      </w:r>
      <w:r w:rsidR="006E61C0" w:rsidRPr="00606333">
        <w:rPr>
          <w:lang w:val="fr-FR"/>
        </w:rPr>
        <w:t>dans le RID</w:t>
      </w:r>
      <w:r w:rsidR="006E61C0">
        <w:rPr>
          <w:lang w:val="fr-FR"/>
        </w:rPr>
        <w:t xml:space="preserve"> et l’</w:t>
      </w:r>
      <w:r w:rsidR="006E61C0" w:rsidRPr="00606333">
        <w:rPr>
          <w:lang w:val="fr-FR"/>
        </w:rPr>
        <w:t>ADR</w:t>
      </w:r>
    </w:p>
    <w:p w14:paraId="5F9ACC81" w14:textId="45FDF25F" w:rsidR="006E61C0" w:rsidRPr="00606333" w:rsidRDefault="006E61C0" w:rsidP="00291DFD">
      <w:pPr>
        <w:pStyle w:val="SingleTxtG"/>
        <w:keepNext/>
        <w:ind w:left="2835" w:hanging="1701"/>
        <w:jc w:val="left"/>
        <w:rPr>
          <w:bCs/>
          <w:lang w:val="fr-FR"/>
        </w:rPr>
      </w:pPr>
      <w:r w:rsidRPr="004576AE">
        <w:rPr>
          <w:i/>
          <w:lang w:val="fr-FR"/>
        </w:rPr>
        <w:t>Document(s)</w:t>
      </w:r>
      <w:r w:rsidRPr="00291DFD">
        <w:rPr>
          <w:iCs/>
          <w:lang w:val="fr-FR"/>
        </w:rPr>
        <w:t> :</w:t>
      </w:r>
      <w:r w:rsidRPr="004576AE">
        <w:rPr>
          <w:iCs/>
          <w:lang w:val="fr-FR"/>
        </w:rPr>
        <w:tab/>
      </w:r>
      <w:r w:rsidR="00291DFD" w:rsidRPr="00291DFD">
        <w:rPr>
          <w:i/>
          <w:lang w:val="fr-FR"/>
        </w:rPr>
        <w:t xml:space="preserve">Document </w:t>
      </w:r>
      <w:r w:rsidRPr="00291DFD">
        <w:rPr>
          <w:i/>
          <w:lang w:val="fr-FR"/>
        </w:rPr>
        <w:t>informel</w:t>
      </w:r>
      <w:r w:rsidRPr="004576AE">
        <w:rPr>
          <w:iCs/>
          <w:lang w:val="fr-FR"/>
        </w:rPr>
        <w:t xml:space="preserve"> </w:t>
      </w:r>
      <w:r w:rsidRPr="00606333">
        <w:rPr>
          <w:bCs/>
          <w:lang w:val="fr-FR"/>
        </w:rPr>
        <w:t>INF.9 (ITCO)</w:t>
      </w:r>
      <w:r w:rsidR="00291DFD">
        <w:rPr>
          <w:bCs/>
          <w:lang w:val="fr-FR"/>
        </w:rPr>
        <w:t>.</w:t>
      </w:r>
    </w:p>
    <w:p w14:paraId="50A46A65" w14:textId="77777777" w:rsidR="006E61C0" w:rsidRPr="00606333" w:rsidRDefault="006E61C0" w:rsidP="00291DFD">
      <w:pPr>
        <w:pStyle w:val="SingleTxtG"/>
        <w:rPr>
          <w:lang w:val="fr-FR"/>
        </w:rPr>
      </w:pPr>
      <w:r w:rsidRPr="00606333">
        <w:rPr>
          <w:lang w:val="fr-FR"/>
        </w:rPr>
        <w:t>17</w:t>
      </w:r>
      <w:r>
        <w:rPr>
          <w:lang w:val="fr-FR"/>
        </w:rPr>
        <w:t>.</w:t>
      </w:r>
      <w:r w:rsidRPr="00606333">
        <w:rPr>
          <w:lang w:val="fr-FR"/>
        </w:rPr>
        <w:tab/>
        <w:t xml:space="preserve">Il a été demandé au </w:t>
      </w:r>
      <w:r>
        <w:rPr>
          <w:lang w:val="fr-FR"/>
        </w:rPr>
        <w:t>Groupe de travail des citernes</w:t>
      </w:r>
      <w:r w:rsidRPr="00606333">
        <w:rPr>
          <w:lang w:val="fr-FR"/>
        </w:rPr>
        <w:t xml:space="preserve"> d</w:t>
      </w:r>
      <w:r>
        <w:rPr>
          <w:lang w:val="fr-FR"/>
        </w:rPr>
        <w:t>’</w:t>
      </w:r>
      <w:r w:rsidRPr="00606333">
        <w:rPr>
          <w:lang w:val="fr-FR"/>
        </w:rPr>
        <w:t>examiner le document informel INF.9 de l</w:t>
      </w:r>
      <w:r>
        <w:rPr>
          <w:lang w:val="fr-FR"/>
        </w:rPr>
        <w:t>’</w:t>
      </w:r>
      <w:r w:rsidRPr="00606333">
        <w:rPr>
          <w:lang w:val="fr-FR"/>
        </w:rPr>
        <w:t>ITCO afin de préparer l</w:t>
      </w:r>
      <w:r>
        <w:rPr>
          <w:lang w:val="fr-FR"/>
        </w:rPr>
        <w:t>e</w:t>
      </w:r>
      <w:r w:rsidRPr="00606333">
        <w:rPr>
          <w:lang w:val="fr-FR"/>
        </w:rPr>
        <w:t xml:space="preserve"> </w:t>
      </w:r>
      <w:r>
        <w:rPr>
          <w:lang w:val="fr-FR"/>
        </w:rPr>
        <w:t>débat</w:t>
      </w:r>
      <w:r w:rsidRPr="00606333">
        <w:rPr>
          <w:lang w:val="fr-FR"/>
        </w:rPr>
        <w:t xml:space="preserve"> en séance plénière. L</w:t>
      </w:r>
      <w:r>
        <w:rPr>
          <w:lang w:val="fr-FR"/>
        </w:rPr>
        <w:t>’</w:t>
      </w:r>
      <w:r w:rsidRPr="00606333">
        <w:rPr>
          <w:lang w:val="fr-FR"/>
        </w:rPr>
        <w:t xml:space="preserve">ITCO a </w:t>
      </w:r>
      <w:r>
        <w:rPr>
          <w:lang w:val="fr-FR"/>
        </w:rPr>
        <w:t>déclar</w:t>
      </w:r>
      <w:r w:rsidRPr="00606333">
        <w:rPr>
          <w:lang w:val="fr-FR"/>
        </w:rPr>
        <w:t>é qu</w:t>
      </w:r>
      <w:r>
        <w:rPr>
          <w:lang w:val="fr-FR"/>
        </w:rPr>
        <w:t>e</w:t>
      </w:r>
      <w:r w:rsidRPr="00041356">
        <w:rPr>
          <w:lang w:val="fr-FR"/>
        </w:rPr>
        <w:t xml:space="preserve"> </w:t>
      </w:r>
      <w:r w:rsidRPr="00606333">
        <w:rPr>
          <w:lang w:val="fr-FR"/>
        </w:rPr>
        <w:t xml:space="preserve">le groupe de travail informel </w:t>
      </w:r>
      <w:r>
        <w:rPr>
          <w:lang w:val="fr-FR"/>
        </w:rPr>
        <w:t>d</w:t>
      </w:r>
      <w:r w:rsidRPr="00606333">
        <w:rPr>
          <w:lang w:val="fr-FR"/>
        </w:rPr>
        <w:t xml:space="preserve">es citernes mobiles </w:t>
      </w:r>
      <w:r w:rsidRPr="00041356">
        <w:rPr>
          <w:lang w:val="fr-FR"/>
        </w:rPr>
        <w:t>en matière plastique renforcée de fibres</w:t>
      </w:r>
      <w:r>
        <w:rPr>
          <w:lang w:val="fr-FR"/>
        </w:rPr>
        <w:t xml:space="preserve"> (PRF)</w:t>
      </w:r>
      <w:r w:rsidRPr="00041356">
        <w:rPr>
          <w:lang w:val="fr-FR"/>
        </w:rPr>
        <w:t xml:space="preserve"> </w:t>
      </w:r>
      <w:r w:rsidRPr="00606333">
        <w:rPr>
          <w:lang w:val="fr-FR"/>
        </w:rPr>
        <w:t>du Sous-</w:t>
      </w:r>
      <w:r>
        <w:rPr>
          <w:lang w:val="fr-FR"/>
        </w:rPr>
        <w:t>C</w:t>
      </w:r>
      <w:r w:rsidRPr="00606333">
        <w:rPr>
          <w:lang w:val="fr-FR"/>
        </w:rPr>
        <w:t>omité d</w:t>
      </w:r>
      <w:r>
        <w:rPr>
          <w:lang w:val="fr-FR"/>
        </w:rPr>
        <w:t>’</w:t>
      </w:r>
      <w:r w:rsidRPr="00606333">
        <w:rPr>
          <w:lang w:val="fr-FR"/>
        </w:rPr>
        <w:t>experts du transport des marchandises dangereuses (TMD</w:t>
      </w:r>
      <w:r>
        <w:rPr>
          <w:lang w:val="fr-FR"/>
        </w:rPr>
        <w:t xml:space="preserve">) </w:t>
      </w:r>
      <w:r w:rsidRPr="00606333">
        <w:rPr>
          <w:lang w:val="fr-FR"/>
        </w:rPr>
        <w:t>n</w:t>
      </w:r>
      <w:r>
        <w:rPr>
          <w:lang w:val="fr-FR"/>
        </w:rPr>
        <w:t>’</w:t>
      </w:r>
      <w:r w:rsidRPr="00606333">
        <w:rPr>
          <w:lang w:val="fr-FR"/>
        </w:rPr>
        <w:t xml:space="preserve">avait pas </w:t>
      </w:r>
      <w:r>
        <w:rPr>
          <w:lang w:val="fr-FR"/>
        </w:rPr>
        <w:t>apporté la</w:t>
      </w:r>
      <w:r w:rsidRPr="00606333">
        <w:rPr>
          <w:lang w:val="fr-FR"/>
        </w:rPr>
        <w:t xml:space="preserve"> pr</w:t>
      </w:r>
      <w:r>
        <w:rPr>
          <w:lang w:val="fr-FR"/>
        </w:rPr>
        <w:t>e</w:t>
      </w:r>
      <w:r w:rsidRPr="00606333">
        <w:rPr>
          <w:lang w:val="fr-FR"/>
        </w:rPr>
        <w:t xml:space="preserve">uve </w:t>
      </w:r>
      <w:r>
        <w:rPr>
          <w:lang w:val="fr-FR"/>
        </w:rPr>
        <w:t>d’</w:t>
      </w:r>
      <w:r w:rsidRPr="00606333">
        <w:rPr>
          <w:lang w:val="fr-FR"/>
        </w:rPr>
        <w:t xml:space="preserve">une résilience suffisante. </w:t>
      </w:r>
      <w:r>
        <w:rPr>
          <w:lang w:val="fr-FR"/>
        </w:rPr>
        <w:t>C</w:t>
      </w:r>
      <w:r w:rsidRPr="00606333">
        <w:rPr>
          <w:lang w:val="fr-FR"/>
        </w:rPr>
        <w:t xml:space="preserve">ette question </w:t>
      </w:r>
      <w:r>
        <w:rPr>
          <w:lang w:val="fr-FR"/>
        </w:rPr>
        <w:t xml:space="preserve">devrait être soulevée à </w:t>
      </w:r>
      <w:r w:rsidRPr="00606333">
        <w:rPr>
          <w:lang w:val="fr-FR"/>
        </w:rPr>
        <w:t xml:space="preserve">la session de juin 2021 du </w:t>
      </w:r>
      <w:r w:rsidRPr="00041356">
        <w:rPr>
          <w:lang w:val="fr-FR"/>
        </w:rPr>
        <w:t xml:space="preserve">Sous-Comité </w:t>
      </w:r>
      <w:r w:rsidRPr="00606333">
        <w:rPr>
          <w:lang w:val="fr-FR"/>
        </w:rPr>
        <w:t>TMD. Le document de l</w:t>
      </w:r>
      <w:r>
        <w:rPr>
          <w:lang w:val="fr-FR"/>
        </w:rPr>
        <w:t>’</w:t>
      </w:r>
      <w:r w:rsidRPr="00606333">
        <w:rPr>
          <w:lang w:val="fr-FR"/>
        </w:rPr>
        <w:t>ITCO demandait que l</w:t>
      </w:r>
      <w:r>
        <w:rPr>
          <w:lang w:val="fr-FR"/>
        </w:rPr>
        <w:t>’</w:t>
      </w:r>
      <w:r w:rsidRPr="00606333">
        <w:rPr>
          <w:lang w:val="fr-FR"/>
        </w:rPr>
        <w:t>adoption du nouveau chapitre 6.9 du RID</w:t>
      </w:r>
      <w:r>
        <w:rPr>
          <w:lang w:val="fr-FR"/>
        </w:rPr>
        <w:t xml:space="preserve"> et de l’</w:t>
      </w:r>
      <w:r w:rsidRPr="00606333">
        <w:rPr>
          <w:lang w:val="fr-FR"/>
        </w:rPr>
        <w:t>ADR soit reportée jusqu</w:t>
      </w:r>
      <w:r>
        <w:rPr>
          <w:lang w:val="fr-FR"/>
        </w:rPr>
        <w:t>’</w:t>
      </w:r>
      <w:r w:rsidRPr="00606333">
        <w:rPr>
          <w:lang w:val="fr-FR"/>
        </w:rPr>
        <w:t>à ce que la question soit ré</w:t>
      </w:r>
      <w:r>
        <w:rPr>
          <w:lang w:val="fr-FR"/>
        </w:rPr>
        <w:t>glé</w:t>
      </w:r>
      <w:r w:rsidRPr="00606333">
        <w:rPr>
          <w:lang w:val="fr-FR"/>
        </w:rPr>
        <w:t>e.</w:t>
      </w:r>
    </w:p>
    <w:p w14:paraId="4E92965B" w14:textId="77777777" w:rsidR="006E61C0" w:rsidRPr="00606333" w:rsidRDefault="006E61C0" w:rsidP="00291DFD">
      <w:pPr>
        <w:pStyle w:val="SingleTxtG"/>
        <w:rPr>
          <w:lang w:val="fr-FR"/>
        </w:rPr>
      </w:pPr>
      <w:r>
        <w:rPr>
          <w:lang w:val="fr-FR"/>
        </w:rPr>
        <w:t>18.</w:t>
      </w:r>
      <w:r w:rsidRPr="00606333">
        <w:rPr>
          <w:lang w:val="fr-FR"/>
        </w:rPr>
        <w:tab/>
        <w:t>L</w:t>
      </w:r>
      <w:r>
        <w:rPr>
          <w:lang w:val="fr-FR"/>
        </w:rPr>
        <w:t>’</w:t>
      </w:r>
      <w:r w:rsidRPr="00606333">
        <w:rPr>
          <w:lang w:val="fr-FR"/>
        </w:rPr>
        <w:t>expert de l</w:t>
      </w:r>
      <w:r>
        <w:rPr>
          <w:lang w:val="fr-FR"/>
        </w:rPr>
        <w:t>’</w:t>
      </w:r>
      <w:r w:rsidRPr="00606333">
        <w:rPr>
          <w:lang w:val="fr-FR"/>
        </w:rPr>
        <w:t xml:space="preserve">ITCO a </w:t>
      </w:r>
      <w:r>
        <w:rPr>
          <w:lang w:val="fr-FR"/>
        </w:rPr>
        <w:t>fait part</w:t>
      </w:r>
      <w:r w:rsidRPr="00606333">
        <w:rPr>
          <w:lang w:val="fr-FR"/>
        </w:rPr>
        <w:t xml:space="preserve"> des recherches effectuées par l</w:t>
      </w:r>
      <w:r>
        <w:rPr>
          <w:lang w:val="fr-FR"/>
        </w:rPr>
        <w:t>’</w:t>
      </w:r>
      <w:r w:rsidRPr="00606333">
        <w:rPr>
          <w:lang w:val="fr-FR"/>
        </w:rPr>
        <w:t>Institut fédéral allemand de recherche</w:t>
      </w:r>
      <w:r>
        <w:rPr>
          <w:lang w:val="fr-FR"/>
        </w:rPr>
        <w:t>s</w:t>
      </w:r>
      <w:r w:rsidRPr="00606333">
        <w:rPr>
          <w:lang w:val="fr-FR"/>
        </w:rPr>
        <w:t xml:space="preserve"> et d</w:t>
      </w:r>
      <w:r>
        <w:rPr>
          <w:lang w:val="fr-FR"/>
        </w:rPr>
        <w:t>’</w:t>
      </w:r>
      <w:r w:rsidRPr="00606333">
        <w:rPr>
          <w:lang w:val="fr-FR"/>
        </w:rPr>
        <w:t>essai</w:t>
      </w:r>
      <w:r>
        <w:rPr>
          <w:lang w:val="fr-FR"/>
        </w:rPr>
        <w:t>s</w:t>
      </w:r>
      <w:r w:rsidRPr="00606333">
        <w:rPr>
          <w:lang w:val="fr-FR"/>
        </w:rPr>
        <w:t xml:space="preserve"> </w:t>
      </w:r>
      <w:r>
        <w:rPr>
          <w:lang w:val="fr-FR"/>
        </w:rPr>
        <w:t>sur l</w:t>
      </w:r>
      <w:r w:rsidRPr="00606333">
        <w:rPr>
          <w:lang w:val="fr-FR"/>
        </w:rPr>
        <w:t xml:space="preserve">es matériaux, qui </w:t>
      </w:r>
      <w:r>
        <w:rPr>
          <w:lang w:val="fr-FR"/>
        </w:rPr>
        <w:t>avaie</w:t>
      </w:r>
      <w:r w:rsidRPr="00606333">
        <w:rPr>
          <w:lang w:val="fr-FR"/>
        </w:rPr>
        <w:t>nt montré qu</w:t>
      </w:r>
      <w:r>
        <w:rPr>
          <w:lang w:val="fr-FR"/>
        </w:rPr>
        <w:t>’</w:t>
      </w:r>
      <w:r w:rsidRPr="00606333">
        <w:rPr>
          <w:lang w:val="fr-FR"/>
        </w:rPr>
        <w:t>un niveau d</w:t>
      </w:r>
      <w:r>
        <w:rPr>
          <w:lang w:val="fr-FR"/>
        </w:rPr>
        <w:t>’</w:t>
      </w:r>
      <w:r w:rsidRPr="00606333">
        <w:rPr>
          <w:lang w:val="fr-FR"/>
        </w:rPr>
        <w:t>énergie de 22</w:t>
      </w:r>
      <w:r>
        <w:rPr>
          <w:lang w:val="fr-FR"/>
        </w:rPr>
        <w:t> </w:t>
      </w:r>
      <w:r w:rsidRPr="00606333">
        <w:rPr>
          <w:lang w:val="fr-FR"/>
        </w:rPr>
        <w:t>kJ correspondait à une épaisseur de 6 mm d</w:t>
      </w:r>
      <w:r>
        <w:rPr>
          <w:lang w:val="fr-FR"/>
        </w:rPr>
        <w:t>’</w:t>
      </w:r>
      <w:r w:rsidRPr="00606333">
        <w:rPr>
          <w:lang w:val="fr-FR"/>
        </w:rPr>
        <w:t>acier doux, ce qui, selon le document de l</w:t>
      </w:r>
      <w:r>
        <w:rPr>
          <w:lang w:val="fr-FR"/>
        </w:rPr>
        <w:t>’</w:t>
      </w:r>
      <w:r w:rsidRPr="00606333">
        <w:rPr>
          <w:lang w:val="fr-FR"/>
        </w:rPr>
        <w:t>ITCO, serait utile pour déterminer la résilience d</w:t>
      </w:r>
      <w:r>
        <w:rPr>
          <w:lang w:val="fr-FR"/>
        </w:rPr>
        <w:t>’</w:t>
      </w:r>
      <w:r w:rsidRPr="00606333">
        <w:rPr>
          <w:lang w:val="fr-FR"/>
        </w:rPr>
        <w:t xml:space="preserve">autres matériaux. Plusieurs experts ont </w:t>
      </w:r>
      <w:r>
        <w:rPr>
          <w:lang w:val="fr-FR"/>
        </w:rPr>
        <w:t>déclaré</w:t>
      </w:r>
      <w:r w:rsidRPr="00606333">
        <w:rPr>
          <w:lang w:val="fr-FR"/>
        </w:rPr>
        <w:t xml:space="preserve"> qu</w:t>
      </w:r>
      <w:r>
        <w:rPr>
          <w:lang w:val="fr-FR"/>
        </w:rPr>
        <w:t>’il n’était pas facile de transposer</w:t>
      </w:r>
      <w:r w:rsidRPr="00606333">
        <w:rPr>
          <w:lang w:val="fr-FR"/>
        </w:rPr>
        <w:t xml:space="preserve"> </w:t>
      </w:r>
      <w:r>
        <w:rPr>
          <w:lang w:val="fr-FR"/>
        </w:rPr>
        <w:t xml:space="preserve">une </w:t>
      </w:r>
      <w:r w:rsidRPr="00606333">
        <w:rPr>
          <w:lang w:val="fr-FR"/>
        </w:rPr>
        <w:t xml:space="preserve">épaisseur minimale de parois en métal en une épaisseur équivalente </w:t>
      </w:r>
      <w:r>
        <w:rPr>
          <w:lang w:val="fr-FR"/>
        </w:rPr>
        <w:t>de</w:t>
      </w:r>
      <w:r w:rsidRPr="00606333">
        <w:rPr>
          <w:lang w:val="fr-FR"/>
        </w:rPr>
        <w:t xml:space="preserve"> </w:t>
      </w:r>
      <w:r>
        <w:rPr>
          <w:lang w:val="fr-FR"/>
        </w:rPr>
        <w:t>PRF</w:t>
      </w:r>
      <w:r w:rsidRPr="00606333">
        <w:rPr>
          <w:lang w:val="fr-FR"/>
        </w:rPr>
        <w:t>, car ce matériau se comport</w:t>
      </w:r>
      <w:r>
        <w:rPr>
          <w:lang w:val="fr-FR"/>
        </w:rPr>
        <w:t>ai</w:t>
      </w:r>
      <w:r w:rsidRPr="00606333">
        <w:rPr>
          <w:lang w:val="fr-FR"/>
        </w:rPr>
        <w:t>t différemment. L</w:t>
      </w:r>
      <w:r>
        <w:rPr>
          <w:lang w:val="fr-FR"/>
        </w:rPr>
        <w:t>’</w:t>
      </w:r>
      <w:r w:rsidRPr="00606333">
        <w:rPr>
          <w:lang w:val="fr-FR"/>
        </w:rPr>
        <w:t>opinion a été exprimée qu</w:t>
      </w:r>
      <w:r>
        <w:rPr>
          <w:lang w:val="fr-FR"/>
        </w:rPr>
        <w:t>’</w:t>
      </w:r>
      <w:r w:rsidRPr="00606333">
        <w:rPr>
          <w:lang w:val="fr-FR"/>
        </w:rPr>
        <w:t xml:space="preserve">en raison des </w:t>
      </w:r>
      <w:r>
        <w:rPr>
          <w:lang w:val="fr-FR"/>
        </w:rPr>
        <w:t>contraintes</w:t>
      </w:r>
      <w:r w:rsidRPr="00606333">
        <w:rPr>
          <w:lang w:val="fr-FR"/>
        </w:rPr>
        <w:t xml:space="preserve"> de sécurité élevé</w:t>
      </w:r>
      <w:r>
        <w:rPr>
          <w:lang w:val="fr-FR"/>
        </w:rPr>
        <w:t>e</w:t>
      </w:r>
      <w:r w:rsidRPr="00606333">
        <w:rPr>
          <w:lang w:val="fr-FR"/>
        </w:rPr>
        <w:t xml:space="preserve">s </w:t>
      </w:r>
      <w:r>
        <w:rPr>
          <w:lang w:val="fr-FR"/>
        </w:rPr>
        <w:t>imposées aux</w:t>
      </w:r>
      <w:r w:rsidRPr="00606333">
        <w:rPr>
          <w:lang w:val="fr-FR"/>
        </w:rPr>
        <w:t xml:space="preserve"> réservoirs en PRF, l</w:t>
      </w:r>
      <w:r>
        <w:rPr>
          <w:lang w:val="fr-FR"/>
        </w:rPr>
        <w:t xml:space="preserve">eur </w:t>
      </w:r>
      <w:r w:rsidRPr="00606333">
        <w:rPr>
          <w:lang w:val="fr-FR"/>
        </w:rPr>
        <w:t xml:space="preserve">épaisseur serait suffisante pour résister aux </w:t>
      </w:r>
      <w:r>
        <w:rPr>
          <w:lang w:val="fr-FR"/>
        </w:rPr>
        <w:t>chocs</w:t>
      </w:r>
      <w:r w:rsidRPr="00606333">
        <w:rPr>
          <w:lang w:val="fr-FR"/>
        </w:rPr>
        <w:t xml:space="preserve"> externes. </w:t>
      </w:r>
      <w:r>
        <w:rPr>
          <w:lang w:val="fr-FR"/>
        </w:rPr>
        <w:t>D</w:t>
      </w:r>
      <w:r w:rsidRPr="00606333">
        <w:rPr>
          <w:lang w:val="fr-FR"/>
        </w:rPr>
        <w:t>es experts ont également déclaré qu</w:t>
      </w:r>
      <w:r>
        <w:rPr>
          <w:lang w:val="fr-FR"/>
        </w:rPr>
        <w:t>’</w:t>
      </w:r>
      <w:r w:rsidRPr="00606333">
        <w:rPr>
          <w:lang w:val="fr-FR"/>
        </w:rPr>
        <w:t xml:space="preserve">ils étaient convaincus que les </w:t>
      </w:r>
      <w:r>
        <w:rPr>
          <w:lang w:val="fr-FR"/>
        </w:rPr>
        <w:t>citernes</w:t>
      </w:r>
      <w:r w:rsidRPr="00606333">
        <w:rPr>
          <w:lang w:val="fr-FR"/>
        </w:rPr>
        <w:t xml:space="preserve"> en PRF étaient suffisamment solides et qu</w:t>
      </w:r>
      <w:r>
        <w:rPr>
          <w:lang w:val="fr-FR"/>
        </w:rPr>
        <w:t>’</w:t>
      </w:r>
      <w:r w:rsidRPr="00606333">
        <w:rPr>
          <w:lang w:val="fr-FR"/>
        </w:rPr>
        <w:t>ils s</w:t>
      </w:r>
      <w:r>
        <w:rPr>
          <w:lang w:val="fr-FR"/>
        </w:rPr>
        <w:t>’</w:t>
      </w:r>
      <w:r w:rsidRPr="00606333">
        <w:rPr>
          <w:lang w:val="fr-FR"/>
        </w:rPr>
        <w:t>attendaient qu</w:t>
      </w:r>
      <w:r>
        <w:rPr>
          <w:lang w:val="fr-FR"/>
        </w:rPr>
        <w:t>’elle</w:t>
      </w:r>
      <w:r w:rsidRPr="00606333">
        <w:rPr>
          <w:lang w:val="fr-FR"/>
        </w:rPr>
        <w:t xml:space="preserve">s soient plus </w:t>
      </w:r>
      <w:r>
        <w:rPr>
          <w:lang w:val="fr-FR"/>
        </w:rPr>
        <w:t>efficaces</w:t>
      </w:r>
      <w:r w:rsidRPr="00606333">
        <w:rPr>
          <w:lang w:val="fr-FR"/>
        </w:rPr>
        <w:t xml:space="preserve"> que les </w:t>
      </w:r>
      <w:r w:rsidRPr="00CC2FC7">
        <w:rPr>
          <w:lang w:val="fr-FR"/>
        </w:rPr>
        <w:t xml:space="preserve">citernes </w:t>
      </w:r>
      <w:r w:rsidRPr="00606333">
        <w:rPr>
          <w:lang w:val="fr-FR"/>
        </w:rPr>
        <w:t xml:space="preserve">métalliques </w:t>
      </w:r>
      <w:r>
        <w:rPr>
          <w:lang w:val="fr-FR"/>
        </w:rPr>
        <w:t>à</w:t>
      </w:r>
      <w:r w:rsidRPr="00606333">
        <w:rPr>
          <w:lang w:val="fr-FR"/>
        </w:rPr>
        <w:t xml:space="preserve"> certains </w:t>
      </w:r>
      <w:r>
        <w:rPr>
          <w:lang w:val="fr-FR"/>
        </w:rPr>
        <w:t>points de vue</w:t>
      </w:r>
      <w:r w:rsidRPr="00606333">
        <w:rPr>
          <w:lang w:val="fr-FR"/>
        </w:rPr>
        <w:t xml:space="preserve">. </w:t>
      </w:r>
      <w:r>
        <w:rPr>
          <w:lang w:val="fr-FR"/>
        </w:rPr>
        <w:t>L</w:t>
      </w:r>
      <w:r w:rsidRPr="00606333">
        <w:rPr>
          <w:lang w:val="fr-FR"/>
        </w:rPr>
        <w:t>es préoccupations exprimées dans le document de l</w:t>
      </w:r>
      <w:r>
        <w:rPr>
          <w:lang w:val="fr-FR"/>
        </w:rPr>
        <w:t>’</w:t>
      </w:r>
      <w:r w:rsidRPr="00606333">
        <w:rPr>
          <w:lang w:val="fr-FR"/>
        </w:rPr>
        <w:t xml:space="preserve">ITCO </w:t>
      </w:r>
      <w:r>
        <w:rPr>
          <w:lang w:val="fr-FR"/>
        </w:rPr>
        <w:t>o</w:t>
      </w:r>
      <w:r w:rsidRPr="00606333">
        <w:rPr>
          <w:lang w:val="fr-FR"/>
        </w:rPr>
        <w:t xml:space="preserve">nt été partagées par une des délégations, </w:t>
      </w:r>
      <w:r>
        <w:rPr>
          <w:lang w:val="fr-FR"/>
        </w:rPr>
        <w:t xml:space="preserve">mais </w:t>
      </w:r>
      <w:r w:rsidRPr="00606333">
        <w:rPr>
          <w:lang w:val="fr-FR"/>
        </w:rPr>
        <w:t>d</w:t>
      </w:r>
      <w:r>
        <w:rPr>
          <w:lang w:val="fr-FR"/>
        </w:rPr>
        <w:t>’</w:t>
      </w:r>
      <w:r w:rsidRPr="00606333">
        <w:rPr>
          <w:lang w:val="fr-FR"/>
        </w:rPr>
        <w:t>autres délégations qui ont pris la parole ont soutenu l</w:t>
      </w:r>
      <w:r>
        <w:rPr>
          <w:lang w:val="fr-FR"/>
        </w:rPr>
        <w:t>’</w:t>
      </w:r>
      <w:r w:rsidRPr="00606333">
        <w:rPr>
          <w:lang w:val="fr-FR"/>
        </w:rPr>
        <w:t>adoption du chapitre 6.9 des recommandations de l</w:t>
      </w:r>
      <w:r>
        <w:rPr>
          <w:lang w:val="fr-FR"/>
        </w:rPr>
        <w:t>’</w:t>
      </w:r>
      <w:r w:rsidRPr="00606333">
        <w:rPr>
          <w:lang w:val="fr-FR"/>
        </w:rPr>
        <w:t xml:space="preserve">ONU </w:t>
      </w:r>
      <w:r>
        <w:rPr>
          <w:lang w:val="fr-FR"/>
        </w:rPr>
        <w:t>concernant</w:t>
      </w:r>
      <w:r w:rsidRPr="00606333">
        <w:rPr>
          <w:lang w:val="fr-FR"/>
        </w:rPr>
        <w:t xml:space="preserve"> les citernes mobiles en PRF.</w:t>
      </w:r>
    </w:p>
    <w:p w14:paraId="689F0FF3" w14:textId="020AF28F" w:rsidR="006E61C0" w:rsidRPr="00606333" w:rsidRDefault="00291DFD" w:rsidP="00291DFD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6E61C0" w:rsidRPr="00606333">
        <w:rPr>
          <w:lang w:val="fr-FR"/>
        </w:rPr>
        <w:t>Point 9</w:t>
      </w:r>
      <w:r w:rsidR="006E61C0">
        <w:rPr>
          <w:lang w:val="fr-FR"/>
        </w:rPr>
        <w:t> :</w:t>
      </w:r>
      <w:r>
        <w:rPr>
          <w:lang w:val="fr-FR"/>
        </w:rPr>
        <w:t xml:space="preserve"> </w:t>
      </w:r>
      <w:r w:rsidR="006E61C0">
        <w:rPr>
          <w:lang w:val="fr-FR"/>
        </w:rPr>
        <w:t>Taux</w:t>
      </w:r>
      <w:r w:rsidR="006E61C0" w:rsidRPr="00606333">
        <w:rPr>
          <w:lang w:val="fr-FR"/>
        </w:rPr>
        <w:t xml:space="preserve"> de remplissage des </w:t>
      </w:r>
      <w:r w:rsidR="006E61C0">
        <w:rPr>
          <w:lang w:val="fr-FR"/>
        </w:rPr>
        <w:t>matières</w:t>
      </w:r>
      <w:r w:rsidR="006E61C0" w:rsidRPr="00606333">
        <w:rPr>
          <w:lang w:val="fr-FR"/>
        </w:rPr>
        <w:t xml:space="preserve"> transportées à 50</w:t>
      </w:r>
      <w:r>
        <w:rPr>
          <w:lang w:val="fr-FR"/>
        </w:rPr>
        <w:t> </w:t>
      </w:r>
      <w:r w:rsidR="006E61C0" w:rsidRPr="00606333">
        <w:rPr>
          <w:lang w:val="fr-FR"/>
        </w:rPr>
        <w:t>°C et plus</w:t>
      </w:r>
    </w:p>
    <w:p w14:paraId="3933D6E3" w14:textId="0C3AB809" w:rsidR="006E61C0" w:rsidRPr="00606333" w:rsidRDefault="006E61C0" w:rsidP="00291DFD">
      <w:pPr>
        <w:pStyle w:val="SingleTxtG"/>
        <w:keepNext/>
        <w:ind w:left="2835" w:hanging="1701"/>
        <w:jc w:val="left"/>
        <w:rPr>
          <w:bCs/>
          <w:lang w:val="fr-FR"/>
        </w:rPr>
      </w:pPr>
      <w:r w:rsidRPr="004576AE">
        <w:rPr>
          <w:i/>
          <w:lang w:val="fr-FR"/>
        </w:rPr>
        <w:t>Document(s)</w:t>
      </w:r>
      <w:r>
        <w:rPr>
          <w:i/>
          <w:lang w:val="fr-FR"/>
        </w:rPr>
        <w:t> </w:t>
      </w:r>
      <w:r w:rsidRPr="00291DFD">
        <w:rPr>
          <w:iCs/>
          <w:lang w:val="fr-FR"/>
        </w:rPr>
        <w:t>:</w:t>
      </w:r>
      <w:r w:rsidRPr="004576AE">
        <w:rPr>
          <w:iCs/>
          <w:lang w:val="fr-FR"/>
        </w:rPr>
        <w:tab/>
      </w:r>
      <w:r w:rsidR="00291DFD" w:rsidRPr="00291DFD">
        <w:rPr>
          <w:i/>
          <w:lang w:val="fr-FR"/>
        </w:rPr>
        <w:t xml:space="preserve">Document </w:t>
      </w:r>
      <w:r w:rsidRPr="00291DFD">
        <w:rPr>
          <w:i/>
          <w:lang w:val="fr-FR"/>
        </w:rPr>
        <w:t>informel</w:t>
      </w:r>
      <w:r w:rsidRPr="004576AE">
        <w:rPr>
          <w:iCs/>
          <w:lang w:val="fr-FR"/>
        </w:rPr>
        <w:t xml:space="preserve"> </w:t>
      </w:r>
      <w:r w:rsidRPr="00606333">
        <w:rPr>
          <w:bCs/>
          <w:lang w:val="fr-FR"/>
        </w:rPr>
        <w:t>INF.12 (Pays-Bas)</w:t>
      </w:r>
      <w:r w:rsidR="00291DFD">
        <w:rPr>
          <w:bCs/>
          <w:lang w:val="fr-FR"/>
        </w:rPr>
        <w:t>.</w:t>
      </w:r>
    </w:p>
    <w:p w14:paraId="14C794BD" w14:textId="77777777" w:rsidR="006E61C0" w:rsidRPr="00606333" w:rsidRDefault="006E61C0" w:rsidP="00291DFD">
      <w:pPr>
        <w:pStyle w:val="SingleTxtG"/>
        <w:rPr>
          <w:lang w:val="fr-FR"/>
        </w:rPr>
      </w:pPr>
      <w:r w:rsidRPr="00606333">
        <w:rPr>
          <w:lang w:val="fr-FR"/>
        </w:rPr>
        <w:t>19.</w:t>
      </w:r>
      <w:r>
        <w:rPr>
          <w:lang w:val="fr-FR"/>
        </w:rPr>
        <w:tab/>
        <w:t>L’</w:t>
      </w:r>
      <w:r w:rsidRPr="00606333">
        <w:rPr>
          <w:lang w:val="fr-FR"/>
        </w:rPr>
        <w:t xml:space="preserve">avis du </w:t>
      </w:r>
      <w:r>
        <w:rPr>
          <w:lang w:val="fr-FR"/>
        </w:rPr>
        <w:t>G</w:t>
      </w:r>
      <w:r w:rsidRPr="00606333">
        <w:rPr>
          <w:lang w:val="fr-FR"/>
        </w:rPr>
        <w:t xml:space="preserve">roupe de travail a été demandé sur le point 4.3.2.2.3 concernant le </w:t>
      </w:r>
      <w:r>
        <w:rPr>
          <w:lang w:val="fr-FR"/>
        </w:rPr>
        <w:t>taux</w:t>
      </w:r>
      <w:r w:rsidRPr="00606333">
        <w:rPr>
          <w:lang w:val="fr-FR"/>
        </w:rPr>
        <w:t xml:space="preserve"> de remplissage pour les </w:t>
      </w:r>
      <w:r>
        <w:rPr>
          <w:lang w:val="fr-FR"/>
        </w:rPr>
        <w:t>matières</w:t>
      </w:r>
      <w:r w:rsidRPr="00606333">
        <w:rPr>
          <w:lang w:val="fr-FR"/>
        </w:rPr>
        <w:t xml:space="preserve"> transportées à 50 °C et plus.</w:t>
      </w:r>
    </w:p>
    <w:p w14:paraId="47A1DB12" w14:textId="77777777" w:rsidR="006E61C0" w:rsidRPr="00606333" w:rsidRDefault="006E61C0" w:rsidP="00291DFD">
      <w:pPr>
        <w:pStyle w:val="SingleTxtG"/>
        <w:rPr>
          <w:lang w:val="fr-FR"/>
        </w:rPr>
      </w:pPr>
      <w:r>
        <w:rPr>
          <w:lang w:val="fr-FR"/>
        </w:rPr>
        <w:t>20.</w:t>
      </w:r>
      <w:r>
        <w:rPr>
          <w:lang w:val="fr-FR"/>
        </w:rPr>
        <w:tab/>
      </w:r>
      <w:r w:rsidRPr="00606333">
        <w:rPr>
          <w:lang w:val="fr-FR"/>
        </w:rPr>
        <w:t xml:space="preserve">Les experts qui ont pris la parole ont confirmé que le 4.3.2.2.3 pourrait être amélioré conformément aux dispositions du 4.2.1.9.5. </w:t>
      </w:r>
      <w:r>
        <w:rPr>
          <w:lang w:val="fr-FR"/>
        </w:rPr>
        <w:t>D</w:t>
      </w:r>
      <w:r w:rsidRPr="00606333">
        <w:rPr>
          <w:lang w:val="fr-FR"/>
        </w:rPr>
        <w:t xml:space="preserve">es informations </w:t>
      </w:r>
      <w:r>
        <w:rPr>
          <w:lang w:val="fr-FR"/>
        </w:rPr>
        <w:t>com</w:t>
      </w:r>
      <w:r w:rsidRPr="00606333">
        <w:rPr>
          <w:lang w:val="fr-FR"/>
        </w:rPr>
        <w:t>plémentaires pou</w:t>
      </w:r>
      <w:r>
        <w:rPr>
          <w:lang w:val="fr-FR"/>
        </w:rPr>
        <w:t>v</w:t>
      </w:r>
      <w:r w:rsidRPr="00606333">
        <w:rPr>
          <w:lang w:val="fr-FR"/>
        </w:rPr>
        <w:t xml:space="preserve">aient être requises pour les cas où les </w:t>
      </w:r>
      <w:r w:rsidRPr="008A043C">
        <w:rPr>
          <w:lang w:val="fr-FR"/>
        </w:rPr>
        <w:t xml:space="preserve">matières </w:t>
      </w:r>
      <w:r>
        <w:rPr>
          <w:lang w:val="fr-FR"/>
        </w:rPr>
        <w:t>étaie</w:t>
      </w:r>
      <w:r w:rsidRPr="00606333">
        <w:rPr>
          <w:lang w:val="fr-FR"/>
        </w:rPr>
        <w:t>nt chauffées au-dessus de la température de remplissage pendant le voyage.</w:t>
      </w:r>
    </w:p>
    <w:p w14:paraId="275E1529" w14:textId="77777777" w:rsidR="006E61C0" w:rsidRPr="00606333" w:rsidRDefault="006E61C0" w:rsidP="00291DFD">
      <w:pPr>
        <w:pStyle w:val="SingleTxtG"/>
        <w:rPr>
          <w:lang w:val="fr-FR"/>
        </w:rPr>
      </w:pPr>
      <w:r>
        <w:rPr>
          <w:lang w:val="fr-FR"/>
        </w:rPr>
        <w:t>21.</w:t>
      </w:r>
      <w:r w:rsidRPr="00606333">
        <w:rPr>
          <w:lang w:val="fr-FR"/>
        </w:rPr>
        <w:tab/>
        <w:t xml:space="preserve">Les Pays-Bas ont été invités à soumettre une proposition </w:t>
      </w:r>
      <w:r>
        <w:rPr>
          <w:lang w:val="fr-FR"/>
        </w:rPr>
        <w:t xml:space="preserve">sous une cote </w:t>
      </w:r>
      <w:r w:rsidRPr="00606333">
        <w:rPr>
          <w:lang w:val="fr-FR"/>
        </w:rPr>
        <w:t xml:space="preserve">officielle </w:t>
      </w:r>
      <w:r>
        <w:rPr>
          <w:lang w:val="fr-FR"/>
        </w:rPr>
        <w:t>à</w:t>
      </w:r>
      <w:r w:rsidRPr="00606333">
        <w:rPr>
          <w:lang w:val="fr-FR"/>
        </w:rPr>
        <w:t xml:space="preserve"> une </w:t>
      </w:r>
      <w:r>
        <w:rPr>
          <w:lang w:val="fr-FR"/>
        </w:rPr>
        <w:t>future</w:t>
      </w:r>
      <w:r w:rsidRPr="00606333">
        <w:rPr>
          <w:lang w:val="fr-FR"/>
        </w:rPr>
        <w:t xml:space="preserve"> session.</w:t>
      </w:r>
    </w:p>
    <w:p w14:paraId="5F5E94A5" w14:textId="27706F40" w:rsidR="006E61C0" w:rsidRPr="00606333" w:rsidRDefault="00291DFD" w:rsidP="00291DFD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6E61C0" w:rsidRPr="00606333">
        <w:rPr>
          <w:lang w:val="fr-FR"/>
        </w:rPr>
        <w:t>Point 10</w:t>
      </w:r>
      <w:r w:rsidR="006E61C0">
        <w:rPr>
          <w:lang w:val="fr-FR"/>
        </w:rPr>
        <w:t> :</w:t>
      </w:r>
      <w:r>
        <w:rPr>
          <w:lang w:val="fr-FR"/>
        </w:rPr>
        <w:t xml:space="preserve"> </w:t>
      </w:r>
      <w:r w:rsidR="006E61C0">
        <w:rPr>
          <w:lang w:val="fr-FR"/>
        </w:rPr>
        <w:t>Précis</w:t>
      </w:r>
      <w:r w:rsidR="006E61C0" w:rsidRPr="00606333">
        <w:rPr>
          <w:lang w:val="fr-FR"/>
        </w:rPr>
        <w:t>ion</w:t>
      </w:r>
      <w:r w:rsidR="006E61C0">
        <w:rPr>
          <w:lang w:val="fr-FR"/>
        </w:rPr>
        <w:t>s</w:t>
      </w:r>
      <w:r w:rsidR="006E61C0" w:rsidRPr="00606333">
        <w:rPr>
          <w:lang w:val="fr-FR"/>
        </w:rPr>
        <w:t xml:space="preserve"> </w:t>
      </w:r>
      <w:r w:rsidR="006E61C0">
        <w:rPr>
          <w:lang w:val="fr-FR"/>
        </w:rPr>
        <w:t>concernant l</w:t>
      </w:r>
      <w:r w:rsidR="006E61C0" w:rsidRPr="00606333">
        <w:rPr>
          <w:lang w:val="fr-FR"/>
        </w:rPr>
        <w:t xml:space="preserve">es </w:t>
      </w:r>
      <w:r w:rsidR="006E61C0">
        <w:rPr>
          <w:lang w:val="fr-FR"/>
        </w:rPr>
        <w:t>dispositions</w:t>
      </w:r>
      <w:r w:rsidR="006E61C0" w:rsidRPr="00606333">
        <w:rPr>
          <w:lang w:val="fr-FR"/>
        </w:rPr>
        <w:t xml:space="preserve"> relatives à l</w:t>
      </w:r>
      <w:r w:rsidR="006E61C0">
        <w:rPr>
          <w:lang w:val="fr-FR"/>
        </w:rPr>
        <w:t>’</w:t>
      </w:r>
      <w:r w:rsidR="006E61C0" w:rsidRPr="00606333">
        <w:rPr>
          <w:lang w:val="fr-FR"/>
        </w:rPr>
        <w:t>application des normes dans les chapitres 6.2 et 6.8</w:t>
      </w:r>
    </w:p>
    <w:p w14:paraId="4A79541C" w14:textId="777DE4A2" w:rsidR="006E61C0" w:rsidRPr="00606333" w:rsidRDefault="006E61C0" w:rsidP="00291DFD">
      <w:pPr>
        <w:pStyle w:val="SingleTxtG"/>
        <w:keepNext/>
        <w:ind w:left="2835" w:hanging="1701"/>
        <w:jc w:val="left"/>
        <w:rPr>
          <w:bCs/>
          <w:lang w:val="fr-FR"/>
        </w:rPr>
      </w:pPr>
      <w:r w:rsidRPr="00606333">
        <w:rPr>
          <w:bCs/>
          <w:i/>
          <w:iCs/>
          <w:lang w:val="fr-FR"/>
        </w:rPr>
        <w:t>Documen</w:t>
      </w:r>
      <w:r>
        <w:rPr>
          <w:bCs/>
          <w:i/>
          <w:iCs/>
          <w:lang w:val="fr-FR"/>
        </w:rPr>
        <w:t>t(s)</w:t>
      </w:r>
      <w:r w:rsidR="00291DFD">
        <w:rPr>
          <w:bCs/>
          <w:i/>
          <w:iCs/>
          <w:lang w:val="fr-FR"/>
        </w:rPr>
        <w:t> </w:t>
      </w:r>
      <w:r w:rsidR="00291DFD">
        <w:rPr>
          <w:bCs/>
          <w:lang w:val="fr-FR"/>
        </w:rPr>
        <w:t>:</w:t>
      </w:r>
      <w:r>
        <w:rPr>
          <w:bCs/>
          <w:i/>
          <w:iCs/>
          <w:lang w:val="fr-FR"/>
        </w:rPr>
        <w:tab/>
      </w:r>
      <w:r w:rsidR="00291DFD" w:rsidRPr="00291DFD">
        <w:rPr>
          <w:bCs/>
          <w:i/>
          <w:iCs/>
          <w:lang w:val="fr-FR"/>
        </w:rPr>
        <w:t xml:space="preserve">Document </w:t>
      </w:r>
      <w:r w:rsidRPr="00291DFD">
        <w:rPr>
          <w:bCs/>
          <w:i/>
          <w:iCs/>
          <w:lang w:val="fr-FR"/>
        </w:rPr>
        <w:t>informel</w:t>
      </w:r>
      <w:r w:rsidRPr="000B0F41">
        <w:rPr>
          <w:bCs/>
          <w:lang w:val="fr-FR"/>
        </w:rPr>
        <w:t xml:space="preserve"> </w:t>
      </w:r>
      <w:r w:rsidRPr="00606333">
        <w:rPr>
          <w:bCs/>
          <w:lang w:val="fr-FR"/>
        </w:rPr>
        <w:t>INF.13 (CEN)</w:t>
      </w:r>
      <w:r w:rsidR="00291DFD">
        <w:rPr>
          <w:bCs/>
          <w:lang w:val="fr-FR"/>
        </w:rPr>
        <w:t>.</w:t>
      </w:r>
    </w:p>
    <w:p w14:paraId="2B9C8BAB" w14:textId="77777777" w:rsidR="006E61C0" w:rsidRPr="00606333" w:rsidRDefault="006E61C0" w:rsidP="00291DFD">
      <w:pPr>
        <w:pStyle w:val="SingleTxtG"/>
        <w:rPr>
          <w:lang w:val="fr-FR"/>
        </w:rPr>
      </w:pPr>
      <w:r>
        <w:rPr>
          <w:lang w:val="fr-FR"/>
        </w:rPr>
        <w:t>22.</w:t>
      </w:r>
      <w:r w:rsidRPr="00606333">
        <w:rPr>
          <w:lang w:val="fr-FR"/>
        </w:rPr>
        <w:tab/>
        <w:t>Il a été porté à l</w:t>
      </w:r>
      <w:r>
        <w:rPr>
          <w:lang w:val="fr-FR"/>
        </w:rPr>
        <w:t>’</w:t>
      </w:r>
      <w:r w:rsidRPr="00606333">
        <w:rPr>
          <w:lang w:val="fr-FR"/>
        </w:rPr>
        <w:t xml:space="preserve">attention du </w:t>
      </w:r>
      <w:r>
        <w:rPr>
          <w:lang w:val="fr-FR"/>
        </w:rPr>
        <w:t>Gr</w:t>
      </w:r>
      <w:r w:rsidRPr="00606333">
        <w:rPr>
          <w:lang w:val="fr-FR"/>
        </w:rPr>
        <w:t xml:space="preserve">oupe de travail </w:t>
      </w:r>
      <w:r>
        <w:rPr>
          <w:lang w:val="fr-FR"/>
        </w:rPr>
        <w:t>d</w:t>
      </w:r>
      <w:r w:rsidRPr="00606333">
        <w:rPr>
          <w:lang w:val="fr-FR"/>
        </w:rPr>
        <w:t>es normes que certains des textes explicatifs accompagnant les tableaux des chapitres 6.2 et 6.8 pouvaient être mal interprétés.</w:t>
      </w:r>
    </w:p>
    <w:p w14:paraId="2FA6DC44" w14:textId="77777777" w:rsidR="006E61C0" w:rsidRPr="00606333" w:rsidRDefault="006E61C0" w:rsidP="00291DFD">
      <w:pPr>
        <w:pStyle w:val="SingleTxtG"/>
        <w:rPr>
          <w:lang w:val="fr-FR"/>
        </w:rPr>
      </w:pPr>
      <w:r>
        <w:rPr>
          <w:lang w:val="fr-FR"/>
        </w:rPr>
        <w:t>23.</w:t>
      </w:r>
      <w:r>
        <w:rPr>
          <w:lang w:val="fr-FR"/>
        </w:rPr>
        <w:tab/>
      </w:r>
      <w:r w:rsidRPr="00606333">
        <w:rPr>
          <w:lang w:val="fr-FR"/>
        </w:rPr>
        <w:t>Les experts qui ont pris la parole ont estimé que les propos</w:t>
      </w:r>
      <w:r>
        <w:rPr>
          <w:lang w:val="fr-FR"/>
        </w:rPr>
        <w:t>i</w:t>
      </w:r>
      <w:r w:rsidRPr="00606333">
        <w:rPr>
          <w:lang w:val="fr-FR"/>
        </w:rPr>
        <w:t xml:space="preserve">tions </w:t>
      </w:r>
      <w:r>
        <w:rPr>
          <w:lang w:val="fr-FR"/>
        </w:rPr>
        <w:t xml:space="preserve">d’amendements </w:t>
      </w:r>
      <w:r w:rsidRPr="00606333">
        <w:rPr>
          <w:lang w:val="fr-FR"/>
        </w:rPr>
        <w:t xml:space="preserve">aux 6.2.4.1 et 6.2.4.2 seraient également utiles pour le texte équivalent du chapitre 6.8. </w:t>
      </w:r>
      <w:r>
        <w:rPr>
          <w:lang w:val="fr-FR"/>
        </w:rPr>
        <w:t xml:space="preserve">Il </w:t>
      </w:r>
      <w:r w:rsidRPr="00606333">
        <w:rPr>
          <w:lang w:val="fr-FR"/>
        </w:rPr>
        <w:t xml:space="preserve">serait bienvenu </w:t>
      </w:r>
      <w:r>
        <w:rPr>
          <w:lang w:val="fr-FR"/>
        </w:rPr>
        <w:t>de soumettre à</w:t>
      </w:r>
      <w:r w:rsidRPr="00606333">
        <w:rPr>
          <w:lang w:val="fr-FR"/>
        </w:rPr>
        <w:t xml:space="preserve"> la session </w:t>
      </w:r>
      <w:r>
        <w:rPr>
          <w:lang w:val="fr-FR"/>
        </w:rPr>
        <w:t>suivante u</w:t>
      </w:r>
      <w:r w:rsidRPr="00606333">
        <w:rPr>
          <w:lang w:val="fr-FR"/>
        </w:rPr>
        <w:t xml:space="preserve">n document </w:t>
      </w:r>
      <w:r>
        <w:rPr>
          <w:lang w:val="fr-FR"/>
        </w:rPr>
        <w:t xml:space="preserve">sous une cote </w:t>
      </w:r>
      <w:r w:rsidRPr="00606333">
        <w:rPr>
          <w:lang w:val="fr-FR"/>
        </w:rPr>
        <w:t>officiel</w:t>
      </w:r>
      <w:r>
        <w:rPr>
          <w:lang w:val="fr-FR"/>
        </w:rPr>
        <w:t>le</w:t>
      </w:r>
      <w:r w:rsidRPr="00606333">
        <w:rPr>
          <w:lang w:val="fr-FR"/>
        </w:rPr>
        <w:t>.</w:t>
      </w:r>
    </w:p>
    <w:p w14:paraId="2F5CD892" w14:textId="753D1793" w:rsidR="006E61C0" w:rsidRPr="00606333" w:rsidRDefault="00291DFD" w:rsidP="00291DFD">
      <w:pPr>
        <w:pStyle w:val="H1G"/>
        <w:rPr>
          <w:lang w:val="fr-FR"/>
        </w:rPr>
      </w:pPr>
      <w:r>
        <w:rPr>
          <w:lang w:val="fr-FR"/>
        </w:rPr>
        <w:lastRenderedPageBreak/>
        <w:tab/>
      </w:r>
      <w:r>
        <w:rPr>
          <w:lang w:val="fr-FR"/>
        </w:rPr>
        <w:tab/>
      </w:r>
      <w:r w:rsidR="006E61C0" w:rsidRPr="00606333">
        <w:rPr>
          <w:lang w:val="fr-FR"/>
        </w:rPr>
        <w:t>Point 11</w:t>
      </w:r>
      <w:r w:rsidR="006E61C0">
        <w:rPr>
          <w:lang w:val="fr-FR"/>
        </w:rPr>
        <w:t> :</w:t>
      </w:r>
      <w:r>
        <w:rPr>
          <w:lang w:val="fr-FR"/>
        </w:rPr>
        <w:t xml:space="preserve"> </w:t>
      </w:r>
      <w:r w:rsidR="006E61C0" w:rsidRPr="0074152D">
        <w:rPr>
          <w:lang w:val="fr-FR"/>
        </w:rPr>
        <w:t xml:space="preserve">Précisions concernant </w:t>
      </w:r>
      <w:r w:rsidR="006E61C0" w:rsidRPr="00606333">
        <w:rPr>
          <w:lang w:val="fr-FR"/>
        </w:rPr>
        <w:t>l</w:t>
      </w:r>
      <w:r w:rsidR="006E61C0">
        <w:rPr>
          <w:lang w:val="fr-FR"/>
        </w:rPr>
        <w:t>’</w:t>
      </w:r>
      <w:r w:rsidR="006E61C0" w:rsidRPr="00606333">
        <w:rPr>
          <w:lang w:val="fr-FR"/>
        </w:rPr>
        <w:t>épaisseur requise p</w:t>
      </w:r>
      <w:r w:rsidR="006E61C0">
        <w:rPr>
          <w:lang w:val="fr-FR"/>
        </w:rPr>
        <w:t>ou</w:t>
      </w:r>
      <w:r w:rsidR="006E61C0" w:rsidRPr="00606333">
        <w:rPr>
          <w:lang w:val="fr-FR"/>
        </w:rPr>
        <w:t xml:space="preserve">r les cloisons </w:t>
      </w:r>
      <w:r>
        <w:rPr>
          <w:lang w:val="fr-FR"/>
        </w:rPr>
        <w:br/>
      </w:r>
      <w:r w:rsidR="006E61C0" w:rsidRPr="00606333">
        <w:rPr>
          <w:lang w:val="fr-FR"/>
        </w:rPr>
        <w:t xml:space="preserve">et </w:t>
      </w:r>
      <w:r w:rsidR="006E61C0">
        <w:rPr>
          <w:lang w:val="fr-FR"/>
        </w:rPr>
        <w:t xml:space="preserve">les </w:t>
      </w:r>
      <w:r w:rsidR="006E61C0" w:rsidRPr="00F86E22">
        <w:rPr>
          <w:lang w:val="fr-FR"/>
        </w:rPr>
        <w:t xml:space="preserve">brise-flots </w:t>
      </w:r>
      <w:r w:rsidR="006E61C0" w:rsidRPr="00606333">
        <w:rPr>
          <w:lang w:val="fr-FR"/>
        </w:rPr>
        <w:t>dans</w:t>
      </w:r>
      <w:r w:rsidR="006E61C0">
        <w:rPr>
          <w:lang w:val="fr-FR"/>
        </w:rPr>
        <w:t xml:space="preserve"> le </w:t>
      </w:r>
      <w:r w:rsidR="006E61C0" w:rsidRPr="00606333">
        <w:rPr>
          <w:lang w:val="fr-FR"/>
        </w:rPr>
        <w:t>6.8.2.1.20</w:t>
      </w:r>
      <w:r w:rsidR="006E61C0">
        <w:rPr>
          <w:lang w:val="fr-FR"/>
        </w:rPr>
        <w:t xml:space="preserve"> de </w:t>
      </w:r>
      <w:r w:rsidR="006E61C0" w:rsidRPr="00606333">
        <w:rPr>
          <w:lang w:val="fr-FR"/>
        </w:rPr>
        <w:t>l</w:t>
      </w:r>
      <w:r w:rsidR="006E61C0">
        <w:rPr>
          <w:lang w:val="fr-FR"/>
        </w:rPr>
        <w:t>’</w:t>
      </w:r>
      <w:r w:rsidR="006E61C0" w:rsidRPr="00606333">
        <w:rPr>
          <w:lang w:val="fr-FR"/>
        </w:rPr>
        <w:t xml:space="preserve">ADR </w:t>
      </w:r>
    </w:p>
    <w:p w14:paraId="17ED37E7" w14:textId="01401425" w:rsidR="006E61C0" w:rsidRPr="00606333" w:rsidRDefault="006E61C0" w:rsidP="00291DFD">
      <w:pPr>
        <w:pStyle w:val="SingleTxtG"/>
        <w:keepNext/>
        <w:ind w:left="2835" w:hanging="1701"/>
        <w:jc w:val="left"/>
        <w:rPr>
          <w:bCs/>
          <w:lang w:val="fr-FR"/>
        </w:rPr>
      </w:pPr>
      <w:r w:rsidRPr="004576AE">
        <w:rPr>
          <w:i/>
          <w:lang w:val="fr-FR"/>
        </w:rPr>
        <w:t>Document(s)</w:t>
      </w:r>
      <w:r w:rsidRPr="00291DFD">
        <w:rPr>
          <w:iCs/>
          <w:lang w:val="fr-FR"/>
        </w:rPr>
        <w:t> :</w:t>
      </w:r>
      <w:r w:rsidRPr="004576AE">
        <w:rPr>
          <w:iCs/>
          <w:lang w:val="fr-FR"/>
        </w:rPr>
        <w:tab/>
      </w:r>
      <w:r w:rsidR="00291DFD" w:rsidRPr="00291DFD">
        <w:rPr>
          <w:i/>
          <w:lang w:val="fr-FR"/>
        </w:rPr>
        <w:t xml:space="preserve">Document </w:t>
      </w:r>
      <w:r w:rsidRPr="00291DFD">
        <w:rPr>
          <w:i/>
          <w:lang w:val="fr-FR"/>
        </w:rPr>
        <w:t>informel</w:t>
      </w:r>
      <w:r w:rsidRPr="004576AE">
        <w:rPr>
          <w:iCs/>
          <w:lang w:val="fr-FR"/>
        </w:rPr>
        <w:t xml:space="preserve"> </w:t>
      </w:r>
      <w:r w:rsidRPr="00606333">
        <w:rPr>
          <w:bCs/>
          <w:lang w:val="fr-FR"/>
        </w:rPr>
        <w:t>INF.15 (Royaume-Uni)</w:t>
      </w:r>
      <w:r w:rsidR="00291DFD">
        <w:rPr>
          <w:bCs/>
          <w:lang w:val="fr-FR"/>
        </w:rPr>
        <w:t>.</w:t>
      </w:r>
    </w:p>
    <w:p w14:paraId="02864AC0" w14:textId="77777777" w:rsidR="006E61C0" w:rsidRPr="00606333" w:rsidRDefault="006E61C0" w:rsidP="00291DFD">
      <w:pPr>
        <w:pStyle w:val="SingleTxtG"/>
        <w:rPr>
          <w:lang w:val="fr-FR"/>
        </w:rPr>
      </w:pPr>
      <w:r>
        <w:rPr>
          <w:lang w:val="fr-FR"/>
        </w:rPr>
        <w:t>24.</w:t>
      </w:r>
      <w:r>
        <w:rPr>
          <w:lang w:val="fr-FR"/>
        </w:rPr>
        <w:tab/>
        <w:t xml:space="preserve">La question a été posée de savoir </w:t>
      </w:r>
      <w:r w:rsidRPr="00606333">
        <w:rPr>
          <w:lang w:val="fr-FR"/>
        </w:rPr>
        <w:t xml:space="preserve">si les cloisons et les </w:t>
      </w:r>
      <w:bookmarkStart w:id="13" w:name="_Hlk73466886"/>
      <w:r w:rsidRPr="00606333">
        <w:rPr>
          <w:lang w:val="fr-FR"/>
        </w:rPr>
        <w:t xml:space="preserve">brise-flots </w:t>
      </w:r>
      <w:bookmarkEnd w:id="13"/>
      <w:r w:rsidRPr="00606333">
        <w:rPr>
          <w:lang w:val="fr-FR"/>
        </w:rPr>
        <w:t>d</w:t>
      </w:r>
      <w:r>
        <w:rPr>
          <w:lang w:val="fr-FR"/>
        </w:rPr>
        <w:t>’</w:t>
      </w:r>
      <w:r w:rsidRPr="00606333">
        <w:rPr>
          <w:lang w:val="fr-FR"/>
        </w:rPr>
        <w:t>une citerne devaient respecter les épaisseurs minimales de paroi si l</w:t>
      </w:r>
      <w:r>
        <w:rPr>
          <w:lang w:val="fr-FR"/>
        </w:rPr>
        <w:t>’</w:t>
      </w:r>
      <w:r w:rsidRPr="00606333">
        <w:rPr>
          <w:lang w:val="fr-FR"/>
        </w:rPr>
        <w:t>une ou l</w:t>
      </w:r>
      <w:r>
        <w:rPr>
          <w:lang w:val="fr-FR"/>
        </w:rPr>
        <w:t>’</w:t>
      </w:r>
      <w:r w:rsidRPr="00606333">
        <w:rPr>
          <w:lang w:val="fr-FR"/>
        </w:rPr>
        <w:t>autre des mesures de protection du 6.8.2.1.20 b)</w:t>
      </w:r>
      <w:r>
        <w:rPr>
          <w:lang w:val="fr-FR"/>
        </w:rPr>
        <w:t> </w:t>
      </w:r>
      <w:r w:rsidRPr="00606333">
        <w:rPr>
          <w:lang w:val="fr-FR"/>
        </w:rPr>
        <w:t>1 de l</w:t>
      </w:r>
      <w:r>
        <w:rPr>
          <w:lang w:val="fr-FR"/>
        </w:rPr>
        <w:t>’</w:t>
      </w:r>
      <w:r w:rsidRPr="00606333">
        <w:rPr>
          <w:lang w:val="fr-FR"/>
        </w:rPr>
        <w:t>ADR était appliquée. Les experts qui ont pris la parole ont convenu que cela n</w:t>
      </w:r>
      <w:r>
        <w:rPr>
          <w:lang w:val="fr-FR"/>
        </w:rPr>
        <w:t>’</w:t>
      </w:r>
      <w:r w:rsidRPr="00606333">
        <w:rPr>
          <w:lang w:val="fr-FR"/>
        </w:rPr>
        <w:t>était applicable que lorsque ces cloisons ou brise-</w:t>
      </w:r>
      <w:r>
        <w:rPr>
          <w:lang w:val="fr-FR"/>
        </w:rPr>
        <w:t>flots</w:t>
      </w:r>
      <w:r w:rsidRPr="00606333">
        <w:rPr>
          <w:lang w:val="fr-FR"/>
        </w:rPr>
        <w:t xml:space="preserve"> étaient utilisés comme éléments de renforcement. </w:t>
      </w:r>
      <w:r>
        <w:rPr>
          <w:lang w:val="fr-FR"/>
        </w:rPr>
        <w:t>C</w:t>
      </w:r>
      <w:r w:rsidRPr="00606333">
        <w:rPr>
          <w:lang w:val="fr-FR"/>
        </w:rPr>
        <w:t xml:space="preserve">ela </w:t>
      </w:r>
      <w:r>
        <w:rPr>
          <w:lang w:val="fr-FR"/>
        </w:rPr>
        <w:t>éta</w:t>
      </w:r>
      <w:r w:rsidRPr="00606333">
        <w:rPr>
          <w:lang w:val="fr-FR"/>
        </w:rPr>
        <w:t xml:space="preserve">it </w:t>
      </w:r>
      <w:r>
        <w:rPr>
          <w:lang w:val="fr-FR"/>
        </w:rPr>
        <w:t>prévu</w:t>
      </w:r>
      <w:r w:rsidRPr="00606333">
        <w:rPr>
          <w:lang w:val="fr-FR"/>
        </w:rPr>
        <w:t xml:space="preserve"> par le premier </w:t>
      </w:r>
      <w:r>
        <w:rPr>
          <w:lang w:val="fr-FR"/>
        </w:rPr>
        <w:t>alinéa</w:t>
      </w:r>
      <w:r w:rsidRPr="00606333">
        <w:rPr>
          <w:lang w:val="fr-FR"/>
        </w:rPr>
        <w:t xml:space="preserve"> du 6.8.2.1.20</w:t>
      </w:r>
      <w:r>
        <w:rPr>
          <w:lang w:val="fr-FR"/>
        </w:rPr>
        <w:t> </w:t>
      </w:r>
      <w:r w:rsidRPr="00606333">
        <w:rPr>
          <w:lang w:val="fr-FR"/>
        </w:rPr>
        <w:t>b)</w:t>
      </w:r>
      <w:r>
        <w:rPr>
          <w:lang w:val="fr-FR"/>
        </w:rPr>
        <w:t> </w:t>
      </w:r>
      <w:r w:rsidRPr="00606333">
        <w:rPr>
          <w:lang w:val="fr-FR"/>
        </w:rPr>
        <w:t xml:space="preserve">1, </w:t>
      </w:r>
      <w:r>
        <w:rPr>
          <w:lang w:val="fr-FR"/>
        </w:rPr>
        <w:t xml:space="preserve">mais </w:t>
      </w:r>
      <w:r w:rsidRPr="00606333">
        <w:rPr>
          <w:lang w:val="fr-FR"/>
        </w:rPr>
        <w:t>il a été convenu que cela pou</w:t>
      </w:r>
      <w:r>
        <w:rPr>
          <w:lang w:val="fr-FR"/>
        </w:rPr>
        <w:t>v</w:t>
      </w:r>
      <w:r w:rsidRPr="00606333">
        <w:rPr>
          <w:lang w:val="fr-FR"/>
        </w:rPr>
        <w:t>ait être mal interprété.</w:t>
      </w:r>
    </w:p>
    <w:p w14:paraId="74EE5335" w14:textId="77777777" w:rsidR="006E61C0" w:rsidRPr="00606333" w:rsidRDefault="006E61C0" w:rsidP="00291DFD">
      <w:pPr>
        <w:pStyle w:val="SingleTxtG"/>
        <w:rPr>
          <w:lang w:val="fr-FR"/>
        </w:rPr>
      </w:pPr>
      <w:r w:rsidRPr="00606333">
        <w:rPr>
          <w:lang w:val="fr-FR"/>
        </w:rPr>
        <w:tab/>
      </w:r>
      <w:r>
        <w:rPr>
          <w:lang w:val="fr-FR"/>
        </w:rPr>
        <w:t>25.</w:t>
      </w:r>
      <w:r>
        <w:rPr>
          <w:lang w:val="fr-FR"/>
        </w:rPr>
        <w:tab/>
      </w:r>
      <w:r w:rsidRPr="00606333">
        <w:rPr>
          <w:lang w:val="fr-FR"/>
        </w:rPr>
        <w:t>Le</w:t>
      </w:r>
      <w:r w:rsidRPr="00BA31F0">
        <w:rPr>
          <w:lang w:val="fr-FR"/>
        </w:rPr>
        <w:t xml:space="preserve"> </w:t>
      </w:r>
      <w:r>
        <w:rPr>
          <w:lang w:val="fr-FR"/>
        </w:rPr>
        <w:t>G</w:t>
      </w:r>
      <w:r w:rsidRPr="00606333">
        <w:rPr>
          <w:lang w:val="fr-FR"/>
        </w:rPr>
        <w:t xml:space="preserve">roupe de travail </w:t>
      </w:r>
      <w:r>
        <w:rPr>
          <w:lang w:val="fr-FR"/>
        </w:rPr>
        <w:t>a</w:t>
      </w:r>
      <w:r w:rsidRPr="00606333">
        <w:rPr>
          <w:lang w:val="fr-FR"/>
        </w:rPr>
        <w:t xml:space="preserve"> sugg</w:t>
      </w:r>
      <w:r>
        <w:rPr>
          <w:lang w:val="fr-FR"/>
        </w:rPr>
        <w:t xml:space="preserve">éré d’apporter les </w:t>
      </w:r>
      <w:r w:rsidRPr="00606333">
        <w:rPr>
          <w:lang w:val="fr-FR"/>
        </w:rPr>
        <w:t>amélioration</w:t>
      </w:r>
      <w:r>
        <w:rPr>
          <w:lang w:val="fr-FR"/>
        </w:rPr>
        <w:t>s</w:t>
      </w:r>
      <w:r w:rsidRPr="00606333">
        <w:rPr>
          <w:lang w:val="fr-FR"/>
        </w:rPr>
        <w:t xml:space="preserve"> suivantes</w:t>
      </w:r>
      <w:r>
        <w:rPr>
          <w:lang w:val="fr-FR"/>
        </w:rPr>
        <w:t> :</w:t>
      </w:r>
    </w:p>
    <w:p w14:paraId="75FAFF94" w14:textId="77777777" w:rsidR="006E61C0" w:rsidRPr="00606333" w:rsidRDefault="006E61C0" w:rsidP="00291DFD">
      <w:pPr>
        <w:pStyle w:val="SingleTxtG"/>
        <w:keepNext/>
        <w:rPr>
          <w:lang w:val="fr-FR"/>
        </w:rPr>
      </w:pPr>
      <w:r w:rsidRPr="00084295">
        <w:rPr>
          <w:lang w:val="fr-FR"/>
        </w:rPr>
        <w:t xml:space="preserve">Option </w:t>
      </w:r>
      <w:r w:rsidRPr="00606333">
        <w:rPr>
          <w:lang w:val="fr-FR"/>
        </w:rPr>
        <w:t>1</w:t>
      </w:r>
      <w:r>
        <w:rPr>
          <w:lang w:val="fr-FR"/>
        </w:rPr>
        <w:t> :</w:t>
      </w:r>
      <w:r w:rsidRPr="00606333">
        <w:rPr>
          <w:lang w:val="fr-FR"/>
        </w:rPr>
        <w:t xml:space="preserve"> </w:t>
      </w:r>
      <w:r>
        <w:rPr>
          <w:lang w:val="fr-FR"/>
        </w:rPr>
        <w:t>Ajouter</w:t>
      </w:r>
      <w:r w:rsidRPr="00606333">
        <w:rPr>
          <w:lang w:val="fr-FR"/>
        </w:rPr>
        <w:t xml:space="preserve"> un </w:t>
      </w:r>
      <w:r>
        <w:rPr>
          <w:lang w:val="fr-FR"/>
        </w:rPr>
        <w:t xml:space="preserve">nouveau </w:t>
      </w:r>
      <w:r w:rsidRPr="00606333">
        <w:rPr>
          <w:lang w:val="fr-FR"/>
        </w:rPr>
        <w:t xml:space="preserve">nota après le dernier </w:t>
      </w:r>
      <w:r>
        <w:rPr>
          <w:lang w:val="fr-FR"/>
        </w:rPr>
        <w:t>alinéa</w:t>
      </w:r>
      <w:r w:rsidRPr="00606333">
        <w:rPr>
          <w:lang w:val="fr-FR"/>
        </w:rPr>
        <w:t xml:space="preserve"> du 6.8.2.1.20 </w:t>
      </w:r>
      <w:r>
        <w:rPr>
          <w:lang w:val="fr-FR"/>
        </w:rPr>
        <w:t>b</w:t>
      </w:r>
      <w:r w:rsidRPr="00606333">
        <w:rPr>
          <w:lang w:val="fr-FR"/>
        </w:rPr>
        <w:t>)</w:t>
      </w:r>
      <w:r>
        <w:rPr>
          <w:lang w:val="fr-FR"/>
        </w:rPr>
        <w:t> </w:t>
      </w:r>
      <w:r w:rsidRPr="00606333">
        <w:rPr>
          <w:lang w:val="fr-FR"/>
        </w:rPr>
        <w:t>1</w:t>
      </w:r>
      <w:r>
        <w:rPr>
          <w:lang w:val="fr-FR"/>
        </w:rPr>
        <w:t>,</w:t>
      </w:r>
      <w:r w:rsidRPr="00606333">
        <w:rPr>
          <w:lang w:val="fr-FR"/>
        </w:rPr>
        <w:t xml:space="preserve"> </w:t>
      </w:r>
      <w:r>
        <w:rPr>
          <w:lang w:val="fr-FR"/>
        </w:rPr>
        <w:t>libellé comme suit :</w:t>
      </w:r>
    </w:p>
    <w:p w14:paraId="392BD41E" w14:textId="77777777" w:rsidR="006E61C0" w:rsidRPr="00606333" w:rsidRDefault="006E61C0" w:rsidP="00291DFD">
      <w:pPr>
        <w:pStyle w:val="SingleTxtG"/>
        <w:ind w:left="1701"/>
        <w:rPr>
          <w:i/>
          <w:iCs/>
          <w:lang w:val="fr-FR"/>
        </w:rPr>
      </w:pPr>
      <w:r w:rsidRPr="00606333">
        <w:rPr>
          <w:i/>
          <w:iCs/>
          <w:lang w:val="fr-FR"/>
        </w:rPr>
        <w:tab/>
      </w:r>
      <w:r>
        <w:rPr>
          <w:i/>
          <w:iCs/>
          <w:lang w:val="fr-FR"/>
        </w:rPr>
        <w:t>« </w:t>
      </w:r>
      <w:r w:rsidRPr="00606333">
        <w:rPr>
          <w:i/>
          <w:iCs/>
          <w:lang w:val="fr-FR"/>
        </w:rPr>
        <w:t>NOT</w:t>
      </w:r>
      <w:r>
        <w:rPr>
          <w:i/>
          <w:iCs/>
          <w:lang w:val="fr-FR"/>
        </w:rPr>
        <w:t>A :</w:t>
      </w:r>
      <w:r w:rsidRPr="00606333">
        <w:rPr>
          <w:i/>
          <w:iCs/>
          <w:lang w:val="fr-FR"/>
        </w:rPr>
        <w:t xml:space="preserve"> </w:t>
      </w:r>
      <w:r>
        <w:rPr>
          <w:i/>
          <w:iCs/>
          <w:lang w:val="fr-FR"/>
        </w:rPr>
        <w:t>L</w:t>
      </w:r>
      <w:r w:rsidRPr="00606333">
        <w:rPr>
          <w:i/>
          <w:iCs/>
          <w:lang w:val="fr-FR"/>
        </w:rPr>
        <w:t xml:space="preserve">es cloisons et </w:t>
      </w:r>
      <w:r>
        <w:rPr>
          <w:i/>
          <w:iCs/>
          <w:lang w:val="fr-FR"/>
        </w:rPr>
        <w:t xml:space="preserve">les </w:t>
      </w:r>
      <w:r w:rsidRPr="00F86E22">
        <w:rPr>
          <w:i/>
          <w:iCs/>
          <w:lang w:val="fr-FR"/>
        </w:rPr>
        <w:t xml:space="preserve">brise-flots </w:t>
      </w:r>
      <w:r w:rsidRPr="00606333">
        <w:rPr>
          <w:i/>
          <w:iCs/>
          <w:lang w:val="fr-FR"/>
        </w:rPr>
        <w:t>qui ne sont pas utilisés comme éléments de renforcement n</w:t>
      </w:r>
      <w:r>
        <w:rPr>
          <w:i/>
          <w:iCs/>
          <w:lang w:val="fr-FR"/>
        </w:rPr>
        <w:t>e s</w:t>
      </w:r>
      <w:r w:rsidRPr="00606333">
        <w:rPr>
          <w:i/>
          <w:iCs/>
          <w:lang w:val="fr-FR"/>
        </w:rPr>
        <w:t xml:space="preserve">ont pas </w:t>
      </w:r>
      <w:r>
        <w:rPr>
          <w:i/>
          <w:iCs/>
          <w:lang w:val="fr-FR"/>
        </w:rPr>
        <w:t>tenus de</w:t>
      </w:r>
      <w:r w:rsidRPr="00606333">
        <w:rPr>
          <w:i/>
          <w:iCs/>
          <w:lang w:val="fr-FR"/>
        </w:rPr>
        <w:t xml:space="preserve"> respecter ces </w:t>
      </w:r>
      <w:r>
        <w:rPr>
          <w:i/>
          <w:iCs/>
          <w:lang w:val="fr-FR"/>
        </w:rPr>
        <w:t>prescriptions</w:t>
      </w:r>
      <w:r w:rsidRPr="00606333">
        <w:rPr>
          <w:i/>
          <w:iCs/>
          <w:lang w:val="fr-FR"/>
        </w:rPr>
        <w:t xml:space="preserve"> d</w:t>
      </w:r>
      <w:r>
        <w:rPr>
          <w:i/>
          <w:iCs/>
          <w:lang w:val="fr-FR"/>
        </w:rPr>
        <w:t>’</w:t>
      </w:r>
      <w:r w:rsidRPr="00606333">
        <w:rPr>
          <w:i/>
          <w:iCs/>
          <w:lang w:val="fr-FR"/>
        </w:rPr>
        <w:t>épaisseur.</w:t>
      </w:r>
      <w:r>
        <w:rPr>
          <w:lang w:val="fr-FR"/>
        </w:rPr>
        <w:t> ».</w:t>
      </w:r>
    </w:p>
    <w:p w14:paraId="61754668" w14:textId="77777777" w:rsidR="006E61C0" w:rsidRPr="00606333" w:rsidRDefault="006E61C0" w:rsidP="00291DFD">
      <w:pPr>
        <w:pStyle w:val="SingleTxtG"/>
        <w:keepNext/>
        <w:rPr>
          <w:lang w:val="fr-FR"/>
        </w:rPr>
      </w:pPr>
      <w:r w:rsidRPr="00606333">
        <w:rPr>
          <w:lang w:val="fr-FR"/>
        </w:rPr>
        <w:t>Option 2</w:t>
      </w:r>
      <w:r>
        <w:rPr>
          <w:lang w:val="fr-FR"/>
        </w:rPr>
        <w:t> :</w:t>
      </w:r>
      <w:r w:rsidRPr="00606333">
        <w:rPr>
          <w:lang w:val="fr-FR"/>
        </w:rPr>
        <w:t xml:space="preserve"> </w:t>
      </w:r>
      <w:r>
        <w:rPr>
          <w:lang w:val="fr-FR"/>
        </w:rPr>
        <w:t>M</w:t>
      </w:r>
      <w:r w:rsidRPr="00606333">
        <w:rPr>
          <w:lang w:val="fr-FR"/>
        </w:rPr>
        <w:t xml:space="preserve">odifier le dernier </w:t>
      </w:r>
      <w:r>
        <w:rPr>
          <w:lang w:val="fr-FR"/>
        </w:rPr>
        <w:t>alinéa</w:t>
      </w:r>
      <w:r w:rsidRPr="00606333">
        <w:rPr>
          <w:lang w:val="fr-FR"/>
        </w:rPr>
        <w:t xml:space="preserve"> du 6.8.2.1.20 b)</w:t>
      </w:r>
      <w:r>
        <w:rPr>
          <w:lang w:val="fr-FR"/>
        </w:rPr>
        <w:t> </w:t>
      </w:r>
      <w:r w:rsidRPr="00606333">
        <w:rPr>
          <w:lang w:val="fr-FR"/>
        </w:rPr>
        <w:t>1</w:t>
      </w:r>
      <w:r>
        <w:rPr>
          <w:lang w:val="fr-FR"/>
        </w:rPr>
        <w:t>,</w:t>
      </w:r>
      <w:r w:rsidRPr="00606333">
        <w:rPr>
          <w:lang w:val="fr-FR"/>
        </w:rPr>
        <w:t xml:space="preserve"> comme suit (l</w:t>
      </w:r>
      <w:r>
        <w:rPr>
          <w:lang w:val="fr-FR"/>
        </w:rPr>
        <w:t>’ajout</w:t>
      </w:r>
      <w:r w:rsidRPr="00606333">
        <w:rPr>
          <w:lang w:val="fr-FR"/>
        </w:rPr>
        <w:t xml:space="preserve"> est souligné)</w:t>
      </w:r>
      <w:r>
        <w:rPr>
          <w:lang w:val="fr-FR"/>
        </w:rPr>
        <w:t> :</w:t>
      </w:r>
    </w:p>
    <w:p w14:paraId="6B1AF6DE" w14:textId="77777777" w:rsidR="006E61C0" w:rsidRPr="00606333" w:rsidRDefault="006E61C0" w:rsidP="00291DFD">
      <w:pPr>
        <w:pStyle w:val="SingleTxtG"/>
        <w:ind w:left="1701"/>
        <w:rPr>
          <w:lang w:val="fr-FR"/>
        </w:rPr>
      </w:pPr>
      <w:r w:rsidRPr="00606333">
        <w:rPr>
          <w:i/>
          <w:iCs/>
          <w:lang w:val="fr-FR"/>
        </w:rPr>
        <w:tab/>
      </w:r>
      <w:r>
        <w:rPr>
          <w:lang w:val="fr-FR"/>
        </w:rPr>
        <w:t>« </w:t>
      </w:r>
      <w:r w:rsidRPr="00606333">
        <w:rPr>
          <w:lang w:val="fr-FR"/>
        </w:rPr>
        <w:t>L</w:t>
      </w:r>
      <w:r>
        <w:rPr>
          <w:lang w:val="fr-FR"/>
        </w:rPr>
        <w:t>’</w:t>
      </w:r>
      <w:r w:rsidRPr="00606333">
        <w:rPr>
          <w:lang w:val="fr-FR"/>
        </w:rPr>
        <w:t xml:space="preserve">épaisseur des cloisons et </w:t>
      </w:r>
      <w:r w:rsidRPr="00F86E22">
        <w:rPr>
          <w:lang w:val="fr-FR"/>
        </w:rPr>
        <w:t xml:space="preserve">brise-flots </w:t>
      </w:r>
      <w:r w:rsidRPr="00606333">
        <w:rPr>
          <w:u w:val="single"/>
          <w:lang w:val="fr-FR"/>
        </w:rPr>
        <w:t xml:space="preserve">qui sont utilisés comme éléments de renforcement </w:t>
      </w:r>
      <w:r w:rsidRPr="00606333">
        <w:rPr>
          <w:lang w:val="fr-FR"/>
        </w:rPr>
        <w:t xml:space="preserve">ne </w:t>
      </w:r>
      <w:r>
        <w:rPr>
          <w:lang w:val="fr-FR"/>
        </w:rPr>
        <w:t>sera</w:t>
      </w:r>
      <w:r w:rsidRPr="00606333">
        <w:rPr>
          <w:lang w:val="fr-FR"/>
        </w:rPr>
        <w:t xml:space="preserve"> en aucun cas inférieure à celle d</w:t>
      </w:r>
      <w:r>
        <w:rPr>
          <w:lang w:val="fr-FR"/>
        </w:rPr>
        <w:t>u réservoir</w:t>
      </w:r>
      <w:r w:rsidRPr="00606333">
        <w:rPr>
          <w:lang w:val="fr-FR"/>
        </w:rPr>
        <w:t>.</w:t>
      </w:r>
      <w:r>
        <w:rPr>
          <w:lang w:val="fr-FR"/>
        </w:rPr>
        <w:t> ».</w:t>
      </w:r>
    </w:p>
    <w:p w14:paraId="047DA2DB" w14:textId="77777777" w:rsidR="006E61C0" w:rsidRPr="00606333" w:rsidRDefault="006E61C0" w:rsidP="00291DFD">
      <w:pPr>
        <w:pStyle w:val="SingleTxtG"/>
        <w:rPr>
          <w:lang w:val="fr-FR"/>
        </w:rPr>
      </w:pPr>
      <w:r w:rsidRPr="00606333">
        <w:rPr>
          <w:lang w:val="fr-FR"/>
        </w:rPr>
        <w:t>Il a également été constaté que</w:t>
      </w:r>
      <w:r>
        <w:rPr>
          <w:lang w:val="fr-FR"/>
        </w:rPr>
        <w:t>,</w:t>
      </w:r>
      <w:r w:rsidRPr="00606333">
        <w:rPr>
          <w:lang w:val="fr-FR"/>
        </w:rPr>
        <w:t xml:space="preserve"> dans la version anglaise du premier </w:t>
      </w:r>
      <w:r>
        <w:rPr>
          <w:lang w:val="fr-FR"/>
        </w:rPr>
        <w:t>alinéa</w:t>
      </w:r>
      <w:r w:rsidRPr="00606333">
        <w:rPr>
          <w:lang w:val="fr-FR"/>
        </w:rPr>
        <w:t xml:space="preserve"> du 6.8.2.1.20</w:t>
      </w:r>
      <w:r>
        <w:rPr>
          <w:lang w:val="fr-FR"/>
        </w:rPr>
        <w:t> </w:t>
      </w:r>
      <w:r w:rsidRPr="00606333">
        <w:rPr>
          <w:lang w:val="fr-FR"/>
        </w:rPr>
        <w:t>b)</w:t>
      </w:r>
      <w:r>
        <w:rPr>
          <w:lang w:val="fr-FR"/>
        </w:rPr>
        <w:t> </w:t>
      </w:r>
      <w:r w:rsidRPr="00606333">
        <w:rPr>
          <w:lang w:val="fr-FR"/>
        </w:rPr>
        <w:t>1</w:t>
      </w:r>
      <w:r>
        <w:rPr>
          <w:lang w:val="fr-FR"/>
        </w:rPr>
        <w:t>,</w:t>
      </w:r>
      <w:r w:rsidRPr="00606333">
        <w:rPr>
          <w:lang w:val="fr-FR"/>
        </w:rPr>
        <w:t xml:space="preserve"> l</w:t>
      </w:r>
      <w:r>
        <w:rPr>
          <w:lang w:val="fr-FR"/>
        </w:rPr>
        <w:t>’</w:t>
      </w:r>
      <w:r w:rsidRPr="00606333">
        <w:rPr>
          <w:lang w:val="fr-FR"/>
        </w:rPr>
        <w:t xml:space="preserve">utilisation des mots </w:t>
      </w:r>
      <w:r w:rsidRPr="009F731C">
        <w:rPr>
          <w:i/>
          <w:iCs/>
          <w:lang w:val="fr-FR"/>
        </w:rPr>
        <w:t>« strengthening members »</w:t>
      </w:r>
      <w:r w:rsidRPr="00606333">
        <w:rPr>
          <w:lang w:val="fr-FR"/>
        </w:rPr>
        <w:t xml:space="preserve"> n</w:t>
      </w:r>
      <w:r>
        <w:rPr>
          <w:lang w:val="fr-FR"/>
        </w:rPr>
        <w:t>’</w:t>
      </w:r>
      <w:r w:rsidRPr="00606333">
        <w:rPr>
          <w:lang w:val="fr-FR"/>
        </w:rPr>
        <w:t xml:space="preserve">était pas cohérente et devait être modifiée pour se lire </w:t>
      </w:r>
      <w:r w:rsidRPr="009F731C">
        <w:rPr>
          <w:i/>
          <w:iCs/>
          <w:lang w:val="fr-FR"/>
        </w:rPr>
        <w:t xml:space="preserve">« strengthening </w:t>
      </w:r>
      <w:r w:rsidRPr="009F731C">
        <w:rPr>
          <w:i/>
          <w:iCs/>
          <w:u w:val="single"/>
          <w:lang w:val="fr-FR"/>
        </w:rPr>
        <w:t>elements</w:t>
      </w:r>
      <w:r w:rsidRPr="009F731C">
        <w:rPr>
          <w:i/>
          <w:iCs/>
          <w:lang w:val="fr-FR"/>
        </w:rPr>
        <w:t> »</w:t>
      </w:r>
      <w:r w:rsidRPr="00606333">
        <w:rPr>
          <w:lang w:val="fr-FR"/>
        </w:rPr>
        <w:t>.</w:t>
      </w:r>
    </w:p>
    <w:p w14:paraId="62DD56F1" w14:textId="77777777" w:rsidR="006E61C0" w:rsidRPr="00606333" w:rsidRDefault="006E61C0" w:rsidP="00291DFD">
      <w:pPr>
        <w:pStyle w:val="SingleTxtG"/>
        <w:rPr>
          <w:lang w:val="fr-FR"/>
        </w:rPr>
      </w:pPr>
      <w:r>
        <w:rPr>
          <w:lang w:val="fr-FR"/>
        </w:rPr>
        <w:t>26.</w:t>
      </w:r>
      <w:r w:rsidRPr="00606333">
        <w:rPr>
          <w:lang w:val="fr-FR"/>
        </w:rPr>
        <w:tab/>
        <w:t xml:space="preserve">Il a été décidé que ces options nécessitaient un examen attentif et le </w:t>
      </w:r>
      <w:r>
        <w:rPr>
          <w:lang w:val="fr-FR"/>
        </w:rPr>
        <w:t xml:space="preserve">Groupe de travail </w:t>
      </w:r>
      <w:r w:rsidRPr="00606333">
        <w:rPr>
          <w:lang w:val="fr-FR"/>
        </w:rPr>
        <w:t>a décidé de r</w:t>
      </w:r>
      <w:r>
        <w:rPr>
          <w:lang w:val="fr-FR"/>
        </w:rPr>
        <w:t>eprendre l’</w:t>
      </w:r>
      <w:r w:rsidRPr="00606333">
        <w:rPr>
          <w:lang w:val="fr-FR"/>
        </w:rPr>
        <w:t>exam</w:t>
      </w:r>
      <w:r>
        <w:rPr>
          <w:lang w:val="fr-FR"/>
        </w:rPr>
        <w:t>en de la question à s</w:t>
      </w:r>
      <w:r w:rsidRPr="00606333">
        <w:rPr>
          <w:lang w:val="fr-FR"/>
        </w:rPr>
        <w:t>a session</w:t>
      </w:r>
      <w:r>
        <w:rPr>
          <w:lang w:val="fr-FR"/>
        </w:rPr>
        <w:t xml:space="preserve"> suivante</w:t>
      </w:r>
      <w:r w:rsidRPr="00606333">
        <w:rPr>
          <w:lang w:val="fr-FR"/>
        </w:rPr>
        <w:t>.</w:t>
      </w:r>
    </w:p>
    <w:p w14:paraId="605D3BE8" w14:textId="6BC93F41" w:rsidR="006E61C0" w:rsidRPr="00606333" w:rsidRDefault="00291DFD" w:rsidP="00291DFD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6E61C0" w:rsidRPr="00606333">
        <w:rPr>
          <w:lang w:val="fr-FR"/>
        </w:rPr>
        <w:t>Point 12</w:t>
      </w:r>
      <w:r w:rsidR="006E61C0">
        <w:rPr>
          <w:lang w:val="fr-FR"/>
        </w:rPr>
        <w:t> :</w:t>
      </w:r>
      <w:r>
        <w:rPr>
          <w:lang w:val="fr-FR"/>
        </w:rPr>
        <w:t xml:space="preserve"> </w:t>
      </w:r>
      <w:r w:rsidR="006E61C0">
        <w:rPr>
          <w:lang w:val="fr-FR"/>
        </w:rPr>
        <w:t>Contrôle</w:t>
      </w:r>
      <w:r w:rsidR="006E61C0" w:rsidRPr="00606333">
        <w:rPr>
          <w:lang w:val="fr-FR"/>
        </w:rPr>
        <w:t xml:space="preserve"> des réservoirs qui n</w:t>
      </w:r>
      <w:r w:rsidR="006E61C0">
        <w:rPr>
          <w:lang w:val="fr-FR"/>
        </w:rPr>
        <w:t>’</w:t>
      </w:r>
      <w:r w:rsidR="006E61C0" w:rsidRPr="00606333">
        <w:rPr>
          <w:lang w:val="fr-FR"/>
        </w:rPr>
        <w:t>ont pas respecté le calendrier de</w:t>
      </w:r>
      <w:r>
        <w:rPr>
          <w:lang w:val="fr-FR"/>
        </w:rPr>
        <w:t xml:space="preserve"> </w:t>
      </w:r>
      <w:r w:rsidR="006E61C0" w:rsidRPr="00606333">
        <w:rPr>
          <w:lang w:val="fr-FR"/>
        </w:rPr>
        <w:t>leurs</w:t>
      </w:r>
      <w:r>
        <w:rPr>
          <w:lang w:val="fr-FR"/>
        </w:rPr>
        <w:t xml:space="preserve"> </w:t>
      </w:r>
      <w:r w:rsidR="006E61C0">
        <w:rPr>
          <w:lang w:val="fr-FR"/>
        </w:rPr>
        <w:t>contrôles</w:t>
      </w:r>
      <w:r w:rsidR="006E61C0" w:rsidRPr="00606333">
        <w:rPr>
          <w:lang w:val="fr-FR"/>
        </w:rPr>
        <w:t xml:space="preserve"> programmés</w:t>
      </w:r>
    </w:p>
    <w:p w14:paraId="73D023BF" w14:textId="251B92D6" w:rsidR="006E61C0" w:rsidRPr="00606333" w:rsidRDefault="006E61C0" w:rsidP="00291DFD">
      <w:pPr>
        <w:pStyle w:val="SingleTxtG"/>
        <w:rPr>
          <w:bCs/>
          <w:lang w:val="fr-FR"/>
        </w:rPr>
      </w:pPr>
      <w:r w:rsidRPr="004576AE">
        <w:rPr>
          <w:i/>
          <w:lang w:val="fr-FR"/>
        </w:rPr>
        <w:t>Document(s)</w:t>
      </w:r>
      <w:r>
        <w:rPr>
          <w:i/>
          <w:lang w:val="fr-FR"/>
        </w:rPr>
        <w:t> </w:t>
      </w:r>
      <w:r w:rsidRPr="00291DFD">
        <w:rPr>
          <w:iCs/>
          <w:lang w:val="fr-FR"/>
        </w:rPr>
        <w:t>:</w:t>
      </w:r>
      <w:r w:rsidRPr="004576AE">
        <w:rPr>
          <w:iCs/>
          <w:lang w:val="fr-FR"/>
        </w:rPr>
        <w:tab/>
      </w:r>
      <w:r w:rsidR="00291DFD" w:rsidRPr="00291DFD">
        <w:rPr>
          <w:i/>
          <w:lang w:val="fr-FR"/>
        </w:rPr>
        <w:t xml:space="preserve">Document </w:t>
      </w:r>
      <w:r w:rsidRPr="00291DFD">
        <w:rPr>
          <w:i/>
          <w:lang w:val="fr-FR"/>
        </w:rPr>
        <w:t>informel</w:t>
      </w:r>
      <w:r w:rsidRPr="004576AE">
        <w:rPr>
          <w:iCs/>
          <w:lang w:val="fr-FR"/>
        </w:rPr>
        <w:t xml:space="preserve"> </w:t>
      </w:r>
      <w:r w:rsidRPr="00606333">
        <w:rPr>
          <w:bCs/>
          <w:lang w:val="fr-FR"/>
        </w:rPr>
        <w:t>INF.31 (Royaume-Uni)</w:t>
      </w:r>
      <w:r w:rsidR="00291DFD">
        <w:rPr>
          <w:bCs/>
          <w:lang w:val="fr-FR"/>
        </w:rPr>
        <w:t>.</w:t>
      </w:r>
    </w:p>
    <w:p w14:paraId="12F848E1" w14:textId="0F2279B0" w:rsidR="006E61C0" w:rsidRPr="00606333" w:rsidRDefault="006E61C0" w:rsidP="00291DFD">
      <w:pPr>
        <w:pStyle w:val="SingleTxtG"/>
        <w:rPr>
          <w:lang w:val="fr-FR"/>
        </w:rPr>
      </w:pPr>
      <w:r w:rsidRPr="00606333">
        <w:rPr>
          <w:lang w:val="fr-FR"/>
        </w:rPr>
        <w:tab/>
      </w:r>
      <w:r>
        <w:rPr>
          <w:lang w:val="fr-FR"/>
        </w:rPr>
        <w:t>27.</w:t>
      </w:r>
      <w:r>
        <w:rPr>
          <w:lang w:val="fr-FR"/>
        </w:rPr>
        <w:tab/>
      </w:r>
      <w:r w:rsidRPr="00606333">
        <w:rPr>
          <w:lang w:val="fr-FR"/>
        </w:rPr>
        <w:t xml:space="preserve">La question soulevée était de savoir comment traiter les citernes </w:t>
      </w:r>
      <w:r>
        <w:rPr>
          <w:lang w:val="fr-FR"/>
        </w:rPr>
        <w:t>d</w:t>
      </w:r>
      <w:r w:rsidRPr="00606333">
        <w:rPr>
          <w:lang w:val="fr-FR"/>
        </w:rPr>
        <w:t xml:space="preserve">ont </w:t>
      </w:r>
      <w:r>
        <w:rPr>
          <w:lang w:val="fr-FR"/>
        </w:rPr>
        <w:t>le contrôle</w:t>
      </w:r>
      <w:r w:rsidRPr="00606333">
        <w:rPr>
          <w:lang w:val="fr-FR"/>
        </w:rPr>
        <w:t xml:space="preserve"> </w:t>
      </w:r>
      <w:r>
        <w:rPr>
          <w:lang w:val="fr-FR"/>
        </w:rPr>
        <w:t xml:space="preserve">prévu avait été </w:t>
      </w:r>
      <w:r w:rsidRPr="00606333">
        <w:rPr>
          <w:lang w:val="fr-FR"/>
        </w:rPr>
        <w:t>manqué. Pour les citernes mobiles, le paragraphe</w:t>
      </w:r>
      <w:r w:rsidR="00291DFD">
        <w:rPr>
          <w:lang w:val="fr-FR"/>
        </w:rPr>
        <w:t> </w:t>
      </w:r>
      <w:r w:rsidRPr="00606333">
        <w:rPr>
          <w:lang w:val="fr-FR"/>
        </w:rPr>
        <w:t>6.7 stipul</w:t>
      </w:r>
      <w:r>
        <w:rPr>
          <w:lang w:val="fr-FR"/>
        </w:rPr>
        <w:t>ait</w:t>
      </w:r>
      <w:r w:rsidRPr="00606333">
        <w:rPr>
          <w:lang w:val="fr-FR"/>
        </w:rPr>
        <w:t xml:space="preserve"> que si</w:t>
      </w:r>
      <w:r w:rsidRPr="00931DCA">
        <w:rPr>
          <w:lang w:val="fr-FR"/>
        </w:rPr>
        <w:t xml:space="preserve"> </w:t>
      </w:r>
      <w:r w:rsidRPr="00606333">
        <w:rPr>
          <w:lang w:val="fr-FR"/>
        </w:rPr>
        <w:t xml:space="preserve">un contrôle intermédiaire </w:t>
      </w:r>
      <w:r>
        <w:rPr>
          <w:lang w:val="fr-FR"/>
        </w:rPr>
        <w:t xml:space="preserve">de </w:t>
      </w:r>
      <w:r w:rsidRPr="00606333">
        <w:rPr>
          <w:lang w:val="fr-FR"/>
        </w:rPr>
        <w:t>la citerne a</w:t>
      </w:r>
      <w:r>
        <w:rPr>
          <w:lang w:val="fr-FR"/>
        </w:rPr>
        <w:t>vait été</w:t>
      </w:r>
      <w:r w:rsidRPr="00606333">
        <w:rPr>
          <w:lang w:val="fr-FR"/>
        </w:rPr>
        <w:t xml:space="preserve"> manqué, un contrôle périodique d</w:t>
      </w:r>
      <w:r>
        <w:rPr>
          <w:lang w:val="fr-FR"/>
        </w:rPr>
        <w:t>eva</w:t>
      </w:r>
      <w:r w:rsidRPr="00606333">
        <w:rPr>
          <w:lang w:val="fr-FR"/>
        </w:rPr>
        <w:t xml:space="preserve">it être effectué. Une procédure similaire a été suggérée dans le document informel INF.31 pour les citernes </w:t>
      </w:r>
      <w:r>
        <w:rPr>
          <w:lang w:val="fr-FR"/>
        </w:rPr>
        <w:t xml:space="preserve">relevant du </w:t>
      </w:r>
      <w:r w:rsidRPr="00606333">
        <w:rPr>
          <w:lang w:val="fr-FR"/>
        </w:rPr>
        <w:t>RID</w:t>
      </w:r>
      <w:r>
        <w:rPr>
          <w:lang w:val="fr-FR"/>
        </w:rPr>
        <w:t xml:space="preserve"> ou de l’</w:t>
      </w:r>
      <w:r w:rsidRPr="00606333">
        <w:rPr>
          <w:lang w:val="fr-FR"/>
        </w:rPr>
        <w:t>ADR</w:t>
      </w:r>
      <w:r>
        <w:rPr>
          <w:lang w:val="fr-FR"/>
        </w:rPr>
        <w:t>,</w:t>
      </w:r>
      <w:r w:rsidRPr="00606333">
        <w:rPr>
          <w:lang w:val="fr-FR"/>
        </w:rPr>
        <w:t xml:space="preserve"> en ce sens que si </w:t>
      </w:r>
      <w:r w:rsidRPr="005E5EF0">
        <w:rPr>
          <w:lang w:val="fr-FR"/>
        </w:rPr>
        <w:t xml:space="preserve">un contrôle </w:t>
      </w:r>
      <w:r w:rsidRPr="00606333">
        <w:rPr>
          <w:lang w:val="fr-FR"/>
        </w:rPr>
        <w:t>intermédiaire a</w:t>
      </w:r>
      <w:r>
        <w:rPr>
          <w:lang w:val="fr-FR"/>
        </w:rPr>
        <w:t>vait</w:t>
      </w:r>
      <w:r w:rsidRPr="00606333">
        <w:rPr>
          <w:lang w:val="fr-FR"/>
        </w:rPr>
        <w:t xml:space="preserve"> été manqué,</w:t>
      </w:r>
      <w:r>
        <w:rPr>
          <w:lang w:val="fr-FR"/>
        </w:rPr>
        <w:t xml:space="preserve"> </w:t>
      </w:r>
      <w:r w:rsidRPr="00606333">
        <w:rPr>
          <w:lang w:val="fr-FR"/>
        </w:rPr>
        <w:t xml:space="preserve">un </w:t>
      </w:r>
      <w:r w:rsidRPr="005E5EF0">
        <w:rPr>
          <w:lang w:val="fr-FR"/>
        </w:rPr>
        <w:t xml:space="preserve">contrôle </w:t>
      </w:r>
      <w:r w:rsidRPr="00606333">
        <w:rPr>
          <w:lang w:val="fr-FR"/>
        </w:rPr>
        <w:t xml:space="preserve">exceptionnel </w:t>
      </w:r>
      <w:r>
        <w:rPr>
          <w:lang w:val="fr-FR"/>
        </w:rPr>
        <w:t>satisfaisan</w:t>
      </w:r>
      <w:r w:rsidRPr="00606333">
        <w:rPr>
          <w:lang w:val="fr-FR"/>
        </w:rPr>
        <w:t xml:space="preserve">t aux </w:t>
      </w:r>
      <w:r>
        <w:rPr>
          <w:lang w:val="fr-FR"/>
        </w:rPr>
        <w:t>prescriptions</w:t>
      </w:r>
      <w:r w:rsidRPr="00606333">
        <w:rPr>
          <w:lang w:val="fr-FR"/>
        </w:rPr>
        <w:t xml:space="preserve"> d</w:t>
      </w:r>
      <w:r>
        <w:rPr>
          <w:lang w:val="fr-FR"/>
        </w:rPr>
        <w:t>’</w:t>
      </w:r>
      <w:r w:rsidRPr="00606333">
        <w:rPr>
          <w:lang w:val="fr-FR"/>
        </w:rPr>
        <w:t xml:space="preserve">un </w:t>
      </w:r>
      <w:r w:rsidRPr="005E5EF0">
        <w:rPr>
          <w:lang w:val="fr-FR"/>
        </w:rPr>
        <w:t xml:space="preserve">contrôle </w:t>
      </w:r>
      <w:r w:rsidRPr="00606333">
        <w:rPr>
          <w:lang w:val="fr-FR"/>
        </w:rPr>
        <w:t>périodique</w:t>
      </w:r>
      <w:r w:rsidRPr="00D6743C">
        <w:rPr>
          <w:lang w:val="fr-FR"/>
        </w:rPr>
        <w:t xml:space="preserve"> </w:t>
      </w:r>
      <w:r w:rsidRPr="00606333">
        <w:rPr>
          <w:lang w:val="fr-FR"/>
        </w:rPr>
        <w:t>devait être effectué.</w:t>
      </w:r>
    </w:p>
    <w:p w14:paraId="5A10A831" w14:textId="77777777" w:rsidR="006E61C0" w:rsidRPr="00606333" w:rsidRDefault="006E61C0" w:rsidP="00291DFD">
      <w:pPr>
        <w:pStyle w:val="SingleTxtG"/>
        <w:rPr>
          <w:lang w:val="fr-FR"/>
        </w:rPr>
      </w:pPr>
      <w:r w:rsidRPr="00606333">
        <w:rPr>
          <w:lang w:val="fr-FR"/>
        </w:rPr>
        <w:tab/>
      </w:r>
      <w:r>
        <w:rPr>
          <w:lang w:val="fr-FR"/>
        </w:rPr>
        <w:t>28.</w:t>
      </w:r>
      <w:r>
        <w:rPr>
          <w:lang w:val="fr-FR"/>
        </w:rPr>
        <w:tab/>
      </w:r>
      <w:r w:rsidRPr="00606333">
        <w:rPr>
          <w:lang w:val="fr-FR"/>
        </w:rPr>
        <w:t>Plusieurs experts ont déclaré qu</w:t>
      </w:r>
      <w:r>
        <w:rPr>
          <w:lang w:val="fr-FR"/>
        </w:rPr>
        <w:t>’aucun problème de</w:t>
      </w:r>
      <w:r w:rsidRPr="00606333">
        <w:rPr>
          <w:lang w:val="fr-FR"/>
        </w:rPr>
        <w:t xml:space="preserve"> retard d</w:t>
      </w:r>
      <w:r>
        <w:rPr>
          <w:lang w:val="fr-FR"/>
        </w:rPr>
        <w:t>ans le contrôle</w:t>
      </w:r>
      <w:r w:rsidRPr="00606333">
        <w:rPr>
          <w:lang w:val="fr-FR"/>
        </w:rPr>
        <w:t xml:space="preserve"> de</w:t>
      </w:r>
      <w:r>
        <w:rPr>
          <w:lang w:val="fr-FR"/>
        </w:rPr>
        <w:t>s</w:t>
      </w:r>
      <w:r w:rsidRPr="00606333">
        <w:rPr>
          <w:lang w:val="fr-FR"/>
        </w:rPr>
        <w:t xml:space="preserve"> citernes</w:t>
      </w:r>
      <w:r>
        <w:rPr>
          <w:lang w:val="fr-FR"/>
        </w:rPr>
        <w:t xml:space="preserve"> n’avait été signalé</w:t>
      </w:r>
      <w:r w:rsidRPr="00606333">
        <w:rPr>
          <w:lang w:val="fr-FR"/>
        </w:rPr>
        <w:t xml:space="preserve">. Si un </w:t>
      </w:r>
      <w:r w:rsidRPr="001F13CD">
        <w:rPr>
          <w:lang w:val="fr-FR"/>
        </w:rPr>
        <w:t xml:space="preserve">contrôle </w:t>
      </w:r>
      <w:r w:rsidRPr="00606333">
        <w:rPr>
          <w:lang w:val="fr-FR"/>
        </w:rPr>
        <w:t>intermédiaire avait été manqué, un nouve</w:t>
      </w:r>
      <w:r>
        <w:rPr>
          <w:lang w:val="fr-FR"/>
        </w:rPr>
        <w:t>au</w:t>
      </w:r>
      <w:r w:rsidRPr="00606333">
        <w:rPr>
          <w:lang w:val="fr-FR"/>
        </w:rPr>
        <w:t xml:space="preserve"> </w:t>
      </w:r>
      <w:r w:rsidRPr="001F13CD">
        <w:rPr>
          <w:lang w:val="fr-FR"/>
        </w:rPr>
        <w:t xml:space="preserve">contrôle </w:t>
      </w:r>
      <w:r w:rsidRPr="00606333">
        <w:rPr>
          <w:lang w:val="fr-FR"/>
        </w:rPr>
        <w:t xml:space="preserve">intermédiaire </w:t>
      </w:r>
      <w:r>
        <w:rPr>
          <w:lang w:val="fr-FR"/>
        </w:rPr>
        <w:t>ét</w:t>
      </w:r>
      <w:r w:rsidRPr="00606333">
        <w:rPr>
          <w:lang w:val="fr-FR"/>
        </w:rPr>
        <w:t xml:space="preserve">ait effectué au plus tard à la date </w:t>
      </w:r>
      <w:r>
        <w:rPr>
          <w:lang w:val="fr-FR"/>
        </w:rPr>
        <w:t xml:space="preserve">du </w:t>
      </w:r>
      <w:r w:rsidRPr="001F13CD">
        <w:rPr>
          <w:lang w:val="fr-FR"/>
        </w:rPr>
        <w:t xml:space="preserve">contrôle </w:t>
      </w:r>
      <w:r w:rsidRPr="00606333">
        <w:rPr>
          <w:lang w:val="fr-FR"/>
        </w:rPr>
        <w:t>périodique</w:t>
      </w:r>
      <w:r>
        <w:rPr>
          <w:lang w:val="fr-FR"/>
        </w:rPr>
        <w:t xml:space="preserve"> suivant</w:t>
      </w:r>
      <w:r w:rsidRPr="00606333">
        <w:rPr>
          <w:lang w:val="fr-FR"/>
        </w:rPr>
        <w:t>. Chaque fois qu</w:t>
      </w:r>
      <w:r>
        <w:rPr>
          <w:lang w:val="fr-FR"/>
        </w:rPr>
        <w:t>’</w:t>
      </w:r>
      <w:r w:rsidRPr="00606333">
        <w:rPr>
          <w:lang w:val="fr-FR"/>
        </w:rPr>
        <w:t xml:space="preserve">un nouveau contrôle périodique </w:t>
      </w:r>
      <w:r>
        <w:rPr>
          <w:lang w:val="fr-FR"/>
        </w:rPr>
        <w:t>était</w:t>
      </w:r>
      <w:r w:rsidRPr="00606333">
        <w:rPr>
          <w:lang w:val="fr-FR"/>
        </w:rPr>
        <w:t xml:space="preserve"> effectué, le calendrier des contrôles périodiques </w:t>
      </w:r>
      <w:r>
        <w:rPr>
          <w:lang w:val="fr-FR"/>
        </w:rPr>
        <w:t>était</w:t>
      </w:r>
      <w:r w:rsidRPr="00606333">
        <w:rPr>
          <w:lang w:val="fr-FR"/>
        </w:rPr>
        <w:t xml:space="preserve"> réinitialisé.</w:t>
      </w:r>
    </w:p>
    <w:p w14:paraId="4C115271" w14:textId="77777777" w:rsidR="006E61C0" w:rsidRPr="00606333" w:rsidRDefault="006E61C0" w:rsidP="00291DFD">
      <w:pPr>
        <w:pStyle w:val="SingleTxtG"/>
        <w:rPr>
          <w:lang w:val="fr-FR"/>
        </w:rPr>
      </w:pPr>
      <w:r>
        <w:rPr>
          <w:lang w:val="fr-FR"/>
        </w:rPr>
        <w:t>29.</w:t>
      </w:r>
      <w:r w:rsidRPr="00606333">
        <w:rPr>
          <w:lang w:val="fr-FR"/>
        </w:rPr>
        <w:tab/>
        <w:t xml:space="preserve">Il a été mentionné que </w:t>
      </w:r>
      <w:r>
        <w:rPr>
          <w:lang w:val="fr-FR"/>
        </w:rPr>
        <w:t xml:space="preserve">dans </w:t>
      </w:r>
      <w:r w:rsidRPr="00606333">
        <w:rPr>
          <w:lang w:val="fr-FR"/>
        </w:rPr>
        <w:t>le RID</w:t>
      </w:r>
      <w:r>
        <w:rPr>
          <w:lang w:val="fr-FR"/>
        </w:rPr>
        <w:t xml:space="preserve"> et l’</w:t>
      </w:r>
      <w:r w:rsidRPr="00606333">
        <w:rPr>
          <w:lang w:val="fr-FR"/>
        </w:rPr>
        <w:t xml:space="preserve">ADR ne </w:t>
      </w:r>
      <w:r>
        <w:rPr>
          <w:lang w:val="fr-FR"/>
        </w:rPr>
        <w:t>figuraient</w:t>
      </w:r>
      <w:r w:rsidRPr="00606333">
        <w:rPr>
          <w:lang w:val="fr-FR"/>
        </w:rPr>
        <w:t xml:space="preserve"> actuellement aucune indication sur la manière de réagir en cas </w:t>
      </w:r>
      <w:r>
        <w:rPr>
          <w:lang w:val="fr-FR"/>
        </w:rPr>
        <w:t>de</w:t>
      </w:r>
      <w:r w:rsidRPr="001F13CD">
        <w:t xml:space="preserve"> </w:t>
      </w:r>
      <w:r w:rsidRPr="001F13CD">
        <w:rPr>
          <w:lang w:val="fr-FR"/>
        </w:rPr>
        <w:t>contrôle</w:t>
      </w:r>
      <w:r w:rsidRPr="00606333">
        <w:rPr>
          <w:lang w:val="fr-FR"/>
        </w:rPr>
        <w:t xml:space="preserve"> </w:t>
      </w:r>
      <w:r>
        <w:rPr>
          <w:lang w:val="fr-FR"/>
        </w:rPr>
        <w:t xml:space="preserve">manqué </w:t>
      </w:r>
      <w:r w:rsidRPr="00606333">
        <w:rPr>
          <w:lang w:val="fr-FR"/>
        </w:rPr>
        <w:t>et que</w:t>
      </w:r>
      <w:r>
        <w:rPr>
          <w:lang w:val="fr-FR"/>
        </w:rPr>
        <w:t xml:space="preserve"> des</w:t>
      </w:r>
      <w:r w:rsidRPr="00606333">
        <w:rPr>
          <w:lang w:val="fr-FR"/>
        </w:rPr>
        <w:t xml:space="preserve"> </w:t>
      </w:r>
      <w:r>
        <w:rPr>
          <w:lang w:val="fr-FR"/>
        </w:rPr>
        <w:t>précis</w:t>
      </w:r>
      <w:r w:rsidRPr="00606333">
        <w:rPr>
          <w:lang w:val="fr-FR"/>
        </w:rPr>
        <w:t>on</w:t>
      </w:r>
      <w:r>
        <w:rPr>
          <w:lang w:val="fr-FR"/>
        </w:rPr>
        <w:t>s</w:t>
      </w:r>
      <w:r w:rsidRPr="00606333">
        <w:rPr>
          <w:lang w:val="fr-FR"/>
        </w:rPr>
        <w:t xml:space="preserve"> </w:t>
      </w:r>
      <w:r>
        <w:rPr>
          <w:lang w:val="fr-FR"/>
        </w:rPr>
        <w:t>étaient</w:t>
      </w:r>
      <w:r w:rsidRPr="00606333">
        <w:rPr>
          <w:lang w:val="fr-FR"/>
        </w:rPr>
        <w:t xml:space="preserve"> nécessaire</w:t>
      </w:r>
      <w:r>
        <w:rPr>
          <w:lang w:val="fr-FR"/>
        </w:rPr>
        <w:t>s</w:t>
      </w:r>
      <w:r w:rsidRPr="00606333">
        <w:rPr>
          <w:lang w:val="fr-FR"/>
        </w:rPr>
        <w:t>. Le représentant de l</w:t>
      </w:r>
      <w:r>
        <w:rPr>
          <w:lang w:val="fr-FR"/>
        </w:rPr>
        <w:t>’</w:t>
      </w:r>
      <w:r w:rsidRPr="00606333">
        <w:rPr>
          <w:lang w:val="fr-FR"/>
        </w:rPr>
        <w:t>UIP a proposé de soumettre une proposition pour la session</w:t>
      </w:r>
      <w:r>
        <w:rPr>
          <w:lang w:val="fr-FR"/>
        </w:rPr>
        <w:t xml:space="preserve"> suivante</w:t>
      </w:r>
      <w:r w:rsidRPr="00606333">
        <w:rPr>
          <w:lang w:val="fr-FR"/>
        </w:rPr>
        <w:t>.</w:t>
      </w:r>
    </w:p>
    <w:p w14:paraId="4F948F71" w14:textId="04208E80" w:rsidR="006E61C0" w:rsidRPr="00606333" w:rsidRDefault="00291DFD" w:rsidP="00291DFD">
      <w:pPr>
        <w:pStyle w:val="H1G"/>
        <w:rPr>
          <w:lang w:val="fr-FR"/>
        </w:rPr>
      </w:pPr>
      <w:r>
        <w:rPr>
          <w:lang w:val="fr-FR"/>
        </w:rPr>
        <w:lastRenderedPageBreak/>
        <w:tab/>
      </w:r>
      <w:r>
        <w:rPr>
          <w:lang w:val="fr-FR"/>
        </w:rPr>
        <w:tab/>
      </w:r>
      <w:r w:rsidR="006E61C0" w:rsidRPr="00606333">
        <w:rPr>
          <w:lang w:val="fr-FR"/>
        </w:rPr>
        <w:t>Point 13</w:t>
      </w:r>
      <w:r w:rsidR="006E61C0">
        <w:rPr>
          <w:lang w:val="fr-FR"/>
        </w:rPr>
        <w:t> :</w:t>
      </w:r>
      <w:r>
        <w:rPr>
          <w:lang w:val="fr-FR"/>
        </w:rPr>
        <w:t xml:space="preserve"> </w:t>
      </w:r>
      <w:r w:rsidR="006E61C0">
        <w:rPr>
          <w:lang w:val="fr-FR"/>
        </w:rPr>
        <w:t>D</w:t>
      </w:r>
      <w:r w:rsidR="006E61C0" w:rsidRPr="006353BE">
        <w:rPr>
          <w:lang w:val="fr-FR"/>
        </w:rPr>
        <w:t xml:space="preserve">ispositif pompe/exhausteur </w:t>
      </w:r>
      <w:r w:rsidR="006E61C0" w:rsidRPr="00606333">
        <w:rPr>
          <w:lang w:val="fr-FR"/>
        </w:rPr>
        <w:t xml:space="preserve">pour </w:t>
      </w:r>
      <w:r w:rsidR="006E61C0">
        <w:rPr>
          <w:lang w:val="fr-FR"/>
        </w:rPr>
        <w:t>citernes</w:t>
      </w:r>
      <w:r w:rsidR="006E61C0" w:rsidRPr="00606333">
        <w:rPr>
          <w:lang w:val="fr-FR"/>
        </w:rPr>
        <w:t xml:space="preserve"> </w:t>
      </w:r>
      <w:r>
        <w:rPr>
          <w:lang w:val="fr-FR"/>
        </w:rPr>
        <w:br/>
      </w:r>
      <w:r w:rsidR="006E61C0" w:rsidRPr="00606333">
        <w:rPr>
          <w:lang w:val="fr-FR"/>
        </w:rPr>
        <w:t>à déchets sous vide</w:t>
      </w:r>
    </w:p>
    <w:p w14:paraId="114FCC74" w14:textId="1E53A4A2" w:rsidR="006E61C0" w:rsidRPr="00606333" w:rsidRDefault="006E61C0" w:rsidP="00291DFD">
      <w:pPr>
        <w:pStyle w:val="SingleTxtG"/>
        <w:keepNext/>
        <w:keepLines/>
        <w:rPr>
          <w:bCs/>
          <w:lang w:val="fr-FR"/>
        </w:rPr>
      </w:pPr>
      <w:r w:rsidRPr="004576AE">
        <w:rPr>
          <w:i/>
          <w:lang w:val="fr-FR"/>
        </w:rPr>
        <w:t>Document(s)</w:t>
      </w:r>
      <w:r w:rsidRPr="00291DFD">
        <w:rPr>
          <w:iCs/>
          <w:lang w:val="fr-FR"/>
        </w:rPr>
        <w:t> :</w:t>
      </w:r>
      <w:r w:rsidRPr="004576AE">
        <w:rPr>
          <w:iCs/>
          <w:lang w:val="fr-FR"/>
        </w:rPr>
        <w:tab/>
      </w:r>
      <w:r w:rsidR="00291DFD" w:rsidRPr="00291DFD">
        <w:rPr>
          <w:i/>
          <w:lang w:val="fr-FR"/>
        </w:rPr>
        <w:t xml:space="preserve">Document </w:t>
      </w:r>
      <w:r w:rsidRPr="00291DFD">
        <w:rPr>
          <w:i/>
          <w:lang w:val="fr-FR"/>
        </w:rPr>
        <w:t>informel</w:t>
      </w:r>
      <w:r w:rsidRPr="004576AE">
        <w:rPr>
          <w:iCs/>
          <w:lang w:val="fr-FR"/>
        </w:rPr>
        <w:t xml:space="preserve"> </w:t>
      </w:r>
      <w:r w:rsidRPr="00606333">
        <w:rPr>
          <w:bCs/>
          <w:lang w:val="fr-FR"/>
        </w:rPr>
        <w:t>INF.35 (France)</w:t>
      </w:r>
      <w:r w:rsidR="00291DFD">
        <w:rPr>
          <w:bCs/>
          <w:lang w:val="fr-FR"/>
        </w:rPr>
        <w:t>.</w:t>
      </w:r>
    </w:p>
    <w:p w14:paraId="3D632EEB" w14:textId="77777777" w:rsidR="006E61C0" w:rsidRPr="00606333" w:rsidRDefault="006E61C0" w:rsidP="00291DFD">
      <w:pPr>
        <w:pStyle w:val="SingleTxtG"/>
        <w:keepNext/>
        <w:keepLines/>
        <w:rPr>
          <w:lang w:val="fr-FR"/>
        </w:rPr>
      </w:pPr>
      <w:r>
        <w:rPr>
          <w:lang w:val="fr-FR"/>
        </w:rPr>
        <w:t>30.</w:t>
      </w:r>
      <w:r w:rsidRPr="00606333">
        <w:rPr>
          <w:lang w:val="fr-FR"/>
        </w:rPr>
        <w:tab/>
        <w:t>Dans le cas d</w:t>
      </w:r>
      <w:r>
        <w:rPr>
          <w:lang w:val="fr-FR"/>
        </w:rPr>
        <w:t>es</w:t>
      </w:r>
      <w:r w:rsidRPr="00606333">
        <w:rPr>
          <w:lang w:val="fr-FR"/>
        </w:rPr>
        <w:t xml:space="preserve"> semi-remorque</w:t>
      </w:r>
      <w:r>
        <w:rPr>
          <w:lang w:val="fr-FR"/>
        </w:rPr>
        <w:t>s</w:t>
      </w:r>
      <w:r w:rsidRPr="00606333">
        <w:rPr>
          <w:lang w:val="fr-FR"/>
        </w:rPr>
        <w:t xml:space="preserve"> citerne</w:t>
      </w:r>
      <w:r>
        <w:rPr>
          <w:lang w:val="fr-FR"/>
        </w:rPr>
        <w:t>s</w:t>
      </w:r>
      <w:r w:rsidRPr="00606333">
        <w:rPr>
          <w:lang w:val="fr-FR"/>
        </w:rPr>
        <w:t xml:space="preserve"> à déchets fonctionnant sous vide, </w:t>
      </w:r>
      <w:r>
        <w:rPr>
          <w:lang w:val="fr-FR"/>
        </w:rPr>
        <w:t xml:space="preserve">il était possible que </w:t>
      </w:r>
      <w:r w:rsidRPr="00606333">
        <w:rPr>
          <w:lang w:val="fr-FR"/>
        </w:rPr>
        <w:t>l</w:t>
      </w:r>
      <w:r>
        <w:rPr>
          <w:lang w:val="fr-FR"/>
        </w:rPr>
        <w:t>e d</w:t>
      </w:r>
      <w:r w:rsidRPr="00397239">
        <w:rPr>
          <w:lang w:val="fr-FR"/>
        </w:rPr>
        <w:t xml:space="preserve">ispositif pompe/exhausteur </w:t>
      </w:r>
      <w:r>
        <w:rPr>
          <w:lang w:val="fr-FR"/>
        </w:rPr>
        <w:t xml:space="preserve">soit </w:t>
      </w:r>
      <w:r w:rsidRPr="00606333">
        <w:rPr>
          <w:lang w:val="fr-FR"/>
        </w:rPr>
        <w:t xml:space="preserve">placé sur le véhicule tracteur. Les experts du </w:t>
      </w:r>
      <w:r>
        <w:rPr>
          <w:lang w:val="fr-FR"/>
        </w:rPr>
        <w:t>Groupe de travail des citernes</w:t>
      </w:r>
      <w:r w:rsidRPr="00606333">
        <w:rPr>
          <w:lang w:val="fr-FR"/>
        </w:rPr>
        <w:t xml:space="preserve"> ont été invités à donner leur avis sur la manière dont la</w:t>
      </w:r>
      <w:r>
        <w:rPr>
          <w:lang w:val="fr-FR"/>
        </w:rPr>
        <w:t xml:space="preserve"> conformité</w:t>
      </w:r>
      <w:r w:rsidRPr="00606333">
        <w:rPr>
          <w:lang w:val="fr-FR"/>
        </w:rPr>
        <w:t xml:space="preserve"> de ce </w:t>
      </w:r>
      <w:r w:rsidRPr="00397239">
        <w:rPr>
          <w:lang w:val="fr-FR"/>
        </w:rPr>
        <w:t xml:space="preserve">dispositif </w:t>
      </w:r>
      <w:r>
        <w:rPr>
          <w:lang w:val="fr-FR"/>
        </w:rPr>
        <w:t>appartenant à</w:t>
      </w:r>
      <w:r w:rsidRPr="00606333">
        <w:rPr>
          <w:lang w:val="fr-FR"/>
        </w:rPr>
        <w:t xml:space="preserve"> la citerne ét</w:t>
      </w:r>
      <w:r>
        <w:rPr>
          <w:lang w:val="fr-FR"/>
        </w:rPr>
        <w:t>ait</w:t>
      </w:r>
      <w:r w:rsidRPr="00606333">
        <w:rPr>
          <w:lang w:val="fr-FR"/>
        </w:rPr>
        <w:t xml:space="preserve"> vérifié</w:t>
      </w:r>
      <w:r>
        <w:rPr>
          <w:lang w:val="fr-FR"/>
        </w:rPr>
        <w:t>e</w:t>
      </w:r>
      <w:r w:rsidRPr="00397239">
        <w:rPr>
          <w:lang w:val="fr-FR"/>
        </w:rPr>
        <w:t xml:space="preserve"> </w:t>
      </w:r>
      <w:r w:rsidRPr="00606333">
        <w:rPr>
          <w:lang w:val="fr-FR"/>
        </w:rPr>
        <w:t xml:space="preserve">et </w:t>
      </w:r>
      <w:r>
        <w:rPr>
          <w:lang w:val="fr-FR"/>
        </w:rPr>
        <w:t xml:space="preserve">dont son </w:t>
      </w:r>
      <w:r w:rsidRPr="00397239">
        <w:rPr>
          <w:lang w:val="fr-FR"/>
        </w:rPr>
        <w:t>contrôle</w:t>
      </w:r>
      <w:r>
        <w:rPr>
          <w:lang w:val="fr-FR"/>
        </w:rPr>
        <w:t xml:space="preserve"> était effectué</w:t>
      </w:r>
      <w:r w:rsidRPr="00606333">
        <w:rPr>
          <w:lang w:val="fr-FR"/>
        </w:rPr>
        <w:t>.</w:t>
      </w:r>
    </w:p>
    <w:p w14:paraId="210BD0BA" w14:textId="2FD465D6" w:rsidR="006E61C0" w:rsidRDefault="006E61C0" w:rsidP="00291DFD">
      <w:pPr>
        <w:pStyle w:val="SingleTxtG"/>
        <w:rPr>
          <w:lang w:val="fr-FR"/>
        </w:rPr>
      </w:pPr>
      <w:r w:rsidRPr="00606333">
        <w:rPr>
          <w:lang w:val="fr-FR"/>
        </w:rPr>
        <w:tab/>
      </w:r>
      <w:r>
        <w:rPr>
          <w:lang w:val="fr-FR"/>
        </w:rPr>
        <w:t>31.</w:t>
      </w:r>
      <w:r>
        <w:rPr>
          <w:lang w:val="fr-FR"/>
        </w:rPr>
        <w:tab/>
        <w:t>Étant donné que l</w:t>
      </w:r>
      <w:r w:rsidRPr="00606333">
        <w:rPr>
          <w:lang w:val="fr-FR"/>
        </w:rPr>
        <w:t xml:space="preserve">e </w:t>
      </w:r>
      <w:r>
        <w:rPr>
          <w:lang w:val="fr-FR"/>
        </w:rPr>
        <w:t xml:space="preserve">présent </w:t>
      </w:r>
      <w:r w:rsidRPr="00606333">
        <w:rPr>
          <w:lang w:val="fr-FR"/>
        </w:rPr>
        <w:t>document a</w:t>
      </w:r>
      <w:r>
        <w:rPr>
          <w:lang w:val="fr-FR"/>
        </w:rPr>
        <w:t>vait</w:t>
      </w:r>
      <w:r w:rsidRPr="00606333">
        <w:rPr>
          <w:lang w:val="fr-FR"/>
        </w:rPr>
        <w:t xml:space="preserve"> été soumis assez tard, la plupart des experts ont déclaré qu</w:t>
      </w:r>
      <w:r>
        <w:rPr>
          <w:lang w:val="fr-FR"/>
        </w:rPr>
        <w:t>’</w:t>
      </w:r>
      <w:r w:rsidRPr="00606333">
        <w:rPr>
          <w:lang w:val="fr-FR"/>
        </w:rPr>
        <w:t>ils n</w:t>
      </w:r>
      <w:r>
        <w:rPr>
          <w:lang w:val="fr-FR"/>
        </w:rPr>
        <w:t>’</w:t>
      </w:r>
      <w:r w:rsidRPr="00606333">
        <w:rPr>
          <w:lang w:val="fr-FR"/>
        </w:rPr>
        <w:t xml:space="preserve">avaient pas eu </w:t>
      </w:r>
      <w:r>
        <w:rPr>
          <w:lang w:val="fr-FR"/>
        </w:rPr>
        <w:t>la possibilité</w:t>
      </w:r>
      <w:r w:rsidRPr="00606333">
        <w:rPr>
          <w:lang w:val="fr-FR"/>
        </w:rPr>
        <w:t xml:space="preserve"> de prendre position. Toutefois, certains ont fait remarquer qu</w:t>
      </w:r>
      <w:r>
        <w:rPr>
          <w:lang w:val="fr-FR"/>
        </w:rPr>
        <w:t>’</w:t>
      </w:r>
      <w:r w:rsidRPr="00606333">
        <w:rPr>
          <w:lang w:val="fr-FR"/>
        </w:rPr>
        <w:t xml:space="preserve">en général, </w:t>
      </w:r>
      <w:r>
        <w:rPr>
          <w:lang w:val="fr-FR"/>
        </w:rPr>
        <w:t>un</w:t>
      </w:r>
      <w:r w:rsidRPr="00606333">
        <w:rPr>
          <w:lang w:val="fr-FR"/>
        </w:rPr>
        <w:t xml:space="preserve"> tracteur et </w:t>
      </w:r>
      <w:r>
        <w:rPr>
          <w:lang w:val="fr-FR"/>
        </w:rPr>
        <w:t xml:space="preserve">une </w:t>
      </w:r>
      <w:r w:rsidRPr="00606333">
        <w:rPr>
          <w:lang w:val="fr-FR"/>
        </w:rPr>
        <w:t xml:space="preserve">semi-remorque </w:t>
      </w:r>
      <w:r>
        <w:rPr>
          <w:lang w:val="fr-FR"/>
        </w:rPr>
        <w:t>étaient propres</w:t>
      </w:r>
      <w:r w:rsidRPr="00606333">
        <w:rPr>
          <w:lang w:val="fr-FR"/>
        </w:rPr>
        <w:t xml:space="preserve"> l</w:t>
      </w:r>
      <w:r>
        <w:rPr>
          <w:lang w:val="fr-FR"/>
        </w:rPr>
        <w:t>’</w:t>
      </w:r>
      <w:r w:rsidRPr="00606333">
        <w:rPr>
          <w:lang w:val="fr-FR"/>
        </w:rPr>
        <w:t xml:space="preserve">un </w:t>
      </w:r>
      <w:r>
        <w:rPr>
          <w:lang w:val="fr-FR"/>
        </w:rPr>
        <w:t>à</w:t>
      </w:r>
      <w:r w:rsidRPr="00606333">
        <w:rPr>
          <w:lang w:val="fr-FR"/>
        </w:rPr>
        <w:t xml:space="preserve"> </w:t>
      </w:r>
      <w:r>
        <w:rPr>
          <w:lang w:val="fr-FR"/>
        </w:rPr>
        <w:t>l’</w:t>
      </w:r>
      <w:r w:rsidRPr="00606333">
        <w:rPr>
          <w:lang w:val="fr-FR"/>
        </w:rPr>
        <w:t xml:space="preserve">autre et étaient liés par </w:t>
      </w:r>
      <w:r>
        <w:rPr>
          <w:lang w:val="fr-FR"/>
        </w:rPr>
        <w:t>une double</w:t>
      </w:r>
      <w:r w:rsidRPr="00606333">
        <w:rPr>
          <w:lang w:val="fr-FR"/>
        </w:rPr>
        <w:t xml:space="preserve"> référence</w:t>
      </w:r>
      <w:r>
        <w:rPr>
          <w:lang w:val="fr-FR"/>
        </w:rPr>
        <w:t xml:space="preserve"> au</w:t>
      </w:r>
      <w:r w:rsidRPr="00606333">
        <w:rPr>
          <w:lang w:val="fr-FR"/>
        </w:rPr>
        <w:t xml:space="preserve"> point 11 du certificat ADR du véhicule. Il a été conclu qu</w:t>
      </w:r>
      <w:r>
        <w:rPr>
          <w:lang w:val="fr-FR"/>
        </w:rPr>
        <w:t>’</w:t>
      </w:r>
      <w:r w:rsidRPr="00606333">
        <w:rPr>
          <w:lang w:val="fr-FR"/>
        </w:rPr>
        <w:t xml:space="preserve">un amendement au </w:t>
      </w:r>
      <w:r>
        <w:rPr>
          <w:lang w:val="fr-FR"/>
        </w:rPr>
        <w:t xml:space="preserve">chapitre </w:t>
      </w:r>
      <w:r w:rsidRPr="00606333">
        <w:rPr>
          <w:lang w:val="fr-FR"/>
        </w:rPr>
        <w:t>9.7 de l</w:t>
      </w:r>
      <w:r>
        <w:rPr>
          <w:lang w:val="fr-FR"/>
        </w:rPr>
        <w:t>’</w:t>
      </w:r>
      <w:r w:rsidRPr="00606333">
        <w:rPr>
          <w:lang w:val="fr-FR"/>
        </w:rPr>
        <w:t xml:space="preserve">ADR pourrait être utile pour </w:t>
      </w:r>
      <w:r>
        <w:rPr>
          <w:lang w:val="fr-FR"/>
        </w:rPr>
        <w:t>éclaircir</w:t>
      </w:r>
      <w:r w:rsidRPr="00606333">
        <w:rPr>
          <w:lang w:val="fr-FR"/>
        </w:rPr>
        <w:t xml:space="preserve"> la </w:t>
      </w:r>
      <w:r>
        <w:rPr>
          <w:lang w:val="fr-FR"/>
        </w:rPr>
        <w:t>que</w:t>
      </w:r>
      <w:r w:rsidRPr="00606333">
        <w:rPr>
          <w:lang w:val="fr-FR"/>
        </w:rPr>
        <w:t>stion.</w:t>
      </w:r>
    </w:p>
    <w:p w14:paraId="0253910C" w14:textId="0B007B53" w:rsidR="00291DFD" w:rsidRPr="00291DFD" w:rsidRDefault="00291DFD" w:rsidP="00291DFD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291DFD" w:rsidRPr="00291DFD" w:rsidSect="006E61C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65FCA" w14:textId="77777777" w:rsidR="00532AE4" w:rsidRDefault="00532AE4" w:rsidP="00F95C08">
      <w:pPr>
        <w:spacing w:line="240" w:lineRule="auto"/>
      </w:pPr>
    </w:p>
  </w:endnote>
  <w:endnote w:type="continuationSeparator" w:id="0">
    <w:p w14:paraId="5619B905" w14:textId="77777777" w:rsidR="00532AE4" w:rsidRPr="00AC3823" w:rsidRDefault="00532AE4" w:rsidP="00AC3823">
      <w:pPr>
        <w:pStyle w:val="Footer"/>
      </w:pPr>
    </w:p>
  </w:endnote>
  <w:endnote w:type="continuationNotice" w:id="1">
    <w:p w14:paraId="160C0CBF" w14:textId="77777777" w:rsidR="00532AE4" w:rsidRDefault="00532AE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FDE2E" w14:textId="523F37A5" w:rsidR="00532AE4" w:rsidRPr="006E61C0" w:rsidRDefault="00532AE4" w:rsidP="006E61C0">
    <w:pPr>
      <w:pStyle w:val="Footer"/>
      <w:tabs>
        <w:tab w:val="right" w:pos="9638"/>
      </w:tabs>
    </w:pPr>
    <w:r w:rsidRPr="006E61C0">
      <w:rPr>
        <w:b/>
        <w:sz w:val="18"/>
      </w:rPr>
      <w:fldChar w:fldCharType="begin"/>
    </w:r>
    <w:r w:rsidRPr="006E61C0">
      <w:rPr>
        <w:b/>
        <w:sz w:val="18"/>
      </w:rPr>
      <w:instrText xml:space="preserve"> PAGE  \* MERGEFORMAT </w:instrText>
    </w:r>
    <w:r w:rsidRPr="006E61C0">
      <w:rPr>
        <w:b/>
        <w:sz w:val="18"/>
      </w:rPr>
      <w:fldChar w:fldCharType="separate"/>
    </w:r>
    <w:r w:rsidRPr="006E61C0">
      <w:rPr>
        <w:b/>
        <w:noProof/>
        <w:sz w:val="18"/>
      </w:rPr>
      <w:t>2</w:t>
    </w:r>
    <w:r w:rsidRPr="006E61C0">
      <w:rPr>
        <w:b/>
        <w:sz w:val="18"/>
      </w:rPr>
      <w:fldChar w:fldCharType="end"/>
    </w:r>
    <w:r>
      <w:rPr>
        <w:b/>
        <w:sz w:val="18"/>
      </w:rPr>
      <w:tab/>
    </w:r>
    <w:r>
      <w:t>GE.21-05219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72C63" w14:textId="6E07CEA3" w:rsidR="00532AE4" w:rsidRPr="006E61C0" w:rsidRDefault="00532AE4" w:rsidP="006E61C0">
    <w:pPr>
      <w:pStyle w:val="Footer"/>
      <w:tabs>
        <w:tab w:val="right" w:pos="9638"/>
      </w:tabs>
      <w:rPr>
        <w:b/>
        <w:sz w:val="18"/>
      </w:rPr>
    </w:pPr>
    <w:r>
      <w:t>GE.21-05219</w:t>
    </w:r>
    <w:r>
      <w:tab/>
    </w:r>
    <w:r w:rsidRPr="006E61C0">
      <w:rPr>
        <w:b/>
        <w:sz w:val="18"/>
      </w:rPr>
      <w:fldChar w:fldCharType="begin"/>
    </w:r>
    <w:r w:rsidRPr="006E61C0">
      <w:rPr>
        <w:b/>
        <w:sz w:val="18"/>
      </w:rPr>
      <w:instrText xml:space="preserve"> PAGE  \* MERGEFORMAT </w:instrText>
    </w:r>
    <w:r w:rsidRPr="006E61C0">
      <w:rPr>
        <w:b/>
        <w:sz w:val="18"/>
      </w:rPr>
      <w:fldChar w:fldCharType="separate"/>
    </w:r>
    <w:r w:rsidRPr="006E61C0">
      <w:rPr>
        <w:b/>
        <w:noProof/>
        <w:sz w:val="18"/>
      </w:rPr>
      <w:t>3</w:t>
    </w:r>
    <w:r w:rsidRPr="006E61C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05389" w14:textId="6503A857" w:rsidR="00532AE4" w:rsidRPr="006E61C0" w:rsidRDefault="00532AE4" w:rsidP="006E61C0">
    <w:pPr>
      <w:pStyle w:val="Footer"/>
      <w:spacing w:before="120"/>
      <w:rPr>
        <w:sz w:val="20"/>
      </w:rPr>
    </w:pPr>
    <w:r>
      <w:rPr>
        <w:sz w:val="20"/>
      </w:rPr>
      <w:t>GE.</w:t>
    </w: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2186A662" wp14:editId="7C2A9C69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21-05219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A66BAAC" wp14:editId="0CC7231E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020621    020621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0FE07" w14:textId="77777777" w:rsidR="00532AE4" w:rsidRPr="00AC3823" w:rsidRDefault="00532AE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61D0508" w14:textId="77777777" w:rsidR="00532AE4" w:rsidRPr="00AC3823" w:rsidRDefault="00532AE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C099D2A" w14:textId="77777777" w:rsidR="00532AE4" w:rsidRPr="00AC3823" w:rsidRDefault="00532AE4">
      <w:pPr>
        <w:spacing w:line="240" w:lineRule="auto"/>
        <w:rPr>
          <w:sz w:val="2"/>
          <w:szCs w:val="2"/>
        </w:rPr>
      </w:pPr>
    </w:p>
  </w:footnote>
  <w:footnote w:id="2">
    <w:p w14:paraId="17031A6C" w14:textId="7D374D7D" w:rsidR="00532AE4" w:rsidRPr="000726CA" w:rsidRDefault="00532AE4" w:rsidP="006E61C0">
      <w:pPr>
        <w:pStyle w:val="FootnoteText"/>
        <w:rPr>
          <w:lang w:val="fr-FR"/>
        </w:rPr>
      </w:pPr>
      <w:r>
        <w:rPr>
          <w:lang w:val="fr-FR"/>
        </w:rPr>
        <w:tab/>
      </w:r>
      <w:r w:rsidRPr="00CB30E1">
        <w:rPr>
          <w:rStyle w:val="FootnoteReference"/>
          <w:sz w:val="20"/>
          <w:szCs w:val="22"/>
          <w:vertAlign w:val="baseline"/>
          <w:lang w:val="fr-FR"/>
        </w:rPr>
        <w:t>*</w:t>
      </w:r>
      <w:r w:rsidRPr="00CB30E1">
        <w:rPr>
          <w:sz w:val="20"/>
          <w:szCs w:val="22"/>
          <w:lang w:val="fr-FR"/>
        </w:rPr>
        <w:tab/>
      </w:r>
      <w:r w:rsidRPr="000726CA">
        <w:rPr>
          <w:lang w:val="fr-FR"/>
        </w:rPr>
        <w:t>Diffusé par l</w:t>
      </w:r>
      <w:r>
        <w:rPr>
          <w:lang w:val="fr-FR"/>
        </w:rPr>
        <w:t>’</w:t>
      </w:r>
      <w:r w:rsidRPr="000726CA">
        <w:rPr>
          <w:lang w:val="fr-FR"/>
        </w:rPr>
        <w:t>Organisation intergouvernementale pour les transports internationaux ferroviaires (OTIF) sous la cote OTIF/RID/RC/2021-A. Sauf indication contraire, les autres documents auxquels il est fait référence dans le présent rapport et qui portent une cote ECE/TRANS/WP.15/AC.1/ suivie de l</w:t>
      </w:r>
      <w:r>
        <w:rPr>
          <w:lang w:val="fr-FR"/>
        </w:rPr>
        <w:t>’</w:t>
      </w:r>
      <w:r w:rsidRPr="000726CA">
        <w:rPr>
          <w:lang w:val="fr-FR"/>
        </w:rPr>
        <w:t>année et d</w:t>
      </w:r>
      <w:r>
        <w:rPr>
          <w:lang w:val="fr-FR"/>
        </w:rPr>
        <w:t>’</w:t>
      </w:r>
      <w:r w:rsidRPr="000726CA">
        <w:rPr>
          <w:lang w:val="fr-FR"/>
        </w:rPr>
        <w:t>un numéro de série ont été diffusés par l</w:t>
      </w:r>
      <w:r>
        <w:rPr>
          <w:lang w:val="fr-FR"/>
        </w:rPr>
        <w:t>’</w:t>
      </w:r>
      <w:r w:rsidRPr="000726CA">
        <w:rPr>
          <w:lang w:val="fr-FR"/>
        </w:rPr>
        <w:t>OTIF sous la cote OTIF/RID/RC/ suivie de l</w:t>
      </w:r>
      <w:r>
        <w:rPr>
          <w:lang w:val="fr-FR"/>
        </w:rPr>
        <w:t>’</w:t>
      </w:r>
      <w:r w:rsidRPr="000726CA">
        <w:rPr>
          <w:lang w:val="fr-FR"/>
        </w:rPr>
        <w:t>année et du même numéro de série.</w:t>
      </w:r>
    </w:p>
  </w:footnote>
  <w:footnote w:id="3">
    <w:p w14:paraId="6D1969C3" w14:textId="4DA4B97B" w:rsidR="00532AE4" w:rsidRPr="000726CA" w:rsidRDefault="00532AE4" w:rsidP="006E61C0">
      <w:pPr>
        <w:pStyle w:val="FootnoteText"/>
        <w:rPr>
          <w:lang w:val="fr-FR"/>
        </w:rPr>
      </w:pPr>
      <w:r>
        <w:rPr>
          <w:lang w:val="fr-FR"/>
        </w:rPr>
        <w:tab/>
      </w:r>
      <w:r w:rsidRPr="00CB30E1">
        <w:rPr>
          <w:rStyle w:val="FootnoteReference"/>
          <w:sz w:val="20"/>
          <w:szCs w:val="22"/>
          <w:vertAlign w:val="baseline"/>
          <w:lang w:val="fr-FR"/>
        </w:rPr>
        <w:t>**</w:t>
      </w:r>
      <w:r w:rsidRPr="00CB30E1">
        <w:rPr>
          <w:sz w:val="20"/>
          <w:szCs w:val="22"/>
          <w:lang w:val="fr-FR"/>
        </w:rPr>
        <w:tab/>
      </w:r>
      <w:r w:rsidRPr="000726CA">
        <w:rPr>
          <w:lang w:val="fr-FR"/>
        </w:rPr>
        <w:t>Diffusé par l</w:t>
      </w:r>
      <w:r>
        <w:rPr>
          <w:lang w:val="fr-FR"/>
        </w:rPr>
        <w:t>’</w:t>
      </w:r>
      <w:r w:rsidRPr="000726CA">
        <w:rPr>
          <w:lang w:val="fr-FR"/>
        </w:rPr>
        <w:t>OTIF sous la cote OTIF/RID/RC/2021-A/Add.1.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E38B5" w14:textId="537CCFF4" w:rsidR="00532AE4" w:rsidRPr="006E61C0" w:rsidRDefault="0008059E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532AE4">
      <w:t>ECE/TRANS/WP.15/AC.1/160/Add.1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851A8" w14:textId="77A2A6B1" w:rsidR="00532AE4" w:rsidRPr="006E61C0" w:rsidRDefault="0008059E" w:rsidP="006E61C0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532AE4">
      <w:t>ECE/TRANS/WP.15/AC.1/160/Add.1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D00401"/>
    <w:multiLevelType w:val="hybridMultilevel"/>
    <w:tmpl w:val="B04AA754"/>
    <w:lvl w:ilvl="0" w:tplc="83A48D4C">
      <w:numFmt w:val="bullet"/>
      <w:lvlText w:val="-"/>
      <w:lvlJc w:val="left"/>
      <w:pPr>
        <w:ind w:left="242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2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164DA9"/>
    <w:multiLevelType w:val="hybridMultilevel"/>
    <w:tmpl w:val="1AFA5D0A"/>
    <w:lvl w:ilvl="0" w:tplc="E5163CEC">
      <w:start w:val="1"/>
      <w:numFmt w:val="lowerLetter"/>
      <w:lvlText w:val="(%1)"/>
      <w:lvlJc w:val="left"/>
      <w:pPr>
        <w:ind w:left="3338" w:hanging="360"/>
      </w:pPr>
      <w:rPr>
        <w:rFonts w:hint="default"/>
        <w:b w:val="0"/>
        <w:i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4068" w:hanging="360"/>
      </w:pPr>
    </w:lvl>
    <w:lvl w:ilvl="2" w:tplc="0809001B" w:tentative="1">
      <w:start w:val="1"/>
      <w:numFmt w:val="lowerRoman"/>
      <w:lvlText w:val="%3."/>
      <w:lvlJc w:val="right"/>
      <w:pPr>
        <w:ind w:left="4788" w:hanging="180"/>
      </w:pPr>
    </w:lvl>
    <w:lvl w:ilvl="3" w:tplc="0809000F" w:tentative="1">
      <w:start w:val="1"/>
      <w:numFmt w:val="decimal"/>
      <w:lvlText w:val="%4."/>
      <w:lvlJc w:val="left"/>
      <w:pPr>
        <w:ind w:left="5508" w:hanging="360"/>
      </w:pPr>
    </w:lvl>
    <w:lvl w:ilvl="4" w:tplc="08090019" w:tentative="1">
      <w:start w:val="1"/>
      <w:numFmt w:val="lowerLetter"/>
      <w:lvlText w:val="%5."/>
      <w:lvlJc w:val="left"/>
      <w:pPr>
        <w:ind w:left="6228" w:hanging="360"/>
      </w:pPr>
    </w:lvl>
    <w:lvl w:ilvl="5" w:tplc="0809001B" w:tentative="1">
      <w:start w:val="1"/>
      <w:numFmt w:val="lowerRoman"/>
      <w:lvlText w:val="%6."/>
      <w:lvlJc w:val="right"/>
      <w:pPr>
        <w:ind w:left="6948" w:hanging="180"/>
      </w:pPr>
    </w:lvl>
    <w:lvl w:ilvl="6" w:tplc="0809000F" w:tentative="1">
      <w:start w:val="1"/>
      <w:numFmt w:val="decimal"/>
      <w:lvlText w:val="%7."/>
      <w:lvlJc w:val="left"/>
      <w:pPr>
        <w:ind w:left="7668" w:hanging="360"/>
      </w:pPr>
    </w:lvl>
    <w:lvl w:ilvl="7" w:tplc="08090019" w:tentative="1">
      <w:start w:val="1"/>
      <w:numFmt w:val="lowerLetter"/>
      <w:lvlText w:val="%8."/>
      <w:lvlJc w:val="left"/>
      <w:pPr>
        <w:ind w:left="8388" w:hanging="360"/>
      </w:pPr>
    </w:lvl>
    <w:lvl w:ilvl="8" w:tplc="0809001B" w:tentative="1">
      <w:start w:val="1"/>
      <w:numFmt w:val="lowerRoman"/>
      <w:lvlText w:val="%9."/>
      <w:lvlJc w:val="right"/>
      <w:pPr>
        <w:ind w:left="9108" w:hanging="180"/>
      </w:pPr>
    </w:lvl>
  </w:abstractNum>
  <w:abstractNum w:abstractNumId="14" w15:restartNumberingAfterBreak="0">
    <w:nsid w:val="18E95060"/>
    <w:multiLevelType w:val="hybridMultilevel"/>
    <w:tmpl w:val="8092DBEA"/>
    <w:lvl w:ilvl="0" w:tplc="260ABE98">
      <w:start w:val="3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080290"/>
    <w:multiLevelType w:val="hybridMultilevel"/>
    <w:tmpl w:val="C5BE8D62"/>
    <w:lvl w:ilvl="0" w:tplc="429EF60C">
      <w:start w:val="17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24D65648"/>
    <w:multiLevelType w:val="hybridMultilevel"/>
    <w:tmpl w:val="DCF8D992"/>
    <w:lvl w:ilvl="0" w:tplc="032284B0">
      <w:start w:val="2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28B848C0"/>
    <w:multiLevelType w:val="hybridMultilevel"/>
    <w:tmpl w:val="3CC4B5F4"/>
    <w:lvl w:ilvl="0" w:tplc="C01C66FC">
      <w:start w:val="3"/>
      <w:numFmt w:val="decimal"/>
      <w:lvlText w:val="%1."/>
      <w:lvlJc w:val="left"/>
      <w:pPr>
        <w:ind w:left="1854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2574" w:hanging="360"/>
      </w:pPr>
    </w:lvl>
    <w:lvl w:ilvl="2" w:tplc="0413001B" w:tentative="1">
      <w:start w:val="1"/>
      <w:numFmt w:val="lowerRoman"/>
      <w:lvlText w:val="%3."/>
      <w:lvlJc w:val="right"/>
      <w:pPr>
        <w:ind w:left="3294" w:hanging="180"/>
      </w:pPr>
    </w:lvl>
    <w:lvl w:ilvl="3" w:tplc="0413000F" w:tentative="1">
      <w:start w:val="1"/>
      <w:numFmt w:val="decimal"/>
      <w:lvlText w:val="%4."/>
      <w:lvlJc w:val="left"/>
      <w:pPr>
        <w:ind w:left="4014" w:hanging="360"/>
      </w:pPr>
    </w:lvl>
    <w:lvl w:ilvl="4" w:tplc="04130019" w:tentative="1">
      <w:start w:val="1"/>
      <w:numFmt w:val="lowerLetter"/>
      <w:lvlText w:val="%5."/>
      <w:lvlJc w:val="left"/>
      <w:pPr>
        <w:ind w:left="4734" w:hanging="360"/>
      </w:pPr>
    </w:lvl>
    <w:lvl w:ilvl="5" w:tplc="0413001B" w:tentative="1">
      <w:start w:val="1"/>
      <w:numFmt w:val="lowerRoman"/>
      <w:lvlText w:val="%6."/>
      <w:lvlJc w:val="right"/>
      <w:pPr>
        <w:ind w:left="5454" w:hanging="180"/>
      </w:pPr>
    </w:lvl>
    <w:lvl w:ilvl="6" w:tplc="0413000F" w:tentative="1">
      <w:start w:val="1"/>
      <w:numFmt w:val="decimal"/>
      <w:lvlText w:val="%7."/>
      <w:lvlJc w:val="left"/>
      <w:pPr>
        <w:ind w:left="6174" w:hanging="360"/>
      </w:pPr>
    </w:lvl>
    <w:lvl w:ilvl="7" w:tplc="04130019" w:tentative="1">
      <w:start w:val="1"/>
      <w:numFmt w:val="lowerLetter"/>
      <w:lvlText w:val="%8."/>
      <w:lvlJc w:val="left"/>
      <w:pPr>
        <w:ind w:left="6894" w:hanging="360"/>
      </w:pPr>
    </w:lvl>
    <w:lvl w:ilvl="8" w:tplc="0413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F3001B"/>
    <w:multiLevelType w:val="hybridMultilevel"/>
    <w:tmpl w:val="393E8D9E"/>
    <w:lvl w:ilvl="0" w:tplc="83A48D4C">
      <w:numFmt w:val="bullet"/>
      <w:lvlText w:val="-"/>
      <w:lvlJc w:val="left"/>
      <w:pPr>
        <w:ind w:left="206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23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5" w15:restartNumberingAfterBreak="0">
    <w:nsid w:val="438C20E0"/>
    <w:multiLevelType w:val="hybridMultilevel"/>
    <w:tmpl w:val="5B0424F2"/>
    <w:lvl w:ilvl="0" w:tplc="D32A7BF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440237E3"/>
    <w:multiLevelType w:val="hybridMultilevel"/>
    <w:tmpl w:val="FB384B3A"/>
    <w:lvl w:ilvl="0" w:tplc="886CFA3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4610087B"/>
    <w:multiLevelType w:val="multilevel"/>
    <w:tmpl w:val="E274FC90"/>
    <w:lvl w:ilvl="0">
      <w:start w:val="6"/>
      <w:numFmt w:val="decimal"/>
      <w:lvlText w:val="%1"/>
      <w:lvlJc w:val="left"/>
      <w:pPr>
        <w:ind w:left="1538" w:hanging="1420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538" w:hanging="1420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38" w:hanging="1420"/>
        <w:jc w:val="left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538" w:hanging="1420"/>
        <w:jc w:val="left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8" w:hanging="14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5">
      <w:numFmt w:val="bullet"/>
      <w:lvlText w:val="–"/>
      <w:lvlJc w:val="left"/>
      <w:pPr>
        <w:ind w:left="1963" w:hanging="404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6">
      <w:numFmt w:val="bullet"/>
      <w:lvlText w:val="•"/>
      <w:lvlJc w:val="left"/>
      <w:pPr>
        <w:ind w:left="5902" w:hanging="404"/>
      </w:pPr>
      <w:rPr>
        <w:rFonts w:hint="default"/>
      </w:rPr>
    </w:lvl>
    <w:lvl w:ilvl="7">
      <w:numFmt w:val="bullet"/>
      <w:lvlText w:val="•"/>
      <w:lvlJc w:val="left"/>
      <w:pPr>
        <w:ind w:left="6887" w:hanging="404"/>
      </w:pPr>
      <w:rPr>
        <w:rFonts w:hint="default"/>
      </w:rPr>
    </w:lvl>
    <w:lvl w:ilvl="8">
      <w:numFmt w:val="bullet"/>
      <w:lvlText w:val="•"/>
      <w:lvlJc w:val="left"/>
      <w:pPr>
        <w:ind w:left="7873" w:hanging="404"/>
      </w:pPr>
      <w:rPr>
        <w:rFonts w:hint="default"/>
      </w:rPr>
    </w:lvl>
  </w:abstractNum>
  <w:abstractNum w:abstractNumId="28" w15:restartNumberingAfterBreak="0">
    <w:nsid w:val="495F064A"/>
    <w:multiLevelType w:val="hybridMultilevel"/>
    <w:tmpl w:val="C20E473E"/>
    <w:lvl w:ilvl="0" w:tplc="3AB45FE8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48" w:hanging="360"/>
      </w:pPr>
    </w:lvl>
    <w:lvl w:ilvl="2" w:tplc="040C001B" w:tentative="1">
      <w:start w:val="1"/>
      <w:numFmt w:val="lowerRoman"/>
      <w:lvlText w:val="%3."/>
      <w:lvlJc w:val="right"/>
      <w:pPr>
        <w:ind w:left="4068" w:hanging="180"/>
      </w:pPr>
    </w:lvl>
    <w:lvl w:ilvl="3" w:tplc="040C000F" w:tentative="1">
      <w:start w:val="1"/>
      <w:numFmt w:val="decimal"/>
      <w:lvlText w:val="%4."/>
      <w:lvlJc w:val="left"/>
      <w:pPr>
        <w:ind w:left="4788" w:hanging="360"/>
      </w:pPr>
    </w:lvl>
    <w:lvl w:ilvl="4" w:tplc="040C0019" w:tentative="1">
      <w:start w:val="1"/>
      <w:numFmt w:val="lowerLetter"/>
      <w:lvlText w:val="%5."/>
      <w:lvlJc w:val="left"/>
      <w:pPr>
        <w:ind w:left="5508" w:hanging="360"/>
      </w:pPr>
    </w:lvl>
    <w:lvl w:ilvl="5" w:tplc="040C001B" w:tentative="1">
      <w:start w:val="1"/>
      <w:numFmt w:val="lowerRoman"/>
      <w:lvlText w:val="%6."/>
      <w:lvlJc w:val="right"/>
      <w:pPr>
        <w:ind w:left="6228" w:hanging="180"/>
      </w:pPr>
    </w:lvl>
    <w:lvl w:ilvl="6" w:tplc="040C000F" w:tentative="1">
      <w:start w:val="1"/>
      <w:numFmt w:val="decimal"/>
      <w:lvlText w:val="%7."/>
      <w:lvlJc w:val="left"/>
      <w:pPr>
        <w:ind w:left="6948" w:hanging="360"/>
      </w:pPr>
    </w:lvl>
    <w:lvl w:ilvl="7" w:tplc="040C0019" w:tentative="1">
      <w:start w:val="1"/>
      <w:numFmt w:val="lowerLetter"/>
      <w:lvlText w:val="%8."/>
      <w:lvlJc w:val="left"/>
      <w:pPr>
        <w:ind w:left="7668" w:hanging="360"/>
      </w:pPr>
    </w:lvl>
    <w:lvl w:ilvl="8" w:tplc="040C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9" w15:restartNumberingAfterBreak="0">
    <w:nsid w:val="4AD8099B"/>
    <w:multiLevelType w:val="hybridMultilevel"/>
    <w:tmpl w:val="7396E6A4"/>
    <w:lvl w:ilvl="0" w:tplc="82CA0E00">
      <w:start w:val="2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2F7D2C"/>
    <w:multiLevelType w:val="multilevel"/>
    <w:tmpl w:val="630095C0"/>
    <w:lvl w:ilvl="0">
      <w:start w:val="6"/>
      <w:numFmt w:val="decimal"/>
      <w:lvlText w:val="%1"/>
      <w:lvlJc w:val="left"/>
      <w:pPr>
        <w:ind w:left="1538" w:hanging="1418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538" w:hanging="1418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38" w:hanging="1418"/>
        <w:jc w:val="left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538" w:hanging="1418"/>
        <w:jc w:val="left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538" w:hanging="141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</w:rPr>
    </w:lvl>
    <w:lvl w:ilvl="5">
      <w:numFmt w:val="bullet"/>
      <w:lvlText w:val="-"/>
      <w:lvlJc w:val="left"/>
      <w:pPr>
        <w:ind w:left="2104" w:hanging="568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6">
      <w:numFmt w:val="bullet"/>
      <w:lvlText w:val="•"/>
      <w:lvlJc w:val="left"/>
      <w:pPr>
        <w:ind w:left="6413" w:hanging="568"/>
      </w:pPr>
      <w:rPr>
        <w:rFonts w:hint="default"/>
      </w:rPr>
    </w:lvl>
    <w:lvl w:ilvl="7">
      <w:numFmt w:val="bullet"/>
      <w:lvlText w:val="•"/>
      <w:lvlJc w:val="left"/>
      <w:pPr>
        <w:ind w:left="7276" w:hanging="568"/>
      </w:pPr>
      <w:rPr>
        <w:rFonts w:hint="default"/>
      </w:rPr>
    </w:lvl>
    <w:lvl w:ilvl="8">
      <w:numFmt w:val="bullet"/>
      <w:lvlText w:val="•"/>
      <w:lvlJc w:val="left"/>
      <w:pPr>
        <w:ind w:left="8138" w:hanging="568"/>
      </w:pPr>
      <w:rPr>
        <w:rFonts w:hint="default"/>
      </w:rPr>
    </w:lvl>
  </w:abstractNum>
  <w:abstractNum w:abstractNumId="31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F31716"/>
    <w:multiLevelType w:val="hybridMultilevel"/>
    <w:tmpl w:val="0040F474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CB003A"/>
    <w:multiLevelType w:val="hybridMultilevel"/>
    <w:tmpl w:val="3322ECB0"/>
    <w:lvl w:ilvl="0" w:tplc="315E6656">
      <w:start w:val="2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025CD4"/>
    <w:multiLevelType w:val="hybridMultilevel"/>
    <w:tmpl w:val="53600B66"/>
    <w:lvl w:ilvl="0" w:tplc="B0124408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7" w15:restartNumberingAfterBreak="0">
    <w:nsid w:val="7E541FC2"/>
    <w:multiLevelType w:val="hybridMultilevel"/>
    <w:tmpl w:val="C7A80214"/>
    <w:lvl w:ilvl="0" w:tplc="1E10D25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4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2"/>
  </w:num>
  <w:num w:numId="15">
    <w:abstractNumId w:val="24"/>
  </w:num>
  <w:num w:numId="16">
    <w:abstractNumId w:val="12"/>
  </w:num>
  <w:num w:numId="17">
    <w:abstractNumId w:val="21"/>
  </w:num>
  <w:num w:numId="18">
    <w:abstractNumId w:val="17"/>
  </w:num>
  <w:num w:numId="19">
    <w:abstractNumId w:val="10"/>
  </w:num>
  <w:num w:numId="20">
    <w:abstractNumId w:val="15"/>
  </w:num>
  <w:num w:numId="21">
    <w:abstractNumId w:val="23"/>
  </w:num>
  <w:num w:numId="22">
    <w:abstractNumId w:val="16"/>
  </w:num>
  <w:num w:numId="23">
    <w:abstractNumId w:val="31"/>
  </w:num>
  <w:num w:numId="24">
    <w:abstractNumId w:val="33"/>
  </w:num>
  <w:num w:numId="25">
    <w:abstractNumId w:val="36"/>
  </w:num>
  <w:num w:numId="26">
    <w:abstractNumId w:val="25"/>
  </w:num>
  <w:num w:numId="27">
    <w:abstractNumId w:val="19"/>
  </w:num>
  <w:num w:numId="28">
    <w:abstractNumId w:val="20"/>
  </w:num>
  <w:num w:numId="29">
    <w:abstractNumId w:val="34"/>
  </w:num>
  <w:num w:numId="30">
    <w:abstractNumId w:val="35"/>
  </w:num>
  <w:num w:numId="31">
    <w:abstractNumId w:val="29"/>
  </w:num>
  <w:num w:numId="32">
    <w:abstractNumId w:val="14"/>
  </w:num>
  <w:num w:numId="33">
    <w:abstractNumId w:val="11"/>
  </w:num>
  <w:num w:numId="34">
    <w:abstractNumId w:val="22"/>
  </w:num>
  <w:num w:numId="35">
    <w:abstractNumId w:val="37"/>
  </w:num>
  <w:num w:numId="36">
    <w:abstractNumId w:val="18"/>
  </w:num>
  <w:num w:numId="37">
    <w:abstractNumId w:val="26"/>
  </w:num>
  <w:num w:numId="38">
    <w:abstractNumId w:val="13"/>
  </w:num>
  <w:num w:numId="39">
    <w:abstractNumId w:val="30"/>
  </w:num>
  <w:num w:numId="40">
    <w:abstractNumId w:val="27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933"/>
    <w:rsid w:val="00017F94"/>
    <w:rsid w:val="00023842"/>
    <w:rsid w:val="000334F9"/>
    <w:rsid w:val="00045FEB"/>
    <w:rsid w:val="0007796D"/>
    <w:rsid w:val="0008059E"/>
    <w:rsid w:val="00082AA2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91DFD"/>
    <w:rsid w:val="002D7C93"/>
    <w:rsid w:val="00305801"/>
    <w:rsid w:val="00335C46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32AE4"/>
    <w:rsid w:val="005505B7"/>
    <w:rsid w:val="00573BE5"/>
    <w:rsid w:val="00586ED3"/>
    <w:rsid w:val="00596AA9"/>
    <w:rsid w:val="00667668"/>
    <w:rsid w:val="006E61C0"/>
    <w:rsid w:val="0071601D"/>
    <w:rsid w:val="007A62E6"/>
    <w:rsid w:val="007F20FA"/>
    <w:rsid w:val="0080684C"/>
    <w:rsid w:val="00824933"/>
    <w:rsid w:val="00871C75"/>
    <w:rsid w:val="008776DC"/>
    <w:rsid w:val="008D5EF9"/>
    <w:rsid w:val="009446C0"/>
    <w:rsid w:val="0095653F"/>
    <w:rsid w:val="009705C8"/>
    <w:rsid w:val="009C1CF4"/>
    <w:rsid w:val="009D75C7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CB30E1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  <w:rsid w:val="00FA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ABCB9D"/>
  <w15:docId w15:val="{021EFCAD-5365-4B57-A40C-2B892368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C46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uiPriority w:val="39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35BAF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6E61C0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335C46"/>
    <w:pPr>
      <w:suppressAutoHyphens w:val="0"/>
      <w:kinsoku/>
      <w:overflowPunct/>
      <w:autoSpaceDE/>
      <w:autoSpaceDN/>
      <w:adjustRightInd/>
      <w:snapToGrid/>
      <w:spacing w:before="100" w:beforeAutospacing="1" w:after="100" w:afterAutospacing="1" w:line="240" w:lineRule="auto"/>
    </w:pPr>
    <w:rPr>
      <w:rFonts w:eastAsia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3636</Words>
  <Characters>20726</Characters>
  <Application>Microsoft Office Word</Application>
  <DocSecurity>0</DocSecurity>
  <Lines>172</Lines>
  <Paragraphs>48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ECE/TRANS/WP.15/AC.1/160/Add.1</vt:lpstr>
    </vt:vector>
  </TitlesOfParts>
  <Company>DCM</Company>
  <LinksUpToDate>false</LinksUpToDate>
  <CharactersWithSpaces>24314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ECE/TRANS/WP.15/AC.1/160/Add.1</dc:title>
  <dc:subject/>
  <dc:creator>Christine CHAUTAGNAT</dc:creator>
  <cp:keywords/>
  <cp:lastModifiedBy>Christine Barrio-Champeau</cp:lastModifiedBy>
  <cp:revision>2</cp:revision>
  <cp:lastPrinted>2021-06-02T08:57:00Z</cp:lastPrinted>
  <dcterms:created xsi:type="dcterms:W3CDTF">2021-06-02T11:52:00Z</dcterms:created>
  <dcterms:modified xsi:type="dcterms:W3CDTF">2021-06-02T11:52:00Z</dcterms:modified>
</cp:coreProperties>
</file>