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BF17E" w14:textId="77777777" w:rsidR="0023575C" w:rsidRPr="00A278DD" w:rsidRDefault="00BE509C" w:rsidP="005E15C6">
      <w:pPr>
        <w:pStyle w:val="Title"/>
      </w:pPr>
      <w:r w:rsidRPr="00A278DD">
        <w:t>Draft f</w:t>
      </w:r>
      <w:r w:rsidR="0023575C" w:rsidRPr="00A278DD">
        <w:rPr>
          <w:spacing w:val="-2"/>
        </w:rPr>
        <w:t xml:space="preserve">indings and </w:t>
      </w:r>
      <w:r w:rsidR="00C90CFC" w:rsidRPr="00A278DD">
        <w:rPr>
          <w:spacing w:val="-2"/>
        </w:rPr>
        <w:t>r</w:t>
      </w:r>
      <w:r w:rsidR="0023575C" w:rsidRPr="00A278DD">
        <w:rPr>
          <w:spacing w:val="-2"/>
        </w:rPr>
        <w:t xml:space="preserve">ecommendations </w:t>
      </w:r>
      <w:proofErr w:type="gramStart"/>
      <w:r w:rsidR="0023575C" w:rsidRPr="00A278DD">
        <w:rPr>
          <w:spacing w:val="-2"/>
        </w:rPr>
        <w:t>with regard to</w:t>
      </w:r>
      <w:proofErr w:type="gramEnd"/>
      <w:r w:rsidR="0023575C" w:rsidRPr="00A278DD">
        <w:rPr>
          <w:spacing w:val="-2"/>
        </w:rPr>
        <w:t xml:space="preserve"> </w:t>
      </w:r>
      <w:r w:rsidR="00C90CFC" w:rsidRPr="00A278DD">
        <w:rPr>
          <w:spacing w:val="-2"/>
        </w:rPr>
        <w:t>c</w:t>
      </w:r>
      <w:r w:rsidR="0023575C" w:rsidRPr="00A278DD">
        <w:rPr>
          <w:spacing w:val="-2"/>
        </w:rPr>
        <w:t>ommunication</w:t>
      </w:r>
      <w:r w:rsidR="0023575C" w:rsidRPr="00A278DD">
        <w:t xml:space="preserve"> </w:t>
      </w:r>
      <w:r w:rsidR="00683167" w:rsidRPr="00A278DD">
        <w:t>ACCC/C/201</w:t>
      </w:r>
      <w:r w:rsidR="00873CB6" w:rsidRPr="00A278DD">
        <w:t>6</w:t>
      </w:r>
      <w:r w:rsidR="000D759F" w:rsidRPr="00A278DD">
        <w:t>/</w:t>
      </w:r>
      <w:r w:rsidR="00FD1C2F" w:rsidRPr="00A278DD">
        <w:t>1</w:t>
      </w:r>
      <w:r w:rsidR="00873CB6" w:rsidRPr="00A278DD">
        <w:t>4</w:t>
      </w:r>
      <w:r w:rsidR="00FD1C2F" w:rsidRPr="00A278DD">
        <w:t xml:space="preserve">4 </w:t>
      </w:r>
      <w:r w:rsidR="0023575C" w:rsidRPr="00A278DD">
        <w:t xml:space="preserve">concerning compliance by </w:t>
      </w:r>
      <w:r w:rsidR="00873CB6" w:rsidRPr="00A278DD">
        <w:t>Bulgaria</w:t>
      </w:r>
    </w:p>
    <w:p w14:paraId="19AC5E1F" w14:textId="77777777" w:rsidR="009E5900" w:rsidRPr="00A278DD" w:rsidRDefault="009E5900" w:rsidP="005E15C6">
      <w:pPr>
        <w:pStyle w:val="Title"/>
      </w:pPr>
      <w:r w:rsidRPr="00A278DD">
        <w:t xml:space="preserve">Adopted by the Compliance Committee on </w:t>
      </w:r>
      <w:r w:rsidR="0013259A" w:rsidRPr="00A278DD">
        <w:t>…</w:t>
      </w:r>
    </w:p>
    <w:p w14:paraId="04A37B98" w14:textId="07B4717A" w:rsidR="0023575C" w:rsidRPr="00A278DD" w:rsidRDefault="00B9404E" w:rsidP="005E15C6">
      <w:pPr>
        <w:pStyle w:val="Heading1"/>
        <w:ind w:left="1134" w:firstLine="0"/>
      </w:pPr>
      <w:r>
        <w:t xml:space="preserve"> </w:t>
      </w:r>
      <w:r w:rsidR="00D971FB" w:rsidRPr="00A278DD">
        <w:t>Introduction</w:t>
      </w:r>
    </w:p>
    <w:p w14:paraId="0EC92FC4" w14:textId="3F161FC7" w:rsidR="00FD1C2F" w:rsidRPr="00A278DD" w:rsidRDefault="00FD1C2F" w:rsidP="005E15C6">
      <w:pPr>
        <w:pStyle w:val="NumberedParas"/>
        <w:ind w:left="1134" w:firstLine="0"/>
      </w:pPr>
      <w:r w:rsidRPr="00A278DD">
        <w:t>On</w:t>
      </w:r>
      <w:r w:rsidR="00147BF6" w:rsidRPr="00A278DD">
        <w:t xml:space="preserve"> 14 November 2016, </w:t>
      </w:r>
      <w:r w:rsidR="00757F62" w:rsidRPr="00A278DD">
        <w:t>non-profit association Civil Control – Animal Protection (the communicant)</w:t>
      </w:r>
      <w:r w:rsidR="00147BF6" w:rsidRPr="00A278DD">
        <w:t>, submitted</w:t>
      </w:r>
      <w:r w:rsidR="00757F62" w:rsidRPr="00A278DD">
        <w:t xml:space="preserve"> </w:t>
      </w:r>
      <w:r w:rsidR="00147BF6" w:rsidRPr="00A278DD">
        <w:t>a communication to the Compliance Committee under the Convention on Access to Information, Public Participation in Decision-making and Access to Justice in Environmental Matters (Aarhus Convention) alleging the failure of Bulgaria to comply with its obligations under the Convention</w:t>
      </w:r>
      <w:r w:rsidRPr="00A278DD">
        <w:rPr>
          <w:lang w:val="en-US"/>
        </w:rPr>
        <w:t>.</w:t>
      </w:r>
      <w:r w:rsidR="00147BF6" w:rsidRPr="00A278DD">
        <w:rPr>
          <w:rStyle w:val="FootnoteCharacters"/>
          <w:lang w:eastAsia="ar-SA"/>
        </w:rPr>
        <w:footnoteReference w:id="2"/>
      </w:r>
    </w:p>
    <w:p w14:paraId="573A38DC" w14:textId="325F94D8" w:rsidR="008C4E0A" w:rsidRPr="00A278DD" w:rsidRDefault="00D60D6D" w:rsidP="005E15C6">
      <w:pPr>
        <w:pStyle w:val="NumberedParas"/>
        <w:ind w:left="1134" w:firstLine="0"/>
      </w:pPr>
      <w:r w:rsidRPr="00A278DD">
        <w:t>More s</w:t>
      </w:r>
      <w:r w:rsidR="00EE4F3D" w:rsidRPr="00A278DD">
        <w:t>pecific</w:t>
      </w:r>
      <w:r w:rsidR="008806E8" w:rsidRPr="00A278DD">
        <w:t xml:space="preserve">ally, </w:t>
      </w:r>
      <w:r w:rsidR="00D80AAE" w:rsidRPr="00A278DD">
        <w:t xml:space="preserve">the communicant </w:t>
      </w:r>
      <w:r w:rsidR="00E62030" w:rsidRPr="00A278DD">
        <w:t xml:space="preserve">alleges </w:t>
      </w:r>
      <w:r w:rsidR="00FD1C2F" w:rsidRPr="00A278DD">
        <w:t xml:space="preserve">that the </w:t>
      </w:r>
      <w:r w:rsidR="009C26FC" w:rsidRPr="00A278DD">
        <w:t>Party concerned</w:t>
      </w:r>
      <w:r w:rsidR="00757F62" w:rsidRPr="00A278DD">
        <w:t xml:space="preserve"> failed to comply with article 7 in conjunction with article 6(3) and (8)</w:t>
      </w:r>
      <w:r w:rsidR="00416411" w:rsidRPr="00A278DD">
        <w:t>,</w:t>
      </w:r>
      <w:r w:rsidR="00757F62" w:rsidRPr="00A278DD">
        <w:t xml:space="preserve"> and article 9(2)-(4) of the Convention by failing to provide adequate public participation </w:t>
      </w:r>
      <w:r w:rsidR="008F43ED" w:rsidRPr="00A278DD">
        <w:t>in the decision-making on a proposed</w:t>
      </w:r>
      <w:r w:rsidR="00757F62" w:rsidRPr="00A278DD">
        <w:t xml:space="preserve"> amendment </w:t>
      </w:r>
      <w:r w:rsidR="008F43ED" w:rsidRPr="00A278DD">
        <w:t>to</w:t>
      </w:r>
      <w:r w:rsidR="00757F62" w:rsidRPr="00A278DD">
        <w:t xml:space="preserve"> the General Spatial Pla</w:t>
      </w:r>
      <w:r w:rsidR="00065D3B" w:rsidRPr="00A278DD">
        <w:t>n (GSP)</w:t>
      </w:r>
      <w:r w:rsidR="000D4945" w:rsidRPr="00A278DD">
        <w:t xml:space="preserve"> </w:t>
      </w:r>
      <w:r w:rsidR="00757F62" w:rsidRPr="00A278DD">
        <w:t xml:space="preserve">of Plovdiv and </w:t>
      </w:r>
      <w:r w:rsidR="00945187" w:rsidRPr="00A278DD">
        <w:t xml:space="preserve">by </w:t>
      </w:r>
      <w:r w:rsidR="00757F62" w:rsidRPr="00A278DD">
        <w:t>failing to provide access to justice to challenge either the amendment of the GSP or an authority’s omission to overrule the amendment.</w:t>
      </w:r>
    </w:p>
    <w:p w14:paraId="6FA434C6" w14:textId="77777777" w:rsidR="00841A60" w:rsidRPr="00A278DD" w:rsidRDefault="00841A60" w:rsidP="005E15C6">
      <w:pPr>
        <w:pStyle w:val="NumberedParas"/>
        <w:ind w:left="1134" w:firstLine="0"/>
      </w:pPr>
      <w:r w:rsidRPr="00A278DD">
        <w:t xml:space="preserve">At its </w:t>
      </w:r>
      <w:r w:rsidR="00757F62" w:rsidRPr="00A278DD">
        <w:t>fifty-sixth</w:t>
      </w:r>
      <w:r w:rsidRPr="00A278DD">
        <w:t xml:space="preserve"> meeting (</w:t>
      </w:r>
      <w:r w:rsidR="00757F62" w:rsidRPr="00A278DD">
        <w:t>28 February-3 March 2017</w:t>
      </w:r>
      <w:r w:rsidRPr="00A278DD">
        <w:t>), the Committee determined on a preliminary basis that the communication was admissible.</w:t>
      </w:r>
    </w:p>
    <w:p w14:paraId="09897C81" w14:textId="77777777" w:rsidR="00301DC8" w:rsidRPr="00A278DD" w:rsidRDefault="00A9197D" w:rsidP="005E15C6">
      <w:pPr>
        <w:pStyle w:val="NumberedParas"/>
        <w:ind w:left="1134" w:firstLine="0"/>
      </w:pPr>
      <w:r w:rsidRPr="00A278DD">
        <w:t>Pursuant to paragraph 22 of the annex to decision I/7 of the Meeting of the Parties to the Convention, the communication was forwarded to the Party concerned on</w:t>
      </w:r>
      <w:r w:rsidR="00757F62" w:rsidRPr="00A278DD">
        <w:t xml:space="preserve"> 20 March 2017</w:t>
      </w:r>
      <w:r w:rsidR="00604F3A" w:rsidRPr="00A278DD">
        <w:t>.</w:t>
      </w:r>
    </w:p>
    <w:p w14:paraId="7A7A1BFA" w14:textId="77777777" w:rsidR="00760761" w:rsidRPr="00A278DD" w:rsidRDefault="00604F3A" w:rsidP="005E15C6">
      <w:pPr>
        <w:pStyle w:val="NumberedParas"/>
        <w:ind w:left="1134" w:firstLine="0"/>
      </w:pPr>
      <w:r w:rsidRPr="00A278DD">
        <w:t>On</w:t>
      </w:r>
      <w:r w:rsidR="00757F62" w:rsidRPr="00A278DD">
        <w:t xml:space="preserve"> 18 August 2017</w:t>
      </w:r>
      <w:r w:rsidRPr="00A278DD">
        <w:t>, t</w:t>
      </w:r>
      <w:r w:rsidR="00D81BC0" w:rsidRPr="00A278DD">
        <w:t xml:space="preserve">he Party concerned </w:t>
      </w:r>
      <w:r w:rsidRPr="00A278DD">
        <w:t xml:space="preserve">provided its response </w:t>
      </w:r>
      <w:r w:rsidR="00F856C8" w:rsidRPr="00A278DD">
        <w:t xml:space="preserve">to the </w:t>
      </w:r>
      <w:r w:rsidR="003E481A" w:rsidRPr="00A278DD">
        <w:t>communication</w:t>
      </w:r>
      <w:r w:rsidR="008806E8" w:rsidRPr="00A278DD">
        <w:t>.</w:t>
      </w:r>
    </w:p>
    <w:p w14:paraId="39905216" w14:textId="17DDEA41" w:rsidR="00E4207A" w:rsidRPr="00A278DD" w:rsidRDefault="00841A60" w:rsidP="005E15C6">
      <w:pPr>
        <w:pStyle w:val="NumberedParas"/>
        <w:ind w:left="1134" w:firstLine="0"/>
      </w:pPr>
      <w:r w:rsidRPr="00A278DD">
        <w:t xml:space="preserve">The </w:t>
      </w:r>
      <w:r w:rsidR="00E4207A" w:rsidRPr="00A278DD">
        <w:t xml:space="preserve">Committee </w:t>
      </w:r>
      <w:r w:rsidR="003E481A" w:rsidRPr="00A278DD">
        <w:t xml:space="preserve">held a hearing to discuss the substance of </w:t>
      </w:r>
      <w:r w:rsidR="00E4207A" w:rsidRPr="00A278DD">
        <w:t xml:space="preserve">the communication at its </w:t>
      </w:r>
      <w:r w:rsidR="00873CB6" w:rsidRPr="00A278DD">
        <w:t xml:space="preserve">sixty-fifth </w:t>
      </w:r>
      <w:r w:rsidR="00E4207A" w:rsidRPr="00A278DD">
        <w:t>meeting</w:t>
      </w:r>
      <w:r w:rsidR="003E481A" w:rsidRPr="00A278DD">
        <w:t xml:space="preserve"> (Geneva, </w:t>
      </w:r>
      <w:r w:rsidR="00873CB6" w:rsidRPr="00A278DD">
        <w:t>5-8</w:t>
      </w:r>
      <w:r w:rsidR="003E481A" w:rsidRPr="00A278DD">
        <w:t xml:space="preserve"> </w:t>
      </w:r>
      <w:r w:rsidR="00873CB6" w:rsidRPr="00A278DD">
        <w:t>November 2019</w:t>
      </w:r>
      <w:r w:rsidR="003E481A" w:rsidRPr="00A278DD">
        <w:t>)</w:t>
      </w:r>
      <w:r w:rsidR="00E4207A" w:rsidRPr="00A278DD">
        <w:t xml:space="preserve">, with the participation of representatives of the communicant. </w:t>
      </w:r>
      <w:r w:rsidR="008F43ED" w:rsidRPr="00A278DD">
        <w:t xml:space="preserve">Despite repeated reminders, the Party concerned did not participate in the hearing. </w:t>
      </w:r>
    </w:p>
    <w:p w14:paraId="70A9F107" w14:textId="48E66047" w:rsidR="00B75C56" w:rsidRPr="00A278DD" w:rsidRDefault="00B75C56" w:rsidP="005E15C6">
      <w:pPr>
        <w:pStyle w:val="NumberedParas"/>
        <w:ind w:left="1134" w:firstLine="0"/>
      </w:pPr>
      <w:r w:rsidRPr="00A278DD">
        <w:t xml:space="preserve">On 16 June 2020, the UNECE </w:t>
      </w:r>
      <w:r w:rsidR="00FC3D39" w:rsidRPr="00A278DD">
        <w:t>Executive Secretary</w:t>
      </w:r>
      <w:r w:rsidRPr="00A278DD">
        <w:t xml:space="preserve">, </w:t>
      </w:r>
      <w:r w:rsidR="008F43ED" w:rsidRPr="00A278DD">
        <w:t>at the request of the Committee, conveyed the Committee’s serious concern that</w:t>
      </w:r>
      <w:r w:rsidR="00C9274D" w:rsidRPr="00A278DD">
        <w:t xml:space="preserve"> the Party concerned did not participate in the hearing at the Committee’s sixty-fifth meeting</w:t>
      </w:r>
      <w:r w:rsidRPr="00A278DD">
        <w:t xml:space="preserve">. </w:t>
      </w:r>
      <w:r w:rsidR="008F43ED" w:rsidRPr="00A278DD">
        <w:t>Her letter also forwarded questions from the Committee to the Party concerned for its written reply.</w:t>
      </w:r>
    </w:p>
    <w:p w14:paraId="42908DFB" w14:textId="77777777" w:rsidR="00B75C56" w:rsidRPr="00A278DD" w:rsidRDefault="00FC3D39" w:rsidP="005E15C6">
      <w:pPr>
        <w:pStyle w:val="NumberedParas"/>
        <w:ind w:left="1134" w:firstLine="0"/>
      </w:pPr>
      <w:r w:rsidRPr="00A278DD">
        <w:t xml:space="preserve">On </w:t>
      </w:r>
      <w:r w:rsidR="00B75C56" w:rsidRPr="00A278DD">
        <w:t xml:space="preserve">13 July 2020, the Party concerned submitted its answers to the list of questions sent by the </w:t>
      </w:r>
      <w:r w:rsidRPr="00A278DD">
        <w:t>Executive Secretary</w:t>
      </w:r>
      <w:r w:rsidR="00B75C56" w:rsidRPr="00A278DD">
        <w:t>, and on 17 September 2020, the communicant provided written comments thereon.</w:t>
      </w:r>
    </w:p>
    <w:p w14:paraId="2A3715BF" w14:textId="330C5138" w:rsidR="00E4207A" w:rsidRPr="00A278DD" w:rsidRDefault="00E4207A" w:rsidP="005E15C6">
      <w:pPr>
        <w:pStyle w:val="NumberedParas"/>
        <w:ind w:left="1134" w:firstLine="0"/>
      </w:pPr>
      <w:r w:rsidRPr="005E15C6">
        <w:t xml:space="preserve">The Committee </w:t>
      </w:r>
      <w:r w:rsidR="003E481A" w:rsidRPr="005E15C6">
        <w:t xml:space="preserve">completed its </w:t>
      </w:r>
      <w:r w:rsidRPr="005E15C6">
        <w:t xml:space="preserve">draft findings </w:t>
      </w:r>
      <w:r w:rsidR="006B41C1" w:rsidRPr="00A278DD">
        <w:rPr>
          <w:iCs/>
        </w:rPr>
        <w:t>through its electronic decision-making procedure on 1</w:t>
      </w:r>
      <w:r w:rsidR="00A31B83">
        <w:rPr>
          <w:iCs/>
        </w:rPr>
        <w:t>6</w:t>
      </w:r>
      <w:r w:rsidR="006B41C1" w:rsidRPr="00A278DD">
        <w:rPr>
          <w:iCs/>
        </w:rPr>
        <w:t xml:space="preserve"> June 2021</w:t>
      </w:r>
      <w:r w:rsidRPr="00A278DD">
        <w:rPr>
          <w:iCs/>
        </w:rPr>
        <w:t>.</w:t>
      </w:r>
      <w:r w:rsidR="006B41C1" w:rsidRPr="00A278DD">
        <w:rPr>
          <w:iCs/>
        </w:rPr>
        <w:t xml:space="preserve"> </w:t>
      </w:r>
      <w:r w:rsidRPr="00A278DD">
        <w:t xml:space="preserve">In accordance with paragraph 34 of the annex to decision I/7, the draft findings were then forwarded </w:t>
      </w:r>
      <w:r w:rsidR="006B41C1" w:rsidRPr="00A278DD">
        <w:rPr>
          <w:iCs/>
        </w:rPr>
        <w:t>on that date</w:t>
      </w:r>
      <w:r w:rsidRPr="00A278DD">
        <w:t xml:space="preserve"> to the Party concerned and the communicant </w:t>
      </w:r>
      <w:r w:rsidR="006B41C1" w:rsidRPr="00A278DD">
        <w:rPr>
          <w:iCs/>
        </w:rPr>
        <w:t>for their comments.</w:t>
      </w:r>
      <w:r w:rsidR="00DB51E2" w:rsidRPr="00A278DD">
        <w:t xml:space="preserve"> </w:t>
      </w:r>
      <w:r w:rsidR="00C94E27" w:rsidRPr="00A278DD">
        <w:t xml:space="preserve">Both were invited to provide comments by </w:t>
      </w:r>
      <w:r w:rsidR="006B41C1" w:rsidRPr="00A278DD">
        <w:rPr>
          <w:iCs/>
        </w:rPr>
        <w:t>23 July 2021</w:t>
      </w:r>
      <w:r w:rsidR="00B421FE" w:rsidRPr="00A278DD">
        <w:rPr>
          <w:iCs/>
        </w:rPr>
        <w:t>.</w:t>
      </w:r>
    </w:p>
    <w:p w14:paraId="1E4A1848" w14:textId="77777777" w:rsidR="00C94E27" w:rsidRPr="00A278DD" w:rsidRDefault="00C94E27" w:rsidP="005E15C6">
      <w:pPr>
        <w:pStyle w:val="NumberedParas"/>
        <w:ind w:left="1134" w:firstLine="0"/>
        <w:rPr>
          <w:i/>
        </w:rPr>
      </w:pPr>
      <w:r w:rsidRPr="00A278DD">
        <w:rPr>
          <w:i/>
        </w:rPr>
        <w:t xml:space="preserve">The Party concerned and the communicant provided comments on </w:t>
      </w:r>
      <w:r w:rsidR="00873CB6" w:rsidRPr="00A278DD">
        <w:rPr>
          <w:i/>
        </w:rPr>
        <w:t>[…]</w:t>
      </w:r>
      <w:r w:rsidRPr="00A278DD">
        <w:rPr>
          <w:i/>
        </w:rPr>
        <w:t xml:space="preserve"> and </w:t>
      </w:r>
      <w:r w:rsidR="00873CB6" w:rsidRPr="00A278DD">
        <w:rPr>
          <w:i/>
        </w:rPr>
        <w:t>[…]</w:t>
      </w:r>
      <w:r w:rsidRPr="00A278DD">
        <w:rPr>
          <w:i/>
        </w:rPr>
        <w:t xml:space="preserve"> respectively.</w:t>
      </w:r>
    </w:p>
    <w:p w14:paraId="1B92381B" w14:textId="12FB356A" w:rsidR="00C94E27" w:rsidRDefault="00C94E27" w:rsidP="005E15C6">
      <w:pPr>
        <w:pStyle w:val="NumberedParas"/>
        <w:ind w:left="1134" w:firstLine="0"/>
        <w:rPr>
          <w:i/>
        </w:rPr>
      </w:pPr>
      <w:r w:rsidRPr="00A278DD">
        <w:rPr>
          <w:i/>
        </w:rPr>
        <w:t xml:space="preserve">At its </w:t>
      </w:r>
      <w:r w:rsidR="00416411" w:rsidRPr="00A278DD">
        <w:rPr>
          <w:i/>
        </w:rPr>
        <w:t xml:space="preserve">[…] </w:t>
      </w:r>
      <w:r w:rsidRPr="00A278DD">
        <w:rPr>
          <w:i/>
        </w:rPr>
        <w:t xml:space="preserve">meeting, the Committee proceeded to finalize its findings in closed session, taking account of the comments received. The Committee then adopted its findings and agreed </w:t>
      </w:r>
      <w:r w:rsidRPr="00A278DD">
        <w:rPr>
          <w:i/>
        </w:rPr>
        <w:lastRenderedPageBreak/>
        <w:t>that they should be published as a formal pre-session document to its [</w:t>
      </w:r>
      <w:r w:rsidR="007F09E7" w:rsidRPr="00A278DD">
        <w:rPr>
          <w:i/>
        </w:rPr>
        <w:t>…</w:t>
      </w:r>
      <w:r w:rsidRPr="00A278DD">
        <w:rPr>
          <w:i/>
        </w:rPr>
        <w:t>]</w:t>
      </w:r>
      <w:r w:rsidR="00A8433D" w:rsidRPr="00A278DD">
        <w:rPr>
          <w:i/>
        </w:rPr>
        <w:t xml:space="preserve"> meeting. It requested the secretariat to send the findings to the Party concerned and the communicant.</w:t>
      </w:r>
    </w:p>
    <w:p w14:paraId="4A3CD1AA" w14:textId="77777777" w:rsidR="004C4397" w:rsidRPr="00A278DD" w:rsidRDefault="004C4397" w:rsidP="004C4397">
      <w:pPr>
        <w:pStyle w:val="NumberedParas"/>
        <w:numPr>
          <w:ilvl w:val="0"/>
          <w:numId w:val="0"/>
        </w:numPr>
        <w:ind w:left="1134"/>
        <w:rPr>
          <w:i/>
        </w:rPr>
      </w:pPr>
    </w:p>
    <w:p w14:paraId="537F3541" w14:textId="1A443C67" w:rsidR="0023575C" w:rsidRPr="00A278DD" w:rsidRDefault="004C4397" w:rsidP="005E15C6">
      <w:pPr>
        <w:pStyle w:val="Heading1"/>
        <w:ind w:left="1134" w:firstLine="0"/>
      </w:pPr>
      <w:r>
        <w:t xml:space="preserve"> </w:t>
      </w:r>
      <w:r w:rsidR="00D971FB" w:rsidRPr="00A278DD">
        <w:t xml:space="preserve">Summary of facts, </w:t>
      </w:r>
      <w:proofErr w:type="gramStart"/>
      <w:r w:rsidR="00D971FB" w:rsidRPr="00A278DD">
        <w:t>evidence</w:t>
      </w:r>
      <w:proofErr w:type="gramEnd"/>
      <w:r w:rsidR="00D971FB" w:rsidRPr="00A278DD">
        <w:t xml:space="preserve"> and issues</w:t>
      </w:r>
      <w:r w:rsidR="0023575C" w:rsidRPr="00A278DD">
        <w:rPr>
          <w:rStyle w:val="FootnoteReference"/>
        </w:rPr>
        <w:footnoteReference w:id="3"/>
      </w:r>
    </w:p>
    <w:p w14:paraId="522AE976" w14:textId="77777777" w:rsidR="0045180A" w:rsidRPr="00A278DD" w:rsidRDefault="009110A6" w:rsidP="005E15C6">
      <w:pPr>
        <w:pStyle w:val="Heading2"/>
        <w:ind w:left="1134" w:firstLine="0"/>
      </w:pPr>
      <w:r w:rsidRPr="00A278DD">
        <w:t>Legal framework</w:t>
      </w:r>
    </w:p>
    <w:p w14:paraId="534B2E74" w14:textId="77777777" w:rsidR="00125A09" w:rsidRPr="00A278DD" w:rsidRDefault="00125A09" w:rsidP="005E15C6">
      <w:pPr>
        <w:pStyle w:val="Heading3"/>
        <w:ind w:left="1134"/>
      </w:pPr>
      <w:r w:rsidRPr="00A278DD">
        <w:t>Spatial planning and environmental assessment</w:t>
      </w:r>
    </w:p>
    <w:p w14:paraId="06420923" w14:textId="77777777" w:rsidR="000632B7" w:rsidRPr="00A278DD" w:rsidRDefault="000632B7" w:rsidP="005E15C6">
      <w:pPr>
        <w:pStyle w:val="Heading4"/>
        <w:ind w:left="1134"/>
      </w:pPr>
      <w:r w:rsidRPr="00A278DD">
        <w:t>General legal aspects</w:t>
      </w:r>
    </w:p>
    <w:p w14:paraId="2E6533E5" w14:textId="1CEFD690" w:rsidR="00101D43" w:rsidRPr="00A278DD" w:rsidRDefault="0062495A" w:rsidP="005E15C6">
      <w:pPr>
        <w:pStyle w:val="NumberedParas"/>
        <w:ind w:left="1134" w:firstLine="0"/>
        <w:rPr>
          <w:rStyle w:val="st"/>
        </w:rPr>
      </w:pPr>
      <w:r w:rsidRPr="00A278DD">
        <w:t xml:space="preserve">Articles 103(2) and 104(1) of the </w:t>
      </w:r>
      <w:r w:rsidRPr="00A278DD">
        <w:rPr>
          <w:rStyle w:val="st"/>
        </w:rPr>
        <w:t xml:space="preserve">Spatial Development Act </w:t>
      </w:r>
      <w:r w:rsidR="005D1BD3" w:rsidRPr="00A278DD">
        <w:rPr>
          <w:rStyle w:val="st"/>
        </w:rPr>
        <w:t xml:space="preserve">(SDA) </w:t>
      </w:r>
      <w:r w:rsidRPr="00A278DD">
        <w:rPr>
          <w:rStyle w:val="st"/>
        </w:rPr>
        <w:t xml:space="preserve">provide that </w:t>
      </w:r>
      <w:r w:rsidR="00101D43" w:rsidRPr="00A278DD">
        <w:rPr>
          <w:rStyle w:val="st"/>
        </w:rPr>
        <w:t>General Spatial Plans (</w:t>
      </w:r>
      <w:r w:rsidR="000D4945" w:rsidRPr="00A278DD">
        <w:rPr>
          <w:rStyle w:val="st"/>
        </w:rPr>
        <w:t>GSPs</w:t>
      </w:r>
      <w:r w:rsidR="00101D43" w:rsidRPr="00A278DD">
        <w:rPr>
          <w:rStyle w:val="st"/>
        </w:rPr>
        <w:t>)</w:t>
      </w:r>
      <w:r w:rsidR="000D4945" w:rsidRPr="00A278DD">
        <w:rPr>
          <w:rStyle w:val="st"/>
        </w:rPr>
        <w:t xml:space="preserve"> </w:t>
      </w:r>
      <w:r w:rsidR="00101D43" w:rsidRPr="00A278DD">
        <w:rPr>
          <w:rStyle w:val="st"/>
        </w:rPr>
        <w:t xml:space="preserve">set </w:t>
      </w:r>
      <w:r w:rsidR="004113AE" w:rsidRPr="00A278DD">
        <w:rPr>
          <w:rStyle w:val="st"/>
        </w:rPr>
        <w:t>the general frame</w:t>
      </w:r>
      <w:r w:rsidR="00101D43" w:rsidRPr="00A278DD">
        <w:rPr>
          <w:rStyle w:val="st"/>
        </w:rPr>
        <w:t>work</w:t>
      </w:r>
      <w:r w:rsidR="004113AE" w:rsidRPr="00A278DD">
        <w:rPr>
          <w:rStyle w:val="st"/>
        </w:rPr>
        <w:t xml:space="preserve"> and guidelines for </w:t>
      </w:r>
      <w:r w:rsidR="00101D43" w:rsidRPr="00A278DD">
        <w:rPr>
          <w:rStyle w:val="st"/>
        </w:rPr>
        <w:t xml:space="preserve">the construction </w:t>
      </w:r>
      <w:r w:rsidR="004113AE" w:rsidRPr="00A278DD">
        <w:rPr>
          <w:rStyle w:val="st"/>
        </w:rPr>
        <w:t xml:space="preserve">and development of the </w:t>
      </w:r>
      <w:r w:rsidR="00101D43" w:rsidRPr="00A278DD">
        <w:rPr>
          <w:rStyle w:val="st"/>
        </w:rPr>
        <w:t xml:space="preserve">relevant </w:t>
      </w:r>
      <w:r w:rsidR="004113AE" w:rsidRPr="00A278DD">
        <w:rPr>
          <w:rStyle w:val="st"/>
        </w:rPr>
        <w:t>territories</w:t>
      </w:r>
      <w:r w:rsidR="00101D43" w:rsidRPr="00A278DD">
        <w:rPr>
          <w:rStyle w:val="st"/>
        </w:rPr>
        <w:t>. They determine</w:t>
      </w:r>
      <w:r w:rsidR="004113AE" w:rsidRPr="00A278DD">
        <w:rPr>
          <w:rStyle w:val="st"/>
        </w:rPr>
        <w:t xml:space="preserve"> the prevailing use and </w:t>
      </w:r>
      <w:r w:rsidR="00101D43" w:rsidRPr="00A278DD">
        <w:rPr>
          <w:rStyle w:val="st"/>
        </w:rPr>
        <w:t xml:space="preserve">means </w:t>
      </w:r>
      <w:r w:rsidR="004113AE" w:rsidRPr="00A278DD">
        <w:rPr>
          <w:rStyle w:val="st"/>
        </w:rPr>
        <w:t xml:space="preserve">of development of </w:t>
      </w:r>
      <w:r w:rsidR="00101D43" w:rsidRPr="00A278DD">
        <w:rPr>
          <w:rStyle w:val="st"/>
        </w:rPr>
        <w:t>those parts of</w:t>
      </w:r>
      <w:r w:rsidR="004113AE" w:rsidRPr="00A278DD">
        <w:rPr>
          <w:rStyle w:val="st"/>
        </w:rPr>
        <w:t xml:space="preserve"> the territories within the scope of the plan and </w:t>
      </w:r>
      <w:r w:rsidR="00851843" w:rsidRPr="00A278DD">
        <w:rPr>
          <w:rStyle w:val="st"/>
        </w:rPr>
        <w:t xml:space="preserve">are </w:t>
      </w:r>
      <w:r w:rsidR="004113AE" w:rsidRPr="00A278DD">
        <w:rPr>
          <w:rStyle w:val="st"/>
        </w:rPr>
        <w:t>a base for their development.</w:t>
      </w:r>
      <w:r w:rsidR="004113AE" w:rsidRPr="00A278DD">
        <w:rPr>
          <w:rStyle w:val="FootnoteReference"/>
        </w:rPr>
        <w:footnoteReference w:id="4"/>
      </w:r>
      <w:r w:rsidR="00F62638" w:rsidRPr="00A278DD">
        <w:rPr>
          <w:rStyle w:val="st"/>
        </w:rPr>
        <w:t xml:space="preserve"> </w:t>
      </w:r>
    </w:p>
    <w:p w14:paraId="2B80DC29" w14:textId="51286F73" w:rsidR="000C611F" w:rsidRPr="00A278DD" w:rsidRDefault="008004FE" w:rsidP="005E15C6">
      <w:pPr>
        <w:pStyle w:val="NumberedParas"/>
        <w:ind w:left="1134" w:firstLine="0"/>
        <w:rPr>
          <w:rStyle w:val="st"/>
        </w:rPr>
      </w:pPr>
      <w:bookmarkStart w:id="0" w:name="_Ref18049897"/>
      <w:r w:rsidRPr="00A278DD">
        <w:rPr>
          <w:rStyle w:val="st"/>
        </w:rPr>
        <w:t>Th</w:t>
      </w:r>
      <w:r w:rsidR="00F84590" w:rsidRPr="00A278DD">
        <w:rPr>
          <w:rStyle w:val="st"/>
        </w:rPr>
        <w:t xml:space="preserve">e Ordinance on the </w:t>
      </w:r>
      <w:r w:rsidR="00342896" w:rsidRPr="00A278DD">
        <w:rPr>
          <w:rStyle w:val="st"/>
        </w:rPr>
        <w:t>C</w:t>
      </w:r>
      <w:r w:rsidR="00F84590" w:rsidRPr="00A278DD">
        <w:rPr>
          <w:rStyle w:val="st"/>
        </w:rPr>
        <w:t xml:space="preserve">onditions and </w:t>
      </w:r>
      <w:r w:rsidR="00342896" w:rsidRPr="00A278DD">
        <w:rPr>
          <w:rStyle w:val="st"/>
        </w:rPr>
        <w:t>O</w:t>
      </w:r>
      <w:r w:rsidR="00F84590" w:rsidRPr="00A278DD">
        <w:rPr>
          <w:rStyle w:val="st"/>
        </w:rPr>
        <w:t xml:space="preserve">rder for </w:t>
      </w:r>
      <w:r w:rsidR="00342896" w:rsidRPr="00A278DD">
        <w:rPr>
          <w:rStyle w:val="st"/>
        </w:rPr>
        <w:t>I</w:t>
      </w:r>
      <w:r w:rsidR="00F84590" w:rsidRPr="00A278DD">
        <w:rPr>
          <w:rStyle w:val="st"/>
        </w:rPr>
        <w:t xml:space="preserve">mplementation of </w:t>
      </w:r>
      <w:r w:rsidR="00342896" w:rsidRPr="00A278DD">
        <w:rPr>
          <w:rStyle w:val="st"/>
        </w:rPr>
        <w:t>E</w:t>
      </w:r>
      <w:r w:rsidR="00F84590" w:rsidRPr="00A278DD">
        <w:rPr>
          <w:rStyle w:val="st"/>
        </w:rPr>
        <w:t xml:space="preserve">nvironmental </w:t>
      </w:r>
      <w:r w:rsidR="00342896" w:rsidRPr="00A278DD">
        <w:rPr>
          <w:rStyle w:val="st"/>
        </w:rPr>
        <w:t>A</w:t>
      </w:r>
      <w:r w:rsidR="00F84590" w:rsidRPr="00A278DD">
        <w:rPr>
          <w:rStyle w:val="st"/>
        </w:rPr>
        <w:t xml:space="preserve">ssessment of </w:t>
      </w:r>
      <w:r w:rsidR="00342896" w:rsidRPr="00A278DD">
        <w:rPr>
          <w:rStyle w:val="st"/>
        </w:rPr>
        <w:t>P</w:t>
      </w:r>
      <w:r w:rsidR="00F84590" w:rsidRPr="00A278DD">
        <w:rPr>
          <w:rStyle w:val="st"/>
        </w:rPr>
        <w:t xml:space="preserve">lans and </w:t>
      </w:r>
      <w:r w:rsidR="00342896" w:rsidRPr="00A278DD">
        <w:rPr>
          <w:rStyle w:val="st"/>
        </w:rPr>
        <w:t>P</w:t>
      </w:r>
      <w:r w:rsidR="00F84590" w:rsidRPr="00A278DD">
        <w:rPr>
          <w:rStyle w:val="st"/>
        </w:rPr>
        <w:t>rogram</w:t>
      </w:r>
      <w:r w:rsidRPr="00A278DD">
        <w:rPr>
          <w:rStyle w:val="st"/>
        </w:rPr>
        <w:t>me</w:t>
      </w:r>
      <w:r w:rsidR="00F84590" w:rsidRPr="00A278DD">
        <w:rPr>
          <w:rStyle w:val="st"/>
        </w:rPr>
        <w:t>s (SEA Ordinance)</w:t>
      </w:r>
      <w:r w:rsidRPr="00A278DD">
        <w:rPr>
          <w:rStyle w:val="st"/>
        </w:rPr>
        <w:t xml:space="preserve"> determines the rules for strategic environmental assessment (SEA) of plans and programmes</w:t>
      </w:r>
      <w:r w:rsidR="00F84590" w:rsidRPr="00A278DD">
        <w:rPr>
          <w:rStyle w:val="st"/>
        </w:rPr>
        <w:t>. Article 2(2)(</w:t>
      </w:r>
      <w:r w:rsidRPr="00A278DD">
        <w:rPr>
          <w:rStyle w:val="st"/>
        </w:rPr>
        <w:t>1</w:t>
      </w:r>
      <w:r w:rsidR="00F84590" w:rsidRPr="00A278DD">
        <w:rPr>
          <w:rStyle w:val="st"/>
        </w:rPr>
        <w:t>) of the SEA Ordinance required that</w:t>
      </w:r>
      <w:r w:rsidRPr="00A278DD">
        <w:rPr>
          <w:rStyle w:val="st"/>
        </w:rPr>
        <w:t xml:space="preserve"> p</w:t>
      </w:r>
      <w:r w:rsidR="009C3718" w:rsidRPr="00A278DD">
        <w:rPr>
          <w:rStyle w:val="st"/>
        </w:rPr>
        <w:t xml:space="preserve">lans </w:t>
      </w:r>
      <w:r w:rsidRPr="00A278DD">
        <w:rPr>
          <w:rStyle w:val="st"/>
        </w:rPr>
        <w:t xml:space="preserve">and their amendments </w:t>
      </w:r>
      <w:r w:rsidR="00C35B66" w:rsidRPr="00A278DD">
        <w:rPr>
          <w:rStyle w:val="st"/>
        </w:rPr>
        <w:t xml:space="preserve">which are not subject to a mandatory SEA </w:t>
      </w:r>
      <w:r w:rsidR="00CB023E" w:rsidRPr="00A278DD">
        <w:rPr>
          <w:rStyle w:val="st"/>
        </w:rPr>
        <w:t>require</w:t>
      </w:r>
      <w:r w:rsidR="009C3718" w:rsidRPr="00A278DD">
        <w:rPr>
          <w:rStyle w:val="st"/>
        </w:rPr>
        <w:t xml:space="preserve"> an assessment regarding the necessity of a</w:t>
      </w:r>
      <w:r w:rsidR="00844450" w:rsidRPr="00A278DD">
        <w:rPr>
          <w:rStyle w:val="st"/>
        </w:rPr>
        <w:t>n</w:t>
      </w:r>
      <w:r w:rsidR="009C3718" w:rsidRPr="00A278DD">
        <w:rPr>
          <w:rStyle w:val="st"/>
        </w:rPr>
        <w:t xml:space="preserve"> SEA</w:t>
      </w:r>
      <w:bookmarkEnd w:id="0"/>
      <w:r w:rsidR="00134717" w:rsidRPr="00A278DD">
        <w:rPr>
          <w:rStyle w:val="st"/>
        </w:rPr>
        <w:t>.</w:t>
      </w:r>
      <w:r w:rsidR="000C611F" w:rsidRPr="00A278DD">
        <w:rPr>
          <w:rStyle w:val="FootnoteReference"/>
        </w:rPr>
        <w:footnoteReference w:id="5"/>
      </w:r>
    </w:p>
    <w:p w14:paraId="098ACEB7" w14:textId="46BF9CA1" w:rsidR="009C3718" w:rsidRPr="00A278DD" w:rsidRDefault="009A6A87" w:rsidP="005E15C6">
      <w:pPr>
        <w:pStyle w:val="NumberedParas"/>
        <w:ind w:left="1134" w:firstLine="0"/>
        <w:rPr>
          <w:rStyle w:val="st"/>
        </w:rPr>
      </w:pPr>
      <w:r w:rsidRPr="00A278DD">
        <w:rPr>
          <w:rStyle w:val="st"/>
        </w:rPr>
        <w:t xml:space="preserve">A </w:t>
      </w:r>
      <w:r w:rsidR="009C3718" w:rsidRPr="00A278DD">
        <w:rPr>
          <w:rStyle w:val="st"/>
        </w:rPr>
        <w:t>decision that a</w:t>
      </w:r>
      <w:r w:rsidR="00844450" w:rsidRPr="00A278DD">
        <w:rPr>
          <w:rStyle w:val="st"/>
        </w:rPr>
        <w:t>n</w:t>
      </w:r>
      <w:r w:rsidR="00851843" w:rsidRPr="00A278DD">
        <w:rPr>
          <w:rStyle w:val="st"/>
        </w:rPr>
        <w:t xml:space="preserve"> SEA </w:t>
      </w:r>
      <w:r w:rsidR="009C3718" w:rsidRPr="00A278DD">
        <w:rPr>
          <w:rStyle w:val="st"/>
        </w:rPr>
        <w:t xml:space="preserve">is not </w:t>
      </w:r>
      <w:r w:rsidR="00F84590" w:rsidRPr="00A278DD">
        <w:rPr>
          <w:rStyle w:val="st"/>
        </w:rPr>
        <w:t>needed</w:t>
      </w:r>
      <w:r w:rsidR="009C3718" w:rsidRPr="00A278DD">
        <w:rPr>
          <w:rStyle w:val="st"/>
        </w:rPr>
        <w:t xml:space="preserve"> for a draft plan </w:t>
      </w:r>
      <w:proofErr w:type="gramStart"/>
      <w:r w:rsidR="009C3718" w:rsidRPr="00A278DD">
        <w:rPr>
          <w:rStyle w:val="st"/>
        </w:rPr>
        <w:t xml:space="preserve">is </w:t>
      </w:r>
      <w:r w:rsidRPr="00A278DD">
        <w:rPr>
          <w:rStyle w:val="st"/>
        </w:rPr>
        <w:t>considered to be</w:t>
      </w:r>
      <w:proofErr w:type="gramEnd"/>
      <w:r w:rsidRPr="00A278DD">
        <w:rPr>
          <w:rStyle w:val="st"/>
        </w:rPr>
        <w:t xml:space="preserve"> </w:t>
      </w:r>
      <w:r w:rsidR="009C3718" w:rsidRPr="00A278DD">
        <w:rPr>
          <w:rStyle w:val="st"/>
        </w:rPr>
        <w:t>a separate administrative act</w:t>
      </w:r>
      <w:r w:rsidR="00F84590" w:rsidRPr="00A278DD">
        <w:rPr>
          <w:rStyle w:val="st"/>
        </w:rPr>
        <w:t xml:space="preserve"> to the plan itself</w:t>
      </w:r>
      <w:r w:rsidR="009C3718" w:rsidRPr="00A278DD">
        <w:rPr>
          <w:rStyle w:val="st"/>
        </w:rPr>
        <w:t>.</w:t>
      </w:r>
      <w:r w:rsidR="009C3718" w:rsidRPr="00A278DD">
        <w:rPr>
          <w:rStyle w:val="FootnoteReference"/>
        </w:rPr>
        <w:footnoteReference w:id="6"/>
      </w:r>
      <w:r w:rsidR="009C3718" w:rsidRPr="00A278DD">
        <w:rPr>
          <w:rStyle w:val="st"/>
        </w:rPr>
        <w:t xml:space="preserve"> </w:t>
      </w:r>
    </w:p>
    <w:p w14:paraId="2D28F057" w14:textId="56FD0A5D" w:rsidR="005F08F5" w:rsidRPr="00A278DD" w:rsidRDefault="005F08F5" w:rsidP="005E15C6">
      <w:pPr>
        <w:pStyle w:val="NumberedParas"/>
        <w:ind w:left="1134" w:firstLine="0"/>
        <w:rPr>
          <w:rStyle w:val="st"/>
        </w:rPr>
      </w:pPr>
      <w:bookmarkStart w:id="1" w:name="_Ref74300510"/>
      <w:r w:rsidRPr="00A278DD">
        <w:rPr>
          <w:rStyle w:val="st"/>
        </w:rPr>
        <w:t xml:space="preserve">Article 125(7) </w:t>
      </w:r>
      <w:r w:rsidR="005D1BD3" w:rsidRPr="00A278DD">
        <w:rPr>
          <w:rStyle w:val="st"/>
        </w:rPr>
        <w:t>SDA</w:t>
      </w:r>
      <w:r w:rsidRPr="00A278DD">
        <w:rPr>
          <w:rStyle w:val="st"/>
        </w:rPr>
        <w:t xml:space="preserve"> provides that </w:t>
      </w:r>
      <w:r w:rsidR="00600707" w:rsidRPr="00A278DD">
        <w:rPr>
          <w:rStyle w:val="st"/>
        </w:rPr>
        <w:t>a</w:t>
      </w:r>
      <w:r w:rsidR="00844450" w:rsidRPr="00A278DD">
        <w:rPr>
          <w:rStyle w:val="st"/>
        </w:rPr>
        <w:t>n</w:t>
      </w:r>
      <w:r w:rsidR="00AE124B" w:rsidRPr="00A278DD">
        <w:rPr>
          <w:rStyle w:val="st"/>
        </w:rPr>
        <w:t xml:space="preserve"> SEA </w:t>
      </w:r>
      <w:r w:rsidR="00F84590" w:rsidRPr="00A278DD">
        <w:rPr>
          <w:rStyle w:val="st"/>
        </w:rPr>
        <w:t>is</w:t>
      </w:r>
      <w:r w:rsidRPr="00A278DD">
        <w:rPr>
          <w:rStyle w:val="st"/>
        </w:rPr>
        <w:t xml:space="preserve"> </w:t>
      </w:r>
      <w:r w:rsidR="00AE124B" w:rsidRPr="00A278DD">
        <w:rPr>
          <w:rStyle w:val="st"/>
        </w:rPr>
        <w:t>“</w:t>
      </w:r>
      <w:r w:rsidRPr="00A278DD">
        <w:rPr>
          <w:rStyle w:val="st"/>
        </w:rPr>
        <w:t xml:space="preserve">part of the development plan.” Article 82(4) of the Environmental </w:t>
      </w:r>
      <w:r w:rsidR="00110EA3" w:rsidRPr="00A278DD">
        <w:rPr>
          <w:rStyle w:val="st"/>
        </w:rPr>
        <w:t xml:space="preserve">Protection Act </w:t>
      </w:r>
      <w:r w:rsidR="005D1BD3" w:rsidRPr="00A278DD">
        <w:rPr>
          <w:rStyle w:val="st"/>
        </w:rPr>
        <w:t xml:space="preserve">(EPA) </w:t>
      </w:r>
      <w:r w:rsidR="00110EA3" w:rsidRPr="00A278DD">
        <w:rPr>
          <w:rStyle w:val="st"/>
        </w:rPr>
        <w:t xml:space="preserve">provides that </w:t>
      </w:r>
      <w:r w:rsidR="005D1BD3" w:rsidRPr="00A278DD">
        <w:rPr>
          <w:rStyle w:val="st"/>
        </w:rPr>
        <w:t>an SEA</w:t>
      </w:r>
      <w:r w:rsidR="00110EA3" w:rsidRPr="00A278DD">
        <w:rPr>
          <w:rStyle w:val="st"/>
        </w:rPr>
        <w:t xml:space="preserve"> decision </w:t>
      </w:r>
      <w:r w:rsidR="00F84590" w:rsidRPr="00A278DD">
        <w:rPr>
          <w:rStyle w:val="st"/>
        </w:rPr>
        <w:t>is</w:t>
      </w:r>
      <w:r w:rsidR="00110EA3" w:rsidRPr="00A278DD">
        <w:rPr>
          <w:rStyle w:val="st"/>
        </w:rPr>
        <w:t xml:space="preserve"> a mandatory condition </w:t>
      </w:r>
      <w:r w:rsidR="00F84590" w:rsidRPr="00A278DD">
        <w:rPr>
          <w:rStyle w:val="st"/>
        </w:rPr>
        <w:t>before a</w:t>
      </w:r>
      <w:r w:rsidR="00110EA3" w:rsidRPr="00A278DD">
        <w:rPr>
          <w:rStyle w:val="st"/>
        </w:rPr>
        <w:t xml:space="preserve"> plan or programme</w:t>
      </w:r>
      <w:r w:rsidR="00F84590" w:rsidRPr="00A278DD">
        <w:rPr>
          <w:rStyle w:val="st"/>
        </w:rPr>
        <w:t xml:space="preserve"> can be approved</w:t>
      </w:r>
      <w:r w:rsidR="00110EA3" w:rsidRPr="00A278DD">
        <w:rPr>
          <w:rStyle w:val="st"/>
        </w:rPr>
        <w:t xml:space="preserve">. The authorities responsible for the adoption and implementation of the plan or programme </w:t>
      </w:r>
      <w:r w:rsidR="005D1BD3" w:rsidRPr="00A278DD">
        <w:rPr>
          <w:rStyle w:val="st"/>
        </w:rPr>
        <w:t>must take</w:t>
      </w:r>
      <w:r w:rsidR="00110EA3" w:rsidRPr="00A278DD">
        <w:rPr>
          <w:rStyle w:val="st"/>
        </w:rPr>
        <w:t xml:space="preserve"> the </w:t>
      </w:r>
      <w:r w:rsidR="007106A9" w:rsidRPr="00A278DD">
        <w:rPr>
          <w:rStyle w:val="st"/>
        </w:rPr>
        <w:t xml:space="preserve">SEA </w:t>
      </w:r>
      <w:r w:rsidR="00110EA3" w:rsidRPr="00A278DD">
        <w:rPr>
          <w:rStyle w:val="st"/>
        </w:rPr>
        <w:t xml:space="preserve">decision </w:t>
      </w:r>
      <w:r w:rsidR="005D1BD3" w:rsidRPr="00A278DD">
        <w:rPr>
          <w:rStyle w:val="st"/>
        </w:rPr>
        <w:t>into consideration</w:t>
      </w:r>
      <w:r w:rsidR="00110EA3" w:rsidRPr="00A278DD">
        <w:rPr>
          <w:rStyle w:val="st"/>
        </w:rPr>
        <w:t>.</w:t>
      </w:r>
      <w:r w:rsidR="00110EA3" w:rsidRPr="00A278DD">
        <w:rPr>
          <w:rStyle w:val="FootnoteReference"/>
        </w:rPr>
        <w:footnoteReference w:id="7"/>
      </w:r>
      <w:bookmarkEnd w:id="1"/>
    </w:p>
    <w:p w14:paraId="75B4F22D" w14:textId="1664FE67" w:rsidR="000632B7" w:rsidRPr="004C4397" w:rsidRDefault="000632B7" w:rsidP="005E15C6">
      <w:pPr>
        <w:pStyle w:val="Heading4"/>
        <w:ind w:left="1134"/>
        <w:rPr>
          <w:rStyle w:val="st"/>
          <w:i w:val="0"/>
        </w:rPr>
      </w:pPr>
      <w:r w:rsidRPr="004C4397">
        <w:t>Public participa</w:t>
      </w:r>
      <w:r w:rsidRPr="00A278DD">
        <w:rPr>
          <w:rStyle w:val="st"/>
        </w:rPr>
        <w:t>tion</w:t>
      </w:r>
      <w:r w:rsidR="00844450" w:rsidRPr="00A278DD">
        <w:rPr>
          <w:rStyle w:val="st"/>
        </w:rPr>
        <w:t xml:space="preserve"> in decision-making on GSPs</w:t>
      </w:r>
    </w:p>
    <w:p w14:paraId="39BB960B" w14:textId="5D9ADEA4" w:rsidR="007A2C0D" w:rsidRPr="00A278DD" w:rsidRDefault="00FA0380" w:rsidP="005E15C6">
      <w:pPr>
        <w:pStyle w:val="NumberedParas"/>
        <w:ind w:left="1134" w:firstLine="0"/>
        <w:rPr>
          <w:rStyle w:val="st"/>
        </w:rPr>
      </w:pPr>
      <w:bookmarkStart w:id="2" w:name="_Ref18337045"/>
      <w:r w:rsidRPr="00A278DD">
        <w:rPr>
          <w:rStyle w:val="st"/>
        </w:rPr>
        <w:t xml:space="preserve">Article 127(1) </w:t>
      </w:r>
      <w:r w:rsidR="009E0AE4" w:rsidRPr="00A278DD">
        <w:rPr>
          <w:rStyle w:val="st"/>
        </w:rPr>
        <w:t>S</w:t>
      </w:r>
      <w:r w:rsidR="00502BC6" w:rsidRPr="00A278DD">
        <w:rPr>
          <w:rStyle w:val="st"/>
        </w:rPr>
        <w:t>D</w:t>
      </w:r>
      <w:r w:rsidR="009E0AE4" w:rsidRPr="00A278DD">
        <w:rPr>
          <w:rStyle w:val="st"/>
        </w:rPr>
        <w:t>A</w:t>
      </w:r>
      <w:r w:rsidRPr="00A278DD">
        <w:rPr>
          <w:rStyle w:val="st"/>
        </w:rPr>
        <w:t xml:space="preserve"> </w:t>
      </w:r>
      <w:r w:rsidR="00101D43" w:rsidRPr="00A278DD">
        <w:rPr>
          <w:rStyle w:val="st"/>
        </w:rPr>
        <w:t xml:space="preserve">sets out </w:t>
      </w:r>
      <w:r w:rsidRPr="00A278DD">
        <w:rPr>
          <w:rStyle w:val="st"/>
        </w:rPr>
        <w:t xml:space="preserve">the </w:t>
      </w:r>
      <w:r w:rsidR="00A3131C" w:rsidRPr="00A278DD">
        <w:rPr>
          <w:rStyle w:val="st"/>
        </w:rPr>
        <w:t xml:space="preserve">general </w:t>
      </w:r>
      <w:r w:rsidRPr="00A278DD">
        <w:rPr>
          <w:rStyle w:val="st"/>
        </w:rPr>
        <w:t>frame</w:t>
      </w:r>
      <w:r w:rsidR="00CA6618" w:rsidRPr="00A278DD">
        <w:rPr>
          <w:rStyle w:val="st"/>
        </w:rPr>
        <w:t>work</w:t>
      </w:r>
      <w:r w:rsidRPr="00A278DD">
        <w:rPr>
          <w:rStyle w:val="st"/>
        </w:rPr>
        <w:t xml:space="preserve"> </w:t>
      </w:r>
      <w:r w:rsidR="00CA6618" w:rsidRPr="00A278DD">
        <w:rPr>
          <w:rStyle w:val="st"/>
        </w:rPr>
        <w:t>for</w:t>
      </w:r>
      <w:r w:rsidRPr="00A278DD">
        <w:rPr>
          <w:rStyle w:val="st"/>
        </w:rPr>
        <w:t xml:space="preserve"> the public participation </w:t>
      </w:r>
      <w:r w:rsidR="00101D43" w:rsidRPr="00A278DD">
        <w:rPr>
          <w:rStyle w:val="st"/>
        </w:rPr>
        <w:t xml:space="preserve">procedure relating to GSPs and </w:t>
      </w:r>
      <w:r w:rsidR="00844450" w:rsidRPr="00A278DD">
        <w:rPr>
          <w:rStyle w:val="st"/>
        </w:rPr>
        <w:t xml:space="preserve">GSP </w:t>
      </w:r>
      <w:r w:rsidR="00101D43" w:rsidRPr="00A278DD">
        <w:rPr>
          <w:rStyle w:val="st"/>
        </w:rPr>
        <w:t>amendment</w:t>
      </w:r>
      <w:r w:rsidR="00844450" w:rsidRPr="00A278DD">
        <w:rPr>
          <w:rStyle w:val="st"/>
        </w:rPr>
        <w:t>s</w:t>
      </w:r>
      <w:r w:rsidRPr="00A278DD">
        <w:rPr>
          <w:rStyle w:val="st"/>
        </w:rPr>
        <w:t>.</w:t>
      </w:r>
      <w:r w:rsidRPr="00A278DD">
        <w:rPr>
          <w:rStyle w:val="FootnoteReference"/>
        </w:rPr>
        <w:footnoteReference w:id="8"/>
      </w:r>
      <w:r w:rsidR="00373F03" w:rsidRPr="00A278DD">
        <w:rPr>
          <w:rStyle w:val="st"/>
        </w:rPr>
        <w:t xml:space="preserve"> </w:t>
      </w:r>
      <w:bookmarkEnd w:id="2"/>
      <w:r w:rsidR="00A279BF" w:rsidRPr="00A278DD">
        <w:rPr>
          <w:rStyle w:val="st"/>
        </w:rPr>
        <w:t>This provision states that:</w:t>
      </w:r>
    </w:p>
    <w:p w14:paraId="51DED196" w14:textId="6DB9B017" w:rsidR="007A2C0D" w:rsidRPr="00A278DD" w:rsidRDefault="009B13BE" w:rsidP="005E15C6">
      <w:pPr>
        <w:pStyle w:val="Quote"/>
        <w:ind w:left="1701"/>
        <w:rPr>
          <w:rStyle w:val="st"/>
        </w:rPr>
      </w:pPr>
      <w:r w:rsidRPr="00A278DD">
        <w:rPr>
          <w:rStyle w:val="st"/>
        </w:rPr>
        <w:t xml:space="preserve">The designs of general spatial development plans shall be published on the website of the respective municipality and shall be subject to public discussions prior to their submission to the land development expert councils. The employer of the project shall organize and conduct the public discussions, by announcing the venue, date and time of the event by a notice which shall be displayed in the designated places in the building of the municipality, region or mayor </w:t>
      </w:r>
      <w:r w:rsidR="00342896" w:rsidRPr="00A278DD">
        <w:rPr>
          <w:rStyle w:val="st"/>
        </w:rPr>
        <w:t>administration</w:t>
      </w:r>
      <w:r w:rsidRPr="00A278DD">
        <w:rPr>
          <w:rStyle w:val="st"/>
        </w:rPr>
        <w:t>, and in other places announced in advance and accessible by the public in the respective territory – subject to the plan and shall be published on the Internet site of the employer and of the municipality, in one national daily newspaper and one local newspaper. Written</w:t>
      </w:r>
      <w:r w:rsidRPr="004C4397">
        <w:rPr>
          <w:rStyle w:val="st"/>
        </w:rPr>
        <w:t xml:space="preserve"> minutes </w:t>
      </w:r>
      <w:r w:rsidRPr="00A278DD">
        <w:rPr>
          <w:rStyle w:val="st"/>
        </w:rPr>
        <w:t xml:space="preserve">shall be recorded at </w:t>
      </w:r>
      <w:r w:rsidRPr="004C4397">
        <w:rPr>
          <w:rStyle w:val="st"/>
        </w:rPr>
        <w:t>the public discussion</w:t>
      </w:r>
      <w:r w:rsidRPr="00A278DD">
        <w:rPr>
          <w:rStyle w:val="st"/>
        </w:rPr>
        <w:t>, which shall be</w:t>
      </w:r>
      <w:r w:rsidRPr="004C4397">
        <w:rPr>
          <w:rStyle w:val="st"/>
        </w:rPr>
        <w:t xml:space="preserve"> attached to </w:t>
      </w:r>
      <w:r w:rsidRPr="00A278DD">
        <w:rPr>
          <w:rStyle w:val="st"/>
        </w:rPr>
        <w:t>the documentation for the expert council and for the local council. In the towns with regional subdivision</w:t>
      </w:r>
      <w:r w:rsidRPr="004C4397">
        <w:rPr>
          <w:rStyle w:val="st"/>
        </w:rPr>
        <w:t xml:space="preserve"> public </w:t>
      </w:r>
      <w:r w:rsidRPr="00A278DD">
        <w:rPr>
          <w:rStyle w:val="st"/>
        </w:rPr>
        <w:t xml:space="preserve">discussions must be arranged in all regions. The </w:t>
      </w:r>
      <w:r w:rsidRPr="00A278DD">
        <w:rPr>
          <w:rStyle w:val="st"/>
        </w:rPr>
        <w:lastRenderedPageBreak/>
        <w:t xml:space="preserve">public </w:t>
      </w:r>
      <w:r w:rsidRPr="004C4397">
        <w:rPr>
          <w:rStyle w:val="st"/>
        </w:rPr>
        <w:t xml:space="preserve">discussion </w:t>
      </w:r>
      <w:r w:rsidRPr="00A278DD">
        <w:rPr>
          <w:rStyle w:val="st"/>
        </w:rPr>
        <w:t>shall be combined and shall be a part</w:t>
      </w:r>
      <w:r w:rsidRPr="004C4397">
        <w:rPr>
          <w:rStyle w:val="st"/>
        </w:rPr>
        <w:t xml:space="preserve"> of the </w:t>
      </w:r>
      <w:bookmarkStart w:id="3" w:name="_Ref18337050"/>
      <w:r w:rsidRPr="00A278DD">
        <w:rPr>
          <w:rStyle w:val="st"/>
        </w:rPr>
        <w:t>procedure for</w:t>
      </w:r>
      <w:r w:rsidRPr="004C4397">
        <w:rPr>
          <w:rStyle w:val="st"/>
        </w:rPr>
        <w:t xml:space="preserve"> consultations </w:t>
      </w:r>
      <w:bookmarkEnd w:id="3"/>
      <w:r w:rsidRPr="00A278DD">
        <w:rPr>
          <w:rStyle w:val="st"/>
        </w:rPr>
        <w:t>on the environmental assessment and/or compatibility assessment, organized and conducted by the employer according to the provisions</w:t>
      </w:r>
      <w:r w:rsidRPr="004C4397">
        <w:rPr>
          <w:rStyle w:val="st"/>
        </w:rPr>
        <w:t xml:space="preserve"> of the </w:t>
      </w:r>
      <w:r w:rsidRPr="00A278DD">
        <w:rPr>
          <w:rStyle w:val="st"/>
        </w:rPr>
        <w:t>Environmental Protection Act and/or the Law for the Biological Diversity.</w:t>
      </w:r>
      <w:r w:rsidR="00D222BC" w:rsidRPr="00A278DD">
        <w:rPr>
          <w:rStyle w:val="FootnoteReference"/>
        </w:rPr>
        <w:footnoteReference w:id="9"/>
      </w:r>
    </w:p>
    <w:p w14:paraId="588A0E6E" w14:textId="5428FE93" w:rsidR="000632B7" w:rsidRPr="00A278DD" w:rsidRDefault="000632B7" w:rsidP="005E15C6">
      <w:pPr>
        <w:pStyle w:val="Heading4"/>
        <w:ind w:left="1134"/>
        <w:rPr>
          <w:rStyle w:val="st"/>
        </w:rPr>
      </w:pPr>
      <w:r w:rsidRPr="00A278DD">
        <w:t>Access to justice</w:t>
      </w:r>
      <w:r w:rsidR="004C4397">
        <w:t xml:space="preserve"> regarding GSPs</w:t>
      </w:r>
    </w:p>
    <w:p w14:paraId="43587517" w14:textId="26BA92D4" w:rsidR="00C13E59" w:rsidRPr="00A278DD" w:rsidRDefault="00853E8B" w:rsidP="005E15C6">
      <w:pPr>
        <w:pStyle w:val="NumberedParas"/>
        <w:ind w:left="1134" w:firstLine="0"/>
        <w:rPr>
          <w:rStyle w:val="st"/>
        </w:rPr>
      </w:pPr>
      <w:bookmarkStart w:id="4" w:name="_Ref18062495"/>
      <w:bookmarkStart w:id="5" w:name="_Ref18076142"/>
      <w:bookmarkStart w:id="6" w:name="_Ref18060681"/>
      <w:r w:rsidRPr="00A278DD">
        <w:rPr>
          <w:rStyle w:val="st"/>
        </w:rPr>
        <w:t xml:space="preserve">Pursuant to article 215(6) of the SDA, </w:t>
      </w:r>
      <w:r w:rsidR="004873EC" w:rsidRPr="00A278DD">
        <w:rPr>
          <w:rStyle w:val="st"/>
        </w:rPr>
        <w:t>GSPs</w:t>
      </w:r>
      <w:r w:rsidRPr="00A278DD">
        <w:rPr>
          <w:rStyle w:val="st"/>
        </w:rPr>
        <w:t xml:space="preserve"> </w:t>
      </w:r>
      <w:r w:rsidR="00844450" w:rsidRPr="00A278DD">
        <w:rPr>
          <w:rStyle w:val="st"/>
        </w:rPr>
        <w:t>and amendments thereto are not subject to appeal</w:t>
      </w:r>
      <w:r w:rsidRPr="00A278DD">
        <w:rPr>
          <w:rStyle w:val="st"/>
        </w:rPr>
        <w:t>.</w:t>
      </w:r>
      <w:r w:rsidRPr="00A278DD">
        <w:rPr>
          <w:rStyle w:val="FootnoteReference"/>
        </w:rPr>
        <w:footnoteReference w:id="10"/>
      </w:r>
      <w:r w:rsidRPr="00A278DD">
        <w:rPr>
          <w:rStyle w:val="st"/>
        </w:rPr>
        <w:t xml:space="preserve"> </w:t>
      </w:r>
      <w:r w:rsidR="00EB453D" w:rsidRPr="00A278DD">
        <w:rPr>
          <w:rStyle w:val="st"/>
        </w:rPr>
        <w:t xml:space="preserve"> </w:t>
      </w:r>
      <w:r w:rsidR="00844450" w:rsidRPr="00A278DD">
        <w:rPr>
          <w:rStyle w:val="st"/>
        </w:rPr>
        <w:t>However, a</w:t>
      </w:r>
      <w:r w:rsidR="00EC55E5" w:rsidRPr="00A278DD">
        <w:rPr>
          <w:rStyle w:val="st"/>
        </w:rPr>
        <w:t xml:space="preserve">rticle 127(6) of the SDA provides that the County Governor may </w:t>
      </w:r>
      <w:r w:rsidR="00EB453D" w:rsidRPr="00A278DD">
        <w:rPr>
          <w:rStyle w:val="st"/>
        </w:rPr>
        <w:t xml:space="preserve">challenge </w:t>
      </w:r>
      <w:r w:rsidR="00EC55E5" w:rsidRPr="00A278DD">
        <w:rPr>
          <w:rStyle w:val="st"/>
        </w:rPr>
        <w:t>a GSP</w:t>
      </w:r>
      <w:r w:rsidR="00EB453D" w:rsidRPr="00A278DD">
        <w:rPr>
          <w:rStyle w:val="st"/>
        </w:rPr>
        <w:t xml:space="preserve"> in court</w:t>
      </w:r>
      <w:r w:rsidR="00C13E59" w:rsidRPr="00A278DD">
        <w:rPr>
          <w:rStyle w:val="st"/>
        </w:rPr>
        <w:t xml:space="preserve"> in accordance with its power to review the legality of all acts of </w:t>
      </w:r>
      <w:r w:rsidR="00D13EFF" w:rsidRPr="00A278DD">
        <w:rPr>
          <w:rStyle w:val="st"/>
        </w:rPr>
        <w:t xml:space="preserve">the </w:t>
      </w:r>
      <w:r w:rsidR="00C13E59" w:rsidRPr="00A278DD">
        <w:rPr>
          <w:rStyle w:val="st"/>
        </w:rPr>
        <w:t xml:space="preserve">municipal council under article 45(5) of the </w:t>
      </w:r>
      <w:r w:rsidR="002D2748" w:rsidRPr="00A278DD">
        <w:rPr>
          <w:rStyle w:val="st"/>
        </w:rPr>
        <w:t>Local Government and Local Administration Act</w:t>
      </w:r>
      <w:r w:rsidR="00257E4D" w:rsidRPr="00A278DD">
        <w:rPr>
          <w:rStyle w:val="st"/>
        </w:rPr>
        <w:t xml:space="preserve"> </w:t>
      </w:r>
      <w:r w:rsidR="002D2748" w:rsidRPr="00A278DD">
        <w:rPr>
          <w:rStyle w:val="st"/>
        </w:rPr>
        <w:t>(</w:t>
      </w:r>
      <w:r w:rsidR="00C13E59" w:rsidRPr="00A278DD">
        <w:rPr>
          <w:rStyle w:val="st"/>
        </w:rPr>
        <w:t>LGLAA</w:t>
      </w:r>
      <w:r w:rsidR="002D2748" w:rsidRPr="00A278DD">
        <w:rPr>
          <w:rStyle w:val="st"/>
        </w:rPr>
        <w:t>)</w:t>
      </w:r>
      <w:r w:rsidR="00C13E59" w:rsidRPr="00A278DD">
        <w:rPr>
          <w:rStyle w:val="st"/>
        </w:rPr>
        <w:t>.</w:t>
      </w:r>
      <w:bookmarkEnd w:id="4"/>
      <w:r w:rsidR="001D645F" w:rsidRPr="00A278DD">
        <w:rPr>
          <w:rStyle w:val="st"/>
        </w:rPr>
        <w:t xml:space="preserve"> Such a legal challenge must be filed within 14 days according to article 127(6)</w:t>
      </w:r>
      <w:r w:rsidR="00D13EFF" w:rsidRPr="00A278DD">
        <w:rPr>
          <w:rStyle w:val="st"/>
        </w:rPr>
        <w:t xml:space="preserve"> of the SDA</w:t>
      </w:r>
      <w:r w:rsidR="001D645F" w:rsidRPr="00A278DD">
        <w:rPr>
          <w:rStyle w:val="st"/>
        </w:rPr>
        <w:t>.</w:t>
      </w:r>
      <w:r w:rsidR="001D645F" w:rsidRPr="00A278DD">
        <w:rPr>
          <w:rStyle w:val="FootnoteReference"/>
        </w:rPr>
        <w:footnoteReference w:id="11"/>
      </w:r>
      <w:bookmarkEnd w:id="5"/>
    </w:p>
    <w:p w14:paraId="3390D91C" w14:textId="47A3F814" w:rsidR="00087F90" w:rsidRPr="00A278DD" w:rsidRDefault="00087F90" w:rsidP="005E15C6">
      <w:pPr>
        <w:pStyle w:val="NumberedParas"/>
        <w:ind w:left="1134" w:firstLine="0"/>
        <w:rPr>
          <w:rStyle w:val="st"/>
        </w:rPr>
      </w:pPr>
      <w:bookmarkStart w:id="7" w:name="_Ref73545200"/>
      <w:r w:rsidRPr="00A278DD">
        <w:rPr>
          <w:rStyle w:val="st"/>
        </w:rPr>
        <w:t xml:space="preserve">Members of the public may make a “referral” to the </w:t>
      </w:r>
      <w:r w:rsidR="0031667B" w:rsidRPr="00A278DD">
        <w:rPr>
          <w:rStyle w:val="st"/>
        </w:rPr>
        <w:t>C</w:t>
      </w:r>
      <w:r w:rsidRPr="00A278DD">
        <w:rPr>
          <w:rStyle w:val="st"/>
        </w:rPr>
        <w:t xml:space="preserve">ounty </w:t>
      </w:r>
      <w:r w:rsidR="00EC55E5" w:rsidRPr="00A278DD">
        <w:rPr>
          <w:rStyle w:val="st"/>
        </w:rPr>
        <w:t>Governor</w:t>
      </w:r>
      <w:r w:rsidRPr="00A278DD">
        <w:rPr>
          <w:rStyle w:val="st"/>
        </w:rPr>
        <w:t xml:space="preserve"> to take </w:t>
      </w:r>
      <w:r w:rsidR="00D13EFF" w:rsidRPr="00A278DD">
        <w:rPr>
          <w:rStyle w:val="st"/>
        </w:rPr>
        <w:t>the</w:t>
      </w:r>
      <w:r w:rsidRPr="00A278DD">
        <w:rPr>
          <w:rStyle w:val="st"/>
        </w:rPr>
        <w:t xml:space="preserve"> actions</w:t>
      </w:r>
      <w:r w:rsidR="00D13EFF" w:rsidRPr="00A278DD">
        <w:rPr>
          <w:rStyle w:val="st"/>
        </w:rPr>
        <w:t xml:space="preserve"> described in the paragraph above</w:t>
      </w:r>
      <w:r w:rsidRPr="00A278DD">
        <w:rPr>
          <w:rStyle w:val="st"/>
        </w:rPr>
        <w:t xml:space="preserve">. However, there is neither a legally regulated procedure for such a referral, nor a legal obligation for the </w:t>
      </w:r>
      <w:r w:rsidR="00844450" w:rsidRPr="00A278DD">
        <w:rPr>
          <w:rStyle w:val="st"/>
        </w:rPr>
        <w:t>G</w:t>
      </w:r>
      <w:r w:rsidRPr="00A278DD">
        <w:rPr>
          <w:rStyle w:val="st"/>
        </w:rPr>
        <w:t>overnor to consider and rule on requests of this nature</w:t>
      </w:r>
      <w:r w:rsidR="00BD13BF" w:rsidRPr="00A278DD">
        <w:rPr>
          <w:rStyle w:val="st"/>
        </w:rPr>
        <w:t xml:space="preserve"> or a procedure to challenge a </w:t>
      </w:r>
      <w:r w:rsidR="00844450" w:rsidRPr="00A278DD">
        <w:rPr>
          <w:rStyle w:val="st"/>
        </w:rPr>
        <w:t>G</w:t>
      </w:r>
      <w:r w:rsidR="00BD13BF" w:rsidRPr="00A278DD">
        <w:rPr>
          <w:rStyle w:val="st"/>
        </w:rPr>
        <w:t>overnor’s failure to consider and rule on a request of this nature.</w:t>
      </w:r>
      <w:r w:rsidRPr="00A278DD">
        <w:rPr>
          <w:rStyle w:val="FootnoteReference"/>
        </w:rPr>
        <w:footnoteReference w:id="12"/>
      </w:r>
      <w:bookmarkEnd w:id="6"/>
      <w:bookmarkEnd w:id="7"/>
    </w:p>
    <w:p w14:paraId="56E5D446" w14:textId="46CE067F" w:rsidR="00125A09" w:rsidRDefault="003333E1" w:rsidP="005E15C6">
      <w:pPr>
        <w:pStyle w:val="NumberedParas"/>
        <w:ind w:left="1134" w:firstLine="0"/>
        <w:rPr>
          <w:rStyle w:val="st"/>
        </w:rPr>
      </w:pPr>
      <w:r w:rsidRPr="00A278DD">
        <w:rPr>
          <w:rStyle w:val="st"/>
        </w:rPr>
        <w:t xml:space="preserve">Following its 14 August 2015 amendment, article 88(3) EPA provides that an SEA decision </w:t>
      </w:r>
      <w:r w:rsidR="00853E8B" w:rsidRPr="00A278DD">
        <w:rPr>
          <w:rStyle w:val="st"/>
        </w:rPr>
        <w:t xml:space="preserve">can </w:t>
      </w:r>
      <w:r w:rsidR="00EB453D" w:rsidRPr="00A278DD">
        <w:rPr>
          <w:rStyle w:val="st"/>
        </w:rPr>
        <w:t>be challenged in court</w:t>
      </w:r>
      <w:r w:rsidR="00853E8B" w:rsidRPr="00A278DD">
        <w:rPr>
          <w:rStyle w:val="st"/>
        </w:rPr>
        <w:t>.</w:t>
      </w:r>
      <w:r w:rsidR="00853E8B" w:rsidRPr="00A278DD">
        <w:rPr>
          <w:rStyle w:val="FootnoteReference"/>
        </w:rPr>
        <w:footnoteReference w:id="13"/>
      </w:r>
    </w:p>
    <w:p w14:paraId="68DC1020" w14:textId="77777777" w:rsidR="004C4397" w:rsidRPr="00A278DD" w:rsidRDefault="004C4397" w:rsidP="004C4397">
      <w:pPr>
        <w:pStyle w:val="NumberedParas"/>
        <w:numPr>
          <w:ilvl w:val="0"/>
          <w:numId w:val="0"/>
        </w:numPr>
        <w:ind w:left="1134"/>
        <w:rPr>
          <w:rStyle w:val="st"/>
        </w:rPr>
      </w:pPr>
    </w:p>
    <w:p w14:paraId="4A0D57BF" w14:textId="77777777" w:rsidR="00125A09" w:rsidRPr="00A278DD" w:rsidRDefault="00125A09" w:rsidP="005E15C6">
      <w:pPr>
        <w:pStyle w:val="Heading3"/>
        <w:ind w:left="1134"/>
        <w:rPr>
          <w:rStyle w:val="st"/>
          <w:b w:val="0"/>
        </w:rPr>
      </w:pPr>
      <w:r w:rsidRPr="00A278DD">
        <w:rPr>
          <w:rStyle w:val="st"/>
        </w:rPr>
        <w:t>Preliminary</w:t>
      </w:r>
      <w:r w:rsidRPr="00A278DD">
        <w:rPr>
          <w:rStyle w:val="st"/>
          <w:b w:val="0"/>
        </w:rPr>
        <w:t xml:space="preserve"> </w:t>
      </w:r>
      <w:r w:rsidRPr="00A278DD">
        <w:rPr>
          <w:rStyle w:val="st"/>
        </w:rPr>
        <w:t>enforcement</w:t>
      </w:r>
    </w:p>
    <w:p w14:paraId="7CEC1DD0" w14:textId="59B8AE6C" w:rsidR="00CD0D6C" w:rsidRPr="00A278DD" w:rsidRDefault="00125A09" w:rsidP="005E15C6">
      <w:pPr>
        <w:pStyle w:val="NumberedParas"/>
        <w:ind w:left="1134" w:firstLine="0"/>
        <w:rPr>
          <w:rStyle w:val="st"/>
        </w:rPr>
      </w:pPr>
      <w:r w:rsidRPr="00A278DD">
        <w:rPr>
          <w:rStyle w:val="st"/>
        </w:rPr>
        <w:t xml:space="preserve">In </w:t>
      </w:r>
      <w:r w:rsidR="007817F1" w:rsidRPr="00A278DD">
        <w:rPr>
          <w:rStyle w:val="st"/>
        </w:rPr>
        <w:t>accordance</w:t>
      </w:r>
      <w:r w:rsidR="008C714E" w:rsidRPr="00A278DD">
        <w:rPr>
          <w:rStyle w:val="st"/>
        </w:rPr>
        <w:t xml:space="preserve"> with articles 90(1) and 166(1) of the Administrative Procedure Code (APC), any appeal or protest</w:t>
      </w:r>
      <w:r w:rsidR="007817F1" w:rsidRPr="00A278DD">
        <w:rPr>
          <w:rStyle w:val="st"/>
        </w:rPr>
        <w:t xml:space="preserve"> lodged in an administrative or judicial procedure has immediate and automatic suspensive effect.</w:t>
      </w:r>
      <w:r w:rsidR="007817F1" w:rsidRPr="00A278DD">
        <w:rPr>
          <w:rStyle w:val="FootnoteReference"/>
        </w:rPr>
        <w:footnoteReference w:id="14"/>
      </w:r>
      <w:r w:rsidR="007817F1" w:rsidRPr="00A278DD">
        <w:rPr>
          <w:rStyle w:val="st"/>
        </w:rPr>
        <w:t xml:space="preserve"> </w:t>
      </w:r>
    </w:p>
    <w:p w14:paraId="0940B631" w14:textId="7BDA7642" w:rsidR="00CD0D6C" w:rsidRPr="00A278DD" w:rsidRDefault="002430AA" w:rsidP="005E15C6">
      <w:pPr>
        <w:pStyle w:val="NumberedParas"/>
        <w:ind w:left="1134" w:firstLine="0"/>
        <w:rPr>
          <w:rStyle w:val="st"/>
        </w:rPr>
      </w:pPr>
      <w:r w:rsidRPr="00A278DD">
        <w:rPr>
          <w:rStyle w:val="st"/>
        </w:rPr>
        <w:t xml:space="preserve">However, </w:t>
      </w:r>
      <w:r w:rsidR="0031667B" w:rsidRPr="00A278DD">
        <w:rPr>
          <w:rStyle w:val="st"/>
        </w:rPr>
        <w:t xml:space="preserve">public </w:t>
      </w:r>
      <w:r w:rsidRPr="00A278DD">
        <w:rPr>
          <w:rStyle w:val="st"/>
        </w:rPr>
        <w:t>a</w:t>
      </w:r>
      <w:r w:rsidR="00CD0D6C" w:rsidRPr="00A278DD">
        <w:rPr>
          <w:rStyle w:val="st"/>
        </w:rPr>
        <w:t>uthorities may discharge the suspensive effect of an appeal by issuing an order granting immediate enforceability to an administrative act. This order is known as an order for preliminary enforcement.</w:t>
      </w:r>
      <w:r w:rsidR="00125A09" w:rsidRPr="00A278DD">
        <w:rPr>
          <w:rStyle w:val="FootnoteReference"/>
        </w:rPr>
        <w:footnoteReference w:id="15"/>
      </w:r>
      <w:r w:rsidR="004873EC" w:rsidRPr="00A278DD">
        <w:rPr>
          <w:rStyle w:val="st"/>
        </w:rPr>
        <w:t xml:space="preserve"> The conditions for preliminary enforcement to be granted are established in article 60(1) APC.</w:t>
      </w:r>
      <w:r w:rsidR="004873EC" w:rsidRPr="00A278DD">
        <w:rPr>
          <w:rStyle w:val="FootnoteReference"/>
        </w:rPr>
        <w:footnoteReference w:id="16"/>
      </w:r>
    </w:p>
    <w:p w14:paraId="129A3292" w14:textId="54A646D0" w:rsidR="00743E45" w:rsidRPr="00A278DD" w:rsidRDefault="003333E1" w:rsidP="005E15C6">
      <w:pPr>
        <w:pStyle w:val="NumberedParas"/>
        <w:ind w:left="1134" w:firstLine="0"/>
        <w:rPr>
          <w:rStyle w:val="st"/>
        </w:rPr>
      </w:pPr>
      <w:r w:rsidRPr="00A278DD">
        <w:rPr>
          <w:rStyle w:val="st"/>
        </w:rPr>
        <w:t xml:space="preserve">Article 60(4) </w:t>
      </w:r>
      <w:r w:rsidR="00743E45" w:rsidRPr="00A278DD">
        <w:rPr>
          <w:rStyle w:val="st"/>
        </w:rPr>
        <w:t>A</w:t>
      </w:r>
      <w:r w:rsidR="009E2372" w:rsidRPr="00A278DD">
        <w:rPr>
          <w:rStyle w:val="st"/>
        </w:rPr>
        <w:t>PC provides that an order for preliminary</w:t>
      </w:r>
      <w:r w:rsidR="009E2372" w:rsidRPr="00A278DD" w:rsidDel="004535C9">
        <w:rPr>
          <w:rStyle w:val="st"/>
        </w:rPr>
        <w:t xml:space="preserve"> </w:t>
      </w:r>
      <w:r w:rsidR="009E2372" w:rsidRPr="00A278DD">
        <w:rPr>
          <w:rStyle w:val="st"/>
        </w:rPr>
        <w:t>enforcement of an administrative act may be challenged within three days after its publication regardless of whether the administrative act itself has been contested.</w:t>
      </w:r>
      <w:r w:rsidR="009E2372" w:rsidRPr="00A278DD">
        <w:rPr>
          <w:rStyle w:val="FootnoteReference"/>
        </w:rPr>
        <w:footnoteReference w:id="17"/>
      </w:r>
      <w:r w:rsidR="009E2372" w:rsidRPr="00A278DD">
        <w:rPr>
          <w:rStyle w:val="st"/>
        </w:rPr>
        <w:t xml:space="preserve"> The court examines the legality of the order according to article 60(1) </w:t>
      </w:r>
      <w:r w:rsidR="00937DF1" w:rsidRPr="00A278DD">
        <w:rPr>
          <w:rStyle w:val="st"/>
        </w:rPr>
        <w:t>A</w:t>
      </w:r>
      <w:r w:rsidR="008E74D7" w:rsidRPr="00A278DD">
        <w:rPr>
          <w:rStyle w:val="st"/>
        </w:rPr>
        <w:t xml:space="preserve">PC </w:t>
      </w:r>
      <w:r w:rsidR="009E2372" w:rsidRPr="00A278DD">
        <w:rPr>
          <w:rStyle w:val="st"/>
        </w:rPr>
        <w:t>and if it finds that the conditions set out in that provision are not met, it may repeal the order, resulting in the suspension of the underlying administrative act. Once the three-day period ends, the right of appeal against the order for preliminary enforcement lapses, but not the right of appeal against the administrative act.</w:t>
      </w:r>
      <w:r w:rsidR="009E2372" w:rsidRPr="00A278DD">
        <w:rPr>
          <w:rStyle w:val="FootnoteReference"/>
        </w:rPr>
        <w:t xml:space="preserve"> </w:t>
      </w:r>
    </w:p>
    <w:p w14:paraId="5A6CAB10" w14:textId="72CE0E83" w:rsidR="00BF2515" w:rsidRPr="00A278DD" w:rsidRDefault="00B06376" w:rsidP="005E15C6">
      <w:pPr>
        <w:pStyle w:val="NumberedParas"/>
        <w:ind w:left="1134" w:firstLine="0"/>
        <w:rPr>
          <w:rStyle w:val="st"/>
        </w:rPr>
      </w:pPr>
      <w:r w:rsidRPr="00A278DD">
        <w:rPr>
          <w:rStyle w:val="st"/>
        </w:rPr>
        <w:t>Pursuant to</w:t>
      </w:r>
      <w:r w:rsidR="00BF2515" w:rsidRPr="00A278DD">
        <w:rPr>
          <w:rStyle w:val="st"/>
        </w:rPr>
        <w:t xml:space="preserve"> article 166(2)</w:t>
      </w:r>
      <w:r w:rsidR="008E74D7" w:rsidRPr="00A278DD">
        <w:rPr>
          <w:rStyle w:val="st"/>
        </w:rPr>
        <w:t xml:space="preserve"> APC</w:t>
      </w:r>
      <w:r w:rsidR="00BF2515" w:rsidRPr="00A278DD">
        <w:rPr>
          <w:rStyle w:val="st"/>
        </w:rPr>
        <w:t xml:space="preserve">, </w:t>
      </w:r>
      <w:r w:rsidR="0031667B" w:rsidRPr="00A278DD">
        <w:rPr>
          <w:rStyle w:val="st"/>
        </w:rPr>
        <w:t>a</w:t>
      </w:r>
      <w:r w:rsidR="00BF2515" w:rsidRPr="00A278DD">
        <w:rPr>
          <w:rStyle w:val="st"/>
        </w:rPr>
        <w:t xml:space="preserve"> court may, at the request of the appellant, stop </w:t>
      </w:r>
      <w:r w:rsidR="002430AA" w:rsidRPr="00A278DD">
        <w:rPr>
          <w:rStyle w:val="st"/>
        </w:rPr>
        <w:t xml:space="preserve">a </w:t>
      </w:r>
      <w:r w:rsidR="00BF2515" w:rsidRPr="00A278DD">
        <w:rPr>
          <w:rStyle w:val="st"/>
        </w:rPr>
        <w:t xml:space="preserve">preliminary enforcement order </w:t>
      </w:r>
      <w:r w:rsidR="0031667B" w:rsidRPr="00A278DD">
        <w:rPr>
          <w:rStyle w:val="st"/>
        </w:rPr>
        <w:t xml:space="preserve">issued by a public authority </w:t>
      </w:r>
      <w:r w:rsidR="00BF2515" w:rsidRPr="00A278DD">
        <w:rPr>
          <w:rStyle w:val="st"/>
        </w:rPr>
        <w:t xml:space="preserve">if it may cause the appellant significant or </w:t>
      </w:r>
      <w:r w:rsidR="002430AA" w:rsidRPr="00A278DD">
        <w:rPr>
          <w:rStyle w:val="st"/>
        </w:rPr>
        <w:t>irreparable</w:t>
      </w:r>
      <w:r w:rsidR="00BF2515" w:rsidRPr="00A278DD">
        <w:rPr>
          <w:rStyle w:val="st"/>
        </w:rPr>
        <w:t xml:space="preserve"> damage. The enforcement </w:t>
      </w:r>
      <w:r w:rsidR="002430AA" w:rsidRPr="00A278DD">
        <w:rPr>
          <w:rStyle w:val="st"/>
        </w:rPr>
        <w:t xml:space="preserve">order </w:t>
      </w:r>
      <w:r w:rsidR="00BF2515" w:rsidRPr="00A278DD">
        <w:rPr>
          <w:rStyle w:val="st"/>
        </w:rPr>
        <w:t xml:space="preserve">may </w:t>
      </w:r>
      <w:r w:rsidR="002430AA" w:rsidRPr="00A278DD">
        <w:rPr>
          <w:rStyle w:val="st"/>
        </w:rPr>
        <w:t xml:space="preserve">only </w:t>
      </w:r>
      <w:r w:rsidR="00BF2515" w:rsidRPr="00A278DD">
        <w:rPr>
          <w:rStyle w:val="st"/>
        </w:rPr>
        <w:t>be stopped however on the ground of new circumstances.</w:t>
      </w:r>
      <w:r w:rsidR="00BF2515" w:rsidRPr="00A278DD">
        <w:rPr>
          <w:rStyle w:val="FootnoteReference"/>
        </w:rPr>
        <w:footnoteReference w:id="18"/>
      </w:r>
      <w:r w:rsidR="00BF2515" w:rsidRPr="00A278DD">
        <w:rPr>
          <w:rStyle w:val="st"/>
        </w:rPr>
        <w:t xml:space="preserve">  </w:t>
      </w:r>
    </w:p>
    <w:p w14:paraId="15EB5B22" w14:textId="184C77C4" w:rsidR="0031667B" w:rsidRPr="00A278DD" w:rsidRDefault="0031667B" w:rsidP="005E15C6">
      <w:pPr>
        <w:pStyle w:val="NumberedParas"/>
        <w:ind w:left="1134" w:firstLine="0"/>
        <w:rPr>
          <w:rStyle w:val="st"/>
        </w:rPr>
      </w:pPr>
      <w:r w:rsidRPr="00A278DD">
        <w:rPr>
          <w:rStyle w:val="st"/>
        </w:rPr>
        <w:lastRenderedPageBreak/>
        <w:t>In accordance with article 167(1) APC, during any stage of the proceedings a court may also issue an order for preliminary enforcement of the administrative act under the same terms as an administrative authority.</w:t>
      </w:r>
      <w:r w:rsidRPr="00A278DD">
        <w:rPr>
          <w:rStyle w:val="FootnoteReference"/>
        </w:rPr>
        <w:footnoteReference w:id="19"/>
      </w:r>
      <w:r w:rsidRPr="00A278DD">
        <w:rPr>
          <w:rStyle w:val="st"/>
        </w:rPr>
        <w:t xml:space="preserve"> </w:t>
      </w:r>
    </w:p>
    <w:p w14:paraId="0113E46C" w14:textId="43BB34CE" w:rsidR="00743E45" w:rsidRDefault="007B5259" w:rsidP="005E15C6">
      <w:pPr>
        <w:pStyle w:val="NumberedParas"/>
        <w:ind w:left="1134" w:firstLine="0"/>
        <w:rPr>
          <w:rStyle w:val="st"/>
        </w:rPr>
      </w:pPr>
      <w:r w:rsidRPr="00A278DD">
        <w:rPr>
          <w:rStyle w:val="st"/>
        </w:rPr>
        <w:t xml:space="preserve">Article 167(3) APC provides that </w:t>
      </w:r>
      <w:r w:rsidR="009E2372" w:rsidRPr="00A278DD">
        <w:rPr>
          <w:rStyle w:val="st"/>
        </w:rPr>
        <w:t xml:space="preserve">a court’s decision to order the preliminary enforcement of an administrative act shall </w:t>
      </w:r>
      <w:r w:rsidR="0031667B" w:rsidRPr="00A278DD">
        <w:rPr>
          <w:rStyle w:val="st"/>
        </w:rPr>
        <w:t xml:space="preserve">likewise </w:t>
      </w:r>
      <w:r w:rsidR="009E2372" w:rsidRPr="00A278DD">
        <w:rPr>
          <w:rStyle w:val="st"/>
        </w:rPr>
        <w:t>be appealable within three days after the communication thereof. If the preliminary enforcement order is reversed, the status quo ante the enforcement shall be restored.</w:t>
      </w:r>
      <w:r w:rsidRPr="00A278DD">
        <w:rPr>
          <w:rStyle w:val="FootnoteReference"/>
        </w:rPr>
        <w:footnoteReference w:id="20"/>
      </w:r>
    </w:p>
    <w:p w14:paraId="7FE58FC9" w14:textId="77777777" w:rsidR="004C4397" w:rsidRPr="00A278DD" w:rsidRDefault="004C4397" w:rsidP="004C4397">
      <w:pPr>
        <w:pStyle w:val="NumberedParas"/>
        <w:numPr>
          <w:ilvl w:val="0"/>
          <w:numId w:val="0"/>
        </w:numPr>
        <w:ind w:left="1134"/>
        <w:rPr>
          <w:rStyle w:val="st"/>
        </w:rPr>
      </w:pPr>
    </w:p>
    <w:p w14:paraId="732EB822" w14:textId="5E1FA6C0" w:rsidR="00E13680" w:rsidRPr="00A278DD" w:rsidRDefault="00FB5F74" w:rsidP="005E15C6">
      <w:pPr>
        <w:pStyle w:val="Heading3"/>
        <w:ind w:left="1134"/>
        <w:rPr>
          <w:rStyle w:val="st"/>
        </w:rPr>
      </w:pPr>
      <w:r w:rsidRPr="00A278DD">
        <w:rPr>
          <w:rStyle w:val="st"/>
        </w:rPr>
        <w:t>Alerts and c</w:t>
      </w:r>
      <w:r w:rsidR="00E13680" w:rsidRPr="00A278DD">
        <w:rPr>
          <w:rStyle w:val="st"/>
        </w:rPr>
        <w:t>oercive administrative measures</w:t>
      </w:r>
    </w:p>
    <w:p w14:paraId="3BCDC0D8" w14:textId="79B5F128" w:rsidR="00FB5F74" w:rsidRPr="00A278DD" w:rsidRDefault="00FB5F74" w:rsidP="005E15C6">
      <w:pPr>
        <w:pStyle w:val="NumberedParas"/>
        <w:numPr>
          <w:ilvl w:val="0"/>
          <w:numId w:val="0"/>
        </w:numPr>
        <w:ind w:left="1134"/>
        <w:rPr>
          <w:rStyle w:val="st"/>
          <w:i/>
          <w:iCs/>
        </w:rPr>
      </w:pPr>
      <w:bookmarkStart w:id="8" w:name="_Ref74300346"/>
      <w:r w:rsidRPr="00A278DD">
        <w:rPr>
          <w:rStyle w:val="st"/>
          <w:i/>
          <w:iCs/>
        </w:rPr>
        <w:t>Alerts</w:t>
      </w:r>
    </w:p>
    <w:p w14:paraId="516A474F" w14:textId="6E67E0BE" w:rsidR="00743E45" w:rsidRPr="00A278DD" w:rsidRDefault="00FB5F74" w:rsidP="005E15C6">
      <w:pPr>
        <w:pStyle w:val="NumberedParas"/>
        <w:ind w:left="1134" w:firstLine="0"/>
        <w:rPr>
          <w:rStyle w:val="st"/>
        </w:rPr>
      </w:pPr>
      <w:bookmarkStart w:id="9" w:name="_Ref74731400"/>
      <w:r w:rsidRPr="00A278DD">
        <w:rPr>
          <w:rStyle w:val="st"/>
        </w:rPr>
        <w:t>Article 109 APC provides that a</w:t>
      </w:r>
      <w:r w:rsidR="008279AB" w:rsidRPr="00A278DD">
        <w:rPr>
          <w:rStyle w:val="st"/>
        </w:rPr>
        <w:t xml:space="preserve">ny individual or organization and the ombudsman may submit an “alert” to </w:t>
      </w:r>
      <w:r w:rsidR="006C0901" w:rsidRPr="00A278DD">
        <w:rPr>
          <w:rStyle w:val="st"/>
        </w:rPr>
        <w:t>public authorities.</w:t>
      </w:r>
      <w:r w:rsidR="008279AB" w:rsidRPr="00A278DD">
        <w:rPr>
          <w:rStyle w:val="st"/>
        </w:rPr>
        <w:t xml:space="preserve"> </w:t>
      </w:r>
      <w:r w:rsidR="00743E45" w:rsidRPr="00A278DD">
        <w:rPr>
          <w:rStyle w:val="st"/>
        </w:rPr>
        <w:t>A</w:t>
      </w:r>
      <w:r w:rsidR="007B5259" w:rsidRPr="00A278DD">
        <w:rPr>
          <w:rStyle w:val="st"/>
        </w:rPr>
        <w:t>rticle 107(4) APC provides that “</w:t>
      </w:r>
      <w:r w:rsidR="005C2A23" w:rsidRPr="00A278DD">
        <w:rPr>
          <w:rStyle w:val="st"/>
        </w:rPr>
        <w:t>alerts</w:t>
      </w:r>
      <w:r w:rsidR="007B5259" w:rsidRPr="00A278DD">
        <w:rPr>
          <w:rStyle w:val="st"/>
        </w:rPr>
        <w:t>”</w:t>
      </w:r>
      <w:r w:rsidR="005C2A23" w:rsidRPr="00A278DD">
        <w:rPr>
          <w:rStyle w:val="st"/>
        </w:rPr>
        <w:t xml:space="preserve"> </w:t>
      </w:r>
      <w:r w:rsidR="007B5259" w:rsidRPr="00A278DD">
        <w:rPr>
          <w:rStyle w:val="st"/>
        </w:rPr>
        <w:t xml:space="preserve">may be filed inter alia </w:t>
      </w:r>
      <w:r w:rsidR="008279AB" w:rsidRPr="00A278DD">
        <w:rPr>
          <w:rStyle w:val="st"/>
        </w:rPr>
        <w:t xml:space="preserve">in relation to </w:t>
      </w:r>
      <w:r w:rsidR="007B5259" w:rsidRPr="00A278DD">
        <w:rPr>
          <w:rStyle w:val="st"/>
        </w:rPr>
        <w:t xml:space="preserve">unlawful or inexpedient </w:t>
      </w:r>
      <w:r w:rsidR="008279AB" w:rsidRPr="00A278DD">
        <w:rPr>
          <w:rStyle w:val="st"/>
        </w:rPr>
        <w:t>acts</w:t>
      </w:r>
      <w:r w:rsidR="007B5259" w:rsidRPr="00A278DD">
        <w:rPr>
          <w:rStyle w:val="st"/>
        </w:rPr>
        <w:t xml:space="preserve"> of administrative bodies and officials</w:t>
      </w:r>
      <w:r w:rsidR="006E5984" w:rsidRPr="00A278DD">
        <w:rPr>
          <w:rStyle w:val="st"/>
        </w:rPr>
        <w:t xml:space="preserve"> </w:t>
      </w:r>
      <w:r w:rsidR="007B5259" w:rsidRPr="00A278DD">
        <w:rPr>
          <w:rStyle w:val="st"/>
        </w:rPr>
        <w:t xml:space="preserve">which </w:t>
      </w:r>
      <w:r w:rsidR="006E5984" w:rsidRPr="00A278DD">
        <w:rPr>
          <w:rStyle w:val="st"/>
        </w:rPr>
        <w:t xml:space="preserve">affect </w:t>
      </w:r>
      <w:r w:rsidR="007B5259" w:rsidRPr="00A278DD">
        <w:rPr>
          <w:rStyle w:val="st"/>
        </w:rPr>
        <w:t>state or public interests, or the rights or legitimate interests of other persons</w:t>
      </w:r>
      <w:r w:rsidR="005C2A23" w:rsidRPr="00A278DD">
        <w:rPr>
          <w:rStyle w:val="st"/>
        </w:rPr>
        <w:t>.</w:t>
      </w:r>
      <w:r w:rsidR="00912E09" w:rsidRPr="00A278DD">
        <w:rPr>
          <w:rStyle w:val="st"/>
        </w:rPr>
        <w:t xml:space="preserve"> </w:t>
      </w:r>
      <w:r w:rsidR="0031667B" w:rsidRPr="00A278DD">
        <w:rPr>
          <w:rStyle w:val="st"/>
        </w:rPr>
        <w:t>The filing of an alert does not itself stop the execution of the disputed act or a particular activity, unless the body competent to issue the decision on the alert directs the execution to stop until it issues its decision.</w:t>
      </w:r>
      <w:r w:rsidR="0031667B" w:rsidRPr="00A278DD">
        <w:rPr>
          <w:rStyle w:val="FootnoteReference"/>
        </w:rPr>
        <w:footnoteReference w:id="21"/>
      </w:r>
      <w:bookmarkEnd w:id="8"/>
      <w:bookmarkEnd w:id="9"/>
    </w:p>
    <w:p w14:paraId="753E7CF5" w14:textId="6F0389D0" w:rsidR="00431D3D" w:rsidRPr="00A278DD" w:rsidRDefault="00431D3D" w:rsidP="005E15C6">
      <w:pPr>
        <w:pStyle w:val="NumberedParas"/>
        <w:ind w:left="1134" w:firstLine="0"/>
        <w:rPr>
          <w:rStyle w:val="st"/>
        </w:rPr>
      </w:pPr>
      <w:r w:rsidRPr="00A278DD">
        <w:rPr>
          <w:rStyle w:val="st"/>
        </w:rPr>
        <w:t xml:space="preserve">Article 108 APC states that “administrative bodies, as well as </w:t>
      </w:r>
      <w:r w:rsidR="002430AA" w:rsidRPr="00A278DD">
        <w:rPr>
          <w:rStyle w:val="st"/>
        </w:rPr>
        <w:t xml:space="preserve">… </w:t>
      </w:r>
      <w:r w:rsidRPr="00A278DD">
        <w:rPr>
          <w:rStyle w:val="st"/>
        </w:rPr>
        <w:t xml:space="preserve">other </w:t>
      </w:r>
      <w:proofErr w:type="gramStart"/>
      <w:r w:rsidRPr="00A278DD">
        <w:rPr>
          <w:rStyle w:val="st"/>
        </w:rPr>
        <w:t>bodies ,</w:t>
      </w:r>
      <w:proofErr w:type="gramEnd"/>
      <w:r w:rsidRPr="00A278DD">
        <w:rPr>
          <w:rStyle w:val="st"/>
        </w:rPr>
        <w:t xml:space="preserve"> which carry out public and legal functions, shall be obliged to consider and decide the </w:t>
      </w:r>
      <w:r w:rsidR="008279AB" w:rsidRPr="00A278DD">
        <w:rPr>
          <w:rStyle w:val="st"/>
        </w:rPr>
        <w:t>[alerts]</w:t>
      </w:r>
      <w:r w:rsidRPr="00A278DD">
        <w:rPr>
          <w:rStyle w:val="st"/>
        </w:rPr>
        <w:t xml:space="preserve"> in the established terms objectively and lawfully”.</w:t>
      </w:r>
      <w:r w:rsidRPr="00A278DD">
        <w:rPr>
          <w:rStyle w:val="FootnoteReference"/>
        </w:rPr>
        <w:footnoteReference w:id="22"/>
      </w:r>
    </w:p>
    <w:p w14:paraId="794CCC58" w14:textId="6B714D59" w:rsidR="008279AB" w:rsidRPr="00A278DD" w:rsidRDefault="00DA1D12" w:rsidP="005E15C6">
      <w:pPr>
        <w:pStyle w:val="NumberedParas"/>
        <w:ind w:left="1134" w:firstLine="0"/>
        <w:rPr>
          <w:rStyle w:val="st"/>
        </w:rPr>
      </w:pPr>
      <w:r>
        <w:rPr>
          <w:rStyle w:val="st"/>
        </w:rPr>
        <w:t>Article 113 APC provides that alerts may not be dealt with by the authorities or officials against whose actions the alerts were submitted, unless the authorities or officials hold the alerts to be justified and grant them.</w:t>
      </w:r>
      <w:r w:rsidRPr="00695D7A">
        <w:rPr>
          <w:rStyle w:val="FootnoteReference"/>
        </w:rPr>
        <w:footnoteReference w:id="23"/>
      </w:r>
      <w:r>
        <w:rPr>
          <w:rStyle w:val="st"/>
        </w:rPr>
        <w:t xml:space="preserve"> </w:t>
      </w:r>
    </w:p>
    <w:p w14:paraId="12484A3A" w14:textId="54183F80" w:rsidR="00155B9C" w:rsidRPr="00A278DD" w:rsidRDefault="00155B9C" w:rsidP="005E15C6">
      <w:pPr>
        <w:pStyle w:val="NumberedParas"/>
        <w:ind w:left="1134" w:firstLine="0"/>
        <w:rPr>
          <w:rStyle w:val="st"/>
        </w:rPr>
      </w:pPr>
      <w:r w:rsidRPr="00A278DD">
        <w:rPr>
          <w:rStyle w:val="st"/>
        </w:rPr>
        <w:t xml:space="preserve">Article 114 </w:t>
      </w:r>
      <w:r w:rsidR="00257E4D" w:rsidRPr="00A278DD">
        <w:rPr>
          <w:rStyle w:val="st"/>
        </w:rPr>
        <w:t xml:space="preserve">APC </w:t>
      </w:r>
      <w:r w:rsidR="00737BFA" w:rsidRPr="00A278DD">
        <w:rPr>
          <w:rStyle w:val="st"/>
        </w:rPr>
        <w:t xml:space="preserve">specifies that </w:t>
      </w:r>
      <w:r w:rsidR="008279AB" w:rsidRPr="00A278DD">
        <w:rPr>
          <w:rStyle w:val="st"/>
        </w:rPr>
        <w:t>a response to an alert</w:t>
      </w:r>
      <w:r w:rsidR="00737BFA" w:rsidRPr="00A278DD">
        <w:rPr>
          <w:rStyle w:val="st"/>
        </w:rPr>
        <w:t xml:space="preserve"> shall be taken after the case has been clarified and the explanations and objections of </w:t>
      </w:r>
      <w:r w:rsidR="008279AB" w:rsidRPr="00A278DD">
        <w:rPr>
          <w:rStyle w:val="st"/>
        </w:rPr>
        <w:t xml:space="preserve">any </w:t>
      </w:r>
      <w:r w:rsidR="00737BFA" w:rsidRPr="00A278DD">
        <w:rPr>
          <w:rStyle w:val="st"/>
        </w:rPr>
        <w:t>interested persons have been considered. If the requests are considered unlawful or ungrounded, or may not be satisfied upon objective reasons, the grounds for that shall be shown.</w:t>
      </w:r>
      <w:r w:rsidR="00737BFA" w:rsidRPr="00A278DD">
        <w:rPr>
          <w:rStyle w:val="FootnoteReference"/>
        </w:rPr>
        <w:footnoteReference w:id="24"/>
      </w:r>
    </w:p>
    <w:p w14:paraId="0E84F623" w14:textId="4787E358" w:rsidR="008279AB" w:rsidRDefault="00743E45" w:rsidP="005E15C6">
      <w:pPr>
        <w:pStyle w:val="NumberedParas"/>
        <w:ind w:left="1134" w:firstLine="0"/>
        <w:rPr>
          <w:rStyle w:val="st"/>
        </w:rPr>
      </w:pPr>
      <w:r w:rsidRPr="00A278DD">
        <w:rPr>
          <w:rStyle w:val="st"/>
        </w:rPr>
        <w:t>A</w:t>
      </w:r>
      <w:r w:rsidR="007A5277" w:rsidRPr="00A278DD">
        <w:rPr>
          <w:rStyle w:val="st"/>
        </w:rPr>
        <w:t xml:space="preserve">rticle 115 APC provides that </w:t>
      </w:r>
      <w:r w:rsidR="008279AB" w:rsidRPr="00A278DD">
        <w:rPr>
          <w:rStyle w:val="st"/>
        </w:rPr>
        <w:t xml:space="preserve">an </w:t>
      </w:r>
      <w:r w:rsidR="007A5277" w:rsidRPr="00A278DD">
        <w:rPr>
          <w:rStyle w:val="st"/>
        </w:rPr>
        <w:t xml:space="preserve">authority </w:t>
      </w:r>
      <w:r w:rsidR="008279AB" w:rsidRPr="00A278DD">
        <w:rPr>
          <w:rStyle w:val="st"/>
        </w:rPr>
        <w:t>that has taken a</w:t>
      </w:r>
      <w:r w:rsidR="007A5277" w:rsidRPr="00A278DD">
        <w:rPr>
          <w:rStyle w:val="st"/>
        </w:rPr>
        <w:t xml:space="preserve"> decision on </w:t>
      </w:r>
      <w:r w:rsidR="008279AB" w:rsidRPr="00A278DD">
        <w:rPr>
          <w:rStyle w:val="st"/>
        </w:rPr>
        <w:t xml:space="preserve">an </w:t>
      </w:r>
      <w:r w:rsidR="007A5277" w:rsidRPr="00A278DD">
        <w:rPr>
          <w:rStyle w:val="st"/>
        </w:rPr>
        <w:t xml:space="preserve">alert shall take measures for </w:t>
      </w:r>
      <w:r w:rsidR="00CC40BA" w:rsidRPr="00A278DD">
        <w:rPr>
          <w:rStyle w:val="st"/>
        </w:rPr>
        <w:t xml:space="preserve">its </w:t>
      </w:r>
      <w:r w:rsidR="007A5277" w:rsidRPr="00A278DD">
        <w:rPr>
          <w:rStyle w:val="st"/>
        </w:rPr>
        <w:t>enforcement, determining the manner and time limit for enforcement.</w:t>
      </w:r>
      <w:r w:rsidR="007A5277" w:rsidRPr="00A278DD">
        <w:rPr>
          <w:rStyle w:val="FootnoteReference"/>
        </w:rPr>
        <w:footnoteReference w:id="25"/>
      </w:r>
      <w:r w:rsidR="001B082B" w:rsidRPr="00A278DD">
        <w:rPr>
          <w:rStyle w:val="st"/>
        </w:rPr>
        <w:t xml:space="preserve"> </w:t>
      </w:r>
      <w:r w:rsidR="00DA1D12">
        <w:rPr>
          <w:rStyle w:val="st"/>
        </w:rPr>
        <w:t xml:space="preserve">Such measures are known as “coercive administrative measures” (see paras. </w:t>
      </w:r>
      <w:r w:rsidR="005E15C6">
        <w:rPr>
          <w:rStyle w:val="st"/>
        </w:rPr>
        <w:fldChar w:fldCharType="begin"/>
      </w:r>
      <w:r w:rsidR="005E15C6">
        <w:rPr>
          <w:rStyle w:val="st"/>
        </w:rPr>
        <w:instrText xml:space="preserve"> REF _Ref74677599 \r \h </w:instrText>
      </w:r>
      <w:r w:rsidR="005E15C6">
        <w:rPr>
          <w:rStyle w:val="st"/>
        </w:rPr>
      </w:r>
      <w:r w:rsidR="005E15C6">
        <w:rPr>
          <w:rStyle w:val="st"/>
        </w:rPr>
        <w:fldChar w:fldCharType="separate"/>
      </w:r>
      <w:r w:rsidR="00033122">
        <w:rPr>
          <w:rStyle w:val="st"/>
          <w:cs/>
        </w:rPr>
        <w:t>‎</w:t>
      </w:r>
      <w:r w:rsidR="00033122">
        <w:rPr>
          <w:rStyle w:val="st"/>
        </w:rPr>
        <w:t>33</w:t>
      </w:r>
      <w:r w:rsidR="005E15C6">
        <w:rPr>
          <w:rStyle w:val="st"/>
        </w:rPr>
        <w:fldChar w:fldCharType="end"/>
      </w:r>
      <w:r w:rsidR="005E15C6">
        <w:rPr>
          <w:rStyle w:val="st"/>
        </w:rPr>
        <w:t xml:space="preserve"> </w:t>
      </w:r>
      <w:r w:rsidR="00DA1D12">
        <w:rPr>
          <w:rStyle w:val="st"/>
        </w:rPr>
        <w:t xml:space="preserve">and </w:t>
      </w:r>
      <w:r w:rsidR="00DA1D12">
        <w:rPr>
          <w:rStyle w:val="st"/>
        </w:rPr>
        <w:fldChar w:fldCharType="begin"/>
      </w:r>
      <w:r w:rsidR="00DA1D12">
        <w:rPr>
          <w:rStyle w:val="st"/>
        </w:rPr>
        <w:instrText xml:space="preserve"> REF _Ref74673548 \r \h </w:instrText>
      </w:r>
      <w:r w:rsidR="00DA1D12">
        <w:rPr>
          <w:rStyle w:val="st"/>
        </w:rPr>
      </w:r>
      <w:r w:rsidR="00DA1D12">
        <w:rPr>
          <w:rStyle w:val="st"/>
        </w:rPr>
        <w:fldChar w:fldCharType="separate"/>
      </w:r>
      <w:r w:rsidR="00033122">
        <w:rPr>
          <w:rStyle w:val="st"/>
          <w:cs/>
        </w:rPr>
        <w:t>‎</w:t>
      </w:r>
      <w:r w:rsidR="00033122">
        <w:rPr>
          <w:rStyle w:val="st"/>
        </w:rPr>
        <w:t>34</w:t>
      </w:r>
      <w:r w:rsidR="00DA1D12">
        <w:rPr>
          <w:rStyle w:val="st"/>
        </w:rPr>
        <w:fldChar w:fldCharType="end"/>
      </w:r>
      <w:r w:rsidR="00DA1D12">
        <w:rPr>
          <w:rStyle w:val="st"/>
        </w:rPr>
        <w:t xml:space="preserve"> below).</w:t>
      </w:r>
    </w:p>
    <w:p w14:paraId="4A27E679" w14:textId="77C180BA" w:rsidR="00DA1D12" w:rsidRPr="00A278DD" w:rsidRDefault="00DA1D12" w:rsidP="005E15C6">
      <w:pPr>
        <w:pStyle w:val="NumberedParas"/>
        <w:ind w:left="1134" w:firstLine="0"/>
        <w:rPr>
          <w:rStyle w:val="st"/>
        </w:rPr>
      </w:pPr>
      <w:r w:rsidRPr="00A278DD">
        <w:rPr>
          <w:rStyle w:val="st"/>
        </w:rPr>
        <w:t>Pursuant to article 121 APC, a decision on an alert shall be made not later than two months after its receipt.</w:t>
      </w:r>
      <w:r w:rsidRPr="00A278DD">
        <w:rPr>
          <w:rStyle w:val="FootnoteReference"/>
        </w:rPr>
        <w:footnoteReference w:id="26"/>
      </w:r>
    </w:p>
    <w:p w14:paraId="1DE35D15" w14:textId="24CA00C4" w:rsidR="008279AB" w:rsidRDefault="001B082B" w:rsidP="005E15C6">
      <w:pPr>
        <w:pStyle w:val="NumberedParas"/>
        <w:ind w:left="1134" w:firstLine="0"/>
        <w:rPr>
          <w:rStyle w:val="st"/>
        </w:rPr>
      </w:pPr>
      <w:r w:rsidRPr="00A278DD">
        <w:rPr>
          <w:rStyle w:val="st"/>
        </w:rPr>
        <w:t>Pursuant to article 124(1) and (2)</w:t>
      </w:r>
      <w:r w:rsidR="0031667B" w:rsidRPr="00A278DD">
        <w:rPr>
          <w:rStyle w:val="st"/>
        </w:rPr>
        <w:t xml:space="preserve"> APC</w:t>
      </w:r>
      <w:r w:rsidRPr="00A278DD">
        <w:rPr>
          <w:rStyle w:val="st"/>
        </w:rPr>
        <w:t xml:space="preserve">, any re-submitted alerts on a matter on which a decision has been made shall not be considered unless </w:t>
      </w:r>
      <w:r w:rsidR="0031667B" w:rsidRPr="00A278DD">
        <w:rPr>
          <w:rStyle w:val="st"/>
        </w:rPr>
        <w:t xml:space="preserve">they are </w:t>
      </w:r>
      <w:r w:rsidRPr="00A278DD">
        <w:rPr>
          <w:rStyle w:val="st"/>
        </w:rPr>
        <w:t>in connection with the enforcement of the decision or based on new facts and circumstances, and the decision rendered on a specific alert is unappealable.</w:t>
      </w:r>
      <w:r w:rsidRPr="00A278DD">
        <w:rPr>
          <w:rStyle w:val="FootnoteReference"/>
        </w:rPr>
        <w:footnoteReference w:id="27"/>
      </w:r>
      <w:r w:rsidR="00BC1982" w:rsidRPr="00A278DD">
        <w:rPr>
          <w:rStyle w:val="st"/>
        </w:rPr>
        <w:t xml:space="preserve"> </w:t>
      </w:r>
    </w:p>
    <w:p w14:paraId="748C24A9" w14:textId="3F674FD8" w:rsidR="004C4397" w:rsidRDefault="004C4397" w:rsidP="004C4397">
      <w:pPr>
        <w:pStyle w:val="NumberedParas"/>
        <w:numPr>
          <w:ilvl w:val="0"/>
          <w:numId w:val="0"/>
        </w:numPr>
        <w:ind w:left="720" w:hanging="360"/>
        <w:rPr>
          <w:rStyle w:val="st"/>
        </w:rPr>
      </w:pPr>
    </w:p>
    <w:p w14:paraId="796EF366" w14:textId="77777777" w:rsidR="004C4397" w:rsidRPr="00A278DD" w:rsidRDefault="004C4397" w:rsidP="004C4397">
      <w:pPr>
        <w:pStyle w:val="NumberedParas"/>
        <w:numPr>
          <w:ilvl w:val="0"/>
          <w:numId w:val="0"/>
        </w:numPr>
        <w:ind w:left="720" w:hanging="360"/>
        <w:rPr>
          <w:rStyle w:val="st"/>
        </w:rPr>
      </w:pPr>
    </w:p>
    <w:p w14:paraId="6252B3EC" w14:textId="1F5D5119" w:rsidR="00FB5F74" w:rsidRPr="00A278DD" w:rsidRDefault="00FB5F74" w:rsidP="005E15C6">
      <w:pPr>
        <w:pStyle w:val="NumberedParas"/>
        <w:numPr>
          <w:ilvl w:val="0"/>
          <w:numId w:val="0"/>
        </w:numPr>
        <w:ind w:left="1134"/>
        <w:rPr>
          <w:rStyle w:val="st"/>
          <w:i/>
          <w:iCs/>
        </w:rPr>
      </w:pPr>
      <w:bookmarkStart w:id="10" w:name="_Ref74300345"/>
      <w:r w:rsidRPr="00A278DD">
        <w:rPr>
          <w:rStyle w:val="st"/>
          <w:i/>
          <w:iCs/>
        </w:rPr>
        <w:lastRenderedPageBreak/>
        <w:t>Coercive administrative measures</w:t>
      </w:r>
      <w:r w:rsidR="003F77C1">
        <w:rPr>
          <w:rStyle w:val="st"/>
          <w:i/>
          <w:iCs/>
        </w:rPr>
        <w:t xml:space="preserve"> relating to the environment</w:t>
      </w:r>
    </w:p>
    <w:p w14:paraId="3F9D92C8" w14:textId="72D0C71D" w:rsidR="00FB5F74" w:rsidRPr="00A278DD" w:rsidRDefault="00D94A21" w:rsidP="005E15C6">
      <w:pPr>
        <w:pStyle w:val="NumberedParas"/>
        <w:ind w:left="1134" w:firstLine="0"/>
        <w:rPr>
          <w:rStyle w:val="st"/>
        </w:rPr>
      </w:pPr>
      <w:bookmarkStart w:id="11" w:name="_Ref74677599"/>
      <w:bookmarkEnd w:id="10"/>
      <w:r>
        <w:t>If the competent body, the Ministry of Environment and Water (MOEW) or the Regional Inspectorate of Environment and Water (RIEW)</w:t>
      </w:r>
      <w:r w:rsidR="003F77C1">
        <w:t xml:space="preserve"> decides </w:t>
      </w:r>
      <w:r w:rsidR="00EA0D4D">
        <w:t>an</w:t>
      </w:r>
      <w:r w:rsidR="003F77C1">
        <w:t xml:space="preserve"> alert is well-grounded, </w:t>
      </w:r>
      <w:r>
        <w:t xml:space="preserve">it may impose a coercive administrative measure (CAM) to suspend the implementation of the contested administrative act </w:t>
      </w:r>
      <w:r w:rsidR="003F77C1">
        <w:t>under</w:t>
      </w:r>
      <w:r>
        <w:t xml:space="preserve"> article 160(1) EPA, in conjunction with article 158(3) </w:t>
      </w:r>
      <w:r w:rsidR="003F77C1">
        <w:t xml:space="preserve">or </w:t>
      </w:r>
      <w:r>
        <w:t>(4) EPA.</w:t>
      </w:r>
      <w:r w:rsidRPr="00695D7A">
        <w:rPr>
          <w:rStyle w:val="FootnoteReference"/>
        </w:rPr>
        <w:footnoteReference w:id="28"/>
      </w:r>
      <w:bookmarkEnd w:id="11"/>
      <w:r>
        <w:rPr>
          <w:rStyle w:val="st"/>
        </w:rPr>
        <w:t xml:space="preserve"> </w:t>
      </w:r>
      <w:r>
        <w:t xml:space="preserve"> </w:t>
      </w:r>
    </w:p>
    <w:p w14:paraId="1B14D109" w14:textId="4E738BFC" w:rsidR="00FB5F74" w:rsidRDefault="00FB5F74" w:rsidP="005E15C6">
      <w:pPr>
        <w:pStyle w:val="NumberedParas"/>
        <w:ind w:left="1134" w:firstLine="0"/>
      </w:pPr>
      <w:bookmarkStart w:id="12" w:name="_Ref74673548"/>
      <w:r w:rsidRPr="00A278DD">
        <w:t>Article 158(3) EPA relates to the occurrence of an immediate danger of environmental pollution or damage or of damage to human health or property</w:t>
      </w:r>
      <w:r w:rsidR="003F77C1">
        <w:t>. A</w:t>
      </w:r>
      <w:r w:rsidRPr="00A278DD">
        <w:t xml:space="preserve">rticle 158(4) EPA </w:t>
      </w:r>
      <w:r w:rsidR="003F77C1">
        <w:t>concerns</w:t>
      </w:r>
      <w:r w:rsidRPr="00A278DD">
        <w:t xml:space="preserve"> the prevention of termination of administrative violations relat</w:t>
      </w:r>
      <w:r w:rsidR="003F77C1">
        <w:t>ing</w:t>
      </w:r>
      <w:r w:rsidRPr="00A278DD">
        <w:t xml:space="preserve"> to environmental protection, as well as the prevention or elimination of the harmful consequences of such violations.</w:t>
      </w:r>
      <w:r w:rsidRPr="00A278DD">
        <w:rPr>
          <w:rStyle w:val="FootnoteReference"/>
        </w:rPr>
        <w:t xml:space="preserve"> </w:t>
      </w:r>
      <w:r w:rsidRPr="00A278DD">
        <w:rPr>
          <w:rStyle w:val="FootnoteReference"/>
        </w:rPr>
        <w:footnoteReference w:id="29"/>
      </w:r>
      <w:bookmarkEnd w:id="12"/>
    </w:p>
    <w:p w14:paraId="41CE247A" w14:textId="6F509305" w:rsidR="00EA0D4D" w:rsidRDefault="00EA0D4D" w:rsidP="005E15C6">
      <w:pPr>
        <w:pStyle w:val="NumberedParas"/>
        <w:ind w:left="1134" w:firstLine="0"/>
      </w:pPr>
      <w:bookmarkStart w:id="13" w:name="_Ref74731410"/>
      <w:r>
        <w:t>Third parties cannot submit an alert requesting a coercive administrative measure to MOEW or RIEW.</w:t>
      </w:r>
      <w:r>
        <w:rPr>
          <w:rStyle w:val="FootnoteReference"/>
        </w:rPr>
        <w:footnoteReference w:id="30"/>
      </w:r>
      <w:bookmarkEnd w:id="13"/>
    </w:p>
    <w:p w14:paraId="01252AD8" w14:textId="77777777" w:rsidR="004C4397" w:rsidRPr="00A278DD" w:rsidRDefault="004C4397" w:rsidP="004C4397">
      <w:pPr>
        <w:pStyle w:val="NumberedParas"/>
        <w:numPr>
          <w:ilvl w:val="0"/>
          <w:numId w:val="0"/>
        </w:numPr>
        <w:ind w:left="1134"/>
        <w:rPr>
          <w:rStyle w:val="FootnoteReference"/>
          <w:vertAlign w:val="baseline"/>
        </w:rPr>
      </w:pPr>
    </w:p>
    <w:p w14:paraId="1DECF76F" w14:textId="4618F151" w:rsidR="00B62899" w:rsidRPr="00A278DD" w:rsidRDefault="00D21F91" w:rsidP="005E15C6">
      <w:pPr>
        <w:pStyle w:val="Heading3"/>
        <w:ind w:left="1134"/>
      </w:pPr>
      <w:r w:rsidRPr="00A278DD">
        <w:t>Restrictions on construction</w:t>
      </w:r>
    </w:p>
    <w:p w14:paraId="0EB430AA" w14:textId="71C6D6A2" w:rsidR="002430AA" w:rsidRPr="00A278DD" w:rsidRDefault="00B62899" w:rsidP="005E15C6">
      <w:pPr>
        <w:pStyle w:val="NumberedParas"/>
        <w:ind w:left="1134" w:firstLine="0"/>
      </w:pPr>
      <w:bookmarkStart w:id="14" w:name="_Ref74677661"/>
      <w:bookmarkStart w:id="15" w:name="_Ref18056618"/>
      <w:r w:rsidRPr="00A278DD">
        <w:t>In accordance with Ordinance no. 7 of 22 December 2003 of the Ministry of Regional Development</w:t>
      </w:r>
      <w:r w:rsidR="00461DB1" w:rsidRPr="00A278DD">
        <w:t>,</w:t>
      </w:r>
      <w:r w:rsidR="002430AA" w:rsidRPr="00A278DD">
        <w:t xml:space="preserve"> </w:t>
      </w:r>
      <w:r w:rsidR="0031667B" w:rsidRPr="00A278DD">
        <w:t xml:space="preserve">there are the following </w:t>
      </w:r>
      <w:r w:rsidR="002430AA" w:rsidRPr="00A278DD">
        <w:t>restrictions on construction in particular zones:</w:t>
      </w:r>
      <w:bookmarkEnd w:id="14"/>
    </w:p>
    <w:p w14:paraId="31BBAEC5" w14:textId="4B8D586A" w:rsidR="002430AA" w:rsidRPr="00A278DD" w:rsidRDefault="002430AA" w:rsidP="005E15C6">
      <w:pPr>
        <w:pStyle w:val="NumberedParas"/>
        <w:numPr>
          <w:ilvl w:val="1"/>
          <w:numId w:val="43"/>
        </w:numPr>
        <w:ind w:left="1134" w:firstLine="567"/>
      </w:pPr>
      <w:r w:rsidRPr="00A278DD">
        <w:t>No more than 1% construction is permitted in territories designated as zones for public green space</w:t>
      </w:r>
    </w:p>
    <w:p w14:paraId="082C7A36" w14:textId="0885C5BC" w:rsidR="00B62899" w:rsidRPr="00A278DD" w:rsidRDefault="00461DB1" w:rsidP="005E15C6">
      <w:pPr>
        <w:pStyle w:val="NumberedParas"/>
        <w:numPr>
          <w:ilvl w:val="1"/>
          <w:numId w:val="43"/>
        </w:numPr>
        <w:ind w:left="1134" w:firstLine="567"/>
      </w:pPr>
      <w:r w:rsidRPr="00A278DD">
        <w:t xml:space="preserve"> </w:t>
      </w:r>
      <w:r w:rsidR="00831620" w:rsidRPr="00A278DD">
        <w:t>Up to 80% construction is permitted in territories designated as zones for sport and entertainment (ZSE)</w:t>
      </w:r>
      <w:r w:rsidR="00B62899" w:rsidRPr="00A278DD">
        <w:t>.</w:t>
      </w:r>
      <w:r w:rsidR="00B62899" w:rsidRPr="00A278DD">
        <w:rPr>
          <w:rStyle w:val="FootnoteReference"/>
        </w:rPr>
        <w:footnoteReference w:id="31"/>
      </w:r>
      <w:bookmarkEnd w:id="15"/>
    </w:p>
    <w:p w14:paraId="37D8F131" w14:textId="77777777" w:rsidR="004C4397" w:rsidRDefault="004C4397" w:rsidP="005E15C6">
      <w:pPr>
        <w:pStyle w:val="Heading3"/>
        <w:ind w:left="1134"/>
      </w:pPr>
    </w:p>
    <w:p w14:paraId="2D591766" w14:textId="4C42C052" w:rsidR="000E52D5" w:rsidRPr="00A278DD" w:rsidRDefault="000E52D5" w:rsidP="005E15C6">
      <w:pPr>
        <w:pStyle w:val="Heading3"/>
        <w:ind w:left="1134"/>
      </w:pPr>
      <w:r w:rsidRPr="00A278DD">
        <w:t>Constitutional provisions and ruling</w:t>
      </w:r>
    </w:p>
    <w:p w14:paraId="4DE37D38" w14:textId="77777777" w:rsidR="00551456" w:rsidRPr="00A278DD" w:rsidRDefault="000E52D5" w:rsidP="005E15C6">
      <w:pPr>
        <w:pStyle w:val="NumberedParas"/>
        <w:ind w:left="1134" w:firstLine="0"/>
        <w:rPr>
          <w:rStyle w:val="st"/>
        </w:rPr>
      </w:pPr>
      <w:r w:rsidRPr="00A278DD">
        <w:t xml:space="preserve">Article 120(2) of the Constitution of the </w:t>
      </w:r>
      <w:r w:rsidR="00551456" w:rsidRPr="00A278DD">
        <w:t>Party concerned</w:t>
      </w:r>
      <w:r w:rsidRPr="00A278DD">
        <w:t xml:space="preserve"> allows certain administrative decisions to be excluded from judicial review.</w:t>
      </w:r>
      <w:r w:rsidRPr="00A278DD">
        <w:rPr>
          <w:rStyle w:val="FootnoteReference"/>
        </w:rPr>
        <w:footnoteReference w:id="32"/>
      </w:r>
      <w:r w:rsidRPr="00A278DD">
        <w:t xml:space="preserve"> </w:t>
      </w:r>
    </w:p>
    <w:p w14:paraId="77C5BDA8" w14:textId="18A9B1C1" w:rsidR="000E52D5" w:rsidRDefault="000E52D5" w:rsidP="005E15C6">
      <w:pPr>
        <w:pStyle w:val="NumberedParas"/>
        <w:ind w:left="1134" w:firstLine="0"/>
        <w:rPr>
          <w:rStyle w:val="st"/>
        </w:rPr>
      </w:pPr>
      <w:bookmarkStart w:id="16" w:name="_Ref18062863"/>
      <w:r w:rsidRPr="00A278DD">
        <w:rPr>
          <w:rStyle w:val="st"/>
        </w:rPr>
        <w:t xml:space="preserve">By decision no. 5 of </w:t>
      </w:r>
      <w:r w:rsidR="00EF0772" w:rsidRPr="00A278DD">
        <w:rPr>
          <w:rStyle w:val="st"/>
        </w:rPr>
        <w:t xml:space="preserve">9 May 2006 on case no. 1/2006, the Constitutional </w:t>
      </w:r>
      <w:r w:rsidR="00831620" w:rsidRPr="00A278DD">
        <w:rPr>
          <w:rStyle w:val="st"/>
        </w:rPr>
        <w:t>C</w:t>
      </w:r>
      <w:r w:rsidR="00EF0772" w:rsidRPr="00A278DD">
        <w:rPr>
          <w:rStyle w:val="st"/>
        </w:rPr>
        <w:t>ourt ruled that article 127(9)</w:t>
      </w:r>
      <w:r w:rsidR="00194090" w:rsidRPr="00A278DD">
        <w:rPr>
          <w:rStyle w:val="st"/>
        </w:rPr>
        <w:t>, second</w:t>
      </w:r>
      <w:r w:rsidR="00EF0772" w:rsidRPr="00A278DD">
        <w:rPr>
          <w:rStyle w:val="st"/>
        </w:rPr>
        <w:t xml:space="preserve"> sentence</w:t>
      </w:r>
      <w:r w:rsidR="00194090" w:rsidRPr="00A278DD">
        <w:rPr>
          <w:rStyle w:val="st"/>
        </w:rPr>
        <w:t xml:space="preserve"> </w:t>
      </w:r>
      <w:r w:rsidR="00EF0772" w:rsidRPr="00A278DD">
        <w:rPr>
          <w:rStyle w:val="st"/>
        </w:rPr>
        <w:t>S</w:t>
      </w:r>
      <w:r w:rsidR="00502BC6" w:rsidRPr="00A278DD">
        <w:rPr>
          <w:rStyle w:val="st"/>
        </w:rPr>
        <w:t>D</w:t>
      </w:r>
      <w:r w:rsidR="00EF0772" w:rsidRPr="00A278DD">
        <w:rPr>
          <w:rStyle w:val="st"/>
        </w:rPr>
        <w:t xml:space="preserve">A, which </w:t>
      </w:r>
      <w:r w:rsidR="00FB5F74" w:rsidRPr="00A278DD">
        <w:rPr>
          <w:rStyle w:val="st"/>
        </w:rPr>
        <w:t xml:space="preserve">the judgment stated </w:t>
      </w:r>
      <w:r w:rsidR="00EF0772" w:rsidRPr="00A278DD">
        <w:rPr>
          <w:rStyle w:val="st"/>
        </w:rPr>
        <w:t>provides that GSPs are unchallengeabl</w:t>
      </w:r>
      <w:r w:rsidR="00FB5F74" w:rsidRPr="00A278DD">
        <w:rPr>
          <w:rStyle w:val="st"/>
        </w:rPr>
        <w:t>e,</w:t>
      </w:r>
      <w:r w:rsidR="00EF0772" w:rsidRPr="00A278DD">
        <w:rPr>
          <w:rStyle w:val="st"/>
        </w:rPr>
        <w:t xml:space="preserve"> does not contradict the Constitution, reasoning that</w:t>
      </w:r>
      <w:r w:rsidR="00231476" w:rsidRPr="00A278DD">
        <w:rPr>
          <w:rStyle w:val="st"/>
        </w:rPr>
        <w:t xml:space="preserve"> GSPs</w:t>
      </w:r>
      <w:r w:rsidR="00EF0772" w:rsidRPr="00A278DD">
        <w:rPr>
          <w:rStyle w:val="st"/>
        </w:rPr>
        <w:t xml:space="preserve"> provide only general frameworks and guidelines for the construction</w:t>
      </w:r>
      <w:r w:rsidR="00231476" w:rsidRPr="00A278DD">
        <w:rPr>
          <w:rStyle w:val="st"/>
        </w:rPr>
        <w:t xml:space="preserve"> and development of the territory.</w:t>
      </w:r>
      <w:r w:rsidR="00231476" w:rsidRPr="00A278DD">
        <w:rPr>
          <w:rStyle w:val="FootnoteReference"/>
        </w:rPr>
        <w:footnoteReference w:id="33"/>
      </w:r>
      <w:bookmarkEnd w:id="16"/>
    </w:p>
    <w:p w14:paraId="4115017F" w14:textId="77777777" w:rsidR="004C4397" w:rsidRPr="00A278DD" w:rsidRDefault="004C4397" w:rsidP="004C4397">
      <w:pPr>
        <w:pStyle w:val="NumberedParas"/>
        <w:numPr>
          <w:ilvl w:val="0"/>
          <w:numId w:val="0"/>
        </w:numPr>
        <w:ind w:left="1134"/>
        <w:rPr>
          <w:rStyle w:val="st"/>
        </w:rPr>
      </w:pPr>
    </w:p>
    <w:p w14:paraId="7809C73F" w14:textId="77777777" w:rsidR="003313C4" w:rsidRPr="00A278DD" w:rsidRDefault="00743E45" w:rsidP="005E15C6">
      <w:pPr>
        <w:pStyle w:val="Heading2"/>
        <w:ind w:left="1134" w:firstLine="0"/>
      </w:pPr>
      <w:r w:rsidRPr="00A278DD">
        <w:t>Facts</w:t>
      </w:r>
    </w:p>
    <w:p w14:paraId="2A2DA769" w14:textId="77777777" w:rsidR="0061016F" w:rsidRPr="00A278DD" w:rsidRDefault="0061016F" w:rsidP="005E15C6">
      <w:pPr>
        <w:pStyle w:val="Heading3"/>
        <w:ind w:left="1134"/>
      </w:pPr>
      <w:r w:rsidRPr="00A278DD">
        <w:rPr>
          <w:rStyle w:val="st"/>
        </w:rPr>
        <w:t xml:space="preserve">Decision </w:t>
      </w:r>
      <w:r w:rsidR="00877EDE" w:rsidRPr="00A278DD">
        <w:rPr>
          <w:rStyle w:val="st"/>
        </w:rPr>
        <w:t xml:space="preserve">V/9d and </w:t>
      </w:r>
      <w:r w:rsidRPr="00A278DD">
        <w:rPr>
          <w:rStyle w:val="st"/>
        </w:rPr>
        <w:t>VI/8d</w:t>
      </w:r>
    </w:p>
    <w:p w14:paraId="347C33CC" w14:textId="49146AE2" w:rsidR="005B2B61" w:rsidRPr="00A278DD" w:rsidRDefault="005B2B61" w:rsidP="005E15C6">
      <w:pPr>
        <w:pStyle w:val="NumberedParas"/>
        <w:ind w:left="1134" w:firstLine="0"/>
      </w:pPr>
      <w:r w:rsidRPr="00A278DD">
        <w:t>In its findings on communication ACCC/C/201</w:t>
      </w:r>
      <w:r w:rsidR="00F01B2E" w:rsidRPr="00A278DD">
        <w:t>1</w:t>
      </w:r>
      <w:r w:rsidRPr="00A278DD">
        <w:t>/</w:t>
      </w:r>
      <w:r w:rsidR="00F01B2E" w:rsidRPr="00A278DD">
        <w:t>58</w:t>
      </w:r>
      <w:r w:rsidR="00B72AF0">
        <w:t xml:space="preserve"> (Bulgaria)</w:t>
      </w:r>
      <w:r w:rsidRPr="00A278DD">
        <w:t>, the Committee found that, by barring all members of the public, including environmental organizations, from access to justice with respect to GSPs, the Party concerned failed to comply with article 9(3) of the Convention.</w:t>
      </w:r>
      <w:r w:rsidRPr="00A278DD">
        <w:rPr>
          <w:rStyle w:val="FootnoteReference"/>
        </w:rPr>
        <w:footnoteReference w:id="34"/>
      </w:r>
    </w:p>
    <w:p w14:paraId="1BDBEBFC" w14:textId="59D168D7" w:rsidR="008429BE" w:rsidRPr="00A278DD" w:rsidRDefault="00B72AF0" w:rsidP="005E15C6">
      <w:pPr>
        <w:pStyle w:val="NumberedParas"/>
        <w:ind w:left="1134" w:firstLine="0"/>
      </w:pPr>
      <w:bookmarkStart w:id="17" w:name="_Ref18316497"/>
      <w:r>
        <w:t>Through decision V/9d concerning the compliance of Bulgaria,</w:t>
      </w:r>
      <w:r w:rsidRPr="00A278DD">
        <w:rPr>
          <w:rStyle w:val="FootnoteReference"/>
        </w:rPr>
        <w:footnoteReference w:id="35"/>
      </w:r>
      <w:r w:rsidRPr="00A278DD">
        <w:t xml:space="preserve"> </w:t>
      </w:r>
      <w:r>
        <w:t xml:space="preserve"> the Meeting of the Parties, at its </w:t>
      </w:r>
      <w:r w:rsidR="008429BE" w:rsidRPr="00A278DD">
        <w:t xml:space="preserve">fifth </w:t>
      </w:r>
      <w:r w:rsidR="00F16E2F" w:rsidRPr="00A278DD">
        <w:t>session</w:t>
      </w:r>
      <w:r>
        <w:t>,</w:t>
      </w:r>
      <w:r w:rsidR="00F16E2F" w:rsidRPr="00A278DD">
        <w:t xml:space="preserve"> </w:t>
      </w:r>
      <w:r w:rsidR="008429BE" w:rsidRPr="00A278DD">
        <w:t xml:space="preserve">endorsed the Committee’s findings on communication </w:t>
      </w:r>
      <w:r w:rsidR="008429BE" w:rsidRPr="00A278DD">
        <w:lastRenderedPageBreak/>
        <w:t xml:space="preserve">ACCC/C/2011/58, the implementation of which the Committee was reviewing at the time </w:t>
      </w:r>
      <w:r>
        <w:t xml:space="preserve">that </w:t>
      </w:r>
      <w:r w:rsidR="008429BE" w:rsidRPr="00A278DD">
        <w:t>the present communication was submitted. During the Committee’s review of the implementation of decision V/9d, the Party concerned stated that “if at any stage of the investment process is allowed unlawful issuance of an act under the S</w:t>
      </w:r>
      <w:r w:rsidR="00502BC6" w:rsidRPr="00A278DD">
        <w:t>D</w:t>
      </w:r>
      <w:r w:rsidR="008429BE" w:rsidRPr="00A278DD">
        <w:t>A – in violation of the provisions of the EPA, may be applied compulsory/coercive measures for suspending the implementation of spatial plans and investment projects”</w:t>
      </w:r>
      <w:r w:rsidR="00C06438" w:rsidRPr="00A278DD">
        <w:t xml:space="preserve"> and that “it is important to note that compulsory administrative measures may be implemented on the initiative of the public concerned.</w:t>
      </w:r>
      <w:r w:rsidR="008429BE" w:rsidRPr="00A278DD">
        <w:rPr>
          <w:rStyle w:val="FootnoteReference"/>
        </w:rPr>
        <w:footnoteReference w:id="36"/>
      </w:r>
      <w:r w:rsidR="00773BA3" w:rsidRPr="00A278DD">
        <w:t xml:space="preserve"> </w:t>
      </w:r>
      <w:r w:rsidR="00847186" w:rsidRPr="00A278DD">
        <w:t>In its third progress report, t</w:t>
      </w:r>
      <w:r w:rsidR="00773BA3" w:rsidRPr="00A278DD">
        <w:t>he Party concerned further report</w:t>
      </w:r>
      <w:r w:rsidR="00B66A3F" w:rsidRPr="00A278DD">
        <w:t>ed</w:t>
      </w:r>
      <w:r w:rsidR="00773BA3" w:rsidRPr="00A278DD">
        <w:t xml:space="preserve"> on </w:t>
      </w:r>
      <w:r w:rsidR="0083247C" w:rsidRPr="00A278DD">
        <w:t xml:space="preserve">what it considered </w:t>
      </w:r>
      <w:r w:rsidR="00773BA3" w:rsidRPr="00A278DD">
        <w:t>improved approval regimes, which inter alia provided “the public, including environmental organizations, with the opportunity, by submitting objections and signals, to cooperate for prevention of omissions and violations.”</w:t>
      </w:r>
      <w:r w:rsidR="00773BA3" w:rsidRPr="00A278DD">
        <w:rPr>
          <w:rStyle w:val="FootnoteReference"/>
        </w:rPr>
        <w:footnoteReference w:id="37"/>
      </w:r>
      <w:bookmarkEnd w:id="17"/>
    </w:p>
    <w:p w14:paraId="5EF8D1FA" w14:textId="374580F8" w:rsidR="0061016F" w:rsidRPr="00A278DD" w:rsidRDefault="005B2B61" w:rsidP="005E15C6">
      <w:pPr>
        <w:pStyle w:val="NumberedParas"/>
        <w:ind w:left="1134" w:firstLine="0"/>
      </w:pPr>
      <w:r w:rsidRPr="00A278DD">
        <w:t>In its findings on communication ACCC/C/2012/76</w:t>
      </w:r>
      <w:r w:rsidR="00B72AF0">
        <w:t xml:space="preserve"> (Bulgaria)</w:t>
      </w:r>
      <w:r w:rsidRPr="00A278DD">
        <w:t>, the Committee found that, with respect to appeals under article 60(4)</w:t>
      </w:r>
      <w:r w:rsidR="00B72AF0">
        <w:t xml:space="preserve"> </w:t>
      </w:r>
      <w:r w:rsidRPr="00A278DD">
        <w:t>APC of orders for preliminary enforcement challenged on the ground of potential environmental damage, a practice in which the courts rely on the conclusions of the contested EIA/SEA decision rather than making their own assessment of the risk of environmental damage in the light of all the facts and arguments significant to the case, taking into account the particularly important public interest in the protection of the environment and the need for precaution with respect to preventing environmental harm, does not ensure that such procedures provide adequate and effective remedies to prevent environmental damage. Therefore, the Committee found that the Party concerned failed to comply with article 9(4) of the Convention.</w:t>
      </w:r>
      <w:r w:rsidR="004D04EC">
        <w:rPr>
          <w:rStyle w:val="FootnoteReference"/>
        </w:rPr>
        <w:footnoteReference w:id="38"/>
      </w:r>
    </w:p>
    <w:p w14:paraId="0A9C3CD7" w14:textId="5DE72A72" w:rsidR="008429BE" w:rsidRDefault="00B72AF0" w:rsidP="005E15C6">
      <w:pPr>
        <w:pStyle w:val="NumberedParas"/>
        <w:ind w:left="1134" w:firstLine="0"/>
      </w:pPr>
      <w:r>
        <w:t>Through</w:t>
      </w:r>
      <w:r w:rsidR="00877EDE" w:rsidRPr="00A278DD">
        <w:t xml:space="preserve"> </w:t>
      </w:r>
      <w:r w:rsidR="008429BE" w:rsidRPr="00A278DD">
        <w:t>decision VI/</w:t>
      </w:r>
      <w:r w:rsidR="002D7AB7" w:rsidRPr="00A278DD">
        <w:t>8</w:t>
      </w:r>
      <w:r w:rsidR="008429BE" w:rsidRPr="00A278DD">
        <w:t>d</w:t>
      </w:r>
      <w:r>
        <w:t xml:space="preserve"> concerning the compliance of Bulgaria</w:t>
      </w:r>
      <w:r w:rsidR="008429BE" w:rsidRPr="00A278DD">
        <w:t>, the Meeting of the Parties</w:t>
      </w:r>
      <w:r>
        <w:t>,</w:t>
      </w:r>
      <w:r w:rsidR="008429BE" w:rsidRPr="00A278DD">
        <w:t xml:space="preserve"> </w:t>
      </w:r>
      <w:r>
        <w:t>at its sixth session,</w:t>
      </w:r>
      <w:r w:rsidR="008429BE" w:rsidRPr="00A278DD">
        <w:t xml:space="preserve"> endorsed the Committee’s finding</w:t>
      </w:r>
      <w:r w:rsidR="0091538C">
        <w:t>s</w:t>
      </w:r>
      <w:r w:rsidR="008429BE" w:rsidRPr="00A278DD">
        <w:t xml:space="preserve"> on communication ACCC/C/2012/76</w:t>
      </w:r>
      <w:r w:rsidR="0091538C">
        <w:t xml:space="preserve"> as well as the Committee’s finding that the </w:t>
      </w:r>
      <w:r w:rsidR="0091538C" w:rsidRPr="00A278DD">
        <w:t>Party concerned had not yet fulfilled the requirements of decision V/9d</w:t>
      </w:r>
      <w:r w:rsidR="008429BE" w:rsidRPr="00A278DD">
        <w:t xml:space="preserve">. It further decided, </w:t>
      </w:r>
      <w:proofErr w:type="gramStart"/>
      <w:r w:rsidR="008429BE" w:rsidRPr="00A278DD">
        <w:t xml:space="preserve">in light </w:t>
      </w:r>
      <w:r w:rsidR="00CC40BA" w:rsidRPr="00A278DD">
        <w:t>of</w:t>
      </w:r>
      <w:proofErr w:type="gramEnd"/>
      <w:r w:rsidR="00CC40BA" w:rsidRPr="00A278DD">
        <w:t xml:space="preserve"> the </w:t>
      </w:r>
      <w:r w:rsidR="008429BE" w:rsidRPr="00A278DD">
        <w:t>Party</w:t>
      </w:r>
      <w:r w:rsidR="00CC40BA" w:rsidRPr="00A278DD">
        <w:t xml:space="preserve">’s position </w:t>
      </w:r>
      <w:r w:rsidR="008429BE" w:rsidRPr="00A278DD">
        <w:t xml:space="preserve">that implementing paragraphs 2(a) and (b) of decision V/9d </w:t>
      </w:r>
      <w:r w:rsidR="00CC40BA" w:rsidRPr="00A278DD">
        <w:t xml:space="preserve">was </w:t>
      </w:r>
      <w:r w:rsidR="008429BE" w:rsidRPr="00A278DD">
        <w:t>not required for its full compliance with article 9(2) and (3)</w:t>
      </w:r>
      <w:r w:rsidR="00007917" w:rsidRPr="00A278DD">
        <w:t>,</w:t>
      </w:r>
      <w:r w:rsidR="002D7AB7" w:rsidRPr="00A278DD">
        <w:t xml:space="preserve"> to issue the Party concerned a caution</w:t>
      </w:r>
      <w:r w:rsidR="008429BE" w:rsidRPr="00A278DD">
        <w:t>.</w:t>
      </w:r>
      <w:r w:rsidR="008429BE" w:rsidRPr="00A278DD">
        <w:rPr>
          <w:rStyle w:val="FootnoteReference"/>
        </w:rPr>
        <w:footnoteReference w:id="39"/>
      </w:r>
      <w:r w:rsidR="008429BE" w:rsidRPr="00A278DD">
        <w:t xml:space="preserve"> </w:t>
      </w:r>
    </w:p>
    <w:p w14:paraId="085431EE" w14:textId="77777777" w:rsidR="004C4397" w:rsidRPr="00A278DD" w:rsidRDefault="004C4397" w:rsidP="004C4397">
      <w:pPr>
        <w:pStyle w:val="NumberedParas"/>
        <w:numPr>
          <w:ilvl w:val="0"/>
          <w:numId w:val="0"/>
        </w:numPr>
        <w:ind w:left="1134"/>
      </w:pPr>
    </w:p>
    <w:p w14:paraId="26D6AF7E" w14:textId="04512CF3" w:rsidR="002F0FBB" w:rsidRPr="00A278DD" w:rsidRDefault="002F0FBB" w:rsidP="005E15C6">
      <w:pPr>
        <w:pStyle w:val="Heading3"/>
        <w:ind w:left="1134"/>
      </w:pPr>
      <w:r w:rsidRPr="00A278DD">
        <w:t>The amendment of the Plovdiv GSP</w:t>
      </w:r>
    </w:p>
    <w:p w14:paraId="15172EC5" w14:textId="2B226CA8" w:rsidR="00394F7E" w:rsidRPr="00A278DD" w:rsidRDefault="00D40D40" w:rsidP="005E15C6">
      <w:pPr>
        <w:pStyle w:val="NumberedParas"/>
        <w:ind w:left="1134" w:firstLine="0"/>
        <w:rPr>
          <w:rStyle w:val="st"/>
        </w:rPr>
      </w:pPr>
      <w:bookmarkStart w:id="18" w:name="_Ref18057875"/>
      <w:r w:rsidRPr="00A278DD">
        <w:rPr>
          <w:rStyle w:val="st"/>
        </w:rPr>
        <w:t>On 10 December 2013</w:t>
      </w:r>
      <w:r w:rsidR="008A67C0" w:rsidRPr="00A278DD">
        <w:rPr>
          <w:rStyle w:val="st"/>
        </w:rPr>
        <w:t>,</w:t>
      </w:r>
      <w:r w:rsidRPr="00A278DD">
        <w:rPr>
          <w:rStyle w:val="st"/>
        </w:rPr>
        <w:t xml:space="preserve"> the Municipality of Plovdiv started a procedure for the amendment of its GSP. The amendment cover</w:t>
      </w:r>
      <w:r w:rsidR="00D51593" w:rsidRPr="00A278DD">
        <w:rPr>
          <w:rStyle w:val="st"/>
        </w:rPr>
        <w:t>ed</w:t>
      </w:r>
      <w:r w:rsidRPr="00A278DD">
        <w:rPr>
          <w:rStyle w:val="st"/>
        </w:rPr>
        <w:t xml:space="preserve"> a heavily forested area of approximately 800 </w:t>
      </w:r>
      <w:proofErr w:type="spellStart"/>
      <w:r w:rsidRPr="00A278DD">
        <w:rPr>
          <w:rStyle w:val="st"/>
        </w:rPr>
        <w:t>decare</w:t>
      </w:r>
      <w:proofErr w:type="spellEnd"/>
      <w:r w:rsidRPr="00A278DD">
        <w:rPr>
          <w:rStyle w:val="st"/>
        </w:rPr>
        <w:t xml:space="preserve"> (</w:t>
      </w:r>
      <w:r w:rsidR="000C1911" w:rsidRPr="00A278DD">
        <w:rPr>
          <w:rStyle w:val="st"/>
        </w:rPr>
        <w:t>80 hectares</w:t>
      </w:r>
      <w:r w:rsidRPr="00A278DD">
        <w:rPr>
          <w:rStyle w:val="st"/>
        </w:rPr>
        <w:t>), the major</w:t>
      </w:r>
      <w:r w:rsidR="00D51593" w:rsidRPr="00A278DD">
        <w:rPr>
          <w:rStyle w:val="st"/>
        </w:rPr>
        <w:t>ity</w:t>
      </w:r>
      <w:r w:rsidRPr="00A278DD">
        <w:rPr>
          <w:rStyle w:val="st"/>
        </w:rPr>
        <w:t xml:space="preserve"> of which </w:t>
      </w:r>
      <w:r w:rsidR="008A67C0" w:rsidRPr="00A278DD">
        <w:rPr>
          <w:rStyle w:val="st"/>
        </w:rPr>
        <w:t xml:space="preserve">is </w:t>
      </w:r>
      <w:r w:rsidRPr="00A278DD">
        <w:rPr>
          <w:rStyle w:val="st"/>
        </w:rPr>
        <w:t xml:space="preserve">within two protected Natura 2000 </w:t>
      </w:r>
      <w:r w:rsidR="00D51593" w:rsidRPr="00A278DD">
        <w:rPr>
          <w:rStyle w:val="st"/>
        </w:rPr>
        <w:t>sites</w:t>
      </w:r>
      <w:r w:rsidRPr="00A278DD">
        <w:rPr>
          <w:rStyle w:val="st"/>
        </w:rPr>
        <w:t>.</w:t>
      </w:r>
      <w:r w:rsidRPr="00A278DD">
        <w:rPr>
          <w:rStyle w:val="FootnoteReference"/>
        </w:rPr>
        <w:footnoteReference w:id="40"/>
      </w:r>
      <w:r w:rsidR="00B4698F" w:rsidRPr="00A278DD">
        <w:rPr>
          <w:rStyle w:val="st"/>
        </w:rPr>
        <w:t xml:space="preserve"> The </w:t>
      </w:r>
      <w:r w:rsidR="00D51593" w:rsidRPr="00A278DD">
        <w:rPr>
          <w:rStyle w:val="st"/>
        </w:rPr>
        <w:t xml:space="preserve">proposed </w:t>
      </w:r>
      <w:r w:rsidR="00B4698F" w:rsidRPr="00A278DD">
        <w:rPr>
          <w:rStyle w:val="st"/>
        </w:rPr>
        <w:t xml:space="preserve">amendment </w:t>
      </w:r>
      <w:r w:rsidR="00686A13" w:rsidRPr="00A278DD">
        <w:rPr>
          <w:rStyle w:val="st"/>
        </w:rPr>
        <w:t xml:space="preserve">to the GSP </w:t>
      </w:r>
      <w:r w:rsidR="00B4698F" w:rsidRPr="00A278DD">
        <w:rPr>
          <w:rStyle w:val="st"/>
        </w:rPr>
        <w:t xml:space="preserve">changed the permanent use of this territory from a zone for public green space </w:t>
      </w:r>
      <w:r w:rsidR="00F024E0" w:rsidRPr="00A278DD">
        <w:rPr>
          <w:rStyle w:val="st"/>
        </w:rPr>
        <w:t xml:space="preserve">which allowed </w:t>
      </w:r>
      <w:r w:rsidR="00F024E0" w:rsidRPr="00A278DD">
        <w:t>no more than 1% construction</w:t>
      </w:r>
      <w:r w:rsidR="00F024E0" w:rsidRPr="00A278DD">
        <w:rPr>
          <w:rStyle w:val="st"/>
        </w:rPr>
        <w:t xml:space="preserve"> </w:t>
      </w:r>
      <w:r w:rsidR="00B4698F" w:rsidRPr="00A278DD">
        <w:rPr>
          <w:rStyle w:val="st"/>
        </w:rPr>
        <w:t>to a zone for sport and entertainment</w:t>
      </w:r>
      <w:r w:rsidR="00394F7E" w:rsidRPr="00A278DD">
        <w:rPr>
          <w:rStyle w:val="st"/>
        </w:rPr>
        <w:t xml:space="preserve">, which </w:t>
      </w:r>
      <w:r w:rsidR="00394F7E" w:rsidRPr="00A278DD">
        <w:t xml:space="preserve">allows a maximum building of 80% (see para. </w:t>
      </w:r>
      <w:r w:rsidR="005E15C6">
        <w:fldChar w:fldCharType="begin"/>
      </w:r>
      <w:r w:rsidR="005E15C6">
        <w:instrText xml:space="preserve"> REF _Ref74677661 \r \h </w:instrText>
      </w:r>
      <w:r w:rsidR="005E15C6">
        <w:fldChar w:fldCharType="separate"/>
      </w:r>
      <w:r w:rsidR="00033122">
        <w:rPr>
          <w:cs/>
        </w:rPr>
        <w:t>‎</w:t>
      </w:r>
      <w:r w:rsidR="00033122">
        <w:t>36</w:t>
      </w:r>
      <w:r w:rsidR="005E15C6">
        <w:fldChar w:fldCharType="end"/>
      </w:r>
      <w:r w:rsidR="005E15C6">
        <w:t xml:space="preserve"> a</w:t>
      </w:r>
      <w:r w:rsidR="00394F7E" w:rsidRPr="00A278DD">
        <w:t>bove).</w:t>
      </w:r>
      <w:r w:rsidR="00394F7E" w:rsidRPr="00A278DD">
        <w:rPr>
          <w:rStyle w:val="FootnoteReference"/>
        </w:rPr>
        <w:footnoteReference w:id="41"/>
      </w:r>
      <w:bookmarkEnd w:id="18"/>
    </w:p>
    <w:p w14:paraId="356A05AC" w14:textId="346D6ADB" w:rsidR="00B4698F" w:rsidRPr="00A278DD" w:rsidRDefault="00B4698F" w:rsidP="005E15C6">
      <w:pPr>
        <w:pStyle w:val="NumberedParas"/>
        <w:ind w:left="1134" w:firstLine="0"/>
        <w:rPr>
          <w:rStyle w:val="st"/>
        </w:rPr>
      </w:pPr>
      <w:r w:rsidRPr="00A278DD">
        <w:rPr>
          <w:rStyle w:val="st"/>
        </w:rPr>
        <w:t xml:space="preserve">On 10 December 2013, the Municipality of Plovdiv published </w:t>
      </w:r>
      <w:r w:rsidR="00D51593" w:rsidRPr="00A278DD">
        <w:rPr>
          <w:rStyle w:val="st"/>
        </w:rPr>
        <w:t>a notice of upcoming public discussions on the</w:t>
      </w:r>
      <w:r w:rsidR="00686A13" w:rsidRPr="00A278DD">
        <w:rPr>
          <w:rStyle w:val="st"/>
        </w:rPr>
        <w:t xml:space="preserve"> proposed GSP</w:t>
      </w:r>
      <w:r w:rsidR="00D51593" w:rsidRPr="00A278DD">
        <w:rPr>
          <w:rStyle w:val="st"/>
        </w:rPr>
        <w:t xml:space="preserve"> amendment </w:t>
      </w:r>
      <w:r w:rsidRPr="00A278DD">
        <w:rPr>
          <w:rStyle w:val="st"/>
        </w:rPr>
        <w:t>in the local editions of two national newspapers.</w:t>
      </w:r>
      <w:r w:rsidR="00EC4523" w:rsidRPr="00A278DD">
        <w:rPr>
          <w:rStyle w:val="FootnoteReference"/>
        </w:rPr>
        <w:footnoteReference w:id="42"/>
      </w:r>
      <w:r w:rsidR="00AE1373" w:rsidRPr="00A278DD">
        <w:rPr>
          <w:rStyle w:val="st"/>
        </w:rPr>
        <w:t xml:space="preserve"> The notice state</w:t>
      </w:r>
      <w:r w:rsidR="0016468D" w:rsidRPr="00A278DD">
        <w:rPr>
          <w:rStyle w:val="st"/>
        </w:rPr>
        <w:t>d</w:t>
      </w:r>
      <w:r w:rsidR="00AE1373" w:rsidRPr="00A278DD">
        <w:rPr>
          <w:rStyle w:val="st"/>
        </w:rPr>
        <w:t xml:space="preserve"> that:</w:t>
      </w:r>
    </w:p>
    <w:p w14:paraId="3F68639D" w14:textId="77777777" w:rsidR="00AE1373" w:rsidRPr="00A278DD" w:rsidRDefault="00AE1373" w:rsidP="005E15C6">
      <w:pPr>
        <w:pStyle w:val="Quote"/>
        <w:ind w:left="1701"/>
        <w:rPr>
          <w:rStyle w:val="st"/>
        </w:rPr>
      </w:pPr>
      <w:r w:rsidRPr="00A278DD">
        <w:rPr>
          <w:rStyle w:val="st"/>
        </w:rPr>
        <w:t>“In implementation of Order 13OA050/25.11.2913 of the Mayor of Plovdiv Municipality, Spatially Planning Directorate officially developed a Project for amendment of the General Spatial Plan of Plovdiv with scope – ZSE</w:t>
      </w:r>
      <w:r w:rsidR="00D21F91" w:rsidRPr="00A278DD">
        <w:rPr>
          <w:rStyle w:val="st"/>
        </w:rPr>
        <w:t xml:space="preserve"> [zone for sports and entertainment]</w:t>
      </w:r>
      <w:r w:rsidRPr="00A278DD">
        <w:rPr>
          <w:rStyle w:val="st"/>
        </w:rPr>
        <w:t xml:space="preserve"> area within the territory of the Sports Complex “Recreation and Culture”. </w:t>
      </w:r>
    </w:p>
    <w:p w14:paraId="22C2467E" w14:textId="77777777" w:rsidR="00AE1373" w:rsidRPr="00A278DD" w:rsidRDefault="00AE1373" w:rsidP="005E15C6">
      <w:pPr>
        <w:pStyle w:val="Quote"/>
        <w:ind w:left="1701"/>
        <w:rPr>
          <w:rStyle w:val="st"/>
        </w:rPr>
      </w:pPr>
      <w:r w:rsidRPr="00A278DD">
        <w:rPr>
          <w:rStyle w:val="st"/>
        </w:rPr>
        <w:lastRenderedPageBreak/>
        <w:t>We would like to inform you that in relation to the above mentioned and pursuant to art. 127, par 1 from the Spatial Planning Act in the administrative districts of the Municipality of Plovdiv the following public discussions will be conducted:</w:t>
      </w:r>
    </w:p>
    <w:p w14:paraId="12171C0E" w14:textId="073CBE8A" w:rsidR="00AE1373" w:rsidRPr="00A278DD" w:rsidRDefault="00AE1373" w:rsidP="005E15C6">
      <w:pPr>
        <w:pStyle w:val="Quote"/>
        <w:ind w:left="1701"/>
        <w:rPr>
          <w:rStyle w:val="st"/>
        </w:rPr>
      </w:pPr>
      <w:r w:rsidRPr="00A278DD">
        <w:rPr>
          <w:rStyle w:val="st"/>
        </w:rPr>
        <w:t>Central district -</w:t>
      </w:r>
      <w:r w:rsidR="004C4397">
        <w:rPr>
          <w:rStyle w:val="st"/>
        </w:rPr>
        <w:t xml:space="preserve"> </w:t>
      </w:r>
      <w:r w:rsidR="004C4397">
        <w:rPr>
          <w:rStyle w:val="st"/>
        </w:rPr>
        <w:tab/>
      </w:r>
      <w:r w:rsidRPr="00A278DD">
        <w:rPr>
          <w:rStyle w:val="st"/>
        </w:rPr>
        <w:t>12.12.13</w:t>
      </w:r>
      <w:r w:rsidRPr="00A278DD">
        <w:rPr>
          <w:rStyle w:val="st"/>
        </w:rPr>
        <w:tab/>
        <w:t>-</w:t>
      </w:r>
      <w:r w:rsidRPr="00A278DD">
        <w:rPr>
          <w:rStyle w:val="st"/>
        </w:rPr>
        <w:tab/>
        <w:t>9.00-10:30AM</w:t>
      </w:r>
    </w:p>
    <w:p w14:paraId="1B9BF51E" w14:textId="1E0A2BBD" w:rsidR="00AE1373" w:rsidRPr="00A278DD" w:rsidRDefault="00AE1373" w:rsidP="005E15C6">
      <w:pPr>
        <w:pStyle w:val="Quote"/>
        <w:ind w:left="1701"/>
        <w:rPr>
          <w:rStyle w:val="st"/>
        </w:rPr>
      </w:pPr>
      <w:r w:rsidRPr="00A278DD">
        <w:rPr>
          <w:rStyle w:val="st"/>
        </w:rPr>
        <w:t>Northern district -</w:t>
      </w:r>
      <w:r w:rsidR="004C4397">
        <w:rPr>
          <w:rStyle w:val="st"/>
        </w:rPr>
        <w:tab/>
      </w:r>
      <w:r w:rsidRPr="00A278DD">
        <w:rPr>
          <w:rStyle w:val="st"/>
        </w:rPr>
        <w:t>12.12.13</w:t>
      </w:r>
      <w:r w:rsidRPr="00A278DD">
        <w:rPr>
          <w:rStyle w:val="st"/>
        </w:rPr>
        <w:tab/>
        <w:t>-</w:t>
      </w:r>
      <w:r w:rsidRPr="00A278DD">
        <w:rPr>
          <w:rStyle w:val="st"/>
        </w:rPr>
        <w:tab/>
        <w:t>01:00-02:30PM</w:t>
      </w:r>
    </w:p>
    <w:p w14:paraId="491743EF" w14:textId="4ECCB35F" w:rsidR="00AE1373" w:rsidRPr="00A278DD" w:rsidRDefault="00AE1373" w:rsidP="005E15C6">
      <w:pPr>
        <w:pStyle w:val="Quote"/>
        <w:ind w:left="1701"/>
        <w:rPr>
          <w:rStyle w:val="st"/>
        </w:rPr>
      </w:pPr>
      <w:r w:rsidRPr="00A278DD">
        <w:rPr>
          <w:rStyle w:val="st"/>
        </w:rPr>
        <w:t>Southern district -</w:t>
      </w:r>
      <w:r w:rsidR="004C4397">
        <w:rPr>
          <w:rStyle w:val="st"/>
        </w:rPr>
        <w:tab/>
      </w:r>
      <w:r w:rsidRPr="00A278DD">
        <w:rPr>
          <w:rStyle w:val="st"/>
        </w:rPr>
        <w:t>12.12.13</w:t>
      </w:r>
      <w:r w:rsidRPr="00A278DD">
        <w:rPr>
          <w:rStyle w:val="st"/>
        </w:rPr>
        <w:tab/>
        <w:t>-</w:t>
      </w:r>
      <w:r w:rsidRPr="00A278DD">
        <w:rPr>
          <w:rStyle w:val="st"/>
        </w:rPr>
        <w:tab/>
        <w:t>9.00-10:30AM</w:t>
      </w:r>
    </w:p>
    <w:p w14:paraId="1C95FEF8" w14:textId="77777777" w:rsidR="00AE1373" w:rsidRPr="00A278DD" w:rsidRDefault="00AE1373" w:rsidP="005E15C6">
      <w:pPr>
        <w:pStyle w:val="Quote"/>
        <w:ind w:left="1701"/>
        <w:rPr>
          <w:rStyle w:val="st"/>
        </w:rPr>
      </w:pPr>
      <w:r w:rsidRPr="00A278DD">
        <w:rPr>
          <w:rStyle w:val="st"/>
        </w:rPr>
        <w:t>Western district -</w:t>
      </w:r>
      <w:r w:rsidRPr="00A278DD">
        <w:rPr>
          <w:rStyle w:val="st"/>
        </w:rPr>
        <w:tab/>
        <w:t>12.12.13</w:t>
      </w:r>
      <w:r w:rsidRPr="00A278DD">
        <w:rPr>
          <w:rStyle w:val="st"/>
        </w:rPr>
        <w:tab/>
        <w:t>-</w:t>
      </w:r>
      <w:r w:rsidRPr="00A278DD">
        <w:rPr>
          <w:rStyle w:val="st"/>
        </w:rPr>
        <w:tab/>
        <w:t>01:00-02:30PM</w:t>
      </w:r>
    </w:p>
    <w:p w14:paraId="41632D16" w14:textId="77777777" w:rsidR="00AE1373" w:rsidRPr="00A278DD" w:rsidRDefault="00AE1373" w:rsidP="005E15C6">
      <w:pPr>
        <w:pStyle w:val="Quote"/>
        <w:ind w:left="1701"/>
        <w:rPr>
          <w:rStyle w:val="st"/>
        </w:rPr>
      </w:pPr>
      <w:proofErr w:type="spellStart"/>
      <w:r w:rsidRPr="00A278DD">
        <w:rPr>
          <w:rStyle w:val="st"/>
        </w:rPr>
        <w:t>Trakia</w:t>
      </w:r>
      <w:proofErr w:type="spellEnd"/>
      <w:r w:rsidRPr="00A278DD">
        <w:rPr>
          <w:rStyle w:val="st"/>
        </w:rPr>
        <w:t xml:space="preserve"> district -</w:t>
      </w:r>
      <w:r w:rsidRPr="00A278DD">
        <w:rPr>
          <w:rStyle w:val="st"/>
        </w:rPr>
        <w:tab/>
        <w:t>12.12.13</w:t>
      </w:r>
      <w:r w:rsidRPr="00A278DD">
        <w:rPr>
          <w:rStyle w:val="st"/>
        </w:rPr>
        <w:tab/>
        <w:t>-</w:t>
      </w:r>
      <w:r w:rsidRPr="00A278DD">
        <w:rPr>
          <w:rStyle w:val="st"/>
        </w:rPr>
        <w:tab/>
        <w:t>9.00-10:30AM</w:t>
      </w:r>
    </w:p>
    <w:p w14:paraId="14C5794A" w14:textId="17F5229D" w:rsidR="00AE1373" w:rsidRPr="00A278DD" w:rsidRDefault="00AE1373" w:rsidP="005E15C6">
      <w:pPr>
        <w:pStyle w:val="Quote"/>
        <w:ind w:left="1701"/>
        <w:rPr>
          <w:rStyle w:val="st"/>
        </w:rPr>
      </w:pPr>
      <w:r w:rsidRPr="00A278DD">
        <w:rPr>
          <w:rStyle w:val="st"/>
        </w:rPr>
        <w:t>Eastern district -</w:t>
      </w:r>
      <w:r w:rsidRPr="00A278DD">
        <w:rPr>
          <w:rStyle w:val="st"/>
        </w:rPr>
        <w:tab/>
        <w:t>12.12.13</w:t>
      </w:r>
      <w:r w:rsidRPr="00A278DD">
        <w:rPr>
          <w:rStyle w:val="st"/>
        </w:rPr>
        <w:tab/>
        <w:t>-</w:t>
      </w:r>
      <w:r w:rsidRPr="00A278DD">
        <w:rPr>
          <w:rStyle w:val="st"/>
        </w:rPr>
        <w:tab/>
        <w:t>01:00-02:30PM</w:t>
      </w:r>
      <w:r w:rsidR="00EC4523" w:rsidRPr="00A278DD">
        <w:rPr>
          <w:rStyle w:val="st"/>
        </w:rPr>
        <w:t>.”</w:t>
      </w:r>
      <w:r w:rsidR="00EC4523" w:rsidRPr="00A278DD">
        <w:rPr>
          <w:rStyle w:val="FootnoteReference"/>
        </w:rPr>
        <w:footnoteReference w:id="43"/>
      </w:r>
    </w:p>
    <w:p w14:paraId="76CACC9E" w14:textId="144E6545" w:rsidR="00AE1373" w:rsidRPr="00A278DD" w:rsidRDefault="00AE1373" w:rsidP="005E15C6">
      <w:pPr>
        <w:pStyle w:val="NumberedParas"/>
        <w:ind w:left="1134" w:firstLine="0"/>
        <w:rPr>
          <w:rStyle w:val="st"/>
        </w:rPr>
      </w:pPr>
      <w:r w:rsidRPr="00A278DD">
        <w:rPr>
          <w:rStyle w:val="st"/>
        </w:rPr>
        <w:t>On 12, 13 and 14 December 2013, public discussions were held.</w:t>
      </w:r>
      <w:r w:rsidR="00EC4523" w:rsidRPr="00A278DD">
        <w:rPr>
          <w:rStyle w:val="FootnoteReference"/>
        </w:rPr>
        <w:footnoteReference w:id="44"/>
      </w:r>
    </w:p>
    <w:p w14:paraId="5D18C734" w14:textId="0A0D8DF7" w:rsidR="004C5B60" w:rsidRPr="00A278DD" w:rsidRDefault="004C5B60" w:rsidP="005E15C6">
      <w:pPr>
        <w:pStyle w:val="NumberedParas"/>
        <w:ind w:left="1134" w:firstLine="0"/>
        <w:rPr>
          <w:rStyle w:val="st"/>
        </w:rPr>
      </w:pPr>
      <w:bookmarkStart w:id="19" w:name="_Ref18077621"/>
      <w:r w:rsidRPr="00A278DD">
        <w:rPr>
          <w:rStyle w:val="st"/>
        </w:rPr>
        <w:t xml:space="preserve">On 6 January 2014, the Municipality of Plovdiv submitted the </w:t>
      </w:r>
      <w:r w:rsidR="00D51593" w:rsidRPr="00A278DD">
        <w:rPr>
          <w:rStyle w:val="st"/>
        </w:rPr>
        <w:t xml:space="preserve">proposed </w:t>
      </w:r>
      <w:r w:rsidRPr="00A278DD">
        <w:rPr>
          <w:rStyle w:val="st"/>
        </w:rPr>
        <w:t>GSP</w:t>
      </w:r>
      <w:r w:rsidR="00D51593" w:rsidRPr="00A278DD">
        <w:rPr>
          <w:rStyle w:val="st"/>
        </w:rPr>
        <w:t xml:space="preserve"> amendment</w:t>
      </w:r>
      <w:r w:rsidRPr="00A278DD">
        <w:rPr>
          <w:rStyle w:val="st"/>
        </w:rPr>
        <w:t xml:space="preserve"> to</w:t>
      </w:r>
      <w:r w:rsidR="008279AB" w:rsidRPr="00A278DD">
        <w:rPr>
          <w:rStyle w:val="st"/>
        </w:rPr>
        <w:t xml:space="preserve"> the Plovdiv division of the Regional Inspectorate of Environment and Water</w:t>
      </w:r>
      <w:r w:rsidRPr="00A278DD">
        <w:rPr>
          <w:rStyle w:val="st"/>
        </w:rPr>
        <w:t xml:space="preserve"> </w:t>
      </w:r>
      <w:r w:rsidR="008279AB" w:rsidRPr="00A278DD">
        <w:rPr>
          <w:rStyle w:val="st"/>
        </w:rPr>
        <w:t>(</w:t>
      </w:r>
      <w:r w:rsidRPr="00A278DD">
        <w:rPr>
          <w:rStyle w:val="st"/>
        </w:rPr>
        <w:t>RIEW-Plovdiv</w:t>
      </w:r>
      <w:r w:rsidR="008279AB" w:rsidRPr="00A278DD">
        <w:rPr>
          <w:rStyle w:val="st"/>
        </w:rPr>
        <w:t>)</w:t>
      </w:r>
      <w:r w:rsidRPr="00A278DD">
        <w:rPr>
          <w:rStyle w:val="st"/>
        </w:rPr>
        <w:t>.</w:t>
      </w:r>
      <w:r w:rsidRPr="00A278DD">
        <w:rPr>
          <w:rStyle w:val="FootnoteReference"/>
        </w:rPr>
        <w:footnoteReference w:id="45"/>
      </w:r>
      <w:bookmarkEnd w:id="19"/>
    </w:p>
    <w:p w14:paraId="1A9EEED5" w14:textId="3E95EA6C" w:rsidR="003E281E" w:rsidRPr="00A278DD" w:rsidRDefault="003E281E" w:rsidP="005E15C6">
      <w:pPr>
        <w:pStyle w:val="NumberedParas"/>
        <w:ind w:left="1134" w:firstLine="0"/>
        <w:rPr>
          <w:rStyle w:val="st"/>
        </w:rPr>
      </w:pPr>
      <w:r w:rsidRPr="00A278DD">
        <w:rPr>
          <w:rStyle w:val="st"/>
        </w:rPr>
        <w:t xml:space="preserve">A </w:t>
      </w:r>
      <w:r w:rsidR="00FE0151" w:rsidRPr="00A278DD">
        <w:rPr>
          <w:rStyle w:val="st"/>
        </w:rPr>
        <w:t>report (“protocol”)</w:t>
      </w:r>
      <w:r w:rsidR="00D21F91" w:rsidRPr="00A278DD">
        <w:rPr>
          <w:rStyle w:val="st"/>
        </w:rPr>
        <w:t xml:space="preserve"> </w:t>
      </w:r>
      <w:r w:rsidRPr="00A278DD">
        <w:rPr>
          <w:rStyle w:val="st"/>
        </w:rPr>
        <w:t xml:space="preserve">of the public discussions </w:t>
      </w:r>
      <w:r w:rsidR="00C24CE2" w:rsidRPr="00A278DD">
        <w:rPr>
          <w:rStyle w:val="st"/>
        </w:rPr>
        <w:t xml:space="preserve">was attached to the documentation submitted to </w:t>
      </w:r>
      <w:r w:rsidR="00907AD9" w:rsidRPr="00A278DD">
        <w:rPr>
          <w:rStyle w:val="st"/>
        </w:rPr>
        <w:t>an expert council and the</w:t>
      </w:r>
      <w:r w:rsidR="00C24CE2" w:rsidRPr="00A278DD">
        <w:rPr>
          <w:rStyle w:val="st"/>
        </w:rPr>
        <w:t xml:space="preserve"> Plovdiv Municipal Council, the authority responsible for the adoption of the </w:t>
      </w:r>
      <w:r w:rsidR="00D51593" w:rsidRPr="00A278DD">
        <w:rPr>
          <w:rStyle w:val="st"/>
        </w:rPr>
        <w:t>GSP</w:t>
      </w:r>
      <w:r w:rsidR="00C24CE2" w:rsidRPr="00A278DD">
        <w:rPr>
          <w:rStyle w:val="st"/>
        </w:rPr>
        <w:t>.</w:t>
      </w:r>
      <w:r w:rsidR="00DA7A46" w:rsidRPr="00A278DD">
        <w:t xml:space="preserve"> The </w:t>
      </w:r>
      <w:r w:rsidR="00FE0151" w:rsidRPr="00A278DD">
        <w:t>report</w:t>
      </w:r>
      <w:r w:rsidR="00DA7A46" w:rsidRPr="00A278DD">
        <w:t xml:space="preserve"> was not part of the documentation submitted to the </w:t>
      </w:r>
      <w:r w:rsidR="00DA7A46" w:rsidRPr="00A278DD">
        <w:rPr>
          <w:rStyle w:val="st"/>
        </w:rPr>
        <w:t>Director of RIEW-</w:t>
      </w:r>
      <w:proofErr w:type="gramStart"/>
      <w:r w:rsidR="00DA7A46" w:rsidRPr="00A278DD">
        <w:rPr>
          <w:rStyle w:val="st"/>
        </w:rPr>
        <w:t>Plovdiv,</w:t>
      </w:r>
      <w:proofErr w:type="gramEnd"/>
      <w:r w:rsidR="00DA7A46" w:rsidRPr="00A278DD">
        <w:rPr>
          <w:rStyle w:val="st"/>
        </w:rPr>
        <w:t xml:space="preserve"> the authority responsible for issuing the SEA screening decision.</w:t>
      </w:r>
      <w:r w:rsidR="00DA7A46" w:rsidRPr="00A278DD">
        <w:rPr>
          <w:rStyle w:val="FootnoteReference"/>
        </w:rPr>
        <w:footnoteReference w:id="46"/>
      </w:r>
    </w:p>
    <w:p w14:paraId="5E3D2C28" w14:textId="2E7050F7" w:rsidR="00B95656" w:rsidRPr="00A278DD" w:rsidRDefault="00A07D47" w:rsidP="005E15C6">
      <w:pPr>
        <w:pStyle w:val="NumberedParas"/>
        <w:ind w:left="1134" w:firstLine="0"/>
      </w:pPr>
      <w:r w:rsidRPr="00A278DD">
        <w:rPr>
          <w:rStyle w:val="st"/>
        </w:rPr>
        <w:t>On</w:t>
      </w:r>
      <w:r w:rsidR="00B4698F" w:rsidRPr="00A278DD">
        <w:rPr>
          <w:rStyle w:val="st"/>
        </w:rPr>
        <w:t xml:space="preserve"> 8 May 2014, the Director of RIEW</w:t>
      </w:r>
      <w:r w:rsidR="008A67C0" w:rsidRPr="00A278DD">
        <w:rPr>
          <w:rStyle w:val="st"/>
        </w:rPr>
        <w:t>-</w:t>
      </w:r>
      <w:r w:rsidR="00B4698F" w:rsidRPr="00A278DD">
        <w:rPr>
          <w:rStyle w:val="st"/>
        </w:rPr>
        <w:t xml:space="preserve">Plovdiv ruled that no SEA </w:t>
      </w:r>
      <w:r w:rsidR="00D21F91" w:rsidRPr="00A278DD">
        <w:rPr>
          <w:rStyle w:val="st"/>
        </w:rPr>
        <w:t>was required for the proposed GSP amendment</w:t>
      </w:r>
      <w:r w:rsidR="00151E3B" w:rsidRPr="00A278DD">
        <w:rPr>
          <w:rStyle w:val="st"/>
        </w:rPr>
        <w:t xml:space="preserve"> (the SEA </w:t>
      </w:r>
      <w:r w:rsidR="00FE0151" w:rsidRPr="00A278DD">
        <w:rPr>
          <w:rStyle w:val="st"/>
        </w:rPr>
        <w:t xml:space="preserve">screening </w:t>
      </w:r>
      <w:r w:rsidR="00151E3B" w:rsidRPr="00A278DD">
        <w:rPr>
          <w:rStyle w:val="st"/>
        </w:rPr>
        <w:t>decision)</w:t>
      </w:r>
      <w:r w:rsidR="00B4698F" w:rsidRPr="00A278DD">
        <w:rPr>
          <w:rStyle w:val="st"/>
        </w:rPr>
        <w:t>.</w:t>
      </w:r>
      <w:r w:rsidR="00B4698F" w:rsidRPr="00A278DD">
        <w:rPr>
          <w:rStyle w:val="FootnoteReference"/>
        </w:rPr>
        <w:footnoteReference w:id="47"/>
      </w:r>
      <w:r w:rsidR="00B95656" w:rsidRPr="00A278DD">
        <w:t xml:space="preserve">  </w:t>
      </w:r>
    </w:p>
    <w:p w14:paraId="6BD3DF02" w14:textId="26878072" w:rsidR="00456CF6" w:rsidRDefault="00456CF6" w:rsidP="005E15C6">
      <w:pPr>
        <w:pStyle w:val="NumberedParas"/>
        <w:ind w:left="1134" w:firstLine="0"/>
        <w:rPr>
          <w:rStyle w:val="st"/>
        </w:rPr>
      </w:pPr>
      <w:bookmarkStart w:id="20" w:name="_Ref74677341"/>
      <w:proofErr w:type="gramStart"/>
      <w:r w:rsidRPr="00A278DD">
        <w:rPr>
          <w:rStyle w:val="st"/>
        </w:rPr>
        <w:t>On the basis of</w:t>
      </w:r>
      <w:proofErr w:type="gramEnd"/>
      <w:r w:rsidRPr="00A278DD">
        <w:rPr>
          <w:rStyle w:val="st"/>
        </w:rPr>
        <w:t xml:space="preserve"> a preliminary enforcement order (see para. </w:t>
      </w:r>
      <w:r w:rsidR="0016468D" w:rsidRPr="00A278DD">
        <w:rPr>
          <w:rStyle w:val="st"/>
        </w:rPr>
        <w:fldChar w:fldCharType="begin"/>
      </w:r>
      <w:r w:rsidR="0016468D" w:rsidRPr="00A278DD">
        <w:rPr>
          <w:rStyle w:val="st"/>
        </w:rPr>
        <w:instrText xml:space="preserve"> REF _Ref22820324 \r \h </w:instrText>
      </w:r>
      <w:r w:rsidR="00A278DD">
        <w:rPr>
          <w:rStyle w:val="st"/>
        </w:rPr>
        <w:instrText xml:space="preserve"> \* MERGEFORMAT </w:instrText>
      </w:r>
      <w:r w:rsidR="0016468D" w:rsidRPr="00A278DD">
        <w:rPr>
          <w:rStyle w:val="st"/>
        </w:rPr>
      </w:r>
      <w:r w:rsidR="0016468D" w:rsidRPr="00A278DD">
        <w:rPr>
          <w:rStyle w:val="st"/>
        </w:rPr>
        <w:fldChar w:fldCharType="separate"/>
      </w:r>
      <w:r w:rsidR="00033122">
        <w:rPr>
          <w:rStyle w:val="st"/>
          <w:cs/>
        </w:rPr>
        <w:t>‎</w:t>
      </w:r>
      <w:r w:rsidR="00033122">
        <w:rPr>
          <w:rStyle w:val="st"/>
        </w:rPr>
        <w:t>53</w:t>
      </w:r>
      <w:r w:rsidR="0016468D" w:rsidRPr="00A278DD">
        <w:rPr>
          <w:rStyle w:val="st"/>
        </w:rPr>
        <w:fldChar w:fldCharType="end"/>
      </w:r>
      <w:r w:rsidRPr="00A278DD">
        <w:rPr>
          <w:rStyle w:val="st"/>
        </w:rPr>
        <w:t xml:space="preserve"> </w:t>
      </w:r>
      <w:proofErr w:type="gramStart"/>
      <w:r w:rsidRPr="00A278DD">
        <w:rPr>
          <w:rStyle w:val="st"/>
        </w:rPr>
        <w:t>below),</w:t>
      </w:r>
      <w:proofErr w:type="gramEnd"/>
      <w:r w:rsidRPr="00A278DD">
        <w:rPr>
          <w:rStyle w:val="st"/>
        </w:rPr>
        <w:t xml:space="preserve"> the </w:t>
      </w:r>
      <w:r w:rsidR="00D21F91" w:rsidRPr="00A278DD">
        <w:rPr>
          <w:rStyle w:val="st"/>
        </w:rPr>
        <w:t>proposed GSP amendment</w:t>
      </w:r>
      <w:r w:rsidR="00F16E2F" w:rsidRPr="00A278DD">
        <w:rPr>
          <w:rStyle w:val="st"/>
        </w:rPr>
        <w:t xml:space="preserve"> </w:t>
      </w:r>
      <w:r w:rsidR="004A019E" w:rsidRPr="00A278DD">
        <w:rPr>
          <w:rStyle w:val="st"/>
        </w:rPr>
        <w:t xml:space="preserve">was approved on 19 March 2015 </w:t>
      </w:r>
      <w:r w:rsidR="00C522AE" w:rsidRPr="00A278DD">
        <w:rPr>
          <w:rStyle w:val="st"/>
        </w:rPr>
        <w:t>(</w:t>
      </w:r>
      <w:r w:rsidR="00FE0151" w:rsidRPr="00A278DD">
        <w:rPr>
          <w:rStyle w:val="st"/>
        </w:rPr>
        <w:t>decision approving the GSP amendment</w:t>
      </w:r>
      <w:r w:rsidR="00C522AE" w:rsidRPr="00A278DD">
        <w:rPr>
          <w:rStyle w:val="st"/>
        </w:rPr>
        <w:t>)</w:t>
      </w:r>
      <w:r w:rsidR="00FA5DEE" w:rsidRPr="00A278DD">
        <w:rPr>
          <w:rStyle w:val="st"/>
        </w:rPr>
        <w:t>.</w:t>
      </w:r>
      <w:r w:rsidR="00FA5DEE" w:rsidRPr="00A278DD">
        <w:rPr>
          <w:rStyle w:val="FootnoteReference"/>
        </w:rPr>
        <w:footnoteReference w:id="48"/>
      </w:r>
      <w:bookmarkEnd w:id="20"/>
      <w:r w:rsidR="0092107A" w:rsidRPr="00A278DD">
        <w:rPr>
          <w:rStyle w:val="st"/>
        </w:rPr>
        <w:t xml:space="preserve"> </w:t>
      </w:r>
    </w:p>
    <w:p w14:paraId="7C8C9C56" w14:textId="47B306C8" w:rsidR="004D04EC" w:rsidRPr="00A278DD" w:rsidRDefault="004D04EC" w:rsidP="004D04EC">
      <w:pPr>
        <w:pStyle w:val="NumberedParas"/>
        <w:numPr>
          <w:ilvl w:val="0"/>
          <w:numId w:val="0"/>
        </w:numPr>
        <w:ind w:left="1134"/>
      </w:pPr>
    </w:p>
    <w:p w14:paraId="3A1F3FD2" w14:textId="0F0C3DF8" w:rsidR="008113F3" w:rsidRPr="00A278DD" w:rsidRDefault="00D51593" w:rsidP="005E15C6">
      <w:pPr>
        <w:pStyle w:val="Heading3"/>
        <w:ind w:left="1134"/>
        <w:rPr>
          <w:rStyle w:val="st"/>
        </w:rPr>
      </w:pPr>
      <w:r w:rsidRPr="00A278DD">
        <w:rPr>
          <w:rStyle w:val="st"/>
        </w:rPr>
        <w:t>C</w:t>
      </w:r>
      <w:r w:rsidR="008113F3" w:rsidRPr="00A278DD">
        <w:rPr>
          <w:rStyle w:val="st"/>
        </w:rPr>
        <w:t xml:space="preserve">ounty </w:t>
      </w:r>
      <w:r w:rsidR="00401564" w:rsidRPr="00A278DD">
        <w:rPr>
          <w:rStyle w:val="st"/>
        </w:rPr>
        <w:t>G</w:t>
      </w:r>
      <w:r w:rsidR="008113F3" w:rsidRPr="00A278DD">
        <w:rPr>
          <w:rStyle w:val="st"/>
        </w:rPr>
        <w:t>overnor</w:t>
      </w:r>
      <w:r w:rsidRPr="00A278DD">
        <w:rPr>
          <w:rStyle w:val="st"/>
        </w:rPr>
        <w:t xml:space="preserve"> review</w:t>
      </w:r>
    </w:p>
    <w:p w14:paraId="5BE02AF0" w14:textId="3A2AA9EB" w:rsidR="008113F3" w:rsidRDefault="008113F3" w:rsidP="005E15C6">
      <w:pPr>
        <w:pStyle w:val="NumberedParas"/>
        <w:ind w:left="1134" w:firstLine="0"/>
        <w:rPr>
          <w:rStyle w:val="st"/>
        </w:rPr>
      </w:pPr>
      <w:r w:rsidRPr="00A278DD">
        <w:rPr>
          <w:rStyle w:val="st"/>
        </w:rPr>
        <w:t xml:space="preserve">The </w:t>
      </w:r>
      <w:r w:rsidR="00401564" w:rsidRPr="00A278DD">
        <w:rPr>
          <w:rStyle w:val="st"/>
        </w:rPr>
        <w:t>C</w:t>
      </w:r>
      <w:r w:rsidRPr="00A278DD">
        <w:rPr>
          <w:rStyle w:val="st"/>
        </w:rPr>
        <w:t xml:space="preserve">ounty </w:t>
      </w:r>
      <w:r w:rsidR="00401564" w:rsidRPr="00A278DD">
        <w:rPr>
          <w:rStyle w:val="st"/>
        </w:rPr>
        <w:t>G</w:t>
      </w:r>
      <w:r w:rsidRPr="00A278DD">
        <w:rPr>
          <w:rStyle w:val="st"/>
        </w:rPr>
        <w:t xml:space="preserve">overnor </w:t>
      </w:r>
      <w:r w:rsidR="004F6A7E" w:rsidRPr="00A278DD">
        <w:rPr>
          <w:rStyle w:val="st"/>
        </w:rPr>
        <w:t>reviewed</w:t>
      </w:r>
      <w:r w:rsidRPr="00A278DD">
        <w:rPr>
          <w:rStyle w:val="st"/>
        </w:rPr>
        <w:t xml:space="preserve"> </w:t>
      </w:r>
      <w:r w:rsidR="00C522AE" w:rsidRPr="00A278DD">
        <w:rPr>
          <w:rStyle w:val="st"/>
        </w:rPr>
        <w:t xml:space="preserve">the </w:t>
      </w:r>
      <w:r w:rsidR="0091538C">
        <w:rPr>
          <w:rStyle w:val="st"/>
        </w:rPr>
        <w:t xml:space="preserve">decision approving the GSP amendment </w:t>
      </w:r>
      <w:r w:rsidRPr="00A278DD">
        <w:rPr>
          <w:rStyle w:val="st"/>
        </w:rPr>
        <w:t xml:space="preserve">pursuant to article 45(4) of the LGLAA but </w:t>
      </w:r>
      <w:r w:rsidR="00131BD2" w:rsidRPr="00A278DD">
        <w:rPr>
          <w:rStyle w:val="st"/>
        </w:rPr>
        <w:t xml:space="preserve">found no irregularities and </w:t>
      </w:r>
      <w:r w:rsidR="0091538C">
        <w:rPr>
          <w:rStyle w:val="st"/>
        </w:rPr>
        <w:t>did not reverse or challenge the decision</w:t>
      </w:r>
      <w:r w:rsidRPr="00A278DD">
        <w:rPr>
          <w:rStyle w:val="st"/>
        </w:rPr>
        <w:t xml:space="preserve"> (see para</w:t>
      </w:r>
      <w:r w:rsidR="0091538C">
        <w:rPr>
          <w:rStyle w:val="st"/>
        </w:rPr>
        <w:t>s</w:t>
      </w:r>
      <w:r w:rsidRPr="00A278DD">
        <w:rPr>
          <w:rStyle w:val="st"/>
        </w:rPr>
        <w:t xml:space="preserve">. </w:t>
      </w:r>
      <w:r w:rsidR="00C522AE" w:rsidRPr="00A278DD">
        <w:rPr>
          <w:rStyle w:val="st"/>
        </w:rPr>
        <w:fldChar w:fldCharType="begin"/>
      </w:r>
      <w:r w:rsidR="00C522AE" w:rsidRPr="00A278DD">
        <w:rPr>
          <w:rStyle w:val="st"/>
        </w:rPr>
        <w:instrText xml:space="preserve"> REF _Ref18076142 \r \h </w:instrText>
      </w:r>
      <w:r w:rsidR="00A278DD">
        <w:rPr>
          <w:rStyle w:val="st"/>
        </w:rPr>
        <w:instrText xml:space="preserve"> \* MERGEFORMAT </w:instrText>
      </w:r>
      <w:r w:rsidR="00C522AE" w:rsidRPr="00A278DD">
        <w:rPr>
          <w:rStyle w:val="st"/>
        </w:rPr>
      </w:r>
      <w:r w:rsidR="00C522AE" w:rsidRPr="00A278DD">
        <w:rPr>
          <w:rStyle w:val="st"/>
        </w:rPr>
        <w:fldChar w:fldCharType="separate"/>
      </w:r>
      <w:r w:rsidR="00033122">
        <w:rPr>
          <w:rStyle w:val="st"/>
          <w:cs/>
        </w:rPr>
        <w:t>‎</w:t>
      </w:r>
      <w:r w:rsidR="00033122">
        <w:rPr>
          <w:rStyle w:val="st"/>
        </w:rPr>
        <w:t>17</w:t>
      </w:r>
      <w:r w:rsidR="00C522AE" w:rsidRPr="00A278DD">
        <w:rPr>
          <w:rStyle w:val="st"/>
        </w:rPr>
        <w:fldChar w:fldCharType="end"/>
      </w:r>
      <w:r w:rsidR="005E15C6">
        <w:rPr>
          <w:rStyle w:val="st"/>
        </w:rPr>
        <w:t>-</w:t>
      </w:r>
      <w:r w:rsidR="00250687" w:rsidRPr="00A278DD">
        <w:rPr>
          <w:rStyle w:val="st"/>
        </w:rPr>
        <w:fldChar w:fldCharType="begin"/>
      </w:r>
      <w:r w:rsidR="00250687" w:rsidRPr="00A278DD">
        <w:rPr>
          <w:rStyle w:val="st"/>
        </w:rPr>
        <w:instrText xml:space="preserve"> REF _Ref73545200 \r \h </w:instrText>
      </w:r>
      <w:r w:rsidR="00A278DD">
        <w:rPr>
          <w:rStyle w:val="st"/>
        </w:rPr>
        <w:instrText xml:space="preserve"> \* MERGEFORMAT </w:instrText>
      </w:r>
      <w:r w:rsidR="00250687" w:rsidRPr="00A278DD">
        <w:rPr>
          <w:rStyle w:val="st"/>
        </w:rPr>
      </w:r>
      <w:r w:rsidR="00250687" w:rsidRPr="00A278DD">
        <w:rPr>
          <w:rStyle w:val="st"/>
        </w:rPr>
        <w:fldChar w:fldCharType="separate"/>
      </w:r>
      <w:r w:rsidR="00033122">
        <w:rPr>
          <w:rStyle w:val="st"/>
          <w:cs/>
        </w:rPr>
        <w:t>‎</w:t>
      </w:r>
      <w:r w:rsidR="00033122">
        <w:rPr>
          <w:rStyle w:val="st"/>
        </w:rPr>
        <w:t>18</w:t>
      </w:r>
      <w:r w:rsidR="00250687" w:rsidRPr="00A278DD">
        <w:rPr>
          <w:rStyle w:val="st"/>
        </w:rPr>
        <w:fldChar w:fldCharType="end"/>
      </w:r>
      <w:r w:rsidR="00C522AE" w:rsidRPr="00A278DD">
        <w:rPr>
          <w:rStyle w:val="st"/>
        </w:rPr>
        <w:t xml:space="preserve"> above).</w:t>
      </w:r>
      <w:r w:rsidR="00C522AE" w:rsidRPr="00A278DD">
        <w:rPr>
          <w:rStyle w:val="FootnoteReference"/>
        </w:rPr>
        <w:footnoteReference w:id="49"/>
      </w:r>
    </w:p>
    <w:p w14:paraId="448788F1" w14:textId="77777777" w:rsidR="004D04EC" w:rsidRPr="00A278DD" w:rsidRDefault="004D04EC" w:rsidP="004D04EC">
      <w:pPr>
        <w:pStyle w:val="NumberedParas"/>
        <w:numPr>
          <w:ilvl w:val="0"/>
          <w:numId w:val="0"/>
        </w:numPr>
        <w:ind w:left="1134"/>
        <w:rPr>
          <w:rStyle w:val="st"/>
        </w:rPr>
      </w:pPr>
    </w:p>
    <w:p w14:paraId="41DC1640" w14:textId="6036C56B" w:rsidR="002F0FBB" w:rsidRPr="00A278DD" w:rsidRDefault="002F0FBB" w:rsidP="005E15C6">
      <w:pPr>
        <w:pStyle w:val="Heading3"/>
        <w:ind w:left="1134"/>
        <w:rPr>
          <w:rStyle w:val="st"/>
        </w:rPr>
      </w:pPr>
      <w:r w:rsidRPr="00A278DD">
        <w:rPr>
          <w:rStyle w:val="st"/>
        </w:rPr>
        <w:t xml:space="preserve">The communicant’s legal challenge of the SEA </w:t>
      </w:r>
      <w:r w:rsidR="0091538C">
        <w:rPr>
          <w:rStyle w:val="st"/>
        </w:rPr>
        <w:t>screening d</w:t>
      </w:r>
      <w:r w:rsidRPr="00A278DD">
        <w:rPr>
          <w:rStyle w:val="st"/>
        </w:rPr>
        <w:t>ecision</w:t>
      </w:r>
    </w:p>
    <w:p w14:paraId="334E5FA8" w14:textId="562A068E" w:rsidR="00456CF6" w:rsidRPr="00A278DD" w:rsidRDefault="005D7C5C" w:rsidP="005E15C6">
      <w:pPr>
        <w:pStyle w:val="NumberedParas"/>
        <w:ind w:left="1134" w:firstLine="0"/>
        <w:rPr>
          <w:rStyle w:val="st"/>
        </w:rPr>
      </w:pPr>
      <w:bookmarkStart w:id="21" w:name="_Ref74677348"/>
      <w:r w:rsidRPr="00A278DD">
        <w:rPr>
          <w:rStyle w:val="st"/>
        </w:rPr>
        <w:t xml:space="preserve">On </w:t>
      </w:r>
      <w:r w:rsidR="00353C58" w:rsidRPr="00A278DD">
        <w:rPr>
          <w:rStyle w:val="st"/>
        </w:rPr>
        <w:t>22 May 2014</w:t>
      </w:r>
      <w:r w:rsidR="00D42EC7" w:rsidRPr="00A278DD">
        <w:rPr>
          <w:rStyle w:val="st"/>
        </w:rPr>
        <w:t>,</w:t>
      </w:r>
      <w:r w:rsidR="00353C58" w:rsidRPr="00A278DD">
        <w:rPr>
          <w:rStyle w:val="st"/>
        </w:rPr>
        <w:t xml:space="preserve"> t</w:t>
      </w:r>
      <w:r w:rsidR="002F0FBB" w:rsidRPr="00A278DD">
        <w:rPr>
          <w:rStyle w:val="st"/>
        </w:rPr>
        <w:t xml:space="preserve">he communicant challenged the SEA </w:t>
      </w:r>
      <w:r w:rsidR="00FE0151" w:rsidRPr="00A278DD">
        <w:rPr>
          <w:rStyle w:val="st"/>
        </w:rPr>
        <w:t>screening d</w:t>
      </w:r>
      <w:r w:rsidR="002F0FBB" w:rsidRPr="00A278DD">
        <w:rPr>
          <w:rStyle w:val="st"/>
        </w:rPr>
        <w:t>ecision</w:t>
      </w:r>
      <w:r w:rsidR="006532A8" w:rsidRPr="00A278DD">
        <w:rPr>
          <w:rStyle w:val="st"/>
        </w:rPr>
        <w:t xml:space="preserve"> </w:t>
      </w:r>
      <w:r w:rsidR="002F0FBB" w:rsidRPr="00A278DD">
        <w:rPr>
          <w:rStyle w:val="st"/>
        </w:rPr>
        <w:t xml:space="preserve">before the Administrative Court of Plovdiv </w:t>
      </w:r>
      <w:r w:rsidR="00456CF6" w:rsidRPr="00A278DD">
        <w:rPr>
          <w:rStyle w:val="st"/>
        </w:rPr>
        <w:t xml:space="preserve">(the </w:t>
      </w:r>
      <w:r w:rsidR="00623AA6" w:rsidRPr="00A278DD">
        <w:rPr>
          <w:rStyle w:val="st"/>
        </w:rPr>
        <w:t xml:space="preserve">main </w:t>
      </w:r>
      <w:r w:rsidR="00FA5DEE" w:rsidRPr="00A278DD">
        <w:rPr>
          <w:rStyle w:val="st"/>
        </w:rPr>
        <w:t xml:space="preserve">SEA </w:t>
      </w:r>
      <w:r w:rsidR="00456CF6" w:rsidRPr="00A278DD">
        <w:rPr>
          <w:rStyle w:val="st"/>
        </w:rPr>
        <w:t>proceedings).</w:t>
      </w:r>
      <w:r w:rsidR="00456CF6" w:rsidRPr="00A278DD">
        <w:rPr>
          <w:rStyle w:val="FootnoteReference"/>
        </w:rPr>
        <w:footnoteReference w:id="50"/>
      </w:r>
      <w:r w:rsidR="00456CF6" w:rsidRPr="00A278DD">
        <w:rPr>
          <w:rStyle w:val="st"/>
        </w:rPr>
        <w:t xml:space="preserve"> </w:t>
      </w:r>
      <w:r w:rsidR="00FE0151" w:rsidRPr="00A278DD">
        <w:rPr>
          <w:rStyle w:val="st"/>
        </w:rPr>
        <w:t>On 1 October 2015, t</w:t>
      </w:r>
      <w:r w:rsidR="001D645F" w:rsidRPr="00A278DD">
        <w:rPr>
          <w:rStyle w:val="st"/>
        </w:rPr>
        <w:t xml:space="preserve">he </w:t>
      </w:r>
      <w:r w:rsidR="00FE0151" w:rsidRPr="00A278DD">
        <w:rPr>
          <w:rStyle w:val="st"/>
        </w:rPr>
        <w:t>C</w:t>
      </w:r>
      <w:r w:rsidR="001D645F" w:rsidRPr="00A278DD">
        <w:rPr>
          <w:rStyle w:val="st"/>
        </w:rPr>
        <w:t xml:space="preserve">ourt revoked the SEA </w:t>
      </w:r>
      <w:r w:rsidR="00FE0151" w:rsidRPr="00A278DD">
        <w:rPr>
          <w:rStyle w:val="st"/>
        </w:rPr>
        <w:t xml:space="preserve">screening </w:t>
      </w:r>
      <w:r w:rsidR="001D645F" w:rsidRPr="00A278DD">
        <w:rPr>
          <w:rStyle w:val="st"/>
        </w:rPr>
        <w:t xml:space="preserve">decision </w:t>
      </w:r>
      <w:r w:rsidR="006E0201" w:rsidRPr="00A278DD">
        <w:rPr>
          <w:rStyle w:val="st"/>
        </w:rPr>
        <w:t xml:space="preserve">on the basis that </w:t>
      </w:r>
      <w:r w:rsidR="004A019E" w:rsidRPr="00A278DD">
        <w:rPr>
          <w:rStyle w:val="st"/>
        </w:rPr>
        <w:t>it</w:t>
      </w:r>
      <w:r w:rsidR="006E0201" w:rsidRPr="00A278DD">
        <w:rPr>
          <w:rStyle w:val="st"/>
        </w:rPr>
        <w:t xml:space="preserve"> failed to </w:t>
      </w:r>
      <w:r w:rsidR="00FE3915" w:rsidRPr="00A278DD">
        <w:rPr>
          <w:rStyle w:val="st"/>
        </w:rPr>
        <w:t xml:space="preserve">adequately </w:t>
      </w:r>
      <w:r w:rsidR="006E0201" w:rsidRPr="00A278DD">
        <w:rPr>
          <w:rStyle w:val="st"/>
        </w:rPr>
        <w:t>state reasons</w:t>
      </w:r>
      <w:r w:rsidR="001D645F" w:rsidRPr="00A278DD">
        <w:rPr>
          <w:rStyle w:val="st"/>
        </w:rPr>
        <w:t>.</w:t>
      </w:r>
      <w:r w:rsidR="001D645F" w:rsidRPr="00A278DD">
        <w:rPr>
          <w:rStyle w:val="FootnoteReference"/>
        </w:rPr>
        <w:footnoteReference w:id="51"/>
      </w:r>
      <w:bookmarkEnd w:id="21"/>
    </w:p>
    <w:p w14:paraId="60B871AB" w14:textId="250B3B1E" w:rsidR="000F745B" w:rsidRPr="00A278DD" w:rsidRDefault="00FE0151" w:rsidP="005E15C6">
      <w:pPr>
        <w:pStyle w:val="NumberedParas"/>
        <w:ind w:left="1134" w:firstLine="0"/>
        <w:rPr>
          <w:rStyle w:val="st"/>
        </w:rPr>
      </w:pPr>
      <w:r w:rsidRPr="00A278DD">
        <w:rPr>
          <w:rStyle w:val="st"/>
        </w:rPr>
        <w:t xml:space="preserve">The Municipality appealed the Administrative Court’s decision to the Supreme Court. </w:t>
      </w:r>
      <w:bookmarkStart w:id="22" w:name="_Ref19525859"/>
      <w:r w:rsidR="000F745B" w:rsidRPr="00A278DD">
        <w:rPr>
          <w:rStyle w:val="st"/>
        </w:rPr>
        <w:t>On 15 May 2017,</w:t>
      </w:r>
      <w:r w:rsidR="001D645F" w:rsidRPr="00A278DD">
        <w:rPr>
          <w:rStyle w:val="st"/>
        </w:rPr>
        <w:t xml:space="preserve"> the Supreme Court </w:t>
      </w:r>
      <w:r w:rsidR="008F14F7" w:rsidRPr="00A278DD">
        <w:rPr>
          <w:rStyle w:val="st"/>
        </w:rPr>
        <w:t xml:space="preserve">upheld </w:t>
      </w:r>
      <w:r w:rsidR="00FE3915" w:rsidRPr="00A278DD">
        <w:rPr>
          <w:rStyle w:val="st"/>
        </w:rPr>
        <w:t>the lower court’s ruling</w:t>
      </w:r>
      <w:r w:rsidR="000F745B" w:rsidRPr="00A278DD">
        <w:rPr>
          <w:rStyle w:val="st"/>
        </w:rPr>
        <w:t>.</w:t>
      </w:r>
      <w:r w:rsidR="000F745B" w:rsidRPr="00A278DD">
        <w:rPr>
          <w:rStyle w:val="FootnoteReference"/>
        </w:rPr>
        <w:footnoteReference w:id="52"/>
      </w:r>
      <w:bookmarkEnd w:id="22"/>
    </w:p>
    <w:p w14:paraId="1EED8B75" w14:textId="377530C6" w:rsidR="00456CF6" w:rsidRPr="00A278DD" w:rsidRDefault="00456CF6" w:rsidP="005E15C6">
      <w:pPr>
        <w:pStyle w:val="Heading3"/>
        <w:ind w:left="1134"/>
        <w:rPr>
          <w:rStyle w:val="st"/>
        </w:rPr>
      </w:pPr>
      <w:r w:rsidRPr="00A278DD">
        <w:rPr>
          <w:rStyle w:val="st"/>
        </w:rPr>
        <w:lastRenderedPageBreak/>
        <w:t xml:space="preserve">The preliminary </w:t>
      </w:r>
      <w:r w:rsidR="00250687" w:rsidRPr="00A278DD">
        <w:rPr>
          <w:rStyle w:val="st"/>
        </w:rPr>
        <w:t xml:space="preserve">enforcement </w:t>
      </w:r>
      <w:r w:rsidR="00FA5DEE" w:rsidRPr="00A278DD">
        <w:rPr>
          <w:rStyle w:val="st"/>
        </w:rPr>
        <w:t xml:space="preserve">order </w:t>
      </w:r>
      <w:r w:rsidRPr="00A278DD">
        <w:rPr>
          <w:rStyle w:val="st"/>
        </w:rPr>
        <w:t xml:space="preserve">and </w:t>
      </w:r>
      <w:r w:rsidR="00021497" w:rsidRPr="00A278DD">
        <w:rPr>
          <w:rStyle w:val="st"/>
        </w:rPr>
        <w:t>associated</w:t>
      </w:r>
      <w:r w:rsidRPr="00A278DD">
        <w:rPr>
          <w:rStyle w:val="st"/>
        </w:rPr>
        <w:t xml:space="preserve"> legal challenge </w:t>
      </w:r>
    </w:p>
    <w:p w14:paraId="1A0BD548" w14:textId="48607B97" w:rsidR="002F0FBB" w:rsidRPr="00A278DD" w:rsidRDefault="00456CF6" w:rsidP="005E15C6">
      <w:pPr>
        <w:pStyle w:val="NumberedParas"/>
        <w:ind w:left="1134" w:firstLine="0"/>
        <w:rPr>
          <w:rStyle w:val="st"/>
        </w:rPr>
      </w:pPr>
      <w:bookmarkStart w:id="23" w:name="_Ref22820324"/>
      <w:r w:rsidRPr="00A278DD">
        <w:rPr>
          <w:rStyle w:val="st"/>
        </w:rPr>
        <w:t xml:space="preserve">During the </w:t>
      </w:r>
      <w:r w:rsidR="00FA5DEE" w:rsidRPr="00A278DD">
        <w:rPr>
          <w:rStyle w:val="st"/>
        </w:rPr>
        <w:t xml:space="preserve">main SEA </w:t>
      </w:r>
      <w:r w:rsidRPr="00A278DD">
        <w:rPr>
          <w:rStyle w:val="st"/>
        </w:rPr>
        <w:t>proceedings</w:t>
      </w:r>
      <w:r w:rsidR="00021497" w:rsidRPr="00A278DD">
        <w:rPr>
          <w:rStyle w:val="st"/>
        </w:rPr>
        <w:t xml:space="preserve"> and</w:t>
      </w:r>
      <w:r w:rsidRPr="00A278DD">
        <w:rPr>
          <w:rStyle w:val="st"/>
        </w:rPr>
        <w:t xml:space="preserve"> at the request of the Municipality of Plovdiv, the </w:t>
      </w:r>
      <w:r w:rsidR="00B95656" w:rsidRPr="00A278DD">
        <w:rPr>
          <w:rStyle w:val="st"/>
        </w:rPr>
        <w:t>Administrative C</w:t>
      </w:r>
      <w:r w:rsidRPr="00A278DD">
        <w:rPr>
          <w:rStyle w:val="st"/>
        </w:rPr>
        <w:t>ourt</w:t>
      </w:r>
      <w:r w:rsidR="00B95656" w:rsidRPr="00A278DD">
        <w:rPr>
          <w:rStyle w:val="st"/>
        </w:rPr>
        <w:t xml:space="preserve"> of Plovdiv</w:t>
      </w:r>
      <w:r w:rsidR="00021497" w:rsidRPr="00A278DD">
        <w:rPr>
          <w:rStyle w:val="st"/>
        </w:rPr>
        <w:t xml:space="preserve"> </w:t>
      </w:r>
      <w:r w:rsidR="00623AA6" w:rsidRPr="00A278DD">
        <w:rPr>
          <w:rStyle w:val="st"/>
        </w:rPr>
        <w:t>issued</w:t>
      </w:r>
      <w:r w:rsidR="00D21F91" w:rsidRPr="00A278DD">
        <w:rPr>
          <w:rStyle w:val="st"/>
        </w:rPr>
        <w:t xml:space="preserve"> a</w:t>
      </w:r>
      <w:r w:rsidR="00623AA6" w:rsidRPr="00A278DD">
        <w:rPr>
          <w:rStyle w:val="st"/>
        </w:rPr>
        <w:t xml:space="preserve">n order for </w:t>
      </w:r>
      <w:r w:rsidR="00D21F91" w:rsidRPr="00A278DD">
        <w:rPr>
          <w:rStyle w:val="st"/>
        </w:rPr>
        <w:t>preliminary execution for</w:t>
      </w:r>
      <w:r w:rsidR="00021497" w:rsidRPr="00A278DD">
        <w:rPr>
          <w:rStyle w:val="st"/>
        </w:rPr>
        <w:t xml:space="preserve"> the SEA </w:t>
      </w:r>
      <w:r w:rsidR="00623AA6" w:rsidRPr="00A278DD">
        <w:rPr>
          <w:rStyle w:val="st"/>
        </w:rPr>
        <w:t xml:space="preserve">screening </w:t>
      </w:r>
      <w:r w:rsidR="00021497" w:rsidRPr="00A278DD">
        <w:rPr>
          <w:rStyle w:val="st"/>
        </w:rPr>
        <w:t>decision</w:t>
      </w:r>
      <w:r w:rsidRPr="00A278DD">
        <w:rPr>
          <w:rStyle w:val="st"/>
        </w:rPr>
        <w:t xml:space="preserve"> </w:t>
      </w:r>
      <w:r w:rsidR="00FE3915" w:rsidRPr="00A278DD">
        <w:rPr>
          <w:rStyle w:val="st"/>
        </w:rPr>
        <w:t>by order 513 of 5 March 2015</w:t>
      </w:r>
      <w:r w:rsidRPr="00A278DD">
        <w:rPr>
          <w:rStyle w:val="st"/>
        </w:rPr>
        <w:t>.</w:t>
      </w:r>
      <w:r w:rsidRPr="00A278DD">
        <w:rPr>
          <w:rStyle w:val="FootnoteReference"/>
        </w:rPr>
        <w:footnoteReference w:id="53"/>
      </w:r>
      <w:bookmarkEnd w:id="23"/>
    </w:p>
    <w:p w14:paraId="5301F376" w14:textId="1E9D4E62" w:rsidR="00456CF6" w:rsidRDefault="00623AA6" w:rsidP="005E15C6">
      <w:pPr>
        <w:pStyle w:val="NumberedParas"/>
        <w:ind w:left="1134" w:firstLine="0"/>
        <w:rPr>
          <w:rStyle w:val="st"/>
        </w:rPr>
      </w:pPr>
      <w:bookmarkStart w:id="24" w:name="_Ref18330166"/>
      <w:r w:rsidRPr="00A278DD">
        <w:rPr>
          <w:rStyle w:val="st"/>
        </w:rPr>
        <w:t xml:space="preserve">The communicant appealed the order </w:t>
      </w:r>
      <w:r w:rsidR="0091538C" w:rsidRPr="00A278DD">
        <w:rPr>
          <w:rStyle w:val="st"/>
        </w:rPr>
        <w:t xml:space="preserve">for preliminary execution </w:t>
      </w:r>
      <w:r w:rsidRPr="00A278DD">
        <w:rPr>
          <w:rStyle w:val="st"/>
        </w:rPr>
        <w:t>to the Supreme Administra</w:t>
      </w:r>
      <w:r w:rsidR="0091538C">
        <w:rPr>
          <w:rStyle w:val="st"/>
        </w:rPr>
        <w:t>t</w:t>
      </w:r>
      <w:r w:rsidRPr="00A278DD">
        <w:rPr>
          <w:rStyle w:val="st"/>
        </w:rPr>
        <w:t>ive Court and, o</w:t>
      </w:r>
      <w:r w:rsidR="00FA5DEE" w:rsidRPr="00A278DD">
        <w:rPr>
          <w:rStyle w:val="st"/>
        </w:rPr>
        <w:t xml:space="preserve">n </w:t>
      </w:r>
      <w:r w:rsidRPr="00A278DD">
        <w:rPr>
          <w:rStyle w:val="st"/>
        </w:rPr>
        <w:t>28 May 2015</w:t>
      </w:r>
      <w:r w:rsidR="008F14F7" w:rsidRPr="00A278DD">
        <w:rPr>
          <w:rStyle w:val="st"/>
        </w:rPr>
        <w:t>,</w:t>
      </w:r>
      <w:r w:rsidR="00FA5DEE" w:rsidRPr="00A278DD">
        <w:rPr>
          <w:rStyle w:val="st"/>
        </w:rPr>
        <w:t xml:space="preserve"> the </w:t>
      </w:r>
      <w:r w:rsidR="0091538C">
        <w:rPr>
          <w:rStyle w:val="st"/>
        </w:rPr>
        <w:t xml:space="preserve">Supreme Administrative </w:t>
      </w:r>
      <w:r w:rsidR="00FA5DEE" w:rsidRPr="00A278DD">
        <w:rPr>
          <w:rStyle w:val="st"/>
        </w:rPr>
        <w:t xml:space="preserve">Court revoked the </w:t>
      </w:r>
      <w:r w:rsidRPr="00A278DD">
        <w:rPr>
          <w:rStyle w:val="st"/>
        </w:rPr>
        <w:t>order</w:t>
      </w:r>
      <w:r w:rsidR="00FA5DEE" w:rsidRPr="00A278DD">
        <w:rPr>
          <w:rStyle w:val="st"/>
        </w:rPr>
        <w:t>.</w:t>
      </w:r>
      <w:r w:rsidR="00FA5DEE" w:rsidRPr="00A278DD">
        <w:rPr>
          <w:rStyle w:val="FootnoteReference"/>
        </w:rPr>
        <w:footnoteReference w:id="54"/>
      </w:r>
      <w:bookmarkEnd w:id="24"/>
    </w:p>
    <w:p w14:paraId="13D4CE5C" w14:textId="77777777" w:rsidR="004D04EC" w:rsidRPr="00A278DD" w:rsidRDefault="004D04EC" w:rsidP="004D04EC">
      <w:pPr>
        <w:pStyle w:val="NumberedParas"/>
        <w:numPr>
          <w:ilvl w:val="0"/>
          <w:numId w:val="0"/>
        </w:numPr>
        <w:ind w:left="1134"/>
        <w:rPr>
          <w:rStyle w:val="st"/>
        </w:rPr>
      </w:pPr>
    </w:p>
    <w:p w14:paraId="0CE5DA93" w14:textId="4FFACA79" w:rsidR="00913376" w:rsidRPr="00A278DD" w:rsidRDefault="00913376" w:rsidP="005E15C6">
      <w:pPr>
        <w:pStyle w:val="Heading3"/>
        <w:ind w:left="1134"/>
        <w:rPr>
          <w:rStyle w:val="st"/>
        </w:rPr>
      </w:pPr>
      <w:r w:rsidRPr="00A278DD">
        <w:rPr>
          <w:rStyle w:val="st"/>
        </w:rPr>
        <w:t xml:space="preserve">The communicant’s legal challenge </w:t>
      </w:r>
      <w:r w:rsidR="00EA4225" w:rsidRPr="00A278DD">
        <w:rPr>
          <w:rStyle w:val="st"/>
        </w:rPr>
        <w:t>to</w:t>
      </w:r>
      <w:r w:rsidRPr="00A278DD">
        <w:rPr>
          <w:rStyle w:val="st"/>
        </w:rPr>
        <w:t xml:space="preserve"> </w:t>
      </w:r>
      <w:r w:rsidR="00EA4225" w:rsidRPr="00A278DD">
        <w:rPr>
          <w:rStyle w:val="st"/>
        </w:rPr>
        <w:t>decision approving the Plovdiv GSP amendment</w:t>
      </w:r>
    </w:p>
    <w:p w14:paraId="68FEF1AC" w14:textId="5D3FA2B5" w:rsidR="00947ACE" w:rsidRPr="00A278DD" w:rsidRDefault="00913376" w:rsidP="005E15C6">
      <w:pPr>
        <w:pStyle w:val="NumberedParas"/>
        <w:ind w:left="1134" w:firstLine="0"/>
        <w:rPr>
          <w:rStyle w:val="st"/>
        </w:rPr>
      </w:pPr>
      <w:bookmarkStart w:id="25" w:name="_Ref18059773"/>
      <w:bookmarkStart w:id="26" w:name="_Ref18316811"/>
      <w:r w:rsidRPr="00A278DD">
        <w:rPr>
          <w:rStyle w:val="st"/>
        </w:rPr>
        <w:t xml:space="preserve">The communicant challenged the </w:t>
      </w:r>
      <w:bookmarkEnd w:id="25"/>
      <w:r w:rsidR="00EA4225" w:rsidRPr="00A278DD">
        <w:rPr>
          <w:rStyle w:val="st"/>
        </w:rPr>
        <w:t>decision approving the Plovdiv GSP amendment before the Plovdiv Administrative Court</w:t>
      </w:r>
      <w:r w:rsidRPr="00A278DD">
        <w:rPr>
          <w:rStyle w:val="st"/>
        </w:rPr>
        <w:t xml:space="preserve">. </w:t>
      </w:r>
      <w:r w:rsidR="004977F5" w:rsidRPr="00A278DD">
        <w:rPr>
          <w:rStyle w:val="st"/>
        </w:rPr>
        <w:t>On</w:t>
      </w:r>
      <w:r w:rsidR="00947ACE" w:rsidRPr="00A278DD">
        <w:rPr>
          <w:rStyle w:val="st"/>
        </w:rPr>
        <w:t xml:space="preserve"> 30 April 2015, t</w:t>
      </w:r>
      <w:r w:rsidRPr="00A278DD">
        <w:rPr>
          <w:rStyle w:val="st"/>
        </w:rPr>
        <w:t>he Court</w:t>
      </w:r>
      <w:r w:rsidR="00947ACE" w:rsidRPr="00A278DD">
        <w:rPr>
          <w:rStyle w:val="st"/>
        </w:rPr>
        <w:t xml:space="preserve"> found the communicant’s complaint inadmissible and dismissed the case.</w:t>
      </w:r>
      <w:r w:rsidR="00947ACE" w:rsidRPr="00A278DD">
        <w:rPr>
          <w:rStyle w:val="FootnoteReference"/>
        </w:rPr>
        <w:footnoteReference w:id="55"/>
      </w:r>
      <w:bookmarkEnd w:id="26"/>
      <w:r w:rsidR="00947ACE" w:rsidRPr="00A278DD">
        <w:rPr>
          <w:rStyle w:val="st"/>
        </w:rPr>
        <w:t xml:space="preserve"> </w:t>
      </w:r>
    </w:p>
    <w:p w14:paraId="178A3D23" w14:textId="5D2CE01E" w:rsidR="0047071E" w:rsidRPr="00A278DD" w:rsidRDefault="00947ACE" w:rsidP="005E15C6">
      <w:pPr>
        <w:pStyle w:val="NumberedParas"/>
        <w:ind w:left="1134" w:firstLine="0"/>
      </w:pPr>
      <w:r w:rsidRPr="00A278DD">
        <w:rPr>
          <w:rStyle w:val="st"/>
        </w:rPr>
        <w:t xml:space="preserve">Specifically, the </w:t>
      </w:r>
      <w:r w:rsidR="00EA4225" w:rsidRPr="00A278DD">
        <w:rPr>
          <w:rStyle w:val="st"/>
        </w:rPr>
        <w:t>C</w:t>
      </w:r>
      <w:r w:rsidRPr="00A278DD">
        <w:rPr>
          <w:rStyle w:val="st"/>
        </w:rPr>
        <w:t xml:space="preserve">ourt found that </w:t>
      </w:r>
      <w:r w:rsidR="00D51593" w:rsidRPr="00A278DD">
        <w:rPr>
          <w:rStyle w:val="st"/>
        </w:rPr>
        <w:t xml:space="preserve">amendments to </w:t>
      </w:r>
      <w:r w:rsidR="00D21F91" w:rsidRPr="00A278DD">
        <w:rPr>
          <w:rStyle w:val="st"/>
        </w:rPr>
        <w:t>a</w:t>
      </w:r>
      <w:r w:rsidR="00D51593" w:rsidRPr="00A278DD">
        <w:rPr>
          <w:rStyle w:val="st"/>
        </w:rPr>
        <w:t xml:space="preserve"> </w:t>
      </w:r>
      <w:r w:rsidRPr="00A278DD">
        <w:rPr>
          <w:rStyle w:val="st"/>
        </w:rPr>
        <w:t>GSP were unchallengeable</w:t>
      </w:r>
      <w:r w:rsidR="003A1607" w:rsidRPr="00A278DD">
        <w:rPr>
          <w:rStyle w:val="st"/>
        </w:rPr>
        <w:t xml:space="preserve"> in accordance with article 215(6) S</w:t>
      </w:r>
      <w:r w:rsidR="00502BC6" w:rsidRPr="00A278DD">
        <w:rPr>
          <w:rStyle w:val="st"/>
        </w:rPr>
        <w:t>D</w:t>
      </w:r>
      <w:r w:rsidR="003A1607" w:rsidRPr="00A278DD">
        <w:rPr>
          <w:rStyle w:val="st"/>
        </w:rPr>
        <w:t xml:space="preserve">A (see para. </w:t>
      </w:r>
      <w:r w:rsidR="003A1607" w:rsidRPr="00A278DD">
        <w:rPr>
          <w:rStyle w:val="st"/>
          <w:lang w:val="x-none"/>
        </w:rPr>
        <w:fldChar w:fldCharType="begin"/>
      </w:r>
      <w:r w:rsidR="003A1607" w:rsidRPr="00A278DD">
        <w:rPr>
          <w:rStyle w:val="st"/>
        </w:rPr>
        <w:instrText xml:space="preserve"> REF _Ref18060681 \r \h </w:instrText>
      </w:r>
      <w:r w:rsidR="000732B5" w:rsidRPr="00A278DD">
        <w:rPr>
          <w:rStyle w:val="st"/>
        </w:rPr>
        <w:instrText xml:space="preserve"> \* MERGEFORMAT </w:instrText>
      </w:r>
      <w:r w:rsidR="003A1607" w:rsidRPr="00A278DD">
        <w:rPr>
          <w:rStyle w:val="st"/>
          <w:lang w:val="x-none"/>
        </w:rPr>
      </w:r>
      <w:r w:rsidR="003A1607" w:rsidRPr="00A278DD">
        <w:rPr>
          <w:rStyle w:val="st"/>
          <w:lang w:val="x-none"/>
        </w:rPr>
        <w:fldChar w:fldCharType="separate"/>
      </w:r>
      <w:r w:rsidR="00033122">
        <w:rPr>
          <w:rStyle w:val="st"/>
          <w:cs/>
        </w:rPr>
        <w:t>‎</w:t>
      </w:r>
      <w:r w:rsidR="00033122">
        <w:rPr>
          <w:rStyle w:val="st"/>
        </w:rPr>
        <w:t>17</w:t>
      </w:r>
      <w:r w:rsidR="003A1607" w:rsidRPr="00A278DD">
        <w:rPr>
          <w:rStyle w:val="st"/>
          <w:lang w:val="x-none"/>
        </w:rPr>
        <w:fldChar w:fldCharType="end"/>
      </w:r>
      <w:r w:rsidR="003A1607" w:rsidRPr="00A278DD">
        <w:rPr>
          <w:rStyle w:val="st"/>
        </w:rPr>
        <w:t xml:space="preserve"> above).</w:t>
      </w:r>
      <w:r w:rsidRPr="00A278DD">
        <w:rPr>
          <w:rStyle w:val="st"/>
        </w:rPr>
        <w:t xml:space="preserve"> </w:t>
      </w:r>
      <w:r w:rsidR="0091538C">
        <w:rPr>
          <w:rStyle w:val="st"/>
        </w:rPr>
        <w:t>Moreover, the</w:t>
      </w:r>
      <w:r w:rsidR="009A3515" w:rsidRPr="00A278DD">
        <w:rPr>
          <w:rStyle w:val="st"/>
        </w:rPr>
        <w:t xml:space="preserve"> Court held that the communicant’s claim was inadmissible because it had no standing to c</w:t>
      </w:r>
      <w:r w:rsidR="00EA4225" w:rsidRPr="00A278DD">
        <w:t xml:space="preserve">hallenge the </w:t>
      </w:r>
      <w:r w:rsidR="009A3515" w:rsidRPr="00A278DD">
        <w:t xml:space="preserve">decision approving </w:t>
      </w:r>
      <w:r w:rsidR="00EA4225" w:rsidRPr="00A278DD">
        <w:t xml:space="preserve">the </w:t>
      </w:r>
      <w:r w:rsidR="00EA4225" w:rsidRPr="004C4397">
        <w:t>GSP</w:t>
      </w:r>
      <w:r w:rsidR="009A3515" w:rsidRPr="004C4397">
        <w:t xml:space="preserve"> </w:t>
      </w:r>
      <w:r w:rsidR="009A3515" w:rsidRPr="00A278DD">
        <w:t>amendment</w:t>
      </w:r>
      <w:r w:rsidR="00EA4225" w:rsidRPr="004C4397">
        <w:t xml:space="preserve">, but only the </w:t>
      </w:r>
      <w:r w:rsidR="009A3515" w:rsidRPr="00A278DD">
        <w:t>SEA screening decision</w:t>
      </w:r>
      <w:r w:rsidRPr="00A278DD">
        <w:rPr>
          <w:rStyle w:val="st"/>
        </w:rPr>
        <w:t>.</w:t>
      </w:r>
      <w:r w:rsidRPr="00A278DD">
        <w:rPr>
          <w:rStyle w:val="FootnoteReference"/>
        </w:rPr>
        <w:t xml:space="preserve"> </w:t>
      </w:r>
      <w:r w:rsidRPr="00A278DD">
        <w:rPr>
          <w:rStyle w:val="FootnoteReference"/>
        </w:rPr>
        <w:footnoteReference w:id="56"/>
      </w:r>
    </w:p>
    <w:p w14:paraId="28BEB0F9" w14:textId="29AF84A2" w:rsidR="000564C4" w:rsidRPr="00A278DD" w:rsidRDefault="003A1607" w:rsidP="005E15C6">
      <w:pPr>
        <w:pStyle w:val="NumberedParas"/>
        <w:ind w:left="1134" w:firstLine="0"/>
      </w:pPr>
      <w:r w:rsidRPr="00A278DD">
        <w:t>On appeal</w:t>
      </w:r>
      <w:r w:rsidR="00C13E59" w:rsidRPr="00A278DD">
        <w:t>,</w:t>
      </w:r>
      <w:r w:rsidRPr="00A278DD">
        <w:t xml:space="preserve"> the Supreme Court upheld the lower court’s dismissal</w:t>
      </w:r>
      <w:r w:rsidR="00D624E5" w:rsidRPr="00A278DD">
        <w:t xml:space="preserve">, stating that the determining factor for </w:t>
      </w:r>
      <w:r w:rsidR="00C13E59" w:rsidRPr="00A278DD">
        <w:t>whether or not an act should be challengeable is “whether it is essential in the field of ecology.”</w:t>
      </w:r>
      <w:r w:rsidR="00C13E59" w:rsidRPr="00A278DD">
        <w:rPr>
          <w:rStyle w:val="FootnoteReference"/>
        </w:rPr>
        <w:footnoteReference w:id="57"/>
      </w:r>
      <w:r w:rsidR="000E52D5" w:rsidRPr="00A278DD">
        <w:t xml:space="preserve"> The </w:t>
      </w:r>
      <w:r w:rsidR="009A3515" w:rsidRPr="00A278DD">
        <w:t xml:space="preserve">Supreme Court </w:t>
      </w:r>
      <w:r w:rsidR="00CE5B25" w:rsidRPr="00A278DD">
        <w:t xml:space="preserve">rejected the communicant’s argument that it should be allowed to challenge the decision </w:t>
      </w:r>
      <w:r w:rsidR="009A3515" w:rsidRPr="00A278DD">
        <w:t>approving the</w:t>
      </w:r>
      <w:r w:rsidR="00CE5B25" w:rsidRPr="00A278DD">
        <w:t xml:space="preserve"> GSP </w:t>
      </w:r>
      <w:r w:rsidR="009A3515" w:rsidRPr="00A278DD">
        <w:t xml:space="preserve">amendment </w:t>
      </w:r>
      <w:r w:rsidR="00CE5B25" w:rsidRPr="00A278DD">
        <w:t xml:space="preserve">on the basis of article 9(2) of the Convention regardless of whether article 127(6) is constitutional. </w:t>
      </w:r>
      <w:r w:rsidR="00551456" w:rsidRPr="00A278DD">
        <w:t xml:space="preserve">The Court reasoned that the explicit exclusion of judicial review for a certain category of administrative acts meant that article 9(2)(b) of the Convention was not a reason for derogating </w:t>
      </w:r>
      <w:r w:rsidR="009A3515" w:rsidRPr="00A278DD">
        <w:t xml:space="preserve">from </w:t>
      </w:r>
      <w:r w:rsidR="00551456" w:rsidRPr="00A278DD">
        <w:t xml:space="preserve">national </w:t>
      </w:r>
      <w:r w:rsidR="0091538C">
        <w:t>law</w:t>
      </w:r>
      <w:r w:rsidR="00551456" w:rsidRPr="00A278DD">
        <w:t xml:space="preserve"> under article 5(4) of the Constitution</w:t>
      </w:r>
      <w:r w:rsidR="00E51ABB" w:rsidRPr="00A278DD">
        <w:t>.</w:t>
      </w:r>
      <w:r w:rsidR="00E51ABB" w:rsidRPr="00A278DD">
        <w:rPr>
          <w:rStyle w:val="FootnoteReference"/>
        </w:rPr>
        <w:footnoteReference w:id="58"/>
      </w:r>
      <w:r w:rsidR="00E51ABB" w:rsidRPr="00A278DD">
        <w:t xml:space="preserve"> </w:t>
      </w:r>
    </w:p>
    <w:p w14:paraId="36981101" w14:textId="0E117294" w:rsidR="00E51ABB" w:rsidRDefault="00E51ABB" w:rsidP="005E15C6">
      <w:pPr>
        <w:pStyle w:val="NumberedParas"/>
        <w:ind w:left="1134" w:firstLine="0"/>
      </w:pPr>
      <w:bookmarkStart w:id="27" w:name="_Ref18316826"/>
      <w:proofErr w:type="gramStart"/>
      <w:r w:rsidRPr="00A278DD">
        <w:t>In light of</w:t>
      </w:r>
      <w:proofErr w:type="gramEnd"/>
      <w:r w:rsidRPr="00A278DD">
        <w:t xml:space="preserve"> </w:t>
      </w:r>
      <w:r w:rsidR="009A3515" w:rsidRPr="00A278DD">
        <w:t>the above</w:t>
      </w:r>
      <w:r w:rsidRPr="00A278DD">
        <w:t>, t</w:t>
      </w:r>
      <w:r w:rsidR="00352376" w:rsidRPr="00A278DD">
        <w:t xml:space="preserve">he </w:t>
      </w:r>
      <w:r w:rsidR="009A3515" w:rsidRPr="00A278DD">
        <w:t>C</w:t>
      </w:r>
      <w:r w:rsidR="00352376" w:rsidRPr="00A278DD">
        <w:t xml:space="preserve">ourt rejected the communicant’s special request to suspend the proceedings pending </w:t>
      </w:r>
      <w:r w:rsidR="0091538C">
        <w:t>a judgment in</w:t>
      </w:r>
      <w:r w:rsidR="00352376" w:rsidRPr="00A278DD">
        <w:t xml:space="preserve"> the main SEA proceedings. The </w:t>
      </w:r>
      <w:r w:rsidR="009A3515" w:rsidRPr="00A278DD">
        <w:t>C</w:t>
      </w:r>
      <w:r w:rsidR="00352376" w:rsidRPr="00A278DD">
        <w:t xml:space="preserve">ourt considered that the outcome of that case </w:t>
      </w:r>
      <w:r w:rsidR="00470BF5" w:rsidRPr="00A278DD">
        <w:t xml:space="preserve">did not have a </w:t>
      </w:r>
      <w:r w:rsidR="00352376" w:rsidRPr="00A278DD">
        <w:t>“preliminary nature concerning the admissibility of the appeal covered by this dispute”, and thus the request should be dismissed.</w:t>
      </w:r>
      <w:r w:rsidR="00352376" w:rsidRPr="00A278DD">
        <w:rPr>
          <w:rStyle w:val="FootnoteReference"/>
        </w:rPr>
        <w:footnoteReference w:id="59"/>
      </w:r>
      <w:bookmarkEnd w:id="27"/>
    </w:p>
    <w:p w14:paraId="4E6560D2" w14:textId="77777777" w:rsidR="004D04EC" w:rsidRPr="00A278DD" w:rsidRDefault="004D04EC" w:rsidP="004D04EC">
      <w:pPr>
        <w:pStyle w:val="NumberedParas"/>
        <w:numPr>
          <w:ilvl w:val="0"/>
          <w:numId w:val="0"/>
        </w:numPr>
        <w:ind w:left="1134"/>
      </w:pPr>
    </w:p>
    <w:p w14:paraId="02D13752" w14:textId="77777777" w:rsidR="00C522AE" w:rsidRPr="00A278DD" w:rsidRDefault="00C522AE" w:rsidP="005E15C6">
      <w:pPr>
        <w:pStyle w:val="Heading3"/>
        <w:ind w:left="1134"/>
      </w:pPr>
      <w:r w:rsidRPr="00A278DD">
        <w:t>The communicant’s attempts to obtain a compulsory administrative measure</w:t>
      </w:r>
    </w:p>
    <w:p w14:paraId="2F44041B" w14:textId="70A893B9" w:rsidR="0061016F" w:rsidRPr="00A278DD" w:rsidRDefault="00C522AE" w:rsidP="005E15C6">
      <w:pPr>
        <w:pStyle w:val="NumberedParas"/>
        <w:ind w:left="1134" w:firstLine="0"/>
      </w:pPr>
      <w:bookmarkStart w:id="28" w:name="_Ref18311803"/>
      <w:r w:rsidRPr="00A278DD">
        <w:t xml:space="preserve">On 25 March 2016, the communicant submitted </w:t>
      </w:r>
      <w:r w:rsidR="00470BF5" w:rsidRPr="00A278DD">
        <w:t xml:space="preserve">an “alert” </w:t>
      </w:r>
      <w:r w:rsidRPr="00A278DD">
        <w:t xml:space="preserve">to the </w:t>
      </w:r>
      <w:r w:rsidR="008279AB" w:rsidRPr="00A278DD">
        <w:t>Ministry of Environment and Water (</w:t>
      </w:r>
      <w:r w:rsidR="00502BC6" w:rsidRPr="00A278DD">
        <w:t>MOEW</w:t>
      </w:r>
      <w:r w:rsidR="008279AB" w:rsidRPr="00A278DD">
        <w:t>)</w:t>
      </w:r>
      <w:r w:rsidRPr="00A278DD">
        <w:t xml:space="preserve"> </w:t>
      </w:r>
      <w:r w:rsidR="008279AB" w:rsidRPr="00A278DD">
        <w:t xml:space="preserve">requesting it to impose a </w:t>
      </w:r>
      <w:r w:rsidR="00021497" w:rsidRPr="00A278DD">
        <w:t>compulsory administrative measure (</w:t>
      </w:r>
      <w:r w:rsidRPr="00A278DD">
        <w:t>CAM</w:t>
      </w:r>
      <w:r w:rsidR="00021497" w:rsidRPr="00A278DD">
        <w:t>)</w:t>
      </w:r>
      <w:r w:rsidRPr="00A278DD">
        <w:t xml:space="preserve"> suspending the </w:t>
      </w:r>
      <w:r w:rsidR="009A3515" w:rsidRPr="00A278DD">
        <w:t>decision approving the GSP amendment</w:t>
      </w:r>
      <w:r w:rsidRPr="00A278DD">
        <w:t>.</w:t>
      </w:r>
      <w:r w:rsidRPr="00A278DD">
        <w:rPr>
          <w:rStyle w:val="FootnoteReference"/>
        </w:rPr>
        <w:footnoteReference w:id="60"/>
      </w:r>
      <w:r w:rsidR="00602B1F" w:rsidRPr="00A278DD">
        <w:t xml:space="preserve"> In </w:t>
      </w:r>
      <w:r w:rsidR="008279AB" w:rsidRPr="00A278DD">
        <w:t xml:space="preserve">the alert, </w:t>
      </w:r>
      <w:r w:rsidR="00021497" w:rsidRPr="00A278DD">
        <w:t xml:space="preserve">the communicant </w:t>
      </w:r>
      <w:r w:rsidR="0091538C">
        <w:t xml:space="preserve">referred to </w:t>
      </w:r>
      <w:r w:rsidR="00602B1F" w:rsidRPr="00A278DD">
        <w:t xml:space="preserve">the statement </w:t>
      </w:r>
      <w:r w:rsidR="0091538C">
        <w:t>by</w:t>
      </w:r>
      <w:r w:rsidR="00602B1F" w:rsidRPr="00A278DD">
        <w:t xml:space="preserve"> the Party concerned in its first progress report </w:t>
      </w:r>
      <w:r w:rsidR="0091538C">
        <w:t xml:space="preserve">on </w:t>
      </w:r>
      <w:r w:rsidR="00602B1F" w:rsidRPr="00A278DD">
        <w:t xml:space="preserve">the implementation of decision V/9d </w:t>
      </w:r>
      <w:r w:rsidR="002F4A3C" w:rsidRPr="00A278DD">
        <w:t>that a CAM could be applied for to address unlawful acts under the S</w:t>
      </w:r>
      <w:r w:rsidR="00502BC6" w:rsidRPr="00A278DD">
        <w:t>D</w:t>
      </w:r>
      <w:r w:rsidR="002F4A3C" w:rsidRPr="00A278DD">
        <w:t xml:space="preserve">A (see para. </w:t>
      </w:r>
      <w:r w:rsidR="002F4A3C" w:rsidRPr="00A278DD">
        <w:rPr>
          <w:lang w:val="x-none"/>
        </w:rPr>
        <w:fldChar w:fldCharType="begin"/>
      </w:r>
      <w:r w:rsidR="002F4A3C" w:rsidRPr="00A278DD">
        <w:instrText xml:space="preserve"> REF _Ref18316497 \r \h </w:instrText>
      </w:r>
      <w:r w:rsidR="008F14F7" w:rsidRPr="00A278DD">
        <w:instrText xml:space="preserve"> \* MERGEFORMAT </w:instrText>
      </w:r>
      <w:r w:rsidR="002F4A3C" w:rsidRPr="00A278DD">
        <w:rPr>
          <w:lang w:val="x-none"/>
        </w:rPr>
      </w:r>
      <w:r w:rsidR="002F4A3C" w:rsidRPr="00A278DD">
        <w:rPr>
          <w:lang w:val="x-none"/>
        </w:rPr>
        <w:fldChar w:fldCharType="separate"/>
      </w:r>
      <w:r w:rsidR="00033122">
        <w:rPr>
          <w:cs/>
        </w:rPr>
        <w:t>‎</w:t>
      </w:r>
      <w:r w:rsidR="00033122">
        <w:t>40</w:t>
      </w:r>
      <w:r w:rsidR="002F4A3C" w:rsidRPr="00A278DD">
        <w:rPr>
          <w:lang w:val="x-none"/>
        </w:rPr>
        <w:fldChar w:fldCharType="end"/>
      </w:r>
      <w:r w:rsidR="002F4A3C" w:rsidRPr="00A278DD">
        <w:t xml:space="preserve"> above).</w:t>
      </w:r>
      <w:r w:rsidR="00602B1F" w:rsidRPr="00A278DD">
        <w:rPr>
          <w:rStyle w:val="FootnoteReference"/>
        </w:rPr>
        <w:footnoteReference w:id="61"/>
      </w:r>
      <w:bookmarkEnd w:id="28"/>
      <w:r w:rsidR="00DC5F98" w:rsidRPr="00A278DD">
        <w:t xml:space="preserve"> T</w:t>
      </w:r>
      <w:r w:rsidR="0092107A" w:rsidRPr="00A278DD">
        <w:t xml:space="preserve">he communicant claimed that </w:t>
      </w:r>
      <w:r w:rsidR="009A3515" w:rsidRPr="00A278DD">
        <w:t>the decision approving the GSP amendment</w:t>
      </w:r>
      <w:r w:rsidR="0092107A" w:rsidRPr="00A278DD">
        <w:t xml:space="preserve"> was </w:t>
      </w:r>
      <w:r w:rsidR="0061016F" w:rsidRPr="00A278DD">
        <w:t xml:space="preserve">illegal and that, in the absence of any access to justice to challenge the </w:t>
      </w:r>
      <w:r w:rsidR="00920679" w:rsidRPr="00A278DD">
        <w:t>decision approving the GSP amendment</w:t>
      </w:r>
      <w:r w:rsidR="0061016F" w:rsidRPr="00A278DD">
        <w:t>, there was no alternative but for the Minister to impose a CAM suspending the GSP.</w:t>
      </w:r>
      <w:r w:rsidR="0061016F" w:rsidRPr="00A278DD">
        <w:rPr>
          <w:rStyle w:val="FootnoteReference"/>
        </w:rPr>
        <w:footnoteReference w:id="62"/>
      </w:r>
    </w:p>
    <w:p w14:paraId="5F5E45F1" w14:textId="7CB5A419" w:rsidR="00C91F15" w:rsidRPr="00A278DD" w:rsidRDefault="00C91F15" w:rsidP="005E15C6">
      <w:pPr>
        <w:pStyle w:val="NumberedParas"/>
        <w:ind w:left="1134" w:firstLine="0"/>
      </w:pPr>
      <w:r w:rsidRPr="00A278DD">
        <w:lastRenderedPageBreak/>
        <w:t>By letter 48-00.295 of 26 April 2016, the Minister forwarded</w:t>
      </w:r>
      <w:r w:rsidR="005C3E69" w:rsidRPr="00A278DD">
        <w:t xml:space="preserve"> the communicant’s request to the Director of RIEW</w:t>
      </w:r>
      <w:r w:rsidR="008279AB" w:rsidRPr="00A278DD">
        <w:t>-</w:t>
      </w:r>
      <w:r w:rsidR="005C3E69" w:rsidRPr="00A278DD">
        <w:t>Plovdiv.</w:t>
      </w:r>
      <w:r w:rsidR="005C3E69" w:rsidRPr="00A278DD">
        <w:rPr>
          <w:rStyle w:val="FootnoteReference"/>
        </w:rPr>
        <w:t xml:space="preserve"> </w:t>
      </w:r>
      <w:r w:rsidR="005C3E69" w:rsidRPr="00A278DD">
        <w:rPr>
          <w:rStyle w:val="FootnoteReference"/>
        </w:rPr>
        <w:footnoteReference w:id="63"/>
      </w:r>
    </w:p>
    <w:p w14:paraId="3EAE1FFE" w14:textId="22E45E36" w:rsidR="00756225" w:rsidRDefault="00C91F15" w:rsidP="005E15C6">
      <w:pPr>
        <w:pStyle w:val="NumberedParas"/>
        <w:ind w:left="1134" w:firstLine="0"/>
      </w:pPr>
      <w:r w:rsidRPr="00A278DD">
        <w:t xml:space="preserve">By letter M-148 of 25 May 2016, the Director </w:t>
      </w:r>
      <w:r w:rsidR="005C3E69" w:rsidRPr="00A278DD">
        <w:t>of RIEW</w:t>
      </w:r>
      <w:r w:rsidR="008279AB" w:rsidRPr="00A278DD">
        <w:t>-</w:t>
      </w:r>
      <w:r w:rsidR="005C3E69" w:rsidRPr="00A278DD">
        <w:t>Plovdiv</w:t>
      </w:r>
      <w:r w:rsidR="005C3E69" w:rsidRPr="00A278DD">
        <w:rPr>
          <w:rStyle w:val="st"/>
        </w:rPr>
        <w:t xml:space="preserve"> refused to impose the requested CAM</w:t>
      </w:r>
      <w:r w:rsidR="001D75E6" w:rsidRPr="00A278DD">
        <w:rPr>
          <w:rStyle w:val="st"/>
        </w:rPr>
        <w:t xml:space="preserve">, explaining </w:t>
      </w:r>
      <w:r w:rsidR="005C3E69" w:rsidRPr="00A278DD">
        <w:rPr>
          <w:rStyle w:val="st"/>
        </w:rPr>
        <w:t xml:space="preserve">that third parties cannot submit requests </w:t>
      </w:r>
      <w:r w:rsidR="00E86002">
        <w:rPr>
          <w:rStyle w:val="st"/>
        </w:rPr>
        <w:t xml:space="preserve">for CAMs </w:t>
      </w:r>
      <w:r w:rsidR="005C3E69" w:rsidRPr="00A278DD">
        <w:rPr>
          <w:rStyle w:val="st"/>
        </w:rPr>
        <w:t xml:space="preserve">to the </w:t>
      </w:r>
      <w:r w:rsidR="001D75E6" w:rsidRPr="00A278DD">
        <w:rPr>
          <w:rStyle w:val="st"/>
        </w:rPr>
        <w:t>MOEW</w:t>
      </w:r>
      <w:r w:rsidR="005C3E69" w:rsidRPr="00A278DD">
        <w:rPr>
          <w:rStyle w:val="st"/>
        </w:rPr>
        <w:t xml:space="preserve"> or </w:t>
      </w:r>
      <w:r w:rsidR="00E7231E" w:rsidRPr="00A278DD">
        <w:t>RIEW</w:t>
      </w:r>
      <w:r w:rsidR="005C3E69" w:rsidRPr="00A278DD">
        <w:t>.</w:t>
      </w:r>
      <w:r w:rsidR="005C3E69" w:rsidRPr="00A278DD">
        <w:rPr>
          <w:rStyle w:val="FootnoteReference"/>
        </w:rPr>
        <w:footnoteReference w:id="64"/>
      </w:r>
    </w:p>
    <w:p w14:paraId="2DFEF896" w14:textId="77777777" w:rsidR="004D04EC" w:rsidRPr="00A278DD" w:rsidRDefault="004D04EC" w:rsidP="004D04EC">
      <w:pPr>
        <w:pStyle w:val="NumberedParas"/>
        <w:numPr>
          <w:ilvl w:val="0"/>
          <w:numId w:val="0"/>
        </w:numPr>
        <w:ind w:left="1134"/>
      </w:pPr>
    </w:p>
    <w:p w14:paraId="390E2D43" w14:textId="77777777" w:rsidR="0023575C" w:rsidRPr="00A278DD" w:rsidRDefault="0023575C" w:rsidP="005E15C6">
      <w:pPr>
        <w:pStyle w:val="Heading2"/>
        <w:ind w:left="1134" w:firstLine="0"/>
      </w:pPr>
      <w:r w:rsidRPr="00A278DD">
        <w:t>Substantive issues</w:t>
      </w:r>
    </w:p>
    <w:p w14:paraId="6FEB42F2" w14:textId="77777777" w:rsidR="00CB013C" w:rsidRPr="00A278DD" w:rsidRDefault="00EB2FA6" w:rsidP="005E15C6">
      <w:pPr>
        <w:pStyle w:val="Heading3"/>
        <w:ind w:left="1134"/>
      </w:pPr>
      <w:r w:rsidRPr="00A278DD">
        <w:t>Article 7 – transparent and fair framework</w:t>
      </w:r>
    </w:p>
    <w:p w14:paraId="2F74356D" w14:textId="59EB60D6" w:rsidR="00EB2FA6" w:rsidRPr="00A278DD" w:rsidRDefault="00EB2FA6" w:rsidP="005E15C6">
      <w:pPr>
        <w:pStyle w:val="NumberedParas"/>
        <w:ind w:left="1134" w:firstLine="0"/>
        <w:rPr>
          <w:rStyle w:val="st"/>
        </w:rPr>
      </w:pPr>
      <w:r w:rsidRPr="00A278DD">
        <w:t xml:space="preserve">The communicant </w:t>
      </w:r>
      <w:r w:rsidR="00E86002">
        <w:t xml:space="preserve">submits that </w:t>
      </w:r>
      <w:r w:rsidR="0087183C" w:rsidRPr="00A278DD">
        <w:t>for the</w:t>
      </w:r>
      <w:r w:rsidRPr="00A278DD">
        <w:t xml:space="preserve"> public to participate effectively a transparent and fair framework</w:t>
      </w:r>
      <w:r w:rsidR="00E91C0F" w:rsidRPr="00A278DD">
        <w:t xml:space="preserve"> is needed</w:t>
      </w:r>
      <w:r w:rsidR="00E86002">
        <w:t xml:space="preserve">, </w:t>
      </w:r>
      <w:r w:rsidR="00E86002" w:rsidRPr="00A278DD">
        <w:t>cit</w:t>
      </w:r>
      <w:r w:rsidR="00E86002">
        <w:t>ing</w:t>
      </w:r>
      <w:r w:rsidR="00E86002" w:rsidRPr="00A278DD">
        <w:t xml:space="preserve"> </w:t>
      </w:r>
      <w:r w:rsidR="00E86002" w:rsidRPr="00A278DD">
        <w:rPr>
          <w:i/>
        </w:rPr>
        <w:t xml:space="preserve">The Aarhus Convention: An Implementation Guide </w:t>
      </w:r>
      <w:r w:rsidR="00E86002" w:rsidRPr="00A278DD">
        <w:t>(Implementation Guide) at page 179</w:t>
      </w:r>
      <w:r w:rsidRPr="00A278DD">
        <w:t xml:space="preserve">. The communicant alleges that </w:t>
      </w:r>
      <w:r w:rsidR="00530E08" w:rsidRPr="00A278DD">
        <w:t xml:space="preserve">no </w:t>
      </w:r>
      <w:r w:rsidR="0087183C" w:rsidRPr="00A278DD">
        <w:t xml:space="preserve">such </w:t>
      </w:r>
      <w:r w:rsidR="00530E08" w:rsidRPr="00A278DD">
        <w:t xml:space="preserve">framework is required by </w:t>
      </w:r>
      <w:r w:rsidR="009A3515" w:rsidRPr="00A278DD">
        <w:t xml:space="preserve">the </w:t>
      </w:r>
      <w:r w:rsidRPr="00A278DD">
        <w:t xml:space="preserve">law </w:t>
      </w:r>
      <w:r w:rsidR="009A3515" w:rsidRPr="00A278DD">
        <w:t xml:space="preserve">of the Party concerned </w:t>
      </w:r>
      <w:r w:rsidRPr="00A278DD">
        <w:t xml:space="preserve">nor </w:t>
      </w:r>
      <w:r w:rsidR="00AD19D2" w:rsidRPr="00A278DD">
        <w:t xml:space="preserve">provided </w:t>
      </w:r>
      <w:r w:rsidR="00530E08" w:rsidRPr="00A278DD">
        <w:t xml:space="preserve">by </w:t>
      </w:r>
      <w:r w:rsidR="009A3515" w:rsidRPr="00A278DD">
        <w:t xml:space="preserve">its </w:t>
      </w:r>
      <w:r w:rsidRPr="00A278DD">
        <w:t xml:space="preserve">administration. </w:t>
      </w:r>
      <w:r w:rsidR="00E91C0F" w:rsidRPr="00A278DD">
        <w:t xml:space="preserve">It </w:t>
      </w:r>
      <w:r w:rsidRPr="00A278DD">
        <w:t xml:space="preserve">claims </w:t>
      </w:r>
      <w:r w:rsidR="00AD19D2" w:rsidRPr="00A278DD">
        <w:t xml:space="preserve">that the discussions on </w:t>
      </w:r>
      <w:r w:rsidRPr="00A278DD">
        <w:t>the</w:t>
      </w:r>
      <w:r w:rsidR="00E91C0F" w:rsidRPr="00A278DD">
        <w:t xml:space="preserve"> </w:t>
      </w:r>
      <w:r w:rsidR="001B0F42" w:rsidRPr="00A278DD">
        <w:t xml:space="preserve">proposed </w:t>
      </w:r>
      <w:r w:rsidR="00E91C0F" w:rsidRPr="00A278DD">
        <w:t>GSP amendment</w:t>
      </w:r>
      <w:r w:rsidRPr="00A278DD">
        <w:t xml:space="preserve"> were held without any regulation or rules </w:t>
      </w:r>
      <w:r w:rsidR="00584BC9" w:rsidRPr="00A278DD">
        <w:t xml:space="preserve">and </w:t>
      </w:r>
      <w:r w:rsidRPr="00A278DD">
        <w:t>practically no guarantee of effective participation</w:t>
      </w:r>
      <w:r w:rsidRPr="00A278DD">
        <w:rPr>
          <w:rStyle w:val="st"/>
        </w:rPr>
        <w:t>.</w:t>
      </w:r>
      <w:r w:rsidRPr="00A278DD">
        <w:rPr>
          <w:rStyle w:val="FootnoteReference"/>
        </w:rPr>
        <w:footnoteReference w:id="65"/>
      </w:r>
    </w:p>
    <w:p w14:paraId="183265A6" w14:textId="74554DBE" w:rsidR="00530E08" w:rsidRPr="00A278DD" w:rsidRDefault="00C76C9C" w:rsidP="005E15C6">
      <w:pPr>
        <w:pStyle w:val="NumberedParas"/>
        <w:ind w:left="1134" w:firstLine="0"/>
        <w:rPr>
          <w:rStyle w:val="st"/>
        </w:rPr>
      </w:pPr>
      <w:r w:rsidRPr="00A278DD">
        <w:rPr>
          <w:rStyle w:val="st"/>
        </w:rPr>
        <w:t xml:space="preserve">The Party concerned </w:t>
      </w:r>
      <w:r w:rsidR="00A3703A" w:rsidRPr="00A278DD">
        <w:rPr>
          <w:rStyle w:val="st"/>
        </w:rPr>
        <w:t>states that article 127(1) S</w:t>
      </w:r>
      <w:r w:rsidR="00502BC6" w:rsidRPr="00A278DD">
        <w:rPr>
          <w:rStyle w:val="st"/>
        </w:rPr>
        <w:t>D</w:t>
      </w:r>
      <w:r w:rsidR="00A3703A" w:rsidRPr="00A278DD">
        <w:rPr>
          <w:rStyle w:val="st"/>
        </w:rPr>
        <w:t xml:space="preserve">A </w:t>
      </w:r>
      <w:r w:rsidR="00AD19D2" w:rsidRPr="00A278DD">
        <w:rPr>
          <w:rStyle w:val="st"/>
        </w:rPr>
        <w:t xml:space="preserve">sets out </w:t>
      </w:r>
      <w:r w:rsidR="00A3703A" w:rsidRPr="00A278DD">
        <w:rPr>
          <w:rStyle w:val="st"/>
        </w:rPr>
        <w:t>the generally applicable mandatory frame</w:t>
      </w:r>
      <w:r w:rsidR="00AD19D2" w:rsidRPr="00A278DD">
        <w:rPr>
          <w:rStyle w:val="st"/>
        </w:rPr>
        <w:t>work</w:t>
      </w:r>
      <w:r w:rsidR="00A3703A" w:rsidRPr="00A278DD">
        <w:rPr>
          <w:rStyle w:val="st"/>
        </w:rPr>
        <w:t xml:space="preserve"> </w:t>
      </w:r>
      <w:r w:rsidR="00E91C0F" w:rsidRPr="00A278DD">
        <w:rPr>
          <w:rStyle w:val="st"/>
        </w:rPr>
        <w:t xml:space="preserve">for </w:t>
      </w:r>
      <w:r w:rsidR="00A3703A" w:rsidRPr="00A278DD">
        <w:rPr>
          <w:rStyle w:val="st"/>
        </w:rPr>
        <w:t>public participation on GSP</w:t>
      </w:r>
      <w:r w:rsidR="001B0F42" w:rsidRPr="00A278DD">
        <w:rPr>
          <w:rStyle w:val="st"/>
        </w:rPr>
        <w:t>s</w:t>
      </w:r>
      <w:r w:rsidR="00A3703A" w:rsidRPr="00A278DD">
        <w:rPr>
          <w:rStyle w:val="st"/>
        </w:rPr>
        <w:t xml:space="preserve"> </w:t>
      </w:r>
      <w:r w:rsidR="00AD19D2" w:rsidRPr="00A278DD">
        <w:rPr>
          <w:rStyle w:val="st"/>
        </w:rPr>
        <w:t xml:space="preserve">and their </w:t>
      </w:r>
      <w:r w:rsidR="00A3703A" w:rsidRPr="00A278DD">
        <w:rPr>
          <w:rStyle w:val="st"/>
        </w:rPr>
        <w:t>amendment.</w:t>
      </w:r>
      <w:r w:rsidR="00A3703A" w:rsidRPr="00A278DD">
        <w:rPr>
          <w:rStyle w:val="FootnoteReference"/>
        </w:rPr>
        <w:footnoteReference w:id="66"/>
      </w:r>
      <w:r w:rsidR="00530E08" w:rsidRPr="00A278DD">
        <w:rPr>
          <w:rStyle w:val="st"/>
        </w:rPr>
        <w:t xml:space="preserve"> </w:t>
      </w:r>
    </w:p>
    <w:p w14:paraId="60725CFB" w14:textId="29936A76" w:rsidR="00A73270" w:rsidRDefault="009C5CB2" w:rsidP="005E15C6">
      <w:pPr>
        <w:pStyle w:val="NumberedParas"/>
        <w:ind w:left="1134" w:firstLine="0"/>
      </w:pPr>
      <w:r w:rsidRPr="004C4397">
        <w:t xml:space="preserve">The Party concerned </w:t>
      </w:r>
      <w:r w:rsidR="00ED1750" w:rsidRPr="00A278DD">
        <w:t>points out</w:t>
      </w:r>
      <w:r w:rsidR="00A73270" w:rsidRPr="00A278DD">
        <w:t xml:space="preserve"> that the </w:t>
      </w:r>
      <w:r w:rsidR="00644727" w:rsidRPr="00A278DD">
        <w:t xml:space="preserve">EPA and SEA Ordinance </w:t>
      </w:r>
      <w:r w:rsidR="00A73270" w:rsidRPr="00A278DD">
        <w:t xml:space="preserve">for public participation within the SEA procedure </w:t>
      </w:r>
      <w:r w:rsidR="009A3515" w:rsidRPr="00A278DD">
        <w:t>apply to the preparation of an SEA</w:t>
      </w:r>
      <w:r w:rsidR="008C19BC" w:rsidRPr="00A278DD">
        <w:t xml:space="preserve"> </w:t>
      </w:r>
      <w:r w:rsidR="00E86002">
        <w:t>d</w:t>
      </w:r>
      <w:r w:rsidR="008C19BC" w:rsidRPr="00A278DD">
        <w:t>ecision</w:t>
      </w:r>
      <w:r w:rsidR="00A73270" w:rsidRPr="00A278DD">
        <w:t xml:space="preserve">. </w:t>
      </w:r>
      <w:r w:rsidR="009A3515" w:rsidRPr="00A278DD">
        <w:t>It accepts</w:t>
      </w:r>
      <w:r w:rsidR="00ED1750" w:rsidRPr="00A278DD">
        <w:t xml:space="preserve"> that t</w:t>
      </w:r>
      <w:r w:rsidR="00A73270" w:rsidRPr="00A278DD">
        <w:t>he</w:t>
      </w:r>
      <w:r w:rsidR="009A3515" w:rsidRPr="00A278DD">
        <w:t>se</w:t>
      </w:r>
      <w:r w:rsidR="00A73270" w:rsidRPr="00A278DD">
        <w:t xml:space="preserve"> rules </w:t>
      </w:r>
      <w:r w:rsidR="009A3515" w:rsidRPr="00A278DD">
        <w:t>do not apply to the preparation of an SEA screening decision</w:t>
      </w:r>
      <w:r w:rsidR="00A73270" w:rsidRPr="00A278DD">
        <w:t>.</w:t>
      </w:r>
      <w:r w:rsidR="00A73270" w:rsidRPr="00A278DD">
        <w:rPr>
          <w:rStyle w:val="FootnoteReference"/>
        </w:rPr>
        <w:footnoteReference w:id="67"/>
      </w:r>
      <w:r w:rsidR="00ED1750" w:rsidRPr="00A278DD">
        <w:t xml:space="preserve"> </w:t>
      </w:r>
    </w:p>
    <w:p w14:paraId="1767EDC9" w14:textId="77777777" w:rsidR="004D04EC" w:rsidRPr="00A278DD" w:rsidRDefault="004D04EC" w:rsidP="004D04EC">
      <w:pPr>
        <w:pStyle w:val="NumberedParas"/>
        <w:numPr>
          <w:ilvl w:val="0"/>
          <w:numId w:val="0"/>
        </w:numPr>
        <w:ind w:left="1134"/>
      </w:pPr>
    </w:p>
    <w:p w14:paraId="1E65F48F" w14:textId="77777777" w:rsidR="00B57170" w:rsidRPr="00A278DD" w:rsidRDefault="00EB2FA6" w:rsidP="005E15C6">
      <w:pPr>
        <w:pStyle w:val="Heading3"/>
        <w:ind w:left="1134"/>
      </w:pPr>
      <w:r w:rsidRPr="00A278DD">
        <w:t>Article 6(</w:t>
      </w:r>
      <w:r w:rsidR="0071605F" w:rsidRPr="00A278DD">
        <w:t>3</w:t>
      </w:r>
      <w:r w:rsidRPr="00A278DD">
        <w:t>) in conjunction with article 7</w:t>
      </w:r>
    </w:p>
    <w:p w14:paraId="4863D097" w14:textId="5CB49FC5" w:rsidR="00CB013C" w:rsidRPr="00A278DD" w:rsidRDefault="00CB013C" w:rsidP="005E15C6">
      <w:pPr>
        <w:pStyle w:val="NumberedParas"/>
        <w:ind w:left="1134" w:firstLine="0"/>
      </w:pPr>
      <w:r w:rsidRPr="00A278DD">
        <w:t xml:space="preserve">The communicant submits that the </w:t>
      </w:r>
      <w:r w:rsidR="004E66AE" w:rsidRPr="00A278DD">
        <w:t xml:space="preserve">information and </w:t>
      </w:r>
      <w:proofErr w:type="gramStart"/>
      <w:r w:rsidR="004E66AE" w:rsidRPr="00A278DD">
        <w:t>time</w:t>
      </w:r>
      <w:r w:rsidR="009A3515" w:rsidRPr="00A278DD">
        <w:t>-</w:t>
      </w:r>
      <w:r w:rsidR="004E66AE" w:rsidRPr="00A278DD">
        <w:t>frames</w:t>
      </w:r>
      <w:proofErr w:type="gramEnd"/>
      <w:r w:rsidR="004E66AE" w:rsidRPr="00A278DD">
        <w:t xml:space="preserve"> provided for</w:t>
      </w:r>
      <w:r w:rsidR="0085256A" w:rsidRPr="00A278DD">
        <w:t xml:space="preserve"> the public discussions on the </w:t>
      </w:r>
      <w:r w:rsidR="00406752" w:rsidRPr="00A278DD">
        <w:t xml:space="preserve">proposed </w:t>
      </w:r>
      <w:r w:rsidR="00CA4F59" w:rsidRPr="00A278DD">
        <w:t xml:space="preserve">GSP </w:t>
      </w:r>
      <w:r w:rsidR="0085256A" w:rsidRPr="00A278DD">
        <w:t>amendment breached article 6(</w:t>
      </w:r>
      <w:r w:rsidR="004E66AE" w:rsidRPr="00A278DD">
        <w:t>3</w:t>
      </w:r>
      <w:r w:rsidR="0085256A" w:rsidRPr="00A278DD">
        <w:t>) in conjunction with article 7 in t</w:t>
      </w:r>
      <w:r w:rsidR="004E66AE" w:rsidRPr="00A278DD">
        <w:t>hree</w:t>
      </w:r>
      <w:r w:rsidR="0085256A" w:rsidRPr="00A278DD">
        <w:t xml:space="preserve"> respects. </w:t>
      </w:r>
    </w:p>
    <w:p w14:paraId="38460500" w14:textId="0AE3FD79" w:rsidR="00BD74F4" w:rsidRPr="00A278DD" w:rsidRDefault="0085256A" w:rsidP="005E15C6">
      <w:pPr>
        <w:pStyle w:val="NumberedParas"/>
        <w:ind w:left="1134" w:firstLine="0"/>
      </w:pPr>
      <w:r w:rsidRPr="00A278DD">
        <w:t xml:space="preserve">Firstly, the </w:t>
      </w:r>
      <w:r w:rsidR="00EB2FA6" w:rsidRPr="00A278DD">
        <w:t xml:space="preserve">communicant claims that the </w:t>
      </w:r>
      <w:r w:rsidR="004E66AE" w:rsidRPr="00A278DD">
        <w:t xml:space="preserve">newspaper </w:t>
      </w:r>
      <w:r w:rsidR="00EB2FA6" w:rsidRPr="00A278DD">
        <w:t xml:space="preserve">notices failed to provide information about the place </w:t>
      </w:r>
      <w:r w:rsidR="00586C57" w:rsidRPr="00A278DD">
        <w:t>where</w:t>
      </w:r>
      <w:r w:rsidR="00EB2FA6" w:rsidRPr="00A278DD">
        <w:t xml:space="preserve"> the </w:t>
      </w:r>
      <w:r w:rsidR="009A3515" w:rsidRPr="00A278DD">
        <w:t xml:space="preserve">text of the </w:t>
      </w:r>
      <w:r w:rsidR="00406752" w:rsidRPr="00A278DD">
        <w:t xml:space="preserve">proposed </w:t>
      </w:r>
      <w:r w:rsidR="00CA4F59" w:rsidRPr="00A278DD">
        <w:t xml:space="preserve">GSP </w:t>
      </w:r>
      <w:r w:rsidR="00EB2FA6" w:rsidRPr="00A278DD">
        <w:t xml:space="preserve">amendment </w:t>
      </w:r>
      <w:r w:rsidR="00586C57" w:rsidRPr="00A278DD">
        <w:t>was available</w:t>
      </w:r>
      <w:r w:rsidR="00445378" w:rsidRPr="00A278DD">
        <w:t xml:space="preserve"> and</w:t>
      </w:r>
      <w:r w:rsidR="00EB2FA6" w:rsidRPr="00A278DD">
        <w:t xml:space="preserve"> that this resulted in the participants at the public discussions only being introduced to the </w:t>
      </w:r>
      <w:r w:rsidR="009A3515" w:rsidRPr="00A278DD">
        <w:t xml:space="preserve">proposed </w:t>
      </w:r>
      <w:r w:rsidR="00EB2FA6" w:rsidRPr="00A278DD">
        <w:t xml:space="preserve">amendment </w:t>
      </w:r>
      <w:r w:rsidR="00B53990" w:rsidRPr="00A278DD">
        <w:t xml:space="preserve">at the time of </w:t>
      </w:r>
      <w:r w:rsidR="00EB2FA6" w:rsidRPr="00A278DD">
        <w:t>the discussions.</w:t>
      </w:r>
      <w:r w:rsidR="00EB2FA6" w:rsidRPr="00A278DD">
        <w:rPr>
          <w:rStyle w:val="FootnoteReference"/>
        </w:rPr>
        <w:footnoteReference w:id="68"/>
      </w:r>
    </w:p>
    <w:p w14:paraId="713AAA29" w14:textId="3572C6CA" w:rsidR="007201E8" w:rsidRPr="00A278DD" w:rsidRDefault="007201E8" w:rsidP="005E15C6">
      <w:pPr>
        <w:pStyle w:val="NumberedParas"/>
        <w:ind w:left="1134" w:firstLine="0"/>
      </w:pPr>
      <w:r w:rsidRPr="00A278DD">
        <w:t>The Party concerned submits that, along with its announcements for the hearing pub</w:t>
      </w:r>
      <w:r w:rsidR="007C3806" w:rsidRPr="00A278DD">
        <w:t>lished on 10 December 2013 in two newspapers, it also indicated the address of the Plovdi</w:t>
      </w:r>
      <w:r w:rsidR="00D6689C" w:rsidRPr="00A278DD">
        <w:t>v municipality</w:t>
      </w:r>
      <w:r w:rsidR="007C3806" w:rsidRPr="00A278DD">
        <w:t xml:space="preserve">, where the </w:t>
      </w:r>
      <w:r w:rsidR="00E57CE3" w:rsidRPr="00A278DD">
        <w:t>textual and graphical components</w:t>
      </w:r>
      <w:r w:rsidR="007C3806" w:rsidRPr="00A278DD">
        <w:t xml:space="preserve"> of the </w:t>
      </w:r>
      <w:r w:rsidR="00406752" w:rsidRPr="00A278DD">
        <w:t xml:space="preserve">proposed </w:t>
      </w:r>
      <w:r w:rsidR="00535FA9" w:rsidRPr="00A278DD">
        <w:t xml:space="preserve">GSP </w:t>
      </w:r>
      <w:r w:rsidR="007C3806" w:rsidRPr="00A278DD">
        <w:t>amendment</w:t>
      </w:r>
      <w:r w:rsidR="00445378" w:rsidRPr="00A278DD">
        <w:t xml:space="preserve"> were available</w:t>
      </w:r>
      <w:r w:rsidR="007C3806" w:rsidRPr="00A278DD">
        <w:t>.</w:t>
      </w:r>
      <w:r w:rsidR="007C3806" w:rsidRPr="00A278DD">
        <w:rPr>
          <w:rStyle w:val="FootnoteReference"/>
        </w:rPr>
        <w:footnoteReference w:id="69"/>
      </w:r>
      <w:r w:rsidR="007C3806" w:rsidRPr="00A278DD">
        <w:t xml:space="preserve"> </w:t>
      </w:r>
    </w:p>
    <w:p w14:paraId="729EECF0" w14:textId="0A4EAE6A" w:rsidR="004E66AE" w:rsidRPr="00A278DD" w:rsidRDefault="00BD74F4" w:rsidP="005E15C6">
      <w:pPr>
        <w:pStyle w:val="NumberedParas"/>
        <w:ind w:left="1134" w:firstLine="0"/>
        <w:rPr>
          <w:rStyle w:val="FootnoteReference"/>
          <w:vertAlign w:val="baseline"/>
        </w:rPr>
      </w:pPr>
      <w:r w:rsidRPr="00A278DD">
        <w:t xml:space="preserve">Secondly, the </w:t>
      </w:r>
      <w:r w:rsidR="0085256A" w:rsidRPr="00A278DD">
        <w:t xml:space="preserve">communicant </w:t>
      </w:r>
      <w:r w:rsidR="00406752" w:rsidRPr="00A278DD">
        <w:t xml:space="preserve">points out </w:t>
      </w:r>
      <w:r w:rsidR="0085256A" w:rsidRPr="00A278DD">
        <w:t>that the notices</w:t>
      </w:r>
      <w:r w:rsidR="00406752" w:rsidRPr="00A278DD">
        <w:t xml:space="preserve"> stated</w:t>
      </w:r>
      <w:r w:rsidR="0085256A" w:rsidRPr="00A278DD">
        <w:t xml:space="preserve"> that the subject to be discussed </w:t>
      </w:r>
      <w:r w:rsidR="00406752" w:rsidRPr="00A278DD">
        <w:t>was</w:t>
      </w:r>
      <w:r w:rsidR="0085256A" w:rsidRPr="00A278DD">
        <w:t xml:space="preserve"> “Draft amendment to the GSP of Plovdi</w:t>
      </w:r>
      <w:r w:rsidR="00AD19D2" w:rsidRPr="00A278DD">
        <w:t>v</w:t>
      </w:r>
      <w:r w:rsidR="0085256A" w:rsidRPr="00A278DD">
        <w:t xml:space="preserve"> with scope – Zone ZSE</w:t>
      </w:r>
      <w:r w:rsidR="00B53990" w:rsidRPr="00A278DD">
        <w:t xml:space="preserve"> [Zone for Sports and Entertainment]</w:t>
      </w:r>
      <w:r w:rsidR="0085256A" w:rsidRPr="00A278DD">
        <w:t xml:space="preserve"> within the territory of the Sports complex Recreation and culture”</w:t>
      </w:r>
      <w:r w:rsidR="00406752" w:rsidRPr="00A278DD">
        <w:t>. The communicant submits that this statement</w:t>
      </w:r>
      <w:r w:rsidR="0085256A" w:rsidRPr="00A278DD">
        <w:t xml:space="preserve"> </w:t>
      </w:r>
      <w:r w:rsidR="002B5A37" w:rsidRPr="00A278DD">
        <w:t>did not make</w:t>
      </w:r>
      <w:r w:rsidR="0085256A" w:rsidRPr="00A278DD">
        <w:t xml:space="preserve"> clear that the </w:t>
      </w:r>
      <w:r w:rsidR="002B5A37" w:rsidRPr="00A278DD">
        <w:t>concerned territory</w:t>
      </w:r>
      <w:r w:rsidR="0085256A" w:rsidRPr="00A278DD">
        <w:t xml:space="preserve"> </w:t>
      </w:r>
      <w:r w:rsidR="00535FA9" w:rsidRPr="00A278DD">
        <w:t xml:space="preserve">was </w:t>
      </w:r>
      <w:r w:rsidR="00A56D15" w:rsidRPr="00A278DD">
        <w:t xml:space="preserve">currently </w:t>
      </w:r>
      <w:r w:rsidR="0085256A" w:rsidRPr="00A278DD">
        <w:t xml:space="preserve">part of the green </w:t>
      </w:r>
      <w:r w:rsidR="00406752" w:rsidRPr="00A278DD">
        <w:t xml:space="preserve">space </w:t>
      </w:r>
      <w:r w:rsidR="0085256A" w:rsidRPr="00A278DD">
        <w:t xml:space="preserve">of the city, </w:t>
      </w:r>
      <w:r w:rsidR="00406752" w:rsidRPr="00A278DD">
        <w:t>lying</w:t>
      </w:r>
      <w:r w:rsidR="00535FA9" w:rsidRPr="00A278DD">
        <w:t xml:space="preserve"> </w:t>
      </w:r>
      <w:r w:rsidR="0085256A" w:rsidRPr="00A278DD">
        <w:t xml:space="preserve">almost entirely in two protected areas, and </w:t>
      </w:r>
      <w:r w:rsidR="00406752" w:rsidRPr="00A278DD">
        <w:t xml:space="preserve">that the amendment </w:t>
      </w:r>
      <w:r w:rsidR="00A56D15" w:rsidRPr="00A278DD">
        <w:t xml:space="preserve">would provide </w:t>
      </w:r>
      <w:r w:rsidR="0085256A" w:rsidRPr="00A278DD">
        <w:t>for almost complete development</w:t>
      </w:r>
      <w:r w:rsidR="00406752" w:rsidRPr="00A278DD">
        <w:t xml:space="preserve"> of that territory</w:t>
      </w:r>
      <w:r w:rsidR="0085256A" w:rsidRPr="00A278DD">
        <w:t>.</w:t>
      </w:r>
      <w:r w:rsidR="0085256A" w:rsidRPr="00A278DD">
        <w:rPr>
          <w:rStyle w:val="FootnoteReference"/>
        </w:rPr>
        <w:footnoteReference w:id="70"/>
      </w:r>
      <w:r w:rsidR="0085256A" w:rsidRPr="00A278DD">
        <w:t xml:space="preserve"> The </w:t>
      </w:r>
      <w:r w:rsidR="0085256A" w:rsidRPr="00A278DD">
        <w:lastRenderedPageBreak/>
        <w:t xml:space="preserve">communicant claims </w:t>
      </w:r>
      <w:r w:rsidR="00530697" w:rsidRPr="00A278DD">
        <w:t>further</w:t>
      </w:r>
      <w:r w:rsidR="0085256A" w:rsidRPr="00A278DD">
        <w:t xml:space="preserve"> that the phrase “Scope – Zone ZSE” is not only completely incomprehensible</w:t>
      </w:r>
      <w:r w:rsidR="00D6689C" w:rsidRPr="00A278DD">
        <w:t xml:space="preserve">, </w:t>
      </w:r>
      <w:r w:rsidR="0085256A" w:rsidRPr="00A278DD">
        <w:t>but misleading</w:t>
      </w:r>
      <w:r w:rsidR="00D6689C" w:rsidRPr="00A278DD">
        <w:t>,</w:t>
      </w:r>
      <w:r w:rsidR="0085256A" w:rsidRPr="00A278DD">
        <w:t xml:space="preserve"> as the amendment </w:t>
      </w:r>
      <w:r w:rsidR="00406752" w:rsidRPr="00A278DD">
        <w:t>related to a</w:t>
      </w:r>
      <w:r w:rsidR="00A56D15" w:rsidRPr="00A278DD">
        <w:t>n area that was at the time a</w:t>
      </w:r>
      <w:r w:rsidR="00406752" w:rsidRPr="00A278DD">
        <w:t xml:space="preserve"> </w:t>
      </w:r>
      <w:r w:rsidR="0085256A" w:rsidRPr="00A278DD">
        <w:t xml:space="preserve">zone for public green space, which </w:t>
      </w:r>
      <w:r w:rsidR="00406752" w:rsidRPr="00A278DD">
        <w:t>would only become a</w:t>
      </w:r>
      <w:r w:rsidR="00A56D15" w:rsidRPr="00A278DD">
        <w:t xml:space="preserve"> zone</w:t>
      </w:r>
      <w:r w:rsidR="0085256A" w:rsidRPr="00A278DD">
        <w:t xml:space="preserve"> for sports and entertainment (ZSE)</w:t>
      </w:r>
      <w:r w:rsidR="00406752" w:rsidRPr="00A278DD">
        <w:t xml:space="preserve"> if the amendment</w:t>
      </w:r>
      <w:r w:rsidR="00A56D15" w:rsidRPr="00A278DD">
        <w:t xml:space="preserve"> was made</w:t>
      </w:r>
      <w:r w:rsidR="0085256A" w:rsidRPr="00A278DD">
        <w:t>.</w:t>
      </w:r>
      <w:r w:rsidR="0085256A" w:rsidRPr="00A278DD">
        <w:rPr>
          <w:rStyle w:val="FootnoteReference"/>
        </w:rPr>
        <w:footnoteReference w:id="71"/>
      </w:r>
      <w:r w:rsidR="00530697" w:rsidRPr="00A278DD">
        <w:t xml:space="preserve"> The communicant also claims that </w:t>
      </w:r>
      <w:r w:rsidR="00535FA9" w:rsidRPr="00A278DD">
        <w:t>al</w:t>
      </w:r>
      <w:r w:rsidR="00530697" w:rsidRPr="00A278DD">
        <w:t>though the notice name</w:t>
      </w:r>
      <w:r w:rsidR="00535FA9" w:rsidRPr="00A278DD">
        <w:t>d</w:t>
      </w:r>
      <w:r w:rsidR="00530697" w:rsidRPr="00A278DD">
        <w:t xml:space="preserve"> article 127(1) SDA, </w:t>
      </w:r>
      <w:r w:rsidR="00535FA9" w:rsidRPr="00A278DD">
        <w:t>it</w:t>
      </w:r>
      <w:r w:rsidR="00530697" w:rsidRPr="00A278DD">
        <w:t xml:space="preserve"> </w:t>
      </w:r>
      <w:r w:rsidR="002B5A37" w:rsidRPr="00A278DD">
        <w:t xml:space="preserve">did </w:t>
      </w:r>
      <w:r w:rsidR="00530697" w:rsidRPr="00A278DD">
        <w:t xml:space="preserve">not make clear that the discussions were part of a procedure for consultation on the </w:t>
      </w:r>
      <w:r w:rsidR="009A3515" w:rsidRPr="00A278DD">
        <w:t>need for an SEA</w:t>
      </w:r>
      <w:r w:rsidR="00530697" w:rsidRPr="00A278DD">
        <w:t>.</w:t>
      </w:r>
      <w:r w:rsidR="00530697" w:rsidRPr="00A278DD">
        <w:rPr>
          <w:rStyle w:val="FootnoteReference"/>
        </w:rPr>
        <w:t xml:space="preserve"> </w:t>
      </w:r>
      <w:r w:rsidR="00530697" w:rsidRPr="00A278DD">
        <w:rPr>
          <w:rStyle w:val="FootnoteReference"/>
        </w:rPr>
        <w:footnoteReference w:id="72"/>
      </w:r>
    </w:p>
    <w:p w14:paraId="55F4B1BE" w14:textId="70D47FD4" w:rsidR="009E0AE4" w:rsidRPr="00A278DD" w:rsidRDefault="004E66AE" w:rsidP="005E15C6">
      <w:pPr>
        <w:pStyle w:val="NumberedParas"/>
        <w:ind w:left="1134" w:firstLine="0"/>
      </w:pPr>
      <w:r w:rsidRPr="00A278DD">
        <w:rPr>
          <w:rStyle w:val="st"/>
        </w:rPr>
        <w:t xml:space="preserve"> </w:t>
      </w:r>
      <w:r w:rsidR="007201E8" w:rsidRPr="00A278DD">
        <w:rPr>
          <w:rStyle w:val="st"/>
        </w:rPr>
        <w:t>Thirdly, t</w:t>
      </w:r>
      <w:r w:rsidRPr="00A278DD">
        <w:rPr>
          <w:rStyle w:val="st"/>
        </w:rPr>
        <w:t xml:space="preserve">he communicant submits that discussions were held </w:t>
      </w:r>
      <w:r w:rsidR="00A56D15" w:rsidRPr="00A278DD">
        <w:rPr>
          <w:rStyle w:val="st"/>
        </w:rPr>
        <w:t>two to four</w:t>
      </w:r>
      <w:r w:rsidRPr="00A278DD">
        <w:rPr>
          <w:rStyle w:val="st"/>
        </w:rPr>
        <w:t xml:space="preserve"> days after the date the notices were published. It submits that </w:t>
      </w:r>
      <w:r w:rsidR="00A56D15" w:rsidRPr="00A278DD">
        <w:rPr>
          <w:rStyle w:val="st"/>
        </w:rPr>
        <w:t>two to four</w:t>
      </w:r>
      <w:r w:rsidRPr="00A278DD">
        <w:rPr>
          <w:rStyle w:val="st"/>
        </w:rPr>
        <w:t xml:space="preserve"> days can in no way be considered </w:t>
      </w:r>
      <w:r w:rsidR="00406752" w:rsidRPr="00A278DD">
        <w:rPr>
          <w:rStyle w:val="st"/>
        </w:rPr>
        <w:t xml:space="preserve">a </w:t>
      </w:r>
      <w:r w:rsidRPr="00A278DD">
        <w:rPr>
          <w:rStyle w:val="st"/>
        </w:rPr>
        <w:t>reasonable timeframe for informing the public and for the public to prepare and participate effectivel</w:t>
      </w:r>
      <w:r w:rsidR="00535FA9" w:rsidRPr="00A278DD">
        <w:rPr>
          <w:rStyle w:val="st"/>
        </w:rPr>
        <w:t>y</w:t>
      </w:r>
      <w:r w:rsidRPr="00A278DD">
        <w:rPr>
          <w:rStyle w:val="st"/>
        </w:rPr>
        <w:t>.</w:t>
      </w:r>
      <w:r w:rsidRPr="00A278DD">
        <w:rPr>
          <w:rStyle w:val="FootnoteReference"/>
        </w:rPr>
        <w:footnoteReference w:id="73"/>
      </w:r>
      <w:r w:rsidRPr="00A278DD">
        <w:t xml:space="preserve"> </w:t>
      </w:r>
    </w:p>
    <w:p w14:paraId="275397EC" w14:textId="091A0559" w:rsidR="00B01EC1" w:rsidRPr="004D04EC" w:rsidRDefault="00EA3380" w:rsidP="005E15C6">
      <w:pPr>
        <w:pStyle w:val="NumberedParas"/>
        <w:ind w:left="1134" w:firstLine="0"/>
        <w:rPr>
          <w:rStyle w:val="st"/>
          <w:b/>
        </w:rPr>
      </w:pPr>
      <w:r w:rsidRPr="00A278DD">
        <w:t xml:space="preserve">The Party concerned </w:t>
      </w:r>
      <w:r w:rsidR="00B01EC1" w:rsidRPr="00A278DD">
        <w:rPr>
          <w:rStyle w:val="st"/>
        </w:rPr>
        <w:t>submits that notices for the hearings were published in one local and one national daily newspaper, and additionally, on dates not specified, on the Plovdiv</w:t>
      </w:r>
      <w:r w:rsidR="00535FA9" w:rsidRPr="00A278DD">
        <w:rPr>
          <w:rStyle w:val="st"/>
        </w:rPr>
        <w:t xml:space="preserve"> Municipality</w:t>
      </w:r>
      <w:r w:rsidR="00D6689C" w:rsidRPr="00A278DD">
        <w:rPr>
          <w:rStyle w:val="st"/>
        </w:rPr>
        <w:t xml:space="preserve"> website</w:t>
      </w:r>
      <w:r w:rsidR="00B01EC1" w:rsidRPr="00A278DD">
        <w:rPr>
          <w:rStyle w:val="st"/>
        </w:rPr>
        <w:t xml:space="preserve">, in the designated areas of the </w:t>
      </w:r>
      <w:r w:rsidR="00D6689C" w:rsidRPr="00A278DD">
        <w:rPr>
          <w:rStyle w:val="st"/>
        </w:rPr>
        <w:t xml:space="preserve">Plovdiv Municipality </w:t>
      </w:r>
      <w:r w:rsidR="00B01EC1" w:rsidRPr="00A278DD">
        <w:rPr>
          <w:rStyle w:val="st"/>
        </w:rPr>
        <w:t xml:space="preserve">administrative buildings </w:t>
      </w:r>
      <w:r w:rsidR="002B5A37" w:rsidRPr="00A278DD">
        <w:rPr>
          <w:rStyle w:val="st"/>
        </w:rPr>
        <w:t>and</w:t>
      </w:r>
      <w:r w:rsidR="00B01EC1" w:rsidRPr="00A278DD">
        <w:rPr>
          <w:rStyle w:val="st"/>
        </w:rPr>
        <w:t xml:space="preserve"> in several public squares.</w:t>
      </w:r>
      <w:r w:rsidR="007201E8" w:rsidRPr="00A278DD">
        <w:rPr>
          <w:rStyle w:val="FootnoteReference"/>
        </w:rPr>
        <w:footnoteReference w:id="74"/>
      </w:r>
    </w:p>
    <w:p w14:paraId="464BEC31" w14:textId="77777777" w:rsidR="004D04EC" w:rsidRPr="00A278DD" w:rsidRDefault="004D04EC" w:rsidP="004D04EC">
      <w:pPr>
        <w:pStyle w:val="NumberedParas"/>
        <w:numPr>
          <w:ilvl w:val="0"/>
          <w:numId w:val="0"/>
        </w:numPr>
        <w:ind w:left="1134"/>
        <w:rPr>
          <w:rStyle w:val="st"/>
          <w:b/>
        </w:rPr>
      </w:pPr>
    </w:p>
    <w:p w14:paraId="4CF800AA" w14:textId="77777777" w:rsidR="00F91B5F" w:rsidRPr="00A278DD" w:rsidRDefault="00F91B5F" w:rsidP="005E15C6">
      <w:pPr>
        <w:pStyle w:val="Heading3"/>
        <w:ind w:left="1134"/>
        <w:rPr>
          <w:rStyle w:val="st"/>
        </w:rPr>
      </w:pPr>
      <w:r w:rsidRPr="00A278DD">
        <w:rPr>
          <w:rStyle w:val="st"/>
        </w:rPr>
        <w:t>Article 6(8) in conjunction with article 7</w:t>
      </w:r>
    </w:p>
    <w:p w14:paraId="613E61FB" w14:textId="5341D894" w:rsidR="00F91B5F" w:rsidRPr="00A278DD" w:rsidRDefault="00406752" w:rsidP="005E15C6">
      <w:pPr>
        <w:pStyle w:val="NumberedParas"/>
        <w:ind w:left="1134" w:firstLine="0"/>
        <w:rPr>
          <w:rStyle w:val="st"/>
          <w:b/>
        </w:rPr>
      </w:pPr>
      <w:r w:rsidRPr="00A278DD">
        <w:t>The communicant claims that public participation on the proposed GSP amendment was completely ignored.</w:t>
      </w:r>
      <w:r w:rsidRPr="00A278DD">
        <w:rPr>
          <w:rStyle w:val="FootnoteReference"/>
        </w:rPr>
        <w:footnoteReference w:id="75"/>
      </w:r>
      <w:r w:rsidRPr="00A278DD">
        <w:rPr>
          <w:rStyle w:val="st"/>
          <w:b/>
          <w:bCs/>
        </w:rPr>
        <w:t xml:space="preserve"> </w:t>
      </w:r>
      <w:r w:rsidR="00F91B5F" w:rsidRPr="00A278DD">
        <w:rPr>
          <w:rStyle w:val="st"/>
        </w:rPr>
        <w:t>The communicant submits that the minutes of public discussions were not attached to any documentation forwarded to the expert council, the Municipal Council of Plovdiv, or the Director of RIEW-Plovdiv.</w:t>
      </w:r>
      <w:r w:rsidR="00F91B5F" w:rsidRPr="00A278DD">
        <w:rPr>
          <w:rStyle w:val="FootnoteReference"/>
        </w:rPr>
        <w:footnoteReference w:id="76"/>
      </w:r>
      <w:r w:rsidR="00F91B5F" w:rsidRPr="00A278DD">
        <w:rPr>
          <w:rStyle w:val="st"/>
        </w:rPr>
        <w:t xml:space="preserve"> </w:t>
      </w:r>
    </w:p>
    <w:p w14:paraId="3141CD6D" w14:textId="623D1DD9" w:rsidR="00F91B5F" w:rsidRPr="00A278DD" w:rsidRDefault="00D6689C" w:rsidP="005E15C6">
      <w:pPr>
        <w:pStyle w:val="NumberedParas"/>
        <w:ind w:left="1134" w:firstLine="0"/>
        <w:rPr>
          <w:b/>
        </w:rPr>
      </w:pPr>
      <w:r w:rsidRPr="00A278DD">
        <w:rPr>
          <w:rStyle w:val="st"/>
        </w:rPr>
        <w:t>The</w:t>
      </w:r>
      <w:r w:rsidR="00F91B5F" w:rsidRPr="00A278DD">
        <w:rPr>
          <w:rStyle w:val="st"/>
        </w:rPr>
        <w:t xml:space="preserve"> communicant submits</w:t>
      </w:r>
      <w:r w:rsidRPr="00A278DD">
        <w:rPr>
          <w:rStyle w:val="st"/>
        </w:rPr>
        <w:t xml:space="preserve"> that </w:t>
      </w:r>
      <w:r w:rsidR="00D56018" w:rsidRPr="00A278DD">
        <w:rPr>
          <w:rStyle w:val="st"/>
        </w:rPr>
        <w:t>the expert council and Municipal Council</w:t>
      </w:r>
      <w:r w:rsidRPr="00A278DD">
        <w:rPr>
          <w:rStyle w:val="st"/>
        </w:rPr>
        <w:t xml:space="preserve"> </w:t>
      </w:r>
      <w:r w:rsidR="00F91B5F" w:rsidRPr="00A278DD">
        <w:rPr>
          <w:rStyle w:val="st"/>
        </w:rPr>
        <w:t>only received a piece of paper entitled “Summary of protocols of public discussions”</w:t>
      </w:r>
      <w:r w:rsidR="00AD19D2" w:rsidRPr="00A278DD">
        <w:rPr>
          <w:rStyle w:val="st"/>
        </w:rPr>
        <w:t>, which</w:t>
      </w:r>
      <w:r w:rsidR="00F91B5F" w:rsidRPr="00A278DD">
        <w:rPr>
          <w:rStyle w:val="st"/>
        </w:rPr>
        <w:t xml:space="preserve"> was no more than half a page long and </w:t>
      </w:r>
      <w:r w:rsidR="00D56018" w:rsidRPr="00A278DD">
        <w:rPr>
          <w:rStyle w:val="st"/>
        </w:rPr>
        <w:t>summarised the</w:t>
      </w:r>
      <w:r w:rsidR="00F91B5F" w:rsidRPr="00A278DD">
        <w:rPr>
          <w:rStyle w:val="st"/>
        </w:rPr>
        <w:t xml:space="preserve"> objections and opinions raised by citizens, experts and organizations in </w:t>
      </w:r>
      <w:r w:rsidR="00B17E36" w:rsidRPr="00A278DD">
        <w:rPr>
          <w:rStyle w:val="st"/>
        </w:rPr>
        <w:t>a</w:t>
      </w:r>
      <w:r w:rsidR="00F91B5F" w:rsidRPr="00A278DD">
        <w:rPr>
          <w:rStyle w:val="st"/>
        </w:rPr>
        <w:t xml:space="preserve"> frivolous and tendentious way.</w:t>
      </w:r>
      <w:r w:rsidR="00F91B5F" w:rsidRPr="00A278DD">
        <w:rPr>
          <w:rStyle w:val="FootnoteReference"/>
        </w:rPr>
        <w:footnoteReference w:id="77"/>
      </w:r>
      <w:r w:rsidR="00F91B5F" w:rsidRPr="00A278DD">
        <w:t xml:space="preserve"> The communicant claims that</w:t>
      </w:r>
      <w:r w:rsidR="00AD19D2" w:rsidRPr="00A278DD">
        <w:t xml:space="preserve"> not even th</w:t>
      </w:r>
      <w:r w:rsidR="00A56D15" w:rsidRPr="00A278DD">
        <w:t>is summary</w:t>
      </w:r>
      <w:r w:rsidR="00AD19D2" w:rsidRPr="00A278DD">
        <w:t xml:space="preserve"> version of the opinions was taken into account</w:t>
      </w:r>
      <w:r w:rsidR="00F91B5F" w:rsidRPr="00A278DD">
        <w:t xml:space="preserve">, as evidenced by Protocol 24 of 30 May 2014 of the Expert Council of Spatial Planning and the reasons given for the </w:t>
      </w:r>
      <w:r w:rsidR="00661401" w:rsidRPr="00A278DD">
        <w:t>decision approving the GSP amendment</w:t>
      </w:r>
      <w:r w:rsidR="00F91B5F" w:rsidRPr="00A278DD">
        <w:t>.</w:t>
      </w:r>
      <w:r w:rsidR="00F91B5F" w:rsidRPr="00A278DD">
        <w:rPr>
          <w:rStyle w:val="FootnoteReference"/>
        </w:rPr>
        <w:footnoteReference w:id="78"/>
      </w:r>
    </w:p>
    <w:p w14:paraId="44729003" w14:textId="1A567F05" w:rsidR="00F91B5F" w:rsidRPr="00A278DD" w:rsidRDefault="00F91B5F" w:rsidP="005E15C6">
      <w:pPr>
        <w:pStyle w:val="NumberedParas"/>
        <w:ind w:left="1134" w:firstLine="0"/>
        <w:rPr>
          <w:b/>
        </w:rPr>
      </w:pPr>
      <w:r w:rsidRPr="00A278DD">
        <w:t>The communicant submits that not even th</w:t>
      </w:r>
      <w:r w:rsidR="00A56D15" w:rsidRPr="00A278DD">
        <w:t>is</w:t>
      </w:r>
      <w:r w:rsidRPr="00A278DD">
        <w:t xml:space="preserve"> summary was included in the documentation </w:t>
      </w:r>
      <w:r w:rsidR="00B17E36" w:rsidRPr="00A278DD">
        <w:t>for</w:t>
      </w:r>
      <w:r w:rsidRPr="00A278DD">
        <w:t xml:space="preserve"> the Director of the RIEW-Plovdiv and that the SEA </w:t>
      </w:r>
      <w:r w:rsidR="00661401" w:rsidRPr="00A278DD">
        <w:t>screening d</w:t>
      </w:r>
      <w:r w:rsidRPr="00A278DD">
        <w:t>ecision neither mentions nor comments on the public discussions.</w:t>
      </w:r>
      <w:r w:rsidR="007520BD" w:rsidRPr="00A278DD">
        <w:rPr>
          <w:rStyle w:val="FootnoteReference"/>
        </w:rPr>
        <w:t xml:space="preserve"> </w:t>
      </w:r>
      <w:r w:rsidR="007520BD" w:rsidRPr="00A278DD">
        <w:rPr>
          <w:rStyle w:val="FootnoteReference"/>
        </w:rPr>
        <w:footnoteReference w:id="79"/>
      </w:r>
    </w:p>
    <w:p w14:paraId="281AA475" w14:textId="69B0EADE" w:rsidR="00A65661" w:rsidRDefault="0039476F" w:rsidP="005E15C6">
      <w:pPr>
        <w:pStyle w:val="NumberedParas"/>
        <w:ind w:left="1134" w:firstLine="0"/>
        <w:rPr>
          <w:rStyle w:val="st"/>
        </w:rPr>
      </w:pPr>
      <w:r w:rsidRPr="00A278DD">
        <w:rPr>
          <w:rStyle w:val="st"/>
        </w:rPr>
        <w:t xml:space="preserve">The Party concerned </w:t>
      </w:r>
      <w:r w:rsidR="00E54B33" w:rsidRPr="00A278DD">
        <w:rPr>
          <w:rStyle w:val="st"/>
        </w:rPr>
        <w:t xml:space="preserve">states </w:t>
      </w:r>
      <w:r w:rsidRPr="00A278DD">
        <w:rPr>
          <w:rStyle w:val="st"/>
        </w:rPr>
        <w:t xml:space="preserve">that a summary of the minutes of the hearing </w:t>
      </w:r>
      <w:r w:rsidR="00E54B33" w:rsidRPr="00A278DD">
        <w:rPr>
          <w:rStyle w:val="st"/>
        </w:rPr>
        <w:t xml:space="preserve">was </w:t>
      </w:r>
      <w:r w:rsidRPr="00A278DD">
        <w:rPr>
          <w:rStyle w:val="st"/>
        </w:rPr>
        <w:t xml:space="preserve">attached to </w:t>
      </w:r>
      <w:r w:rsidR="00A60736" w:rsidRPr="00A278DD">
        <w:rPr>
          <w:rStyle w:val="st"/>
        </w:rPr>
        <w:t xml:space="preserve">the </w:t>
      </w:r>
      <w:r w:rsidR="00661401" w:rsidRPr="00A278DD">
        <w:t>decision approving the GSP amendment</w:t>
      </w:r>
      <w:r w:rsidR="008F74C4" w:rsidRPr="00A278DD">
        <w:rPr>
          <w:rStyle w:val="st"/>
        </w:rPr>
        <w:t>. It adds that the summary include</w:t>
      </w:r>
      <w:r w:rsidR="00A65661" w:rsidRPr="00A278DD">
        <w:rPr>
          <w:rStyle w:val="st"/>
        </w:rPr>
        <w:t>d</w:t>
      </w:r>
      <w:r w:rsidR="008F74C4" w:rsidRPr="00A278DD">
        <w:rPr>
          <w:rStyle w:val="st"/>
        </w:rPr>
        <w:t xml:space="preserve"> the opinions expressed at the hearing</w:t>
      </w:r>
      <w:r w:rsidR="00A60736" w:rsidRPr="00A278DD">
        <w:rPr>
          <w:rStyle w:val="st"/>
        </w:rPr>
        <w:t>,</w:t>
      </w:r>
      <w:r w:rsidR="008F74C4" w:rsidRPr="00A278DD">
        <w:rPr>
          <w:rStyle w:val="st"/>
        </w:rPr>
        <w:t xml:space="preserve"> </w:t>
      </w:r>
      <w:r w:rsidR="00406752" w:rsidRPr="00A278DD">
        <w:rPr>
          <w:rStyle w:val="st"/>
        </w:rPr>
        <w:t xml:space="preserve">both those </w:t>
      </w:r>
      <w:r w:rsidR="008F74C4" w:rsidRPr="00A278DD">
        <w:rPr>
          <w:rStyle w:val="st"/>
        </w:rPr>
        <w:t xml:space="preserve">in support of the </w:t>
      </w:r>
      <w:r w:rsidR="00A56D15" w:rsidRPr="00A278DD">
        <w:rPr>
          <w:rStyle w:val="st"/>
        </w:rPr>
        <w:t xml:space="preserve">proposed </w:t>
      </w:r>
      <w:r w:rsidR="00406752" w:rsidRPr="00A278DD">
        <w:rPr>
          <w:rStyle w:val="st"/>
        </w:rPr>
        <w:t xml:space="preserve">GSP </w:t>
      </w:r>
      <w:r w:rsidR="008F74C4" w:rsidRPr="00A278DD">
        <w:rPr>
          <w:rStyle w:val="st"/>
        </w:rPr>
        <w:t>amendment and those opposed to it.</w:t>
      </w:r>
      <w:r w:rsidR="008F74C4" w:rsidRPr="00A278DD">
        <w:rPr>
          <w:rStyle w:val="FootnoteReference"/>
        </w:rPr>
        <w:footnoteReference w:id="80"/>
      </w:r>
      <w:r w:rsidR="00E54B33" w:rsidRPr="00A278DD">
        <w:rPr>
          <w:rStyle w:val="st"/>
        </w:rPr>
        <w:t xml:space="preserve"> </w:t>
      </w:r>
    </w:p>
    <w:p w14:paraId="432F2309" w14:textId="77777777" w:rsidR="004D04EC" w:rsidRPr="00A278DD" w:rsidRDefault="004D04EC" w:rsidP="004D04EC">
      <w:pPr>
        <w:pStyle w:val="NumberedParas"/>
        <w:numPr>
          <w:ilvl w:val="0"/>
          <w:numId w:val="0"/>
        </w:numPr>
        <w:ind w:left="1134"/>
        <w:rPr>
          <w:rStyle w:val="st"/>
        </w:rPr>
      </w:pPr>
    </w:p>
    <w:p w14:paraId="2123E3C3" w14:textId="70242913" w:rsidR="008E2519" w:rsidRPr="00A278DD" w:rsidRDefault="009E0AE4" w:rsidP="005E15C6">
      <w:pPr>
        <w:pStyle w:val="Heading3"/>
        <w:ind w:left="1134"/>
        <w:rPr>
          <w:rStyle w:val="st"/>
        </w:rPr>
      </w:pPr>
      <w:r w:rsidRPr="00A278DD">
        <w:rPr>
          <w:rStyle w:val="st"/>
        </w:rPr>
        <w:lastRenderedPageBreak/>
        <w:t>Article 9(2)</w:t>
      </w:r>
      <w:r w:rsidR="00442EDE" w:rsidRPr="00A278DD">
        <w:rPr>
          <w:rStyle w:val="st"/>
        </w:rPr>
        <w:t xml:space="preserve"> and (3)</w:t>
      </w:r>
    </w:p>
    <w:p w14:paraId="78E57FB6" w14:textId="2877A3D3" w:rsidR="00442EDE" w:rsidRPr="00A278DD" w:rsidRDefault="00083185" w:rsidP="005E15C6">
      <w:pPr>
        <w:pStyle w:val="Heading4"/>
        <w:ind w:left="1134"/>
        <w:rPr>
          <w:rStyle w:val="st"/>
        </w:rPr>
      </w:pPr>
      <w:r w:rsidRPr="00A278DD">
        <w:rPr>
          <w:rStyle w:val="st"/>
        </w:rPr>
        <w:t>D</w:t>
      </w:r>
      <w:r w:rsidR="00442EDE" w:rsidRPr="00A278DD">
        <w:rPr>
          <w:rStyle w:val="st"/>
        </w:rPr>
        <w:t>ecision V/9d and coercive administrative measures</w:t>
      </w:r>
    </w:p>
    <w:p w14:paraId="17615B16" w14:textId="5ACD0FE0" w:rsidR="005B2B61" w:rsidRPr="00A278DD" w:rsidRDefault="005B2B61" w:rsidP="005E15C6">
      <w:pPr>
        <w:pStyle w:val="NumberedParas"/>
        <w:ind w:left="1134" w:firstLine="0"/>
      </w:pPr>
      <w:r w:rsidRPr="00A278DD">
        <w:t>The communicant claims that</w:t>
      </w:r>
      <w:r w:rsidR="00083185" w:rsidRPr="00A278DD">
        <w:t xml:space="preserve"> the communication adds new </w:t>
      </w:r>
      <w:r w:rsidR="00D56018" w:rsidRPr="00A278DD">
        <w:t>facts</w:t>
      </w:r>
      <w:r w:rsidR="00083185" w:rsidRPr="00A278DD">
        <w:t xml:space="preserve"> concerning access to justice with respect to </w:t>
      </w:r>
      <w:r w:rsidR="00877EDE" w:rsidRPr="00A278DD">
        <w:t>GSPs</w:t>
      </w:r>
      <w:r w:rsidR="00083185" w:rsidRPr="00A278DD">
        <w:t xml:space="preserve"> </w:t>
      </w:r>
      <w:r w:rsidR="00D56018" w:rsidRPr="00A278DD">
        <w:t>which are additional to those</w:t>
      </w:r>
      <w:r w:rsidR="00083185" w:rsidRPr="00A278DD">
        <w:t xml:space="preserve"> </w:t>
      </w:r>
      <w:r w:rsidR="00E86002">
        <w:t>underlying</w:t>
      </w:r>
      <w:r w:rsidR="00D56018" w:rsidRPr="00A278DD">
        <w:t xml:space="preserve"> the </w:t>
      </w:r>
      <w:r w:rsidR="00083185" w:rsidRPr="00A278DD">
        <w:t xml:space="preserve">recommendations </w:t>
      </w:r>
      <w:r w:rsidR="00E86002">
        <w:t>in</w:t>
      </w:r>
      <w:r w:rsidR="00083185" w:rsidRPr="00A278DD">
        <w:t xml:space="preserve"> decision V/9d as well as demonstrating the </w:t>
      </w:r>
      <w:r w:rsidRPr="00A278DD">
        <w:t>inconsistency of the</w:t>
      </w:r>
      <w:r w:rsidR="00A65661" w:rsidRPr="00A278DD">
        <w:t xml:space="preserve"> Party’s</w:t>
      </w:r>
      <w:r w:rsidRPr="00A278DD">
        <w:t xml:space="preserve"> claims regarding CAMs in </w:t>
      </w:r>
      <w:r w:rsidR="00A65661" w:rsidRPr="00A278DD">
        <w:t xml:space="preserve">its </w:t>
      </w:r>
      <w:r w:rsidRPr="00A278DD">
        <w:t>first and second</w:t>
      </w:r>
      <w:r w:rsidR="00A65661" w:rsidRPr="00A278DD">
        <w:t xml:space="preserve"> progress</w:t>
      </w:r>
      <w:r w:rsidRPr="00A278DD">
        <w:t xml:space="preserve"> reports</w:t>
      </w:r>
      <w:r w:rsidR="00A65661" w:rsidRPr="00A278DD">
        <w:t xml:space="preserve"> </w:t>
      </w:r>
      <w:r w:rsidRPr="00A278DD">
        <w:t>on</w:t>
      </w:r>
      <w:r w:rsidR="00E86002">
        <w:t xml:space="preserve"> </w:t>
      </w:r>
      <w:r w:rsidRPr="00A278DD">
        <w:t>that decision.</w:t>
      </w:r>
      <w:r w:rsidRPr="00A278DD">
        <w:rPr>
          <w:rStyle w:val="FootnoteReference"/>
        </w:rPr>
        <w:footnoteReference w:id="81"/>
      </w:r>
    </w:p>
    <w:p w14:paraId="0CF0191C" w14:textId="78CFAF4F" w:rsidR="00083185" w:rsidRPr="00A278DD" w:rsidRDefault="00083185" w:rsidP="005E15C6">
      <w:pPr>
        <w:pStyle w:val="NumberedParas"/>
        <w:ind w:left="1134" w:firstLine="0"/>
        <w:rPr>
          <w:b/>
          <w:bCs/>
        </w:rPr>
      </w:pPr>
      <w:r w:rsidRPr="00A278DD">
        <w:t>The Party concerned disputes that the communication presents new facts, claiming that the inability to challenge GSPs was directly addressed in paragraphs 1(a) and 2(a) of decision V/9d.</w:t>
      </w:r>
      <w:r w:rsidRPr="00A278DD">
        <w:rPr>
          <w:rStyle w:val="FootnoteReference"/>
        </w:rPr>
        <w:footnoteReference w:id="82"/>
      </w:r>
      <w:r w:rsidRPr="00A278DD">
        <w:t xml:space="preserve"> It states that the “principle of </w:t>
      </w:r>
      <w:proofErr w:type="spellStart"/>
      <w:r w:rsidR="00D56018" w:rsidRPr="00A278DD">
        <w:t>u</w:t>
      </w:r>
      <w:r w:rsidRPr="00A278DD">
        <w:t>nappealability</w:t>
      </w:r>
      <w:proofErr w:type="spellEnd"/>
      <w:r w:rsidR="00D56018" w:rsidRPr="00A278DD">
        <w:t>”</w:t>
      </w:r>
      <w:r w:rsidRPr="00A278DD">
        <w:t xml:space="preserve"> of GSP</w:t>
      </w:r>
      <w:r w:rsidR="00D56018" w:rsidRPr="00A278DD">
        <w:t>s</w:t>
      </w:r>
      <w:r w:rsidRPr="00A278DD">
        <w:t xml:space="preserve"> is based on the</w:t>
      </w:r>
      <w:r w:rsidR="00D56018" w:rsidRPr="00A278DD">
        <w:t xml:space="preserve"> nature of the</w:t>
      </w:r>
      <w:r w:rsidRPr="00A278DD">
        <w:t xml:space="preserve"> plan itself, which has no direct application to construction permitting and therefore does not raise rights or obligations for the legal persons.</w:t>
      </w:r>
      <w:r w:rsidRPr="00A278DD">
        <w:rPr>
          <w:rStyle w:val="FootnoteReference"/>
        </w:rPr>
        <w:footnoteReference w:id="83"/>
      </w:r>
      <w:r w:rsidRPr="00A278DD">
        <w:t xml:space="preserve">  It claims that judicial control is </w:t>
      </w:r>
      <w:r w:rsidR="00D56018" w:rsidRPr="00A278DD">
        <w:t>instead provided over</w:t>
      </w:r>
      <w:r w:rsidRPr="00A278DD">
        <w:t xml:space="preserve"> the act that is crucial for the environment, namely the SEA </w:t>
      </w:r>
      <w:r w:rsidR="003F66D1">
        <w:t>d</w:t>
      </w:r>
      <w:r w:rsidRPr="00A278DD">
        <w:t>ecision.</w:t>
      </w:r>
      <w:r w:rsidRPr="00A278DD">
        <w:rPr>
          <w:rStyle w:val="FootnoteReference"/>
        </w:rPr>
        <w:footnoteReference w:id="84"/>
      </w:r>
      <w:r w:rsidRPr="00A278DD">
        <w:t xml:space="preserve"> </w:t>
      </w:r>
    </w:p>
    <w:p w14:paraId="720010E6" w14:textId="56607247" w:rsidR="008E2519" w:rsidRPr="00A278DD" w:rsidRDefault="008E2519" w:rsidP="005E15C6">
      <w:pPr>
        <w:pStyle w:val="NumberedParas"/>
        <w:ind w:left="1134" w:firstLine="0"/>
        <w:rPr>
          <w:b/>
        </w:rPr>
      </w:pPr>
      <w:r w:rsidRPr="00A278DD">
        <w:rPr>
          <w:rStyle w:val="st"/>
        </w:rPr>
        <w:t xml:space="preserve">The communicant submits that the </w:t>
      </w:r>
      <w:r w:rsidR="00E86002">
        <w:rPr>
          <w:rStyle w:val="st"/>
        </w:rPr>
        <w:t>decision approving the Plovdiv GSP amendment</w:t>
      </w:r>
      <w:r w:rsidRPr="00A278DD">
        <w:rPr>
          <w:rStyle w:val="st"/>
        </w:rPr>
        <w:t xml:space="preserve"> was a material breach of administrative and procedural rules, yet</w:t>
      </w:r>
      <w:r w:rsidR="00557B39" w:rsidRPr="00A278DD">
        <w:rPr>
          <w:rStyle w:val="st"/>
        </w:rPr>
        <w:t xml:space="preserve"> its challenge </w:t>
      </w:r>
      <w:r w:rsidRPr="00A278DD">
        <w:rPr>
          <w:rStyle w:val="st"/>
        </w:rPr>
        <w:t xml:space="preserve">was </w:t>
      </w:r>
      <w:r w:rsidR="00877EDE" w:rsidRPr="00A278DD">
        <w:rPr>
          <w:rStyle w:val="st"/>
        </w:rPr>
        <w:t>found</w:t>
      </w:r>
      <w:r w:rsidRPr="00A278DD">
        <w:rPr>
          <w:rStyle w:val="st"/>
        </w:rPr>
        <w:t xml:space="preserve"> inadmissible</w:t>
      </w:r>
      <w:r w:rsidR="002F4A3C" w:rsidRPr="00A278DD">
        <w:rPr>
          <w:rStyle w:val="st"/>
        </w:rPr>
        <w:t xml:space="preserve"> (see paras. </w:t>
      </w:r>
      <w:r w:rsidR="002F4A3C" w:rsidRPr="00A278DD">
        <w:rPr>
          <w:rStyle w:val="st"/>
        </w:rPr>
        <w:fldChar w:fldCharType="begin"/>
      </w:r>
      <w:r w:rsidR="002F4A3C" w:rsidRPr="00A278DD">
        <w:rPr>
          <w:rStyle w:val="st"/>
        </w:rPr>
        <w:instrText xml:space="preserve"> REF _Ref18316811 \r \h </w:instrText>
      </w:r>
      <w:r w:rsidR="000732B5" w:rsidRPr="00A278DD">
        <w:rPr>
          <w:rStyle w:val="st"/>
        </w:rPr>
        <w:instrText xml:space="preserve"> \* MERGEFORMAT </w:instrText>
      </w:r>
      <w:r w:rsidR="002F4A3C" w:rsidRPr="00A278DD">
        <w:rPr>
          <w:rStyle w:val="st"/>
        </w:rPr>
      </w:r>
      <w:r w:rsidR="002F4A3C" w:rsidRPr="00A278DD">
        <w:rPr>
          <w:rStyle w:val="st"/>
        </w:rPr>
        <w:fldChar w:fldCharType="separate"/>
      </w:r>
      <w:r w:rsidR="00033122">
        <w:rPr>
          <w:rStyle w:val="st"/>
          <w:cs/>
        </w:rPr>
        <w:t>‎</w:t>
      </w:r>
      <w:r w:rsidR="00033122">
        <w:rPr>
          <w:rStyle w:val="st"/>
        </w:rPr>
        <w:t>55</w:t>
      </w:r>
      <w:r w:rsidR="002F4A3C" w:rsidRPr="00A278DD">
        <w:rPr>
          <w:rStyle w:val="st"/>
        </w:rPr>
        <w:fldChar w:fldCharType="end"/>
      </w:r>
      <w:r w:rsidR="002F4A3C" w:rsidRPr="00A278DD">
        <w:rPr>
          <w:rStyle w:val="st"/>
        </w:rPr>
        <w:t>-</w:t>
      </w:r>
      <w:r w:rsidR="002F4A3C" w:rsidRPr="00A278DD">
        <w:rPr>
          <w:rStyle w:val="st"/>
        </w:rPr>
        <w:fldChar w:fldCharType="begin"/>
      </w:r>
      <w:r w:rsidR="002F4A3C" w:rsidRPr="00A278DD">
        <w:rPr>
          <w:rStyle w:val="st"/>
        </w:rPr>
        <w:instrText xml:space="preserve"> REF _Ref18316826 \r \h </w:instrText>
      </w:r>
      <w:r w:rsidR="000732B5" w:rsidRPr="00A278DD">
        <w:rPr>
          <w:rStyle w:val="st"/>
        </w:rPr>
        <w:instrText xml:space="preserve"> \* MERGEFORMAT </w:instrText>
      </w:r>
      <w:r w:rsidR="002F4A3C" w:rsidRPr="00A278DD">
        <w:rPr>
          <w:rStyle w:val="st"/>
        </w:rPr>
      </w:r>
      <w:r w:rsidR="002F4A3C" w:rsidRPr="00A278DD">
        <w:rPr>
          <w:rStyle w:val="st"/>
        </w:rPr>
        <w:fldChar w:fldCharType="separate"/>
      </w:r>
      <w:r w:rsidR="00033122">
        <w:rPr>
          <w:rStyle w:val="st"/>
          <w:cs/>
        </w:rPr>
        <w:t>‎</w:t>
      </w:r>
      <w:r w:rsidR="00033122">
        <w:rPr>
          <w:rStyle w:val="st"/>
        </w:rPr>
        <w:t>58</w:t>
      </w:r>
      <w:r w:rsidR="002F4A3C" w:rsidRPr="00A278DD">
        <w:rPr>
          <w:rStyle w:val="st"/>
        </w:rPr>
        <w:fldChar w:fldCharType="end"/>
      </w:r>
      <w:r w:rsidR="002F4A3C" w:rsidRPr="00A278DD">
        <w:rPr>
          <w:rStyle w:val="st"/>
        </w:rPr>
        <w:t xml:space="preserve"> above)</w:t>
      </w:r>
      <w:r w:rsidR="00877EDE" w:rsidRPr="00A278DD">
        <w:rPr>
          <w:rStyle w:val="st"/>
        </w:rPr>
        <w:t>. It submits that</w:t>
      </w:r>
      <w:r w:rsidRPr="00A278DD">
        <w:rPr>
          <w:rStyle w:val="st"/>
        </w:rPr>
        <w:t xml:space="preserve"> national law provides no other line of defence against the “full ignoring” of public participation, in violation of article 9(2) of the Convention.</w:t>
      </w:r>
      <w:r w:rsidRPr="00A278DD">
        <w:rPr>
          <w:rStyle w:val="FootnoteReference"/>
        </w:rPr>
        <w:footnoteReference w:id="85"/>
      </w:r>
    </w:p>
    <w:p w14:paraId="07953D92" w14:textId="05668946" w:rsidR="005E37FC" w:rsidRPr="00A278DD" w:rsidRDefault="005E37FC" w:rsidP="005E15C6">
      <w:pPr>
        <w:pStyle w:val="NumberedParas"/>
        <w:ind w:left="1134" w:firstLine="0"/>
        <w:rPr>
          <w:b/>
        </w:rPr>
      </w:pPr>
      <w:r w:rsidRPr="00A278DD">
        <w:t>The communicant submits that it chose not to make</w:t>
      </w:r>
      <w:r w:rsidR="00557B39" w:rsidRPr="00A278DD">
        <w:t xml:space="preserve"> a referral</w:t>
      </w:r>
      <w:r w:rsidRPr="00A278DD">
        <w:t xml:space="preserve"> </w:t>
      </w:r>
      <w:r w:rsidR="00557B39" w:rsidRPr="00A278DD">
        <w:t xml:space="preserve">to the </w:t>
      </w:r>
      <w:r w:rsidR="00877EDE" w:rsidRPr="00A278DD">
        <w:t>C</w:t>
      </w:r>
      <w:r w:rsidR="00557B39" w:rsidRPr="00A278DD">
        <w:t xml:space="preserve">ounty </w:t>
      </w:r>
      <w:r w:rsidR="00877EDE" w:rsidRPr="00A278DD">
        <w:t>G</w:t>
      </w:r>
      <w:r w:rsidR="00557B39" w:rsidRPr="00A278DD">
        <w:t xml:space="preserve">overnor to reverse the </w:t>
      </w:r>
      <w:r w:rsidR="00E86002">
        <w:rPr>
          <w:rStyle w:val="st"/>
        </w:rPr>
        <w:t>decision approving the GSP amendment</w:t>
      </w:r>
      <w:r w:rsidR="00E86002" w:rsidRPr="00A278DD">
        <w:rPr>
          <w:rStyle w:val="st"/>
        </w:rPr>
        <w:t xml:space="preserve"> </w:t>
      </w:r>
      <w:r w:rsidR="00557B39" w:rsidRPr="00A278DD">
        <w:t>or challenge it in court</w:t>
      </w:r>
      <w:r w:rsidR="00557B39" w:rsidRPr="00A278DD" w:rsidDel="00557B39">
        <w:t xml:space="preserve"> </w:t>
      </w:r>
      <w:r w:rsidRPr="00A278DD">
        <w:t>because there is no legally regulated procedure for such a referral</w:t>
      </w:r>
      <w:r w:rsidR="00557B39" w:rsidRPr="00A278DD">
        <w:t xml:space="preserve"> (see para. </w:t>
      </w:r>
      <w:r w:rsidR="00557B39" w:rsidRPr="00A278DD">
        <w:fldChar w:fldCharType="begin"/>
      </w:r>
      <w:r w:rsidR="00557B39" w:rsidRPr="00A278DD">
        <w:instrText xml:space="preserve"> REF _Ref73545200 \r \h </w:instrText>
      </w:r>
      <w:r w:rsidR="000732B5" w:rsidRPr="00A278DD">
        <w:instrText xml:space="preserve"> \* MERGEFORMAT </w:instrText>
      </w:r>
      <w:r w:rsidR="00557B39" w:rsidRPr="00A278DD">
        <w:fldChar w:fldCharType="separate"/>
      </w:r>
      <w:r w:rsidR="00033122">
        <w:rPr>
          <w:cs/>
        </w:rPr>
        <w:t>‎</w:t>
      </w:r>
      <w:r w:rsidR="00033122">
        <w:t>18</w:t>
      </w:r>
      <w:r w:rsidR="00557B39" w:rsidRPr="00A278DD">
        <w:fldChar w:fldCharType="end"/>
      </w:r>
      <w:r w:rsidR="00557B39" w:rsidRPr="00A278DD">
        <w:t xml:space="preserve"> above).</w:t>
      </w:r>
      <w:r w:rsidRPr="00A278DD">
        <w:rPr>
          <w:rStyle w:val="FootnoteReference"/>
        </w:rPr>
        <w:footnoteReference w:id="86"/>
      </w:r>
      <w:r w:rsidRPr="00A278DD">
        <w:t xml:space="preserve"> The communicant claims that whilst the </w:t>
      </w:r>
      <w:r w:rsidR="00E86002">
        <w:rPr>
          <w:rStyle w:val="st"/>
        </w:rPr>
        <w:t>decision approving the GSP amendment</w:t>
      </w:r>
      <w:r w:rsidR="00E86002" w:rsidRPr="00A278DD">
        <w:rPr>
          <w:rStyle w:val="st"/>
        </w:rPr>
        <w:t xml:space="preserve"> </w:t>
      </w:r>
      <w:r w:rsidR="00877EDE" w:rsidRPr="00A278DD">
        <w:t xml:space="preserve">was reviewed by the Governor, </w:t>
      </w:r>
      <w:r w:rsidR="00E86002">
        <w:t>the Governor</w:t>
      </w:r>
      <w:r w:rsidRPr="00A278DD">
        <w:t xml:space="preserve"> neither reversed the decision nor challenged it in the 14-day time period.</w:t>
      </w:r>
      <w:r w:rsidRPr="00A278DD">
        <w:rPr>
          <w:rStyle w:val="FootnoteReference"/>
        </w:rPr>
        <w:t xml:space="preserve"> </w:t>
      </w:r>
      <w:r w:rsidRPr="00A278DD">
        <w:rPr>
          <w:rStyle w:val="FootnoteReference"/>
        </w:rPr>
        <w:footnoteReference w:id="87"/>
      </w:r>
    </w:p>
    <w:p w14:paraId="0367C0D1" w14:textId="43FAB2EF" w:rsidR="008E2519" w:rsidRPr="00A278DD" w:rsidRDefault="008E2519" w:rsidP="005E15C6">
      <w:pPr>
        <w:pStyle w:val="NumberedParas"/>
        <w:ind w:left="1134" w:firstLine="0"/>
        <w:rPr>
          <w:b/>
        </w:rPr>
      </w:pPr>
      <w:r w:rsidRPr="00A278DD">
        <w:t>The communicant claims that</w:t>
      </w:r>
      <w:r w:rsidR="00557B39" w:rsidRPr="00A278DD">
        <w:t xml:space="preserve">, </w:t>
      </w:r>
      <w:r w:rsidRPr="00A278DD">
        <w:t xml:space="preserve">having exhausted all other legal remedies, </w:t>
      </w:r>
      <w:r w:rsidR="00557B39" w:rsidRPr="00A278DD">
        <w:t>it</w:t>
      </w:r>
      <w:r w:rsidRPr="00A278DD">
        <w:t xml:space="preserve"> approached the </w:t>
      </w:r>
      <w:r w:rsidR="00704575" w:rsidRPr="00A278DD">
        <w:t>MOEW</w:t>
      </w:r>
      <w:r w:rsidRPr="00A278DD">
        <w:t xml:space="preserve"> with a request </w:t>
      </w:r>
      <w:r w:rsidR="00557B39" w:rsidRPr="00A278DD">
        <w:t>to impose a</w:t>
      </w:r>
      <w:r w:rsidRPr="00A278DD">
        <w:t xml:space="preserve"> CAM</w:t>
      </w:r>
      <w:r w:rsidR="008F7D7F" w:rsidRPr="00A278DD">
        <w:t>.</w:t>
      </w:r>
      <w:r w:rsidR="00267A7F" w:rsidRPr="00A278DD">
        <w:rPr>
          <w:rStyle w:val="FootnoteReference"/>
        </w:rPr>
        <w:footnoteReference w:id="88"/>
      </w:r>
      <w:r w:rsidR="008F7D7F" w:rsidRPr="00A278DD">
        <w:t xml:space="preserve"> The communicant alleges that the Minister chose to forward the request to the Director of RIEW-Plovdiv, who did not have the power to order the CAM and </w:t>
      </w:r>
      <w:r w:rsidR="00A60736" w:rsidRPr="00A278DD">
        <w:t xml:space="preserve">was </w:t>
      </w:r>
      <w:r w:rsidR="008F7D7F" w:rsidRPr="00A278DD">
        <w:t xml:space="preserve">a party to </w:t>
      </w:r>
      <w:r w:rsidR="00E86002">
        <w:t>the communicant’s</w:t>
      </w:r>
      <w:r w:rsidR="008F7D7F" w:rsidRPr="00A278DD">
        <w:t xml:space="preserve"> pending lawsuit challenging the SEA </w:t>
      </w:r>
      <w:r w:rsidR="00E86002">
        <w:t>screening decision</w:t>
      </w:r>
      <w:r w:rsidR="008F7D7F" w:rsidRPr="00A278DD">
        <w:t>.</w:t>
      </w:r>
      <w:r w:rsidR="00267A7F" w:rsidRPr="00A278DD">
        <w:rPr>
          <w:rStyle w:val="FootnoteReference"/>
        </w:rPr>
        <w:footnoteReference w:id="89"/>
      </w:r>
    </w:p>
    <w:p w14:paraId="3E5CBCEF" w14:textId="476EACDE" w:rsidR="00042CF8" w:rsidRPr="00A278DD" w:rsidRDefault="008F7D7F" w:rsidP="005E15C6">
      <w:pPr>
        <w:pStyle w:val="NumberedParas"/>
        <w:ind w:left="1134" w:firstLine="0"/>
        <w:rPr>
          <w:b/>
        </w:rPr>
      </w:pPr>
      <w:r w:rsidRPr="00A278DD">
        <w:t>The communicant submits that</w:t>
      </w:r>
      <w:r w:rsidR="00B57170" w:rsidRPr="00A278DD">
        <w:t xml:space="preserve"> </w:t>
      </w:r>
      <w:r w:rsidRPr="00A278DD">
        <w:t>the Director of RIEW-Plovdiv</w:t>
      </w:r>
      <w:r w:rsidR="00A60736" w:rsidRPr="00A278DD">
        <w:t xml:space="preserve"> </w:t>
      </w:r>
      <w:r w:rsidR="00877EDE" w:rsidRPr="00A278DD">
        <w:t>was correct to say that</w:t>
      </w:r>
      <w:r w:rsidRPr="00A278DD">
        <w:t xml:space="preserve"> </w:t>
      </w:r>
      <w:r w:rsidR="00284239" w:rsidRPr="00A278DD">
        <w:t>the</w:t>
      </w:r>
      <w:r w:rsidRPr="00A278DD">
        <w:t xml:space="preserve"> Minister</w:t>
      </w:r>
      <w:r w:rsidR="00284239" w:rsidRPr="00A278DD">
        <w:t xml:space="preserve"> is not required</w:t>
      </w:r>
      <w:r w:rsidRPr="00A278DD">
        <w:t xml:space="preserve"> to consider requests from third parties</w:t>
      </w:r>
      <w:r w:rsidR="00284239" w:rsidRPr="00A278DD">
        <w:t xml:space="preserve"> </w:t>
      </w:r>
      <w:r w:rsidRPr="00A278DD">
        <w:t>to impose a CAM of the type requested</w:t>
      </w:r>
      <w:r w:rsidR="00F721AA" w:rsidRPr="00A278DD">
        <w:t>.</w:t>
      </w:r>
      <w:r w:rsidR="00042CF8" w:rsidRPr="00A278DD">
        <w:rPr>
          <w:rStyle w:val="FootnoteReference"/>
        </w:rPr>
        <w:footnoteReference w:id="90"/>
      </w:r>
    </w:p>
    <w:p w14:paraId="06C900B5" w14:textId="0C6DEAEE" w:rsidR="007A284D" w:rsidRPr="00A278DD" w:rsidRDefault="00F721AA" w:rsidP="005E15C6">
      <w:pPr>
        <w:pStyle w:val="NumberedParas"/>
        <w:ind w:left="1134" w:firstLine="0"/>
        <w:rPr>
          <w:b/>
        </w:rPr>
      </w:pPr>
      <w:r w:rsidRPr="00A278DD">
        <w:t xml:space="preserve"> The communicant claims that no judicial remedy </w:t>
      </w:r>
      <w:r w:rsidR="00A60736" w:rsidRPr="00A278DD">
        <w:t>was available</w:t>
      </w:r>
      <w:r w:rsidRPr="00A278DD">
        <w:t xml:space="preserve"> against a refusal to consider a</w:t>
      </w:r>
      <w:r w:rsidR="00AE3E11" w:rsidRPr="00A278DD">
        <w:t xml:space="preserve">n alert </w:t>
      </w:r>
      <w:r w:rsidR="00284239" w:rsidRPr="00A278DD">
        <w:t>or to</w:t>
      </w:r>
      <w:r w:rsidRPr="00A278DD">
        <w:t xml:space="preserve"> impose a CAM. The communicant submits that this disproves the claim of the </w:t>
      </w:r>
      <w:r w:rsidR="00AE3E11" w:rsidRPr="00A278DD">
        <w:t xml:space="preserve">Party concerned </w:t>
      </w:r>
      <w:r w:rsidR="00D27838" w:rsidRPr="00A278DD">
        <w:t>that a CAM can be a way</w:t>
      </w:r>
      <w:r w:rsidR="00284239" w:rsidRPr="00A278DD">
        <w:t xml:space="preserve"> for the public concerned</w:t>
      </w:r>
      <w:r w:rsidR="00D27838" w:rsidRPr="00A278DD">
        <w:t xml:space="preserve"> to challenge the unlawful issuance of an act under the S</w:t>
      </w:r>
      <w:r w:rsidR="00D5153F" w:rsidRPr="00A278DD">
        <w:t>D</w:t>
      </w:r>
      <w:r w:rsidR="00D27838" w:rsidRPr="00A278DD">
        <w:t>A (see para.</w:t>
      </w:r>
      <w:r w:rsidR="002F4A3C" w:rsidRPr="00A278DD">
        <w:t xml:space="preserve"> </w:t>
      </w:r>
      <w:r w:rsidR="002F4A3C" w:rsidRPr="00A278DD">
        <w:fldChar w:fldCharType="begin"/>
      </w:r>
      <w:r w:rsidR="002F4A3C" w:rsidRPr="00A278DD">
        <w:instrText xml:space="preserve"> REF _Ref18316497 \r \h </w:instrText>
      </w:r>
      <w:r w:rsidR="00C26424" w:rsidRPr="00A278DD">
        <w:instrText xml:space="preserve"> \* MERGEFORMAT </w:instrText>
      </w:r>
      <w:r w:rsidR="002F4A3C" w:rsidRPr="00A278DD">
        <w:fldChar w:fldCharType="separate"/>
      </w:r>
      <w:r w:rsidR="00033122">
        <w:rPr>
          <w:cs/>
        </w:rPr>
        <w:t>‎</w:t>
      </w:r>
      <w:r w:rsidR="00033122">
        <w:t>40</w:t>
      </w:r>
      <w:r w:rsidR="002F4A3C" w:rsidRPr="00A278DD">
        <w:fldChar w:fldCharType="end"/>
      </w:r>
      <w:r w:rsidR="002F4A3C" w:rsidRPr="00A278DD">
        <w:t xml:space="preserve"> </w:t>
      </w:r>
      <w:r w:rsidR="00D27838" w:rsidRPr="00A278DD">
        <w:t>above).</w:t>
      </w:r>
      <w:r w:rsidR="00D27838" w:rsidRPr="00A278DD">
        <w:rPr>
          <w:rStyle w:val="FootnoteReference"/>
        </w:rPr>
        <w:footnoteReference w:id="91"/>
      </w:r>
      <w:r w:rsidR="002F4A3C" w:rsidRPr="00A278DD">
        <w:t xml:space="preserve"> </w:t>
      </w:r>
    </w:p>
    <w:p w14:paraId="1B6B27B4" w14:textId="75BD8D0B" w:rsidR="00D01DCF" w:rsidRPr="00A278DD" w:rsidRDefault="00CA7687" w:rsidP="005E15C6">
      <w:pPr>
        <w:pStyle w:val="NumberedParas"/>
        <w:ind w:left="1134" w:firstLine="0"/>
      </w:pPr>
      <w:r w:rsidRPr="00A278DD">
        <w:t xml:space="preserve">The Party concerned claims </w:t>
      </w:r>
      <w:r w:rsidR="00AE3E11" w:rsidRPr="00A278DD">
        <w:t>that CAMs may be applied by public authorities following a proposal by the public. It states that the APC explicitly envisages the possibility for members of the public to report unlawful or inexpedient actions by public authorities via alerts</w:t>
      </w:r>
      <w:r w:rsidRPr="00A278DD">
        <w:t>.</w:t>
      </w:r>
      <w:r w:rsidRPr="00A278DD">
        <w:rPr>
          <w:rStyle w:val="FootnoteReference"/>
        </w:rPr>
        <w:footnoteReference w:id="92"/>
      </w:r>
    </w:p>
    <w:p w14:paraId="78DED817" w14:textId="6D097363" w:rsidR="00DD16BF" w:rsidRPr="00A278DD" w:rsidRDefault="00877EDE" w:rsidP="005E15C6">
      <w:pPr>
        <w:pStyle w:val="Heading4"/>
        <w:ind w:left="1134"/>
      </w:pPr>
      <w:r w:rsidRPr="00A278DD">
        <w:lastRenderedPageBreak/>
        <w:t>Communication</w:t>
      </w:r>
      <w:r w:rsidR="006743E0" w:rsidRPr="00A278DD">
        <w:t xml:space="preserve"> ACCC/C/2012/76</w:t>
      </w:r>
      <w:r w:rsidRPr="00A278DD">
        <w:t>,</w:t>
      </w:r>
      <w:r w:rsidR="006743E0" w:rsidRPr="00A278DD">
        <w:t xml:space="preserve"> p</w:t>
      </w:r>
      <w:r w:rsidR="00D01DCF" w:rsidRPr="00A278DD">
        <w:t>reliminary enforcement order</w:t>
      </w:r>
      <w:r w:rsidR="006743E0" w:rsidRPr="00A278DD">
        <w:t>s</w:t>
      </w:r>
      <w:r w:rsidR="00D01DCF" w:rsidRPr="00A278DD">
        <w:t xml:space="preserve"> and </w:t>
      </w:r>
      <w:r w:rsidR="006743E0" w:rsidRPr="00A278DD">
        <w:t xml:space="preserve">the </w:t>
      </w:r>
      <w:r w:rsidR="00D01DCF" w:rsidRPr="00A278DD">
        <w:t>ability to challenge the final act</w:t>
      </w:r>
      <w:r w:rsidR="004F7006" w:rsidRPr="00A278DD">
        <w:t xml:space="preserve"> </w:t>
      </w:r>
    </w:p>
    <w:p w14:paraId="1814D0EF" w14:textId="0D99ADE6" w:rsidR="00E56230" w:rsidRPr="00A278DD" w:rsidRDefault="00E56230" w:rsidP="005E15C6">
      <w:pPr>
        <w:pStyle w:val="NumberedParas"/>
        <w:ind w:left="1134" w:firstLine="0"/>
        <w:rPr>
          <w:b/>
        </w:rPr>
      </w:pPr>
      <w:r w:rsidRPr="00A278DD">
        <w:t xml:space="preserve">The communicant </w:t>
      </w:r>
      <w:r w:rsidR="0040507E" w:rsidRPr="00A278DD">
        <w:t xml:space="preserve">submits that </w:t>
      </w:r>
      <w:r w:rsidR="003A0A64" w:rsidRPr="00A278DD">
        <w:t>the only way to challenge</w:t>
      </w:r>
      <w:r w:rsidR="00F130CB" w:rsidRPr="00A278DD">
        <w:t xml:space="preserve"> the failure to comply with article 7</w:t>
      </w:r>
      <w:r w:rsidR="00284239" w:rsidRPr="00A278DD">
        <w:t xml:space="preserve"> </w:t>
      </w:r>
      <w:r w:rsidR="00E86002">
        <w:t>would have been</w:t>
      </w:r>
      <w:r w:rsidR="00284239" w:rsidRPr="00A278DD">
        <w:t xml:space="preserve"> </w:t>
      </w:r>
      <w:r w:rsidR="00B16C3D" w:rsidRPr="00A278DD">
        <w:t xml:space="preserve">by </w:t>
      </w:r>
      <w:r w:rsidR="00F130CB" w:rsidRPr="00A278DD">
        <w:t xml:space="preserve">challenging the final act, </w:t>
      </w:r>
      <w:r w:rsidR="00E86002">
        <w:t xml:space="preserve">i.e. </w:t>
      </w:r>
      <w:r w:rsidR="00F130CB" w:rsidRPr="00A278DD">
        <w:t xml:space="preserve">the </w:t>
      </w:r>
      <w:r w:rsidR="00E86002">
        <w:rPr>
          <w:rStyle w:val="st"/>
        </w:rPr>
        <w:t>decision approving the GSP amendment</w:t>
      </w:r>
      <w:r w:rsidR="00F130CB" w:rsidRPr="00A278DD">
        <w:t>.</w:t>
      </w:r>
      <w:r w:rsidR="00F130CB" w:rsidRPr="00A278DD">
        <w:rPr>
          <w:rStyle w:val="FootnoteReference"/>
        </w:rPr>
        <w:footnoteReference w:id="93"/>
      </w:r>
    </w:p>
    <w:p w14:paraId="71A02DEC" w14:textId="279C6BFE" w:rsidR="00346D37" w:rsidRPr="00A278DD" w:rsidRDefault="00F43171" w:rsidP="005E15C6">
      <w:pPr>
        <w:pStyle w:val="NumberedParas"/>
        <w:ind w:left="1134" w:firstLine="0"/>
        <w:rPr>
          <w:b/>
        </w:rPr>
      </w:pPr>
      <w:r w:rsidRPr="00A278DD">
        <w:t xml:space="preserve">The communicant further points out that an SEA </w:t>
      </w:r>
      <w:r w:rsidR="003F66D1">
        <w:t>d</w:t>
      </w:r>
      <w:r w:rsidRPr="00A278DD">
        <w:t xml:space="preserve">ecision is a prerequisite for the approval of </w:t>
      </w:r>
      <w:r w:rsidR="00C54B00" w:rsidRPr="00A278DD">
        <w:t>a GSP</w:t>
      </w:r>
      <w:r w:rsidRPr="00A278DD">
        <w:t xml:space="preserve"> </w:t>
      </w:r>
      <w:r w:rsidR="00C54B00" w:rsidRPr="00A278DD">
        <w:t xml:space="preserve">(see para. </w:t>
      </w:r>
      <w:r w:rsidR="00250687" w:rsidRPr="00A278DD">
        <w:fldChar w:fldCharType="begin"/>
      </w:r>
      <w:r w:rsidR="00250687" w:rsidRPr="00A278DD">
        <w:instrText xml:space="preserve"> REF _Ref74300510 \r \h </w:instrText>
      </w:r>
      <w:r w:rsidR="00A278DD">
        <w:instrText xml:space="preserve"> \* MERGEFORMAT </w:instrText>
      </w:r>
      <w:r w:rsidR="00250687" w:rsidRPr="00A278DD">
        <w:fldChar w:fldCharType="separate"/>
      </w:r>
      <w:r w:rsidR="00033122">
        <w:rPr>
          <w:cs/>
        </w:rPr>
        <w:t>‎</w:t>
      </w:r>
      <w:r w:rsidR="00033122">
        <w:t>15</w:t>
      </w:r>
      <w:r w:rsidR="00250687" w:rsidRPr="00A278DD">
        <w:fldChar w:fldCharType="end"/>
      </w:r>
      <w:r w:rsidR="00C54B00" w:rsidRPr="00A278DD">
        <w:t xml:space="preserve"> above)</w:t>
      </w:r>
      <w:r w:rsidRPr="00A278DD">
        <w:rPr>
          <w:rStyle w:val="FootnoteReference"/>
        </w:rPr>
        <w:footnoteReference w:id="94"/>
      </w:r>
      <w:r w:rsidRPr="00A278DD">
        <w:t xml:space="preserve"> </w:t>
      </w:r>
      <w:r w:rsidR="00284239" w:rsidRPr="00A278DD">
        <w:t xml:space="preserve">and </w:t>
      </w:r>
      <w:r w:rsidRPr="00A278DD">
        <w:t xml:space="preserve">that </w:t>
      </w:r>
      <w:r w:rsidR="00A535CE" w:rsidRPr="00A278DD">
        <w:t>the Party concerned</w:t>
      </w:r>
      <w:r w:rsidRPr="00A278DD">
        <w:t xml:space="preserve"> has consistently cited </w:t>
      </w:r>
      <w:r w:rsidR="00A535CE" w:rsidRPr="00A278DD">
        <w:t>that</w:t>
      </w:r>
      <w:r w:rsidR="00074BB3" w:rsidRPr="00A278DD">
        <w:t xml:space="preserve"> such decisions</w:t>
      </w:r>
      <w:r w:rsidR="00A535CE" w:rsidRPr="00A278DD">
        <w:t xml:space="preserve"> </w:t>
      </w:r>
      <w:r w:rsidR="00074BB3" w:rsidRPr="00A278DD">
        <w:t>are</w:t>
      </w:r>
      <w:r w:rsidR="00A535CE" w:rsidRPr="00A278DD">
        <w:t xml:space="preserve"> an “absolutely imperative condition for approval of spatial plans</w:t>
      </w:r>
      <w:r w:rsidR="00074BB3" w:rsidRPr="00A278DD">
        <w:t>” in its progress reports on decision V/9d.</w:t>
      </w:r>
      <w:r w:rsidR="00074BB3" w:rsidRPr="00A278DD">
        <w:rPr>
          <w:rStyle w:val="FootnoteReference"/>
        </w:rPr>
        <w:footnoteReference w:id="95"/>
      </w:r>
    </w:p>
    <w:p w14:paraId="290EB36B" w14:textId="71400257" w:rsidR="00346D37" w:rsidRPr="00A278DD" w:rsidRDefault="00346D37" w:rsidP="005E15C6">
      <w:pPr>
        <w:pStyle w:val="NumberedParas"/>
        <w:ind w:left="1134" w:firstLine="0"/>
        <w:rPr>
          <w:b/>
        </w:rPr>
      </w:pPr>
      <w:bookmarkStart w:id="29" w:name="_Ref18336433"/>
      <w:r w:rsidRPr="00A278DD">
        <w:t xml:space="preserve">The communicant claims that the findings </w:t>
      </w:r>
      <w:r w:rsidR="00C650D5" w:rsidRPr="00A278DD">
        <w:t>on</w:t>
      </w:r>
      <w:r w:rsidRPr="00A278DD">
        <w:t xml:space="preserve"> communication ACCC/C/2012/76 (Bulgaria) concern only orders for preliminary enforcement issued by administrative authorities, whereas its communication concerns orders for preliminary enforcement</w:t>
      </w:r>
      <w:r w:rsidR="003A0A64" w:rsidRPr="00A278DD">
        <w:t xml:space="preserve"> issued by courts</w:t>
      </w:r>
      <w:r w:rsidRPr="00A278DD">
        <w:t>.</w:t>
      </w:r>
      <w:r w:rsidRPr="00A278DD">
        <w:rPr>
          <w:rStyle w:val="FootnoteReference"/>
        </w:rPr>
        <w:footnoteReference w:id="96"/>
      </w:r>
      <w:bookmarkEnd w:id="29"/>
    </w:p>
    <w:p w14:paraId="3405CCF0" w14:textId="7B7F16A6" w:rsidR="00346D37" w:rsidRPr="00A278DD" w:rsidRDefault="007311D2" w:rsidP="005E15C6">
      <w:pPr>
        <w:pStyle w:val="NumberedParas"/>
        <w:ind w:left="1134" w:firstLine="0"/>
        <w:rPr>
          <w:b/>
        </w:rPr>
      </w:pPr>
      <w:r w:rsidRPr="00A278DD">
        <w:t>The</w:t>
      </w:r>
      <w:r w:rsidR="00F74BC3" w:rsidRPr="00A278DD">
        <w:t xml:space="preserve"> communicant </w:t>
      </w:r>
      <w:r w:rsidRPr="00A278DD">
        <w:t xml:space="preserve">further </w:t>
      </w:r>
      <w:r w:rsidR="003F66D1">
        <w:t>submits that orders for preliminary enforcement of</w:t>
      </w:r>
      <w:r w:rsidR="007F3733" w:rsidRPr="00A278DD">
        <w:t xml:space="preserve"> an SEA </w:t>
      </w:r>
      <w:r w:rsidR="003F66D1">
        <w:t>d</w:t>
      </w:r>
      <w:r w:rsidR="007F3733" w:rsidRPr="00A278DD">
        <w:t xml:space="preserve">ecision </w:t>
      </w:r>
      <w:r w:rsidR="003F66D1">
        <w:t>should not be allowed to be as a basis for the approval of GSPs</w:t>
      </w:r>
      <w:r w:rsidR="007F3733" w:rsidRPr="00A278DD">
        <w:t>.</w:t>
      </w:r>
      <w:r w:rsidR="002E1CD6" w:rsidRPr="00A278DD">
        <w:rPr>
          <w:rStyle w:val="FootnoteReference"/>
        </w:rPr>
        <w:footnoteReference w:id="97"/>
      </w:r>
      <w:r w:rsidR="00F74BC3" w:rsidRPr="00A278DD">
        <w:t xml:space="preserve"> </w:t>
      </w:r>
      <w:r w:rsidR="007F3733" w:rsidRPr="00A278DD">
        <w:t>The communicants claim that an “allowed preliminary execution</w:t>
      </w:r>
      <w:r w:rsidR="003F66D1">
        <w:t xml:space="preserve"> of an SEA decision</w:t>
      </w:r>
      <w:r w:rsidR="007F3733" w:rsidRPr="00A278DD">
        <w:t xml:space="preserve">” is not the same as an “effective </w:t>
      </w:r>
      <w:r w:rsidR="003F66D1">
        <w:t xml:space="preserve">SEA </w:t>
      </w:r>
      <w:r w:rsidR="007F3733" w:rsidRPr="00A278DD">
        <w:t xml:space="preserve">decision” and that the former cannot be considered to fulfil the legal requirement to have an effective </w:t>
      </w:r>
      <w:r w:rsidR="003F66D1">
        <w:t>decision</w:t>
      </w:r>
      <w:r w:rsidR="007F3733" w:rsidRPr="00A278DD">
        <w:t xml:space="preserve"> on SEA</w:t>
      </w:r>
      <w:r w:rsidR="00C42321" w:rsidRPr="00A278DD">
        <w:t>.</w:t>
      </w:r>
      <w:r w:rsidR="005C6DDE" w:rsidRPr="00A278DD">
        <w:rPr>
          <w:rStyle w:val="FootnoteReference"/>
        </w:rPr>
        <w:footnoteReference w:id="98"/>
      </w:r>
      <w:r w:rsidR="005C6DDE" w:rsidRPr="00A278DD">
        <w:t xml:space="preserve"> </w:t>
      </w:r>
      <w:r w:rsidR="00646BAF" w:rsidRPr="00A278DD">
        <w:t>T</w:t>
      </w:r>
      <w:r w:rsidR="00EF621E" w:rsidRPr="00A278DD">
        <w:t xml:space="preserve">he communicant submits that </w:t>
      </w:r>
      <w:r w:rsidR="007F3733" w:rsidRPr="00A278DD">
        <w:t>preliminary enforcement orders can be reversed and are</w:t>
      </w:r>
      <w:r w:rsidR="00EF621E" w:rsidRPr="00A278DD">
        <w:t xml:space="preserve"> extraordinary temporary measure</w:t>
      </w:r>
      <w:r w:rsidR="007F3733" w:rsidRPr="00A278DD">
        <w:t>s which means they cannot form</w:t>
      </w:r>
      <w:r w:rsidR="00EF621E" w:rsidRPr="00A278DD">
        <w:t xml:space="preserve"> a final and incontestable basis for the </w:t>
      </w:r>
      <w:r w:rsidR="003F66D1">
        <w:t>decision approving the GSP</w:t>
      </w:r>
      <w:r w:rsidR="00C42321" w:rsidRPr="00A278DD">
        <w:t>.</w:t>
      </w:r>
      <w:r w:rsidR="00C42321" w:rsidRPr="00A278DD">
        <w:rPr>
          <w:rStyle w:val="FootnoteReference"/>
        </w:rPr>
        <w:footnoteReference w:id="99"/>
      </w:r>
      <w:r w:rsidR="008075E8" w:rsidRPr="00A278DD">
        <w:t xml:space="preserve"> </w:t>
      </w:r>
    </w:p>
    <w:p w14:paraId="5D93EE73" w14:textId="58EAD311" w:rsidR="00346D37" w:rsidRPr="00A278DD" w:rsidRDefault="00346D37" w:rsidP="005E15C6">
      <w:pPr>
        <w:pStyle w:val="NumberedParas"/>
        <w:ind w:left="1134" w:firstLine="0"/>
        <w:rPr>
          <w:b/>
        </w:rPr>
      </w:pPr>
      <w:r w:rsidRPr="00A278DD">
        <w:t>The communicant submits that under article 167(3) APC, if the preliminary execution is cancelled, the situation that existed before the execution is restored</w:t>
      </w:r>
      <w:r w:rsidR="00646BAF" w:rsidRPr="00A278DD">
        <w:t>, which</w:t>
      </w:r>
      <w:r w:rsidRPr="00A278DD">
        <w:t xml:space="preserve"> is to preserve/restore the GSP</w:t>
      </w:r>
      <w:r w:rsidR="007F3733" w:rsidRPr="00A278DD">
        <w:t xml:space="preserve"> as it was before the amendment</w:t>
      </w:r>
      <w:r w:rsidR="00646BAF" w:rsidRPr="00A278DD">
        <w:t>.</w:t>
      </w:r>
      <w:r w:rsidRPr="00A278DD">
        <w:t xml:space="preserve"> </w:t>
      </w:r>
      <w:r w:rsidR="007311D2" w:rsidRPr="00A278DD">
        <w:t>T</w:t>
      </w:r>
      <w:r w:rsidRPr="00A278DD">
        <w:t>he communicant claims that national law provides no legal remedy for the public concerned</w:t>
      </w:r>
      <w:r w:rsidR="002B2F7C" w:rsidRPr="00A278DD">
        <w:t xml:space="preserve"> since a</w:t>
      </w:r>
      <w:r w:rsidRPr="00A278DD">
        <w:t>nnulment of the effects of the GSP</w:t>
      </w:r>
      <w:r w:rsidR="00646BAF" w:rsidRPr="00A278DD">
        <w:t xml:space="preserve"> amendment</w:t>
      </w:r>
      <w:r w:rsidRPr="00A278DD">
        <w:t xml:space="preserve"> may be requested only in proceedings challenging the </w:t>
      </w:r>
      <w:r w:rsidR="003F66D1">
        <w:t>decision approving the GSP amendment</w:t>
      </w:r>
      <w:r w:rsidRPr="00A278DD">
        <w:t>.</w:t>
      </w:r>
      <w:r w:rsidRPr="00A278DD">
        <w:rPr>
          <w:rStyle w:val="FootnoteReference"/>
        </w:rPr>
        <w:footnoteReference w:id="100"/>
      </w:r>
      <w:r w:rsidRPr="00A278DD">
        <w:t xml:space="preserve"> </w:t>
      </w:r>
    </w:p>
    <w:p w14:paraId="0F2F94C3" w14:textId="5F522600" w:rsidR="00346D37" w:rsidRPr="00A278DD" w:rsidRDefault="007311D2" w:rsidP="005E15C6">
      <w:pPr>
        <w:pStyle w:val="NumberedParas"/>
        <w:ind w:left="1134" w:firstLine="0"/>
        <w:rPr>
          <w:b/>
        </w:rPr>
      </w:pPr>
      <w:r w:rsidRPr="00A278DD">
        <w:t>The</w:t>
      </w:r>
      <w:r w:rsidR="00346D37" w:rsidRPr="00A278DD">
        <w:t xml:space="preserve"> communicant states that from the case law attached to communications ACCC/C/2011/58 and ACCC/C/2012/76, it is evident that the public concerned can</w:t>
      </w:r>
      <w:r w:rsidR="002E5198" w:rsidRPr="00A278DD">
        <w:t>not</w:t>
      </w:r>
      <w:r w:rsidR="00346D37" w:rsidRPr="00A278DD">
        <w:t xml:space="preserve"> contest</w:t>
      </w:r>
      <w:r w:rsidR="002B2F7C" w:rsidRPr="00A278DD">
        <w:t xml:space="preserve"> </w:t>
      </w:r>
      <w:r w:rsidR="00346D37" w:rsidRPr="00A278DD">
        <w:t>acts which adopt/approve a GSP or any amendments thereto</w:t>
      </w:r>
      <w:r w:rsidR="003F66D1">
        <w:t xml:space="preserve"> </w:t>
      </w:r>
      <w:r w:rsidR="003F66D1" w:rsidRPr="00A278DD">
        <w:t>in court</w:t>
      </w:r>
      <w:r w:rsidR="00346D37" w:rsidRPr="00A278DD">
        <w:t>, regardless of the grounds for contestation.</w:t>
      </w:r>
      <w:r w:rsidR="00346D37" w:rsidRPr="00A278DD">
        <w:rPr>
          <w:rStyle w:val="FootnoteReference"/>
        </w:rPr>
        <w:footnoteReference w:id="101"/>
      </w:r>
    </w:p>
    <w:p w14:paraId="2F6AAE4B" w14:textId="390BC62E" w:rsidR="00346D37" w:rsidRPr="00A278DD" w:rsidRDefault="00346D37" w:rsidP="005E15C6">
      <w:pPr>
        <w:pStyle w:val="NumberedParas"/>
        <w:ind w:left="1134" w:firstLine="0"/>
        <w:rPr>
          <w:b/>
        </w:rPr>
      </w:pPr>
      <w:r w:rsidRPr="00A278DD">
        <w:t xml:space="preserve">The communicant claims further </w:t>
      </w:r>
      <w:r w:rsidR="005B4FF4" w:rsidRPr="00A278DD">
        <w:t xml:space="preserve">that </w:t>
      </w:r>
      <w:r w:rsidRPr="00A278DD">
        <w:t xml:space="preserve">for preliminary </w:t>
      </w:r>
      <w:r w:rsidR="003F66D1">
        <w:t>enforcement</w:t>
      </w:r>
      <w:r w:rsidRPr="00A278DD">
        <w:t xml:space="preserve"> </w:t>
      </w:r>
      <w:r w:rsidR="002B2F7C" w:rsidRPr="00A278DD">
        <w:t>orders issued by a public authority</w:t>
      </w:r>
      <w:r w:rsidRPr="00A278DD">
        <w:t xml:space="preserve">, article 60(6) </w:t>
      </w:r>
      <w:r w:rsidR="003F66D1">
        <w:t xml:space="preserve">APC </w:t>
      </w:r>
      <w:r w:rsidRPr="00A278DD">
        <w:t>clearly states that the administrative body is the body which restores the situation,</w:t>
      </w:r>
      <w:r w:rsidR="002B2F7C" w:rsidRPr="00A278DD">
        <w:t xml:space="preserve"> but that</w:t>
      </w:r>
      <w:r w:rsidRPr="00A278DD">
        <w:t xml:space="preserve"> article 167(3) APC does not specify who is responsible for restoring the situation before the execution with respect to </w:t>
      </w:r>
      <w:r w:rsidR="002B2F7C" w:rsidRPr="00A278DD">
        <w:t xml:space="preserve">a </w:t>
      </w:r>
      <w:r w:rsidRPr="00A278DD">
        <w:t xml:space="preserve">preliminary </w:t>
      </w:r>
      <w:r w:rsidR="002B2F7C" w:rsidRPr="00A278DD">
        <w:t>enforcement order issued by a</w:t>
      </w:r>
      <w:r w:rsidRPr="00A278DD">
        <w:t xml:space="preserve"> court under article 167.</w:t>
      </w:r>
      <w:r w:rsidRPr="00A278DD">
        <w:rPr>
          <w:rStyle w:val="FootnoteReference"/>
        </w:rPr>
        <w:footnoteReference w:id="102"/>
      </w:r>
      <w:r w:rsidRPr="00A278DD">
        <w:t xml:space="preserve"> </w:t>
      </w:r>
    </w:p>
    <w:p w14:paraId="2AAD4897" w14:textId="435CF5BB" w:rsidR="00346D37" w:rsidRPr="00A278DD" w:rsidRDefault="00346D37" w:rsidP="005E15C6">
      <w:pPr>
        <w:pStyle w:val="NumberedParas"/>
        <w:ind w:left="1134" w:firstLine="0"/>
        <w:rPr>
          <w:b/>
        </w:rPr>
      </w:pPr>
      <w:r w:rsidRPr="00A278DD">
        <w:t>The communicant stresses</w:t>
      </w:r>
      <w:r w:rsidR="009D77CF" w:rsidRPr="00A278DD">
        <w:t xml:space="preserve"> </w:t>
      </w:r>
      <w:r w:rsidRPr="00A278DD">
        <w:t xml:space="preserve">that with respect to preliminary enforcement </w:t>
      </w:r>
      <w:r w:rsidR="002B2F7C" w:rsidRPr="00A278DD">
        <w:t xml:space="preserve">orders issued </w:t>
      </w:r>
      <w:r w:rsidRPr="00A278DD">
        <w:t>by</w:t>
      </w:r>
      <w:r w:rsidR="002B2F7C" w:rsidRPr="00A278DD">
        <w:t xml:space="preserve"> both</w:t>
      </w:r>
      <w:r w:rsidRPr="00A278DD">
        <w:t xml:space="preserve"> authorities and </w:t>
      </w:r>
      <w:r w:rsidR="002B2F7C" w:rsidRPr="00A278DD">
        <w:t xml:space="preserve">the </w:t>
      </w:r>
      <w:r w:rsidRPr="00A278DD">
        <w:t xml:space="preserve">courts, </w:t>
      </w:r>
      <w:r w:rsidR="002B2F7C" w:rsidRPr="00A278DD">
        <w:t xml:space="preserve">members of the public cannot challenge a refusal or omission </w:t>
      </w:r>
      <w:r w:rsidRPr="00A278DD">
        <w:t>of the body responsible to restore the situation before the execution. The communicant claims that due to the inability to challenge GSPs</w:t>
      </w:r>
      <w:r w:rsidR="009D77CF" w:rsidRPr="00A278DD">
        <w:t xml:space="preserve">, </w:t>
      </w:r>
      <w:r w:rsidRPr="00A278DD">
        <w:t>it is practically impossible</w:t>
      </w:r>
      <w:r w:rsidR="009D77CF" w:rsidRPr="00A278DD">
        <w:t>,</w:t>
      </w:r>
      <w:r w:rsidRPr="00A278DD">
        <w:t xml:space="preserve"> even for the authority who issued the order for admitting preliminary execution</w:t>
      </w:r>
      <w:r w:rsidR="009D77CF" w:rsidRPr="00A278DD">
        <w:t>,</w:t>
      </w:r>
      <w:r w:rsidRPr="00A278DD">
        <w:t xml:space="preserve"> to restore the situation</w:t>
      </w:r>
      <w:r w:rsidR="009D77CF" w:rsidRPr="00A278DD">
        <w:t>,</w:t>
      </w:r>
      <w:r w:rsidRPr="00A278DD">
        <w:t xml:space="preserve"> as it would mean cancellation of the already adopted/approved GSP.</w:t>
      </w:r>
      <w:r w:rsidRPr="00A278DD">
        <w:rPr>
          <w:rStyle w:val="FootnoteReference"/>
        </w:rPr>
        <w:footnoteReference w:id="103"/>
      </w:r>
    </w:p>
    <w:p w14:paraId="54C69E6C" w14:textId="13BEB253" w:rsidR="00346D37" w:rsidRPr="00A278DD" w:rsidRDefault="00346D37" w:rsidP="005E15C6">
      <w:pPr>
        <w:pStyle w:val="NumberedParas"/>
        <w:ind w:left="1134" w:firstLine="0"/>
        <w:rPr>
          <w:b/>
        </w:rPr>
      </w:pPr>
      <w:r w:rsidRPr="00A278DD">
        <w:lastRenderedPageBreak/>
        <w:t xml:space="preserve">The communicant further claims that the 14-day time period for a </w:t>
      </w:r>
      <w:r w:rsidR="0034381D" w:rsidRPr="00A278DD">
        <w:t>C</w:t>
      </w:r>
      <w:r w:rsidRPr="00A278DD">
        <w:t xml:space="preserve">ounty </w:t>
      </w:r>
      <w:r w:rsidR="0034381D" w:rsidRPr="00A278DD">
        <w:t>G</w:t>
      </w:r>
      <w:r w:rsidRPr="00A278DD">
        <w:t>overnor to challenge a GSP under article 127(6) SDA is insufficient to receive a final court ruling on the legality of the admitted preliminary execution, which in the case at issue in the present communication took almost three months.</w:t>
      </w:r>
      <w:r w:rsidRPr="00A278DD">
        <w:rPr>
          <w:rStyle w:val="FootnoteReference"/>
        </w:rPr>
        <w:footnoteReference w:id="104"/>
      </w:r>
    </w:p>
    <w:p w14:paraId="62B87FB5" w14:textId="4F2A8EBB" w:rsidR="000F2736" w:rsidRPr="00A278DD" w:rsidRDefault="00346D37" w:rsidP="005E15C6">
      <w:pPr>
        <w:pStyle w:val="NumberedParas"/>
        <w:ind w:left="1134" w:firstLine="0"/>
        <w:rPr>
          <w:b/>
        </w:rPr>
      </w:pPr>
      <w:bookmarkStart w:id="30" w:name="_Ref18336442"/>
      <w:r w:rsidRPr="00A278DD">
        <w:t xml:space="preserve">The communicant submits that the above </w:t>
      </w:r>
      <w:r w:rsidR="0034381D" w:rsidRPr="00A278DD">
        <w:t>creates the possibility for</w:t>
      </w:r>
      <w:r w:rsidRPr="00A278DD">
        <w:t xml:space="preserve"> abuse and circumvention of virtually all environmental legislation. It alleges that violations of the EPA and other</w:t>
      </w:r>
      <w:r w:rsidR="002E5198" w:rsidRPr="00A278DD">
        <w:t xml:space="preserve"> acts</w:t>
      </w:r>
      <w:r w:rsidRPr="00A278DD">
        <w:t xml:space="preserve"> remain without consequences </w:t>
      </w:r>
      <w:r w:rsidR="009D77CF" w:rsidRPr="00A278DD">
        <w:t xml:space="preserve">once </w:t>
      </w:r>
      <w:r w:rsidR="003F66D1">
        <w:t>a</w:t>
      </w:r>
      <w:r w:rsidRPr="00A278DD">
        <w:t xml:space="preserve"> GSP is accepted/approved</w:t>
      </w:r>
      <w:r w:rsidR="0034381D" w:rsidRPr="00A278DD">
        <w:t>. That is, a</w:t>
      </w:r>
      <w:r w:rsidR="003C787E" w:rsidRPr="00A278DD">
        <w:t xml:space="preserve"> </w:t>
      </w:r>
      <w:r w:rsidRPr="00A278DD">
        <w:t xml:space="preserve">preliminary </w:t>
      </w:r>
      <w:r w:rsidR="00763C76" w:rsidRPr="00A278DD">
        <w:t>enforcement order for</w:t>
      </w:r>
      <w:r w:rsidRPr="00A278DD">
        <w:t xml:space="preserve"> </w:t>
      </w:r>
      <w:r w:rsidR="003F66D1">
        <w:t xml:space="preserve">SEA </w:t>
      </w:r>
      <w:r w:rsidRPr="00A278DD">
        <w:t xml:space="preserve">decisions can be used as a tool to guarantee the adoption of unlawful GSPs. The communicant submits that this is a violation of article 9(3) </w:t>
      </w:r>
      <w:r w:rsidR="00FD7D0F" w:rsidRPr="00A278DD">
        <w:t>of the Convention</w:t>
      </w:r>
      <w:r w:rsidR="00EE29E9" w:rsidRPr="00A278DD">
        <w:t>.</w:t>
      </w:r>
      <w:r w:rsidRPr="00A278DD">
        <w:rPr>
          <w:rStyle w:val="FootnoteReference"/>
        </w:rPr>
        <w:footnoteReference w:id="105"/>
      </w:r>
      <w:bookmarkEnd w:id="30"/>
    </w:p>
    <w:p w14:paraId="5B0820DD" w14:textId="28CEFB35" w:rsidR="004F7006" w:rsidRPr="00A278DD" w:rsidRDefault="004F7006" w:rsidP="005E15C6">
      <w:pPr>
        <w:pStyle w:val="NumberedParas"/>
        <w:ind w:left="1134" w:firstLine="0"/>
        <w:rPr>
          <w:b/>
        </w:rPr>
      </w:pPr>
      <w:r w:rsidRPr="00A278DD">
        <w:t xml:space="preserve">The Party concerned disagrees with the communicant’s claim that the communication presents the </w:t>
      </w:r>
      <w:r w:rsidR="003F66D1">
        <w:t>issue</w:t>
      </w:r>
      <w:r w:rsidRPr="00A278DD">
        <w:t xml:space="preserve"> of </w:t>
      </w:r>
      <w:r w:rsidR="003F66D1" w:rsidRPr="00A278DD">
        <w:t xml:space="preserve">injunctive relief </w:t>
      </w:r>
      <w:r w:rsidR="003F66D1">
        <w:t xml:space="preserve">considered in </w:t>
      </w:r>
      <w:r w:rsidRPr="00A278DD">
        <w:t>communication</w:t>
      </w:r>
      <w:r w:rsidR="00FC3D39" w:rsidRPr="00A278DD">
        <w:t xml:space="preserve"> ACCC/C/2012/76</w:t>
      </w:r>
      <w:r w:rsidRPr="00A278DD">
        <w:t xml:space="preserve"> in a different light.</w:t>
      </w:r>
      <w:r w:rsidRPr="00A278DD">
        <w:rPr>
          <w:rStyle w:val="FootnoteReference"/>
        </w:rPr>
        <w:t xml:space="preserve"> </w:t>
      </w:r>
      <w:r w:rsidRPr="00A278DD">
        <w:rPr>
          <w:rStyle w:val="FootnoteReference"/>
        </w:rPr>
        <w:footnoteReference w:id="106"/>
      </w:r>
      <w:r w:rsidR="006743E0" w:rsidRPr="00A278DD">
        <w:t xml:space="preserve"> </w:t>
      </w:r>
    </w:p>
    <w:p w14:paraId="61E19D84" w14:textId="191E2306" w:rsidR="004F7006" w:rsidRPr="00A278DD" w:rsidRDefault="004F7006" w:rsidP="005E15C6">
      <w:pPr>
        <w:pStyle w:val="NumberedParas"/>
        <w:ind w:left="1134" w:firstLine="0"/>
        <w:rPr>
          <w:b/>
        </w:rPr>
      </w:pPr>
      <w:r w:rsidRPr="00A278DD">
        <w:t>The Party concerned submits that t</w:t>
      </w:r>
      <w:r w:rsidR="00D93A0F" w:rsidRPr="00A278DD">
        <w:t>he Supreme Administrative Court</w:t>
      </w:r>
      <w:r w:rsidR="003F66D1">
        <w:t>’s</w:t>
      </w:r>
      <w:r w:rsidR="00D93A0F" w:rsidRPr="00A278DD">
        <w:t xml:space="preserve"> decision of 15 May 2017 </w:t>
      </w:r>
      <w:r w:rsidR="00763C76" w:rsidRPr="00A278DD">
        <w:t xml:space="preserve">confirmed the lower court’s decision to revoke the SEA </w:t>
      </w:r>
      <w:r w:rsidR="00FC4F80">
        <w:t>screening d</w:t>
      </w:r>
      <w:r w:rsidR="00763C76" w:rsidRPr="00A278DD">
        <w:t xml:space="preserve">ecision and this means that an obligatory element of the </w:t>
      </w:r>
      <w:r w:rsidR="00FC4F80">
        <w:t>decision approving the GSP amendment</w:t>
      </w:r>
      <w:r w:rsidR="00763C76" w:rsidRPr="00A278DD">
        <w:t xml:space="preserve"> (i</w:t>
      </w:r>
      <w:r w:rsidR="00FC4F80">
        <w:t>.</w:t>
      </w:r>
      <w:r w:rsidR="00763C76" w:rsidRPr="00A278DD">
        <w:t>e</w:t>
      </w:r>
      <w:r w:rsidR="00FC4F80">
        <w:t>.</w:t>
      </w:r>
      <w:r w:rsidR="00763C76" w:rsidRPr="00A278DD">
        <w:t xml:space="preserve"> an effective SEA decision) is lacking</w:t>
      </w:r>
      <w:r w:rsidR="00240613" w:rsidRPr="00A278DD">
        <w:t>.</w:t>
      </w:r>
      <w:r w:rsidR="00240613" w:rsidRPr="00A278DD">
        <w:rPr>
          <w:rStyle w:val="FootnoteReference"/>
        </w:rPr>
        <w:footnoteReference w:id="107"/>
      </w:r>
      <w:r w:rsidR="00240613" w:rsidRPr="00A278DD">
        <w:t xml:space="preserve"> The Party concerned submits that this </w:t>
      </w:r>
      <w:r w:rsidR="0018497E" w:rsidRPr="00A278DD">
        <w:t xml:space="preserve">would mean </w:t>
      </w:r>
      <w:r w:rsidR="00240613" w:rsidRPr="00A278DD">
        <w:t xml:space="preserve">that there is a legal basis for a CAM suspending the implementation of the GSP amendment until the completion of the SEA procedure, </w:t>
      </w:r>
      <w:r w:rsidR="002E5198" w:rsidRPr="00A278DD">
        <w:t xml:space="preserve">temporarily restoring the </w:t>
      </w:r>
      <w:r w:rsidR="00240613" w:rsidRPr="00A278DD">
        <w:t>condition before the preliminary enforcement of the SEA decision.</w:t>
      </w:r>
      <w:r w:rsidR="00240613" w:rsidRPr="00A278DD">
        <w:rPr>
          <w:rStyle w:val="FootnoteReference"/>
        </w:rPr>
        <w:footnoteReference w:id="108"/>
      </w:r>
      <w:r w:rsidR="00240613" w:rsidRPr="00A278DD">
        <w:t xml:space="preserve"> It claims that “the measure can be imposed</w:t>
      </w:r>
      <w:r w:rsidR="004D1DF4" w:rsidRPr="00A278DD">
        <w:t>…</w:t>
      </w:r>
      <w:r w:rsidR="00240613" w:rsidRPr="00A278DD">
        <w:t>by public initiative by reporting a signal</w:t>
      </w:r>
      <w:r w:rsidR="0034381D" w:rsidRPr="00A278DD">
        <w:t xml:space="preserve"> [“alert”]</w:t>
      </w:r>
      <w:r w:rsidR="00240613" w:rsidRPr="00A278DD">
        <w:t xml:space="preserve"> under the order of </w:t>
      </w:r>
      <w:r w:rsidR="00FC4F80">
        <w:t>c</w:t>
      </w:r>
      <w:r w:rsidR="00240613" w:rsidRPr="00A278DD">
        <w:t>hapter eight of APC.</w:t>
      </w:r>
      <w:r w:rsidR="0018497E" w:rsidRPr="00A278DD">
        <w:t>”</w:t>
      </w:r>
      <w:r w:rsidR="00240613" w:rsidRPr="00A278DD">
        <w:rPr>
          <w:rStyle w:val="FootnoteReference"/>
        </w:rPr>
        <w:footnoteReference w:id="109"/>
      </w:r>
      <w:r w:rsidR="0018497E" w:rsidRPr="00A278DD">
        <w:t xml:space="preserve"> </w:t>
      </w:r>
    </w:p>
    <w:p w14:paraId="60F26620" w14:textId="6F6E852F" w:rsidR="005E1581" w:rsidRPr="00A278DD" w:rsidRDefault="005E1581" w:rsidP="005E15C6">
      <w:pPr>
        <w:pStyle w:val="NumberedParas"/>
        <w:ind w:left="1134" w:firstLine="0"/>
        <w:rPr>
          <w:b/>
        </w:rPr>
      </w:pPr>
      <w:r w:rsidRPr="00A278DD">
        <w:t>The Party concerned claims that</w:t>
      </w:r>
      <w:r w:rsidR="00A8132B" w:rsidRPr="00A278DD">
        <w:t xml:space="preserve"> it is important to consider that </w:t>
      </w:r>
      <w:r w:rsidR="00FC4F80">
        <w:t xml:space="preserve">the </w:t>
      </w:r>
      <w:r w:rsidR="00763C76" w:rsidRPr="00A278DD">
        <w:t>adoption of a</w:t>
      </w:r>
      <w:r w:rsidR="00A8132B" w:rsidRPr="00A278DD">
        <w:t xml:space="preserve"> GSP</w:t>
      </w:r>
      <w:r w:rsidR="00763C76" w:rsidRPr="00A278DD">
        <w:t xml:space="preserve"> amendment</w:t>
      </w:r>
      <w:r w:rsidR="00A8132B" w:rsidRPr="00A278DD">
        <w:t xml:space="preserve"> does not lead to immediate implementation of the initiatives within the scope of the territory subject to the GSP</w:t>
      </w:r>
      <w:r w:rsidR="00763C76" w:rsidRPr="00A278DD">
        <w:t>, such as construction activities which could cause negative impacts on the environment</w:t>
      </w:r>
      <w:r w:rsidR="00A8132B" w:rsidRPr="00A278DD">
        <w:t>.</w:t>
      </w:r>
      <w:r w:rsidR="00A8132B" w:rsidRPr="00A278DD">
        <w:rPr>
          <w:rStyle w:val="FootnoteReference"/>
        </w:rPr>
        <w:footnoteReference w:id="110"/>
      </w:r>
    </w:p>
    <w:p w14:paraId="4E44C2D3" w14:textId="507AD996" w:rsidR="00A8132B" w:rsidRPr="00A278DD" w:rsidRDefault="00D05476" w:rsidP="005E15C6">
      <w:pPr>
        <w:pStyle w:val="NumberedParas"/>
        <w:ind w:left="1134" w:firstLine="0"/>
        <w:rPr>
          <w:b/>
        </w:rPr>
      </w:pPr>
      <w:r w:rsidRPr="00A278DD">
        <w:t xml:space="preserve">Finally, the Party concerned </w:t>
      </w:r>
      <w:r w:rsidR="00F55AFF" w:rsidRPr="00A278DD">
        <w:t xml:space="preserve">submits </w:t>
      </w:r>
      <w:r w:rsidR="00B40347" w:rsidRPr="00A278DD">
        <w:t xml:space="preserve">there is no relation </w:t>
      </w:r>
      <w:r w:rsidR="0034381D" w:rsidRPr="00A278DD">
        <w:t>between</w:t>
      </w:r>
      <w:r w:rsidR="00D00CA0" w:rsidRPr="00A278DD">
        <w:t xml:space="preserve"> </w:t>
      </w:r>
      <w:r w:rsidR="002F5C29" w:rsidRPr="00A278DD">
        <w:t>the proceedings on the legality of a</w:t>
      </w:r>
      <w:r w:rsidR="00D00CA0" w:rsidRPr="00A278DD">
        <w:t xml:space="preserve"> SEA decision </w:t>
      </w:r>
      <w:r w:rsidR="0034381D" w:rsidRPr="00A278DD">
        <w:t>and</w:t>
      </w:r>
      <w:r w:rsidR="00B40347" w:rsidRPr="00A278DD">
        <w:t xml:space="preserve"> the </w:t>
      </w:r>
      <w:r w:rsidR="007A6364" w:rsidRPr="00A278DD">
        <w:t xml:space="preserve">separate </w:t>
      </w:r>
      <w:r w:rsidR="00B40347" w:rsidRPr="00A278DD">
        <w:t>proceedings</w:t>
      </w:r>
      <w:r w:rsidR="002F5C29" w:rsidRPr="00A278DD">
        <w:t xml:space="preserve"> </w:t>
      </w:r>
      <w:r w:rsidR="00B40347" w:rsidRPr="00A278DD">
        <w:t xml:space="preserve">on the </w:t>
      </w:r>
      <w:r w:rsidR="007A6364" w:rsidRPr="00A278DD">
        <w:t xml:space="preserve">permission </w:t>
      </w:r>
      <w:r w:rsidR="00B40347" w:rsidRPr="00A278DD">
        <w:t>of a preliminary enforcement.</w:t>
      </w:r>
      <w:r w:rsidR="00B40347" w:rsidRPr="00A278DD">
        <w:rPr>
          <w:rStyle w:val="FootnoteReference"/>
        </w:rPr>
        <w:footnoteReference w:id="111"/>
      </w:r>
      <w:r w:rsidR="00B40347" w:rsidRPr="00A278DD">
        <w:t xml:space="preserve"> The Party concerned claims that the independent nature of the two proceedings</w:t>
      </w:r>
      <w:r w:rsidR="0034381D" w:rsidRPr="00A278DD">
        <w:t xml:space="preserve"> means that</w:t>
      </w:r>
      <w:r w:rsidR="00B40347" w:rsidRPr="00A278DD">
        <w:t xml:space="preserve"> where a preliminary enforcement of a SEA decision is allowed, the SEA decision should be considered temporarily entered into force. </w:t>
      </w:r>
      <w:r w:rsidR="00DC5F98" w:rsidRPr="00A278DD">
        <w:t>It</w:t>
      </w:r>
      <w:r w:rsidR="00B40347" w:rsidRPr="00A278DD">
        <w:t xml:space="preserve"> submits that </w:t>
      </w:r>
      <w:r w:rsidR="0034381D" w:rsidRPr="00A278DD">
        <w:t xml:space="preserve">the </w:t>
      </w:r>
      <w:r w:rsidR="00B40347" w:rsidRPr="00A278DD">
        <w:t>opposite approach would make no sense in terms of the legal institution of preliminary enforcement.</w:t>
      </w:r>
      <w:r w:rsidR="00704575" w:rsidRPr="00A278DD">
        <w:rPr>
          <w:rStyle w:val="FootnoteReference"/>
        </w:rPr>
        <w:footnoteReference w:id="112"/>
      </w:r>
    </w:p>
    <w:p w14:paraId="3EF2F364" w14:textId="025FE8B0" w:rsidR="008F74C4" w:rsidRPr="004D04EC" w:rsidRDefault="00FC4F80" w:rsidP="005E15C6">
      <w:pPr>
        <w:pStyle w:val="NumberedParas"/>
        <w:ind w:left="1134" w:firstLine="0"/>
        <w:rPr>
          <w:b/>
        </w:rPr>
      </w:pPr>
      <w:r>
        <w:t xml:space="preserve">As regards developments since the </w:t>
      </w:r>
      <w:r>
        <w:rPr>
          <w:rStyle w:val="st"/>
        </w:rPr>
        <w:t>Supreme Court’s judgment of</w:t>
      </w:r>
      <w:r w:rsidRPr="00A278DD">
        <w:rPr>
          <w:rStyle w:val="st"/>
        </w:rPr>
        <w:t xml:space="preserve"> 15 May 2017</w:t>
      </w:r>
      <w:r>
        <w:rPr>
          <w:rStyle w:val="st"/>
        </w:rPr>
        <w:t xml:space="preserve"> upholding the lower court’s ruling that the SEA screening decision was unlawful</w:t>
      </w:r>
      <w:r w:rsidR="008C38D8" w:rsidRPr="00A278DD">
        <w:t xml:space="preserve">, the Party concerned </w:t>
      </w:r>
      <w:r>
        <w:t xml:space="preserve">claims </w:t>
      </w:r>
      <w:r w:rsidR="008C38D8" w:rsidRPr="00A278DD">
        <w:t xml:space="preserve">that </w:t>
      </w:r>
      <w:r>
        <w:t xml:space="preserve">on 6 October 2016 it </w:t>
      </w:r>
      <w:r w:rsidR="008C38D8" w:rsidRPr="00A278DD">
        <w:t>initiated a procedure for a new amendment to</w:t>
      </w:r>
      <w:r w:rsidR="000C2EC4" w:rsidRPr="00A278DD">
        <w:t xml:space="preserve"> the GS</w:t>
      </w:r>
      <w:r w:rsidR="008C38D8" w:rsidRPr="00A278DD">
        <w:t>P, which includes a</w:t>
      </w:r>
      <w:r>
        <w:t>n</w:t>
      </w:r>
      <w:r w:rsidR="008C38D8" w:rsidRPr="00A278DD">
        <w:t xml:space="preserve"> SEA procedure. It claims that</w:t>
      </w:r>
      <w:r>
        <w:t>, as at</w:t>
      </w:r>
      <w:r w:rsidR="008C38D8" w:rsidRPr="00A278DD">
        <w:t xml:space="preserve"> </w:t>
      </w:r>
      <w:r>
        <w:t xml:space="preserve">July 2020, </w:t>
      </w:r>
      <w:r w:rsidR="008C38D8" w:rsidRPr="00A278DD">
        <w:t>the SEA procedure is ongoing.</w:t>
      </w:r>
      <w:r w:rsidR="008C38D8" w:rsidRPr="00A278DD">
        <w:rPr>
          <w:rStyle w:val="FootnoteReference"/>
        </w:rPr>
        <w:footnoteReference w:id="113"/>
      </w:r>
      <w:r w:rsidR="008C38D8" w:rsidRPr="00A278DD">
        <w:t xml:space="preserve"> </w:t>
      </w:r>
    </w:p>
    <w:p w14:paraId="346E684D" w14:textId="0AA42CF1" w:rsidR="004D04EC" w:rsidRDefault="004D04EC" w:rsidP="004D04EC">
      <w:pPr>
        <w:pStyle w:val="NumberedParas"/>
        <w:numPr>
          <w:ilvl w:val="0"/>
          <w:numId w:val="0"/>
        </w:numPr>
        <w:ind w:left="720" w:hanging="360"/>
      </w:pPr>
    </w:p>
    <w:p w14:paraId="575CD14C" w14:textId="77777777" w:rsidR="004D04EC" w:rsidRPr="00A278DD" w:rsidRDefault="004D04EC" w:rsidP="004D04EC">
      <w:pPr>
        <w:pStyle w:val="NumberedParas"/>
        <w:numPr>
          <w:ilvl w:val="0"/>
          <w:numId w:val="0"/>
        </w:numPr>
        <w:ind w:left="720" w:hanging="360"/>
        <w:rPr>
          <w:b/>
        </w:rPr>
      </w:pPr>
    </w:p>
    <w:p w14:paraId="09701BE6" w14:textId="77777777" w:rsidR="00346D37" w:rsidRPr="00A278DD" w:rsidRDefault="00346D37" w:rsidP="005E15C6">
      <w:pPr>
        <w:pStyle w:val="Heading3"/>
        <w:ind w:left="1134"/>
        <w:rPr>
          <w:lang w:val="fr-CH"/>
        </w:rPr>
      </w:pPr>
      <w:r w:rsidRPr="00A278DD">
        <w:rPr>
          <w:lang w:val="fr-CH"/>
        </w:rPr>
        <w:lastRenderedPageBreak/>
        <w:t>Article 9(4)</w:t>
      </w:r>
    </w:p>
    <w:p w14:paraId="2CEAEE7E" w14:textId="29011391" w:rsidR="00EE2EC2" w:rsidRPr="00A278DD" w:rsidRDefault="00346D37" w:rsidP="005E15C6">
      <w:pPr>
        <w:pStyle w:val="NumberedParas"/>
        <w:ind w:left="1134" w:firstLine="0"/>
      </w:pPr>
      <w:r w:rsidRPr="00A278DD">
        <w:t xml:space="preserve">The communicant claims that its allegations at paragraphs </w:t>
      </w:r>
      <w:r w:rsidR="00C76C9C" w:rsidRPr="00A278DD">
        <w:fldChar w:fldCharType="begin"/>
      </w:r>
      <w:r w:rsidR="00C76C9C" w:rsidRPr="00A278DD">
        <w:instrText xml:space="preserve"> REF _Ref18336433 \r \h </w:instrText>
      </w:r>
      <w:r w:rsidR="00A278DD">
        <w:instrText xml:space="preserve"> \* MERGEFORMAT </w:instrText>
      </w:r>
      <w:r w:rsidR="00C76C9C" w:rsidRPr="00A278DD">
        <w:fldChar w:fldCharType="separate"/>
      </w:r>
      <w:r w:rsidR="00033122">
        <w:rPr>
          <w:cs/>
        </w:rPr>
        <w:t>‎</w:t>
      </w:r>
      <w:r w:rsidR="00033122">
        <w:t>85</w:t>
      </w:r>
      <w:r w:rsidR="00C76C9C" w:rsidRPr="00A278DD">
        <w:fldChar w:fldCharType="end"/>
      </w:r>
      <w:r w:rsidRPr="00A278DD">
        <w:t>-</w:t>
      </w:r>
      <w:r w:rsidR="00C76C9C" w:rsidRPr="00A278DD">
        <w:fldChar w:fldCharType="begin"/>
      </w:r>
      <w:r w:rsidR="00C76C9C" w:rsidRPr="00A278DD">
        <w:instrText xml:space="preserve"> REF _Ref18336442 \r \h </w:instrText>
      </w:r>
      <w:r w:rsidR="00A278DD">
        <w:instrText xml:space="preserve"> \* MERGEFORMAT </w:instrText>
      </w:r>
      <w:r w:rsidR="00C76C9C" w:rsidRPr="00A278DD">
        <w:fldChar w:fldCharType="separate"/>
      </w:r>
      <w:r w:rsidR="00033122">
        <w:rPr>
          <w:cs/>
        </w:rPr>
        <w:t>‎</w:t>
      </w:r>
      <w:r w:rsidR="00033122">
        <w:t>92</w:t>
      </w:r>
      <w:r w:rsidR="00C76C9C" w:rsidRPr="00A278DD">
        <w:fldChar w:fldCharType="end"/>
      </w:r>
      <w:r w:rsidR="00C76C9C" w:rsidRPr="00A278DD">
        <w:t xml:space="preserve"> </w:t>
      </w:r>
      <w:r w:rsidRPr="00A278DD">
        <w:t>also establish a violation of the requirement for adequate and effective remedies under article 9(4) of the Convention.</w:t>
      </w:r>
      <w:r w:rsidRPr="00A278DD">
        <w:rPr>
          <w:rStyle w:val="FootnoteReference"/>
        </w:rPr>
        <w:footnoteReference w:id="114"/>
      </w:r>
      <w:r w:rsidRPr="00A278DD">
        <w:t xml:space="preserve"> </w:t>
      </w:r>
    </w:p>
    <w:p w14:paraId="4BCC2A7E" w14:textId="1ED62FD8" w:rsidR="003D7DD2" w:rsidRDefault="003D7DD2" w:rsidP="005E15C6">
      <w:pPr>
        <w:pStyle w:val="NumberedParas"/>
        <w:ind w:left="1134" w:firstLine="0"/>
      </w:pPr>
      <w:r w:rsidRPr="00A278DD">
        <w:t>The Party concerned does not comment on the communicant’s article 9(4) allegations.</w:t>
      </w:r>
    </w:p>
    <w:p w14:paraId="19F64624" w14:textId="77777777" w:rsidR="004D04EC" w:rsidRPr="00A278DD" w:rsidRDefault="004D04EC" w:rsidP="004D04EC">
      <w:pPr>
        <w:pStyle w:val="NumberedParas"/>
        <w:numPr>
          <w:ilvl w:val="0"/>
          <w:numId w:val="0"/>
        </w:numPr>
        <w:ind w:left="1134"/>
      </w:pPr>
    </w:p>
    <w:p w14:paraId="728711FD" w14:textId="77777777" w:rsidR="00EE2EC2" w:rsidRPr="00A278DD" w:rsidRDefault="00EE2EC2" w:rsidP="005E15C6">
      <w:pPr>
        <w:pStyle w:val="Heading1"/>
        <w:ind w:left="1134" w:firstLine="0"/>
      </w:pPr>
      <w:r w:rsidRPr="00A278DD">
        <w:t>Consideration and evaluation by the Committee</w:t>
      </w:r>
    </w:p>
    <w:p w14:paraId="42CA1E88" w14:textId="71055AF8" w:rsidR="00EE2EC2" w:rsidRPr="00A278DD" w:rsidRDefault="00EE2EC2" w:rsidP="005E15C6">
      <w:pPr>
        <w:pStyle w:val="NumberedParas"/>
        <w:ind w:left="1134" w:firstLine="0"/>
        <w:rPr>
          <w:rStyle w:val="st"/>
        </w:rPr>
      </w:pPr>
      <w:r w:rsidRPr="00A278DD">
        <w:rPr>
          <w:rStyle w:val="st"/>
        </w:rPr>
        <w:t>Bulgaria ra</w:t>
      </w:r>
      <w:r w:rsidR="00816F95" w:rsidRPr="00A278DD">
        <w:rPr>
          <w:rStyle w:val="st"/>
        </w:rPr>
        <w:t>tified the Convention on</w:t>
      </w:r>
      <w:r w:rsidR="00816F95" w:rsidRPr="00A278DD">
        <w:t xml:space="preserve"> </w:t>
      </w:r>
      <w:r w:rsidR="00816F95" w:rsidRPr="00A278DD">
        <w:rPr>
          <w:rStyle w:val="st"/>
        </w:rPr>
        <w:t xml:space="preserve">29 December 2004. The Convention entered into force for </w:t>
      </w:r>
      <w:r w:rsidR="000718B2" w:rsidRPr="00A278DD">
        <w:rPr>
          <w:rStyle w:val="st"/>
        </w:rPr>
        <w:t>Bulgaria</w:t>
      </w:r>
      <w:r w:rsidR="00816F95" w:rsidRPr="00A278DD">
        <w:rPr>
          <w:rStyle w:val="st"/>
        </w:rPr>
        <w:t xml:space="preserve"> on 29 March 2005, being ninety days after the deposit of its instrument of ratification.</w:t>
      </w:r>
    </w:p>
    <w:p w14:paraId="5194B147" w14:textId="77777777" w:rsidR="005E15C6" w:rsidRDefault="005E15C6" w:rsidP="005E15C6">
      <w:pPr>
        <w:pStyle w:val="NumberedParas"/>
        <w:numPr>
          <w:ilvl w:val="0"/>
          <w:numId w:val="0"/>
        </w:numPr>
        <w:ind w:left="1134"/>
        <w:rPr>
          <w:rStyle w:val="st"/>
          <w:b/>
          <w:bCs/>
        </w:rPr>
      </w:pPr>
    </w:p>
    <w:p w14:paraId="757FC9A3" w14:textId="12F163F7" w:rsidR="008F43ED" w:rsidRPr="00DA1D12" w:rsidRDefault="006B41C1" w:rsidP="005E15C6">
      <w:pPr>
        <w:pStyle w:val="NumberedParas"/>
        <w:numPr>
          <w:ilvl w:val="0"/>
          <w:numId w:val="0"/>
        </w:numPr>
        <w:ind w:left="1134"/>
        <w:rPr>
          <w:rStyle w:val="st"/>
          <w:b/>
          <w:bCs/>
        </w:rPr>
      </w:pPr>
      <w:r w:rsidRPr="00DA1D12">
        <w:rPr>
          <w:rStyle w:val="st"/>
          <w:b/>
          <w:bCs/>
        </w:rPr>
        <w:t>Opening remarks</w:t>
      </w:r>
    </w:p>
    <w:p w14:paraId="74587D28" w14:textId="77777777" w:rsidR="006B41C1" w:rsidRPr="00A278DD" w:rsidRDefault="006B41C1" w:rsidP="005E15C6">
      <w:pPr>
        <w:pStyle w:val="NumberedParas"/>
        <w:ind w:left="1134" w:firstLine="0"/>
      </w:pPr>
      <w:r w:rsidRPr="00DA1D12">
        <w:t>At the outset, the Committee expresses its serious concern that, despite the repeated reminders and even an offer to hold the hearing on an alternative date in order to facilitate its attendance, the Party concerned chose not to participate in the hearing to discuss the substance of the communication at the Committee’s sixty-fifth meeting, which was the sole opportunity for the Committee to have heard from the Party concerned</w:t>
      </w:r>
      <w:r w:rsidRPr="00A278DD">
        <w:t xml:space="preserve"> and the communicant in each other’s presence. </w:t>
      </w:r>
    </w:p>
    <w:p w14:paraId="177F6705" w14:textId="2E69952D" w:rsidR="006B41C1" w:rsidRPr="00A278DD" w:rsidRDefault="006B41C1" w:rsidP="005E15C6">
      <w:pPr>
        <w:pStyle w:val="NumberedParas"/>
        <w:ind w:left="1134" w:firstLine="0"/>
        <w:rPr>
          <w:rStyle w:val="st"/>
        </w:rPr>
      </w:pPr>
      <w:r w:rsidRPr="00A278DD">
        <w:t xml:space="preserve">The Committee considers the failure by the Party concerned to participate in the hearing all the </w:t>
      </w:r>
      <w:proofErr w:type="gramStart"/>
      <w:r w:rsidRPr="00A278DD">
        <w:t>more grav</w:t>
      </w:r>
      <w:r w:rsidR="00E774F8">
        <w:t>e</w:t>
      </w:r>
      <w:proofErr w:type="gramEnd"/>
      <w:r w:rsidRPr="00A278DD">
        <w:t xml:space="preserve"> given that it is already under a caution pursuant to paragraph 5(a) of decision VI/8d of the Meeting of the Parties.</w:t>
      </w:r>
    </w:p>
    <w:p w14:paraId="57ADB9B4" w14:textId="77777777" w:rsidR="00DA1D12" w:rsidRDefault="00DA1D12" w:rsidP="005E15C6">
      <w:pPr>
        <w:pStyle w:val="NumberedParas"/>
        <w:numPr>
          <w:ilvl w:val="0"/>
          <w:numId w:val="0"/>
        </w:numPr>
        <w:ind w:left="1134"/>
        <w:rPr>
          <w:b/>
          <w:bCs/>
        </w:rPr>
      </w:pPr>
    </w:p>
    <w:p w14:paraId="4A898E29" w14:textId="73F9F80B" w:rsidR="00661401" w:rsidRPr="00A278DD" w:rsidRDefault="00BB5777" w:rsidP="005E15C6">
      <w:pPr>
        <w:pStyle w:val="NumberedParas"/>
        <w:numPr>
          <w:ilvl w:val="0"/>
          <w:numId w:val="0"/>
        </w:numPr>
        <w:ind w:left="1134"/>
        <w:rPr>
          <w:b/>
          <w:bCs/>
        </w:rPr>
      </w:pPr>
      <w:r w:rsidRPr="00A278DD">
        <w:rPr>
          <w:b/>
          <w:bCs/>
        </w:rPr>
        <w:t>Admissibility</w:t>
      </w:r>
      <w:r w:rsidR="00661401" w:rsidRPr="00A278DD">
        <w:rPr>
          <w:b/>
          <w:bCs/>
        </w:rPr>
        <w:t xml:space="preserve"> </w:t>
      </w:r>
    </w:p>
    <w:p w14:paraId="0A5CAD5B" w14:textId="33226BAD" w:rsidR="00661401" w:rsidRPr="00A278DD" w:rsidRDefault="00661401" w:rsidP="005E15C6">
      <w:pPr>
        <w:pStyle w:val="NumberedParas"/>
        <w:ind w:left="1134" w:firstLine="0"/>
      </w:pPr>
      <w:r w:rsidRPr="00A278DD">
        <w:t>The communicant extensively used domestic remedies, challenging both the SEA screening decision, the order for preliminary enforcement and the decision approving the Plovdiv GSP amendment through the courts. The Committee accordingly determines the communication to be admissible.</w:t>
      </w:r>
    </w:p>
    <w:p w14:paraId="0139985A" w14:textId="77777777" w:rsidR="00DA1D12" w:rsidRDefault="00DA1D12" w:rsidP="005E15C6">
      <w:pPr>
        <w:pStyle w:val="NumberedParas"/>
        <w:numPr>
          <w:ilvl w:val="0"/>
          <w:numId w:val="0"/>
        </w:numPr>
        <w:ind w:left="1134"/>
        <w:rPr>
          <w:b/>
          <w:bCs/>
        </w:rPr>
      </w:pPr>
    </w:p>
    <w:p w14:paraId="20732D70" w14:textId="3EBA0409" w:rsidR="00661401" w:rsidRPr="00A278DD" w:rsidRDefault="00661401" w:rsidP="005E15C6">
      <w:pPr>
        <w:pStyle w:val="NumberedParas"/>
        <w:numPr>
          <w:ilvl w:val="0"/>
          <w:numId w:val="0"/>
        </w:numPr>
        <w:ind w:left="1134"/>
        <w:rPr>
          <w:b/>
          <w:bCs/>
        </w:rPr>
      </w:pPr>
      <w:r w:rsidRPr="00A278DD">
        <w:rPr>
          <w:b/>
          <w:bCs/>
        </w:rPr>
        <w:t>Relationship with decision VI/8d</w:t>
      </w:r>
    </w:p>
    <w:p w14:paraId="6E74CE8F" w14:textId="2C867B3C" w:rsidR="00BB5777" w:rsidRPr="00A278DD" w:rsidRDefault="004F3B35" w:rsidP="005E15C6">
      <w:pPr>
        <w:pStyle w:val="NumberedParas"/>
        <w:ind w:left="1134" w:firstLine="0"/>
        <w:rPr>
          <w:rStyle w:val="st"/>
        </w:rPr>
      </w:pPr>
      <w:r w:rsidRPr="00A278DD">
        <w:rPr>
          <w:rStyle w:val="st"/>
        </w:rPr>
        <w:t xml:space="preserve">The Party concerned </w:t>
      </w:r>
      <w:r w:rsidR="00661401" w:rsidRPr="00A278DD">
        <w:rPr>
          <w:rStyle w:val="st"/>
        </w:rPr>
        <w:t xml:space="preserve">submits </w:t>
      </w:r>
      <w:r w:rsidRPr="00A278DD">
        <w:rPr>
          <w:rStyle w:val="st"/>
        </w:rPr>
        <w:t xml:space="preserve">that the communication does not provide any new facts that have not already been considered under </w:t>
      </w:r>
      <w:r w:rsidR="00661401" w:rsidRPr="00A278DD">
        <w:rPr>
          <w:rStyle w:val="st"/>
        </w:rPr>
        <w:t>d</w:t>
      </w:r>
      <w:r w:rsidRPr="00A278DD">
        <w:rPr>
          <w:rStyle w:val="st"/>
        </w:rPr>
        <w:t>ecision V/9d of the Meeting of the Parties under communication ACCC/C/2011/58 (Bulgaria) or communication ACCC/C/2012/76 (Bulgaria).</w:t>
      </w:r>
      <w:r w:rsidRPr="00A278DD">
        <w:rPr>
          <w:rStyle w:val="FootnoteReference"/>
        </w:rPr>
        <w:footnoteReference w:id="115"/>
      </w:r>
      <w:r w:rsidRPr="00A278DD">
        <w:rPr>
          <w:rStyle w:val="st"/>
        </w:rPr>
        <w:t xml:space="preserve"> </w:t>
      </w:r>
    </w:p>
    <w:p w14:paraId="12252F06" w14:textId="4411063E" w:rsidR="004F3B35" w:rsidRPr="00A278DD" w:rsidRDefault="004F3B35" w:rsidP="005E15C6">
      <w:pPr>
        <w:pStyle w:val="NumberedParas"/>
        <w:ind w:left="1134" w:firstLine="0"/>
        <w:rPr>
          <w:rStyle w:val="st"/>
        </w:rPr>
      </w:pPr>
      <w:r w:rsidRPr="00A278DD">
        <w:rPr>
          <w:rStyle w:val="st"/>
        </w:rPr>
        <w:t xml:space="preserve">The Committee </w:t>
      </w:r>
      <w:r w:rsidR="005F247E" w:rsidRPr="00A278DD">
        <w:rPr>
          <w:rStyle w:val="st"/>
        </w:rPr>
        <w:t>points out that neither its findings on communication ACCC/C/2011/58 (Bulgaria) or communication ACCC/C/2012/76 (Bulgaria) examine the compliance of the Party concerned with article 7 of the Convention with respect to decision-making on GSPs and GSP amendments</w:t>
      </w:r>
      <w:r w:rsidR="00661401" w:rsidRPr="00A278DD">
        <w:rPr>
          <w:rStyle w:val="st"/>
        </w:rPr>
        <w:t>.</w:t>
      </w:r>
      <w:r w:rsidR="005F247E" w:rsidRPr="00A278DD">
        <w:rPr>
          <w:rStyle w:val="st"/>
        </w:rPr>
        <w:t xml:space="preserve"> Likewise, the allegations in the present communication concerning adequate and effective remedies under article 9(4) of the Convention relate to different matters than </w:t>
      </w:r>
      <w:r w:rsidR="00DA1D12">
        <w:rPr>
          <w:rStyle w:val="st"/>
        </w:rPr>
        <w:t xml:space="preserve">those examined by </w:t>
      </w:r>
      <w:r w:rsidR="005F247E" w:rsidRPr="00A278DD">
        <w:rPr>
          <w:rStyle w:val="st"/>
        </w:rPr>
        <w:t xml:space="preserve">the Committee in its two previous findings. The Committee accordingly examines the communication </w:t>
      </w:r>
      <w:r w:rsidR="0025066E">
        <w:rPr>
          <w:rStyle w:val="st"/>
        </w:rPr>
        <w:t>in the present findings</w:t>
      </w:r>
      <w:r w:rsidR="005F247E" w:rsidRPr="00A278DD">
        <w:rPr>
          <w:rStyle w:val="st"/>
        </w:rPr>
        <w:t>.</w:t>
      </w:r>
    </w:p>
    <w:p w14:paraId="3789C263" w14:textId="77777777" w:rsidR="00BB5777" w:rsidRPr="00A278DD" w:rsidRDefault="00BB5777" w:rsidP="005E15C6">
      <w:pPr>
        <w:ind w:left="1134"/>
        <w:rPr>
          <w:b/>
          <w:iCs/>
        </w:rPr>
      </w:pPr>
      <w:bookmarkStart w:id="31" w:name="_Hlk51930152"/>
    </w:p>
    <w:p w14:paraId="3AF31533" w14:textId="77777777" w:rsidR="00BB5777" w:rsidRPr="00A278DD" w:rsidRDefault="00BB5777" w:rsidP="005E15C6">
      <w:pPr>
        <w:pStyle w:val="Heading3"/>
        <w:ind w:left="1134"/>
      </w:pPr>
      <w:r w:rsidRPr="00A278DD">
        <w:lastRenderedPageBreak/>
        <w:t>Article 9(</w:t>
      </w:r>
      <w:r w:rsidR="008C5C70" w:rsidRPr="00A278DD">
        <w:t>4</w:t>
      </w:r>
      <w:r w:rsidRPr="00A278DD">
        <w:t xml:space="preserve">) </w:t>
      </w:r>
      <w:r w:rsidR="008C5C70" w:rsidRPr="00A278DD">
        <w:t>in conjunction with article 9(3) – failure to provide adequate and effective remedies</w:t>
      </w:r>
    </w:p>
    <w:p w14:paraId="1A811913" w14:textId="63690B7D" w:rsidR="00451FEE" w:rsidRPr="00A278DD" w:rsidRDefault="005A3B7E" w:rsidP="005E15C6">
      <w:pPr>
        <w:pStyle w:val="NumberedParas"/>
        <w:ind w:left="1134" w:firstLine="0"/>
      </w:pPr>
      <w:r w:rsidRPr="00A278DD">
        <w:t xml:space="preserve">In its findings on communication </w:t>
      </w:r>
      <w:r w:rsidR="00BB5777" w:rsidRPr="00A278DD">
        <w:t>ACCC/2011</w:t>
      </w:r>
      <w:r w:rsidR="0028099D" w:rsidRPr="00A278DD">
        <w:t>/</w:t>
      </w:r>
      <w:r w:rsidR="00BB5777" w:rsidRPr="00A278DD">
        <w:t xml:space="preserve">58 </w:t>
      </w:r>
      <w:r w:rsidR="00451FEE" w:rsidRPr="00A278DD">
        <w:t>(</w:t>
      </w:r>
      <w:r w:rsidRPr="00A278DD">
        <w:t>Bulgaria</w:t>
      </w:r>
      <w:r w:rsidR="00451FEE" w:rsidRPr="00A278DD">
        <w:t>)</w:t>
      </w:r>
      <w:r w:rsidRPr="00A278DD">
        <w:t>, the Committee held</w:t>
      </w:r>
      <w:r w:rsidR="00451FEE" w:rsidRPr="00A278DD">
        <w:t xml:space="preserve"> </w:t>
      </w:r>
      <w:r w:rsidR="00BB5777" w:rsidRPr="00A278DD">
        <w:t xml:space="preserve">that: </w:t>
      </w:r>
    </w:p>
    <w:p w14:paraId="65ABB5AF" w14:textId="7537CBAE" w:rsidR="00BB5777" w:rsidRPr="00A278DD" w:rsidRDefault="00BB5777" w:rsidP="005E15C6">
      <w:pPr>
        <w:pStyle w:val="Quote"/>
        <w:ind w:left="1701"/>
      </w:pPr>
      <w:r w:rsidRPr="00A278DD">
        <w:t>the characteristics of the General Spatial Plans indicate that that these plans are binding administrative acts, which determine future development of the area. They are mandatory for the preparation of the Detailed Spatial Plans, and thus also binding, although indirectly, for the specific investment activities, which must comply with them. Moreover, they are subject to obligatory SEA and are related to the environment since they can influence the environment of the regulated area. Consequently, the General Spatial Plans have the legal nature of acts of administrative authorities which may contravene provisions of national law related to the environment and the Committee reviews access to justice in respect to these plans in the light of article 9, paragraph 3, of the Convention.</w:t>
      </w:r>
      <w:r w:rsidR="00451FEE" w:rsidRPr="00A278DD">
        <w:rPr>
          <w:rStyle w:val="FootnoteReference"/>
        </w:rPr>
        <w:footnoteReference w:id="116"/>
      </w:r>
    </w:p>
    <w:p w14:paraId="0765D4DE" w14:textId="77777777" w:rsidR="00BB5777" w:rsidRPr="00A278DD" w:rsidRDefault="00451FEE" w:rsidP="005E15C6">
      <w:pPr>
        <w:pStyle w:val="NumberedParas"/>
        <w:ind w:left="1134" w:firstLine="0"/>
      </w:pPr>
      <w:r w:rsidRPr="00A278DD">
        <w:t xml:space="preserve">In </w:t>
      </w:r>
      <w:r w:rsidR="00142981" w:rsidRPr="00A278DD">
        <w:t xml:space="preserve">line </w:t>
      </w:r>
      <w:r w:rsidRPr="00A278DD">
        <w:t xml:space="preserve">with the </w:t>
      </w:r>
      <w:r w:rsidR="00142981" w:rsidRPr="00A278DD">
        <w:t xml:space="preserve">above </w:t>
      </w:r>
      <w:r w:rsidRPr="00A278DD">
        <w:t>findings</w:t>
      </w:r>
      <w:r w:rsidR="00BB5777" w:rsidRPr="00A278DD">
        <w:t xml:space="preserve">, </w:t>
      </w:r>
      <w:r w:rsidR="008C5C70" w:rsidRPr="00A278DD">
        <w:t xml:space="preserve">the Party concerned was required by article 9(3) to provide the public with access to justice with respect to </w:t>
      </w:r>
      <w:r w:rsidR="00BB5777" w:rsidRPr="00A278DD">
        <w:t xml:space="preserve">the </w:t>
      </w:r>
      <w:r w:rsidR="008C5C70" w:rsidRPr="00A278DD">
        <w:t xml:space="preserve">amendment to the Plovdiv </w:t>
      </w:r>
      <w:r w:rsidRPr="00A278DD">
        <w:t xml:space="preserve">GSP </w:t>
      </w:r>
      <w:r w:rsidR="008C5C70" w:rsidRPr="00A278DD">
        <w:t>at issue in this case. Pursuant to article 9(4) of the Convention, the Party concerned was also required to ensure adequate and effective remedies.</w:t>
      </w:r>
    </w:p>
    <w:p w14:paraId="68A3F767" w14:textId="240C13C4" w:rsidR="00BB5777" w:rsidRPr="00A278DD" w:rsidRDefault="00BB5777" w:rsidP="005E15C6">
      <w:pPr>
        <w:pStyle w:val="NumberedParas"/>
        <w:ind w:left="1134" w:firstLine="0"/>
      </w:pPr>
      <w:r w:rsidRPr="00A278DD">
        <w:t xml:space="preserve">Under paragraph 3 of decision VI/8d, </w:t>
      </w:r>
      <w:r w:rsidR="005A3B7E" w:rsidRPr="00A278DD">
        <w:t xml:space="preserve">the Meeting of the Parties recommends </w:t>
      </w:r>
      <w:r w:rsidRPr="00A278DD">
        <w:t xml:space="preserve">the Party concerned to take the necessary legislative, regulatory and administrative measures to ensure that members of the public, including environmental organizations, have access to justice with respect to </w:t>
      </w:r>
      <w:r w:rsidR="008C714E" w:rsidRPr="00A278DD">
        <w:t>GSPs</w:t>
      </w:r>
      <w:r w:rsidRPr="00A278DD">
        <w:t xml:space="preserve"> and Detailed Spatial Plans. In its </w:t>
      </w:r>
      <w:r w:rsidR="00517D1C" w:rsidRPr="00A278DD">
        <w:t>s</w:t>
      </w:r>
      <w:r w:rsidRPr="00A278DD">
        <w:t>econd progress review o</w:t>
      </w:r>
      <w:r w:rsidR="005A3B7E" w:rsidRPr="00A278DD">
        <w:t>n</w:t>
      </w:r>
      <w:r w:rsidRPr="00A278DD">
        <w:t xml:space="preserve"> the implementation of decision VI/8d, the Committee consider</w:t>
      </w:r>
      <w:r w:rsidR="00517D1C" w:rsidRPr="00A278DD">
        <w:t>ed</w:t>
      </w:r>
      <w:r w:rsidRPr="00A278DD">
        <w:t xml:space="preserve"> that the Party concerned has not demonstrated that the requirements of paragraph 3 of decision VI/8d </w:t>
      </w:r>
      <w:r w:rsidR="005A3B7E" w:rsidRPr="00A278DD">
        <w:t xml:space="preserve">had yet been </w:t>
      </w:r>
      <w:r w:rsidRPr="00A278DD">
        <w:t>met.</w:t>
      </w:r>
    </w:p>
    <w:p w14:paraId="724A4212" w14:textId="441AD763" w:rsidR="009B5ECD" w:rsidRPr="00A278DD" w:rsidRDefault="00C812B6" w:rsidP="005E15C6">
      <w:pPr>
        <w:pStyle w:val="NumberedParas"/>
        <w:ind w:left="1134" w:firstLine="0"/>
      </w:pPr>
      <w:r>
        <w:t xml:space="preserve">On </w:t>
      </w:r>
      <w:r w:rsidR="00342741" w:rsidRPr="00A278DD">
        <w:t xml:space="preserve">22 May 2014 </w:t>
      </w:r>
      <w:r w:rsidR="00B95656" w:rsidRPr="00A278DD">
        <w:t xml:space="preserve">the communicant </w:t>
      </w:r>
      <w:r w:rsidR="00342741" w:rsidRPr="00A278DD">
        <w:t xml:space="preserve">challenged </w:t>
      </w:r>
      <w:r w:rsidR="00B95656" w:rsidRPr="00A278DD">
        <w:t xml:space="preserve">the </w:t>
      </w:r>
      <w:r w:rsidR="00D54B68" w:rsidRPr="00A278DD">
        <w:t xml:space="preserve">screening </w:t>
      </w:r>
      <w:r w:rsidR="00DF5268" w:rsidRPr="00A278DD">
        <w:t xml:space="preserve">decision </w:t>
      </w:r>
      <w:r w:rsidR="00342741" w:rsidRPr="00A278DD">
        <w:t>by</w:t>
      </w:r>
      <w:r w:rsidR="00B95656" w:rsidRPr="00A278DD">
        <w:t xml:space="preserve"> the Director of RIEW-Plovdiv that no SEA was required for the proposed GSP amendment</w:t>
      </w:r>
      <w:r w:rsidR="00342741" w:rsidRPr="00A278DD">
        <w:t xml:space="preserve"> </w:t>
      </w:r>
      <w:r w:rsidR="00DF5268" w:rsidRPr="00A278DD">
        <w:t>before the Plovdiv Administrative Court</w:t>
      </w:r>
      <w:r w:rsidR="00342741" w:rsidRPr="00A278DD">
        <w:t>. On 1 October 2015, the Administrative Court rule</w:t>
      </w:r>
      <w:r w:rsidR="009B5ECD" w:rsidRPr="00A278DD">
        <w:t>d</w:t>
      </w:r>
      <w:r w:rsidR="00342741" w:rsidRPr="00A278DD">
        <w:t xml:space="preserve"> that the SEA screening decision was unlawful</w:t>
      </w:r>
      <w:r w:rsidR="00B95656" w:rsidRPr="00A278DD">
        <w:t xml:space="preserve">. </w:t>
      </w:r>
      <w:r w:rsidR="009B5ECD" w:rsidRPr="00A278DD">
        <w:t>That ruling was upheld by the Supreme Court on 15 May 2017.</w:t>
      </w:r>
    </w:p>
    <w:p w14:paraId="75571171" w14:textId="45F4DDEA" w:rsidR="00B95656" w:rsidRPr="00A278DD" w:rsidRDefault="00B95656" w:rsidP="005E15C6">
      <w:pPr>
        <w:pStyle w:val="NumberedParas"/>
        <w:ind w:left="1134" w:firstLine="0"/>
      </w:pPr>
      <w:r w:rsidRPr="00A278DD">
        <w:t xml:space="preserve">However, </w:t>
      </w:r>
      <w:r w:rsidR="00D54B68" w:rsidRPr="00A278DD">
        <w:t xml:space="preserve">already </w:t>
      </w:r>
      <w:r w:rsidR="00342741" w:rsidRPr="00A278DD">
        <w:t xml:space="preserve">during </w:t>
      </w:r>
      <w:r w:rsidR="00DF5268" w:rsidRPr="00A278DD">
        <w:t>the Administrative Court</w:t>
      </w:r>
      <w:r w:rsidR="00342741" w:rsidRPr="00A278DD">
        <w:t>’s proceedings</w:t>
      </w:r>
      <w:r w:rsidR="00DF5268" w:rsidRPr="00A278DD">
        <w:t xml:space="preserve">, the </w:t>
      </w:r>
      <w:r w:rsidR="00612280" w:rsidRPr="00A278DD">
        <w:t>Municipality of Plovdiv</w:t>
      </w:r>
      <w:r w:rsidR="009B5ECD" w:rsidRPr="00A278DD">
        <w:t xml:space="preserve"> had requested </w:t>
      </w:r>
      <w:r w:rsidR="00DF5268" w:rsidRPr="00A278DD">
        <w:t xml:space="preserve">an order for </w:t>
      </w:r>
      <w:r w:rsidRPr="00A278DD">
        <w:t xml:space="preserve">preliminary </w:t>
      </w:r>
      <w:r w:rsidR="003C403F" w:rsidRPr="00A278DD">
        <w:t>enforcement</w:t>
      </w:r>
      <w:r w:rsidRPr="00A278DD">
        <w:t xml:space="preserve"> of the SEA </w:t>
      </w:r>
      <w:r w:rsidR="00DF5268" w:rsidRPr="00A278DD">
        <w:t>screening decision</w:t>
      </w:r>
      <w:r w:rsidR="009B5ECD" w:rsidRPr="00A278DD">
        <w:t>, which the Court granted on 5 March 2015, with the result that the SEA screening decision</w:t>
      </w:r>
      <w:r w:rsidR="008C19BC" w:rsidRPr="00A278DD">
        <w:t xml:space="preserve"> had immediate</w:t>
      </w:r>
      <w:r w:rsidR="009B5ECD" w:rsidRPr="00A278DD">
        <w:t xml:space="preserve"> effect. </w:t>
      </w:r>
      <w:proofErr w:type="gramStart"/>
      <w:r w:rsidR="009B5ECD" w:rsidRPr="00A278DD">
        <w:t>As a consequence</w:t>
      </w:r>
      <w:proofErr w:type="gramEnd"/>
      <w:r w:rsidR="009B5ECD" w:rsidRPr="00A278DD">
        <w:t xml:space="preserve">, on 19 March 2015, </w:t>
      </w:r>
      <w:r w:rsidRPr="00A278DD">
        <w:t>the</w:t>
      </w:r>
      <w:r w:rsidR="00612280" w:rsidRPr="00A278DD">
        <w:t xml:space="preserve"> Municipality of Plovdiv</w:t>
      </w:r>
      <w:r w:rsidR="00DF5268" w:rsidRPr="00A278DD">
        <w:t xml:space="preserve"> took the decision approving the </w:t>
      </w:r>
      <w:r w:rsidR="00D54B68" w:rsidRPr="00A278DD">
        <w:t xml:space="preserve">Plovdiv </w:t>
      </w:r>
      <w:r w:rsidR="00DF5268" w:rsidRPr="00A278DD">
        <w:t>GSP amendment</w:t>
      </w:r>
      <w:r w:rsidR="009B5ECD" w:rsidRPr="00A278DD">
        <w:t xml:space="preserve">, </w:t>
      </w:r>
      <w:r w:rsidR="008C19BC" w:rsidRPr="00A278DD">
        <w:t>relying</w:t>
      </w:r>
      <w:r w:rsidR="009B5ECD" w:rsidRPr="00A278DD">
        <w:t xml:space="preserve"> on the contested screening decision</w:t>
      </w:r>
      <w:r w:rsidR="00342741" w:rsidRPr="00A278DD">
        <w:t xml:space="preserve">. </w:t>
      </w:r>
      <w:r w:rsidR="009B5ECD" w:rsidRPr="00A278DD">
        <w:t xml:space="preserve">This meant that, although the Supreme Administrative Court revoked the order for preliminary enforcement on 28 May 2015, by then </w:t>
      </w:r>
      <w:r w:rsidR="00342741" w:rsidRPr="00A278DD">
        <w:t xml:space="preserve">the </w:t>
      </w:r>
      <w:r w:rsidR="008C19BC" w:rsidRPr="00A278DD">
        <w:t xml:space="preserve">decision approving the GSP amendment had </w:t>
      </w:r>
      <w:proofErr w:type="gramStart"/>
      <w:r w:rsidR="008C19BC" w:rsidRPr="00A278DD">
        <w:t>entered into</w:t>
      </w:r>
      <w:proofErr w:type="gramEnd"/>
      <w:r w:rsidR="008C19BC" w:rsidRPr="00A278DD">
        <w:t xml:space="preserve"> effect and was unchallengeable</w:t>
      </w:r>
      <w:r w:rsidR="009B5ECD" w:rsidRPr="00A278DD">
        <w:t xml:space="preserve">. </w:t>
      </w:r>
    </w:p>
    <w:p w14:paraId="33763B75" w14:textId="501D7C5A" w:rsidR="00BB5777" w:rsidRPr="00A278DD" w:rsidRDefault="00BB5777" w:rsidP="005E15C6">
      <w:pPr>
        <w:pStyle w:val="NumberedParas"/>
        <w:ind w:left="1134" w:firstLine="0"/>
      </w:pPr>
      <w:r w:rsidRPr="00A278DD">
        <w:t xml:space="preserve">As the chronology of decisions and judgments </w:t>
      </w:r>
      <w:r w:rsidR="00C812B6" w:rsidRPr="00A278DD">
        <w:t xml:space="preserve">set out in paragraphs </w:t>
      </w:r>
      <w:r w:rsidR="00C812B6">
        <w:fldChar w:fldCharType="begin"/>
      </w:r>
      <w:r w:rsidR="00C812B6">
        <w:instrText xml:space="preserve"> REF _Ref74677341 \r \h </w:instrText>
      </w:r>
      <w:r w:rsidR="00C812B6">
        <w:fldChar w:fldCharType="separate"/>
      </w:r>
      <w:r w:rsidR="00033122">
        <w:rPr>
          <w:cs/>
        </w:rPr>
        <w:t>‎</w:t>
      </w:r>
      <w:r w:rsidR="00033122">
        <w:t>49</w:t>
      </w:r>
      <w:r w:rsidR="00C812B6">
        <w:fldChar w:fldCharType="end"/>
      </w:r>
      <w:r w:rsidR="00C812B6">
        <w:t xml:space="preserve"> and </w:t>
      </w:r>
      <w:r w:rsidR="00C812B6">
        <w:fldChar w:fldCharType="begin"/>
      </w:r>
      <w:r w:rsidR="00C812B6">
        <w:instrText xml:space="preserve"> REF _Ref74677348 \r \h </w:instrText>
      </w:r>
      <w:r w:rsidR="00C812B6">
        <w:fldChar w:fldCharType="separate"/>
      </w:r>
      <w:r w:rsidR="00033122">
        <w:rPr>
          <w:cs/>
        </w:rPr>
        <w:t>‎</w:t>
      </w:r>
      <w:r w:rsidR="00033122">
        <w:t>51</w:t>
      </w:r>
      <w:r w:rsidR="00C812B6">
        <w:fldChar w:fldCharType="end"/>
      </w:r>
      <w:r w:rsidR="00C812B6">
        <w:t xml:space="preserve"> - </w:t>
      </w:r>
      <w:r w:rsidR="00C812B6">
        <w:fldChar w:fldCharType="begin"/>
      </w:r>
      <w:r w:rsidR="00C812B6">
        <w:instrText xml:space="preserve"> REF _Ref18316826 \r \h </w:instrText>
      </w:r>
      <w:r w:rsidR="00C812B6">
        <w:fldChar w:fldCharType="separate"/>
      </w:r>
      <w:r w:rsidR="00033122">
        <w:rPr>
          <w:cs/>
        </w:rPr>
        <w:t>‎</w:t>
      </w:r>
      <w:r w:rsidR="00033122">
        <w:t>58</w:t>
      </w:r>
      <w:r w:rsidR="00C812B6">
        <w:fldChar w:fldCharType="end"/>
      </w:r>
      <w:r w:rsidR="00C812B6">
        <w:t xml:space="preserve"> </w:t>
      </w:r>
      <w:r w:rsidR="00C812B6" w:rsidRPr="00A278DD">
        <w:t>above</w:t>
      </w:r>
      <w:r w:rsidR="00C812B6">
        <w:t xml:space="preserve"> </w:t>
      </w:r>
      <w:r w:rsidRPr="00A278DD">
        <w:t xml:space="preserve">shows, despite the </w:t>
      </w:r>
      <w:r w:rsidR="00D54B68" w:rsidRPr="00A278DD">
        <w:t xml:space="preserve">subsequent </w:t>
      </w:r>
      <w:r w:rsidR="00612280" w:rsidRPr="00A278DD">
        <w:t>annulment of the SEA screening decision</w:t>
      </w:r>
      <w:r w:rsidRPr="00A278DD">
        <w:t>, the mechanism of preliminary enforcement</w:t>
      </w:r>
      <w:r w:rsidR="00142981" w:rsidRPr="00A278DD">
        <w:t xml:space="preserve"> enabled</w:t>
      </w:r>
      <w:r w:rsidRPr="00A278DD">
        <w:t xml:space="preserve"> the Municipality of Plovdiv to </w:t>
      </w:r>
      <w:r w:rsidR="00612280" w:rsidRPr="00A278DD">
        <w:t>take the decision approving the</w:t>
      </w:r>
      <w:r w:rsidRPr="00A278DD">
        <w:t xml:space="preserve"> GSP amendment</w:t>
      </w:r>
      <w:r w:rsidR="00F74E06" w:rsidRPr="00A278DD">
        <w:t>, which was unappealable,</w:t>
      </w:r>
      <w:r w:rsidRPr="00A278DD">
        <w:t xml:space="preserve"> before the </w:t>
      </w:r>
      <w:r w:rsidR="00F74E06" w:rsidRPr="00A278DD">
        <w:t>SEA screening decision was annulled by the courts</w:t>
      </w:r>
      <w:r w:rsidRPr="00A278DD">
        <w:t xml:space="preserve">. It </w:t>
      </w:r>
      <w:r w:rsidR="00142981" w:rsidRPr="00A278DD">
        <w:t xml:space="preserve">is therefore clear to the Committee that, despite the Party </w:t>
      </w:r>
      <w:proofErr w:type="spellStart"/>
      <w:r w:rsidR="00142981" w:rsidRPr="00A278DD">
        <w:t>concerned’s</w:t>
      </w:r>
      <w:proofErr w:type="spellEnd"/>
      <w:r w:rsidR="00142981" w:rsidRPr="00A278DD">
        <w:t xml:space="preserve"> strong contention to the contrary, the possibility for members of the public </w:t>
      </w:r>
      <w:r w:rsidRPr="00A278DD">
        <w:t xml:space="preserve">to challenge </w:t>
      </w:r>
      <w:r w:rsidR="009B2A75" w:rsidRPr="00A278DD">
        <w:t xml:space="preserve">SEA </w:t>
      </w:r>
      <w:r w:rsidR="00612280" w:rsidRPr="00A278DD">
        <w:t>D</w:t>
      </w:r>
      <w:r w:rsidR="009B2A75" w:rsidRPr="00A278DD">
        <w:t>ecision</w:t>
      </w:r>
      <w:r w:rsidR="00142981" w:rsidRPr="00A278DD">
        <w:t>s</w:t>
      </w:r>
      <w:r w:rsidR="00612280" w:rsidRPr="00A278DD">
        <w:t>, and SEA screening decisions,</w:t>
      </w:r>
      <w:r w:rsidRPr="00A278DD">
        <w:t xml:space="preserve"> </w:t>
      </w:r>
      <w:r w:rsidR="009E7709" w:rsidRPr="00A278DD">
        <w:t xml:space="preserve">does not </w:t>
      </w:r>
      <w:r w:rsidR="00C9265A" w:rsidRPr="00A278DD">
        <w:t>provide</w:t>
      </w:r>
      <w:r w:rsidR="009E7709" w:rsidRPr="00A278DD">
        <w:t xml:space="preserve"> </w:t>
      </w:r>
      <w:r w:rsidR="00C9265A" w:rsidRPr="00A278DD">
        <w:t xml:space="preserve">an adequate and </w:t>
      </w:r>
      <w:r w:rsidR="009E7709" w:rsidRPr="00A278DD">
        <w:t>effe</w:t>
      </w:r>
      <w:r w:rsidR="00C9265A" w:rsidRPr="00A278DD">
        <w:t>c</w:t>
      </w:r>
      <w:r w:rsidR="009E7709" w:rsidRPr="00A278DD">
        <w:t xml:space="preserve">tive </w:t>
      </w:r>
      <w:r w:rsidR="00C9265A" w:rsidRPr="00A278DD">
        <w:t xml:space="preserve">remedy to </w:t>
      </w:r>
      <w:r w:rsidR="009E7709" w:rsidRPr="00A278DD">
        <w:t>prevent the execution of unlawful GSPs</w:t>
      </w:r>
      <w:r w:rsidR="00612280" w:rsidRPr="00A278DD">
        <w:t xml:space="preserve"> and GSP amendments</w:t>
      </w:r>
      <w:r w:rsidR="00C9265A" w:rsidRPr="00A278DD">
        <w:t>.</w:t>
      </w:r>
    </w:p>
    <w:p w14:paraId="59D3BDDC" w14:textId="2178EB65" w:rsidR="00876A55" w:rsidRPr="00A278DD" w:rsidRDefault="00876A55" w:rsidP="005E15C6">
      <w:pPr>
        <w:pStyle w:val="NumberedParas"/>
        <w:ind w:left="1134" w:firstLine="0"/>
      </w:pPr>
      <w:r w:rsidRPr="00A278DD">
        <w:t xml:space="preserve">The legislation of the Party concerned includes a possibility for </w:t>
      </w:r>
      <w:r w:rsidR="00B95656" w:rsidRPr="00A278DD">
        <w:t xml:space="preserve">an </w:t>
      </w:r>
      <w:r w:rsidRPr="00A278DD">
        <w:t xml:space="preserve">administrative authority – </w:t>
      </w:r>
      <w:r w:rsidR="00B95656" w:rsidRPr="00A278DD">
        <w:t xml:space="preserve">including </w:t>
      </w:r>
      <w:r w:rsidRPr="00A278DD">
        <w:t xml:space="preserve">the </w:t>
      </w:r>
      <w:r w:rsidR="001D75E6" w:rsidRPr="00A278DD">
        <w:t>MOEW</w:t>
      </w:r>
      <w:r w:rsidRPr="00A278DD">
        <w:t xml:space="preserve"> </w:t>
      </w:r>
      <w:r w:rsidR="00B95656" w:rsidRPr="00A278DD">
        <w:t xml:space="preserve">and </w:t>
      </w:r>
      <w:r w:rsidRPr="00A278DD">
        <w:t xml:space="preserve">the RIEW – to impose a </w:t>
      </w:r>
      <w:r w:rsidR="00D412AA" w:rsidRPr="00A278DD">
        <w:t>CAM</w:t>
      </w:r>
      <w:r w:rsidRPr="00A278DD">
        <w:t xml:space="preserve"> to suspend the implementation of </w:t>
      </w:r>
      <w:r w:rsidR="00B95656" w:rsidRPr="00A278DD">
        <w:t xml:space="preserve">a </w:t>
      </w:r>
      <w:r w:rsidRPr="00A278DD">
        <w:t xml:space="preserve">GSP amendment. However, although it is possible for a </w:t>
      </w:r>
      <w:r w:rsidR="003C403F" w:rsidRPr="00A278DD">
        <w:t xml:space="preserve">member of the public </w:t>
      </w:r>
      <w:r w:rsidRPr="00A278DD">
        <w:t xml:space="preserve">to submit a request to the administrative authority to exercise its power to </w:t>
      </w:r>
      <w:r w:rsidR="00B95656" w:rsidRPr="00A278DD">
        <w:t xml:space="preserve">prevent </w:t>
      </w:r>
      <w:r w:rsidRPr="00A278DD">
        <w:t>the execution of an administrative act</w:t>
      </w:r>
      <w:r w:rsidR="00B95656" w:rsidRPr="00A278DD">
        <w:t xml:space="preserve"> (via an “alert”, see para</w:t>
      </w:r>
      <w:r w:rsidR="00250687" w:rsidRPr="00A278DD">
        <w:t>s</w:t>
      </w:r>
      <w:r w:rsidR="00B95656" w:rsidRPr="00A278DD">
        <w:t>.</w:t>
      </w:r>
      <w:r w:rsidR="004D04EC">
        <w:t xml:space="preserve"> </w:t>
      </w:r>
      <w:r w:rsidR="004D04EC">
        <w:fldChar w:fldCharType="begin"/>
      </w:r>
      <w:r w:rsidR="004D04EC">
        <w:instrText xml:space="preserve"> REF _Ref74731400 \r \h </w:instrText>
      </w:r>
      <w:r w:rsidR="004D04EC">
        <w:fldChar w:fldCharType="separate"/>
      </w:r>
      <w:r w:rsidR="00033122">
        <w:rPr>
          <w:cs/>
        </w:rPr>
        <w:t>‎</w:t>
      </w:r>
      <w:r w:rsidR="00033122">
        <w:t>26</w:t>
      </w:r>
      <w:r w:rsidR="004D04EC">
        <w:fldChar w:fldCharType="end"/>
      </w:r>
      <w:r w:rsidR="00250687" w:rsidRPr="00A278DD">
        <w:t>-</w:t>
      </w:r>
      <w:r w:rsidR="004D04EC">
        <w:fldChar w:fldCharType="begin"/>
      </w:r>
      <w:r w:rsidR="004D04EC">
        <w:instrText xml:space="preserve"> REF _Ref74731410 \r \h </w:instrText>
      </w:r>
      <w:r w:rsidR="004D04EC">
        <w:fldChar w:fldCharType="separate"/>
      </w:r>
      <w:r w:rsidR="00033122">
        <w:rPr>
          <w:cs/>
        </w:rPr>
        <w:t>‎</w:t>
      </w:r>
      <w:r w:rsidR="00033122">
        <w:t>35</w:t>
      </w:r>
      <w:r w:rsidR="004D04EC">
        <w:fldChar w:fldCharType="end"/>
      </w:r>
      <w:r w:rsidR="00033122">
        <w:t xml:space="preserve"> </w:t>
      </w:r>
      <w:proofErr w:type="gramStart"/>
      <w:r w:rsidR="00B95656" w:rsidRPr="00A278DD">
        <w:t>above)</w:t>
      </w:r>
      <w:r w:rsidRPr="00A278DD">
        <w:t>,</w:t>
      </w:r>
      <w:proofErr w:type="gramEnd"/>
      <w:r w:rsidRPr="00A278DD">
        <w:t xml:space="preserve"> the administrative authority is under no obligation to </w:t>
      </w:r>
      <w:r w:rsidRPr="00A278DD">
        <w:lastRenderedPageBreak/>
        <w:t xml:space="preserve">exercise this power, as </w:t>
      </w:r>
      <w:r w:rsidR="00142981" w:rsidRPr="00A278DD">
        <w:t xml:space="preserve">is </w:t>
      </w:r>
      <w:r w:rsidRPr="00A278DD">
        <w:t xml:space="preserve">demonstrated by the facts of the case. </w:t>
      </w:r>
      <w:r w:rsidR="00142981" w:rsidRPr="00A278DD">
        <w:t xml:space="preserve">On this point, the Committee recalls its findings on communications ACCC/C/2013/85 and ACCC/C/2013/86 (United Kingdom), in which it held “the right to ask a public authority to take action does not amount to a </w:t>
      </w:r>
      <w:r w:rsidR="001A7C5A" w:rsidRPr="00A278DD">
        <w:t>‘</w:t>
      </w:r>
      <w:r w:rsidR="00142981" w:rsidRPr="00A278DD">
        <w:t>challenge</w:t>
      </w:r>
      <w:r w:rsidR="001A7C5A" w:rsidRPr="00A278DD">
        <w:t>’</w:t>
      </w:r>
      <w:r w:rsidR="00142981" w:rsidRPr="00A278DD">
        <w:t xml:space="preserve"> in the sense of article 9, paragraph, 3, and especially not if the commencement of action is at the discretion of the authority”.</w:t>
      </w:r>
      <w:r w:rsidR="00142981" w:rsidRPr="00A278DD">
        <w:rPr>
          <w:rStyle w:val="FootnoteReference"/>
        </w:rPr>
        <w:footnoteReference w:id="117"/>
      </w:r>
      <w:r w:rsidR="00142981" w:rsidRPr="00A278DD">
        <w:t xml:space="preserve"> </w:t>
      </w:r>
    </w:p>
    <w:p w14:paraId="2B279044" w14:textId="65C2245F" w:rsidR="00876A55" w:rsidRPr="00A278DD" w:rsidRDefault="00142981" w:rsidP="005E15C6">
      <w:pPr>
        <w:pStyle w:val="NumberedParas"/>
        <w:ind w:left="1134" w:firstLine="0"/>
      </w:pPr>
      <w:r w:rsidRPr="00A278DD">
        <w:t xml:space="preserve">The Committee </w:t>
      </w:r>
      <w:r w:rsidR="00B95656" w:rsidRPr="00A278DD">
        <w:t>considers</w:t>
      </w:r>
      <w:r w:rsidRPr="00A278DD">
        <w:t xml:space="preserve"> that the above finding </w:t>
      </w:r>
      <w:r w:rsidR="00606419" w:rsidRPr="00A278DD">
        <w:t xml:space="preserve">is </w:t>
      </w:r>
      <w:r w:rsidRPr="00A278DD">
        <w:t xml:space="preserve">equally applicable to </w:t>
      </w:r>
      <w:r w:rsidR="00876A55" w:rsidRPr="00A278DD">
        <w:t xml:space="preserve">the possibility under article 127(6) SDA for the </w:t>
      </w:r>
      <w:r w:rsidR="00B95656" w:rsidRPr="00A278DD">
        <w:t>C</w:t>
      </w:r>
      <w:r w:rsidR="00876A55" w:rsidRPr="00A278DD">
        <w:t xml:space="preserve">ounty </w:t>
      </w:r>
      <w:r w:rsidR="00B95656" w:rsidRPr="00A278DD">
        <w:t>G</w:t>
      </w:r>
      <w:r w:rsidR="00876A55" w:rsidRPr="00A278DD">
        <w:t xml:space="preserve">overnor to challenge the decision to amend a GSP within 14 days of its approval. The Committee finds that a referral </w:t>
      </w:r>
      <w:r w:rsidRPr="00A278DD">
        <w:t xml:space="preserve">by a member of the public </w:t>
      </w:r>
      <w:r w:rsidR="00876A55" w:rsidRPr="00A278DD">
        <w:t xml:space="preserve">to the </w:t>
      </w:r>
      <w:r w:rsidR="0048549F" w:rsidRPr="00A278DD">
        <w:t>C</w:t>
      </w:r>
      <w:r w:rsidR="00876A55" w:rsidRPr="00A278DD">
        <w:t xml:space="preserve">ounty </w:t>
      </w:r>
      <w:r w:rsidR="0048549F" w:rsidRPr="00A278DD">
        <w:t>G</w:t>
      </w:r>
      <w:r w:rsidR="00876A55" w:rsidRPr="00A278DD">
        <w:t xml:space="preserve">overnor can </w:t>
      </w:r>
      <w:r w:rsidR="00C753DE" w:rsidRPr="00A278DD">
        <w:t xml:space="preserve">neither amount to a challenge under article 9(3) </w:t>
      </w:r>
      <w:r w:rsidR="00876A55" w:rsidRPr="00A278DD">
        <w:t xml:space="preserve"> </w:t>
      </w:r>
      <w:r w:rsidR="0025066E">
        <w:t>n</w:t>
      </w:r>
      <w:r w:rsidR="00C753DE" w:rsidRPr="00A278DD">
        <w:t xml:space="preserve">or </w:t>
      </w:r>
      <w:r w:rsidR="00876A55" w:rsidRPr="00A278DD">
        <w:t>be considered as an adequate and effective remedy</w:t>
      </w:r>
      <w:r w:rsidR="00C753DE" w:rsidRPr="00A278DD">
        <w:t xml:space="preserve"> under article 9(4) of the Convention</w:t>
      </w:r>
      <w:r w:rsidR="00876A55" w:rsidRPr="00A278DD">
        <w:t xml:space="preserve">, given that the </w:t>
      </w:r>
      <w:r w:rsidR="0048549F" w:rsidRPr="00A278DD">
        <w:t>C</w:t>
      </w:r>
      <w:r w:rsidR="00876A55" w:rsidRPr="00A278DD">
        <w:t xml:space="preserve">ounty </w:t>
      </w:r>
      <w:r w:rsidR="0048549F" w:rsidRPr="00A278DD">
        <w:t>G</w:t>
      </w:r>
      <w:r w:rsidR="00876A55" w:rsidRPr="00A278DD">
        <w:t xml:space="preserve">overnor is not obliged to </w:t>
      </w:r>
      <w:r w:rsidR="0048549F" w:rsidRPr="00A278DD">
        <w:t>act on</w:t>
      </w:r>
      <w:r w:rsidR="00876A55" w:rsidRPr="00A278DD">
        <w:t xml:space="preserve"> such a request. </w:t>
      </w:r>
    </w:p>
    <w:p w14:paraId="27D65766" w14:textId="0C05518A" w:rsidR="00BB5777" w:rsidRPr="00A278DD" w:rsidRDefault="00F84EB3" w:rsidP="005E15C6">
      <w:pPr>
        <w:pStyle w:val="NumberedParas"/>
        <w:ind w:left="1134" w:firstLine="0"/>
      </w:pPr>
      <w:proofErr w:type="gramStart"/>
      <w:r w:rsidRPr="00A278DD">
        <w:t>In light of</w:t>
      </w:r>
      <w:proofErr w:type="gramEnd"/>
      <w:r w:rsidRPr="00A278DD">
        <w:t xml:space="preserve"> the above</w:t>
      </w:r>
      <w:r w:rsidR="00BB5777" w:rsidRPr="00A278DD">
        <w:t>,</w:t>
      </w:r>
      <w:r w:rsidRPr="00A278DD">
        <w:t xml:space="preserve"> the Committee considers that</w:t>
      </w:r>
      <w:r w:rsidR="00BB5777" w:rsidRPr="00A278DD">
        <w:t xml:space="preserve"> the Party concerned fail</w:t>
      </w:r>
      <w:r w:rsidR="008C5C70" w:rsidRPr="00A278DD">
        <w:t>s</w:t>
      </w:r>
      <w:r w:rsidR="00BB5777" w:rsidRPr="00A278DD">
        <w:t xml:space="preserve"> to provide </w:t>
      </w:r>
      <w:r w:rsidR="008C5C70" w:rsidRPr="00A278DD">
        <w:t xml:space="preserve">adequate and effective remedies to ensure that a GSP, </w:t>
      </w:r>
      <w:r w:rsidR="00606419" w:rsidRPr="00A278DD">
        <w:t xml:space="preserve">or </w:t>
      </w:r>
      <w:r w:rsidR="00612280" w:rsidRPr="00A278DD">
        <w:t>a GSP amendment</w:t>
      </w:r>
      <w:r w:rsidR="00606419" w:rsidRPr="00A278DD">
        <w:t xml:space="preserve">, </w:t>
      </w:r>
      <w:r w:rsidR="008C5C70" w:rsidRPr="00A278DD">
        <w:t xml:space="preserve">adopted on the basis of an </w:t>
      </w:r>
      <w:r w:rsidR="00F57FD7" w:rsidRPr="00A278DD">
        <w:t>unlawful</w:t>
      </w:r>
      <w:r w:rsidR="00D326CF" w:rsidRPr="00A278DD">
        <w:t xml:space="preserve"> </w:t>
      </w:r>
      <w:r w:rsidR="008C5C70" w:rsidRPr="00A278DD">
        <w:t>SEA decision, cannot enter into force</w:t>
      </w:r>
      <w:r w:rsidRPr="00A278DD">
        <w:t>.</w:t>
      </w:r>
    </w:p>
    <w:p w14:paraId="64E39D99" w14:textId="19A2C937" w:rsidR="00F84EB3" w:rsidRPr="00A278DD" w:rsidRDefault="00C753DE" w:rsidP="005E15C6">
      <w:pPr>
        <w:pStyle w:val="NumberedParas"/>
        <w:ind w:left="1134" w:firstLine="0"/>
      </w:pPr>
      <w:r w:rsidRPr="00A278DD">
        <w:t>T</w:t>
      </w:r>
      <w:r w:rsidR="00F84EB3" w:rsidRPr="00A278DD">
        <w:t xml:space="preserve">his lack of </w:t>
      </w:r>
      <w:r w:rsidR="008C5C70" w:rsidRPr="00A278DD">
        <w:t xml:space="preserve">adequate and </w:t>
      </w:r>
      <w:r w:rsidR="00F84EB3" w:rsidRPr="00A278DD">
        <w:t xml:space="preserve">effective remedies </w:t>
      </w:r>
      <w:r w:rsidR="008C5C70" w:rsidRPr="00A278DD">
        <w:t xml:space="preserve">against GSPs adopted on the basis of an </w:t>
      </w:r>
      <w:r w:rsidR="00F57FD7" w:rsidRPr="00A278DD">
        <w:t xml:space="preserve">unlawful </w:t>
      </w:r>
      <w:r w:rsidR="008C5C70" w:rsidRPr="00A278DD">
        <w:t xml:space="preserve">SEA decision </w:t>
      </w:r>
      <w:r w:rsidR="00F84EB3" w:rsidRPr="00A278DD">
        <w:t xml:space="preserve">is a direct consequence of the continuing non-compliance </w:t>
      </w:r>
      <w:r w:rsidR="008C5C70" w:rsidRPr="00A278DD">
        <w:t>by</w:t>
      </w:r>
      <w:r w:rsidR="00F84EB3" w:rsidRPr="00A278DD">
        <w:t xml:space="preserve"> the Party concerned </w:t>
      </w:r>
      <w:r w:rsidR="008C5C70" w:rsidRPr="00A278DD">
        <w:t xml:space="preserve">to ensure access to justice under </w:t>
      </w:r>
      <w:r w:rsidR="00876A55" w:rsidRPr="00A278DD">
        <w:t xml:space="preserve">article 9(3) </w:t>
      </w:r>
      <w:r w:rsidR="008C5C70" w:rsidRPr="00A278DD">
        <w:t>with respect to the GSPs themselves</w:t>
      </w:r>
      <w:r w:rsidR="00876A55" w:rsidRPr="00A278DD">
        <w:t xml:space="preserve">, as </w:t>
      </w:r>
      <w:r w:rsidR="004C2FCA" w:rsidRPr="00A278DD">
        <w:t xml:space="preserve">recommended by the Meeting of the Parties through </w:t>
      </w:r>
      <w:r w:rsidR="00876A55" w:rsidRPr="00A278DD">
        <w:t>decision</w:t>
      </w:r>
      <w:r w:rsidR="0048549F" w:rsidRPr="00A278DD">
        <w:t>s V/9d and</w:t>
      </w:r>
      <w:r w:rsidR="00876A55" w:rsidRPr="00A278DD">
        <w:t xml:space="preserve"> VI/8d. </w:t>
      </w:r>
      <w:r w:rsidR="00741B52" w:rsidRPr="00A278DD">
        <w:t xml:space="preserve">The Committee </w:t>
      </w:r>
      <w:r w:rsidR="009B2A75" w:rsidRPr="00A278DD">
        <w:t>considers that</w:t>
      </w:r>
      <w:r w:rsidR="004C2FCA" w:rsidRPr="00A278DD">
        <w:t>,</w:t>
      </w:r>
      <w:r w:rsidR="009B2A75" w:rsidRPr="00A278DD">
        <w:t xml:space="preserve"> in order to fulfil the requirement of article 9(4) </w:t>
      </w:r>
      <w:r w:rsidR="004C2FCA" w:rsidRPr="00A278DD">
        <w:t xml:space="preserve">to ensure adequate and </w:t>
      </w:r>
      <w:r w:rsidR="009B2A75" w:rsidRPr="00A278DD">
        <w:t xml:space="preserve">effective remedies </w:t>
      </w:r>
      <w:r w:rsidR="004C2FCA" w:rsidRPr="00A278DD">
        <w:t>regarding GSPs</w:t>
      </w:r>
      <w:r w:rsidR="00EC1B5F" w:rsidRPr="00A278DD">
        <w:t>, and GSP amendments,</w:t>
      </w:r>
      <w:r w:rsidR="004C2FCA" w:rsidRPr="00A278DD">
        <w:t xml:space="preserve"> adopted on the basis of an </w:t>
      </w:r>
      <w:r w:rsidR="00F57FD7" w:rsidRPr="00A278DD">
        <w:t>unlawful</w:t>
      </w:r>
      <w:r w:rsidR="004C2FCA" w:rsidRPr="00A278DD">
        <w:t xml:space="preserve"> SEA decision</w:t>
      </w:r>
      <w:r w:rsidR="009B2A75" w:rsidRPr="00A278DD">
        <w:t xml:space="preserve">, the </w:t>
      </w:r>
      <w:r w:rsidR="004C2FCA" w:rsidRPr="00A278DD">
        <w:t xml:space="preserve">present case makes clear that the </w:t>
      </w:r>
      <w:r w:rsidR="009B2A75" w:rsidRPr="00A278DD">
        <w:t xml:space="preserve">Party concerned </w:t>
      </w:r>
      <w:r w:rsidR="004C2FCA" w:rsidRPr="00A278DD">
        <w:t xml:space="preserve">must grant </w:t>
      </w:r>
      <w:r w:rsidR="009B2A75" w:rsidRPr="00A278DD">
        <w:t xml:space="preserve">the public the right </w:t>
      </w:r>
      <w:r w:rsidR="004C2FCA" w:rsidRPr="00A278DD">
        <w:t>under article 9(3) of the Convention to challenge GSPs, and amendments thereto, themselves</w:t>
      </w:r>
      <w:r w:rsidR="009B2A75" w:rsidRPr="00A278DD">
        <w:t>.</w:t>
      </w:r>
    </w:p>
    <w:p w14:paraId="0B21E39B" w14:textId="404ED1DF" w:rsidR="009B2A75" w:rsidRPr="00A278DD" w:rsidRDefault="009B2A75" w:rsidP="005E15C6">
      <w:pPr>
        <w:pStyle w:val="NumberedParas"/>
        <w:ind w:left="1134" w:firstLine="0"/>
      </w:pPr>
      <w:r w:rsidRPr="00A278DD">
        <w:t>Accordingly, the Committee finds that</w:t>
      </w:r>
      <w:r w:rsidR="004C2FCA" w:rsidRPr="00A278DD">
        <w:t>,</w:t>
      </w:r>
      <w:r w:rsidRPr="00A278DD">
        <w:t xml:space="preserve"> by not providing the public with </w:t>
      </w:r>
      <w:r w:rsidR="004C2FCA" w:rsidRPr="00A278DD">
        <w:t xml:space="preserve">adequate and </w:t>
      </w:r>
      <w:r w:rsidRPr="00A278DD">
        <w:t xml:space="preserve">effective remedies </w:t>
      </w:r>
      <w:r w:rsidR="00F57FD7" w:rsidRPr="00A278DD">
        <w:t xml:space="preserve">with respect to </w:t>
      </w:r>
      <w:r w:rsidR="004C2FCA" w:rsidRPr="00A278DD">
        <w:t>GSPs</w:t>
      </w:r>
      <w:r w:rsidR="00EC1B5F" w:rsidRPr="00A278DD">
        <w:t>, and amendments thereto,</w:t>
      </w:r>
      <w:r w:rsidR="004C2FCA" w:rsidRPr="00A278DD">
        <w:t xml:space="preserve"> adopted on the basis of </w:t>
      </w:r>
      <w:r w:rsidR="00F57FD7" w:rsidRPr="00A278DD">
        <w:t xml:space="preserve">unlawful </w:t>
      </w:r>
      <w:r w:rsidR="004C2FCA" w:rsidRPr="00A278DD">
        <w:t>SEA decisions</w:t>
      </w:r>
      <w:r w:rsidRPr="00A278DD">
        <w:t xml:space="preserve">, the Party concerned fails to comply with its obligations under </w:t>
      </w:r>
      <w:r w:rsidR="004C2FCA" w:rsidRPr="00A278DD">
        <w:t>article 9(4) in conjunction with article 9(3)</w:t>
      </w:r>
      <w:r w:rsidRPr="00A278DD">
        <w:t xml:space="preserve"> of the Convention.</w:t>
      </w:r>
    </w:p>
    <w:p w14:paraId="001D435D" w14:textId="77777777" w:rsidR="005E15C6" w:rsidRDefault="005E15C6" w:rsidP="005E15C6">
      <w:pPr>
        <w:pStyle w:val="Heading3"/>
        <w:ind w:left="1134"/>
      </w:pPr>
    </w:p>
    <w:p w14:paraId="2E256FCD" w14:textId="09EA647A" w:rsidR="008920E9" w:rsidRPr="00A278DD" w:rsidRDefault="008920E9" w:rsidP="005E15C6">
      <w:pPr>
        <w:pStyle w:val="Heading3"/>
        <w:ind w:left="1134"/>
      </w:pPr>
      <w:r w:rsidRPr="00A278DD">
        <w:t>Article 7</w:t>
      </w:r>
    </w:p>
    <w:p w14:paraId="6D3ED1AE" w14:textId="77777777" w:rsidR="008920E9" w:rsidRPr="00A278DD" w:rsidRDefault="008920E9" w:rsidP="005E15C6">
      <w:pPr>
        <w:pStyle w:val="NumberedParas"/>
        <w:ind w:left="1134" w:firstLine="0"/>
      </w:pPr>
      <w:r w:rsidRPr="00A278DD">
        <w:t xml:space="preserve">The Party concerned has not disputed that the Plovdiv GSP is a plan relating to the environment within the meaning of article 7 of the Convention, and thus subject to the requirements of that provision. Nor has it disputed that the amendment to the Plovdiv GSP was required by article 7 to be subject to public participation. </w:t>
      </w:r>
    </w:p>
    <w:p w14:paraId="1DFEE19F" w14:textId="77777777" w:rsidR="008920E9" w:rsidRPr="00A278DD" w:rsidRDefault="008920E9" w:rsidP="005E15C6">
      <w:pPr>
        <w:pStyle w:val="NumberedParas"/>
        <w:ind w:left="1134" w:firstLine="0"/>
      </w:pPr>
      <w:r w:rsidRPr="00A278DD">
        <w:t>The Committee examines below whether the public participation procedure met the requirements of article 7.</w:t>
      </w:r>
    </w:p>
    <w:p w14:paraId="56224955" w14:textId="01D61957" w:rsidR="00A20FF3" w:rsidRPr="00A278DD" w:rsidRDefault="0048549F" w:rsidP="005E15C6">
      <w:pPr>
        <w:pStyle w:val="Heading4"/>
        <w:ind w:left="1134"/>
      </w:pPr>
      <w:r w:rsidRPr="00A278DD">
        <w:t>N</w:t>
      </w:r>
      <w:r w:rsidR="00A20FF3" w:rsidRPr="00A278DD">
        <w:t xml:space="preserve">ecessary information </w:t>
      </w:r>
    </w:p>
    <w:p w14:paraId="7C642109" w14:textId="22C2D76E" w:rsidR="0048549F" w:rsidRPr="00A278DD" w:rsidRDefault="00501564" w:rsidP="005E15C6">
      <w:pPr>
        <w:pStyle w:val="NumberedParas"/>
        <w:ind w:left="1134" w:firstLine="0"/>
      </w:pPr>
      <w:r w:rsidRPr="00A278DD">
        <w:t xml:space="preserve">Under article 7 of the Convention, Parties are required to provide the “necessary information to the public”. </w:t>
      </w:r>
      <w:r w:rsidR="0048549F" w:rsidRPr="00A278DD">
        <w:t xml:space="preserve">As the Committee </w:t>
      </w:r>
      <w:r w:rsidR="00D9662E" w:rsidRPr="00A278DD">
        <w:t xml:space="preserve">held </w:t>
      </w:r>
      <w:r w:rsidR="0048549F" w:rsidRPr="00A278DD">
        <w:t>in its findings on communication ACCC/C/</w:t>
      </w:r>
      <w:r w:rsidR="00D9662E" w:rsidRPr="00A278DD">
        <w:t>2014</w:t>
      </w:r>
      <w:r w:rsidR="0048549F" w:rsidRPr="00A278DD">
        <w:t>/100 (United Kingdom</w:t>
      </w:r>
      <w:r w:rsidR="00D9662E" w:rsidRPr="00A278DD">
        <w:t>):</w:t>
      </w:r>
      <w:r w:rsidR="0048549F" w:rsidRPr="00A278DD">
        <w:t xml:space="preserve"> </w:t>
      </w:r>
    </w:p>
    <w:p w14:paraId="44B486A8" w14:textId="77777777" w:rsidR="00D9662E" w:rsidRPr="00A278DD" w:rsidRDefault="00D9662E" w:rsidP="004046D5">
      <w:pPr>
        <w:pStyle w:val="Quote"/>
        <w:ind w:left="1701"/>
      </w:pPr>
      <w:r w:rsidRPr="00A278DD">
        <w:t xml:space="preserve">The obligation in article 7 to provide ‘the necessary information to the public’ includes requirements both: </w:t>
      </w:r>
    </w:p>
    <w:p w14:paraId="5C9EA476" w14:textId="6D00AD12" w:rsidR="00D9662E" w:rsidRPr="00A278DD" w:rsidRDefault="00D9662E" w:rsidP="004046D5">
      <w:pPr>
        <w:pStyle w:val="Quote"/>
        <w:numPr>
          <w:ilvl w:val="0"/>
          <w:numId w:val="47"/>
        </w:numPr>
        <w:ind w:left="1701" w:firstLine="0"/>
      </w:pPr>
      <w:r w:rsidRPr="00A278DD">
        <w:t xml:space="preserve">To actively disseminate the information indicated in article 6(2), including information about the opportunities to participate and availability of the relevant information; and </w:t>
      </w:r>
    </w:p>
    <w:p w14:paraId="4D181D01" w14:textId="4DFC7350" w:rsidR="00602987" w:rsidRPr="00A278DD" w:rsidRDefault="00D9662E" w:rsidP="004046D5">
      <w:pPr>
        <w:pStyle w:val="Quote"/>
        <w:numPr>
          <w:ilvl w:val="0"/>
          <w:numId w:val="47"/>
        </w:numPr>
        <w:ind w:left="1701" w:firstLine="0"/>
      </w:pPr>
      <w:r w:rsidRPr="00A278DD">
        <w:lastRenderedPageBreak/>
        <w:t xml:space="preserve">To make available to the public all information that is in the possession of the competent authorities and is relevant to the decision-making and is to be used for that purpose. The relevant information under category (b) would normally include the following information: </w:t>
      </w:r>
    </w:p>
    <w:p w14:paraId="311D9CE9" w14:textId="68E0B3EE" w:rsidR="00602987" w:rsidRPr="00A278DD" w:rsidRDefault="00D9662E" w:rsidP="004046D5">
      <w:pPr>
        <w:pStyle w:val="Quote"/>
        <w:numPr>
          <w:ilvl w:val="1"/>
          <w:numId w:val="47"/>
        </w:numPr>
        <w:ind w:left="2268" w:hanging="283"/>
      </w:pPr>
      <w:r w:rsidRPr="00A278DD">
        <w:t xml:space="preserve">The main reports and advice issued to the competent </w:t>
      </w:r>
      <w:proofErr w:type="gramStart"/>
      <w:r w:rsidRPr="00A278DD">
        <w:t>authority;</w:t>
      </w:r>
      <w:proofErr w:type="gramEnd"/>
      <w:r w:rsidRPr="00A278DD">
        <w:t xml:space="preserve"> </w:t>
      </w:r>
    </w:p>
    <w:p w14:paraId="58195F8C" w14:textId="0F639292" w:rsidR="00602987" w:rsidRPr="00A278DD" w:rsidRDefault="00D9662E" w:rsidP="004046D5">
      <w:pPr>
        <w:pStyle w:val="Quote"/>
        <w:numPr>
          <w:ilvl w:val="1"/>
          <w:numId w:val="47"/>
        </w:numPr>
        <w:ind w:left="2268" w:hanging="283"/>
      </w:pPr>
      <w:r w:rsidRPr="00A278DD">
        <w:tab/>
        <w:t xml:space="preserve">Any information regarding possible environmental consequences and cost-benefit and other economic analyses and assumptions to be used in the </w:t>
      </w:r>
      <w:proofErr w:type="gramStart"/>
      <w:r w:rsidRPr="00A278DD">
        <w:t>decision-making;</w:t>
      </w:r>
      <w:proofErr w:type="gramEnd"/>
      <w:r w:rsidRPr="00A278DD">
        <w:t xml:space="preserve"> </w:t>
      </w:r>
    </w:p>
    <w:p w14:paraId="13CF3B7A" w14:textId="65D32E17" w:rsidR="00E774F8" w:rsidRDefault="00D9662E" w:rsidP="004046D5">
      <w:pPr>
        <w:pStyle w:val="ListParagraph"/>
        <w:numPr>
          <w:ilvl w:val="1"/>
          <w:numId w:val="47"/>
        </w:numPr>
        <w:tabs>
          <w:tab w:val="right" w:pos="567"/>
        </w:tabs>
        <w:suppressAutoHyphens/>
        <w:spacing w:line="240" w:lineRule="atLeast"/>
        <w:ind w:left="2268" w:hanging="283"/>
        <w:jc w:val="both"/>
      </w:pPr>
      <w:r w:rsidRPr="00A278DD">
        <w:t>An outline of the main alternatives studied by the competent authority.</w:t>
      </w:r>
    </w:p>
    <w:p w14:paraId="2040824B" w14:textId="77777777" w:rsidR="00E774F8" w:rsidRPr="00E774F8" w:rsidRDefault="00E774F8" w:rsidP="005E15C6">
      <w:pPr>
        <w:pStyle w:val="ListParagraph"/>
        <w:tabs>
          <w:tab w:val="right" w:pos="567"/>
        </w:tabs>
        <w:suppressAutoHyphens/>
        <w:spacing w:line="240" w:lineRule="atLeast"/>
        <w:ind w:left="1134"/>
        <w:jc w:val="both"/>
        <w:rPr>
          <w:i/>
        </w:rPr>
      </w:pPr>
    </w:p>
    <w:p w14:paraId="168C288C" w14:textId="63FA48FF" w:rsidR="00D9662E" w:rsidRPr="005E15C6" w:rsidRDefault="00D9662E" w:rsidP="005E15C6">
      <w:pPr>
        <w:numPr>
          <w:ilvl w:val="0"/>
          <w:numId w:val="37"/>
        </w:numPr>
        <w:tabs>
          <w:tab w:val="right" w:pos="567"/>
        </w:tabs>
        <w:suppressAutoHyphens/>
        <w:spacing w:line="240" w:lineRule="atLeast"/>
        <w:ind w:left="1134" w:firstLine="0"/>
        <w:jc w:val="both"/>
        <w:rPr>
          <w:iCs/>
          <w:u w:val="single"/>
        </w:rPr>
      </w:pPr>
      <w:r w:rsidRPr="005E15C6">
        <w:rPr>
          <w:iCs/>
          <w:u w:val="single"/>
        </w:rPr>
        <w:t>Information indicated in article 6(2)</w:t>
      </w:r>
    </w:p>
    <w:p w14:paraId="607373F2" w14:textId="14547FED" w:rsidR="00501564" w:rsidRPr="00A278DD" w:rsidRDefault="00A20FF3" w:rsidP="005E15C6">
      <w:pPr>
        <w:pStyle w:val="NumberedParas"/>
        <w:tabs>
          <w:tab w:val="num" w:pos="720"/>
        </w:tabs>
        <w:ind w:left="1134" w:firstLine="0"/>
      </w:pPr>
      <w:r w:rsidRPr="00A278DD">
        <w:t xml:space="preserve">As </w:t>
      </w:r>
      <w:r w:rsidR="00501564" w:rsidRPr="00A278DD">
        <w:t xml:space="preserve">noted by </w:t>
      </w:r>
      <w:r w:rsidRPr="00A278DD">
        <w:t xml:space="preserve">the Committee </w:t>
      </w:r>
      <w:r w:rsidR="002D7CB0" w:rsidRPr="00A278DD">
        <w:t>in its findings on communication ACCC/C/</w:t>
      </w:r>
      <w:r w:rsidR="002D7CB0" w:rsidRPr="00A278DD">
        <w:rPr>
          <w:iCs/>
        </w:rPr>
        <w:t>201</w:t>
      </w:r>
      <w:r w:rsidR="00436902" w:rsidRPr="00A278DD">
        <w:rPr>
          <w:iCs/>
        </w:rPr>
        <w:t>4</w:t>
      </w:r>
      <w:r w:rsidR="002D7CB0" w:rsidRPr="00A278DD">
        <w:t>/100 (United Kingdom)</w:t>
      </w:r>
      <w:r w:rsidR="00667230" w:rsidRPr="00A278DD">
        <w:t>, the requirements of article 6(2) “are incorporated by virtue of the express reference in article 7 to article 6 (3), which in turn stipulates that notice is to be carried out in accordance with article 6 (2)”.</w:t>
      </w:r>
      <w:r w:rsidR="0048549F" w:rsidRPr="00A278DD">
        <w:rPr>
          <w:vertAlign w:val="superscript"/>
        </w:rPr>
        <w:footnoteReference w:id="118"/>
      </w:r>
    </w:p>
    <w:p w14:paraId="5CDCE68A" w14:textId="1D14FB28" w:rsidR="00B36B9F" w:rsidRPr="00A278DD" w:rsidRDefault="00501564" w:rsidP="005E15C6">
      <w:pPr>
        <w:pStyle w:val="NumberedParas"/>
        <w:ind w:left="1134" w:firstLine="0"/>
      </w:pPr>
      <w:r w:rsidRPr="00A278DD">
        <w:t xml:space="preserve">In the present case, </w:t>
      </w:r>
      <w:r w:rsidR="00A20FF3" w:rsidRPr="00A278DD">
        <w:t xml:space="preserve">the notice </w:t>
      </w:r>
      <w:r w:rsidR="006967DB" w:rsidRPr="00A278DD">
        <w:t>of the</w:t>
      </w:r>
      <w:r w:rsidR="00A20FF3" w:rsidRPr="00A278DD">
        <w:t xml:space="preserve"> public hearings provided a limited level of information on the proposed </w:t>
      </w:r>
      <w:r w:rsidR="0048549F" w:rsidRPr="00A278DD">
        <w:t xml:space="preserve">GSP </w:t>
      </w:r>
      <w:r w:rsidR="00A20FF3" w:rsidRPr="00A278DD">
        <w:t>amendment</w:t>
      </w:r>
      <w:r w:rsidR="0048549F" w:rsidRPr="00A278DD">
        <w:t xml:space="preserve"> and associated public participation procedure</w:t>
      </w:r>
      <w:r w:rsidR="00300FB6" w:rsidRPr="00A278DD">
        <w:t>,</w:t>
      </w:r>
      <w:r w:rsidR="00A20FF3" w:rsidRPr="00A278DD">
        <w:t xml:space="preserve"> indicating only </w:t>
      </w:r>
      <w:r w:rsidR="006967DB" w:rsidRPr="00A278DD">
        <w:t xml:space="preserve">the location, date and time of the hearings and </w:t>
      </w:r>
      <w:r w:rsidR="00A20FF3" w:rsidRPr="00A278DD">
        <w:t>that the</w:t>
      </w:r>
      <w:r w:rsidR="005B7E73" w:rsidRPr="00A278DD">
        <w:t xml:space="preserve"> “scope” of the</w:t>
      </w:r>
      <w:r w:rsidR="00A20FF3" w:rsidRPr="00A278DD">
        <w:t xml:space="preserve"> amendment was related to</w:t>
      </w:r>
      <w:r w:rsidR="005B7E73" w:rsidRPr="00A278DD">
        <w:t xml:space="preserve"> a</w:t>
      </w:r>
      <w:r w:rsidR="00A20FF3" w:rsidRPr="00A278DD">
        <w:t xml:space="preserve"> “ZSE area within the territory of the Sports Complex </w:t>
      </w:r>
      <w:r w:rsidR="00300FB6" w:rsidRPr="00A278DD">
        <w:t>‘</w:t>
      </w:r>
      <w:r w:rsidR="00A20FF3" w:rsidRPr="00A278DD">
        <w:t>Recreation and Culture</w:t>
      </w:r>
      <w:r w:rsidR="00300FB6" w:rsidRPr="00A278DD">
        <w:t>’</w:t>
      </w:r>
      <w:r w:rsidR="00A20FF3" w:rsidRPr="00A278DD">
        <w:t>”</w:t>
      </w:r>
      <w:r w:rsidR="006967DB" w:rsidRPr="00A278DD">
        <w:t xml:space="preserve">. </w:t>
      </w:r>
    </w:p>
    <w:p w14:paraId="218516F3" w14:textId="25F2F021" w:rsidR="00A20FF3" w:rsidRPr="00A278DD" w:rsidRDefault="006967DB" w:rsidP="005E15C6">
      <w:pPr>
        <w:pStyle w:val="NumberedParas"/>
        <w:ind w:left="1134" w:firstLine="0"/>
      </w:pPr>
      <w:r w:rsidRPr="00A278DD">
        <w:t xml:space="preserve">Significantly, the notice did not clarify </w:t>
      </w:r>
      <w:r w:rsidR="00DF66B2" w:rsidRPr="00A278DD">
        <w:t>that the proposed amendment envisaged chang</w:t>
      </w:r>
      <w:r w:rsidR="003C403F" w:rsidRPr="00A278DD">
        <w:t>ing</w:t>
      </w:r>
      <w:r w:rsidR="00DF66B2" w:rsidRPr="00A278DD">
        <w:t xml:space="preserve"> the use of the </w:t>
      </w:r>
      <w:r w:rsidR="0048549F" w:rsidRPr="00A278DD">
        <w:t xml:space="preserve">relevant </w:t>
      </w:r>
      <w:r w:rsidR="00DF66B2" w:rsidRPr="00A278DD">
        <w:t>territory from a forested and partly protected area allowing no more than 1% construction, into a zone which allows 80</w:t>
      </w:r>
      <w:r w:rsidR="001A7C5A" w:rsidRPr="00A278DD">
        <w:t>% of</w:t>
      </w:r>
      <w:r w:rsidR="00DF66B2" w:rsidRPr="00A278DD">
        <w:t xml:space="preserve"> the territory to be used for construction. </w:t>
      </w:r>
      <w:r w:rsidRPr="00A278DD">
        <w:t xml:space="preserve">The notice provided no indication of how the public could access any further </w:t>
      </w:r>
      <w:r w:rsidR="00A20FF3" w:rsidRPr="00A278DD">
        <w:t xml:space="preserve">information on the </w:t>
      </w:r>
      <w:r w:rsidRPr="00A278DD">
        <w:t xml:space="preserve">draft GSP </w:t>
      </w:r>
      <w:r w:rsidR="00A20FF3" w:rsidRPr="00A278DD">
        <w:t>amendment</w:t>
      </w:r>
      <w:r w:rsidRPr="00A278DD">
        <w:t xml:space="preserve"> or the public participation procedure itself</w:t>
      </w:r>
      <w:r w:rsidR="00D35A76" w:rsidRPr="00A278DD">
        <w:t xml:space="preserve"> or any of the other information required by article 6(2)(a)-(e) of the Convention</w:t>
      </w:r>
      <w:r w:rsidR="00A20FF3" w:rsidRPr="00A278DD">
        <w:t>.</w:t>
      </w:r>
      <w:r w:rsidR="00DF66B2" w:rsidRPr="00A278DD">
        <w:t xml:space="preserve"> </w:t>
      </w:r>
    </w:p>
    <w:p w14:paraId="09CE2174" w14:textId="48F461C6" w:rsidR="00921BE5" w:rsidRPr="00A278DD" w:rsidRDefault="001C3AFB" w:rsidP="005E15C6">
      <w:pPr>
        <w:pStyle w:val="NumberedParas"/>
        <w:ind w:left="1134" w:firstLine="0"/>
      </w:pPr>
      <w:r w:rsidRPr="00A278DD">
        <w:t>Based on the evidence before it</w:t>
      </w:r>
      <w:r w:rsidR="00921BE5" w:rsidRPr="00A278DD">
        <w:t>,</w:t>
      </w:r>
      <w:r w:rsidR="002D7CB0" w:rsidRPr="00A278DD">
        <w:t xml:space="preserve"> the Committee considers</w:t>
      </w:r>
      <w:r w:rsidR="00921BE5" w:rsidRPr="00A278DD">
        <w:t xml:space="preserve"> that the information made available to the public </w:t>
      </w:r>
      <w:r w:rsidRPr="00A278DD">
        <w:t xml:space="preserve">in the notice of the public hearings </w:t>
      </w:r>
      <w:r w:rsidR="00921BE5" w:rsidRPr="00A278DD">
        <w:t xml:space="preserve">was in fact misleading in that the </w:t>
      </w:r>
      <w:r w:rsidR="009014B5" w:rsidRPr="00A278DD">
        <w:t>“</w:t>
      </w:r>
      <w:r w:rsidR="00921BE5" w:rsidRPr="00A278DD">
        <w:t>scope</w:t>
      </w:r>
      <w:r w:rsidR="009014B5" w:rsidRPr="00A278DD">
        <w:t>”</w:t>
      </w:r>
      <w:r w:rsidR="00921BE5" w:rsidRPr="00A278DD">
        <w:t xml:space="preserve"> </w:t>
      </w:r>
      <w:r w:rsidR="005B7E73" w:rsidRPr="00A278DD">
        <w:t xml:space="preserve">of the amendment </w:t>
      </w:r>
      <w:r w:rsidR="0048549F" w:rsidRPr="00A278DD">
        <w:t xml:space="preserve">as </w:t>
      </w:r>
      <w:r w:rsidR="00B36B9F" w:rsidRPr="00A278DD">
        <w:t xml:space="preserve">described </w:t>
      </w:r>
      <w:r w:rsidR="00921BE5" w:rsidRPr="00A278DD">
        <w:t xml:space="preserve">in the public notice </w:t>
      </w:r>
      <w:r w:rsidR="00B36B9F" w:rsidRPr="00A278DD">
        <w:t>was not</w:t>
      </w:r>
      <w:r w:rsidR="00921BE5" w:rsidRPr="00A278DD">
        <w:t xml:space="preserve"> an adequate description of the </w:t>
      </w:r>
      <w:r w:rsidR="007A757C" w:rsidRPr="00A278DD">
        <w:t xml:space="preserve">actual </w:t>
      </w:r>
      <w:r w:rsidR="0048549F" w:rsidRPr="00A278DD">
        <w:t>proposed GSP amendment</w:t>
      </w:r>
      <w:r w:rsidR="001A7C5A" w:rsidRPr="00A278DD">
        <w:t xml:space="preserve"> and</w:t>
      </w:r>
      <w:r w:rsidR="00921BE5" w:rsidRPr="00A278DD">
        <w:t xml:space="preserve"> was not further explained by any additional text. </w:t>
      </w:r>
      <w:r w:rsidR="002D7CB0" w:rsidRPr="00A278DD">
        <w:t xml:space="preserve">As the Committee </w:t>
      </w:r>
      <w:r w:rsidR="00D35A76" w:rsidRPr="00A278DD">
        <w:t>made clear in its findings on communication ACCC/C/2006/16 (Lithuania)</w:t>
      </w:r>
      <w:r w:rsidR="002D7CB0" w:rsidRPr="00A278DD">
        <w:t>,</w:t>
      </w:r>
      <w:r w:rsidR="00CE3F5D" w:rsidRPr="00A278DD">
        <w:t xml:space="preserve"> “inaccurate notification cannot be considered as ‘adequate’ and properly describing ‘the nature of possible decisions’ as required by the Convention”.</w:t>
      </w:r>
      <w:r w:rsidR="00CE3F5D" w:rsidRPr="00A278DD">
        <w:rPr>
          <w:rStyle w:val="FootnoteReference"/>
        </w:rPr>
        <w:footnoteReference w:id="119"/>
      </w:r>
      <w:r w:rsidR="00CE3F5D" w:rsidRPr="00A278DD">
        <w:t xml:space="preserve"> </w:t>
      </w:r>
      <w:r w:rsidR="002D7CB0" w:rsidRPr="00A278DD">
        <w:t>The Committee</w:t>
      </w:r>
      <w:r w:rsidR="00CE3F5D" w:rsidRPr="00A278DD">
        <w:t xml:space="preserve"> therefore </w:t>
      </w:r>
      <w:r w:rsidR="007A757C" w:rsidRPr="00A278DD">
        <w:t xml:space="preserve">considers that </w:t>
      </w:r>
      <w:r w:rsidR="00CE3F5D" w:rsidRPr="00A278DD">
        <w:t>the notice by the public authority in the present case</w:t>
      </w:r>
      <w:r w:rsidR="007A757C" w:rsidRPr="00A278DD">
        <w:t xml:space="preserve"> fails to comply with the obligations to</w:t>
      </w:r>
      <w:r w:rsidR="00307F09" w:rsidRPr="00A278DD">
        <w:t xml:space="preserve"> adequately</w:t>
      </w:r>
      <w:r w:rsidR="007A757C" w:rsidRPr="00A278DD">
        <w:t xml:space="preserve"> inform</w:t>
      </w:r>
      <w:r w:rsidR="00B36B9F" w:rsidRPr="00A278DD">
        <w:t xml:space="preserve"> the public</w:t>
      </w:r>
      <w:r w:rsidR="007A757C" w:rsidRPr="00A278DD">
        <w:t xml:space="preserve"> about “the proposed activity” and “the nature of the possible decisions” </w:t>
      </w:r>
      <w:r w:rsidR="002D7CB0" w:rsidRPr="00A278DD">
        <w:t>as required by</w:t>
      </w:r>
      <w:r w:rsidR="007A757C" w:rsidRPr="00A278DD">
        <w:t xml:space="preserve"> article 6(2)(a) and (b). </w:t>
      </w:r>
    </w:p>
    <w:p w14:paraId="43E602F5" w14:textId="6257D5CC" w:rsidR="001C3AFB" w:rsidRPr="00A278DD" w:rsidRDefault="001C3AFB" w:rsidP="005E15C6">
      <w:pPr>
        <w:pStyle w:val="NumberedParas"/>
        <w:ind w:left="1134" w:firstLine="0"/>
      </w:pPr>
      <w:r w:rsidRPr="00A278DD">
        <w:t>Furthermore, the notice provide</w:t>
      </w:r>
      <w:r w:rsidR="004A00DB" w:rsidRPr="00A278DD">
        <w:t>d</w:t>
      </w:r>
      <w:r w:rsidRPr="00A278DD">
        <w:t xml:space="preserve"> no indication of the public authority from which relevant information could be obtained, as required by article 6(2)(d)(iv).</w:t>
      </w:r>
    </w:p>
    <w:p w14:paraId="6A0C4419" w14:textId="5C2484F3" w:rsidR="0033289B" w:rsidRPr="00A278DD" w:rsidRDefault="00501564" w:rsidP="005E15C6">
      <w:pPr>
        <w:pStyle w:val="NumberedParas"/>
        <w:ind w:left="1134" w:firstLine="0"/>
      </w:pPr>
      <w:r w:rsidRPr="00A278DD">
        <w:t>The Committee notes that a</w:t>
      </w:r>
      <w:r w:rsidR="007A757C" w:rsidRPr="00A278DD">
        <w:t xml:space="preserve">rticle 127(1) SDA, which </w:t>
      </w:r>
      <w:r w:rsidRPr="00A278DD">
        <w:t xml:space="preserve">sets out the legal </w:t>
      </w:r>
      <w:r w:rsidRPr="00A278DD">
        <w:rPr>
          <w:rStyle w:val="st"/>
        </w:rPr>
        <w:t>framework for public participation on spatial plans and amendments thereto</w:t>
      </w:r>
      <w:r w:rsidR="007A757C" w:rsidRPr="00A278DD">
        <w:t xml:space="preserve">, </w:t>
      </w:r>
      <w:r w:rsidR="00D35A76" w:rsidRPr="00A278DD">
        <w:t xml:space="preserve">only requires that the </w:t>
      </w:r>
      <w:r w:rsidR="00663CAE" w:rsidRPr="00A278DD">
        <w:t xml:space="preserve">public </w:t>
      </w:r>
      <w:r w:rsidR="00D35A76" w:rsidRPr="00A278DD">
        <w:t xml:space="preserve">notice </w:t>
      </w:r>
      <w:r w:rsidR="00663CAE" w:rsidRPr="00A278DD">
        <w:t xml:space="preserve">indicate </w:t>
      </w:r>
      <w:r w:rsidR="00D35A76" w:rsidRPr="00A278DD">
        <w:t xml:space="preserve">the “location, date and time” of the public hearing. It does not </w:t>
      </w:r>
      <w:r w:rsidR="00A250D0" w:rsidRPr="00A278DD">
        <w:t xml:space="preserve">explicitly require the </w:t>
      </w:r>
      <w:r w:rsidR="00614AC1" w:rsidRPr="00A278DD">
        <w:t xml:space="preserve">public authority </w:t>
      </w:r>
      <w:r w:rsidR="001A7C5A" w:rsidRPr="00A278DD">
        <w:t>to ensure</w:t>
      </w:r>
      <w:r w:rsidR="00D35A76" w:rsidRPr="00A278DD">
        <w:t xml:space="preserve"> that the notice provides adequate information on </w:t>
      </w:r>
      <w:r w:rsidRPr="00A278DD">
        <w:t>“</w:t>
      </w:r>
      <w:r w:rsidR="007A757C" w:rsidRPr="00A278DD">
        <w:t>the proposed activity</w:t>
      </w:r>
      <w:r w:rsidRPr="00A278DD">
        <w:t>”</w:t>
      </w:r>
      <w:r w:rsidR="00D35A76" w:rsidRPr="00A278DD">
        <w:t>,</w:t>
      </w:r>
      <w:r w:rsidR="007A757C" w:rsidRPr="00A278DD">
        <w:t xml:space="preserve"> </w:t>
      </w:r>
      <w:r w:rsidR="00614AC1" w:rsidRPr="00A278DD">
        <w:t xml:space="preserve">“the nature of possible decisions or the draft decisions” </w:t>
      </w:r>
      <w:r w:rsidR="00663CAE" w:rsidRPr="00A278DD">
        <w:t>n</w:t>
      </w:r>
      <w:r w:rsidR="00D35A76" w:rsidRPr="00A278DD">
        <w:t>or that it includes any of the other required information listed in article 6(2)</w:t>
      </w:r>
      <w:r w:rsidR="006C75D9" w:rsidRPr="00A278DD">
        <w:t>.</w:t>
      </w:r>
      <w:r w:rsidR="005B7E73" w:rsidRPr="00A278DD">
        <w:t xml:space="preserve"> </w:t>
      </w:r>
    </w:p>
    <w:p w14:paraId="739D5DC7" w14:textId="284D8BDB" w:rsidR="00A20FF3" w:rsidRDefault="002D7CB0" w:rsidP="005E15C6">
      <w:pPr>
        <w:pStyle w:val="NumberedParas"/>
        <w:ind w:left="1134" w:firstLine="0"/>
      </w:pPr>
      <w:r w:rsidRPr="00A278DD">
        <w:t>Based on the foregoing</w:t>
      </w:r>
      <w:r w:rsidR="00A20FF3" w:rsidRPr="00A278DD">
        <w:t xml:space="preserve">, the Committee </w:t>
      </w:r>
      <w:r w:rsidR="00D90A3C" w:rsidRPr="00A278DD">
        <w:t>finds</w:t>
      </w:r>
      <w:r w:rsidR="00A20FF3" w:rsidRPr="00A278DD">
        <w:t xml:space="preserve"> that</w:t>
      </w:r>
      <w:r w:rsidRPr="00A278DD">
        <w:t>,</w:t>
      </w:r>
      <w:r w:rsidR="00A20FF3" w:rsidRPr="00A278DD">
        <w:t xml:space="preserve"> by not </w:t>
      </w:r>
      <w:r w:rsidR="00663CAE" w:rsidRPr="00A278DD">
        <w:t xml:space="preserve">ensuring that the public notice </w:t>
      </w:r>
      <w:r w:rsidR="009014B5" w:rsidRPr="00A278DD">
        <w:t xml:space="preserve">for the proposed GSP amendment </w:t>
      </w:r>
      <w:r w:rsidR="00663CAE" w:rsidRPr="00A278DD">
        <w:t xml:space="preserve">contained accurate </w:t>
      </w:r>
      <w:r w:rsidR="00501564" w:rsidRPr="00A278DD">
        <w:t xml:space="preserve">information </w:t>
      </w:r>
      <w:r w:rsidR="00663CAE" w:rsidRPr="00A278DD">
        <w:t>on</w:t>
      </w:r>
      <w:r w:rsidR="00501564" w:rsidRPr="00A278DD">
        <w:t xml:space="preserve"> “the proposed activity”</w:t>
      </w:r>
      <w:r w:rsidR="00663CAE" w:rsidRPr="00A278DD">
        <w:t xml:space="preserve"> and “the nature of the possible decision”</w:t>
      </w:r>
      <w:r w:rsidR="00501564" w:rsidRPr="00A278DD">
        <w:t xml:space="preserve"> nor </w:t>
      </w:r>
      <w:r w:rsidR="00663CAE" w:rsidRPr="00A278DD">
        <w:t xml:space="preserve">any of the other information required by article 6(2)(a)-(e) </w:t>
      </w:r>
      <w:r w:rsidR="00663CAE" w:rsidRPr="00A278DD">
        <w:lastRenderedPageBreak/>
        <w:t xml:space="preserve">except for the location, date and time of the hearing, </w:t>
      </w:r>
      <w:r w:rsidR="00501564" w:rsidRPr="00A278DD">
        <w:t xml:space="preserve">the Party concerned failed to comply with </w:t>
      </w:r>
      <w:r w:rsidR="00921BE5" w:rsidRPr="00A278DD">
        <w:t>a</w:t>
      </w:r>
      <w:r w:rsidR="00A20FF3" w:rsidRPr="00A278DD">
        <w:t xml:space="preserve">rticle 7 </w:t>
      </w:r>
      <w:r w:rsidR="003825F8" w:rsidRPr="00A278DD">
        <w:t xml:space="preserve">in conjunction with article 6(2) </w:t>
      </w:r>
      <w:r w:rsidR="00A20FF3" w:rsidRPr="00A278DD">
        <w:t>of the Convention.</w:t>
      </w:r>
      <w:r w:rsidR="00501564" w:rsidRPr="00A278DD">
        <w:t xml:space="preserve"> </w:t>
      </w:r>
    </w:p>
    <w:p w14:paraId="41FB0CE0" w14:textId="77777777" w:rsidR="004D04EC" w:rsidRPr="00A278DD" w:rsidRDefault="004D04EC" w:rsidP="004D04EC">
      <w:pPr>
        <w:pStyle w:val="NumberedParas"/>
        <w:numPr>
          <w:ilvl w:val="0"/>
          <w:numId w:val="0"/>
        </w:numPr>
        <w:ind w:left="1134"/>
      </w:pPr>
    </w:p>
    <w:p w14:paraId="2FFC1345" w14:textId="77777777" w:rsidR="00D166B9" w:rsidRPr="005E15C6" w:rsidRDefault="00D166B9" w:rsidP="005E15C6">
      <w:pPr>
        <w:numPr>
          <w:ilvl w:val="0"/>
          <w:numId w:val="37"/>
        </w:numPr>
        <w:tabs>
          <w:tab w:val="right" w:pos="567"/>
        </w:tabs>
        <w:suppressAutoHyphens/>
        <w:spacing w:line="240" w:lineRule="atLeast"/>
        <w:ind w:left="1134" w:firstLine="0"/>
        <w:jc w:val="both"/>
        <w:rPr>
          <w:iCs/>
          <w:u w:val="single"/>
        </w:rPr>
      </w:pPr>
      <w:r w:rsidRPr="005E15C6">
        <w:rPr>
          <w:iCs/>
          <w:u w:val="single"/>
        </w:rPr>
        <w:t>All information relevant to the decision-making</w:t>
      </w:r>
    </w:p>
    <w:p w14:paraId="2A173FA6" w14:textId="6FE43318" w:rsidR="00D9662E" w:rsidRPr="00A278DD" w:rsidRDefault="00D166B9" w:rsidP="005E15C6">
      <w:pPr>
        <w:pStyle w:val="NumberedParas"/>
        <w:ind w:left="1134" w:firstLine="0"/>
      </w:pPr>
      <w:r w:rsidRPr="00A278DD">
        <w:t xml:space="preserve">The communicant claims that </w:t>
      </w:r>
      <w:r w:rsidR="00D9662E" w:rsidRPr="00A278DD">
        <w:t xml:space="preserve">the </w:t>
      </w:r>
      <w:r w:rsidR="00F028BD" w:rsidRPr="00A278DD">
        <w:t xml:space="preserve">text of the </w:t>
      </w:r>
      <w:r w:rsidR="00B36B9F" w:rsidRPr="00A278DD">
        <w:t xml:space="preserve">proposed </w:t>
      </w:r>
      <w:r w:rsidR="00D9662E" w:rsidRPr="00A278DD">
        <w:t xml:space="preserve">GSP amendment itself was not made available to the public in advance of the hearing. While the Party concerned has disputed this, it has not provided the Committee with any evidence </w:t>
      </w:r>
      <w:r w:rsidR="00F028BD" w:rsidRPr="00A278DD">
        <w:t xml:space="preserve">demonstrating how the public was informed of where it could access the text of </w:t>
      </w:r>
      <w:r w:rsidR="00D9662E" w:rsidRPr="00A278DD">
        <w:t xml:space="preserve">the </w:t>
      </w:r>
      <w:r w:rsidR="00B36B9F" w:rsidRPr="00A278DD">
        <w:t xml:space="preserve">proposed GSP </w:t>
      </w:r>
      <w:r w:rsidR="00D9662E" w:rsidRPr="00A278DD">
        <w:t>amendment</w:t>
      </w:r>
      <w:r w:rsidR="00441B6F" w:rsidRPr="00A278DD">
        <w:t>, nor the text of the existing GSP,</w:t>
      </w:r>
      <w:r w:rsidR="00D9662E" w:rsidRPr="00A278DD">
        <w:t xml:space="preserve"> prior to the hearing.   </w:t>
      </w:r>
    </w:p>
    <w:p w14:paraId="58F179C7" w14:textId="7DADEC3F" w:rsidR="00D166B9" w:rsidRDefault="00D166B9" w:rsidP="005E15C6">
      <w:pPr>
        <w:pStyle w:val="NumberedParas"/>
        <w:ind w:left="1134" w:firstLine="0"/>
      </w:pPr>
      <w:r w:rsidRPr="00A278DD">
        <w:t xml:space="preserve">Without engaging in an examination of what other information </w:t>
      </w:r>
      <w:r w:rsidR="00F028BD" w:rsidRPr="00A278DD">
        <w:t xml:space="preserve">relevant to the decision-making </w:t>
      </w:r>
      <w:r w:rsidRPr="00A278DD">
        <w:t>should also have been made available to the public, the Committee finds that</w:t>
      </w:r>
      <w:r w:rsidR="00F028BD" w:rsidRPr="00A278DD">
        <w:t>,</w:t>
      </w:r>
      <w:r w:rsidRPr="00A278DD">
        <w:t xml:space="preserve"> by </w:t>
      </w:r>
      <w:r w:rsidR="001C3AFB" w:rsidRPr="00A278DD">
        <w:t>not</w:t>
      </w:r>
      <w:r w:rsidRPr="00A278DD">
        <w:t xml:space="preserve"> mak</w:t>
      </w:r>
      <w:r w:rsidR="001C3AFB" w:rsidRPr="00A278DD">
        <w:t>ing</w:t>
      </w:r>
      <w:r w:rsidRPr="00A278DD">
        <w:t xml:space="preserve"> the </w:t>
      </w:r>
      <w:r w:rsidR="00B20C09" w:rsidRPr="00A278DD">
        <w:t>text</w:t>
      </w:r>
      <w:r w:rsidR="00441B6F" w:rsidRPr="00A278DD">
        <w:t>s</w:t>
      </w:r>
      <w:r w:rsidR="00B20C09" w:rsidRPr="00A278DD">
        <w:t xml:space="preserve"> of the </w:t>
      </w:r>
      <w:r w:rsidR="00441B6F" w:rsidRPr="00A278DD">
        <w:t xml:space="preserve">existing GSP and the </w:t>
      </w:r>
      <w:r w:rsidR="00B20C09" w:rsidRPr="00A278DD">
        <w:t xml:space="preserve">proposed </w:t>
      </w:r>
      <w:r w:rsidR="00441B6F" w:rsidRPr="00A278DD">
        <w:t xml:space="preserve">GSP </w:t>
      </w:r>
      <w:r w:rsidRPr="00A278DD">
        <w:t>amendment</w:t>
      </w:r>
      <w:r w:rsidR="00441B6F" w:rsidRPr="00A278DD">
        <w:t xml:space="preserve"> </w:t>
      </w:r>
      <w:r w:rsidRPr="00A278DD">
        <w:t xml:space="preserve"> </w:t>
      </w:r>
      <w:r w:rsidR="00F028BD" w:rsidRPr="00A278DD">
        <w:t>effectively available to the public</w:t>
      </w:r>
      <w:r w:rsidRPr="00A278DD">
        <w:t>, the Party concerned failed to comply with the requirement in article 7 to provide the necessary information to the public.</w:t>
      </w:r>
    </w:p>
    <w:p w14:paraId="144D2633" w14:textId="77777777" w:rsidR="005E15C6" w:rsidRPr="00A278DD" w:rsidRDefault="005E15C6" w:rsidP="005E15C6">
      <w:pPr>
        <w:pStyle w:val="NumberedParas"/>
        <w:numPr>
          <w:ilvl w:val="0"/>
          <w:numId w:val="0"/>
        </w:numPr>
        <w:ind w:left="1134"/>
      </w:pPr>
    </w:p>
    <w:p w14:paraId="42D9A328" w14:textId="77777777" w:rsidR="00BB5777" w:rsidRPr="00A278DD" w:rsidRDefault="00A20FF3" w:rsidP="005E15C6">
      <w:pPr>
        <w:pStyle w:val="Heading4"/>
        <w:ind w:left="1134"/>
      </w:pPr>
      <w:r w:rsidRPr="00A278DD">
        <w:t>Article 7 in conjunction with article 6(3)</w:t>
      </w:r>
    </w:p>
    <w:p w14:paraId="32550388" w14:textId="01E9C4B8" w:rsidR="00BB5777" w:rsidRPr="00A278DD" w:rsidRDefault="007A3A12" w:rsidP="005E15C6">
      <w:pPr>
        <w:pStyle w:val="NumberedParas"/>
        <w:ind w:left="1134" w:firstLine="0"/>
      </w:pPr>
      <w:r w:rsidRPr="00A278DD">
        <w:t>A</w:t>
      </w:r>
      <w:r w:rsidR="00BB5777" w:rsidRPr="00A278DD">
        <w:t>rticle 6</w:t>
      </w:r>
      <w:r w:rsidR="001C65A0" w:rsidRPr="00A278DD">
        <w:t>(3)</w:t>
      </w:r>
      <w:r w:rsidR="00BB5777" w:rsidRPr="00A278DD">
        <w:t xml:space="preserve"> </w:t>
      </w:r>
      <w:r w:rsidR="003825F8" w:rsidRPr="00A278DD">
        <w:t xml:space="preserve">of the Convention </w:t>
      </w:r>
      <w:r w:rsidRPr="00A278DD">
        <w:t xml:space="preserve">is </w:t>
      </w:r>
      <w:r w:rsidR="00BB5777" w:rsidRPr="00A278DD">
        <w:t>applicable to GSP</w:t>
      </w:r>
      <w:r w:rsidRPr="00A278DD">
        <w:t xml:space="preserve">s and </w:t>
      </w:r>
      <w:r w:rsidR="00B32365" w:rsidRPr="00A278DD">
        <w:t xml:space="preserve">GSP </w:t>
      </w:r>
      <w:r w:rsidRPr="00A278DD">
        <w:t xml:space="preserve">amendments </w:t>
      </w:r>
      <w:r w:rsidR="001C65A0" w:rsidRPr="00A278DD">
        <w:t xml:space="preserve">by virtue of </w:t>
      </w:r>
      <w:r w:rsidRPr="00A278DD">
        <w:t xml:space="preserve">its </w:t>
      </w:r>
      <w:r w:rsidR="001C65A0" w:rsidRPr="00A278DD">
        <w:t>incorporation in</w:t>
      </w:r>
      <w:r w:rsidRPr="00A278DD">
        <w:t>to</w:t>
      </w:r>
      <w:r w:rsidR="001C65A0" w:rsidRPr="00A278DD">
        <w:t xml:space="preserve"> a</w:t>
      </w:r>
      <w:r w:rsidR="00BB5777" w:rsidRPr="00A278DD">
        <w:t xml:space="preserve">rticle 7 of the Convention. </w:t>
      </w:r>
      <w:r w:rsidR="00B32365" w:rsidRPr="00A278DD">
        <w:t>The Party concerned must accordingly ensure that</w:t>
      </w:r>
      <w:r w:rsidR="00467C5C" w:rsidRPr="00A278DD">
        <w:t xml:space="preserve"> public participation procedures for GSPs and their amendment include reasonable </w:t>
      </w:r>
      <w:proofErr w:type="gramStart"/>
      <w:r w:rsidR="00467C5C" w:rsidRPr="00A278DD">
        <w:t>time-frames</w:t>
      </w:r>
      <w:proofErr w:type="gramEnd"/>
      <w:r w:rsidR="00467C5C" w:rsidRPr="00A278DD">
        <w:t xml:space="preserve"> for the different phases. This includes </w:t>
      </w:r>
      <w:r w:rsidR="00B32365" w:rsidRPr="00A278DD">
        <w:t>allowing sufficient time for informing the public in accordance with article 6(2) and for the public to prepare and participate effectively.</w:t>
      </w:r>
    </w:p>
    <w:p w14:paraId="0275559F" w14:textId="77777777" w:rsidR="00BB5777" w:rsidRPr="00A278DD" w:rsidRDefault="00BB5777" w:rsidP="005E15C6">
      <w:pPr>
        <w:pStyle w:val="NumberedParas"/>
        <w:ind w:left="1134" w:firstLine="0"/>
      </w:pPr>
      <w:r w:rsidRPr="00A278DD">
        <w:t>The public hearings on the proposed GSP amendment</w:t>
      </w:r>
      <w:r w:rsidR="001C65A0" w:rsidRPr="00A278DD">
        <w:t xml:space="preserve"> took place</w:t>
      </w:r>
      <w:r w:rsidRPr="00A278DD">
        <w:t xml:space="preserve"> on 12, 13, and 14 December 2013. The Municipality published </w:t>
      </w:r>
      <w:r w:rsidR="00B32365" w:rsidRPr="00A278DD">
        <w:t xml:space="preserve">public </w:t>
      </w:r>
      <w:r w:rsidRPr="00A278DD">
        <w:t xml:space="preserve">notices </w:t>
      </w:r>
      <w:r w:rsidR="00B32365" w:rsidRPr="00A278DD">
        <w:t xml:space="preserve">announcing the </w:t>
      </w:r>
      <w:r w:rsidRPr="00A278DD">
        <w:t>hearings only two days before</w:t>
      </w:r>
      <w:r w:rsidR="001C65A0" w:rsidRPr="00A278DD">
        <w:t xml:space="preserve"> the first of these hearings</w:t>
      </w:r>
      <w:r w:rsidRPr="00A278DD">
        <w:t xml:space="preserve">, </w:t>
      </w:r>
      <w:r w:rsidR="001C65A0" w:rsidRPr="00A278DD">
        <w:t>i.e.</w:t>
      </w:r>
      <w:r w:rsidRPr="00A278DD">
        <w:t xml:space="preserve"> </w:t>
      </w:r>
      <w:r w:rsidR="001C65A0" w:rsidRPr="00A278DD">
        <w:t xml:space="preserve">on </w:t>
      </w:r>
      <w:r w:rsidRPr="00A278DD">
        <w:t xml:space="preserve">10 December 2013. </w:t>
      </w:r>
    </w:p>
    <w:p w14:paraId="6A6266BD" w14:textId="002C795A" w:rsidR="00BB5777" w:rsidRPr="00A278DD" w:rsidRDefault="00BB5777" w:rsidP="005E15C6">
      <w:pPr>
        <w:pStyle w:val="NumberedParas"/>
        <w:ind w:left="1134" w:firstLine="0"/>
      </w:pPr>
      <w:r w:rsidRPr="00A278DD">
        <w:t xml:space="preserve">The purpose of publishing </w:t>
      </w:r>
      <w:r w:rsidR="00B32365" w:rsidRPr="00A278DD">
        <w:t xml:space="preserve">notices of </w:t>
      </w:r>
      <w:r w:rsidRPr="00A278DD">
        <w:t>public hearings is</w:t>
      </w:r>
      <w:r w:rsidR="00B36B9F" w:rsidRPr="00A278DD">
        <w:t xml:space="preserve"> inter alia</w:t>
      </w:r>
      <w:r w:rsidRPr="00A278DD">
        <w:t xml:space="preserve"> to allow the public </w:t>
      </w:r>
      <w:r w:rsidR="003825F8" w:rsidRPr="00A278DD">
        <w:t>to become acquainted with the proposed activity or plan, to plan their availability and prepare for the hearing effectively</w:t>
      </w:r>
      <w:r w:rsidRPr="00A278DD">
        <w:t>. For public participation to be effective</w:t>
      </w:r>
      <w:r w:rsidR="001C65A0" w:rsidRPr="00A278DD">
        <w:t>,</w:t>
      </w:r>
      <w:r w:rsidRPr="00A278DD">
        <w:t xml:space="preserve"> </w:t>
      </w:r>
      <w:r w:rsidR="00B32365" w:rsidRPr="00A278DD">
        <w:t xml:space="preserve">it is necessary </w:t>
      </w:r>
      <w:r w:rsidRPr="00A278DD">
        <w:t>that sufficient time be allowed for the public between the announcement of a hearing and the holding of the hearing.</w:t>
      </w:r>
    </w:p>
    <w:p w14:paraId="5C0C406B" w14:textId="2D31B48F" w:rsidR="00BB5777" w:rsidRPr="00A278DD" w:rsidRDefault="00B36B9F" w:rsidP="005E15C6">
      <w:pPr>
        <w:pStyle w:val="NumberedParas"/>
        <w:ind w:left="1134" w:firstLine="0"/>
      </w:pPr>
      <w:r w:rsidRPr="00A278DD">
        <w:t>A</w:t>
      </w:r>
      <w:r w:rsidR="00BB5777" w:rsidRPr="00A278DD">
        <w:t xml:space="preserve"> two</w:t>
      </w:r>
      <w:r w:rsidR="004C43AC" w:rsidRPr="00A278DD">
        <w:t>-</w:t>
      </w:r>
      <w:r w:rsidR="00BB5777" w:rsidRPr="00A278DD">
        <w:t xml:space="preserve"> to four</w:t>
      </w:r>
      <w:r w:rsidR="001C65A0" w:rsidRPr="00A278DD">
        <w:t>-</w:t>
      </w:r>
      <w:r w:rsidR="00BB5777" w:rsidRPr="00A278DD">
        <w:t xml:space="preserve">day period is </w:t>
      </w:r>
      <w:r w:rsidR="00B32365" w:rsidRPr="00A278DD">
        <w:t xml:space="preserve">clearly </w:t>
      </w:r>
      <w:r w:rsidR="00BB5777" w:rsidRPr="00A278DD">
        <w:t xml:space="preserve">insufficient both </w:t>
      </w:r>
      <w:r w:rsidR="00B32365" w:rsidRPr="00A278DD">
        <w:t>to enable the public</w:t>
      </w:r>
      <w:r w:rsidR="00BB5777" w:rsidRPr="00A278DD">
        <w:t xml:space="preserve"> to </w:t>
      </w:r>
      <w:r w:rsidR="00B32365" w:rsidRPr="00A278DD">
        <w:t xml:space="preserve">ensure their availability to attend the hearing </w:t>
      </w:r>
      <w:proofErr w:type="gramStart"/>
      <w:r w:rsidR="00B32365" w:rsidRPr="00A278DD">
        <w:t>and also</w:t>
      </w:r>
      <w:proofErr w:type="gramEnd"/>
      <w:r w:rsidR="00B32365" w:rsidRPr="00A278DD">
        <w:t xml:space="preserve"> to prepare for the hearing in order to participate effectively.</w:t>
      </w:r>
    </w:p>
    <w:p w14:paraId="5D103EF5" w14:textId="66E8A917" w:rsidR="00BB5777" w:rsidRPr="00A278DD" w:rsidRDefault="00B32365" w:rsidP="005E15C6">
      <w:pPr>
        <w:pStyle w:val="NumberedParas"/>
        <w:ind w:left="1134" w:firstLine="0"/>
      </w:pPr>
      <w:r w:rsidRPr="00A278DD">
        <w:t>With respect to the organization of public hearings prior to the adoption of GSPs and GSP amendments, a</w:t>
      </w:r>
      <w:r w:rsidR="00BB5777" w:rsidRPr="00A278DD">
        <w:t>rticle 12</w:t>
      </w:r>
      <w:r w:rsidR="001C65A0" w:rsidRPr="00A278DD">
        <w:t>7</w:t>
      </w:r>
      <w:r w:rsidR="00BB5777" w:rsidRPr="00A278DD">
        <w:t xml:space="preserve">(1) </w:t>
      </w:r>
      <w:r w:rsidR="00C462E1" w:rsidRPr="00A278DD">
        <w:t>SDA</w:t>
      </w:r>
      <w:r w:rsidR="00BB5777" w:rsidRPr="00A278DD">
        <w:t xml:space="preserve"> </w:t>
      </w:r>
      <w:r w:rsidR="006967DB" w:rsidRPr="00A278DD">
        <w:t>contains only a requirement to publish a notice of the hearing</w:t>
      </w:r>
      <w:r w:rsidR="001C65A0" w:rsidRPr="00A278DD">
        <w:t>,</w:t>
      </w:r>
      <w:r w:rsidR="00BB5777" w:rsidRPr="00A278DD">
        <w:t xml:space="preserve"> without specifying a minimum time </w:t>
      </w:r>
      <w:r w:rsidR="006967DB" w:rsidRPr="00A278DD">
        <w:t>that the notice should be published in advance</w:t>
      </w:r>
      <w:r w:rsidR="00BB5777" w:rsidRPr="00A278DD">
        <w:t>. As the case of the amendment of Plovdiv GSP shows, this lack of specification</w:t>
      </w:r>
      <w:r w:rsidR="001C65A0" w:rsidRPr="00A278DD">
        <w:t xml:space="preserve"> </w:t>
      </w:r>
      <w:r w:rsidR="00BB5777" w:rsidRPr="00A278DD">
        <w:t>in the</w:t>
      </w:r>
      <w:r w:rsidR="001C65A0" w:rsidRPr="00A278DD">
        <w:t xml:space="preserve"> legislation of the </w:t>
      </w:r>
      <w:r w:rsidR="00BB5777" w:rsidRPr="00A278DD">
        <w:t xml:space="preserve">Party concerned </w:t>
      </w:r>
      <w:r w:rsidR="006967DB" w:rsidRPr="00A278DD">
        <w:t>does not ensure that the requirement in article 6(3) for reasonable timeframes are met</w:t>
      </w:r>
      <w:r w:rsidR="00BB5777" w:rsidRPr="00A278DD">
        <w:t>.</w:t>
      </w:r>
    </w:p>
    <w:p w14:paraId="534C2108" w14:textId="6EBF3762" w:rsidR="00BB5777" w:rsidRDefault="001C65A0" w:rsidP="005E15C6">
      <w:pPr>
        <w:pStyle w:val="NumberedParas"/>
        <w:ind w:left="1134" w:firstLine="0"/>
      </w:pPr>
      <w:r w:rsidRPr="00A278DD">
        <w:t>Therefore</w:t>
      </w:r>
      <w:r w:rsidR="00BB5777" w:rsidRPr="00A278DD">
        <w:t>, the Committee considers that</w:t>
      </w:r>
      <w:r w:rsidR="006967DB" w:rsidRPr="00A278DD">
        <w:t>,</w:t>
      </w:r>
      <w:r w:rsidR="00BB5777" w:rsidRPr="00A278DD">
        <w:t xml:space="preserve"> by not ensuring </w:t>
      </w:r>
      <w:r w:rsidR="00091BEA" w:rsidRPr="00A278DD">
        <w:t xml:space="preserve">a reasonable timeframe </w:t>
      </w:r>
      <w:r w:rsidR="00BB5777" w:rsidRPr="00A278DD">
        <w:t xml:space="preserve">between </w:t>
      </w:r>
      <w:r w:rsidR="00091BEA" w:rsidRPr="00A278DD">
        <w:t xml:space="preserve">the public notice of the hearing </w:t>
      </w:r>
      <w:r w:rsidR="004C43AC" w:rsidRPr="00A278DD">
        <w:t xml:space="preserve">on the </w:t>
      </w:r>
      <w:r w:rsidR="00441B6F" w:rsidRPr="00A278DD">
        <w:t>proposed</w:t>
      </w:r>
      <w:r w:rsidR="004C43AC" w:rsidRPr="00A278DD">
        <w:t xml:space="preserve"> amendment</w:t>
      </w:r>
      <w:r w:rsidR="00441B6F" w:rsidRPr="00A278DD">
        <w:t xml:space="preserve"> to the Plovdiv GSP</w:t>
      </w:r>
      <w:r w:rsidR="004C43AC" w:rsidRPr="00A278DD">
        <w:t xml:space="preserve"> </w:t>
      </w:r>
      <w:r w:rsidR="00091BEA" w:rsidRPr="00A278DD">
        <w:t>and the hearing itself</w:t>
      </w:r>
      <w:r w:rsidR="00BB5777" w:rsidRPr="00A278DD">
        <w:t xml:space="preserve">, </w:t>
      </w:r>
      <w:r w:rsidR="00091BEA" w:rsidRPr="00A278DD">
        <w:t xml:space="preserve">the Party concerned failed to </w:t>
      </w:r>
      <w:r w:rsidR="00BB5777" w:rsidRPr="00A278DD">
        <w:t xml:space="preserve">comply with </w:t>
      </w:r>
      <w:r w:rsidR="00091BEA" w:rsidRPr="00A278DD">
        <w:t xml:space="preserve">article 7 in conjunction with article 6(3) </w:t>
      </w:r>
      <w:r w:rsidR="00BB5777" w:rsidRPr="00A278DD">
        <w:t xml:space="preserve">of the Convention. </w:t>
      </w:r>
    </w:p>
    <w:p w14:paraId="38BCA808" w14:textId="77777777" w:rsidR="005E15C6" w:rsidRPr="00A278DD" w:rsidRDefault="005E15C6" w:rsidP="005E15C6">
      <w:pPr>
        <w:pStyle w:val="NumberedParas"/>
        <w:numPr>
          <w:ilvl w:val="0"/>
          <w:numId w:val="0"/>
        </w:numPr>
        <w:ind w:left="1134"/>
      </w:pPr>
    </w:p>
    <w:p w14:paraId="2A9C1C8E" w14:textId="77777777" w:rsidR="00BB5777" w:rsidRPr="00A278DD" w:rsidRDefault="00BB5777" w:rsidP="005E15C6">
      <w:pPr>
        <w:pStyle w:val="Heading4"/>
        <w:ind w:left="1134"/>
      </w:pPr>
      <w:r w:rsidRPr="00A278DD">
        <w:t xml:space="preserve">Article </w:t>
      </w:r>
      <w:r w:rsidR="009C043A" w:rsidRPr="00A278DD">
        <w:t>7</w:t>
      </w:r>
      <w:r w:rsidRPr="00A278DD">
        <w:t xml:space="preserve"> in conjunction with </w:t>
      </w:r>
      <w:r w:rsidR="006151C8" w:rsidRPr="00A278DD">
        <w:t>a</w:t>
      </w:r>
      <w:r w:rsidRPr="00A278DD">
        <w:t xml:space="preserve">rticle </w:t>
      </w:r>
      <w:r w:rsidR="009C043A" w:rsidRPr="00A278DD">
        <w:t>6(8)</w:t>
      </w:r>
    </w:p>
    <w:p w14:paraId="42003599" w14:textId="06ABBAB7" w:rsidR="00BB5777" w:rsidRPr="00A278DD" w:rsidRDefault="00091BEA" w:rsidP="005E15C6">
      <w:pPr>
        <w:pStyle w:val="NumberedParas"/>
        <w:ind w:left="1134" w:firstLine="0"/>
      </w:pPr>
      <w:r w:rsidRPr="00A278DD">
        <w:t xml:space="preserve">Article 6(8) is likewise applicable to GSPs and GSP amendments by virtue of its incorporation into article 7 of the Convention. The </w:t>
      </w:r>
      <w:r w:rsidR="006151C8" w:rsidRPr="00A278DD">
        <w:t xml:space="preserve">legal </w:t>
      </w:r>
      <w:r w:rsidR="00BB5777" w:rsidRPr="00A278DD">
        <w:t xml:space="preserve">framework of the Party concerned </w:t>
      </w:r>
      <w:r w:rsidRPr="00A278DD">
        <w:t xml:space="preserve">must accordingly ensure </w:t>
      </w:r>
      <w:r w:rsidR="00BB5777" w:rsidRPr="00A278DD">
        <w:t>that due account is taken of the</w:t>
      </w:r>
      <w:r w:rsidR="00DD1598" w:rsidRPr="00A278DD">
        <w:t xml:space="preserve"> outcome of</w:t>
      </w:r>
      <w:r w:rsidR="00BB5777" w:rsidRPr="00A278DD">
        <w:t xml:space="preserve"> public participation in </w:t>
      </w:r>
      <w:r w:rsidRPr="00A278DD">
        <w:t xml:space="preserve">preparation of GSPs and </w:t>
      </w:r>
      <w:r w:rsidR="00FF2208" w:rsidRPr="00A278DD">
        <w:t>GSP amendments</w:t>
      </w:r>
      <w:r w:rsidR="00BB5777" w:rsidRPr="00A278DD">
        <w:t xml:space="preserve">. </w:t>
      </w:r>
    </w:p>
    <w:p w14:paraId="1D150966" w14:textId="2D26E96A" w:rsidR="00BB5777" w:rsidRPr="00A278DD" w:rsidRDefault="00091BEA" w:rsidP="005E15C6">
      <w:pPr>
        <w:pStyle w:val="NumberedParas"/>
        <w:ind w:left="1134" w:firstLine="0"/>
      </w:pPr>
      <w:r w:rsidRPr="00A278DD">
        <w:lastRenderedPageBreak/>
        <w:t xml:space="preserve">Article 127(1) </w:t>
      </w:r>
      <w:r w:rsidR="008C714E" w:rsidRPr="00A278DD">
        <w:t>SDA</w:t>
      </w:r>
      <w:r w:rsidRPr="00A278DD">
        <w:t xml:space="preserve"> requires that a </w:t>
      </w:r>
      <w:r w:rsidR="004C43AC" w:rsidRPr="00A278DD">
        <w:rPr>
          <w:rStyle w:val="st"/>
        </w:rPr>
        <w:t>report</w:t>
      </w:r>
      <w:r w:rsidR="001B0F42" w:rsidRPr="00A278DD">
        <w:rPr>
          <w:rStyle w:val="st"/>
        </w:rPr>
        <w:t xml:space="preserve"> </w:t>
      </w:r>
      <w:r w:rsidR="00A3131C" w:rsidRPr="00A278DD">
        <w:rPr>
          <w:rStyle w:val="st"/>
        </w:rPr>
        <w:t xml:space="preserve">(“protocol”) </w:t>
      </w:r>
      <w:r w:rsidR="004C43AC" w:rsidRPr="00A278DD">
        <w:rPr>
          <w:rStyle w:val="st"/>
        </w:rPr>
        <w:t>is made of the</w:t>
      </w:r>
      <w:r w:rsidRPr="00A278DD">
        <w:rPr>
          <w:rStyle w:val="st"/>
        </w:rPr>
        <w:t xml:space="preserve"> public consultations and discussions, which is to be included with the documentation for the expert council and the municipal council.</w:t>
      </w:r>
      <w:r w:rsidRPr="00A278DD">
        <w:t xml:space="preserve"> In the present case, six public hearings were held on the </w:t>
      </w:r>
      <w:r w:rsidR="001B0F42" w:rsidRPr="00A278DD">
        <w:t xml:space="preserve">proposed </w:t>
      </w:r>
      <w:r w:rsidRPr="00A278DD">
        <w:t xml:space="preserve">GSP amendment. </w:t>
      </w:r>
      <w:r w:rsidR="00BB5777" w:rsidRPr="00A278DD">
        <w:t xml:space="preserve">The </w:t>
      </w:r>
      <w:r w:rsidR="004C43AC" w:rsidRPr="00A278DD">
        <w:t>report</w:t>
      </w:r>
      <w:r w:rsidRPr="00A278DD">
        <w:t xml:space="preserve"> of these six hearings </w:t>
      </w:r>
      <w:r w:rsidR="00BB5777" w:rsidRPr="00A278DD">
        <w:t>is a one-page summary</w:t>
      </w:r>
      <w:r w:rsidR="0061216F" w:rsidRPr="00A278DD">
        <w:t xml:space="preserve">, of which only a total of eight lines is dedicated to summarizing the comments received </w:t>
      </w:r>
      <w:proofErr w:type="gramStart"/>
      <w:r w:rsidR="0061216F" w:rsidRPr="00A278DD">
        <w:t>in the course of</w:t>
      </w:r>
      <w:proofErr w:type="gramEnd"/>
      <w:r w:rsidR="00A3131C" w:rsidRPr="00A278DD">
        <w:t xml:space="preserve"> these</w:t>
      </w:r>
      <w:r w:rsidR="0061216F" w:rsidRPr="00A278DD">
        <w:t xml:space="preserve"> six separate hearings</w:t>
      </w:r>
      <w:r w:rsidR="00BB5777" w:rsidRPr="00A278DD">
        <w:t xml:space="preserve">. </w:t>
      </w:r>
    </w:p>
    <w:p w14:paraId="4B16473A" w14:textId="3DB4B9CD" w:rsidR="00BB5777" w:rsidRPr="00A278DD" w:rsidRDefault="00BB5777" w:rsidP="005E15C6">
      <w:pPr>
        <w:pStyle w:val="NumberedParas"/>
        <w:ind w:left="1134" w:firstLine="0"/>
      </w:pPr>
      <w:r w:rsidRPr="00A278DD">
        <w:t>Th</w:t>
      </w:r>
      <w:r w:rsidR="005B6B9A" w:rsidRPr="00A278DD">
        <w:t>e</w:t>
      </w:r>
      <w:r w:rsidR="00537AAB" w:rsidRPr="00A278DD">
        <w:t xml:space="preserve">se eight lines in the </w:t>
      </w:r>
      <w:r w:rsidR="004C43AC" w:rsidRPr="00A278DD">
        <w:t xml:space="preserve">report </w:t>
      </w:r>
      <w:r w:rsidR="00537AAB" w:rsidRPr="00A278DD">
        <w:t xml:space="preserve">do </w:t>
      </w:r>
      <w:r w:rsidRPr="00A278DD">
        <w:t xml:space="preserve">not </w:t>
      </w:r>
      <w:r w:rsidR="003C5BCE" w:rsidRPr="00A278DD">
        <w:t>clearly identify the specific issues and concerns raised by the public or any proposals they made</w:t>
      </w:r>
      <w:r w:rsidRPr="00A278DD">
        <w:t xml:space="preserve">. Therefore, </w:t>
      </w:r>
      <w:r w:rsidR="0061216F" w:rsidRPr="00A278DD">
        <w:t xml:space="preserve">even </w:t>
      </w:r>
      <w:proofErr w:type="gramStart"/>
      <w:r w:rsidRPr="00A278DD">
        <w:t>assuming that</w:t>
      </w:r>
      <w:proofErr w:type="gramEnd"/>
      <w:r w:rsidRPr="00A278DD">
        <w:t xml:space="preserve"> the decision-making authorities had </w:t>
      </w:r>
      <w:r w:rsidR="00FF2208" w:rsidRPr="00A278DD">
        <w:t>the report</w:t>
      </w:r>
      <w:r w:rsidRPr="00A278DD">
        <w:t xml:space="preserve"> at their disposal, they could not</w:t>
      </w:r>
      <w:r w:rsidR="001B0F42" w:rsidRPr="00A278DD">
        <w:t xml:space="preserve"> have relied on it to </w:t>
      </w:r>
      <w:r w:rsidRPr="00A278DD">
        <w:t>take</w:t>
      </w:r>
      <w:r w:rsidR="0061216F" w:rsidRPr="00A278DD">
        <w:t xml:space="preserve"> due account</w:t>
      </w:r>
      <w:r w:rsidRPr="00A278DD">
        <w:t xml:space="preserve"> </w:t>
      </w:r>
      <w:r w:rsidR="0061216F" w:rsidRPr="00A278DD">
        <w:t>of the public’s input</w:t>
      </w:r>
      <w:r w:rsidRPr="00A278DD">
        <w:t xml:space="preserve">.  </w:t>
      </w:r>
    </w:p>
    <w:p w14:paraId="30B74640" w14:textId="4C3C1E3D" w:rsidR="00BB5777" w:rsidRPr="00A278DD" w:rsidRDefault="0061216F" w:rsidP="005E15C6">
      <w:pPr>
        <w:pStyle w:val="NumberedParas"/>
        <w:ind w:left="1134" w:firstLine="0"/>
      </w:pPr>
      <w:r w:rsidRPr="00A278DD">
        <w:t>Based on</w:t>
      </w:r>
      <w:r w:rsidR="00BB5777" w:rsidRPr="00A278DD">
        <w:t xml:space="preserve"> the </w:t>
      </w:r>
      <w:r w:rsidR="00AC2ACE" w:rsidRPr="00A278DD">
        <w:t>report</w:t>
      </w:r>
      <w:r w:rsidR="005B6B9A" w:rsidRPr="00A278DD">
        <w:t>,</w:t>
      </w:r>
      <w:r w:rsidR="00BB5777" w:rsidRPr="00A278DD">
        <w:t xml:space="preserve"> and in the absence of information indicating that </w:t>
      </w:r>
      <w:r w:rsidR="00FF2208" w:rsidRPr="00A278DD">
        <w:t xml:space="preserve">any </w:t>
      </w:r>
      <w:r w:rsidR="00BB5777" w:rsidRPr="00A278DD">
        <w:t xml:space="preserve">other </w:t>
      </w:r>
      <w:r w:rsidR="00A3131C" w:rsidRPr="00A278DD">
        <w:t xml:space="preserve">documents </w:t>
      </w:r>
      <w:r w:rsidR="00AC2ACE" w:rsidRPr="00A278DD">
        <w:t xml:space="preserve">reporting the outcome of the public participation </w:t>
      </w:r>
      <w:r w:rsidR="00BB5777" w:rsidRPr="00A278DD">
        <w:t xml:space="preserve">were available to the decision-making authorities, the public consultation process appears to </w:t>
      </w:r>
      <w:r w:rsidRPr="00A278DD">
        <w:t xml:space="preserve">have been a mere </w:t>
      </w:r>
      <w:r w:rsidR="00BB5777" w:rsidRPr="00A278DD">
        <w:t>formal</w:t>
      </w:r>
      <w:r w:rsidR="001B0F42" w:rsidRPr="00A278DD">
        <w:t>ity</w:t>
      </w:r>
      <w:r w:rsidR="00BB5777" w:rsidRPr="00A278DD">
        <w:t xml:space="preserve"> that </w:t>
      </w:r>
      <w:r w:rsidRPr="00A278DD">
        <w:t xml:space="preserve">did not enable the public to participate effectively in the </w:t>
      </w:r>
      <w:r w:rsidR="00FF2208" w:rsidRPr="00A278DD">
        <w:t xml:space="preserve">decision-making on </w:t>
      </w:r>
      <w:r w:rsidRPr="00A278DD">
        <w:t xml:space="preserve">the </w:t>
      </w:r>
      <w:r w:rsidR="001B0F42" w:rsidRPr="00A278DD">
        <w:t xml:space="preserve">proposed </w:t>
      </w:r>
      <w:r w:rsidRPr="00A278DD">
        <w:t>GSP amend</w:t>
      </w:r>
      <w:r w:rsidR="003C5BCE" w:rsidRPr="00A278DD">
        <w:t>m</w:t>
      </w:r>
      <w:r w:rsidRPr="00A278DD">
        <w:t>ent</w:t>
      </w:r>
      <w:r w:rsidR="00BB5777" w:rsidRPr="00A278DD">
        <w:t>.</w:t>
      </w:r>
    </w:p>
    <w:p w14:paraId="020ED859" w14:textId="0736B5B1" w:rsidR="00BB5777" w:rsidRPr="00A278DD" w:rsidRDefault="00BB5777" w:rsidP="005E15C6">
      <w:pPr>
        <w:pStyle w:val="NumberedParas"/>
        <w:ind w:left="1134" w:firstLine="0"/>
      </w:pPr>
      <w:r w:rsidRPr="00A278DD">
        <w:t>The Committee notes that</w:t>
      </w:r>
      <w:r w:rsidR="005B6B9A" w:rsidRPr="00A278DD">
        <w:t xml:space="preserve"> </w:t>
      </w:r>
      <w:r w:rsidR="006151C8" w:rsidRPr="00A278DD">
        <w:t xml:space="preserve">there appears to be no requirement in the legal framework of </w:t>
      </w:r>
      <w:r w:rsidR="005B6B9A" w:rsidRPr="00A278DD">
        <w:t>the</w:t>
      </w:r>
      <w:r w:rsidRPr="00A278DD">
        <w:t xml:space="preserve"> Party concerned </w:t>
      </w:r>
      <w:r w:rsidR="005B6B9A" w:rsidRPr="00A278DD">
        <w:t>which ensure</w:t>
      </w:r>
      <w:r w:rsidR="001F0122" w:rsidRPr="00A278DD">
        <w:t>s</w:t>
      </w:r>
      <w:r w:rsidRPr="00A278DD">
        <w:t xml:space="preserve"> that the </w:t>
      </w:r>
      <w:r w:rsidR="00AC2ACE" w:rsidRPr="00A278DD">
        <w:t>report recording the outcomes</w:t>
      </w:r>
      <w:r w:rsidR="00A3131C" w:rsidRPr="00A278DD">
        <w:t xml:space="preserve"> of </w:t>
      </w:r>
      <w:r w:rsidR="00AC2ACE" w:rsidRPr="00A278DD">
        <w:t xml:space="preserve">the </w:t>
      </w:r>
      <w:r w:rsidR="00A3131C" w:rsidRPr="00A278DD">
        <w:t xml:space="preserve">public participation is </w:t>
      </w:r>
      <w:proofErr w:type="gramStart"/>
      <w:r w:rsidRPr="00A278DD">
        <w:t>taken into account</w:t>
      </w:r>
      <w:proofErr w:type="gramEnd"/>
      <w:r w:rsidRPr="00A278DD">
        <w:t xml:space="preserve"> by the authorities when the decision is adopted. </w:t>
      </w:r>
      <w:r w:rsidR="003556D6" w:rsidRPr="00A278DD">
        <w:t xml:space="preserve">Accordingly, the Committee considers that the failure of the public authority to take </w:t>
      </w:r>
      <w:r w:rsidR="0061216F" w:rsidRPr="00A278DD">
        <w:t xml:space="preserve">due </w:t>
      </w:r>
      <w:r w:rsidR="003556D6" w:rsidRPr="00A278DD">
        <w:t xml:space="preserve">account </w:t>
      </w:r>
      <w:r w:rsidR="0061216F" w:rsidRPr="00A278DD">
        <w:t xml:space="preserve">of </w:t>
      </w:r>
      <w:r w:rsidR="003556D6" w:rsidRPr="00A278DD">
        <w:t>the outcome of the public participation</w:t>
      </w:r>
      <w:r w:rsidR="001B0F42" w:rsidRPr="00A278DD">
        <w:t xml:space="preserve"> is not an isolated incident but</w:t>
      </w:r>
      <w:r w:rsidR="003556D6" w:rsidRPr="00A278DD">
        <w:t xml:space="preserve"> rather appears to be caused by a systemic </w:t>
      </w:r>
      <w:r w:rsidR="0061216F" w:rsidRPr="00A278DD">
        <w:t xml:space="preserve">defect </w:t>
      </w:r>
      <w:r w:rsidR="003556D6" w:rsidRPr="00A278DD">
        <w:t xml:space="preserve">in the legal framework of the Party concerned.  </w:t>
      </w:r>
    </w:p>
    <w:p w14:paraId="0E8E92AC" w14:textId="637575F7" w:rsidR="00424E00" w:rsidRPr="00A278DD" w:rsidRDefault="003A6EA4" w:rsidP="005E15C6">
      <w:pPr>
        <w:pStyle w:val="NumberedParas"/>
        <w:ind w:left="1134" w:firstLine="0"/>
      </w:pPr>
      <w:r w:rsidRPr="00A278DD">
        <w:t xml:space="preserve">Moreover, the Committee recalls that </w:t>
      </w:r>
      <w:r w:rsidR="00424E00" w:rsidRPr="00A278DD">
        <w:t xml:space="preserve">under article 6(8), the Party concerned is not only obliged to take </w:t>
      </w:r>
      <w:r w:rsidR="00A3131C" w:rsidRPr="00A278DD">
        <w:t xml:space="preserve">due </w:t>
      </w:r>
      <w:r w:rsidR="00424E00" w:rsidRPr="00A278DD">
        <w:t>account</w:t>
      </w:r>
      <w:r w:rsidR="00A3131C" w:rsidRPr="00A278DD">
        <w:t xml:space="preserve"> of</w:t>
      </w:r>
      <w:r w:rsidR="00424E00" w:rsidRPr="00A278DD">
        <w:t xml:space="preserve"> the comments presented by the public, but also to demonstrate how it has fulfilled this obligation. As the Committee</w:t>
      </w:r>
      <w:r w:rsidR="00851843" w:rsidRPr="00A278DD">
        <w:t xml:space="preserve"> held</w:t>
      </w:r>
      <w:r w:rsidR="00424E00" w:rsidRPr="00A278DD">
        <w:t xml:space="preserve"> </w:t>
      </w:r>
      <w:r w:rsidR="006151C8" w:rsidRPr="00A278DD">
        <w:t>in its findings on communication ACCC/C/2013/96 (European Union)</w:t>
      </w:r>
      <w:r w:rsidR="003556D6" w:rsidRPr="00A278DD">
        <w:t>, “i</w:t>
      </w:r>
      <w:r w:rsidR="00424E00" w:rsidRPr="00A278DD">
        <w:t xml:space="preserve">n the process of preparing a plan this obligation could be fulfilled by following the procedure set out in article 6, paragraph 9, or any other way the Party concerns chooses to demonstrate that it has taken </w:t>
      </w:r>
      <w:r w:rsidR="003556D6" w:rsidRPr="00A278DD">
        <w:t>‘</w:t>
      </w:r>
      <w:r w:rsidR="00424E00" w:rsidRPr="00A278DD">
        <w:t>due account</w:t>
      </w:r>
      <w:r w:rsidR="003556D6" w:rsidRPr="00A278DD">
        <w:t>’</w:t>
      </w:r>
      <w:r w:rsidR="00424E00" w:rsidRPr="00A278DD">
        <w:t xml:space="preserve"> of the outcome of the public participation.</w:t>
      </w:r>
      <w:r w:rsidR="003556D6" w:rsidRPr="00A278DD">
        <w:t>”</w:t>
      </w:r>
      <w:r w:rsidR="00424E00" w:rsidRPr="00A278DD">
        <w:rPr>
          <w:rStyle w:val="FootnoteReference"/>
        </w:rPr>
        <w:footnoteReference w:id="120"/>
      </w:r>
    </w:p>
    <w:p w14:paraId="0E9D76C7" w14:textId="7C96997C" w:rsidR="00424E00" w:rsidRPr="00A278DD" w:rsidRDefault="00424E00" w:rsidP="005E15C6">
      <w:pPr>
        <w:pStyle w:val="NumberedParas"/>
        <w:ind w:left="1134" w:firstLine="0"/>
      </w:pPr>
      <w:r w:rsidRPr="00A278DD">
        <w:t xml:space="preserve">The Committee </w:t>
      </w:r>
      <w:r w:rsidR="00D90A3C" w:rsidRPr="00A278DD">
        <w:t>considers</w:t>
      </w:r>
      <w:r w:rsidRPr="00A278DD">
        <w:t xml:space="preserve"> that the Party concerned has not </w:t>
      </w:r>
      <w:r w:rsidR="003556D6" w:rsidRPr="00A278DD">
        <w:t xml:space="preserve">provided </w:t>
      </w:r>
      <w:r w:rsidR="0092679F" w:rsidRPr="00A278DD">
        <w:t xml:space="preserve">any </w:t>
      </w:r>
      <w:r w:rsidR="003556D6" w:rsidRPr="00A278DD">
        <w:t xml:space="preserve">evidence </w:t>
      </w:r>
      <w:r w:rsidR="006151C8" w:rsidRPr="00A278DD">
        <w:t xml:space="preserve">that when carrying out public participation on </w:t>
      </w:r>
      <w:r w:rsidR="00436902" w:rsidRPr="00A278DD">
        <w:t xml:space="preserve">proposed </w:t>
      </w:r>
      <w:r w:rsidR="006151C8" w:rsidRPr="00A278DD">
        <w:t>GSPs</w:t>
      </w:r>
      <w:r w:rsidR="0061216F" w:rsidRPr="00A278DD">
        <w:t xml:space="preserve"> and </w:t>
      </w:r>
      <w:r w:rsidR="00436902" w:rsidRPr="00A278DD">
        <w:t>GSP amendments</w:t>
      </w:r>
      <w:r w:rsidR="006151C8" w:rsidRPr="00A278DD">
        <w:t xml:space="preserve">, its public authorities are required to </w:t>
      </w:r>
      <w:r w:rsidRPr="00A278DD">
        <w:t xml:space="preserve">take </w:t>
      </w:r>
      <w:r w:rsidR="003556D6" w:rsidRPr="00A278DD">
        <w:t>due account of</w:t>
      </w:r>
      <w:r w:rsidRPr="00A278DD">
        <w:t xml:space="preserve"> the </w:t>
      </w:r>
      <w:r w:rsidR="0092679F" w:rsidRPr="00A278DD">
        <w:t xml:space="preserve">comments, </w:t>
      </w:r>
      <w:r w:rsidRPr="00A278DD">
        <w:t>opinions</w:t>
      </w:r>
      <w:r w:rsidR="0092679F" w:rsidRPr="00A278DD">
        <w:t>, information and analyses</w:t>
      </w:r>
      <w:r w:rsidRPr="00A278DD">
        <w:t xml:space="preserve"> expressed by the public </w:t>
      </w:r>
      <w:r w:rsidR="0092679F" w:rsidRPr="00A278DD">
        <w:t xml:space="preserve">and to demonstrate this </w:t>
      </w:r>
      <w:r w:rsidRPr="00A278DD">
        <w:t>in a transparent</w:t>
      </w:r>
      <w:r w:rsidR="003556D6" w:rsidRPr="00A278DD">
        <w:t xml:space="preserve"> and traceable</w:t>
      </w:r>
      <w:r w:rsidRPr="00A278DD">
        <w:t xml:space="preserve"> way.</w:t>
      </w:r>
    </w:p>
    <w:p w14:paraId="49E273CE" w14:textId="388B1C2A" w:rsidR="0092679F" w:rsidRPr="00A278DD" w:rsidRDefault="00BB5777" w:rsidP="005E15C6">
      <w:pPr>
        <w:pStyle w:val="NumberedParas"/>
        <w:ind w:left="1134" w:firstLine="0"/>
      </w:pPr>
      <w:r w:rsidRPr="00A278DD">
        <w:t xml:space="preserve">Therefore, the Committee </w:t>
      </w:r>
      <w:r w:rsidR="003556D6" w:rsidRPr="00A278DD">
        <w:t xml:space="preserve">finds </w:t>
      </w:r>
      <w:r w:rsidRPr="00A278DD">
        <w:t>that</w:t>
      </w:r>
      <w:r w:rsidR="005E5E5F" w:rsidRPr="00A278DD">
        <w:t xml:space="preserve"> the Party concerned</w:t>
      </w:r>
      <w:r w:rsidR="00E76F26" w:rsidRPr="00A278DD">
        <w:t>, by</w:t>
      </w:r>
      <w:r w:rsidR="0092679F" w:rsidRPr="00A278DD">
        <w:t xml:space="preserve">: </w:t>
      </w:r>
    </w:p>
    <w:p w14:paraId="0F817291" w14:textId="3C40C737" w:rsidR="0092679F" w:rsidRPr="00A278DD" w:rsidRDefault="00E76F26" w:rsidP="004046D5">
      <w:pPr>
        <w:pStyle w:val="NumberedParas"/>
        <w:numPr>
          <w:ilvl w:val="1"/>
          <w:numId w:val="43"/>
        </w:numPr>
        <w:ind w:left="1134" w:firstLine="567"/>
      </w:pPr>
      <w:r w:rsidRPr="00A278DD">
        <w:t>Failing to ensure</w:t>
      </w:r>
      <w:r w:rsidR="0092679F" w:rsidRPr="00A278DD">
        <w:t xml:space="preserve"> that due account is taken of the outcome of public participation </w:t>
      </w:r>
      <w:r w:rsidR="001B0F42" w:rsidRPr="00A278DD">
        <w:t xml:space="preserve">in </w:t>
      </w:r>
      <w:r w:rsidR="00436902" w:rsidRPr="00A278DD">
        <w:t>decision-making on proposed GSPs and GSP amendments</w:t>
      </w:r>
      <w:r w:rsidR="0092679F" w:rsidRPr="00A278DD">
        <w:t xml:space="preserve">; and </w:t>
      </w:r>
    </w:p>
    <w:p w14:paraId="7414D826" w14:textId="2AF62745" w:rsidR="0092679F" w:rsidRPr="00A278DD" w:rsidRDefault="00E76F26" w:rsidP="004046D5">
      <w:pPr>
        <w:pStyle w:val="NumberedParas"/>
        <w:numPr>
          <w:ilvl w:val="1"/>
          <w:numId w:val="43"/>
        </w:numPr>
        <w:ind w:left="1134" w:firstLine="567"/>
      </w:pPr>
      <w:r w:rsidRPr="00A278DD">
        <w:t>F</w:t>
      </w:r>
      <w:r w:rsidR="0092679F" w:rsidRPr="00A278DD">
        <w:t xml:space="preserve">ailing to demonstrate, in a transparent and traceable way, how due account was taken of the public participation </w:t>
      </w:r>
      <w:r w:rsidR="00436902" w:rsidRPr="00A278DD">
        <w:t>in the decision-making on the</w:t>
      </w:r>
      <w:r w:rsidR="0092679F" w:rsidRPr="00A278DD">
        <w:t xml:space="preserve"> </w:t>
      </w:r>
      <w:r w:rsidR="00436902" w:rsidRPr="00A278DD">
        <w:t xml:space="preserve">proposed </w:t>
      </w:r>
      <w:r w:rsidR="0092679F" w:rsidRPr="00A278DD">
        <w:t xml:space="preserve">amendment to the Plovdiv GSP, </w:t>
      </w:r>
    </w:p>
    <w:p w14:paraId="2A898BA4" w14:textId="006608B1" w:rsidR="00BB5777" w:rsidRPr="00A278DD" w:rsidRDefault="00E76F26" w:rsidP="004046D5">
      <w:pPr>
        <w:tabs>
          <w:tab w:val="right" w:pos="567"/>
        </w:tabs>
        <w:ind w:left="1134" w:right="816"/>
        <w:jc w:val="both"/>
      </w:pPr>
      <w:r w:rsidRPr="00A278DD">
        <w:t xml:space="preserve">the Party concerned </w:t>
      </w:r>
      <w:r w:rsidR="0092679F" w:rsidRPr="00A278DD">
        <w:t>has failed to comply with article 7 in conjunction with article 6 (8) of the Convention</w:t>
      </w:r>
      <w:r w:rsidR="00BB5777" w:rsidRPr="00A278DD">
        <w:t>.</w:t>
      </w:r>
    </w:p>
    <w:p w14:paraId="5EB521D7" w14:textId="755C4A83" w:rsidR="00BB5777" w:rsidRPr="00A278DD" w:rsidRDefault="00BB5777" w:rsidP="005E15C6">
      <w:pPr>
        <w:pStyle w:val="NumberedParas"/>
        <w:numPr>
          <w:ilvl w:val="0"/>
          <w:numId w:val="0"/>
        </w:numPr>
        <w:ind w:left="1134"/>
      </w:pPr>
    </w:p>
    <w:bookmarkEnd w:id="31"/>
    <w:p w14:paraId="65E00EA5" w14:textId="77777777" w:rsidR="00BB5777" w:rsidRPr="00A278DD" w:rsidRDefault="00BB5777" w:rsidP="005E15C6">
      <w:pPr>
        <w:pStyle w:val="Heading1"/>
        <w:ind w:left="1134" w:firstLine="0"/>
      </w:pPr>
      <w:r w:rsidRPr="00A278DD">
        <w:t>Conclusions and recommendations</w:t>
      </w:r>
    </w:p>
    <w:p w14:paraId="5F9EAC1A" w14:textId="77777777" w:rsidR="00BB5777" w:rsidRPr="00A278DD" w:rsidRDefault="00BB5777" w:rsidP="005E15C6">
      <w:pPr>
        <w:pStyle w:val="NumberedParas"/>
        <w:ind w:left="1134" w:firstLine="0"/>
      </w:pPr>
      <w:r w:rsidRPr="00A278DD">
        <w:t>Having considered the above, the Committee adopts the findings and recommendations set out in the following paragraphs:</w:t>
      </w:r>
    </w:p>
    <w:p w14:paraId="653D4B51" w14:textId="77777777" w:rsidR="00BB5777" w:rsidRPr="00A278DD" w:rsidRDefault="00BB5777" w:rsidP="005E15C6">
      <w:pPr>
        <w:pStyle w:val="Heading2"/>
        <w:numPr>
          <w:ilvl w:val="0"/>
          <w:numId w:val="45"/>
        </w:numPr>
        <w:ind w:left="1134" w:firstLine="0"/>
      </w:pPr>
      <w:r w:rsidRPr="00A278DD">
        <w:lastRenderedPageBreak/>
        <w:t xml:space="preserve">Main findings </w:t>
      </w:r>
      <w:proofErr w:type="gramStart"/>
      <w:r w:rsidRPr="00A278DD">
        <w:t>with regard to</w:t>
      </w:r>
      <w:proofErr w:type="gramEnd"/>
      <w:r w:rsidRPr="00A278DD">
        <w:t xml:space="preserve"> non-compliance</w:t>
      </w:r>
    </w:p>
    <w:p w14:paraId="7B7F5583" w14:textId="77777777" w:rsidR="00BB5777" w:rsidRPr="00A278DD" w:rsidRDefault="00BB5777" w:rsidP="005E15C6">
      <w:pPr>
        <w:pStyle w:val="NumberedParas"/>
        <w:ind w:left="1134" w:firstLine="0"/>
      </w:pPr>
      <w:r w:rsidRPr="00A278DD">
        <w:t>The Committee finds that:</w:t>
      </w:r>
    </w:p>
    <w:p w14:paraId="5F0082CA" w14:textId="6EDAB258" w:rsidR="003C5BCE" w:rsidRPr="00A278DD" w:rsidRDefault="00E76F26" w:rsidP="004046D5">
      <w:pPr>
        <w:pStyle w:val="NumberedParas"/>
        <w:numPr>
          <w:ilvl w:val="1"/>
          <w:numId w:val="43"/>
        </w:numPr>
        <w:ind w:left="1134" w:firstLine="567"/>
      </w:pPr>
      <w:r w:rsidRPr="00A278DD">
        <w:t>By not providing the public with adequate and effective remedies with respect to GSPs, and amendments thereto, adopted on the basis of unlawful SEA decisions, the Party concerned fails to comply with its obligations under article 9(4) in conjunction with article 9(3) of the Convention;</w:t>
      </w:r>
    </w:p>
    <w:p w14:paraId="31A6777E" w14:textId="59F52454" w:rsidR="003C5BCE" w:rsidRPr="00A278DD" w:rsidRDefault="00E76F26" w:rsidP="004046D5">
      <w:pPr>
        <w:pStyle w:val="NumberedParas"/>
        <w:numPr>
          <w:ilvl w:val="1"/>
          <w:numId w:val="43"/>
        </w:numPr>
        <w:ind w:left="1134" w:firstLine="567"/>
      </w:pPr>
      <w:r w:rsidRPr="00A278DD">
        <w:t>By not ensuring that the public notice for the proposed GSP amendment contained accurate information on “the proposed activity” and “the nature of the possible decision” nor any of the other information required by article 6(2)(a)-(e) except for the location, date and time of the hearing, the Party concerned failed to comply with article 7 in conjunction with article 6(2) of the Convention;</w:t>
      </w:r>
    </w:p>
    <w:p w14:paraId="0EABE1A6" w14:textId="38871772" w:rsidR="005B7C3F" w:rsidRPr="00A278DD" w:rsidRDefault="005B7C3F" w:rsidP="004046D5">
      <w:pPr>
        <w:pStyle w:val="NumberedParas"/>
        <w:numPr>
          <w:ilvl w:val="1"/>
          <w:numId w:val="43"/>
        </w:numPr>
        <w:ind w:left="1134" w:firstLine="567"/>
      </w:pPr>
      <w:r w:rsidRPr="00A278DD">
        <w:t xml:space="preserve">By not making the texts of the existing GSP and the proposed GSP amendment effectively available to the public, the Party concerned failed to comply with the requirement in article 7 to provide the necessary information to the </w:t>
      </w:r>
      <w:proofErr w:type="gramStart"/>
      <w:r w:rsidRPr="00A278DD">
        <w:t>public;</w:t>
      </w:r>
      <w:proofErr w:type="gramEnd"/>
    </w:p>
    <w:p w14:paraId="56F5CB74" w14:textId="58D3D2C5" w:rsidR="003C5BCE" w:rsidRPr="00A278DD" w:rsidRDefault="00E76F26" w:rsidP="004046D5">
      <w:pPr>
        <w:pStyle w:val="NumberedParas"/>
        <w:numPr>
          <w:ilvl w:val="1"/>
          <w:numId w:val="43"/>
        </w:numPr>
        <w:ind w:left="1134" w:firstLine="567"/>
      </w:pPr>
      <w:r w:rsidRPr="00A278DD">
        <w:t>B</w:t>
      </w:r>
      <w:r w:rsidR="003C5BCE" w:rsidRPr="00A278DD">
        <w:t xml:space="preserve">y </w:t>
      </w:r>
      <w:r w:rsidRPr="00A278DD">
        <w:t xml:space="preserve">not ensuring a reasonable timeframe between the public notice of the hearing on the proposed amendment to the Plovdiv GSP and the hearing itself, the Party concerned failed to comply with article 7 in conjunction with article 6(3) of the </w:t>
      </w:r>
      <w:proofErr w:type="gramStart"/>
      <w:r w:rsidRPr="00A278DD">
        <w:t>Convention</w:t>
      </w:r>
      <w:r w:rsidR="00DA1D12">
        <w:t>;</w:t>
      </w:r>
      <w:proofErr w:type="gramEnd"/>
    </w:p>
    <w:p w14:paraId="030AB90C" w14:textId="7B268DF1" w:rsidR="00E76F26" w:rsidRPr="00A278DD" w:rsidRDefault="00E76F26" w:rsidP="004046D5">
      <w:pPr>
        <w:pStyle w:val="NumberedParas"/>
        <w:numPr>
          <w:ilvl w:val="1"/>
          <w:numId w:val="43"/>
        </w:numPr>
        <w:ind w:left="1134" w:firstLine="567"/>
      </w:pPr>
      <w:r w:rsidRPr="00A278DD">
        <w:t xml:space="preserve">By: </w:t>
      </w:r>
    </w:p>
    <w:p w14:paraId="1F1B2DB2" w14:textId="2A68EE68" w:rsidR="00E76F26" w:rsidRPr="00A278DD" w:rsidRDefault="00E76F26" w:rsidP="004046D5">
      <w:pPr>
        <w:pStyle w:val="NumberedParas"/>
        <w:numPr>
          <w:ilvl w:val="2"/>
          <w:numId w:val="43"/>
        </w:numPr>
        <w:ind w:left="2268" w:hanging="283"/>
      </w:pPr>
      <w:r w:rsidRPr="00A278DD">
        <w:t xml:space="preserve">Failing to ensure that due account is taken of the outcome of public participation in decision-making on proposed GSPs and GSP amendments; and </w:t>
      </w:r>
    </w:p>
    <w:p w14:paraId="70B4B923" w14:textId="123E0EB9" w:rsidR="00E76F26" w:rsidRPr="00A278DD" w:rsidRDefault="00E76F26" w:rsidP="004046D5">
      <w:pPr>
        <w:pStyle w:val="NumberedParas"/>
        <w:numPr>
          <w:ilvl w:val="2"/>
          <w:numId w:val="43"/>
        </w:numPr>
        <w:ind w:left="2268" w:hanging="283"/>
      </w:pPr>
      <w:r w:rsidRPr="00A278DD">
        <w:t xml:space="preserve">Failing to demonstrate, in a transparent and traceable way, how due account was taken of the public participation in the decision-making on the proposed amendment to the Plovdiv GSP, </w:t>
      </w:r>
    </w:p>
    <w:p w14:paraId="602F6BC0" w14:textId="71C78D9F" w:rsidR="00E76F26" w:rsidRPr="00A278DD" w:rsidRDefault="00E76F26" w:rsidP="005E15C6">
      <w:pPr>
        <w:tabs>
          <w:tab w:val="right" w:pos="426"/>
        </w:tabs>
        <w:ind w:left="1134"/>
        <w:jc w:val="both"/>
      </w:pPr>
      <w:r w:rsidRPr="00A278DD">
        <w:t>the Party concerned has failed to comply with article 7 in conjunction with article 6 (8) of the Convention.</w:t>
      </w:r>
    </w:p>
    <w:p w14:paraId="36725491" w14:textId="522FA6FF" w:rsidR="00BB5777" w:rsidRPr="00A278DD" w:rsidRDefault="00BB5777" w:rsidP="005E15C6">
      <w:pPr>
        <w:pStyle w:val="Heading2"/>
        <w:ind w:left="1134" w:firstLine="0"/>
      </w:pPr>
      <w:r w:rsidRPr="00A278DD">
        <w:t>Recommendations</w:t>
      </w:r>
    </w:p>
    <w:p w14:paraId="5B2321A8" w14:textId="092653B1" w:rsidR="00BB5777" w:rsidRPr="00A278DD" w:rsidRDefault="00BB5777" w:rsidP="005E15C6">
      <w:pPr>
        <w:pStyle w:val="NumberedParas"/>
        <w:ind w:left="1134" w:firstLine="0"/>
      </w:pPr>
      <w:r w:rsidRPr="00A278DD">
        <w:t xml:space="preserve">The Committee pursuant to paragraph 36 (b) of the annex to decision I/7 of the Meeting of the Parties, and [noting the agreement of the Party concerned that the Committee take the measures requested in paragraph 37 (b) of the annex to decision I/7,] </w:t>
      </w:r>
      <w:r w:rsidR="00374463" w:rsidRPr="00A278DD">
        <w:t xml:space="preserve">and </w:t>
      </w:r>
      <w:r w:rsidR="005D1052" w:rsidRPr="00A278DD">
        <w:t>recalling the need to implement the decision VI/8d, recommends that the Party concerned undertake the necessary legislative, regulatory</w:t>
      </w:r>
      <w:r w:rsidR="0004180B" w:rsidRPr="00A278DD">
        <w:t xml:space="preserve">, </w:t>
      </w:r>
      <w:r w:rsidR="005D1052" w:rsidRPr="00A278DD">
        <w:t xml:space="preserve">administrative </w:t>
      </w:r>
      <w:r w:rsidR="0004180B" w:rsidRPr="00A278DD">
        <w:t xml:space="preserve">and practical </w:t>
      </w:r>
      <w:r w:rsidR="005D1052" w:rsidRPr="00A278DD">
        <w:t>measures to ensure that:</w:t>
      </w:r>
    </w:p>
    <w:p w14:paraId="6DCF01D8" w14:textId="62A2E7CA" w:rsidR="007978DD" w:rsidRPr="00A278DD" w:rsidRDefault="007978DD" w:rsidP="004046D5">
      <w:pPr>
        <w:pStyle w:val="NumberedParas"/>
        <w:numPr>
          <w:ilvl w:val="1"/>
          <w:numId w:val="43"/>
        </w:numPr>
        <w:ind w:left="1134" w:firstLine="567"/>
      </w:pPr>
      <w:r w:rsidRPr="00A278DD">
        <w:t xml:space="preserve">Adequate and effective remedies are </w:t>
      </w:r>
      <w:r w:rsidR="00374463" w:rsidRPr="00A278DD">
        <w:t>provided</w:t>
      </w:r>
      <w:r w:rsidRPr="00A278DD">
        <w:t xml:space="preserve"> for the public to challenge GSPs</w:t>
      </w:r>
      <w:r w:rsidR="0004180B" w:rsidRPr="00A278DD">
        <w:t>, and GSP amendments,</w:t>
      </w:r>
      <w:r w:rsidRPr="00A278DD">
        <w:t xml:space="preserve"> adopted on the basis of unlawful SEA </w:t>
      </w:r>
      <w:proofErr w:type="gramStart"/>
      <w:r w:rsidRPr="00A278DD">
        <w:t>decisions</w:t>
      </w:r>
      <w:r w:rsidR="00DA1D12">
        <w:t>;</w:t>
      </w:r>
      <w:proofErr w:type="gramEnd"/>
    </w:p>
    <w:p w14:paraId="3986B72D" w14:textId="54D3DC3A" w:rsidR="007978DD" w:rsidRPr="00A278DD" w:rsidRDefault="007978DD" w:rsidP="004046D5">
      <w:pPr>
        <w:pStyle w:val="NumberedParas"/>
        <w:numPr>
          <w:ilvl w:val="1"/>
          <w:numId w:val="43"/>
        </w:numPr>
        <w:ind w:left="1134" w:firstLine="567"/>
      </w:pPr>
      <w:r w:rsidRPr="00A278DD">
        <w:t xml:space="preserve"> Public notice to initiate public participation </w:t>
      </w:r>
      <w:r w:rsidR="00374463" w:rsidRPr="00A278DD">
        <w:t xml:space="preserve">in decision-making on GSPs </w:t>
      </w:r>
      <w:r w:rsidRPr="00A278DD">
        <w:t xml:space="preserve">contains </w:t>
      </w:r>
      <w:r w:rsidR="009E7709" w:rsidRPr="00A278DD">
        <w:t xml:space="preserve">details related to the proposed activity and the nature of the subsequent decision as well as </w:t>
      </w:r>
      <w:r w:rsidRPr="00A278DD">
        <w:t xml:space="preserve">all </w:t>
      </w:r>
      <w:r w:rsidR="009E7709" w:rsidRPr="00A278DD">
        <w:t xml:space="preserve">other </w:t>
      </w:r>
      <w:r w:rsidRPr="00A278DD">
        <w:t xml:space="preserve">relevant information required by </w:t>
      </w:r>
      <w:r w:rsidR="00374463" w:rsidRPr="00A278DD">
        <w:t xml:space="preserve">article 6(2) of </w:t>
      </w:r>
      <w:r w:rsidRPr="00A278DD">
        <w:t>the Convention</w:t>
      </w:r>
      <w:r w:rsidR="00DA1D12">
        <w:t>:</w:t>
      </w:r>
    </w:p>
    <w:p w14:paraId="002E0EFF" w14:textId="4E45232B" w:rsidR="00631A48" w:rsidRPr="00A278DD" w:rsidRDefault="00374463" w:rsidP="004046D5">
      <w:pPr>
        <w:pStyle w:val="NumberedParas"/>
        <w:numPr>
          <w:ilvl w:val="1"/>
          <w:numId w:val="43"/>
        </w:numPr>
        <w:ind w:left="1134" w:firstLine="567"/>
      </w:pPr>
      <w:r w:rsidRPr="00A278DD">
        <w:t>All necessary information, including but not limited to the text of t</w:t>
      </w:r>
      <w:r w:rsidR="00631A48" w:rsidRPr="00A278DD">
        <w:t xml:space="preserve">he </w:t>
      </w:r>
      <w:r w:rsidR="0004180B" w:rsidRPr="00A278DD">
        <w:t>proposed</w:t>
      </w:r>
      <w:r w:rsidR="00631A48" w:rsidRPr="00A278DD">
        <w:t xml:space="preserve"> GSP</w:t>
      </w:r>
      <w:r w:rsidR="0004180B" w:rsidRPr="00A278DD">
        <w:t xml:space="preserve">, and in the case of a GSP </w:t>
      </w:r>
      <w:r w:rsidRPr="00A278DD">
        <w:t>amendment</w:t>
      </w:r>
      <w:r w:rsidR="0004180B" w:rsidRPr="00A278DD">
        <w:t>, the text of both the existing GSP and the proposed amendment thereto</w:t>
      </w:r>
      <w:r w:rsidRPr="00A278DD">
        <w:t xml:space="preserve">, </w:t>
      </w:r>
      <w:r w:rsidR="00631A48" w:rsidRPr="00A278DD">
        <w:t xml:space="preserve">is provided to the public </w:t>
      </w:r>
      <w:r w:rsidRPr="00A278DD">
        <w:t xml:space="preserve">in due time </w:t>
      </w:r>
      <w:r w:rsidR="00631A48" w:rsidRPr="00A278DD">
        <w:t>before the hearing</w:t>
      </w:r>
      <w:r w:rsidR="00DA1D12">
        <w:t>;</w:t>
      </w:r>
    </w:p>
    <w:p w14:paraId="0201F15B" w14:textId="6900AA72" w:rsidR="00631A48" w:rsidRPr="00A278DD" w:rsidRDefault="00374463" w:rsidP="004046D5">
      <w:pPr>
        <w:pStyle w:val="NumberedParas"/>
        <w:numPr>
          <w:ilvl w:val="1"/>
          <w:numId w:val="43"/>
        </w:numPr>
        <w:ind w:left="1134" w:firstLine="567"/>
      </w:pPr>
      <w:r w:rsidRPr="00A278DD">
        <w:t xml:space="preserve">In decision-making on </w:t>
      </w:r>
      <w:r w:rsidR="0004180B" w:rsidRPr="00A278DD">
        <w:t xml:space="preserve">proposed </w:t>
      </w:r>
      <w:r w:rsidRPr="00A278DD">
        <w:t>GSPs and GSP amendment</w:t>
      </w:r>
      <w:r w:rsidR="00567E2B" w:rsidRPr="00A278DD">
        <w:t>s</w:t>
      </w:r>
      <w:r w:rsidRPr="00A278DD">
        <w:t xml:space="preserve">, </w:t>
      </w:r>
      <w:r w:rsidR="00567E2B" w:rsidRPr="00A278DD">
        <w:t>a</w:t>
      </w:r>
      <w:r w:rsidR="00631A48" w:rsidRPr="00A278DD">
        <w:t xml:space="preserve"> reasonable timeframe between </w:t>
      </w:r>
      <w:r w:rsidR="00567E2B" w:rsidRPr="00A278DD">
        <w:t xml:space="preserve">the </w:t>
      </w:r>
      <w:r w:rsidR="00631A48" w:rsidRPr="00A278DD">
        <w:t xml:space="preserve">publication of public notice and hearing is </w:t>
      </w:r>
      <w:r w:rsidR="0004180B" w:rsidRPr="00A278DD">
        <w:t>provided</w:t>
      </w:r>
      <w:r w:rsidR="00631A48" w:rsidRPr="00A278DD">
        <w:t xml:space="preserve"> to the </w:t>
      </w:r>
      <w:proofErr w:type="gramStart"/>
      <w:r w:rsidR="00631A48" w:rsidRPr="00A278DD">
        <w:t>public</w:t>
      </w:r>
      <w:r w:rsidR="00DA1D12">
        <w:t>;</w:t>
      </w:r>
      <w:proofErr w:type="gramEnd"/>
    </w:p>
    <w:p w14:paraId="1F94E3B0" w14:textId="5B0DCD85" w:rsidR="00631A48" w:rsidRPr="00A278DD" w:rsidRDefault="00567E2B" w:rsidP="004046D5">
      <w:pPr>
        <w:pStyle w:val="NumberedParas"/>
        <w:numPr>
          <w:ilvl w:val="1"/>
          <w:numId w:val="43"/>
        </w:numPr>
        <w:ind w:left="1134" w:firstLine="567"/>
      </w:pPr>
      <w:r w:rsidRPr="00A278DD">
        <w:t xml:space="preserve">In decision-making on </w:t>
      </w:r>
      <w:r w:rsidR="0004180B" w:rsidRPr="00A278DD">
        <w:t xml:space="preserve">proposed </w:t>
      </w:r>
      <w:r w:rsidRPr="00A278DD">
        <w:t xml:space="preserve">GSPs and GSP amendments, due account </w:t>
      </w:r>
      <w:r w:rsidR="00441B6F" w:rsidRPr="00A278DD">
        <w:t>is required to</w:t>
      </w:r>
      <w:r w:rsidR="0004180B" w:rsidRPr="00A278DD">
        <w:t xml:space="preserve"> be</w:t>
      </w:r>
      <w:r w:rsidRPr="00A278DD">
        <w:t xml:space="preserve"> taken of the outcomes of the p</w:t>
      </w:r>
      <w:r w:rsidR="00631A48" w:rsidRPr="00A278DD">
        <w:t>ublic participation in the decision</w:t>
      </w:r>
      <w:r w:rsidRPr="00A278DD">
        <w:t xml:space="preserve">, and </w:t>
      </w:r>
      <w:r w:rsidR="00441B6F" w:rsidRPr="00A278DD">
        <w:t>that this</w:t>
      </w:r>
      <w:r w:rsidRPr="00A278DD">
        <w:t xml:space="preserve"> is documented</w:t>
      </w:r>
      <w:r w:rsidR="00631A48" w:rsidRPr="00A278DD">
        <w:t xml:space="preserve"> in a transparent and traceable way.</w:t>
      </w:r>
    </w:p>
    <w:p w14:paraId="2DEF9E8F" w14:textId="77777777" w:rsidR="00BB5777" w:rsidRPr="00A278DD" w:rsidRDefault="00BB5777" w:rsidP="005E15C6">
      <w:pPr>
        <w:pStyle w:val="SingleTxtG"/>
        <w:tabs>
          <w:tab w:val="right" w:pos="567"/>
        </w:tabs>
        <w:ind w:right="0"/>
        <w:jc w:val="center"/>
        <w:rPr>
          <w:lang w:val="en-GB"/>
        </w:rPr>
      </w:pPr>
    </w:p>
    <w:p w14:paraId="5CA2A06A" w14:textId="77777777" w:rsidR="00BB5777" w:rsidRPr="00A278DD" w:rsidRDefault="00BB5777" w:rsidP="005E15C6">
      <w:pPr>
        <w:pStyle w:val="SingleTxtG"/>
        <w:ind w:right="0"/>
        <w:rPr>
          <w:rStyle w:val="st"/>
          <w:lang w:val="en-GB"/>
        </w:rPr>
      </w:pPr>
    </w:p>
    <w:p w14:paraId="65E7146A" w14:textId="0E9F50A7" w:rsidR="00011B56" w:rsidRPr="003130AB" w:rsidRDefault="00DA1D12" w:rsidP="005E15C6">
      <w:pPr>
        <w:pStyle w:val="SingleTxtG"/>
        <w:tabs>
          <w:tab w:val="right" w:pos="567"/>
        </w:tabs>
        <w:ind w:right="0"/>
        <w:jc w:val="center"/>
        <w:rPr>
          <w:lang w:val="en-GB"/>
        </w:rPr>
      </w:pPr>
      <w:r>
        <w:rPr>
          <w:lang w:val="en-GB"/>
        </w:rPr>
        <w:t>__</w:t>
      </w:r>
      <w:r w:rsidR="00011B56" w:rsidRPr="00A278DD">
        <w:rPr>
          <w:lang w:val="en-GB"/>
        </w:rPr>
        <w:t>_________</w:t>
      </w:r>
    </w:p>
    <w:p w14:paraId="6D07164C" w14:textId="77777777" w:rsidR="00910CCE" w:rsidRPr="001A20E3" w:rsidRDefault="00910CCE" w:rsidP="005E15C6">
      <w:pPr>
        <w:pStyle w:val="SingleTxtG"/>
        <w:ind w:right="0"/>
        <w:rPr>
          <w:rStyle w:val="st"/>
          <w:lang w:val="en-GB"/>
        </w:rPr>
      </w:pPr>
    </w:p>
    <w:p w14:paraId="43EF621D" w14:textId="77777777" w:rsidR="001C6663" w:rsidRPr="00695D7A" w:rsidRDefault="001C6663" w:rsidP="005E15C6">
      <w:pPr>
        <w:pStyle w:val="SingleTxtG"/>
        <w:spacing w:before="240" w:after="0"/>
        <w:ind w:right="0"/>
        <w:jc w:val="center"/>
        <w:rPr>
          <w:u w:val="single"/>
          <w:lang w:val="en-GB"/>
        </w:rPr>
      </w:pPr>
    </w:p>
    <w:sectPr w:rsidR="001C6663" w:rsidRPr="00695D7A" w:rsidSect="00A278D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40" w:right="1080" w:bottom="1440" w:left="108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1FAFF" w14:textId="77777777" w:rsidR="00AD6078" w:rsidRDefault="00AD6078"/>
  </w:endnote>
  <w:endnote w:type="continuationSeparator" w:id="0">
    <w:p w14:paraId="7C37C72F" w14:textId="77777777" w:rsidR="00AD6078" w:rsidRDefault="00AD6078"/>
  </w:endnote>
  <w:endnote w:type="continuationNotice" w:id="1">
    <w:p w14:paraId="1BBFFC0F" w14:textId="77777777" w:rsidR="00AD6078" w:rsidRDefault="00AD6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CA22" w14:textId="77777777" w:rsidR="00E774F8" w:rsidRPr="0023575C" w:rsidRDefault="00E774F8"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10</w:t>
    </w:r>
    <w:r w:rsidRPr="002357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9EE0" w14:textId="77777777" w:rsidR="00E774F8" w:rsidRPr="004D04EC" w:rsidRDefault="00E774F8" w:rsidP="0023575C">
    <w:pPr>
      <w:pStyle w:val="Footer"/>
      <w:tabs>
        <w:tab w:val="right" w:pos="9638"/>
      </w:tabs>
      <w:rPr>
        <w:bCs/>
        <w:sz w:val="18"/>
      </w:rPr>
    </w:pPr>
    <w:r>
      <w:tab/>
    </w:r>
    <w:r w:rsidRPr="004D04EC">
      <w:rPr>
        <w:bCs/>
        <w:sz w:val="18"/>
      </w:rPr>
      <w:fldChar w:fldCharType="begin"/>
    </w:r>
    <w:r w:rsidRPr="004D04EC">
      <w:rPr>
        <w:bCs/>
        <w:sz w:val="18"/>
      </w:rPr>
      <w:instrText xml:space="preserve"> PAGE  \* MERGEFORMAT </w:instrText>
    </w:r>
    <w:r w:rsidRPr="004D04EC">
      <w:rPr>
        <w:bCs/>
        <w:sz w:val="18"/>
      </w:rPr>
      <w:fldChar w:fldCharType="separate"/>
    </w:r>
    <w:r w:rsidRPr="004D04EC">
      <w:rPr>
        <w:bCs/>
        <w:noProof/>
        <w:sz w:val="18"/>
      </w:rPr>
      <w:t>27</w:t>
    </w:r>
    <w:r w:rsidRPr="004D04EC">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0C1C" w14:textId="6BF48F41" w:rsidR="00E774F8" w:rsidRPr="00A278DD" w:rsidRDefault="00E774F8">
    <w:pPr>
      <w:pStyle w:val="Footer"/>
    </w:pPr>
    <w:r>
      <w:rPr>
        <w:noProof/>
        <w:lang w:val="fr-FR" w:eastAsia="fr-FR"/>
      </w:rPr>
      <w:drawing>
        <wp:anchor distT="0" distB="0" distL="114300" distR="114300" simplePos="0" relativeHeight="251657728" behindDoc="0" locked="1" layoutInCell="1" allowOverlap="1" wp14:anchorId="5D312878" wp14:editId="720757F2">
          <wp:simplePos x="0" y="0"/>
          <wp:positionH relativeFrom="column">
            <wp:posOffset>5148580</wp:posOffset>
          </wp:positionH>
          <wp:positionV relativeFrom="paragraph">
            <wp:posOffset>-114935</wp:posOffset>
          </wp:positionV>
          <wp:extent cx="930275" cy="230505"/>
          <wp:effectExtent l="0" t="0" r="0" b="0"/>
          <wp:wrapNone/>
          <wp:docPr id="1" name="Bild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Pr="00A278DD">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18C9" w14:textId="77777777" w:rsidR="00AD6078" w:rsidRPr="000B175B" w:rsidRDefault="00AD6078" w:rsidP="000B175B">
      <w:pPr>
        <w:tabs>
          <w:tab w:val="right" w:pos="2155"/>
        </w:tabs>
        <w:spacing w:after="80"/>
        <w:ind w:left="680"/>
        <w:rPr>
          <w:u w:val="single"/>
        </w:rPr>
      </w:pPr>
      <w:r>
        <w:rPr>
          <w:u w:val="single"/>
        </w:rPr>
        <w:tab/>
      </w:r>
    </w:p>
  </w:footnote>
  <w:footnote w:type="continuationSeparator" w:id="0">
    <w:p w14:paraId="27B7BCB3" w14:textId="77777777" w:rsidR="00AD6078" w:rsidRPr="00FC68B7" w:rsidRDefault="00AD6078" w:rsidP="00FC68B7">
      <w:pPr>
        <w:tabs>
          <w:tab w:val="left" w:pos="2155"/>
        </w:tabs>
        <w:spacing w:after="80"/>
        <w:ind w:left="680"/>
        <w:rPr>
          <w:u w:val="single"/>
        </w:rPr>
      </w:pPr>
      <w:r>
        <w:rPr>
          <w:u w:val="single"/>
        </w:rPr>
        <w:tab/>
      </w:r>
    </w:p>
  </w:footnote>
  <w:footnote w:type="continuationNotice" w:id="1">
    <w:p w14:paraId="72B00B07" w14:textId="77777777" w:rsidR="00AD6078" w:rsidRDefault="00AD6078"/>
  </w:footnote>
  <w:footnote w:id="2">
    <w:p w14:paraId="41EA6AFF" w14:textId="6CE0810F" w:rsidR="00E774F8" w:rsidRPr="004D04EC" w:rsidRDefault="00E774F8" w:rsidP="004D04EC">
      <w:pPr>
        <w:pStyle w:val="Footnotes"/>
        <w:rPr>
          <w:rFonts w:asciiTheme="majorBidi" w:hAnsiTheme="majorBidi" w:cstheme="majorBidi"/>
          <w:szCs w:val="18"/>
        </w:rPr>
      </w:pPr>
      <w:r w:rsidRPr="004D04EC">
        <w:rPr>
          <w:rFonts w:asciiTheme="majorBidi" w:hAnsiTheme="majorBidi" w:cstheme="majorBidi"/>
          <w:szCs w:val="18"/>
          <w:vertAlign w:val="superscript"/>
        </w:rPr>
        <w:tab/>
      </w:r>
      <w:r w:rsidRPr="004D04EC">
        <w:rPr>
          <w:rStyle w:val="FootnoteCharacters"/>
          <w:rFonts w:asciiTheme="majorBidi" w:hAnsiTheme="majorBidi" w:cstheme="majorBidi"/>
          <w:szCs w:val="18"/>
        </w:rPr>
        <w:footnoteRef/>
      </w:r>
      <w:r w:rsidRPr="004D04EC">
        <w:rPr>
          <w:rFonts w:asciiTheme="majorBidi" w:hAnsiTheme="majorBidi" w:cstheme="majorBidi"/>
          <w:szCs w:val="18"/>
        </w:rPr>
        <w:t xml:space="preserve">The communication and related documentation from the communicant, the Party concerned and the secretariat, is available from </w:t>
      </w:r>
      <w:hyperlink r:id="rId1" w:history="1">
        <w:r w:rsidRPr="004D04EC">
          <w:rPr>
            <w:rStyle w:val="Hyperlink"/>
            <w:rFonts w:asciiTheme="majorBidi" w:hAnsiTheme="majorBidi" w:cstheme="majorBidi"/>
            <w:szCs w:val="18"/>
          </w:rPr>
          <w:t>https://www.unece.org/environmental-policy/conventions/public-participation/aarhus-convention/tfwg/envppcc/envppcccom/acccc2016144-bulgaria.html</w:t>
        </w:r>
      </w:hyperlink>
      <w:r w:rsidRPr="004D04EC">
        <w:rPr>
          <w:rFonts w:asciiTheme="majorBidi" w:hAnsiTheme="majorBidi" w:cstheme="majorBidi"/>
          <w:szCs w:val="18"/>
        </w:rPr>
        <w:t xml:space="preserve"> </w:t>
      </w:r>
    </w:p>
  </w:footnote>
  <w:footnote w:id="3">
    <w:p w14:paraId="59178596"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This section summarizes only the main facts, evidence and issues considered to be relevant to the question of compliance, as presented to and considered by the Committee.</w:t>
      </w:r>
    </w:p>
  </w:footnote>
  <w:footnote w:id="4">
    <w:p w14:paraId="766CBA3C"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1.</w:t>
      </w:r>
    </w:p>
  </w:footnote>
  <w:footnote w:id="5">
    <w:p w14:paraId="395A852F" w14:textId="5193F149"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reply to Committee’s questions, 13 July 2020, annex 1, p. 1. </w:t>
      </w:r>
    </w:p>
  </w:footnote>
  <w:footnote w:id="6">
    <w:p w14:paraId="60B426B3" w14:textId="6B47B183"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 2.</w:t>
      </w:r>
    </w:p>
  </w:footnote>
  <w:footnote w:id="7">
    <w:p w14:paraId="7A3D9DEE" w14:textId="3871E98C"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 3.</w:t>
      </w:r>
    </w:p>
  </w:footnote>
  <w:footnote w:id="8">
    <w:p w14:paraId="75E07092"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4.</w:t>
      </w:r>
    </w:p>
  </w:footnote>
  <w:footnote w:id="9">
    <w:p w14:paraId="3E4B7C69" w14:textId="4FAEF943"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reply to Committee’s questions of 13 July 2020, p. 2.</w:t>
      </w:r>
    </w:p>
  </w:footnote>
  <w:footnote w:id="10">
    <w:p w14:paraId="4AD843F0" w14:textId="5C76F038"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communication, p. 1.</w:t>
      </w:r>
    </w:p>
  </w:footnote>
  <w:footnote w:id="11">
    <w:p w14:paraId="244A2F45" w14:textId="5DD7A6DB"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3; Party’s reply to Committee’s questions, 13 July 2020, annex 3, p. 4.</w:t>
      </w:r>
    </w:p>
  </w:footnote>
  <w:footnote w:id="12">
    <w:p w14:paraId="4D043106"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3.</w:t>
      </w:r>
    </w:p>
  </w:footnote>
  <w:footnote w:id="13">
    <w:p w14:paraId="34D98D8B" w14:textId="68F6E0FF"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2, and communication, annex 8, pp. 9-10.</w:t>
      </w:r>
    </w:p>
  </w:footnote>
  <w:footnote w:id="14">
    <w:p w14:paraId="1917E996"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Statement of the Party concerned, 28 February 2017, annex, pp. 23 and 39; Party’s response to communication, pp. 8-12.</w:t>
      </w:r>
    </w:p>
  </w:footnote>
  <w:footnote w:id="15">
    <w:p w14:paraId="4568DC09"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1, and Party’s response to the communication ACCC/C/2012/76 (ECE/</w:t>
      </w:r>
      <w:proofErr w:type="gramStart"/>
      <w:r w:rsidRPr="004D04EC">
        <w:rPr>
          <w:rFonts w:asciiTheme="majorBidi" w:hAnsiTheme="majorBidi" w:cstheme="majorBidi"/>
          <w:szCs w:val="18"/>
        </w:rPr>
        <w:t>MP.PP</w:t>
      </w:r>
      <w:proofErr w:type="gramEnd"/>
      <w:r w:rsidRPr="004D04EC">
        <w:rPr>
          <w:rFonts w:asciiTheme="majorBidi" w:hAnsiTheme="majorBidi" w:cstheme="majorBidi"/>
          <w:szCs w:val="18"/>
        </w:rPr>
        <w:t>/C.1/2016/3), p. 1.</w:t>
      </w:r>
    </w:p>
  </w:footnote>
  <w:footnote w:id="16">
    <w:p w14:paraId="62CE161E" w14:textId="0144E099"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Statement of the Party concerned, 28 February 2017, annex, p. 16.</w:t>
      </w:r>
    </w:p>
  </w:footnote>
  <w:footnote w:id="17">
    <w:p w14:paraId="1733565E" w14:textId="2D3A20B4"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w:t>
      </w:r>
      <w:proofErr w:type="gramStart"/>
      <w:r w:rsidRPr="004D04EC">
        <w:rPr>
          <w:rFonts w:asciiTheme="majorBidi" w:hAnsiTheme="majorBidi" w:cstheme="majorBidi"/>
          <w:szCs w:val="18"/>
        </w:rPr>
        <w:t>Ibid..</w:t>
      </w:r>
      <w:proofErr w:type="gramEnd"/>
    </w:p>
  </w:footnote>
  <w:footnote w:id="18">
    <w:p w14:paraId="34D01ED1"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Statement of the Party concerned, 28 February 2017, annex, p. 39, and Party’s response to the communication, p. 10.</w:t>
      </w:r>
    </w:p>
  </w:footnote>
  <w:footnote w:id="19">
    <w:p w14:paraId="2F3B0447"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Statement of the Party concerned, 28 February 2017, annex, p. 39, and Party’s response to the communication, p. 11.</w:t>
      </w:r>
    </w:p>
  </w:footnote>
  <w:footnote w:id="20">
    <w:p w14:paraId="061FF528"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Statement of the Party concerned, 28 February 2017, annex, p. 39.</w:t>
      </w:r>
    </w:p>
  </w:footnote>
  <w:footnote w:id="21">
    <w:p w14:paraId="67684C5F" w14:textId="2B0913CD"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2; Statement of the Party concerned, 28 February 2017, annex, pp. 26-27.</w:t>
      </w:r>
    </w:p>
  </w:footnote>
  <w:footnote w:id="22">
    <w:p w14:paraId="2746C875"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reply to Committee’s questions of 13 July 2020, p. 3-4.</w:t>
      </w:r>
    </w:p>
  </w:footnote>
  <w:footnote w:id="23">
    <w:p w14:paraId="1E986E82" w14:textId="66FF1935" w:rsidR="00DA1D12" w:rsidRPr="004D04EC" w:rsidRDefault="00DA1D12" w:rsidP="004D04EC">
      <w:pPr>
        <w:pStyle w:val="FootnoteText"/>
        <w:tabs>
          <w:tab w:val="right" w:pos="709"/>
        </w:tabs>
        <w:spacing w:after="0"/>
        <w:ind w:left="1134"/>
        <w:jc w:val="both"/>
        <w:rPr>
          <w:rFonts w:asciiTheme="majorBidi" w:hAnsiTheme="majorBidi" w:cstheme="majorBidi"/>
          <w:sz w:val="18"/>
          <w:szCs w:val="18"/>
        </w:rPr>
      </w:pPr>
      <w:r w:rsidRPr="004D04EC">
        <w:rPr>
          <w:rStyle w:val="FootnoteReference"/>
          <w:rFonts w:asciiTheme="majorBidi" w:hAnsiTheme="majorBidi" w:cstheme="majorBidi"/>
          <w:sz w:val="18"/>
          <w:szCs w:val="18"/>
        </w:rPr>
        <w:footnoteRef/>
      </w:r>
      <w:r w:rsidRPr="004D04EC">
        <w:rPr>
          <w:rFonts w:asciiTheme="majorBidi" w:hAnsiTheme="majorBidi" w:cstheme="majorBidi"/>
          <w:sz w:val="18"/>
          <w:szCs w:val="18"/>
        </w:rPr>
        <w:t xml:space="preserve"> Stat</w:t>
      </w:r>
      <w:r w:rsidR="005E15C6" w:rsidRPr="004D04EC">
        <w:rPr>
          <w:rFonts w:asciiTheme="majorBidi" w:hAnsiTheme="majorBidi" w:cstheme="majorBidi"/>
          <w:sz w:val="18"/>
          <w:szCs w:val="18"/>
        </w:rPr>
        <w:t>e</w:t>
      </w:r>
      <w:r w:rsidRPr="004D04EC">
        <w:rPr>
          <w:rFonts w:asciiTheme="majorBidi" w:hAnsiTheme="majorBidi" w:cstheme="majorBidi"/>
          <w:sz w:val="18"/>
          <w:szCs w:val="18"/>
        </w:rPr>
        <w:t>ment of the Party concerned, 28 February 2017, annex, p. 26, and Party’s response to the communication, p. 2.</w:t>
      </w:r>
    </w:p>
  </w:footnote>
  <w:footnote w:id="24">
    <w:p w14:paraId="444D0D49" w14:textId="631FC7F9" w:rsidR="00E774F8" w:rsidRPr="004D04EC" w:rsidRDefault="00E774F8" w:rsidP="004D04EC">
      <w:pPr>
        <w:pStyle w:val="Footnotes"/>
        <w:rPr>
          <w:rFonts w:asciiTheme="majorBidi" w:hAnsiTheme="majorBidi" w:cstheme="majorBidi"/>
          <w:szCs w:val="18"/>
        </w:rPr>
      </w:pPr>
      <w:r w:rsidRPr="004D04EC">
        <w:rPr>
          <w:rFonts w:asciiTheme="majorBidi" w:hAnsiTheme="majorBidi" w:cstheme="majorBidi"/>
          <w:szCs w:val="18"/>
        </w:rPr>
        <w:tab/>
      </w: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reply to Committee’s questions of 13 July 2020, p. 4.</w:t>
      </w:r>
    </w:p>
  </w:footnote>
  <w:footnote w:id="25">
    <w:p w14:paraId="79D6D91A" w14:textId="641DB7C4"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Party’s response to the communication, p. 2; Statement of the Party concerned, 28 February 2017, annex, p. 26.</w:t>
      </w:r>
    </w:p>
  </w:footnote>
  <w:footnote w:id="26">
    <w:p w14:paraId="5574586E" w14:textId="77777777" w:rsidR="00DA1D12" w:rsidRPr="004D04EC" w:rsidRDefault="00DA1D12"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2; Statement of the Party concerned, 28 February 2017, annex, p. 26.</w:t>
      </w:r>
    </w:p>
  </w:footnote>
  <w:footnote w:id="27">
    <w:p w14:paraId="4253AD63" w14:textId="03E0D474"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2; Statement of the Party concerned, 28 February 2017, annex, p. 29.</w:t>
      </w:r>
    </w:p>
    <w:p w14:paraId="1F2F7B05" w14:textId="77B66B0F" w:rsidR="00E774F8" w:rsidRPr="004D04EC" w:rsidRDefault="00E774F8" w:rsidP="004D04EC">
      <w:pPr>
        <w:pStyle w:val="Footnotes"/>
        <w:rPr>
          <w:rFonts w:asciiTheme="majorBidi" w:hAnsiTheme="majorBidi" w:cstheme="majorBidi"/>
          <w:szCs w:val="18"/>
        </w:rPr>
      </w:pPr>
    </w:p>
  </w:footnote>
  <w:footnote w:id="28">
    <w:p w14:paraId="288C401E" w14:textId="77777777" w:rsidR="00D94A21" w:rsidRPr="004D04EC" w:rsidRDefault="00D94A21" w:rsidP="004D04EC">
      <w:pPr>
        <w:pStyle w:val="FootnoteText"/>
        <w:tabs>
          <w:tab w:val="right" w:pos="709"/>
        </w:tabs>
        <w:spacing w:after="0"/>
        <w:ind w:left="1134"/>
        <w:jc w:val="both"/>
        <w:rPr>
          <w:rFonts w:asciiTheme="majorBidi" w:hAnsiTheme="majorBidi" w:cstheme="majorBidi"/>
          <w:sz w:val="18"/>
          <w:szCs w:val="18"/>
        </w:rPr>
      </w:pPr>
      <w:r w:rsidRPr="004D04EC">
        <w:rPr>
          <w:rStyle w:val="FootnoteReference"/>
          <w:rFonts w:asciiTheme="majorBidi" w:hAnsiTheme="majorBidi" w:cstheme="majorBidi"/>
          <w:sz w:val="18"/>
          <w:szCs w:val="18"/>
        </w:rPr>
        <w:footnoteRef/>
      </w:r>
      <w:r w:rsidRPr="004D04EC">
        <w:rPr>
          <w:rFonts w:asciiTheme="majorBidi" w:hAnsiTheme="majorBidi" w:cstheme="majorBidi"/>
          <w:sz w:val="18"/>
          <w:szCs w:val="18"/>
        </w:rPr>
        <w:t xml:space="preserve"> Party’s response to the communication, p. 3, Party’s reply to Committee’s questions of 13 July 2020, p. 4.</w:t>
      </w:r>
    </w:p>
  </w:footnote>
  <w:footnote w:id="29">
    <w:p w14:paraId="15AB2652" w14:textId="77777777" w:rsidR="00E774F8" w:rsidRPr="004D04EC" w:rsidRDefault="00E774F8" w:rsidP="004D04EC">
      <w:pPr>
        <w:pStyle w:val="FootnoteText"/>
        <w:tabs>
          <w:tab w:val="right" w:pos="709"/>
        </w:tabs>
        <w:spacing w:after="0"/>
        <w:ind w:left="1134"/>
        <w:jc w:val="both"/>
        <w:rPr>
          <w:rFonts w:asciiTheme="majorBidi" w:hAnsiTheme="majorBidi" w:cstheme="majorBidi"/>
          <w:sz w:val="18"/>
          <w:szCs w:val="18"/>
        </w:rPr>
      </w:pPr>
      <w:r w:rsidRPr="004D04EC">
        <w:rPr>
          <w:rStyle w:val="FootnoteReference"/>
          <w:rFonts w:asciiTheme="majorBidi" w:hAnsiTheme="majorBidi" w:cstheme="majorBidi"/>
          <w:sz w:val="18"/>
          <w:szCs w:val="18"/>
        </w:rPr>
        <w:footnoteRef/>
      </w:r>
      <w:r w:rsidRPr="004D04EC">
        <w:rPr>
          <w:rFonts w:asciiTheme="majorBidi" w:hAnsiTheme="majorBidi" w:cstheme="majorBidi"/>
          <w:sz w:val="18"/>
          <w:szCs w:val="18"/>
        </w:rPr>
        <w:t xml:space="preserve"> Party’s response to the communication, p. 3.</w:t>
      </w:r>
    </w:p>
  </w:footnote>
  <w:footnote w:id="30">
    <w:p w14:paraId="1DFE0041" w14:textId="3B29E7BB" w:rsidR="00EA0D4D" w:rsidRPr="004D04EC" w:rsidRDefault="00EA0D4D" w:rsidP="004D04EC">
      <w:pPr>
        <w:pStyle w:val="FootnoteText"/>
        <w:spacing w:after="0"/>
        <w:ind w:left="1134"/>
        <w:rPr>
          <w:rFonts w:asciiTheme="majorBidi" w:hAnsiTheme="majorBidi" w:cstheme="majorBidi"/>
          <w:sz w:val="18"/>
          <w:szCs w:val="18"/>
          <w:lang w:val="fr-CH"/>
        </w:rPr>
      </w:pPr>
      <w:r w:rsidRPr="004D04EC">
        <w:rPr>
          <w:rStyle w:val="FootnoteReference"/>
          <w:rFonts w:asciiTheme="majorBidi" w:hAnsiTheme="majorBidi" w:cstheme="majorBidi"/>
          <w:sz w:val="18"/>
          <w:szCs w:val="18"/>
        </w:rPr>
        <w:footnoteRef/>
      </w:r>
      <w:r w:rsidRPr="004D04EC">
        <w:rPr>
          <w:rFonts w:asciiTheme="majorBidi" w:hAnsiTheme="majorBidi" w:cstheme="majorBidi"/>
          <w:sz w:val="18"/>
          <w:szCs w:val="18"/>
          <w:lang w:val="fr-CH"/>
        </w:rPr>
        <w:t xml:space="preserve"> Communication, p. 3.</w:t>
      </w:r>
    </w:p>
  </w:footnote>
  <w:footnote w:id="31">
    <w:p w14:paraId="4355F4DA" w14:textId="63430E60"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p. 4.</w:t>
      </w:r>
    </w:p>
  </w:footnote>
  <w:footnote w:id="32">
    <w:p w14:paraId="539F36D2" w14:textId="1E8B6779"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annex</w:t>
      </w:r>
      <w:proofErr w:type="spellEnd"/>
      <w:r w:rsidRPr="004D04EC">
        <w:rPr>
          <w:rFonts w:asciiTheme="majorBidi" w:hAnsiTheme="majorBidi" w:cstheme="majorBidi"/>
          <w:szCs w:val="18"/>
          <w:lang w:val="fr-FR"/>
        </w:rPr>
        <w:t xml:space="preserve"> 7, pp. 2-3</w:t>
      </w:r>
    </w:p>
  </w:footnote>
  <w:footnote w:id="33">
    <w:p w14:paraId="0C6A85D3" w14:textId="77777777" w:rsidR="00E774F8" w:rsidRPr="004D04EC" w:rsidRDefault="00E774F8" w:rsidP="004D04EC">
      <w:pPr>
        <w:pStyle w:val="Footnotes"/>
        <w:rPr>
          <w:rFonts w:asciiTheme="majorBidi" w:hAnsiTheme="majorBidi" w:cstheme="majorBidi"/>
          <w:szCs w:val="18"/>
          <w:lang w:val="fr-CH"/>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CH"/>
        </w:rPr>
        <w:t xml:space="preserve"> Communication, </w:t>
      </w:r>
      <w:proofErr w:type="spellStart"/>
      <w:r w:rsidRPr="004D04EC">
        <w:rPr>
          <w:rFonts w:asciiTheme="majorBidi" w:hAnsiTheme="majorBidi" w:cstheme="majorBidi"/>
          <w:szCs w:val="18"/>
          <w:lang w:val="fr-CH"/>
        </w:rPr>
        <w:t>annex</w:t>
      </w:r>
      <w:proofErr w:type="spellEnd"/>
      <w:r w:rsidRPr="004D04EC">
        <w:rPr>
          <w:rFonts w:asciiTheme="majorBidi" w:hAnsiTheme="majorBidi" w:cstheme="majorBidi"/>
          <w:szCs w:val="18"/>
          <w:lang w:val="fr-CH"/>
        </w:rPr>
        <w:t xml:space="preserve"> 7, pp. 3-4.</w:t>
      </w:r>
    </w:p>
  </w:footnote>
  <w:footnote w:id="34">
    <w:p w14:paraId="6D9CB615"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es-ES"/>
        </w:rPr>
        <w:t xml:space="preserve"> ECE/</w:t>
      </w:r>
      <w:proofErr w:type="gramStart"/>
      <w:r w:rsidRPr="004D04EC">
        <w:rPr>
          <w:rFonts w:asciiTheme="majorBidi" w:hAnsiTheme="majorBidi" w:cstheme="majorBidi"/>
          <w:szCs w:val="18"/>
          <w:lang w:val="es-ES"/>
        </w:rPr>
        <w:t>MP.PP</w:t>
      </w:r>
      <w:proofErr w:type="gramEnd"/>
      <w:r w:rsidRPr="004D04EC">
        <w:rPr>
          <w:rFonts w:asciiTheme="majorBidi" w:hAnsiTheme="majorBidi" w:cstheme="majorBidi"/>
          <w:szCs w:val="18"/>
          <w:lang w:val="es-ES"/>
        </w:rPr>
        <w:t xml:space="preserve">/C.1/2013/4, para. </w:t>
      </w:r>
      <w:r w:rsidRPr="004D04EC">
        <w:rPr>
          <w:rFonts w:asciiTheme="majorBidi" w:hAnsiTheme="majorBidi" w:cstheme="majorBidi"/>
          <w:szCs w:val="18"/>
        </w:rPr>
        <w:t>83(a).</w:t>
      </w:r>
    </w:p>
  </w:footnote>
  <w:footnote w:id="35">
    <w:p w14:paraId="18AC5942" w14:textId="77777777" w:rsidR="00B72AF0" w:rsidRPr="004D04EC" w:rsidRDefault="00B72AF0"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ECE/</w:t>
      </w:r>
      <w:proofErr w:type="gramStart"/>
      <w:r w:rsidRPr="004D04EC">
        <w:rPr>
          <w:rFonts w:asciiTheme="majorBidi" w:hAnsiTheme="majorBidi" w:cstheme="majorBidi"/>
          <w:szCs w:val="18"/>
        </w:rPr>
        <w:t>MP.PP</w:t>
      </w:r>
      <w:proofErr w:type="gramEnd"/>
      <w:r w:rsidRPr="004D04EC">
        <w:rPr>
          <w:rFonts w:asciiTheme="majorBidi" w:hAnsiTheme="majorBidi" w:cstheme="majorBidi"/>
          <w:szCs w:val="18"/>
        </w:rPr>
        <w:t>/C.1/2014/2/Add. 1.</w:t>
      </w:r>
    </w:p>
  </w:footnote>
  <w:footnote w:id="36">
    <w:p w14:paraId="6075A532"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First progress report of the Party concerned regarding decision V/8d, 6 January 2015, p. 3.</w:t>
      </w:r>
    </w:p>
  </w:footnote>
  <w:footnote w:id="37">
    <w:p w14:paraId="1C4F566B"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Third progress report of the Party concerned regarding decision V/8d, 28 October 2016, p. 3.</w:t>
      </w:r>
    </w:p>
  </w:footnote>
  <w:footnote w:id="38">
    <w:p w14:paraId="00717327" w14:textId="752F2570" w:rsidR="004D04EC" w:rsidRPr="00033122" w:rsidRDefault="004D04EC" w:rsidP="004D04EC">
      <w:pPr>
        <w:pStyle w:val="FootnoteText"/>
        <w:spacing w:after="0"/>
        <w:ind w:left="567" w:firstLine="567"/>
        <w:rPr>
          <w:sz w:val="18"/>
          <w:szCs w:val="18"/>
        </w:rPr>
      </w:pPr>
      <w:r w:rsidRPr="004D04EC">
        <w:rPr>
          <w:rStyle w:val="FootnoteReference"/>
          <w:sz w:val="18"/>
          <w:szCs w:val="18"/>
        </w:rPr>
        <w:footnoteRef/>
      </w:r>
      <w:r w:rsidRPr="004D04EC">
        <w:rPr>
          <w:sz w:val="18"/>
          <w:szCs w:val="18"/>
          <w:lang w:val="es-ES"/>
        </w:rPr>
        <w:t xml:space="preserve"> ECE/</w:t>
      </w:r>
      <w:proofErr w:type="gramStart"/>
      <w:r w:rsidRPr="004D04EC">
        <w:rPr>
          <w:sz w:val="18"/>
          <w:szCs w:val="18"/>
          <w:lang w:val="es-ES"/>
        </w:rPr>
        <w:t>MP.PP</w:t>
      </w:r>
      <w:proofErr w:type="gramEnd"/>
      <w:r w:rsidRPr="004D04EC">
        <w:rPr>
          <w:sz w:val="18"/>
          <w:szCs w:val="18"/>
          <w:lang w:val="es-ES"/>
        </w:rPr>
        <w:t xml:space="preserve">/C.1/2016/3, para. </w:t>
      </w:r>
      <w:r w:rsidRPr="00033122">
        <w:rPr>
          <w:sz w:val="18"/>
          <w:szCs w:val="18"/>
        </w:rPr>
        <w:t>82.</w:t>
      </w:r>
    </w:p>
  </w:footnote>
  <w:footnote w:id="39">
    <w:p w14:paraId="30F5A617" w14:textId="77777777" w:rsidR="00E774F8" w:rsidRPr="004D04EC" w:rsidRDefault="00E774F8" w:rsidP="004D04EC">
      <w:pPr>
        <w:pStyle w:val="Footnotes"/>
        <w:rPr>
          <w:rFonts w:asciiTheme="majorBidi" w:hAnsiTheme="majorBidi" w:cstheme="majorBidi"/>
          <w:szCs w:val="18"/>
          <w:lang w:val="it-IT"/>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it-IT"/>
        </w:rPr>
        <w:t xml:space="preserve"> ECE/MP.PP/C.1/2017/2/Add.1.</w:t>
      </w:r>
    </w:p>
  </w:footnote>
  <w:footnote w:id="40">
    <w:p w14:paraId="5AF184EA"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4, and factsheet, p. 1.</w:t>
      </w:r>
    </w:p>
  </w:footnote>
  <w:footnote w:id="41">
    <w:p w14:paraId="7E84E690"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p. 4.</w:t>
      </w:r>
    </w:p>
  </w:footnote>
  <w:footnote w:id="42">
    <w:p w14:paraId="4B8E0F2F"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factsheet</w:t>
      </w:r>
      <w:proofErr w:type="spellEnd"/>
      <w:r w:rsidRPr="004D04EC">
        <w:rPr>
          <w:rFonts w:asciiTheme="majorBidi" w:hAnsiTheme="majorBidi" w:cstheme="majorBidi"/>
          <w:szCs w:val="18"/>
          <w:lang w:val="fr-FR"/>
        </w:rPr>
        <w:t>, p. 1.</w:t>
      </w:r>
    </w:p>
  </w:footnote>
  <w:footnote w:id="43">
    <w:p w14:paraId="23E95511"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annex</w:t>
      </w:r>
      <w:proofErr w:type="spellEnd"/>
      <w:r w:rsidRPr="004D04EC">
        <w:rPr>
          <w:rFonts w:asciiTheme="majorBidi" w:hAnsiTheme="majorBidi" w:cstheme="majorBidi"/>
          <w:szCs w:val="18"/>
          <w:lang w:val="fr-FR"/>
        </w:rPr>
        <w:t xml:space="preserve"> 1, p. 1.</w:t>
      </w:r>
    </w:p>
  </w:footnote>
  <w:footnote w:id="44">
    <w:p w14:paraId="49714298" w14:textId="19EC9958"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annex</w:t>
      </w:r>
      <w:proofErr w:type="spellEnd"/>
      <w:r w:rsidRPr="004D04EC">
        <w:rPr>
          <w:rFonts w:asciiTheme="majorBidi" w:hAnsiTheme="majorBidi" w:cstheme="majorBidi"/>
          <w:szCs w:val="18"/>
          <w:lang w:val="fr-FR"/>
        </w:rPr>
        <w:t xml:space="preserve"> 1, p. 2.</w:t>
      </w:r>
    </w:p>
  </w:footnote>
  <w:footnote w:id="45">
    <w:p w14:paraId="19149DC2"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factsheet</w:t>
      </w:r>
      <w:proofErr w:type="spellEnd"/>
      <w:r w:rsidRPr="004D04EC">
        <w:rPr>
          <w:rFonts w:asciiTheme="majorBidi" w:hAnsiTheme="majorBidi" w:cstheme="majorBidi"/>
          <w:szCs w:val="18"/>
          <w:lang w:val="fr-FR"/>
        </w:rPr>
        <w:t>, p. 1.</w:t>
      </w:r>
    </w:p>
  </w:footnote>
  <w:footnote w:id="46">
    <w:p w14:paraId="3A9442B7" w14:textId="24C38050"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pp.8-9.</w:t>
      </w:r>
    </w:p>
  </w:footnote>
  <w:footnote w:id="47">
    <w:p w14:paraId="64D04231"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factsheet</w:t>
      </w:r>
      <w:proofErr w:type="spellEnd"/>
      <w:r w:rsidRPr="004D04EC">
        <w:rPr>
          <w:rFonts w:asciiTheme="majorBidi" w:hAnsiTheme="majorBidi" w:cstheme="majorBidi"/>
          <w:szCs w:val="18"/>
          <w:lang w:val="fr-FR"/>
        </w:rPr>
        <w:t>, p. 1.</w:t>
      </w:r>
    </w:p>
  </w:footnote>
  <w:footnote w:id="48">
    <w:p w14:paraId="2488383B"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factsheet</w:t>
      </w:r>
      <w:proofErr w:type="spellEnd"/>
      <w:r w:rsidRPr="004D04EC">
        <w:rPr>
          <w:rFonts w:asciiTheme="majorBidi" w:hAnsiTheme="majorBidi" w:cstheme="majorBidi"/>
          <w:szCs w:val="18"/>
          <w:lang w:val="fr-FR"/>
        </w:rPr>
        <w:t>, p. 2.</w:t>
      </w:r>
    </w:p>
  </w:footnote>
  <w:footnote w:id="49">
    <w:p w14:paraId="2E886246"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p. 3, and </w:t>
      </w:r>
      <w:proofErr w:type="spellStart"/>
      <w:r w:rsidRPr="004D04EC">
        <w:rPr>
          <w:rFonts w:asciiTheme="majorBidi" w:hAnsiTheme="majorBidi" w:cstheme="majorBidi"/>
          <w:szCs w:val="18"/>
          <w:lang w:val="fr-FR"/>
        </w:rPr>
        <w:t>factsheet</w:t>
      </w:r>
      <w:proofErr w:type="spellEnd"/>
      <w:r w:rsidRPr="004D04EC">
        <w:rPr>
          <w:rFonts w:asciiTheme="majorBidi" w:hAnsiTheme="majorBidi" w:cstheme="majorBidi"/>
          <w:szCs w:val="18"/>
          <w:lang w:val="fr-FR"/>
        </w:rPr>
        <w:t>, p. 2.</w:t>
      </w:r>
    </w:p>
  </w:footnote>
  <w:footnote w:id="50">
    <w:p w14:paraId="412ED7DE"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factsheet</w:t>
      </w:r>
      <w:proofErr w:type="spellEnd"/>
      <w:r w:rsidRPr="004D04EC">
        <w:rPr>
          <w:rFonts w:asciiTheme="majorBidi" w:hAnsiTheme="majorBidi" w:cstheme="majorBidi"/>
          <w:szCs w:val="18"/>
          <w:lang w:val="fr-FR"/>
        </w:rPr>
        <w:t xml:space="preserve">, p. 1, and </w:t>
      </w:r>
      <w:proofErr w:type="spellStart"/>
      <w:r w:rsidRPr="004D04EC">
        <w:rPr>
          <w:rFonts w:asciiTheme="majorBidi" w:hAnsiTheme="majorBidi" w:cstheme="majorBidi"/>
          <w:szCs w:val="18"/>
          <w:lang w:val="fr-FR"/>
        </w:rPr>
        <w:t>annex</w:t>
      </w:r>
      <w:proofErr w:type="spellEnd"/>
      <w:r w:rsidRPr="004D04EC">
        <w:rPr>
          <w:rFonts w:asciiTheme="majorBidi" w:hAnsiTheme="majorBidi" w:cstheme="majorBidi"/>
          <w:szCs w:val="18"/>
          <w:lang w:val="fr-FR"/>
        </w:rPr>
        <w:t xml:space="preserve"> 8, p. 10.</w:t>
      </w:r>
    </w:p>
  </w:footnote>
  <w:footnote w:id="51">
    <w:p w14:paraId="3D1C4195"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factsheet</w:t>
      </w:r>
      <w:proofErr w:type="spellEnd"/>
      <w:r w:rsidRPr="004D04EC">
        <w:rPr>
          <w:rFonts w:asciiTheme="majorBidi" w:hAnsiTheme="majorBidi" w:cstheme="majorBidi"/>
          <w:szCs w:val="18"/>
          <w:lang w:val="fr-FR"/>
        </w:rPr>
        <w:t xml:space="preserve">, p. 2, and </w:t>
      </w:r>
      <w:proofErr w:type="spellStart"/>
      <w:r w:rsidRPr="004D04EC">
        <w:rPr>
          <w:rFonts w:asciiTheme="majorBidi" w:hAnsiTheme="majorBidi" w:cstheme="majorBidi"/>
          <w:szCs w:val="18"/>
          <w:lang w:val="fr-FR"/>
        </w:rPr>
        <w:t>annex</w:t>
      </w:r>
      <w:proofErr w:type="spellEnd"/>
      <w:r w:rsidRPr="004D04EC">
        <w:rPr>
          <w:rFonts w:asciiTheme="majorBidi" w:hAnsiTheme="majorBidi" w:cstheme="majorBidi"/>
          <w:szCs w:val="18"/>
          <w:lang w:val="fr-FR"/>
        </w:rPr>
        <w:t xml:space="preserve"> 8, pp. 32-33.</w:t>
      </w:r>
    </w:p>
  </w:footnote>
  <w:footnote w:id="52">
    <w:p w14:paraId="000CB41E"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3.</w:t>
      </w:r>
    </w:p>
  </w:footnote>
  <w:footnote w:id="53">
    <w:p w14:paraId="0266A537"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factsheet, pp. 1-2.</w:t>
      </w:r>
    </w:p>
  </w:footnote>
  <w:footnote w:id="54">
    <w:p w14:paraId="36DCD8F1" w14:textId="7B1E5181"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factsheet, p. 2, and annex 6, p. 2.</w:t>
      </w:r>
    </w:p>
  </w:footnote>
  <w:footnote w:id="55">
    <w:p w14:paraId="517B7241" w14:textId="5529B6E6"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factsheet, pp. 1-2, and annex 5, p. 2.</w:t>
      </w:r>
    </w:p>
  </w:footnote>
  <w:footnote w:id="56">
    <w:p w14:paraId="7A9C70BD" w14:textId="3C5A8B45"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para. 11 and annex 5.</w:t>
      </w:r>
    </w:p>
  </w:footnote>
  <w:footnote w:id="57">
    <w:p w14:paraId="7A5CB814"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annex 7, p. 2.</w:t>
      </w:r>
    </w:p>
  </w:footnote>
  <w:footnote w:id="58">
    <w:p w14:paraId="202A745F" w14:textId="1D42A32E"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annex 7, p. 3.</w:t>
      </w:r>
    </w:p>
  </w:footnote>
  <w:footnote w:id="59">
    <w:p w14:paraId="17BF2EE4" w14:textId="021BDC15"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60">
    <w:p w14:paraId="1C769428"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3, and annex 2.</w:t>
      </w:r>
    </w:p>
  </w:footnote>
  <w:footnote w:id="61">
    <w:p w14:paraId="0C1E8645"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First progress report of the Party concerned regarding decision V/8d, 6 January 2015, p. 3.</w:t>
      </w:r>
    </w:p>
  </w:footnote>
  <w:footnote w:id="62">
    <w:p w14:paraId="0A11C057" w14:textId="35EED792"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w:t>
      </w:r>
      <w:proofErr w:type="spellStart"/>
      <w:r w:rsidRPr="004D04EC">
        <w:rPr>
          <w:rFonts w:asciiTheme="majorBidi" w:hAnsiTheme="majorBidi" w:cstheme="majorBidi"/>
          <w:szCs w:val="18"/>
          <w:lang w:val="fr-FR"/>
        </w:rPr>
        <w:t>annex</w:t>
      </w:r>
      <w:proofErr w:type="spellEnd"/>
      <w:r w:rsidRPr="004D04EC">
        <w:rPr>
          <w:rFonts w:asciiTheme="majorBidi" w:hAnsiTheme="majorBidi" w:cstheme="majorBidi"/>
          <w:szCs w:val="18"/>
          <w:lang w:val="fr-FR"/>
        </w:rPr>
        <w:t xml:space="preserve"> 2, p. 6.</w:t>
      </w:r>
    </w:p>
  </w:footnote>
  <w:footnote w:id="63">
    <w:p w14:paraId="660C70B7"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p. 3.</w:t>
      </w:r>
    </w:p>
  </w:footnote>
  <w:footnote w:id="64">
    <w:p w14:paraId="064D15A5" w14:textId="3215E4BF"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65">
    <w:p w14:paraId="56440367"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8.</w:t>
      </w:r>
    </w:p>
  </w:footnote>
  <w:footnote w:id="66">
    <w:p w14:paraId="0A43638F"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4.</w:t>
      </w:r>
    </w:p>
  </w:footnote>
  <w:footnote w:id="67">
    <w:p w14:paraId="564F0FF5" w14:textId="51E8B331"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 6.</w:t>
      </w:r>
    </w:p>
  </w:footnote>
  <w:footnote w:id="68">
    <w:p w14:paraId="32240DE2"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8.</w:t>
      </w:r>
    </w:p>
  </w:footnote>
  <w:footnote w:id="69">
    <w:p w14:paraId="2C3575D0" w14:textId="0CF5467C"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reply to Committee’s questions of 13 July 2020, p. 7. </w:t>
      </w:r>
    </w:p>
  </w:footnote>
  <w:footnote w:id="70">
    <w:p w14:paraId="19F576D2"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8.</w:t>
      </w:r>
    </w:p>
  </w:footnote>
  <w:footnote w:id="71">
    <w:p w14:paraId="78DC09FD" w14:textId="187A6A51"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72">
    <w:p w14:paraId="2C78157D"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73">
    <w:p w14:paraId="15DD2984"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74">
    <w:p w14:paraId="608E5CE8" w14:textId="389DC762"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reply to Committee’s questions of 13 July 2020, p. 6.</w:t>
      </w:r>
    </w:p>
  </w:footnote>
  <w:footnote w:id="75">
    <w:p w14:paraId="508F13B6"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pp. 8-9.</w:t>
      </w:r>
    </w:p>
  </w:footnote>
  <w:footnote w:id="76">
    <w:p w14:paraId="1BF40862"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pp. 8-9.</w:t>
      </w:r>
    </w:p>
  </w:footnote>
  <w:footnote w:id="77">
    <w:p w14:paraId="7BF25437" w14:textId="77777777" w:rsidR="00E774F8" w:rsidRPr="004D04EC" w:rsidRDefault="00E774F8" w:rsidP="004D04EC">
      <w:pPr>
        <w:pStyle w:val="Footnotes"/>
        <w:rPr>
          <w:rFonts w:asciiTheme="majorBidi" w:hAnsiTheme="majorBidi" w:cstheme="majorBidi"/>
          <w:szCs w:val="18"/>
          <w:lang w:val="fr-FR"/>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fr-FR"/>
        </w:rPr>
        <w:t xml:space="preserve"> Communication, p. 9.</w:t>
      </w:r>
    </w:p>
  </w:footnote>
  <w:footnote w:id="78">
    <w:p w14:paraId="1A95C02A" w14:textId="17F6C742"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79">
    <w:p w14:paraId="7DF9BA3C" w14:textId="7146DB7B"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80">
    <w:p w14:paraId="2827C8ED" w14:textId="465EF9D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reply to Committee’s questions of 13 July 2020, pp. 7-8.</w:t>
      </w:r>
    </w:p>
  </w:footnote>
  <w:footnote w:id="81">
    <w:p w14:paraId="1953E3B2"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1.</w:t>
      </w:r>
    </w:p>
  </w:footnote>
  <w:footnote w:id="82">
    <w:p w14:paraId="4252F4F6"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1.</w:t>
      </w:r>
    </w:p>
  </w:footnote>
  <w:footnote w:id="83">
    <w:p w14:paraId="038C5E48"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pp. 1-2.</w:t>
      </w:r>
    </w:p>
  </w:footnote>
  <w:footnote w:id="84">
    <w:p w14:paraId="3B09ACA0"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 2.</w:t>
      </w:r>
    </w:p>
  </w:footnote>
  <w:footnote w:id="85">
    <w:p w14:paraId="7D304000"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9.</w:t>
      </w:r>
    </w:p>
  </w:footnote>
  <w:footnote w:id="86">
    <w:p w14:paraId="3F1443F3"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3.</w:t>
      </w:r>
    </w:p>
  </w:footnote>
  <w:footnote w:id="87">
    <w:p w14:paraId="077F962D" w14:textId="44A38632"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88">
    <w:p w14:paraId="44B0E81B"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9.</w:t>
      </w:r>
    </w:p>
  </w:footnote>
  <w:footnote w:id="89">
    <w:p w14:paraId="51C530A5" w14:textId="506004E1"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90">
    <w:p w14:paraId="14E805CE"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pp. 9-10.</w:t>
      </w:r>
    </w:p>
  </w:footnote>
  <w:footnote w:id="91">
    <w:p w14:paraId="24337DD7"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pp. 3-4, and 10.</w:t>
      </w:r>
    </w:p>
  </w:footnote>
  <w:footnote w:id="92">
    <w:p w14:paraId="17A763A3" w14:textId="2245D7CB"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2.</w:t>
      </w:r>
    </w:p>
  </w:footnote>
  <w:footnote w:id="93">
    <w:p w14:paraId="0BA62AF3"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3.</w:t>
      </w:r>
    </w:p>
  </w:footnote>
  <w:footnote w:id="94">
    <w:p w14:paraId="00CA71BD"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95">
    <w:p w14:paraId="717A21BF" w14:textId="0EA807FA"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96">
    <w:p w14:paraId="756D7E2B"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pp. 1-2.</w:t>
      </w:r>
    </w:p>
  </w:footnote>
  <w:footnote w:id="97">
    <w:p w14:paraId="048E1EA7"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 6.</w:t>
      </w:r>
    </w:p>
  </w:footnote>
  <w:footnote w:id="98">
    <w:p w14:paraId="5B3A96DA" w14:textId="4420B4E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 6.</w:t>
      </w:r>
    </w:p>
  </w:footnote>
  <w:footnote w:id="99">
    <w:p w14:paraId="71BA0D26" w14:textId="5F46CC4C"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 7.</w:t>
      </w:r>
    </w:p>
  </w:footnote>
  <w:footnote w:id="100">
    <w:p w14:paraId="0997507C" w14:textId="3A186E94"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 5.</w:t>
      </w:r>
    </w:p>
  </w:footnote>
  <w:footnote w:id="101">
    <w:p w14:paraId="0CF76B42" w14:textId="5656FDFA"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102">
    <w:p w14:paraId="0ADA7E06" w14:textId="625A5455"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103">
    <w:p w14:paraId="7B2164BF"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pp. 5-6.</w:t>
      </w:r>
    </w:p>
  </w:footnote>
  <w:footnote w:id="104">
    <w:p w14:paraId="4B22F8E9" w14:textId="573FD8A4"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p.6.</w:t>
      </w:r>
    </w:p>
  </w:footnote>
  <w:footnote w:id="105">
    <w:p w14:paraId="17B3D07F" w14:textId="4766EC16"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106">
    <w:p w14:paraId="68526769"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3.</w:t>
      </w:r>
    </w:p>
  </w:footnote>
  <w:footnote w:id="107">
    <w:p w14:paraId="3C5607BA"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p. 3 and annex, p. 1. </w:t>
      </w:r>
    </w:p>
  </w:footnote>
  <w:footnote w:id="108">
    <w:p w14:paraId="4B734994"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annex, p. 1.</w:t>
      </w:r>
    </w:p>
  </w:footnote>
  <w:footnote w:id="109">
    <w:p w14:paraId="20DA98E5"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response to the communication, annex, p. 1.</w:t>
      </w:r>
    </w:p>
  </w:footnote>
  <w:footnote w:id="110">
    <w:p w14:paraId="0EFC37A5" w14:textId="527BE008"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 p. 4.</w:t>
      </w:r>
    </w:p>
  </w:footnote>
  <w:footnote w:id="111">
    <w:p w14:paraId="7CEF73F4" w14:textId="5F2430BC"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112">
    <w:p w14:paraId="03153B0D" w14:textId="4D630F9B"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Ibid.</w:t>
      </w:r>
    </w:p>
  </w:footnote>
  <w:footnote w:id="113">
    <w:p w14:paraId="60871CEA" w14:textId="6C5A9754"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Party’s reply to Committee’s questions of 13 July 2020, p. 8.</w:t>
      </w:r>
    </w:p>
  </w:footnote>
  <w:footnote w:id="114">
    <w:p w14:paraId="3A6D29E2" w14:textId="77777777" w:rsidR="00E774F8" w:rsidRPr="004D04EC" w:rsidRDefault="00E774F8" w:rsidP="004D04EC">
      <w:pPr>
        <w:pStyle w:val="Footnotes"/>
        <w:rPr>
          <w:rFonts w:asciiTheme="majorBidi" w:hAnsiTheme="majorBidi" w:cstheme="majorBidi"/>
          <w:szCs w:val="18"/>
        </w:rPr>
      </w:pPr>
      <w:r w:rsidRPr="004D04EC">
        <w:rPr>
          <w:rStyle w:val="FootnoteReference"/>
          <w:rFonts w:asciiTheme="majorBidi" w:hAnsiTheme="majorBidi" w:cstheme="majorBidi"/>
          <w:szCs w:val="18"/>
        </w:rPr>
        <w:footnoteRef/>
      </w:r>
      <w:r w:rsidRPr="004D04EC">
        <w:rPr>
          <w:rFonts w:asciiTheme="majorBidi" w:hAnsiTheme="majorBidi" w:cstheme="majorBidi"/>
          <w:szCs w:val="18"/>
        </w:rPr>
        <w:t xml:space="preserve"> Communication, p. 6.</w:t>
      </w:r>
    </w:p>
  </w:footnote>
  <w:footnote w:id="115">
    <w:p w14:paraId="08EC8AA9" w14:textId="77777777" w:rsidR="00E774F8" w:rsidRPr="004D04EC" w:rsidRDefault="00E774F8" w:rsidP="004D04EC">
      <w:pPr>
        <w:pStyle w:val="FootnoteText"/>
        <w:spacing w:after="0"/>
        <w:ind w:left="1134"/>
        <w:rPr>
          <w:rFonts w:asciiTheme="majorBidi" w:hAnsiTheme="majorBidi" w:cstheme="majorBidi"/>
          <w:sz w:val="18"/>
          <w:szCs w:val="18"/>
        </w:rPr>
      </w:pPr>
      <w:r w:rsidRPr="004D04EC">
        <w:rPr>
          <w:rStyle w:val="FootnoteReference"/>
          <w:rFonts w:asciiTheme="majorBidi" w:hAnsiTheme="majorBidi" w:cstheme="majorBidi"/>
          <w:sz w:val="18"/>
          <w:szCs w:val="18"/>
        </w:rPr>
        <w:footnoteRef/>
      </w:r>
      <w:r w:rsidRPr="004D04EC">
        <w:rPr>
          <w:rFonts w:asciiTheme="majorBidi" w:hAnsiTheme="majorBidi" w:cstheme="majorBidi"/>
          <w:sz w:val="18"/>
          <w:szCs w:val="18"/>
        </w:rPr>
        <w:t xml:space="preserve"> Party </w:t>
      </w:r>
      <w:proofErr w:type="spellStart"/>
      <w:r w:rsidRPr="004D04EC">
        <w:rPr>
          <w:rFonts w:asciiTheme="majorBidi" w:hAnsiTheme="majorBidi" w:cstheme="majorBidi"/>
          <w:sz w:val="18"/>
          <w:szCs w:val="18"/>
        </w:rPr>
        <w:t>concerned’s</w:t>
      </w:r>
      <w:proofErr w:type="spellEnd"/>
      <w:r w:rsidRPr="004D04EC">
        <w:rPr>
          <w:rFonts w:asciiTheme="majorBidi" w:hAnsiTheme="majorBidi" w:cstheme="majorBidi"/>
          <w:sz w:val="18"/>
          <w:szCs w:val="18"/>
        </w:rPr>
        <w:t xml:space="preserve"> statement on admissibility, 28 February 2017, p. 1.</w:t>
      </w:r>
    </w:p>
  </w:footnote>
  <w:footnote w:id="116">
    <w:p w14:paraId="75903AC6" w14:textId="6A6C728A" w:rsidR="00E774F8" w:rsidRPr="004D04EC" w:rsidRDefault="00E774F8" w:rsidP="004D04EC">
      <w:pPr>
        <w:pStyle w:val="Footnotes"/>
        <w:rPr>
          <w:rFonts w:asciiTheme="majorBidi" w:hAnsiTheme="majorBidi" w:cstheme="majorBidi"/>
          <w:szCs w:val="18"/>
          <w:lang w:val="es-ES"/>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es-ES"/>
        </w:rPr>
        <w:t xml:space="preserve"> ECE/</w:t>
      </w:r>
      <w:proofErr w:type="gramStart"/>
      <w:r w:rsidRPr="004D04EC">
        <w:rPr>
          <w:rFonts w:asciiTheme="majorBidi" w:hAnsiTheme="majorBidi" w:cstheme="majorBidi"/>
          <w:szCs w:val="18"/>
          <w:lang w:val="es-ES"/>
        </w:rPr>
        <w:t>MP.PP</w:t>
      </w:r>
      <w:proofErr w:type="gramEnd"/>
      <w:r w:rsidRPr="004D04EC">
        <w:rPr>
          <w:rFonts w:asciiTheme="majorBidi" w:hAnsiTheme="majorBidi" w:cstheme="majorBidi"/>
          <w:szCs w:val="18"/>
          <w:lang w:val="es-ES"/>
        </w:rPr>
        <w:t>/C.1/2013/4, para. 64.</w:t>
      </w:r>
    </w:p>
  </w:footnote>
  <w:footnote w:id="117">
    <w:p w14:paraId="392BC5C7" w14:textId="5D73103E" w:rsidR="00E774F8" w:rsidRPr="004D04EC" w:rsidRDefault="00E774F8" w:rsidP="004D04EC">
      <w:pPr>
        <w:pStyle w:val="Footnotes"/>
        <w:rPr>
          <w:rFonts w:asciiTheme="majorBidi" w:hAnsiTheme="majorBidi" w:cstheme="majorBidi"/>
          <w:szCs w:val="18"/>
          <w:lang w:val="es-ES"/>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es-ES"/>
        </w:rPr>
        <w:t xml:space="preserve"> ECE/</w:t>
      </w:r>
      <w:proofErr w:type="gramStart"/>
      <w:r w:rsidRPr="004D04EC">
        <w:rPr>
          <w:rFonts w:asciiTheme="majorBidi" w:hAnsiTheme="majorBidi" w:cstheme="majorBidi"/>
          <w:szCs w:val="18"/>
          <w:lang w:val="es-ES"/>
        </w:rPr>
        <w:t>MP.PP</w:t>
      </w:r>
      <w:proofErr w:type="gramEnd"/>
      <w:r w:rsidRPr="004D04EC">
        <w:rPr>
          <w:rFonts w:asciiTheme="majorBidi" w:hAnsiTheme="majorBidi" w:cstheme="majorBidi"/>
          <w:szCs w:val="18"/>
          <w:lang w:val="es-ES"/>
        </w:rPr>
        <w:t>/C.1/2016/10, para. 84.</w:t>
      </w:r>
    </w:p>
  </w:footnote>
  <w:footnote w:id="118">
    <w:p w14:paraId="79FB0049" w14:textId="7E9F7A34" w:rsidR="00E774F8" w:rsidRPr="004D04EC" w:rsidRDefault="00E774F8" w:rsidP="004D04EC">
      <w:pPr>
        <w:pStyle w:val="FootnoteText"/>
        <w:spacing w:after="0"/>
        <w:ind w:left="1134"/>
        <w:rPr>
          <w:rFonts w:asciiTheme="majorBidi" w:hAnsiTheme="majorBidi" w:cstheme="majorBidi"/>
          <w:sz w:val="18"/>
          <w:szCs w:val="18"/>
          <w:lang w:val="es-ES"/>
        </w:rPr>
      </w:pPr>
      <w:r w:rsidRPr="004D04EC">
        <w:rPr>
          <w:rStyle w:val="FootnoteReference"/>
          <w:rFonts w:asciiTheme="majorBidi" w:hAnsiTheme="majorBidi" w:cstheme="majorBidi"/>
          <w:sz w:val="18"/>
          <w:szCs w:val="18"/>
        </w:rPr>
        <w:footnoteRef/>
      </w:r>
      <w:r w:rsidRPr="004D04EC">
        <w:rPr>
          <w:rFonts w:asciiTheme="majorBidi" w:hAnsiTheme="majorBidi" w:cstheme="majorBidi"/>
          <w:sz w:val="18"/>
          <w:szCs w:val="18"/>
          <w:lang w:val="es-ES"/>
        </w:rPr>
        <w:t xml:space="preserve"> ECE/</w:t>
      </w:r>
      <w:proofErr w:type="gramStart"/>
      <w:r w:rsidRPr="004D04EC">
        <w:rPr>
          <w:rFonts w:asciiTheme="majorBidi" w:hAnsiTheme="majorBidi" w:cstheme="majorBidi"/>
          <w:sz w:val="18"/>
          <w:szCs w:val="18"/>
          <w:lang w:val="es-ES"/>
        </w:rPr>
        <w:t>MP.PP</w:t>
      </w:r>
      <w:proofErr w:type="gramEnd"/>
      <w:r w:rsidRPr="004D04EC">
        <w:rPr>
          <w:rFonts w:asciiTheme="majorBidi" w:hAnsiTheme="majorBidi" w:cstheme="majorBidi"/>
          <w:sz w:val="18"/>
          <w:szCs w:val="18"/>
          <w:lang w:val="es-ES"/>
        </w:rPr>
        <w:t>/C.1/2019/6, para. 94.</w:t>
      </w:r>
    </w:p>
  </w:footnote>
  <w:footnote w:id="119">
    <w:p w14:paraId="132C5660" w14:textId="47200F62" w:rsidR="00E774F8" w:rsidRPr="004D04EC" w:rsidRDefault="00E774F8" w:rsidP="004D04EC">
      <w:pPr>
        <w:pStyle w:val="Footnotes"/>
        <w:rPr>
          <w:rFonts w:asciiTheme="majorBidi" w:hAnsiTheme="majorBidi" w:cstheme="majorBidi"/>
          <w:szCs w:val="18"/>
          <w:lang w:val="es-ES"/>
        </w:rPr>
      </w:pPr>
      <w:r w:rsidRPr="004D04EC">
        <w:rPr>
          <w:rStyle w:val="FootnoteReference"/>
          <w:rFonts w:asciiTheme="majorBidi" w:hAnsiTheme="majorBidi" w:cstheme="majorBidi"/>
          <w:szCs w:val="18"/>
        </w:rPr>
        <w:footnoteRef/>
      </w:r>
      <w:r w:rsidRPr="004D04EC">
        <w:rPr>
          <w:rFonts w:asciiTheme="majorBidi" w:hAnsiTheme="majorBidi" w:cstheme="majorBidi"/>
          <w:szCs w:val="18"/>
          <w:lang w:val="es-ES"/>
        </w:rPr>
        <w:t xml:space="preserve"> ECE/</w:t>
      </w:r>
      <w:proofErr w:type="gramStart"/>
      <w:r w:rsidRPr="004D04EC">
        <w:rPr>
          <w:rFonts w:asciiTheme="majorBidi" w:hAnsiTheme="majorBidi" w:cstheme="majorBidi"/>
          <w:szCs w:val="18"/>
          <w:lang w:val="es-ES"/>
        </w:rPr>
        <w:t>MP.PP</w:t>
      </w:r>
      <w:proofErr w:type="gramEnd"/>
      <w:r w:rsidRPr="004D04EC">
        <w:rPr>
          <w:rFonts w:asciiTheme="majorBidi" w:hAnsiTheme="majorBidi" w:cstheme="majorBidi"/>
          <w:szCs w:val="18"/>
          <w:lang w:val="es-ES"/>
        </w:rPr>
        <w:t>/2008/5/Add.6, para. 66.</w:t>
      </w:r>
    </w:p>
  </w:footnote>
  <w:footnote w:id="120">
    <w:p w14:paraId="26FA522E" w14:textId="4F46C2C4" w:rsidR="00E774F8" w:rsidRPr="004D04EC" w:rsidRDefault="00E774F8" w:rsidP="004D04EC">
      <w:pPr>
        <w:pStyle w:val="Footnotes"/>
        <w:rPr>
          <w:rFonts w:asciiTheme="majorBidi" w:hAnsiTheme="majorBidi" w:cstheme="majorBidi"/>
          <w:szCs w:val="18"/>
        </w:rPr>
      </w:pPr>
      <w:r w:rsidRPr="004D04EC">
        <w:rPr>
          <w:rFonts w:asciiTheme="majorBidi" w:hAnsiTheme="majorBidi" w:cstheme="majorBidi"/>
          <w:szCs w:val="18"/>
          <w:lang w:val="es-ES"/>
        </w:rPr>
        <w:tab/>
      </w:r>
      <w:r w:rsidRPr="004D04EC">
        <w:rPr>
          <w:rFonts w:asciiTheme="majorBidi" w:hAnsiTheme="majorBidi" w:cstheme="majorBidi"/>
          <w:szCs w:val="18"/>
          <w:lang w:val="es-ES"/>
        </w:rPr>
        <w:tab/>
      </w:r>
      <w:r w:rsidRPr="004D04EC">
        <w:rPr>
          <w:rStyle w:val="FootnoteReference"/>
          <w:rFonts w:asciiTheme="majorBidi" w:hAnsiTheme="majorBidi" w:cstheme="majorBidi"/>
          <w:szCs w:val="18"/>
        </w:rPr>
        <w:footnoteRef/>
      </w:r>
      <w:r w:rsidRPr="004D04EC">
        <w:rPr>
          <w:rFonts w:asciiTheme="majorBidi" w:hAnsiTheme="majorBidi" w:cstheme="majorBidi"/>
          <w:szCs w:val="18"/>
          <w:lang w:val="es-ES"/>
        </w:rPr>
        <w:t xml:space="preserve"> ECE/</w:t>
      </w:r>
      <w:proofErr w:type="gramStart"/>
      <w:r w:rsidRPr="004D04EC">
        <w:rPr>
          <w:rFonts w:asciiTheme="majorBidi" w:hAnsiTheme="majorBidi" w:cstheme="majorBidi"/>
          <w:szCs w:val="18"/>
          <w:lang w:val="es-ES"/>
        </w:rPr>
        <w:t>MP.PP</w:t>
      </w:r>
      <w:proofErr w:type="gramEnd"/>
      <w:r w:rsidRPr="004D04EC">
        <w:rPr>
          <w:rFonts w:asciiTheme="majorBidi" w:hAnsiTheme="majorBidi" w:cstheme="majorBidi"/>
          <w:szCs w:val="18"/>
          <w:lang w:val="es-ES"/>
        </w:rPr>
        <w:t xml:space="preserve">/C.1/2021/3, paras. </w:t>
      </w:r>
      <w:r w:rsidRPr="004D04EC">
        <w:rPr>
          <w:rFonts w:asciiTheme="majorBidi" w:hAnsiTheme="majorBidi" w:cstheme="majorBidi"/>
          <w:szCs w:val="18"/>
        </w:rPr>
        <w:t xml:space="preserve">127-28; also </w:t>
      </w:r>
      <w:r w:rsidRPr="004D04EC">
        <w:rPr>
          <w:rFonts w:asciiTheme="majorBidi" w:hAnsiTheme="majorBidi" w:cstheme="majorBidi"/>
          <w:bCs/>
          <w:szCs w:val="18"/>
        </w:rPr>
        <w:t>ECE/</w:t>
      </w:r>
      <w:proofErr w:type="gramStart"/>
      <w:r w:rsidRPr="004D04EC">
        <w:rPr>
          <w:rFonts w:asciiTheme="majorBidi" w:hAnsiTheme="majorBidi" w:cstheme="majorBidi"/>
          <w:bCs/>
          <w:szCs w:val="18"/>
        </w:rPr>
        <w:t>MP.PP</w:t>
      </w:r>
      <w:proofErr w:type="gramEnd"/>
      <w:r w:rsidRPr="004D04EC">
        <w:rPr>
          <w:rFonts w:asciiTheme="majorBidi" w:hAnsiTheme="majorBidi" w:cstheme="majorBidi"/>
          <w:bCs/>
          <w:szCs w:val="18"/>
        </w:rPr>
        <w:t>/C.1/2014/9, para.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9FB0" w14:textId="77777777" w:rsidR="00E774F8" w:rsidRPr="00F56A6B" w:rsidRDefault="00E774F8" w:rsidP="00A278DD">
    <w:pPr>
      <w:pStyle w:val="Header"/>
    </w:pPr>
    <w:r w:rsidRPr="00A278DD">
      <w:rPr>
        <w:b/>
      </w:rPr>
      <w:t>ACCC/C/2012/77 (</w:t>
    </w:r>
    <w:smartTag w:uri="urn:schemas-microsoft-com:office:smarttags" w:element="country-region">
      <w:smartTag w:uri="urn:schemas-microsoft-com:office:smarttags" w:element="place">
        <w:r w:rsidRPr="00A278DD">
          <w:rPr>
            <w:b/>
          </w:rPr>
          <w:t>United Kingdom</w:t>
        </w:r>
      </w:smartTag>
    </w:smartTag>
    <w:r w:rsidRPr="00A278DD">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5756" w14:textId="77777777" w:rsidR="00E774F8" w:rsidRPr="008F43ED" w:rsidRDefault="00E774F8" w:rsidP="00A278DD">
    <w:pPr>
      <w:pStyle w:val="Header"/>
      <w:spacing w:after="0"/>
      <w:rPr>
        <w:bCs/>
      </w:rPr>
    </w:pPr>
    <w:r w:rsidRPr="00A278DD">
      <w:t>ACCC/C/2016/144 (Bulgaria)</w:t>
    </w:r>
  </w:p>
  <w:p w14:paraId="624A5C5A" w14:textId="7F689922" w:rsidR="00E774F8" w:rsidRDefault="00E774F8" w:rsidP="008F43ED">
    <w:pPr>
      <w:pStyle w:val="Header"/>
      <w:spacing w:after="0"/>
      <w:rPr>
        <w:bCs/>
      </w:rPr>
    </w:pPr>
    <w:r w:rsidRPr="00A278DD">
      <w:t xml:space="preserve">Draft findings </w:t>
    </w:r>
    <w:r w:rsidRPr="008F43ED">
      <w:rPr>
        <w:bCs/>
      </w:rPr>
      <w:t xml:space="preserve">for </w:t>
    </w:r>
    <w:r w:rsidR="00A31B83">
      <w:rPr>
        <w:bCs/>
      </w:rPr>
      <w:t>the parties’ comments</w:t>
    </w:r>
  </w:p>
  <w:p w14:paraId="03E2CB6F" w14:textId="77777777" w:rsidR="00E774F8" w:rsidRPr="00A278DD" w:rsidRDefault="00E774F8" w:rsidP="00A27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7B1A" w14:textId="77777777" w:rsidR="00E774F8" w:rsidRPr="00A278DD" w:rsidRDefault="00E774F8" w:rsidP="00A278DD">
    <w:pPr>
      <w:pStyle w:val="Header"/>
      <w:rPr>
        <w:b/>
      </w:rPr>
    </w:pPr>
    <w:r w:rsidRPr="00A278DD">
      <w:rPr>
        <w:b/>
      </w:rPr>
      <w:t>ACCC/C/2014/104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DE5"/>
    <w:multiLevelType w:val="hybridMultilevel"/>
    <w:tmpl w:val="0BC84F5C"/>
    <w:lvl w:ilvl="0" w:tplc="E5FA305A">
      <w:start w:val="1"/>
      <w:numFmt w:val="decimal"/>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 w15:restartNumberingAfterBreak="0">
    <w:nsid w:val="050A7DCE"/>
    <w:multiLevelType w:val="hybridMultilevel"/>
    <w:tmpl w:val="C69AB770"/>
    <w:lvl w:ilvl="0" w:tplc="39E452EE">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 w15:restartNumberingAfterBreak="0">
    <w:nsid w:val="07242BB1"/>
    <w:multiLevelType w:val="hybridMultilevel"/>
    <w:tmpl w:val="B36EFDE8"/>
    <w:lvl w:ilvl="0" w:tplc="50A66E7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0BA26ABE"/>
    <w:multiLevelType w:val="hybridMultilevel"/>
    <w:tmpl w:val="F03CE2B4"/>
    <w:lvl w:ilvl="0" w:tplc="DB88A7E0">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0A37571"/>
    <w:multiLevelType w:val="hybridMultilevel"/>
    <w:tmpl w:val="9288F66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1201E99"/>
    <w:multiLevelType w:val="hybridMultilevel"/>
    <w:tmpl w:val="3AC0614C"/>
    <w:lvl w:ilvl="0" w:tplc="362A48EE">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 w15:restartNumberingAfterBreak="0">
    <w:nsid w:val="11B56D4A"/>
    <w:multiLevelType w:val="hybridMultilevel"/>
    <w:tmpl w:val="375408C8"/>
    <w:lvl w:ilvl="0" w:tplc="A17EF846">
      <w:start w:val="1"/>
      <w:numFmt w:val="lowerLetter"/>
      <w:lvlText w:val="(%1)"/>
      <w:lvlJc w:val="left"/>
      <w:pPr>
        <w:ind w:left="1500" w:hanging="360"/>
      </w:pPr>
      <w:rPr>
        <w:rFonts w:hint="default"/>
        <w:i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128663D8"/>
    <w:multiLevelType w:val="hybridMultilevel"/>
    <w:tmpl w:val="DFE84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F0BE8"/>
    <w:multiLevelType w:val="hybridMultilevel"/>
    <w:tmpl w:val="DE3C4D18"/>
    <w:lvl w:ilvl="0" w:tplc="11BCA316">
      <w:start w:val="1"/>
      <w:numFmt w:val="bullet"/>
      <w:lvlText w:val=""/>
      <w:lvlJc w:val="left"/>
      <w:pPr>
        <w:ind w:left="2421" w:hanging="360"/>
      </w:pPr>
      <w:rPr>
        <w:rFonts w:ascii="Symbol" w:hAnsi="Symbol" w:hint="default"/>
        <w:sz w:val="20"/>
        <w:szCs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15E532F5"/>
    <w:multiLevelType w:val="multilevel"/>
    <w:tmpl w:val="A70E2CDA"/>
    <w:lvl w:ilvl="0">
      <w:start w:val="1"/>
      <w:numFmt w:val="upperRoman"/>
      <w:pStyle w:val="Heading1"/>
      <w:lvlText w:val="%1."/>
      <w:lvlJc w:val="right"/>
      <w:pPr>
        <w:ind w:left="2214"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3D1574"/>
    <w:multiLevelType w:val="hybridMultilevel"/>
    <w:tmpl w:val="7F067D6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15:restartNumberingAfterBreak="0">
    <w:nsid w:val="1AF01710"/>
    <w:multiLevelType w:val="hybridMultilevel"/>
    <w:tmpl w:val="D71A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06651"/>
    <w:multiLevelType w:val="hybridMultilevel"/>
    <w:tmpl w:val="A4584A5A"/>
    <w:lvl w:ilvl="0" w:tplc="9776FECC">
      <w:start w:val="1"/>
      <w:numFmt w:val="decimal"/>
      <w:lvlText w:val="%1."/>
      <w:lvlJc w:val="left"/>
      <w:pPr>
        <w:tabs>
          <w:tab w:val="num" w:pos="1569"/>
        </w:tabs>
        <w:ind w:left="1569"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24173AA2"/>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15:restartNumberingAfterBreak="0">
    <w:nsid w:val="29EE483B"/>
    <w:multiLevelType w:val="hybridMultilevel"/>
    <w:tmpl w:val="14A44B0E"/>
    <w:lvl w:ilvl="0" w:tplc="3F5C32B0">
      <w:start w:val="1"/>
      <w:numFmt w:val="decimal"/>
      <w:pStyle w:val="NumberedParas"/>
      <w:lvlText w:val="%1."/>
      <w:lvlJc w:val="left"/>
      <w:pPr>
        <w:ind w:left="720" w:hanging="360"/>
      </w:pPr>
      <w:rPr>
        <w:b w:val="0"/>
        <w:bCs w:val="0"/>
      </w:rPr>
    </w:lvl>
    <w:lvl w:ilvl="1" w:tplc="19262370">
      <w:start w:val="1"/>
      <w:numFmt w:val="lowerLetter"/>
      <w:lvlText w:val="(%2)"/>
      <w:lvlJc w:val="left"/>
      <w:pPr>
        <w:ind w:left="1440" w:firstLine="261"/>
      </w:pPr>
      <w:rPr>
        <w:rFonts w:hint="default"/>
      </w:rPr>
    </w:lvl>
    <w:lvl w:ilvl="2" w:tplc="00CC11AA">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83289"/>
    <w:multiLevelType w:val="hybridMultilevel"/>
    <w:tmpl w:val="C366CFB6"/>
    <w:lvl w:ilvl="0" w:tplc="5E50BB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75777"/>
    <w:multiLevelType w:val="hybridMultilevel"/>
    <w:tmpl w:val="2330579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300D1503"/>
    <w:multiLevelType w:val="hybridMultilevel"/>
    <w:tmpl w:val="100E6FB2"/>
    <w:lvl w:ilvl="0" w:tplc="A542797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3151405F"/>
    <w:multiLevelType w:val="hybridMultilevel"/>
    <w:tmpl w:val="5D9A48C6"/>
    <w:lvl w:ilvl="0" w:tplc="871240F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2F35D1A"/>
    <w:multiLevelType w:val="hybridMultilevel"/>
    <w:tmpl w:val="E564ED36"/>
    <w:lvl w:ilvl="0" w:tplc="19262370">
      <w:start w:val="1"/>
      <w:numFmt w:val="lowerLetter"/>
      <w:lvlText w:val="(%1)"/>
      <w:lvlJc w:val="left"/>
      <w:pPr>
        <w:ind w:left="2115" w:hanging="360"/>
      </w:pPr>
      <w:rPr>
        <w:rFonts w:hint="default"/>
      </w:rPr>
    </w:lvl>
    <w:lvl w:ilvl="1" w:tplc="08090019">
      <w:start w:val="1"/>
      <w:numFmt w:val="lowerLetter"/>
      <w:lvlText w:val="%2."/>
      <w:lvlJc w:val="left"/>
      <w:pPr>
        <w:ind w:left="2835" w:hanging="360"/>
      </w:pPr>
    </w:lvl>
    <w:lvl w:ilvl="2" w:tplc="0809001B" w:tentative="1">
      <w:start w:val="1"/>
      <w:numFmt w:val="lowerRoman"/>
      <w:lvlText w:val="%3."/>
      <w:lvlJc w:val="right"/>
      <w:pPr>
        <w:ind w:left="3555" w:hanging="180"/>
      </w:pPr>
    </w:lvl>
    <w:lvl w:ilvl="3" w:tplc="0809000F" w:tentative="1">
      <w:start w:val="1"/>
      <w:numFmt w:val="decimal"/>
      <w:lvlText w:val="%4."/>
      <w:lvlJc w:val="left"/>
      <w:pPr>
        <w:ind w:left="4275" w:hanging="360"/>
      </w:pPr>
    </w:lvl>
    <w:lvl w:ilvl="4" w:tplc="08090019" w:tentative="1">
      <w:start w:val="1"/>
      <w:numFmt w:val="lowerLetter"/>
      <w:lvlText w:val="%5."/>
      <w:lvlJc w:val="left"/>
      <w:pPr>
        <w:ind w:left="4995" w:hanging="360"/>
      </w:pPr>
    </w:lvl>
    <w:lvl w:ilvl="5" w:tplc="0809001B" w:tentative="1">
      <w:start w:val="1"/>
      <w:numFmt w:val="lowerRoman"/>
      <w:lvlText w:val="%6."/>
      <w:lvlJc w:val="right"/>
      <w:pPr>
        <w:ind w:left="5715" w:hanging="180"/>
      </w:pPr>
    </w:lvl>
    <w:lvl w:ilvl="6" w:tplc="0809000F" w:tentative="1">
      <w:start w:val="1"/>
      <w:numFmt w:val="decimal"/>
      <w:lvlText w:val="%7."/>
      <w:lvlJc w:val="left"/>
      <w:pPr>
        <w:ind w:left="6435" w:hanging="360"/>
      </w:pPr>
    </w:lvl>
    <w:lvl w:ilvl="7" w:tplc="08090019" w:tentative="1">
      <w:start w:val="1"/>
      <w:numFmt w:val="lowerLetter"/>
      <w:lvlText w:val="%8."/>
      <w:lvlJc w:val="left"/>
      <w:pPr>
        <w:ind w:left="7155" w:hanging="360"/>
      </w:pPr>
    </w:lvl>
    <w:lvl w:ilvl="8" w:tplc="0809001B" w:tentative="1">
      <w:start w:val="1"/>
      <w:numFmt w:val="lowerRoman"/>
      <w:lvlText w:val="%9."/>
      <w:lvlJc w:val="right"/>
      <w:pPr>
        <w:ind w:left="7875" w:hanging="180"/>
      </w:pPr>
    </w:lvl>
  </w:abstractNum>
  <w:abstractNum w:abstractNumId="20"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1" w15:restartNumberingAfterBreak="0">
    <w:nsid w:val="3ECE1A2C"/>
    <w:multiLevelType w:val="hybridMultilevel"/>
    <w:tmpl w:val="A4169204"/>
    <w:lvl w:ilvl="0" w:tplc="9B16367C">
      <w:start w:val="1"/>
      <w:numFmt w:val="upp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2" w15:restartNumberingAfterBreak="0">
    <w:nsid w:val="43AA1BD8"/>
    <w:multiLevelType w:val="hybridMultilevel"/>
    <w:tmpl w:val="58F2BC80"/>
    <w:lvl w:ilvl="0" w:tplc="6D40940E">
      <w:start w:val="1"/>
      <w:numFmt w:val="decimal"/>
      <w:lvlText w:val="%1."/>
      <w:lvlJc w:val="left"/>
      <w:pPr>
        <w:ind w:left="2628" w:hanging="360"/>
      </w:pPr>
      <w:rPr>
        <w:rFonts w:hint="default"/>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3" w15:restartNumberingAfterBreak="0">
    <w:nsid w:val="485405B6"/>
    <w:multiLevelType w:val="hybridMultilevel"/>
    <w:tmpl w:val="2D5CAAA2"/>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49DB27BC"/>
    <w:multiLevelType w:val="hybridMultilevel"/>
    <w:tmpl w:val="063A2F70"/>
    <w:lvl w:ilvl="0" w:tplc="88663CAA">
      <w:start w:val="1"/>
      <w:numFmt w:val="bullet"/>
      <w:lvlText w:val=""/>
      <w:lvlJc w:val="left"/>
      <w:pPr>
        <w:tabs>
          <w:tab w:val="num" w:pos="1853"/>
        </w:tabs>
        <w:ind w:left="1853" w:hanging="576"/>
      </w:pPr>
      <w:rPr>
        <w:rFonts w:ascii="Symbol" w:hAnsi="Symbol"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15:restartNumberingAfterBreak="0">
    <w:nsid w:val="4C115F48"/>
    <w:multiLevelType w:val="hybridMultilevel"/>
    <w:tmpl w:val="4AD2C896"/>
    <w:lvl w:ilvl="0" w:tplc="1CF42F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163E5D"/>
    <w:multiLevelType w:val="hybridMultilevel"/>
    <w:tmpl w:val="9C3AE074"/>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15:restartNumberingAfterBreak="0">
    <w:nsid w:val="4CB51270"/>
    <w:multiLevelType w:val="multilevel"/>
    <w:tmpl w:val="77989E90"/>
    <w:lvl w:ilvl="0">
      <w:start w:val="1"/>
      <w:numFmt w:val="decimal"/>
      <w:lvlText w:val="%1."/>
      <w:lvlJc w:val="left"/>
      <w:pPr>
        <w:tabs>
          <w:tab w:val="num" w:pos="1569"/>
        </w:tabs>
        <w:ind w:left="1569" w:hanging="576"/>
      </w:pPr>
      <w:rPr>
        <w:rFonts w:hint="default"/>
        <w:lang w:val="en-GB"/>
      </w:rPr>
    </w:lvl>
    <w:lvl w:ilvl="1">
      <w:start w:val="1"/>
      <w:numFmt w:val="bullet"/>
      <w:lvlText w:val=""/>
      <w:lvlJc w:val="left"/>
      <w:pPr>
        <w:tabs>
          <w:tab w:val="num" w:pos="2574"/>
        </w:tabs>
        <w:ind w:left="2574" w:hanging="720"/>
      </w:pPr>
      <w:rPr>
        <w:rFonts w:ascii="Symbol" w:hAnsi="Symbol" w:hint="default"/>
        <w:sz w:val="20"/>
        <w:szCs w:val="20"/>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8" w15:restartNumberingAfterBreak="0">
    <w:nsid w:val="52484CE5"/>
    <w:multiLevelType w:val="hybridMultilevel"/>
    <w:tmpl w:val="A7304DD8"/>
    <w:lvl w:ilvl="0" w:tplc="0410000F">
      <w:start w:val="1"/>
      <w:numFmt w:val="decimal"/>
      <w:lvlText w:val="%1."/>
      <w:lvlJc w:val="left"/>
      <w:pPr>
        <w:tabs>
          <w:tab w:val="num" w:pos="1659"/>
        </w:tabs>
        <w:ind w:left="1659" w:hanging="525"/>
      </w:pPr>
      <w:rPr>
        <w:rFonts w:hint="default"/>
      </w:r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15:restartNumberingAfterBreak="0">
    <w:nsid w:val="52F134BF"/>
    <w:multiLevelType w:val="hybridMultilevel"/>
    <w:tmpl w:val="77989E90"/>
    <w:lvl w:ilvl="0" w:tplc="9776FECC">
      <w:start w:val="1"/>
      <w:numFmt w:val="decimal"/>
      <w:lvlText w:val="%1."/>
      <w:lvlJc w:val="left"/>
      <w:pPr>
        <w:tabs>
          <w:tab w:val="num" w:pos="1569"/>
        </w:tabs>
        <w:ind w:left="1569"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15:restartNumberingAfterBreak="0">
    <w:nsid w:val="531751D3"/>
    <w:multiLevelType w:val="hybridMultilevel"/>
    <w:tmpl w:val="66149DC8"/>
    <w:lvl w:ilvl="0" w:tplc="A84ACA3C">
      <w:start w:val="1"/>
      <w:numFmt w:val="decimal"/>
      <w:lvlText w:val="%1."/>
      <w:lvlJc w:val="left"/>
      <w:pPr>
        <w:tabs>
          <w:tab w:val="num" w:pos="1569"/>
        </w:tabs>
        <w:ind w:left="1569" w:hanging="576"/>
      </w:pPr>
      <w:rPr>
        <w:rFonts w:hint="default"/>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15:restartNumberingAfterBreak="0">
    <w:nsid w:val="54AA48BD"/>
    <w:multiLevelType w:val="hybridMultilevel"/>
    <w:tmpl w:val="73BC77EC"/>
    <w:lvl w:ilvl="0" w:tplc="11BCA316">
      <w:start w:val="1"/>
      <w:numFmt w:val="bullet"/>
      <w:lvlText w:val=""/>
      <w:lvlJc w:val="left"/>
      <w:pPr>
        <w:ind w:left="2421" w:hanging="360"/>
      </w:pPr>
      <w:rPr>
        <w:rFonts w:ascii="Symbol" w:hAnsi="Symbol" w:hint="default"/>
        <w:sz w:val="20"/>
        <w:szCs w:val="20"/>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2" w15:restartNumberingAfterBreak="0">
    <w:nsid w:val="554910B9"/>
    <w:multiLevelType w:val="hybridMultilevel"/>
    <w:tmpl w:val="8C4EEF1C"/>
    <w:lvl w:ilvl="0" w:tplc="19262370">
      <w:start w:val="1"/>
      <w:numFmt w:val="lowerLetter"/>
      <w:lvlText w:val="(%1)"/>
      <w:lvlJc w:val="left"/>
      <w:pPr>
        <w:ind w:left="2115" w:hanging="360"/>
      </w:pPr>
      <w:rPr>
        <w:rFonts w:hint="default"/>
      </w:rPr>
    </w:lvl>
    <w:lvl w:ilvl="1" w:tplc="2E2E0574">
      <w:start w:val="1"/>
      <w:numFmt w:val="lowerRoman"/>
      <w:lvlText w:val="(%2)"/>
      <w:lvlJc w:val="right"/>
      <w:pPr>
        <w:ind w:left="2835" w:hanging="360"/>
      </w:pPr>
      <w:rPr>
        <w:rFonts w:hint="default"/>
      </w:rPr>
    </w:lvl>
    <w:lvl w:ilvl="2" w:tplc="0809001B" w:tentative="1">
      <w:start w:val="1"/>
      <w:numFmt w:val="lowerRoman"/>
      <w:lvlText w:val="%3."/>
      <w:lvlJc w:val="right"/>
      <w:pPr>
        <w:ind w:left="3555" w:hanging="180"/>
      </w:pPr>
    </w:lvl>
    <w:lvl w:ilvl="3" w:tplc="0809000F" w:tentative="1">
      <w:start w:val="1"/>
      <w:numFmt w:val="decimal"/>
      <w:lvlText w:val="%4."/>
      <w:lvlJc w:val="left"/>
      <w:pPr>
        <w:ind w:left="4275" w:hanging="360"/>
      </w:pPr>
    </w:lvl>
    <w:lvl w:ilvl="4" w:tplc="08090019" w:tentative="1">
      <w:start w:val="1"/>
      <w:numFmt w:val="lowerLetter"/>
      <w:lvlText w:val="%5."/>
      <w:lvlJc w:val="left"/>
      <w:pPr>
        <w:ind w:left="4995" w:hanging="360"/>
      </w:pPr>
    </w:lvl>
    <w:lvl w:ilvl="5" w:tplc="0809001B" w:tentative="1">
      <w:start w:val="1"/>
      <w:numFmt w:val="lowerRoman"/>
      <w:lvlText w:val="%6."/>
      <w:lvlJc w:val="right"/>
      <w:pPr>
        <w:ind w:left="5715" w:hanging="180"/>
      </w:pPr>
    </w:lvl>
    <w:lvl w:ilvl="6" w:tplc="0809000F" w:tentative="1">
      <w:start w:val="1"/>
      <w:numFmt w:val="decimal"/>
      <w:lvlText w:val="%7."/>
      <w:lvlJc w:val="left"/>
      <w:pPr>
        <w:ind w:left="6435" w:hanging="360"/>
      </w:pPr>
    </w:lvl>
    <w:lvl w:ilvl="7" w:tplc="08090019" w:tentative="1">
      <w:start w:val="1"/>
      <w:numFmt w:val="lowerLetter"/>
      <w:lvlText w:val="%8."/>
      <w:lvlJc w:val="left"/>
      <w:pPr>
        <w:ind w:left="7155" w:hanging="360"/>
      </w:pPr>
    </w:lvl>
    <w:lvl w:ilvl="8" w:tplc="0809001B" w:tentative="1">
      <w:start w:val="1"/>
      <w:numFmt w:val="lowerRoman"/>
      <w:lvlText w:val="%9."/>
      <w:lvlJc w:val="right"/>
      <w:pPr>
        <w:ind w:left="7875" w:hanging="180"/>
      </w:pPr>
    </w:lvl>
  </w:abstractNum>
  <w:abstractNum w:abstractNumId="33" w15:restartNumberingAfterBreak="0">
    <w:nsid w:val="56F37147"/>
    <w:multiLevelType w:val="hybridMultilevel"/>
    <w:tmpl w:val="B420BF1A"/>
    <w:lvl w:ilvl="0" w:tplc="171874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587E2623"/>
    <w:multiLevelType w:val="hybridMultilevel"/>
    <w:tmpl w:val="84ECE3A6"/>
    <w:lvl w:ilvl="0" w:tplc="B06A77AA">
      <w:start w:val="1"/>
      <w:numFmt w:val="bullet"/>
      <w:lvlText w:val=""/>
      <w:lvlJc w:val="left"/>
      <w:pPr>
        <w:tabs>
          <w:tab w:val="num" w:pos="1569"/>
        </w:tabs>
        <w:ind w:left="1569" w:hanging="576"/>
      </w:pPr>
      <w:rPr>
        <w:rFonts w:ascii="Symbol" w:hAnsi="Symbol"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15:restartNumberingAfterBreak="0">
    <w:nsid w:val="5A595C9A"/>
    <w:multiLevelType w:val="hybridMultilevel"/>
    <w:tmpl w:val="F8B6FF5A"/>
    <w:lvl w:ilvl="0" w:tplc="30EC1C24">
      <w:start w:val="1"/>
      <w:numFmt w:val="upperLetter"/>
      <w:pStyle w:val="Heading2"/>
      <w:lvlText w:val="%1."/>
      <w:lvlJc w:val="left"/>
      <w:pPr>
        <w:tabs>
          <w:tab w:val="num" w:pos="1200"/>
        </w:tabs>
        <w:ind w:left="885" w:hanging="57"/>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36" w15:restartNumberingAfterBreak="0">
    <w:nsid w:val="5E732D6A"/>
    <w:multiLevelType w:val="hybridMultilevel"/>
    <w:tmpl w:val="62D4EFCE"/>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7" w15:restartNumberingAfterBreak="0">
    <w:nsid w:val="5FBC0742"/>
    <w:multiLevelType w:val="hybridMultilevel"/>
    <w:tmpl w:val="34B6971C"/>
    <w:lvl w:ilvl="0" w:tplc="DE68C5F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8"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91587"/>
    <w:multiLevelType w:val="hybridMultilevel"/>
    <w:tmpl w:val="B420BF1A"/>
    <w:lvl w:ilvl="0" w:tplc="171874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4BB7787"/>
    <w:multiLevelType w:val="hybridMultilevel"/>
    <w:tmpl w:val="E496F69A"/>
    <w:lvl w:ilvl="0" w:tplc="424013FA">
      <w:start w:val="1"/>
      <w:numFmt w:val="lowerLetter"/>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43551"/>
    <w:multiLevelType w:val="hybridMultilevel"/>
    <w:tmpl w:val="15026D8E"/>
    <w:lvl w:ilvl="0" w:tplc="F5B4BE96">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4" w15:restartNumberingAfterBreak="0">
    <w:nsid w:val="77856AEE"/>
    <w:multiLevelType w:val="hybridMultilevel"/>
    <w:tmpl w:val="FDA067E0"/>
    <w:lvl w:ilvl="0" w:tplc="A4FE5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4E110C"/>
    <w:multiLevelType w:val="hybridMultilevel"/>
    <w:tmpl w:val="1326ECB0"/>
    <w:lvl w:ilvl="0" w:tplc="FEB625A6">
      <w:start w:val="1"/>
      <w:numFmt w:val="decimal"/>
      <w:lvlText w:val="%1."/>
      <w:lvlJc w:val="left"/>
      <w:pPr>
        <w:tabs>
          <w:tab w:val="num" w:pos="1711"/>
        </w:tabs>
        <w:ind w:left="1711" w:hanging="576"/>
      </w:pPr>
      <w:rPr>
        <w:rFonts w:hint="default"/>
        <w:b w:val="0"/>
        <w:i w:val="0"/>
        <w:lang w:val="x-none"/>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6" w15:restartNumberingAfterBreak="0">
    <w:nsid w:val="7BF130C3"/>
    <w:multiLevelType w:val="multilevel"/>
    <w:tmpl w:val="118A3E14"/>
    <w:lvl w:ilvl="0">
      <w:start w:val="1"/>
      <w:numFmt w:val="upperRoman"/>
      <w:lvlText w:val="%1."/>
      <w:lvlJc w:val="right"/>
      <w:pPr>
        <w:ind w:left="2214"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9"/>
  </w:num>
  <w:num w:numId="2">
    <w:abstractNumId w:val="42"/>
  </w:num>
  <w:num w:numId="3">
    <w:abstractNumId w:val="36"/>
  </w:num>
  <w:num w:numId="4">
    <w:abstractNumId w:val="35"/>
  </w:num>
  <w:num w:numId="5">
    <w:abstractNumId w:val="20"/>
  </w:num>
  <w:num w:numId="6">
    <w:abstractNumId w:val="38"/>
  </w:num>
  <w:num w:numId="7">
    <w:abstractNumId w:val="24"/>
  </w:num>
  <w:num w:numId="8">
    <w:abstractNumId w:val="16"/>
  </w:num>
  <w:num w:numId="9">
    <w:abstractNumId w:val="10"/>
  </w:num>
  <w:num w:numId="10">
    <w:abstractNumId w:val="27"/>
  </w:num>
  <w:num w:numId="11">
    <w:abstractNumId w:val="34"/>
  </w:num>
  <w:num w:numId="12">
    <w:abstractNumId w:val="29"/>
  </w:num>
  <w:num w:numId="13">
    <w:abstractNumId w:val="12"/>
  </w:num>
  <w:num w:numId="14">
    <w:abstractNumId w:val="11"/>
  </w:num>
  <w:num w:numId="15">
    <w:abstractNumId w:val="30"/>
  </w:num>
  <w:num w:numId="16">
    <w:abstractNumId w:val="44"/>
  </w:num>
  <w:num w:numId="17">
    <w:abstractNumId w:val="25"/>
  </w:num>
  <w:num w:numId="18">
    <w:abstractNumId w:val="28"/>
  </w:num>
  <w:num w:numId="19">
    <w:abstractNumId w:val="45"/>
  </w:num>
  <w:num w:numId="20">
    <w:abstractNumId w:val="8"/>
  </w:num>
  <w:num w:numId="21">
    <w:abstractNumId w:val="40"/>
  </w:num>
  <w:num w:numId="22">
    <w:abstractNumId w:val="33"/>
  </w:num>
  <w:num w:numId="23">
    <w:abstractNumId w:val="31"/>
  </w:num>
  <w:num w:numId="24">
    <w:abstractNumId w:val="4"/>
  </w:num>
  <w:num w:numId="25">
    <w:abstractNumId w:val="2"/>
  </w:num>
  <w:num w:numId="26">
    <w:abstractNumId w:val="43"/>
  </w:num>
  <w:num w:numId="27">
    <w:abstractNumId w:val="22"/>
  </w:num>
  <w:num w:numId="28">
    <w:abstractNumId w:val="0"/>
  </w:num>
  <w:num w:numId="29">
    <w:abstractNumId w:val="5"/>
  </w:num>
  <w:num w:numId="30">
    <w:abstractNumId w:val="1"/>
  </w:num>
  <w:num w:numId="31">
    <w:abstractNumId w:val="7"/>
  </w:num>
  <w:num w:numId="32">
    <w:abstractNumId w:val="13"/>
  </w:num>
  <w:num w:numId="33">
    <w:abstractNumId w:val="23"/>
  </w:num>
  <w:num w:numId="34">
    <w:abstractNumId w:val="17"/>
  </w:num>
  <w:num w:numId="35">
    <w:abstractNumId w:val="26"/>
  </w:num>
  <w:num w:numId="36">
    <w:abstractNumId w:val="6"/>
  </w:num>
  <w:num w:numId="37">
    <w:abstractNumId w:val="18"/>
  </w:num>
  <w:num w:numId="38">
    <w:abstractNumId w:val="41"/>
  </w:num>
  <w:num w:numId="39">
    <w:abstractNumId w:val="15"/>
  </w:num>
  <w:num w:numId="40">
    <w:abstractNumId w:val="3"/>
  </w:num>
  <w:num w:numId="41">
    <w:abstractNumId w:val="3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1"/>
  </w:num>
  <w:num w:numId="45">
    <w:abstractNumId w:val="35"/>
    <w:lvlOverride w:ilvl="0">
      <w:startOverride w:val="1"/>
    </w:lvlOverride>
  </w:num>
  <w:num w:numId="46">
    <w:abstractNumId w:val="19"/>
  </w:num>
  <w:num w:numId="47">
    <w:abstractNumId w:val="32"/>
  </w:num>
  <w:num w:numId="48">
    <w:abstractNumId w:val="46"/>
  </w:num>
  <w:num w:numId="49">
    <w:abstractNumId w:val="9"/>
  </w:num>
  <w:num w:numId="5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409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ar-SA" w:vendorID="64" w:dllVersion="0" w:nlCheck="1" w:checkStyle="0"/>
  <w:activeWritingStyle w:appName="MSWord" w:lang="es-ES" w:vendorID="64" w:dllVersion="0" w:nlCheck="1" w:checkStyle="0"/>
  <w:activeWritingStyle w:appName="MSWord" w:lang="ar-SA" w:vendorID="64" w:dllVersion="6" w:nlCheck="1" w:checkStyle="0"/>
  <w:activeWritingStyle w:appName="MSWord" w:lang="es-ES" w:vendorID="64" w:dllVersion="6" w:nlCheck="1" w:checkStyle="0"/>
  <w:activeWritingStyle w:appName="MSWord" w:lang="de-DE" w:vendorID="64" w:dllVersion="0" w:nlCheck="1" w:checkStyle="0"/>
  <w:activeWritingStyle w:appName="MSWord" w:lang="fr-FR" w:vendorID="64" w:dllVersion="0" w:nlCheck="1" w:checkStyle="0"/>
  <w:activeWritingStyle w:appName="MSWord" w:lang="fr-CH"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s-ES" w:vendorID="64" w:dllVersion="4096"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5C"/>
    <w:rsid w:val="00000DBE"/>
    <w:rsid w:val="000013C1"/>
    <w:rsid w:val="000022C2"/>
    <w:rsid w:val="00002A7D"/>
    <w:rsid w:val="0000309E"/>
    <w:rsid w:val="00003653"/>
    <w:rsid w:val="000038A8"/>
    <w:rsid w:val="00003B5C"/>
    <w:rsid w:val="00004967"/>
    <w:rsid w:val="00004FC3"/>
    <w:rsid w:val="00006790"/>
    <w:rsid w:val="000068F1"/>
    <w:rsid w:val="00007917"/>
    <w:rsid w:val="00010513"/>
    <w:rsid w:val="00010802"/>
    <w:rsid w:val="00010EE6"/>
    <w:rsid w:val="0001122D"/>
    <w:rsid w:val="00011690"/>
    <w:rsid w:val="00011B56"/>
    <w:rsid w:val="00012205"/>
    <w:rsid w:val="0001257F"/>
    <w:rsid w:val="00012E3A"/>
    <w:rsid w:val="00016049"/>
    <w:rsid w:val="000163E1"/>
    <w:rsid w:val="00016DC3"/>
    <w:rsid w:val="00017DB8"/>
    <w:rsid w:val="00020583"/>
    <w:rsid w:val="00020611"/>
    <w:rsid w:val="00021497"/>
    <w:rsid w:val="0002226C"/>
    <w:rsid w:val="00022B1E"/>
    <w:rsid w:val="00023283"/>
    <w:rsid w:val="000246CE"/>
    <w:rsid w:val="00024C6B"/>
    <w:rsid w:val="00027624"/>
    <w:rsid w:val="000312A8"/>
    <w:rsid w:val="00032020"/>
    <w:rsid w:val="00032585"/>
    <w:rsid w:val="00033122"/>
    <w:rsid w:val="00033BB7"/>
    <w:rsid w:val="0003403C"/>
    <w:rsid w:val="000342C4"/>
    <w:rsid w:val="0003486F"/>
    <w:rsid w:val="00035055"/>
    <w:rsid w:val="000354D5"/>
    <w:rsid w:val="00036FF4"/>
    <w:rsid w:val="0003764F"/>
    <w:rsid w:val="00037CE9"/>
    <w:rsid w:val="0004065D"/>
    <w:rsid w:val="0004116C"/>
    <w:rsid w:val="00041439"/>
    <w:rsid w:val="0004180B"/>
    <w:rsid w:val="00042CF8"/>
    <w:rsid w:val="00042ECF"/>
    <w:rsid w:val="000437CE"/>
    <w:rsid w:val="00043F32"/>
    <w:rsid w:val="0004421E"/>
    <w:rsid w:val="00044DDA"/>
    <w:rsid w:val="00044F62"/>
    <w:rsid w:val="00045B8F"/>
    <w:rsid w:val="00045F75"/>
    <w:rsid w:val="000475DC"/>
    <w:rsid w:val="000506B0"/>
    <w:rsid w:val="00050F6B"/>
    <w:rsid w:val="00051700"/>
    <w:rsid w:val="00053308"/>
    <w:rsid w:val="00053653"/>
    <w:rsid w:val="000536FA"/>
    <w:rsid w:val="00054A26"/>
    <w:rsid w:val="00055094"/>
    <w:rsid w:val="00055309"/>
    <w:rsid w:val="000564C4"/>
    <w:rsid w:val="00056779"/>
    <w:rsid w:val="000602AF"/>
    <w:rsid w:val="00060C37"/>
    <w:rsid w:val="00060D95"/>
    <w:rsid w:val="00061BD7"/>
    <w:rsid w:val="00062DF2"/>
    <w:rsid w:val="000632B7"/>
    <w:rsid w:val="00065D3B"/>
    <w:rsid w:val="00066E03"/>
    <w:rsid w:val="000678CD"/>
    <w:rsid w:val="0007027F"/>
    <w:rsid w:val="000702E9"/>
    <w:rsid w:val="00070684"/>
    <w:rsid w:val="00070D34"/>
    <w:rsid w:val="000710CD"/>
    <w:rsid w:val="000718B2"/>
    <w:rsid w:val="00072085"/>
    <w:rsid w:val="000723D2"/>
    <w:rsid w:val="00072C8C"/>
    <w:rsid w:val="00072CF5"/>
    <w:rsid w:val="000732B5"/>
    <w:rsid w:val="00074606"/>
    <w:rsid w:val="00074927"/>
    <w:rsid w:val="00074BB3"/>
    <w:rsid w:val="00074DDC"/>
    <w:rsid w:val="00075774"/>
    <w:rsid w:val="00075812"/>
    <w:rsid w:val="0007593C"/>
    <w:rsid w:val="00075F4A"/>
    <w:rsid w:val="000770BA"/>
    <w:rsid w:val="00077B30"/>
    <w:rsid w:val="00081CE0"/>
    <w:rsid w:val="00082629"/>
    <w:rsid w:val="00082B40"/>
    <w:rsid w:val="00083185"/>
    <w:rsid w:val="0008357A"/>
    <w:rsid w:val="000845D0"/>
    <w:rsid w:val="000847F2"/>
    <w:rsid w:val="00084D30"/>
    <w:rsid w:val="000869C4"/>
    <w:rsid w:val="000878D1"/>
    <w:rsid w:val="00087F90"/>
    <w:rsid w:val="00090320"/>
    <w:rsid w:val="00090745"/>
    <w:rsid w:val="00090D28"/>
    <w:rsid w:val="00091B80"/>
    <w:rsid w:val="00091BEA"/>
    <w:rsid w:val="000923A0"/>
    <w:rsid w:val="00092AA4"/>
    <w:rsid w:val="00092E18"/>
    <w:rsid w:val="00092F94"/>
    <w:rsid w:val="000931C0"/>
    <w:rsid w:val="000931E4"/>
    <w:rsid w:val="00093205"/>
    <w:rsid w:val="0009337D"/>
    <w:rsid w:val="00093823"/>
    <w:rsid w:val="00093BB7"/>
    <w:rsid w:val="00093DB7"/>
    <w:rsid w:val="0009618A"/>
    <w:rsid w:val="0009623C"/>
    <w:rsid w:val="00096E5C"/>
    <w:rsid w:val="00097280"/>
    <w:rsid w:val="000A0087"/>
    <w:rsid w:val="000A0552"/>
    <w:rsid w:val="000A1778"/>
    <w:rsid w:val="000A249E"/>
    <w:rsid w:val="000A2543"/>
    <w:rsid w:val="000A2E09"/>
    <w:rsid w:val="000A4024"/>
    <w:rsid w:val="000A46FD"/>
    <w:rsid w:val="000A49F4"/>
    <w:rsid w:val="000A5344"/>
    <w:rsid w:val="000A6F91"/>
    <w:rsid w:val="000A7017"/>
    <w:rsid w:val="000B024F"/>
    <w:rsid w:val="000B06E0"/>
    <w:rsid w:val="000B0BDA"/>
    <w:rsid w:val="000B0F54"/>
    <w:rsid w:val="000B175B"/>
    <w:rsid w:val="000B1850"/>
    <w:rsid w:val="000B3441"/>
    <w:rsid w:val="000B3A0F"/>
    <w:rsid w:val="000B5012"/>
    <w:rsid w:val="000B53D9"/>
    <w:rsid w:val="000B7031"/>
    <w:rsid w:val="000B76CF"/>
    <w:rsid w:val="000B78F5"/>
    <w:rsid w:val="000C0934"/>
    <w:rsid w:val="000C118F"/>
    <w:rsid w:val="000C149A"/>
    <w:rsid w:val="000C1911"/>
    <w:rsid w:val="000C2107"/>
    <w:rsid w:val="000C2755"/>
    <w:rsid w:val="000C2B8B"/>
    <w:rsid w:val="000C2EC4"/>
    <w:rsid w:val="000C3B45"/>
    <w:rsid w:val="000C4771"/>
    <w:rsid w:val="000C5250"/>
    <w:rsid w:val="000C53BC"/>
    <w:rsid w:val="000C6035"/>
    <w:rsid w:val="000C611F"/>
    <w:rsid w:val="000C6193"/>
    <w:rsid w:val="000C6C2B"/>
    <w:rsid w:val="000D0B6C"/>
    <w:rsid w:val="000D4149"/>
    <w:rsid w:val="000D4945"/>
    <w:rsid w:val="000D4FD4"/>
    <w:rsid w:val="000D5100"/>
    <w:rsid w:val="000D6ADD"/>
    <w:rsid w:val="000D6F5E"/>
    <w:rsid w:val="000D72D6"/>
    <w:rsid w:val="000D759F"/>
    <w:rsid w:val="000D7960"/>
    <w:rsid w:val="000D79EE"/>
    <w:rsid w:val="000E0415"/>
    <w:rsid w:val="000E0880"/>
    <w:rsid w:val="000E210B"/>
    <w:rsid w:val="000E26CA"/>
    <w:rsid w:val="000E29C1"/>
    <w:rsid w:val="000E2A0D"/>
    <w:rsid w:val="000E3640"/>
    <w:rsid w:val="000E5178"/>
    <w:rsid w:val="000E52D5"/>
    <w:rsid w:val="000E5B21"/>
    <w:rsid w:val="000E5C7E"/>
    <w:rsid w:val="000E60B6"/>
    <w:rsid w:val="000E6E46"/>
    <w:rsid w:val="000E7270"/>
    <w:rsid w:val="000F0B84"/>
    <w:rsid w:val="000F1B8C"/>
    <w:rsid w:val="000F1FC8"/>
    <w:rsid w:val="000F2736"/>
    <w:rsid w:val="000F2E36"/>
    <w:rsid w:val="000F3259"/>
    <w:rsid w:val="000F36D2"/>
    <w:rsid w:val="000F4582"/>
    <w:rsid w:val="000F46FC"/>
    <w:rsid w:val="000F52C2"/>
    <w:rsid w:val="000F587B"/>
    <w:rsid w:val="000F5D20"/>
    <w:rsid w:val="000F638F"/>
    <w:rsid w:val="000F64FD"/>
    <w:rsid w:val="000F68C7"/>
    <w:rsid w:val="000F745B"/>
    <w:rsid w:val="000F7715"/>
    <w:rsid w:val="0010049B"/>
    <w:rsid w:val="001004F5"/>
    <w:rsid w:val="00100968"/>
    <w:rsid w:val="00101070"/>
    <w:rsid w:val="00101D43"/>
    <w:rsid w:val="001021DF"/>
    <w:rsid w:val="00105428"/>
    <w:rsid w:val="001067DE"/>
    <w:rsid w:val="00107F74"/>
    <w:rsid w:val="00110EA3"/>
    <w:rsid w:val="00111239"/>
    <w:rsid w:val="0011227A"/>
    <w:rsid w:val="00112E41"/>
    <w:rsid w:val="0011349F"/>
    <w:rsid w:val="001146DD"/>
    <w:rsid w:val="001175D6"/>
    <w:rsid w:val="001178E6"/>
    <w:rsid w:val="00117AF1"/>
    <w:rsid w:val="00117D37"/>
    <w:rsid w:val="00120134"/>
    <w:rsid w:val="00120725"/>
    <w:rsid w:val="0012184B"/>
    <w:rsid w:val="00123597"/>
    <w:rsid w:val="001237BA"/>
    <w:rsid w:val="0012533D"/>
    <w:rsid w:val="0012554A"/>
    <w:rsid w:val="00125A09"/>
    <w:rsid w:val="001277F7"/>
    <w:rsid w:val="0012789D"/>
    <w:rsid w:val="00130080"/>
    <w:rsid w:val="00131992"/>
    <w:rsid w:val="00131BD2"/>
    <w:rsid w:val="00132402"/>
    <w:rsid w:val="0013259A"/>
    <w:rsid w:val="00132C58"/>
    <w:rsid w:val="00133FDD"/>
    <w:rsid w:val="00134537"/>
    <w:rsid w:val="00134717"/>
    <w:rsid w:val="00134AB3"/>
    <w:rsid w:val="00134E0E"/>
    <w:rsid w:val="00135200"/>
    <w:rsid w:val="00135446"/>
    <w:rsid w:val="00135C2F"/>
    <w:rsid w:val="001364FD"/>
    <w:rsid w:val="00137E80"/>
    <w:rsid w:val="00137FFA"/>
    <w:rsid w:val="0014046C"/>
    <w:rsid w:val="00140F8C"/>
    <w:rsid w:val="00142444"/>
    <w:rsid w:val="00142643"/>
    <w:rsid w:val="00142981"/>
    <w:rsid w:val="00143B06"/>
    <w:rsid w:val="00143FFD"/>
    <w:rsid w:val="001449E7"/>
    <w:rsid w:val="00144EF4"/>
    <w:rsid w:val="0014516B"/>
    <w:rsid w:val="00145DB9"/>
    <w:rsid w:val="00145E4A"/>
    <w:rsid w:val="0014666E"/>
    <w:rsid w:val="00147BF6"/>
    <w:rsid w:val="00150BBB"/>
    <w:rsid w:val="00151E21"/>
    <w:rsid w:val="00151E3B"/>
    <w:rsid w:val="00152016"/>
    <w:rsid w:val="00152134"/>
    <w:rsid w:val="00152C18"/>
    <w:rsid w:val="0015334E"/>
    <w:rsid w:val="00153ADF"/>
    <w:rsid w:val="00154132"/>
    <w:rsid w:val="00154195"/>
    <w:rsid w:val="00154EBD"/>
    <w:rsid w:val="001552E7"/>
    <w:rsid w:val="00155B9C"/>
    <w:rsid w:val="00155F22"/>
    <w:rsid w:val="00156B99"/>
    <w:rsid w:val="00157BC2"/>
    <w:rsid w:val="0016021D"/>
    <w:rsid w:val="001606F4"/>
    <w:rsid w:val="00161955"/>
    <w:rsid w:val="00162EA8"/>
    <w:rsid w:val="00163457"/>
    <w:rsid w:val="00163B55"/>
    <w:rsid w:val="00164515"/>
    <w:rsid w:val="0016468D"/>
    <w:rsid w:val="00165AF6"/>
    <w:rsid w:val="00165D2F"/>
    <w:rsid w:val="00166124"/>
    <w:rsid w:val="00166587"/>
    <w:rsid w:val="00166A23"/>
    <w:rsid w:val="00167825"/>
    <w:rsid w:val="0017014E"/>
    <w:rsid w:val="00170D61"/>
    <w:rsid w:val="00171894"/>
    <w:rsid w:val="00172920"/>
    <w:rsid w:val="00173604"/>
    <w:rsid w:val="001751A2"/>
    <w:rsid w:val="001756A4"/>
    <w:rsid w:val="0017597D"/>
    <w:rsid w:val="00175AD0"/>
    <w:rsid w:val="00175C99"/>
    <w:rsid w:val="001769B7"/>
    <w:rsid w:val="00180299"/>
    <w:rsid w:val="00180616"/>
    <w:rsid w:val="0018098C"/>
    <w:rsid w:val="0018126D"/>
    <w:rsid w:val="00181F05"/>
    <w:rsid w:val="00184095"/>
    <w:rsid w:val="00184486"/>
    <w:rsid w:val="001844D0"/>
    <w:rsid w:val="0018497E"/>
    <w:rsid w:val="00184DDA"/>
    <w:rsid w:val="00185938"/>
    <w:rsid w:val="001859D9"/>
    <w:rsid w:val="001863E9"/>
    <w:rsid w:val="00186760"/>
    <w:rsid w:val="00186CF2"/>
    <w:rsid w:val="001876CB"/>
    <w:rsid w:val="00187BB3"/>
    <w:rsid w:val="00187C43"/>
    <w:rsid w:val="00190063"/>
    <w:rsid w:val="001900CD"/>
    <w:rsid w:val="0019156A"/>
    <w:rsid w:val="00194090"/>
    <w:rsid w:val="00195AD8"/>
    <w:rsid w:val="001964EB"/>
    <w:rsid w:val="0019672C"/>
    <w:rsid w:val="00196B9D"/>
    <w:rsid w:val="00196C26"/>
    <w:rsid w:val="00196CAA"/>
    <w:rsid w:val="001973AF"/>
    <w:rsid w:val="00197B31"/>
    <w:rsid w:val="001A0452"/>
    <w:rsid w:val="001A0CB5"/>
    <w:rsid w:val="001A0F73"/>
    <w:rsid w:val="001A104B"/>
    <w:rsid w:val="001A1EF2"/>
    <w:rsid w:val="001A20E3"/>
    <w:rsid w:val="001A33D8"/>
    <w:rsid w:val="001A39C4"/>
    <w:rsid w:val="001A417A"/>
    <w:rsid w:val="001A4B8E"/>
    <w:rsid w:val="001A58EE"/>
    <w:rsid w:val="001A64A5"/>
    <w:rsid w:val="001A672C"/>
    <w:rsid w:val="001A7334"/>
    <w:rsid w:val="001A7C5A"/>
    <w:rsid w:val="001A7D22"/>
    <w:rsid w:val="001B0663"/>
    <w:rsid w:val="001B082B"/>
    <w:rsid w:val="001B0F42"/>
    <w:rsid w:val="001B0FBA"/>
    <w:rsid w:val="001B3792"/>
    <w:rsid w:val="001B4B04"/>
    <w:rsid w:val="001B5875"/>
    <w:rsid w:val="001B59CE"/>
    <w:rsid w:val="001B5BC1"/>
    <w:rsid w:val="001B661B"/>
    <w:rsid w:val="001B693D"/>
    <w:rsid w:val="001B6C91"/>
    <w:rsid w:val="001B6CE5"/>
    <w:rsid w:val="001C0752"/>
    <w:rsid w:val="001C148C"/>
    <w:rsid w:val="001C16B3"/>
    <w:rsid w:val="001C1FA9"/>
    <w:rsid w:val="001C2842"/>
    <w:rsid w:val="001C2A1C"/>
    <w:rsid w:val="001C2D82"/>
    <w:rsid w:val="001C3378"/>
    <w:rsid w:val="001C3436"/>
    <w:rsid w:val="001C3763"/>
    <w:rsid w:val="001C3AFB"/>
    <w:rsid w:val="001C4B9C"/>
    <w:rsid w:val="001C5458"/>
    <w:rsid w:val="001C5546"/>
    <w:rsid w:val="001C5783"/>
    <w:rsid w:val="001C5D99"/>
    <w:rsid w:val="001C6301"/>
    <w:rsid w:val="001C6412"/>
    <w:rsid w:val="001C65A0"/>
    <w:rsid w:val="001C6663"/>
    <w:rsid w:val="001C7895"/>
    <w:rsid w:val="001D00F7"/>
    <w:rsid w:val="001D01E0"/>
    <w:rsid w:val="001D0BB9"/>
    <w:rsid w:val="001D0FF6"/>
    <w:rsid w:val="001D1A44"/>
    <w:rsid w:val="001D26DF"/>
    <w:rsid w:val="001D34F9"/>
    <w:rsid w:val="001D4B92"/>
    <w:rsid w:val="001D645F"/>
    <w:rsid w:val="001D75E6"/>
    <w:rsid w:val="001E0834"/>
    <w:rsid w:val="001E0928"/>
    <w:rsid w:val="001E1C17"/>
    <w:rsid w:val="001E201E"/>
    <w:rsid w:val="001E30DD"/>
    <w:rsid w:val="001E31B1"/>
    <w:rsid w:val="001E38BC"/>
    <w:rsid w:val="001E4B4D"/>
    <w:rsid w:val="001E5F28"/>
    <w:rsid w:val="001E60B5"/>
    <w:rsid w:val="001E6889"/>
    <w:rsid w:val="001E79E1"/>
    <w:rsid w:val="001F0122"/>
    <w:rsid w:val="001F057D"/>
    <w:rsid w:val="001F1599"/>
    <w:rsid w:val="001F19C4"/>
    <w:rsid w:val="001F1D9A"/>
    <w:rsid w:val="001F21D9"/>
    <w:rsid w:val="001F245A"/>
    <w:rsid w:val="001F2C82"/>
    <w:rsid w:val="001F3C59"/>
    <w:rsid w:val="001F4DDF"/>
    <w:rsid w:val="001F58B9"/>
    <w:rsid w:val="001F59D4"/>
    <w:rsid w:val="001F6117"/>
    <w:rsid w:val="001F7BAC"/>
    <w:rsid w:val="002003A9"/>
    <w:rsid w:val="0020042E"/>
    <w:rsid w:val="002007E9"/>
    <w:rsid w:val="00201105"/>
    <w:rsid w:val="00201624"/>
    <w:rsid w:val="0020172E"/>
    <w:rsid w:val="00202E64"/>
    <w:rsid w:val="002043F0"/>
    <w:rsid w:val="002059F6"/>
    <w:rsid w:val="00205C4A"/>
    <w:rsid w:val="00205DF4"/>
    <w:rsid w:val="002069F4"/>
    <w:rsid w:val="00207586"/>
    <w:rsid w:val="00207BFD"/>
    <w:rsid w:val="00207E3E"/>
    <w:rsid w:val="0021080A"/>
    <w:rsid w:val="00210C6F"/>
    <w:rsid w:val="00211C5A"/>
    <w:rsid w:val="00211D37"/>
    <w:rsid w:val="00211E0B"/>
    <w:rsid w:val="00212C1E"/>
    <w:rsid w:val="00213D26"/>
    <w:rsid w:val="002140E7"/>
    <w:rsid w:val="00214427"/>
    <w:rsid w:val="00215864"/>
    <w:rsid w:val="00215A0A"/>
    <w:rsid w:val="00216CFC"/>
    <w:rsid w:val="002175B5"/>
    <w:rsid w:val="00217BAF"/>
    <w:rsid w:val="002205AF"/>
    <w:rsid w:val="002208DD"/>
    <w:rsid w:val="0022143D"/>
    <w:rsid w:val="00221C91"/>
    <w:rsid w:val="00222283"/>
    <w:rsid w:val="00222E96"/>
    <w:rsid w:val="00222F34"/>
    <w:rsid w:val="0022366F"/>
    <w:rsid w:val="002246DE"/>
    <w:rsid w:val="002247BB"/>
    <w:rsid w:val="00224838"/>
    <w:rsid w:val="00224B0E"/>
    <w:rsid w:val="0022535B"/>
    <w:rsid w:val="00225947"/>
    <w:rsid w:val="00225F25"/>
    <w:rsid w:val="00225F77"/>
    <w:rsid w:val="002274F3"/>
    <w:rsid w:val="00227ABC"/>
    <w:rsid w:val="00230279"/>
    <w:rsid w:val="00230A91"/>
    <w:rsid w:val="0023144C"/>
    <w:rsid w:val="00231476"/>
    <w:rsid w:val="0023150B"/>
    <w:rsid w:val="00231EEB"/>
    <w:rsid w:val="00231EFB"/>
    <w:rsid w:val="00232527"/>
    <w:rsid w:val="00232575"/>
    <w:rsid w:val="00232AED"/>
    <w:rsid w:val="00232D25"/>
    <w:rsid w:val="00232D9C"/>
    <w:rsid w:val="00233233"/>
    <w:rsid w:val="00233D64"/>
    <w:rsid w:val="00234395"/>
    <w:rsid w:val="00234657"/>
    <w:rsid w:val="00235225"/>
    <w:rsid w:val="0023575C"/>
    <w:rsid w:val="00235766"/>
    <w:rsid w:val="002359BA"/>
    <w:rsid w:val="00235DC3"/>
    <w:rsid w:val="00240613"/>
    <w:rsid w:val="002409E1"/>
    <w:rsid w:val="00240E76"/>
    <w:rsid w:val="00240EA7"/>
    <w:rsid w:val="002419AD"/>
    <w:rsid w:val="00241F6B"/>
    <w:rsid w:val="00242D8E"/>
    <w:rsid w:val="002430AA"/>
    <w:rsid w:val="00243D15"/>
    <w:rsid w:val="00243EB0"/>
    <w:rsid w:val="0024689A"/>
    <w:rsid w:val="00246C69"/>
    <w:rsid w:val="00247258"/>
    <w:rsid w:val="00247ABA"/>
    <w:rsid w:val="00247EC2"/>
    <w:rsid w:val="0025066E"/>
    <w:rsid w:val="00250687"/>
    <w:rsid w:val="002514D0"/>
    <w:rsid w:val="002516FB"/>
    <w:rsid w:val="00251AD5"/>
    <w:rsid w:val="0025336F"/>
    <w:rsid w:val="00254825"/>
    <w:rsid w:val="00254B3C"/>
    <w:rsid w:val="00254BB2"/>
    <w:rsid w:val="00256423"/>
    <w:rsid w:val="0025668A"/>
    <w:rsid w:val="00256BD3"/>
    <w:rsid w:val="00257292"/>
    <w:rsid w:val="00257BA6"/>
    <w:rsid w:val="00257CAC"/>
    <w:rsid w:val="00257E4D"/>
    <w:rsid w:val="00261341"/>
    <w:rsid w:val="00261668"/>
    <w:rsid w:val="002635EA"/>
    <w:rsid w:val="00264038"/>
    <w:rsid w:val="002651FC"/>
    <w:rsid w:val="0026529C"/>
    <w:rsid w:val="00265FFC"/>
    <w:rsid w:val="002660E3"/>
    <w:rsid w:val="00267A4B"/>
    <w:rsid w:val="00267A7F"/>
    <w:rsid w:val="002721ED"/>
    <w:rsid w:val="0027237A"/>
    <w:rsid w:val="0027248C"/>
    <w:rsid w:val="002725A4"/>
    <w:rsid w:val="00272BBD"/>
    <w:rsid w:val="0027336C"/>
    <w:rsid w:val="00274074"/>
    <w:rsid w:val="002755B5"/>
    <w:rsid w:val="00276AA2"/>
    <w:rsid w:val="002772C8"/>
    <w:rsid w:val="00277807"/>
    <w:rsid w:val="002800A0"/>
    <w:rsid w:val="0028099D"/>
    <w:rsid w:val="00281BEA"/>
    <w:rsid w:val="002820F2"/>
    <w:rsid w:val="002826AE"/>
    <w:rsid w:val="00283712"/>
    <w:rsid w:val="002837CF"/>
    <w:rsid w:val="00283C2C"/>
    <w:rsid w:val="00284239"/>
    <w:rsid w:val="0028649A"/>
    <w:rsid w:val="00286AFF"/>
    <w:rsid w:val="00287ABA"/>
    <w:rsid w:val="0029192F"/>
    <w:rsid w:val="002925C9"/>
    <w:rsid w:val="00292743"/>
    <w:rsid w:val="00292775"/>
    <w:rsid w:val="00292C55"/>
    <w:rsid w:val="00293149"/>
    <w:rsid w:val="00293250"/>
    <w:rsid w:val="00293365"/>
    <w:rsid w:val="0029366E"/>
    <w:rsid w:val="00293ADB"/>
    <w:rsid w:val="00294E7A"/>
    <w:rsid w:val="00294FBB"/>
    <w:rsid w:val="0029535D"/>
    <w:rsid w:val="00296EFE"/>
    <w:rsid w:val="00296F5C"/>
    <w:rsid w:val="002974E9"/>
    <w:rsid w:val="002A09EE"/>
    <w:rsid w:val="002A1B2E"/>
    <w:rsid w:val="002A2C8E"/>
    <w:rsid w:val="002A314F"/>
    <w:rsid w:val="002A5850"/>
    <w:rsid w:val="002A67B1"/>
    <w:rsid w:val="002A6A42"/>
    <w:rsid w:val="002A72BE"/>
    <w:rsid w:val="002A7F39"/>
    <w:rsid w:val="002A7F94"/>
    <w:rsid w:val="002B0396"/>
    <w:rsid w:val="002B05C5"/>
    <w:rsid w:val="002B08FA"/>
    <w:rsid w:val="002B109A"/>
    <w:rsid w:val="002B28DC"/>
    <w:rsid w:val="002B2A50"/>
    <w:rsid w:val="002B2CED"/>
    <w:rsid w:val="002B2E08"/>
    <w:rsid w:val="002B2F7C"/>
    <w:rsid w:val="002B3EB7"/>
    <w:rsid w:val="002B44A2"/>
    <w:rsid w:val="002B4A1A"/>
    <w:rsid w:val="002B4A29"/>
    <w:rsid w:val="002B5A37"/>
    <w:rsid w:val="002B7B46"/>
    <w:rsid w:val="002B7ED9"/>
    <w:rsid w:val="002C0297"/>
    <w:rsid w:val="002C12DE"/>
    <w:rsid w:val="002C3127"/>
    <w:rsid w:val="002C46A7"/>
    <w:rsid w:val="002C62D8"/>
    <w:rsid w:val="002C6403"/>
    <w:rsid w:val="002C6D45"/>
    <w:rsid w:val="002C6E6E"/>
    <w:rsid w:val="002D074B"/>
    <w:rsid w:val="002D1A7D"/>
    <w:rsid w:val="002D209E"/>
    <w:rsid w:val="002D2748"/>
    <w:rsid w:val="002D300F"/>
    <w:rsid w:val="002D3401"/>
    <w:rsid w:val="002D3580"/>
    <w:rsid w:val="002D407F"/>
    <w:rsid w:val="002D4425"/>
    <w:rsid w:val="002D45EE"/>
    <w:rsid w:val="002D4DE8"/>
    <w:rsid w:val="002D5262"/>
    <w:rsid w:val="002D5809"/>
    <w:rsid w:val="002D6221"/>
    <w:rsid w:val="002D6E46"/>
    <w:rsid w:val="002D6E53"/>
    <w:rsid w:val="002D6ECB"/>
    <w:rsid w:val="002D7782"/>
    <w:rsid w:val="002D7AB7"/>
    <w:rsid w:val="002D7CB0"/>
    <w:rsid w:val="002E07BD"/>
    <w:rsid w:val="002E156E"/>
    <w:rsid w:val="002E1BAB"/>
    <w:rsid w:val="002E1CD6"/>
    <w:rsid w:val="002E26B2"/>
    <w:rsid w:val="002E3DC2"/>
    <w:rsid w:val="002E5198"/>
    <w:rsid w:val="002E5250"/>
    <w:rsid w:val="002E5404"/>
    <w:rsid w:val="002E62EF"/>
    <w:rsid w:val="002E64E8"/>
    <w:rsid w:val="002E65C6"/>
    <w:rsid w:val="002E669F"/>
    <w:rsid w:val="002E7566"/>
    <w:rsid w:val="002E76F9"/>
    <w:rsid w:val="002F046D"/>
    <w:rsid w:val="002F0FBB"/>
    <w:rsid w:val="002F134E"/>
    <w:rsid w:val="002F17A9"/>
    <w:rsid w:val="002F1CC6"/>
    <w:rsid w:val="002F2B33"/>
    <w:rsid w:val="002F3272"/>
    <w:rsid w:val="002F3BD5"/>
    <w:rsid w:val="002F4A3C"/>
    <w:rsid w:val="002F5C29"/>
    <w:rsid w:val="002F69B1"/>
    <w:rsid w:val="002F751E"/>
    <w:rsid w:val="00300FB6"/>
    <w:rsid w:val="00301764"/>
    <w:rsid w:val="00301DC8"/>
    <w:rsid w:val="0030310B"/>
    <w:rsid w:val="0030343F"/>
    <w:rsid w:val="0030626B"/>
    <w:rsid w:val="003065C2"/>
    <w:rsid w:val="0030799C"/>
    <w:rsid w:val="00307D76"/>
    <w:rsid w:val="00307F09"/>
    <w:rsid w:val="003103CD"/>
    <w:rsid w:val="0031195A"/>
    <w:rsid w:val="00312A1F"/>
    <w:rsid w:val="00313422"/>
    <w:rsid w:val="00313E62"/>
    <w:rsid w:val="003141B9"/>
    <w:rsid w:val="00314BCF"/>
    <w:rsid w:val="00314D0C"/>
    <w:rsid w:val="0031512A"/>
    <w:rsid w:val="0031582E"/>
    <w:rsid w:val="00315974"/>
    <w:rsid w:val="0031656B"/>
    <w:rsid w:val="0031667B"/>
    <w:rsid w:val="003167EB"/>
    <w:rsid w:val="00320197"/>
    <w:rsid w:val="003219EC"/>
    <w:rsid w:val="00321A67"/>
    <w:rsid w:val="00321AAF"/>
    <w:rsid w:val="003228C5"/>
    <w:rsid w:val="003229D8"/>
    <w:rsid w:val="00323352"/>
    <w:rsid w:val="00323ACD"/>
    <w:rsid w:val="00324004"/>
    <w:rsid w:val="00324746"/>
    <w:rsid w:val="00326F0E"/>
    <w:rsid w:val="00330A8B"/>
    <w:rsid w:val="00330B76"/>
    <w:rsid w:val="00331267"/>
    <w:rsid w:val="003313C4"/>
    <w:rsid w:val="00331D29"/>
    <w:rsid w:val="00332658"/>
    <w:rsid w:val="0033289B"/>
    <w:rsid w:val="003329BE"/>
    <w:rsid w:val="00332A58"/>
    <w:rsid w:val="00332E7C"/>
    <w:rsid w:val="003333E1"/>
    <w:rsid w:val="0033340E"/>
    <w:rsid w:val="00333C0C"/>
    <w:rsid w:val="003342FF"/>
    <w:rsid w:val="00335129"/>
    <w:rsid w:val="00336C97"/>
    <w:rsid w:val="00336EDD"/>
    <w:rsid w:val="00336FB4"/>
    <w:rsid w:val="00337F88"/>
    <w:rsid w:val="00342432"/>
    <w:rsid w:val="0034244F"/>
    <w:rsid w:val="00342741"/>
    <w:rsid w:val="00342896"/>
    <w:rsid w:val="00342E5A"/>
    <w:rsid w:val="0034381D"/>
    <w:rsid w:val="00344265"/>
    <w:rsid w:val="00344FD8"/>
    <w:rsid w:val="00345594"/>
    <w:rsid w:val="00345D3F"/>
    <w:rsid w:val="00346D37"/>
    <w:rsid w:val="003470D4"/>
    <w:rsid w:val="00347488"/>
    <w:rsid w:val="00347DD4"/>
    <w:rsid w:val="00347F53"/>
    <w:rsid w:val="00350531"/>
    <w:rsid w:val="003505BD"/>
    <w:rsid w:val="0035078B"/>
    <w:rsid w:val="00352125"/>
    <w:rsid w:val="0035223F"/>
    <w:rsid w:val="00352376"/>
    <w:rsid w:val="00352795"/>
    <w:rsid w:val="00352AED"/>
    <w:rsid w:val="00352B38"/>
    <w:rsid w:val="00352D4B"/>
    <w:rsid w:val="0035363D"/>
    <w:rsid w:val="003539FD"/>
    <w:rsid w:val="00353A0E"/>
    <w:rsid w:val="00353C58"/>
    <w:rsid w:val="003542AC"/>
    <w:rsid w:val="00354614"/>
    <w:rsid w:val="003556D6"/>
    <w:rsid w:val="00355E80"/>
    <w:rsid w:val="0035622B"/>
    <w:rsid w:val="0035638C"/>
    <w:rsid w:val="00357611"/>
    <w:rsid w:val="0035773A"/>
    <w:rsid w:val="003578B9"/>
    <w:rsid w:val="00360479"/>
    <w:rsid w:val="0036052C"/>
    <w:rsid w:val="00364147"/>
    <w:rsid w:val="003649F6"/>
    <w:rsid w:val="00365B88"/>
    <w:rsid w:val="00366108"/>
    <w:rsid w:val="00366575"/>
    <w:rsid w:val="0037058A"/>
    <w:rsid w:val="003706F2"/>
    <w:rsid w:val="003714BE"/>
    <w:rsid w:val="0037190C"/>
    <w:rsid w:val="003723A5"/>
    <w:rsid w:val="00373726"/>
    <w:rsid w:val="00373760"/>
    <w:rsid w:val="00373F03"/>
    <w:rsid w:val="00374093"/>
    <w:rsid w:val="00374100"/>
    <w:rsid w:val="00374463"/>
    <w:rsid w:val="0037484D"/>
    <w:rsid w:val="00375989"/>
    <w:rsid w:val="00375FE9"/>
    <w:rsid w:val="003768F4"/>
    <w:rsid w:val="00376E68"/>
    <w:rsid w:val="0038042A"/>
    <w:rsid w:val="00381399"/>
    <w:rsid w:val="00381F6A"/>
    <w:rsid w:val="0038255E"/>
    <w:rsid w:val="003825F8"/>
    <w:rsid w:val="00382F50"/>
    <w:rsid w:val="00382F93"/>
    <w:rsid w:val="00384368"/>
    <w:rsid w:val="0038542F"/>
    <w:rsid w:val="00385DB5"/>
    <w:rsid w:val="00386557"/>
    <w:rsid w:val="00386DF8"/>
    <w:rsid w:val="00386F4A"/>
    <w:rsid w:val="00387467"/>
    <w:rsid w:val="00390E9C"/>
    <w:rsid w:val="00390F0D"/>
    <w:rsid w:val="003918E6"/>
    <w:rsid w:val="00392F0C"/>
    <w:rsid w:val="00393117"/>
    <w:rsid w:val="00394743"/>
    <w:rsid w:val="0039476F"/>
    <w:rsid w:val="00394F7E"/>
    <w:rsid w:val="00395DFF"/>
    <w:rsid w:val="0039668C"/>
    <w:rsid w:val="0039695D"/>
    <w:rsid w:val="003975B8"/>
    <w:rsid w:val="003977EB"/>
    <w:rsid w:val="00397F21"/>
    <w:rsid w:val="003A00E9"/>
    <w:rsid w:val="003A0A64"/>
    <w:rsid w:val="003A1607"/>
    <w:rsid w:val="003A1DEE"/>
    <w:rsid w:val="003A2415"/>
    <w:rsid w:val="003A27E9"/>
    <w:rsid w:val="003A2FA9"/>
    <w:rsid w:val="003A383F"/>
    <w:rsid w:val="003A40ED"/>
    <w:rsid w:val="003A46BB"/>
    <w:rsid w:val="003A4EC7"/>
    <w:rsid w:val="003A4F16"/>
    <w:rsid w:val="003A51FF"/>
    <w:rsid w:val="003A58FA"/>
    <w:rsid w:val="003A6563"/>
    <w:rsid w:val="003A6EA4"/>
    <w:rsid w:val="003A7295"/>
    <w:rsid w:val="003A7F75"/>
    <w:rsid w:val="003B0968"/>
    <w:rsid w:val="003B10CB"/>
    <w:rsid w:val="003B17C8"/>
    <w:rsid w:val="003B1F1C"/>
    <w:rsid w:val="003B1F60"/>
    <w:rsid w:val="003B2B81"/>
    <w:rsid w:val="003B3299"/>
    <w:rsid w:val="003B3919"/>
    <w:rsid w:val="003B3E25"/>
    <w:rsid w:val="003B4D03"/>
    <w:rsid w:val="003B5440"/>
    <w:rsid w:val="003B5E44"/>
    <w:rsid w:val="003B6DAD"/>
    <w:rsid w:val="003B6EBB"/>
    <w:rsid w:val="003B7A60"/>
    <w:rsid w:val="003B7B9C"/>
    <w:rsid w:val="003C097D"/>
    <w:rsid w:val="003C0B02"/>
    <w:rsid w:val="003C0D69"/>
    <w:rsid w:val="003C140A"/>
    <w:rsid w:val="003C1BA9"/>
    <w:rsid w:val="003C1E65"/>
    <w:rsid w:val="003C2391"/>
    <w:rsid w:val="003C2650"/>
    <w:rsid w:val="003C28F2"/>
    <w:rsid w:val="003C2C05"/>
    <w:rsid w:val="003C2CC4"/>
    <w:rsid w:val="003C3820"/>
    <w:rsid w:val="003C3E36"/>
    <w:rsid w:val="003C403F"/>
    <w:rsid w:val="003C4884"/>
    <w:rsid w:val="003C56AA"/>
    <w:rsid w:val="003C5BCE"/>
    <w:rsid w:val="003C730B"/>
    <w:rsid w:val="003C787E"/>
    <w:rsid w:val="003D0BF1"/>
    <w:rsid w:val="003D356E"/>
    <w:rsid w:val="003D3C57"/>
    <w:rsid w:val="003D445E"/>
    <w:rsid w:val="003D4B23"/>
    <w:rsid w:val="003D51B4"/>
    <w:rsid w:val="003D51B5"/>
    <w:rsid w:val="003D6D1C"/>
    <w:rsid w:val="003D7A0D"/>
    <w:rsid w:val="003D7DD2"/>
    <w:rsid w:val="003D7E11"/>
    <w:rsid w:val="003E0A3E"/>
    <w:rsid w:val="003E1286"/>
    <w:rsid w:val="003E13D2"/>
    <w:rsid w:val="003E15E6"/>
    <w:rsid w:val="003E1946"/>
    <w:rsid w:val="003E278A"/>
    <w:rsid w:val="003E281E"/>
    <w:rsid w:val="003E3387"/>
    <w:rsid w:val="003E33DD"/>
    <w:rsid w:val="003E39BA"/>
    <w:rsid w:val="003E4349"/>
    <w:rsid w:val="003E481A"/>
    <w:rsid w:val="003E5A96"/>
    <w:rsid w:val="003E5B12"/>
    <w:rsid w:val="003E5B33"/>
    <w:rsid w:val="003E6582"/>
    <w:rsid w:val="003E692A"/>
    <w:rsid w:val="003E7366"/>
    <w:rsid w:val="003F0F2F"/>
    <w:rsid w:val="003F13B0"/>
    <w:rsid w:val="003F247E"/>
    <w:rsid w:val="003F2604"/>
    <w:rsid w:val="003F27B7"/>
    <w:rsid w:val="003F2EE5"/>
    <w:rsid w:val="003F3205"/>
    <w:rsid w:val="003F3377"/>
    <w:rsid w:val="003F56A0"/>
    <w:rsid w:val="003F57D7"/>
    <w:rsid w:val="003F601B"/>
    <w:rsid w:val="003F6209"/>
    <w:rsid w:val="003F63AE"/>
    <w:rsid w:val="003F6597"/>
    <w:rsid w:val="003F66D1"/>
    <w:rsid w:val="003F7208"/>
    <w:rsid w:val="003F77C1"/>
    <w:rsid w:val="003F7DFB"/>
    <w:rsid w:val="00401564"/>
    <w:rsid w:val="00401638"/>
    <w:rsid w:val="00401CED"/>
    <w:rsid w:val="0040249C"/>
    <w:rsid w:val="004025BD"/>
    <w:rsid w:val="0040314E"/>
    <w:rsid w:val="004038CC"/>
    <w:rsid w:val="004046D5"/>
    <w:rsid w:val="00404753"/>
    <w:rsid w:val="00404846"/>
    <w:rsid w:val="00404D22"/>
    <w:rsid w:val="0040507E"/>
    <w:rsid w:val="00405D04"/>
    <w:rsid w:val="00406752"/>
    <w:rsid w:val="00406BC0"/>
    <w:rsid w:val="00407035"/>
    <w:rsid w:val="00407D49"/>
    <w:rsid w:val="00410916"/>
    <w:rsid w:val="00410F0F"/>
    <w:rsid w:val="004113AE"/>
    <w:rsid w:val="004114C7"/>
    <w:rsid w:val="00411F7B"/>
    <w:rsid w:val="00412F48"/>
    <w:rsid w:val="00413520"/>
    <w:rsid w:val="004135F7"/>
    <w:rsid w:val="0041514C"/>
    <w:rsid w:val="00415160"/>
    <w:rsid w:val="004153CE"/>
    <w:rsid w:val="00416411"/>
    <w:rsid w:val="00417B63"/>
    <w:rsid w:val="00420E57"/>
    <w:rsid w:val="00421588"/>
    <w:rsid w:val="00421962"/>
    <w:rsid w:val="00422328"/>
    <w:rsid w:val="00422974"/>
    <w:rsid w:val="00424945"/>
    <w:rsid w:val="00424995"/>
    <w:rsid w:val="00424E00"/>
    <w:rsid w:val="00425BAA"/>
    <w:rsid w:val="00426489"/>
    <w:rsid w:val="00426A82"/>
    <w:rsid w:val="00426B3F"/>
    <w:rsid w:val="00426CC2"/>
    <w:rsid w:val="004271DB"/>
    <w:rsid w:val="00427E4E"/>
    <w:rsid w:val="00430B15"/>
    <w:rsid w:val="00431D3D"/>
    <w:rsid w:val="004325CB"/>
    <w:rsid w:val="00432D79"/>
    <w:rsid w:val="00433085"/>
    <w:rsid w:val="00433627"/>
    <w:rsid w:val="0043367B"/>
    <w:rsid w:val="00433C21"/>
    <w:rsid w:val="00436902"/>
    <w:rsid w:val="00436A97"/>
    <w:rsid w:val="0043763E"/>
    <w:rsid w:val="00437F2F"/>
    <w:rsid w:val="004402D3"/>
    <w:rsid w:val="00440A07"/>
    <w:rsid w:val="00441B6F"/>
    <w:rsid w:val="00441CEE"/>
    <w:rsid w:val="00442421"/>
    <w:rsid w:val="0044280C"/>
    <w:rsid w:val="00442EDE"/>
    <w:rsid w:val="00444B81"/>
    <w:rsid w:val="00444E7A"/>
    <w:rsid w:val="00445378"/>
    <w:rsid w:val="004469A2"/>
    <w:rsid w:val="00446B0F"/>
    <w:rsid w:val="0044757B"/>
    <w:rsid w:val="0045180A"/>
    <w:rsid w:val="00451FEE"/>
    <w:rsid w:val="004524BA"/>
    <w:rsid w:val="004527AD"/>
    <w:rsid w:val="004528C2"/>
    <w:rsid w:val="00456CF6"/>
    <w:rsid w:val="0046030A"/>
    <w:rsid w:val="00460731"/>
    <w:rsid w:val="00460E96"/>
    <w:rsid w:val="00461DB1"/>
    <w:rsid w:val="0046277B"/>
    <w:rsid w:val="00462880"/>
    <w:rsid w:val="004630FB"/>
    <w:rsid w:val="004635DB"/>
    <w:rsid w:val="004648FE"/>
    <w:rsid w:val="00464BFE"/>
    <w:rsid w:val="00464DFB"/>
    <w:rsid w:val="00465110"/>
    <w:rsid w:val="00465B0B"/>
    <w:rsid w:val="00466119"/>
    <w:rsid w:val="0046676F"/>
    <w:rsid w:val="00466792"/>
    <w:rsid w:val="0046767D"/>
    <w:rsid w:val="004679F3"/>
    <w:rsid w:val="00467B52"/>
    <w:rsid w:val="00467C5C"/>
    <w:rsid w:val="0047071E"/>
    <w:rsid w:val="00470BF5"/>
    <w:rsid w:val="00471092"/>
    <w:rsid w:val="004710F2"/>
    <w:rsid w:val="00473A5C"/>
    <w:rsid w:val="00473B2F"/>
    <w:rsid w:val="004744B4"/>
    <w:rsid w:val="00474828"/>
    <w:rsid w:val="00474E7F"/>
    <w:rsid w:val="00475A52"/>
    <w:rsid w:val="004761A3"/>
    <w:rsid w:val="00476674"/>
    <w:rsid w:val="00476D3B"/>
    <w:rsid w:val="00476E85"/>
    <w:rsid w:val="00476F24"/>
    <w:rsid w:val="00477630"/>
    <w:rsid w:val="004777F3"/>
    <w:rsid w:val="0048021F"/>
    <w:rsid w:val="004803AC"/>
    <w:rsid w:val="004807B7"/>
    <w:rsid w:val="0048082D"/>
    <w:rsid w:val="0048092E"/>
    <w:rsid w:val="00481FAB"/>
    <w:rsid w:val="00482AFF"/>
    <w:rsid w:val="00484A79"/>
    <w:rsid w:val="0048549F"/>
    <w:rsid w:val="00486632"/>
    <w:rsid w:val="00486D71"/>
    <w:rsid w:val="00487263"/>
    <w:rsid w:val="004873EC"/>
    <w:rsid w:val="00487E5A"/>
    <w:rsid w:val="00490830"/>
    <w:rsid w:val="004915EC"/>
    <w:rsid w:val="00491F67"/>
    <w:rsid w:val="00492278"/>
    <w:rsid w:val="00492C5B"/>
    <w:rsid w:val="0049326A"/>
    <w:rsid w:val="004939C6"/>
    <w:rsid w:val="00493F1D"/>
    <w:rsid w:val="00495202"/>
    <w:rsid w:val="0049582A"/>
    <w:rsid w:val="00496294"/>
    <w:rsid w:val="00496C12"/>
    <w:rsid w:val="004972BC"/>
    <w:rsid w:val="004977F5"/>
    <w:rsid w:val="004A00DB"/>
    <w:rsid w:val="004A019E"/>
    <w:rsid w:val="004A09F1"/>
    <w:rsid w:val="004A0DC2"/>
    <w:rsid w:val="004A2FC2"/>
    <w:rsid w:val="004A38AC"/>
    <w:rsid w:val="004A3FF1"/>
    <w:rsid w:val="004A53B0"/>
    <w:rsid w:val="004A65E6"/>
    <w:rsid w:val="004A68A4"/>
    <w:rsid w:val="004A6D3B"/>
    <w:rsid w:val="004B156C"/>
    <w:rsid w:val="004B1E10"/>
    <w:rsid w:val="004B2844"/>
    <w:rsid w:val="004B3786"/>
    <w:rsid w:val="004B38AB"/>
    <w:rsid w:val="004B3DC1"/>
    <w:rsid w:val="004B3F76"/>
    <w:rsid w:val="004B4FD4"/>
    <w:rsid w:val="004B5D5E"/>
    <w:rsid w:val="004B7B26"/>
    <w:rsid w:val="004C010F"/>
    <w:rsid w:val="004C1C9F"/>
    <w:rsid w:val="004C2FCA"/>
    <w:rsid w:val="004C3AFC"/>
    <w:rsid w:val="004C4397"/>
    <w:rsid w:val="004C43AC"/>
    <w:rsid w:val="004C5018"/>
    <w:rsid w:val="004C5542"/>
    <w:rsid w:val="004C55B0"/>
    <w:rsid w:val="004C5B60"/>
    <w:rsid w:val="004D04EC"/>
    <w:rsid w:val="004D0846"/>
    <w:rsid w:val="004D1198"/>
    <w:rsid w:val="004D13C5"/>
    <w:rsid w:val="004D1DF4"/>
    <w:rsid w:val="004D22C3"/>
    <w:rsid w:val="004D24F1"/>
    <w:rsid w:val="004D28B0"/>
    <w:rsid w:val="004D2E2E"/>
    <w:rsid w:val="004D439C"/>
    <w:rsid w:val="004D46E9"/>
    <w:rsid w:val="004D4789"/>
    <w:rsid w:val="004D48FE"/>
    <w:rsid w:val="004D5D5C"/>
    <w:rsid w:val="004D6048"/>
    <w:rsid w:val="004D6064"/>
    <w:rsid w:val="004D690B"/>
    <w:rsid w:val="004D74CB"/>
    <w:rsid w:val="004D7552"/>
    <w:rsid w:val="004D7C5F"/>
    <w:rsid w:val="004D7FA4"/>
    <w:rsid w:val="004E05E2"/>
    <w:rsid w:val="004E097F"/>
    <w:rsid w:val="004E0F10"/>
    <w:rsid w:val="004E1D34"/>
    <w:rsid w:val="004E253D"/>
    <w:rsid w:val="004E6473"/>
    <w:rsid w:val="004E66AE"/>
    <w:rsid w:val="004E699D"/>
    <w:rsid w:val="004E6D06"/>
    <w:rsid w:val="004E6D18"/>
    <w:rsid w:val="004F0890"/>
    <w:rsid w:val="004F0913"/>
    <w:rsid w:val="004F0A6F"/>
    <w:rsid w:val="004F1DF6"/>
    <w:rsid w:val="004F3504"/>
    <w:rsid w:val="004F3B0A"/>
    <w:rsid w:val="004F3B35"/>
    <w:rsid w:val="004F3DB7"/>
    <w:rsid w:val="004F4F12"/>
    <w:rsid w:val="004F5577"/>
    <w:rsid w:val="004F6A7E"/>
    <w:rsid w:val="004F6BA0"/>
    <w:rsid w:val="004F6C13"/>
    <w:rsid w:val="004F7006"/>
    <w:rsid w:val="004F7FA5"/>
    <w:rsid w:val="0050067E"/>
    <w:rsid w:val="00501564"/>
    <w:rsid w:val="0050258C"/>
    <w:rsid w:val="00502BC6"/>
    <w:rsid w:val="00503BEA"/>
    <w:rsid w:val="00504802"/>
    <w:rsid w:val="0050603C"/>
    <w:rsid w:val="0050627E"/>
    <w:rsid w:val="0050669D"/>
    <w:rsid w:val="00506870"/>
    <w:rsid w:val="0050716D"/>
    <w:rsid w:val="0050725B"/>
    <w:rsid w:val="005074D1"/>
    <w:rsid w:val="00507D24"/>
    <w:rsid w:val="00511346"/>
    <w:rsid w:val="00511975"/>
    <w:rsid w:val="00512243"/>
    <w:rsid w:val="00512898"/>
    <w:rsid w:val="00512985"/>
    <w:rsid w:val="00513724"/>
    <w:rsid w:val="00513BDB"/>
    <w:rsid w:val="005142DE"/>
    <w:rsid w:val="00515D78"/>
    <w:rsid w:val="005162E0"/>
    <w:rsid w:val="0051716A"/>
    <w:rsid w:val="00517998"/>
    <w:rsid w:val="00517CCE"/>
    <w:rsid w:val="00517D1C"/>
    <w:rsid w:val="0052180E"/>
    <w:rsid w:val="0052195E"/>
    <w:rsid w:val="00522B7C"/>
    <w:rsid w:val="00522CB4"/>
    <w:rsid w:val="00523482"/>
    <w:rsid w:val="00523C3B"/>
    <w:rsid w:val="00525236"/>
    <w:rsid w:val="00525890"/>
    <w:rsid w:val="00525E51"/>
    <w:rsid w:val="005263A9"/>
    <w:rsid w:val="00526FE3"/>
    <w:rsid w:val="00527EA4"/>
    <w:rsid w:val="00530697"/>
    <w:rsid w:val="00530E08"/>
    <w:rsid w:val="0053101B"/>
    <w:rsid w:val="00531D2C"/>
    <w:rsid w:val="00531F0C"/>
    <w:rsid w:val="0053288A"/>
    <w:rsid w:val="00532D61"/>
    <w:rsid w:val="00532F7F"/>
    <w:rsid w:val="005331E8"/>
    <w:rsid w:val="00533616"/>
    <w:rsid w:val="00535664"/>
    <w:rsid w:val="00535807"/>
    <w:rsid w:val="00535ABA"/>
    <w:rsid w:val="00535FA9"/>
    <w:rsid w:val="005360A3"/>
    <w:rsid w:val="0053768B"/>
    <w:rsid w:val="00537952"/>
    <w:rsid w:val="00537AAB"/>
    <w:rsid w:val="0054018E"/>
    <w:rsid w:val="00540200"/>
    <w:rsid w:val="00540A8F"/>
    <w:rsid w:val="0054163E"/>
    <w:rsid w:val="0054177F"/>
    <w:rsid w:val="00541BB7"/>
    <w:rsid w:val="005420F2"/>
    <w:rsid w:val="0054214A"/>
    <w:rsid w:val="0054285C"/>
    <w:rsid w:val="005431DD"/>
    <w:rsid w:val="005439ED"/>
    <w:rsid w:val="005441D4"/>
    <w:rsid w:val="005450D9"/>
    <w:rsid w:val="00545224"/>
    <w:rsid w:val="00545E74"/>
    <w:rsid w:val="00546751"/>
    <w:rsid w:val="0054680F"/>
    <w:rsid w:val="00546C33"/>
    <w:rsid w:val="00546CA5"/>
    <w:rsid w:val="005472EB"/>
    <w:rsid w:val="00547C2C"/>
    <w:rsid w:val="00547EC6"/>
    <w:rsid w:val="00550864"/>
    <w:rsid w:val="00551456"/>
    <w:rsid w:val="00551641"/>
    <w:rsid w:val="00551DAF"/>
    <w:rsid w:val="00551F94"/>
    <w:rsid w:val="005521F0"/>
    <w:rsid w:val="00552878"/>
    <w:rsid w:val="00552AED"/>
    <w:rsid w:val="00552C73"/>
    <w:rsid w:val="00552F98"/>
    <w:rsid w:val="005533E9"/>
    <w:rsid w:val="00553474"/>
    <w:rsid w:val="00553502"/>
    <w:rsid w:val="005546EA"/>
    <w:rsid w:val="00555597"/>
    <w:rsid w:val="00555D44"/>
    <w:rsid w:val="00556146"/>
    <w:rsid w:val="00556A51"/>
    <w:rsid w:val="00557B39"/>
    <w:rsid w:val="00557D94"/>
    <w:rsid w:val="00561956"/>
    <w:rsid w:val="00561CED"/>
    <w:rsid w:val="0056253C"/>
    <w:rsid w:val="00562958"/>
    <w:rsid w:val="00562C2B"/>
    <w:rsid w:val="00564BC6"/>
    <w:rsid w:val="00565E16"/>
    <w:rsid w:val="00566FC6"/>
    <w:rsid w:val="00567E2B"/>
    <w:rsid w:val="005708E4"/>
    <w:rsid w:val="0057123B"/>
    <w:rsid w:val="00571A50"/>
    <w:rsid w:val="00572DDF"/>
    <w:rsid w:val="00572F9C"/>
    <w:rsid w:val="00573A7D"/>
    <w:rsid w:val="00574B2E"/>
    <w:rsid w:val="00574DAB"/>
    <w:rsid w:val="0057564B"/>
    <w:rsid w:val="00576CC0"/>
    <w:rsid w:val="005770E8"/>
    <w:rsid w:val="00577927"/>
    <w:rsid w:val="00577B1E"/>
    <w:rsid w:val="00577C01"/>
    <w:rsid w:val="005801E8"/>
    <w:rsid w:val="00581E0F"/>
    <w:rsid w:val="00582F9D"/>
    <w:rsid w:val="00582FDE"/>
    <w:rsid w:val="00583035"/>
    <w:rsid w:val="00583139"/>
    <w:rsid w:val="00584173"/>
    <w:rsid w:val="005847B1"/>
    <w:rsid w:val="00584BC9"/>
    <w:rsid w:val="00586482"/>
    <w:rsid w:val="00586C57"/>
    <w:rsid w:val="00586CE1"/>
    <w:rsid w:val="005877E8"/>
    <w:rsid w:val="00587C4B"/>
    <w:rsid w:val="005907B8"/>
    <w:rsid w:val="005919BE"/>
    <w:rsid w:val="00592495"/>
    <w:rsid w:val="0059318E"/>
    <w:rsid w:val="005934E9"/>
    <w:rsid w:val="00593522"/>
    <w:rsid w:val="005936FF"/>
    <w:rsid w:val="00593DB8"/>
    <w:rsid w:val="005942A8"/>
    <w:rsid w:val="0059494E"/>
    <w:rsid w:val="00595520"/>
    <w:rsid w:val="00596856"/>
    <w:rsid w:val="00597979"/>
    <w:rsid w:val="005A0277"/>
    <w:rsid w:val="005A0673"/>
    <w:rsid w:val="005A1B73"/>
    <w:rsid w:val="005A1E24"/>
    <w:rsid w:val="005A2245"/>
    <w:rsid w:val="005A2255"/>
    <w:rsid w:val="005A269D"/>
    <w:rsid w:val="005A372A"/>
    <w:rsid w:val="005A3B41"/>
    <w:rsid w:val="005A3B7E"/>
    <w:rsid w:val="005A3BC2"/>
    <w:rsid w:val="005A44B9"/>
    <w:rsid w:val="005A467C"/>
    <w:rsid w:val="005A47CA"/>
    <w:rsid w:val="005A7327"/>
    <w:rsid w:val="005A7A2C"/>
    <w:rsid w:val="005B19C7"/>
    <w:rsid w:val="005B1A85"/>
    <w:rsid w:val="005B1BA0"/>
    <w:rsid w:val="005B262E"/>
    <w:rsid w:val="005B2897"/>
    <w:rsid w:val="005B2B61"/>
    <w:rsid w:val="005B2D06"/>
    <w:rsid w:val="005B3509"/>
    <w:rsid w:val="005B3C6A"/>
    <w:rsid w:val="005B3DB3"/>
    <w:rsid w:val="005B4931"/>
    <w:rsid w:val="005B4980"/>
    <w:rsid w:val="005B4BC6"/>
    <w:rsid w:val="005B4FF4"/>
    <w:rsid w:val="005B5BBA"/>
    <w:rsid w:val="005B6B9A"/>
    <w:rsid w:val="005B7C3F"/>
    <w:rsid w:val="005B7E73"/>
    <w:rsid w:val="005C2279"/>
    <w:rsid w:val="005C2A23"/>
    <w:rsid w:val="005C2A86"/>
    <w:rsid w:val="005C3540"/>
    <w:rsid w:val="005C3E69"/>
    <w:rsid w:val="005C3EB0"/>
    <w:rsid w:val="005C3FB5"/>
    <w:rsid w:val="005C535B"/>
    <w:rsid w:val="005C5A1D"/>
    <w:rsid w:val="005C5CBB"/>
    <w:rsid w:val="005C655A"/>
    <w:rsid w:val="005C6884"/>
    <w:rsid w:val="005C6DDE"/>
    <w:rsid w:val="005C7287"/>
    <w:rsid w:val="005C7AAF"/>
    <w:rsid w:val="005C7CE7"/>
    <w:rsid w:val="005D000F"/>
    <w:rsid w:val="005D07FD"/>
    <w:rsid w:val="005D1052"/>
    <w:rsid w:val="005D15CA"/>
    <w:rsid w:val="005D1BD3"/>
    <w:rsid w:val="005D2FB3"/>
    <w:rsid w:val="005D3E4D"/>
    <w:rsid w:val="005D50CD"/>
    <w:rsid w:val="005D5440"/>
    <w:rsid w:val="005D7C5C"/>
    <w:rsid w:val="005E1581"/>
    <w:rsid w:val="005E15C6"/>
    <w:rsid w:val="005E37FC"/>
    <w:rsid w:val="005E3B52"/>
    <w:rsid w:val="005E4F88"/>
    <w:rsid w:val="005E5E5F"/>
    <w:rsid w:val="005E63F9"/>
    <w:rsid w:val="005F08F5"/>
    <w:rsid w:val="005F0F7C"/>
    <w:rsid w:val="005F213D"/>
    <w:rsid w:val="005F22F8"/>
    <w:rsid w:val="005F247E"/>
    <w:rsid w:val="005F3066"/>
    <w:rsid w:val="005F37D4"/>
    <w:rsid w:val="005F3E61"/>
    <w:rsid w:val="005F3FA2"/>
    <w:rsid w:val="005F4FE7"/>
    <w:rsid w:val="005F53CC"/>
    <w:rsid w:val="005F5F36"/>
    <w:rsid w:val="005F773E"/>
    <w:rsid w:val="00600384"/>
    <w:rsid w:val="00600707"/>
    <w:rsid w:val="0060207C"/>
    <w:rsid w:val="00602987"/>
    <w:rsid w:val="00602B1F"/>
    <w:rsid w:val="006032E2"/>
    <w:rsid w:val="00603A2F"/>
    <w:rsid w:val="006047AA"/>
    <w:rsid w:val="006047F0"/>
    <w:rsid w:val="00604DDD"/>
    <w:rsid w:val="00604E19"/>
    <w:rsid w:val="00604E1C"/>
    <w:rsid w:val="00604F3A"/>
    <w:rsid w:val="00606380"/>
    <w:rsid w:val="00606419"/>
    <w:rsid w:val="006064CA"/>
    <w:rsid w:val="006066EE"/>
    <w:rsid w:val="0061016F"/>
    <w:rsid w:val="00610E99"/>
    <w:rsid w:val="00611587"/>
    <w:rsid w:val="006115CC"/>
    <w:rsid w:val="00611FC4"/>
    <w:rsid w:val="0061216F"/>
    <w:rsid w:val="00612280"/>
    <w:rsid w:val="00612522"/>
    <w:rsid w:val="00614380"/>
    <w:rsid w:val="006144A8"/>
    <w:rsid w:val="00614AC1"/>
    <w:rsid w:val="00614C26"/>
    <w:rsid w:val="006151C8"/>
    <w:rsid w:val="00615B65"/>
    <w:rsid w:val="00616E4A"/>
    <w:rsid w:val="00616F19"/>
    <w:rsid w:val="0061719E"/>
    <w:rsid w:val="006176FB"/>
    <w:rsid w:val="006236BF"/>
    <w:rsid w:val="006236D0"/>
    <w:rsid w:val="00623AA6"/>
    <w:rsid w:val="0062495A"/>
    <w:rsid w:val="006250D0"/>
    <w:rsid w:val="0062578E"/>
    <w:rsid w:val="00625B83"/>
    <w:rsid w:val="00625BBA"/>
    <w:rsid w:val="00626B06"/>
    <w:rsid w:val="00627420"/>
    <w:rsid w:val="00630C63"/>
    <w:rsid w:val="00630FCB"/>
    <w:rsid w:val="0063153F"/>
    <w:rsid w:val="0063163D"/>
    <w:rsid w:val="006318F1"/>
    <w:rsid w:val="006319A0"/>
    <w:rsid w:val="00631A48"/>
    <w:rsid w:val="00631C64"/>
    <w:rsid w:val="0063229B"/>
    <w:rsid w:val="0063258C"/>
    <w:rsid w:val="00632ACE"/>
    <w:rsid w:val="00632B72"/>
    <w:rsid w:val="00633B82"/>
    <w:rsid w:val="00635214"/>
    <w:rsid w:val="00636A7D"/>
    <w:rsid w:val="0063729E"/>
    <w:rsid w:val="0064002E"/>
    <w:rsid w:val="006402F1"/>
    <w:rsid w:val="006403F0"/>
    <w:rsid w:val="00640587"/>
    <w:rsid w:val="00640B26"/>
    <w:rsid w:val="006411A3"/>
    <w:rsid w:val="00641630"/>
    <w:rsid w:val="00641DFE"/>
    <w:rsid w:val="00644727"/>
    <w:rsid w:val="0064478E"/>
    <w:rsid w:val="00644905"/>
    <w:rsid w:val="006459DE"/>
    <w:rsid w:val="006462C9"/>
    <w:rsid w:val="0064635A"/>
    <w:rsid w:val="00646BAF"/>
    <w:rsid w:val="0065006F"/>
    <w:rsid w:val="0065191F"/>
    <w:rsid w:val="00651A69"/>
    <w:rsid w:val="00652B2C"/>
    <w:rsid w:val="00652BF2"/>
    <w:rsid w:val="00652ED1"/>
    <w:rsid w:val="006532A8"/>
    <w:rsid w:val="00653605"/>
    <w:rsid w:val="00653723"/>
    <w:rsid w:val="006540FE"/>
    <w:rsid w:val="00654B99"/>
    <w:rsid w:val="00654FC5"/>
    <w:rsid w:val="006557EB"/>
    <w:rsid w:val="00655FDE"/>
    <w:rsid w:val="00656271"/>
    <w:rsid w:val="00656824"/>
    <w:rsid w:val="0065696B"/>
    <w:rsid w:val="006607C3"/>
    <w:rsid w:val="00660C5D"/>
    <w:rsid w:val="00660E31"/>
    <w:rsid w:val="00661401"/>
    <w:rsid w:val="00661A4B"/>
    <w:rsid w:val="006621AD"/>
    <w:rsid w:val="00663CAE"/>
    <w:rsid w:val="00663E09"/>
    <w:rsid w:val="00663F89"/>
    <w:rsid w:val="00666846"/>
    <w:rsid w:val="00667230"/>
    <w:rsid w:val="00667870"/>
    <w:rsid w:val="00667E95"/>
    <w:rsid w:val="00667ED6"/>
    <w:rsid w:val="00667FA2"/>
    <w:rsid w:val="006722AC"/>
    <w:rsid w:val="00674374"/>
    <w:rsid w:val="006743E0"/>
    <w:rsid w:val="00674AF8"/>
    <w:rsid w:val="00675D4B"/>
    <w:rsid w:val="00675DBD"/>
    <w:rsid w:val="00676E81"/>
    <w:rsid w:val="00676ECE"/>
    <w:rsid w:val="006770B2"/>
    <w:rsid w:val="00677717"/>
    <w:rsid w:val="00677D70"/>
    <w:rsid w:val="00677DF4"/>
    <w:rsid w:val="00677E06"/>
    <w:rsid w:val="00682C19"/>
    <w:rsid w:val="00683167"/>
    <w:rsid w:val="00683C0A"/>
    <w:rsid w:val="00683D1C"/>
    <w:rsid w:val="00684468"/>
    <w:rsid w:val="0068447C"/>
    <w:rsid w:val="00684ADC"/>
    <w:rsid w:val="00684BFA"/>
    <w:rsid w:val="00684F05"/>
    <w:rsid w:val="00685B0A"/>
    <w:rsid w:val="00686A13"/>
    <w:rsid w:val="00686D42"/>
    <w:rsid w:val="0068707F"/>
    <w:rsid w:val="0068782B"/>
    <w:rsid w:val="00687872"/>
    <w:rsid w:val="006913E1"/>
    <w:rsid w:val="00691920"/>
    <w:rsid w:val="00691D51"/>
    <w:rsid w:val="006929EE"/>
    <w:rsid w:val="00693151"/>
    <w:rsid w:val="0069319A"/>
    <w:rsid w:val="006940E1"/>
    <w:rsid w:val="00694C82"/>
    <w:rsid w:val="006952E3"/>
    <w:rsid w:val="00695543"/>
    <w:rsid w:val="00695D7A"/>
    <w:rsid w:val="006967DB"/>
    <w:rsid w:val="006970FF"/>
    <w:rsid w:val="006A0DCD"/>
    <w:rsid w:val="006A15D7"/>
    <w:rsid w:val="006A26FC"/>
    <w:rsid w:val="006A28A3"/>
    <w:rsid w:val="006A3287"/>
    <w:rsid w:val="006A3446"/>
    <w:rsid w:val="006A3C72"/>
    <w:rsid w:val="006A48F6"/>
    <w:rsid w:val="006A53F8"/>
    <w:rsid w:val="006A5423"/>
    <w:rsid w:val="006A60D7"/>
    <w:rsid w:val="006A71A2"/>
    <w:rsid w:val="006A7392"/>
    <w:rsid w:val="006A753F"/>
    <w:rsid w:val="006A7975"/>
    <w:rsid w:val="006B03A1"/>
    <w:rsid w:val="006B0BB1"/>
    <w:rsid w:val="006B2C24"/>
    <w:rsid w:val="006B3019"/>
    <w:rsid w:val="006B30FC"/>
    <w:rsid w:val="006B381B"/>
    <w:rsid w:val="006B3DDD"/>
    <w:rsid w:val="006B3ED4"/>
    <w:rsid w:val="006B3EFA"/>
    <w:rsid w:val="006B41C1"/>
    <w:rsid w:val="006B4892"/>
    <w:rsid w:val="006B4D0C"/>
    <w:rsid w:val="006B53E2"/>
    <w:rsid w:val="006B5592"/>
    <w:rsid w:val="006B6179"/>
    <w:rsid w:val="006B6731"/>
    <w:rsid w:val="006B67D9"/>
    <w:rsid w:val="006B7AAA"/>
    <w:rsid w:val="006C05D1"/>
    <w:rsid w:val="006C0901"/>
    <w:rsid w:val="006C12A8"/>
    <w:rsid w:val="006C1463"/>
    <w:rsid w:val="006C2066"/>
    <w:rsid w:val="006C2544"/>
    <w:rsid w:val="006C2AA6"/>
    <w:rsid w:val="006C2C5C"/>
    <w:rsid w:val="006C2E89"/>
    <w:rsid w:val="006C347B"/>
    <w:rsid w:val="006C4D43"/>
    <w:rsid w:val="006C5535"/>
    <w:rsid w:val="006C6708"/>
    <w:rsid w:val="006C6C18"/>
    <w:rsid w:val="006C75D9"/>
    <w:rsid w:val="006C7A45"/>
    <w:rsid w:val="006D0399"/>
    <w:rsid w:val="006D0589"/>
    <w:rsid w:val="006D15BB"/>
    <w:rsid w:val="006D1F59"/>
    <w:rsid w:val="006D293C"/>
    <w:rsid w:val="006D2C44"/>
    <w:rsid w:val="006D3751"/>
    <w:rsid w:val="006D40FA"/>
    <w:rsid w:val="006D46FC"/>
    <w:rsid w:val="006D4C43"/>
    <w:rsid w:val="006D4EE0"/>
    <w:rsid w:val="006D5619"/>
    <w:rsid w:val="006D5624"/>
    <w:rsid w:val="006D6A2E"/>
    <w:rsid w:val="006E0201"/>
    <w:rsid w:val="006E072C"/>
    <w:rsid w:val="006E0DA0"/>
    <w:rsid w:val="006E1689"/>
    <w:rsid w:val="006E1D45"/>
    <w:rsid w:val="006E3A52"/>
    <w:rsid w:val="006E40D1"/>
    <w:rsid w:val="006E470A"/>
    <w:rsid w:val="006E54C3"/>
    <w:rsid w:val="006E564B"/>
    <w:rsid w:val="006E5984"/>
    <w:rsid w:val="006E6E23"/>
    <w:rsid w:val="006E7154"/>
    <w:rsid w:val="006E7A2A"/>
    <w:rsid w:val="006F0365"/>
    <w:rsid w:val="006F0B77"/>
    <w:rsid w:val="006F13B0"/>
    <w:rsid w:val="006F2077"/>
    <w:rsid w:val="006F2F35"/>
    <w:rsid w:val="006F345D"/>
    <w:rsid w:val="006F71C0"/>
    <w:rsid w:val="006F7379"/>
    <w:rsid w:val="006F7735"/>
    <w:rsid w:val="006F7A38"/>
    <w:rsid w:val="006F7E76"/>
    <w:rsid w:val="006F7E91"/>
    <w:rsid w:val="006F7EBA"/>
    <w:rsid w:val="007003CD"/>
    <w:rsid w:val="007007D3"/>
    <w:rsid w:val="007010F4"/>
    <w:rsid w:val="007020B7"/>
    <w:rsid w:val="00702B7E"/>
    <w:rsid w:val="00703065"/>
    <w:rsid w:val="007037FA"/>
    <w:rsid w:val="00703DAE"/>
    <w:rsid w:val="00704575"/>
    <w:rsid w:val="00704D4E"/>
    <w:rsid w:val="0070504D"/>
    <w:rsid w:val="0070604A"/>
    <w:rsid w:val="007062A9"/>
    <w:rsid w:val="0070701E"/>
    <w:rsid w:val="00707615"/>
    <w:rsid w:val="0071002B"/>
    <w:rsid w:val="00710054"/>
    <w:rsid w:val="00710513"/>
    <w:rsid w:val="007106A9"/>
    <w:rsid w:val="007108B4"/>
    <w:rsid w:val="00710EE8"/>
    <w:rsid w:val="007117C2"/>
    <w:rsid w:val="00711956"/>
    <w:rsid w:val="00711B30"/>
    <w:rsid w:val="00712C76"/>
    <w:rsid w:val="00713080"/>
    <w:rsid w:val="00713686"/>
    <w:rsid w:val="00713D1E"/>
    <w:rsid w:val="007140EF"/>
    <w:rsid w:val="0071599B"/>
    <w:rsid w:val="00715FCC"/>
    <w:rsid w:val="0071605F"/>
    <w:rsid w:val="00716CF5"/>
    <w:rsid w:val="00717079"/>
    <w:rsid w:val="007175C9"/>
    <w:rsid w:val="00717BDF"/>
    <w:rsid w:val="007200B5"/>
    <w:rsid w:val="007201E8"/>
    <w:rsid w:val="0072110E"/>
    <w:rsid w:val="00721281"/>
    <w:rsid w:val="0072271A"/>
    <w:rsid w:val="00724CF9"/>
    <w:rsid w:val="00725045"/>
    <w:rsid w:val="00726202"/>
    <w:rsid w:val="0072632A"/>
    <w:rsid w:val="007265E1"/>
    <w:rsid w:val="00731046"/>
    <w:rsid w:val="007311D2"/>
    <w:rsid w:val="00731697"/>
    <w:rsid w:val="0073226E"/>
    <w:rsid w:val="007337AC"/>
    <w:rsid w:val="00733855"/>
    <w:rsid w:val="00734216"/>
    <w:rsid w:val="0073524A"/>
    <w:rsid w:val="007358E8"/>
    <w:rsid w:val="007358FB"/>
    <w:rsid w:val="00735F0D"/>
    <w:rsid w:val="00735F49"/>
    <w:rsid w:val="00736ECE"/>
    <w:rsid w:val="00737B3D"/>
    <w:rsid w:val="00737BFA"/>
    <w:rsid w:val="00741850"/>
    <w:rsid w:val="00741B52"/>
    <w:rsid w:val="007423CC"/>
    <w:rsid w:val="00743572"/>
    <w:rsid w:val="00743E45"/>
    <w:rsid w:val="00744391"/>
    <w:rsid w:val="0074533B"/>
    <w:rsid w:val="00746268"/>
    <w:rsid w:val="007464BC"/>
    <w:rsid w:val="007464D3"/>
    <w:rsid w:val="00746974"/>
    <w:rsid w:val="007474C1"/>
    <w:rsid w:val="00747B51"/>
    <w:rsid w:val="00750324"/>
    <w:rsid w:val="00750827"/>
    <w:rsid w:val="007519A9"/>
    <w:rsid w:val="007520BD"/>
    <w:rsid w:val="007528CB"/>
    <w:rsid w:val="007550C0"/>
    <w:rsid w:val="00755751"/>
    <w:rsid w:val="00755A94"/>
    <w:rsid w:val="00755EE5"/>
    <w:rsid w:val="00756225"/>
    <w:rsid w:val="00756759"/>
    <w:rsid w:val="00757F62"/>
    <w:rsid w:val="00760761"/>
    <w:rsid w:val="007609F3"/>
    <w:rsid w:val="00761BF6"/>
    <w:rsid w:val="00762A26"/>
    <w:rsid w:val="00762DC0"/>
    <w:rsid w:val="00763954"/>
    <w:rsid w:val="00763C76"/>
    <w:rsid w:val="007643BC"/>
    <w:rsid w:val="0076481D"/>
    <w:rsid w:val="0076547E"/>
    <w:rsid w:val="00765F1E"/>
    <w:rsid w:val="00766A12"/>
    <w:rsid w:val="00766CE9"/>
    <w:rsid w:val="007673B3"/>
    <w:rsid w:val="00767E27"/>
    <w:rsid w:val="00772847"/>
    <w:rsid w:val="007735B9"/>
    <w:rsid w:val="00773BA3"/>
    <w:rsid w:val="00776BB6"/>
    <w:rsid w:val="00776BBE"/>
    <w:rsid w:val="007775A8"/>
    <w:rsid w:val="007817F1"/>
    <w:rsid w:val="0078235C"/>
    <w:rsid w:val="007826C3"/>
    <w:rsid w:val="00783012"/>
    <w:rsid w:val="00783E00"/>
    <w:rsid w:val="0078467F"/>
    <w:rsid w:val="007864DA"/>
    <w:rsid w:val="00786676"/>
    <w:rsid w:val="00786D0B"/>
    <w:rsid w:val="0078723A"/>
    <w:rsid w:val="0078789D"/>
    <w:rsid w:val="00791CAB"/>
    <w:rsid w:val="00795746"/>
    <w:rsid w:val="007959FE"/>
    <w:rsid w:val="00796246"/>
    <w:rsid w:val="0079625A"/>
    <w:rsid w:val="00797748"/>
    <w:rsid w:val="007978DD"/>
    <w:rsid w:val="007A00A1"/>
    <w:rsid w:val="007A0CF1"/>
    <w:rsid w:val="007A111F"/>
    <w:rsid w:val="007A1337"/>
    <w:rsid w:val="007A14B3"/>
    <w:rsid w:val="007A1E16"/>
    <w:rsid w:val="007A284D"/>
    <w:rsid w:val="007A2C0D"/>
    <w:rsid w:val="007A31D5"/>
    <w:rsid w:val="007A371B"/>
    <w:rsid w:val="007A37C9"/>
    <w:rsid w:val="007A38D4"/>
    <w:rsid w:val="007A3A12"/>
    <w:rsid w:val="007A3A48"/>
    <w:rsid w:val="007A5083"/>
    <w:rsid w:val="007A5277"/>
    <w:rsid w:val="007A5C94"/>
    <w:rsid w:val="007A5F11"/>
    <w:rsid w:val="007A6364"/>
    <w:rsid w:val="007A6626"/>
    <w:rsid w:val="007A757C"/>
    <w:rsid w:val="007A7F2C"/>
    <w:rsid w:val="007A7F31"/>
    <w:rsid w:val="007B0B9B"/>
    <w:rsid w:val="007B0C6A"/>
    <w:rsid w:val="007B0E21"/>
    <w:rsid w:val="007B1529"/>
    <w:rsid w:val="007B186F"/>
    <w:rsid w:val="007B228B"/>
    <w:rsid w:val="007B25B2"/>
    <w:rsid w:val="007B3257"/>
    <w:rsid w:val="007B3538"/>
    <w:rsid w:val="007B41FB"/>
    <w:rsid w:val="007B518F"/>
    <w:rsid w:val="007B5259"/>
    <w:rsid w:val="007B5A23"/>
    <w:rsid w:val="007B5D39"/>
    <w:rsid w:val="007B5E74"/>
    <w:rsid w:val="007B6A03"/>
    <w:rsid w:val="007B6BA5"/>
    <w:rsid w:val="007B72A5"/>
    <w:rsid w:val="007B73D0"/>
    <w:rsid w:val="007B7D86"/>
    <w:rsid w:val="007C004B"/>
    <w:rsid w:val="007C0AD3"/>
    <w:rsid w:val="007C15E4"/>
    <w:rsid w:val="007C16B4"/>
    <w:rsid w:val="007C1948"/>
    <w:rsid w:val="007C3390"/>
    <w:rsid w:val="007C3806"/>
    <w:rsid w:val="007C42D8"/>
    <w:rsid w:val="007C4F4B"/>
    <w:rsid w:val="007C5AD8"/>
    <w:rsid w:val="007C6059"/>
    <w:rsid w:val="007C652E"/>
    <w:rsid w:val="007C7022"/>
    <w:rsid w:val="007C7070"/>
    <w:rsid w:val="007C7A69"/>
    <w:rsid w:val="007D0659"/>
    <w:rsid w:val="007D06B4"/>
    <w:rsid w:val="007D11CE"/>
    <w:rsid w:val="007D13B0"/>
    <w:rsid w:val="007D13F9"/>
    <w:rsid w:val="007D1459"/>
    <w:rsid w:val="007D2CD1"/>
    <w:rsid w:val="007D36F8"/>
    <w:rsid w:val="007D385D"/>
    <w:rsid w:val="007D4E5A"/>
    <w:rsid w:val="007D542B"/>
    <w:rsid w:val="007D59EE"/>
    <w:rsid w:val="007D66C3"/>
    <w:rsid w:val="007D66EB"/>
    <w:rsid w:val="007D68BC"/>
    <w:rsid w:val="007D6995"/>
    <w:rsid w:val="007D6B2A"/>
    <w:rsid w:val="007D6B7E"/>
    <w:rsid w:val="007D7040"/>
    <w:rsid w:val="007D7362"/>
    <w:rsid w:val="007D7903"/>
    <w:rsid w:val="007D7B8A"/>
    <w:rsid w:val="007D7CB5"/>
    <w:rsid w:val="007E0837"/>
    <w:rsid w:val="007E09C7"/>
    <w:rsid w:val="007E0C26"/>
    <w:rsid w:val="007E127C"/>
    <w:rsid w:val="007E1B4F"/>
    <w:rsid w:val="007E1B59"/>
    <w:rsid w:val="007E460F"/>
    <w:rsid w:val="007E4882"/>
    <w:rsid w:val="007E4E07"/>
    <w:rsid w:val="007E5AD3"/>
    <w:rsid w:val="007E74CD"/>
    <w:rsid w:val="007E7BFE"/>
    <w:rsid w:val="007E7D0F"/>
    <w:rsid w:val="007F09E7"/>
    <w:rsid w:val="007F0A5D"/>
    <w:rsid w:val="007F0ADA"/>
    <w:rsid w:val="007F0BE6"/>
    <w:rsid w:val="007F1741"/>
    <w:rsid w:val="007F17D2"/>
    <w:rsid w:val="007F1A75"/>
    <w:rsid w:val="007F3304"/>
    <w:rsid w:val="007F3733"/>
    <w:rsid w:val="007F3849"/>
    <w:rsid w:val="007F4298"/>
    <w:rsid w:val="007F4968"/>
    <w:rsid w:val="007F537E"/>
    <w:rsid w:val="007F5CE2"/>
    <w:rsid w:val="007F5D02"/>
    <w:rsid w:val="007F6237"/>
    <w:rsid w:val="007F6611"/>
    <w:rsid w:val="007F6C5B"/>
    <w:rsid w:val="00800135"/>
    <w:rsid w:val="008004FE"/>
    <w:rsid w:val="008009EC"/>
    <w:rsid w:val="00800BB7"/>
    <w:rsid w:val="00802DCD"/>
    <w:rsid w:val="00803446"/>
    <w:rsid w:val="0080361F"/>
    <w:rsid w:val="00803856"/>
    <w:rsid w:val="00804B8A"/>
    <w:rsid w:val="00804F68"/>
    <w:rsid w:val="008054D8"/>
    <w:rsid w:val="00806BA8"/>
    <w:rsid w:val="00806EED"/>
    <w:rsid w:val="008075E8"/>
    <w:rsid w:val="00810171"/>
    <w:rsid w:val="00810BAC"/>
    <w:rsid w:val="00811150"/>
    <w:rsid w:val="008113F3"/>
    <w:rsid w:val="0081268F"/>
    <w:rsid w:val="008139B3"/>
    <w:rsid w:val="0081464B"/>
    <w:rsid w:val="00814D5E"/>
    <w:rsid w:val="00814E12"/>
    <w:rsid w:val="00815356"/>
    <w:rsid w:val="008154D4"/>
    <w:rsid w:val="008158C7"/>
    <w:rsid w:val="00815DAE"/>
    <w:rsid w:val="00815E7D"/>
    <w:rsid w:val="00816087"/>
    <w:rsid w:val="008168CB"/>
    <w:rsid w:val="00816F95"/>
    <w:rsid w:val="00817465"/>
    <w:rsid w:val="00817477"/>
    <w:rsid w:val="008175E9"/>
    <w:rsid w:val="00820453"/>
    <w:rsid w:val="00820586"/>
    <w:rsid w:val="00820626"/>
    <w:rsid w:val="00820A5B"/>
    <w:rsid w:val="008227B6"/>
    <w:rsid w:val="0082376F"/>
    <w:rsid w:val="00823A2C"/>
    <w:rsid w:val="00824165"/>
    <w:rsid w:val="008242D7"/>
    <w:rsid w:val="00824B3D"/>
    <w:rsid w:val="0082514B"/>
    <w:rsid w:val="00825265"/>
    <w:rsid w:val="0082577B"/>
    <w:rsid w:val="008279AB"/>
    <w:rsid w:val="008302CB"/>
    <w:rsid w:val="00830A1A"/>
    <w:rsid w:val="00830F51"/>
    <w:rsid w:val="00831620"/>
    <w:rsid w:val="00831F6D"/>
    <w:rsid w:val="0083247C"/>
    <w:rsid w:val="0083386E"/>
    <w:rsid w:val="00834430"/>
    <w:rsid w:val="008344C8"/>
    <w:rsid w:val="00836AF6"/>
    <w:rsid w:val="00837407"/>
    <w:rsid w:val="00837781"/>
    <w:rsid w:val="008408DF"/>
    <w:rsid w:val="00841A60"/>
    <w:rsid w:val="00841ABA"/>
    <w:rsid w:val="008422B3"/>
    <w:rsid w:val="00842764"/>
    <w:rsid w:val="008429BE"/>
    <w:rsid w:val="00844450"/>
    <w:rsid w:val="00844D58"/>
    <w:rsid w:val="008451FE"/>
    <w:rsid w:val="00845445"/>
    <w:rsid w:val="00846D33"/>
    <w:rsid w:val="00847186"/>
    <w:rsid w:val="00847498"/>
    <w:rsid w:val="0085036B"/>
    <w:rsid w:val="00850374"/>
    <w:rsid w:val="008507FB"/>
    <w:rsid w:val="00850F72"/>
    <w:rsid w:val="00851843"/>
    <w:rsid w:val="0085256A"/>
    <w:rsid w:val="00852ED5"/>
    <w:rsid w:val="00853AB8"/>
    <w:rsid w:val="00853E2A"/>
    <w:rsid w:val="00853E8B"/>
    <w:rsid w:val="00853F72"/>
    <w:rsid w:val="00854009"/>
    <w:rsid w:val="008544FF"/>
    <w:rsid w:val="00855484"/>
    <w:rsid w:val="00855F1D"/>
    <w:rsid w:val="0085603B"/>
    <w:rsid w:val="0085639E"/>
    <w:rsid w:val="00856A92"/>
    <w:rsid w:val="0085746B"/>
    <w:rsid w:val="00857792"/>
    <w:rsid w:val="00861092"/>
    <w:rsid w:val="0086131A"/>
    <w:rsid w:val="00861A7A"/>
    <w:rsid w:val="00862A98"/>
    <w:rsid w:val="00862BC3"/>
    <w:rsid w:val="008637AD"/>
    <w:rsid w:val="00863CC8"/>
    <w:rsid w:val="00864B3E"/>
    <w:rsid w:val="00864CDF"/>
    <w:rsid w:val="00865D0B"/>
    <w:rsid w:val="0086603E"/>
    <w:rsid w:val="0086650F"/>
    <w:rsid w:val="00866893"/>
    <w:rsid w:val="00866F02"/>
    <w:rsid w:val="008672C5"/>
    <w:rsid w:val="008674A4"/>
    <w:rsid w:val="00867BE1"/>
    <w:rsid w:val="00867D18"/>
    <w:rsid w:val="00870C04"/>
    <w:rsid w:val="0087183C"/>
    <w:rsid w:val="00871F9A"/>
    <w:rsid w:val="00871FD5"/>
    <w:rsid w:val="00872E9C"/>
    <w:rsid w:val="00873CB6"/>
    <w:rsid w:val="0087418F"/>
    <w:rsid w:val="00874449"/>
    <w:rsid w:val="00875B84"/>
    <w:rsid w:val="00876A55"/>
    <w:rsid w:val="00877167"/>
    <w:rsid w:val="00877682"/>
    <w:rsid w:val="00877D39"/>
    <w:rsid w:val="00877EDE"/>
    <w:rsid w:val="008806E8"/>
    <w:rsid w:val="008807A5"/>
    <w:rsid w:val="00880D60"/>
    <w:rsid w:val="00881096"/>
    <w:rsid w:val="0088172E"/>
    <w:rsid w:val="00881CC8"/>
    <w:rsid w:val="00881D94"/>
    <w:rsid w:val="00881E56"/>
    <w:rsid w:val="00881EAA"/>
    <w:rsid w:val="00881EFA"/>
    <w:rsid w:val="00881F5E"/>
    <w:rsid w:val="00882154"/>
    <w:rsid w:val="00882597"/>
    <w:rsid w:val="008831CB"/>
    <w:rsid w:val="008836A8"/>
    <w:rsid w:val="00885937"/>
    <w:rsid w:val="008859F2"/>
    <w:rsid w:val="00885C77"/>
    <w:rsid w:val="00885F19"/>
    <w:rsid w:val="00887413"/>
    <w:rsid w:val="008879CB"/>
    <w:rsid w:val="008904E9"/>
    <w:rsid w:val="00890F81"/>
    <w:rsid w:val="008920E9"/>
    <w:rsid w:val="00893207"/>
    <w:rsid w:val="00893219"/>
    <w:rsid w:val="00893A05"/>
    <w:rsid w:val="00893AF8"/>
    <w:rsid w:val="008944C4"/>
    <w:rsid w:val="00896B65"/>
    <w:rsid w:val="00897625"/>
    <w:rsid w:val="008979B1"/>
    <w:rsid w:val="008A12AA"/>
    <w:rsid w:val="008A2AB0"/>
    <w:rsid w:val="008A384E"/>
    <w:rsid w:val="008A4814"/>
    <w:rsid w:val="008A5AF7"/>
    <w:rsid w:val="008A67C0"/>
    <w:rsid w:val="008A6984"/>
    <w:rsid w:val="008A6B25"/>
    <w:rsid w:val="008A6B7A"/>
    <w:rsid w:val="008A6C4F"/>
    <w:rsid w:val="008A7059"/>
    <w:rsid w:val="008A7779"/>
    <w:rsid w:val="008B0174"/>
    <w:rsid w:val="008B0F0C"/>
    <w:rsid w:val="008B1AEA"/>
    <w:rsid w:val="008B25D6"/>
    <w:rsid w:val="008B389E"/>
    <w:rsid w:val="008B3F05"/>
    <w:rsid w:val="008B41F1"/>
    <w:rsid w:val="008B4947"/>
    <w:rsid w:val="008B4E57"/>
    <w:rsid w:val="008B5157"/>
    <w:rsid w:val="008B5C79"/>
    <w:rsid w:val="008B64E9"/>
    <w:rsid w:val="008B6944"/>
    <w:rsid w:val="008B7D0E"/>
    <w:rsid w:val="008C00A2"/>
    <w:rsid w:val="008C02F8"/>
    <w:rsid w:val="008C18EC"/>
    <w:rsid w:val="008C19BC"/>
    <w:rsid w:val="008C1ADD"/>
    <w:rsid w:val="008C20D9"/>
    <w:rsid w:val="008C2725"/>
    <w:rsid w:val="008C353E"/>
    <w:rsid w:val="008C38D8"/>
    <w:rsid w:val="008C4E0A"/>
    <w:rsid w:val="008C5499"/>
    <w:rsid w:val="008C5BA0"/>
    <w:rsid w:val="008C5C70"/>
    <w:rsid w:val="008C6C31"/>
    <w:rsid w:val="008C714E"/>
    <w:rsid w:val="008D045E"/>
    <w:rsid w:val="008D0F21"/>
    <w:rsid w:val="008D12BF"/>
    <w:rsid w:val="008D1D09"/>
    <w:rsid w:val="008D35EF"/>
    <w:rsid w:val="008D36DC"/>
    <w:rsid w:val="008D3F25"/>
    <w:rsid w:val="008D4D82"/>
    <w:rsid w:val="008D4E2B"/>
    <w:rsid w:val="008D598A"/>
    <w:rsid w:val="008D7530"/>
    <w:rsid w:val="008D76BD"/>
    <w:rsid w:val="008D7CCE"/>
    <w:rsid w:val="008E0B0A"/>
    <w:rsid w:val="008E0E46"/>
    <w:rsid w:val="008E2519"/>
    <w:rsid w:val="008E2EF0"/>
    <w:rsid w:val="008E34B9"/>
    <w:rsid w:val="008E42CC"/>
    <w:rsid w:val="008E4581"/>
    <w:rsid w:val="008E4F31"/>
    <w:rsid w:val="008E504D"/>
    <w:rsid w:val="008E56A6"/>
    <w:rsid w:val="008E58AB"/>
    <w:rsid w:val="008E5C48"/>
    <w:rsid w:val="008E5E0D"/>
    <w:rsid w:val="008E6834"/>
    <w:rsid w:val="008E7116"/>
    <w:rsid w:val="008E74D7"/>
    <w:rsid w:val="008E78C8"/>
    <w:rsid w:val="008E7C07"/>
    <w:rsid w:val="008E7E29"/>
    <w:rsid w:val="008F0000"/>
    <w:rsid w:val="008F0B41"/>
    <w:rsid w:val="008F0CBC"/>
    <w:rsid w:val="008F0D37"/>
    <w:rsid w:val="008F143B"/>
    <w:rsid w:val="008F14F7"/>
    <w:rsid w:val="008F1A96"/>
    <w:rsid w:val="008F1F09"/>
    <w:rsid w:val="008F2685"/>
    <w:rsid w:val="008F2DEF"/>
    <w:rsid w:val="008F2E9A"/>
    <w:rsid w:val="008F3882"/>
    <w:rsid w:val="008F43ED"/>
    <w:rsid w:val="008F4A90"/>
    <w:rsid w:val="008F4B7C"/>
    <w:rsid w:val="008F6AC3"/>
    <w:rsid w:val="008F6BC2"/>
    <w:rsid w:val="008F6DB8"/>
    <w:rsid w:val="008F6F7E"/>
    <w:rsid w:val="008F74C4"/>
    <w:rsid w:val="008F7D7F"/>
    <w:rsid w:val="00900A0C"/>
    <w:rsid w:val="00900C29"/>
    <w:rsid w:val="009013EC"/>
    <w:rsid w:val="009014B5"/>
    <w:rsid w:val="00901D30"/>
    <w:rsid w:val="00902338"/>
    <w:rsid w:val="00902A20"/>
    <w:rsid w:val="009030FB"/>
    <w:rsid w:val="00904680"/>
    <w:rsid w:val="00907AD9"/>
    <w:rsid w:val="00910695"/>
    <w:rsid w:val="00910981"/>
    <w:rsid w:val="00910CCE"/>
    <w:rsid w:val="00910FFA"/>
    <w:rsid w:val="009110A6"/>
    <w:rsid w:val="009117C4"/>
    <w:rsid w:val="009119DD"/>
    <w:rsid w:val="0091279A"/>
    <w:rsid w:val="00912E09"/>
    <w:rsid w:val="009130BD"/>
    <w:rsid w:val="00913376"/>
    <w:rsid w:val="00913982"/>
    <w:rsid w:val="00913C16"/>
    <w:rsid w:val="009142EF"/>
    <w:rsid w:val="00914E7A"/>
    <w:rsid w:val="0091505F"/>
    <w:rsid w:val="0091538C"/>
    <w:rsid w:val="009154AF"/>
    <w:rsid w:val="00915B42"/>
    <w:rsid w:val="009173DA"/>
    <w:rsid w:val="00920679"/>
    <w:rsid w:val="0092107A"/>
    <w:rsid w:val="00921BE5"/>
    <w:rsid w:val="00922A35"/>
    <w:rsid w:val="00922C23"/>
    <w:rsid w:val="009231EE"/>
    <w:rsid w:val="00925A4C"/>
    <w:rsid w:val="00926169"/>
    <w:rsid w:val="0092679F"/>
    <w:rsid w:val="009268C7"/>
    <w:rsid w:val="00926E47"/>
    <w:rsid w:val="00930211"/>
    <w:rsid w:val="00930AE5"/>
    <w:rsid w:val="00930B8D"/>
    <w:rsid w:val="00931813"/>
    <w:rsid w:val="00933400"/>
    <w:rsid w:val="00934683"/>
    <w:rsid w:val="00934C66"/>
    <w:rsid w:val="0093525F"/>
    <w:rsid w:val="00936EA9"/>
    <w:rsid w:val="009373F7"/>
    <w:rsid w:val="00937A89"/>
    <w:rsid w:val="00937B95"/>
    <w:rsid w:val="00937DF1"/>
    <w:rsid w:val="0094132C"/>
    <w:rsid w:val="0094197C"/>
    <w:rsid w:val="00942FE6"/>
    <w:rsid w:val="00944A8A"/>
    <w:rsid w:val="00944E98"/>
    <w:rsid w:val="00944F1C"/>
    <w:rsid w:val="00945187"/>
    <w:rsid w:val="00945824"/>
    <w:rsid w:val="00945A74"/>
    <w:rsid w:val="00947162"/>
    <w:rsid w:val="00947ACE"/>
    <w:rsid w:val="00950346"/>
    <w:rsid w:val="00950367"/>
    <w:rsid w:val="00952E32"/>
    <w:rsid w:val="009542A2"/>
    <w:rsid w:val="00954E99"/>
    <w:rsid w:val="009553E7"/>
    <w:rsid w:val="009557E7"/>
    <w:rsid w:val="00955D5F"/>
    <w:rsid w:val="00955E45"/>
    <w:rsid w:val="00956F82"/>
    <w:rsid w:val="00957F0C"/>
    <w:rsid w:val="009610D0"/>
    <w:rsid w:val="009616A0"/>
    <w:rsid w:val="0096375C"/>
    <w:rsid w:val="00964018"/>
    <w:rsid w:val="00965147"/>
    <w:rsid w:val="00965339"/>
    <w:rsid w:val="00965E8F"/>
    <w:rsid w:val="009662E6"/>
    <w:rsid w:val="0097095E"/>
    <w:rsid w:val="00970F16"/>
    <w:rsid w:val="00971357"/>
    <w:rsid w:val="009714DB"/>
    <w:rsid w:val="0097253F"/>
    <w:rsid w:val="009728E2"/>
    <w:rsid w:val="00972CB6"/>
    <w:rsid w:val="00973F91"/>
    <w:rsid w:val="00974DF2"/>
    <w:rsid w:val="0097568A"/>
    <w:rsid w:val="0097572D"/>
    <w:rsid w:val="00975F24"/>
    <w:rsid w:val="009764B8"/>
    <w:rsid w:val="00976D18"/>
    <w:rsid w:val="009772C4"/>
    <w:rsid w:val="00980282"/>
    <w:rsid w:val="00980870"/>
    <w:rsid w:val="009819C8"/>
    <w:rsid w:val="0098234E"/>
    <w:rsid w:val="00982676"/>
    <w:rsid w:val="00983A00"/>
    <w:rsid w:val="0098404F"/>
    <w:rsid w:val="0098480F"/>
    <w:rsid w:val="009850B3"/>
    <w:rsid w:val="0098592B"/>
    <w:rsid w:val="00985B68"/>
    <w:rsid w:val="00985C07"/>
    <w:rsid w:val="00985FC4"/>
    <w:rsid w:val="00986126"/>
    <w:rsid w:val="00986298"/>
    <w:rsid w:val="00987370"/>
    <w:rsid w:val="00987742"/>
    <w:rsid w:val="009879EE"/>
    <w:rsid w:val="00987BB1"/>
    <w:rsid w:val="00990766"/>
    <w:rsid w:val="00990CF5"/>
    <w:rsid w:val="00991198"/>
    <w:rsid w:val="00991261"/>
    <w:rsid w:val="00992282"/>
    <w:rsid w:val="009935D3"/>
    <w:rsid w:val="009937FE"/>
    <w:rsid w:val="00993DA1"/>
    <w:rsid w:val="00994DCB"/>
    <w:rsid w:val="0099508E"/>
    <w:rsid w:val="00995E58"/>
    <w:rsid w:val="009964C4"/>
    <w:rsid w:val="00996DFF"/>
    <w:rsid w:val="00997D4F"/>
    <w:rsid w:val="009A06A7"/>
    <w:rsid w:val="009A14C2"/>
    <w:rsid w:val="009A3515"/>
    <w:rsid w:val="009A4790"/>
    <w:rsid w:val="009A5026"/>
    <w:rsid w:val="009A53BA"/>
    <w:rsid w:val="009A5F9B"/>
    <w:rsid w:val="009A6A87"/>
    <w:rsid w:val="009A7B81"/>
    <w:rsid w:val="009B08B5"/>
    <w:rsid w:val="009B10BD"/>
    <w:rsid w:val="009B13BE"/>
    <w:rsid w:val="009B201C"/>
    <w:rsid w:val="009B23FF"/>
    <w:rsid w:val="009B2A75"/>
    <w:rsid w:val="009B333D"/>
    <w:rsid w:val="009B34AC"/>
    <w:rsid w:val="009B4986"/>
    <w:rsid w:val="009B5ECD"/>
    <w:rsid w:val="009B6A8C"/>
    <w:rsid w:val="009B74DB"/>
    <w:rsid w:val="009B7859"/>
    <w:rsid w:val="009B78F3"/>
    <w:rsid w:val="009C0203"/>
    <w:rsid w:val="009C043A"/>
    <w:rsid w:val="009C0AB5"/>
    <w:rsid w:val="009C10D5"/>
    <w:rsid w:val="009C1FDC"/>
    <w:rsid w:val="009C228E"/>
    <w:rsid w:val="009C2307"/>
    <w:rsid w:val="009C237B"/>
    <w:rsid w:val="009C25D5"/>
    <w:rsid w:val="009C26FC"/>
    <w:rsid w:val="009C28BB"/>
    <w:rsid w:val="009C2E5B"/>
    <w:rsid w:val="009C3718"/>
    <w:rsid w:val="009C393E"/>
    <w:rsid w:val="009C42BA"/>
    <w:rsid w:val="009C4BE1"/>
    <w:rsid w:val="009C5578"/>
    <w:rsid w:val="009C584E"/>
    <w:rsid w:val="009C5CB2"/>
    <w:rsid w:val="009C5CCD"/>
    <w:rsid w:val="009C5F29"/>
    <w:rsid w:val="009C7C0A"/>
    <w:rsid w:val="009C7EE4"/>
    <w:rsid w:val="009D01C0"/>
    <w:rsid w:val="009D1A13"/>
    <w:rsid w:val="009D266E"/>
    <w:rsid w:val="009D43BC"/>
    <w:rsid w:val="009D47BC"/>
    <w:rsid w:val="009D4CF5"/>
    <w:rsid w:val="009D5933"/>
    <w:rsid w:val="009D6902"/>
    <w:rsid w:val="009D6A08"/>
    <w:rsid w:val="009D77CF"/>
    <w:rsid w:val="009D7891"/>
    <w:rsid w:val="009E02B0"/>
    <w:rsid w:val="009E0A16"/>
    <w:rsid w:val="009E0AE4"/>
    <w:rsid w:val="009E0EAD"/>
    <w:rsid w:val="009E2372"/>
    <w:rsid w:val="009E29FD"/>
    <w:rsid w:val="009E2A46"/>
    <w:rsid w:val="009E2A75"/>
    <w:rsid w:val="009E302C"/>
    <w:rsid w:val="009E4016"/>
    <w:rsid w:val="009E4B7F"/>
    <w:rsid w:val="009E5900"/>
    <w:rsid w:val="009E6268"/>
    <w:rsid w:val="009E6CB7"/>
    <w:rsid w:val="009E7709"/>
    <w:rsid w:val="009E7970"/>
    <w:rsid w:val="009E7C1D"/>
    <w:rsid w:val="009F2EAC"/>
    <w:rsid w:val="009F328D"/>
    <w:rsid w:val="009F46DB"/>
    <w:rsid w:val="009F4F1E"/>
    <w:rsid w:val="009F4F59"/>
    <w:rsid w:val="009F537F"/>
    <w:rsid w:val="009F5397"/>
    <w:rsid w:val="009F53B9"/>
    <w:rsid w:val="009F57E3"/>
    <w:rsid w:val="009F7199"/>
    <w:rsid w:val="009F7F92"/>
    <w:rsid w:val="00A0029B"/>
    <w:rsid w:val="00A00D5A"/>
    <w:rsid w:val="00A01CD1"/>
    <w:rsid w:val="00A02329"/>
    <w:rsid w:val="00A0282D"/>
    <w:rsid w:val="00A031F3"/>
    <w:rsid w:val="00A04DB3"/>
    <w:rsid w:val="00A062C5"/>
    <w:rsid w:val="00A06A31"/>
    <w:rsid w:val="00A070DF"/>
    <w:rsid w:val="00A07172"/>
    <w:rsid w:val="00A07BF6"/>
    <w:rsid w:val="00A07D47"/>
    <w:rsid w:val="00A10049"/>
    <w:rsid w:val="00A10F4F"/>
    <w:rsid w:val="00A11067"/>
    <w:rsid w:val="00A112F8"/>
    <w:rsid w:val="00A116E0"/>
    <w:rsid w:val="00A1182E"/>
    <w:rsid w:val="00A120C9"/>
    <w:rsid w:val="00A1244D"/>
    <w:rsid w:val="00A13919"/>
    <w:rsid w:val="00A1431F"/>
    <w:rsid w:val="00A144B5"/>
    <w:rsid w:val="00A1574B"/>
    <w:rsid w:val="00A1591F"/>
    <w:rsid w:val="00A15C13"/>
    <w:rsid w:val="00A169CE"/>
    <w:rsid w:val="00A1704A"/>
    <w:rsid w:val="00A1724D"/>
    <w:rsid w:val="00A17D9F"/>
    <w:rsid w:val="00A20684"/>
    <w:rsid w:val="00A20EC1"/>
    <w:rsid w:val="00A20FF3"/>
    <w:rsid w:val="00A2157A"/>
    <w:rsid w:val="00A22B52"/>
    <w:rsid w:val="00A232E3"/>
    <w:rsid w:val="00A234B4"/>
    <w:rsid w:val="00A243B5"/>
    <w:rsid w:val="00A245C2"/>
    <w:rsid w:val="00A24608"/>
    <w:rsid w:val="00A250D0"/>
    <w:rsid w:val="00A25147"/>
    <w:rsid w:val="00A259B6"/>
    <w:rsid w:val="00A25DA2"/>
    <w:rsid w:val="00A26443"/>
    <w:rsid w:val="00A26980"/>
    <w:rsid w:val="00A26B2C"/>
    <w:rsid w:val="00A278DD"/>
    <w:rsid w:val="00A279BF"/>
    <w:rsid w:val="00A27C21"/>
    <w:rsid w:val="00A27F84"/>
    <w:rsid w:val="00A3025E"/>
    <w:rsid w:val="00A30293"/>
    <w:rsid w:val="00A303C9"/>
    <w:rsid w:val="00A309CC"/>
    <w:rsid w:val="00A3131C"/>
    <w:rsid w:val="00A31B83"/>
    <w:rsid w:val="00A31CB1"/>
    <w:rsid w:val="00A345CA"/>
    <w:rsid w:val="00A35205"/>
    <w:rsid w:val="00A35887"/>
    <w:rsid w:val="00A35C0F"/>
    <w:rsid w:val="00A3696A"/>
    <w:rsid w:val="00A3703A"/>
    <w:rsid w:val="00A419A3"/>
    <w:rsid w:val="00A42116"/>
    <w:rsid w:val="00A425EB"/>
    <w:rsid w:val="00A426DD"/>
    <w:rsid w:val="00A42733"/>
    <w:rsid w:val="00A436C6"/>
    <w:rsid w:val="00A44100"/>
    <w:rsid w:val="00A47374"/>
    <w:rsid w:val="00A5044F"/>
    <w:rsid w:val="00A506DA"/>
    <w:rsid w:val="00A514CA"/>
    <w:rsid w:val="00A535CE"/>
    <w:rsid w:val="00A552BD"/>
    <w:rsid w:val="00A55FE1"/>
    <w:rsid w:val="00A560BE"/>
    <w:rsid w:val="00A56D15"/>
    <w:rsid w:val="00A56DA2"/>
    <w:rsid w:val="00A6002B"/>
    <w:rsid w:val="00A6047A"/>
    <w:rsid w:val="00A606BC"/>
    <w:rsid w:val="00A60736"/>
    <w:rsid w:val="00A614A5"/>
    <w:rsid w:val="00A61B39"/>
    <w:rsid w:val="00A61ECE"/>
    <w:rsid w:val="00A63B73"/>
    <w:rsid w:val="00A65503"/>
    <w:rsid w:val="00A65661"/>
    <w:rsid w:val="00A660D0"/>
    <w:rsid w:val="00A66C50"/>
    <w:rsid w:val="00A70E6B"/>
    <w:rsid w:val="00A71512"/>
    <w:rsid w:val="00A71909"/>
    <w:rsid w:val="00A729FC"/>
    <w:rsid w:val="00A72EA3"/>
    <w:rsid w:val="00A72F22"/>
    <w:rsid w:val="00A73270"/>
    <w:rsid w:val="00A733BC"/>
    <w:rsid w:val="00A734E7"/>
    <w:rsid w:val="00A735BD"/>
    <w:rsid w:val="00A73841"/>
    <w:rsid w:val="00A73E56"/>
    <w:rsid w:val="00A748A6"/>
    <w:rsid w:val="00A75319"/>
    <w:rsid w:val="00A763DE"/>
    <w:rsid w:val="00A7640E"/>
    <w:rsid w:val="00A76A69"/>
    <w:rsid w:val="00A77238"/>
    <w:rsid w:val="00A77914"/>
    <w:rsid w:val="00A80825"/>
    <w:rsid w:val="00A809C4"/>
    <w:rsid w:val="00A8132B"/>
    <w:rsid w:val="00A8276E"/>
    <w:rsid w:val="00A830D2"/>
    <w:rsid w:val="00A8433D"/>
    <w:rsid w:val="00A8447E"/>
    <w:rsid w:val="00A8472D"/>
    <w:rsid w:val="00A84EA8"/>
    <w:rsid w:val="00A8521A"/>
    <w:rsid w:val="00A857CD"/>
    <w:rsid w:val="00A86686"/>
    <w:rsid w:val="00A86713"/>
    <w:rsid w:val="00A873DF"/>
    <w:rsid w:val="00A875C9"/>
    <w:rsid w:val="00A879A4"/>
    <w:rsid w:val="00A913C1"/>
    <w:rsid w:val="00A9197D"/>
    <w:rsid w:val="00A92DCE"/>
    <w:rsid w:val="00A930AA"/>
    <w:rsid w:val="00A93A88"/>
    <w:rsid w:val="00A93DC8"/>
    <w:rsid w:val="00A94276"/>
    <w:rsid w:val="00A95600"/>
    <w:rsid w:val="00A95699"/>
    <w:rsid w:val="00A96EE4"/>
    <w:rsid w:val="00AA0794"/>
    <w:rsid w:val="00AA0FF8"/>
    <w:rsid w:val="00AA1B50"/>
    <w:rsid w:val="00AA1E86"/>
    <w:rsid w:val="00AA1F26"/>
    <w:rsid w:val="00AA4727"/>
    <w:rsid w:val="00AA4914"/>
    <w:rsid w:val="00AA4941"/>
    <w:rsid w:val="00AA5047"/>
    <w:rsid w:val="00AA50AD"/>
    <w:rsid w:val="00AA56BF"/>
    <w:rsid w:val="00AA6895"/>
    <w:rsid w:val="00AA7277"/>
    <w:rsid w:val="00AB18D0"/>
    <w:rsid w:val="00AB1B2E"/>
    <w:rsid w:val="00AB2973"/>
    <w:rsid w:val="00AB3660"/>
    <w:rsid w:val="00AB4814"/>
    <w:rsid w:val="00AB4849"/>
    <w:rsid w:val="00AB5270"/>
    <w:rsid w:val="00AB5A2F"/>
    <w:rsid w:val="00AB5DCD"/>
    <w:rsid w:val="00AB68DF"/>
    <w:rsid w:val="00AB7811"/>
    <w:rsid w:val="00AB7DFC"/>
    <w:rsid w:val="00AB7F84"/>
    <w:rsid w:val="00AC04B7"/>
    <w:rsid w:val="00AC0F2C"/>
    <w:rsid w:val="00AC1C0E"/>
    <w:rsid w:val="00AC2ACE"/>
    <w:rsid w:val="00AC4105"/>
    <w:rsid w:val="00AC4122"/>
    <w:rsid w:val="00AC4E3B"/>
    <w:rsid w:val="00AC4E41"/>
    <w:rsid w:val="00AC502A"/>
    <w:rsid w:val="00AC6037"/>
    <w:rsid w:val="00AC68E4"/>
    <w:rsid w:val="00AC692D"/>
    <w:rsid w:val="00AC7521"/>
    <w:rsid w:val="00AC76B9"/>
    <w:rsid w:val="00AD0B69"/>
    <w:rsid w:val="00AD1000"/>
    <w:rsid w:val="00AD1277"/>
    <w:rsid w:val="00AD19D2"/>
    <w:rsid w:val="00AD19D8"/>
    <w:rsid w:val="00AD295A"/>
    <w:rsid w:val="00AD2DC5"/>
    <w:rsid w:val="00AD5909"/>
    <w:rsid w:val="00AD6078"/>
    <w:rsid w:val="00AD6CA1"/>
    <w:rsid w:val="00AD6F03"/>
    <w:rsid w:val="00AD6F5D"/>
    <w:rsid w:val="00AE124B"/>
    <w:rsid w:val="00AE1373"/>
    <w:rsid w:val="00AE2806"/>
    <w:rsid w:val="00AE2F8E"/>
    <w:rsid w:val="00AE3E11"/>
    <w:rsid w:val="00AE4311"/>
    <w:rsid w:val="00AE4566"/>
    <w:rsid w:val="00AE457D"/>
    <w:rsid w:val="00AE484E"/>
    <w:rsid w:val="00AE4C79"/>
    <w:rsid w:val="00AE557B"/>
    <w:rsid w:val="00AE5816"/>
    <w:rsid w:val="00AE5850"/>
    <w:rsid w:val="00AE661D"/>
    <w:rsid w:val="00AE7237"/>
    <w:rsid w:val="00AE7265"/>
    <w:rsid w:val="00AE7D74"/>
    <w:rsid w:val="00AF0456"/>
    <w:rsid w:val="00AF0D3E"/>
    <w:rsid w:val="00AF1973"/>
    <w:rsid w:val="00AF1A1D"/>
    <w:rsid w:val="00AF1C47"/>
    <w:rsid w:val="00AF1E96"/>
    <w:rsid w:val="00AF1FCD"/>
    <w:rsid w:val="00AF353A"/>
    <w:rsid w:val="00AF58C1"/>
    <w:rsid w:val="00AF5BA2"/>
    <w:rsid w:val="00AF64F2"/>
    <w:rsid w:val="00AF6907"/>
    <w:rsid w:val="00AF69F2"/>
    <w:rsid w:val="00AF7409"/>
    <w:rsid w:val="00B01B03"/>
    <w:rsid w:val="00B01D77"/>
    <w:rsid w:val="00B01EC1"/>
    <w:rsid w:val="00B02197"/>
    <w:rsid w:val="00B032CE"/>
    <w:rsid w:val="00B036D4"/>
    <w:rsid w:val="00B04911"/>
    <w:rsid w:val="00B04A3F"/>
    <w:rsid w:val="00B05169"/>
    <w:rsid w:val="00B06376"/>
    <w:rsid w:val="00B06643"/>
    <w:rsid w:val="00B10D96"/>
    <w:rsid w:val="00B111FF"/>
    <w:rsid w:val="00B119D5"/>
    <w:rsid w:val="00B11BD9"/>
    <w:rsid w:val="00B12491"/>
    <w:rsid w:val="00B126A6"/>
    <w:rsid w:val="00B131C2"/>
    <w:rsid w:val="00B136CD"/>
    <w:rsid w:val="00B13992"/>
    <w:rsid w:val="00B141B7"/>
    <w:rsid w:val="00B15055"/>
    <w:rsid w:val="00B157A7"/>
    <w:rsid w:val="00B1599C"/>
    <w:rsid w:val="00B15B6E"/>
    <w:rsid w:val="00B15D72"/>
    <w:rsid w:val="00B15D90"/>
    <w:rsid w:val="00B16472"/>
    <w:rsid w:val="00B1659D"/>
    <w:rsid w:val="00B166F2"/>
    <w:rsid w:val="00B16BE4"/>
    <w:rsid w:val="00B16C3D"/>
    <w:rsid w:val="00B17C24"/>
    <w:rsid w:val="00B17E36"/>
    <w:rsid w:val="00B20C09"/>
    <w:rsid w:val="00B20FD4"/>
    <w:rsid w:val="00B21682"/>
    <w:rsid w:val="00B230B1"/>
    <w:rsid w:val="00B25428"/>
    <w:rsid w:val="00B25AE5"/>
    <w:rsid w:val="00B27124"/>
    <w:rsid w:val="00B2744E"/>
    <w:rsid w:val="00B27FF5"/>
    <w:rsid w:val="00B30179"/>
    <w:rsid w:val="00B3058B"/>
    <w:rsid w:val="00B318F9"/>
    <w:rsid w:val="00B31C93"/>
    <w:rsid w:val="00B32365"/>
    <w:rsid w:val="00B337CF"/>
    <w:rsid w:val="00B3409D"/>
    <w:rsid w:val="00B34789"/>
    <w:rsid w:val="00B34AFF"/>
    <w:rsid w:val="00B3636E"/>
    <w:rsid w:val="00B36B9F"/>
    <w:rsid w:val="00B37B15"/>
    <w:rsid w:val="00B40347"/>
    <w:rsid w:val="00B40AC8"/>
    <w:rsid w:val="00B41E30"/>
    <w:rsid w:val="00B421FE"/>
    <w:rsid w:val="00B4439F"/>
    <w:rsid w:val="00B45592"/>
    <w:rsid w:val="00B45C02"/>
    <w:rsid w:val="00B45C59"/>
    <w:rsid w:val="00B4698F"/>
    <w:rsid w:val="00B46F69"/>
    <w:rsid w:val="00B4731D"/>
    <w:rsid w:val="00B500D9"/>
    <w:rsid w:val="00B50B05"/>
    <w:rsid w:val="00B50E09"/>
    <w:rsid w:val="00B50F57"/>
    <w:rsid w:val="00B510A0"/>
    <w:rsid w:val="00B524B5"/>
    <w:rsid w:val="00B529BA"/>
    <w:rsid w:val="00B52F5F"/>
    <w:rsid w:val="00B53257"/>
    <w:rsid w:val="00B5390C"/>
    <w:rsid w:val="00B53990"/>
    <w:rsid w:val="00B54C1B"/>
    <w:rsid w:val="00B55C22"/>
    <w:rsid w:val="00B56D36"/>
    <w:rsid w:val="00B57170"/>
    <w:rsid w:val="00B60E62"/>
    <w:rsid w:val="00B62899"/>
    <w:rsid w:val="00B63839"/>
    <w:rsid w:val="00B63F7E"/>
    <w:rsid w:val="00B649B0"/>
    <w:rsid w:val="00B64CC6"/>
    <w:rsid w:val="00B66A3F"/>
    <w:rsid w:val="00B66BCC"/>
    <w:rsid w:val="00B66F5B"/>
    <w:rsid w:val="00B7110F"/>
    <w:rsid w:val="00B72168"/>
    <w:rsid w:val="00B722E6"/>
    <w:rsid w:val="00B725E0"/>
    <w:rsid w:val="00B726F0"/>
    <w:rsid w:val="00B72A1E"/>
    <w:rsid w:val="00B72AF0"/>
    <w:rsid w:val="00B73ED1"/>
    <w:rsid w:val="00B75733"/>
    <w:rsid w:val="00B75C56"/>
    <w:rsid w:val="00B760B2"/>
    <w:rsid w:val="00B769FA"/>
    <w:rsid w:val="00B76E58"/>
    <w:rsid w:val="00B770E1"/>
    <w:rsid w:val="00B77BB5"/>
    <w:rsid w:val="00B8043B"/>
    <w:rsid w:val="00B8080B"/>
    <w:rsid w:val="00B80A81"/>
    <w:rsid w:val="00B80E30"/>
    <w:rsid w:val="00B8103B"/>
    <w:rsid w:val="00B81537"/>
    <w:rsid w:val="00B81915"/>
    <w:rsid w:val="00B81A88"/>
    <w:rsid w:val="00B81DD8"/>
    <w:rsid w:val="00B81E12"/>
    <w:rsid w:val="00B8207C"/>
    <w:rsid w:val="00B837D1"/>
    <w:rsid w:val="00B8396F"/>
    <w:rsid w:val="00B83A3C"/>
    <w:rsid w:val="00B84118"/>
    <w:rsid w:val="00B84750"/>
    <w:rsid w:val="00B850B1"/>
    <w:rsid w:val="00B85CAD"/>
    <w:rsid w:val="00B85EF7"/>
    <w:rsid w:val="00B863BD"/>
    <w:rsid w:val="00B86449"/>
    <w:rsid w:val="00B87E88"/>
    <w:rsid w:val="00B90509"/>
    <w:rsid w:val="00B923C5"/>
    <w:rsid w:val="00B92718"/>
    <w:rsid w:val="00B93CF5"/>
    <w:rsid w:val="00B9404E"/>
    <w:rsid w:val="00B940C1"/>
    <w:rsid w:val="00B95656"/>
    <w:rsid w:val="00B9565F"/>
    <w:rsid w:val="00B95AD2"/>
    <w:rsid w:val="00B961E3"/>
    <w:rsid w:val="00B9638D"/>
    <w:rsid w:val="00B96707"/>
    <w:rsid w:val="00B96BA8"/>
    <w:rsid w:val="00B975B1"/>
    <w:rsid w:val="00B97AC4"/>
    <w:rsid w:val="00B97B2E"/>
    <w:rsid w:val="00B97C62"/>
    <w:rsid w:val="00BA0006"/>
    <w:rsid w:val="00BA16F2"/>
    <w:rsid w:val="00BA240C"/>
    <w:rsid w:val="00BA296B"/>
    <w:rsid w:val="00BA2AFD"/>
    <w:rsid w:val="00BA339B"/>
    <w:rsid w:val="00BA351A"/>
    <w:rsid w:val="00BA35D9"/>
    <w:rsid w:val="00BA42B0"/>
    <w:rsid w:val="00BA44EB"/>
    <w:rsid w:val="00BA49B1"/>
    <w:rsid w:val="00BA5F89"/>
    <w:rsid w:val="00BA6443"/>
    <w:rsid w:val="00BA6C73"/>
    <w:rsid w:val="00BA6F69"/>
    <w:rsid w:val="00BA701A"/>
    <w:rsid w:val="00BB0410"/>
    <w:rsid w:val="00BB0878"/>
    <w:rsid w:val="00BB0B18"/>
    <w:rsid w:val="00BB1EBD"/>
    <w:rsid w:val="00BB2F69"/>
    <w:rsid w:val="00BB3EC7"/>
    <w:rsid w:val="00BB4BAA"/>
    <w:rsid w:val="00BB5777"/>
    <w:rsid w:val="00BB57B1"/>
    <w:rsid w:val="00BB58ED"/>
    <w:rsid w:val="00BB5EA3"/>
    <w:rsid w:val="00BB646F"/>
    <w:rsid w:val="00BB64A8"/>
    <w:rsid w:val="00BC1982"/>
    <w:rsid w:val="00BC1AEF"/>
    <w:rsid w:val="00BC1E7E"/>
    <w:rsid w:val="00BC28D0"/>
    <w:rsid w:val="00BC29EA"/>
    <w:rsid w:val="00BC3BBA"/>
    <w:rsid w:val="00BC452C"/>
    <w:rsid w:val="00BC56BE"/>
    <w:rsid w:val="00BC5823"/>
    <w:rsid w:val="00BC658D"/>
    <w:rsid w:val="00BC7327"/>
    <w:rsid w:val="00BC74E9"/>
    <w:rsid w:val="00BC7D8B"/>
    <w:rsid w:val="00BD0BC2"/>
    <w:rsid w:val="00BD0DD2"/>
    <w:rsid w:val="00BD13BF"/>
    <w:rsid w:val="00BD1777"/>
    <w:rsid w:val="00BD2C50"/>
    <w:rsid w:val="00BD2E59"/>
    <w:rsid w:val="00BD4614"/>
    <w:rsid w:val="00BD51D4"/>
    <w:rsid w:val="00BD5C1C"/>
    <w:rsid w:val="00BD5DA7"/>
    <w:rsid w:val="00BD5DEC"/>
    <w:rsid w:val="00BD6660"/>
    <w:rsid w:val="00BD728C"/>
    <w:rsid w:val="00BD74F4"/>
    <w:rsid w:val="00BD786F"/>
    <w:rsid w:val="00BE19DF"/>
    <w:rsid w:val="00BE363E"/>
    <w:rsid w:val="00BE36A9"/>
    <w:rsid w:val="00BE509C"/>
    <w:rsid w:val="00BE5606"/>
    <w:rsid w:val="00BE618E"/>
    <w:rsid w:val="00BE668D"/>
    <w:rsid w:val="00BE6881"/>
    <w:rsid w:val="00BE7BEC"/>
    <w:rsid w:val="00BF00CF"/>
    <w:rsid w:val="00BF08CC"/>
    <w:rsid w:val="00BF0A5A"/>
    <w:rsid w:val="00BF0E63"/>
    <w:rsid w:val="00BF11E3"/>
    <w:rsid w:val="00BF12A3"/>
    <w:rsid w:val="00BF16D7"/>
    <w:rsid w:val="00BF221A"/>
    <w:rsid w:val="00BF2236"/>
    <w:rsid w:val="00BF2373"/>
    <w:rsid w:val="00BF2515"/>
    <w:rsid w:val="00BF2628"/>
    <w:rsid w:val="00BF2F83"/>
    <w:rsid w:val="00BF3064"/>
    <w:rsid w:val="00BF3141"/>
    <w:rsid w:val="00BF3791"/>
    <w:rsid w:val="00BF4157"/>
    <w:rsid w:val="00BF5343"/>
    <w:rsid w:val="00BF5761"/>
    <w:rsid w:val="00BF5C3B"/>
    <w:rsid w:val="00BF6220"/>
    <w:rsid w:val="00BF7F0E"/>
    <w:rsid w:val="00C00EAF"/>
    <w:rsid w:val="00C0385B"/>
    <w:rsid w:val="00C0445B"/>
    <w:rsid w:val="00C044E2"/>
    <w:rsid w:val="00C048CB"/>
    <w:rsid w:val="00C04FF9"/>
    <w:rsid w:val="00C051A9"/>
    <w:rsid w:val="00C055C2"/>
    <w:rsid w:val="00C0619B"/>
    <w:rsid w:val="00C06438"/>
    <w:rsid w:val="00C066F3"/>
    <w:rsid w:val="00C06B32"/>
    <w:rsid w:val="00C070BC"/>
    <w:rsid w:val="00C07248"/>
    <w:rsid w:val="00C0762E"/>
    <w:rsid w:val="00C118BB"/>
    <w:rsid w:val="00C11E80"/>
    <w:rsid w:val="00C124AC"/>
    <w:rsid w:val="00C1399E"/>
    <w:rsid w:val="00C13E59"/>
    <w:rsid w:val="00C15225"/>
    <w:rsid w:val="00C16D7D"/>
    <w:rsid w:val="00C17732"/>
    <w:rsid w:val="00C17C1E"/>
    <w:rsid w:val="00C202CB"/>
    <w:rsid w:val="00C22B6E"/>
    <w:rsid w:val="00C2340D"/>
    <w:rsid w:val="00C2351A"/>
    <w:rsid w:val="00C24650"/>
    <w:rsid w:val="00C24CE2"/>
    <w:rsid w:val="00C24DA6"/>
    <w:rsid w:val="00C26424"/>
    <w:rsid w:val="00C26781"/>
    <w:rsid w:val="00C27635"/>
    <w:rsid w:val="00C30387"/>
    <w:rsid w:val="00C30AE0"/>
    <w:rsid w:val="00C326D1"/>
    <w:rsid w:val="00C336C2"/>
    <w:rsid w:val="00C34438"/>
    <w:rsid w:val="00C34E1A"/>
    <w:rsid w:val="00C35B66"/>
    <w:rsid w:val="00C364C0"/>
    <w:rsid w:val="00C407E7"/>
    <w:rsid w:val="00C40C0D"/>
    <w:rsid w:val="00C4105A"/>
    <w:rsid w:val="00C41100"/>
    <w:rsid w:val="00C42321"/>
    <w:rsid w:val="00C42A74"/>
    <w:rsid w:val="00C42BBF"/>
    <w:rsid w:val="00C42DD1"/>
    <w:rsid w:val="00C436DD"/>
    <w:rsid w:val="00C43DF9"/>
    <w:rsid w:val="00C440A5"/>
    <w:rsid w:val="00C4422D"/>
    <w:rsid w:val="00C44341"/>
    <w:rsid w:val="00C44E59"/>
    <w:rsid w:val="00C46006"/>
    <w:rsid w:val="00C460B3"/>
    <w:rsid w:val="00C462E1"/>
    <w:rsid w:val="00C46399"/>
    <w:rsid w:val="00C463DD"/>
    <w:rsid w:val="00C4710A"/>
    <w:rsid w:val="00C47623"/>
    <w:rsid w:val="00C47AE0"/>
    <w:rsid w:val="00C51623"/>
    <w:rsid w:val="00C522AE"/>
    <w:rsid w:val="00C53266"/>
    <w:rsid w:val="00C536D7"/>
    <w:rsid w:val="00C53D83"/>
    <w:rsid w:val="00C541D0"/>
    <w:rsid w:val="00C54B00"/>
    <w:rsid w:val="00C552B5"/>
    <w:rsid w:val="00C556CB"/>
    <w:rsid w:val="00C557B1"/>
    <w:rsid w:val="00C57184"/>
    <w:rsid w:val="00C5741B"/>
    <w:rsid w:val="00C576B9"/>
    <w:rsid w:val="00C577C6"/>
    <w:rsid w:val="00C578DE"/>
    <w:rsid w:val="00C57AA6"/>
    <w:rsid w:val="00C625F6"/>
    <w:rsid w:val="00C6280D"/>
    <w:rsid w:val="00C6376E"/>
    <w:rsid w:val="00C63EB4"/>
    <w:rsid w:val="00C63FEA"/>
    <w:rsid w:val="00C650D5"/>
    <w:rsid w:val="00C65421"/>
    <w:rsid w:val="00C65A0B"/>
    <w:rsid w:val="00C66820"/>
    <w:rsid w:val="00C6701E"/>
    <w:rsid w:val="00C6728E"/>
    <w:rsid w:val="00C6731A"/>
    <w:rsid w:val="00C67728"/>
    <w:rsid w:val="00C7035A"/>
    <w:rsid w:val="00C70AF1"/>
    <w:rsid w:val="00C7115A"/>
    <w:rsid w:val="00C71C8B"/>
    <w:rsid w:val="00C72EBC"/>
    <w:rsid w:val="00C745C3"/>
    <w:rsid w:val="00C753DE"/>
    <w:rsid w:val="00C763DD"/>
    <w:rsid w:val="00C76C9C"/>
    <w:rsid w:val="00C77C93"/>
    <w:rsid w:val="00C812B6"/>
    <w:rsid w:val="00C81664"/>
    <w:rsid w:val="00C81767"/>
    <w:rsid w:val="00C8181D"/>
    <w:rsid w:val="00C8192C"/>
    <w:rsid w:val="00C82862"/>
    <w:rsid w:val="00C82C81"/>
    <w:rsid w:val="00C83EF4"/>
    <w:rsid w:val="00C84321"/>
    <w:rsid w:val="00C84BED"/>
    <w:rsid w:val="00C84D75"/>
    <w:rsid w:val="00C84D79"/>
    <w:rsid w:val="00C863C1"/>
    <w:rsid w:val="00C86449"/>
    <w:rsid w:val="00C87A84"/>
    <w:rsid w:val="00C90CF7"/>
    <w:rsid w:val="00C90CFC"/>
    <w:rsid w:val="00C90D40"/>
    <w:rsid w:val="00C91C8F"/>
    <w:rsid w:val="00C91F15"/>
    <w:rsid w:val="00C921F5"/>
    <w:rsid w:val="00C9265A"/>
    <w:rsid w:val="00C9274D"/>
    <w:rsid w:val="00C927BE"/>
    <w:rsid w:val="00C929C6"/>
    <w:rsid w:val="00C929D1"/>
    <w:rsid w:val="00C930C7"/>
    <w:rsid w:val="00C93546"/>
    <w:rsid w:val="00C93611"/>
    <w:rsid w:val="00C93EF5"/>
    <w:rsid w:val="00C941AC"/>
    <w:rsid w:val="00C94E27"/>
    <w:rsid w:val="00C95CD1"/>
    <w:rsid w:val="00C96395"/>
    <w:rsid w:val="00C96B1A"/>
    <w:rsid w:val="00CA0ADA"/>
    <w:rsid w:val="00CA0B2B"/>
    <w:rsid w:val="00CA24A4"/>
    <w:rsid w:val="00CA2925"/>
    <w:rsid w:val="00CA2D74"/>
    <w:rsid w:val="00CA477F"/>
    <w:rsid w:val="00CA4F59"/>
    <w:rsid w:val="00CA56D1"/>
    <w:rsid w:val="00CA5937"/>
    <w:rsid w:val="00CA60BA"/>
    <w:rsid w:val="00CA64C5"/>
    <w:rsid w:val="00CA653F"/>
    <w:rsid w:val="00CA6618"/>
    <w:rsid w:val="00CA7687"/>
    <w:rsid w:val="00CB013C"/>
    <w:rsid w:val="00CB023E"/>
    <w:rsid w:val="00CB03F1"/>
    <w:rsid w:val="00CB147B"/>
    <w:rsid w:val="00CB23DD"/>
    <w:rsid w:val="00CB348D"/>
    <w:rsid w:val="00CB4603"/>
    <w:rsid w:val="00CB5DA6"/>
    <w:rsid w:val="00CB5EB6"/>
    <w:rsid w:val="00CB5F4A"/>
    <w:rsid w:val="00CB62CF"/>
    <w:rsid w:val="00CC1DE8"/>
    <w:rsid w:val="00CC3703"/>
    <w:rsid w:val="00CC3973"/>
    <w:rsid w:val="00CC3B46"/>
    <w:rsid w:val="00CC40BA"/>
    <w:rsid w:val="00CC43AB"/>
    <w:rsid w:val="00CC53A6"/>
    <w:rsid w:val="00CC5A76"/>
    <w:rsid w:val="00CC5AB7"/>
    <w:rsid w:val="00CC6061"/>
    <w:rsid w:val="00CC641A"/>
    <w:rsid w:val="00CC6695"/>
    <w:rsid w:val="00CD0C82"/>
    <w:rsid w:val="00CD0CFA"/>
    <w:rsid w:val="00CD0D6C"/>
    <w:rsid w:val="00CD1522"/>
    <w:rsid w:val="00CD16F7"/>
    <w:rsid w:val="00CD1DF5"/>
    <w:rsid w:val="00CD227C"/>
    <w:rsid w:val="00CD316E"/>
    <w:rsid w:val="00CD3AD8"/>
    <w:rsid w:val="00CD3E37"/>
    <w:rsid w:val="00CD3F48"/>
    <w:rsid w:val="00CD46F5"/>
    <w:rsid w:val="00CD493B"/>
    <w:rsid w:val="00CD51A4"/>
    <w:rsid w:val="00CD52A3"/>
    <w:rsid w:val="00CD5919"/>
    <w:rsid w:val="00CD647F"/>
    <w:rsid w:val="00CD6D83"/>
    <w:rsid w:val="00CE046B"/>
    <w:rsid w:val="00CE1748"/>
    <w:rsid w:val="00CE19DA"/>
    <w:rsid w:val="00CE2850"/>
    <w:rsid w:val="00CE32ED"/>
    <w:rsid w:val="00CE3CA0"/>
    <w:rsid w:val="00CE3F5D"/>
    <w:rsid w:val="00CE48EE"/>
    <w:rsid w:val="00CE4A8F"/>
    <w:rsid w:val="00CE4DEA"/>
    <w:rsid w:val="00CE51E2"/>
    <w:rsid w:val="00CE5B25"/>
    <w:rsid w:val="00CE697C"/>
    <w:rsid w:val="00CE7FC2"/>
    <w:rsid w:val="00CF071D"/>
    <w:rsid w:val="00CF0F86"/>
    <w:rsid w:val="00CF3431"/>
    <w:rsid w:val="00CF39D3"/>
    <w:rsid w:val="00CF4664"/>
    <w:rsid w:val="00CF542F"/>
    <w:rsid w:val="00CF7446"/>
    <w:rsid w:val="00CF7D6C"/>
    <w:rsid w:val="00CF7DA5"/>
    <w:rsid w:val="00D00C8C"/>
    <w:rsid w:val="00D00CA0"/>
    <w:rsid w:val="00D010C9"/>
    <w:rsid w:val="00D01622"/>
    <w:rsid w:val="00D01DCF"/>
    <w:rsid w:val="00D02115"/>
    <w:rsid w:val="00D03AB9"/>
    <w:rsid w:val="00D048DA"/>
    <w:rsid w:val="00D04AFC"/>
    <w:rsid w:val="00D05476"/>
    <w:rsid w:val="00D0681E"/>
    <w:rsid w:val="00D06DED"/>
    <w:rsid w:val="00D07422"/>
    <w:rsid w:val="00D10334"/>
    <w:rsid w:val="00D10F1F"/>
    <w:rsid w:val="00D126DB"/>
    <w:rsid w:val="00D13359"/>
    <w:rsid w:val="00D13EFF"/>
    <w:rsid w:val="00D1415B"/>
    <w:rsid w:val="00D15101"/>
    <w:rsid w:val="00D154FA"/>
    <w:rsid w:val="00D15B04"/>
    <w:rsid w:val="00D16117"/>
    <w:rsid w:val="00D163A7"/>
    <w:rsid w:val="00D166B9"/>
    <w:rsid w:val="00D177F4"/>
    <w:rsid w:val="00D2031B"/>
    <w:rsid w:val="00D20752"/>
    <w:rsid w:val="00D20808"/>
    <w:rsid w:val="00D21F91"/>
    <w:rsid w:val="00D220D1"/>
    <w:rsid w:val="00D22234"/>
    <w:rsid w:val="00D222BC"/>
    <w:rsid w:val="00D22426"/>
    <w:rsid w:val="00D228BA"/>
    <w:rsid w:val="00D23BFC"/>
    <w:rsid w:val="00D23D2C"/>
    <w:rsid w:val="00D2430C"/>
    <w:rsid w:val="00D25560"/>
    <w:rsid w:val="00D25A8E"/>
    <w:rsid w:val="00D25FE2"/>
    <w:rsid w:val="00D26210"/>
    <w:rsid w:val="00D26B97"/>
    <w:rsid w:val="00D27655"/>
    <w:rsid w:val="00D27838"/>
    <w:rsid w:val="00D27DF2"/>
    <w:rsid w:val="00D31736"/>
    <w:rsid w:val="00D31EF1"/>
    <w:rsid w:val="00D326CF"/>
    <w:rsid w:val="00D33831"/>
    <w:rsid w:val="00D33A3D"/>
    <w:rsid w:val="00D35288"/>
    <w:rsid w:val="00D359A9"/>
    <w:rsid w:val="00D35A76"/>
    <w:rsid w:val="00D378B2"/>
    <w:rsid w:val="00D37DA9"/>
    <w:rsid w:val="00D406A7"/>
    <w:rsid w:val="00D407DB"/>
    <w:rsid w:val="00D40D40"/>
    <w:rsid w:val="00D40FE6"/>
    <w:rsid w:val="00D412AA"/>
    <w:rsid w:val="00D41946"/>
    <w:rsid w:val="00D42CB6"/>
    <w:rsid w:val="00D42EC7"/>
    <w:rsid w:val="00D43252"/>
    <w:rsid w:val="00D44D86"/>
    <w:rsid w:val="00D465F9"/>
    <w:rsid w:val="00D473BF"/>
    <w:rsid w:val="00D474DD"/>
    <w:rsid w:val="00D47993"/>
    <w:rsid w:val="00D47EE2"/>
    <w:rsid w:val="00D5021E"/>
    <w:rsid w:val="00D5093F"/>
    <w:rsid w:val="00D50B7D"/>
    <w:rsid w:val="00D5153F"/>
    <w:rsid w:val="00D51593"/>
    <w:rsid w:val="00D516FE"/>
    <w:rsid w:val="00D51F89"/>
    <w:rsid w:val="00D52012"/>
    <w:rsid w:val="00D54364"/>
    <w:rsid w:val="00D549BB"/>
    <w:rsid w:val="00D54A5D"/>
    <w:rsid w:val="00D54B68"/>
    <w:rsid w:val="00D55165"/>
    <w:rsid w:val="00D551E8"/>
    <w:rsid w:val="00D56018"/>
    <w:rsid w:val="00D56E9E"/>
    <w:rsid w:val="00D5702E"/>
    <w:rsid w:val="00D571E1"/>
    <w:rsid w:val="00D57355"/>
    <w:rsid w:val="00D57A90"/>
    <w:rsid w:val="00D604EC"/>
    <w:rsid w:val="00D60A37"/>
    <w:rsid w:val="00D60CCC"/>
    <w:rsid w:val="00D60D6D"/>
    <w:rsid w:val="00D61462"/>
    <w:rsid w:val="00D615C0"/>
    <w:rsid w:val="00D61BAC"/>
    <w:rsid w:val="00D61C42"/>
    <w:rsid w:val="00D620EE"/>
    <w:rsid w:val="00D624E5"/>
    <w:rsid w:val="00D62E39"/>
    <w:rsid w:val="00D63412"/>
    <w:rsid w:val="00D6426D"/>
    <w:rsid w:val="00D64460"/>
    <w:rsid w:val="00D64E0D"/>
    <w:rsid w:val="00D64EAC"/>
    <w:rsid w:val="00D654B3"/>
    <w:rsid w:val="00D6571E"/>
    <w:rsid w:val="00D6577D"/>
    <w:rsid w:val="00D65B4C"/>
    <w:rsid w:val="00D66087"/>
    <w:rsid w:val="00D66492"/>
    <w:rsid w:val="00D6689C"/>
    <w:rsid w:val="00D66A1E"/>
    <w:rsid w:val="00D67F31"/>
    <w:rsid w:val="00D704E5"/>
    <w:rsid w:val="00D707A1"/>
    <w:rsid w:val="00D71312"/>
    <w:rsid w:val="00D71C20"/>
    <w:rsid w:val="00D72727"/>
    <w:rsid w:val="00D72D75"/>
    <w:rsid w:val="00D737D7"/>
    <w:rsid w:val="00D73A19"/>
    <w:rsid w:val="00D75043"/>
    <w:rsid w:val="00D75CAC"/>
    <w:rsid w:val="00D75E1C"/>
    <w:rsid w:val="00D76061"/>
    <w:rsid w:val="00D766A7"/>
    <w:rsid w:val="00D76F1A"/>
    <w:rsid w:val="00D775BB"/>
    <w:rsid w:val="00D80AAE"/>
    <w:rsid w:val="00D81BC0"/>
    <w:rsid w:val="00D81F5D"/>
    <w:rsid w:val="00D825B6"/>
    <w:rsid w:val="00D82BC9"/>
    <w:rsid w:val="00D82D50"/>
    <w:rsid w:val="00D8314F"/>
    <w:rsid w:val="00D83A0D"/>
    <w:rsid w:val="00D85774"/>
    <w:rsid w:val="00D86462"/>
    <w:rsid w:val="00D87C88"/>
    <w:rsid w:val="00D87CAC"/>
    <w:rsid w:val="00D87CBD"/>
    <w:rsid w:val="00D9026F"/>
    <w:rsid w:val="00D904E3"/>
    <w:rsid w:val="00D9050E"/>
    <w:rsid w:val="00D90A3C"/>
    <w:rsid w:val="00D91135"/>
    <w:rsid w:val="00D929AC"/>
    <w:rsid w:val="00D93A0F"/>
    <w:rsid w:val="00D93EF3"/>
    <w:rsid w:val="00D944D3"/>
    <w:rsid w:val="00D94A0D"/>
    <w:rsid w:val="00D94A21"/>
    <w:rsid w:val="00D9552C"/>
    <w:rsid w:val="00D95E0D"/>
    <w:rsid w:val="00D95F7D"/>
    <w:rsid w:val="00D9662E"/>
    <w:rsid w:val="00D96854"/>
    <w:rsid w:val="00D970A3"/>
    <w:rsid w:val="00D9716A"/>
    <w:rsid w:val="00D971FB"/>
    <w:rsid w:val="00D978C6"/>
    <w:rsid w:val="00DA0956"/>
    <w:rsid w:val="00DA0FD2"/>
    <w:rsid w:val="00DA13E8"/>
    <w:rsid w:val="00DA1D12"/>
    <w:rsid w:val="00DA270A"/>
    <w:rsid w:val="00DA2ED2"/>
    <w:rsid w:val="00DA33B8"/>
    <w:rsid w:val="00DA357F"/>
    <w:rsid w:val="00DA3E12"/>
    <w:rsid w:val="00DA694A"/>
    <w:rsid w:val="00DA6C4E"/>
    <w:rsid w:val="00DA6E01"/>
    <w:rsid w:val="00DA6E0B"/>
    <w:rsid w:val="00DA7A46"/>
    <w:rsid w:val="00DB0A53"/>
    <w:rsid w:val="00DB21DC"/>
    <w:rsid w:val="00DB4CB1"/>
    <w:rsid w:val="00DB4E71"/>
    <w:rsid w:val="00DB51E2"/>
    <w:rsid w:val="00DB5CC9"/>
    <w:rsid w:val="00DB6969"/>
    <w:rsid w:val="00DB7B78"/>
    <w:rsid w:val="00DC03DC"/>
    <w:rsid w:val="00DC1282"/>
    <w:rsid w:val="00DC18AD"/>
    <w:rsid w:val="00DC2168"/>
    <w:rsid w:val="00DC3971"/>
    <w:rsid w:val="00DC40AA"/>
    <w:rsid w:val="00DC40CE"/>
    <w:rsid w:val="00DC4657"/>
    <w:rsid w:val="00DC5F98"/>
    <w:rsid w:val="00DC64EB"/>
    <w:rsid w:val="00DC6A5C"/>
    <w:rsid w:val="00DC7EDE"/>
    <w:rsid w:val="00DD0EB2"/>
    <w:rsid w:val="00DD1598"/>
    <w:rsid w:val="00DD16BF"/>
    <w:rsid w:val="00DD18D4"/>
    <w:rsid w:val="00DD25CB"/>
    <w:rsid w:val="00DD37CB"/>
    <w:rsid w:val="00DD396F"/>
    <w:rsid w:val="00DD4D81"/>
    <w:rsid w:val="00DD578C"/>
    <w:rsid w:val="00DD6D98"/>
    <w:rsid w:val="00DD7274"/>
    <w:rsid w:val="00DD77BE"/>
    <w:rsid w:val="00DD7CF7"/>
    <w:rsid w:val="00DE098C"/>
    <w:rsid w:val="00DE0AD8"/>
    <w:rsid w:val="00DE131E"/>
    <w:rsid w:val="00DE1584"/>
    <w:rsid w:val="00DE1849"/>
    <w:rsid w:val="00DE2297"/>
    <w:rsid w:val="00DE2566"/>
    <w:rsid w:val="00DE37C7"/>
    <w:rsid w:val="00DE3945"/>
    <w:rsid w:val="00DE4CAF"/>
    <w:rsid w:val="00DE4FE7"/>
    <w:rsid w:val="00DE554F"/>
    <w:rsid w:val="00DE6D7E"/>
    <w:rsid w:val="00DE7746"/>
    <w:rsid w:val="00DE7851"/>
    <w:rsid w:val="00DF0470"/>
    <w:rsid w:val="00DF1A6F"/>
    <w:rsid w:val="00DF4A0F"/>
    <w:rsid w:val="00DF5268"/>
    <w:rsid w:val="00DF66B2"/>
    <w:rsid w:val="00DF7876"/>
    <w:rsid w:val="00DF7CAE"/>
    <w:rsid w:val="00E01C8A"/>
    <w:rsid w:val="00E02C4B"/>
    <w:rsid w:val="00E03903"/>
    <w:rsid w:val="00E0489C"/>
    <w:rsid w:val="00E04C25"/>
    <w:rsid w:val="00E05119"/>
    <w:rsid w:val="00E073C8"/>
    <w:rsid w:val="00E106C1"/>
    <w:rsid w:val="00E11595"/>
    <w:rsid w:val="00E12439"/>
    <w:rsid w:val="00E12DB9"/>
    <w:rsid w:val="00E1312F"/>
    <w:rsid w:val="00E13388"/>
    <w:rsid w:val="00E13680"/>
    <w:rsid w:val="00E136EE"/>
    <w:rsid w:val="00E139D4"/>
    <w:rsid w:val="00E1429E"/>
    <w:rsid w:val="00E14A15"/>
    <w:rsid w:val="00E16805"/>
    <w:rsid w:val="00E16842"/>
    <w:rsid w:val="00E16CEF"/>
    <w:rsid w:val="00E16FAF"/>
    <w:rsid w:val="00E172E4"/>
    <w:rsid w:val="00E174AF"/>
    <w:rsid w:val="00E1754E"/>
    <w:rsid w:val="00E20745"/>
    <w:rsid w:val="00E217BA"/>
    <w:rsid w:val="00E23EDC"/>
    <w:rsid w:val="00E24361"/>
    <w:rsid w:val="00E2465B"/>
    <w:rsid w:val="00E246CE"/>
    <w:rsid w:val="00E251A0"/>
    <w:rsid w:val="00E27457"/>
    <w:rsid w:val="00E27927"/>
    <w:rsid w:val="00E27B58"/>
    <w:rsid w:val="00E30A7F"/>
    <w:rsid w:val="00E31057"/>
    <w:rsid w:val="00E31F35"/>
    <w:rsid w:val="00E3281C"/>
    <w:rsid w:val="00E32978"/>
    <w:rsid w:val="00E32A1D"/>
    <w:rsid w:val="00E335D7"/>
    <w:rsid w:val="00E339E8"/>
    <w:rsid w:val="00E341A9"/>
    <w:rsid w:val="00E35579"/>
    <w:rsid w:val="00E356B5"/>
    <w:rsid w:val="00E358C4"/>
    <w:rsid w:val="00E363CD"/>
    <w:rsid w:val="00E36762"/>
    <w:rsid w:val="00E36991"/>
    <w:rsid w:val="00E36C6C"/>
    <w:rsid w:val="00E409AE"/>
    <w:rsid w:val="00E4207A"/>
    <w:rsid w:val="00E422E9"/>
    <w:rsid w:val="00E423C0"/>
    <w:rsid w:val="00E427EE"/>
    <w:rsid w:val="00E437A2"/>
    <w:rsid w:val="00E43ED3"/>
    <w:rsid w:val="00E45327"/>
    <w:rsid w:val="00E46898"/>
    <w:rsid w:val="00E4723C"/>
    <w:rsid w:val="00E47E70"/>
    <w:rsid w:val="00E50D8C"/>
    <w:rsid w:val="00E50F12"/>
    <w:rsid w:val="00E51042"/>
    <w:rsid w:val="00E51ABB"/>
    <w:rsid w:val="00E51B18"/>
    <w:rsid w:val="00E53706"/>
    <w:rsid w:val="00E54B33"/>
    <w:rsid w:val="00E55392"/>
    <w:rsid w:val="00E56230"/>
    <w:rsid w:val="00E56618"/>
    <w:rsid w:val="00E56D6E"/>
    <w:rsid w:val="00E57668"/>
    <w:rsid w:val="00E57CE3"/>
    <w:rsid w:val="00E61528"/>
    <w:rsid w:val="00E62030"/>
    <w:rsid w:val="00E6231F"/>
    <w:rsid w:val="00E62CDE"/>
    <w:rsid w:val="00E6414C"/>
    <w:rsid w:val="00E64975"/>
    <w:rsid w:val="00E65E26"/>
    <w:rsid w:val="00E66D33"/>
    <w:rsid w:val="00E670A1"/>
    <w:rsid w:val="00E701AE"/>
    <w:rsid w:val="00E70493"/>
    <w:rsid w:val="00E71C63"/>
    <w:rsid w:val="00E72186"/>
    <w:rsid w:val="00E7231E"/>
    <w:rsid w:val="00E7260F"/>
    <w:rsid w:val="00E75BD4"/>
    <w:rsid w:val="00E76F26"/>
    <w:rsid w:val="00E77017"/>
    <w:rsid w:val="00E77167"/>
    <w:rsid w:val="00E774F8"/>
    <w:rsid w:val="00E77B22"/>
    <w:rsid w:val="00E77D39"/>
    <w:rsid w:val="00E800BD"/>
    <w:rsid w:val="00E80CB0"/>
    <w:rsid w:val="00E81674"/>
    <w:rsid w:val="00E82DD0"/>
    <w:rsid w:val="00E83390"/>
    <w:rsid w:val="00E83FDB"/>
    <w:rsid w:val="00E85338"/>
    <w:rsid w:val="00E86002"/>
    <w:rsid w:val="00E8702D"/>
    <w:rsid w:val="00E916A9"/>
    <w:rsid w:val="00E916DE"/>
    <w:rsid w:val="00E91BED"/>
    <w:rsid w:val="00E91C0F"/>
    <w:rsid w:val="00E91E00"/>
    <w:rsid w:val="00E92492"/>
    <w:rsid w:val="00E925AD"/>
    <w:rsid w:val="00E9316D"/>
    <w:rsid w:val="00E93730"/>
    <w:rsid w:val="00E9436B"/>
    <w:rsid w:val="00E94B96"/>
    <w:rsid w:val="00E95839"/>
    <w:rsid w:val="00E961E6"/>
    <w:rsid w:val="00E96630"/>
    <w:rsid w:val="00E96CE3"/>
    <w:rsid w:val="00E97433"/>
    <w:rsid w:val="00E97CC5"/>
    <w:rsid w:val="00EA0927"/>
    <w:rsid w:val="00EA0D4D"/>
    <w:rsid w:val="00EA123A"/>
    <w:rsid w:val="00EA14EB"/>
    <w:rsid w:val="00EA1FAD"/>
    <w:rsid w:val="00EA329E"/>
    <w:rsid w:val="00EA3380"/>
    <w:rsid w:val="00EA4225"/>
    <w:rsid w:val="00EA5503"/>
    <w:rsid w:val="00EA5D02"/>
    <w:rsid w:val="00EA6668"/>
    <w:rsid w:val="00EA68D4"/>
    <w:rsid w:val="00EA6DE0"/>
    <w:rsid w:val="00EA6E87"/>
    <w:rsid w:val="00EA7701"/>
    <w:rsid w:val="00EA7756"/>
    <w:rsid w:val="00EA7D7C"/>
    <w:rsid w:val="00EB054E"/>
    <w:rsid w:val="00EB0828"/>
    <w:rsid w:val="00EB0BD7"/>
    <w:rsid w:val="00EB0C35"/>
    <w:rsid w:val="00EB13FA"/>
    <w:rsid w:val="00EB26C1"/>
    <w:rsid w:val="00EB2C73"/>
    <w:rsid w:val="00EB2FA6"/>
    <w:rsid w:val="00EB35F6"/>
    <w:rsid w:val="00EB37E9"/>
    <w:rsid w:val="00EB380E"/>
    <w:rsid w:val="00EB381A"/>
    <w:rsid w:val="00EB3EC5"/>
    <w:rsid w:val="00EB453D"/>
    <w:rsid w:val="00EB4561"/>
    <w:rsid w:val="00EB5FDF"/>
    <w:rsid w:val="00EB64D5"/>
    <w:rsid w:val="00EB68DC"/>
    <w:rsid w:val="00EB72EE"/>
    <w:rsid w:val="00EB7931"/>
    <w:rsid w:val="00EC033C"/>
    <w:rsid w:val="00EC0356"/>
    <w:rsid w:val="00EC13DF"/>
    <w:rsid w:val="00EC1B5F"/>
    <w:rsid w:val="00EC1BA2"/>
    <w:rsid w:val="00EC2B10"/>
    <w:rsid w:val="00EC332D"/>
    <w:rsid w:val="00EC3B79"/>
    <w:rsid w:val="00EC4338"/>
    <w:rsid w:val="00EC4523"/>
    <w:rsid w:val="00EC5581"/>
    <w:rsid w:val="00EC55E5"/>
    <w:rsid w:val="00EC59D1"/>
    <w:rsid w:val="00EC65E6"/>
    <w:rsid w:val="00EC6C4A"/>
    <w:rsid w:val="00ED0A7B"/>
    <w:rsid w:val="00ED0C35"/>
    <w:rsid w:val="00ED139A"/>
    <w:rsid w:val="00ED1750"/>
    <w:rsid w:val="00ED18DC"/>
    <w:rsid w:val="00ED1A83"/>
    <w:rsid w:val="00ED31CC"/>
    <w:rsid w:val="00ED367C"/>
    <w:rsid w:val="00ED39EB"/>
    <w:rsid w:val="00ED3BEE"/>
    <w:rsid w:val="00ED3C5F"/>
    <w:rsid w:val="00ED405C"/>
    <w:rsid w:val="00ED6201"/>
    <w:rsid w:val="00ED7539"/>
    <w:rsid w:val="00ED7A2A"/>
    <w:rsid w:val="00EE29E9"/>
    <w:rsid w:val="00EE2EC2"/>
    <w:rsid w:val="00EE492D"/>
    <w:rsid w:val="00EE4CCD"/>
    <w:rsid w:val="00EE4F3D"/>
    <w:rsid w:val="00EE56C5"/>
    <w:rsid w:val="00EE5E0D"/>
    <w:rsid w:val="00EE6AD5"/>
    <w:rsid w:val="00EE7316"/>
    <w:rsid w:val="00EE7770"/>
    <w:rsid w:val="00EF06C3"/>
    <w:rsid w:val="00EF0772"/>
    <w:rsid w:val="00EF0E7F"/>
    <w:rsid w:val="00EF0F0C"/>
    <w:rsid w:val="00EF1006"/>
    <w:rsid w:val="00EF19A7"/>
    <w:rsid w:val="00EF1D7F"/>
    <w:rsid w:val="00EF2030"/>
    <w:rsid w:val="00EF2A09"/>
    <w:rsid w:val="00EF2B7E"/>
    <w:rsid w:val="00EF306E"/>
    <w:rsid w:val="00EF30B1"/>
    <w:rsid w:val="00EF37E7"/>
    <w:rsid w:val="00EF3A49"/>
    <w:rsid w:val="00EF5F27"/>
    <w:rsid w:val="00EF621E"/>
    <w:rsid w:val="00EF707E"/>
    <w:rsid w:val="00EF7454"/>
    <w:rsid w:val="00F0009D"/>
    <w:rsid w:val="00F00D39"/>
    <w:rsid w:val="00F00EAF"/>
    <w:rsid w:val="00F0102D"/>
    <w:rsid w:val="00F0137E"/>
    <w:rsid w:val="00F01B2E"/>
    <w:rsid w:val="00F024E0"/>
    <w:rsid w:val="00F028BD"/>
    <w:rsid w:val="00F02CBB"/>
    <w:rsid w:val="00F03219"/>
    <w:rsid w:val="00F04826"/>
    <w:rsid w:val="00F05C18"/>
    <w:rsid w:val="00F067B3"/>
    <w:rsid w:val="00F06C9C"/>
    <w:rsid w:val="00F073D5"/>
    <w:rsid w:val="00F07FCE"/>
    <w:rsid w:val="00F11A3E"/>
    <w:rsid w:val="00F12296"/>
    <w:rsid w:val="00F12A4A"/>
    <w:rsid w:val="00F12EB5"/>
    <w:rsid w:val="00F130CB"/>
    <w:rsid w:val="00F13402"/>
    <w:rsid w:val="00F147D6"/>
    <w:rsid w:val="00F15056"/>
    <w:rsid w:val="00F16213"/>
    <w:rsid w:val="00F1624B"/>
    <w:rsid w:val="00F1651E"/>
    <w:rsid w:val="00F16E2F"/>
    <w:rsid w:val="00F1756C"/>
    <w:rsid w:val="00F20219"/>
    <w:rsid w:val="00F2069D"/>
    <w:rsid w:val="00F2103B"/>
    <w:rsid w:val="00F21085"/>
    <w:rsid w:val="00F21786"/>
    <w:rsid w:val="00F2206E"/>
    <w:rsid w:val="00F22882"/>
    <w:rsid w:val="00F22B4D"/>
    <w:rsid w:val="00F2320B"/>
    <w:rsid w:val="00F2338B"/>
    <w:rsid w:val="00F24333"/>
    <w:rsid w:val="00F24CB0"/>
    <w:rsid w:val="00F24EDE"/>
    <w:rsid w:val="00F250F8"/>
    <w:rsid w:val="00F26344"/>
    <w:rsid w:val="00F264D8"/>
    <w:rsid w:val="00F26C09"/>
    <w:rsid w:val="00F27896"/>
    <w:rsid w:val="00F27D44"/>
    <w:rsid w:val="00F31312"/>
    <w:rsid w:val="00F31896"/>
    <w:rsid w:val="00F31D4C"/>
    <w:rsid w:val="00F31FBF"/>
    <w:rsid w:val="00F324FB"/>
    <w:rsid w:val="00F32759"/>
    <w:rsid w:val="00F32DD6"/>
    <w:rsid w:val="00F34727"/>
    <w:rsid w:val="00F34840"/>
    <w:rsid w:val="00F349CF"/>
    <w:rsid w:val="00F34B41"/>
    <w:rsid w:val="00F35027"/>
    <w:rsid w:val="00F3742B"/>
    <w:rsid w:val="00F3774C"/>
    <w:rsid w:val="00F37D70"/>
    <w:rsid w:val="00F40BF3"/>
    <w:rsid w:val="00F40FEC"/>
    <w:rsid w:val="00F41FDB"/>
    <w:rsid w:val="00F420DE"/>
    <w:rsid w:val="00F42246"/>
    <w:rsid w:val="00F43171"/>
    <w:rsid w:val="00F43C05"/>
    <w:rsid w:val="00F4455D"/>
    <w:rsid w:val="00F44B78"/>
    <w:rsid w:val="00F44BB5"/>
    <w:rsid w:val="00F44C3C"/>
    <w:rsid w:val="00F45FD6"/>
    <w:rsid w:val="00F468C2"/>
    <w:rsid w:val="00F502E4"/>
    <w:rsid w:val="00F507EC"/>
    <w:rsid w:val="00F5177E"/>
    <w:rsid w:val="00F51EA3"/>
    <w:rsid w:val="00F52494"/>
    <w:rsid w:val="00F52BC3"/>
    <w:rsid w:val="00F53147"/>
    <w:rsid w:val="00F532EB"/>
    <w:rsid w:val="00F53A57"/>
    <w:rsid w:val="00F53CD9"/>
    <w:rsid w:val="00F54925"/>
    <w:rsid w:val="00F54AF7"/>
    <w:rsid w:val="00F55A3C"/>
    <w:rsid w:val="00F55AFF"/>
    <w:rsid w:val="00F55EC8"/>
    <w:rsid w:val="00F56A6B"/>
    <w:rsid w:val="00F56CDB"/>
    <w:rsid w:val="00F56D63"/>
    <w:rsid w:val="00F57FD7"/>
    <w:rsid w:val="00F600F0"/>
    <w:rsid w:val="00F60603"/>
    <w:rsid w:val="00F609A9"/>
    <w:rsid w:val="00F609FE"/>
    <w:rsid w:val="00F60E7D"/>
    <w:rsid w:val="00F61203"/>
    <w:rsid w:val="00F621B6"/>
    <w:rsid w:val="00F62638"/>
    <w:rsid w:val="00F6314C"/>
    <w:rsid w:val="00F651A8"/>
    <w:rsid w:val="00F65565"/>
    <w:rsid w:val="00F66360"/>
    <w:rsid w:val="00F67789"/>
    <w:rsid w:val="00F67ABA"/>
    <w:rsid w:val="00F705D1"/>
    <w:rsid w:val="00F718B3"/>
    <w:rsid w:val="00F721AA"/>
    <w:rsid w:val="00F730EE"/>
    <w:rsid w:val="00F73B82"/>
    <w:rsid w:val="00F74BC3"/>
    <w:rsid w:val="00F74CC4"/>
    <w:rsid w:val="00F74E06"/>
    <w:rsid w:val="00F75549"/>
    <w:rsid w:val="00F76112"/>
    <w:rsid w:val="00F76215"/>
    <w:rsid w:val="00F76F19"/>
    <w:rsid w:val="00F80C55"/>
    <w:rsid w:val="00F80C99"/>
    <w:rsid w:val="00F8156E"/>
    <w:rsid w:val="00F83187"/>
    <w:rsid w:val="00F835E8"/>
    <w:rsid w:val="00F83722"/>
    <w:rsid w:val="00F84590"/>
    <w:rsid w:val="00F8487A"/>
    <w:rsid w:val="00F84EB3"/>
    <w:rsid w:val="00F84FD6"/>
    <w:rsid w:val="00F856C8"/>
    <w:rsid w:val="00F867EC"/>
    <w:rsid w:val="00F86B5F"/>
    <w:rsid w:val="00F86DD1"/>
    <w:rsid w:val="00F87427"/>
    <w:rsid w:val="00F908A4"/>
    <w:rsid w:val="00F91619"/>
    <w:rsid w:val="00F91B2B"/>
    <w:rsid w:val="00F91B5F"/>
    <w:rsid w:val="00F91F42"/>
    <w:rsid w:val="00F920E8"/>
    <w:rsid w:val="00F9214D"/>
    <w:rsid w:val="00F926EB"/>
    <w:rsid w:val="00F94139"/>
    <w:rsid w:val="00F95427"/>
    <w:rsid w:val="00F9555E"/>
    <w:rsid w:val="00F95FE5"/>
    <w:rsid w:val="00F96489"/>
    <w:rsid w:val="00F96646"/>
    <w:rsid w:val="00F96824"/>
    <w:rsid w:val="00F96EB8"/>
    <w:rsid w:val="00F97802"/>
    <w:rsid w:val="00FA0380"/>
    <w:rsid w:val="00FA12CF"/>
    <w:rsid w:val="00FA1A75"/>
    <w:rsid w:val="00FA1F6F"/>
    <w:rsid w:val="00FA2F96"/>
    <w:rsid w:val="00FA3032"/>
    <w:rsid w:val="00FA3DC0"/>
    <w:rsid w:val="00FA43E2"/>
    <w:rsid w:val="00FA5DEE"/>
    <w:rsid w:val="00FA635C"/>
    <w:rsid w:val="00FB0053"/>
    <w:rsid w:val="00FB0DF0"/>
    <w:rsid w:val="00FB1730"/>
    <w:rsid w:val="00FB2858"/>
    <w:rsid w:val="00FB2CE3"/>
    <w:rsid w:val="00FB3D49"/>
    <w:rsid w:val="00FB40D5"/>
    <w:rsid w:val="00FB449A"/>
    <w:rsid w:val="00FB4B5E"/>
    <w:rsid w:val="00FB53D9"/>
    <w:rsid w:val="00FB5F74"/>
    <w:rsid w:val="00FB79D6"/>
    <w:rsid w:val="00FC0166"/>
    <w:rsid w:val="00FC03CD"/>
    <w:rsid w:val="00FC0519"/>
    <w:rsid w:val="00FC05E1"/>
    <w:rsid w:val="00FC0646"/>
    <w:rsid w:val="00FC1D28"/>
    <w:rsid w:val="00FC263A"/>
    <w:rsid w:val="00FC26B3"/>
    <w:rsid w:val="00FC28AA"/>
    <w:rsid w:val="00FC2ED7"/>
    <w:rsid w:val="00FC3121"/>
    <w:rsid w:val="00FC370A"/>
    <w:rsid w:val="00FC3D39"/>
    <w:rsid w:val="00FC48B9"/>
    <w:rsid w:val="00FC4F80"/>
    <w:rsid w:val="00FC6142"/>
    <w:rsid w:val="00FC670F"/>
    <w:rsid w:val="00FC68B7"/>
    <w:rsid w:val="00FC75E3"/>
    <w:rsid w:val="00FD0144"/>
    <w:rsid w:val="00FD0281"/>
    <w:rsid w:val="00FD0CA5"/>
    <w:rsid w:val="00FD1C2F"/>
    <w:rsid w:val="00FD1E4C"/>
    <w:rsid w:val="00FD4AD4"/>
    <w:rsid w:val="00FD6240"/>
    <w:rsid w:val="00FD690A"/>
    <w:rsid w:val="00FD7030"/>
    <w:rsid w:val="00FD72DB"/>
    <w:rsid w:val="00FD778D"/>
    <w:rsid w:val="00FD7D0F"/>
    <w:rsid w:val="00FD7E87"/>
    <w:rsid w:val="00FE0151"/>
    <w:rsid w:val="00FE050D"/>
    <w:rsid w:val="00FE079F"/>
    <w:rsid w:val="00FE0B13"/>
    <w:rsid w:val="00FE10DF"/>
    <w:rsid w:val="00FE1578"/>
    <w:rsid w:val="00FE1635"/>
    <w:rsid w:val="00FE1B20"/>
    <w:rsid w:val="00FE1BB7"/>
    <w:rsid w:val="00FE250B"/>
    <w:rsid w:val="00FE2CC0"/>
    <w:rsid w:val="00FE317D"/>
    <w:rsid w:val="00FE3202"/>
    <w:rsid w:val="00FE3254"/>
    <w:rsid w:val="00FE33E8"/>
    <w:rsid w:val="00FE349D"/>
    <w:rsid w:val="00FE3915"/>
    <w:rsid w:val="00FE3FA5"/>
    <w:rsid w:val="00FE41C3"/>
    <w:rsid w:val="00FE42DE"/>
    <w:rsid w:val="00FE4609"/>
    <w:rsid w:val="00FE4A99"/>
    <w:rsid w:val="00FE6077"/>
    <w:rsid w:val="00FE6985"/>
    <w:rsid w:val="00FE6EBA"/>
    <w:rsid w:val="00FE7CDC"/>
    <w:rsid w:val="00FE7CE3"/>
    <w:rsid w:val="00FF1082"/>
    <w:rsid w:val="00FF2208"/>
    <w:rsid w:val="00FF2280"/>
    <w:rsid w:val="00FF2660"/>
    <w:rsid w:val="00FF2736"/>
    <w:rsid w:val="00FF4BC3"/>
    <w:rsid w:val="00FF587E"/>
    <w:rsid w:val="00FF6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9801B7B"/>
  <w15:chartTrackingRefBased/>
  <w15:docId w15:val="{8AEDBFA8-6E61-4555-8D05-183FBE9F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caption" w:semiHidden="1" w:unhideWhenUsed="1" w:qFormat="1"/>
    <w:lsdException w:name="footnote reference" w:uiPriority="99"/>
    <w:lsdException w:name="annotation reference" w:uiPriority="99"/>
    <w:lsdException w:name="Title" w:uiPriority="11" w:qFormat="1"/>
    <w:lsdException w:name="Subtitle" w:uiPriority="12"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8DD"/>
    <w:pPr>
      <w:spacing w:after="120"/>
    </w:pPr>
    <w:rPr>
      <w:rFonts w:eastAsia="Calibri" w:cs="Arial"/>
      <w:szCs w:val="22"/>
      <w:lang w:eastAsia="en-US"/>
    </w:rPr>
  </w:style>
  <w:style w:type="paragraph" w:styleId="Heading1">
    <w:name w:val="heading 1"/>
    <w:aliases w:val="Table_G"/>
    <w:next w:val="NumberedParas"/>
    <w:link w:val="Heading1Char"/>
    <w:qFormat/>
    <w:rsid w:val="00A278DD"/>
    <w:pPr>
      <w:keepNext/>
      <w:keepLines/>
      <w:numPr>
        <w:numId w:val="49"/>
      </w:numPr>
      <w:tabs>
        <w:tab w:val="right" w:pos="1134"/>
        <w:tab w:val="left" w:pos="1701"/>
      </w:tabs>
      <w:suppressAutoHyphens/>
      <w:spacing w:before="360" w:after="240" w:line="300" w:lineRule="exact"/>
      <w:ind w:left="1230" w:right="873" w:hanging="357"/>
      <w:outlineLvl w:val="0"/>
    </w:pPr>
    <w:rPr>
      <w:rFonts w:eastAsia="Calibri" w:cs="Arial"/>
      <w:b/>
      <w:sz w:val="28"/>
      <w:szCs w:val="22"/>
      <w:lang w:eastAsia="en-US"/>
    </w:rPr>
  </w:style>
  <w:style w:type="paragraph" w:styleId="Heading2">
    <w:name w:val="heading 2"/>
    <w:next w:val="NumberedParas"/>
    <w:link w:val="Heading2Char"/>
    <w:unhideWhenUsed/>
    <w:qFormat/>
    <w:rsid w:val="00A278DD"/>
    <w:pPr>
      <w:keepNext/>
      <w:keepLines/>
      <w:numPr>
        <w:numId w:val="42"/>
      </w:numPr>
      <w:tabs>
        <w:tab w:val="right" w:pos="851"/>
        <w:tab w:val="left" w:pos="1701"/>
      </w:tabs>
      <w:suppressAutoHyphens/>
      <w:spacing w:before="360" w:after="240" w:line="270" w:lineRule="exact"/>
      <w:ind w:right="1134"/>
      <w:outlineLvl w:val="1"/>
    </w:pPr>
    <w:rPr>
      <w:rFonts w:eastAsia="Calibri" w:cs="Arial"/>
      <w:b/>
      <w:sz w:val="24"/>
      <w:szCs w:val="22"/>
      <w:lang w:eastAsia="en-US"/>
    </w:rPr>
  </w:style>
  <w:style w:type="paragraph" w:styleId="Heading3">
    <w:name w:val="heading 3"/>
    <w:next w:val="NumberedParas"/>
    <w:link w:val="Heading3Char"/>
    <w:unhideWhenUsed/>
    <w:qFormat/>
    <w:rsid w:val="00A278DD"/>
    <w:pPr>
      <w:keepNext/>
      <w:tabs>
        <w:tab w:val="left" w:pos="1701"/>
      </w:tabs>
      <w:suppressAutoHyphens/>
      <w:spacing w:after="120" w:line="240" w:lineRule="atLeast"/>
      <w:ind w:left="828" w:right="828"/>
      <w:jc w:val="both"/>
      <w:outlineLvl w:val="2"/>
    </w:pPr>
    <w:rPr>
      <w:rFonts w:eastAsia="Calibri" w:cs="Arial"/>
      <w:b/>
      <w:szCs w:val="22"/>
      <w:lang w:eastAsia="en-US"/>
    </w:rPr>
  </w:style>
  <w:style w:type="paragraph" w:styleId="Heading4">
    <w:name w:val="heading 4"/>
    <w:next w:val="NumberedParas"/>
    <w:link w:val="Heading4Char"/>
    <w:unhideWhenUsed/>
    <w:qFormat/>
    <w:rsid w:val="00A278DD"/>
    <w:pPr>
      <w:keepNext/>
      <w:tabs>
        <w:tab w:val="left" w:pos="1701"/>
      </w:tabs>
      <w:suppressAutoHyphens/>
      <w:spacing w:after="120" w:line="240" w:lineRule="atLeast"/>
      <w:ind w:left="828" w:right="828"/>
      <w:jc w:val="both"/>
      <w:outlineLvl w:val="3"/>
    </w:pPr>
    <w:rPr>
      <w:rFonts w:eastAsia="Calibri" w:cs="Arial"/>
      <w:bCs/>
      <w:i/>
      <w:iCs/>
      <w:szCs w:val="22"/>
      <w:lang w:eastAsia="en-US"/>
    </w:rPr>
  </w:style>
  <w:style w:type="paragraph" w:styleId="Heading5">
    <w:name w:val="heading 5"/>
    <w:basedOn w:val="Heading4"/>
    <w:next w:val="NumberedParas"/>
    <w:link w:val="Heading5Char"/>
    <w:unhideWhenUsed/>
    <w:qFormat/>
    <w:rsid w:val="00A278DD"/>
    <w:pPr>
      <w:outlineLvl w:val="4"/>
    </w:pPr>
    <w:rPr>
      <w:i w:val="0"/>
      <w:iCs w:val="0"/>
      <w:u w:val="single"/>
    </w:rPr>
  </w:style>
  <w:style w:type="paragraph" w:styleId="Heading6">
    <w:name w:val="heading 6"/>
    <w:basedOn w:val="Normal"/>
    <w:next w:val="Normal"/>
    <w:link w:val="Heading6Char"/>
    <w:autoRedefine/>
    <w:unhideWhenUsed/>
    <w:qFormat/>
    <w:rsid w:val="00A278DD"/>
    <w:pPr>
      <w:keepNext/>
      <w:keepLines/>
      <w:spacing w:before="40" w:after="0"/>
      <w:outlineLvl w:val="5"/>
    </w:pPr>
    <w:rPr>
      <w:rFonts w:ascii="Calibri Light" w:eastAsia="DengXian Light" w:hAnsi="Calibri Light" w:cs="Times New Roman"/>
      <w:color w:val="1F3763"/>
    </w:rPr>
  </w:style>
  <w:style w:type="paragraph" w:styleId="Heading7">
    <w:name w:val="heading 7"/>
    <w:basedOn w:val="Normal"/>
    <w:next w:val="Normal"/>
    <w:qFormat/>
    <w:rsid w:val="00E925AD"/>
    <w:pPr>
      <w:outlineLvl w:val="6"/>
    </w:pPr>
  </w:style>
  <w:style w:type="paragraph" w:styleId="Heading8">
    <w:name w:val="heading 8"/>
    <w:basedOn w:val="Normal"/>
    <w:next w:val="Normal"/>
    <w:qFormat/>
    <w:rsid w:val="00E925AD"/>
    <w:pPr>
      <w:outlineLvl w:val="7"/>
    </w:pPr>
  </w:style>
  <w:style w:type="paragraph" w:styleId="Heading9">
    <w:name w:val="heading 9"/>
    <w:basedOn w:val="Normal"/>
    <w:next w:val="Normal"/>
    <w:qFormat/>
    <w:rsid w:val="00E925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278DD"/>
    <w:rPr>
      <w:vertAlign w:val="superscript"/>
    </w:rPr>
  </w:style>
  <w:style w:type="character" w:styleId="FootnoteReference">
    <w:name w:val="footnote reference"/>
    <w:aliases w:val="4_G"/>
    <w:uiPriority w:val="99"/>
    <w:unhideWhenUsed/>
    <w:rsid w:val="00A278DD"/>
    <w:rPr>
      <w:vertAlign w:val="superscript"/>
    </w:rPr>
  </w:style>
  <w:style w:type="paragraph" w:styleId="FootnoteText">
    <w:name w:val="footnote text"/>
    <w:aliases w:val="5_G"/>
    <w:basedOn w:val="Normal"/>
    <w:link w:val="FootnoteTextChar"/>
    <w:unhideWhenUsed/>
    <w:rsid w:val="00A278DD"/>
    <w:rPr>
      <w:rFonts w:eastAsia="DengXian" w:cs="Times New Roman"/>
      <w:szCs w:val="20"/>
      <w:lang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line="240" w:lineRule="exact"/>
      <w:ind w:left="1134" w:right="1134" w:hanging="1134"/>
    </w:pPr>
  </w:style>
  <w:style w:type="character" w:styleId="Hyperlink">
    <w:name w:val="Hyperlink"/>
    <w:unhideWhenUsed/>
    <w:rsid w:val="00A278DD"/>
    <w:rPr>
      <w:color w:val="0563C1"/>
      <w:u w:val="single"/>
    </w:rPr>
  </w:style>
  <w:style w:type="paragraph" w:styleId="Footer">
    <w:name w:val="footer"/>
    <w:aliases w:val="3_G"/>
    <w:basedOn w:val="Normal"/>
    <w:link w:val="FooterChar"/>
    <w:unhideWhenUsed/>
    <w:rsid w:val="00A278DD"/>
    <w:pPr>
      <w:tabs>
        <w:tab w:val="center" w:pos="4513"/>
        <w:tab w:val="right" w:pos="9026"/>
      </w:tabs>
      <w:spacing w:after="0"/>
    </w:pPr>
  </w:style>
  <w:style w:type="paragraph" w:styleId="Header">
    <w:name w:val="header"/>
    <w:aliases w:val="6_G"/>
    <w:basedOn w:val="Normal"/>
    <w:link w:val="HeaderChar"/>
    <w:unhideWhenUsed/>
    <w:qFormat/>
    <w:rsid w:val="00A278DD"/>
    <w:pPr>
      <w:tabs>
        <w:tab w:val="center" w:pos="4513"/>
        <w:tab w:val="right" w:pos="9026"/>
      </w:tabs>
      <w:jc w:val="right"/>
    </w:pPr>
    <w:rPr>
      <w:rFonts w:cs="Times New Roman"/>
      <w:szCs w:val="20"/>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unhideWhenUsed/>
    <w:rsid w:val="00A278DD"/>
    <w:rPr>
      <w:sz w:val="16"/>
      <w:szCs w:val="16"/>
    </w:rPr>
  </w:style>
  <w:style w:type="paragraph" w:styleId="CommentText">
    <w:name w:val="annotation text"/>
    <w:basedOn w:val="Normal"/>
    <w:link w:val="CommentTextChar"/>
    <w:uiPriority w:val="99"/>
    <w:unhideWhenUsed/>
    <w:rsid w:val="00A278DD"/>
    <w:rPr>
      <w:szCs w:val="20"/>
    </w:rPr>
  </w:style>
  <w:style w:type="paragraph" w:styleId="CommentSubject">
    <w:name w:val="annotation subject"/>
    <w:basedOn w:val="CommentText"/>
    <w:next w:val="CommentText"/>
    <w:link w:val="CommentSubjectChar"/>
    <w:semiHidden/>
    <w:unhideWhenUsed/>
    <w:rsid w:val="00A278DD"/>
    <w:rPr>
      <w:b/>
      <w:bCs/>
    </w:rPr>
  </w:style>
  <w:style w:type="paragraph" w:styleId="BalloonText">
    <w:name w:val="Balloon Text"/>
    <w:basedOn w:val="Normal"/>
    <w:link w:val="BalloonTextChar"/>
    <w:semiHidden/>
    <w:unhideWhenUsed/>
    <w:rsid w:val="00A278DD"/>
    <w:pPr>
      <w:spacing w:after="0"/>
    </w:pPr>
    <w:rPr>
      <w:rFonts w:ascii="Segoe UI" w:hAnsi="Segoe UI" w:cs="Segoe UI"/>
      <w:sz w:val="18"/>
      <w:szCs w:val="18"/>
    </w:rPr>
  </w:style>
  <w:style w:type="paragraph" w:customStyle="1" w:styleId="Default">
    <w:name w:val="Default"/>
    <w:rsid w:val="00A278DD"/>
    <w:pPr>
      <w:autoSpaceDE w:val="0"/>
      <w:autoSpaceDN w:val="0"/>
      <w:adjustRightInd w:val="0"/>
    </w:pPr>
    <w:rPr>
      <w:rFonts w:ascii="Calibri" w:eastAsia="Calibri" w:hAnsi="Calibri" w:cs="Calibri"/>
      <w:color w:val="000000"/>
      <w:sz w:val="24"/>
      <w:szCs w:val="24"/>
      <w:lang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A278DD"/>
    <w:pPr>
      <w:ind w:left="720"/>
      <w:contextualSpacing/>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uiPriority w:val="99"/>
    <w:rsid w:val="000C3B45"/>
    <w:rPr>
      <w:rFonts w:eastAsia="Calibri" w:cs="Arial"/>
      <w:lang w:eastAsia="en-US"/>
    </w:rPr>
  </w:style>
  <w:style w:type="character" w:styleId="Strong">
    <w:name w:val="Strong"/>
    <w:uiPriority w:val="22"/>
    <w:qFormat/>
    <w:rsid w:val="000C3B45"/>
    <w:rPr>
      <w:b/>
      <w:bCs/>
    </w:rPr>
  </w:style>
  <w:style w:type="character" w:styleId="Emphasis">
    <w:name w:val="Emphasis"/>
    <w:uiPriority w:val="20"/>
    <w:qFormat/>
    <w:rsid w:val="000C3B45"/>
    <w:rPr>
      <w:i/>
      <w:iCs/>
    </w:rPr>
  </w:style>
  <w:style w:type="character" w:customStyle="1" w:styleId="st">
    <w:name w:val="st"/>
    <w:rsid w:val="006B3ED4"/>
  </w:style>
  <w:style w:type="paragraph" w:customStyle="1" w:styleId="legclearfix">
    <w:name w:val="legclearfix"/>
    <w:basedOn w:val="Normal"/>
    <w:rsid w:val="00F16213"/>
    <w:pPr>
      <w:spacing w:before="100" w:beforeAutospacing="1" w:after="100" w:afterAutospacing="1"/>
    </w:pPr>
    <w:rPr>
      <w:sz w:val="24"/>
      <w:szCs w:val="24"/>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C336C2"/>
    <w:pPr>
      <w:spacing w:before="100" w:beforeAutospacing="1" w:after="100" w:afterAutospacing="1"/>
    </w:pPr>
    <w:rPr>
      <w:sz w:val="24"/>
      <w:szCs w:val="24"/>
      <w:lang w:val="fr-FR" w:eastAsia="fr-FR"/>
    </w:rPr>
  </w:style>
  <w:style w:type="character" w:customStyle="1" w:styleId="SingleTxtGChar">
    <w:name w:val="_ Single Txt_G Char"/>
    <w:link w:val="SingleTxtG"/>
    <w:locked/>
    <w:rsid w:val="00976D18"/>
    <w:rPr>
      <w:lang w:eastAsia="en-US"/>
    </w:rPr>
  </w:style>
  <w:style w:type="character" w:customStyle="1" w:styleId="FootnoteTextChar">
    <w:name w:val="Footnote Text Char"/>
    <w:aliases w:val="5_G Char"/>
    <w:link w:val="FootnoteText"/>
    <w:rsid w:val="000C3B45"/>
    <w:rPr>
      <w:rFonts w:eastAsia="DengXian"/>
    </w:rPr>
  </w:style>
  <w:style w:type="character" w:customStyle="1" w:styleId="highlight">
    <w:name w:val="highlight"/>
    <w:basedOn w:val="DefaultParagraphFont"/>
    <w:rsid w:val="00471092"/>
  </w:style>
  <w:style w:type="paragraph" w:customStyle="1" w:styleId="c02alineaalta">
    <w:name w:val="c02alineaalta"/>
    <w:basedOn w:val="Normal"/>
    <w:rsid w:val="001E1C17"/>
    <w:pPr>
      <w:spacing w:before="100" w:beforeAutospacing="1" w:after="100" w:afterAutospacing="1"/>
    </w:pPr>
    <w:rPr>
      <w:sz w:val="24"/>
      <w:szCs w:val="24"/>
      <w:lang w:eastAsia="en-GB"/>
    </w:rPr>
  </w:style>
  <w:style w:type="paragraph" w:customStyle="1" w:styleId="c19centre">
    <w:name w:val="c19centre"/>
    <w:basedOn w:val="Normal"/>
    <w:rsid w:val="001E1C17"/>
    <w:pPr>
      <w:spacing w:before="100" w:beforeAutospacing="1" w:after="100" w:afterAutospacing="1"/>
    </w:pPr>
    <w:rPr>
      <w:sz w:val="24"/>
      <w:szCs w:val="24"/>
      <w:lang w:eastAsia="en-GB"/>
    </w:rPr>
  </w:style>
  <w:style w:type="character" w:customStyle="1" w:styleId="FootnoteCharacters">
    <w:name w:val="Footnote Characters"/>
    <w:rsid w:val="00147BF6"/>
    <w:rPr>
      <w:rFonts w:ascii="Times New Roman" w:hAnsi="Times New Roman" w:cs="Times New Roman" w:hint="default"/>
      <w:sz w:val="18"/>
      <w:vertAlign w:val="superscript"/>
    </w:rPr>
  </w:style>
  <w:style w:type="character" w:styleId="UnresolvedMention">
    <w:name w:val="Unresolved Mention"/>
    <w:uiPriority w:val="99"/>
    <w:semiHidden/>
    <w:unhideWhenUsed/>
    <w:rsid w:val="000C3B45"/>
    <w:rPr>
      <w:color w:val="605E5C"/>
      <w:shd w:val="clear" w:color="auto" w:fill="E1DFDD"/>
    </w:rPr>
  </w:style>
  <w:style w:type="paragraph" w:styleId="Revision">
    <w:name w:val="Revision"/>
    <w:hidden/>
    <w:uiPriority w:val="99"/>
    <w:semiHidden/>
    <w:rsid w:val="005847B1"/>
    <w:rPr>
      <w:lang w:eastAsia="en-US"/>
    </w:rPr>
  </w:style>
  <w:style w:type="paragraph" w:styleId="Title">
    <w:name w:val="Title"/>
    <w:next w:val="NumberedParas"/>
    <w:link w:val="TitleChar"/>
    <w:uiPriority w:val="11"/>
    <w:qFormat/>
    <w:rsid w:val="000C3B45"/>
    <w:pPr>
      <w:keepNext/>
      <w:keepLines/>
      <w:tabs>
        <w:tab w:val="right" w:pos="851"/>
        <w:tab w:val="left" w:pos="1701"/>
      </w:tabs>
      <w:suppressAutoHyphens/>
      <w:spacing w:before="360" w:after="240" w:line="300" w:lineRule="exact"/>
      <w:ind w:left="1134" w:right="1134"/>
      <w:jc w:val="center"/>
    </w:pPr>
    <w:rPr>
      <w:rFonts w:eastAsia="Calibri" w:cs="Arial"/>
      <w:b/>
      <w:sz w:val="28"/>
      <w:szCs w:val="22"/>
      <w:lang w:eastAsia="en-US"/>
    </w:rPr>
  </w:style>
  <w:style w:type="character" w:customStyle="1" w:styleId="TitleChar">
    <w:name w:val="Title Char"/>
    <w:link w:val="Title"/>
    <w:uiPriority w:val="11"/>
    <w:rsid w:val="000C3B45"/>
    <w:rPr>
      <w:rFonts w:eastAsia="Calibri" w:cs="Arial"/>
      <w:b/>
      <w:sz w:val="28"/>
      <w:szCs w:val="22"/>
      <w:lang w:eastAsia="en-US"/>
    </w:rPr>
  </w:style>
  <w:style w:type="character" w:customStyle="1" w:styleId="Heading1Char">
    <w:name w:val="Heading 1 Char"/>
    <w:aliases w:val="Table_G Char"/>
    <w:link w:val="Heading1"/>
    <w:rsid w:val="000C3B45"/>
    <w:rPr>
      <w:rFonts w:eastAsia="Calibri" w:cs="Arial"/>
      <w:b/>
      <w:sz w:val="28"/>
      <w:szCs w:val="22"/>
      <w:lang w:eastAsia="en-US"/>
    </w:rPr>
  </w:style>
  <w:style w:type="character" w:customStyle="1" w:styleId="Heading2Char">
    <w:name w:val="Heading 2 Char"/>
    <w:link w:val="Heading2"/>
    <w:rsid w:val="000C3B45"/>
    <w:rPr>
      <w:rFonts w:eastAsia="Calibri" w:cs="Arial"/>
      <w:b/>
      <w:sz w:val="24"/>
      <w:szCs w:val="22"/>
      <w:lang w:eastAsia="en-US"/>
    </w:rPr>
  </w:style>
  <w:style w:type="character" w:customStyle="1" w:styleId="Heading3Char">
    <w:name w:val="Heading 3 Char"/>
    <w:link w:val="Heading3"/>
    <w:rsid w:val="000C3B45"/>
    <w:rPr>
      <w:rFonts w:eastAsia="Calibri" w:cs="Arial"/>
      <w:b/>
      <w:szCs w:val="22"/>
      <w:lang w:eastAsia="en-US"/>
    </w:rPr>
  </w:style>
  <w:style w:type="character" w:customStyle="1" w:styleId="Heading4Char">
    <w:name w:val="Heading 4 Char"/>
    <w:link w:val="Heading4"/>
    <w:rsid w:val="000C3B45"/>
    <w:rPr>
      <w:rFonts w:eastAsia="Calibri" w:cs="Arial"/>
      <w:bCs/>
      <w:i/>
      <w:iCs/>
      <w:szCs w:val="22"/>
      <w:lang w:eastAsia="en-US"/>
    </w:rPr>
  </w:style>
  <w:style w:type="paragraph" w:customStyle="1" w:styleId="Footnotes">
    <w:name w:val="Footnotes"/>
    <w:link w:val="FootnotesChar"/>
    <w:qFormat/>
    <w:rsid w:val="000C3B45"/>
    <w:pPr>
      <w:ind w:left="1134"/>
    </w:pPr>
    <w:rPr>
      <w:rFonts w:eastAsia="Calibri" w:cs="Arial"/>
      <w:sz w:val="18"/>
      <w:lang w:eastAsia="en-US"/>
    </w:rPr>
  </w:style>
  <w:style w:type="character" w:customStyle="1" w:styleId="FootnotesChar">
    <w:name w:val="Footnotes Char"/>
    <w:link w:val="Footnotes"/>
    <w:rsid w:val="000C3B45"/>
    <w:rPr>
      <w:rFonts w:eastAsia="Calibri" w:cs="Arial"/>
      <w:sz w:val="18"/>
      <w:lang w:eastAsia="en-US"/>
    </w:rPr>
  </w:style>
  <w:style w:type="paragraph" w:customStyle="1" w:styleId="NumberedParas">
    <w:name w:val="Numbered Paras"/>
    <w:basedOn w:val="Normal"/>
    <w:link w:val="NumberedParasChar"/>
    <w:qFormat/>
    <w:rsid w:val="000C3B45"/>
    <w:pPr>
      <w:numPr>
        <w:numId w:val="43"/>
      </w:numPr>
      <w:tabs>
        <w:tab w:val="left" w:pos="1701"/>
      </w:tabs>
      <w:suppressAutoHyphens/>
      <w:adjustRightInd w:val="0"/>
      <w:snapToGrid w:val="0"/>
      <w:spacing w:line="240" w:lineRule="atLeast"/>
      <w:ind w:right="828"/>
      <w:jc w:val="lowKashida"/>
    </w:pPr>
    <w:rPr>
      <w:color w:val="000000"/>
    </w:rPr>
  </w:style>
  <w:style w:type="character" w:customStyle="1" w:styleId="NumberedParasChar">
    <w:name w:val="Numbered Paras Char"/>
    <w:link w:val="NumberedParas"/>
    <w:rsid w:val="000C3B45"/>
    <w:rPr>
      <w:rFonts w:eastAsia="Calibri" w:cs="Arial"/>
      <w:color w:val="000000"/>
      <w:szCs w:val="22"/>
      <w:lang w:eastAsia="en-US"/>
    </w:rPr>
  </w:style>
  <w:style w:type="character" w:styleId="SubtleEmphasis">
    <w:name w:val="Subtle Emphasis"/>
    <w:uiPriority w:val="19"/>
    <w:rsid w:val="000C3B45"/>
    <w:rPr>
      <w:i/>
      <w:iCs/>
      <w:color w:val="404040"/>
    </w:rPr>
  </w:style>
  <w:style w:type="character" w:styleId="IntenseEmphasis">
    <w:name w:val="Intense Emphasis"/>
    <w:uiPriority w:val="21"/>
    <w:rsid w:val="000C3B45"/>
    <w:rPr>
      <w:i/>
      <w:iCs/>
      <w:color w:val="4472C4"/>
    </w:rPr>
  </w:style>
  <w:style w:type="paragraph" w:styleId="Quote">
    <w:name w:val="Quote"/>
    <w:link w:val="QuoteChar"/>
    <w:uiPriority w:val="8"/>
    <w:qFormat/>
    <w:rsid w:val="000C3B45"/>
    <w:pPr>
      <w:spacing w:before="200" w:after="160"/>
      <w:ind w:left="1395" w:right="828"/>
      <w:jc w:val="both"/>
    </w:pPr>
    <w:rPr>
      <w:rFonts w:eastAsia="Calibri" w:cs="Arial"/>
      <w:iCs/>
      <w:szCs w:val="22"/>
      <w:lang w:eastAsia="en-US"/>
    </w:rPr>
  </w:style>
  <w:style w:type="character" w:customStyle="1" w:styleId="QuoteChar">
    <w:name w:val="Quote Char"/>
    <w:link w:val="Quote"/>
    <w:uiPriority w:val="8"/>
    <w:rsid w:val="000C3B45"/>
    <w:rPr>
      <w:rFonts w:eastAsia="Calibri" w:cs="Arial"/>
      <w:iCs/>
      <w:szCs w:val="22"/>
      <w:lang w:eastAsia="en-US"/>
    </w:rPr>
  </w:style>
  <w:style w:type="paragraph" w:styleId="IntenseQuote">
    <w:name w:val="Intense Quote"/>
    <w:basedOn w:val="Normal"/>
    <w:next w:val="Normal"/>
    <w:link w:val="IntenseQuoteChar"/>
    <w:uiPriority w:val="30"/>
    <w:rsid w:val="000C3B4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0C3B45"/>
    <w:rPr>
      <w:rFonts w:eastAsia="Calibri" w:cs="Arial"/>
      <w:i/>
      <w:iCs/>
      <w:color w:val="4472C4"/>
      <w:szCs w:val="22"/>
      <w:lang w:eastAsia="en-US"/>
    </w:rPr>
  </w:style>
  <w:style w:type="paragraph" w:styleId="Subtitle">
    <w:name w:val="Subtitle"/>
    <w:basedOn w:val="Normal"/>
    <w:next w:val="Normal"/>
    <w:link w:val="SubtitleChar"/>
    <w:uiPriority w:val="12"/>
    <w:rsid w:val="000C3B45"/>
    <w:pPr>
      <w:numPr>
        <w:ilvl w:val="1"/>
      </w:numPr>
      <w:spacing w:after="160"/>
      <w:ind w:left="1134"/>
    </w:pPr>
    <w:rPr>
      <w:rFonts w:ascii="Calibri" w:eastAsia="DengXian" w:hAnsi="Calibri"/>
      <w:color w:val="5A5A5A"/>
      <w:spacing w:val="15"/>
    </w:rPr>
  </w:style>
  <w:style w:type="character" w:customStyle="1" w:styleId="SubtitleChar">
    <w:name w:val="Subtitle Char"/>
    <w:link w:val="Subtitle"/>
    <w:uiPriority w:val="12"/>
    <w:rsid w:val="000C3B45"/>
    <w:rPr>
      <w:rFonts w:ascii="Calibri" w:eastAsia="DengXian" w:hAnsi="Calibri" w:cs="Arial"/>
      <w:color w:val="5A5A5A"/>
      <w:spacing w:val="15"/>
      <w:szCs w:val="22"/>
      <w:lang w:eastAsia="en-US"/>
    </w:rPr>
  </w:style>
  <w:style w:type="character" w:styleId="SubtleReference">
    <w:name w:val="Subtle Reference"/>
    <w:uiPriority w:val="31"/>
    <w:rsid w:val="000C3B45"/>
    <w:rPr>
      <w:smallCaps/>
      <w:color w:val="5A5A5A"/>
    </w:rPr>
  </w:style>
  <w:style w:type="character" w:styleId="IntenseReference">
    <w:name w:val="Intense Reference"/>
    <w:uiPriority w:val="32"/>
    <w:rsid w:val="000C3B45"/>
    <w:rPr>
      <w:b/>
      <w:bCs/>
      <w:smallCaps/>
      <w:color w:val="4472C4"/>
      <w:spacing w:val="5"/>
    </w:rPr>
  </w:style>
  <w:style w:type="character" w:styleId="BookTitle">
    <w:name w:val="Book Title"/>
    <w:uiPriority w:val="33"/>
    <w:rsid w:val="000C3B45"/>
    <w:rPr>
      <w:b/>
      <w:bCs/>
      <w:i/>
      <w:iCs/>
      <w:spacing w:val="5"/>
    </w:rPr>
  </w:style>
  <w:style w:type="character" w:customStyle="1" w:styleId="Heading5Char">
    <w:name w:val="Heading 5 Char"/>
    <w:link w:val="Heading5"/>
    <w:rsid w:val="000C3B45"/>
    <w:rPr>
      <w:rFonts w:eastAsia="Calibri" w:cs="Arial"/>
      <w:bCs/>
      <w:szCs w:val="22"/>
      <w:u w:val="single"/>
      <w:lang w:eastAsia="en-US"/>
    </w:rPr>
  </w:style>
  <w:style w:type="paragraph" w:styleId="NoSpacing">
    <w:name w:val="No Spacing"/>
    <w:uiPriority w:val="1"/>
    <w:rsid w:val="000C3B45"/>
    <w:rPr>
      <w:rFonts w:ascii="Calibri" w:eastAsia="Calibri" w:hAnsi="Calibri" w:cs="Arial"/>
      <w:sz w:val="22"/>
      <w:szCs w:val="22"/>
      <w:lang w:eastAsia="en-US"/>
    </w:rPr>
  </w:style>
  <w:style w:type="character" w:customStyle="1" w:styleId="HeaderChar">
    <w:name w:val="Header Char"/>
    <w:aliases w:val="6_G Char"/>
    <w:link w:val="Header"/>
    <w:rsid w:val="000C3B45"/>
    <w:rPr>
      <w:rFonts w:eastAsia="Calibri"/>
      <w:lang w:eastAsia="en-US"/>
    </w:rPr>
  </w:style>
  <w:style w:type="character" w:customStyle="1" w:styleId="CommentSubjectChar">
    <w:name w:val="Comment Subject Char"/>
    <w:link w:val="CommentSubject"/>
    <w:semiHidden/>
    <w:rsid w:val="000C3B45"/>
    <w:rPr>
      <w:rFonts w:eastAsia="Calibri" w:cs="Arial"/>
      <w:b/>
      <w:bCs/>
      <w:lang w:eastAsia="en-US"/>
    </w:rPr>
  </w:style>
  <w:style w:type="character" w:customStyle="1" w:styleId="Heading6Char">
    <w:name w:val="Heading 6 Char"/>
    <w:link w:val="Heading6"/>
    <w:rsid w:val="000C3B45"/>
    <w:rPr>
      <w:rFonts w:ascii="Calibri Light" w:eastAsia="DengXian Light" w:hAnsi="Calibri Light"/>
      <w:color w:val="1F3763"/>
      <w:szCs w:val="22"/>
      <w:lang w:eastAsia="en-US"/>
    </w:rPr>
  </w:style>
  <w:style w:type="character" w:customStyle="1" w:styleId="FooterChar">
    <w:name w:val="Footer Char"/>
    <w:aliases w:val="3_G Char"/>
    <w:link w:val="Footer"/>
    <w:rsid w:val="000C3B45"/>
    <w:rPr>
      <w:rFonts w:eastAsia="Calibri" w:cs="Arial"/>
      <w:szCs w:val="22"/>
      <w:lang w:eastAsia="en-US"/>
    </w:rPr>
  </w:style>
  <w:style w:type="character" w:customStyle="1" w:styleId="BalloonTextChar">
    <w:name w:val="Balloon Text Char"/>
    <w:link w:val="BalloonText"/>
    <w:semiHidden/>
    <w:rsid w:val="000C3B45"/>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509419463">
      <w:bodyDiv w:val="1"/>
      <w:marLeft w:val="0"/>
      <w:marRight w:val="0"/>
      <w:marTop w:val="0"/>
      <w:marBottom w:val="0"/>
      <w:divBdr>
        <w:top w:val="none" w:sz="0" w:space="0" w:color="auto"/>
        <w:left w:val="none" w:sz="0" w:space="0" w:color="auto"/>
        <w:bottom w:val="none" w:sz="0" w:space="0" w:color="auto"/>
        <w:right w:val="none" w:sz="0" w:space="0" w:color="auto"/>
      </w:divBdr>
    </w:div>
    <w:div w:id="557667048">
      <w:bodyDiv w:val="1"/>
      <w:marLeft w:val="0"/>
      <w:marRight w:val="0"/>
      <w:marTop w:val="0"/>
      <w:marBottom w:val="0"/>
      <w:divBdr>
        <w:top w:val="none" w:sz="0" w:space="0" w:color="auto"/>
        <w:left w:val="none" w:sz="0" w:space="0" w:color="auto"/>
        <w:bottom w:val="none" w:sz="0" w:space="0" w:color="auto"/>
        <w:right w:val="none" w:sz="0" w:space="0" w:color="auto"/>
      </w:divBdr>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28920368">
      <w:bodyDiv w:val="1"/>
      <w:marLeft w:val="0"/>
      <w:marRight w:val="0"/>
      <w:marTop w:val="0"/>
      <w:marBottom w:val="0"/>
      <w:divBdr>
        <w:top w:val="none" w:sz="0" w:space="0" w:color="auto"/>
        <w:left w:val="none" w:sz="0" w:space="0" w:color="auto"/>
        <w:bottom w:val="none" w:sz="0" w:space="0" w:color="auto"/>
        <w:right w:val="none" w:sz="0" w:space="0" w:color="auto"/>
      </w:divBdr>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1091469153">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environmental-policy/conventions/public-participation/aarhus-convention/tfwg/envppcc/envppcccom/acccc2016144-bulgari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B5BAD6B90F990844849380189D456564" ma:contentTypeVersion="13" ma:contentTypeDescription="Ein neues Dokument erstellen." ma:contentTypeScope="" ma:versionID="09cafe8c3fac36cd82bf804533ced6ed">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b01625ff48285524926438a3305446bf"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A87CC012-59F3-4ED2-9A8A-34CB97FDD5F1}">
  <ds:schemaRefs>
    <ds:schemaRef ds:uri="http://schemas.microsoft.com/office/2006/metadata/longProperties"/>
  </ds:schemaRefs>
</ds:datastoreItem>
</file>

<file path=customXml/itemProps2.xml><?xml version="1.0" encoding="utf-8"?>
<ds:datastoreItem xmlns:ds="http://schemas.openxmlformats.org/officeDocument/2006/customXml" ds:itemID="{EBCA3242-0B4C-43BA-8571-3DB07AE67774}">
  <ds:schemaRefs>
    <ds:schemaRef ds:uri="http://schemas.openxmlformats.org/officeDocument/2006/bibliography"/>
  </ds:schemaRefs>
</ds:datastoreItem>
</file>

<file path=customXml/itemProps3.xml><?xml version="1.0" encoding="utf-8"?>
<ds:datastoreItem xmlns:ds="http://schemas.openxmlformats.org/officeDocument/2006/customXml" ds:itemID="{E542DB09-08EE-48C0-8F46-5DBB7823896C}">
  <ds:schemaRefs>
    <ds:schemaRef ds:uri="http://schemas.microsoft.com/office/2006/metadata/longProperties"/>
  </ds:schemaRefs>
</ds:datastoreItem>
</file>

<file path=customXml/itemProps4.xml><?xml version="1.0" encoding="utf-8"?>
<ds:datastoreItem xmlns:ds="http://schemas.openxmlformats.org/officeDocument/2006/customXml" ds:itemID="{F3180F29-62CA-4E6C-A743-774332ED24E5}">
  <ds:schemaRefs>
    <ds:schemaRef ds:uri="http://schemas.microsoft.com/sharepoint/v3/contenttype/forms"/>
  </ds:schemaRefs>
</ds:datastoreItem>
</file>

<file path=customXml/itemProps5.xml><?xml version="1.0" encoding="utf-8"?>
<ds:datastoreItem xmlns:ds="http://schemas.openxmlformats.org/officeDocument/2006/customXml" ds:itemID="{F5980BCD-8BA0-4D7F-9A64-1696DE4ED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798AAA-E66D-483E-A76A-1C542D45A173}">
  <ds:schemaRefs>
    <ds:schemaRef ds:uri="http://schemas.microsoft.com/sharepoint/v3/contenttype/forms"/>
  </ds:schemaRefs>
</ds:datastoreItem>
</file>

<file path=customXml/itemProps7.xml><?xml version="1.0" encoding="utf-8"?>
<ds:datastoreItem xmlns:ds="http://schemas.openxmlformats.org/officeDocument/2006/customXml" ds:itemID="{4DF8012B-E1F8-44E2-9195-26DE8EE6D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1C1890E-82E0-49B1-A875-30287F29E23C}">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ACCC2.dotx</Template>
  <TotalTime>2</TotalTime>
  <Pages>21</Pages>
  <Words>8937</Words>
  <Characters>50941</Characters>
  <Application>Microsoft Office Word</Application>
  <DocSecurity>0</DocSecurity>
  <Lines>424</Lines>
  <Paragraphs>119</Paragraphs>
  <ScaleCrop>false</ScaleCrop>
  <HeadingPairs>
    <vt:vector size="10"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59759</CharactersWithSpaces>
  <SharedDoc>false</SharedDoc>
  <HLinks>
    <vt:vector size="6" baseType="variant">
      <vt:variant>
        <vt:i4>5963794</vt:i4>
      </vt:variant>
      <vt:variant>
        <vt:i4>0</vt:i4>
      </vt:variant>
      <vt:variant>
        <vt:i4>0</vt:i4>
      </vt:variant>
      <vt:variant>
        <vt:i4>5</vt:i4>
      </vt:variant>
      <vt:variant>
        <vt:lpwstr>https://www.unece.org/environmental-policy/conventions/public-participation/aarhus-convention/tfwg/envppcc/envppcccom/acccc2016144-bulgaria.html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cp:lastModifiedBy>Katri Veldre</cp:lastModifiedBy>
  <cp:revision>3</cp:revision>
  <cp:lastPrinted>2021-06-15T15:32:00Z</cp:lastPrinted>
  <dcterms:created xsi:type="dcterms:W3CDTF">2021-06-16T08:28:00Z</dcterms:created>
  <dcterms:modified xsi:type="dcterms:W3CDTF">2021-06-23T13:20:00Z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Fiona Marshall</vt:lpwstr>
  </property>
  <property fmtid="{D5CDD505-2E9C-101B-9397-08002B2CF9AE}" pid="3" name="Order">
    <vt:lpwstr>4354400.00000000</vt:lpwstr>
  </property>
  <property fmtid="{D5CDD505-2E9C-101B-9397-08002B2CF9AE}" pid="4" name="display_urn:schemas-microsoft-com:office:office#Author">
    <vt:lpwstr>Fiona Marshall</vt:lpwstr>
  </property>
  <property fmtid="{D5CDD505-2E9C-101B-9397-08002B2CF9AE}" pid="5" name="date">
    <vt:lpwstr/>
  </property>
</Properties>
</file>