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09AF" w14:textId="6D244A76" w:rsidR="00D14D7D" w:rsidRPr="00477AB0" w:rsidRDefault="00FA409B" w:rsidP="004A7732">
      <w:pPr>
        <w:pStyle w:val="Title"/>
      </w:pPr>
      <w:r w:rsidRPr="00477AB0">
        <w:t>Draft f</w:t>
      </w:r>
      <w:r w:rsidR="00D14D7D" w:rsidRPr="00477AB0">
        <w:rPr>
          <w:spacing w:val="-2"/>
        </w:rPr>
        <w:t xml:space="preserve">indings and recommendations </w:t>
      </w:r>
      <w:proofErr w:type="gramStart"/>
      <w:r w:rsidR="00D14D7D" w:rsidRPr="00477AB0">
        <w:rPr>
          <w:spacing w:val="-2"/>
        </w:rPr>
        <w:t>with regard to</w:t>
      </w:r>
      <w:proofErr w:type="gramEnd"/>
      <w:r w:rsidR="00D14D7D" w:rsidRPr="00477AB0">
        <w:rPr>
          <w:spacing w:val="-2"/>
        </w:rPr>
        <w:t xml:space="preserve"> communication</w:t>
      </w:r>
      <w:r w:rsidR="00D14D7D" w:rsidRPr="00477AB0">
        <w:t xml:space="preserve"> ACCC/C/</w:t>
      </w:r>
      <w:r w:rsidR="00462266" w:rsidRPr="00477AB0">
        <w:t>2015</w:t>
      </w:r>
      <w:r w:rsidRPr="00477AB0">
        <w:t>/</w:t>
      </w:r>
      <w:r w:rsidR="00462266" w:rsidRPr="00477AB0">
        <w:t>134</w:t>
      </w:r>
      <w:r w:rsidR="00D14D7D" w:rsidRPr="00477AB0">
        <w:t xml:space="preserve"> concerning compliance by </w:t>
      </w:r>
      <w:r w:rsidR="00462266" w:rsidRPr="00477AB0">
        <w:t>Belgium</w:t>
      </w:r>
    </w:p>
    <w:p w14:paraId="42AE441C" w14:textId="66E65D68" w:rsidR="00D14D7D" w:rsidRPr="00477AB0" w:rsidRDefault="00D14D7D" w:rsidP="004A7732">
      <w:pPr>
        <w:pStyle w:val="Title"/>
        <w:rPr>
          <w:sz w:val="24"/>
          <w:szCs w:val="24"/>
        </w:rPr>
      </w:pPr>
      <w:r w:rsidRPr="00477AB0">
        <w:rPr>
          <w:sz w:val="24"/>
          <w:szCs w:val="24"/>
        </w:rPr>
        <w:t>Adopted by the Compliance Committee on …</w:t>
      </w:r>
    </w:p>
    <w:p w14:paraId="3277AF3A" w14:textId="77777777" w:rsidR="00D14D7D" w:rsidRPr="00477AB0" w:rsidRDefault="00D14D7D" w:rsidP="00204A55">
      <w:pPr>
        <w:pStyle w:val="Heading1"/>
        <w:ind w:left="1134" w:firstLine="0"/>
      </w:pPr>
      <w:r w:rsidRPr="00477AB0">
        <w:t>Introduction</w:t>
      </w:r>
    </w:p>
    <w:p w14:paraId="348A21BB" w14:textId="754FC318" w:rsidR="00D14D7D" w:rsidRPr="00477AB0" w:rsidRDefault="00D14D7D" w:rsidP="00204A55">
      <w:pPr>
        <w:pStyle w:val="NumberedParas"/>
        <w:ind w:left="1134" w:firstLine="0"/>
      </w:pPr>
      <w:r w:rsidRPr="00477AB0">
        <w:t xml:space="preserve">On </w:t>
      </w:r>
      <w:r w:rsidR="00A65519" w:rsidRPr="00477AB0">
        <w:t>9 October 2015</w:t>
      </w:r>
      <w:r w:rsidR="00FA409B" w:rsidRPr="00477AB0">
        <w:t xml:space="preserve">, </w:t>
      </w:r>
      <w:proofErr w:type="spellStart"/>
      <w:r w:rsidR="00A65519" w:rsidRPr="00477AB0">
        <w:t>Avala</w:t>
      </w:r>
      <w:proofErr w:type="spellEnd"/>
      <w:r w:rsidR="00A65519" w:rsidRPr="00477AB0">
        <w:t xml:space="preserve"> ASBL</w:t>
      </w:r>
      <w:r w:rsidR="00774FD7" w:rsidRPr="00477AB0">
        <w:t>, a</w:t>
      </w:r>
      <w:r w:rsidR="00CB03BE" w:rsidRPr="00477AB0">
        <w:t xml:space="preserve"> nongovernmental organization, and Mr. Francis </w:t>
      </w:r>
      <w:proofErr w:type="spellStart"/>
      <w:r w:rsidR="00CB03BE" w:rsidRPr="00477AB0">
        <w:t>Doutreloux</w:t>
      </w:r>
      <w:proofErr w:type="spellEnd"/>
      <w:r w:rsidR="00A65519" w:rsidRPr="00477AB0">
        <w:t xml:space="preserve"> (</w:t>
      </w:r>
      <w:r w:rsidR="00774FD7" w:rsidRPr="00477AB0">
        <w:t xml:space="preserve">together </w:t>
      </w:r>
      <w:r w:rsidR="00A65519" w:rsidRPr="00477AB0">
        <w:t>the communicants)</w:t>
      </w:r>
      <w:r w:rsidR="00FA409B" w:rsidRPr="00477AB0">
        <w:t xml:space="preserve"> </w:t>
      </w:r>
      <w:r w:rsidRPr="00477AB0">
        <w:t>submitted a communication to the Compliance Committee under the Convention on Access to Information Public Participation</w:t>
      </w:r>
      <w:r w:rsidR="008208E0" w:rsidRPr="00477AB0">
        <w:t>s</w:t>
      </w:r>
      <w:r w:rsidRPr="00477AB0">
        <w:t xml:space="preserve"> in Decision-making and Access to Justice in Environmental Matters (Aarhus Convention) alleging the failure </w:t>
      </w:r>
      <w:r w:rsidR="00E4278B" w:rsidRPr="00477AB0">
        <w:t xml:space="preserve">of </w:t>
      </w:r>
      <w:r w:rsidR="00A65519" w:rsidRPr="00477AB0">
        <w:t>Belgium</w:t>
      </w:r>
      <w:r w:rsidR="00E4278B" w:rsidRPr="00477AB0">
        <w:t xml:space="preserve"> to comply with its obligations under </w:t>
      </w:r>
      <w:r w:rsidR="00CA34E9" w:rsidRPr="00477AB0">
        <w:t>the Convention.</w:t>
      </w:r>
    </w:p>
    <w:p w14:paraId="323CDEB9" w14:textId="60884B87" w:rsidR="00A9299D" w:rsidRPr="00477AB0" w:rsidRDefault="00D14D7D" w:rsidP="00204A55">
      <w:pPr>
        <w:pStyle w:val="NumberedParas"/>
        <w:ind w:left="1134" w:firstLine="0"/>
      </w:pPr>
      <w:r w:rsidRPr="00477AB0">
        <w:t xml:space="preserve">Specifically, </w:t>
      </w:r>
      <w:r w:rsidR="00A9299D" w:rsidRPr="00477AB0">
        <w:t>the communicant</w:t>
      </w:r>
      <w:r w:rsidR="00A65519" w:rsidRPr="00477AB0">
        <w:t xml:space="preserve">s </w:t>
      </w:r>
      <w:r w:rsidR="00A9299D" w:rsidRPr="00477AB0">
        <w:t xml:space="preserve">allege that the Party concerned </w:t>
      </w:r>
      <w:r w:rsidR="00A65519" w:rsidRPr="00477AB0">
        <w:t xml:space="preserve">failed to comply </w:t>
      </w:r>
      <w:r w:rsidR="006C191B" w:rsidRPr="00477AB0">
        <w:t xml:space="preserve">with article 1, </w:t>
      </w:r>
      <w:r w:rsidR="0083275B" w:rsidRPr="00477AB0">
        <w:t xml:space="preserve">article </w:t>
      </w:r>
      <w:r w:rsidR="006C191B" w:rsidRPr="00477AB0">
        <w:t xml:space="preserve">3, </w:t>
      </w:r>
      <w:r w:rsidR="0083275B" w:rsidRPr="00477AB0">
        <w:t xml:space="preserve">article </w:t>
      </w:r>
      <w:r w:rsidR="006C191B" w:rsidRPr="00477AB0">
        <w:t>4</w:t>
      </w:r>
      <w:r w:rsidR="00CB03BE" w:rsidRPr="00477AB0">
        <w:t>(</w:t>
      </w:r>
      <w:r w:rsidR="0083275B" w:rsidRPr="00477AB0">
        <w:t>1</w:t>
      </w:r>
      <w:r w:rsidR="00CB03BE" w:rsidRPr="00477AB0">
        <w:t>)</w:t>
      </w:r>
      <w:r w:rsidR="0083275B" w:rsidRPr="00477AB0">
        <w:t xml:space="preserve"> and </w:t>
      </w:r>
      <w:r w:rsidR="00CB03BE" w:rsidRPr="00477AB0">
        <w:t>(</w:t>
      </w:r>
      <w:r w:rsidR="0083275B" w:rsidRPr="00477AB0">
        <w:t>2</w:t>
      </w:r>
      <w:r w:rsidR="00CB03BE" w:rsidRPr="00477AB0">
        <w:t>)</w:t>
      </w:r>
      <w:r w:rsidR="006C191B" w:rsidRPr="00477AB0">
        <w:t xml:space="preserve"> and </w:t>
      </w:r>
      <w:r w:rsidR="0083275B" w:rsidRPr="00477AB0">
        <w:t xml:space="preserve">article </w:t>
      </w:r>
      <w:r w:rsidR="006C191B" w:rsidRPr="00477AB0">
        <w:t>9</w:t>
      </w:r>
      <w:r w:rsidR="00CB03BE" w:rsidRPr="00477AB0">
        <w:t>(</w:t>
      </w:r>
      <w:r w:rsidR="006C191B" w:rsidRPr="00477AB0">
        <w:t>1</w:t>
      </w:r>
      <w:r w:rsidR="00CB03BE" w:rsidRPr="00477AB0">
        <w:t>)</w:t>
      </w:r>
      <w:r w:rsidR="006C191B" w:rsidRPr="00477AB0">
        <w:t xml:space="preserve">, </w:t>
      </w:r>
      <w:r w:rsidR="00CB03BE" w:rsidRPr="00477AB0">
        <w:t>(</w:t>
      </w:r>
      <w:r w:rsidR="006C191B" w:rsidRPr="00477AB0">
        <w:t>3</w:t>
      </w:r>
      <w:r w:rsidR="00CB03BE" w:rsidRPr="00477AB0">
        <w:t>)</w:t>
      </w:r>
      <w:r w:rsidR="006C191B" w:rsidRPr="00477AB0">
        <w:t xml:space="preserve"> and </w:t>
      </w:r>
      <w:r w:rsidR="00CB03BE" w:rsidRPr="00477AB0">
        <w:t>(</w:t>
      </w:r>
      <w:r w:rsidR="006C191B" w:rsidRPr="00477AB0">
        <w:t>4</w:t>
      </w:r>
      <w:r w:rsidR="00CB03BE" w:rsidRPr="00477AB0">
        <w:t>)</w:t>
      </w:r>
      <w:r w:rsidR="006C191B" w:rsidRPr="00477AB0">
        <w:t xml:space="preserve"> of the Convention in connection </w:t>
      </w:r>
      <w:r w:rsidR="00CB03BE" w:rsidRPr="00477AB0">
        <w:t xml:space="preserve">with </w:t>
      </w:r>
      <w:r w:rsidR="002839CE" w:rsidRPr="00477AB0">
        <w:t>access to environmental information</w:t>
      </w:r>
      <w:r w:rsidR="006C191B" w:rsidRPr="00477AB0">
        <w:t>.</w:t>
      </w:r>
      <w:r w:rsidR="00A9299D" w:rsidRPr="00477AB0">
        <w:t xml:space="preserve"> </w:t>
      </w:r>
    </w:p>
    <w:p w14:paraId="16E116CB" w14:textId="67C66C88" w:rsidR="006C191B" w:rsidRPr="00477AB0" w:rsidRDefault="006C191B" w:rsidP="00204A55">
      <w:pPr>
        <w:pStyle w:val="NumberedParas"/>
        <w:ind w:left="1134" w:firstLine="0"/>
      </w:pPr>
      <w:r w:rsidRPr="00477AB0">
        <w:t xml:space="preserve">By letter of </w:t>
      </w:r>
      <w:r w:rsidR="00277247" w:rsidRPr="00477AB0">
        <w:t>18</w:t>
      </w:r>
      <w:r w:rsidR="005D56F6" w:rsidRPr="00477AB0">
        <w:t xml:space="preserve"> November</w:t>
      </w:r>
      <w:r w:rsidRPr="00477AB0">
        <w:t xml:space="preserve"> 2015, the Chair and Vice-Chair requested additional information on the use of domestic remedies from the communicant. The communicant provided further information </w:t>
      </w:r>
      <w:r w:rsidR="00CB03BE" w:rsidRPr="00477AB0">
        <w:t xml:space="preserve">on </w:t>
      </w:r>
      <w:r w:rsidRPr="00477AB0">
        <w:t>20 November 2015.</w:t>
      </w:r>
    </w:p>
    <w:p w14:paraId="6439263D" w14:textId="2462F0BD" w:rsidR="00D14D7D" w:rsidRPr="00477AB0" w:rsidRDefault="00D14D7D" w:rsidP="00204A55">
      <w:pPr>
        <w:pStyle w:val="NumberedParas"/>
        <w:ind w:left="1134" w:firstLine="0"/>
      </w:pPr>
      <w:r w:rsidRPr="00477AB0">
        <w:t xml:space="preserve">At its </w:t>
      </w:r>
      <w:r w:rsidR="006C191B" w:rsidRPr="00477AB0">
        <w:t>fifty-first</w:t>
      </w:r>
      <w:r w:rsidR="00FA409B" w:rsidRPr="00477AB0">
        <w:t xml:space="preserve"> </w:t>
      </w:r>
      <w:r w:rsidR="005F7F9D" w:rsidRPr="00477AB0">
        <w:t>meeting</w:t>
      </w:r>
      <w:r w:rsidR="00FA409B" w:rsidRPr="00477AB0">
        <w:t xml:space="preserve"> (</w:t>
      </w:r>
      <w:r w:rsidR="00F44BFE" w:rsidRPr="00477AB0">
        <w:t xml:space="preserve">Geneva, </w:t>
      </w:r>
      <w:r w:rsidR="006C191B" w:rsidRPr="00477AB0">
        <w:t>15</w:t>
      </w:r>
      <w:r w:rsidR="006F1F12">
        <w:t>-</w:t>
      </w:r>
      <w:r w:rsidR="006C191B" w:rsidRPr="00477AB0">
        <w:t>18 December 2015</w:t>
      </w:r>
      <w:r w:rsidR="00FA409B" w:rsidRPr="00477AB0">
        <w:t>),</w:t>
      </w:r>
      <w:r w:rsidR="005F7F9D" w:rsidRPr="00477AB0">
        <w:t xml:space="preserve"> </w:t>
      </w:r>
      <w:r w:rsidRPr="00477AB0">
        <w:t>the Committee determined on a preliminary basis that the communication was admissible.</w:t>
      </w:r>
    </w:p>
    <w:p w14:paraId="7F7CD37D" w14:textId="423E8C3A" w:rsidR="00D14D7D" w:rsidRPr="00477AB0" w:rsidRDefault="00D14D7D" w:rsidP="00204A55">
      <w:pPr>
        <w:pStyle w:val="NumberedParas"/>
        <w:ind w:left="1134" w:firstLine="0"/>
      </w:pPr>
      <w:r w:rsidRPr="00477AB0">
        <w:t xml:space="preserve">Pursuant to paragraph 22 of the annex to decision I/7 of the Meeting of the Parties to the Convention, the communication was forwarded to the Party concerned on </w:t>
      </w:r>
      <w:r w:rsidR="006C191B" w:rsidRPr="00477AB0">
        <w:t>1</w:t>
      </w:r>
      <w:r w:rsidR="003C3ACC" w:rsidRPr="00477AB0">
        <w:t>1</w:t>
      </w:r>
      <w:r w:rsidR="006C191B" w:rsidRPr="00477AB0">
        <w:t xml:space="preserve"> March 2016 </w:t>
      </w:r>
      <w:r w:rsidR="007B15E4" w:rsidRPr="00477AB0">
        <w:t>for its response</w:t>
      </w:r>
      <w:r w:rsidR="006C191B" w:rsidRPr="00477AB0">
        <w:t xml:space="preserve"> by 10 August 2016</w:t>
      </w:r>
      <w:r w:rsidRPr="00477AB0">
        <w:t>.</w:t>
      </w:r>
    </w:p>
    <w:p w14:paraId="35D13377" w14:textId="2B9A7BB3" w:rsidR="006C191B" w:rsidRPr="00477AB0" w:rsidRDefault="006C191B" w:rsidP="00204A55">
      <w:pPr>
        <w:pStyle w:val="NumberedParas"/>
        <w:ind w:left="1134" w:firstLine="0"/>
      </w:pPr>
      <w:r w:rsidRPr="00477AB0">
        <w:t>On 13 June 2016, the communicants provided additional information.</w:t>
      </w:r>
    </w:p>
    <w:p w14:paraId="72CA60BD" w14:textId="74965958" w:rsidR="003A1838" w:rsidRPr="00477AB0" w:rsidRDefault="00D14D7D" w:rsidP="00204A55">
      <w:pPr>
        <w:pStyle w:val="NumberedParas"/>
        <w:ind w:left="1134" w:firstLine="0"/>
      </w:pPr>
      <w:r w:rsidRPr="00477AB0">
        <w:t xml:space="preserve">The Party concerned </w:t>
      </w:r>
      <w:r w:rsidR="007B15E4" w:rsidRPr="00477AB0">
        <w:t>provided its response to the communication</w:t>
      </w:r>
      <w:r w:rsidRPr="00477AB0">
        <w:t xml:space="preserve"> on </w:t>
      </w:r>
      <w:r w:rsidR="006C191B" w:rsidRPr="00477AB0">
        <w:t xml:space="preserve">2 </w:t>
      </w:r>
      <w:r w:rsidR="007B15E4" w:rsidRPr="00477AB0">
        <w:t xml:space="preserve">August </w:t>
      </w:r>
      <w:r w:rsidR="006C191B" w:rsidRPr="00477AB0">
        <w:t>2016</w:t>
      </w:r>
      <w:r w:rsidR="00322021" w:rsidRPr="00477AB0">
        <w:t xml:space="preserve">, and a corrected version </w:t>
      </w:r>
      <w:r w:rsidR="008365C8" w:rsidRPr="00477AB0">
        <w:t>on 28 November 2016</w:t>
      </w:r>
      <w:r w:rsidR="003A1838" w:rsidRPr="00477AB0">
        <w:t>.</w:t>
      </w:r>
    </w:p>
    <w:p w14:paraId="3835C5AF" w14:textId="0444613F" w:rsidR="006C191B" w:rsidRPr="00477AB0" w:rsidRDefault="006C191B" w:rsidP="00204A55">
      <w:pPr>
        <w:pStyle w:val="NumberedParas"/>
        <w:ind w:left="1134" w:firstLine="0"/>
      </w:pPr>
      <w:r w:rsidRPr="00477AB0">
        <w:t>On 27 September 2016, the communicants provided additional information.</w:t>
      </w:r>
    </w:p>
    <w:p w14:paraId="4E535F57" w14:textId="46EE81B9" w:rsidR="00F44BFE" w:rsidRPr="00477AB0" w:rsidRDefault="00F44BFE" w:rsidP="00204A55">
      <w:pPr>
        <w:pStyle w:val="NumberedParas"/>
        <w:ind w:left="1134" w:firstLine="0"/>
      </w:pPr>
      <w:r w:rsidRPr="00477AB0">
        <w:t>At the Committee’s fifty-fifth meeting (Geneva, 6</w:t>
      </w:r>
      <w:r w:rsidR="00322021" w:rsidRPr="00477AB0">
        <w:t>-</w:t>
      </w:r>
      <w:r w:rsidRPr="00477AB0">
        <w:t xml:space="preserve">9 December 2016), the Party concerned made a statement </w:t>
      </w:r>
      <w:proofErr w:type="gramStart"/>
      <w:r w:rsidRPr="00477AB0">
        <w:t>with regard to</w:t>
      </w:r>
      <w:proofErr w:type="gramEnd"/>
      <w:r w:rsidRPr="00477AB0">
        <w:t xml:space="preserve"> the communication.</w:t>
      </w:r>
    </w:p>
    <w:p w14:paraId="7BFA94E1" w14:textId="01579E02" w:rsidR="00F44BFE" w:rsidRPr="00477AB0" w:rsidRDefault="00F44BFE" w:rsidP="00204A55">
      <w:pPr>
        <w:pStyle w:val="NumberedParas"/>
        <w:ind w:left="1134" w:firstLine="0"/>
      </w:pPr>
      <w:r w:rsidRPr="00477AB0">
        <w:t xml:space="preserve">On 4 October 2017, the communicants provided </w:t>
      </w:r>
      <w:r w:rsidR="002839CE" w:rsidRPr="00477AB0">
        <w:t>additional</w:t>
      </w:r>
      <w:r w:rsidRPr="00477AB0">
        <w:t xml:space="preserve"> information.</w:t>
      </w:r>
    </w:p>
    <w:p w14:paraId="2692F757" w14:textId="2E8958DA" w:rsidR="002839CE" w:rsidRPr="00477AB0" w:rsidRDefault="002839CE" w:rsidP="00204A55">
      <w:pPr>
        <w:pStyle w:val="NumberedParas"/>
        <w:ind w:left="1134" w:firstLine="0"/>
      </w:pPr>
      <w:r w:rsidRPr="00477AB0">
        <w:t>On 1 March 2018, the Party concerned provided additional information</w:t>
      </w:r>
      <w:r w:rsidR="00DB6D0A" w:rsidRPr="00477AB0">
        <w:t>.</w:t>
      </w:r>
    </w:p>
    <w:p w14:paraId="1A672AAB" w14:textId="4FD98558" w:rsidR="00815D85" w:rsidRPr="00477AB0" w:rsidRDefault="00FF0F47" w:rsidP="00204A55">
      <w:pPr>
        <w:pStyle w:val="NumberedParas"/>
        <w:ind w:left="1134" w:firstLine="0"/>
      </w:pPr>
      <w:r w:rsidRPr="00477AB0">
        <w:t xml:space="preserve">On </w:t>
      </w:r>
      <w:r w:rsidR="00863BBF" w:rsidRPr="00477AB0">
        <w:t>6</w:t>
      </w:r>
      <w:r w:rsidRPr="00477AB0">
        <w:t xml:space="preserve"> March 2018, the communicants provided </w:t>
      </w:r>
      <w:r w:rsidR="00863BBF" w:rsidRPr="00477AB0">
        <w:t xml:space="preserve">comments on the Party </w:t>
      </w:r>
      <w:proofErr w:type="spellStart"/>
      <w:r w:rsidR="00863BBF" w:rsidRPr="00477AB0">
        <w:t>concerned’s</w:t>
      </w:r>
      <w:proofErr w:type="spellEnd"/>
      <w:r w:rsidR="00863BBF" w:rsidRPr="00477AB0">
        <w:t xml:space="preserve"> letter of 1 March 2018. On 23 April 2018, the communicants provided </w:t>
      </w:r>
      <w:r w:rsidR="00322021" w:rsidRPr="00477AB0">
        <w:t>additional information</w:t>
      </w:r>
      <w:r w:rsidR="00863BBF" w:rsidRPr="00477AB0">
        <w:t>.</w:t>
      </w:r>
    </w:p>
    <w:p w14:paraId="40D24BB1" w14:textId="7BA27C13" w:rsidR="00D14D7D" w:rsidRPr="00477AB0" w:rsidRDefault="00D14D7D" w:rsidP="00204A55">
      <w:pPr>
        <w:pStyle w:val="NumberedParas"/>
        <w:ind w:left="1134" w:firstLine="0"/>
      </w:pPr>
      <w:r w:rsidRPr="00477AB0">
        <w:t xml:space="preserve">The Committee </w:t>
      </w:r>
      <w:r w:rsidR="00DD482A" w:rsidRPr="00477AB0">
        <w:t xml:space="preserve">held a hearing to discuss the substance of </w:t>
      </w:r>
      <w:r w:rsidRPr="00477AB0">
        <w:t xml:space="preserve">the communication at its </w:t>
      </w:r>
      <w:r w:rsidR="00322021" w:rsidRPr="00477AB0">
        <w:t xml:space="preserve">sixty-second </w:t>
      </w:r>
      <w:r w:rsidRPr="00477AB0">
        <w:t>meeting</w:t>
      </w:r>
      <w:r w:rsidR="00DD482A" w:rsidRPr="00477AB0">
        <w:t xml:space="preserve"> (</w:t>
      </w:r>
      <w:r w:rsidR="00F44BFE" w:rsidRPr="00477AB0">
        <w:t xml:space="preserve">Geneva, </w:t>
      </w:r>
      <w:r w:rsidR="00815D85" w:rsidRPr="00477AB0">
        <w:t>5-9 November</w:t>
      </w:r>
      <w:r w:rsidR="00F44BFE" w:rsidRPr="00477AB0">
        <w:t xml:space="preserve"> 2018</w:t>
      </w:r>
      <w:r w:rsidR="00FA409B" w:rsidRPr="00477AB0">
        <w:t>)</w:t>
      </w:r>
      <w:r w:rsidRPr="00477AB0">
        <w:t>, with the participation of the communicant</w:t>
      </w:r>
      <w:r w:rsidR="00322021" w:rsidRPr="00477AB0">
        <w:t>s</w:t>
      </w:r>
      <w:r w:rsidRPr="00477AB0">
        <w:t xml:space="preserve"> and the Party concerned. </w:t>
      </w:r>
    </w:p>
    <w:p w14:paraId="37A163D7" w14:textId="6C3B406E" w:rsidR="00DE5370" w:rsidRPr="00477AB0" w:rsidRDefault="000318BA" w:rsidP="00204A55">
      <w:pPr>
        <w:pStyle w:val="NumberedParas"/>
        <w:ind w:left="1134" w:firstLine="0"/>
      </w:pPr>
      <w:r w:rsidRPr="00477AB0">
        <w:t>On 28 June 2019, the Committee sent questions to the communicant</w:t>
      </w:r>
      <w:r w:rsidR="00322021" w:rsidRPr="00477AB0">
        <w:t>s</w:t>
      </w:r>
      <w:r w:rsidRPr="00477AB0">
        <w:t xml:space="preserve"> and the Party concerned</w:t>
      </w:r>
      <w:r w:rsidR="009A4A36" w:rsidRPr="00477AB0">
        <w:t>.</w:t>
      </w:r>
      <w:r w:rsidRPr="00477AB0">
        <w:t xml:space="preserve"> </w:t>
      </w:r>
      <w:r w:rsidR="00DE5370" w:rsidRPr="00477AB0">
        <w:t xml:space="preserve">The communicants </w:t>
      </w:r>
      <w:r w:rsidR="00322021" w:rsidRPr="00477AB0">
        <w:t xml:space="preserve">and the Party concerned </w:t>
      </w:r>
      <w:r w:rsidR="00DE5370" w:rsidRPr="00477AB0">
        <w:t xml:space="preserve">provided their replies to the Committee’s questions on 14 </w:t>
      </w:r>
      <w:r w:rsidR="00322021" w:rsidRPr="00477AB0">
        <w:t xml:space="preserve">and 15 </w:t>
      </w:r>
      <w:r w:rsidR="00DE5370" w:rsidRPr="00477AB0">
        <w:t>August 2019</w:t>
      </w:r>
      <w:r w:rsidR="00322021" w:rsidRPr="00477AB0">
        <w:t xml:space="preserve"> respectively</w:t>
      </w:r>
      <w:r w:rsidR="00DE5370" w:rsidRPr="00477AB0">
        <w:t>.</w:t>
      </w:r>
    </w:p>
    <w:p w14:paraId="54BE04D8" w14:textId="43BA6F6C" w:rsidR="00A775E7" w:rsidRPr="00477AB0" w:rsidRDefault="00A775E7" w:rsidP="00204A55">
      <w:pPr>
        <w:pStyle w:val="NumberedParas"/>
        <w:ind w:left="1134" w:firstLine="0"/>
      </w:pPr>
      <w:r w:rsidRPr="00477AB0">
        <w:t>On 7 October 2020</w:t>
      </w:r>
      <w:r w:rsidR="00196A96" w:rsidRPr="00477AB0">
        <w:t xml:space="preserve"> and 9 November 2020, </w:t>
      </w:r>
      <w:r w:rsidRPr="00477AB0">
        <w:t>the communicants provided additional information.</w:t>
      </w:r>
      <w:r w:rsidR="00D23F6C" w:rsidRPr="00477AB0">
        <w:t xml:space="preserve"> </w:t>
      </w:r>
    </w:p>
    <w:p w14:paraId="7D3915D1" w14:textId="7D1874ED" w:rsidR="00196A96" w:rsidRPr="00477AB0" w:rsidRDefault="00196A96" w:rsidP="00204A55">
      <w:pPr>
        <w:pStyle w:val="NumberedParas"/>
        <w:ind w:left="1134" w:firstLine="0"/>
      </w:pPr>
      <w:r w:rsidRPr="00477AB0">
        <w:t>On 11 February 2021, the Party concerned commented on the</w:t>
      </w:r>
      <w:r w:rsidR="00322021" w:rsidRPr="00477AB0">
        <w:t xml:space="preserve"> communicants’</w:t>
      </w:r>
      <w:r w:rsidRPr="00477AB0">
        <w:t xml:space="preserve"> additional information </w:t>
      </w:r>
      <w:r w:rsidR="00322021" w:rsidRPr="00477AB0">
        <w:t xml:space="preserve">of </w:t>
      </w:r>
      <w:r w:rsidRPr="00477AB0">
        <w:t>9 November 2020.</w:t>
      </w:r>
    </w:p>
    <w:p w14:paraId="6E85FDF1" w14:textId="06298C8A" w:rsidR="00D14D7D" w:rsidRPr="00477AB0" w:rsidRDefault="00D14D7D" w:rsidP="00204A55">
      <w:pPr>
        <w:pStyle w:val="NumberedParas"/>
        <w:ind w:left="1134" w:firstLine="0"/>
        <w:rPr>
          <w:iCs/>
        </w:rPr>
      </w:pPr>
      <w:r w:rsidRPr="00477AB0">
        <w:rPr>
          <w:iCs/>
        </w:rPr>
        <w:lastRenderedPageBreak/>
        <w:t xml:space="preserve">The Committee </w:t>
      </w:r>
      <w:r w:rsidR="00DD482A" w:rsidRPr="00477AB0">
        <w:rPr>
          <w:iCs/>
        </w:rPr>
        <w:t xml:space="preserve">completed its </w:t>
      </w:r>
      <w:r w:rsidRPr="00477AB0">
        <w:rPr>
          <w:iCs/>
        </w:rPr>
        <w:t xml:space="preserve">draft findings </w:t>
      </w:r>
      <w:r w:rsidR="000336F4" w:rsidRPr="00477AB0">
        <w:rPr>
          <w:iCs/>
        </w:rPr>
        <w:t xml:space="preserve">through its electronic decision-making procedure </w:t>
      </w:r>
      <w:r w:rsidR="00FA409B" w:rsidRPr="00477AB0">
        <w:rPr>
          <w:iCs/>
        </w:rPr>
        <w:t xml:space="preserve">on </w:t>
      </w:r>
      <w:r w:rsidR="00BD233F" w:rsidRPr="00477AB0">
        <w:rPr>
          <w:iCs/>
        </w:rPr>
        <w:t>1</w:t>
      </w:r>
      <w:r w:rsidR="00523F4A">
        <w:rPr>
          <w:iCs/>
        </w:rPr>
        <w:t>7</w:t>
      </w:r>
      <w:r w:rsidR="00BD233F" w:rsidRPr="00477AB0">
        <w:rPr>
          <w:iCs/>
        </w:rPr>
        <w:t xml:space="preserve"> June 2021</w:t>
      </w:r>
      <w:r w:rsidRPr="00477AB0">
        <w:rPr>
          <w:iCs/>
        </w:rPr>
        <w:t xml:space="preserve">. </w:t>
      </w:r>
      <w:bookmarkStart w:id="0" w:name="_Hlk55641144"/>
      <w:r w:rsidRPr="00477AB0">
        <w:rPr>
          <w:iCs/>
        </w:rPr>
        <w:t xml:space="preserve">In accordance with paragraph 34 of the annex to decision I/7, the draft findings were then forwarded </w:t>
      </w:r>
      <w:r w:rsidR="00BD233F" w:rsidRPr="00477AB0">
        <w:rPr>
          <w:iCs/>
        </w:rPr>
        <w:t xml:space="preserve">on that date </w:t>
      </w:r>
      <w:r w:rsidRPr="00477AB0">
        <w:rPr>
          <w:iCs/>
        </w:rPr>
        <w:t xml:space="preserve">to the Party concerned and the communicant </w:t>
      </w:r>
      <w:r w:rsidR="00BD233F" w:rsidRPr="00477AB0">
        <w:rPr>
          <w:iCs/>
        </w:rPr>
        <w:t>for their comments</w:t>
      </w:r>
      <w:r w:rsidRPr="00477AB0">
        <w:rPr>
          <w:iCs/>
        </w:rPr>
        <w:t xml:space="preserve">. Both were invited to provide comments by </w:t>
      </w:r>
      <w:r w:rsidR="00BD233F" w:rsidRPr="00477AB0">
        <w:rPr>
          <w:iCs/>
        </w:rPr>
        <w:t>23 July 2021</w:t>
      </w:r>
      <w:r w:rsidRPr="00477AB0">
        <w:rPr>
          <w:iCs/>
        </w:rPr>
        <w:t>.</w:t>
      </w:r>
    </w:p>
    <w:p w14:paraId="3BADD2E6" w14:textId="221BB5FF" w:rsidR="00D14D7D" w:rsidRPr="00477AB0" w:rsidRDefault="00C85938" w:rsidP="00204A55">
      <w:pPr>
        <w:pStyle w:val="NumberedParas"/>
        <w:ind w:left="1134" w:firstLine="0"/>
        <w:rPr>
          <w:i/>
        </w:rPr>
      </w:pPr>
      <w:r w:rsidRPr="00477AB0">
        <w:rPr>
          <w:i/>
        </w:rPr>
        <w:t>T</w:t>
      </w:r>
      <w:r w:rsidR="00D14D7D" w:rsidRPr="00477AB0">
        <w:rPr>
          <w:i/>
        </w:rPr>
        <w:t xml:space="preserve">he Committee </w:t>
      </w:r>
      <w:r w:rsidR="00322021" w:rsidRPr="00477AB0">
        <w:rPr>
          <w:i/>
        </w:rPr>
        <w:t xml:space="preserve">finalized its findings </w:t>
      </w:r>
      <w:proofErr w:type="gramStart"/>
      <w:r w:rsidR="00322021" w:rsidRPr="00477AB0">
        <w:rPr>
          <w:i/>
        </w:rPr>
        <w:t>taking into account</w:t>
      </w:r>
      <w:proofErr w:type="gramEnd"/>
      <w:r w:rsidR="00322021" w:rsidRPr="00477AB0">
        <w:rPr>
          <w:i/>
        </w:rPr>
        <w:t xml:space="preserve"> the comments received. It </w:t>
      </w:r>
      <w:r w:rsidR="00D14D7D" w:rsidRPr="00477AB0">
        <w:rPr>
          <w:i/>
        </w:rPr>
        <w:t xml:space="preserve">then adopted its </w:t>
      </w:r>
      <w:r w:rsidR="00322021" w:rsidRPr="00477AB0">
        <w:rPr>
          <w:i/>
        </w:rPr>
        <w:t>findings</w:t>
      </w:r>
      <w:r w:rsidR="00D14D7D" w:rsidRPr="00477AB0">
        <w:rPr>
          <w:i/>
        </w:rPr>
        <w:t xml:space="preserve"> and agreed that they should be published as a formal pre-session document to its </w:t>
      </w:r>
      <w:r w:rsidR="00FA409B" w:rsidRPr="00477AB0">
        <w:rPr>
          <w:i/>
        </w:rPr>
        <w:t>xx</w:t>
      </w:r>
      <w:r w:rsidR="00BC10F5" w:rsidRPr="00477AB0">
        <w:rPr>
          <w:i/>
        </w:rPr>
        <w:t xml:space="preserve"> </w:t>
      </w:r>
      <w:r w:rsidR="00D14D7D" w:rsidRPr="00477AB0">
        <w:rPr>
          <w:i/>
        </w:rPr>
        <w:t>meeting</w:t>
      </w:r>
      <w:r w:rsidR="00BC10F5" w:rsidRPr="00477AB0">
        <w:rPr>
          <w:i/>
        </w:rPr>
        <w:t xml:space="preserve"> (</w:t>
      </w:r>
      <w:r w:rsidR="00FA409B" w:rsidRPr="00477AB0">
        <w:rPr>
          <w:i/>
        </w:rPr>
        <w:t>xx</w:t>
      </w:r>
      <w:r w:rsidR="00BC10F5" w:rsidRPr="00477AB0">
        <w:rPr>
          <w:i/>
        </w:rPr>
        <w:t>)</w:t>
      </w:r>
      <w:r w:rsidR="00D14D7D" w:rsidRPr="00477AB0">
        <w:rPr>
          <w:i/>
        </w:rPr>
        <w:t>. It requested the secretariat to send the findings to the Party concerned and the communicant.</w:t>
      </w:r>
    </w:p>
    <w:bookmarkEnd w:id="0"/>
    <w:p w14:paraId="1680976D" w14:textId="77777777" w:rsidR="00D14D7D" w:rsidRPr="00477AB0" w:rsidRDefault="00D14D7D" w:rsidP="00204A55">
      <w:pPr>
        <w:pStyle w:val="Heading1"/>
        <w:ind w:left="1134" w:firstLine="0"/>
      </w:pPr>
      <w:r w:rsidRPr="00477AB0">
        <w:t xml:space="preserve">Summary of facts, </w:t>
      </w:r>
      <w:proofErr w:type="gramStart"/>
      <w:r w:rsidRPr="00477AB0">
        <w:t>evidence</w:t>
      </w:r>
      <w:proofErr w:type="gramEnd"/>
      <w:r w:rsidRPr="00477AB0">
        <w:t xml:space="preserve"> and issues</w:t>
      </w:r>
      <w:r w:rsidR="009A5DF2" w:rsidRPr="00477AB0">
        <w:rPr>
          <w:rStyle w:val="FootnoteReference"/>
          <w:rFonts w:eastAsia="Times New Roman"/>
          <w:bCs/>
          <w:sz w:val="20"/>
          <w:szCs w:val="20"/>
        </w:rPr>
        <w:footnoteReference w:id="2"/>
      </w:r>
    </w:p>
    <w:p w14:paraId="5E3DEA37" w14:textId="77777777" w:rsidR="00B854EF" w:rsidRPr="00477AB0" w:rsidRDefault="00D14D7D" w:rsidP="00204A55">
      <w:pPr>
        <w:pStyle w:val="Heading2"/>
        <w:ind w:left="1134" w:firstLine="0"/>
      </w:pPr>
      <w:r w:rsidRPr="00477AB0">
        <w:t xml:space="preserve">Legal framework </w:t>
      </w:r>
    </w:p>
    <w:p w14:paraId="388D7524" w14:textId="60986BA4" w:rsidR="00D80354" w:rsidRPr="00477AB0" w:rsidRDefault="008F42AD" w:rsidP="00204A55">
      <w:pPr>
        <w:pStyle w:val="NumberedParas"/>
        <w:ind w:left="1134" w:firstLine="0"/>
      </w:pPr>
      <w:r w:rsidRPr="00477AB0">
        <w:t xml:space="preserve"> </w:t>
      </w:r>
      <w:bookmarkStart w:id="1" w:name="_Ref508122234"/>
      <w:r w:rsidR="00D80354" w:rsidRPr="00477AB0">
        <w:t>Article D.15</w:t>
      </w:r>
      <w:r w:rsidR="00BD2A42" w:rsidRPr="00477AB0">
        <w:t>.1.a and b</w:t>
      </w:r>
      <w:r w:rsidR="00D80354" w:rsidRPr="00477AB0">
        <w:t xml:space="preserve"> of </w:t>
      </w:r>
      <w:r w:rsidR="00B856D6" w:rsidRPr="00477AB0">
        <w:t xml:space="preserve">Book 1 of </w:t>
      </w:r>
      <w:r w:rsidR="00D80354" w:rsidRPr="00477AB0">
        <w:t>the Environmental Code</w:t>
      </w:r>
      <w:r w:rsidR="00B856D6" w:rsidRPr="00477AB0">
        <w:t xml:space="preserve"> </w:t>
      </w:r>
      <w:r w:rsidR="006D12A6" w:rsidRPr="00477AB0">
        <w:t xml:space="preserve">of the Walloon region </w:t>
      </w:r>
      <w:r w:rsidR="00D80354" w:rsidRPr="00477AB0">
        <w:t>requires public authorities to make available environmental information requested as soon as possible and, at the latest, within one month following the receipt of the request</w:t>
      </w:r>
      <w:r w:rsidR="00B95158" w:rsidRPr="00477AB0">
        <w:t xml:space="preserve"> or within two months when the volume and complexity of the information means that the one month deadline cannot be respected</w:t>
      </w:r>
      <w:r w:rsidR="00D80354" w:rsidRPr="00477AB0">
        <w:t>.</w:t>
      </w:r>
      <w:r w:rsidR="00D80354" w:rsidRPr="00477AB0">
        <w:rPr>
          <w:rStyle w:val="FootnoteReference"/>
          <w:rFonts w:eastAsia="Times New Roman"/>
          <w:szCs w:val="20"/>
        </w:rPr>
        <w:footnoteReference w:id="3"/>
      </w:r>
      <w:bookmarkEnd w:id="1"/>
    </w:p>
    <w:p w14:paraId="49A58820" w14:textId="58842551" w:rsidR="00810795" w:rsidRPr="00477AB0" w:rsidRDefault="00810795" w:rsidP="00204A55">
      <w:pPr>
        <w:pStyle w:val="NumberedParas"/>
        <w:ind w:left="1134" w:firstLine="0"/>
      </w:pPr>
      <w:bookmarkStart w:id="2" w:name="_Ref73021254"/>
      <w:r w:rsidRPr="00477AB0">
        <w:t xml:space="preserve">Article D.20.1 of Book 1 of the Environmental </w:t>
      </w:r>
      <w:r w:rsidR="00A81454" w:rsidRPr="00477AB0">
        <w:t>C</w:t>
      </w:r>
      <w:r w:rsidRPr="00477AB0">
        <w:t>ode provides:</w:t>
      </w:r>
      <w:bookmarkEnd w:id="2"/>
    </w:p>
    <w:p w14:paraId="0EC6467C" w14:textId="738CCC8A" w:rsidR="00DC39E0" w:rsidRPr="00477AB0" w:rsidRDefault="00DC39E0" w:rsidP="00751404">
      <w:pPr>
        <w:pStyle w:val="Quote"/>
        <w:ind w:left="1701"/>
      </w:pPr>
      <w:r w:rsidRPr="00477AB0">
        <w:t>1. Any total or partial refusal to provide information on the basis of Articles D.18.1 and D.19.1 must be the subject of a reasoned decision and must be notified in writing to the applicant, within the time limit set in Article D.15.1.a, or, where applicable, within the time limit set in Article D.15</w:t>
      </w:r>
      <w:r w:rsidR="00A81454" w:rsidRPr="00477AB0">
        <w:t>.</w:t>
      </w:r>
      <w:r w:rsidRPr="00477AB0">
        <w:t>1</w:t>
      </w:r>
      <w:r w:rsidR="00A81454" w:rsidRPr="00477AB0">
        <w:t>.</w:t>
      </w:r>
      <w:r w:rsidRPr="00477AB0">
        <w:t>b.</w:t>
      </w:r>
    </w:p>
    <w:p w14:paraId="08F210F3" w14:textId="131F0FAD" w:rsidR="003472E5" w:rsidRPr="00477AB0" w:rsidRDefault="00DC39E0" w:rsidP="007E083F">
      <w:pPr>
        <w:pStyle w:val="Quote"/>
        <w:ind w:left="1701"/>
      </w:pPr>
      <w:r w:rsidRPr="00477AB0">
        <w:t>2. The notification of refusal must clearly mention the possibilities and methods of appeal available to the applicant in accordance with section III of this chapter.</w:t>
      </w:r>
      <w:r w:rsidR="00A81454" w:rsidRPr="00477AB0">
        <w:rPr>
          <w:rStyle w:val="FootnoteReference"/>
        </w:rPr>
        <w:footnoteReference w:id="4"/>
      </w:r>
    </w:p>
    <w:p w14:paraId="72BA0AC6" w14:textId="6C57BC98" w:rsidR="0085010D" w:rsidRPr="00477AB0" w:rsidRDefault="0085010D" w:rsidP="00204A55">
      <w:pPr>
        <w:pStyle w:val="NumberedParas"/>
        <w:ind w:left="1134" w:firstLine="0"/>
      </w:pPr>
      <w:bookmarkStart w:id="3" w:name="_Ref508122236"/>
      <w:bookmarkStart w:id="4" w:name="_Ref73021299"/>
      <w:r w:rsidRPr="00477AB0">
        <w:t xml:space="preserve">Article D.20.6 of </w:t>
      </w:r>
      <w:r w:rsidR="00A711C3" w:rsidRPr="00477AB0">
        <w:t xml:space="preserve">Book 1 of </w:t>
      </w:r>
      <w:r w:rsidRPr="00477AB0">
        <w:t>the Environmental Code provides:</w:t>
      </w:r>
      <w:bookmarkEnd w:id="3"/>
      <w:bookmarkEnd w:id="4"/>
    </w:p>
    <w:p w14:paraId="68744C54" w14:textId="6B606927" w:rsidR="0064770E" w:rsidRPr="00477AB0" w:rsidRDefault="0085010D" w:rsidP="00E431D9">
      <w:pPr>
        <w:pStyle w:val="Quote"/>
        <w:ind w:left="1701"/>
      </w:pPr>
      <w:r w:rsidRPr="00477AB0">
        <w:t xml:space="preserve">Any applicant who considers that his request for information has been ignored, illegitimately or unduly rejected, partially or fully, or that it has been insufficiently taken into consideration or has not been </w:t>
      </w:r>
      <w:r w:rsidR="00971B59" w:rsidRPr="00477AB0">
        <w:t>dealt with</w:t>
      </w:r>
      <w:r w:rsidRPr="00477AB0">
        <w:t xml:space="preserve"> in compliance with the present chapter, may lodge an appeal with the Appeal Commission for the Right of Access to Environmental Information</w:t>
      </w:r>
      <w:r w:rsidR="00380045" w:rsidRPr="00477AB0">
        <w:t xml:space="preserve"> </w:t>
      </w:r>
      <w:r w:rsidRPr="00477AB0">
        <w:t>against the acts or omissions of the public authority concerned.</w:t>
      </w:r>
    </w:p>
    <w:p w14:paraId="05E3139F" w14:textId="40DA6864" w:rsidR="0085010D" w:rsidRPr="00477AB0" w:rsidRDefault="0064770E" w:rsidP="007E083F">
      <w:pPr>
        <w:pStyle w:val="Quote"/>
        <w:ind w:left="1701"/>
        <w:rPr>
          <w:rFonts w:eastAsia="Times New Roman" w:cs="Times New Roman"/>
          <w:szCs w:val="20"/>
        </w:rPr>
      </w:pPr>
      <w:r w:rsidRPr="00477AB0">
        <w:t>The appeal shall be lodged by application to the Secretariat of the Appeal Commission for the Right of Access to Environmental Information in a letter sent by registered post or by any other means certifying the date, as determined by the Government. The appeal must be lodged within 15 days of receipt of the notification of the contested decision or, in the absence of such a decision, within 15 days of expiry of the periods prescribed in Article D.15</w:t>
      </w:r>
      <w:r w:rsidR="00F61C25" w:rsidRPr="00477AB0">
        <w:t>.</w:t>
      </w:r>
      <w:r w:rsidR="0085010D" w:rsidRPr="00477AB0">
        <w:rPr>
          <w:rStyle w:val="FootnoteReference"/>
          <w:rFonts w:eastAsia="Times New Roman"/>
          <w:szCs w:val="20"/>
        </w:rPr>
        <w:footnoteReference w:id="5"/>
      </w:r>
    </w:p>
    <w:p w14:paraId="04E469B3" w14:textId="560162C5" w:rsidR="0085010D" w:rsidRPr="00477AB0" w:rsidRDefault="0085010D" w:rsidP="00204A55">
      <w:pPr>
        <w:pStyle w:val="NumberedParas"/>
        <w:ind w:left="1134" w:firstLine="0"/>
      </w:pPr>
      <w:bookmarkStart w:id="5" w:name="_Ref73027249"/>
      <w:r w:rsidRPr="00477AB0">
        <w:t xml:space="preserve">Article D.20.11 of </w:t>
      </w:r>
      <w:r w:rsidR="00A711C3" w:rsidRPr="00477AB0">
        <w:t xml:space="preserve">Book 1 of </w:t>
      </w:r>
      <w:r w:rsidRPr="00477AB0">
        <w:t xml:space="preserve">the Environmental Code states that the “Appeal Commission shall make its decision within the month following receipt of the petition. </w:t>
      </w:r>
      <w:proofErr w:type="gramStart"/>
      <w:r w:rsidRPr="00477AB0">
        <w:t>However</w:t>
      </w:r>
      <w:proofErr w:type="gramEnd"/>
      <w:r w:rsidR="003D4F9C" w:rsidRPr="00477AB0">
        <w:t xml:space="preserve"> </w:t>
      </w:r>
      <w:r w:rsidRPr="00477AB0">
        <w:t>it may extend this period, in a justified decision; the extension(s) may not exceed a total of forty</w:t>
      </w:r>
      <w:r w:rsidR="00BD2A42" w:rsidRPr="00477AB0">
        <w:t>-</w:t>
      </w:r>
      <w:r w:rsidRPr="00477AB0">
        <w:t>five days.”</w:t>
      </w:r>
      <w:r w:rsidRPr="00477AB0">
        <w:rPr>
          <w:rStyle w:val="FootnoteReference"/>
          <w:rFonts w:eastAsia="Times New Roman"/>
          <w:szCs w:val="20"/>
        </w:rPr>
        <w:footnoteReference w:id="6"/>
      </w:r>
      <w:bookmarkEnd w:id="5"/>
    </w:p>
    <w:p w14:paraId="5EE5FFA1" w14:textId="0A2EF1B6" w:rsidR="003D4F9C" w:rsidRPr="00477AB0" w:rsidRDefault="003D4F9C" w:rsidP="00204A55">
      <w:pPr>
        <w:pStyle w:val="NumberedParas"/>
        <w:ind w:left="1134" w:firstLine="0"/>
      </w:pPr>
      <w:r w:rsidRPr="00477AB0">
        <w:lastRenderedPageBreak/>
        <w:t xml:space="preserve">Article D20.12,7° of Book 1 of the Environmental Code provides that the CRAIE’s decision must specify the date </w:t>
      </w:r>
      <w:r w:rsidR="00C90194" w:rsidRPr="00477AB0">
        <w:t xml:space="preserve">upon </w:t>
      </w:r>
      <w:r w:rsidRPr="00477AB0">
        <w:t xml:space="preserve">which the applicant can exercise the right </w:t>
      </w:r>
      <w:r w:rsidR="00C90194" w:rsidRPr="00477AB0">
        <w:t>to</w:t>
      </w:r>
      <w:r w:rsidRPr="00477AB0">
        <w:t xml:space="preserve"> access </w:t>
      </w:r>
      <w:r w:rsidR="00C90194" w:rsidRPr="00477AB0">
        <w:t xml:space="preserve">the environmental information </w:t>
      </w:r>
      <w:r w:rsidRPr="00477AB0">
        <w:t>granted by that decision.</w:t>
      </w:r>
      <w:r w:rsidR="00C90194" w:rsidRPr="00477AB0">
        <w:rPr>
          <w:rStyle w:val="FootnoteReference"/>
        </w:rPr>
        <w:footnoteReference w:id="7"/>
      </w:r>
    </w:p>
    <w:p w14:paraId="1FC11433" w14:textId="2C8EF0DF" w:rsidR="00455A37" w:rsidRPr="00477AB0" w:rsidRDefault="00455A37" w:rsidP="00204A55">
      <w:pPr>
        <w:pStyle w:val="NumberedParas"/>
        <w:ind w:left="1134" w:firstLine="0"/>
      </w:pPr>
      <w:r w:rsidRPr="00477AB0">
        <w:t xml:space="preserve">Pursuant to Article 590 of the Judicial Code, an application may be made to the Justice </w:t>
      </w:r>
      <w:r w:rsidR="005656B6" w:rsidRPr="00477AB0">
        <w:t>of the Peace</w:t>
      </w:r>
      <w:r w:rsidRPr="00477AB0">
        <w:t xml:space="preserve"> to enforce the decision of the </w:t>
      </w:r>
      <w:r w:rsidR="00BD2A42" w:rsidRPr="00477AB0">
        <w:t>Appeal Commission for the Right of Access to Environmental Information (</w:t>
      </w:r>
      <w:r w:rsidR="00A32794" w:rsidRPr="00477AB0">
        <w:t xml:space="preserve">the </w:t>
      </w:r>
      <w:r w:rsidR="00BD2A42" w:rsidRPr="00477AB0">
        <w:t>CRAIE)</w:t>
      </w:r>
      <w:r w:rsidRPr="00477AB0">
        <w:t>.</w:t>
      </w:r>
      <w:r w:rsidRPr="00477AB0">
        <w:rPr>
          <w:rStyle w:val="FootnoteReference"/>
          <w:rFonts w:eastAsia="Times New Roman"/>
          <w:szCs w:val="20"/>
        </w:rPr>
        <w:footnoteReference w:id="8"/>
      </w:r>
      <w:r w:rsidR="00D23F6C" w:rsidRPr="00477AB0">
        <w:t xml:space="preserve"> </w:t>
      </w:r>
    </w:p>
    <w:p w14:paraId="7780425D" w14:textId="22BFD081" w:rsidR="006E6D5D" w:rsidRPr="00477AB0" w:rsidRDefault="006E6D5D" w:rsidP="00204A55">
      <w:pPr>
        <w:pStyle w:val="NumberedParas"/>
        <w:ind w:left="1134" w:firstLine="0"/>
      </w:pPr>
      <w:bookmarkStart w:id="6" w:name="_Ref508119184"/>
      <w:r w:rsidRPr="00477AB0">
        <w:t xml:space="preserve">Article 790 of the Belgian Code of Civil </w:t>
      </w:r>
      <w:r w:rsidR="00971B59" w:rsidRPr="00477AB0">
        <w:t>P</w:t>
      </w:r>
      <w:r w:rsidRPr="00477AB0">
        <w:t>rocedure provides:</w:t>
      </w:r>
      <w:bookmarkEnd w:id="6"/>
      <w:r w:rsidRPr="00477AB0">
        <w:t xml:space="preserve"> </w:t>
      </w:r>
    </w:p>
    <w:p w14:paraId="6FC5D008" w14:textId="11CEC35B" w:rsidR="006E6D5D" w:rsidRPr="00477AB0" w:rsidRDefault="006E6D5D" w:rsidP="007E083F">
      <w:pPr>
        <w:pStyle w:val="Quote"/>
        <w:ind w:left="1701"/>
      </w:pPr>
      <w:r w:rsidRPr="00477AB0">
        <w:t xml:space="preserve">The authenticated copy </w:t>
      </w:r>
      <w:r w:rsidR="00971B59" w:rsidRPr="00477AB0">
        <w:t xml:space="preserve">[of a judgment of a court of law] </w:t>
      </w:r>
      <w:r w:rsidRPr="00477AB0">
        <w:t>shall contain a full copy of the judgment, preceded by the heading and followed by a clause conferring authority to enforce the judgment, failing which the authenticated copy is not valid.</w:t>
      </w:r>
      <w:r w:rsidR="002D7355" w:rsidRPr="00477AB0">
        <w:rPr>
          <w:rStyle w:val="FootnoteReference"/>
        </w:rPr>
        <w:footnoteReference w:id="9"/>
      </w:r>
    </w:p>
    <w:p w14:paraId="74BDC690" w14:textId="77777777" w:rsidR="00D14D7D" w:rsidRPr="00477AB0" w:rsidRDefault="00D14D7D" w:rsidP="00204A55">
      <w:pPr>
        <w:pStyle w:val="Heading2"/>
        <w:ind w:left="1134" w:firstLine="0"/>
      </w:pPr>
      <w:r w:rsidRPr="00477AB0">
        <w:t xml:space="preserve">Facts </w:t>
      </w:r>
    </w:p>
    <w:p w14:paraId="1B6290CA" w14:textId="51208A35" w:rsidR="00004A77" w:rsidRPr="00477AB0" w:rsidRDefault="00004A77" w:rsidP="00204A55">
      <w:pPr>
        <w:pStyle w:val="Heading3"/>
        <w:ind w:left="1134"/>
      </w:pPr>
      <w:r w:rsidRPr="00477AB0">
        <w:t>Access to information request 1: Municipal swimming pool in Stavelot</w:t>
      </w:r>
    </w:p>
    <w:p w14:paraId="2F776B83" w14:textId="516AB278" w:rsidR="00FA409B" w:rsidRPr="00477AB0" w:rsidRDefault="00004A77" w:rsidP="00204A55">
      <w:pPr>
        <w:pStyle w:val="NumberedParas"/>
        <w:ind w:left="1134" w:firstLine="0"/>
      </w:pPr>
      <w:bookmarkStart w:id="7" w:name="_Ref508118819"/>
      <w:r w:rsidRPr="00477AB0">
        <w:t xml:space="preserve">On 29 August 2014, </w:t>
      </w:r>
      <w:proofErr w:type="spellStart"/>
      <w:r w:rsidR="005D56F6" w:rsidRPr="00477AB0">
        <w:t>Avala</w:t>
      </w:r>
      <w:proofErr w:type="spellEnd"/>
      <w:r w:rsidR="00BD2A42" w:rsidRPr="00477AB0">
        <w:t xml:space="preserve"> ASBL</w:t>
      </w:r>
      <w:r w:rsidRPr="00477AB0">
        <w:t xml:space="preserve"> requested a copy of the combined planning and environmental consent for the municipal swimming pool in Stavelot.</w:t>
      </w:r>
      <w:r w:rsidRPr="00477AB0">
        <w:rPr>
          <w:rStyle w:val="FootnoteReference"/>
          <w:rFonts w:eastAsia="Times New Roman"/>
          <w:szCs w:val="20"/>
        </w:rPr>
        <w:footnoteReference w:id="10"/>
      </w:r>
      <w:bookmarkEnd w:id="7"/>
    </w:p>
    <w:p w14:paraId="09AA8963" w14:textId="30D624BA" w:rsidR="0083275B" w:rsidRPr="00477AB0" w:rsidRDefault="0083275B" w:rsidP="00204A55">
      <w:pPr>
        <w:pStyle w:val="NumberedParas"/>
        <w:ind w:left="1134" w:firstLine="0"/>
      </w:pPr>
      <w:r w:rsidRPr="00477AB0">
        <w:t xml:space="preserve">Having received no reply from the Municipality of Stavelot, on 8 October 2014 the communicant </w:t>
      </w:r>
      <w:r w:rsidR="008D6A1E" w:rsidRPr="00477AB0">
        <w:t>brought an appeal</w:t>
      </w:r>
      <w:r w:rsidRPr="00477AB0">
        <w:t xml:space="preserve"> to the Wal</w:t>
      </w:r>
      <w:r w:rsidR="00C8419E" w:rsidRPr="00477AB0">
        <w:t>l</w:t>
      </w:r>
      <w:r w:rsidRPr="00477AB0">
        <w:t xml:space="preserve">oon </w:t>
      </w:r>
      <w:r w:rsidR="006D12A6" w:rsidRPr="00477AB0">
        <w:t>r</w:t>
      </w:r>
      <w:r w:rsidRPr="00477AB0">
        <w:t>egion’s</w:t>
      </w:r>
      <w:r w:rsidR="00BD2A42" w:rsidRPr="00477AB0">
        <w:t xml:space="preserve"> CRAIE</w:t>
      </w:r>
      <w:r w:rsidRPr="00477AB0">
        <w:t>.</w:t>
      </w:r>
      <w:r w:rsidRPr="00477AB0">
        <w:rPr>
          <w:rStyle w:val="FootnoteReference"/>
          <w:rFonts w:eastAsia="Times New Roman"/>
          <w:szCs w:val="20"/>
        </w:rPr>
        <w:footnoteReference w:id="11"/>
      </w:r>
    </w:p>
    <w:p w14:paraId="1A5D53D8" w14:textId="2D37E7CC" w:rsidR="00004A77" w:rsidRPr="00477AB0" w:rsidRDefault="00004A77" w:rsidP="00204A55">
      <w:pPr>
        <w:pStyle w:val="NumberedParas"/>
        <w:ind w:left="1134" w:firstLine="0"/>
      </w:pPr>
      <w:r w:rsidRPr="00477AB0">
        <w:t xml:space="preserve">On 28 November 2014, the </w:t>
      </w:r>
      <w:r w:rsidR="0083275B" w:rsidRPr="00477AB0">
        <w:t xml:space="preserve">CRAIE </w:t>
      </w:r>
      <w:r w:rsidRPr="00477AB0">
        <w:t>ordered the Municipality of Stavelot to provide the requested information within 8 days of its decision.</w:t>
      </w:r>
      <w:r w:rsidRPr="00477AB0">
        <w:rPr>
          <w:rStyle w:val="FootnoteReference"/>
          <w:rFonts w:eastAsia="Times New Roman"/>
          <w:szCs w:val="20"/>
        </w:rPr>
        <w:footnoteReference w:id="12"/>
      </w:r>
    </w:p>
    <w:p w14:paraId="1BE60B77" w14:textId="224BB56F" w:rsidR="00004A77" w:rsidRPr="00477AB0" w:rsidRDefault="00004A77" w:rsidP="00204A55">
      <w:pPr>
        <w:pStyle w:val="NumberedParas"/>
        <w:ind w:left="1134" w:firstLine="0"/>
      </w:pPr>
      <w:bookmarkStart w:id="8" w:name="_Ref508111280"/>
      <w:r w:rsidRPr="00477AB0">
        <w:t>Having received no reply from the Municipality of Stavelot, on 2</w:t>
      </w:r>
      <w:r w:rsidR="0083275B" w:rsidRPr="00477AB0">
        <w:t xml:space="preserve">0 January 2015 </w:t>
      </w:r>
      <w:proofErr w:type="spellStart"/>
      <w:r w:rsidR="00BD2A42" w:rsidRPr="00477AB0">
        <w:t>Avala</w:t>
      </w:r>
      <w:proofErr w:type="spellEnd"/>
      <w:r w:rsidRPr="00477AB0">
        <w:t xml:space="preserve"> brought proceedings before the </w:t>
      </w:r>
      <w:r w:rsidR="00FB1044" w:rsidRPr="00477AB0">
        <w:t>Justice of the Peace</w:t>
      </w:r>
      <w:r w:rsidR="0083275B" w:rsidRPr="00477AB0">
        <w:t xml:space="preserve"> for access to the information and a claim for damages</w:t>
      </w:r>
      <w:r w:rsidR="00FB1044" w:rsidRPr="00477AB0">
        <w:t>.</w:t>
      </w:r>
      <w:r w:rsidR="00FB1044" w:rsidRPr="00477AB0">
        <w:rPr>
          <w:rStyle w:val="FootnoteReference"/>
          <w:rFonts w:eastAsia="Times New Roman"/>
          <w:szCs w:val="20"/>
        </w:rPr>
        <w:footnoteReference w:id="13"/>
      </w:r>
      <w:r w:rsidR="00FB1044" w:rsidRPr="00477AB0">
        <w:t xml:space="preserve"> A</w:t>
      </w:r>
      <w:r w:rsidR="0083275B" w:rsidRPr="00477AB0">
        <w:t>t an introductory</w:t>
      </w:r>
      <w:r w:rsidR="00FB1044" w:rsidRPr="00477AB0">
        <w:t xml:space="preserve"> hearing on the application </w:t>
      </w:r>
      <w:r w:rsidR="0083275B" w:rsidRPr="00477AB0">
        <w:t xml:space="preserve">on 4 February 2015 the oral argument </w:t>
      </w:r>
      <w:r w:rsidR="00FB1044" w:rsidRPr="00477AB0">
        <w:t>was scheduled for 16 September 2015.</w:t>
      </w:r>
      <w:r w:rsidR="00FB1044" w:rsidRPr="00477AB0">
        <w:rPr>
          <w:rStyle w:val="FootnoteReference"/>
          <w:rFonts w:eastAsia="Times New Roman"/>
          <w:szCs w:val="20"/>
        </w:rPr>
        <w:footnoteReference w:id="14"/>
      </w:r>
      <w:bookmarkEnd w:id="8"/>
    </w:p>
    <w:p w14:paraId="12DB2FD9" w14:textId="6DA4CEF3" w:rsidR="0083275B" w:rsidRPr="00477AB0" w:rsidRDefault="0083275B" w:rsidP="00204A55">
      <w:pPr>
        <w:pStyle w:val="NumberedParas"/>
        <w:ind w:left="1134" w:firstLine="0"/>
      </w:pPr>
      <w:bookmarkStart w:id="9" w:name="_Ref508112439"/>
      <w:r w:rsidRPr="00477AB0">
        <w:t xml:space="preserve">On 31 March 2015, </w:t>
      </w:r>
      <w:proofErr w:type="spellStart"/>
      <w:r w:rsidR="00BD2A42" w:rsidRPr="00477AB0">
        <w:t>Avala</w:t>
      </w:r>
      <w:proofErr w:type="spellEnd"/>
      <w:r w:rsidR="00BD2A42" w:rsidRPr="00477AB0">
        <w:t xml:space="preserve"> </w:t>
      </w:r>
      <w:r w:rsidRPr="00477AB0">
        <w:t>wrote to the Wa</w:t>
      </w:r>
      <w:r w:rsidR="00C8419E" w:rsidRPr="00477AB0">
        <w:t>l</w:t>
      </w:r>
      <w:r w:rsidRPr="00477AB0">
        <w:t xml:space="preserve">loon Region’s Minister for Local Government requesting a Special Commissioner </w:t>
      </w:r>
      <w:r w:rsidR="005D56F6" w:rsidRPr="00477AB0">
        <w:t xml:space="preserve">to be sent </w:t>
      </w:r>
      <w:r w:rsidRPr="00477AB0">
        <w:t>and to commence a disciplinary case against the Municipality</w:t>
      </w:r>
      <w:r w:rsidR="00971B59" w:rsidRPr="00477AB0">
        <w:t xml:space="preserve"> of Stavelot</w:t>
      </w:r>
      <w:r w:rsidRPr="00477AB0">
        <w:t xml:space="preserve">. In its reply of </w:t>
      </w:r>
      <w:r w:rsidR="00971B59" w:rsidRPr="00477AB0">
        <w:t xml:space="preserve">17 April </w:t>
      </w:r>
      <w:r w:rsidRPr="00477AB0">
        <w:t xml:space="preserve">2015, the Minister did not </w:t>
      </w:r>
      <w:r w:rsidR="000E29D0" w:rsidRPr="00477AB0">
        <w:t xml:space="preserve">agree to </w:t>
      </w:r>
      <w:r w:rsidRPr="00477AB0">
        <w:t>take the requested measures.</w:t>
      </w:r>
      <w:r w:rsidR="000E29D0" w:rsidRPr="00477AB0">
        <w:rPr>
          <w:rStyle w:val="FootnoteReference"/>
          <w:rFonts w:eastAsia="Times New Roman"/>
          <w:szCs w:val="20"/>
        </w:rPr>
        <w:footnoteReference w:id="15"/>
      </w:r>
      <w:bookmarkEnd w:id="9"/>
    </w:p>
    <w:p w14:paraId="023C9B9B" w14:textId="3EE8D253" w:rsidR="0083275B" w:rsidRPr="00477AB0" w:rsidRDefault="0083275B" w:rsidP="00204A55">
      <w:pPr>
        <w:pStyle w:val="NumberedParas"/>
        <w:ind w:left="1134" w:firstLine="0"/>
      </w:pPr>
      <w:bookmarkStart w:id="10" w:name="_Ref508111281"/>
      <w:r w:rsidRPr="00477AB0">
        <w:t xml:space="preserve">On 30 June 2015, </w:t>
      </w:r>
      <w:proofErr w:type="spellStart"/>
      <w:r w:rsidR="00753B56" w:rsidRPr="00477AB0">
        <w:t>Avala</w:t>
      </w:r>
      <w:proofErr w:type="spellEnd"/>
      <w:r w:rsidRPr="00477AB0">
        <w:t xml:space="preserve"> wrote again to the </w:t>
      </w:r>
      <w:r w:rsidR="00275918" w:rsidRPr="00477AB0">
        <w:t>Minister</w:t>
      </w:r>
      <w:r w:rsidRPr="00477AB0">
        <w:t xml:space="preserve"> for Local Government and by letter of 16 July 2015 the Minister invited the Stavelot Municipality to implement the CRAIE</w:t>
      </w:r>
      <w:r w:rsidR="00971B59" w:rsidRPr="00477AB0">
        <w:t xml:space="preserve"> decision</w:t>
      </w:r>
      <w:r w:rsidRPr="00477AB0">
        <w:t>.</w:t>
      </w:r>
      <w:r w:rsidRPr="00477AB0">
        <w:rPr>
          <w:rStyle w:val="FootnoteReference"/>
          <w:rFonts w:eastAsia="Times New Roman"/>
          <w:szCs w:val="20"/>
        </w:rPr>
        <w:footnoteReference w:id="16"/>
      </w:r>
      <w:bookmarkEnd w:id="10"/>
    </w:p>
    <w:p w14:paraId="3299D29B" w14:textId="095633E0" w:rsidR="00004A77" w:rsidRPr="00477AB0" w:rsidRDefault="00004A77" w:rsidP="00204A55">
      <w:pPr>
        <w:pStyle w:val="NumberedParas"/>
        <w:ind w:left="1134" w:firstLine="0"/>
      </w:pPr>
      <w:r w:rsidRPr="00477AB0">
        <w:t xml:space="preserve">On 7 September 2015, </w:t>
      </w:r>
      <w:r w:rsidR="000E29D0" w:rsidRPr="00477AB0">
        <w:t xml:space="preserve">the requested information </w:t>
      </w:r>
      <w:r w:rsidRPr="00477AB0">
        <w:t>was provided.</w:t>
      </w:r>
      <w:r w:rsidRPr="00477AB0">
        <w:rPr>
          <w:rStyle w:val="FootnoteReference"/>
          <w:rFonts w:eastAsia="Times New Roman"/>
          <w:szCs w:val="20"/>
        </w:rPr>
        <w:footnoteReference w:id="17"/>
      </w:r>
    </w:p>
    <w:p w14:paraId="5A2F5962" w14:textId="324B8B14" w:rsidR="000E29D0" w:rsidRPr="00477AB0" w:rsidRDefault="000E29D0" w:rsidP="00204A55">
      <w:pPr>
        <w:pStyle w:val="NumberedParas"/>
        <w:ind w:left="1134" w:firstLine="0"/>
      </w:pPr>
      <w:r w:rsidRPr="00477AB0">
        <w:t xml:space="preserve">On 16 September 2015, the Justice of the Peace took formal notice that the information had been supplied and reserved judgment on </w:t>
      </w:r>
      <w:proofErr w:type="spellStart"/>
      <w:r w:rsidR="00753B56" w:rsidRPr="00477AB0">
        <w:t>Avala’s</w:t>
      </w:r>
      <w:proofErr w:type="spellEnd"/>
      <w:r w:rsidRPr="00477AB0">
        <w:t xml:space="preserve"> claim for </w:t>
      </w:r>
      <w:r w:rsidR="00275918" w:rsidRPr="00477AB0">
        <w:t>damages</w:t>
      </w:r>
      <w:r w:rsidRPr="00477AB0">
        <w:t>.</w:t>
      </w:r>
      <w:r w:rsidRPr="00477AB0">
        <w:rPr>
          <w:rStyle w:val="FootnoteReference"/>
          <w:rFonts w:eastAsia="Times New Roman"/>
          <w:szCs w:val="20"/>
        </w:rPr>
        <w:footnoteReference w:id="18"/>
      </w:r>
      <w:r w:rsidR="00F21485" w:rsidRPr="00477AB0">
        <w:t xml:space="preserve"> </w:t>
      </w:r>
    </w:p>
    <w:p w14:paraId="195FA2A6" w14:textId="3F3D54E8" w:rsidR="00154CC1" w:rsidRPr="00477AB0" w:rsidRDefault="00154CC1" w:rsidP="00204A55">
      <w:pPr>
        <w:pStyle w:val="NumberedParas"/>
        <w:ind w:left="1134" w:firstLine="0"/>
      </w:pPr>
      <w:bookmarkStart w:id="11" w:name="_Ref73023017"/>
      <w:r w:rsidRPr="00477AB0">
        <w:t>On 21 November 2018, the Justice of the Peace delivered judgment in the case.</w:t>
      </w:r>
      <w:r w:rsidR="00D23F6C" w:rsidRPr="00477AB0">
        <w:t xml:space="preserve"> </w:t>
      </w:r>
      <w:r w:rsidR="00A72A13" w:rsidRPr="00477AB0">
        <w:t xml:space="preserve">The </w:t>
      </w:r>
      <w:r w:rsidR="00753B56" w:rsidRPr="00477AB0">
        <w:t xml:space="preserve">Municipality </w:t>
      </w:r>
      <w:r w:rsidR="00A72A13" w:rsidRPr="00477AB0">
        <w:t xml:space="preserve">was ordered to pay €286.31 for the cost of the summons and a case </w:t>
      </w:r>
      <w:r w:rsidR="00A72A13" w:rsidRPr="00477AB0">
        <w:lastRenderedPageBreak/>
        <w:t xml:space="preserve">preparation allowance of €150 intended to cover the </w:t>
      </w:r>
      <w:r w:rsidR="007D24ED" w:rsidRPr="00477AB0">
        <w:t>legal</w:t>
      </w:r>
      <w:r w:rsidR="00A72A13" w:rsidRPr="00477AB0">
        <w:t xml:space="preserve"> costs. </w:t>
      </w:r>
      <w:proofErr w:type="spellStart"/>
      <w:r w:rsidR="00753B56" w:rsidRPr="00477AB0">
        <w:t>Avala</w:t>
      </w:r>
      <w:proofErr w:type="spellEnd"/>
      <w:r w:rsidR="00A72A13" w:rsidRPr="00477AB0">
        <w:t xml:space="preserve"> was also awarded non-material damages of €100.</w:t>
      </w:r>
      <w:r w:rsidR="00A72A13" w:rsidRPr="00477AB0">
        <w:rPr>
          <w:rStyle w:val="FootnoteReference"/>
          <w:rFonts w:eastAsia="Times New Roman"/>
          <w:szCs w:val="20"/>
        </w:rPr>
        <w:footnoteReference w:id="19"/>
      </w:r>
      <w:bookmarkEnd w:id="11"/>
    </w:p>
    <w:p w14:paraId="1E08D6BA" w14:textId="24F40405" w:rsidR="00FB1044" w:rsidRPr="00477AB0" w:rsidRDefault="00FB1044" w:rsidP="00204A55">
      <w:pPr>
        <w:pStyle w:val="Heading3"/>
        <w:ind w:left="1134"/>
      </w:pPr>
      <w:r w:rsidRPr="00477AB0">
        <w:t xml:space="preserve">Access to information request 2: </w:t>
      </w:r>
      <w:proofErr w:type="spellStart"/>
      <w:r w:rsidRPr="00477AB0">
        <w:t>L’Eau</w:t>
      </w:r>
      <w:proofErr w:type="spellEnd"/>
      <w:r w:rsidRPr="00477AB0">
        <w:t xml:space="preserve"> Rouge campsite</w:t>
      </w:r>
    </w:p>
    <w:p w14:paraId="046E4F0F" w14:textId="7FC5E8A6" w:rsidR="00FB1044" w:rsidRPr="00477AB0" w:rsidRDefault="00FB1044" w:rsidP="00204A55">
      <w:pPr>
        <w:pStyle w:val="NumberedParas"/>
        <w:ind w:left="1134" w:firstLine="0"/>
      </w:pPr>
      <w:bookmarkStart w:id="12" w:name="_Ref508126733"/>
      <w:r w:rsidRPr="00477AB0">
        <w:t>On 26 August 2014,</w:t>
      </w:r>
      <w:r w:rsidR="002E57A9" w:rsidRPr="00477AB0">
        <w:t xml:space="preserve"> </w:t>
      </w:r>
      <w:r w:rsidR="005D56F6" w:rsidRPr="00477AB0">
        <w:t xml:space="preserve">Mr. </w:t>
      </w:r>
      <w:proofErr w:type="spellStart"/>
      <w:r w:rsidR="005D56F6" w:rsidRPr="00477AB0">
        <w:t>Doutreloux</w:t>
      </w:r>
      <w:proofErr w:type="spellEnd"/>
      <w:r w:rsidRPr="00477AB0">
        <w:t xml:space="preserve"> made a request concerning </w:t>
      </w:r>
      <w:r w:rsidR="000E29D0" w:rsidRPr="00477AB0">
        <w:t>various permits and plans associated with the application</w:t>
      </w:r>
      <w:r w:rsidRPr="00477AB0">
        <w:t xml:space="preserve"> for the “</w:t>
      </w:r>
      <w:proofErr w:type="spellStart"/>
      <w:r w:rsidRPr="00477AB0">
        <w:t>L’Eau</w:t>
      </w:r>
      <w:proofErr w:type="spellEnd"/>
      <w:r w:rsidRPr="00477AB0">
        <w:t xml:space="preserve"> Rouge” </w:t>
      </w:r>
      <w:r w:rsidR="00BD04F4" w:rsidRPr="00477AB0">
        <w:t xml:space="preserve">campsite </w:t>
      </w:r>
      <w:r w:rsidR="002E57A9" w:rsidRPr="00477AB0">
        <w:t xml:space="preserve">in </w:t>
      </w:r>
      <w:r w:rsidRPr="00477AB0">
        <w:t>the Municipality of Stavelot.</w:t>
      </w:r>
      <w:r w:rsidRPr="00477AB0">
        <w:rPr>
          <w:rStyle w:val="FootnoteReference"/>
          <w:rFonts w:eastAsia="Times New Roman"/>
          <w:szCs w:val="20"/>
        </w:rPr>
        <w:footnoteReference w:id="20"/>
      </w:r>
      <w:bookmarkEnd w:id="12"/>
    </w:p>
    <w:p w14:paraId="74DF492D" w14:textId="3AFF6C53" w:rsidR="000E29D0" w:rsidRPr="00477AB0" w:rsidRDefault="000E29D0" w:rsidP="00204A55">
      <w:pPr>
        <w:pStyle w:val="NumberedParas"/>
        <w:ind w:left="1134" w:firstLine="0"/>
      </w:pPr>
      <w:r w:rsidRPr="00477AB0">
        <w:t xml:space="preserve">Having not received the requested information from the Municipality, on 3 October 2014 </w:t>
      </w:r>
      <w:r w:rsidR="00753B56" w:rsidRPr="00477AB0">
        <w:t xml:space="preserve">Mr. </w:t>
      </w:r>
      <w:proofErr w:type="spellStart"/>
      <w:r w:rsidR="00753B56" w:rsidRPr="00477AB0">
        <w:t>Doutreloux</w:t>
      </w:r>
      <w:proofErr w:type="spellEnd"/>
      <w:r w:rsidR="00753B56" w:rsidRPr="00477AB0" w:rsidDel="00753B56">
        <w:t xml:space="preserve"> </w:t>
      </w:r>
      <w:r w:rsidR="00A5406D" w:rsidRPr="00477AB0">
        <w:t xml:space="preserve">brought an appeal </w:t>
      </w:r>
      <w:r w:rsidRPr="00477AB0">
        <w:t>to the CRAIE.</w:t>
      </w:r>
      <w:r w:rsidRPr="00477AB0">
        <w:rPr>
          <w:rStyle w:val="FootnoteReference"/>
          <w:rFonts w:eastAsia="Times New Roman"/>
          <w:szCs w:val="20"/>
        </w:rPr>
        <w:footnoteReference w:id="21"/>
      </w:r>
    </w:p>
    <w:p w14:paraId="4C0048FF" w14:textId="05C11465" w:rsidR="00FB1044" w:rsidRPr="00477AB0" w:rsidRDefault="00FB1044" w:rsidP="00204A55">
      <w:pPr>
        <w:pStyle w:val="NumberedParas"/>
        <w:ind w:left="1134" w:firstLine="0"/>
      </w:pPr>
      <w:r w:rsidRPr="00477AB0">
        <w:t>On 28 November 2014, the CRAIE ordered the permits and related plans to be provided within 8 days of its decision.</w:t>
      </w:r>
      <w:r w:rsidRPr="00477AB0">
        <w:rPr>
          <w:rStyle w:val="FootnoteReference"/>
          <w:rFonts w:eastAsia="Times New Roman"/>
          <w:szCs w:val="20"/>
        </w:rPr>
        <w:footnoteReference w:id="22"/>
      </w:r>
    </w:p>
    <w:p w14:paraId="5B3815E5" w14:textId="56A538B1" w:rsidR="000E29D0" w:rsidRPr="00477AB0" w:rsidRDefault="000E29D0" w:rsidP="00204A55">
      <w:pPr>
        <w:pStyle w:val="NumberedParas"/>
        <w:ind w:left="1134" w:firstLine="0"/>
      </w:pPr>
      <w:r w:rsidRPr="00477AB0">
        <w:t xml:space="preserve">Having received no reply from the Municipality, on 20 January 2015 </w:t>
      </w:r>
      <w:r w:rsidR="00753B56" w:rsidRPr="00477AB0">
        <w:t xml:space="preserve">Mr. </w:t>
      </w:r>
      <w:proofErr w:type="spellStart"/>
      <w:r w:rsidR="00753B56" w:rsidRPr="00477AB0">
        <w:t>Doutreloux</w:t>
      </w:r>
      <w:proofErr w:type="spellEnd"/>
      <w:r w:rsidR="00753B56" w:rsidRPr="00477AB0" w:rsidDel="00753B56">
        <w:t xml:space="preserve"> </w:t>
      </w:r>
      <w:r w:rsidRPr="00477AB0">
        <w:t xml:space="preserve">brought proceedings before the Justice of the Peace </w:t>
      </w:r>
      <w:r w:rsidR="00BD04F4" w:rsidRPr="00477AB0">
        <w:t>seeking</w:t>
      </w:r>
      <w:r w:rsidRPr="00477AB0">
        <w:t xml:space="preserve"> access to the information and </w:t>
      </w:r>
      <w:r w:rsidR="00BD04F4" w:rsidRPr="00477AB0">
        <w:t xml:space="preserve">making </w:t>
      </w:r>
      <w:r w:rsidRPr="00477AB0">
        <w:t>a claim for damages</w:t>
      </w:r>
      <w:r w:rsidR="00BD04F4" w:rsidRPr="00477AB0">
        <w:t>.</w:t>
      </w:r>
      <w:r w:rsidR="00D23F6C" w:rsidRPr="00477AB0">
        <w:t xml:space="preserve"> </w:t>
      </w:r>
      <w:r w:rsidR="00753B56" w:rsidRPr="00477AB0">
        <w:t xml:space="preserve">Mr. </w:t>
      </w:r>
      <w:proofErr w:type="spellStart"/>
      <w:r w:rsidR="00753B56" w:rsidRPr="00477AB0">
        <w:t>Doutreloux</w:t>
      </w:r>
      <w:proofErr w:type="spellEnd"/>
      <w:r w:rsidR="00753B56" w:rsidRPr="00477AB0" w:rsidDel="00753B56">
        <w:t xml:space="preserve"> </w:t>
      </w:r>
      <w:r w:rsidRPr="00477AB0">
        <w:t>wrote twice to the Minister for Regional Development</w:t>
      </w:r>
      <w:r w:rsidR="00BD04F4" w:rsidRPr="00477AB0">
        <w:t>,</w:t>
      </w:r>
      <w:r w:rsidRPr="00477AB0">
        <w:t xml:space="preserve"> on 31 March and </w:t>
      </w:r>
      <w:r w:rsidR="00BD04F4" w:rsidRPr="00477AB0">
        <w:t xml:space="preserve">again on </w:t>
      </w:r>
      <w:r w:rsidRPr="00477AB0">
        <w:t>30 June 2015.</w:t>
      </w:r>
      <w:r w:rsidRPr="00477AB0">
        <w:rPr>
          <w:rStyle w:val="FootnoteReference"/>
          <w:rFonts w:eastAsia="Times New Roman"/>
          <w:szCs w:val="20"/>
        </w:rPr>
        <w:footnoteReference w:id="23"/>
      </w:r>
    </w:p>
    <w:p w14:paraId="32F629CC" w14:textId="1B7CBAA7" w:rsidR="00776A44" w:rsidRPr="00477AB0" w:rsidRDefault="00776A44" w:rsidP="00204A55">
      <w:pPr>
        <w:pStyle w:val="NumberedParas"/>
        <w:ind w:left="1134" w:firstLine="0"/>
      </w:pPr>
      <w:r w:rsidRPr="00477AB0">
        <w:t xml:space="preserve">On 19 August 2015, the Municipality provided copies of the campsite’s environmental permit and planning permit but not of the </w:t>
      </w:r>
      <w:r w:rsidR="00E841EE" w:rsidRPr="00477AB0">
        <w:t xml:space="preserve">plans contained in the </w:t>
      </w:r>
      <w:r w:rsidRPr="00477AB0">
        <w:t>annexes.</w:t>
      </w:r>
      <w:r w:rsidRPr="00477AB0">
        <w:rPr>
          <w:rStyle w:val="FootnoteReference"/>
          <w:rFonts w:eastAsia="Times New Roman"/>
          <w:szCs w:val="20"/>
        </w:rPr>
        <w:footnoteReference w:id="24"/>
      </w:r>
    </w:p>
    <w:p w14:paraId="4796DC27" w14:textId="1B115A75" w:rsidR="00776A44" w:rsidRPr="00477AB0" w:rsidRDefault="00776A44" w:rsidP="00204A55">
      <w:pPr>
        <w:pStyle w:val="NumberedParas"/>
        <w:ind w:left="1134" w:firstLine="0"/>
      </w:pPr>
      <w:r w:rsidRPr="00477AB0">
        <w:t xml:space="preserve">On 27 August 2015, </w:t>
      </w:r>
      <w:r w:rsidR="00DE2D84" w:rsidRPr="00477AB0">
        <w:t xml:space="preserve">Mr. </w:t>
      </w:r>
      <w:proofErr w:type="spellStart"/>
      <w:r w:rsidR="00DE2D84" w:rsidRPr="00477AB0">
        <w:t>Doutreloux</w:t>
      </w:r>
      <w:proofErr w:type="spellEnd"/>
      <w:r w:rsidR="00DE2D84" w:rsidRPr="00477AB0" w:rsidDel="00DE2D84">
        <w:t xml:space="preserve"> </w:t>
      </w:r>
      <w:r w:rsidRPr="00477AB0">
        <w:t>wrote to the Minister for Local Government stating that the requested information had only been provided</w:t>
      </w:r>
      <w:r w:rsidR="00BD04F4" w:rsidRPr="00477AB0">
        <w:t xml:space="preserve"> in part</w:t>
      </w:r>
      <w:r w:rsidRPr="00477AB0">
        <w:t>.</w:t>
      </w:r>
      <w:r w:rsidRPr="00477AB0">
        <w:rPr>
          <w:rStyle w:val="FootnoteReference"/>
          <w:rFonts w:eastAsia="Times New Roman"/>
          <w:szCs w:val="20"/>
        </w:rPr>
        <w:footnoteReference w:id="25"/>
      </w:r>
    </w:p>
    <w:p w14:paraId="20F4FDB2" w14:textId="556F770D" w:rsidR="00776A44" w:rsidRPr="00477AB0" w:rsidRDefault="00776A44" w:rsidP="00204A55">
      <w:pPr>
        <w:pStyle w:val="NumberedParas"/>
        <w:ind w:left="1134" w:firstLine="0"/>
      </w:pPr>
      <w:r w:rsidRPr="00477AB0">
        <w:t xml:space="preserve">On 16 September 2015, at </w:t>
      </w:r>
      <w:r w:rsidR="00DE2D84" w:rsidRPr="00477AB0">
        <w:t xml:space="preserve">a </w:t>
      </w:r>
      <w:r w:rsidRPr="00477AB0">
        <w:t xml:space="preserve">hearing before </w:t>
      </w:r>
      <w:r w:rsidR="00DE2D84" w:rsidRPr="00477AB0">
        <w:t xml:space="preserve">a </w:t>
      </w:r>
      <w:r w:rsidRPr="00477AB0">
        <w:t>Justice of the Peace</w:t>
      </w:r>
      <w:r w:rsidR="00057E24" w:rsidRPr="00477AB0">
        <w:t>,</w:t>
      </w:r>
      <w:r w:rsidRPr="00477AB0">
        <w:t xml:space="preserve"> the Municipality declared that</w:t>
      </w:r>
      <w:r w:rsidR="00275918" w:rsidRPr="00477AB0">
        <w:t xml:space="preserve"> it</w:t>
      </w:r>
      <w:r w:rsidRPr="00477AB0">
        <w:t xml:space="preserve"> intended to provide the remaining information within one month and the Justice of the Peace therefore decided to postpone the case until 7 October 2015.</w:t>
      </w:r>
      <w:r w:rsidRPr="00477AB0">
        <w:rPr>
          <w:rStyle w:val="FootnoteReference"/>
          <w:rFonts w:eastAsia="Times New Roman"/>
          <w:szCs w:val="20"/>
        </w:rPr>
        <w:footnoteReference w:id="26"/>
      </w:r>
    </w:p>
    <w:p w14:paraId="3F871616" w14:textId="3E15E55C" w:rsidR="00776A44" w:rsidRPr="00477AB0" w:rsidRDefault="00776A44" w:rsidP="00204A55">
      <w:pPr>
        <w:pStyle w:val="NumberedParas"/>
        <w:ind w:left="1134" w:firstLine="0"/>
      </w:pPr>
      <w:r w:rsidRPr="00477AB0">
        <w:t xml:space="preserve">On 30 September 2015, the Minister of Local Government invited the Municipality to </w:t>
      </w:r>
      <w:r w:rsidR="00DE2D84" w:rsidRPr="00477AB0">
        <w:t xml:space="preserve">fully </w:t>
      </w:r>
      <w:r w:rsidR="00BD04F4" w:rsidRPr="00477AB0">
        <w:t xml:space="preserve">implement its obligation to provide access to the </w:t>
      </w:r>
      <w:r w:rsidR="00DE2D84" w:rsidRPr="00477AB0">
        <w:t xml:space="preserve">requested </w:t>
      </w:r>
      <w:r w:rsidR="00BD04F4" w:rsidRPr="00477AB0">
        <w:t>information</w:t>
      </w:r>
      <w:r w:rsidRPr="00477AB0">
        <w:t>.</w:t>
      </w:r>
      <w:r w:rsidRPr="00477AB0">
        <w:rPr>
          <w:rStyle w:val="FootnoteReference"/>
          <w:rFonts w:eastAsia="Times New Roman"/>
          <w:szCs w:val="20"/>
        </w:rPr>
        <w:footnoteReference w:id="27"/>
      </w:r>
    </w:p>
    <w:p w14:paraId="568CC4AD" w14:textId="3EA4980C" w:rsidR="00057E24" w:rsidRPr="00477AB0" w:rsidRDefault="00057E24" w:rsidP="00204A55">
      <w:pPr>
        <w:pStyle w:val="NumberedParas"/>
        <w:ind w:left="1134" w:firstLine="0"/>
      </w:pPr>
      <w:r w:rsidRPr="00477AB0">
        <w:t xml:space="preserve">On 7 October 2015, </w:t>
      </w:r>
      <w:r w:rsidR="00BD04F4" w:rsidRPr="00477AB0">
        <w:t xml:space="preserve">as the remaining information had not been provided, </w:t>
      </w:r>
      <w:r w:rsidRPr="00477AB0">
        <w:t xml:space="preserve">the Justice of the Peace decided to send the case to the General List </w:t>
      </w:r>
      <w:r w:rsidR="00BD04F4" w:rsidRPr="00477AB0">
        <w:t>for hearing.</w:t>
      </w:r>
      <w:r w:rsidRPr="00477AB0">
        <w:rPr>
          <w:rStyle w:val="FootnoteReference"/>
          <w:rFonts w:eastAsia="Times New Roman"/>
          <w:szCs w:val="20"/>
        </w:rPr>
        <w:footnoteReference w:id="28"/>
      </w:r>
    </w:p>
    <w:p w14:paraId="0D33DDB6" w14:textId="4AD33414" w:rsidR="00057E24" w:rsidRPr="00477AB0" w:rsidRDefault="00057E24" w:rsidP="00204A55">
      <w:pPr>
        <w:pStyle w:val="NumberedParas"/>
        <w:ind w:left="1134" w:firstLine="0"/>
      </w:pPr>
      <w:r w:rsidRPr="00477AB0">
        <w:t>On 6 April 2016</w:t>
      </w:r>
      <w:r w:rsidR="005A6DFC" w:rsidRPr="00477AB0">
        <w:t xml:space="preserve"> and 4 May 2016</w:t>
      </w:r>
      <w:r w:rsidRPr="00477AB0">
        <w:t>, hearing</w:t>
      </w:r>
      <w:r w:rsidR="005A6DFC" w:rsidRPr="00477AB0">
        <w:t>s</w:t>
      </w:r>
      <w:r w:rsidRPr="00477AB0">
        <w:t xml:space="preserve"> </w:t>
      </w:r>
      <w:r w:rsidR="00B977E0" w:rsidRPr="00477AB0">
        <w:t>were</w:t>
      </w:r>
      <w:r w:rsidRPr="00477AB0">
        <w:t xml:space="preserve"> held </w:t>
      </w:r>
      <w:r w:rsidR="005D56F6" w:rsidRPr="00477AB0">
        <w:t>concerning</w:t>
      </w:r>
      <w:r w:rsidRPr="00477AB0">
        <w:t xml:space="preserve"> the remainder of the requested information.</w:t>
      </w:r>
      <w:r w:rsidRPr="00477AB0">
        <w:rPr>
          <w:rStyle w:val="FootnoteReference"/>
          <w:rFonts w:eastAsia="Times New Roman"/>
          <w:szCs w:val="20"/>
        </w:rPr>
        <w:footnoteReference w:id="29"/>
      </w:r>
    </w:p>
    <w:p w14:paraId="6B72E8D2" w14:textId="2E151496" w:rsidR="00057E24" w:rsidRPr="00477AB0" w:rsidRDefault="00057E24" w:rsidP="00204A55">
      <w:pPr>
        <w:pStyle w:val="NumberedParas"/>
        <w:ind w:left="1134" w:firstLine="0"/>
      </w:pPr>
      <w:r w:rsidRPr="00477AB0">
        <w:t>The remainder of the information was provided between 16 April and 4 May 2016.</w:t>
      </w:r>
      <w:r w:rsidRPr="00477AB0">
        <w:rPr>
          <w:rStyle w:val="FootnoteReference"/>
          <w:rFonts w:eastAsia="Times New Roman"/>
          <w:szCs w:val="20"/>
        </w:rPr>
        <w:footnoteReference w:id="30"/>
      </w:r>
    </w:p>
    <w:p w14:paraId="7F929F2D" w14:textId="2D575315" w:rsidR="00DF1F1D" w:rsidRPr="00477AB0" w:rsidRDefault="00DF1F1D" w:rsidP="00204A55">
      <w:pPr>
        <w:pStyle w:val="NumberedParas"/>
        <w:ind w:left="1134" w:firstLine="0"/>
      </w:pPr>
      <w:bookmarkStart w:id="13" w:name="_Ref508126737"/>
      <w:r w:rsidRPr="00477AB0">
        <w:t xml:space="preserve">On 7 September 2016, the </w:t>
      </w:r>
      <w:r w:rsidR="0056654A" w:rsidRPr="00477AB0">
        <w:t xml:space="preserve">Justice of the Peace </w:t>
      </w:r>
      <w:r w:rsidR="00057E24" w:rsidRPr="00477AB0">
        <w:t xml:space="preserve">adopted </w:t>
      </w:r>
      <w:r w:rsidR="00DE2D84" w:rsidRPr="00477AB0">
        <w:t xml:space="preserve">a </w:t>
      </w:r>
      <w:r w:rsidR="00057E24" w:rsidRPr="00477AB0">
        <w:t>final decision ordering</w:t>
      </w:r>
      <w:r w:rsidR="0056654A" w:rsidRPr="00477AB0">
        <w:t xml:space="preserve"> the </w:t>
      </w:r>
      <w:r w:rsidR="00A80D4B" w:rsidRPr="00477AB0">
        <w:t>M</w:t>
      </w:r>
      <w:r w:rsidR="0056654A" w:rsidRPr="00477AB0">
        <w:t xml:space="preserve">unicipality to </w:t>
      </w:r>
      <w:r w:rsidR="00057E24" w:rsidRPr="00477AB0">
        <w:t xml:space="preserve">pay €100 in non-material damage and €506.13 to cover </w:t>
      </w:r>
      <w:r w:rsidR="005D56F6" w:rsidRPr="00477AB0">
        <w:t xml:space="preserve">Mr. </w:t>
      </w:r>
      <w:proofErr w:type="spellStart"/>
      <w:r w:rsidR="005D56F6" w:rsidRPr="00477AB0">
        <w:t>Doutreloux’s</w:t>
      </w:r>
      <w:proofErr w:type="spellEnd"/>
      <w:r w:rsidR="005D56F6" w:rsidRPr="00477AB0">
        <w:t xml:space="preserve"> costs</w:t>
      </w:r>
      <w:r w:rsidR="0056654A" w:rsidRPr="00477AB0">
        <w:t>.</w:t>
      </w:r>
      <w:r w:rsidR="0056654A" w:rsidRPr="00477AB0">
        <w:rPr>
          <w:rStyle w:val="FootnoteReference"/>
          <w:rFonts w:eastAsia="Times New Roman"/>
          <w:szCs w:val="20"/>
        </w:rPr>
        <w:footnoteReference w:id="31"/>
      </w:r>
      <w:bookmarkEnd w:id="13"/>
    </w:p>
    <w:p w14:paraId="5BAAE967" w14:textId="277ECC4C" w:rsidR="00FB1044" w:rsidRPr="00477AB0" w:rsidRDefault="00FB1044" w:rsidP="00204A55">
      <w:pPr>
        <w:pStyle w:val="Heading3"/>
        <w:ind w:left="1134"/>
      </w:pPr>
      <w:r w:rsidRPr="00477AB0">
        <w:t xml:space="preserve">Access to information request 3: </w:t>
      </w:r>
      <w:proofErr w:type="spellStart"/>
      <w:r w:rsidRPr="00477AB0">
        <w:t>Francorchamps</w:t>
      </w:r>
      <w:proofErr w:type="spellEnd"/>
      <w:r w:rsidRPr="00477AB0">
        <w:t xml:space="preserve"> motor-racing circuit</w:t>
      </w:r>
    </w:p>
    <w:p w14:paraId="6ED8F7BD" w14:textId="696B85F5" w:rsidR="00FB1044" w:rsidRPr="00477AB0" w:rsidRDefault="00FB1044" w:rsidP="00204A55">
      <w:pPr>
        <w:pStyle w:val="NumberedParas"/>
        <w:ind w:left="1134" w:firstLine="0"/>
      </w:pPr>
      <w:bookmarkStart w:id="14" w:name="_Ref74754723"/>
      <w:r w:rsidRPr="00477AB0">
        <w:t xml:space="preserve">On </w:t>
      </w:r>
      <w:r w:rsidR="009473B3" w:rsidRPr="00477AB0">
        <w:t>23 June</w:t>
      </w:r>
      <w:r w:rsidRPr="00477AB0">
        <w:t xml:space="preserve"> 2014</w:t>
      </w:r>
      <w:r w:rsidR="00DE2D84" w:rsidRPr="00477AB0">
        <w:t xml:space="preserve">, </w:t>
      </w:r>
      <w:r w:rsidR="005D56F6" w:rsidRPr="00477AB0">
        <w:t xml:space="preserve">Mr. </w:t>
      </w:r>
      <w:proofErr w:type="spellStart"/>
      <w:r w:rsidR="005D56F6" w:rsidRPr="00477AB0">
        <w:t>Doutreloux</w:t>
      </w:r>
      <w:proofErr w:type="spellEnd"/>
      <w:r w:rsidRPr="00477AB0">
        <w:t xml:space="preserve"> made a request for access to informati</w:t>
      </w:r>
      <w:r w:rsidR="00057E24" w:rsidRPr="00477AB0">
        <w:t xml:space="preserve">on regarding the </w:t>
      </w:r>
      <w:r w:rsidR="00DE627A" w:rsidRPr="00477AB0">
        <w:t xml:space="preserve">Municipality of Stavelot’s </w:t>
      </w:r>
      <w:r w:rsidR="00057E24" w:rsidRPr="00477AB0">
        <w:t>intentions</w:t>
      </w:r>
      <w:r w:rsidRPr="00477AB0">
        <w:t xml:space="preserve"> for the access ramps at the </w:t>
      </w:r>
      <w:proofErr w:type="spellStart"/>
      <w:r w:rsidRPr="00477AB0">
        <w:lastRenderedPageBreak/>
        <w:t>Francorchamps</w:t>
      </w:r>
      <w:proofErr w:type="spellEnd"/>
      <w:r w:rsidRPr="00477AB0">
        <w:t xml:space="preserve"> mot</w:t>
      </w:r>
      <w:r w:rsidR="005D56F6" w:rsidRPr="00477AB0">
        <w:t>or</w:t>
      </w:r>
      <w:r w:rsidRPr="00477AB0">
        <w:t xml:space="preserve">-racing circuit </w:t>
      </w:r>
      <w:r w:rsidR="00DE2D84" w:rsidRPr="00477AB0">
        <w:t xml:space="preserve">after the end of </w:t>
      </w:r>
      <w:r w:rsidRPr="00477AB0">
        <w:t xml:space="preserve">the temporary occupation </w:t>
      </w:r>
      <w:r w:rsidR="001A6F6F" w:rsidRPr="00477AB0">
        <w:t>licence</w:t>
      </w:r>
      <w:r w:rsidR="00DE2D84" w:rsidRPr="00477AB0">
        <w:t xml:space="preserve"> dated 5 June 2012</w:t>
      </w:r>
      <w:r w:rsidRPr="00477AB0">
        <w:t>.</w:t>
      </w:r>
      <w:r w:rsidRPr="00477AB0">
        <w:rPr>
          <w:rStyle w:val="FootnoteReference"/>
          <w:rFonts w:eastAsia="Times New Roman"/>
          <w:szCs w:val="20"/>
        </w:rPr>
        <w:footnoteReference w:id="32"/>
      </w:r>
      <w:bookmarkEnd w:id="14"/>
      <w:r w:rsidRPr="00477AB0">
        <w:t xml:space="preserve"> </w:t>
      </w:r>
    </w:p>
    <w:p w14:paraId="150C10A6" w14:textId="5CFEEEE1" w:rsidR="009473B3" w:rsidRPr="00477AB0" w:rsidRDefault="00DE627A" w:rsidP="00204A55">
      <w:pPr>
        <w:pStyle w:val="NumberedParas"/>
        <w:ind w:left="1134" w:firstLine="0"/>
      </w:pPr>
      <w:r w:rsidRPr="00477AB0">
        <w:t>As the information requested was not provided,</w:t>
      </w:r>
      <w:r w:rsidR="009473B3" w:rsidRPr="00477AB0">
        <w:t xml:space="preserve"> on 28 July 2014 </w:t>
      </w:r>
      <w:r w:rsidR="00DE2D84" w:rsidRPr="00477AB0">
        <w:t xml:space="preserve">Mr. </w:t>
      </w:r>
      <w:proofErr w:type="spellStart"/>
      <w:r w:rsidR="00DE2D84" w:rsidRPr="00477AB0">
        <w:t>Doutreloux</w:t>
      </w:r>
      <w:proofErr w:type="spellEnd"/>
      <w:r w:rsidR="00DE2D84" w:rsidRPr="00477AB0">
        <w:t xml:space="preserve"> </w:t>
      </w:r>
      <w:r w:rsidR="008C2451" w:rsidRPr="00477AB0">
        <w:t xml:space="preserve">brought an appeal to </w:t>
      </w:r>
      <w:r w:rsidR="009473B3" w:rsidRPr="00477AB0">
        <w:t>the CRAIE.</w:t>
      </w:r>
      <w:r w:rsidR="009473B3" w:rsidRPr="00477AB0">
        <w:rPr>
          <w:rStyle w:val="FootnoteReference"/>
          <w:rFonts w:eastAsia="Times New Roman"/>
          <w:szCs w:val="20"/>
        </w:rPr>
        <w:footnoteReference w:id="33"/>
      </w:r>
    </w:p>
    <w:p w14:paraId="5F288224" w14:textId="4A7EE81A" w:rsidR="00FB1044" w:rsidRPr="00477AB0" w:rsidRDefault="00FB1044" w:rsidP="00204A55">
      <w:pPr>
        <w:pStyle w:val="NumberedParas"/>
        <w:ind w:left="1134" w:firstLine="0"/>
      </w:pPr>
      <w:r w:rsidRPr="00477AB0">
        <w:t xml:space="preserve">On 2 October 2014, the CRAIE ordered </w:t>
      </w:r>
      <w:r w:rsidR="00876BCE" w:rsidRPr="00477AB0">
        <w:t xml:space="preserve">the Municipality to provide a copy of its decision under which it had granted temporary occupation of the access ramps at the motor-racing circuit </w:t>
      </w:r>
      <w:r w:rsidRPr="00477AB0">
        <w:t xml:space="preserve">within 8 days of </w:t>
      </w:r>
      <w:r w:rsidR="006D12A6" w:rsidRPr="00477AB0">
        <w:t xml:space="preserve">CRAIE’s </w:t>
      </w:r>
      <w:r w:rsidRPr="00477AB0">
        <w:t>decision.</w:t>
      </w:r>
      <w:r w:rsidRPr="00477AB0">
        <w:rPr>
          <w:rStyle w:val="FootnoteReference"/>
          <w:rFonts w:eastAsia="Times New Roman"/>
          <w:szCs w:val="20"/>
        </w:rPr>
        <w:footnoteReference w:id="34"/>
      </w:r>
    </w:p>
    <w:p w14:paraId="4732A439" w14:textId="75893137" w:rsidR="009473B3" w:rsidRPr="00477AB0" w:rsidRDefault="003E2745" w:rsidP="00204A55">
      <w:pPr>
        <w:pStyle w:val="NumberedParas"/>
        <w:ind w:left="1134" w:firstLine="0"/>
      </w:pPr>
      <w:r w:rsidRPr="00477AB0">
        <w:t xml:space="preserve">As the information requested had not been provided by </w:t>
      </w:r>
      <w:r w:rsidR="009473B3" w:rsidRPr="00477AB0">
        <w:t xml:space="preserve">the Municipality, on 15 December 2014 </w:t>
      </w:r>
      <w:r w:rsidR="007703DA" w:rsidRPr="00477AB0">
        <w:t xml:space="preserve">Mr. </w:t>
      </w:r>
      <w:proofErr w:type="spellStart"/>
      <w:r w:rsidR="007703DA" w:rsidRPr="00477AB0">
        <w:t>Doutreloux</w:t>
      </w:r>
      <w:proofErr w:type="spellEnd"/>
      <w:r w:rsidR="007703DA" w:rsidRPr="00477AB0">
        <w:t xml:space="preserve"> </w:t>
      </w:r>
      <w:r w:rsidR="009473B3" w:rsidRPr="00477AB0">
        <w:t xml:space="preserve">brought proceedings before </w:t>
      </w:r>
      <w:r w:rsidR="00DE2D84" w:rsidRPr="00477AB0">
        <w:t xml:space="preserve">a </w:t>
      </w:r>
      <w:r w:rsidR="009473B3" w:rsidRPr="00477AB0">
        <w:t xml:space="preserve">Justice of the Peace </w:t>
      </w:r>
      <w:r w:rsidRPr="00477AB0">
        <w:t xml:space="preserve">seeking </w:t>
      </w:r>
      <w:r w:rsidR="009473B3" w:rsidRPr="00477AB0">
        <w:t xml:space="preserve">access to the </w:t>
      </w:r>
      <w:r w:rsidR="006D12A6" w:rsidRPr="00477AB0">
        <w:t xml:space="preserve">requested </w:t>
      </w:r>
      <w:r w:rsidR="009473B3" w:rsidRPr="00477AB0">
        <w:t xml:space="preserve">information and </w:t>
      </w:r>
      <w:r w:rsidRPr="00477AB0">
        <w:t xml:space="preserve">making </w:t>
      </w:r>
      <w:r w:rsidR="009473B3" w:rsidRPr="00477AB0">
        <w:t>a claim for damages.</w:t>
      </w:r>
      <w:r w:rsidR="009473B3" w:rsidRPr="00477AB0">
        <w:rPr>
          <w:rStyle w:val="FootnoteReference"/>
          <w:rFonts w:eastAsia="Times New Roman"/>
          <w:szCs w:val="20"/>
        </w:rPr>
        <w:footnoteReference w:id="35"/>
      </w:r>
      <w:r w:rsidR="009473B3" w:rsidRPr="00477AB0">
        <w:t xml:space="preserve"> </w:t>
      </w:r>
    </w:p>
    <w:p w14:paraId="3DEB447E" w14:textId="2B31F03F" w:rsidR="009473B3" w:rsidRPr="00477AB0" w:rsidRDefault="009473B3" w:rsidP="00204A55">
      <w:pPr>
        <w:pStyle w:val="NumberedParas"/>
        <w:ind w:left="1134" w:firstLine="0"/>
      </w:pPr>
      <w:r w:rsidRPr="00477AB0">
        <w:t xml:space="preserve">On 7 January 2015, the Municipality did not appear </w:t>
      </w:r>
      <w:r w:rsidR="001A6F6F" w:rsidRPr="00477AB0">
        <w:t xml:space="preserve">at </w:t>
      </w:r>
      <w:r w:rsidRPr="00477AB0">
        <w:t xml:space="preserve">the introductory hearing and the case was therefore </w:t>
      </w:r>
      <w:r w:rsidR="003E2745" w:rsidRPr="00477AB0">
        <w:t xml:space="preserve">heard </w:t>
      </w:r>
      <w:r w:rsidRPr="00477AB0">
        <w:t>with short pleadings by default.</w:t>
      </w:r>
      <w:r w:rsidRPr="00477AB0">
        <w:rPr>
          <w:rStyle w:val="FootnoteReference"/>
          <w:rFonts w:eastAsia="Times New Roman"/>
          <w:szCs w:val="20"/>
        </w:rPr>
        <w:footnoteReference w:id="36"/>
      </w:r>
    </w:p>
    <w:p w14:paraId="111F80F3" w14:textId="427B809D" w:rsidR="009473B3" w:rsidRPr="00477AB0" w:rsidRDefault="009473B3" w:rsidP="00204A55">
      <w:pPr>
        <w:pStyle w:val="NumberedParas"/>
        <w:ind w:left="1134" w:firstLine="0"/>
      </w:pPr>
      <w:r w:rsidRPr="00477AB0">
        <w:t xml:space="preserve">On 31 March 2015, </w:t>
      </w:r>
      <w:r w:rsidR="00DE2D84" w:rsidRPr="00477AB0">
        <w:t xml:space="preserve">Mr. </w:t>
      </w:r>
      <w:proofErr w:type="spellStart"/>
      <w:r w:rsidR="00DE2D84" w:rsidRPr="00477AB0">
        <w:t>Doutreloux</w:t>
      </w:r>
      <w:proofErr w:type="spellEnd"/>
      <w:r w:rsidR="00DE2D84" w:rsidRPr="00477AB0">
        <w:t xml:space="preserve"> </w:t>
      </w:r>
      <w:r w:rsidRPr="00477AB0">
        <w:t>wrote to the Minister for Local Government</w:t>
      </w:r>
      <w:r w:rsidR="006D12A6" w:rsidRPr="00477AB0">
        <w:t xml:space="preserve"> to ask him to send a Special Commissioner and to commence a disciplinary case</w:t>
      </w:r>
      <w:r w:rsidRPr="00477AB0">
        <w:t>.</w:t>
      </w:r>
    </w:p>
    <w:p w14:paraId="62D7760B" w14:textId="1701E6A5" w:rsidR="00FB1044" w:rsidRPr="00477AB0" w:rsidRDefault="00FB1044" w:rsidP="00204A55">
      <w:pPr>
        <w:pStyle w:val="NumberedParas"/>
        <w:ind w:left="1134" w:firstLine="0"/>
      </w:pPr>
      <w:r w:rsidRPr="00477AB0">
        <w:t xml:space="preserve">On 12 August 2015, the Justice of the Peace ordered the requested information </w:t>
      </w:r>
      <w:r w:rsidR="006D12A6" w:rsidRPr="00477AB0">
        <w:t xml:space="preserve">to </w:t>
      </w:r>
      <w:r w:rsidRPr="00477AB0">
        <w:t>be supplied</w:t>
      </w:r>
      <w:r w:rsidR="009473B3" w:rsidRPr="00477AB0">
        <w:t xml:space="preserve"> with 8 days and applied a per diem penalty of €50 </w:t>
      </w:r>
      <w:r w:rsidR="00923D5D" w:rsidRPr="00477AB0">
        <w:t>for failure to comply within 8 days of service of the judgment</w:t>
      </w:r>
      <w:r w:rsidRPr="00477AB0">
        <w:t>.</w:t>
      </w:r>
      <w:r w:rsidRPr="00477AB0">
        <w:rPr>
          <w:rStyle w:val="FootnoteReference"/>
          <w:rFonts w:eastAsia="Times New Roman"/>
          <w:szCs w:val="20"/>
        </w:rPr>
        <w:footnoteReference w:id="37"/>
      </w:r>
      <w:r w:rsidR="00D23F6C" w:rsidRPr="00477AB0">
        <w:t xml:space="preserve"> </w:t>
      </w:r>
    </w:p>
    <w:p w14:paraId="3CA78630" w14:textId="3EFA1917" w:rsidR="009473B3" w:rsidRPr="00477AB0" w:rsidRDefault="009473B3" w:rsidP="00204A55">
      <w:pPr>
        <w:pStyle w:val="NumberedParas"/>
        <w:ind w:left="1134" w:firstLine="0"/>
      </w:pPr>
      <w:r w:rsidRPr="00477AB0">
        <w:t>On 19 August 2015, the Municipality provided the text of the temporary occupation license but not the associated plan.</w:t>
      </w:r>
      <w:r w:rsidRPr="00477AB0">
        <w:rPr>
          <w:rStyle w:val="FootnoteReference"/>
          <w:rFonts w:eastAsia="Times New Roman"/>
          <w:szCs w:val="20"/>
        </w:rPr>
        <w:footnoteReference w:id="38"/>
      </w:r>
    </w:p>
    <w:p w14:paraId="7C5B283D" w14:textId="0176BDE9" w:rsidR="00FB1044" w:rsidRPr="00477AB0" w:rsidRDefault="009473B3" w:rsidP="00204A55">
      <w:pPr>
        <w:pStyle w:val="NumberedParas"/>
        <w:ind w:left="1134" w:firstLine="0"/>
      </w:pPr>
      <w:bookmarkStart w:id="15" w:name="_Ref508118823"/>
      <w:r w:rsidRPr="00477AB0">
        <w:t>On 13 October 2015, the Municipality provided the remainder of the requested information.</w:t>
      </w:r>
      <w:r w:rsidRPr="00477AB0">
        <w:rPr>
          <w:rStyle w:val="FootnoteReference"/>
          <w:rFonts w:eastAsia="Times New Roman"/>
          <w:szCs w:val="20"/>
        </w:rPr>
        <w:footnoteReference w:id="39"/>
      </w:r>
      <w:bookmarkEnd w:id="15"/>
    </w:p>
    <w:p w14:paraId="436040AD" w14:textId="1BA15655" w:rsidR="000C7780" w:rsidRPr="00477AB0" w:rsidRDefault="000C7780" w:rsidP="00204A55">
      <w:pPr>
        <w:pStyle w:val="NumberedParas"/>
        <w:ind w:left="1134" w:firstLine="0"/>
      </w:pPr>
      <w:r w:rsidRPr="00477AB0">
        <w:t xml:space="preserve">On 12 September 2019, </w:t>
      </w:r>
      <w:r w:rsidR="00DE2D84" w:rsidRPr="00477AB0">
        <w:t xml:space="preserve">Mr. </w:t>
      </w:r>
      <w:proofErr w:type="spellStart"/>
      <w:r w:rsidR="00DE2D84" w:rsidRPr="00477AB0">
        <w:t>Doutreloux</w:t>
      </w:r>
      <w:proofErr w:type="spellEnd"/>
      <w:r w:rsidR="00DE2D84" w:rsidRPr="00477AB0">
        <w:t xml:space="preserve"> </w:t>
      </w:r>
      <w:r w:rsidRPr="00477AB0">
        <w:t>requested that the case be relisted before the Justice of the Peace regarding the outstanding application for damages and costs.</w:t>
      </w:r>
      <w:r w:rsidR="002916A7" w:rsidRPr="00477AB0">
        <w:rPr>
          <w:rStyle w:val="FootnoteReference"/>
        </w:rPr>
        <w:footnoteReference w:id="40"/>
      </w:r>
    </w:p>
    <w:p w14:paraId="780F9670" w14:textId="6E19C1B8" w:rsidR="000C7780" w:rsidRPr="00477AB0" w:rsidRDefault="000C7780" w:rsidP="00204A55">
      <w:pPr>
        <w:pStyle w:val="NumberedParas"/>
        <w:ind w:left="1134" w:firstLine="0"/>
      </w:pPr>
      <w:bookmarkStart w:id="16" w:name="_Ref73023024"/>
      <w:r w:rsidRPr="00477AB0">
        <w:t xml:space="preserve">On 9 September 2020, the Justice of the Peace </w:t>
      </w:r>
      <w:r w:rsidR="00506EEB" w:rsidRPr="00477AB0">
        <w:t xml:space="preserve">awarded </w:t>
      </w:r>
      <w:r w:rsidR="00DE2D84" w:rsidRPr="00477AB0">
        <w:t xml:space="preserve">Mr. </w:t>
      </w:r>
      <w:proofErr w:type="spellStart"/>
      <w:r w:rsidR="00DE2D84" w:rsidRPr="00477AB0">
        <w:t>Doutreloux</w:t>
      </w:r>
      <w:proofErr w:type="spellEnd"/>
      <w:r w:rsidR="00DE2D84" w:rsidRPr="00477AB0">
        <w:t xml:space="preserve"> the following</w:t>
      </w:r>
      <w:r w:rsidR="00506EEB" w:rsidRPr="00477AB0">
        <w:t xml:space="preserve">: the minimum case preparation allowance (€90); part of the costs claimed in respect of preparation of the summons (€278.41); and damages in the sum of €100 </w:t>
      </w:r>
      <w:r w:rsidR="00DE2D84" w:rsidRPr="00477AB0">
        <w:t>“</w:t>
      </w:r>
      <w:r w:rsidR="00506EEB" w:rsidRPr="00477AB0">
        <w:t>for the inconvenience and loss of time</w:t>
      </w:r>
      <w:r w:rsidR="00DE2D84" w:rsidRPr="00477AB0">
        <w:t>”</w:t>
      </w:r>
      <w:r w:rsidR="00506EEB" w:rsidRPr="00477AB0">
        <w:t>.</w:t>
      </w:r>
      <w:r w:rsidR="00D23F6C" w:rsidRPr="00477AB0">
        <w:t xml:space="preserve"> </w:t>
      </w:r>
      <w:r w:rsidR="00506EEB" w:rsidRPr="00477AB0">
        <w:t xml:space="preserve">Due to delay </w:t>
      </w:r>
      <w:r w:rsidR="006D12A6" w:rsidRPr="00477AB0">
        <w:t xml:space="preserve">by </w:t>
      </w:r>
      <w:r w:rsidR="00DE2D84" w:rsidRPr="00477AB0">
        <w:t xml:space="preserve">Mr. </w:t>
      </w:r>
      <w:proofErr w:type="spellStart"/>
      <w:r w:rsidR="00DE2D84" w:rsidRPr="00477AB0">
        <w:t>Doutreloux</w:t>
      </w:r>
      <w:proofErr w:type="spellEnd"/>
      <w:r w:rsidR="006D12A6" w:rsidRPr="00477AB0">
        <w:t xml:space="preserve"> </w:t>
      </w:r>
      <w:r w:rsidR="00506EEB" w:rsidRPr="00477AB0">
        <w:t>in p</w:t>
      </w:r>
      <w:r w:rsidR="00DD3700" w:rsidRPr="00477AB0">
        <w:t xml:space="preserve">ursuing </w:t>
      </w:r>
      <w:r w:rsidR="00506EEB" w:rsidRPr="00477AB0">
        <w:t xml:space="preserve">this part of the case, </w:t>
      </w:r>
      <w:r w:rsidR="006D12A6" w:rsidRPr="00477AB0">
        <w:t xml:space="preserve">the </w:t>
      </w:r>
      <w:r w:rsidR="00506EEB" w:rsidRPr="00477AB0">
        <w:t>interest payable on the €100 damages applie</w:t>
      </w:r>
      <w:r w:rsidR="00DE2D84" w:rsidRPr="00477AB0">
        <w:t>d</w:t>
      </w:r>
      <w:r w:rsidR="00506EEB" w:rsidRPr="00477AB0">
        <w:t xml:space="preserve"> only from 12 September 2019, the date on which </w:t>
      </w:r>
      <w:r w:rsidR="00DE2D84" w:rsidRPr="00477AB0">
        <w:t>he</w:t>
      </w:r>
      <w:r w:rsidR="00506EEB" w:rsidRPr="00477AB0">
        <w:t xml:space="preserve"> </w:t>
      </w:r>
      <w:r w:rsidR="00DD3700" w:rsidRPr="00477AB0">
        <w:t xml:space="preserve">moved </w:t>
      </w:r>
      <w:r w:rsidR="00506EEB" w:rsidRPr="00477AB0">
        <w:t>to have this part of the case relisted before the Justice of the Pea</w:t>
      </w:r>
      <w:r w:rsidR="003E69BF" w:rsidRPr="00477AB0">
        <w:t>c</w:t>
      </w:r>
      <w:r w:rsidR="00506EEB" w:rsidRPr="00477AB0">
        <w:t>e.</w:t>
      </w:r>
      <w:r w:rsidR="00DA203E" w:rsidRPr="00477AB0">
        <w:rPr>
          <w:rStyle w:val="FootnoteReference"/>
          <w:rFonts w:eastAsia="Times New Roman"/>
          <w:szCs w:val="20"/>
        </w:rPr>
        <w:footnoteReference w:id="41"/>
      </w:r>
      <w:bookmarkEnd w:id="16"/>
      <w:r w:rsidR="00506EEB" w:rsidRPr="00477AB0">
        <w:t xml:space="preserve"> </w:t>
      </w:r>
    </w:p>
    <w:p w14:paraId="0AD5FE8E" w14:textId="250B7E07" w:rsidR="00D47880" w:rsidRPr="00477AB0" w:rsidRDefault="00D14D7D" w:rsidP="00204A55">
      <w:pPr>
        <w:pStyle w:val="Heading2"/>
        <w:ind w:left="1134" w:firstLine="0"/>
      </w:pPr>
      <w:r w:rsidRPr="00477AB0">
        <w:t>Domestic remedies</w:t>
      </w:r>
    </w:p>
    <w:p w14:paraId="48467899" w14:textId="74FE5BB3" w:rsidR="00BA0D24" w:rsidRPr="00477AB0" w:rsidRDefault="00BA0D24" w:rsidP="00204A55">
      <w:pPr>
        <w:pStyle w:val="NumberedParas"/>
        <w:ind w:left="1134" w:firstLine="0"/>
      </w:pPr>
      <w:r w:rsidRPr="00477AB0">
        <w:t xml:space="preserve">With </w:t>
      </w:r>
      <w:r w:rsidR="006D12A6" w:rsidRPr="00477AB0">
        <w:t>respect</w:t>
      </w:r>
      <w:r w:rsidRPr="00477AB0">
        <w:t xml:space="preserve"> to their specific requests for environmental information, the communicants submit that they brought appeals before the CRAIE, requested the Minister for Local Government to intervene and brought proceedings before the Justice of the Peace.</w:t>
      </w:r>
      <w:r w:rsidRPr="00477AB0">
        <w:rPr>
          <w:rStyle w:val="FootnoteReference"/>
          <w:rFonts w:eastAsia="Times New Roman"/>
          <w:szCs w:val="20"/>
        </w:rPr>
        <w:footnoteReference w:id="42"/>
      </w:r>
      <w:r w:rsidRPr="00477AB0">
        <w:t xml:space="preserve"> Furthermore, on 18 September 2015 they submitted a complaint to the European Commission alleging breach of European Union law on the right of access to environmental information.</w:t>
      </w:r>
      <w:r w:rsidRPr="00477AB0">
        <w:rPr>
          <w:rStyle w:val="FootnoteReference"/>
          <w:rFonts w:eastAsia="Times New Roman"/>
          <w:szCs w:val="20"/>
        </w:rPr>
        <w:footnoteReference w:id="43"/>
      </w:r>
      <w:r w:rsidRPr="00477AB0">
        <w:t xml:space="preserve"> On 17 November 2015, the communicants sent a complaint </w:t>
      </w:r>
      <w:r w:rsidRPr="00477AB0">
        <w:lastRenderedPageBreak/>
        <w:t xml:space="preserve">to the Public Prosecutor requesting a criminal investigation into the conduct of all the members of the </w:t>
      </w:r>
      <w:r w:rsidR="006D12A6" w:rsidRPr="00477AB0">
        <w:t xml:space="preserve">Municipality of </w:t>
      </w:r>
      <w:r w:rsidRPr="00477AB0">
        <w:t>Stavelot.</w:t>
      </w:r>
      <w:r w:rsidRPr="00477AB0">
        <w:rPr>
          <w:rStyle w:val="FootnoteReference"/>
          <w:rFonts w:eastAsia="Times New Roman"/>
          <w:szCs w:val="20"/>
        </w:rPr>
        <w:footnoteReference w:id="44"/>
      </w:r>
    </w:p>
    <w:p w14:paraId="71220EE1" w14:textId="6B982516" w:rsidR="00731573" w:rsidRPr="00477AB0" w:rsidRDefault="006D12A6" w:rsidP="00204A55">
      <w:pPr>
        <w:pStyle w:val="NumberedParas"/>
        <w:ind w:left="1134" w:firstLine="0"/>
      </w:pPr>
      <w:r w:rsidRPr="00477AB0">
        <w:t xml:space="preserve">Regarding </w:t>
      </w:r>
      <w:r w:rsidR="00731573" w:rsidRPr="00477AB0">
        <w:t>the systemic allegations in their communication</w:t>
      </w:r>
      <w:r w:rsidR="001A6F6F" w:rsidRPr="00477AB0">
        <w:t>, the communicants submit</w:t>
      </w:r>
      <w:r w:rsidR="00731573" w:rsidRPr="00477AB0">
        <w:t xml:space="preserve"> there is no possibility to bring an action for annulment </w:t>
      </w:r>
      <w:r w:rsidR="00045E0B" w:rsidRPr="00477AB0">
        <w:t xml:space="preserve">of the Decree of 16 March 2006 amending Book 1 of the Environmental Code with respect to access to environmental information </w:t>
      </w:r>
      <w:r w:rsidR="00731573" w:rsidRPr="00477AB0">
        <w:t xml:space="preserve">before the Constitutional Court </w:t>
      </w:r>
      <w:r w:rsidR="00045E0B" w:rsidRPr="00477AB0">
        <w:t>because the six</w:t>
      </w:r>
      <w:r w:rsidR="009953F2" w:rsidRPr="00477AB0">
        <w:t>-</w:t>
      </w:r>
      <w:r w:rsidR="00045E0B" w:rsidRPr="00477AB0">
        <w:t xml:space="preserve">month deadline </w:t>
      </w:r>
      <w:r w:rsidR="00E612A2" w:rsidRPr="00477AB0">
        <w:t xml:space="preserve">for doing so </w:t>
      </w:r>
      <w:r w:rsidR="00731573" w:rsidRPr="00477AB0">
        <w:t>has expired.</w:t>
      </w:r>
      <w:r w:rsidR="00731573" w:rsidRPr="00477AB0">
        <w:rPr>
          <w:rStyle w:val="FootnoteReference"/>
          <w:rFonts w:eastAsia="Times New Roman"/>
          <w:szCs w:val="20"/>
        </w:rPr>
        <w:footnoteReference w:id="45"/>
      </w:r>
    </w:p>
    <w:p w14:paraId="0B28CBC6" w14:textId="652AFEEF" w:rsidR="008C2451" w:rsidRPr="00477AB0" w:rsidRDefault="008C2451" w:rsidP="00204A55">
      <w:pPr>
        <w:pStyle w:val="NumberedParas"/>
        <w:ind w:left="1134" w:firstLine="0"/>
      </w:pPr>
      <w:r w:rsidRPr="00477AB0">
        <w:t>The Party concerned explained tha</w:t>
      </w:r>
      <w:r w:rsidR="0066762A" w:rsidRPr="00477AB0">
        <w:t xml:space="preserve">t only legislative acts are within the jurisdiction of the Constitutional Court and therefore the communicants could not have appealed directly to that </w:t>
      </w:r>
      <w:r w:rsidR="006D12A6" w:rsidRPr="00477AB0">
        <w:t>C</w:t>
      </w:r>
      <w:r w:rsidR="0066762A" w:rsidRPr="00477AB0">
        <w:t xml:space="preserve">ourt, but </w:t>
      </w:r>
      <w:r w:rsidR="006D12A6" w:rsidRPr="00477AB0">
        <w:t xml:space="preserve">could </w:t>
      </w:r>
      <w:r w:rsidR="0066762A" w:rsidRPr="00477AB0">
        <w:t xml:space="preserve">have suggested that the Justice </w:t>
      </w:r>
      <w:r w:rsidR="005656B6" w:rsidRPr="00477AB0">
        <w:t>of the Peace</w:t>
      </w:r>
      <w:r w:rsidR="0066762A" w:rsidRPr="00477AB0">
        <w:t xml:space="preserve"> refer a question to the Court for a preliminary ruling.</w:t>
      </w:r>
      <w:r w:rsidR="0066762A" w:rsidRPr="00477AB0">
        <w:rPr>
          <w:rStyle w:val="FootnoteReference"/>
          <w:rFonts w:eastAsia="Times New Roman"/>
          <w:szCs w:val="20"/>
        </w:rPr>
        <w:footnoteReference w:id="46"/>
      </w:r>
      <w:r w:rsidR="00D23F6C" w:rsidRPr="00477AB0">
        <w:t xml:space="preserve"> </w:t>
      </w:r>
      <w:r w:rsidR="0066762A" w:rsidRPr="00477AB0">
        <w:t>It also clarified that the Council of State would not have been the competent jurisdiction in this case.</w:t>
      </w:r>
      <w:r w:rsidR="0066762A" w:rsidRPr="00477AB0">
        <w:rPr>
          <w:rStyle w:val="FootnoteReference"/>
          <w:rFonts w:eastAsia="Times New Roman"/>
          <w:szCs w:val="20"/>
        </w:rPr>
        <w:footnoteReference w:id="47"/>
      </w:r>
    </w:p>
    <w:p w14:paraId="35DF2EDA" w14:textId="6D748C8E" w:rsidR="00CE7282" w:rsidRPr="00477AB0" w:rsidRDefault="00CE7282" w:rsidP="00204A55">
      <w:pPr>
        <w:pStyle w:val="NumberedParas"/>
        <w:ind w:left="1134" w:firstLine="0"/>
      </w:pPr>
      <w:r w:rsidRPr="00477AB0">
        <w:t>The Party concerned did not challenge the admissibility of the communication.</w:t>
      </w:r>
    </w:p>
    <w:p w14:paraId="12D1D2A2" w14:textId="77777777" w:rsidR="00D14D7D" w:rsidRPr="00477AB0" w:rsidRDefault="00D14D7D" w:rsidP="00204A55">
      <w:pPr>
        <w:pStyle w:val="Heading2"/>
        <w:ind w:left="1134" w:firstLine="0"/>
      </w:pPr>
      <w:r w:rsidRPr="00477AB0">
        <w:t>Substantive issues</w:t>
      </w:r>
    </w:p>
    <w:p w14:paraId="3B920992" w14:textId="2FA1DA47" w:rsidR="0083275B" w:rsidRPr="00477AB0" w:rsidRDefault="0083275B" w:rsidP="00204A55">
      <w:pPr>
        <w:pStyle w:val="Heading3"/>
        <w:ind w:left="1134"/>
      </w:pPr>
      <w:r w:rsidRPr="00477AB0">
        <w:t>Environmental information</w:t>
      </w:r>
    </w:p>
    <w:p w14:paraId="78B7B1BA" w14:textId="4394AE18" w:rsidR="0083275B" w:rsidRPr="00477AB0" w:rsidRDefault="004C02F1" w:rsidP="00204A55">
      <w:pPr>
        <w:pStyle w:val="NumberedParas"/>
        <w:ind w:left="1134" w:firstLine="0"/>
      </w:pPr>
      <w:r w:rsidRPr="00477AB0">
        <w:t>The communicants submit that the</w:t>
      </w:r>
      <w:r w:rsidR="006D12A6" w:rsidRPr="00477AB0">
        <w:t>ir</w:t>
      </w:r>
      <w:r w:rsidRPr="00477AB0">
        <w:t xml:space="preserve"> three information requests concerned environmental information because they concerned various planning permits</w:t>
      </w:r>
      <w:r w:rsidR="00731573" w:rsidRPr="00477AB0">
        <w:t>, which are consents to make changes to the environment, as well as combined planning and environmental permits, which serve to manage the impact of a given operation on the environment.</w:t>
      </w:r>
      <w:r w:rsidR="00731573" w:rsidRPr="00477AB0">
        <w:rPr>
          <w:rStyle w:val="FootnoteReference"/>
          <w:rFonts w:eastAsia="Times New Roman"/>
          <w:szCs w:val="20"/>
        </w:rPr>
        <w:footnoteReference w:id="48"/>
      </w:r>
    </w:p>
    <w:p w14:paraId="36AA4015" w14:textId="09A44BD2" w:rsidR="00CE7282" w:rsidRPr="00477AB0" w:rsidRDefault="00CE7282" w:rsidP="00204A55">
      <w:pPr>
        <w:pStyle w:val="NumberedParas"/>
        <w:ind w:left="1134" w:firstLine="0"/>
      </w:pPr>
      <w:r w:rsidRPr="00477AB0">
        <w:t xml:space="preserve">The Party concerned does not comment on this </w:t>
      </w:r>
      <w:r w:rsidR="006D12A6" w:rsidRPr="00477AB0">
        <w:t>point</w:t>
      </w:r>
      <w:r w:rsidRPr="00477AB0">
        <w:t>.</w:t>
      </w:r>
      <w:r w:rsidR="00C66F9F" w:rsidRPr="00477AB0">
        <w:t xml:space="preserve"> </w:t>
      </w:r>
    </w:p>
    <w:p w14:paraId="0F5C0D04" w14:textId="1131D548" w:rsidR="0085010D" w:rsidRPr="00477AB0" w:rsidRDefault="00D96EAA" w:rsidP="00204A55">
      <w:pPr>
        <w:pStyle w:val="Heading3"/>
        <w:ind w:left="1134"/>
      </w:pPr>
      <w:r w:rsidRPr="00477AB0">
        <w:t>A</w:t>
      </w:r>
      <w:r w:rsidR="00CE7282" w:rsidRPr="00477AB0">
        <w:t>rticles 1, 3 and 4 of the Convention</w:t>
      </w:r>
    </w:p>
    <w:p w14:paraId="1036FB2B" w14:textId="6305BD50" w:rsidR="00952033" w:rsidRPr="00477AB0" w:rsidRDefault="00952033" w:rsidP="00204A55">
      <w:pPr>
        <w:pStyle w:val="NumberedParas"/>
        <w:ind w:left="1134" w:firstLine="0"/>
      </w:pPr>
      <w:r w:rsidRPr="00477AB0">
        <w:t xml:space="preserve">The communicants submit that the Party concerned failed to comply with the right </w:t>
      </w:r>
      <w:r w:rsidR="000162A5" w:rsidRPr="00477AB0">
        <w:t>of</w:t>
      </w:r>
      <w:r w:rsidRPr="00477AB0">
        <w:t xml:space="preserve"> access to environmental information guaranteed in articles 1, 3 and 4 of the Convention </w:t>
      </w:r>
      <w:r w:rsidR="00BD233F" w:rsidRPr="00477AB0">
        <w:t>with respect to</w:t>
      </w:r>
      <w:r w:rsidRPr="00477AB0">
        <w:t xml:space="preserve"> </w:t>
      </w:r>
      <w:r w:rsidR="006D12A6" w:rsidRPr="00477AB0">
        <w:t xml:space="preserve">their </w:t>
      </w:r>
      <w:r w:rsidRPr="00477AB0">
        <w:t>three</w:t>
      </w:r>
      <w:r w:rsidR="000162A5" w:rsidRPr="00477AB0">
        <w:t xml:space="preserve"> </w:t>
      </w:r>
      <w:r w:rsidRPr="00477AB0">
        <w:t xml:space="preserve">access to information requests. The communicants submit that articles 1 and 4 of the Convention require that access to environmental information is granted within one month and that in the three mentioned cases the communicants had to wait more than a year to obtain </w:t>
      </w:r>
      <w:r w:rsidR="006D12A6" w:rsidRPr="00477AB0">
        <w:t xml:space="preserve">only part of the requested </w:t>
      </w:r>
      <w:r w:rsidRPr="00477AB0">
        <w:t>information.</w:t>
      </w:r>
      <w:r w:rsidRPr="00477AB0">
        <w:rPr>
          <w:rStyle w:val="FootnoteReference"/>
          <w:rFonts w:eastAsia="Times New Roman"/>
          <w:szCs w:val="20"/>
        </w:rPr>
        <w:footnoteReference w:id="49"/>
      </w:r>
    </w:p>
    <w:p w14:paraId="1769E9F5" w14:textId="7356E3D4" w:rsidR="00D80354" w:rsidRPr="00477AB0" w:rsidRDefault="0042691D" w:rsidP="00204A55">
      <w:pPr>
        <w:pStyle w:val="NumberedParas"/>
        <w:ind w:left="1134" w:firstLine="0"/>
      </w:pPr>
      <w:r w:rsidRPr="00477AB0">
        <w:t xml:space="preserve">The Party concerned submits that the communicants do not indicate how articles 1 and 3 of the Convention were infringed and that it will therefore not </w:t>
      </w:r>
      <w:r w:rsidR="000162A5" w:rsidRPr="00477AB0">
        <w:t xml:space="preserve">address </w:t>
      </w:r>
      <w:r w:rsidRPr="00477AB0">
        <w:t>these provisions.</w:t>
      </w:r>
      <w:r w:rsidR="00D80354" w:rsidRPr="00477AB0">
        <w:rPr>
          <w:rStyle w:val="FootnoteReference"/>
          <w:rFonts w:eastAsia="Times New Roman"/>
          <w:szCs w:val="20"/>
        </w:rPr>
        <w:footnoteReference w:id="50"/>
      </w:r>
    </w:p>
    <w:p w14:paraId="178F2531" w14:textId="7A8E14E5" w:rsidR="000019BB" w:rsidRPr="00477AB0" w:rsidRDefault="00681BF5" w:rsidP="00204A55">
      <w:pPr>
        <w:pStyle w:val="NumberedParas"/>
        <w:ind w:left="1134" w:firstLine="0"/>
      </w:pPr>
      <w:r w:rsidRPr="00477AB0">
        <w:t>In response</w:t>
      </w:r>
      <w:r w:rsidR="00D96EAA" w:rsidRPr="00477AB0">
        <w:t xml:space="preserve"> to the </w:t>
      </w:r>
      <w:r w:rsidR="00D651AD" w:rsidRPr="00477AB0">
        <w:t xml:space="preserve">communicants’ </w:t>
      </w:r>
      <w:r w:rsidR="00D96EAA" w:rsidRPr="00477AB0">
        <w:t xml:space="preserve">allegations </w:t>
      </w:r>
      <w:r w:rsidR="006302FB" w:rsidRPr="00477AB0">
        <w:t xml:space="preserve">that </w:t>
      </w:r>
      <w:r w:rsidR="00D651AD" w:rsidRPr="00477AB0">
        <w:t>the Walloon region</w:t>
      </w:r>
      <w:r w:rsidR="006302FB" w:rsidRPr="00477AB0">
        <w:t xml:space="preserve"> failed</w:t>
      </w:r>
      <w:r w:rsidR="00D651AD" w:rsidRPr="00477AB0">
        <w:t xml:space="preserve"> to provide </w:t>
      </w:r>
      <w:r w:rsidR="001524D6" w:rsidRPr="00477AB0">
        <w:t xml:space="preserve">environmental </w:t>
      </w:r>
      <w:r w:rsidR="00D651AD" w:rsidRPr="00477AB0">
        <w:t>information on request within one month</w:t>
      </w:r>
      <w:r w:rsidR="00D96EAA" w:rsidRPr="00477AB0">
        <w:t>, t</w:t>
      </w:r>
      <w:r w:rsidR="0042691D" w:rsidRPr="00477AB0">
        <w:t>he Party concerned submits that the obligation to provide information within one month is clearly reflected in the Wal</w:t>
      </w:r>
      <w:r w:rsidR="00C8419E" w:rsidRPr="00477AB0">
        <w:t>l</w:t>
      </w:r>
      <w:r w:rsidR="0042691D" w:rsidRPr="00477AB0">
        <w:t>oon legislation (see para</w:t>
      </w:r>
      <w:r w:rsidR="00851FB0" w:rsidRPr="00477AB0">
        <w:t>s</w:t>
      </w:r>
      <w:r w:rsidR="0042691D" w:rsidRPr="00477AB0">
        <w:t>.</w:t>
      </w:r>
      <w:r w:rsidR="006D12A6" w:rsidRPr="00477AB0">
        <w:t xml:space="preserve"> </w:t>
      </w:r>
      <w:r w:rsidR="006D12A6" w:rsidRPr="00477AB0">
        <w:fldChar w:fldCharType="begin"/>
      </w:r>
      <w:r w:rsidR="006D12A6" w:rsidRPr="00477AB0">
        <w:instrText xml:space="preserve"> REF _Ref508122234 \r \h  \* MERGEFORMAT </w:instrText>
      </w:r>
      <w:r w:rsidR="006D12A6" w:rsidRPr="00477AB0">
        <w:fldChar w:fldCharType="separate"/>
      </w:r>
      <w:r w:rsidR="00450102">
        <w:t>19</w:t>
      </w:r>
      <w:r w:rsidR="006D12A6" w:rsidRPr="00477AB0">
        <w:fldChar w:fldCharType="end"/>
      </w:r>
      <w:r w:rsidR="0042691D" w:rsidRPr="00477AB0">
        <w:t xml:space="preserve"> </w:t>
      </w:r>
      <w:r w:rsidR="006D12A6" w:rsidRPr="00477AB0">
        <w:t xml:space="preserve">and </w:t>
      </w:r>
      <w:r w:rsidR="001F0F8F" w:rsidRPr="00477AB0">
        <w:fldChar w:fldCharType="begin"/>
      </w:r>
      <w:r w:rsidR="001F0F8F" w:rsidRPr="00477AB0">
        <w:instrText xml:space="preserve"> REF _Ref73021254 \r \h </w:instrText>
      </w:r>
      <w:r w:rsidR="006C5213" w:rsidRPr="00477AB0">
        <w:instrText xml:space="preserve"> \* MERGEFORMAT </w:instrText>
      </w:r>
      <w:r w:rsidR="001F0F8F" w:rsidRPr="00477AB0">
        <w:fldChar w:fldCharType="separate"/>
      </w:r>
      <w:r w:rsidR="00450102">
        <w:t>20</w:t>
      </w:r>
      <w:r w:rsidR="001F0F8F" w:rsidRPr="00477AB0">
        <w:fldChar w:fldCharType="end"/>
      </w:r>
      <w:r w:rsidR="001F0F8F" w:rsidRPr="00477AB0">
        <w:t xml:space="preserve"> </w:t>
      </w:r>
      <w:r w:rsidR="0042691D" w:rsidRPr="00477AB0">
        <w:t>above) and that, in case of non-compliance with this obligation, adequate legal remedies are available.</w:t>
      </w:r>
      <w:r w:rsidR="0042691D" w:rsidRPr="00477AB0">
        <w:rPr>
          <w:rStyle w:val="FootnoteReference"/>
          <w:rFonts w:eastAsia="Times New Roman"/>
          <w:szCs w:val="20"/>
        </w:rPr>
        <w:footnoteReference w:id="51"/>
      </w:r>
      <w:r w:rsidR="0042691D" w:rsidRPr="00477AB0">
        <w:t xml:space="preserve"> </w:t>
      </w:r>
    </w:p>
    <w:p w14:paraId="26585E55" w14:textId="32C9D066" w:rsidR="0023590E" w:rsidRPr="00477AB0" w:rsidRDefault="0042691D" w:rsidP="00204A55">
      <w:pPr>
        <w:pStyle w:val="NumberedParas"/>
        <w:ind w:left="1134" w:firstLine="0"/>
      </w:pPr>
      <w:r w:rsidRPr="00477AB0">
        <w:t>The Party concerned submits that the fact that in certain cases the period necessary to obtain environmental information is longer than one month, particularly in the event of a refusal or absence of a response from a public authority or in case of a referral to an appeal body, stems from the system provided for by the Convention.</w:t>
      </w:r>
      <w:r w:rsidR="00955492" w:rsidRPr="00477AB0">
        <w:rPr>
          <w:rStyle w:val="FootnoteReference"/>
          <w:rFonts w:eastAsia="Times New Roman"/>
          <w:szCs w:val="20"/>
        </w:rPr>
        <w:footnoteReference w:id="52"/>
      </w:r>
      <w:r w:rsidRPr="00477AB0">
        <w:t xml:space="preserve"> It submits that non-compliance with the one</w:t>
      </w:r>
      <w:r w:rsidR="00A32794" w:rsidRPr="00477AB0">
        <w:t>-</w:t>
      </w:r>
      <w:r w:rsidRPr="00477AB0">
        <w:t xml:space="preserve">month time period triggers the right to lodge an appeal and </w:t>
      </w:r>
      <w:r w:rsidRPr="00477AB0">
        <w:lastRenderedPageBreak/>
        <w:t xml:space="preserve">it is </w:t>
      </w:r>
      <w:r w:rsidR="009F292F" w:rsidRPr="00477AB0">
        <w:t xml:space="preserve">therefore </w:t>
      </w:r>
      <w:r w:rsidRPr="00477AB0">
        <w:t>difficult to see how the one</w:t>
      </w:r>
      <w:r w:rsidR="00A32794" w:rsidRPr="00477AB0">
        <w:t>-</w:t>
      </w:r>
      <w:r w:rsidRPr="00477AB0">
        <w:t xml:space="preserve">month time limit </w:t>
      </w:r>
      <w:r w:rsidR="009F292F" w:rsidRPr="00477AB0">
        <w:t xml:space="preserve">could </w:t>
      </w:r>
      <w:r w:rsidR="00384AA9" w:rsidRPr="00477AB0">
        <w:t xml:space="preserve">apply </w:t>
      </w:r>
      <w:r w:rsidR="00CE7282" w:rsidRPr="00477AB0">
        <w:t xml:space="preserve">to </w:t>
      </w:r>
      <w:r w:rsidR="009F292F" w:rsidRPr="00477AB0">
        <w:t xml:space="preserve">the </w:t>
      </w:r>
      <w:r w:rsidR="00CE7282" w:rsidRPr="00477AB0">
        <w:t>appeal proceedings</w:t>
      </w:r>
      <w:r w:rsidR="009F292F" w:rsidRPr="00477AB0">
        <w:t xml:space="preserve"> themselves</w:t>
      </w:r>
      <w:r w:rsidRPr="00477AB0">
        <w:t>.</w:t>
      </w:r>
      <w:r w:rsidRPr="00477AB0">
        <w:rPr>
          <w:rStyle w:val="FootnoteReference"/>
          <w:rFonts w:eastAsia="Times New Roman"/>
          <w:szCs w:val="20"/>
        </w:rPr>
        <w:footnoteReference w:id="53"/>
      </w:r>
      <w:r w:rsidR="000741E9" w:rsidRPr="00477AB0">
        <w:t xml:space="preserve"> The Party concerned </w:t>
      </w:r>
      <w:r w:rsidR="00D651AD" w:rsidRPr="00477AB0">
        <w:t>states</w:t>
      </w:r>
      <w:r w:rsidR="000741E9" w:rsidRPr="00477AB0">
        <w:t xml:space="preserve"> that the communicant cannot dispute the fact that proceedings may be brought after one month because all three appeals referred to</w:t>
      </w:r>
      <w:r w:rsidR="00D651AD" w:rsidRPr="00477AB0">
        <w:t xml:space="preserve"> in the communication</w:t>
      </w:r>
      <w:r w:rsidR="000741E9" w:rsidRPr="00477AB0">
        <w:t xml:space="preserve"> were brought on that basis.</w:t>
      </w:r>
      <w:r w:rsidR="000741E9" w:rsidRPr="00477AB0">
        <w:rPr>
          <w:rStyle w:val="FootnoteReference"/>
          <w:rFonts w:eastAsia="Times New Roman"/>
          <w:szCs w:val="20"/>
        </w:rPr>
        <w:footnoteReference w:id="54"/>
      </w:r>
      <w:r w:rsidR="000741E9" w:rsidRPr="00477AB0">
        <w:t xml:space="preserve"> </w:t>
      </w:r>
    </w:p>
    <w:p w14:paraId="59A6BD3F" w14:textId="61D8252F" w:rsidR="00B443EB" w:rsidRPr="00477AB0" w:rsidRDefault="000741E9" w:rsidP="00204A55">
      <w:pPr>
        <w:pStyle w:val="NumberedParas"/>
        <w:ind w:left="1134" w:firstLine="0"/>
        <w:rPr>
          <w:iCs/>
        </w:rPr>
      </w:pPr>
      <w:r w:rsidRPr="00477AB0">
        <w:t>The</w:t>
      </w:r>
      <w:r w:rsidR="00D651AD" w:rsidRPr="00477AB0">
        <w:t xml:space="preserve"> Party</w:t>
      </w:r>
      <w:r w:rsidRPr="00477AB0">
        <w:t xml:space="preserve"> further submit</w:t>
      </w:r>
      <w:r w:rsidR="00D651AD" w:rsidRPr="00477AB0">
        <w:t>s</w:t>
      </w:r>
      <w:r w:rsidRPr="00477AB0">
        <w:t xml:space="preserve"> that in any event the period of one month referred to in article 4 of the Convention only </w:t>
      </w:r>
      <w:r w:rsidR="00D651AD" w:rsidRPr="00477AB0">
        <w:t>applies to</w:t>
      </w:r>
      <w:r w:rsidRPr="00477AB0">
        <w:t xml:space="preserve"> the decision of the administrative authority dealing with the request and not to the appeal procedures and that this is also demonstrated by the reference in article 9</w:t>
      </w:r>
      <w:r w:rsidR="00E30DAD" w:rsidRPr="00477AB0">
        <w:t>(4)</w:t>
      </w:r>
      <w:r w:rsidRPr="00477AB0">
        <w:t xml:space="preserve"> of the Convention to “timely” review procedures.</w:t>
      </w:r>
      <w:r w:rsidRPr="00477AB0">
        <w:rPr>
          <w:rStyle w:val="FootnoteReference"/>
          <w:rFonts w:eastAsia="Times New Roman"/>
          <w:szCs w:val="20"/>
        </w:rPr>
        <w:footnoteReference w:id="55"/>
      </w:r>
      <w:r w:rsidR="0042691D" w:rsidRPr="00477AB0">
        <w:t xml:space="preserve"> </w:t>
      </w:r>
    </w:p>
    <w:p w14:paraId="2240E5A9" w14:textId="3E3D8867" w:rsidR="0085010D" w:rsidRPr="00477AB0" w:rsidRDefault="00D96EAA" w:rsidP="00204A55">
      <w:pPr>
        <w:pStyle w:val="Heading3"/>
        <w:ind w:left="1134"/>
      </w:pPr>
      <w:r w:rsidRPr="00477AB0">
        <w:t xml:space="preserve">Article </w:t>
      </w:r>
      <w:r w:rsidR="00CE7282" w:rsidRPr="00477AB0">
        <w:t>9 of the Convention</w:t>
      </w:r>
    </w:p>
    <w:p w14:paraId="7D6A6583" w14:textId="37C49685" w:rsidR="00DF1F1D" w:rsidRPr="00477AB0" w:rsidRDefault="00952033" w:rsidP="00204A55">
      <w:pPr>
        <w:pStyle w:val="NumberedParas"/>
        <w:ind w:left="1134" w:firstLine="0"/>
      </w:pPr>
      <w:r w:rsidRPr="00477AB0">
        <w:t xml:space="preserve">The communicants submit that </w:t>
      </w:r>
      <w:r w:rsidR="006E6D5D" w:rsidRPr="00477AB0">
        <w:t>the Party concerned fails to comply with article 9 of the Convention because the system for access to environmental information of the Party concerned, and in particular of the Wal</w:t>
      </w:r>
      <w:r w:rsidR="00C8419E" w:rsidRPr="00477AB0">
        <w:t>l</w:t>
      </w:r>
      <w:r w:rsidR="006E6D5D" w:rsidRPr="00477AB0">
        <w:t>oon region, is ineffective.</w:t>
      </w:r>
      <w:r w:rsidR="006E6D5D" w:rsidRPr="00477AB0">
        <w:rPr>
          <w:rStyle w:val="FootnoteReference"/>
          <w:rFonts w:eastAsia="Times New Roman"/>
          <w:szCs w:val="20"/>
        </w:rPr>
        <w:footnoteReference w:id="56"/>
      </w:r>
      <w:r w:rsidR="006E6D5D" w:rsidRPr="00477AB0">
        <w:t xml:space="preserve"> They submit that this ineffectiveness primarily relates to the decisions of the CRAIE not </w:t>
      </w:r>
      <w:r w:rsidR="001A50FD" w:rsidRPr="00477AB0">
        <w:t>having any</w:t>
      </w:r>
      <w:r w:rsidR="006E6D5D" w:rsidRPr="00477AB0">
        <w:t xml:space="preserve"> immediate effect, </w:t>
      </w:r>
      <w:r w:rsidR="00DA4FEE" w:rsidRPr="00477AB0">
        <w:t xml:space="preserve">in contrast with </w:t>
      </w:r>
      <w:r w:rsidR="006E6D5D" w:rsidRPr="00477AB0">
        <w:t xml:space="preserve">judgments of courts of law </w:t>
      </w:r>
      <w:r w:rsidR="00CC7321" w:rsidRPr="00477AB0">
        <w:t>(as to which, see</w:t>
      </w:r>
      <w:r w:rsidR="006E6D5D" w:rsidRPr="00477AB0">
        <w:t xml:space="preserve"> article 790 of the </w:t>
      </w:r>
      <w:r w:rsidR="00BD233F" w:rsidRPr="00477AB0">
        <w:t xml:space="preserve">Party </w:t>
      </w:r>
      <w:proofErr w:type="spellStart"/>
      <w:r w:rsidR="00BD233F" w:rsidRPr="00477AB0">
        <w:t>concerned’s</w:t>
      </w:r>
      <w:proofErr w:type="spellEnd"/>
      <w:r w:rsidR="00BD233F" w:rsidRPr="00477AB0">
        <w:t xml:space="preserve"> </w:t>
      </w:r>
      <w:r w:rsidR="006E6D5D" w:rsidRPr="00477AB0">
        <w:t>Code of Civil Procedure</w:t>
      </w:r>
      <w:r w:rsidR="00CC7321" w:rsidRPr="00477AB0">
        <w:t>,</w:t>
      </w:r>
      <w:r w:rsidR="006E6D5D" w:rsidRPr="00477AB0">
        <w:t xml:space="preserve"> para. </w:t>
      </w:r>
      <w:r w:rsidR="00851FB0" w:rsidRPr="00477AB0">
        <w:fldChar w:fldCharType="begin"/>
      </w:r>
      <w:r w:rsidR="00851FB0" w:rsidRPr="00477AB0">
        <w:instrText xml:space="preserve"> REF _Ref508119184 \r \h </w:instrText>
      </w:r>
      <w:r w:rsidR="00A32794" w:rsidRPr="00477AB0">
        <w:instrText xml:space="preserve"> \* MERGEFORMAT </w:instrText>
      </w:r>
      <w:r w:rsidR="00851FB0" w:rsidRPr="00477AB0">
        <w:fldChar w:fldCharType="separate"/>
      </w:r>
      <w:r w:rsidR="00450102">
        <w:t>25</w:t>
      </w:r>
      <w:r w:rsidR="00851FB0" w:rsidRPr="00477AB0">
        <w:fldChar w:fldCharType="end"/>
      </w:r>
      <w:r w:rsidR="00A32794" w:rsidRPr="00477AB0">
        <w:t xml:space="preserve"> </w:t>
      </w:r>
      <w:r w:rsidR="006E6D5D" w:rsidRPr="00477AB0">
        <w:t>above).</w:t>
      </w:r>
      <w:r w:rsidR="006E6D5D" w:rsidRPr="00477AB0">
        <w:rPr>
          <w:rStyle w:val="FootnoteReference"/>
          <w:rFonts w:eastAsia="Times New Roman"/>
          <w:szCs w:val="20"/>
        </w:rPr>
        <w:footnoteReference w:id="57"/>
      </w:r>
      <w:r w:rsidR="006E6D5D" w:rsidRPr="00477AB0">
        <w:t xml:space="preserve"> The communicants submit that while decisions of the CRAIE are theoretically binding upon a public authority, nothing forces a public authority to comply with </w:t>
      </w:r>
      <w:r w:rsidR="00DA4FEE" w:rsidRPr="00477AB0">
        <w:t>the CRA</w:t>
      </w:r>
      <w:r w:rsidR="008208E0" w:rsidRPr="00477AB0">
        <w:t>I</w:t>
      </w:r>
      <w:r w:rsidR="00DA4FEE" w:rsidRPr="00477AB0">
        <w:t>E’s</w:t>
      </w:r>
      <w:r w:rsidR="006E6D5D" w:rsidRPr="00477AB0">
        <w:t xml:space="preserve"> decisions and the bailiff </w:t>
      </w:r>
      <w:r w:rsidR="00DA4FEE" w:rsidRPr="00477AB0">
        <w:t xml:space="preserve">therefore </w:t>
      </w:r>
      <w:r w:rsidR="006E6D5D" w:rsidRPr="00477AB0">
        <w:t>cannot undertake enforcement measures under the Code of Civil Procedure.</w:t>
      </w:r>
      <w:r w:rsidR="003F6BBE" w:rsidRPr="00477AB0">
        <w:t xml:space="preserve"> They </w:t>
      </w:r>
      <w:r w:rsidR="00A32794" w:rsidRPr="00477AB0">
        <w:t>claim</w:t>
      </w:r>
      <w:r w:rsidR="003F6BBE" w:rsidRPr="00477AB0">
        <w:t xml:space="preserve"> that no “enforcement order” </w:t>
      </w:r>
      <w:r w:rsidR="00F81D71" w:rsidRPr="00477AB0">
        <w:t>is attached to CRAIE decisions and that there are</w:t>
      </w:r>
      <w:r w:rsidR="006E6D5D" w:rsidRPr="00477AB0">
        <w:t xml:space="preserve"> no other sanctions, such as coercive payment or a financial penalty, </w:t>
      </w:r>
      <w:r w:rsidR="00F81D71" w:rsidRPr="00477AB0">
        <w:t xml:space="preserve">that </w:t>
      </w:r>
      <w:r w:rsidR="006E6D5D" w:rsidRPr="00477AB0">
        <w:t>can be imposed.</w:t>
      </w:r>
      <w:r w:rsidR="006E6D5D" w:rsidRPr="00477AB0">
        <w:rPr>
          <w:rStyle w:val="FootnoteReference"/>
          <w:rFonts w:eastAsia="Times New Roman"/>
          <w:szCs w:val="20"/>
        </w:rPr>
        <w:footnoteReference w:id="58"/>
      </w:r>
    </w:p>
    <w:p w14:paraId="466F5D22" w14:textId="2AD5520C" w:rsidR="009D6141" w:rsidRPr="00477AB0" w:rsidRDefault="00862614" w:rsidP="00204A55">
      <w:pPr>
        <w:pStyle w:val="NumberedParas"/>
        <w:ind w:left="1134" w:firstLine="0"/>
      </w:pPr>
      <w:r w:rsidRPr="00477AB0">
        <w:t xml:space="preserve">The communicants further submit that application to the courts is not a solution in </w:t>
      </w:r>
      <w:r w:rsidR="00EE2F5F" w:rsidRPr="00477AB0">
        <w:t xml:space="preserve">such </w:t>
      </w:r>
      <w:r w:rsidRPr="00477AB0">
        <w:t>case</w:t>
      </w:r>
      <w:r w:rsidR="00EE2F5F" w:rsidRPr="00477AB0">
        <w:t>s</w:t>
      </w:r>
      <w:r w:rsidRPr="00477AB0">
        <w:t xml:space="preserve"> because court action is costly and takes </w:t>
      </w:r>
      <w:r w:rsidR="00EE2F5F" w:rsidRPr="00477AB0">
        <w:t xml:space="preserve">a </w:t>
      </w:r>
      <w:r w:rsidRPr="00477AB0">
        <w:t xml:space="preserve">long time. They submit that legal proceedings </w:t>
      </w:r>
      <w:r w:rsidR="007433D3" w:rsidRPr="00477AB0">
        <w:t>are particularly lengthy</w:t>
      </w:r>
      <w:r w:rsidRPr="00477AB0">
        <w:t xml:space="preserve"> because the courts do not always grant a brief hearing and that </w:t>
      </w:r>
      <w:r w:rsidR="000C4301" w:rsidRPr="00477AB0">
        <w:t>therefore</w:t>
      </w:r>
      <w:r w:rsidRPr="00477AB0">
        <w:t xml:space="preserve"> a timetable</w:t>
      </w:r>
      <w:r w:rsidR="000C4301" w:rsidRPr="00477AB0">
        <w:t xml:space="preserve"> needs to be set</w:t>
      </w:r>
      <w:r w:rsidRPr="00477AB0">
        <w:t xml:space="preserve"> for exchange of pleadings.</w:t>
      </w:r>
      <w:r w:rsidR="00745559" w:rsidRPr="00477AB0">
        <w:rPr>
          <w:rStyle w:val="FootnoteReference"/>
          <w:rFonts w:eastAsia="Times New Roman"/>
          <w:szCs w:val="20"/>
        </w:rPr>
        <w:footnoteReference w:id="59"/>
      </w:r>
      <w:r w:rsidRPr="00477AB0">
        <w:t xml:space="preserve"> </w:t>
      </w:r>
    </w:p>
    <w:p w14:paraId="30916E3B" w14:textId="7A9C1F86" w:rsidR="008320B6" w:rsidRPr="00477AB0" w:rsidRDefault="008320B6" w:rsidP="00204A55">
      <w:pPr>
        <w:pStyle w:val="NumberedParas"/>
        <w:ind w:left="1134" w:firstLine="0"/>
      </w:pPr>
      <w:r w:rsidRPr="00477AB0">
        <w:t xml:space="preserve">The communicants </w:t>
      </w:r>
      <w:r w:rsidR="00A32794" w:rsidRPr="00477AB0">
        <w:t xml:space="preserve">contend that </w:t>
      </w:r>
      <w:r w:rsidR="0068069E" w:rsidRPr="00477AB0">
        <w:t xml:space="preserve">in any case </w:t>
      </w:r>
      <w:r w:rsidRPr="00477AB0">
        <w:t xml:space="preserve">the possibility to apply to the Council of State </w:t>
      </w:r>
      <w:r w:rsidR="002758D7" w:rsidRPr="00477AB0">
        <w:t>has not</w:t>
      </w:r>
      <w:r w:rsidRPr="00477AB0">
        <w:t xml:space="preserve"> been “provided” in the sense of article 9</w:t>
      </w:r>
      <w:r w:rsidR="00037F70" w:rsidRPr="00477AB0">
        <w:t>(1)</w:t>
      </w:r>
      <w:r w:rsidRPr="00477AB0">
        <w:t xml:space="preserve"> of the Convention because this possibility follows merely from the general rules on jurisdiction. The communicants submit that it </w:t>
      </w:r>
      <w:r w:rsidR="00275E21" w:rsidRPr="00477AB0">
        <w:t>is</w:t>
      </w:r>
      <w:r w:rsidRPr="00477AB0">
        <w:t xml:space="preserve"> the CRAIE </w:t>
      </w:r>
      <w:r w:rsidR="00275E21" w:rsidRPr="00477AB0">
        <w:t xml:space="preserve">that </w:t>
      </w:r>
      <w:r w:rsidRPr="00477AB0">
        <w:t>is the “independent and impartial body established by law” for the purposes of article 9</w:t>
      </w:r>
      <w:r w:rsidR="0074147D" w:rsidRPr="00477AB0">
        <w:t>(1)</w:t>
      </w:r>
      <w:r w:rsidRPr="00477AB0">
        <w:t xml:space="preserve"> of the Convention.</w:t>
      </w:r>
      <w:r w:rsidRPr="00477AB0">
        <w:rPr>
          <w:rStyle w:val="FootnoteReference"/>
          <w:rFonts w:eastAsia="Times New Roman"/>
          <w:szCs w:val="20"/>
        </w:rPr>
        <w:footnoteReference w:id="60"/>
      </w:r>
      <w:r w:rsidRPr="00477AB0">
        <w:t xml:space="preserve"> </w:t>
      </w:r>
      <w:r w:rsidR="00A32794" w:rsidRPr="00477AB0">
        <w:t xml:space="preserve">They </w:t>
      </w:r>
      <w:r w:rsidRPr="00477AB0">
        <w:t xml:space="preserve">further submit that </w:t>
      </w:r>
      <w:r w:rsidR="003A428C" w:rsidRPr="00477AB0">
        <w:t xml:space="preserve">the CRAIE’s </w:t>
      </w:r>
      <w:r w:rsidR="005405F1" w:rsidRPr="00477AB0">
        <w:t xml:space="preserve">decisions need to be binding by virtue of the third subparagraph </w:t>
      </w:r>
      <w:r w:rsidR="003A428C" w:rsidRPr="00477AB0">
        <w:t xml:space="preserve">of article 9(1) </w:t>
      </w:r>
      <w:r w:rsidR="005405F1" w:rsidRPr="00477AB0">
        <w:t xml:space="preserve">and that this </w:t>
      </w:r>
      <w:r w:rsidR="00D16CDF" w:rsidRPr="00477AB0">
        <w:t>is not</w:t>
      </w:r>
      <w:r w:rsidR="005405F1" w:rsidRPr="00477AB0">
        <w:t xml:space="preserve"> ensured by the present system.</w:t>
      </w:r>
      <w:r w:rsidR="005405F1" w:rsidRPr="00477AB0">
        <w:rPr>
          <w:rStyle w:val="FootnoteReference"/>
          <w:rFonts w:eastAsia="Times New Roman"/>
          <w:szCs w:val="20"/>
        </w:rPr>
        <w:footnoteReference w:id="61"/>
      </w:r>
      <w:r w:rsidR="005405F1" w:rsidRPr="00477AB0">
        <w:t xml:space="preserve"> They also submit that the CRAIE does not provide adequate and effective remedies, including injunctive relief as appropriate, as required by article 9</w:t>
      </w:r>
      <w:r w:rsidR="0034322D" w:rsidRPr="00477AB0">
        <w:t>(4)</w:t>
      </w:r>
      <w:r w:rsidR="005405F1" w:rsidRPr="00477AB0">
        <w:t xml:space="preserve"> of the Convention.</w:t>
      </w:r>
      <w:r w:rsidR="005405F1" w:rsidRPr="00477AB0">
        <w:rPr>
          <w:rStyle w:val="FootnoteReference"/>
          <w:rFonts w:eastAsia="Times New Roman"/>
          <w:szCs w:val="20"/>
        </w:rPr>
        <w:footnoteReference w:id="62"/>
      </w:r>
    </w:p>
    <w:p w14:paraId="6EACE209" w14:textId="684EF068" w:rsidR="00EC5AB7" w:rsidRPr="00477AB0" w:rsidRDefault="00D552C9" w:rsidP="00204A55">
      <w:pPr>
        <w:pStyle w:val="NumberedParas"/>
        <w:ind w:left="1134" w:firstLine="0"/>
      </w:pPr>
      <w:r w:rsidRPr="00477AB0">
        <w:t>The</w:t>
      </w:r>
      <w:r w:rsidR="00EC5AB7" w:rsidRPr="00477AB0">
        <w:t xml:space="preserve"> communicants </w:t>
      </w:r>
      <w:r w:rsidR="00A32794" w:rsidRPr="00477AB0">
        <w:t xml:space="preserve">contend </w:t>
      </w:r>
      <w:r w:rsidR="00EC5AB7" w:rsidRPr="00477AB0">
        <w:t>that obtaining access to environmental information takes several months and that this does not comply with the requirement of the Convention that environmental information be provided as soon as possible or at the latest within one month after receipt of the request and that only a reasonable charge may be made to obtain such information.</w:t>
      </w:r>
      <w:r w:rsidR="00EC5AB7" w:rsidRPr="00477AB0">
        <w:rPr>
          <w:rStyle w:val="FootnoteReference"/>
          <w:rFonts w:eastAsia="Times New Roman"/>
          <w:szCs w:val="20"/>
        </w:rPr>
        <w:footnoteReference w:id="63"/>
      </w:r>
    </w:p>
    <w:p w14:paraId="18CA771E" w14:textId="6DAC9F6F" w:rsidR="00644560" w:rsidRPr="00477AB0" w:rsidRDefault="00644560" w:rsidP="00204A55">
      <w:pPr>
        <w:pStyle w:val="NumberedParas"/>
        <w:ind w:left="1134" w:firstLine="0"/>
      </w:pPr>
      <w:bookmarkStart w:id="17" w:name="_Ref74681185"/>
      <w:r w:rsidRPr="00477AB0">
        <w:t xml:space="preserve">In order to support their claim that the current system leads to undue delays, the communicants refer to three further pending cases where decisions of the CRAIE were </w:t>
      </w:r>
      <w:r w:rsidRPr="00477AB0">
        <w:lastRenderedPageBreak/>
        <w:t>not implemented for some considerable time after the request for access to information was submitted.</w:t>
      </w:r>
      <w:r w:rsidRPr="00477AB0">
        <w:rPr>
          <w:rStyle w:val="FootnoteReference"/>
          <w:rFonts w:eastAsia="Times New Roman"/>
          <w:szCs w:val="20"/>
        </w:rPr>
        <w:footnoteReference w:id="64"/>
      </w:r>
      <w:bookmarkEnd w:id="17"/>
    </w:p>
    <w:p w14:paraId="116432BF" w14:textId="467A46A6" w:rsidR="0028573B" w:rsidRPr="00477AB0" w:rsidRDefault="0028573B" w:rsidP="00204A55">
      <w:pPr>
        <w:pStyle w:val="NumberedParas"/>
        <w:ind w:left="1134" w:firstLine="0"/>
      </w:pPr>
      <w:r w:rsidRPr="00477AB0">
        <w:t xml:space="preserve">The Party concerned submits that the decisions of the CRAIE are binding </w:t>
      </w:r>
      <w:r w:rsidR="00B836EB" w:rsidRPr="00477AB0">
        <w:t xml:space="preserve">on the administrative authority </w:t>
      </w:r>
      <w:r w:rsidRPr="00477AB0">
        <w:t>and enforceable.</w:t>
      </w:r>
      <w:r w:rsidR="00D23F6C" w:rsidRPr="00477AB0">
        <w:t xml:space="preserve"> </w:t>
      </w:r>
      <w:r w:rsidR="00F1624A" w:rsidRPr="00477AB0">
        <w:t>They are not simply opinions.</w:t>
      </w:r>
      <w:r w:rsidR="00D23F6C" w:rsidRPr="00477AB0">
        <w:t xml:space="preserve"> </w:t>
      </w:r>
      <w:r w:rsidRPr="00477AB0">
        <w:t xml:space="preserve">It submits that </w:t>
      </w:r>
      <w:r w:rsidR="00F1624A" w:rsidRPr="00477AB0">
        <w:t xml:space="preserve">under Belgian administrative law, all administrative decisions are enforceable and are binding on the persons to whom they are addressed. </w:t>
      </w:r>
      <w:r w:rsidRPr="00477AB0">
        <w:t xml:space="preserve">It </w:t>
      </w:r>
      <w:r w:rsidR="00A32794" w:rsidRPr="00477AB0">
        <w:t xml:space="preserve">claims </w:t>
      </w:r>
      <w:r w:rsidRPr="00477AB0">
        <w:t xml:space="preserve">that this is confirmed by the </w:t>
      </w:r>
      <w:r w:rsidR="00F1624A" w:rsidRPr="00477AB0">
        <w:t xml:space="preserve">fact that, if the administrative authority fails to comply with </w:t>
      </w:r>
      <w:r w:rsidR="00380045" w:rsidRPr="00477AB0">
        <w:t xml:space="preserve">a </w:t>
      </w:r>
      <w:r w:rsidR="00F1624A" w:rsidRPr="00477AB0">
        <w:t>decision</w:t>
      </w:r>
      <w:r w:rsidR="00380045" w:rsidRPr="00477AB0">
        <w:t xml:space="preserve"> of the CRAIE</w:t>
      </w:r>
      <w:r w:rsidR="00F1624A" w:rsidRPr="00477AB0">
        <w:t>, the applicant seeking environmental information has a remedy before the ordinary courts</w:t>
      </w:r>
      <w:r w:rsidRPr="00477AB0">
        <w:t>.</w:t>
      </w:r>
      <w:r w:rsidRPr="00477AB0">
        <w:rPr>
          <w:rStyle w:val="FootnoteReference"/>
          <w:rFonts w:eastAsia="Times New Roman"/>
          <w:szCs w:val="20"/>
        </w:rPr>
        <w:footnoteReference w:id="65"/>
      </w:r>
    </w:p>
    <w:p w14:paraId="63FA7C80" w14:textId="7FAED304" w:rsidR="0028573B" w:rsidRPr="00477AB0" w:rsidRDefault="0028573B" w:rsidP="00204A55">
      <w:pPr>
        <w:pStyle w:val="NumberedParas"/>
        <w:ind w:left="1134" w:firstLine="0"/>
      </w:pPr>
      <w:r w:rsidRPr="00477AB0">
        <w:t>The Party concerned submits that it is not accurate</w:t>
      </w:r>
      <w:r w:rsidR="00EE2F5F" w:rsidRPr="00477AB0">
        <w:t xml:space="preserve"> to claim</w:t>
      </w:r>
      <w:r w:rsidRPr="00477AB0">
        <w:t xml:space="preserve"> that there are no </w:t>
      </w:r>
      <w:r w:rsidR="00F1624A" w:rsidRPr="00477AB0">
        <w:t xml:space="preserve">penalties where </w:t>
      </w:r>
      <w:r w:rsidRPr="00477AB0">
        <w:t xml:space="preserve">administrative authorities </w:t>
      </w:r>
      <w:r w:rsidR="00EE2F5F" w:rsidRPr="00477AB0">
        <w:t xml:space="preserve">fail </w:t>
      </w:r>
      <w:r w:rsidRPr="00477AB0">
        <w:t xml:space="preserve">to comply with the decisions of the CRAIE. It </w:t>
      </w:r>
      <w:r w:rsidR="00A32794" w:rsidRPr="00477AB0">
        <w:t xml:space="preserve">states </w:t>
      </w:r>
      <w:r w:rsidRPr="00477AB0">
        <w:t>that decisions of the CRAIE are published on its website and in special</w:t>
      </w:r>
      <w:r w:rsidR="00B836EB" w:rsidRPr="00477AB0">
        <w:t xml:space="preserve">ist periodicals </w:t>
      </w:r>
      <w:r w:rsidRPr="00477AB0">
        <w:t xml:space="preserve">and that administrative authorities that do not comply with the decisions are therefore </w:t>
      </w:r>
      <w:r w:rsidR="00F1624A" w:rsidRPr="00477AB0">
        <w:t>identified by name and “lay themselves open to public humiliation”.</w:t>
      </w:r>
      <w:r w:rsidR="005F5A31" w:rsidRPr="00477AB0">
        <w:rPr>
          <w:rStyle w:val="FootnoteReference"/>
          <w:rFonts w:eastAsia="Times New Roman"/>
          <w:szCs w:val="20"/>
        </w:rPr>
        <w:footnoteReference w:id="66"/>
      </w:r>
      <w:r w:rsidR="00733367" w:rsidRPr="00477AB0">
        <w:t xml:space="preserve"> </w:t>
      </w:r>
      <w:r w:rsidRPr="00477AB0">
        <w:t xml:space="preserve">It </w:t>
      </w:r>
      <w:r w:rsidR="008B288D" w:rsidRPr="00477AB0">
        <w:t xml:space="preserve">contends </w:t>
      </w:r>
      <w:r w:rsidRPr="00477AB0">
        <w:t xml:space="preserve">that a </w:t>
      </w:r>
      <w:r w:rsidR="00F1624A" w:rsidRPr="00477AB0">
        <w:t>reluctance on the part of an administrative authority to comply with the applicable law can lead its supervisory authority to intervene.</w:t>
      </w:r>
      <w:r w:rsidRPr="00477AB0">
        <w:t xml:space="preserve"> </w:t>
      </w:r>
      <w:r w:rsidR="008B288D" w:rsidRPr="00477AB0">
        <w:t>It also submits</w:t>
      </w:r>
      <w:r w:rsidRPr="00477AB0">
        <w:t xml:space="preserve"> that </w:t>
      </w:r>
      <w:r w:rsidR="00F1624A" w:rsidRPr="00477AB0">
        <w:t xml:space="preserve">where an administrative authority fails to comply with a </w:t>
      </w:r>
      <w:r w:rsidRPr="00477AB0">
        <w:t xml:space="preserve">CRAIE </w:t>
      </w:r>
      <w:r w:rsidR="00F1624A" w:rsidRPr="00477AB0">
        <w:t xml:space="preserve">decision, proceedings may be brought against the authority concerned before the ordinary courts </w:t>
      </w:r>
      <w:r w:rsidR="00830320" w:rsidRPr="00477AB0">
        <w:t>where</w:t>
      </w:r>
      <w:r w:rsidR="00F1624A" w:rsidRPr="00477AB0">
        <w:t xml:space="preserve"> a range of remedies may be sought, including an order directing the authority to provide the environmental information requested</w:t>
      </w:r>
      <w:r w:rsidR="008B288D" w:rsidRPr="00477AB0">
        <w:t>,</w:t>
      </w:r>
      <w:r w:rsidR="00F1624A" w:rsidRPr="00477AB0">
        <w:t xml:space="preserve"> an order requiring the authority to pay a financial penalty</w:t>
      </w:r>
      <w:r w:rsidR="008B288D" w:rsidRPr="00477AB0">
        <w:t>,</w:t>
      </w:r>
      <w:r w:rsidR="00F1624A" w:rsidRPr="00477AB0">
        <w:t xml:space="preserve"> and an award of compensation to the applicant</w:t>
      </w:r>
      <w:r w:rsidRPr="00477AB0">
        <w:t>.</w:t>
      </w:r>
      <w:r w:rsidRPr="00477AB0">
        <w:rPr>
          <w:rStyle w:val="FootnoteReference"/>
          <w:rFonts w:eastAsia="Times New Roman"/>
          <w:szCs w:val="20"/>
        </w:rPr>
        <w:footnoteReference w:id="67"/>
      </w:r>
    </w:p>
    <w:p w14:paraId="6F92DF02" w14:textId="46193B1F" w:rsidR="00BB6E2D" w:rsidRPr="00477AB0" w:rsidRDefault="00A2021E" w:rsidP="00204A55">
      <w:pPr>
        <w:pStyle w:val="NumberedParas"/>
        <w:ind w:left="1134" w:firstLine="0"/>
      </w:pPr>
      <w:r w:rsidRPr="00477AB0">
        <w:t xml:space="preserve">The </w:t>
      </w:r>
      <w:r w:rsidR="000C4301" w:rsidRPr="00477AB0">
        <w:t xml:space="preserve">Party concerned submits that </w:t>
      </w:r>
      <w:r w:rsidR="003A4660" w:rsidRPr="00477AB0">
        <w:t>this system, with its two-stage remedy, functions perfectly in most cases</w:t>
      </w:r>
      <w:r w:rsidR="008B288D" w:rsidRPr="00477AB0">
        <w:t xml:space="preserve"> and</w:t>
      </w:r>
      <w:r w:rsidR="003A4660" w:rsidRPr="00477AB0">
        <w:t xml:space="preserve"> it is extremely rare for an administrative authority not to comply with a CRAIE decision.</w:t>
      </w:r>
      <w:r w:rsidR="00D23F6C" w:rsidRPr="00477AB0">
        <w:t xml:space="preserve"> </w:t>
      </w:r>
      <w:r w:rsidR="003A4660" w:rsidRPr="00477AB0">
        <w:t>It also maintains that the legal literature confirms, both expressly and by implication, that the system works well.</w:t>
      </w:r>
      <w:r w:rsidR="001F264A" w:rsidRPr="00477AB0">
        <w:rPr>
          <w:rStyle w:val="FootnoteReference"/>
          <w:rFonts w:eastAsia="Times New Roman"/>
          <w:szCs w:val="20"/>
        </w:rPr>
        <w:footnoteReference w:id="68"/>
      </w:r>
      <w:r w:rsidR="00D23F6C" w:rsidRPr="00477AB0">
        <w:t xml:space="preserve"> </w:t>
      </w:r>
    </w:p>
    <w:p w14:paraId="7E47CA81" w14:textId="1991EB41" w:rsidR="00A2021E" w:rsidRPr="00477AB0" w:rsidRDefault="003A4660" w:rsidP="00204A55">
      <w:pPr>
        <w:pStyle w:val="NumberedParas"/>
        <w:ind w:left="1134" w:firstLine="0"/>
      </w:pPr>
      <w:r w:rsidRPr="00477AB0">
        <w:t xml:space="preserve">The </w:t>
      </w:r>
      <w:r w:rsidR="00A2021E" w:rsidRPr="00477AB0">
        <w:t xml:space="preserve">Party concerned </w:t>
      </w:r>
      <w:r w:rsidR="000550CD" w:rsidRPr="00477AB0">
        <w:t xml:space="preserve">concedes </w:t>
      </w:r>
      <w:r w:rsidR="00A2021E" w:rsidRPr="00477AB0">
        <w:t>that</w:t>
      </w:r>
      <w:r w:rsidR="00047295" w:rsidRPr="00477AB0">
        <w:t xml:space="preserve">, in the context of the </w:t>
      </w:r>
      <w:r w:rsidR="00F030F2" w:rsidRPr="00477AB0">
        <w:t xml:space="preserve">communicants’ </w:t>
      </w:r>
      <w:r w:rsidRPr="00477AB0">
        <w:t>various</w:t>
      </w:r>
      <w:r w:rsidR="00047295" w:rsidRPr="00477AB0">
        <w:t xml:space="preserve"> requests for </w:t>
      </w:r>
      <w:r w:rsidRPr="00477AB0">
        <w:t xml:space="preserve">environmental </w:t>
      </w:r>
      <w:r w:rsidR="00047295" w:rsidRPr="00477AB0">
        <w:t>information,</w:t>
      </w:r>
      <w:r w:rsidR="00A2021E" w:rsidRPr="00477AB0">
        <w:t xml:space="preserve"> there </w:t>
      </w:r>
      <w:r w:rsidR="00F030F2" w:rsidRPr="00477AB0">
        <w:t xml:space="preserve">have been </w:t>
      </w:r>
      <w:r w:rsidR="00A2021E" w:rsidRPr="00477AB0">
        <w:t xml:space="preserve">one or two </w:t>
      </w:r>
      <w:r w:rsidRPr="00477AB0">
        <w:t xml:space="preserve">instances where </w:t>
      </w:r>
      <w:r w:rsidR="000550CD" w:rsidRPr="00477AB0">
        <w:t xml:space="preserve">the Justice of the Peace </w:t>
      </w:r>
      <w:r w:rsidRPr="00477AB0">
        <w:t xml:space="preserve">has </w:t>
      </w:r>
      <w:r w:rsidR="005B3C11" w:rsidRPr="00477AB0">
        <w:t xml:space="preserve">found that </w:t>
      </w:r>
      <w:r w:rsidRPr="00477AB0">
        <w:t xml:space="preserve">an administrative authority </w:t>
      </w:r>
      <w:r w:rsidR="005B3C11" w:rsidRPr="00477AB0">
        <w:t>failed</w:t>
      </w:r>
      <w:r w:rsidRPr="00477AB0">
        <w:t xml:space="preserve"> to comply with a CRAIE decision.</w:t>
      </w:r>
      <w:r w:rsidR="00D23F6C" w:rsidRPr="00477AB0">
        <w:t xml:space="preserve"> </w:t>
      </w:r>
      <w:r w:rsidR="00A2021E" w:rsidRPr="00477AB0">
        <w:t xml:space="preserve">It submits, however, that these are </w:t>
      </w:r>
      <w:r w:rsidRPr="00477AB0">
        <w:t xml:space="preserve">most probably </w:t>
      </w:r>
      <w:r w:rsidR="00A2021E" w:rsidRPr="00477AB0">
        <w:t xml:space="preserve">special cases </w:t>
      </w:r>
      <w:r w:rsidRPr="00477AB0">
        <w:t xml:space="preserve">which have arisen in the context of </w:t>
      </w:r>
      <w:r w:rsidR="00F030F2" w:rsidRPr="00477AB0">
        <w:t xml:space="preserve">the </w:t>
      </w:r>
      <w:r w:rsidRPr="00477AB0">
        <w:t>particular relationship between the Municipality and the communicants</w:t>
      </w:r>
      <w:r w:rsidR="00A2021E" w:rsidRPr="00477AB0">
        <w:t>.</w:t>
      </w:r>
      <w:r w:rsidR="00A2021E" w:rsidRPr="00477AB0">
        <w:rPr>
          <w:rStyle w:val="FootnoteReference"/>
          <w:rFonts w:eastAsia="Times New Roman"/>
          <w:szCs w:val="20"/>
        </w:rPr>
        <w:footnoteReference w:id="69"/>
      </w:r>
      <w:r w:rsidR="00A2021E" w:rsidRPr="00477AB0">
        <w:t xml:space="preserve"> It </w:t>
      </w:r>
      <w:r w:rsidR="00F030F2" w:rsidRPr="00477AB0">
        <w:t xml:space="preserve">states </w:t>
      </w:r>
      <w:r w:rsidR="00A2021E" w:rsidRPr="00477AB0">
        <w:t>that the communicants</w:t>
      </w:r>
      <w:r w:rsidR="005165D6" w:rsidRPr="00477AB0">
        <w:t>’</w:t>
      </w:r>
      <w:r w:rsidR="00A2021E" w:rsidRPr="00477AB0">
        <w:t xml:space="preserve"> </w:t>
      </w:r>
      <w:r w:rsidR="00904388" w:rsidRPr="00477AB0">
        <w:t xml:space="preserve">lawyer </w:t>
      </w:r>
      <w:r w:rsidRPr="00477AB0">
        <w:t xml:space="preserve">was responsible for </w:t>
      </w:r>
      <w:r w:rsidR="00A2021E" w:rsidRPr="00477AB0">
        <w:t xml:space="preserve">50% of </w:t>
      </w:r>
      <w:r w:rsidRPr="00477AB0">
        <w:t xml:space="preserve">all </w:t>
      </w:r>
      <w:r w:rsidR="00A2021E" w:rsidRPr="00477AB0">
        <w:t xml:space="preserve">appeals to the CRAIE </w:t>
      </w:r>
      <w:r w:rsidRPr="00477AB0">
        <w:t xml:space="preserve">in </w:t>
      </w:r>
      <w:r w:rsidR="00A2021E" w:rsidRPr="00477AB0">
        <w:t>the years 2015</w:t>
      </w:r>
      <w:r w:rsidRPr="00477AB0">
        <w:t xml:space="preserve">, 2016 and </w:t>
      </w:r>
      <w:r w:rsidR="00A2021E" w:rsidRPr="00477AB0">
        <w:t>2017</w:t>
      </w:r>
      <w:r w:rsidR="00904388" w:rsidRPr="00477AB0">
        <w:t>.</w:t>
      </w:r>
      <w:r w:rsidR="00A2021E" w:rsidRPr="00477AB0">
        <w:rPr>
          <w:rStyle w:val="FootnoteReference"/>
          <w:rFonts w:eastAsia="Times New Roman"/>
          <w:szCs w:val="20"/>
        </w:rPr>
        <w:footnoteReference w:id="70"/>
      </w:r>
    </w:p>
    <w:p w14:paraId="3BD33EF5" w14:textId="6CE816A9" w:rsidR="00EB4E0E" w:rsidRPr="00477AB0" w:rsidRDefault="00EB4E0E" w:rsidP="00204A55">
      <w:pPr>
        <w:pStyle w:val="NumberedParas"/>
        <w:ind w:left="1134" w:firstLine="0"/>
      </w:pPr>
      <w:r w:rsidRPr="00477AB0">
        <w:t xml:space="preserve">The Party concerned submits that </w:t>
      </w:r>
      <w:r w:rsidR="003A4660" w:rsidRPr="00477AB0">
        <w:t>the Convention does not require that there should be any penalties for non-compliance</w:t>
      </w:r>
      <w:r w:rsidR="00C81700" w:rsidRPr="00477AB0">
        <w:t xml:space="preserve"> with the decisions of a review body such as the CRAIE.</w:t>
      </w:r>
      <w:r w:rsidR="003A4660" w:rsidRPr="00477AB0">
        <w:t xml:space="preserve"> </w:t>
      </w:r>
      <w:r w:rsidR="00C81700" w:rsidRPr="00477AB0">
        <w:t xml:space="preserve">The second subparagraph of </w:t>
      </w:r>
      <w:r w:rsidR="008B288D" w:rsidRPr="00477AB0">
        <w:t>a</w:t>
      </w:r>
      <w:r w:rsidRPr="00477AB0">
        <w:t>rticle 9</w:t>
      </w:r>
      <w:r w:rsidR="00D25E38" w:rsidRPr="00477AB0">
        <w:t>(1)</w:t>
      </w:r>
      <w:r w:rsidRPr="00477AB0">
        <w:t xml:space="preserve"> of the Convention only requires that in circumstances where a Party provides for </w:t>
      </w:r>
      <w:r w:rsidR="00904388" w:rsidRPr="00477AB0">
        <w:t>review by</w:t>
      </w:r>
      <w:r w:rsidRPr="00477AB0">
        <w:t xml:space="preserve"> a court of law, “it shall ensure that such a person also has access to an </w:t>
      </w:r>
      <w:r w:rsidR="00341616" w:rsidRPr="00477AB0">
        <w:t>expeditious</w:t>
      </w:r>
      <w:r w:rsidRPr="00477AB0">
        <w:t xml:space="preserve"> procedure established by law that is free of charge or inexpensive for reconsideration by a public authority”</w:t>
      </w:r>
      <w:r w:rsidR="008B288D" w:rsidRPr="00477AB0">
        <w:t>.</w:t>
      </w:r>
      <w:r w:rsidRPr="00477AB0">
        <w:t xml:space="preserve"> It </w:t>
      </w:r>
      <w:r w:rsidR="00904388" w:rsidRPr="00477AB0">
        <w:t xml:space="preserve">further </w:t>
      </w:r>
      <w:r w:rsidRPr="00477AB0">
        <w:t>submits that it follows from the third subparagraph of article 9</w:t>
      </w:r>
      <w:r w:rsidR="00EA1027" w:rsidRPr="00477AB0">
        <w:t>(1)</w:t>
      </w:r>
      <w:r w:rsidRPr="00477AB0">
        <w:t xml:space="preserve"> of the Convention that the decision taken </w:t>
      </w:r>
      <w:proofErr w:type="gramStart"/>
      <w:r w:rsidR="00C81700" w:rsidRPr="00477AB0">
        <w:t>as a result of</w:t>
      </w:r>
      <w:proofErr w:type="gramEnd"/>
      <w:r w:rsidR="00C81700" w:rsidRPr="00477AB0">
        <w:t xml:space="preserve"> this procedure is not required to be binding.</w:t>
      </w:r>
      <w:r w:rsidR="00D23F6C" w:rsidRPr="00477AB0">
        <w:t xml:space="preserve"> </w:t>
      </w:r>
      <w:r w:rsidR="00C81700" w:rsidRPr="00477AB0">
        <w:t>O</w:t>
      </w:r>
      <w:r w:rsidR="00A06127" w:rsidRPr="00477AB0">
        <w:t xml:space="preserve">nly final decisions under </w:t>
      </w:r>
      <w:r w:rsidR="008B288D" w:rsidRPr="00477AB0">
        <w:t xml:space="preserve">the first subparagraph of article 9(1) </w:t>
      </w:r>
      <w:r w:rsidR="00A06127" w:rsidRPr="00477AB0">
        <w:t>must be binding.</w:t>
      </w:r>
      <w:r w:rsidR="00D23F6C" w:rsidRPr="00477AB0">
        <w:t xml:space="preserve"> </w:t>
      </w:r>
      <w:r w:rsidR="00A06127" w:rsidRPr="00477AB0">
        <w:t xml:space="preserve">The Party concerned </w:t>
      </w:r>
      <w:r w:rsidR="00F030F2" w:rsidRPr="00477AB0">
        <w:t xml:space="preserve">contends </w:t>
      </w:r>
      <w:r w:rsidR="00904388" w:rsidRPr="00477AB0">
        <w:t xml:space="preserve">that </w:t>
      </w:r>
      <w:r w:rsidR="00A06127" w:rsidRPr="00477AB0">
        <w:t xml:space="preserve">by </w:t>
      </w:r>
      <w:r w:rsidR="00C81700" w:rsidRPr="00477AB0">
        <w:t xml:space="preserve">providing that the decisions of the CRAIE are binding, it </w:t>
      </w:r>
      <w:r w:rsidR="00F030F2" w:rsidRPr="00477AB0">
        <w:t xml:space="preserve">therefore </w:t>
      </w:r>
      <w:r w:rsidR="00C81700" w:rsidRPr="00477AB0">
        <w:t xml:space="preserve">went beyond the requirements of the Convention. </w:t>
      </w:r>
      <w:r w:rsidR="00F030F2" w:rsidRPr="00477AB0">
        <w:t xml:space="preserve">It </w:t>
      </w:r>
      <w:r w:rsidR="00A06127" w:rsidRPr="00477AB0">
        <w:t xml:space="preserve">submits that this is not </w:t>
      </w:r>
      <w:r w:rsidR="00341616" w:rsidRPr="00477AB0">
        <w:t>altered</w:t>
      </w:r>
      <w:r w:rsidR="00A06127" w:rsidRPr="00477AB0">
        <w:t xml:space="preserve"> by the reference </w:t>
      </w:r>
      <w:r w:rsidR="00904388" w:rsidRPr="00477AB0">
        <w:t xml:space="preserve">in </w:t>
      </w:r>
      <w:r w:rsidR="00A06127" w:rsidRPr="00477AB0">
        <w:t>article 9</w:t>
      </w:r>
      <w:r w:rsidR="008F7497" w:rsidRPr="00477AB0">
        <w:t>(4)</w:t>
      </w:r>
      <w:r w:rsidR="00A06127" w:rsidRPr="00477AB0">
        <w:t xml:space="preserve"> of the Convention to “</w:t>
      </w:r>
      <w:r w:rsidR="000550CD" w:rsidRPr="00477AB0">
        <w:t xml:space="preserve">adequate </w:t>
      </w:r>
      <w:r w:rsidR="00A06127" w:rsidRPr="00477AB0">
        <w:t>and effective remedies” because applicants may</w:t>
      </w:r>
      <w:r w:rsidR="00C81700" w:rsidRPr="00477AB0">
        <w:t xml:space="preserve"> bring proceedings before the ordinary courts and those courts can subject orders </w:t>
      </w:r>
      <w:r w:rsidR="00F030F2" w:rsidRPr="00477AB0">
        <w:t xml:space="preserve">of the CRAIE </w:t>
      </w:r>
      <w:r w:rsidR="00C81700" w:rsidRPr="00477AB0">
        <w:t>to measures, such as financial penalties, intended to guarantee that they will be implemented</w:t>
      </w:r>
      <w:r w:rsidR="00A06127" w:rsidRPr="00477AB0">
        <w:t>.</w:t>
      </w:r>
      <w:r w:rsidR="00A06127" w:rsidRPr="00477AB0">
        <w:rPr>
          <w:rStyle w:val="FootnoteReference"/>
          <w:rFonts w:eastAsia="Times New Roman"/>
          <w:szCs w:val="20"/>
        </w:rPr>
        <w:footnoteReference w:id="71"/>
      </w:r>
    </w:p>
    <w:p w14:paraId="30E0A483" w14:textId="2953E559" w:rsidR="00862614" w:rsidRPr="00477AB0" w:rsidRDefault="00862614" w:rsidP="00204A55">
      <w:pPr>
        <w:pStyle w:val="NumberedParas"/>
        <w:ind w:left="1134" w:firstLine="0"/>
      </w:pPr>
      <w:bookmarkStart w:id="18" w:name="_Ref73022880"/>
      <w:r w:rsidRPr="00477AB0">
        <w:lastRenderedPageBreak/>
        <w:t>The Party concerned further submits that</w:t>
      </w:r>
      <w:r w:rsidR="007E60BF" w:rsidRPr="00477AB0">
        <w:t>,</w:t>
      </w:r>
      <w:r w:rsidRPr="00477AB0">
        <w:t xml:space="preserve"> if the </w:t>
      </w:r>
      <w:r w:rsidR="00F030F2" w:rsidRPr="00477AB0">
        <w:t>communicants allege</w:t>
      </w:r>
      <w:r w:rsidRPr="00477AB0">
        <w:t xml:space="preserve"> that </w:t>
      </w:r>
      <w:r w:rsidR="00C81700" w:rsidRPr="00477AB0">
        <w:t xml:space="preserve">proceedings in the courts to enforce </w:t>
      </w:r>
      <w:r w:rsidR="00341616" w:rsidRPr="00477AB0">
        <w:t xml:space="preserve">decisions of the CRAIE are too costly, </w:t>
      </w:r>
      <w:r w:rsidR="00F030F2" w:rsidRPr="00477AB0">
        <w:t xml:space="preserve">they </w:t>
      </w:r>
      <w:r w:rsidR="00341616" w:rsidRPr="00477AB0">
        <w:t>have not provided any figures of the cost</w:t>
      </w:r>
      <w:r w:rsidR="007E60BF" w:rsidRPr="00477AB0">
        <w:t>s</w:t>
      </w:r>
      <w:r w:rsidR="00341616" w:rsidRPr="00477AB0">
        <w:t xml:space="preserve"> incurred, including </w:t>
      </w:r>
      <w:r w:rsidR="00F030F2" w:rsidRPr="00477AB0">
        <w:t>their own legal costs</w:t>
      </w:r>
      <w:r w:rsidR="00341616" w:rsidRPr="00477AB0">
        <w:t>, and have therefore failed to establish that the proceedings are costly</w:t>
      </w:r>
      <w:r w:rsidR="00B76995" w:rsidRPr="00477AB0">
        <w:t>.</w:t>
      </w:r>
      <w:r w:rsidR="00341616" w:rsidRPr="00477AB0">
        <w:rPr>
          <w:rStyle w:val="FootnoteReference"/>
          <w:rFonts w:eastAsia="Times New Roman"/>
          <w:szCs w:val="20"/>
        </w:rPr>
        <w:footnoteReference w:id="72"/>
      </w:r>
      <w:r w:rsidR="00341616" w:rsidRPr="00477AB0">
        <w:t xml:space="preserve"> It </w:t>
      </w:r>
      <w:r w:rsidR="00F030F2" w:rsidRPr="00477AB0">
        <w:t xml:space="preserve">claims </w:t>
      </w:r>
      <w:r w:rsidR="00341616" w:rsidRPr="00477AB0">
        <w:t xml:space="preserve">that </w:t>
      </w:r>
      <w:r w:rsidR="00F030F2" w:rsidRPr="00477AB0">
        <w:t xml:space="preserve">the </w:t>
      </w:r>
      <w:r w:rsidR="00341616" w:rsidRPr="00477AB0">
        <w:t xml:space="preserve">cost </w:t>
      </w:r>
      <w:r w:rsidR="00F030F2" w:rsidRPr="00477AB0">
        <w:t xml:space="preserve">of </w:t>
      </w:r>
      <w:r w:rsidR="00341616" w:rsidRPr="00477AB0">
        <w:t xml:space="preserve">proceedings before the Justice of the Peace are very low with the cost of </w:t>
      </w:r>
      <w:r w:rsidR="00C81700" w:rsidRPr="00477AB0">
        <w:t xml:space="preserve">filing </w:t>
      </w:r>
      <w:r w:rsidR="00341616" w:rsidRPr="00477AB0">
        <w:t xml:space="preserve">a case </w:t>
      </w:r>
      <w:r w:rsidR="00B76995" w:rsidRPr="00477AB0">
        <w:t xml:space="preserve">such </w:t>
      </w:r>
      <w:r w:rsidR="00341616" w:rsidRPr="00477AB0">
        <w:t xml:space="preserve">as the ones at issue </w:t>
      </w:r>
      <w:r w:rsidR="00B76995" w:rsidRPr="00477AB0">
        <w:t xml:space="preserve">here </w:t>
      </w:r>
      <w:r w:rsidR="00341616" w:rsidRPr="00477AB0">
        <w:t>being €25</w:t>
      </w:r>
      <w:r w:rsidR="009409DA" w:rsidRPr="00477AB0">
        <w:t>-€50</w:t>
      </w:r>
      <w:r w:rsidR="00341616" w:rsidRPr="00477AB0">
        <w:t xml:space="preserve">. It </w:t>
      </w:r>
      <w:r w:rsidR="00B76995" w:rsidRPr="00477AB0">
        <w:t xml:space="preserve">notes </w:t>
      </w:r>
      <w:r w:rsidR="00341616" w:rsidRPr="00477AB0">
        <w:t xml:space="preserve">that </w:t>
      </w:r>
      <w:r w:rsidR="00B76995" w:rsidRPr="00477AB0">
        <w:t xml:space="preserve">an additional </w:t>
      </w:r>
      <w:r w:rsidR="00F97423" w:rsidRPr="00477AB0">
        <w:t xml:space="preserve">fee is payable for the summons to be served and this varies between </w:t>
      </w:r>
      <w:r w:rsidR="00341616" w:rsidRPr="00477AB0">
        <w:t>€1</w:t>
      </w:r>
      <w:r w:rsidR="00AC0B30" w:rsidRPr="00477AB0">
        <w:t>0</w:t>
      </w:r>
      <w:r w:rsidR="00341616" w:rsidRPr="00477AB0">
        <w:t>0-250</w:t>
      </w:r>
      <w:r w:rsidR="00F97423" w:rsidRPr="00477AB0">
        <w:t>.</w:t>
      </w:r>
      <w:r w:rsidR="00790EF7" w:rsidRPr="00477AB0">
        <w:rPr>
          <w:rStyle w:val="FootnoteReference"/>
        </w:rPr>
        <w:footnoteReference w:id="73"/>
      </w:r>
      <w:r w:rsidR="00D23F6C" w:rsidRPr="00477AB0">
        <w:t xml:space="preserve"> </w:t>
      </w:r>
      <w:r w:rsidR="00341616" w:rsidRPr="00477AB0">
        <w:t>It submits that representation by a lawyer is not compulsory and that, if applicant</w:t>
      </w:r>
      <w:r w:rsidR="00B76995" w:rsidRPr="00477AB0">
        <w:t>s</w:t>
      </w:r>
      <w:r w:rsidR="00341616" w:rsidRPr="00477AB0">
        <w:t xml:space="preserve"> nonetheless decide to hire a lawyer, </w:t>
      </w:r>
      <w:r w:rsidR="00B76995" w:rsidRPr="00477AB0">
        <w:t xml:space="preserve">they </w:t>
      </w:r>
      <w:r w:rsidR="00341616" w:rsidRPr="00477AB0">
        <w:t>will receive a</w:t>
      </w:r>
      <w:r w:rsidR="00F97423" w:rsidRPr="00477AB0">
        <w:t xml:space="preserve"> case preparation allowance at the end of the trial intended to cover all or part of the</w:t>
      </w:r>
      <w:r w:rsidR="00F030F2" w:rsidRPr="00477AB0">
        <w:t>ir</w:t>
      </w:r>
      <w:r w:rsidR="00F97423" w:rsidRPr="00477AB0">
        <w:t xml:space="preserve"> lawyer’s fees. </w:t>
      </w:r>
      <w:r w:rsidR="00341616" w:rsidRPr="00477AB0">
        <w:t xml:space="preserve">The Party concerned </w:t>
      </w:r>
      <w:r w:rsidR="00F030F2" w:rsidRPr="00477AB0">
        <w:t xml:space="preserve">claims </w:t>
      </w:r>
      <w:r w:rsidR="00341616" w:rsidRPr="00477AB0">
        <w:t>that this system is therefore not to be considered as prohibitively expensive under article 9</w:t>
      </w:r>
      <w:r w:rsidR="006909F8" w:rsidRPr="00477AB0">
        <w:t>(4)</w:t>
      </w:r>
      <w:r w:rsidR="00341616" w:rsidRPr="00477AB0">
        <w:t xml:space="preserve"> of the Convention and that consideration should also be given to the fact that </w:t>
      </w:r>
      <w:r w:rsidR="00F97423" w:rsidRPr="00477AB0">
        <w:t xml:space="preserve">an </w:t>
      </w:r>
      <w:r w:rsidR="00341616" w:rsidRPr="00477AB0">
        <w:t>appeal to the CRAIE is free of charge.</w:t>
      </w:r>
      <w:r w:rsidR="00341616" w:rsidRPr="00477AB0">
        <w:rPr>
          <w:rStyle w:val="FootnoteReference"/>
          <w:rFonts w:eastAsia="Times New Roman"/>
          <w:szCs w:val="20"/>
        </w:rPr>
        <w:footnoteReference w:id="74"/>
      </w:r>
      <w:bookmarkEnd w:id="18"/>
    </w:p>
    <w:p w14:paraId="2D7C80CF" w14:textId="4294138E" w:rsidR="00EF16A3" w:rsidRPr="00477AB0" w:rsidRDefault="00A06127" w:rsidP="00204A55">
      <w:pPr>
        <w:pStyle w:val="NumberedParas"/>
        <w:ind w:left="1134" w:firstLine="0"/>
      </w:pPr>
      <w:r w:rsidRPr="00477AB0">
        <w:t xml:space="preserve">The Party concerned also </w:t>
      </w:r>
      <w:r w:rsidR="00862614" w:rsidRPr="00477AB0">
        <w:t>submits that</w:t>
      </w:r>
      <w:r w:rsidR="007E60BF" w:rsidRPr="00477AB0">
        <w:t>,</w:t>
      </w:r>
      <w:r w:rsidR="00862614" w:rsidRPr="00477AB0">
        <w:t xml:space="preserve"> if the </w:t>
      </w:r>
      <w:r w:rsidR="00F030F2" w:rsidRPr="00477AB0">
        <w:t>communicant</w:t>
      </w:r>
      <w:r w:rsidR="00903315" w:rsidRPr="00477AB0">
        <w:t xml:space="preserve">s allege </w:t>
      </w:r>
      <w:r w:rsidRPr="00477AB0">
        <w:t>that the judicial procedure</w:t>
      </w:r>
      <w:r w:rsidR="008F210C" w:rsidRPr="00477AB0">
        <w:t>s</w:t>
      </w:r>
      <w:r w:rsidRPr="00477AB0">
        <w:t xml:space="preserve"> following </w:t>
      </w:r>
      <w:r w:rsidR="008F210C" w:rsidRPr="00477AB0">
        <w:t xml:space="preserve">an </w:t>
      </w:r>
      <w:r w:rsidRPr="00477AB0">
        <w:t xml:space="preserve">appeal to the CRAIE </w:t>
      </w:r>
      <w:r w:rsidR="007E60BF" w:rsidRPr="00477AB0">
        <w:t>are</w:t>
      </w:r>
      <w:r w:rsidRPr="00477AB0">
        <w:t xml:space="preserve"> </w:t>
      </w:r>
      <w:r w:rsidR="00F97423" w:rsidRPr="00477AB0">
        <w:t>too slow</w:t>
      </w:r>
      <w:r w:rsidR="007E60BF" w:rsidRPr="00477AB0">
        <w:t>,</w:t>
      </w:r>
      <w:r w:rsidRPr="00477AB0">
        <w:t xml:space="preserve"> this claim is not established by the information provided </w:t>
      </w:r>
      <w:r w:rsidR="008F210C" w:rsidRPr="00477AB0">
        <w:t xml:space="preserve">in </w:t>
      </w:r>
      <w:r w:rsidR="007E60BF" w:rsidRPr="00477AB0">
        <w:t>the communication</w:t>
      </w:r>
      <w:r w:rsidR="008F210C" w:rsidRPr="00477AB0">
        <w:t xml:space="preserve"> and </w:t>
      </w:r>
      <w:r w:rsidR="007E60BF" w:rsidRPr="00477AB0">
        <w:t>in particular there is a failure to</w:t>
      </w:r>
      <w:r w:rsidRPr="00477AB0">
        <w:t xml:space="preserve"> demonstrate the average length of proceedings before </w:t>
      </w:r>
      <w:r w:rsidR="008F210C" w:rsidRPr="00477AB0">
        <w:t xml:space="preserve">a </w:t>
      </w:r>
      <w:r w:rsidRPr="00477AB0">
        <w:t xml:space="preserve">Justice of the Peace. It submits that </w:t>
      </w:r>
      <w:r w:rsidR="00BA1DA2" w:rsidRPr="00477AB0">
        <w:t xml:space="preserve">a </w:t>
      </w:r>
      <w:r w:rsidRPr="00477AB0">
        <w:t>Justice of the Peace generally rules very quickly</w:t>
      </w:r>
      <w:r w:rsidR="002D7B8B" w:rsidRPr="00477AB0">
        <w:t xml:space="preserve"> and that there is </w:t>
      </w:r>
      <w:r w:rsidR="00903315" w:rsidRPr="00477AB0">
        <w:t>little</w:t>
      </w:r>
      <w:r w:rsidR="002D7B8B" w:rsidRPr="00477AB0">
        <w:t xml:space="preserve"> backlog of cases</w:t>
      </w:r>
      <w:r w:rsidRPr="00477AB0">
        <w:t>.</w:t>
      </w:r>
      <w:r w:rsidR="00FC6C72" w:rsidRPr="00477AB0">
        <w:t xml:space="preserve"> </w:t>
      </w:r>
      <w:r w:rsidRPr="00477AB0">
        <w:t xml:space="preserve">It submits that </w:t>
      </w:r>
      <w:r w:rsidR="00BD3BC1" w:rsidRPr="00477AB0">
        <w:t>it is also possible for a</w:t>
      </w:r>
      <w:r w:rsidR="00EF16A3" w:rsidRPr="00477AB0">
        <w:t xml:space="preserve"> </w:t>
      </w:r>
      <w:r w:rsidRPr="00477AB0">
        <w:t xml:space="preserve">Justice of the Peace </w:t>
      </w:r>
      <w:r w:rsidR="00BD3BC1" w:rsidRPr="00477AB0">
        <w:t>to consider</w:t>
      </w:r>
      <w:r w:rsidRPr="00477AB0">
        <w:t xml:space="preserve"> a case to enforce a decision of the CRAIE </w:t>
      </w:r>
      <w:r w:rsidR="00F97423" w:rsidRPr="00477AB0">
        <w:t>in short pleadings</w:t>
      </w:r>
      <w:r w:rsidR="00BD3BC1" w:rsidRPr="00477AB0">
        <w:t>,</w:t>
      </w:r>
      <w:r w:rsidRPr="00477AB0">
        <w:t xml:space="preserve"> summary proceedings</w:t>
      </w:r>
      <w:r w:rsidR="00BD3BC1" w:rsidRPr="00477AB0">
        <w:t xml:space="preserve"> or</w:t>
      </w:r>
      <w:r w:rsidR="00EF16A3" w:rsidRPr="00477AB0">
        <w:t xml:space="preserve"> on</w:t>
      </w:r>
      <w:r w:rsidR="00BD3BC1" w:rsidRPr="00477AB0">
        <w:t xml:space="preserve"> </w:t>
      </w:r>
      <w:r w:rsidR="00EF16A3" w:rsidRPr="00477AB0">
        <w:t>a fast-track timetable</w:t>
      </w:r>
      <w:r w:rsidRPr="00477AB0">
        <w:t>.</w:t>
      </w:r>
      <w:r w:rsidRPr="00477AB0">
        <w:rPr>
          <w:rStyle w:val="FootnoteReference"/>
          <w:rFonts w:eastAsia="Times New Roman"/>
          <w:szCs w:val="20"/>
        </w:rPr>
        <w:footnoteReference w:id="75"/>
      </w:r>
      <w:r w:rsidRPr="00477AB0">
        <w:t xml:space="preserve"> </w:t>
      </w:r>
    </w:p>
    <w:p w14:paraId="19B1AA85" w14:textId="25D0C54E" w:rsidR="00A06127" w:rsidRPr="00477AB0" w:rsidRDefault="00F35460" w:rsidP="00204A55">
      <w:pPr>
        <w:pStyle w:val="NumberedParas"/>
        <w:ind w:left="1134" w:firstLine="0"/>
      </w:pPr>
      <w:r w:rsidRPr="00477AB0">
        <w:t>Finally, t</w:t>
      </w:r>
      <w:r w:rsidR="004C02F1" w:rsidRPr="00477AB0">
        <w:t>he Party concerned</w:t>
      </w:r>
      <w:r w:rsidR="00A06127" w:rsidRPr="00477AB0">
        <w:t xml:space="preserve"> submits that the</w:t>
      </w:r>
      <w:r w:rsidR="00BA1DA2" w:rsidRPr="00477AB0">
        <w:t xml:space="preserve"> Committee, in its</w:t>
      </w:r>
      <w:r w:rsidR="00A06127" w:rsidRPr="00477AB0">
        <w:t xml:space="preserve"> findings </w:t>
      </w:r>
      <w:r w:rsidR="00BA1DA2" w:rsidRPr="00477AB0">
        <w:t>on</w:t>
      </w:r>
      <w:r w:rsidR="00A06127" w:rsidRPr="00477AB0">
        <w:t xml:space="preserve"> communication </w:t>
      </w:r>
      <w:r w:rsidR="004C02F1" w:rsidRPr="00477AB0">
        <w:t>ACCC/C/2011/</w:t>
      </w:r>
      <w:r w:rsidR="00A06127" w:rsidRPr="00477AB0">
        <w:t>62</w:t>
      </w:r>
      <w:r w:rsidR="00903315" w:rsidRPr="00477AB0">
        <w:t xml:space="preserve"> (Armenia)</w:t>
      </w:r>
      <w:r w:rsidR="004C02F1" w:rsidRPr="00477AB0">
        <w:rPr>
          <w:rStyle w:val="FootnoteReference"/>
          <w:rFonts w:eastAsia="Times New Roman"/>
          <w:szCs w:val="20"/>
        </w:rPr>
        <w:footnoteReference w:id="76"/>
      </w:r>
      <w:r w:rsidR="00A06127" w:rsidRPr="00477AB0">
        <w:t xml:space="preserve"> considered that a </w:t>
      </w:r>
      <w:r w:rsidR="007E60BF" w:rsidRPr="00477AB0">
        <w:t>one-year</w:t>
      </w:r>
      <w:r w:rsidR="00A06127" w:rsidRPr="00477AB0">
        <w:t xml:space="preserve"> period for a judicial procedure was reasonable and </w:t>
      </w:r>
      <w:r w:rsidR="007E60BF" w:rsidRPr="00477AB0">
        <w:t>that</w:t>
      </w:r>
      <w:r w:rsidR="00A06127" w:rsidRPr="00477AB0">
        <w:t xml:space="preserve"> the European Court of Human Rights </w:t>
      </w:r>
      <w:r w:rsidR="007E60BF" w:rsidRPr="00477AB0">
        <w:t xml:space="preserve">also </w:t>
      </w:r>
      <w:r w:rsidR="00A06127" w:rsidRPr="00477AB0">
        <w:t>only found that case</w:t>
      </w:r>
      <w:r w:rsidR="004C02F1" w:rsidRPr="00477AB0">
        <w:t>s were</w:t>
      </w:r>
      <w:r w:rsidR="00A06127" w:rsidRPr="00477AB0">
        <w:t xml:space="preserve"> </w:t>
      </w:r>
      <w:r w:rsidR="004C02F1" w:rsidRPr="00477AB0">
        <w:t xml:space="preserve">unreasonably prolonged where they took between five to 13 years. The Party concerned </w:t>
      </w:r>
      <w:r w:rsidR="00903315" w:rsidRPr="00477AB0">
        <w:t xml:space="preserve">contends </w:t>
      </w:r>
      <w:r w:rsidR="004C02F1" w:rsidRPr="00477AB0">
        <w:t>that the length of judicial proceedings cannot be assessed by reference to the one</w:t>
      </w:r>
      <w:r w:rsidR="00903315" w:rsidRPr="00477AB0">
        <w:t>-</w:t>
      </w:r>
      <w:r w:rsidR="004C02F1" w:rsidRPr="00477AB0">
        <w:t xml:space="preserve">month </w:t>
      </w:r>
      <w:proofErr w:type="gramStart"/>
      <w:r w:rsidR="004C02F1" w:rsidRPr="00477AB0">
        <w:t>time period</w:t>
      </w:r>
      <w:proofErr w:type="gramEnd"/>
      <w:r w:rsidR="004C02F1" w:rsidRPr="00477AB0">
        <w:t xml:space="preserve"> in article 4</w:t>
      </w:r>
      <w:r w:rsidR="00A635F0" w:rsidRPr="00477AB0">
        <w:t>(1) and (7)</w:t>
      </w:r>
      <w:r w:rsidR="004C02F1" w:rsidRPr="00477AB0">
        <w:t xml:space="preserve"> of the Convention.</w:t>
      </w:r>
      <w:r w:rsidR="004C02F1" w:rsidRPr="00477AB0">
        <w:rPr>
          <w:rStyle w:val="FootnoteReference"/>
          <w:rFonts w:eastAsia="Times New Roman"/>
          <w:szCs w:val="20"/>
        </w:rPr>
        <w:t xml:space="preserve"> </w:t>
      </w:r>
      <w:r w:rsidR="004C02F1" w:rsidRPr="00477AB0">
        <w:rPr>
          <w:rStyle w:val="FootnoteReference"/>
          <w:rFonts w:eastAsia="Times New Roman"/>
          <w:szCs w:val="20"/>
        </w:rPr>
        <w:footnoteReference w:id="77"/>
      </w:r>
    </w:p>
    <w:p w14:paraId="4CF4AACD" w14:textId="6111D1DE" w:rsidR="00387760" w:rsidRPr="00477AB0" w:rsidRDefault="00387760" w:rsidP="00204A55">
      <w:pPr>
        <w:pStyle w:val="Heading1"/>
        <w:ind w:left="1134" w:firstLine="0"/>
      </w:pPr>
      <w:r w:rsidRPr="00477AB0">
        <w:t>Consideration and evaluation by the Committee</w:t>
      </w:r>
    </w:p>
    <w:p w14:paraId="34E61D92" w14:textId="6441CB78" w:rsidR="00387760" w:rsidRPr="00477AB0" w:rsidRDefault="006936E2" w:rsidP="00204A55">
      <w:pPr>
        <w:pStyle w:val="NumberedParas"/>
        <w:ind w:left="1134" w:firstLine="0"/>
      </w:pPr>
      <w:r w:rsidRPr="00477AB0">
        <w:t>Belgium ratified</w:t>
      </w:r>
      <w:r w:rsidR="00387760" w:rsidRPr="00477AB0">
        <w:t xml:space="preserve"> the Convention </w:t>
      </w:r>
      <w:r w:rsidRPr="00477AB0">
        <w:t>on 21 January 2003</w:t>
      </w:r>
      <w:r w:rsidR="00387760" w:rsidRPr="00477AB0">
        <w:t xml:space="preserve">, meaning that the Convention entered into force for </w:t>
      </w:r>
      <w:r w:rsidRPr="00477AB0">
        <w:t>Belgium</w:t>
      </w:r>
      <w:r w:rsidR="00FA409B" w:rsidRPr="00477AB0">
        <w:t xml:space="preserve"> on </w:t>
      </w:r>
      <w:r w:rsidRPr="00477AB0">
        <w:t>21 April 2003</w:t>
      </w:r>
      <w:r w:rsidR="00387760" w:rsidRPr="00477AB0">
        <w:t>, i.e. ninety days after the date of deposit of the instrument of ratification.</w:t>
      </w:r>
    </w:p>
    <w:p w14:paraId="4BFFAF42" w14:textId="03AD2C3C" w:rsidR="004065F6" w:rsidRPr="00477AB0" w:rsidRDefault="004065F6" w:rsidP="00204A55">
      <w:pPr>
        <w:pStyle w:val="Heading3"/>
        <w:ind w:left="1134"/>
      </w:pPr>
      <w:r w:rsidRPr="00477AB0">
        <w:t>Admissibility</w:t>
      </w:r>
    </w:p>
    <w:p w14:paraId="4F6AEB6B" w14:textId="1B0FF42E" w:rsidR="004065F6" w:rsidRPr="00477AB0" w:rsidRDefault="00F030F2" w:rsidP="00204A55">
      <w:pPr>
        <w:pStyle w:val="NumberedParas"/>
        <w:ind w:left="1134" w:firstLine="0"/>
      </w:pPr>
      <w:bookmarkStart w:id="19" w:name="_Hlk42494088"/>
      <w:r w:rsidRPr="00477AB0">
        <w:t xml:space="preserve">The communicants </w:t>
      </w:r>
      <w:r w:rsidR="001007D9" w:rsidRPr="00477AB0">
        <w:t>sought recourse through</w:t>
      </w:r>
      <w:r w:rsidRPr="00477AB0">
        <w:t xml:space="preserve"> several domestic remedies </w:t>
      </w:r>
      <w:r w:rsidR="001007D9" w:rsidRPr="00477AB0">
        <w:t xml:space="preserve">with respect to </w:t>
      </w:r>
      <w:r w:rsidRPr="00477AB0">
        <w:t xml:space="preserve">their access to environmental information requests. </w:t>
      </w:r>
      <w:r w:rsidR="004065F6" w:rsidRPr="00477AB0">
        <w:t>The Party concerned d</w:t>
      </w:r>
      <w:r w:rsidR="00BE18CC" w:rsidRPr="00477AB0">
        <w:t>oes</w:t>
      </w:r>
      <w:r w:rsidR="004065F6" w:rsidRPr="00477AB0">
        <w:t xml:space="preserve"> not challenge the admissibility of the communication.</w:t>
      </w:r>
      <w:r w:rsidRPr="00477AB0">
        <w:t xml:space="preserve"> The </w:t>
      </w:r>
      <w:r w:rsidR="004065F6" w:rsidRPr="00477AB0">
        <w:t xml:space="preserve">Committee </w:t>
      </w:r>
      <w:r w:rsidR="00BE18CC" w:rsidRPr="00477AB0">
        <w:t>determines t</w:t>
      </w:r>
      <w:r w:rsidR="004065F6" w:rsidRPr="00477AB0">
        <w:t xml:space="preserve">he communication </w:t>
      </w:r>
      <w:r w:rsidR="00BE18CC" w:rsidRPr="00477AB0">
        <w:t xml:space="preserve">to be </w:t>
      </w:r>
      <w:r w:rsidR="004065F6" w:rsidRPr="00477AB0">
        <w:t>admissible.</w:t>
      </w:r>
    </w:p>
    <w:bookmarkEnd w:id="19"/>
    <w:p w14:paraId="32713384" w14:textId="4C7AC5BE" w:rsidR="008B6024" w:rsidRPr="00477AB0" w:rsidRDefault="008B6024" w:rsidP="00204A55">
      <w:pPr>
        <w:pStyle w:val="Heading3"/>
        <w:ind w:left="1134"/>
      </w:pPr>
      <w:r w:rsidRPr="00477AB0">
        <w:t>Scope of consideration by the Committee</w:t>
      </w:r>
      <w:r w:rsidR="00D23F6C" w:rsidRPr="00477AB0">
        <w:t xml:space="preserve"> </w:t>
      </w:r>
    </w:p>
    <w:p w14:paraId="490AD81E" w14:textId="2628A93F" w:rsidR="001007D9" w:rsidRPr="00477AB0" w:rsidRDefault="008B6024" w:rsidP="00204A55">
      <w:pPr>
        <w:pStyle w:val="NumberedParas"/>
        <w:ind w:left="1134" w:firstLine="0"/>
      </w:pPr>
      <w:r w:rsidRPr="00477AB0">
        <w:t>The communicants have not demonstrated how</w:t>
      </w:r>
      <w:r w:rsidR="001229C4" w:rsidRPr="00477AB0">
        <w:t xml:space="preserve"> </w:t>
      </w:r>
      <w:r w:rsidR="00534A66" w:rsidRPr="00477AB0">
        <w:t>a</w:t>
      </w:r>
      <w:r w:rsidRPr="00477AB0">
        <w:t xml:space="preserve">rticle 3 or </w:t>
      </w:r>
      <w:r w:rsidR="00534A66" w:rsidRPr="00477AB0">
        <w:t>a</w:t>
      </w:r>
      <w:r w:rsidRPr="00477AB0">
        <w:t xml:space="preserve">rticle 9(3) </w:t>
      </w:r>
      <w:r w:rsidR="00531D7C" w:rsidRPr="00477AB0">
        <w:t>are</w:t>
      </w:r>
      <w:r w:rsidRPr="00477AB0">
        <w:t xml:space="preserve"> relevant to the</w:t>
      </w:r>
      <w:r w:rsidR="001007D9" w:rsidRPr="00477AB0">
        <w:t>ir</w:t>
      </w:r>
      <w:r w:rsidRPr="00477AB0">
        <w:t xml:space="preserve"> communication.</w:t>
      </w:r>
      <w:r w:rsidR="00D23F6C" w:rsidRPr="00477AB0">
        <w:t xml:space="preserve"> </w:t>
      </w:r>
      <w:r w:rsidRPr="00477AB0">
        <w:t xml:space="preserve">The Committee will therefore </w:t>
      </w:r>
      <w:r w:rsidR="003F473C" w:rsidRPr="00477AB0">
        <w:t xml:space="preserve">not </w:t>
      </w:r>
      <w:r w:rsidRPr="00477AB0">
        <w:t>consider these aspects further.</w:t>
      </w:r>
      <w:r w:rsidR="00D23F6C" w:rsidRPr="00477AB0">
        <w:t xml:space="preserve"> </w:t>
      </w:r>
    </w:p>
    <w:p w14:paraId="05D7FE32" w14:textId="07450CE8" w:rsidR="001229C4" w:rsidRPr="00477AB0" w:rsidRDefault="0023094A" w:rsidP="00204A55">
      <w:pPr>
        <w:pStyle w:val="NumberedParas"/>
        <w:ind w:left="1134" w:firstLine="0"/>
      </w:pPr>
      <w:r w:rsidRPr="00477AB0">
        <w:t xml:space="preserve">The Committee notes that the communication </w:t>
      </w:r>
      <w:r w:rsidR="001007D9" w:rsidRPr="00477AB0">
        <w:t>alleges failures by the Party concerned to comply with both</w:t>
      </w:r>
      <w:r w:rsidRPr="00477AB0">
        <w:t xml:space="preserve"> </w:t>
      </w:r>
      <w:r w:rsidR="003F473C" w:rsidRPr="00477AB0">
        <w:t>a</w:t>
      </w:r>
      <w:r w:rsidRPr="00477AB0">
        <w:t>rticle</w:t>
      </w:r>
      <w:r w:rsidR="001007D9" w:rsidRPr="00477AB0">
        <w:t>s</w:t>
      </w:r>
      <w:r w:rsidRPr="00477AB0">
        <w:t xml:space="preserve"> 1 and </w:t>
      </w:r>
      <w:r w:rsidR="001007D9" w:rsidRPr="00477AB0">
        <w:t xml:space="preserve">article </w:t>
      </w:r>
      <w:r w:rsidRPr="00477AB0">
        <w:t xml:space="preserve">4 </w:t>
      </w:r>
      <w:r w:rsidR="00FB646D" w:rsidRPr="00477AB0">
        <w:t xml:space="preserve">with respect to </w:t>
      </w:r>
      <w:r w:rsidR="001007D9" w:rsidRPr="00477AB0">
        <w:t xml:space="preserve">the communicants’ </w:t>
      </w:r>
      <w:r w:rsidRPr="00477AB0">
        <w:t>right of access to environmental information.</w:t>
      </w:r>
      <w:r w:rsidR="00530945" w:rsidRPr="00477AB0">
        <w:rPr>
          <w:rStyle w:val="FootnoteReference"/>
          <w:rFonts w:eastAsia="Times New Roman"/>
          <w:szCs w:val="20"/>
        </w:rPr>
        <w:footnoteReference w:id="78"/>
      </w:r>
      <w:r w:rsidRPr="00477AB0">
        <w:t xml:space="preserve"> </w:t>
      </w:r>
      <w:r w:rsidR="00DD096E" w:rsidRPr="00477AB0">
        <w:t xml:space="preserve">While article 1 is </w:t>
      </w:r>
      <w:r w:rsidR="00FB646D" w:rsidRPr="00477AB0">
        <w:t xml:space="preserve">certainly important </w:t>
      </w:r>
      <w:r w:rsidR="00DD096E" w:rsidRPr="00477AB0">
        <w:t xml:space="preserve">for </w:t>
      </w:r>
      <w:r w:rsidR="00DD096E" w:rsidRPr="00477AB0">
        <w:lastRenderedPageBreak/>
        <w:t>the interpretation of the Convention, the Committee will examine</w:t>
      </w:r>
      <w:r w:rsidRPr="00477AB0">
        <w:t xml:space="preserve"> the </w:t>
      </w:r>
      <w:r w:rsidR="001007D9" w:rsidRPr="00477AB0">
        <w:t xml:space="preserve">communicants’ </w:t>
      </w:r>
      <w:r w:rsidRPr="00477AB0">
        <w:t>allegation</w:t>
      </w:r>
      <w:r w:rsidR="001007D9" w:rsidRPr="00477AB0">
        <w:t>s</w:t>
      </w:r>
      <w:r w:rsidRPr="00477AB0">
        <w:t xml:space="preserve"> </w:t>
      </w:r>
      <w:r w:rsidR="00FB646D" w:rsidRPr="00477AB0">
        <w:t xml:space="preserve">against </w:t>
      </w:r>
      <w:r w:rsidRPr="00477AB0">
        <w:t xml:space="preserve">the </w:t>
      </w:r>
      <w:r w:rsidR="001007D9" w:rsidRPr="00477AB0">
        <w:t xml:space="preserve">more </w:t>
      </w:r>
      <w:r w:rsidR="001E340C" w:rsidRPr="00477AB0">
        <w:t xml:space="preserve">specific </w:t>
      </w:r>
      <w:r w:rsidR="003878F1" w:rsidRPr="00477AB0">
        <w:t>obligations</w:t>
      </w:r>
      <w:r w:rsidRPr="00477AB0">
        <w:t xml:space="preserve"> </w:t>
      </w:r>
      <w:r w:rsidR="002A49B7" w:rsidRPr="00477AB0">
        <w:t>set down in</w:t>
      </w:r>
      <w:r w:rsidRPr="00477AB0">
        <w:t xml:space="preserve"> </w:t>
      </w:r>
      <w:r w:rsidR="001007D9" w:rsidRPr="00477AB0">
        <w:t>a</w:t>
      </w:r>
      <w:r w:rsidRPr="00477AB0">
        <w:t xml:space="preserve">rticle 4. </w:t>
      </w:r>
    </w:p>
    <w:p w14:paraId="5F0D8B63" w14:textId="26FA5E47" w:rsidR="00A27DC5" w:rsidRPr="00477AB0" w:rsidRDefault="008F71F9" w:rsidP="00204A55">
      <w:pPr>
        <w:pStyle w:val="NumberedParas"/>
        <w:ind w:left="1134" w:firstLine="0"/>
      </w:pPr>
      <w:r w:rsidRPr="00477AB0">
        <w:t>The Committee will not examine</w:t>
      </w:r>
      <w:r w:rsidR="00023006" w:rsidRPr="00477AB0">
        <w:t xml:space="preserve"> the </w:t>
      </w:r>
      <w:r w:rsidR="0035295E" w:rsidRPr="00477AB0">
        <w:t xml:space="preserve">compliance </w:t>
      </w:r>
      <w:r w:rsidR="005F77C2">
        <w:t xml:space="preserve">by the Party concerned </w:t>
      </w:r>
      <w:r w:rsidR="0035295E" w:rsidRPr="00477AB0">
        <w:t xml:space="preserve">with the Convention </w:t>
      </w:r>
      <w:r w:rsidR="005F77C2">
        <w:t>with respect to</w:t>
      </w:r>
      <w:r w:rsidR="0035295E" w:rsidRPr="00477AB0">
        <w:t xml:space="preserve"> the </w:t>
      </w:r>
      <w:r w:rsidR="005A05BF" w:rsidRPr="00477AB0">
        <w:t xml:space="preserve">three </w:t>
      </w:r>
      <w:r w:rsidR="00FB646D" w:rsidRPr="00477AB0">
        <w:t xml:space="preserve">additional </w:t>
      </w:r>
      <w:r w:rsidR="00BE18CC" w:rsidRPr="00477AB0">
        <w:t xml:space="preserve">cases </w:t>
      </w:r>
      <w:r w:rsidR="00FB646D" w:rsidRPr="00477AB0">
        <w:t xml:space="preserve">referred to by the communicants during the Committee’s procedure (see para. </w:t>
      </w:r>
      <w:r w:rsidR="001F0F8F" w:rsidRPr="00477AB0">
        <w:fldChar w:fldCharType="begin"/>
      </w:r>
      <w:r w:rsidR="001F0F8F" w:rsidRPr="00477AB0">
        <w:instrText xml:space="preserve"> REF _Ref74681185 \r \h </w:instrText>
      </w:r>
      <w:r w:rsidR="006C5213" w:rsidRPr="00477AB0">
        <w:instrText xml:space="preserve"> \* MERGEFORMAT </w:instrText>
      </w:r>
      <w:r w:rsidR="001F0F8F" w:rsidRPr="00477AB0">
        <w:fldChar w:fldCharType="separate"/>
      </w:r>
      <w:r w:rsidR="00450102">
        <w:t>73</w:t>
      </w:r>
      <w:r w:rsidR="001F0F8F" w:rsidRPr="00477AB0">
        <w:fldChar w:fldCharType="end"/>
      </w:r>
      <w:r w:rsidR="001F0F8F" w:rsidRPr="00477AB0">
        <w:t xml:space="preserve"> </w:t>
      </w:r>
      <w:r w:rsidR="00FB646D" w:rsidRPr="00477AB0">
        <w:t>above)</w:t>
      </w:r>
      <w:r w:rsidR="00D46098" w:rsidRPr="00477AB0">
        <w:t xml:space="preserve"> </w:t>
      </w:r>
      <w:r w:rsidR="00BE18CC" w:rsidRPr="00477AB0">
        <w:t xml:space="preserve">as these examples were not presented in the </w:t>
      </w:r>
      <w:r w:rsidR="00A27DC5" w:rsidRPr="00477AB0">
        <w:t>communication</w:t>
      </w:r>
      <w:r w:rsidR="003175B9" w:rsidRPr="00477AB0">
        <w:t xml:space="preserve"> itself</w:t>
      </w:r>
      <w:r w:rsidR="00D86202" w:rsidRPr="00477AB0">
        <w:t>.</w:t>
      </w:r>
      <w:r w:rsidR="00BE18CC" w:rsidRPr="00477AB0">
        <w:t xml:space="preserve"> </w:t>
      </w:r>
    </w:p>
    <w:p w14:paraId="37D92202" w14:textId="63172A21" w:rsidR="00BE18CC" w:rsidRPr="00477AB0" w:rsidRDefault="00BE18CC" w:rsidP="00204A55">
      <w:pPr>
        <w:pStyle w:val="Heading3"/>
        <w:ind w:left="1134"/>
      </w:pPr>
      <w:r w:rsidRPr="00477AB0">
        <w:t xml:space="preserve">Article 4 </w:t>
      </w:r>
      <w:r w:rsidR="00F06976" w:rsidRPr="00477AB0">
        <w:t>- applicability</w:t>
      </w:r>
    </w:p>
    <w:p w14:paraId="4E1165EA" w14:textId="3061872D" w:rsidR="00BA2947" w:rsidRPr="00477AB0" w:rsidRDefault="005F77C2" w:rsidP="00204A55">
      <w:pPr>
        <w:pStyle w:val="NumberedParas"/>
        <w:ind w:left="1134" w:firstLine="0"/>
        <w:rPr>
          <w:b/>
        </w:rPr>
      </w:pPr>
      <w:r>
        <w:t>It is clear to the Committee that t</w:t>
      </w:r>
      <w:r w:rsidRPr="00477AB0">
        <w:t>he requirements of article 4 of the Convention appl</w:t>
      </w:r>
      <w:r>
        <w:t>y</w:t>
      </w:r>
      <w:r w:rsidRPr="00477AB0">
        <w:t xml:space="preserve"> to the communicants’ three information requests</w:t>
      </w:r>
      <w:r w:rsidR="00BA2947" w:rsidRPr="00477AB0">
        <w:t xml:space="preserve"> outlined in paragraphs </w:t>
      </w:r>
      <w:r w:rsidR="00BA2947" w:rsidRPr="00477AB0">
        <w:fldChar w:fldCharType="begin"/>
      </w:r>
      <w:r w:rsidR="00BA2947" w:rsidRPr="00477AB0">
        <w:instrText xml:space="preserve"> REF _Ref508118819 \r \h  \* MERGEFORMAT </w:instrText>
      </w:r>
      <w:r w:rsidR="00BA2947" w:rsidRPr="00477AB0">
        <w:fldChar w:fldCharType="separate"/>
      </w:r>
      <w:r w:rsidR="00450102">
        <w:t>26</w:t>
      </w:r>
      <w:r w:rsidR="00BA2947" w:rsidRPr="00477AB0">
        <w:fldChar w:fldCharType="end"/>
      </w:r>
      <w:r w:rsidR="00BA2947" w:rsidRPr="00477AB0">
        <w:t xml:space="preserve">, </w:t>
      </w:r>
      <w:r w:rsidR="00BA2947" w:rsidRPr="00477AB0">
        <w:fldChar w:fldCharType="begin"/>
      </w:r>
      <w:r w:rsidR="00BA2947" w:rsidRPr="00477AB0">
        <w:instrText xml:space="preserve"> REF _Ref508126733 \r \h  \* MERGEFORMAT </w:instrText>
      </w:r>
      <w:r w:rsidR="00BA2947" w:rsidRPr="00477AB0">
        <w:fldChar w:fldCharType="separate"/>
      </w:r>
      <w:r w:rsidR="00450102">
        <w:t>35</w:t>
      </w:r>
      <w:r w:rsidR="00BA2947" w:rsidRPr="00477AB0">
        <w:fldChar w:fldCharType="end"/>
      </w:r>
      <w:r w:rsidR="00BA2947" w:rsidRPr="00477AB0">
        <w:t xml:space="preserve"> and </w:t>
      </w:r>
      <w:r w:rsidR="00BA2947" w:rsidRPr="00477AB0">
        <w:fldChar w:fldCharType="begin"/>
      </w:r>
      <w:r w:rsidR="00BA2947" w:rsidRPr="00477AB0">
        <w:instrText xml:space="preserve"> REF _Ref74754723 \r \h  \* MERGEFORMAT </w:instrText>
      </w:r>
      <w:r w:rsidR="00BA2947" w:rsidRPr="00477AB0">
        <w:fldChar w:fldCharType="separate"/>
      </w:r>
      <w:r w:rsidR="00450102">
        <w:t>47</w:t>
      </w:r>
      <w:r w:rsidR="00BA2947" w:rsidRPr="00477AB0">
        <w:fldChar w:fldCharType="end"/>
      </w:r>
      <w:r w:rsidR="00BA2947" w:rsidRPr="00477AB0">
        <w:t xml:space="preserve"> above</w:t>
      </w:r>
      <w:r>
        <w:t>. The Committee notes that t</w:t>
      </w:r>
      <w:r w:rsidRPr="00477AB0">
        <w:t>he Party concerned does not dispute that the communicant’s requests for information</w:t>
      </w:r>
      <w:r w:rsidR="00BA2947" w:rsidRPr="00477AB0">
        <w:t xml:space="preserve"> </w:t>
      </w:r>
      <w:r w:rsidR="00FB646D" w:rsidRPr="00477AB0">
        <w:t xml:space="preserve">concerned environmental information </w:t>
      </w:r>
      <w:r w:rsidR="00863E16" w:rsidRPr="00477AB0">
        <w:t>within the meaning of</w:t>
      </w:r>
      <w:r w:rsidR="00FB646D" w:rsidRPr="00477AB0">
        <w:t xml:space="preserve"> article 2(3) of the Convention or that the Municipality of Stavelot is a public authority </w:t>
      </w:r>
      <w:r w:rsidR="00863E16" w:rsidRPr="00477AB0">
        <w:t>under article 2(2) of the Convention.</w:t>
      </w:r>
      <w:r w:rsidR="00BA2947" w:rsidRPr="00477AB0">
        <w:t xml:space="preserve"> The Committee examines the extent to which those requirements were met below.</w:t>
      </w:r>
    </w:p>
    <w:p w14:paraId="0DAA71C0" w14:textId="641328CE" w:rsidR="00F250CA" w:rsidRPr="00477AB0" w:rsidRDefault="00F250CA" w:rsidP="00204A55">
      <w:pPr>
        <w:pStyle w:val="NumberedParas"/>
        <w:numPr>
          <w:ilvl w:val="0"/>
          <w:numId w:val="0"/>
        </w:numPr>
        <w:ind w:left="1134"/>
        <w:rPr>
          <w:b/>
          <w:bCs/>
        </w:rPr>
      </w:pPr>
      <w:r w:rsidRPr="00477AB0">
        <w:rPr>
          <w:b/>
          <w:bCs/>
        </w:rPr>
        <w:t>Article 4(1) and (2)</w:t>
      </w:r>
    </w:p>
    <w:p w14:paraId="5F5FA5C7" w14:textId="0BB3B963" w:rsidR="00D52795" w:rsidRPr="00477AB0" w:rsidRDefault="00D52795" w:rsidP="00204A55">
      <w:pPr>
        <w:pStyle w:val="NumberedParas"/>
        <w:ind w:left="1134" w:firstLine="0"/>
      </w:pPr>
      <w:r w:rsidRPr="00477AB0">
        <w:t xml:space="preserve">Article 4(1) </w:t>
      </w:r>
      <w:r w:rsidR="00126A59" w:rsidRPr="00477AB0">
        <w:t xml:space="preserve">guarantees the </w:t>
      </w:r>
      <w:r w:rsidRPr="00477AB0">
        <w:t xml:space="preserve">right </w:t>
      </w:r>
      <w:r w:rsidR="000145B3" w:rsidRPr="00477AB0">
        <w:t xml:space="preserve">to request </w:t>
      </w:r>
      <w:r w:rsidRPr="00477AB0">
        <w:t>access to environmental information held by public authorities.</w:t>
      </w:r>
      <w:r w:rsidR="00D23F6C" w:rsidRPr="00477AB0">
        <w:t xml:space="preserve"> </w:t>
      </w:r>
      <w:r w:rsidR="002A49B7" w:rsidRPr="00477AB0">
        <w:t xml:space="preserve">Article 4(2) specifies the timeframes within which the information requested must be made available to the applicant. </w:t>
      </w:r>
    </w:p>
    <w:p w14:paraId="1FE5180A" w14:textId="288BA523" w:rsidR="0006592D" w:rsidRPr="00477AB0" w:rsidRDefault="0006592D" w:rsidP="00204A55">
      <w:pPr>
        <w:pStyle w:val="NumberedParas"/>
        <w:ind w:left="1134" w:firstLine="0"/>
      </w:pPr>
      <w:r w:rsidRPr="00477AB0">
        <w:t>Article D.15</w:t>
      </w:r>
      <w:r w:rsidR="00863E16" w:rsidRPr="00477AB0">
        <w:t>.1</w:t>
      </w:r>
      <w:r w:rsidRPr="00477AB0">
        <w:t xml:space="preserve"> of </w:t>
      </w:r>
      <w:r w:rsidR="00560D14" w:rsidRPr="00477AB0">
        <w:t xml:space="preserve">Book 1 of </w:t>
      </w:r>
      <w:r w:rsidRPr="00477AB0">
        <w:t xml:space="preserve">the Environmental Code </w:t>
      </w:r>
      <w:r w:rsidR="00863E16" w:rsidRPr="00477AB0">
        <w:t xml:space="preserve">of the Walloon region </w:t>
      </w:r>
      <w:r w:rsidRPr="00477AB0">
        <w:t xml:space="preserve">requires public authorities to make available </w:t>
      </w:r>
      <w:r w:rsidR="00863E16" w:rsidRPr="00477AB0">
        <w:t xml:space="preserve">the requested </w:t>
      </w:r>
      <w:r w:rsidRPr="00477AB0">
        <w:t>environmental information as soon as possible and, at the latest, within one month following the receipt of the request</w:t>
      </w:r>
      <w:r w:rsidR="00815E0F" w:rsidRPr="00477AB0">
        <w:t xml:space="preserve"> (</w:t>
      </w:r>
      <w:r w:rsidR="00851FB0" w:rsidRPr="00477AB0">
        <w:t xml:space="preserve">see </w:t>
      </w:r>
      <w:r w:rsidR="00815E0F" w:rsidRPr="00477AB0">
        <w:t xml:space="preserve">para. </w:t>
      </w:r>
      <w:r w:rsidR="00851FB0" w:rsidRPr="00477AB0">
        <w:fldChar w:fldCharType="begin"/>
      </w:r>
      <w:r w:rsidR="00851FB0" w:rsidRPr="00477AB0">
        <w:instrText xml:space="preserve"> REF _Ref508122234 \r \h </w:instrText>
      </w:r>
      <w:r w:rsidR="003D4F9C" w:rsidRPr="00477AB0">
        <w:instrText xml:space="preserve"> \* MERGEFORMAT </w:instrText>
      </w:r>
      <w:r w:rsidR="00851FB0" w:rsidRPr="00477AB0">
        <w:fldChar w:fldCharType="separate"/>
      </w:r>
      <w:r w:rsidR="00450102">
        <w:t>19</w:t>
      </w:r>
      <w:r w:rsidR="00851FB0" w:rsidRPr="00477AB0">
        <w:fldChar w:fldCharType="end"/>
      </w:r>
      <w:r w:rsidR="00815E0F" w:rsidRPr="00477AB0">
        <w:t xml:space="preserve"> above)</w:t>
      </w:r>
      <w:r w:rsidRPr="00477AB0">
        <w:t>.</w:t>
      </w:r>
      <w:r w:rsidR="00D23F6C" w:rsidRPr="00477AB0">
        <w:t xml:space="preserve"> </w:t>
      </w:r>
      <w:r w:rsidR="00F752C4" w:rsidRPr="00477AB0">
        <w:t>It also makes provision for an extension for up to two months after the request where this is justified by the volume and complexity</w:t>
      </w:r>
      <w:r w:rsidR="00126A59" w:rsidRPr="00477AB0">
        <w:t xml:space="preserve"> of the information at issue</w:t>
      </w:r>
      <w:r w:rsidR="00F752C4" w:rsidRPr="00477AB0">
        <w:t>.</w:t>
      </w:r>
      <w:r w:rsidR="00D23F6C" w:rsidRPr="00477AB0">
        <w:t xml:space="preserve"> </w:t>
      </w:r>
    </w:p>
    <w:p w14:paraId="3C014B45" w14:textId="36B32AD0" w:rsidR="00F752C4" w:rsidRPr="00477AB0" w:rsidRDefault="000145B3" w:rsidP="00204A55">
      <w:pPr>
        <w:pStyle w:val="NumberedParas"/>
        <w:ind w:left="1134" w:firstLine="0"/>
      </w:pPr>
      <w:r w:rsidRPr="00477AB0">
        <w:t>I</w:t>
      </w:r>
      <w:r w:rsidR="00EE538D" w:rsidRPr="00477AB0">
        <w:t>t is not</w:t>
      </w:r>
      <w:r w:rsidR="00126A59" w:rsidRPr="00477AB0">
        <w:t xml:space="preserve"> disputed </w:t>
      </w:r>
      <w:r w:rsidR="00044FE0" w:rsidRPr="00477AB0">
        <w:t xml:space="preserve">by the Party concerned </w:t>
      </w:r>
      <w:r w:rsidR="00D86202" w:rsidRPr="00477AB0">
        <w:t>that</w:t>
      </w:r>
      <w:r w:rsidRPr="00477AB0">
        <w:t xml:space="preserve">, despite the time-frames set out in article D.15.1 of Book 1 of the Environmental Code, </w:t>
      </w:r>
      <w:r w:rsidR="00D86202" w:rsidRPr="00477AB0">
        <w:t xml:space="preserve">the Municipality of Stavelot failed to reply to the </w:t>
      </w:r>
      <w:r w:rsidRPr="00477AB0">
        <w:t xml:space="preserve">three </w:t>
      </w:r>
      <w:r w:rsidR="00D86202" w:rsidRPr="00477AB0">
        <w:t>requests submitted by the communicants within one month.</w:t>
      </w:r>
      <w:r w:rsidR="00D23F6C" w:rsidRPr="00477AB0">
        <w:t xml:space="preserve"> </w:t>
      </w:r>
      <w:r w:rsidR="00F05A89" w:rsidRPr="00477AB0">
        <w:t xml:space="preserve">Moreover, there is no evidence before the Committee that the </w:t>
      </w:r>
      <w:r w:rsidR="002D4240" w:rsidRPr="00477AB0">
        <w:t xml:space="preserve">communicants </w:t>
      </w:r>
      <w:r w:rsidR="00F05A89" w:rsidRPr="00477AB0">
        <w:t xml:space="preserve">were </w:t>
      </w:r>
      <w:r w:rsidR="002D4240" w:rsidRPr="00477AB0">
        <w:t>informed of an extension to the one</w:t>
      </w:r>
      <w:r w:rsidR="00863E16" w:rsidRPr="00477AB0">
        <w:t>-</w:t>
      </w:r>
      <w:r w:rsidR="002D4240" w:rsidRPr="00477AB0">
        <w:t xml:space="preserve">month period </w:t>
      </w:r>
      <w:r w:rsidR="00FA61CD" w:rsidRPr="00477AB0">
        <w:t>for</w:t>
      </w:r>
      <w:r w:rsidR="001F7518" w:rsidRPr="00477AB0">
        <w:t xml:space="preserve"> </w:t>
      </w:r>
      <w:r w:rsidR="00D52795" w:rsidRPr="00477AB0">
        <w:t xml:space="preserve">any of the three requests </w:t>
      </w:r>
      <w:r w:rsidR="008B6BDE" w:rsidRPr="00477AB0">
        <w:t>at issue in this communication</w:t>
      </w:r>
      <w:r w:rsidR="002D4240" w:rsidRPr="00477AB0">
        <w:t>.</w:t>
      </w:r>
      <w:r w:rsidR="00D23F6C" w:rsidRPr="00477AB0">
        <w:t xml:space="preserve"> </w:t>
      </w:r>
    </w:p>
    <w:p w14:paraId="37A92E84" w14:textId="2D6AB5A5" w:rsidR="000145B3" w:rsidRPr="00477AB0" w:rsidRDefault="00863E16" w:rsidP="00204A55">
      <w:pPr>
        <w:pStyle w:val="NumberedParas"/>
        <w:ind w:left="1134" w:firstLine="0"/>
      </w:pPr>
      <w:r w:rsidRPr="00477AB0">
        <w:t xml:space="preserve">In the light of the foregoing, the Committee finds </w:t>
      </w:r>
      <w:r w:rsidR="000E45E6" w:rsidRPr="00477AB0">
        <w:t xml:space="preserve">that, by </w:t>
      </w:r>
      <w:r w:rsidRPr="00477AB0">
        <w:t>failing to provide any response to the communicants’ three requests for access to environmental information within the one-month period, the Party concerned failed to comply with article 4(2) of the Convention</w:t>
      </w:r>
      <w:r w:rsidR="00F7522A" w:rsidRPr="00477AB0">
        <w:t>.</w:t>
      </w:r>
      <w:r w:rsidR="00D23F6C" w:rsidRPr="00477AB0">
        <w:t xml:space="preserve"> </w:t>
      </w:r>
    </w:p>
    <w:p w14:paraId="7B71FA37" w14:textId="71C74ABD" w:rsidR="00F7522A" w:rsidRPr="00477AB0" w:rsidRDefault="00804676" w:rsidP="00204A55">
      <w:pPr>
        <w:pStyle w:val="NumberedParas"/>
        <w:ind w:left="1134" w:firstLine="0"/>
      </w:pPr>
      <w:bookmarkStart w:id="20" w:name="_Ref74759565"/>
      <w:r w:rsidRPr="00477AB0">
        <w:t xml:space="preserve">However, taking into consideration that no evidence has been presented to substantiate that </w:t>
      </w:r>
      <w:r w:rsidR="000145B3" w:rsidRPr="00477AB0">
        <w:t xml:space="preserve">the </w:t>
      </w:r>
      <w:r w:rsidRPr="00477AB0">
        <w:t xml:space="preserve">non-compliance with </w:t>
      </w:r>
      <w:r w:rsidR="00363F97" w:rsidRPr="00477AB0">
        <w:t>a</w:t>
      </w:r>
      <w:r w:rsidRPr="00477AB0">
        <w:t xml:space="preserve">rticle 4(2) </w:t>
      </w:r>
      <w:r w:rsidR="00766645" w:rsidRPr="00477AB0">
        <w:t xml:space="preserve">identified above </w:t>
      </w:r>
      <w:r w:rsidRPr="00477AB0">
        <w:t xml:space="preserve">is </w:t>
      </w:r>
      <w:r w:rsidR="00DD096E" w:rsidRPr="00477AB0">
        <w:t>of a wide</w:t>
      </w:r>
      <w:r w:rsidR="00BF1AC5" w:rsidRPr="00477AB0">
        <w:t xml:space="preserve"> </w:t>
      </w:r>
      <w:r w:rsidR="00DD096E" w:rsidRPr="00477AB0">
        <w:t xml:space="preserve">or </w:t>
      </w:r>
      <w:r w:rsidRPr="00477AB0">
        <w:t xml:space="preserve">systemic </w:t>
      </w:r>
      <w:r w:rsidR="00DD096E" w:rsidRPr="00477AB0">
        <w:t>nature</w:t>
      </w:r>
      <w:r w:rsidRPr="00477AB0">
        <w:t xml:space="preserve">, the Committee refrains from </w:t>
      </w:r>
      <w:r w:rsidR="00B45DBA" w:rsidRPr="00477AB0">
        <w:t xml:space="preserve">making </w:t>
      </w:r>
      <w:r w:rsidRPr="00477AB0">
        <w:t>any recommendation on this point.</w:t>
      </w:r>
      <w:bookmarkEnd w:id="20"/>
      <w:r w:rsidR="00D23F6C" w:rsidRPr="00477AB0">
        <w:t xml:space="preserve"> </w:t>
      </w:r>
    </w:p>
    <w:p w14:paraId="4C6FC864" w14:textId="16EA6ADA" w:rsidR="00F250CA" w:rsidRPr="00477AB0" w:rsidRDefault="00F250CA" w:rsidP="00204A55">
      <w:pPr>
        <w:pStyle w:val="Heading4"/>
        <w:ind w:left="1134"/>
        <w:rPr>
          <w:b/>
          <w:bCs w:val="0"/>
          <w:i w:val="0"/>
          <w:iCs w:val="0"/>
        </w:rPr>
      </w:pPr>
      <w:r w:rsidRPr="00477AB0">
        <w:rPr>
          <w:b/>
          <w:bCs w:val="0"/>
          <w:i w:val="0"/>
          <w:iCs w:val="0"/>
        </w:rPr>
        <w:t>Article 4(7)</w:t>
      </w:r>
    </w:p>
    <w:p w14:paraId="28360183" w14:textId="0A8B1526" w:rsidR="00512980" w:rsidRPr="00477AB0" w:rsidRDefault="00D86202" w:rsidP="00204A55">
      <w:pPr>
        <w:pStyle w:val="NumberedParas"/>
        <w:ind w:left="1134" w:firstLine="0"/>
      </w:pPr>
      <w:r w:rsidRPr="00477AB0">
        <w:t xml:space="preserve">Article 4(7) </w:t>
      </w:r>
      <w:r w:rsidR="000E45E6" w:rsidRPr="00477AB0">
        <w:t xml:space="preserve">requires that a refusal of a request for environmental information is to be made as soon as possible and, at the latest, within one month, unless the complexity of the information justifies an extension for a period of up to two months after the request. </w:t>
      </w:r>
      <w:r w:rsidR="00512980" w:rsidRPr="00477AB0">
        <w:t xml:space="preserve">A refusal of a request shall be in writing if the request was in writing or if the applicant so requests. </w:t>
      </w:r>
      <w:r w:rsidRPr="00477AB0">
        <w:t xml:space="preserve">Furthermore, a refusal must state </w:t>
      </w:r>
      <w:r w:rsidR="002D4240" w:rsidRPr="00477AB0">
        <w:t xml:space="preserve">the reasons </w:t>
      </w:r>
      <w:r w:rsidR="00703763" w:rsidRPr="00477AB0">
        <w:t xml:space="preserve">behind it </w:t>
      </w:r>
      <w:r w:rsidR="002D4240" w:rsidRPr="00477AB0">
        <w:t xml:space="preserve">and provide information on the review procedure provided for in accordance with </w:t>
      </w:r>
      <w:r w:rsidR="00363F97" w:rsidRPr="00477AB0">
        <w:t>a</w:t>
      </w:r>
      <w:r w:rsidR="002D4240" w:rsidRPr="00477AB0">
        <w:t>rticle 9</w:t>
      </w:r>
      <w:r w:rsidR="00126A59" w:rsidRPr="00477AB0">
        <w:t xml:space="preserve"> of the Convention</w:t>
      </w:r>
      <w:r w:rsidR="002D4240" w:rsidRPr="00477AB0">
        <w:t>.</w:t>
      </w:r>
      <w:r w:rsidR="00D23F6C" w:rsidRPr="00477AB0">
        <w:t xml:space="preserve"> </w:t>
      </w:r>
    </w:p>
    <w:p w14:paraId="049CF166" w14:textId="5F76FAF1" w:rsidR="00531D7C" w:rsidRPr="00477AB0" w:rsidRDefault="00444BE6" w:rsidP="00204A55">
      <w:pPr>
        <w:pStyle w:val="NumberedParas"/>
        <w:ind w:left="1134" w:firstLine="0"/>
      </w:pPr>
      <w:r w:rsidRPr="00477AB0">
        <w:t xml:space="preserve">In </w:t>
      </w:r>
      <w:r w:rsidR="000E45E6" w:rsidRPr="00477AB0">
        <w:t xml:space="preserve">its findings on </w:t>
      </w:r>
      <w:r w:rsidRPr="00477AB0">
        <w:t xml:space="preserve">communication ACCC/C/2013/93 (Norway), the Committee stressed the </w:t>
      </w:r>
      <w:r w:rsidR="000E45E6" w:rsidRPr="00477AB0">
        <w:t>“</w:t>
      </w:r>
      <w:r w:rsidRPr="00477AB0">
        <w:t>great importance</w:t>
      </w:r>
      <w:r w:rsidR="000E45E6" w:rsidRPr="00477AB0">
        <w:t>”</w:t>
      </w:r>
      <w:r w:rsidRPr="00477AB0">
        <w:t xml:space="preserve"> of the </w:t>
      </w:r>
      <w:r w:rsidR="00512980" w:rsidRPr="00477AB0">
        <w:t>obligation</w:t>
      </w:r>
      <w:r w:rsidRPr="00477AB0">
        <w:t xml:space="preserve"> </w:t>
      </w:r>
      <w:r w:rsidR="00512980" w:rsidRPr="00477AB0">
        <w:t xml:space="preserve">in article 4(7) </w:t>
      </w:r>
      <w:r w:rsidRPr="00477AB0">
        <w:t xml:space="preserve">to state reasons </w:t>
      </w:r>
      <w:r w:rsidR="00512980" w:rsidRPr="00477AB0">
        <w:t>for a refusal</w:t>
      </w:r>
      <w:r w:rsidRPr="00477AB0">
        <w:t>, not least in order to enable the applicant to be in a position to engage the review procedures stipulated in article 9(1).</w:t>
      </w:r>
      <w:r w:rsidRPr="00477AB0">
        <w:rPr>
          <w:rStyle w:val="FootnoteReference"/>
          <w:rFonts w:eastAsia="Times New Roman"/>
          <w:szCs w:val="20"/>
        </w:rPr>
        <w:footnoteReference w:id="79"/>
      </w:r>
      <w:r w:rsidRPr="00477AB0">
        <w:t xml:space="preserve"> </w:t>
      </w:r>
    </w:p>
    <w:p w14:paraId="49DC1F89" w14:textId="104AF6C0" w:rsidR="00F752C4" w:rsidRPr="00477AB0" w:rsidRDefault="00F752C4" w:rsidP="00204A55">
      <w:pPr>
        <w:pStyle w:val="NumberedParas"/>
        <w:ind w:left="1134" w:firstLine="0"/>
      </w:pPr>
      <w:r w:rsidRPr="00477AB0">
        <w:lastRenderedPageBreak/>
        <w:t xml:space="preserve">Article D.20.1 of </w:t>
      </w:r>
      <w:r w:rsidR="00EE538D" w:rsidRPr="00477AB0">
        <w:t xml:space="preserve">Book 1 of </w:t>
      </w:r>
      <w:r w:rsidRPr="00477AB0">
        <w:t xml:space="preserve">the </w:t>
      </w:r>
      <w:r w:rsidR="000E45E6" w:rsidRPr="00477AB0">
        <w:t xml:space="preserve">Walloon region’s </w:t>
      </w:r>
      <w:r w:rsidRPr="00477AB0">
        <w:t xml:space="preserve">Environmental Code </w:t>
      </w:r>
      <w:r w:rsidR="00763285" w:rsidRPr="00477AB0">
        <w:t>provides that in the case of a refusal</w:t>
      </w:r>
      <w:r w:rsidR="00EB60EA" w:rsidRPr="00477AB0">
        <w:t>, or a partial refusal,</w:t>
      </w:r>
      <w:r w:rsidR="00763285" w:rsidRPr="00477AB0">
        <w:t xml:space="preserve"> to provide </w:t>
      </w:r>
      <w:r w:rsidR="00EB60EA" w:rsidRPr="00477AB0">
        <w:t xml:space="preserve">the </w:t>
      </w:r>
      <w:r w:rsidR="005233DB" w:rsidRPr="00477AB0">
        <w:t>information</w:t>
      </w:r>
      <w:r w:rsidR="00512980" w:rsidRPr="00477AB0">
        <w:t xml:space="preserve"> requested</w:t>
      </w:r>
      <w:r w:rsidR="00126A59" w:rsidRPr="00477AB0">
        <w:t>,</w:t>
      </w:r>
      <w:r w:rsidR="00763285" w:rsidRPr="00477AB0">
        <w:t xml:space="preserve"> th</w:t>
      </w:r>
      <w:r w:rsidR="00126A59" w:rsidRPr="00477AB0">
        <w:t>at</w:t>
      </w:r>
      <w:r w:rsidR="00763285" w:rsidRPr="00477AB0">
        <w:t xml:space="preserve"> refusal must be made as soon as possible and, at the latest, within one month</w:t>
      </w:r>
      <w:r w:rsidR="0058446B" w:rsidRPr="00477AB0">
        <w:t xml:space="preserve"> (see para. </w:t>
      </w:r>
      <w:r w:rsidR="0058446B" w:rsidRPr="00477AB0">
        <w:fldChar w:fldCharType="begin"/>
      </w:r>
      <w:r w:rsidR="0058446B" w:rsidRPr="00477AB0">
        <w:instrText xml:space="preserve"> REF _Ref73021254 \r \h </w:instrText>
      </w:r>
      <w:r w:rsidR="003D4F9C" w:rsidRPr="00477AB0">
        <w:instrText xml:space="preserve"> \* MERGEFORMAT </w:instrText>
      </w:r>
      <w:r w:rsidR="0058446B" w:rsidRPr="00477AB0">
        <w:fldChar w:fldCharType="separate"/>
      </w:r>
      <w:r w:rsidR="00450102">
        <w:t>20</w:t>
      </w:r>
      <w:r w:rsidR="0058446B" w:rsidRPr="00477AB0">
        <w:fldChar w:fldCharType="end"/>
      </w:r>
      <w:r w:rsidR="0058446B" w:rsidRPr="00477AB0">
        <w:t xml:space="preserve"> above)</w:t>
      </w:r>
      <w:r w:rsidR="00763285" w:rsidRPr="00477AB0">
        <w:t>.</w:t>
      </w:r>
      <w:r w:rsidR="00D23F6C" w:rsidRPr="00477AB0">
        <w:t xml:space="preserve"> </w:t>
      </w:r>
      <w:r w:rsidR="00EB60EA" w:rsidRPr="00477AB0">
        <w:t xml:space="preserve">A reasoned decision for the refusal </w:t>
      </w:r>
      <w:r w:rsidR="00763285" w:rsidRPr="00477AB0">
        <w:t xml:space="preserve">must be provided and the </w:t>
      </w:r>
      <w:r w:rsidR="00126A59" w:rsidRPr="00477AB0">
        <w:t>applicant</w:t>
      </w:r>
      <w:r w:rsidR="00763285" w:rsidRPr="00477AB0">
        <w:t xml:space="preserve"> must be notified of the review procedures available.</w:t>
      </w:r>
      <w:r w:rsidR="00D23F6C" w:rsidRPr="00477AB0">
        <w:t xml:space="preserve"> </w:t>
      </w:r>
    </w:p>
    <w:p w14:paraId="18BDD5C8" w14:textId="26E8DEB8" w:rsidR="00B45DBA" w:rsidRPr="00477AB0" w:rsidRDefault="00B45DBA" w:rsidP="00204A55">
      <w:pPr>
        <w:pStyle w:val="NumberedParas"/>
        <w:ind w:left="1134" w:firstLine="0"/>
      </w:pPr>
      <w:r w:rsidRPr="00477AB0">
        <w:t xml:space="preserve">Article D.20.6 of Book 1 of the Environmental Code </w:t>
      </w:r>
      <w:r w:rsidR="000145B3" w:rsidRPr="00477AB0">
        <w:t xml:space="preserve">also </w:t>
      </w:r>
      <w:r w:rsidRPr="00477AB0">
        <w:t>provides that where a public authority fails to reply to a request for access to information within the period prescribed, the applicant may bring an appeal to the CRAIE</w:t>
      </w:r>
      <w:r w:rsidR="00752F67" w:rsidRPr="00477AB0">
        <w:t xml:space="preserve"> (see para. </w:t>
      </w:r>
      <w:r w:rsidR="00752F67" w:rsidRPr="00477AB0">
        <w:fldChar w:fldCharType="begin"/>
      </w:r>
      <w:r w:rsidR="00752F67" w:rsidRPr="00477AB0">
        <w:instrText xml:space="preserve"> REF _Ref73021299 \r \h </w:instrText>
      </w:r>
      <w:r w:rsidR="003D4F9C" w:rsidRPr="00477AB0">
        <w:instrText xml:space="preserve"> \* MERGEFORMAT </w:instrText>
      </w:r>
      <w:r w:rsidR="00752F67" w:rsidRPr="00477AB0">
        <w:fldChar w:fldCharType="separate"/>
      </w:r>
      <w:r w:rsidR="00450102">
        <w:t>21</w:t>
      </w:r>
      <w:r w:rsidR="00752F67" w:rsidRPr="00477AB0">
        <w:fldChar w:fldCharType="end"/>
      </w:r>
      <w:r w:rsidR="00752F67" w:rsidRPr="00477AB0">
        <w:t xml:space="preserve"> above)</w:t>
      </w:r>
      <w:r w:rsidRPr="00477AB0">
        <w:t>.</w:t>
      </w:r>
      <w:r w:rsidR="00D23F6C" w:rsidRPr="00477AB0">
        <w:t xml:space="preserve"> </w:t>
      </w:r>
      <w:r w:rsidRPr="00477AB0">
        <w:t xml:space="preserve">In other words, </w:t>
      </w:r>
      <w:r w:rsidR="00EB60EA" w:rsidRPr="00477AB0">
        <w:t xml:space="preserve">a </w:t>
      </w:r>
      <w:r w:rsidRPr="00477AB0">
        <w:t xml:space="preserve">failure </w:t>
      </w:r>
      <w:r w:rsidR="00EB60EA" w:rsidRPr="00477AB0">
        <w:t xml:space="preserve">by </w:t>
      </w:r>
      <w:r w:rsidRPr="00477AB0">
        <w:t xml:space="preserve">the </w:t>
      </w:r>
      <w:r w:rsidR="00EB60EA" w:rsidRPr="00477AB0">
        <w:t xml:space="preserve">public </w:t>
      </w:r>
      <w:r w:rsidRPr="00477AB0">
        <w:t xml:space="preserve">authority to </w:t>
      </w:r>
      <w:proofErr w:type="gramStart"/>
      <w:r w:rsidRPr="00477AB0">
        <w:t xml:space="preserve">make </w:t>
      </w:r>
      <w:r w:rsidR="00EB60EA" w:rsidRPr="00477AB0">
        <w:t xml:space="preserve">a </w:t>
      </w:r>
      <w:r w:rsidRPr="00477AB0">
        <w:t>decision</w:t>
      </w:r>
      <w:proofErr w:type="gramEnd"/>
      <w:r w:rsidRPr="00477AB0">
        <w:t xml:space="preserve"> on </w:t>
      </w:r>
      <w:r w:rsidR="00EB60EA" w:rsidRPr="00477AB0">
        <w:t xml:space="preserve">an information request </w:t>
      </w:r>
      <w:r w:rsidRPr="00477AB0">
        <w:t xml:space="preserve">within one month is </w:t>
      </w:r>
      <w:r w:rsidR="00EB60EA" w:rsidRPr="00477AB0">
        <w:t>considered as</w:t>
      </w:r>
      <w:r w:rsidRPr="00477AB0">
        <w:t xml:space="preserve"> a </w:t>
      </w:r>
      <w:r w:rsidR="00EB60EA" w:rsidRPr="00477AB0">
        <w:t>“</w:t>
      </w:r>
      <w:r w:rsidRPr="00477AB0">
        <w:t>deemed refusal</w:t>
      </w:r>
      <w:r w:rsidR="00EB60EA" w:rsidRPr="00477AB0">
        <w:t>”</w:t>
      </w:r>
      <w:r w:rsidRPr="00477AB0">
        <w:t xml:space="preserve"> which may then be the subject of an appeal to the CRAIE.</w:t>
      </w:r>
      <w:r w:rsidR="00D23F6C" w:rsidRPr="00477AB0">
        <w:t xml:space="preserve"> </w:t>
      </w:r>
      <w:r w:rsidRPr="00477AB0">
        <w:t xml:space="preserve">In fact, this is what occurred for each of the three requests at issue in this communication; the communicants brought an appeal to the CRAIE because they had not received </w:t>
      </w:r>
      <w:r w:rsidRPr="00477AB0">
        <w:rPr>
          <w:iCs/>
        </w:rPr>
        <w:t>a</w:t>
      </w:r>
      <w:r w:rsidR="00EB60EA" w:rsidRPr="00477AB0">
        <w:rPr>
          <w:i/>
        </w:rPr>
        <w:t xml:space="preserve"> </w:t>
      </w:r>
      <w:r w:rsidRPr="00477AB0">
        <w:t xml:space="preserve">decision from the </w:t>
      </w:r>
      <w:r w:rsidR="00EB60EA" w:rsidRPr="00477AB0">
        <w:t>Municipality of Stavelot</w:t>
      </w:r>
      <w:r w:rsidRPr="00477AB0">
        <w:t xml:space="preserve"> on their </w:t>
      </w:r>
      <w:r w:rsidR="00EB60EA" w:rsidRPr="00477AB0">
        <w:t xml:space="preserve">information </w:t>
      </w:r>
      <w:r w:rsidRPr="00477AB0">
        <w:t xml:space="preserve">requests within one month. </w:t>
      </w:r>
    </w:p>
    <w:p w14:paraId="5C733B0D" w14:textId="36E77CF6" w:rsidR="00B45DBA" w:rsidRPr="00477AB0" w:rsidRDefault="002D4240" w:rsidP="00204A55">
      <w:pPr>
        <w:pStyle w:val="NumberedParas"/>
        <w:ind w:left="1134" w:firstLine="0"/>
      </w:pPr>
      <w:r w:rsidRPr="00477AB0">
        <w:t xml:space="preserve">The communicants made their requests </w:t>
      </w:r>
      <w:r w:rsidR="00AE4931" w:rsidRPr="00477AB0">
        <w:t xml:space="preserve">for access </w:t>
      </w:r>
      <w:r w:rsidR="00774EB2" w:rsidRPr="00477AB0">
        <w:t>to environmental information in writing.</w:t>
      </w:r>
      <w:r w:rsidR="00D23F6C" w:rsidRPr="00477AB0">
        <w:t xml:space="preserve"> </w:t>
      </w:r>
      <w:r w:rsidRPr="00477AB0">
        <w:t>As the Municipality of Stavelot failed to reply to the</w:t>
      </w:r>
      <w:r w:rsidR="00512980" w:rsidRPr="00477AB0">
        <w:t>ir</w:t>
      </w:r>
      <w:r w:rsidRPr="00477AB0">
        <w:t xml:space="preserve"> requests for </w:t>
      </w:r>
      <w:r w:rsidR="00D60BEF" w:rsidRPr="00477AB0">
        <w:t>information</w:t>
      </w:r>
      <w:r w:rsidRPr="00477AB0">
        <w:t xml:space="preserve">, </w:t>
      </w:r>
      <w:r w:rsidR="00774EB2" w:rsidRPr="00477AB0">
        <w:t xml:space="preserve">the communicants were never provided with </w:t>
      </w:r>
      <w:r w:rsidR="00512980" w:rsidRPr="00477AB0">
        <w:t xml:space="preserve">a written </w:t>
      </w:r>
      <w:r w:rsidR="00774EB2" w:rsidRPr="00477AB0">
        <w:t>refusal setting out the reasons for refusal.</w:t>
      </w:r>
      <w:r w:rsidR="00D23F6C" w:rsidRPr="00477AB0">
        <w:t xml:space="preserve"> </w:t>
      </w:r>
      <w:r w:rsidR="007C0AEA" w:rsidRPr="00477AB0">
        <w:t xml:space="preserve">Nor </w:t>
      </w:r>
      <w:r w:rsidR="00AE4931" w:rsidRPr="00477AB0">
        <w:t>were they provided with information about the applicable review procedure available to them.</w:t>
      </w:r>
      <w:r w:rsidR="00D23F6C" w:rsidRPr="00477AB0">
        <w:t xml:space="preserve"> </w:t>
      </w:r>
      <w:r w:rsidR="00512980" w:rsidRPr="00477AB0">
        <w:t>The Municipality’s failures to provide any reply thus failed to meet the requirements of article 4(7) in both these respects.</w:t>
      </w:r>
    </w:p>
    <w:p w14:paraId="40BBB39B" w14:textId="5E14EC50" w:rsidR="00B45DBA" w:rsidRPr="00477AB0" w:rsidRDefault="00512980" w:rsidP="00204A55">
      <w:pPr>
        <w:pStyle w:val="NumberedParas"/>
        <w:ind w:left="1134" w:firstLine="0"/>
      </w:pPr>
      <w:r w:rsidRPr="00477AB0">
        <w:t xml:space="preserve">The Committee </w:t>
      </w:r>
      <w:r w:rsidR="00C6593B" w:rsidRPr="00477AB0">
        <w:t>makes clear that thes</w:t>
      </w:r>
      <w:r w:rsidRPr="00477AB0">
        <w:t xml:space="preserve">e failures are </w:t>
      </w:r>
      <w:r w:rsidR="00BD13E0" w:rsidRPr="00477AB0">
        <w:t xml:space="preserve">not remedied by the provision </w:t>
      </w:r>
      <w:r w:rsidR="00703763" w:rsidRPr="00477AB0">
        <w:t xml:space="preserve">in the domestic legal framework </w:t>
      </w:r>
      <w:r w:rsidR="00BD13E0" w:rsidRPr="00477AB0">
        <w:t xml:space="preserve">for a </w:t>
      </w:r>
      <w:r w:rsidRPr="00477AB0">
        <w:t>“</w:t>
      </w:r>
      <w:r w:rsidR="00BD13E0" w:rsidRPr="00477AB0">
        <w:t>deemed refusal</w:t>
      </w:r>
      <w:r w:rsidRPr="00477AB0">
        <w:t>”</w:t>
      </w:r>
      <w:r w:rsidR="00327423" w:rsidRPr="00477AB0">
        <w:t>.</w:t>
      </w:r>
      <w:r w:rsidR="00703763" w:rsidRPr="00477AB0">
        <w:t xml:space="preserve"> </w:t>
      </w:r>
      <w:r w:rsidRPr="00477AB0">
        <w:t>While</w:t>
      </w:r>
      <w:r w:rsidR="00C6593B" w:rsidRPr="00477AB0">
        <w:t>,</w:t>
      </w:r>
      <w:r w:rsidRPr="00477AB0">
        <w:t xml:space="preserve"> </w:t>
      </w:r>
      <w:r w:rsidR="00C6593B" w:rsidRPr="00477AB0">
        <w:t xml:space="preserve">in cases where a public authority fails to respond to a request for environmental information, </w:t>
      </w:r>
      <w:r w:rsidRPr="00477AB0">
        <w:t xml:space="preserve">a system of “deemed refusal” </w:t>
      </w:r>
      <w:r w:rsidR="00703763" w:rsidRPr="00477AB0">
        <w:t>enable</w:t>
      </w:r>
      <w:r w:rsidRPr="00477AB0">
        <w:t>s</w:t>
      </w:r>
      <w:r w:rsidR="00703763" w:rsidRPr="00477AB0">
        <w:t xml:space="preserve"> applicants to engage the review procedures provided for in </w:t>
      </w:r>
      <w:r w:rsidR="007E097F" w:rsidRPr="00477AB0">
        <w:t>a</w:t>
      </w:r>
      <w:r w:rsidR="00703763" w:rsidRPr="00477AB0">
        <w:t>rticle 9(1)</w:t>
      </w:r>
      <w:r w:rsidRPr="00477AB0">
        <w:t xml:space="preserve">, </w:t>
      </w:r>
      <w:r w:rsidR="00C6593B" w:rsidRPr="00477AB0">
        <w:t xml:space="preserve">a deemed refusal clearly </w:t>
      </w:r>
      <w:r w:rsidRPr="00477AB0">
        <w:t xml:space="preserve">cannot meet the requirements in article 4(7) to provide </w:t>
      </w:r>
      <w:r w:rsidR="00C6593B" w:rsidRPr="00477AB0">
        <w:t>the refusal in writing where the information request was in writing, to state the reasons for the refusal or to provide information on access to review procedures.</w:t>
      </w:r>
      <w:r w:rsidR="00D23F6C" w:rsidRPr="00477AB0">
        <w:t xml:space="preserve"> </w:t>
      </w:r>
    </w:p>
    <w:p w14:paraId="1EC13319" w14:textId="4746B968" w:rsidR="000C75B7" w:rsidRPr="00477AB0" w:rsidRDefault="00703763" w:rsidP="00204A55">
      <w:pPr>
        <w:pStyle w:val="NumberedParas"/>
        <w:ind w:left="1134" w:firstLine="0"/>
        <w:rPr>
          <w:b/>
        </w:rPr>
      </w:pPr>
      <w:r w:rsidRPr="00477AB0">
        <w:t>In light of the above, t</w:t>
      </w:r>
      <w:r w:rsidR="00AE4931" w:rsidRPr="00477AB0">
        <w:t xml:space="preserve">he Committee finds </w:t>
      </w:r>
      <w:r w:rsidR="00774EB2" w:rsidRPr="00477AB0">
        <w:t>that</w:t>
      </w:r>
      <w:r w:rsidR="00C6593B" w:rsidRPr="00477AB0">
        <w:t>,</w:t>
      </w:r>
      <w:r w:rsidR="00774EB2" w:rsidRPr="00477AB0">
        <w:t xml:space="preserve"> </w:t>
      </w:r>
      <w:r w:rsidR="00A84483" w:rsidRPr="00477AB0">
        <w:t xml:space="preserve">by failing to respond at all to the communicants’ three written requests for environmental information, the Party concerned failed to comply with the requirements in article 4(7) to state the </w:t>
      </w:r>
      <w:r w:rsidR="009416AC" w:rsidRPr="00477AB0">
        <w:t xml:space="preserve"> reasons for the refusals</w:t>
      </w:r>
      <w:r w:rsidR="00A84483" w:rsidRPr="00477AB0">
        <w:t xml:space="preserve">, </w:t>
      </w:r>
      <w:r w:rsidR="00F8502D" w:rsidRPr="00477AB0">
        <w:t xml:space="preserve">to </w:t>
      </w:r>
      <w:r w:rsidR="00A84483" w:rsidRPr="00477AB0">
        <w:t>provide refusals in writing where the information requests were in writing</w:t>
      </w:r>
      <w:r w:rsidR="00F8502D" w:rsidRPr="00477AB0">
        <w:t xml:space="preserve"> </w:t>
      </w:r>
      <w:r w:rsidR="009416AC" w:rsidRPr="00477AB0">
        <w:t>and to provide information on access to the relevant review procedures</w:t>
      </w:r>
      <w:r w:rsidR="00A84483" w:rsidRPr="00477AB0">
        <w:t>.</w:t>
      </w:r>
      <w:r w:rsidR="00275A48" w:rsidRPr="00477AB0">
        <w:t xml:space="preserve"> </w:t>
      </w:r>
    </w:p>
    <w:p w14:paraId="42AA1B1C" w14:textId="272EE3B9" w:rsidR="004024DF" w:rsidRPr="00477AB0" w:rsidRDefault="00BA2947" w:rsidP="00204A55">
      <w:pPr>
        <w:pStyle w:val="NumberedParas"/>
        <w:ind w:left="1134" w:firstLine="0"/>
        <w:rPr>
          <w:b/>
        </w:rPr>
      </w:pPr>
      <w:bookmarkStart w:id="21" w:name="_Ref74759579"/>
      <w:r w:rsidRPr="00477AB0">
        <w:t>S</w:t>
      </w:r>
      <w:r w:rsidR="00A84483" w:rsidRPr="00477AB0">
        <w:t>ince n</w:t>
      </w:r>
      <w:r w:rsidR="00EE538D" w:rsidRPr="00477AB0">
        <w:t xml:space="preserve">o evidence has been presented to the Committee to demonstrate that the non-compliance with </w:t>
      </w:r>
      <w:r w:rsidR="007E097F" w:rsidRPr="00477AB0">
        <w:t>a</w:t>
      </w:r>
      <w:r w:rsidR="00EE538D" w:rsidRPr="00477AB0">
        <w:t xml:space="preserve">rticle 4(7) </w:t>
      </w:r>
      <w:r w:rsidR="00766645" w:rsidRPr="00477AB0">
        <w:t xml:space="preserve">identified above </w:t>
      </w:r>
      <w:r w:rsidR="00A84483" w:rsidRPr="00477AB0">
        <w:t xml:space="preserve">is </w:t>
      </w:r>
      <w:r w:rsidR="00C35BAA" w:rsidRPr="00477AB0">
        <w:t>of a wide</w:t>
      </w:r>
      <w:r w:rsidR="00BF1AC5" w:rsidRPr="00477AB0">
        <w:t xml:space="preserve"> </w:t>
      </w:r>
      <w:r w:rsidR="00C35BAA" w:rsidRPr="00477AB0">
        <w:t>or systemic nature</w:t>
      </w:r>
      <w:r w:rsidR="00A84483" w:rsidRPr="00477AB0">
        <w:t>, t</w:t>
      </w:r>
      <w:r w:rsidR="00B45DBA" w:rsidRPr="00477AB0">
        <w:t xml:space="preserve">he Committee refrains from making </w:t>
      </w:r>
      <w:r w:rsidR="00A84483" w:rsidRPr="00477AB0">
        <w:t xml:space="preserve">recommendations </w:t>
      </w:r>
      <w:r w:rsidRPr="00477AB0">
        <w:t>on this issue</w:t>
      </w:r>
      <w:r w:rsidR="00B45DBA" w:rsidRPr="00477AB0">
        <w:t>.</w:t>
      </w:r>
      <w:bookmarkEnd w:id="21"/>
      <w:r w:rsidR="00D23F6C" w:rsidRPr="00477AB0">
        <w:t xml:space="preserve"> </w:t>
      </w:r>
    </w:p>
    <w:p w14:paraId="3759C95F" w14:textId="77777777" w:rsidR="000C75B7" w:rsidRPr="00477AB0" w:rsidRDefault="000C75B7" w:rsidP="00204A55">
      <w:pPr>
        <w:pStyle w:val="NumberedParas"/>
        <w:numPr>
          <w:ilvl w:val="0"/>
          <w:numId w:val="0"/>
        </w:numPr>
        <w:ind w:left="1134"/>
        <w:rPr>
          <w:b/>
        </w:rPr>
      </w:pPr>
    </w:p>
    <w:p w14:paraId="11ED448D" w14:textId="5F6EBB72" w:rsidR="004640E2" w:rsidRPr="00477AB0" w:rsidRDefault="00F250CA" w:rsidP="00204A55">
      <w:pPr>
        <w:pStyle w:val="Heading3"/>
        <w:ind w:left="1134"/>
      </w:pPr>
      <w:r w:rsidRPr="00477AB0">
        <w:rPr>
          <w:bCs/>
        </w:rPr>
        <w:t>Article 9</w:t>
      </w:r>
      <w:r w:rsidR="00483A3D" w:rsidRPr="00477AB0">
        <w:rPr>
          <w:bCs/>
        </w:rPr>
        <w:t xml:space="preserve">(1) </w:t>
      </w:r>
    </w:p>
    <w:p w14:paraId="3CE0CF88" w14:textId="1E1B9345" w:rsidR="00275A48" w:rsidRPr="00477AB0" w:rsidRDefault="006003FC" w:rsidP="00204A55">
      <w:pPr>
        <w:pStyle w:val="NumberedParas"/>
        <w:ind w:left="1134" w:firstLine="0"/>
      </w:pPr>
      <w:r w:rsidRPr="00477AB0">
        <w:t xml:space="preserve">Article 9(1) of the Convention requires </w:t>
      </w:r>
      <w:r w:rsidR="00D552C9" w:rsidRPr="00477AB0">
        <w:t xml:space="preserve">each Party </w:t>
      </w:r>
      <w:r w:rsidRPr="00477AB0">
        <w:t xml:space="preserve">to ensure that any person who considers that his or her request for information under </w:t>
      </w:r>
      <w:r w:rsidR="007E097F" w:rsidRPr="00477AB0">
        <w:t>a</w:t>
      </w:r>
      <w:r w:rsidRPr="00477AB0">
        <w:t xml:space="preserve">rticle 4 of the Convention has not been dealt with in accordance with that </w:t>
      </w:r>
      <w:r w:rsidR="00D64C09" w:rsidRPr="00477AB0">
        <w:t>a</w:t>
      </w:r>
      <w:r w:rsidRPr="00477AB0">
        <w:t xml:space="preserve">rticle </w:t>
      </w:r>
      <w:r w:rsidR="00A56ED9" w:rsidRPr="00477AB0">
        <w:t>has</w:t>
      </w:r>
      <w:r w:rsidRPr="00477AB0">
        <w:t xml:space="preserve"> access to a review procedure before a court of law or another independent and impartial body established by law. Furthermore, where a Party provides for such a review by a court of law, it shall also ensure that there exists an expeditious procedure established by law that is free of charge or inexpensive for reconsideration by a public authority or review by an independent and impartial body other than a court of law.</w:t>
      </w:r>
      <w:r w:rsidR="00877BB8" w:rsidRPr="00477AB0">
        <w:t xml:space="preserve"> Final decisions under article 9(1) must be binding</w:t>
      </w:r>
      <w:r w:rsidR="00A548FF" w:rsidRPr="00477AB0">
        <w:t xml:space="preserve"> on the public authority holding the information</w:t>
      </w:r>
      <w:r w:rsidR="00877BB8" w:rsidRPr="00477AB0">
        <w:t>.</w:t>
      </w:r>
    </w:p>
    <w:p w14:paraId="67E7A4E7" w14:textId="7964D4FC" w:rsidR="0086336F" w:rsidRPr="00477AB0" w:rsidRDefault="0086336F" w:rsidP="00204A55">
      <w:pPr>
        <w:pStyle w:val="NumberedParas"/>
        <w:ind w:left="1134" w:firstLine="0"/>
      </w:pPr>
      <w:bookmarkStart w:id="22" w:name="_Ref73086199"/>
      <w:r w:rsidRPr="00477AB0">
        <w:t xml:space="preserve">Article 9(1) of the Convention </w:t>
      </w:r>
      <w:r w:rsidR="00656189" w:rsidRPr="00477AB0">
        <w:t>provides Parties with a measure of discretion as to the overall structure and nature of the review procedures that must be provided in the domestic legal system.</w:t>
      </w:r>
      <w:r w:rsidR="00D23F6C" w:rsidRPr="00477AB0">
        <w:t xml:space="preserve"> </w:t>
      </w:r>
      <w:r w:rsidR="00656189" w:rsidRPr="00477AB0">
        <w:t xml:space="preserve">However, </w:t>
      </w:r>
      <w:r w:rsidR="003878F1" w:rsidRPr="00477AB0">
        <w:t xml:space="preserve">it is implicit in </w:t>
      </w:r>
      <w:r w:rsidR="00CF11C6" w:rsidRPr="00477AB0">
        <w:t>a</w:t>
      </w:r>
      <w:r w:rsidR="003878F1" w:rsidRPr="00477AB0">
        <w:t xml:space="preserve">rticle 9(1) that </w:t>
      </w:r>
      <w:r w:rsidRPr="00477AB0">
        <w:t xml:space="preserve">the domestic legal system must always make provision for </w:t>
      </w:r>
      <w:r w:rsidR="00483A3D" w:rsidRPr="00477AB0">
        <w:t xml:space="preserve">the public to have </w:t>
      </w:r>
      <w:r w:rsidRPr="00477AB0">
        <w:t>access to a review procedure established by law that is expeditious and either free of charge or inexpensive.</w:t>
      </w:r>
      <w:r w:rsidR="00D23F6C" w:rsidRPr="00477AB0">
        <w:t xml:space="preserve"> </w:t>
      </w:r>
      <w:r w:rsidR="00042C3E" w:rsidRPr="00477AB0">
        <w:t xml:space="preserve">In other words, </w:t>
      </w:r>
      <w:r w:rsidR="00656189" w:rsidRPr="00477AB0">
        <w:t xml:space="preserve">regardless of how a Party decides to structure its review procedures for the </w:t>
      </w:r>
      <w:r w:rsidR="00656189" w:rsidRPr="00477AB0">
        <w:lastRenderedPageBreak/>
        <w:t xml:space="preserve">purpose of </w:t>
      </w:r>
      <w:r w:rsidR="00CF11C6" w:rsidRPr="00477AB0">
        <w:t>a</w:t>
      </w:r>
      <w:r w:rsidR="00656189" w:rsidRPr="00477AB0">
        <w:t>rticle 9(1), th</w:t>
      </w:r>
      <w:r w:rsidR="00042C3E" w:rsidRPr="00477AB0">
        <w:t xml:space="preserve">ere must </w:t>
      </w:r>
      <w:r w:rsidR="00656189" w:rsidRPr="00477AB0">
        <w:t xml:space="preserve">always be at least </w:t>
      </w:r>
      <w:r w:rsidR="00042C3E" w:rsidRPr="00477AB0">
        <w:t>one review procedure that is expeditious</w:t>
      </w:r>
      <w:r w:rsidR="001F7518" w:rsidRPr="00477AB0">
        <w:t xml:space="preserve"> and either free of charge or inexpensive</w:t>
      </w:r>
      <w:r w:rsidR="00042C3E" w:rsidRPr="00477AB0">
        <w:t>.</w:t>
      </w:r>
      <w:r w:rsidR="00D23F6C" w:rsidRPr="00477AB0">
        <w:t xml:space="preserve"> </w:t>
      </w:r>
      <w:bookmarkEnd w:id="22"/>
    </w:p>
    <w:p w14:paraId="1AEA08BC" w14:textId="203DEE0F" w:rsidR="00147B99" w:rsidRPr="00477AB0" w:rsidRDefault="004E457D" w:rsidP="00204A55">
      <w:pPr>
        <w:pStyle w:val="NumberedParas"/>
        <w:ind w:left="1134" w:firstLine="0"/>
      </w:pPr>
      <w:r w:rsidRPr="00477AB0">
        <w:t xml:space="preserve">The </w:t>
      </w:r>
      <w:r w:rsidR="00B952A0" w:rsidRPr="00477AB0">
        <w:t xml:space="preserve">legal </w:t>
      </w:r>
      <w:r w:rsidRPr="00477AB0">
        <w:t>framework in the Party concerned provides for an appeal to the CRAIE</w:t>
      </w:r>
      <w:r w:rsidR="0055779D" w:rsidRPr="00477AB0">
        <w:t>, an independent and impartial body established by law,</w:t>
      </w:r>
      <w:r w:rsidRPr="00477AB0">
        <w:t xml:space="preserve"> where a public authority fails to reply to a request for access to environmental information.</w:t>
      </w:r>
      <w:r w:rsidR="00D23F6C" w:rsidRPr="00477AB0">
        <w:t xml:space="preserve"> </w:t>
      </w:r>
      <w:r w:rsidRPr="00477AB0">
        <w:t>T</w:t>
      </w:r>
      <w:r w:rsidR="0086336F" w:rsidRPr="00477AB0">
        <w:t xml:space="preserve">he CRAIE is </w:t>
      </w:r>
      <w:r w:rsidR="00147B99" w:rsidRPr="00477AB0">
        <w:t xml:space="preserve">thus a </w:t>
      </w:r>
      <w:r w:rsidR="0086336F" w:rsidRPr="00477AB0">
        <w:t xml:space="preserve">review procedure </w:t>
      </w:r>
      <w:r w:rsidRPr="00477AB0">
        <w:t xml:space="preserve">for the purpose of </w:t>
      </w:r>
      <w:r w:rsidR="00C736AF" w:rsidRPr="00477AB0">
        <w:t>a</w:t>
      </w:r>
      <w:r w:rsidRPr="00477AB0">
        <w:t>rticle 9(1) of the Convention</w:t>
      </w:r>
      <w:r w:rsidR="0086336F" w:rsidRPr="00477AB0">
        <w:t>.</w:t>
      </w:r>
      <w:r w:rsidR="00D23F6C" w:rsidRPr="00477AB0">
        <w:t xml:space="preserve"> </w:t>
      </w:r>
    </w:p>
    <w:p w14:paraId="6C6C8119" w14:textId="5E7499FB" w:rsidR="00147B99" w:rsidRPr="00477AB0" w:rsidRDefault="001F7518" w:rsidP="00204A55">
      <w:pPr>
        <w:pStyle w:val="NumberedParas"/>
        <w:ind w:left="1134" w:firstLine="0"/>
      </w:pPr>
      <w:r w:rsidRPr="00477AB0">
        <w:t>The role of the Justice of the Peace</w:t>
      </w:r>
      <w:r w:rsidR="006F6FD3" w:rsidRPr="00477AB0">
        <w:t xml:space="preserve"> in this instance is </w:t>
      </w:r>
      <w:r w:rsidR="005F77C2">
        <w:t>to provide</w:t>
      </w:r>
      <w:r w:rsidR="006F6FD3" w:rsidRPr="00477AB0">
        <w:t xml:space="preserve"> an enforcement procedure</w:t>
      </w:r>
      <w:r w:rsidR="006F1F12">
        <w:t xml:space="preserve"> before a court</w:t>
      </w:r>
      <w:r w:rsidR="006F6FD3" w:rsidRPr="00477AB0">
        <w:t xml:space="preserve"> – </w:t>
      </w:r>
      <w:r w:rsidR="00C1143E" w:rsidRPr="00477AB0">
        <w:t xml:space="preserve">that is, a remedy </w:t>
      </w:r>
      <w:r w:rsidR="006F6FD3" w:rsidRPr="00477AB0">
        <w:t>to ensure that the public authority complies with the decision of the CRAIE by providing a</w:t>
      </w:r>
      <w:r w:rsidR="009E5817" w:rsidRPr="00477AB0">
        <w:t>n</w:t>
      </w:r>
      <w:r w:rsidR="006F6FD3" w:rsidRPr="00477AB0">
        <w:t xml:space="preserve"> </w:t>
      </w:r>
      <w:r w:rsidR="00C35BAA" w:rsidRPr="00477AB0">
        <w:t xml:space="preserve">order </w:t>
      </w:r>
      <w:r w:rsidR="006F6FD3" w:rsidRPr="00477AB0">
        <w:t>of execution</w:t>
      </w:r>
      <w:r w:rsidR="00656189" w:rsidRPr="00477AB0">
        <w:t>, where necessary,</w:t>
      </w:r>
      <w:r w:rsidR="006F6FD3" w:rsidRPr="00477AB0">
        <w:t xml:space="preserve"> </w:t>
      </w:r>
      <w:r w:rsidR="00656189" w:rsidRPr="00477AB0">
        <w:t xml:space="preserve">in order </w:t>
      </w:r>
      <w:r w:rsidR="006F6FD3" w:rsidRPr="00477AB0">
        <w:t xml:space="preserve">to </w:t>
      </w:r>
      <w:r w:rsidR="00874F26" w:rsidRPr="00477AB0">
        <w:t>ensure</w:t>
      </w:r>
      <w:r w:rsidR="006F6FD3" w:rsidRPr="00477AB0">
        <w:t xml:space="preserve"> the </w:t>
      </w:r>
      <w:r w:rsidR="00874F26" w:rsidRPr="00477AB0">
        <w:t xml:space="preserve">release of </w:t>
      </w:r>
      <w:r w:rsidR="006F6FD3" w:rsidRPr="00477AB0">
        <w:t xml:space="preserve">information </w:t>
      </w:r>
      <w:r w:rsidR="00CB471C" w:rsidRPr="00477AB0">
        <w:t xml:space="preserve">in </w:t>
      </w:r>
      <w:r w:rsidR="005E785D" w:rsidRPr="00477AB0">
        <w:t>accordance</w:t>
      </w:r>
      <w:r w:rsidR="00CB471C" w:rsidRPr="00477AB0">
        <w:t xml:space="preserve"> with the CRAIE’s decision</w:t>
      </w:r>
      <w:r w:rsidR="006F6FD3" w:rsidRPr="00477AB0">
        <w:t>.</w:t>
      </w:r>
      <w:r w:rsidR="00D23F6C" w:rsidRPr="00477AB0">
        <w:t xml:space="preserve"> </w:t>
      </w:r>
      <w:r w:rsidR="00F05A89" w:rsidRPr="00477AB0">
        <w:t>Since the Justice of the Peace is thus a form of remedy, t</w:t>
      </w:r>
      <w:r w:rsidR="00C1143E" w:rsidRPr="00477AB0">
        <w:t>he Committee examines the proceedings before the Justice of the Peace under article 9(4) below.</w:t>
      </w:r>
    </w:p>
    <w:p w14:paraId="5974A94E" w14:textId="11CFF591" w:rsidR="0086336F" w:rsidRPr="00477AB0" w:rsidRDefault="004E457D" w:rsidP="00204A55">
      <w:pPr>
        <w:pStyle w:val="NumberedParas"/>
        <w:ind w:left="1134" w:firstLine="0"/>
      </w:pPr>
      <w:r w:rsidRPr="00477AB0">
        <w:t xml:space="preserve">In line with </w:t>
      </w:r>
      <w:r w:rsidR="005E785D" w:rsidRPr="00477AB0">
        <w:t>a</w:t>
      </w:r>
      <w:r w:rsidRPr="00477AB0">
        <w:t xml:space="preserve">rticle 9(1), </w:t>
      </w:r>
      <w:r w:rsidR="007D2643" w:rsidRPr="00477AB0">
        <w:t xml:space="preserve">second subparagraph, </w:t>
      </w:r>
      <w:r w:rsidRPr="00477AB0">
        <w:t>the CRAIE must be expeditious and either free of charge or inexpensive.</w:t>
      </w:r>
      <w:r w:rsidR="00D23F6C" w:rsidRPr="00477AB0">
        <w:t xml:space="preserve"> </w:t>
      </w:r>
      <w:r w:rsidR="007D2643" w:rsidRPr="00477AB0">
        <w:t>To fulfil article 9(1), third paragraph, the decision of the CRAIE must be binding. The Committee examines each of these requirements below.</w:t>
      </w:r>
    </w:p>
    <w:p w14:paraId="29E8E1C6" w14:textId="53763112" w:rsidR="00147B99" w:rsidRPr="00477AB0" w:rsidRDefault="00147B99" w:rsidP="00204A55">
      <w:pPr>
        <w:pStyle w:val="Heading4"/>
        <w:ind w:left="1134"/>
      </w:pPr>
      <w:r w:rsidRPr="00477AB0">
        <w:t>Free of charge or inexpensive</w:t>
      </w:r>
    </w:p>
    <w:p w14:paraId="78455DF2" w14:textId="6C33EADB" w:rsidR="00147B99" w:rsidRPr="00477AB0" w:rsidRDefault="00147B99" w:rsidP="00204A55">
      <w:pPr>
        <w:pStyle w:val="NumberedParas"/>
        <w:ind w:left="1134" w:firstLine="0"/>
      </w:pPr>
      <w:r w:rsidRPr="00477AB0">
        <w:t xml:space="preserve">There is no charge to bring an appeal before the CRAIE. Thus, it meets the requirement of the second </w:t>
      </w:r>
      <w:r w:rsidR="007D2643" w:rsidRPr="00477AB0">
        <w:t xml:space="preserve">subparagraph </w:t>
      </w:r>
      <w:r w:rsidRPr="00477AB0">
        <w:t>of article 9(1) to be “free of charge or inexpensive”.</w:t>
      </w:r>
    </w:p>
    <w:p w14:paraId="53F51945" w14:textId="7D546883" w:rsidR="004E457D" w:rsidRPr="00477AB0" w:rsidRDefault="00147B99" w:rsidP="00204A55">
      <w:pPr>
        <w:pStyle w:val="Heading4"/>
        <w:ind w:left="1134"/>
      </w:pPr>
      <w:r w:rsidRPr="00477AB0">
        <w:t>E</w:t>
      </w:r>
      <w:r w:rsidR="004E457D" w:rsidRPr="00477AB0">
        <w:t>xpeditious</w:t>
      </w:r>
    </w:p>
    <w:p w14:paraId="44E6097C" w14:textId="1E187BF4" w:rsidR="00A548FF" w:rsidRPr="00477AB0" w:rsidRDefault="00A548FF" w:rsidP="00204A55">
      <w:pPr>
        <w:pStyle w:val="NumberedParas"/>
        <w:ind w:left="1134" w:firstLine="0"/>
      </w:pPr>
      <w:r w:rsidRPr="00477AB0">
        <w:t xml:space="preserve">Article D.20.6 of Book 1 of the Walloon region’s Environmental Code provides for an appeal to the CRAIE where an applicant considers that their request for environmental information has been ignored, wrongfully refused in part or in full, inadequately answered or otherwise not dealt with in accordance with the applicable provisions of the Environmental Code. Any such appeal must be lodged with the CRAIE within 15 days of receipt of the notification of the contested decision or, in the absence of any decision by the public authority (as was the case with the three information requests at issue in this communication), within 15 days of the expiry of the periods prescribed in article D.15 of Book 1 of the Environmental Code (see paras. </w:t>
      </w:r>
      <w:r w:rsidRPr="00477AB0">
        <w:fldChar w:fldCharType="begin"/>
      </w:r>
      <w:r w:rsidRPr="00477AB0">
        <w:instrText xml:space="preserve"> REF _Ref508122234 \r \h  \* MERGEFORMAT </w:instrText>
      </w:r>
      <w:r w:rsidRPr="00477AB0">
        <w:fldChar w:fldCharType="separate"/>
      </w:r>
      <w:r w:rsidR="00450102">
        <w:t>19</w:t>
      </w:r>
      <w:r w:rsidRPr="00477AB0">
        <w:fldChar w:fldCharType="end"/>
      </w:r>
      <w:r w:rsidRPr="00477AB0">
        <w:t xml:space="preserve"> - </w:t>
      </w:r>
      <w:r w:rsidRPr="00477AB0">
        <w:fldChar w:fldCharType="begin"/>
      </w:r>
      <w:r w:rsidRPr="00477AB0">
        <w:instrText xml:space="preserve"> REF _Ref508122236 \r \h  \* MERGEFORMAT </w:instrText>
      </w:r>
      <w:r w:rsidRPr="00477AB0">
        <w:fldChar w:fldCharType="separate"/>
      </w:r>
      <w:r w:rsidR="00450102">
        <w:t>21</w:t>
      </w:r>
      <w:r w:rsidRPr="00477AB0">
        <w:fldChar w:fldCharType="end"/>
      </w:r>
      <w:r w:rsidRPr="00477AB0">
        <w:t xml:space="preserve"> above).</w:t>
      </w:r>
      <w:r w:rsidRPr="00477AB0" w:rsidDel="002E7B59">
        <w:rPr>
          <w:rStyle w:val="FootnoteReference"/>
          <w:rFonts w:eastAsia="Times New Roman"/>
          <w:szCs w:val="20"/>
        </w:rPr>
        <w:t xml:space="preserve"> </w:t>
      </w:r>
      <w:r w:rsidRPr="00477AB0">
        <w:t xml:space="preserve"> </w:t>
      </w:r>
    </w:p>
    <w:p w14:paraId="3B2CEA53" w14:textId="468A14A4" w:rsidR="00C2693A" w:rsidRPr="00477AB0" w:rsidRDefault="00C2693A" w:rsidP="00204A55">
      <w:pPr>
        <w:pStyle w:val="NumberedParas"/>
        <w:ind w:left="1134" w:firstLine="0"/>
      </w:pPr>
      <w:r w:rsidRPr="00477AB0">
        <w:t xml:space="preserve">Under Article 20.11 of </w:t>
      </w:r>
      <w:r w:rsidR="00304F2E" w:rsidRPr="00477AB0">
        <w:t xml:space="preserve">Book 1 of </w:t>
      </w:r>
      <w:r w:rsidRPr="00477AB0">
        <w:t>the Environmental Code, the CRAIE is required to make its decision within one month of receipt of the appeal.</w:t>
      </w:r>
      <w:r w:rsidR="00D23F6C" w:rsidRPr="00477AB0">
        <w:t xml:space="preserve"> </w:t>
      </w:r>
      <w:r w:rsidRPr="00477AB0">
        <w:t xml:space="preserve">It may, however, extend this timeframe up to a period of 45 days by way of a reasoned decision to that effect. </w:t>
      </w:r>
    </w:p>
    <w:p w14:paraId="5672A4E0" w14:textId="2C57F058" w:rsidR="00656189" w:rsidRPr="00477AB0" w:rsidRDefault="00656189" w:rsidP="00204A55">
      <w:pPr>
        <w:pStyle w:val="NumberedParas"/>
        <w:ind w:left="1134" w:firstLine="0"/>
      </w:pPr>
      <w:r w:rsidRPr="00477AB0">
        <w:rPr>
          <w:iCs/>
        </w:rPr>
        <w:t xml:space="preserve">In </w:t>
      </w:r>
      <w:r w:rsidR="005F77C2">
        <w:rPr>
          <w:iCs/>
        </w:rPr>
        <w:t>examining</w:t>
      </w:r>
      <w:r w:rsidRPr="00477AB0">
        <w:rPr>
          <w:iCs/>
        </w:rPr>
        <w:t xml:space="preserve"> whether </w:t>
      </w:r>
      <w:r w:rsidR="00805467" w:rsidRPr="00477AB0">
        <w:rPr>
          <w:iCs/>
        </w:rPr>
        <w:t>this</w:t>
      </w:r>
      <w:r w:rsidRPr="00477AB0">
        <w:rPr>
          <w:iCs/>
        </w:rPr>
        <w:t xml:space="preserve"> timeframe meets the requirement to provide an expeditious review procedure, the Committee </w:t>
      </w:r>
      <w:r w:rsidR="00BF1AC5" w:rsidRPr="00477AB0">
        <w:rPr>
          <w:iCs/>
        </w:rPr>
        <w:t xml:space="preserve">considers </w:t>
      </w:r>
      <w:r w:rsidRPr="00477AB0">
        <w:rPr>
          <w:iCs/>
        </w:rPr>
        <w:t>it instructive to consider the timeframe</w:t>
      </w:r>
      <w:r w:rsidR="007D2198" w:rsidRPr="00477AB0">
        <w:rPr>
          <w:iCs/>
        </w:rPr>
        <w:t>s</w:t>
      </w:r>
      <w:r w:rsidRPr="00477AB0">
        <w:rPr>
          <w:iCs/>
        </w:rPr>
        <w:t xml:space="preserve"> set down in </w:t>
      </w:r>
      <w:r w:rsidR="00176D3B" w:rsidRPr="00477AB0">
        <w:rPr>
          <w:iCs/>
        </w:rPr>
        <w:t>a</w:t>
      </w:r>
      <w:r w:rsidRPr="00477AB0">
        <w:rPr>
          <w:iCs/>
        </w:rPr>
        <w:t>rticle 4(2) and (7) of the Convention.</w:t>
      </w:r>
      <w:r w:rsidR="00D23F6C" w:rsidRPr="00477AB0">
        <w:rPr>
          <w:iCs/>
        </w:rPr>
        <w:t xml:space="preserve"> </w:t>
      </w:r>
      <w:r w:rsidRPr="00477AB0">
        <w:rPr>
          <w:iCs/>
        </w:rPr>
        <w:t xml:space="preserve">It will be recalled that </w:t>
      </w:r>
      <w:r w:rsidR="00176D3B" w:rsidRPr="00477AB0">
        <w:rPr>
          <w:iCs/>
        </w:rPr>
        <w:t>a</w:t>
      </w:r>
      <w:r w:rsidRPr="00477AB0">
        <w:rPr>
          <w:iCs/>
        </w:rPr>
        <w:t xml:space="preserve">rticle 4(2) requires a public authority to make the requested information available as soon as possible and, at the latest, within one month of the request, with the possibility of an extension for a period of up to two months in cases where the volume and complexity of a request justifies such an extension. Similar timeframes apply in the context of </w:t>
      </w:r>
      <w:r w:rsidR="001235F3" w:rsidRPr="00477AB0">
        <w:rPr>
          <w:iCs/>
        </w:rPr>
        <w:t xml:space="preserve">article </w:t>
      </w:r>
      <w:r w:rsidRPr="00477AB0">
        <w:rPr>
          <w:iCs/>
        </w:rPr>
        <w:t xml:space="preserve">4(7) concerning refusal of a request. These time frames provide </w:t>
      </w:r>
      <w:r w:rsidR="00595C64" w:rsidRPr="00477AB0">
        <w:rPr>
          <w:iCs/>
        </w:rPr>
        <w:t xml:space="preserve">a benchmark </w:t>
      </w:r>
      <w:r w:rsidRPr="00477AB0">
        <w:rPr>
          <w:iCs/>
        </w:rPr>
        <w:t>when considering what timeframe for determining appeals would qualify as being expeditious</w:t>
      </w:r>
      <w:r w:rsidR="00433B10" w:rsidRPr="00477AB0">
        <w:rPr>
          <w:iCs/>
        </w:rPr>
        <w:t xml:space="preserve"> </w:t>
      </w:r>
      <w:r w:rsidR="003353F0" w:rsidRPr="00477AB0">
        <w:rPr>
          <w:iCs/>
        </w:rPr>
        <w:t xml:space="preserve">under </w:t>
      </w:r>
      <w:r w:rsidR="00176D3B" w:rsidRPr="00477AB0">
        <w:rPr>
          <w:iCs/>
        </w:rPr>
        <w:t>a</w:t>
      </w:r>
      <w:r w:rsidRPr="00477AB0">
        <w:rPr>
          <w:iCs/>
        </w:rPr>
        <w:t>rticle 9(1).</w:t>
      </w:r>
      <w:r w:rsidR="00D23F6C" w:rsidRPr="00477AB0">
        <w:rPr>
          <w:iCs/>
        </w:rPr>
        <w:t xml:space="preserve"> </w:t>
      </w:r>
    </w:p>
    <w:p w14:paraId="072C09DC" w14:textId="5B9E44AA" w:rsidR="00656189" w:rsidRPr="00477AB0" w:rsidRDefault="001E31DB" w:rsidP="00204A55">
      <w:pPr>
        <w:pStyle w:val="NumberedParas"/>
        <w:ind w:left="1134" w:firstLine="0"/>
      </w:pPr>
      <w:r w:rsidRPr="00477AB0">
        <w:t xml:space="preserve">Based </w:t>
      </w:r>
      <w:r w:rsidR="00F67D03" w:rsidRPr="00477AB0">
        <w:t xml:space="preserve">on </w:t>
      </w:r>
      <w:r w:rsidR="00656189" w:rsidRPr="00477AB0">
        <w:t>the</w:t>
      </w:r>
      <w:r w:rsidR="00376222" w:rsidRPr="00477AB0">
        <w:t xml:space="preserve"> above</w:t>
      </w:r>
      <w:r w:rsidR="007D2198" w:rsidRPr="00477AB0">
        <w:t xml:space="preserve">, the Committee concludes that the </w:t>
      </w:r>
      <w:r w:rsidR="00F05A89" w:rsidRPr="00477AB0">
        <w:t>legal framework of the Party concerned</w:t>
      </w:r>
      <w:r w:rsidR="007D2198" w:rsidRPr="00477AB0">
        <w:t xml:space="preserve"> is </w:t>
      </w:r>
      <w:r w:rsidR="00C35BAA" w:rsidRPr="00477AB0">
        <w:t>consistent</w:t>
      </w:r>
      <w:r w:rsidR="00A0182A" w:rsidRPr="00477AB0">
        <w:t xml:space="preserve"> </w:t>
      </w:r>
      <w:r w:rsidR="007D2198" w:rsidRPr="00477AB0">
        <w:t xml:space="preserve">with </w:t>
      </w:r>
      <w:r w:rsidR="00EA7C1C" w:rsidRPr="00477AB0">
        <w:t>a</w:t>
      </w:r>
      <w:r w:rsidR="007D2198" w:rsidRPr="00477AB0">
        <w:t xml:space="preserve">rticle 9(1) of the Convention in </w:t>
      </w:r>
      <w:r w:rsidR="00EA7C1C" w:rsidRPr="00477AB0">
        <w:t xml:space="preserve">so far as </w:t>
      </w:r>
      <w:r w:rsidR="007D2198" w:rsidRPr="00477AB0">
        <w:t xml:space="preserve">it makes provision for what can </w:t>
      </w:r>
      <w:proofErr w:type="gramStart"/>
      <w:r w:rsidR="007D2198" w:rsidRPr="00477AB0">
        <w:t>be considered to be</w:t>
      </w:r>
      <w:proofErr w:type="gramEnd"/>
      <w:r w:rsidR="007D2198" w:rsidRPr="00477AB0">
        <w:t xml:space="preserve"> an expeditious review procedure.</w:t>
      </w:r>
      <w:r w:rsidR="00EE41BF" w:rsidRPr="00477AB0">
        <w:t xml:space="preserve"> </w:t>
      </w:r>
    </w:p>
    <w:p w14:paraId="4DC299F9" w14:textId="05FD8BA8" w:rsidR="007D2198" w:rsidRPr="00477AB0" w:rsidRDefault="007D2198" w:rsidP="00204A55">
      <w:pPr>
        <w:pStyle w:val="NumberedParas"/>
        <w:ind w:left="1134" w:firstLine="0"/>
      </w:pPr>
      <w:bookmarkStart w:id="23" w:name="_Ref73027404"/>
      <w:r w:rsidRPr="00477AB0">
        <w:t xml:space="preserve">The next issue to be considered is whether the CRAIE </w:t>
      </w:r>
      <w:r w:rsidR="00CD1CC8" w:rsidRPr="00477AB0">
        <w:t>in practice</w:t>
      </w:r>
      <w:r w:rsidRPr="00477AB0">
        <w:t xml:space="preserve"> </w:t>
      </w:r>
      <w:r w:rsidR="00C1143E" w:rsidRPr="00477AB0">
        <w:t xml:space="preserve">met the requirement to be an </w:t>
      </w:r>
      <w:r w:rsidRPr="00477AB0">
        <w:t xml:space="preserve">expeditious review procedure </w:t>
      </w:r>
      <w:r w:rsidR="00595C64" w:rsidRPr="00477AB0">
        <w:t xml:space="preserve">in </w:t>
      </w:r>
      <w:r w:rsidR="007547B9" w:rsidRPr="00477AB0">
        <w:t>the three appeals under consideration in this communication</w:t>
      </w:r>
      <w:r w:rsidRPr="00477AB0">
        <w:t>.</w:t>
      </w:r>
      <w:r w:rsidR="007547B9" w:rsidRPr="00477AB0">
        <w:t xml:space="preserve"> </w:t>
      </w:r>
      <w:r w:rsidRPr="00477AB0">
        <w:t xml:space="preserve">As explained above the timeframes set down in </w:t>
      </w:r>
      <w:r w:rsidR="0095426F" w:rsidRPr="00477AB0">
        <w:t>a</w:t>
      </w:r>
      <w:r w:rsidRPr="00477AB0">
        <w:t xml:space="preserve">rticle 4(2) and </w:t>
      </w:r>
      <w:r w:rsidR="0095426F" w:rsidRPr="00477AB0">
        <w:t>a</w:t>
      </w:r>
      <w:r w:rsidRPr="00477AB0">
        <w:t xml:space="preserve">rticle 4(7) </w:t>
      </w:r>
      <w:r w:rsidR="00595C64" w:rsidRPr="00477AB0">
        <w:t xml:space="preserve">of the Convention provide a benchmark </w:t>
      </w:r>
      <w:r w:rsidR="0004777B" w:rsidRPr="00477AB0">
        <w:t>for this assessment</w:t>
      </w:r>
      <w:r w:rsidR="00595C64" w:rsidRPr="00477AB0">
        <w:t>.</w:t>
      </w:r>
      <w:r w:rsidR="00D23F6C" w:rsidRPr="00477AB0">
        <w:t xml:space="preserve"> </w:t>
      </w:r>
      <w:r w:rsidR="00595C64" w:rsidRPr="00477AB0">
        <w:t>Applying the</w:t>
      </w:r>
      <w:r w:rsidR="00A0182A" w:rsidRPr="00477AB0">
        <w:t>se</w:t>
      </w:r>
      <w:r w:rsidR="00595C64" w:rsidRPr="00477AB0">
        <w:t xml:space="preserve"> timeframes</w:t>
      </w:r>
      <w:r w:rsidR="00A0182A" w:rsidRPr="00477AB0">
        <w:t xml:space="preserve">, </w:t>
      </w:r>
      <w:r w:rsidR="00766645" w:rsidRPr="00477AB0">
        <w:t>an expeditious procedure would thus</w:t>
      </w:r>
      <w:r w:rsidR="00595C64" w:rsidRPr="00477AB0">
        <w:t xml:space="preserve"> determine an appeal </w:t>
      </w:r>
      <w:r w:rsidR="00595C64" w:rsidRPr="00477AB0">
        <w:lastRenderedPageBreak/>
        <w:t xml:space="preserve">within </w:t>
      </w:r>
      <w:proofErr w:type="gramStart"/>
      <w:r w:rsidR="00F05A89" w:rsidRPr="00477AB0">
        <w:t>time-frames</w:t>
      </w:r>
      <w:proofErr w:type="gramEnd"/>
      <w:r w:rsidR="00F05A89" w:rsidRPr="00477AB0">
        <w:t xml:space="preserve"> of</w:t>
      </w:r>
      <w:r w:rsidR="0035295E" w:rsidRPr="00477AB0">
        <w:t>, approximately,</w:t>
      </w:r>
      <w:r w:rsidR="00595C64" w:rsidRPr="00477AB0">
        <w:t xml:space="preserve"> one</w:t>
      </w:r>
      <w:r w:rsidR="00F05A89" w:rsidRPr="00477AB0">
        <w:t xml:space="preserve"> </w:t>
      </w:r>
      <w:r w:rsidR="00595C64" w:rsidRPr="00477AB0">
        <w:t xml:space="preserve">month or up to two-months </w:t>
      </w:r>
      <w:r w:rsidR="00A0182A" w:rsidRPr="00477AB0">
        <w:t xml:space="preserve">in cases where </w:t>
      </w:r>
      <w:r w:rsidR="00595C64" w:rsidRPr="00477AB0">
        <w:t xml:space="preserve">the volume and the complexity of the information </w:t>
      </w:r>
      <w:r w:rsidR="00A0182A" w:rsidRPr="00477AB0">
        <w:t xml:space="preserve">at issue </w:t>
      </w:r>
      <w:r w:rsidR="00595C64" w:rsidRPr="00477AB0">
        <w:t>justifies such an extension.</w:t>
      </w:r>
      <w:bookmarkEnd w:id="23"/>
      <w:r w:rsidR="00595C64" w:rsidRPr="00477AB0">
        <w:t xml:space="preserve"> </w:t>
      </w:r>
    </w:p>
    <w:p w14:paraId="5847A51A" w14:textId="6AE36799" w:rsidR="00042C3E" w:rsidRPr="00477AB0" w:rsidRDefault="00042C3E" w:rsidP="00204A55">
      <w:pPr>
        <w:pStyle w:val="NumberedParas"/>
        <w:ind w:left="1134" w:firstLine="0"/>
      </w:pPr>
      <w:r w:rsidRPr="00477AB0">
        <w:rPr>
          <w:iCs/>
        </w:rPr>
        <w:t xml:space="preserve">No information has been provided to the Committee either </w:t>
      </w:r>
      <w:r w:rsidR="00595C64" w:rsidRPr="00477AB0">
        <w:rPr>
          <w:iCs/>
        </w:rPr>
        <w:t xml:space="preserve">by </w:t>
      </w:r>
      <w:r w:rsidRPr="00477AB0">
        <w:rPr>
          <w:iCs/>
        </w:rPr>
        <w:t xml:space="preserve">the communicants or the Party concerned as to whether the CRAIE </w:t>
      </w:r>
      <w:r w:rsidR="00CD1CC8" w:rsidRPr="00477AB0">
        <w:rPr>
          <w:iCs/>
        </w:rPr>
        <w:t xml:space="preserve">informed the communicants that it had </w:t>
      </w:r>
      <w:r w:rsidRPr="00477AB0">
        <w:rPr>
          <w:iCs/>
        </w:rPr>
        <w:t xml:space="preserve">extended the timeframe for decision-making for any of the three </w:t>
      </w:r>
      <w:r w:rsidR="006F6FD3" w:rsidRPr="00477AB0">
        <w:rPr>
          <w:iCs/>
        </w:rPr>
        <w:t>appeals at issue here</w:t>
      </w:r>
      <w:r w:rsidRPr="00477AB0">
        <w:rPr>
          <w:iCs/>
        </w:rPr>
        <w:t xml:space="preserve"> (i.e. from the usual one month period up to a period of 45 days, as provided for under the domestic </w:t>
      </w:r>
      <w:r w:rsidR="00595C64" w:rsidRPr="00477AB0">
        <w:rPr>
          <w:iCs/>
        </w:rPr>
        <w:t>legislative</w:t>
      </w:r>
      <w:r w:rsidRPr="00477AB0">
        <w:rPr>
          <w:iCs/>
        </w:rPr>
        <w:t xml:space="preserve"> framework).</w:t>
      </w:r>
      <w:r w:rsidR="00D23F6C" w:rsidRPr="00477AB0">
        <w:rPr>
          <w:iCs/>
        </w:rPr>
        <w:t xml:space="preserve"> </w:t>
      </w:r>
      <w:r w:rsidRPr="00477AB0">
        <w:rPr>
          <w:iCs/>
        </w:rPr>
        <w:t xml:space="preserve">In the absence of any </w:t>
      </w:r>
      <w:r w:rsidR="0004777B" w:rsidRPr="00477AB0">
        <w:rPr>
          <w:iCs/>
        </w:rPr>
        <w:t xml:space="preserve">such </w:t>
      </w:r>
      <w:r w:rsidRPr="00477AB0">
        <w:rPr>
          <w:iCs/>
        </w:rPr>
        <w:t xml:space="preserve">evidence, the Committee concludes that the CRAIE did not </w:t>
      </w:r>
      <w:r w:rsidR="00CD1CC8" w:rsidRPr="00477AB0">
        <w:rPr>
          <w:iCs/>
        </w:rPr>
        <w:t xml:space="preserve">inform the communicants that it had </w:t>
      </w:r>
      <w:r w:rsidRPr="00477AB0">
        <w:rPr>
          <w:iCs/>
        </w:rPr>
        <w:t>extend</w:t>
      </w:r>
      <w:r w:rsidR="00CD1CC8" w:rsidRPr="00477AB0">
        <w:rPr>
          <w:iCs/>
        </w:rPr>
        <w:t>ed</w:t>
      </w:r>
      <w:r w:rsidRPr="00477AB0">
        <w:rPr>
          <w:iCs/>
        </w:rPr>
        <w:t xml:space="preserve"> the time period to determine these three appeals</w:t>
      </w:r>
      <w:r w:rsidR="00595C64" w:rsidRPr="00477AB0">
        <w:rPr>
          <w:iCs/>
        </w:rPr>
        <w:t xml:space="preserve"> beyond the standard one</w:t>
      </w:r>
      <w:r w:rsidR="00062CBE" w:rsidRPr="00477AB0">
        <w:rPr>
          <w:iCs/>
        </w:rPr>
        <w:t>-</w:t>
      </w:r>
      <w:r w:rsidR="00595C64" w:rsidRPr="00477AB0">
        <w:rPr>
          <w:iCs/>
        </w:rPr>
        <w:t xml:space="preserve">month period provided for in </w:t>
      </w:r>
      <w:r w:rsidR="00F05A89" w:rsidRPr="00477AB0">
        <w:rPr>
          <w:iCs/>
        </w:rPr>
        <w:t>its</w:t>
      </w:r>
      <w:r w:rsidR="00595C64" w:rsidRPr="00477AB0">
        <w:rPr>
          <w:iCs/>
        </w:rPr>
        <w:t xml:space="preserve"> domestic legislation</w:t>
      </w:r>
      <w:r w:rsidRPr="00477AB0">
        <w:rPr>
          <w:iCs/>
        </w:rPr>
        <w:t>.</w:t>
      </w:r>
    </w:p>
    <w:p w14:paraId="56DDBB76" w14:textId="4362FCDC" w:rsidR="00C1143E" w:rsidRPr="00477AB0" w:rsidRDefault="00C2693A" w:rsidP="00204A55">
      <w:pPr>
        <w:pStyle w:val="NumberedParas"/>
        <w:ind w:left="1134" w:firstLine="0"/>
      </w:pPr>
      <w:bookmarkStart w:id="24" w:name="_Ref73027448"/>
      <w:r w:rsidRPr="00477AB0">
        <w:t xml:space="preserve">As regards the request for access to environmental information concerning the </w:t>
      </w:r>
      <w:r w:rsidR="00595C64" w:rsidRPr="00477AB0">
        <w:t>m</w:t>
      </w:r>
      <w:r w:rsidRPr="00477AB0">
        <w:t>unicipal swimming pool in Stavelot, the communicants applied to the CRAIE on 8 October 2014.</w:t>
      </w:r>
      <w:r w:rsidR="00D23F6C" w:rsidRPr="00477AB0">
        <w:t xml:space="preserve"> </w:t>
      </w:r>
      <w:r w:rsidRPr="00477AB0">
        <w:t>The CRAIE made its decision on 28 November 2014</w:t>
      </w:r>
      <w:r w:rsidR="00766645" w:rsidRPr="00477AB0">
        <w:t>, that is 51 days later</w:t>
      </w:r>
      <w:r w:rsidRPr="00477AB0">
        <w:t>.</w:t>
      </w:r>
      <w:r w:rsidR="00D23F6C" w:rsidRPr="00477AB0">
        <w:t xml:space="preserve"> </w:t>
      </w:r>
    </w:p>
    <w:p w14:paraId="6DF17A3F" w14:textId="77B9192C" w:rsidR="00C1143E" w:rsidRPr="00477AB0" w:rsidRDefault="00C2693A" w:rsidP="00204A55">
      <w:pPr>
        <w:pStyle w:val="NumberedParas"/>
        <w:ind w:left="1134" w:firstLine="0"/>
      </w:pPr>
      <w:r w:rsidRPr="00477AB0">
        <w:t xml:space="preserve">In the case of the </w:t>
      </w:r>
      <w:proofErr w:type="spellStart"/>
      <w:r w:rsidRPr="00477AB0">
        <w:t>L’Eau</w:t>
      </w:r>
      <w:proofErr w:type="spellEnd"/>
      <w:r w:rsidRPr="00477AB0">
        <w:t xml:space="preserve"> Rouge campsite, the communicants applied to the CRAIE on 3 October 2014.</w:t>
      </w:r>
      <w:r w:rsidR="00D23F6C" w:rsidRPr="00477AB0">
        <w:t xml:space="preserve"> </w:t>
      </w:r>
      <w:r w:rsidRPr="00477AB0">
        <w:t>The CRAIE made its decision on 28 November 2014</w:t>
      </w:r>
      <w:r w:rsidR="00766645" w:rsidRPr="00477AB0">
        <w:t>, that is 56 days later</w:t>
      </w:r>
      <w:r w:rsidRPr="00477AB0">
        <w:t>.</w:t>
      </w:r>
      <w:r w:rsidR="00D23F6C" w:rsidRPr="00477AB0">
        <w:t xml:space="preserve"> </w:t>
      </w:r>
    </w:p>
    <w:p w14:paraId="62AE88E2" w14:textId="701876A5" w:rsidR="00C1143E" w:rsidRPr="00477AB0" w:rsidRDefault="00C2693A" w:rsidP="00204A55">
      <w:pPr>
        <w:pStyle w:val="NumberedParas"/>
        <w:ind w:left="1134" w:firstLine="0"/>
      </w:pPr>
      <w:r w:rsidRPr="00477AB0">
        <w:t xml:space="preserve">As regards the </w:t>
      </w:r>
      <w:proofErr w:type="spellStart"/>
      <w:r w:rsidRPr="00477AB0">
        <w:t>Francorchamps</w:t>
      </w:r>
      <w:proofErr w:type="spellEnd"/>
      <w:r w:rsidRPr="00477AB0">
        <w:t xml:space="preserve"> motor-racing circuit, the communicants applied to the CRAIE on 2</w:t>
      </w:r>
      <w:r w:rsidR="00916E01" w:rsidRPr="00477AB0">
        <w:t xml:space="preserve">8 July </w:t>
      </w:r>
      <w:r w:rsidRPr="00477AB0">
        <w:t>2014.</w:t>
      </w:r>
      <w:r w:rsidR="00D23F6C" w:rsidRPr="00477AB0">
        <w:t xml:space="preserve"> </w:t>
      </w:r>
      <w:r w:rsidRPr="00477AB0">
        <w:t>The CRAIE made its decision on 2 October 2014</w:t>
      </w:r>
      <w:r w:rsidR="00766645" w:rsidRPr="00477AB0">
        <w:t>, that is 66 days later</w:t>
      </w:r>
      <w:r w:rsidRPr="00477AB0">
        <w:t>.</w:t>
      </w:r>
      <w:r w:rsidR="00D23F6C" w:rsidRPr="00477AB0">
        <w:t xml:space="preserve"> </w:t>
      </w:r>
    </w:p>
    <w:p w14:paraId="7E0A78B5" w14:textId="77777777" w:rsidR="00766645" w:rsidRPr="00477AB0" w:rsidRDefault="00595C64" w:rsidP="00204A55">
      <w:pPr>
        <w:pStyle w:val="NumberedParas"/>
        <w:ind w:left="1134" w:firstLine="0"/>
      </w:pPr>
      <w:r w:rsidRPr="00477AB0">
        <w:t xml:space="preserve">It is clear, therefore, that in each of the three appeals under consideration in this communication, the CRAIE made its decision </w:t>
      </w:r>
      <w:r w:rsidR="00766645" w:rsidRPr="00477AB0">
        <w:t xml:space="preserve">considerably </w:t>
      </w:r>
      <w:r w:rsidRPr="00477AB0">
        <w:t>more than one month after the appeal was lodged.</w:t>
      </w:r>
      <w:r w:rsidR="00D23F6C" w:rsidRPr="00477AB0">
        <w:t xml:space="preserve"> </w:t>
      </w:r>
      <w:r w:rsidR="00BF16B9" w:rsidRPr="00477AB0">
        <w:t xml:space="preserve">It is notable that the time taken to determine each of these appeals </w:t>
      </w:r>
      <w:r w:rsidR="00062CBE" w:rsidRPr="00477AB0">
        <w:t>exceed</w:t>
      </w:r>
      <w:r w:rsidR="00BF16B9" w:rsidRPr="00477AB0">
        <w:t>ed</w:t>
      </w:r>
      <w:r w:rsidR="00062CBE" w:rsidRPr="00477AB0">
        <w:t xml:space="preserve"> the </w:t>
      </w:r>
      <w:r w:rsidR="00BF16B9" w:rsidRPr="00477AB0">
        <w:t xml:space="preserve">time limit set down in </w:t>
      </w:r>
      <w:r w:rsidR="00A0182A" w:rsidRPr="00477AB0">
        <w:t>the domestic legal framework.</w:t>
      </w:r>
      <w:r w:rsidR="00D23F6C" w:rsidRPr="00477AB0">
        <w:t xml:space="preserve"> </w:t>
      </w:r>
    </w:p>
    <w:p w14:paraId="2C21F9CF" w14:textId="44AC3C5B" w:rsidR="00766645" w:rsidRPr="00477AB0" w:rsidRDefault="00BF16B9" w:rsidP="00204A55">
      <w:pPr>
        <w:pStyle w:val="NumberedParas"/>
        <w:ind w:left="1134" w:firstLine="0"/>
      </w:pPr>
      <w:r w:rsidRPr="00477AB0">
        <w:t xml:space="preserve">As explained in paragraph </w:t>
      </w:r>
      <w:r w:rsidR="00187D7F" w:rsidRPr="00477AB0">
        <w:fldChar w:fldCharType="begin"/>
      </w:r>
      <w:r w:rsidR="00187D7F" w:rsidRPr="00477AB0">
        <w:instrText xml:space="preserve"> REF _Ref73027404 \r \h </w:instrText>
      </w:r>
      <w:r w:rsidR="003D4F9C" w:rsidRPr="00477AB0">
        <w:instrText xml:space="preserve"> \* MERGEFORMAT </w:instrText>
      </w:r>
      <w:r w:rsidR="00187D7F" w:rsidRPr="00477AB0">
        <w:fldChar w:fldCharType="separate"/>
      </w:r>
      <w:r w:rsidR="00450102">
        <w:t>111</w:t>
      </w:r>
      <w:r w:rsidR="00187D7F" w:rsidRPr="00477AB0">
        <w:fldChar w:fldCharType="end"/>
      </w:r>
      <w:r w:rsidRPr="00477AB0">
        <w:t xml:space="preserve"> above, in order to deliver an expeditious review procedure as required by </w:t>
      </w:r>
      <w:r w:rsidR="007D0C37" w:rsidRPr="00477AB0">
        <w:t>a</w:t>
      </w:r>
      <w:r w:rsidRPr="00477AB0">
        <w:t xml:space="preserve">rticle 9(1) of the Convention, the CRAIE should have determined each of the three appeals </w:t>
      </w:r>
      <w:r w:rsidR="00232B1D" w:rsidRPr="00477AB0">
        <w:t xml:space="preserve">at issue in this communication </w:t>
      </w:r>
      <w:r w:rsidRPr="00477AB0">
        <w:t xml:space="preserve">within </w:t>
      </w:r>
      <w:r w:rsidR="00766645" w:rsidRPr="00477AB0">
        <w:t xml:space="preserve">approximately </w:t>
      </w:r>
      <w:r w:rsidRPr="00477AB0">
        <w:t>one month of the appeal being lodged.</w:t>
      </w:r>
      <w:r w:rsidR="00D23F6C" w:rsidRPr="00477AB0">
        <w:t xml:space="preserve"> </w:t>
      </w:r>
      <w:r w:rsidR="00766645" w:rsidRPr="00477AB0">
        <w:t xml:space="preserve">Based on the foregoing, the Committee finds that, by failing to provide for an expeditious procedure for the review of the communicants’ three information requests, </w:t>
      </w:r>
      <w:r w:rsidRPr="00477AB0">
        <w:t xml:space="preserve">the Party concerned failed to comply with </w:t>
      </w:r>
      <w:r w:rsidR="007059CA" w:rsidRPr="00477AB0">
        <w:t>a</w:t>
      </w:r>
      <w:r w:rsidRPr="00477AB0">
        <w:t>rticle 9(1) of the Convention.</w:t>
      </w:r>
      <w:r w:rsidR="00D23F6C" w:rsidRPr="00477AB0">
        <w:t xml:space="preserve"> </w:t>
      </w:r>
    </w:p>
    <w:p w14:paraId="53AE96C8" w14:textId="6728B222" w:rsidR="00BF16B9" w:rsidRPr="00477AB0" w:rsidRDefault="00DA6493" w:rsidP="00204A55">
      <w:pPr>
        <w:pStyle w:val="NumberedParas"/>
        <w:ind w:left="1134" w:firstLine="0"/>
      </w:pPr>
      <w:bookmarkStart w:id="25" w:name="_Ref74759591"/>
      <w:r w:rsidRPr="00477AB0">
        <w:t>However, taking into consideration that no evidence has been presented to substantia</w:t>
      </w:r>
      <w:r w:rsidR="00277577" w:rsidRPr="00477AB0">
        <w:t>te</w:t>
      </w:r>
      <w:r w:rsidRPr="00477AB0">
        <w:t xml:space="preserve"> that </w:t>
      </w:r>
      <w:r w:rsidR="00766645" w:rsidRPr="00477AB0">
        <w:t xml:space="preserve">the </w:t>
      </w:r>
      <w:r w:rsidRPr="00477AB0">
        <w:t>non-compliance with</w:t>
      </w:r>
      <w:r w:rsidR="00766645" w:rsidRPr="00477AB0">
        <w:t xml:space="preserve"> a</w:t>
      </w:r>
      <w:r w:rsidRPr="00477AB0">
        <w:t xml:space="preserve">rticle 9(1) </w:t>
      </w:r>
      <w:r w:rsidR="003D591C" w:rsidRPr="00477AB0">
        <w:t>identified above</w:t>
      </w:r>
      <w:r w:rsidR="00766645" w:rsidRPr="00477AB0">
        <w:t xml:space="preserve"> </w:t>
      </w:r>
      <w:r w:rsidRPr="00477AB0">
        <w:t>is of a wide or systemic nature, the Committee refrains from making any recommendation on this point.</w:t>
      </w:r>
      <w:bookmarkEnd w:id="24"/>
      <w:bookmarkEnd w:id="25"/>
    </w:p>
    <w:p w14:paraId="470B3733" w14:textId="77777777" w:rsidR="00877BB8" w:rsidRPr="00477AB0" w:rsidRDefault="00877BB8" w:rsidP="00204A55">
      <w:pPr>
        <w:pStyle w:val="NumberedParas"/>
        <w:numPr>
          <w:ilvl w:val="0"/>
          <w:numId w:val="0"/>
        </w:numPr>
        <w:ind w:left="1134"/>
        <w:rPr>
          <w:i/>
          <w:iCs/>
        </w:rPr>
      </w:pPr>
      <w:r w:rsidRPr="00477AB0">
        <w:rPr>
          <w:i/>
          <w:iCs/>
        </w:rPr>
        <w:t xml:space="preserve">Binding final decision </w:t>
      </w:r>
    </w:p>
    <w:p w14:paraId="2D950532" w14:textId="77777777" w:rsidR="007D2643" w:rsidRPr="00477AB0" w:rsidRDefault="00877BB8" w:rsidP="00204A55">
      <w:pPr>
        <w:pStyle w:val="NumberedParas"/>
        <w:ind w:left="1134" w:firstLine="0"/>
      </w:pPr>
      <w:r w:rsidRPr="00477AB0">
        <w:t xml:space="preserve">The communicants allege that the CRAIE does not meet the requirement of the third subparagraph of article 9(1) that final decisions under article 9(1) must be binding because its decisions, while theoretically binding, are not directly enforceable. </w:t>
      </w:r>
    </w:p>
    <w:p w14:paraId="7C110CA0" w14:textId="243662C5" w:rsidR="007D2643" w:rsidRPr="00477AB0" w:rsidRDefault="00877BB8" w:rsidP="00204A55">
      <w:pPr>
        <w:pStyle w:val="NumberedParas"/>
        <w:ind w:left="1134" w:firstLine="0"/>
      </w:pPr>
      <w:r w:rsidRPr="00477AB0">
        <w:t xml:space="preserve">The Committee considers that it is clear from the wording of article 20.11 of Book 1 of the Environmental Code that the CRAIE takes a “decision” and does not simply issue an opinion that has no legal consequences. That this decision is binding </w:t>
      </w:r>
      <w:r w:rsidR="007D2643" w:rsidRPr="00477AB0">
        <w:t xml:space="preserve">is evidenced by the fact </w:t>
      </w:r>
      <w:r w:rsidRPr="00477AB0">
        <w:t xml:space="preserve">that it is possible to bring proceedings before the Justice of the Peace to enforce the CRAIE’s decision. Indeed, this was the course of action adopted by the communicants for each of the three information requests at issue in this communication. </w:t>
      </w:r>
    </w:p>
    <w:p w14:paraId="14518BBA" w14:textId="48F50D6E" w:rsidR="00877BB8" w:rsidRPr="00477AB0" w:rsidRDefault="00877BB8" w:rsidP="00204A55">
      <w:pPr>
        <w:pStyle w:val="NumberedParas"/>
        <w:ind w:left="1134" w:firstLine="0"/>
      </w:pPr>
      <w:r w:rsidRPr="00477AB0">
        <w:t xml:space="preserve">The Committee thus considers that the CRAIE meets the requirement in the third subparagraph of article 9(1) that final decisions under paragraph 1 are to be binding.  </w:t>
      </w:r>
    </w:p>
    <w:p w14:paraId="34023C74" w14:textId="77777777" w:rsidR="00877BB8" w:rsidRPr="00477AB0" w:rsidRDefault="00877BB8" w:rsidP="00204A55">
      <w:pPr>
        <w:pStyle w:val="NumberedParas"/>
        <w:numPr>
          <w:ilvl w:val="0"/>
          <w:numId w:val="0"/>
        </w:numPr>
        <w:ind w:left="1134"/>
      </w:pPr>
    </w:p>
    <w:p w14:paraId="4F1D1357" w14:textId="199EA2E1" w:rsidR="00FC7AD1" w:rsidRPr="00477AB0" w:rsidRDefault="00FC7AD1" w:rsidP="00204A55">
      <w:pPr>
        <w:pStyle w:val="Heading4"/>
        <w:ind w:left="1134"/>
        <w:rPr>
          <w:b/>
          <w:bCs w:val="0"/>
          <w:i w:val="0"/>
          <w:iCs w:val="0"/>
        </w:rPr>
      </w:pPr>
      <w:r w:rsidRPr="00477AB0">
        <w:rPr>
          <w:b/>
          <w:bCs w:val="0"/>
          <w:i w:val="0"/>
          <w:iCs w:val="0"/>
        </w:rPr>
        <w:t>Article 9(4)</w:t>
      </w:r>
    </w:p>
    <w:p w14:paraId="2DCC343B" w14:textId="440EAAE2" w:rsidR="00FC7AD1" w:rsidRPr="00477AB0" w:rsidRDefault="005F77C2" w:rsidP="00204A55">
      <w:pPr>
        <w:pStyle w:val="NumberedParas"/>
        <w:ind w:left="1134" w:firstLine="0"/>
      </w:pPr>
      <w:r w:rsidRPr="00477AB0">
        <w:t>Article 9(4) requires that the review procedures referred to in article 9(1) provide adequate and effective remedies and be, inter alia, timely and not prohibitively expensive.</w:t>
      </w:r>
      <w:r w:rsidR="00CA0858" w:rsidRPr="00477AB0">
        <w:t xml:space="preserve"> </w:t>
      </w:r>
    </w:p>
    <w:p w14:paraId="4F35A972" w14:textId="775EA8DA" w:rsidR="00AB4309" w:rsidRPr="00477AB0" w:rsidRDefault="005F77C2" w:rsidP="00204A55">
      <w:pPr>
        <w:pStyle w:val="NumberedParas"/>
        <w:ind w:left="1134" w:firstLine="0"/>
      </w:pPr>
      <w:r w:rsidRPr="00477AB0">
        <w:lastRenderedPageBreak/>
        <w:t>The communicants allege that the procedures before the courts to remedy a public authority’s failure to comply with a CRAIE decision are costly. They also allege that these procedures take a long time.</w:t>
      </w:r>
      <w:r>
        <w:t xml:space="preserve"> </w:t>
      </w:r>
      <w:r w:rsidR="00675B4E" w:rsidRPr="00477AB0">
        <w:t>The Committee examines these requirements below.</w:t>
      </w:r>
    </w:p>
    <w:p w14:paraId="04785A2E" w14:textId="495E3D9A" w:rsidR="00B21E33" w:rsidRPr="00477AB0" w:rsidRDefault="00B21E33" w:rsidP="00204A55">
      <w:pPr>
        <w:pStyle w:val="NumberedParas"/>
        <w:numPr>
          <w:ilvl w:val="0"/>
          <w:numId w:val="0"/>
        </w:numPr>
        <w:ind w:left="1134"/>
        <w:rPr>
          <w:i/>
          <w:iCs/>
        </w:rPr>
      </w:pPr>
      <w:r w:rsidRPr="00477AB0">
        <w:rPr>
          <w:i/>
          <w:iCs/>
        </w:rPr>
        <w:t>Timely review procedure</w:t>
      </w:r>
      <w:r w:rsidR="00B77402" w:rsidRPr="00477AB0">
        <w:rPr>
          <w:i/>
          <w:iCs/>
        </w:rPr>
        <w:t xml:space="preserve"> and adequate and effective remedies</w:t>
      </w:r>
    </w:p>
    <w:p w14:paraId="51B037D1" w14:textId="2BE4F1EF" w:rsidR="00B77402" w:rsidRPr="00477AB0" w:rsidRDefault="00B77402" w:rsidP="00204A55">
      <w:pPr>
        <w:pStyle w:val="NumberedParas"/>
        <w:ind w:left="1134" w:firstLine="0"/>
      </w:pPr>
      <w:r w:rsidRPr="00477AB0">
        <w:t xml:space="preserve">In the case of the three appeals at issue in this communication, the Municipality of Stavelot failed to comply with the decisions issued by the CRAIE.  The Party concerned accepts that the Municipality should have complied with these decisions.   </w:t>
      </w:r>
    </w:p>
    <w:p w14:paraId="705A1D65" w14:textId="424C09D9" w:rsidR="00B77402" w:rsidRPr="00477AB0" w:rsidRDefault="00B77402" w:rsidP="00204A55">
      <w:pPr>
        <w:pStyle w:val="NumberedParas"/>
        <w:ind w:left="1134" w:firstLine="0"/>
      </w:pPr>
      <w:r w:rsidRPr="00477AB0">
        <w:t xml:space="preserve">The communicants brought proceedings before the Justice of the Peace to enforce the CRAIE decisions. The Party concerned explains that the proceedings before the Justice of the Peace are to obtain a ruling to ensure the execution of the CRAIE decision. </w:t>
      </w:r>
    </w:p>
    <w:p w14:paraId="00DE3836" w14:textId="05809C06" w:rsidR="00B77402" w:rsidRPr="00477AB0" w:rsidRDefault="00B77402" w:rsidP="00204A55">
      <w:pPr>
        <w:pStyle w:val="NumberedParas"/>
        <w:ind w:left="1134" w:firstLine="0"/>
      </w:pPr>
      <w:r w:rsidRPr="00477AB0">
        <w:t xml:space="preserve">The Committee has already found (para. </w:t>
      </w:r>
      <w:r w:rsidRPr="00477AB0">
        <w:fldChar w:fldCharType="begin"/>
      </w:r>
      <w:r w:rsidRPr="00477AB0">
        <w:instrText xml:space="preserve"> REF _Ref73027448 \r \h  \* MERGEFORMAT </w:instrText>
      </w:r>
      <w:r w:rsidRPr="00477AB0">
        <w:fldChar w:fldCharType="separate"/>
      </w:r>
      <w:r w:rsidR="00450102">
        <w:t>113</w:t>
      </w:r>
      <w:r w:rsidRPr="00477AB0">
        <w:fldChar w:fldCharType="end"/>
      </w:r>
      <w:r w:rsidRPr="00477AB0">
        <w:t xml:space="preserve"> above) that the Party concerned failed to provide an expeditious review procedure under article 9(1) </w:t>
      </w:r>
      <w:proofErr w:type="gramStart"/>
      <w:r w:rsidRPr="00477AB0">
        <w:t>with regard to</w:t>
      </w:r>
      <w:proofErr w:type="gramEnd"/>
      <w:r w:rsidRPr="00477AB0">
        <w:t xml:space="preserve"> the three information requests at issue in this case. When assessing whether the Party concerned meets the requirements of article 9(4) to provide a timely procedure and adequate and effective remedies for the review of information requests under article 9(1), the Committee examines the review </w:t>
      </w:r>
      <w:proofErr w:type="gramStart"/>
      <w:r w:rsidRPr="00477AB0">
        <w:t>procedure as a whole</w:t>
      </w:r>
      <w:proofErr w:type="gramEnd"/>
      <w:r w:rsidRPr="00477AB0">
        <w:t xml:space="preserve">. In the present case, this means from the </w:t>
      </w:r>
      <w:r w:rsidR="001B3610" w:rsidRPr="00477AB0">
        <w:t xml:space="preserve">date </w:t>
      </w:r>
      <w:r w:rsidRPr="00477AB0">
        <w:t xml:space="preserve">the communicants applied to the CRAIE until the time that they received the requested environmental information in accordance with the CRAIE’s decision. </w:t>
      </w:r>
    </w:p>
    <w:p w14:paraId="454049A0" w14:textId="2488E887" w:rsidR="00EC7303" w:rsidRPr="00477AB0" w:rsidRDefault="00EC7303" w:rsidP="00204A55">
      <w:pPr>
        <w:pStyle w:val="NumberedParas"/>
        <w:ind w:left="1134" w:firstLine="0"/>
      </w:pPr>
      <w:r w:rsidRPr="00477AB0">
        <w:t xml:space="preserve">However, before examining the </w:t>
      </w:r>
      <w:proofErr w:type="gramStart"/>
      <w:r w:rsidRPr="00477AB0">
        <w:t>time-frame</w:t>
      </w:r>
      <w:proofErr w:type="gramEnd"/>
      <w:r w:rsidRPr="00477AB0">
        <w:t xml:space="preserve"> from the date the communicants applied to the CRAIE until the time they received the requested environmental information, the Committee first considers the timeframe of the proceedings before the Justice of the Peace specifically.</w:t>
      </w:r>
    </w:p>
    <w:p w14:paraId="49115175" w14:textId="1F48FDF6" w:rsidR="00EC7303" w:rsidRPr="00477AB0" w:rsidRDefault="00EC7303" w:rsidP="00204A55">
      <w:pPr>
        <w:pStyle w:val="NumberedParas"/>
        <w:ind w:left="1134" w:firstLine="0"/>
      </w:pPr>
      <w:r w:rsidRPr="00477AB0">
        <w:t>Since the role of the Justice of the Peace is to enforce the decisions of the CRAIE to release the requested information, including through the application of penalties, the Committee considers that the Justice of the Peace constitutes a remedy within the meaning of article 9(4) regarding the review procedure for information requests under article 9(1). The proceedings before the Justice of the Peace must therefore themselves meet the requirement in article 9(4) to be “adequate and effective”.</w:t>
      </w:r>
    </w:p>
    <w:p w14:paraId="386EBE7C" w14:textId="120566CC" w:rsidR="00EC7303" w:rsidRPr="00477AB0" w:rsidRDefault="00EC7303" w:rsidP="00204A55">
      <w:pPr>
        <w:pStyle w:val="NumberedParas"/>
        <w:ind w:left="1134" w:firstLine="0"/>
      </w:pPr>
      <w:r w:rsidRPr="00477AB0">
        <w:t xml:space="preserve">To determine whether, in the circumstances of the three information requests at issue in this case, the Justice of the Peace provided an adequate and effective remedy, the Committee looks at the time taken from the </w:t>
      </w:r>
      <w:r w:rsidR="001B3610" w:rsidRPr="00477AB0">
        <w:t xml:space="preserve">date </w:t>
      </w:r>
      <w:r w:rsidRPr="00477AB0">
        <w:t xml:space="preserve">the communicants commenced their proceedings before the Justice of the Peace until the </w:t>
      </w:r>
      <w:r w:rsidR="001B3610" w:rsidRPr="00477AB0">
        <w:t>date</w:t>
      </w:r>
      <w:r w:rsidRPr="00477AB0">
        <w:t xml:space="preserve"> they received the requested environmental information in accordance with the CRAIE’s decision.</w:t>
      </w:r>
    </w:p>
    <w:p w14:paraId="0B8E71BE" w14:textId="77777777" w:rsidR="00EC7303" w:rsidRPr="00477AB0" w:rsidRDefault="00EC7303" w:rsidP="00204A55">
      <w:pPr>
        <w:pStyle w:val="NumberedParas"/>
        <w:ind w:left="1134" w:firstLine="0"/>
        <w:rPr>
          <w:iCs/>
        </w:rPr>
      </w:pPr>
      <w:r w:rsidRPr="00477AB0">
        <w:t xml:space="preserve">As regards its request for access to environmental information concerning the </w:t>
      </w:r>
      <w:r w:rsidRPr="00477AB0">
        <w:rPr>
          <w:iCs/>
        </w:rPr>
        <w:t xml:space="preserve">municipal swimming pool in Stavelot, </w:t>
      </w:r>
      <w:proofErr w:type="spellStart"/>
      <w:r w:rsidRPr="00477AB0">
        <w:rPr>
          <w:iCs/>
        </w:rPr>
        <w:t>Avala</w:t>
      </w:r>
      <w:proofErr w:type="spellEnd"/>
      <w:r w:rsidRPr="00477AB0">
        <w:rPr>
          <w:iCs/>
        </w:rPr>
        <w:t xml:space="preserve"> commenced proceedings before the Justice of the Peace on 20 January 2015 and received the requested environmental information on 7 September 2015 – a total period</w:t>
      </w:r>
      <w:r w:rsidRPr="00477AB0">
        <w:t xml:space="preserve"> of 7.5 months</w:t>
      </w:r>
      <w:r w:rsidRPr="00477AB0">
        <w:rPr>
          <w:iCs/>
        </w:rPr>
        <w:t xml:space="preserve">. </w:t>
      </w:r>
    </w:p>
    <w:p w14:paraId="72AE3F91" w14:textId="77777777" w:rsidR="00EC7303" w:rsidRPr="00477AB0" w:rsidRDefault="00EC7303" w:rsidP="00204A55">
      <w:pPr>
        <w:pStyle w:val="NumberedParas"/>
        <w:ind w:left="1134" w:firstLine="0"/>
        <w:rPr>
          <w:iCs/>
        </w:rPr>
      </w:pPr>
      <w:r w:rsidRPr="00477AB0">
        <w:t xml:space="preserve">In the case of the </w:t>
      </w:r>
      <w:proofErr w:type="spellStart"/>
      <w:r w:rsidRPr="00477AB0">
        <w:rPr>
          <w:iCs/>
        </w:rPr>
        <w:t>L’Eau</w:t>
      </w:r>
      <w:proofErr w:type="spellEnd"/>
      <w:r w:rsidRPr="00477AB0">
        <w:rPr>
          <w:iCs/>
        </w:rPr>
        <w:t xml:space="preserve"> Rouge campsite, Mr. </w:t>
      </w:r>
      <w:proofErr w:type="spellStart"/>
      <w:r w:rsidRPr="00477AB0">
        <w:t>Doutreloux</w:t>
      </w:r>
      <w:proofErr w:type="spellEnd"/>
      <w:r w:rsidRPr="00477AB0">
        <w:rPr>
          <w:iCs/>
        </w:rPr>
        <w:t xml:space="preserve"> commenced proceedings before the Justice of the Peace on 20 January 2015. He received part of the requested environmental information on 19 August 2015 and the remainder between 16 April and 4 May 2016 – a total period</w:t>
      </w:r>
      <w:r w:rsidRPr="00477AB0">
        <w:t xml:space="preserve"> of 15.5 months</w:t>
      </w:r>
      <w:r w:rsidRPr="00477AB0">
        <w:rPr>
          <w:iCs/>
        </w:rPr>
        <w:t xml:space="preserve">. </w:t>
      </w:r>
    </w:p>
    <w:p w14:paraId="21C98AB3" w14:textId="77777777" w:rsidR="00EC7303" w:rsidRPr="00477AB0" w:rsidRDefault="00EC7303" w:rsidP="00204A55">
      <w:pPr>
        <w:pStyle w:val="NumberedParas"/>
        <w:ind w:left="1134" w:firstLine="0"/>
        <w:rPr>
          <w:color w:val="auto"/>
        </w:rPr>
      </w:pPr>
      <w:r w:rsidRPr="00477AB0">
        <w:rPr>
          <w:color w:val="auto"/>
        </w:rPr>
        <w:t xml:space="preserve">Concerning the </w:t>
      </w:r>
      <w:proofErr w:type="spellStart"/>
      <w:r w:rsidRPr="00477AB0">
        <w:rPr>
          <w:color w:val="auto"/>
        </w:rPr>
        <w:t>Francorchamps</w:t>
      </w:r>
      <w:proofErr w:type="spellEnd"/>
      <w:r w:rsidRPr="00477AB0">
        <w:rPr>
          <w:color w:val="auto"/>
        </w:rPr>
        <w:t xml:space="preserve"> motor-racing circuit, Mr. </w:t>
      </w:r>
      <w:proofErr w:type="spellStart"/>
      <w:r w:rsidRPr="00477AB0">
        <w:rPr>
          <w:color w:val="auto"/>
        </w:rPr>
        <w:t>Doutreloux</w:t>
      </w:r>
      <w:proofErr w:type="spellEnd"/>
      <w:r w:rsidRPr="00477AB0">
        <w:rPr>
          <w:color w:val="auto"/>
        </w:rPr>
        <w:t xml:space="preserve"> applied to the Justice of the Peace on 15 December 2014 and received part of the information requested on 19 August 2015 and the remainder on 13 October 2015 – a total period of 10 months. </w:t>
      </w:r>
    </w:p>
    <w:p w14:paraId="4BDAB398" w14:textId="31EE4A27" w:rsidR="00EC7303" w:rsidRPr="00477AB0" w:rsidRDefault="00EC7303" w:rsidP="004A7732">
      <w:pPr>
        <w:pStyle w:val="NumberedParas"/>
        <w:ind w:left="1134" w:firstLine="0"/>
        <w:rPr>
          <w:color w:val="auto"/>
        </w:rPr>
      </w:pPr>
      <w:r w:rsidRPr="00477AB0">
        <w:rPr>
          <w:color w:val="auto"/>
        </w:rPr>
        <w:t xml:space="preserve"> Given that the proceedings before the Justice of the Peace were simply to enforce the decision already taken by the CRAIE, the Committee considers that this process should have been relatively straightforward and should not have involved any significant additional period of delay. </w:t>
      </w:r>
      <w:r w:rsidR="003A3699">
        <w:rPr>
          <w:color w:val="auto"/>
        </w:rPr>
        <w:t>Still</w:t>
      </w:r>
      <w:r w:rsidRPr="00477AB0">
        <w:rPr>
          <w:color w:val="auto"/>
        </w:rPr>
        <w:t>, it is clear from the evidence presented to the Committee that the duration of the procedure before the Justice of the Peace to enforce the three decisions of the CRAIE at issue in this communication involved a very significant period of time.</w:t>
      </w:r>
    </w:p>
    <w:p w14:paraId="729DD037" w14:textId="77777777" w:rsidR="004A7732" w:rsidRPr="00477AB0" w:rsidRDefault="004A7732" w:rsidP="004A7732">
      <w:pPr>
        <w:pStyle w:val="NumberedParas"/>
        <w:tabs>
          <w:tab w:val="num" w:pos="851"/>
        </w:tabs>
        <w:ind w:left="1134" w:firstLine="0"/>
        <w:rPr>
          <w:color w:val="auto"/>
        </w:rPr>
      </w:pPr>
      <w:r w:rsidRPr="00477AB0">
        <w:rPr>
          <w:color w:val="auto"/>
        </w:rPr>
        <w:lastRenderedPageBreak/>
        <w:t>On this point, the Committee recalls its findings in communication ACCC/C/2013/93 (Norway) where it noted that “time is an essential factor in many access to information requests, for instance because the information may have been requested to facilitate public participation in an on-going decision-making procedure.”</w:t>
      </w:r>
      <w:r w:rsidRPr="00477AB0">
        <w:rPr>
          <w:color w:val="auto"/>
          <w:vertAlign w:val="superscript"/>
        </w:rPr>
        <w:footnoteReference w:id="80"/>
      </w:r>
      <w:r w:rsidRPr="00477AB0">
        <w:rPr>
          <w:color w:val="auto"/>
          <w:vertAlign w:val="superscript"/>
        </w:rPr>
        <w:t xml:space="preserve"> </w:t>
      </w:r>
    </w:p>
    <w:p w14:paraId="20289B66" w14:textId="4E88FDAE" w:rsidR="00EC7303" w:rsidRPr="00477AB0" w:rsidRDefault="00EC7303" w:rsidP="00204A55">
      <w:pPr>
        <w:pStyle w:val="NumberedParas"/>
        <w:tabs>
          <w:tab w:val="num" w:pos="851"/>
        </w:tabs>
        <w:ind w:left="1134" w:firstLine="0"/>
      </w:pPr>
      <w:r w:rsidRPr="00477AB0">
        <w:rPr>
          <w:color w:val="auto"/>
        </w:rPr>
        <w:t xml:space="preserve">It is not clear to the Committee </w:t>
      </w:r>
      <w:r w:rsidRPr="00477AB0">
        <w:t xml:space="preserve">why a procedure to secure an order of enforcement should involve such long delays. </w:t>
      </w:r>
      <w:r w:rsidR="004A7732" w:rsidRPr="00477AB0">
        <w:t xml:space="preserve">The </w:t>
      </w:r>
      <w:r w:rsidRPr="00477AB0">
        <w:t>Party concerned accepts</w:t>
      </w:r>
      <w:r w:rsidR="004A7732" w:rsidRPr="00477AB0">
        <w:t xml:space="preserve"> that</w:t>
      </w:r>
      <w:r w:rsidRPr="00477AB0">
        <w:t xml:space="preserve"> it should not have been necessary for the communicants to bring enforcement proceedings to ensure that the public authority complied with the decisions of the CRAIE. The Committee </w:t>
      </w:r>
      <w:r w:rsidR="004A7732" w:rsidRPr="00477AB0">
        <w:t xml:space="preserve">however </w:t>
      </w:r>
      <w:r w:rsidRPr="00477AB0">
        <w:t>queries why it is left to the information requester, rather than the CRAIE itself, to enforce CRAIE decisions</w:t>
      </w:r>
      <w:r w:rsidR="00F05A89" w:rsidRPr="00477AB0">
        <w:t xml:space="preserve"> at all</w:t>
      </w:r>
      <w:r w:rsidRPr="00477AB0">
        <w:t>.</w:t>
      </w:r>
    </w:p>
    <w:p w14:paraId="5266B3EC" w14:textId="0C6868FC" w:rsidR="00EC7303" w:rsidRPr="00477AB0" w:rsidRDefault="00EC7303" w:rsidP="00204A55">
      <w:pPr>
        <w:pStyle w:val="NumberedParas"/>
        <w:ind w:left="1134" w:firstLine="0"/>
      </w:pPr>
      <w:r w:rsidRPr="00477AB0">
        <w:rPr>
          <w:rFonts w:ascii="Times New Roman" w:eastAsia="Times New Roman" w:hAnsi="Times New Roman" w:cs="Times New Roman"/>
          <w:szCs w:val="20"/>
        </w:rPr>
        <w:t>T</w:t>
      </w:r>
      <w:r w:rsidRPr="00477AB0">
        <w:rPr>
          <w:rFonts w:ascii="Times New Roman" w:eastAsia="Times New Roman" w:hAnsi="Times New Roman" w:cs="Times New Roman"/>
          <w:color w:val="auto"/>
          <w:szCs w:val="20"/>
        </w:rPr>
        <w:t xml:space="preserve">he Committee now turns to consider </w:t>
      </w:r>
      <w:r w:rsidRPr="00477AB0">
        <w:rPr>
          <w:rFonts w:ascii="Times New Roman" w:eastAsia="Times New Roman" w:hAnsi="Times New Roman" w:cs="Times New Roman"/>
          <w:szCs w:val="20"/>
        </w:rPr>
        <w:t xml:space="preserve">the </w:t>
      </w:r>
      <w:proofErr w:type="gramStart"/>
      <w:r w:rsidRPr="00477AB0">
        <w:rPr>
          <w:rFonts w:ascii="Times New Roman" w:eastAsia="Times New Roman" w:hAnsi="Times New Roman" w:cs="Times New Roman"/>
          <w:szCs w:val="20"/>
        </w:rPr>
        <w:t>time-frame</w:t>
      </w:r>
      <w:proofErr w:type="gramEnd"/>
      <w:r w:rsidRPr="00477AB0">
        <w:rPr>
          <w:rFonts w:ascii="Times New Roman" w:eastAsia="Times New Roman" w:hAnsi="Times New Roman" w:cs="Times New Roman"/>
          <w:szCs w:val="20"/>
        </w:rPr>
        <w:t xml:space="preserve"> from the date the communicants applied to the CRAIE, up to the date they received the information requested. This is the basis upon which the Committee will determine whether the review procedure provided by the Party concerned for the purposes of article 9(1) was timely and ensured adequate and effective remedies as required by article 9(4).</w:t>
      </w:r>
    </w:p>
    <w:p w14:paraId="09880981" w14:textId="5324A3A4" w:rsidR="00004297" w:rsidRPr="00477AB0" w:rsidRDefault="00732C38" w:rsidP="00204A55">
      <w:pPr>
        <w:pStyle w:val="NumberedParas"/>
        <w:ind w:left="1134" w:firstLine="0"/>
        <w:rPr>
          <w:b/>
          <w:bCs/>
        </w:rPr>
      </w:pPr>
      <w:r w:rsidRPr="00477AB0">
        <w:t xml:space="preserve">As regards </w:t>
      </w:r>
      <w:r w:rsidR="00004297" w:rsidRPr="00477AB0">
        <w:t xml:space="preserve">its </w:t>
      </w:r>
      <w:r w:rsidRPr="00477AB0">
        <w:t xml:space="preserve">request for access to environmental information concerning the </w:t>
      </w:r>
      <w:r w:rsidRPr="00477AB0">
        <w:rPr>
          <w:iCs/>
        </w:rPr>
        <w:t xml:space="preserve">Municipal swimming pool in Stavelot, </w:t>
      </w:r>
      <w:proofErr w:type="spellStart"/>
      <w:r w:rsidR="00004297" w:rsidRPr="00477AB0">
        <w:rPr>
          <w:iCs/>
        </w:rPr>
        <w:t>Avala</w:t>
      </w:r>
      <w:proofErr w:type="spellEnd"/>
      <w:r w:rsidRPr="00477AB0">
        <w:rPr>
          <w:iCs/>
        </w:rPr>
        <w:t xml:space="preserve"> </w:t>
      </w:r>
      <w:r w:rsidR="00004297" w:rsidRPr="00477AB0">
        <w:rPr>
          <w:iCs/>
        </w:rPr>
        <w:t xml:space="preserve">appealed </w:t>
      </w:r>
      <w:r w:rsidR="00D842CB" w:rsidRPr="00477AB0">
        <w:rPr>
          <w:iCs/>
        </w:rPr>
        <w:t>to the CRAIE</w:t>
      </w:r>
      <w:r w:rsidRPr="00477AB0">
        <w:rPr>
          <w:iCs/>
        </w:rPr>
        <w:t xml:space="preserve"> on </w:t>
      </w:r>
      <w:r w:rsidR="002F6F7F" w:rsidRPr="00477AB0">
        <w:rPr>
          <w:iCs/>
        </w:rPr>
        <w:t>8</w:t>
      </w:r>
      <w:r w:rsidR="00D842CB" w:rsidRPr="00477AB0">
        <w:rPr>
          <w:iCs/>
        </w:rPr>
        <w:t xml:space="preserve"> October</w:t>
      </w:r>
      <w:r w:rsidRPr="00477AB0">
        <w:rPr>
          <w:iCs/>
        </w:rPr>
        <w:t xml:space="preserve"> 2014.</w:t>
      </w:r>
      <w:r w:rsidR="00D23F6C" w:rsidRPr="00477AB0">
        <w:rPr>
          <w:iCs/>
        </w:rPr>
        <w:t xml:space="preserve"> </w:t>
      </w:r>
      <w:r w:rsidR="00004297" w:rsidRPr="00477AB0">
        <w:rPr>
          <w:iCs/>
        </w:rPr>
        <w:t xml:space="preserve">It </w:t>
      </w:r>
      <w:r w:rsidRPr="00477AB0">
        <w:rPr>
          <w:iCs/>
        </w:rPr>
        <w:t xml:space="preserve">received the information </w:t>
      </w:r>
      <w:r w:rsidR="002F6F7F" w:rsidRPr="00477AB0">
        <w:rPr>
          <w:iCs/>
        </w:rPr>
        <w:t xml:space="preserve">requested </w:t>
      </w:r>
      <w:r w:rsidRPr="00477AB0">
        <w:rPr>
          <w:iCs/>
        </w:rPr>
        <w:t xml:space="preserve">on 7 September 2015, </w:t>
      </w:r>
      <w:r w:rsidR="00D842CB" w:rsidRPr="00477AB0">
        <w:rPr>
          <w:iCs/>
        </w:rPr>
        <w:t>eleven</w:t>
      </w:r>
      <w:r w:rsidRPr="00477AB0">
        <w:rPr>
          <w:iCs/>
        </w:rPr>
        <w:t xml:space="preserve"> months after </w:t>
      </w:r>
      <w:r w:rsidR="00004297" w:rsidRPr="00477AB0">
        <w:rPr>
          <w:iCs/>
        </w:rPr>
        <w:t>its appeal</w:t>
      </w:r>
      <w:r w:rsidRPr="00477AB0">
        <w:rPr>
          <w:iCs/>
        </w:rPr>
        <w:t>.</w:t>
      </w:r>
      <w:r w:rsidR="00D23F6C" w:rsidRPr="00477AB0">
        <w:rPr>
          <w:iCs/>
        </w:rPr>
        <w:t xml:space="preserve"> </w:t>
      </w:r>
    </w:p>
    <w:p w14:paraId="73C73981" w14:textId="7169F2DC" w:rsidR="00004297" w:rsidRPr="00477AB0" w:rsidRDefault="00732C38" w:rsidP="00204A55">
      <w:pPr>
        <w:pStyle w:val="NumberedParas"/>
        <w:ind w:left="1134" w:firstLine="0"/>
        <w:rPr>
          <w:b/>
          <w:bCs/>
        </w:rPr>
      </w:pPr>
      <w:r w:rsidRPr="00477AB0">
        <w:t xml:space="preserve">In the case of the </w:t>
      </w:r>
      <w:proofErr w:type="spellStart"/>
      <w:r w:rsidRPr="00477AB0">
        <w:rPr>
          <w:iCs/>
        </w:rPr>
        <w:t>L’Eau</w:t>
      </w:r>
      <w:proofErr w:type="spellEnd"/>
      <w:r w:rsidRPr="00477AB0">
        <w:rPr>
          <w:iCs/>
        </w:rPr>
        <w:t xml:space="preserve"> Rouge campsite, </w:t>
      </w:r>
      <w:r w:rsidR="00004297" w:rsidRPr="00477AB0">
        <w:rPr>
          <w:iCs/>
        </w:rPr>
        <w:t xml:space="preserve">Mr. </w:t>
      </w:r>
      <w:proofErr w:type="spellStart"/>
      <w:r w:rsidR="00004297" w:rsidRPr="00477AB0">
        <w:rPr>
          <w:iCs/>
        </w:rPr>
        <w:t>Doutreloux</w:t>
      </w:r>
      <w:proofErr w:type="spellEnd"/>
      <w:r w:rsidRPr="00477AB0">
        <w:rPr>
          <w:iCs/>
        </w:rPr>
        <w:t xml:space="preserve"> </w:t>
      </w:r>
      <w:r w:rsidR="00004297" w:rsidRPr="00477AB0">
        <w:rPr>
          <w:iCs/>
        </w:rPr>
        <w:t xml:space="preserve">appealed to the CRAIE </w:t>
      </w:r>
      <w:r w:rsidRPr="00477AB0">
        <w:rPr>
          <w:iCs/>
        </w:rPr>
        <w:t xml:space="preserve">on </w:t>
      </w:r>
      <w:r w:rsidR="00D842CB" w:rsidRPr="00477AB0">
        <w:rPr>
          <w:iCs/>
        </w:rPr>
        <w:t xml:space="preserve">3 October </w:t>
      </w:r>
      <w:r w:rsidRPr="00477AB0">
        <w:rPr>
          <w:iCs/>
        </w:rPr>
        <w:t>2014.</w:t>
      </w:r>
      <w:r w:rsidR="00D23F6C" w:rsidRPr="00477AB0">
        <w:rPr>
          <w:iCs/>
        </w:rPr>
        <w:t xml:space="preserve"> </w:t>
      </w:r>
      <w:r w:rsidR="004C622C" w:rsidRPr="00477AB0">
        <w:rPr>
          <w:iCs/>
        </w:rPr>
        <w:t xml:space="preserve">It was not until </w:t>
      </w:r>
      <w:r w:rsidRPr="00477AB0">
        <w:rPr>
          <w:iCs/>
        </w:rPr>
        <w:t>4 May 2016</w:t>
      </w:r>
      <w:r w:rsidR="004C622C" w:rsidRPr="00477AB0">
        <w:rPr>
          <w:iCs/>
        </w:rPr>
        <w:t xml:space="preserve"> that </w:t>
      </w:r>
      <w:r w:rsidR="00004297" w:rsidRPr="00477AB0">
        <w:rPr>
          <w:iCs/>
        </w:rPr>
        <w:t xml:space="preserve">he </w:t>
      </w:r>
      <w:r w:rsidR="004C622C" w:rsidRPr="00477AB0">
        <w:rPr>
          <w:iCs/>
        </w:rPr>
        <w:t xml:space="preserve">received </w:t>
      </w:r>
      <w:proofErr w:type="gramStart"/>
      <w:r w:rsidR="004C622C" w:rsidRPr="00477AB0">
        <w:rPr>
          <w:iCs/>
        </w:rPr>
        <w:t>all of</w:t>
      </w:r>
      <w:proofErr w:type="gramEnd"/>
      <w:r w:rsidR="004C622C" w:rsidRPr="00477AB0">
        <w:rPr>
          <w:iCs/>
        </w:rPr>
        <w:t xml:space="preserve"> the information requested</w:t>
      </w:r>
      <w:r w:rsidRPr="00477AB0">
        <w:rPr>
          <w:iCs/>
        </w:rPr>
        <w:t xml:space="preserve">, </w:t>
      </w:r>
      <w:r w:rsidR="00416DCB" w:rsidRPr="00477AB0">
        <w:rPr>
          <w:iCs/>
        </w:rPr>
        <w:t>19</w:t>
      </w:r>
      <w:r w:rsidRPr="00477AB0">
        <w:rPr>
          <w:iCs/>
        </w:rPr>
        <w:t xml:space="preserve"> months after </w:t>
      </w:r>
      <w:r w:rsidR="00004297" w:rsidRPr="00477AB0">
        <w:rPr>
          <w:iCs/>
        </w:rPr>
        <w:t>bringing his appeal</w:t>
      </w:r>
      <w:r w:rsidRPr="00477AB0">
        <w:rPr>
          <w:iCs/>
        </w:rPr>
        <w:t>.</w:t>
      </w:r>
      <w:r w:rsidR="00D23F6C" w:rsidRPr="00477AB0">
        <w:rPr>
          <w:iCs/>
        </w:rPr>
        <w:t xml:space="preserve"> </w:t>
      </w:r>
    </w:p>
    <w:p w14:paraId="4BEA8589" w14:textId="0C2F1739" w:rsidR="00004297" w:rsidRPr="00477AB0" w:rsidRDefault="00732C38" w:rsidP="00204A55">
      <w:pPr>
        <w:pStyle w:val="NumberedParas"/>
        <w:ind w:left="1134" w:firstLine="0"/>
        <w:rPr>
          <w:b/>
          <w:bCs/>
        </w:rPr>
      </w:pPr>
      <w:r w:rsidRPr="00477AB0">
        <w:t xml:space="preserve">As regards the </w:t>
      </w:r>
      <w:proofErr w:type="spellStart"/>
      <w:r w:rsidRPr="00477AB0">
        <w:t>Francorchamps</w:t>
      </w:r>
      <w:proofErr w:type="spellEnd"/>
      <w:r w:rsidRPr="00477AB0">
        <w:t xml:space="preserve"> motor-racing circuit</w:t>
      </w:r>
      <w:r w:rsidRPr="00477AB0">
        <w:rPr>
          <w:iCs/>
        </w:rPr>
        <w:t xml:space="preserve">, </w:t>
      </w:r>
      <w:r w:rsidR="00004297" w:rsidRPr="00477AB0">
        <w:rPr>
          <w:iCs/>
        </w:rPr>
        <w:t xml:space="preserve">Mr. </w:t>
      </w:r>
      <w:proofErr w:type="spellStart"/>
      <w:r w:rsidR="00004297" w:rsidRPr="00477AB0">
        <w:rPr>
          <w:iCs/>
        </w:rPr>
        <w:t>Doutreloux</w:t>
      </w:r>
      <w:proofErr w:type="spellEnd"/>
      <w:r w:rsidR="00004297" w:rsidRPr="00477AB0">
        <w:rPr>
          <w:iCs/>
        </w:rPr>
        <w:t xml:space="preserve"> appealed to </w:t>
      </w:r>
      <w:r w:rsidR="00D842CB" w:rsidRPr="00477AB0">
        <w:rPr>
          <w:iCs/>
        </w:rPr>
        <w:t xml:space="preserve">the CRAIE </w:t>
      </w:r>
      <w:r w:rsidRPr="00477AB0">
        <w:rPr>
          <w:iCs/>
        </w:rPr>
        <w:t xml:space="preserve">on </w:t>
      </w:r>
      <w:r w:rsidR="00D842CB" w:rsidRPr="00477AB0">
        <w:rPr>
          <w:iCs/>
        </w:rPr>
        <w:t>28 July</w:t>
      </w:r>
      <w:r w:rsidRPr="00477AB0">
        <w:rPr>
          <w:iCs/>
        </w:rPr>
        <w:t xml:space="preserve"> 2014. </w:t>
      </w:r>
      <w:r w:rsidR="00004297" w:rsidRPr="00477AB0">
        <w:rPr>
          <w:iCs/>
        </w:rPr>
        <w:t xml:space="preserve">He </w:t>
      </w:r>
      <w:r w:rsidRPr="00477AB0">
        <w:rPr>
          <w:iCs/>
        </w:rPr>
        <w:t>received part of the information on 1</w:t>
      </w:r>
      <w:r w:rsidR="002F6F7F" w:rsidRPr="00477AB0">
        <w:rPr>
          <w:iCs/>
        </w:rPr>
        <w:t>9</w:t>
      </w:r>
      <w:r w:rsidRPr="00477AB0">
        <w:rPr>
          <w:iCs/>
        </w:rPr>
        <w:t xml:space="preserve"> August 2</w:t>
      </w:r>
      <w:r w:rsidR="00D842CB" w:rsidRPr="00477AB0">
        <w:rPr>
          <w:iCs/>
        </w:rPr>
        <w:t>0</w:t>
      </w:r>
      <w:r w:rsidRPr="00477AB0">
        <w:rPr>
          <w:iCs/>
        </w:rPr>
        <w:t>15</w:t>
      </w:r>
      <w:r w:rsidR="00A87017" w:rsidRPr="00477AB0">
        <w:rPr>
          <w:iCs/>
        </w:rPr>
        <w:t>, but i</w:t>
      </w:r>
      <w:r w:rsidRPr="00477AB0">
        <w:rPr>
          <w:iCs/>
        </w:rPr>
        <w:t xml:space="preserve">t was not until 13 October 2015 that </w:t>
      </w:r>
      <w:r w:rsidR="00004297" w:rsidRPr="00477AB0">
        <w:rPr>
          <w:iCs/>
        </w:rPr>
        <w:t xml:space="preserve">he </w:t>
      </w:r>
      <w:r w:rsidRPr="00477AB0">
        <w:rPr>
          <w:iCs/>
        </w:rPr>
        <w:t xml:space="preserve">received </w:t>
      </w:r>
      <w:proofErr w:type="gramStart"/>
      <w:r w:rsidRPr="00477AB0">
        <w:rPr>
          <w:iCs/>
        </w:rPr>
        <w:t>all of</w:t>
      </w:r>
      <w:proofErr w:type="gramEnd"/>
      <w:r w:rsidRPr="00477AB0">
        <w:rPr>
          <w:iCs/>
        </w:rPr>
        <w:t xml:space="preserve"> the information requested.</w:t>
      </w:r>
      <w:r w:rsidR="00D23F6C" w:rsidRPr="00477AB0">
        <w:rPr>
          <w:iCs/>
        </w:rPr>
        <w:t xml:space="preserve"> </w:t>
      </w:r>
      <w:r w:rsidRPr="00477AB0">
        <w:rPr>
          <w:iCs/>
        </w:rPr>
        <w:t xml:space="preserve">This </w:t>
      </w:r>
      <w:proofErr w:type="gramStart"/>
      <w:r w:rsidRPr="00477AB0">
        <w:rPr>
          <w:iCs/>
        </w:rPr>
        <w:t xml:space="preserve">was  </w:t>
      </w:r>
      <w:r w:rsidR="003A3699">
        <w:rPr>
          <w:iCs/>
        </w:rPr>
        <w:t>14.5</w:t>
      </w:r>
      <w:proofErr w:type="gramEnd"/>
      <w:r w:rsidR="003A3699">
        <w:rPr>
          <w:iCs/>
        </w:rPr>
        <w:t xml:space="preserve"> </w:t>
      </w:r>
      <w:r w:rsidRPr="00477AB0">
        <w:rPr>
          <w:iCs/>
        </w:rPr>
        <w:t>months after making the request for access.</w:t>
      </w:r>
      <w:r w:rsidR="00D23F6C" w:rsidRPr="00477AB0">
        <w:rPr>
          <w:iCs/>
        </w:rPr>
        <w:t xml:space="preserve"> </w:t>
      </w:r>
    </w:p>
    <w:p w14:paraId="66E9663A" w14:textId="74A3A64E" w:rsidR="00004297" w:rsidRPr="00477AB0" w:rsidRDefault="00732C38" w:rsidP="00204A55">
      <w:pPr>
        <w:pStyle w:val="NumberedParas"/>
        <w:ind w:left="1134" w:firstLine="0"/>
        <w:rPr>
          <w:b/>
          <w:bCs/>
        </w:rPr>
      </w:pPr>
      <w:r w:rsidRPr="00477AB0">
        <w:rPr>
          <w:iCs/>
        </w:rPr>
        <w:t>Plainly</w:t>
      </w:r>
      <w:r w:rsidR="00A87017" w:rsidRPr="00477AB0">
        <w:rPr>
          <w:iCs/>
        </w:rPr>
        <w:t>,</w:t>
      </w:r>
      <w:r w:rsidRPr="00477AB0">
        <w:rPr>
          <w:iCs/>
        </w:rPr>
        <w:t xml:space="preserve"> in each of the three cases at issue here, the length of time that elapsed between the </w:t>
      </w:r>
      <w:r w:rsidR="00065C88" w:rsidRPr="00477AB0">
        <w:rPr>
          <w:iCs/>
        </w:rPr>
        <w:t>application to</w:t>
      </w:r>
      <w:r w:rsidR="00E42554" w:rsidRPr="00477AB0">
        <w:rPr>
          <w:iCs/>
        </w:rPr>
        <w:t xml:space="preserve"> the</w:t>
      </w:r>
      <w:r w:rsidR="00065C88" w:rsidRPr="00477AB0">
        <w:rPr>
          <w:iCs/>
        </w:rPr>
        <w:t xml:space="preserve"> CRAIE</w:t>
      </w:r>
      <w:r w:rsidRPr="00477AB0">
        <w:rPr>
          <w:iCs/>
        </w:rPr>
        <w:t xml:space="preserve"> and the date on which the communicants received the information was excessive.  </w:t>
      </w:r>
      <w:r w:rsidR="00A87017" w:rsidRPr="00477AB0">
        <w:rPr>
          <w:iCs/>
        </w:rPr>
        <w:t>Given the long delays here, t</w:t>
      </w:r>
      <w:r w:rsidRPr="00477AB0">
        <w:rPr>
          <w:iCs/>
        </w:rPr>
        <w:t>he review procedure</w:t>
      </w:r>
      <w:r w:rsidR="00885E94" w:rsidRPr="00477AB0">
        <w:rPr>
          <w:iCs/>
        </w:rPr>
        <w:t xml:space="preserve"> </w:t>
      </w:r>
      <w:r w:rsidRPr="00477AB0">
        <w:rPr>
          <w:iCs/>
        </w:rPr>
        <w:t xml:space="preserve">provided by the Party concerned </w:t>
      </w:r>
      <w:r w:rsidR="00A87017" w:rsidRPr="00477AB0">
        <w:rPr>
          <w:iCs/>
        </w:rPr>
        <w:t xml:space="preserve">was not timely and </w:t>
      </w:r>
      <w:r w:rsidRPr="00477AB0">
        <w:rPr>
          <w:iCs/>
        </w:rPr>
        <w:t>manifestly did not deliver an adequate and effective remedy</w:t>
      </w:r>
      <w:r w:rsidR="0000747C" w:rsidRPr="00477AB0">
        <w:rPr>
          <w:iCs/>
        </w:rPr>
        <w:t>.</w:t>
      </w:r>
      <w:r w:rsidR="00D23F6C" w:rsidRPr="00477AB0">
        <w:rPr>
          <w:iCs/>
        </w:rPr>
        <w:t xml:space="preserve"> </w:t>
      </w:r>
    </w:p>
    <w:p w14:paraId="0F21C80A" w14:textId="53C470CB" w:rsidR="00732C38" w:rsidRPr="00477AB0" w:rsidRDefault="00004297" w:rsidP="00204A55">
      <w:pPr>
        <w:pStyle w:val="NumberedParas"/>
        <w:ind w:left="1134" w:firstLine="0"/>
        <w:rPr>
          <w:b/>
          <w:bCs/>
        </w:rPr>
      </w:pPr>
      <w:r w:rsidRPr="00477AB0">
        <w:rPr>
          <w:iCs/>
        </w:rPr>
        <w:t xml:space="preserve">Based on the foregoing, the Committee finds that, by failing to ensure a timely procedure and adequate and effective remedies for the review </w:t>
      </w:r>
      <w:r w:rsidR="00692ADF" w:rsidRPr="00477AB0">
        <w:rPr>
          <w:iCs/>
        </w:rPr>
        <w:t xml:space="preserve">under article 9(1) </w:t>
      </w:r>
      <w:r w:rsidRPr="00477AB0">
        <w:rPr>
          <w:iCs/>
        </w:rPr>
        <w:t xml:space="preserve">of the communicants’ three information requests, the Party concerned </w:t>
      </w:r>
      <w:r w:rsidR="00732C38" w:rsidRPr="00477AB0">
        <w:rPr>
          <w:iCs/>
        </w:rPr>
        <w:t xml:space="preserve">failed to comply with </w:t>
      </w:r>
      <w:r w:rsidR="008C0055" w:rsidRPr="00477AB0">
        <w:rPr>
          <w:iCs/>
        </w:rPr>
        <w:t>a</w:t>
      </w:r>
      <w:r w:rsidR="00732C38" w:rsidRPr="00477AB0">
        <w:rPr>
          <w:iCs/>
        </w:rPr>
        <w:t>rticle 9(4) of the Convention.</w:t>
      </w:r>
    </w:p>
    <w:p w14:paraId="79BBBB33" w14:textId="2E2D9AD8" w:rsidR="00D842CB" w:rsidRPr="00477AB0" w:rsidRDefault="009067E4" w:rsidP="00204A55">
      <w:pPr>
        <w:pStyle w:val="NumberedParas"/>
        <w:ind w:left="1134" w:firstLine="0"/>
      </w:pPr>
      <w:bookmarkStart w:id="26" w:name="_Ref74759626"/>
      <w:r w:rsidRPr="00477AB0">
        <w:t>In</w:t>
      </w:r>
      <w:r w:rsidR="00692ADF" w:rsidRPr="00477AB0">
        <w:t xml:space="preserve"> the course of </w:t>
      </w:r>
      <w:r w:rsidRPr="00477AB0">
        <w:t xml:space="preserve">the </w:t>
      </w:r>
      <w:r w:rsidR="00692ADF" w:rsidRPr="00477AB0">
        <w:t>Committee</w:t>
      </w:r>
      <w:r w:rsidRPr="00477AB0">
        <w:t>’s procedure,</w:t>
      </w:r>
      <w:r w:rsidR="00692ADF" w:rsidRPr="00477AB0">
        <w:t xml:space="preserve"> the communicants subsequently referred to three other examples which they claim point to a wider problem of delay</w:t>
      </w:r>
      <w:r w:rsidRPr="00477AB0">
        <w:t>s</w:t>
      </w:r>
      <w:r w:rsidR="00692ADF" w:rsidRPr="00477AB0">
        <w:t xml:space="preserve"> by public authorities </w:t>
      </w:r>
      <w:r w:rsidRPr="00477AB0">
        <w:t>complying with</w:t>
      </w:r>
      <w:r w:rsidR="00692ADF" w:rsidRPr="00477AB0">
        <w:t xml:space="preserve"> decisions of the CRAIE.</w:t>
      </w:r>
      <w:r w:rsidR="00692ADF" w:rsidRPr="00477AB0">
        <w:rPr>
          <w:rStyle w:val="FootnoteReference"/>
        </w:rPr>
        <w:footnoteReference w:id="81"/>
      </w:r>
      <w:r w:rsidR="00692ADF" w:rsidRPr="00477AB0">
        <w:t xml:space="preserve"> </w:t>
      </w:r>
      <w:r w:rsidRPr="00477AB0">
        <w:t xml:space="preserve">However, in none of those three cases had the communicants yet commenced proceedings before the Justice of the Peace to enforce the CRAIE’s decisions. Accordingly, since the Committee </w:t>
      </w:r>
      <w:r w:rsidR="00D842CB" w:rsidRPr="00477AB0">
        <w:t xml:space="preserve">has no evidence before it to </w:t>
      </w:r>
      <w:r w:rsidRPr="00477AB0">
        <w:t xml:space="preserve">demonstrate </w:t>
      </w:r>
      <w:r w:rsidR="00D842CB" w:rsidRPr="00477AB0">
        <w:t xml:space="preserve">that </w:t>
      </w:r>
      <w:r w:rsidRPr="00477AB0">
        <w:t xml:space="preserve">the </w:t>
      </w:r>
      <w:r w:rsidR="00D842CB" w:rsidRPr="00477AB0">
        <w:t xml:space="preserve">noncompliance </w:t>
      </w:r>
      <w:r w:rsidRPr="00477AB0">
        <w:t xml:space="preserve">found in the preceding paragraph is of a wide or systemic nature, </w:t>
      </w:r>
      <w:r w:rsidR="00D842CB" w:rsidRPr="00477AB0">
        <w:t xml:space="preserve">the Committee refrains from making a recommendation </w:t>
      </w:r>
      <w:r w:rsidRPr="00477AB0">
        <w:t>on this issue</w:t>
      </w:r>
      <w:r w:rsidR="00D842CB" w:rsidRPr="00477AB0">
        <w:t>.</w:t>
      </w:r>
      <w:bookmarkEnd w:id="26"/>
    </w:p>
    <w:p w14:paraId="4EADE163" w14:textId="349209DA" w:rsidR="00F12E6E" w:rsidRPr="00477AB0" w:rsidRDefault="00D842CB" w:rsidP="00204A55">
      <w:pPr>
        <w:pStyle w:val="Heading4"/>
        <w:ind w:left="1134"/>
      </w:pPr>
      <w:r w:rsidRPr="00477AB0">
        <w:t>N</w:t>
      </w:r>
      <w:r w:rsidR="00FC6C72" w:rsidRPr="00477AB0">
        <w:t>ot prohibitively expensive</w:t>
      </w:r>
      <w:r w:rsidRPr="00477AB0">
        <w:t xml:space="preserve"> </w:t>
      </w:r>
      <w:r w:rsidR="003E664C" w:rsidRPr="00477AB0">
        <w:t xml:space="preserve">review </w:t>
      </w:r>
      <w:r w:rsidRPr="00477AB0">
        <w:t>procedure</w:t>
      </w:r>
    </w:p>
    <w:p w14:paraId="70D72D82" w14:textId="1B6A7216" w:rsidR="003304A9" w:rsidRPr="00477AB0" w:rsidRDefault="00CA0858" w:rsidP="00204A55">
      <w:pPr>
        <w:pStyle w:val="NumberedParas"/>
        <w:ind w:left="1134" w:firstLine="0"/>
      </w:pPr>
      <w:r w:rsidRPr="00477AB0">
        <w:t xml:space="preserve">It is important to note at the outset that </w:t>
      </w:r>
      <w:r w:rsidR="00F12E6E" w:rsidRPr="00477AB0">
        <w:t xml:space="preserve">there is no fee payable to bring </w:t>
      </w:r>
      <w:r w:rsidRPr="00477AB0">
        <w:t>an appeal to the CRAIE</w:t>
      </w:r>
      <w:r w:rsidR="00F12E6E" w:rsidRPr="00477AB0">
        <w:t>.</w:t>
      </w:r>
      <w:r w:rsidR="00D23F6C" w:rsidRPr="00477AB0">
        <w:t xml:space="preserve"> </w:t>
      </w:r>
      <w:r w:rsidR="00346852" w:rsidRPr="00477AB0">
        <w:t>Neither is there any requirement to be represented by a lawyer.</w:t>
      </w:r>
      <w:r w:rsidR="003304A9" w:rsidRPr="00477AB0">
        <w:t xml:space="preserve"> </w:t>
      </w:r>
    </w:p>
    <w:p w14:paraId="1BC1471C" w14:textId="4AC974E8" w:rsidR="00F12E6E" w:rsidRPr="00477AB0" w:rsidDel="003304A9" w:rsidRDefault="00F12E6E" w:rsidP="00204A55">
      <w:pPr>
        <w:pStyle w:val="NumberedParas"/>
        <w:ind w:left="1134" w:firstLine="0"/>
      </w:pPr>
      <w:r w:rsidRPr="00477AB0" w:rsidDel="003304A9">
        <w:lastRenderedPageBreak/>
        <w:t xml:space="preserve">It is also the case that there is no requirement under domestic law </w:t>
      </w:r>
      <w:r w:rsidR="00A00E24" w:rsidRPr="00477AB0" w:rsidDel="003304A9">
        <w:t xml:space="preserve">to be represented by a lawyer </w:t>
      </w:r>
      <w:proofErr w:type="gramStart"/>
      <w:r w:rsidRPr="00477AB0" w:rsidDel="003304A9">
        <w:t>in order to</w:t>
      </w:r>
      <w:proofErr w:type="gramEnd"/>
      <w:r w:rsidRPr="00477AB0" w:rsidDel="003304A9">
        <w:t xml:space="preserve"> bring proceedings </w:t>
      </w:r>
      <w:r w:rsidR="00AF49F2" w:rsidRPr="00477AB0">
        <w:t xml:space="preserve">before a Justice of the Peace </w:t>
      </w:r>
      <w:r w:rsidRPr="00477AB0" w:rsidDel="003304A9">
        <w:t>to enforce the CRAIE</w:t>
      </w:r>
      <w:r w:rsidR="00E726C1" w:rsidRPr="00477AB0">
        <w:t>’s</w:t>
      </w:r>
      <w:r w:rsidRPr="00477AB0" w:rsidDel="003304A9">
        <w:t xml:space="preserve"> decision.</w:t>
      </w:r>
      <w:r w:rsidR="003E664C" w:rsidRPr="00477AB0" w:rsidDel="003304A9">
        <w:rPr>
          <w:rStyle w:val="FootnoteReference"/>
          <w:rFonts w:eastAsia="Times New Roman"/>
          <w:szCs w:val="20"/>
        </w:rPr>
        <w:footnoteReference w:id="82"/>
      </w:r>
    </w:p>
    <w:p w14:paraId="32063AA6" w14:textId="6F357A36" w:rsidR="00F12E6E" w:rsidRPr="00477AB0" w:rsidRDefault="00F12E6E" w:rsidP="00204A55">
      <w:pPr>
        <w:pStyle w:val="NumberedParas"/>
        <w:ind w:left="1134" w:firstLine="0"/>
      </w:pPr>
      <w:r w:rsidRPr="00477AB0">
        <w:t xml:space="preserve">The Party concerned submits that in practice most people will bring proceedings before </w:t>
      </w:r>
      <w:r w:rsidR="00AF49F2" w:rsidRPr="00477AB0">
        <w:t xml:space="preserve">a </w:t>
      </w:r>
      <w:r w:rsidRPr="00477AB0">
        <w:t xml:space="preserve">Justice of the Peace without </w:t>
      </w:r>
      <w:r w:rsidR="00F51BBA" w:rsidRPr="00477AB0">
        <w:t>legal representation</w:t>
      </w:r>
      <w:r w:rsidRPr="00477AB0">
        <w:t>.</w:t>
      </w:r>
      <w:r w:rsidR="00D23F6C" w:rsidRPr="00477AB0">
        <w:t xml:space="preserve"> </w:t>
      </w:r>
      <w:r w:rsidRPr="00477AB0">
        <w:t>The Party concerned also explains that legal aid enables low income groups free access to legal counsel.</w:t>
      </w:r>
      <w:r w:rsidR="00D23F6C" w:rsidRPr="00477AB0">
        <w:t xml:space="preserve"> </w:t>
      </w:r>
      <w:r w:rsidRPr="00477AB0">
        <w:t xml:space="preserve">Furthermore, the </w:t>
      </w:r>
      <w:r w:rsidR="00C91D90" w:rsidRPr="00477AB0">
        <w:t xml:space="preserve">court fee and the cost of the court summons will </w:t>
      </w:r>
      <w:r w:rsidRPr="00477AB0">
        <w:t>be paid by the losing party</w:t>
      </w:r>
      <w:r w:rsidR="00A00E24" w:rsidRPr="00477AB0">
        <w:t>.</w:t>
      </w:r>
      <w:r w:rsidR="00640597" w:rsidRPr="00477AB0">
        <w:rPr>
          <w:rStyle w:val="FootnoteReference"/>
          <w:rFonts w:eastAsia="Times New Roman"/>
          <w:szCs w:val="20"/>
        </w:rPr>
        <w:footnoteReference w:id="83"/>
      </w:r>
      <w:r w:rsidRPr="00477AB0">
        <w:t xml:space="preserve"> </w:t>
      </w:r>
      <w:r w:rsidR="00AF49F2" w:rsidRPr="00477AB0">
        <w:t>These statements have not been disputed by the communicants.</w:t>
      </w:r>
    </w:p>
    <w:p w14:paraId="3027E6C0" w14:textId="3BD23E78" w:rsidR="00255392" w:rsidRPr="00477AB0" w:rsidRDefault="00346852" w:rsidP="00204A55">
      <w:pPr>
        <w:pStyle w:val="NumberedParas"/>
        <w:ind w:left="1134" w:firstLine="0"/>
      </w:pPr>
      <w:r w:rsidRPr="00477AB0">
        <w:t>The communicants</w:t>
      </w:r>
      <w:r w:rsidR="00AB4309" w:rsidRPr="00477AB0">
        <w:t xml:space="preserve"> opted to engage legal representation for the</w:t>
      </w:r>
      <w:r w:rsidR="00F51BBA" w:rsidRPr="00477AB0">
        <w:t>ir</w:t>
      </w:r>
      <w:r w:rsidR="00AB4309" w:rsidRPr="00477AB0">
        <w:t xml:space="preserve"> appeals before the CRAIE and for the </w:t>
      </w:r>
      <w:r w:rsidR="00AF49F2" w:rsidRPr="00477AB0">
        <w:t xml:space="preserve">subsequent </w:t>
      </w:r>
      <w:r w:rsidR="00AB4309" w:rsidRPr="00477AB0">
        <w:t>proceedings before the Justice of the Peace to enforce the CRAIE</w:t>
      </w:r>
      <w:r w:rsidR="00F51BBA" w:rsidRPr="00477AB0">
        <w:t>’s</w:t>
      </w:r>
      <w:r w:rsidR="00AB4309" w:rsidRPr="00477AB0">
        <w:t xml:space="preserve"> decision</w:t>
      </w:r>
      <w:r w:rsidR="00F51BBA" w:rsidRPr="00477AB0">
        <w:t>s</w:t>
      </w:r>
      <w:r w:rsidR="00AB4309" w:rsidRPr="00477AB0">
        <w:t>.</w:t>
      </w:r>
      <w:r w:rsidR="00D23F6C" w:rsidRPr="00477AB0">
        <w:t xml:space="preserve"> </w:t>
      </w:r>
      <w:r w:rsidR="00921C64" w:rsidRPr="00477AB0">
        <w:t>Their lawyer charged a</w:t>
      </w:r>
      <w:r w:rsidR="004C622C" w:rsidRPr="00477AB0">
        <w:t>n</w:t>
      </w:r>
      <w:r w:rsidR="00921C64" w:rsidRPr="00477AB0">
        <w:t xml:space="preserve"> hourly rate </w:t>
      </w:r>
      <w:r w:rsidR="00640597" w:rsidRPr="00477AB0">
        <w:t>plus</w:t>
      </w:r>
      <w:r w:rsidR="00921C64" w:rsidRPr="00477AB0">
        <w:t xml:space="preserve"> VAT for professional services, in addition to charges to cover secretarial costs and travel expenses.</w:t>
      </w:r>
      <w:r w:rsidR="00640597" w:rsidRPr="00477AB0">
        <w:rPr>
          <w:rStyle w:val="FootnoteReference"/>
          <w:rFonts w:eastAsia="Times New Roman"/>
          <w:szCs w:val="20"/>
        </w:rPr>
        <w:footnoteReference w:id="84"/>
      </w:r>
      <w:r w:rsidR="00D23F6C" w:rsidRPr="00477AB0">
        <w:t xml:space="preserve"> </w:t>
      </w:r>
    </w:p>
    <w:p w14:paraId="2134469D" w14:textId="059AA40D" w:rsidR="003304A9" w:rsidRPr="00477AB0" w:rsidRDefault="003304A9" w:rsidP="00204A55">
      <w:pPr>
        <w:pStyle w:val="NumberedParas"/>
        <w:ind w:left="1134" w:firstLine="0"/>
      </w:pPr>
      <w:r w:rsidRPr="00477AB0">
        <w:t>As regards the fees or charges to bring proceedings before the Justice of the Peace where a public authority fails to comply with a decision of the CRAIE, the Party concern</w:t>
      </w:r>
      <w:r w:rsidR="00E42554" w:rsidRPr="00477AB0">
        <w:t>ed</w:t>
      </w:r>
      <w:r w:rsidRPr="00477AB0">
        <w:t xml:space="preserve"> </w:t>
      </w:r>
      <w:r w:rsidR="00AF49F2" w:rsidRPr="00477AB0">
        <w:t>states</w:t>
      </w:r>
      <w:r w:rsidRPr="00477AB0">
        <w:t xml:space="preserve"> that the fees/charges involved </w:t>
      </w:r>
      <w:r w:rsidR="00350B44" w:rsidRPr="00477AB0">
        <w:t xml:space="preserve">would not exceed €300 (see para. </w:t>
      </w:r>
      <w:r w:rsidR="00350B44" w:rsidRPr="00477AB0">
        <w:fldChar w:fldCharType="begin"/>
      </w:r>
      <w:r w:rsidR="00350B44" w:rsidRPr="00477AB0">
        <w:instrText xml:space="preserve"> REF _Ref73022880 \r \h </w:instrText>
      </w:r>
      <w:r w:rsidR="003D4F9C" w:rsidRPr="00477AB0">
        <w:instrText xml:space="preserve"> \* MERGEFORMAT </w:instrText>
      </w:r>
      <w:r w:rsidR="00350B44" w:rsidRPr="00477AB0">
        <w:fldChar w:fldCharType="separate"/>
      </w:r>
      <w:r w:rsidR="00450102">
        <w:t>79</w:t>
      </w:r>
      <w:r w:rsidR="00350B44" w:rsidRPr="00477AB0">
        <w:fldChar w:fldCharType="end"/>
      </w:r>
      <w:r w:rsidR="00350B44" w:rsidRPr="00477AB0">
        <w:t xml:space="preserve"> above)</w:t>
      </w:r>
      <w:r w:rsidR="00587F4E" w:rsidRPr="00477AB0">
        <w:t xml:space="preserve">. </w:t>
      </w:r>
      <w:r w:rsidRPr="00477AB0">
        <w:t>The Party concerned points out that</w:t>
      </w:r>
      <w:r w:rsidR="00075B43" w:rsidRPr="00477AB0">
        <w:t>, if the applicant is successful in their proceedings,</w:t>
      </w:r>
      <w:r w:rsidRPr="00477AB0">
        <w:t xml:space="preserve"> these fees will be covered by the losing part</w:t>
      </w:r>
      <w:r w:rsidR="00075B43" w:rsidRPr="00477AB0">
        <w:t>y</w:t>
      </w:r>
      <w:r w:rsidRPr="00477AB0">
        <w:t xml:space="preserve">. </w:t>
      </w:r>
    </w:p>
    <w:p w14:paraId="7F75E327" w14:textId="16276BD6" w:rsidR="001B2CD3" w:rsidRPr="00477AB0" w:rsidRDefault="00A00E24" w:rsidP="00204A55">
      <w:pPr>
        <w:pStyle w:val="NumberedParas"/>
        <w:ind w:left="1134" w:firstLine="0"/>
      </w:pPr>
      <w:r w:rsidRPr="00477AB0">
        <w:t xml:space="preserve">The Committee has previously determined that in assessing </w:t>
      </w:r>
      <w:r w:rsidR="007D24ED" w:rsidRPr="00477AB0">
        <w:t xml:space="preserve">costs </w:t>
      </w:r>
      <w:proofErr w:type="gramStart"/>
      <w:r w:rsidR="007D24ED" w:rsidRPr="00477AB0">
        <w:t>in light of</w:t>
      </w:r>
      <w:proofErr w:type="gramEnd"/>
      <w:r w:rsidR="007D24ED" w:rsidRPr="00477AB0">
        <w:t xml:space="preserve"> the standard set in </w:t>
      </w:r>
      <w:r w:rsidR="00677D23" w:rsidRPr="00477AB0">
        <w:t>a</w:t>
      </w:r>
      <w:r w:rsidR="007D24ED" w:rsidRPr="00477AB0">
        <w:t>rticle 9(4), it must consider the costs system in the Party concerned as a whole, and in a systemic manner</w:t>
      </w:r>
      <w:r w:rsidR="00206795" w:rsidRPr="00477AB0">
        <w:t>.</w:t>
      </w:r>
      <w:r w:rsidR="00406CCC" w:rsidRPr="00477AB0">
        <w:rPr>
          <w:rStyle w:val="FootnoteReference"/>
        </w:rPr>
        <w:footnoteReference w:id="85"/>
      </w:r>
      <w:r w:rsidR="00D23F6C" w:rsidRPr="00477AB0">
        <w:t xml:space="preserve"> </w:t>
      </w:r>
    </w:p>
    <w:p w14:paraId="7F191E33" w14:textId="5D383E3D" w:rsidR="00CD5371" w:rsidRPr="00477AB0" w:rsidRDefault="00CD5371" w:rsidP="00204A55">
      <w:pPr>
        <w:pStyle w:val="NumberedParas"/>
        <w:ind w:left="1134" w:firstLine="0"/>
      </w:pPr>
      <w:r w:rsidRPr="00477AB0">
        <w:t>N</w:t>
      </w:r>
      <w:r w:rsidR="00A00E24" w:rsidRPr="00477AB0">
        <w:t xml:space="preserve">o fee </w:t>
      </w:r>
      <w:r w:rsidR="007D24ED" w:rsidRPr="00477AB0">
        <w:t>is</w:t>
      </w:r>
      <w:r w:rsidR="00A00E24" w:rsidRPr="00477AB0">
        <w:t xml:space="preserve"> payable to lodge an appeal to the CRAIE.</w:t>
      </w:r>
      <w:r w:rsidR="00D23F6C" w:rsidRPr="00477AB0">
        <w:t xml:space="preserve"> </w:t>
      </w:r>
      <w:r w:rsidR="00A00E24" w:rsidRPr="00477AB0">
        <w:t xml:space="preserve">While it </w:t>
      </w:r>
      <w:r w:rsidRPr="00477AB0">
        <w:t xml:space="preserve">was </w:t>
      </w:r>
      <w:r w:rsidR="00A00E24" w:rsidRPr="00477AB0">
        <w:t xml:space="preserve">the case that the communicants had to bring proceedings </w:t>
      </w:r>
      <w:r w:rsidR="00075B43" w:rsidRPr="00477AB0">
        <w:t xml:space="preserve">before a Justice of the Peace </w:t>
      </w:r>
      <w:r w:rsidR="00A00E24" w:rsidRPr="00477AB0">
        <w:t xml:space="preserve">to enforce the CRAIE decisions, there </w:t>
      </w:r>
      <w:r w:rsidR="00346852" w:rsidRPr="00477AB0">
        <w:t>was</w:t>
      </w:r>
      <w:r w:rsidR="00A00E24" w:rsidRPr="00477AB0">
        <w:t xml:space="preserve"> no requirement </w:t>
      </w:r>
      <w:r w:rsidR="007D24ED" w:rsidRPr="00477AB0">
        <w:t xml:space="preserve">under domestic law </w:t>
      </w:r>
      <w:r w:rsidR="00A00E24" w:rsidRPr="00477AB0">
        <w:t>to engage legal representation</w:t>
      </w:r>
      <w:r w:rsidR="00346852" w:rsidRPr="00477AB0">
        <w:t>.</w:t>
      </w:r>
      <w:r w:rsidR="00D23F6C" w:rsidRPr="00477AB0">
        <w:t xml:space="preserve"> </w:t>
      </w:r>
    </w:p>
    <w:p w14:paraId="3855D298" w14:textId="0DD55EEC" w:rsidR="00255392" w:rsidRPr="00477AB0" w:rsidRDefault="00CD5371" w:rsidP="00204A55">
      <w:pPr>
        <w:pStyle w:val="NumberedParas"/>
        <w:ind w:left="1134" w:firstLine="0"/>
        <w:rPr>
          <w:rFonts w:cstheme="majorBidi"/>
          <w:szCs w:val="20"/>
        </w:rPr>
      </w:pPr>
      <w:r w:rsidRPr="00477AB0">
        <w:t>T</w:t>
      </w:r>
      <w:r w:rsidR="00A00E24" w:rsidRPr="00477AB0">
        <w:t xml:space="preserve">he communicants have not disputed the </w:t>
      </w:r>
      <w:r w:rsidRPr="00477AB0">
        <w:t xml:space="preserve">Party </w:t>
      </w:r>
      <w:proofErr w:type="spellStart"/>
      <w:r w:rsidRPr="00477AB0">
        <w:t>concerned</w:t>
      </w:r>
      <w:r w:rsidR="00E42554" w:rsidRPr="00477AB0">
        <w:t>’s</w:t>
      </w:r>
      <w:proofErr w:type="spellEnd"/>
      <w:r w:rsidRPr="00477AB0">
        <w:t xml:space="preserve"> </w:t>
      </w:r>
      <w:r w:rsidR="00C91D90" w:rsidRPr="00477AB0">
        <w:t>statement</w:t>
      </w:r>
      <w:r w:rsidR="00A00E24" w:rsidRPr="00477AB0">
        <w:t xml:space="preserve"> that in most cases </w:t>
      </w:r>
      <w:r w:rsidRPr="00477AB0">
        <w:t xml:space="preserve">members of the public </w:t>
      </w:r>
      <w:r w:rsidR="00A00E24" w:rsidRPr="00477AB0">
        <w:t>do not engage legal representation for proceedings before the Justice of the Peace</w:t>
      </w:r>
      <w:r w:rsidR="00075B43" w:rsidRPr="00477AB0">
        <w:t xml:space="preserve"> </w:t>
      </w:r>
      <w:r w:rsidRPr="00477AB0">
        <w:t>nor</w:t>
      </w:r>
      <w:r w:rsidR="00075B43" w:rsidRPr="00477AB0">
        <w:t xml:space="preserve"> </w:t>
      </w:r>
      <w:r w:rsidR="007D24ED" w:rsidRPr="00477AB0">
        <w:t xml:space="preserve">that </w:t>
      </w:r>
      <w:r w:rsidR="00C91D90" w:rsidRPr="00477AB0">
        <w:t>if applicants’ proceedings are successful, they will recover the court fee and the cost of the court summons from the losing party</w:t>
      </w:r>
      <w:r w:rsidR="00346852" w:rsidRPr="00477AB0">
        <w:t xml:space="preserve">. </w:t>
      </w:r>
      <w:r w:rsidR="00255392" w:rsidRPr="00477AB0">
        <w:t xml:space="preserve">The communicants did indeed recover </w:t>
      </w:r>
      <w:r w:rsidRPr="00477AB0">
        <w:t>part of</w:t>
      </w:r>
      <w:r w:rsidR="00255392" w:rsidRPr="00477AB0">
        <w:t xml:space="preserve"> the costs </w:t>
      </w:r>
      <w:r w:rsidR="00255392" w:rsidRPr="00477AB0">
        <w:rPr>
          <w:rFonts w:cstheme="majorBidi"/>
          <w:szCs w:val="20"/>
        </w:rPr>
        <w:t>incurred in</w:t>
      </w:r>
      <w:r w:rsidR="00206795" w:rsidRPr="00477AB0">
        <w:rPr>
          <w:rFonts w:cstheme="majorBidi"/>
          <w:szCs w:val="20"/>
        </w:rPr>
        <w:t xml:space="preserve"> the</w:t>
      </w:r>
      <w:r w:rsidR="00075B43" w:rsidRPr="00477AB0">
        <w:rPr>
          <w:rFonts w:cstheme="majorBidi"/>
          <w:szCs w:val="20"/>
        </w:rPr>
        <w:t>ir</w:t>
      </w:r>
      <w:r w:rsidR="00206795" w:rsidRPr="00477AB0">
        <w:rPr>
          <w:rFonts w:cstheme="majorBidi"/>
          <w:szCs w:val="20"/>
        </w:rPr>
        <w:t xml:space="preserve"> proceedings </w:t>
      </w:r>
      <w:r w:rsidR="00255392" w:rsidRPr="00477AB0">
        <w:rPr>
          <w:rFonts w:cstheme="majorBidi"/>
          <w:szCs w:val="20"/>
        </w:rPr>
        <w:t>before the Justice of the Peace (</w:t>
      </w:r>
      <w:r w:rsidR="00F51634" w:rsidRPr="00477AB0">
        <w:rPr>
          <w:rFonts w:cstheme="majorBidi"/>
          <w:szCs w:val="20"/>
        </w:rPr>
        <w:t xml:space="preserve">see paras. </w:t>
      </w:r>
      <w:r w:rsidR="00F51634" w:rsidRPr="00477AB0">
        <w:rPr>
          <w:rFonts w:cstheme="majorBidi"/>
          <w:szCs w:val="20"/>
        </w:rPr>
        <w:fldChar w:fldCharType="begin"/>
      </w:r>
      <w:r w:rsidR="00F51634" w:rsidRPr="00477AB0">
        <w:rPr>
          <w:rFonts w:cstheme="majorBidi"/>
          <w:szCs w:val="20"/>
        </w:rPr>
        <w:instrText xml:space="preserve"> REF _Ref73023017 \r \h </w:instrText>
      </w:r>
      <w:r w:rsidR="00A471B4" w:rsidRPr="00477AB0">
        <w:rPr>
          <w:rFonts w:cstheme="majorBidi"/>
          <w:szCs w:val="20"/>
        </w:rPr>
        <w:instrText xml:space="preserve"> \* MERGEFORMAT </w:instrText>
      </w:r>
      <w:r w:rsidR="00F51634" w:rsidRPr="00477AB0">
        <w:rPr>
          <w:rFonts w:cstheme="majorBidi"/>
          <w:szCs w:val="20"/>
        </w:rPr>
      </w:r>
      <w:r w:rsidR="00F51634" w:rsidRPr="00477AB0">
        <w:rPr>
          <w:rFonts w:cstheme="majorBidi"/>
          <w:szCs w:val="20"/>
        </w:rPr>
        <w:fldChar w:fldCharType="separate"/>
      </w:r>
      <w:r w:rsidR="00450102">
        <w:rPr>
          <w:rFonts w:cstheme="majorBidi"/>
          <w:szCs w:val="20"/>
        </w:rPr>
        <w:t>34</w:t>
      </w:r>
      <w:r w:rsidR="00F51634" w:rsidRPr="00477AB0">
        <w:rPr>
          <w:rFonts w:cstheme="majorBidi"/>
          <w:szCs w:val="20"/>
        </w:rPr>
        <w:fldChar w:fldCharType="end"/>
      </w:r>
      <w:r w:rsidR="00F51634" w:rsidRPr="00477AB0">
        <w:rPr>
          <w:rFonts w:cstheme="majorBidi"/>
          <w:szCs w:val="20"/>
        </w:rPr>
        <w:t xml:space="preserve">, </w:t>
      </w:r>
      <w:r w:rsidR="00F51634" w:rsidRPr="00477AB0">
        <w:rPr>
          <w:rFonts w:cstheme="majorBidi"/>
          <w:szCs w:val="20"/>
        </w:rPr>
        <w:fldChar w:fldCharType="begin"/>
      </w:r>
      <w:r w:rsidR="00F51634" w:rsidRPr="00477AB0">
        <w:rPr>
          <w:rFonts w:cstheme="majorBidi"/>
          <w:szCs w:val="20"/>
        </w:rPr>
        <w:instrText xml:space="preserve"> REF _Ref508126737 \r \h </w:instrText>
      </w:r>
      <w:r w:rsidR="00A471B4" w:rsidRPr="00477AB0">
        <w:rPr>
          <w:rFonts w:cstheme="majorBidi"/>
          <w:szCs w:val="20"/>
        </w:rPr>
        <w:instrText xml:space="preserve"> \* MERGEFORMAT </w:instrText>
      </w:r>
      <w:r w:rsidR="00F51634" w:rsidRPr="00477AB0">
        <w:rPr>
          <w:rFonts w:cstheme="majorBidi"/>
          <w:szCs w:val="20"/>
        </w:rPr>
      </w:r>
      <w:r w:rsidR="00F51634" w:rsidRPr="00477AB0">
        <w:rPr>
          <w:rFonts w:cstheme="majorBidi"/>
          <w:szCs w:val="20"/>
        </w:rPr>
        <w:fldChar w:fldCharType="separate"/>
      </w:r>
      <w:r w:rsidR="00450102">
        <w:rPr>
          <w:rFonts w:cstheme="majorBidi"/>
          <w:szCs w:val="20"/>
        </w:rPr>
        <w:t>46</w:t>
      </w:r>
      <w:r w:rsidR="00F51634" w:rsidRPr="00477AB0">
        <w:rPr>
          <w:rFonts w:cstheme="majorBidi"/>
          <w:szCs w:val="20"/>
        </w:rPr>
        <w:fldChar w:fldCharType="end"/>
      </w:r>
      <w:r w:rsidR="00495C0F" w:rsidRPr="00477AB0">
        <w:rPr>
          <w:rFonts w:cstheme="majorBidi"/>
          <w:szCs w:val="20"/>
        </w:rPr>
        <w:t xml:space="preserve">, </w:t>
      </w:r>
      <w:r w:rsidR="00F51634" w:rsidRPr="00477AB0">
        <w:rPr>
          <w:rFonts w:cstheme="majorBidi"/>
          <w:szCs w:val="20"/>
        </w:rPr>
        <w:fldChar w:fldCharType="begin"/>
      </w:r>
      <w:r w:rsidR="00F51634" w:rsidRPr="00477AB0">
        <w:rPr>
          <w:rFonts w:cstheme="majorBidi"/>
          <w:szCs w:val="20"/>
        </w:rPr>
        <w:instrText xml:space="preserve"> REF _Ref73023024 \r \h </w:instrText>
      </w:r>
      <w:r w:rsidR="00A471B4" w:rsidRPr="00477AB0">
        <w:rPr>
          <w:rFonts w:cstheme="majorBidi"/>
          <w:szCs w:val="20"/>
        </w:rPr>
        <w:instrText xml:space="preserve"> \* MERGEFORMAT </w:instrText>
      </w:r>
      <w:r w:rsidR="00F51634" w:rsidRPr="00477AB0">
        <w:rPr>
          <w:rFonts w:cstheme="majorBidi"/>
          <w:szCs w:val="20"/>
        </w:rPr>
      </w:r>
      <w:r w:rsidR="00F51634" w:rsidRPr="00477AB0">
        <w:rPr>
          <w:rFonts w:cstheme="majorBidi"/>
          <w:szCs w:val="20"/>
        </w:rPr>
        <w:fldChar w:fldCharType="separate"/>
      </w:r>
      <w:r w:rsidR="00450102">
        <w:rPr>
          <w:rFonts w:cstheme="majorBidi"/>
          <w:szCs w:val="20"/>
        </w:rPr>
        <w:t>57</w:t>
      </w:r>
      <w:r w:rsidR="00F51634" w:rsidRPr="00477AB0">
        <w:rPr>
          <w:rFonts w:cstheme="majorBidi"/>
          <w:szCs w:val="20"/>
        </w:rPr>
        <w:fldChar w:fldCharType="end"/>
      </w:r>
      <w:r w:rsidR="00F51634" w:rsidRPr="00477AB0">
        <w:rPr>
          <w:rFonts w:cstheme="majorBidi"/>
          <w:szCs w:val="20"/>
        </w:rPr>
        <w:t xml:space="preserve"> above</w:t>
      </w:r>
      <w:r w:rsidR="00255392" w:rsidRPr="00477AB0">
        <w:rPr>
          <w:rFonts w:cstheme="majorBidi"/>
          <w:szCs w:val="20"/>
        </w:rPr>
        <w:t>).</w:t>
      </w:r>
      <w:r w:rsidR="00D23F6C" w:rsidRPr="00477AB0">
        <w:rPr>
          <w:rFonts w:cstheme="majorBidi"/>
          <w:szCs w:val="20"/>
        </w:rPr>
        <w:t xml:space="preserve"> </w:t>
      </w:r>
    </w:p>
    <w:p w14:paraId="5DEAAE15" w14:textId="79A9196E" w:rsidR="00AF49F2" w:rsidRPr="00477AB0" w:rsidRDefault="00AF49F2" w:rsidP="00204A55">
      <w:pPr>
        <w:pStyle w:val="NumberedParas"/>
        <w:ind w:left="1134" w:firstLine="0"/>
      </w:pPr>
      <w:r w:rsidRPr="00477AB0">
        <w:t xml:space="preserve">There may be certain cases </w:t>
      </w:r>
      <w:r w:rsidR="00E726C1" w:rsidRPr="00477AB0">
        <w:t xml:space="preserve">within the scope of article 9 of the Convention </w:t>
      </w:r>
      <w:r w:rsidRPr="00477AB0">
        <w:t xml:space="preserve">where it would not be reasonable to expect an applicant to proceed with court proceedings in the absence of professional legal representation due to a legal requirement to be represented by a lawyer before the court or due to the complexity of the legal or other matters under consideration. The Committee is satisfied, however, that this communication does not involve such a situation. </w:t>
      </w:r>
    </w:p>
    <w:p w14:paraId="5E605D9F" w14:textId="41DAB807" w:rsidR="00CA0858" w:rsidRPr="00477AB0" w:rsidRDefault="00346852" w:rsidP="00204A55">
      <w:pPr>
        <w:pStyle w:val="NumberedParas"/>
        <w:ind w:left="1134" w:firstLine="0"/>
      </w:pPr>
      <w:r w:rsidRPr="00477AB0">
        <w:rPr>
          <w:rFonts w:cstheme="majorBidi"/>
          <w:szCs w:val="20"/>
        </w:rPr>
        <w:t>Considering the situation as a whole, and</w:t>
      </w:r>
      <w:r w:rsidRPr="00477AB0">
        <w:t xml:space="preserve"> in particular the fact that there is no requirement to be represented by a lawyer in proceedings before the Justice of the Peace</w:t>
      </w:r>
      <w:r w:rsidR="00CD5371" w:rsidRPr="00477AB0">
        <w:t xml:space="preserve"> and that in most such proceedings members of the public are not legally represented</w:t>
      </w:r>
      <w:r w:rsidRPr="00477AB0">
        <w:t>, the Committee concludes that the costs involved in enforcing decisions</w:t>
      </w:r>
      <w:r w:rsidR="007D24ED" w:rsidRPr="00477AB0">
        <w:t xml:space="preserve"> </w:t>
      </w:r>
      <w:r w:rsidR="00CD5371" w:rsidRPr="00477AB0">
        <w:t xml:space="preserve">of the CRAIE </w:t>
      </w:r>
      <w:r w:rsidRPr="00477AB0">
        <w:t>cannot be considered to be prohibitively expensive.</w:t>
      </w:r>
    </w:p>
    <w:p w14:paraId="3FFB13D4" w14:textId="10B77037" w:rsidR="00BF1AC5" w:rsidRPr="00477AB0" w:rsidRDefault="00BF1AC5" w:rsidP="00204A55">
      <w:pPr>
        <w:pStyle w:val="NumberedParas"/>
        <w:ind w:left="1134" w:firstLine="0"/>
      </w:pPr>
      <w:r w:rsidRPr="00477AB0">
        <w:t xml:space="preserve">Based on the foregoing, the Committee finds that the Party concerned does not fail to comply with the requirement in article 9(4) to ensure that </w:t>
      </w:r>
      <w:r w:rsidR="00206795" w:rsidRPr="00477AB0">
        <w:t xml:space="preserve">the </w:t>
      </w:r>
      <w:r w:rsidRPr="00477AB0">
        <w:t xml:space="preserve">procedure </w:t>
      </w:r>
      <w:r w:rsidR="00284CCD" w:rsidRPr="00477AB0">
        <w:t xml:space="preserve">under article 9(1) </w:t>
      </w:r>
      <w:r w:rsidRPr="00477AB0">
        <w:t xml:space="preserve">for </w:t>
      </w:r>
      <w:r w:rsidR="00284CCD" w:rsidRPr="00477AB0">
        <w:t xml:space="preserve">the review of requests for </w:t>
      </w:r>
      <w:r w:rsidRPr="00477AB0">
        <w:t xml:space="preserve">access to </w:t>
      </w:r>
      <w:r w:rsidR="00284CCD" w:rsidRPr="00477AB0">
        <w:t xml:space="preserve">environmental </w:t>
      </w:r>
      <w:r w:rsidRPr="00477AB0">
        <w:t xml:space="preserve">information </w:t>
      </w:r>
      <w:r w:rsidR="00206795" w:rsidRPr="00477AB0">
        <w:t>is</w:t>
      </w:r>
      <w:r w:rsidRPr="00477AB0">
        <w:t xml:space="preserve"> not prohibitively expensive.</w:t>
      </w:r>
    </w:p>
    <w:p w14:paraId="67CF0BFC" w14:textId="76A9E740" w:rsidR="00D14D7D" w:rsidRPr="00477AB0" w:rsidRDefault="00D14D7D" w:rsidP="00204A55">
      <w:pPr>
        <w:pStyle w:val="Heading1"/>
        <w:ind w:left="1134" w:firstLine="0"/>
      </w:pPr>
      <w:r w:rsidRPr="00477AB0">
        <w:lastRenderedPageBreak/>
        <w:t xml:space="preserve">Conclusions </w:t>
      </w:r>
    </w:p>
    <w:p w14:paraId="69DDF7A5" w14:textId="437BD678" w:rsidR="00C65500" w:rsidRPr="00477AB0" w:rsidRDefault="00C65500" w:rsidP="00204A55">
      <w:pPr>
        <w:pStyle w:val="NumberedParas"/>
        <w:ind w:left="1134" w:firstLine="0"/>
      </w:pPr>
      <w:r w:rsidRPr="00477AB0">
        <w:t>The Committee finds that:</w:t>
      </w:r>
    </w:p>
    <w:p w14:paraId="00DF850D" w14:textId="7ACC121C" w:rsidR="0026435F" w:rsidRPr="00477AB0" w:rsidRDefault="0026435F" w:rsidP="00204A55">
      <w:pPr>
        <w:pStyle w:val="NumberedParas"/>
        <w:numPr>
          <w:ilvl w:val="1"/>
          <w:numId w:val="7"/>
        </w:numPr>
        <w:ind w:left="1134" w:firstLine="567"/>
      </w:pPr>
      <w:r w:rsidRPr="00477AB0">
        <w:t>By</w:t>
      </w:r>
      <w:r w:rsidR="00DE5E89" w:rsidRPr="00477AB0">
        <w:t xml:space="preserve"> failing to provide any response to the communicants’ three requests for access to environmental information within the one-month period, the Party concerned failed to comply with article 4(2) of the </w:t>
      </w:r>
      <w:proofErr w:type="gramStart"/>
      <w:r w:rsidR="00DE5E89" w:rsidRPr="00477AB0">
        <w:t>Convention;</w:t>
      </w:r>
      <w:proofErr w:type="gramEnd"/>
      <w:r w:rsidR="00D23F6C" w:rsidRPr="00477AB0">
        <w:t xml:space="preserve"> </w:t>
      </w:r>
    </w:p>
    <w:p w14:paraId="2B683E60" w14:textId="14648F2F" w:rsidR="00396F2F" w:rsidRPr="00477AB0" w:rsidRDefault="00396F2F" w:rsidP="00204A55">
      <w:pPr>
        <w:pStyle w:val="NumberedParas"/>
        <w:numPr>
          <w:ilvl w:val="1"/>
          <w:numId w:val="7"/>
        </w:numPr>
        <w:ind w:left="1134" w:firstLine="567"/>
      </w:pPr>
      <w:r w:rsidRPr="00477AB0">
        <w:t>By</w:t>
      </w:r>
      <w:r w:rsidR="00DE5E89" w:rsidRPr="00477AB0">
        <w:t xml:space="preserve"> </w:t>
      </w:r>
      <w:r w:rsidR="00BB189B" w:rsidRPr="00477AB0">
        <w:t>failing to respond at all to the communicants’ three written requests for environmental information, the Party concerned failed to comply with the requirements in article 4(7) to state the  reasons for the refusals, to provide refusals in writing where the information requests were in writing and to provide information on access to the relevant review procedures</w:t>
      </w:r>
      <w:r w:rsidR="00DE5E89" w:rsidRPr="00477AB0">
        <w:t>;</w:t>
      </w:r>
    </w:p>
    <w:p w14:paraId="5A8125AB" w14:textId="502E9E7B" w:rsidR="00911382" w:rsidRPr="00477AB0" w:rsidRDefault="00396F2F" w:rsidP="00204A55">
      <w:pPr>
        <w:pStyle w:val="NumberedParas"/>
        <w:numPr>
          <w:ilvl w:val="1"/>
          <w:numId w:val="7"/>
        </w:numPr>
        <w:ind w:left="1134" w:firstLine="567"/>
      </w:pPr>
      <w:r w:rsidRPr="00477AB0">
        <w:t xml:space="preserve">By </w:t>
      </w:r>
      <w:r w:rsidR="004A7732" w:rsidRPr="00477AB0">
        <w:t xml:space="preserve">failing to provide for an expeditious procedure for the review of the communicants’ three information requests, the Party concerned failed to comply with article 9(1) of the </w:t>
      </w:r>
      <w:proofErr w:type="gramStart"/>
      <w:r w:rsidR="004A7732" w:rsidRPr="00477AB0">
        <w:t>Convention;</w:t>
      </w:r>
      <w:proofErr w:type="gramEnd"/>
      <w:r w:rsidR="00D23F6C" w:rsidRPr="00477AB0">
        <w:t xml:space="preserve"> </w:t>
      </w:r>
    </w:p>
    <w:p w14:paraId="3B82A251" w14:textId="3C8D2F4B" w:rsidR="00396F2F" w:rsidRPr="00477AB0" w:rsidRDefault="00255392" w:rsidP="00204A55">
      <w:pPr>
        <w:pStyle w:val="NumberedParas"/>
        <w:numPr>
          <w:ilvl w:val="1"/>
          <w:numId w:val="7"/>
        </w:numPr>
        <w:ind w:left="1134" w:firstLine="567"/>
      </w:pPr>
      <w:r w:rsidRPr="00477AB0">
        <w:t xml:space="preserve">By </w:t>
      </w:r>
      <w:r w:rsidR="004A7732" w:rsidRPr="00477AB0">
        <w:rPr>
          <w:iCs/>
        </w:rPr>
        <w:t>failing to ensure a timely procedure and adequate and effective remedies for the review under article 9(1) of the communicants’ three information requests, the Party concerned failed to comply with article 9(4) of the Convention</w:t>
      </w:r>
      <w:r w:rsidR="00DE5E89" w:rsidRPr="00477AB0">
        <w:t>.</w:t>
      </w:r>
    </w:p>
    <w:p w14:paraId="7D41652B" w14:textId="141ECB53" w:rsidR="00EE538D" w:rsidRPr="00477AB0" w:rsidRDefault="00D14D7D" w:rsidP="00DE5E89">
      <w:pPr>
        <w:pStyle w:val="NumberedParas"/>
        <w:ind w:left="1134" w:firstLine="0"/>
      </w:pPr>
      <w:r w:rsidRPr="00477AB0">
        <w:tab/>
      </w:r>
      <w:r w:rsidR="003A3699">
        <w:t xml:space="preserve">Since </w:t>
      </w:r>
      <w:r w:rsidR="00DE5E89" w:rsidRPr="00477AB0">
        <w:t xml:space="preserve">no evidence has been put before </w:t>
      </w:r>
      <w:r w:rsidR="00D016F7" w:rsidRPr="00477AB0">
        <w:t xml:space="preserve">the Committee </w:t>
      </w:r>
      <w:r w:rsidR="00DE5E89" w:rsidRPr="00477AB0">
        <w:t>to demonstrate that the noncompliance found in the preceding paragraph is of a wide or systemic nature in the Party concerned</w:t>
      </w:r>
      <w:r w:rsidR="00CB03BE" w:rsidRPr="00477AB0">
        <w:t>, the Committee refrains from making any recommendations in this case.</w:t>
      </w:r>
    </w:p>
    <w:p w14:paraId="78639B58" w14:textId="475779F4" w:rsidR="006C5213" w:rsidRPr="008B0EFC" w:rsidRDefault="006C5213" w:rsidP="00204A55">
      <w:pPr>
        <w:pStyle w:val="NumberedParas"/>
        <w:numPr>
          <w:ilvl w:val="0"/>
          <w:numId w:val="0"/>
        </w:numPr>
        <w:ind w:left="1134"/>
      </w:pPr>
      <w:r w:rsidRPr="00477AB0">
        <w:tab/>
      </w:r>
      <w:r w:rsidRPr="00477AB0">
        <w:tab/>
      </w:r>
      <w:r w:rsidRPr="00477AB0">
        <w:tab/>
      </w:r>
      <w:r w:rsidRPr="00477AB0">
        <w:tab/>
        <w:t>____________</w:t>
      </w:r>
    </w:p>
    <w:p w14:paraId="4CE661AD" w14:textId="3D3E1718" w:rsidR="00EE538D" w:rsidRDefault="00EE538D" w:rsidP="00204A55">
      <w:pPr>
        <w:tabs>
          <w:tab w:val="left" w:pos="1701"/>
        </w:tabs>
        <w:suppressAutoHyphens/>
        <w:spacing w:line="240" w:lineRule="atLeast"/>
        <w:ind w:left="1134" w:right="521"/>
        <w:jc w:val="both"/>
        <w:rPr>
          <w:rFonts w:eastAsia="Times New Roman" w:cs="Times New Roman"/>
          <w:szCs w:val="20"/>
        </w:rPr>
      </w:pPr>
    </w:p>
    <w:sectPr w:rsidR="00EE538D" w:rsidSect="002F70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24AA" w14:textId="77777777" w:rsidR="002711C6" w:rsidRDefault="002711C6" w:rsidP="00D14D7D">
      <w:pPr>
        <w:spacing w:after="0"/>
      </w:pPr>
      <w:r>
        <w:separator/>
      </w:r>
    </w:p>
  </w:endnote>
  <w:endnote w:type="continuationSeparator" w:id="0">
    <w:p w14:paraId="23F5666F" w14:textId="77777777" w:rsidR="002711C6" w:rsidRDefault="002711C6" w:rsidP="00D14D7D">
      <w:pPr>
        <w:spacing w:after="0"/>
      </w:pPr>
      <w:r>
        <w:continuationSeparator/>
      </w:r>
    </w:p>
  </w:endnote>
  <w:endnote w:type="continuationNotice" w:id="1">
    <w:p w14:paraId="52C291C1" w14:textId="77777777" w:rsidR="002711C6" w:rsidRDefault="002711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404726"/>
      <w:docPartObj>
        <w:docPartGallery w:val="Page Numbers (Bottom of Page)"/>
        <w:docPartUnique/>
      </w:docPartObj>
    </w:sdtPr>
    <w:sdtEndPr>
      <w:rPr>
        <w:noProof/>
      </w:rPr>
    </w:sdtEndPr>
    <w:sdtContent>
      <w:p w14:paraId="4940C966" w14:textId="6F859B92" w:rsidR="00B12686" w:rsidRDefault="00B12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A4738" w14:textId="77777777" w:rsidR="00B12686" w:rsidRDefault="00B1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6867" w14:textId="77777777" w:rsidR="002711C6" w:rsidRDefault="002711C6" w:rsidP="00D14D7D">
      <w:pPr>
        <w:spacing w:after="0"/>
      </w:pPr>
      <w:r>
        <w:separator/>
      </w:r>
    </w:p>
  </w:footnote>
  <w:footnote w:type="continuationSeparator" w:id="0">
    <w:p w14:paraId="1445198B" w14:textId="77777777" w:rsidR="002711C6" w:rsidRDefault="002711C6" w:rsidP="00D14D7D">
      <w:pPr>
        <w:spacing w:after="0"/>
      </w:pPr>
      <w:r>
        <w:continuationSeparator/>
      </w:r>
    </w:p>
  </w:footnote>
  <w:footnote w:type="continuationNotice" w:id="1">
    <w:p w14:paraId="0522AE01" w14:textId="77777777" w:rsidR="002711C6" w:rsidRDefault="002711C6">
      <w:pPr>
        <w:spacing w:after="0"/>
      </w:pPr>
    </w:p>
  </w:footnote>
  <w:footnote w:id="2">
    <w:p w14:paraId="135983E4" w14:textId="5EADBD60" w:rsidR="00B21E33" w:rsidRPr="00341616" w:rsidRDefault="00B21E33" w:rsidP="004A7732">
      <w:pPr>
        <w:pStyle w:val="Footnotes"/>
      </w:pPr>
      <w:r w:rsidRPr="00341616">
        <w:rPr>
          <w:rStyle w:val="FootnoteReference"/>
          <w:szCs w:val="18"/>
        </w:rPr>
        <w:footnoteRef/>
      </w:r>
      <w:r>
        <w:t xml:space="preserve"> </w:t>
      </w:r>
      <w:r w:rsidRPr="00341616">
        <w:t>This section summarizes only the main facts, evidence and issues considered to be relevant to the question of compliance, as presented to and considered by the Committee.</w:t>
      </w:r>
    </w:p>
  </w:footnote>
  <w:footnote w:id="3">
    <w:p w14:paraId="104FA759" w14:textId="494EB082" w:rsidR="00B21E33" w:rsidRPr="00515273" w:rsidRDefault="00B21E33" w:rsidP="004A7732">
      <w:pPr>
        <w:pStyle w:val="Footnotes"/>
        <w:rPr>
          <w:lang w:val="en-US"/>
        </w:rPr>
      </w:pPr>
      <w:r w:rsidRPr="00341616">
        <w:rPr>
          <w:rStyle w:val="FootnoteReference"/>
          <w:szCs w:val="18"/>
        </w:rPr>
        <w:footnoteRef/>
      </w:r>
      <w:r w:rsidRPr="00341616">
        <w:t xml:space="preserve"> </w:t>
      </w:r>
      <w:r w:rsidRPr="00515273">
        <w:rPr>
          <w:lang w:val="en-US"/>
        </w:rPr>
        <w:t xml:space="preserve">Additional information from the Party concerned, 1 March 2018, p. </w:t>
      </w:r>
      <w:proofErr w:type="gramStart"/>
      <w:r>
        <w:rPr>
          <w:lang w:val="en-US"/>
        </w:rPr>
        <w:t>4;</w:t>
      </w:r>
      <w:proofErr w:type="gramEnd"/>
      <w:r w:rsidRPr="00B95158">
        <w:t xml:space="preserve"> </w:t>
      </w:r>
      <w:r>
        <w:t>Party’s reply to Committee’s questions, 15 August 2019, pp. 2-3</w:t>
      </w:r>
      <w:r w:rsidRPr="00515273">
        <w:rPr>
          <w:lang w:val="en-US"/>
        </w:rPr>
        <w:t>.</w:t>
      </w:r>
    </w:p>
  </w:footnote>
  <w:footnote w:id="4">
    <w:p w14:paraId="29A91460" w14:textId="38D5EDDF" w:rsidR="00B21E33" w:rsidRDefault="00B21E33" w:rsidP="00204A55">
      <w:pPr>
        <w:pStyle w:val="Footnotes"/>
      </w:pPr>
      <w:r>
        <w:rPr>
          <w:rStyle w:val="FootnoteReference"/>
        </w:rPr>
        <w:footnoteRef/>
      </w:r>
      <w:r>
        <w:t xml:space="preserve"> Party’s reply to Committee’s questions, 15 August 2019, pp. 3-4.</w:t>
      </w:r>
    </w:p>
  </w:footnote>
  <w:footnote w:id="5">
    <w:p w14:paraId="21A0F572" w14:textId="77B652E2" w:rsidR="00B21E33" w:rsidRPr="00515273" w:rsidRDefault="00B21E33" w:rsidP="00204A55">
      <w:pPr>
        <w:pStyle w:val="Footnotes"/>
        <w:rPr>
          <w:lang w:val="en-US"/>
        </w:rPr>
      </w:pPr>
      <w:r w:rsidRPr="00341616">
        <w:rPr>
          <w:rStyle w:val="FootnoteReference"/>
          <w:szCs w:val="18"/>
        </w:rPr>
        <w:footnoteRef/>
      </w:r>
      <w:r w:rsidRPr="00341616">
        <w:t xml:space="preserve"> </w:t>
      </w:r>
      <w:r>
        <w:rPr>
          <w:lang w:val="en-US"/>
        </w:rPr>
        <w:t>Party’s response</w:t>
      </w:r>
      <w:r w:rsidRPr="00515273">
        <w:rPr>
          <w:lang w:val="en-US"/>
        </w:rPr>
        <w:t xml:space="preserve">, p. 2 and additional information from the Party concerned, 1 March 2018, p. </w:t>
      </w:r>
      <w:r>
        <w:rPr>
          <w:lang w:val="en-US"/>
        </w:rPr>
        <w:t>4</w:t>
      </w:r>
      <w:r w:rsidRPr="00515273">
        <w:rPr>
          <w:lang w:val="en-US"/>
        </w:rPr>
        <w:t>.</w:t>
      </w:r>
    </w:p>
  </w:footnote>
  <w:footnote w:id="6">
    <w:p w14:paraId="66613FF3" w14:textId="1C49A9C7" w:rsidR="00B21E33" w:rsidRPr="00832906" w:rsidRDefault="00B21E33" w:rsidP="00204A55">
      <w:pPr>
        <w:pStyle w:val="Footnotes"/>
      </w:pPr>
      <w:r w:rsidRPr="00341616">
        <w:rPr>
          <w:rStyle w:val="FootnoteReference"/>
          <w:szCs w:val="18"/>
        </w:rPr>
        <w:footnoteRef/>
      </w:r>
      <w:r w:rsidRPr="00832906">
        <w:t xml:space="preserve"> Party’s response, p. 3.</w:t>
      </w:r>
    </w:p>
  </w:footnote>
  <w:footnote w:id="7">
    <w:p w14:paraId="2F35F64B" w14:textId="73F52FAD" w:rsidR="00B21E33" w:rsidRPr="00C90194" w:rsidRDefault="00B21E33" w:rsidP="00204A55">
      <w:pPr>
        <w:pStyle w:val="FootnoteText"/>
        <w:spacing w:after="0"/>
        <w:ind w:left="1134"/>
      </w:pPr>
      <w:r>
        <w:rPr>
          <w:rStyle w:val="FootnoteReference"/>
        </w:rPr>
        <w:footnoteRef/>
      </w:r>
      <w:r>
        <w:t xml:space="preserve"> </w:t>
      </w:r>
    </w:p>
  </w:footnote>
  <w:footnote w:id="8">
    <w:p w14:paraId="75589516" w14:textId="38CC4320" w:rsidR="00B21E33" w:rsidRPr="0069348F" w:rsidRDefault="00B21E33" w:rsidP="00204A55">
      <w:pPr>
        <w:pStyle w:val="Footnotes"/>
        <w:rPr>
          <w:lang w:val="en-IE"/>
        </w:rPr>
      </w:pPr>
      <w:r w:rsidRPr="00F42E9C">
        <w:rPr>
          <w:rStyle w:val="FootnoteReference"/>
          <w:szCs w:val="18"/>
        </w:rPr>
        <w:footnoteRef/>
      </w:r>
      <w:r w:rsidRPr="0069348F">
        <w:t xml:space="preserve"> Party’s reply to the questions posed by the Committee, 15 August 2019, pp</w:t>
      </w:r>
      <w:r>
        <w:t xml:space="preserve">. </w:t>
      </w:r>
      <w:r w:rsidRPr="0069348F">
        <w:t>9-10.</w:t>
      </w:r>
    </w:p>
  </w:footnote>
  <w:footnote w:id="9">
    <w:p w14:paraId="711B4462" w14:textId="175AC343" w:rsidR="00B21E33" w:rsidRDefault="00B21E33" w:rsidP="00204A55">
      <w:pPr>
        <w:pStyle w:val="Footnotes"/>
      </w:pPr>
      <w:r>
        <w:rPr>
          <w:rStyle w:val="FootnoteReference"/>
        </w:rPr>
        <w:footnoteRef/>
      </w:r>
      <w:r>
        <w:t xml:space="preserve"> Communication, p. 3. </w:t>
      </w:r>
    </w:p>
  </w:footnote>
  <w:footnote w:id="10">
    <w:p w14:paraId="6602D558" w14:textId="0F5C3361" w:rsidR="00B21E33" w:rsidRPr="00515273" w:rsidRDefault="00B21E33" w:rsidP="00204A55">
      <w:pPr>
        <w:pStyle w:val="Footnotes"/>
        <w:rPr>
          <w:lang w:val="en-US"/>
        </w:rPr>
      </w:pPr>
      <w:r w:rsidRPr="00341616">
        <w:rPr>
          <w:rStyle w:val="FootnoteReference"/>
          <w:szCs w:val="18"/>
        </w:rPr>
        <w:footnoteRef/>
      </w:r>
      <w:r w:rsidRPr="00341616">
        <w:t xml:space="preserve"> </w:t>
      </w:r>
      <w:r w:rsidRPr="00515273">
        <w:rPr>
          <w:lang w:val="en-US"/>
        </w:rPr>
        <w:t xml:space="preserve">Communication, p. </w:t>
      </w:r>
      <w:r>
        <w:rPr>
          <w:lang w:val="en-US"/>
        </w:rPr>
        <w:t>1</w:t>
      </w:r>
      <w:r w:rsidRPr="00515273">
        <w:rPr>
          <w:lang w:val="en-US"/>
        </w:rPr>
        <w:t xml:space="preserve"> and annex 1 (in French).</w:t>
      </w:r>
    </w:p>
  </w:footnote>
  <w:footnote w:id="11">
    <w:p w14:paraId="17A02D94" w14:textId="5102F4A9" w:rsidR="00B21E33" w:rsidRPr="00515273" w:rsidRDefault="00B21E33" w:rsidP="00204A55">
      <w:pPr>
        <w:pStyle w:val="Footnotes"/>
        <w:rPr>
          <w:lang w:val="en-US"/>
        </w:rPr>
      </w:pPr>
      <w:r w:rsidRPr="00341616">
        <w:rPr>
          <w:rStyle w:val="FootnoteReference"/>
          <w:szCs w:val="18"/>
        </w:rPr>
        <w:footnoteRef/>
      </w:r>
      <w:r w:rsidRPr="00341616">
        <w:t xml:space="preserve"> </w:t>
      </w:r>
      <w:r w:rsidRPr="00515273">
        <w:rPr>
          <w:lang w:val="en-US"/>
        </w:rPr>
        <w:t xml:space="preserve">Additional information from the communicants, </w:t>
      </w:r>
      <w:r>
        <w:rPr>
          <w:lang w:val="en-US"/>
        </w:rPr>
        <w:t>20 November</w:t>
      </w:r>
      <w:r w:rsidRPr="00515273">
        <w:rPr>
          <w:lang w:val="en-US"/>
        </w:rPr>
        <w:t xml:space="preserve"> 2015, p. 1.</w:t>
      </w:r>
    </w:p>
  </w:footnote>
  <w:footnote w:id="12">
    <w:p w14:paraId="03CC0CDB" w14:textId="38085B65" w:rsidR="00B21E33" w:rsidRPr="00515273" w:rsidRDefault="00B21E33" w:rsidP="00204A55">
      <w:pPr>
        <w:pStyle w:val="Footnotes"/>
        <w:rPr>
          <w:lang w:val="en-US"/>
        </w:rPr>
      </w:pPr>
      <w:r w:rsidRPr="00341616">
        <w:rPr>
          <w:rStyle w:val="FootnoteReference"/>
          <w:szCs w:val="18"/>
        </w:rPr>
        <w:footnoteRef/>
      </w:r>
      <w:r w:rsidRPr="00341616">
        <w:t xml:space="preserve"> </w:t>
      </w:r>
      <w:r w:rsidRPr="00515273">
        <w:rPr>
          <w:lang w:val="en-US"/>
        </w:rPr>
        <w:t xml:space="preserve">Communication, p. </w:t>
      </w:r>
      <w:r>
        <w:rPr>
          <w:lang w:val="en-US"/>
        </w:rPr>
        <w:t>2</w:t>
      </w:r>
      <w:r w:rsidRPr="00515273">
        <w:rPr>
          <w:lang w:val="en-US"/>
        </w:rPr>
        <w:t xml:space="preserve"> and annex 2 (in French).</w:t>
      </w:r>
    </w:p>
  </w:footnote>
  <w:footnote w:id="13">
    <w:p w14:paraId="49B646FD" w14:textId="2994DC0A" w:rsidR="00B21E33" w:rsidRPr="00515273" w:rsidRDefault="00B21E33" w:rsidP="00204A55">
      <w:pPr>
        <w:pStyle w:val="Footnotes"/>
        <w:rPr>
          <w:lang w:val="en-US"/>
        </w:rPr>
      </w:pPr>
      <w:r w:rsidRPr="00341616">
        <w:rPr>
          <w:rStyle w:val="FootnoteReference"/>
          <w:szCs w:val="18"/>
        </w:rPr>
        <w:footnoteRef/>
      </w:r>
      <w:r w:rsidRPr="00341616">
        <w:t xml:space="preserve"> </w:t>
      </w:r>
      <w:r w:rsidRPr="00515273">
        <w:rPr>
          <w:lang w:val="en-US"/>
        </w:rPr>
        <w:t xml:space="preserve">Communication, p. 2 and annex 3 (in French) and </w:t>
      </w:r>
      <w:r>
        <w:rPr>
          <w:lang w:val="en-US"/>
        </w:rPr>
        <w:t>a</w:t>
      </w:r>
      <w:r w:rsidRPr="00515273">
        <w:rPr>
          <w:lang w:val="en-US"/>
        </w:rPr>
        <w:t xml:space="preserve">dditional information from the communicants, </w:t>
      </w:r>
      <w:r>
        <w:rPr>
          <w:lang w:val="en-US"/>
        </w:rPr>
        <w:t>20 November 2015, p. 1</w:t>
      </w:r>
      <w:r w:rsidRPr="00515273">
        <w:rPr>
          <w:lang w:val="en-US"/>
        </w:rPr>
        <w:t>.</w:t>
      </w:r>
    </w:p>
  </w:footnote>
  <w:footnote w:id="14">
    <w:p w14:paraId="03514196" w14:textId="225E144A" w:rsidR="00B21E33" w:rsidRPr="008208E0" w:rsidRDefault="00B21E33" w:rsidP="00204A55">
      <w:pPr>
        <w:pStyle w:val="Footnotes"/>
        <w:rPr>
          <w:lang w:val="en-US"/>
        </w:rPr>
      </w:pPr>
      <w:r w:rsidRPr="00341616">
        <w:rPr>
          <w:rStyle w:val="FootnoteReference"/>
          <w:szCs w:val="18"/>
        </w:rPr>
        <w:footnoteRef/>
      </w:r>
      <w:r w:rsidRPr="00341616">
        <w:t xml:space="preserve"> </w:t>
      </w:r>
      <w:r w:rsidRPr="00515273">
        <w:rPr>
          <w:lang w:val="en-US"/>
        </w:rPr>
        <w:t xml:space="preserve">Additional information from the communicants, </w:t>
      </w:r>
      <w:r>
        <w:rPr>
          <w:lang w:val="en-US"/>
        </w:rPr>
        <w:t>20 November</w:t>
      </w:r>
      <w:r w:rsidRPr="00515273">
        <w:rPr>
          <w:lang w:val="en-US"/>
        </w:rPr>
        <w:t xml:space="preserve"> 2015, p. 1.</w:t>
      </w:r>
    </w:p>
  </w:footnote>
  <w:footnote w:id="15">
    <w:p w14:paraId="4D63E5E0" w14:textId="0E3D2930"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communicants, </w:t>
      </w:r>
      <w:r>
        <w:rPr>
          <w:lang w:val="en-US"/>
        </w:rPr>
        <w:t>20</w:t>
      </w:r>
      <w:r w:rsidRPr="008208E0">
        <w:rPr>
          <w:lang w:val="en-US"/>
        </w:rPr>
        <w:t xml:space="preserve"> November 2015, p. 2.</w:t>
      </w:r>
    </w:p>
  </w:footnote>
  <w:footnote w:id="16">
    <w:p w14:paraId="4DD71724" w14:textId="5B61C2CB"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communicants, </w:t>
      </w:r>
      <w:r>
        <w:rPr>
          <w:lang w:val="en-US"/>
        </w:rPr>
        <w:t>20 November</w:t>
      </w:r>
      <w:r w:rsidRPr="008208E0">
        <w:rPr>
          <w:lang w:val="en-US"/>
        </w:rPr>
        <w:t xml:space="preserve"> 2015, p. 2.</w:t>
      </w:r>
    </w:p>
  </w:footnote>
  <w:footnote w:id="17">
    <w:p w14:paraId="49EA483E" w14:textId="507AD3F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Communication, p. 1 and additional information from the communicants, </w:t>
      </w:r>
      <w:r>
        <w:rPr>
          <w:lang w:val="en-US"/>
        </w:rPr>
        <w:t>20 November</w:t>
      </w:r>
      <w:r w:rsidRPr="008208E0">
        <w:rPr>
          <w:lang w:val="en-US"/>
        </w:rPr>
        <w:t xml:space="preserve"> 2015, p. 2.</w:t>
      </w:r>
    </w:p>
  </w:footnote>
  <w:footnote w:id="18">
    <w:p w14:paraId="64A8CD20" w14:textId="13228BFE"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communicants, </w:t>
      </w:r>
      <w:r>
        <w:rPr>
          <w:lang w:val="en-US"/>
        </w:rPr>
        <w:t>20 November</w:t>
      </w:r>
      <w:r w:rsidRPr="008208E0">
        <w:rPr>
          <w:lang w:val="en-US"/>
        </w:rPr>
        <w:t xml:space="preserve"> 2015, p. 2.</w:t>
      </w:r>
    </w:p>
  </w:footnote>
  <w:footnote w:id="19">
    <w:p w14:paraId="300B32B4" w14:textId="294126D9" w:rsidR="00B21E33" w:rsidRPr="0069348F" w:rsidRDefault="00B21E33" w:rsidP="00204A55">
      <w:pPr>
        <w:pStyle w:val="Footnotes"/>
        <w:rPr>
          <w:lang w:val="en-IE"/>
        </w:rPr>
      </w:pPr>
      <w:r w:rsidRPr="00F42E9C">
        <w:rPr>
          <w:rStyle w:val="FootnoteReference"/>
          <w:szCs w:val="18"/>
        </w:rPr>
        <w:footnoteRef/>
      </w:r>
      <w:r w:rsidRPr="0069348F">
        <w:t xml:space="preserve"> Communicants’ response to questions posed by the Committee, 14 August 2019, p. 2.</w:t>
      </w:r>
    </w:p>
  </w:footnote>
  <w:footnote w:id="20">
    <w:p w14:paraId="778330EA" w14:textId="2F6139E9"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Communication, p. 2 and additional information from the communicants, </w:t>
      </w:r>
      <w:r>
        <w:rPr>
          <w:lang w:val="en-US"/>
        </w:rPr>
        <w:t>20 November</w:t>
      </w:r>
      <w:r w:rsidRPr="008208E0">
        <w:rPr>
          <w:lang w:val="en-US"/>
        </w:rPr>
        <w:t xml:space="preserve"> 2015, p. 2.</w:t>
      </w:r>
    </w:p>
  </w:footnote>
  <w:footnote w:id="21">
    <w:p w14:paraId="33FEE952" w14:textId="3FF760AF"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8208E0">
        <w:rPr>
          <w:lang w:val="en-US"/>
        </w:rPr>
        <w:t xml:space="preserve">, </w:t>
      </w:r>
      <w:r>
        <w:rPr>
          <w:lang w:val="en-US"/>
        </w:rPr>
        <w:t>20 November</w:t>
      </w:r>
      <w:r w:rsidRPr="008208E0">
        <w:rPr>
          <w:lang w:val="en-US"/>
        </w:rPr>
        <w:t xml:space="preserve"> 2015, p. 2.</w:t>
      </w:r>
    </w:p>
  </w:footnote>
  <w:footnote w:id="22">
    <w:p w14:paraId="6452F865" w14:textId="77212F06"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2.</w:t>
      </w:r>
    </w:p>
  </w:footnote>
  <w:footnote w:id="23">
    <w:p w14:paraId="06660E97" w14:textId="1044E687"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8208E0">
        <w:rPr>
          <w:lang w:val="en-US"/>
        </w:rPr>
        <w:t xml:space="preserve">, </w:t>
      </w:r>
      <w:r>
        <w:rPr>
          <w:lang w:val="en-US"/>
        </w:rPr>
        <w:t>20 November</w:t>
      </w:r>
      <w:r w:rsidRPr="008208E0">
        <w:rPr>
          <w:lang w:val="en-US"/>
        </w:rPr>
        <w:t xml:space="preserve"> 2015, pp. 2-3.</w:t>
      </w:r>
    </w:p>
  </w:footnote>
  <w:footnote w:id="24">
    <w:p w14:paraId="28AE5260" w14:textId="3E4C916D"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Communication, p. 2 and additional information from the communicants, </w:t>
      </w:r>
      <w:r>
        <w:rPr>
          <w:lang w:val="en-US"/>
        </w:rPr>
        <w:t>20 November</w:t>
      </w:r>
      <w:r w:rsidRPr="008208E0">
        <w:rPr>
          <w:lang w:val="en-US"/>
        </w:rPr>
        <w:t xml:space="preserve"> 2015, p. 3.</w:t>
      </w:r>
    </w:p>
  </w:footnote>
  <w:footnote w:id="25">
    <w:p w14:paraId="01C4C86C" w14:textId="1A73C7E9"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communicants, </w:t>
      </w:r>
      <w:r>
        <w:rPr>
          <w:lang w:val="en-US"/>
        </w:rPr>
        <w:t>20 November</w:t>
      </w:r>
      <w:r w:rsidRPr="008208E0">
        <w:rPr>
          <w:lang w:val="en-US"/>
        </w:rPr>
        <w:t xml:space="preserve"> 2015, p. 3.</w:t>
      </w:r>
    </w:p>
  </w:footnote>
  <w:footnote w:id="26">
    <w:p w14:paraId="30255736" w14:textId="66C8E9CB"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communicants, </w:t>
      </w:r>
      <w:r>
        <w:rPr>
          <w:lang w:val="en-US"/>
        </w:rPr>
        <w:t>20 November</w:t>
      </w:r>
      <w:r w:rsidRPr="008208E0">
        <w:rPr>
          <w:lang w:val="en-US"/>
        </w:rPr>
        <w:t xml:space="preserve"> 2015, p. 3.</w:t>
      </w:r>
    </w:p>
  </w:footnote>
  <w:footnote w:id="27">
    <w:p w14:paraId="64FE6E30" w14:textId="44BDFAC5"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communicants, </w:t>
      </w:r>
      <w:r>
        <w:rPr>
          <w:lang w:val="en-US"/>
        </w:rPr>
        <w:t>20 November</w:t>
      </w:r>
      <w:r w:rsidRPr="008208E0">
        <w:rPr>
          <w:lang w:val="en-US"/>
        </w:rPr>
        <w:t xml:space="preserve"> 2015, p. 3.</w:t>
      </w:r>
    </w:p>
  </w:footnote>
  <w:footnote w:id="28">
    <w:p w14:paraId="4F6F223A" w14:textId="474A323B" w:rsidR="00B21E33" w:rsidRPr="008208E0" w:rsidRDefault="00B21E33" w:rsidP="00204A55">
      <w:pPr>
        <w:pStyle w:val="Footnotes"/>
        <w:rPr>
          <w:lang w:val="en-US"/>
        </w:rPr>
      </w:pPr>
      <w:r>
        <w:rPr>
          <w:rStyle w:val="FootnoteReference"/>
        </w:rPr>
        <w:footnoteRef/>
      </w:r>
      <w:r>
        <w:t xml:space="preserve"> </w:t>
      </w:r>
      <w:r w:rsidRPr="008208E0">
        <w:rPr>
          <w:lang w:val="en-US"/>
        </w:rPr>
        <w:t xml:space="preserve">Additional information from the communicants, </w:t>
      </w:r>
      <w:r>
        <w:rPr>
          <w:lang w:val="en-US"/>
        </w:rPr>
        <w:t>20 November</w:t>
      </w:r>
      <w:r w:rsidRPr="008208E0">
        <w:rPr>
          <w:lang w:val="en-US"/>
        </w:rPr>
        <w:t xml:space="preserve"> 2015, p. 3.</w:t>
      </w:r>
    </w:p>
  </w:footnote>
  <w:footnote w:id="29">
    <w:p w14:paraId="7412A42D" w14:textId="4B763D9D" w:rsidR="00B21E33" w:rsidRPr="008208E0" w:rsidRDefault="00B21E33" w:rsidP="00204A55">
      <w:pPr>
        <w:pStyle w:val="Footnotes"/>
        <w:rPr>
          <w:lang w:val="en-US"/>
        </w:rPr>
      </w:pPr>
      <w:r>
        <w:rPr>
          <w:rStyle w:val="FootnoteReference"/>
        </w:rPr>
        <w:footnoteRef/>
      </w:r>
      <w:r>
        <w:t xml:space="preserve"> </w:t>
      </w:r>
      <w:r w:rsidRPr="008208E0">
        <w:rPr>
          <w:lang w:val="en-US"/>
        </w:rPr>
        <w:t>Letter from the communicants, 27 September 2016, p. 4.</w:t>
      </w:r>
    </w:p>
  </w:footnote>
  <w:footnote w:id="30">
    <w:p w14:paraId="79C38632" w14:textId="3B46FC5C" w:rsidR="00B21E33" w:rsidRPr="008208E0" w:rsidRDefault="00B21E33" w:rsidP="00204A55">
      <w:pPr>
        <w:pStyle w:val="Footnotes"/>
        <w:rPr>
          <w:lang w:val="en-US"/>
        </w:rPr>
      </w:pPr>
      <w:r>
        <w:rPr>
          <w:rStyle w:val="FootnoteReference"/>
        </w:rPr>
        <w:footnoteRef/>
      </w:r>
      <w:r>
        <w:t xml:space="preserve"> </w:t>
      </w:r>
      <w:r w:rsidRPr="008208E0">
        <w:rPr>
          <w:lang w:val="en-US"/>
        </w:rPr>
        <w:t>Letter from the communicants, 27 September 2016, p. 4.</w:t>
      </w:r>
    </w:p>
  </w:footnote>
  <w:footnote w:id="31">
    <w:p w14:paraId="595964E3" w14:textId="5DC0437F"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Letter from the communicants, 27 September 2016, p. 5.</w:t>
      </w:r>
    </w:p>
  </w:footnote>
  <w:footnote w:id="32">
    <w:p w14:paraId="6FEF556A" w14:textId="372DAC54"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Communication, p. 2 and </w:t>
      </w:r>
      <w:r>
        <w:rPr>
          <w:lang w:val="en-US"/>
        </w:rPr>
        <w:t>a</w:t>
      </w:r>
      <w:r w:rsidRPr="008208E0">
        <w:rPr>
          <w:lang w:val="en-US"/>
        </w:rPr>
        <w:t xml:space="preserve">dditional information from the communicants, </w:t>
      </w:r>
      <w:r>
        <w:rPr>
          <w:lang w:val="en-US"/>
        </w:rPr>
        <w:t>20 November</w:t>
      </w:r>
      <w:r w:rsidRPr="008208E0">
        <w:rPr>
          <w:lang w:val="en-US"/>
        </w:rPr>
        <w:t xml:space="preserve"> 2015, p. 3.</w:t>
      </w:r>
    </w:p>
  </w:footnote>
  <w:footnote w:id="33">
    <w:p w14:paraId="0AE76655" w14:textId="6E38E4DC"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8208E0">
        <w:rPr>
          <w:lang w:val="en-US"/>
        </w:rPr>
        <w:t xml:space="preserve">, </w:t>
      </w:r>
      <w:r>
        <w:rPr>
          <w:lang w:val="en-US"/>
        </w:rPr>
        <w:t>20 November</w:t>
      </w:r>
      <w:r w:rsidRPr="008208E0">
        <w:rPr>
          <w:lang w:val="en-US"/>
        </w:rPr>
        <w:t xml:space="preserve"> 2015, p. 3.</w:t>
      </w:r>
    </w:p>
  </w:footnote>
  <w:footnote w:id="34">
    <w:p w14:paraId="7B150C81" w14:textId="397422EE"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013E70">
        <w:rPr>
          <w:lang w:val="en-US"/>
        </w:rPr>
        <w:t xml:space="preserve">, </w:t>
      </w:r>
      <w:r>
        <w:rPr>
          <w:lang w:val="en-US"/>
        </w:rPr>
        <w:t>20 November</w:t>
      </w:r>
      <w:r w:rsidRPr="00013E70">
        <w:rPr>
          <w:lang w:val="en-US"/>
        </w:rPr>
        <w:t xml:space="preserve"> 2015, p. 3.</w:t>
      </w:r>
    </w:p>
  </w:footnote>
  <w:footnote w:id="35">
    <w:p w14:paraId="2A33BD74" w14:textId="17B0BDAA"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8208E0">
        <w:rPr>
          <w:lang w:val="en-US"/>
        </w:rPr>
        <w:t xml:space="preserve">, </w:t>
      </w:r>
      <w:r>
        <w:rPr>
          <w:lang w:val="en-US"/>
        </w:rPr>
        <w:t>20 November</w:t>
      </w:r>
      <w:r w:rsidRPr="008208E0">
        <w:rPr>
          <w:lang w:val="en-US"/>
        </w:rPr>
        <w:t xml:space="preserve"> 2015, p. 4.</w:t>
      </w:r>
    </w:p>
  </w:footnote>
  <w:footnote w:id="36">
    <w:p w14:paraId="09E84C4C" w14:textId="7268F267"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8208E0">
        <w:rPr>
          <w:lang w:val="en-US"/>
        </w:rPr>
        <w:t xml:space="preserve">, </w:t>
      </w:r>
      <w:r>
        <w:rPr>
          <w:lang w:val="en-US"/>
        </w:rPr>
        <w:t>20 November</w:t>
      </w:r>
      <w:r w:rsidRPr="008208E0">
        <w:rPr>
          <w:lang w:val="en-US"/>
        </w:rPr>
        <w:t xml:space="preserve"> 2015, p. 4.</w:t>
      </w:r>
    </w:p>
  </w:footnote>
  <w:footnote w:id="37">
    <w:p w14:paraId="6786A431" w14:textId="3F285CD8"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Communication, p. 2 and </w:t>
      </w:r>
      <w:r w:rsidRPr="00341616">
        <w:t>Additional information from the communicants</w:t>
      </w:r>
      <w:r w:rsidRPr="008208E0">
        <w:rPr>
          <w:lang w:val="en-US"/>
        </w:rPr>
        <w:t xml:space="preserve">, </w:t>
      </w:r>
      <w:r>
        <w:rPr>
          <w:lang w:val="en-US"/>
        </w:rPr>
        <w:t>20 November</w:t>
      </w:r>
      <w:r w:rsidRPr="008208E0">
        <w:rPr>
          <w:lang w:val="en-US"/>
        </w:rPr>
        <w:t xml:space="preserve"> 2015, p. 4.</w:t>
      </w:r>
    </w:p>
  </w:footnote>
  <w:footnote w:id="38">
    <w:p w14:paraId="3D95D780" w14:textId="0A7E9507" w:rsidR="00B21E33" w:rsidRPr="008208E0" w:rsidRDefault="00B21E33" w:rsidP="00204A55">
      <w:pPr>
        <w:pStyle w:val="Footnotes"/>
        <w:rPr>
          <w:lang w:val="en-US"/>
        </w:rPr>
      </w:pPr>
      <w:r w:rsidRPr="00341616">
        <w:rPr>
          <w:rStyle w:val="FootnoteReference"/>
          <w:szCs w:val="18"/>
        </w:rPr>
        <w:footnoteRef/>
      </w:r>
      <w:r w:rsidRPr="00341616">
        <w:t xml:space="preserve"> Additional information from the communicants</w:t>
      </w:r>
      <w:r w:rsidRPr="008208E0">
        <w:rPr>
          <w:lang w:val="en-US"/>
        </w:rPr>
        <w:t xml:space="preserve">, </w:t>
      </w:r>
      <w:r>
        <w:rPr>
          <w:lang w:val="en-US"/>
        </w:rPr>
        <w:t>20 November</w:t>
      </w:r>
      <w:r w:rsidRPr="008208E0">
        <w:rPr>
          <w:lang w:val="en-US"/>
        </w:rPr>
        <w:t xml:space="preserve"> 2015, p. 4.</w:t>
      </w:r>
    </w:p>
  </w:footnote>
  <w:footnote w:id="39">
    <w:p w14:paraId="7AE7DA69" w14:textId="3527D6C1" w:rsidR="00B21E33" w:rsidRPr="0026435F" w:rsidRDefault="00B21E33" w:rsidP="00204A55">
      <w:pPr>
        <w:pStyle w:val="Footnotes"/>
        <w:rPr>
          <w:lang w:val="en-US"/>
        </w:rPr>
      </w:pPr>
      <w:r w:rsidRPr="0026435F">
        <w:rPr>
          <w:rStyle w:val="FootnoteReference"/>
          <w:szCs w:val="18"/>
        </w:rPr>
        <w:footnoteRef/>
      </w:r>
      <w:r w:rsidRPr="0026435F">
        <w:t xml:space="preserve"> Additional information from the communicants</w:t>
      </w:r>
      <w:r w:rsidRPr="0026435F">
        <w:rPr>
          <w:lang w:val="en-US"/>
        </w:rPr>
        <w:t>, 20 November 2015, p. 4.</w:t>
      </w:r>
    </w:p>
  </w:footnote>
  <w:footnote w:id="40">
    <w:p w14:paraId="3BE67893" w14:textId="5A60DE39" w:rsidR="00B21E33" w:rsidRDefault="00B21E33" w:rsidP="00204A55">
      <w:pPr>
        <w:pStyle w:val="Footnotes"/>
      </w:pPr>
      <w:r>
        <w:rPr>
          <w:rStyle w:val="FootnoteReference"/>
        </w:rPr>
        <w:footnoteRef/>
      </w:r>
      <w:r>
        <w:t xml:space="preserve"> Additional information from the communicants, 7 October 2020, p. 4.</w:t>
      </w:r>
    </w:p>
  </w:footnote>
  <w:footnote w:id="41">
    <w:p w14:paraId="0FEEC83E" w14:textId="31E3D848" w:rsidR="00B21E33" w:rsidRPr="00FD0A66" w:rsidRDefault="00B21E33" w:rsidP="00204A55">
      <w:pPr>
        <w:pStyle w:val="Footnotes"/>
        <w:rPr>
          <w:lang w:val="en-IE"/>
        </w:rPr>
      </w:pPr>
      <w:r w:rsidRPr="0026435F">
        <w:rPr>
          <w:rStyle w:val="FootnoteReference"/>
          <w:szCs w:val="18"/>
        </w:rPr>
        <w:footnoteRef/>
      </w:r>
      <w:r w:rsidRPr="00FD0A66">
        <w:t xml:space="preserve"> </w:t>
      </w:r>
      <w:r>
        <w:t>Additional information from the communicants, 7 October 2020, pp. 4-5.</w:t>
      </w:r>
    </w:p>
  </w:footnote>
  <w:footnote w:id="42">
    <w:p w14:paraId="528D5681"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5 and additional information from the communicant, 20 November 2015, p. 4.</w:t>
      </w:r>
    </w:p>
  </w:footnote>
  <w:footnote w:id="43">
    <w:p w14:paraId="133C734D"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6, additional information from the communicant, 20 November 2015, p. 4 and additional information from the communicant, 13 June 2016.</w:t>
      </w:r>
    </w:p>
  </w:footnote>
  <w:footnote w:id="44">
    <w:p w14:paraId="111FFBAF"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communicant, 20 November 2015, p. 4.</w:t>
      </w:r>
    </w:p>
  </w:footnote>
  <w:footnote w:id="45">
    <w:p w14:paraId="2C6F559E" w14:textId="16B7E74C"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5.</w:t>
      </w:r>
    </w:p>
  </w:footnote>
  <w:footnote w:id="46">
    <w:p w14:paraId="78A53E02" w14:textId="10F0E939" w:rsidR="00B21E33" w:rsidRPr="0069348F" w:rsidRDefault="00B21E33" w:rsidP="00204A55">
      <w:pPr>
        <w:pStyle w:val="Footnotes"/>
        <w:rPr>
          <w:lang w:val="en-IE"/>
        </w:rPr>
      </w:pPr>
      <w:r>
        <w:rPr>
          <w:rStyle w:val="FootnoteReference"/>
        </w:rPr>
        <w:footnoteRef/>
      </w:r>
      <w:r>
        <w:t xml:space="preserve"> </w:t>
      </w:r>
      <w:r w:rsidRPr="001C2BEF">
        <w:t>Party’s reply to the questions posed by the Committee, 15 August 2019, p</w:t>
      </w:r>
      <w:r>
        <w:t>. 13</w:t>
      </w:r>
      <w:r w:rsidRPr="001C2BEF">
        <w:t>.</w:t>
      </w:r>
    </w:p>
  </w:footnote>
  <w:footnote w:id="47">
    <w:p w14:paraId="1A5E5818" w14:textId="619DF971" w:rsidR="00B21E33" w:rsidRPr="0069348F" w:rsidRDefault="00B21E33" w:rsidP="00204A55">
      <w:pPr>
        <w:pStyle w:val="Footnotes"/>
        <w:rPr>
          <w:lang w:val="en-IE"/>
        </w:rPr>
      </w:pPr>
      <w:r>
        <w:rPr>
          <w:rStyle w:val="FootnoteReference"/>
        </w:rPr>
        <w:footnoteRef/>
      </w:r>
      <w:r>
        <w:t xml:space="preserve"> </w:t>
      </w:r>
      <w:r w:rsidRPr="001C2BEF">
        <w:t>Party’s reply to the questions posed by the Committee, 15 August 2019, p</w:t>
      </w:r>
      <w:r>
        <w:t>. 13</w:t>
      </w:r>
      <w:r w:rsidRPr="001C2BEF">
        <w:t>.</w:t>
      </w:r>
    </w:p>
  </w:footnote>
  <w:footnote w:id="48">
    <w:p w14:paraId="696D0C2E" w14:textId="45481CC9"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4.</w:t>
      </w:r>
    </w:p>
  </w:footnote>
  <w:footnote w:id="49">
    <w:p w14:paraId="31464786"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2.</w:t>
      </w:r>
    </w:p>
  </w:footnote>
  <w:footnote w:id="50">
    <w:p w14:paraId="55410C55" w14:textId="3940F4C5"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 2.</w:t>
      </w:r>
    </w:p>
  </w:footnote>
  <w:footnote w:id="51">
    <w:p w14:paraId="76DFD58D" w14:textId="5F2BCFA0" w:rsidR="00B21E33" w:rsidRPr="008208E0" w:rsidRDefault="00B21E33" w:rsidP="00204A55">
      <w:pPr>
        <w:pStyle w:val="Footnotes"/>
        <w:rPr>
          <w:lang w:val="en-US"/>
        </w:rPr>
      </w:pPr>
      <w:r w:rsidRPr="00341616">
        <w:rPr>
          <w:rStyle w:val="FootnoteReference"/>
          <w:szCs w:val="18"/>
        </w:rPr>
        <w:footnoteRef/>
      </w:r>
      <w:r w:rsidRPr="00341616">
        <w:t xml:space="preserve"> </w:t>
      </w:r>
      <w:r>
        <w:rPr>
          <w:lang w:val="en-US"/>
        </w:rPr>
        <w:t>Party’s response</w:t>
      </w:r>
      <w:r w:rsidRPr="008208E0">
        <w:rPr>
          <w:lang w:val="en-US"/>
        </w:rPr>
        <w:t>, p. 5 and additional information from the Party concerned, 1 March 2018, p</w:t>
      </w:r>
      <w:r>
        <w:rPr>
          <w:lang w:val="en-US"/>
        </w:rPr>
        <w:t>p</w:t>
      </w:r>
      <w:r w:rsidRPr="008208E0">
        <w:rPr>
          <w:lang w:val="en-US"/>
        </w:rPr>
        <w:t xml:space="preserve">. </w:t>
      </w:r>
      <w:r>
        <w:rPr>
          <w:lang w:val="en-US"/>
        </w:rPr>
        <w:t>2-4</w:t>
      </w:r>
      <w:r w:rsidRPr="008208E0">
        <w:rPr>
          <w:lang w:val="en-US"/>
        </w:rPr>
        <w:t>.</w:t>
      </w:r>
    </w:p>
  </w:footnote>
  <w:footnote w:id="52">
    <w:p w14:paraId="6737F775" w14:textId="11B85BAB" w:rsidR="00B21E33" w:rsidRPr="00EA7194" w:rsidRDefault="00B21E33" w:rsidP="00204A55">
      <w:pPr>
        <w:pStyle w:val="Footnotes"/>
        <w:rPr>
          <w:lang w:val="en-US"/>
        </w:rPr>
      </w:pPr>
      <w:r w:rsidRPr="00341616">
        <w:rPr>
          <w:rStyle w:val="FootnoteReference"/>
          <w:szCs w:val="18"/>
        </w:rPr>
        <w:footnoteRef/>
      </w:r>
      <w:r w:rsidRPr="00341616">
        <w:t xml:space="preserve"> </w:t>
      </w:r>
      <w:r>
        <w:rPr>
          <w:lang w:val="en-US"/>
        </w:rPr>
        <w:t>Party’s response</w:t>
      </w:r>
      <w:r w:rsidRPr="00EA7194">
        <w:rPr>
          <w:lang w:val="en-US"/>
        </w:rPr>
        <w:t xml:space="preserve">, p. 5 and </w:t>
      </w:r>
      <w:r w:rsidRPr="00341616">
        <w:t>a</w:t>
      </w:r>
      <w:proofErr w:type="spellStart"/>
      <w:r w:rsidRPr="00EA7194">
        <w:rPr>
          <w:lang w:val="en-US"/>
        </w:rPr>
        <w:t>dditional</w:t>
      </w:r>
      <w:proofErr w:type="spellEnd"/>
      <w:r w:rsidRPr="00EA7194">
        <w:rPr>
          <w:lang w:val="en-US"/>
        </w:rPr>
        <w:t xml:space="preserve"> information from the Par</w:t>
      </w:r>
      <w:r>
        <w:rPr>
          <w:lang w:val="en-US"/>
        </w:rPr>
        <w:t>ty concerned, 1 March 2018, p. 3</w:t>
      </w:r>
      <w:r w:rsidRPr="00EA7194">
        <w:rPr>
          <w:lang w:val="en-US"/>
        </w:rPr>
        <w:t>.</w:t>
      </w:r>
    </w:p>
  </w:footnote>
  <w:footnote w:id="53">
    <w:p w14:paraId="6E13A6C9" w14:textId="77089CEA" w:rsidR="00B21E33" w:rsidRPr="008208E0" w:rsidRDefault="00B21E33" w:rsidP="00204A55">
      <w:pPr>
        <w:pStyle w:val="Footnotes"/>
        <w:rPr>
          <w:lang w:val="en-US"/>
        </w:rPr>
      </w:pPr>
      <w:r w:rsidRPr="00341616">
        <w:rPr>
          <w:rStyle w:val="FootnoteReference"/>
          <w:szCs w:val="18"/>
        </w:rPr>
        <w:footnoteRef/>
      </w:r>
      <w:r w:rsidRPr="00341616">
        <w:t xml:space="preserve"> </w:t>
      </w:r>
      <w:r>
        <w:rPr>
          <w:lang w:val="en-US"/>
        </w:rPr>
        <w:t>Party’s response</w:t>
      </w:r>
      <w:r w:rsidRPr="008208E0">
        <w:rPr>
          <w:lang w:val="en-US"/>
        </w:rPr>
        <w:t xml:space="preserve">, p. 5 and </w:t>
      </w:r>
      <w:r w:rsidRPr="00341616">
        <w:t>a</w:t>
      </w:r>
      <w:proofErr w:type="spellStart"/>
      <w:r w:rsidRPr="008208E0">
        <w:rPr>
          <w:lang w:val="en-US"/>
        </w:rPr>
        <w:t>dditional</w:t>
      </w:r>
      <w:proofErr w:type="spellEnd"/>
      <w:r w:rsidRPr="008208E0">
        <w:rPr>
          <w:lang w:val="en-US"/>
        </w:rPr>
        <w:t xml:space="preserve"> information from the Party concerned, 1 March 2018, p. </w:t>
      </w:r>
      <w:r>
        <w:rPr>
          <w:lang w:val="en-US"/>
        </w:rPr>
        <w:t>3</w:t>
      </w:r>
      <w:r w:rsidRPr="008208E0">
        <w:rPr>
          <w:lang w:val="en-US"/>
        </w:rPr>
        <w:t>.</w:t>
      </w:r>
    </w:p>
  </w:footnote>
  <w:footnote w:id="54">
    <w:p w14:paraId="72074D9F" w14:textId="3C37DDFC" w:rsidR="00B21E33" w:rsidRPr="008208E0" w:rsidRDefault="00B21E33" w:rsidP="00204A55">
      <w:pPr>
        <w:pStyle w:val="Footnotes"/>
        <w:rPr>
          <w:lang w:val="en-US"/>
        </w:rPr>
      </w:pPr>
      <w:r>
        <w:rPr>
          <w:rStyle w:val="FootnoteReference"/>
        </w:rPr>
        <w:footnoteRef/>
      </w:r>
      <w:r>
        <w:t xml:space="preserve"> A</w:t>
      </w:r>
      <w:proofErr w:type="spellStart"/>
      <w:r w:rsidRPr="00EA7194">
        <w:rPr>
          <w:lang w:val="en-US"/>
        </w:rPr>
        <w:t>dditional</w:t>
      </w:r>
      <w:proofErr w:type="spellEnd"/>
      <w:r w:rsidRPr="00EA7194">
        <w:rPr>
          <w:lang w:val="en-US"/>
        </w:rPr>
        <w:t xml:space="preserve"> information from the Party concerned, 1 March 2018, p. 4</w:t>
      </w:r>
      <w:r>
        <w:rPr>
          <w:lang w:val="en-US"/>
        </w:rPr>
        <w:t>.</w:t>
      </w:r>
    </w:p>
  </w:footnote>
  <w:footnote w:id="55">
    <w:p w14:paraId="7BC8E0B9" w14:textId="37538656" w:rsidR="00B21E33" w:rsidRPr="008208E0" w:rsidRDefault="00B21E33" w:rsidP="00204A55">
      <w:pPr>
        <w:pStyle w:val="Footnotes"/>
        <w:rPr>
          <w:lang w:val="en-US"/>
        </w:rPr>
      </w:pPr>
      <w:r>
        <w:rPr>
          <w:rStyle w:val="FootnoteReference"/>
        </w:rPr>
        <w:footnoteRef/>
      </w:r>
      <w:r>
        <w:t xml:space="preserve"> A</w:t>
      </w:r>
      <w:proofErr w:type="spellStart"/>
      <w:r w:rsidRPr="00EA7194">
        <w:rPr>
          <w:lang w:val="en-US"/>
        </w:rPr>
        <w:t>dditional</w:t>
      </w:r>
      <w:proofErr w:type="spellEnd"/>
      <w:r w:rsidRPr="00EA7194">
        <w:rPr>
          <w:lang w:val="en-US"/>
        </w:rPr>
        <w:t xml:space="preserve"> information from the Party concerned, 1 March 2018, p. 4</w:t>
      </w:r>
      <w:r>
        <w:rPr>
          <w:lang w:val="en-US"/>
        </w:rPr>
        <w:t>.</w:t>
      </w:r>
    </w:p>
  </w:footnote>
  <w:footnote w:id="56">
    <w:p w14:paraId="3363FA2E" w14:textId="76030029" w:rsidR="00B21E33" w:rsidRPr="008208E0" w:rsidRDefault="00B21E33" w:rsidP="00204A55">
      <w:pPr>
        <w:pStyle w:val="Footnotes"/>
        <w:rPr>
          <w:lang w:val="fr-CH"/>
        </w:rPr>
      </w:pPr>
      <w:r w:rsidRPr="00341616">
        <w:rPr>
          <w:rStyle w:val="FootnoteReference"/>
          <w:szCs w:val="18"/>
        </w:rPr>
        <w:footnoteRef/>
      </w:r>
      <w:r w:rsidRPr="008208E0">
        <w:rPr>
          <w:lang w:val="fr-CH"/>
        </w:rPr>
        <w:t xml:space="preserve"> Communication, p. 2.</w:t>
      </w:r>
    </w:p>
  </w:footnote>
  <w:footnote w:id="57">
    <w:p w14:paraId="40D3485F" w14:textId="3F191678" w:rsidR="00B21E33" w:rsidRPr="00341616" w:rsidRDefault="00B21E33" w:rsidP="00204A55">
      <w:pPr>
        <w:pStyle w:val="Footnotes"/>
        <w:rPr>
          <w:lang w:val="fr-CH"/>
        </w:rPr>
      </w:pPr>
      <w:r w:rsidRPr="00341616">
        <w:rPr>
          <w:rStyle w:val="FootnoteReference"/>
          <w:szCs w:val="18"/>
        </w:rPr>
        <w:footnoteRef/>
      </w:r>
      <w:r w:rsidRPr="008208E0">
        <w:rPr>
          <w:lang w:val="fr-CH"/>
        </w:rPr>
        <w:t xml:space="preserve"> </w:t>
      </w:r>
      <w:r w:rsidRPr="00341616">
        <w:rPr>
          <w:lang w:val="fr-CH"/>
        </w:rPr>
        <w:t>Communication, p. 3.</w:t>
      </w:r>
    </w:p>
  </w:footnote>
  <w:footnote w:id="58">
    <w:p w14:paraId="26C6895B" w14:textId="7B45B39E" w:rsidR="00B21E33" w:rsidRPr="00341616" w:rsidRDefault="00B21E33" w:rsidP="00204A55">
      <w:pPr>
        <w:pStyle w:val="Footnotes"/>
        <w:rPr>
          <w:lang w:val="fr-CH"/>
        </w:rPr>
      </w:pPr>
      <w:r w:rsidRPr="00341616">
        <w:rPr>
          <w:rStyle w:val="FootnoteReference"/>
          <w:szCs w:val="18"/>
        </w:rPr>
        <w:footnoteRef/>
      </w:r>
      <w:r w:rsidRPr="008208E0">
        <w:rPr>
          <w:lang w:val="fr-CH"/>
        </w:rPr>
        <w:t xml:space="preserve"> </w:t>
      </w:r>
      <w:r w:rsidRPr="00341616">
        <w:rPr>
          <w:lang w:val="fr-CH"/>
        </w:rPr>
        <w:t>Communication, pp. 3-4.</w:t>
      </w:r>
    </w:p>
  </w:footnote>
  <w:footnote w:id="59">
    <w:p w14:paraId="1252CC83"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5.</w:t>
      </w:r>
    </w:p>
  </w:footnote>
  <w:footnote w:id="60">
    <w:p w14:paraId="32B42BFE" w14:textId="764551EE"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communicant, 13 June 2016, p. 2.</w:t>
      </w:r>
    </w:p>
  </w:footnote>
  <w:footnote w:id="61">
    <w:p w14:paraId="00EC5F1A" w14:textId="2EC3BFBC"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communicant, 13 June 2016, p. 2.</w:t>
      </w:r>
    </w:p>
  </w:footnote>
  <w:footnote w:id="62">
    <w:p w14:paraId="4ECFA83A" w14:textId="44606E91"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communicant, 13 June 2016, p. 3.</w:t>
      </w:r>
    </w:p>
  </w:footnote>
  <w:footnote w:id="63">
    <w:p w14:paraId="796875DE"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Communication, p. 5.</w:t>
      </w:r>
    </w:p>
  </w:footnote>
  <w:footnote w:id="64">
    <w:p w14:paraId="2A488880"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communicant, 4 October 2017.</w:t>
      </w:r>
    </w:p>
  </w:footnote>
  <w:footnote w:id="65">
    <w:p w14:paraId="4F98BCDA" w14:textId="6BA7CA3C" w:rsidR="00B21E33" w:rsidRPr="008208E0" w:rsidRDefault="00B21E33" w:rsidP="00204A55">
      <w:pPr>
        <w:pStyle w:val="Footnotes"/>
        <w:rPr>
          <w:lang w:val="en-US"/>
        </w:rPr>
      </w:pPr>
      <w:r w:rsidRPr="00341616">
        <w:rPr>
          <w:rStyle w:val="FootnoteReference"/>
          <w:szCs w:val="18"/>
        </w:rPr>
        <w:footnoteRef/>
      </w:r>
      <w:r w:rsidRPr="00341616">
        <w:t xml:space="preserve"> </w:t>
      </w:r>
      <w:r>
        <w:rPr>
          <w:lang w:val="en-US"/>
        </w:rPr>
        <w:t>Party’s response</w:t>
      </w:r>
      <w:r w:rsidRPr="008208E0">
        <w:rPr>
          <w:lang w:val="en-US"/>
        </w:rPr>
        <w:t>, pp. 3 and 6 and additional information from the Party concerned, 1 March 2018, p</w:t>
      </w:r>
      <w:r>
        <w:rPr>
          <w:lang w:val="en-US"/>
        </w:rPr>
        <w:t>p</w:t>
      </w:r>
      <w:r w:rsidRPr="008208E0">
        <w:rPr>
          <w:lang w:val="en-US"/>
        </w:rPr>
        <w:t>. 4</w:t>
      </w:r>
      <w:r>
        <w:rPr>
          <w:lang w:val="en-US"/>
        </w:rPr>
        <w:t>-5</w:t>
      </w:r>
      <w:r w:rsidRPr="008208E0">
        <w:rPr>
          <w:lang w:val="en-US"/>
        </w:rPr>
        <w:t>.</w:t>
      </w:r>
    </w:p>
  </w:footnote>
  <w:footnote w:id="66">
    <w:p w14:paraId="268F88B6" w14:textId="51D3AED4" w:rsidR="00B21E33" w:rsidRPr="005F5A31" w:rsidRDefault="00B21E33" w:rsidP="00204A55">
      <w:pPr>
        <w:pStyle w:val="Footnotes"/>
      </w:pPr>
      <w:r>
        <w:rPr>
          <w:rStyle w:val="FootnoteReference"/>
        </w:rPr>
        <w:footnoteRef/>
      </w:r>
      <w:r>
        <w:t xml:space="preserve"> </w:t>
      </w:r>
      <w:r w:rsidRPr="008208E0">
        <w:rPr>
          <w:lang w:val="en-US"/>
        </w:rPr>
        <w:t>Additional information from the Party concerned, 1 March 2018, p. 5.</w:t>
      </w:r>
    </w:p>
  </w:footnote>
  <w:footnote w:id="67">
    <w:p w14:paraId="345E8B01" w14:textId="50F3177D"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w:t>
      </w:r>
      <w:r>
        <w:rPr>
          <w:lang w:val="en-US"/>
        </w:rPr>
        <w:t>p</w:t>
      </w:r>
      <w:r w:rsidRPr="008208E0">
        <w:rPr>
          <w:lang w:val="en-US"/>
        </w:rPr>
        <w:t>. 5</w:t>
      </w:r>
      <w:r>
        <w:rPr>
          <w:lang w:val="en-US"/>
        </w:rPr>
        <w:t>-6</w:t>
      </w:r>
      <w:r w:rsidRPr="008208E0">
        <w:rPr>
          <w:lang w:val="en-US"/>
        </w:rPr>
        <w:t>.</w:t>
      </w:r>
    </w:p>
  </w:footnote>
  <w:footnote w:id="68">
    <w:p w14:paraId="6F6B784D" w14:textId="7777777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 6.</w:t>
      </w:r>
    </w:p>
  </w:footnote>
  <w:footnote w:id="69">
    <w:p w14:paraId="333B4E4F" w14:textId="54360465"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Party concerned, 1 March 2018, p. </w:t>
      </w:r>
      <w:r>
        <w:rPr>
          <w:lang w:val="en-US"/>
        </w:rPr>
        <w:t>6</w:t>
      </w:r>
      <w:r w:rsidRPr="008208E0">
        <w:rPr>
          <w:lang w:val="en-US"/>
        </w:rPr>
        <w:t>.</w:t>
      </w:r>
    </w:p>
  </w:footnote>
  <w:footnote w:id="70">
    <w:p w14:paraId="0EB70E7E" w14:textId="02134681"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 6.</w:t>
      </w:r>
    </w:p>
  </w:footnote>
  <w:footnote w:id="71">
    <w:p w14:paraId="36E7284A" w14:textId="2EC92097"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 xml:space="preserve">Additional information from the Party concerned, 1 March 2018, p. </w:t>
      </w:r>
      <w:r>
        <w:rPr>
          <w:lang w:val="en-US"/>
        </w:rPr>
        <w:t>7</w:t>
      </w:r>
      <w:r w:rsidRPr="008208E0">
        <w:rPr>
          <w:lang w:val="en-US"/>
        </w:rPr>
        <w:t>.</w:t>
      </w:r>
    </w:p>
  </w:footnote>
  <w:footnote w:id="72">
    <w:p w14:paraId="1A864B06" w14:textId="5CA6732C"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pp. 6-7.</w:t>
      </w:r>
    </w:p>
  </w:footnote>
  <w:footnote w:id="73">
    <w:p w14:paraId="3B79A47D" w14:textId="51345497" w:rsidR="00B21E33" w:rsidRDefault="00B21E33" w:rsidP="00204A55">
      <w:pPr>
        <w:pStyle w:val="Footnotes"/>
      </w:pPr>
      <w:r>
        <w:rPr>
          <w:rStyle w:val="FootnoteReference"/>
        </w:rPr>
        <w:footnoteRef/>
      </w:r>
      <w:r>
        <w:t xml:space="preserve"> </w:t>
      </w:r>
      <w:r w:rsidRPr="008208E0">
        <w:rPr>
          <w:lang w:val="en-US"/>
        </w:rPr>
        <w:t xml:space="preserve">Additional information from the Party concerned, 1 March 2018, p. </w:t>
      </w:r>
      <w:proofErr w:type="gramStart"/>
      <w:r w:rsidRPr="008208E0">
        <w:rPr>
          <w:lang w:val="en-US"/>
        </w:rPr>
        <w:t>8</w:t>
      </w:r>
      <w:r>
        <w:rPr>
          <w:lang w:val="en-US"/>
        </w:rPr>
        <w:t>;</w:t>
      </w:r>
      <w:proofErr w:type="gramEnd"/>
      <w:r>
        <w:rPr>
          <w:lang w:val="en-US"/>
        </w:rPr>
        <w:t xml:space="preserve"> Party’s reply to Committee’s questions, 15 August 2019, p. 12.</w:t>
      </w:r>
    </w:p>
  </w:footnote>
  <w:footnote w:id="74">
    <w:p w14:paraId="53ED289F" w14:textId="52A36E0F"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w:t>
      </w:r>
      <w:r>
        <w:rPr>
          <w:lang w:val="en-US"/>
        </w:rPr>
        <w:t>p</w:t>
      </w:r>
      <w:r w:rsidRPr="008208E0">
        <w:rPr>
          <w:lang w:val="en-US"/>
        </w:rPr>
        <w:t>. 7</w:t>
      </w:r>
      <w:r>
        <w:rPr>
          <w:lang w:val="en-US"/>
        </w:rPr>
        <w:t>-8</w:t>
      </w:r>
      <w:r w:rsidRPr="008208E0">
        <w:rPr>
          <w:lang w:val="en-US"/>
        </w:rPr>
        <w:t>.</w:t>
      </w:r>
    </w:p>
  </w:footnote>
  <w:footnote w:id="75">
    <w:p w14:paraId="7FA3DF5A" w14:textId="75DDEBB8" w:rsidR="00B21E33" w:rsidRPr="008208E0" w:rsidRDefault="00B21E33" w:rsidP="00204A55">
      <w:pPr>
        <w:pStyle w:val="Footnotes"/>
        <w:rPr>
          <w:lang w:val="en-US"/>
        </w:rPr>
      </w:pPr>
      <w:r w:rsidRPr="00341616">
        <w:rPr>
          <w:rStyle w:val="FootnoteReference"/>
          <w:szCs w:val="18"/>
        </w:rPr>
        <w:footnoteRef/>
      </w:r>
      <w:r w:rsidRPr="00341616">
        <w:t xml:space="preserve"> </w:t>
      </w:r>
      <w:r w:rsidRPr="008208E0">
        <w:rPr>
          <w:lang w:val="en-US"/>
        </w:rPr>
        <w:t>Additional information from the Party concerned, 1 March 2018, p</w:t>
      </w:r>
      <w:r>
        <w:rPr>
          <w:lang w:val="en-US"/>
        </w:rPr>
        <w:t>p</w:t>
      </w:r>
      <w:r w:rsidRPr="008208E0">
        <w:rPr>
          <w:lang w:val="en-US"/>
        </w:rPr>
        <w:t>. 8</w:t>
      </w:r>
      <w:r>
        <w:rPr>
          <w:lang w:val="en-US"/>
        </w:rPr>
        <w:t>-9</w:t>
      </w:r>
      <w:r w:rsidRPr="008208E0">
        <w:rPr>
          <w:lang w:val="en-US"/>
        </w:rPr>
        <w:t>.</w:t>
      </w:r>
    </w:p>
  </w:footnote>
  <w:footnote w:id="76">
    <w:p w14:paraId="2B8671D6" w14:textId="7DEB1711" w:rsidR="00B21E33" w:rsidRPr="008208E0" w:rsidRDefault="00B21E33" w:rsidP="00204A55">
      <w:pPr>
        <w:pStyle w:val="Footnotes"/>
        <w:rPr>
          <w:lang w:val="en-US"/>
        </w:rPr>
      </w:pPr>
      <w:r w:rsidRPr="00341616">
        <w:rPr>
          <w:rStyle w:val="FootnoteReference"/>
          <w:szCs w:val="18"/>
        </w:rPr>
        <w:footnoteRef/>
      </w:r>
      <w:r w:rsidRPr="00341616">
        <w:t xml:space="preserve"> </w:t>
      </w:r>
      <w:r w:rsidRPr="006936E2">
        <w:t>ECE/</w:t>
      </w:r>
      <w:proofErr w:type="gramStart"/>
      <w:r w:rsidRPr="006936E2">
        <w:t>MP.PP</w:t>
      </w:r>
      <w:proofErr w:type="gramEnd"/>
      <w:r w:rsidRPr="006936E2">
        <w:t>/C.1/2013/14</w:t>
      </w:r>
      <w:r>
        <w:t>.</w:t>
      </w:r>
    </w:p>
  </w:footnote>
  <w:footnote w:id="77">
    <w:p w14:paraId="6673CDEC" w14:textId="404B7A03" w:rsidR="00B21E33" w:rsidRPr="00BD13E0" w:rsidRDefault="00B21E33" w:rsidP="00204A55">
      <w:pPr>
        <w:pStyle w:val="Footnotes"/>
        <w:rPr>
          <w:lang w:val="en-US"/>
        </w:rPr>
      </w:pPr>
      <w:r w:rsidRPr="00BD13E0">
        <w:rPr>
          <w:rStyle w:val="FootnoteReference"/>
          <w:szCs w:val="18"/>
        </w:rPr>
        <w:footnoteRef/>
      </w:r>
      <w:r w:rsidRPr="00BD13E0">
        <w:t xml:space="preserve"> </w:t>
      </w:r>
      <w:r w:rsidRPr="00BD13E0">
        <w:rPr>
          <w:lang w:val="en-US"/>
        </w:rPr>
        <w:t>Additional information from the Party concerned, 1 March 2018, p</w:t>
      </w:r>
      <w:r>
        <w:rPr>
          <w:lang w:val="en-US"/>
        </w:rPr>
        <w:t>p</w:t>
      </w:r>
      <w:r w:rsidRPr="00BD13E0">
        <w:rPr>
          <w:lang w:val="en-US"/>
        </w:rPr>
        <w:t>. 9</w:t>
      </w:r>
      <w:r>
        <w:rPr>
          <w:lang w:val="en-US"/>
        </w:rPr>
        <w:t>-10</w:t>
      </w:r>
      <w:r w:rsidRPr="00BD13E0">
        <w:rPr>
          <w:lang w:val="en-US"/>
        </w:rPr>
        <w:t>.</w:t>
      </w:r>
    </w:p>
  </w:footnote>
  <w:footnote w:id="78">
    <w:p w14:paraId="2FA828EA" w14:textId="5AAA1FD9" w:rsidR="00B21E33" w:rsidRPr="00B83E90" w:rsidRDefault="00B21E33" w:rsidP="00204A55">
      <w:pPr>
        <w:pStyle w:val="Footnotes"/>
        <w:rPr>
          <w:lang w:val="en-IE"/>
        </w:rPr>
      </w:pPr>
      <w:r w:rsidRPr="00D12494">
        <w:rPr>
          <w:rStyle w:val="FootnoteReference"/>
          <w:szCs w:val="18"/>
        </w:rPr>
        <w:footnoteRef/>
      </w:r>
      <w:r w:rsidRPr="00B83E90">
        <w:t xml:space="preserve"> </w:t>
      </w:r>
      <w:r w:rsidRPr="00B83E90">
        <w:rPr>
          <w:lang w:val="en-IE"/>
        </w:rPr>
        <w:t>Communication p. 1 and p. 4.</w:t>
      </w:r>
    </w:p>
  </w:footnote>
  <w:footnote w:id="79">
    <w:p w14:paraId="3C755265" w14:textId="25CBB583" w:rsidR="00B21E33" w:rsidRPr="00477AB0" w:rsidRDefault="00B21E33" w:rsidP="00204A55">
      <w:pPr>
        <w:pStyle w:val="Footnotes"/>
      </w:pPr>
      <w:r w:rsidRPr="0026435F">
        <w:rPr>
          <w:rStyle w:val="FootnoteReference"/>
          <w:rFonts w:cstheme="majorBidi"/>
          <w:szCs w:val="18"/>
        </w:rPr>
        <w:footnoteRef/>
      </w:r>
      <w:r w:rsidRPr="006F1F12">
        <w:rPr>
          <w:rFonts w:cstheme="majorBidi"/>
        </w:rPr>
        <w:t xml:space="preserve"> </w:t>
      </w:r>
      <w:r w:rsidRPr="006F1F12">
        <w:t>ECE/</w:t>
      </w:r>
      <w:proofErr w:type="gramStart"/>
      <w:r w:rsidRPr="006F1F12">
        <w:t>MP.PP</w:t>
      </w:r>
      <w:proofErr w:type="gramEnd"/>
      <w:r w:rsidRPr="006F1F12">
        <w:t>/C.1/2017/16, p</w:t>
      </w:r>
      <w:r w:rsidRPr="006F1F12">
        <w:rPr>
          <w:rFonts w:cstheme="majorBidi"/>
        </w:rPr>
        <w:t xml:space="preserve">ara. </w:t>
      </w:r>
      <w:r w:rsidRPr="00477AB0">
        <w:t>82.</w:t>
      </w:r>
    </w:p>
  </w:footnote>
  <w:footnote w:id="80">
    <w:p w14:paraId="2B49D36E" w14:textId="77777777" w:rsidR="004A7732" w:rsidRPr="00F3770D" w:rsidRDefault="004A7732" w:rsidP="00204A55">
      <w:pPr>
        <w:pStyle w:val="FootnoteText"/>
        <w:spacing w:after="0"/>
        <w:ind w:left="1134"/>
        <w:rPr>
          <w:sz w:val="18"/>
          <w:szCs w:val="18"/>
          <w:lang w:val="en-US"/>
        </w:rPr>
      </w:pPr>
      <w:r w:rsidRPr="0026435F">
        <w:rPr>
          <w:rStyle w:val="FootnoteReference"/>
          <w:szCs w:val="18"/>
        </w:rPr>
        <w:footnoteRef/>
      </w:r>
      <w:r w:rsidRPr="00F3770D">
        <w:rPr>
          <w:sz w:val="18"/>
          <w:szCs w:val="18"/>
        </w:rPr>
        <w:t xml:space="preserve"> </w:t>
      </w:r>
      <w:r w:rsidRPr="00F3770D">
        <w:rPr>
          <w:rFonts w:eastAsia="Times New Roman"/>
          <w:sz w:val="18"/>
          <w:szCs w:val="18"/>
        </w:rPr>
        <w:t>Para. 88.</w:t>
      </w:r>
    </w:p>
  </w:footnote>
  <w:footnote w:id="81">
    <w:p w14:paraId="265E4969" w14:textId="20A38BA0" w:rsidR="00692ADF" w:rsidRPr="00204A55" w:rsidRDefault="00692ADF" w:rsidP="00204A55">
      <w:pPr>
        <w:pStyle w:val="FootnoteText"/>
        <w:spacing w:after="0"/>
        <w:ind w:left="1134"/>
        <w:rPr>
          <w:lang w:val="en-US"/>
        </w:rPr>
      </w:pPr>
      <w:r>
        <w:rPr>
          <w:rStyle w:val="FootnoteReference"/>
        </w:rPr>
        <w:footnoteRef/>
      </w:r>
      <w:r>
        <w:t xml:space="preserve"> </w:t>
      </w:r>
      <w:r>
        <w:rPr>
          <w:lang w:val="en-US"/>
        </w:rPr>
        <w:t>Communicant’s additional information, 4 October 2017.</w:t>
      </w:r>
    </w:p>
  </w:footnote>
  <w:footnote w:id="82">
    <w:p w14:paraId="568101C3" w14:textId="7D741689" w:rsidR="00B21E33" w:rsidRPr="00FD0A66" w:rsidRDefault="00B21E33" w:rsidP="00204A55">
      <w:pPr>
        <w:pStyle w:val="Footnotes"/>
        <w:rPr>
          <w:lang w:val="en-IE"/>
        </w:rPr>
      </w:pPr>
      <w:r w:rsidRPr="003E664C">
        <w:rPr>
          <w:rStyle w:val="FootnoteReference"/>
          <w:szCs w:val="18"/>
        </w:rPr>
        <w:footnoteRef/>
      </w:r>
      <w:r w:rsidRPr="00FD0A66">
        <w:t xml:space="preserve"> </w:t>
      </w:r>
      <w:bookmarkStart w:id="27" w:name="_Hlk70932463"/>
      <w:r w:rsidRPr="00FD0A66">
        <w:t>Additional information from the Party concerned, 15 August 2019</w:t>
      </w:r>
      <w:r>
        <w:t>, pp. 12-13</w:t>
      </w:r>
      <w:r w:rsidRPr="00FD0A66">
        <w:t>.</w:t>
      </w:r>
      <w:bookmarkEnd w:id="27"/>
    </w:p>
  </w:footnote>
  <w:footnote w:id="83">
    <w:p w14:paraId="059ACA87" w14:textId="62A7CEEB" w:rsidR="00B21E33" w:rsidRPr="00FD0A66" w:rsidRDefault="00B21E33" w:rsidP="00204A55">
      <w:pPr>
        <w:pStyle w:val="Footnotes"/>
        <w:rPr>
          <w:lang w:val="en-IE"/>
        </w:rPr>
      </w:pPr>
      <w:r>
        <w:rPr>
          <w:rStyle w:val="FootnoteReference"/>
        </w:rPr>
        <w:footnoteRef/>
      </w:r>
      <w:r>
        <w:t xml:space="preserve"> </w:t>
      </w:r>
      <w:r w:rsidRPr="00E70E24">
        <w:t>Additional information from the Party concerned, 15 August 2019</w:t>
      </w:r>
      <w:r>
        <w:t>, pp. 12-13</w:t>
      </w:r>
      <w:r w:rsidRPr="00E70E24">
        <w:t>.</w:t>
      </w:r>
    </w:p>
  </w:footnote>
  <w:footnote w:id="84">
    <w:p w14:paraId="7BCFD982" w14:textId="1F2A058B" w:rsidR="00B21E33" w:rsidRPr="00FD0A66" w:rsidRDefault="00B21E33" w:rsidP="00204A55">
      <w:pPr>
        <w:pStyle w:val="Footnotes"/>
        <w:rPr>
          <w:lang w:val="en-IE"/>
        </w:rPr>
      </w:pPr>
      <w:r>
        <w:rPr>
          <w:rStyle w:val="FootnoteReference"/>
        </w:rPr>
        <w:footnoteRef/>
      </w:r>
      <w:r>
        <w:t xml:space="preserve"> </w:t>
      </w:r>
      <w:r w:rsidRPr="00E70E24">
        <w:t xml:space="preserve">Additional information from the </w:t>
      </w:r>
      <w:r>
        <w:t>communicants</w:t>
      </w:r>
      <w:r w:rsidRPr="00E70E24">
        <w:t>, 1</w:t>
      </w:r>
      <w:r>
        <w:t>4</w:t>
      </w:r>
      <w:r w:rsidRPr="00E70E24">
        <w:t xml:space="preserve"> August 2019</w:t>
      </w:r>
      <w:r>
        <w:t>, pp. 2-4</w:t>
      </w:r>
      <w:r w:rsidRPr="00E70E24">
        <w:t>.</w:t>
      </w:r>
    </w:p>
  </w:footnote>
  <w:footnote w:id="85">
    <w:p w14:paraId="4BBD11D2" w14:textId="7A82347F" w:rsidR="00B21E33" w:rsidRDefault="00B21E33" w:rsidP="00204A55">
      <w:pPr>
        <w:pStyle w:val="Footnotes"/>
      </w:pPr>
      <w:r>
        <w:rPr>
          <w:rStyle w:val="FootnoteReference"/>
        </w:rPr>
        <w:footnoteRef/>
      </w:r>
      <w:r w:rsidRPr="00214FA1">
        <w:rPr>
          <w:lang w:val="es-ES"/>
        </w:rPr>
        <w:t xml:space="preserve"> ECE/</w:t>
      </w:r>
      <w:proofErr w:type="gramStart"/>
      <w:r w:rsidRPr="00214FA1">
        <w:rPr>
          <w:lang w:val="es-ES"/>
        </w:rPr>
        <w:t>MP.PP</w:t>
      </w:r>
      <w:proofErr w:type="gramEnd"/>
      <w:r w:rsidRPr="00214FA1">
        <w:rPr>
          <w:lang w:val="es-ES"/>
        </w:rPr>
        <w:t xml:space="preserve">/C.1/2010/6/Add.3, para. </w:t>
      </w:r>
      <w:r>
        <w:t>128 and ECE/</w:t>
      </w:r>
      <w:proofErr w:type="gramStart"/>
      <w:r>
        <w:t>MP.PP</w:t>
      </w:r>
      <w:proofErr w:type="gramEnd"/>
      <w:r>
        <w:t>/C.1/2017/20,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2715" w14:textId="1C7CF928" w:rsidR="00B21E33" w:rsidRPr="006A6955" w:rsidRDefault="00B21E33" w:rsidP="00214FA1">
    <w:pPr>
      <w:pStyle w:val="Header"/>
      <w:spacing w:after="0"/>
    </w:pPr>
    <w:r>
      <w:t>ACCC/C/2015/134</w:t>
    </w:r>
    <w:r w:rsidR="00CE6A3B">
      <w:t xml:space="preserve"> (Belgium)</w:t>
    </w:r>
    <w:r>
      <w:t xml:space="preserve"> </w:t>
    </w:r>
  </w:p>
  <w:p w14:paraId="5ABC497D" w14:textId="587E8D54" w:rsidR="00B21E33" w:rsidRPr="006A6955" w:rsidRDefault="00B21E33" w:rsidP="00214FA1">
    <w:pPr>
      <w:pStyle w:val="Header"/>
      <w:spacing w:after="0"/>
    </w:pPr>
    <w:r>
      <w:t xml:space="preserve">Draft findings for </w:t>
    </w:r>
    <w:r w:rsidR="00CE6A3B">
      <w:t>parties’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2F6"/>
    <w:multiLevelType w:val="hybridMultilevel"/>
    <w:tmpl w:val="B08A4900"/>
    <w:lvl w:ilvl="0" w:tplc="06C2C40C">
      <w:start w:val="1"/>
      <w:numFmt w:val="lowerLetter"/>
      <w:lvlText w:val="(%1)"/>
      <w:lvlJc w:val="left"/>
      <w:pPr>
        <w:ind w:left="2154" w:hanging="360"/>
      </w:pPr>
      <w:rPr>
        <w:rFonts w:hint="default"/>
      </w:rPr>
    </w:lvl>
    <w:lvl w:ilvl="1" w:tplc="18090019" w:tentative="1">
      <w:start w:val="1"/>
      <w:numFmt w:val="lowerLetter"/>
      <w:lvlText w:val="%2."/>
      <w:lvlJc w:val="left"/>
      <w:pPr>
        <w:ind w:left="2874" w:hanging="360"/>
      </w:pPr>
    </w:lvl>
    <w:lvl w:ilvl="2" w:tplc="1809001B" w:tentative="1">
      <w:start w:val="1"/>
      <w:numFmt w:val="lowerRoman"/>
      <w:lvlText w:val="%3."/>
      <w:lvlJc w:val="right"/>
      <w:pPr>
        <w:ind w:left="3594" w:hanging="180"/>
      </w:pPr>
    </w:lvl>
    <w:lvl w:ilvl="3" w:tplc="1809000F" w:tentative="1">
      <w:start w:val="1"/>
      <w:numFmt w:val="decimal"/>
      <w:lvlText w:val="%4."/>
      <w:lvlJc w:val="left"/>
      <w:pPr>
        <w:ind w:left="4314" w:hanging="360"/>
      </w:pPr>
    </w:lvl>
    <w:lvl w:ilvl="4" w:tplc="18090019" w:tentative="1">
      <w:start w:val="1"/>
      <w:numFmt w:val="lowerLetter"/>
      <w:lvlText w:val="%5."/>
      <w:lvlJc w:val="left"/>
      <w:pPr>
        <w:ind w:left="5034" w:hanging="360"/>
      </w:pPr>
    </w:lvl>
    <w:lvl w:ilvl="5" w:tplc="1809001B" w:tentative="1">
      <w:start w:val="1"/>
      <w:numFmt w:val="lowerRoman"/>
      <w:lvlText w:val="%6."/>
      <w:lvlJc w:val="right"/>
      <w:pPr>
        <w:ind w:left="5754" w:hanging="180"/>
      </w:pPr>
    </w:lvl>
    <w:lvl w:ilvl="6" w:tplc="1809000F" w:tentative="1">
      <w:start w:val="1"/>
      <w:numFmt w:val="decimal"/>
      <w:lvlText w:val="%7."/>
      <w:lvlJc w:val="left"/>
      <w:pPr>
        <w:ind w:left="6474" w:hanging="360"/>
      </w:pPr>
    </w:lvl>
    <w:lvl w:ilvl="7" w:tplc="18090019" w:tentative="1">
      <w:start w:val="1"/>
      <w:numFmt w:val="lowerLetter"/>
      <w:lvlText w:val="%8."/>
      <w:lvlJc w:val="left"/>
      <w:pPr>
        <w:ind w:left="7194" w:hanging="360"/>
      </w:pPr>
    </w:lvl>
    <w:lvl w:ilvl="8" w:tplc="1809001B" w:tentative="1">
      <w:start w:val="1"/>
      <w:numFmt w:val="lowerRoman"/>
      <w:lvlText w:val="%9."/>
      <w:lvlJc w:val="right"/>
      <w:pPr>
        <w:ind w:left="7914" w:hanging="180"/>
      </w:pPr>
    </w:lvl>
  </w:abstractNum>
  <w:abstractNum w:abstractNumId="1" w15:restartNumberingAfterBreak="0">
    <w:nsid w:val="29EE483B"/>
    <w:multiLevelType w:val="hybridMultilevel"/>
    <w:tmpl w:val="2264CE52"/>
    <w:lvl w:ilvl="0" w:tplc="BE567CD6">
      <w:start w:val="1"/>
      <w:numFmt w:val="decimal"/>
      <w:pStyle w:val="NumberedParas"/>
      <w:lvlText w:val="%1."/>
      <w:lvlJc w:val="left"/>
      <w:pPr>
        <w:ind w:left="720" w:hanging="360"/>
      </w:pPr>
      <w:rPr>
        <w:b w:val="0"/>
        <w:bCs w:val="0"/>
      </w:rPr>
    </w:lvl>
    <w:lvl w:ilvl="1" w:tplc="19262370">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E1414"/>
    <w:multiLevelType w:val="hybridMultilevel"/>
    <w:tmpl w:val="5B08DE46"/>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3" w15:restartNumberingAfterBreak="0">
    <w:nsid w:val="40996174"/>
    <w:multiLevelType w:val="hybridMultilevel"/>
    <w:tmpl w:val="B7E8B566"/>
    <w:lvl w:ilvl="0" w:tplc="EE6A03DC">
      <w:start w:val="1"/>
      <w:numFmt w:val="upperRoman"/>
      <w:pStyle w:val="Heading1"/>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5" w15:restartNumberingAfterBreak="0">
    <w:nsid w:val="5E732D6A"/>
    <w:multiLevelType w:val="hybridMultilevel"/>
    <w:tmpl w:val="7472BE98"/>
    <w:lvl w:ilvl="0" w:tplc="4A809250">
      <w:start w:val="1"/>
      <w:numFmt w:val="decimal"/>
      <w:lvlText w:val="%1."/>
      <w:lvlJc w:val="left"/>
      <w:pPr>
        <w:tabs>
          <w:tab w:val="num" w:pos="1852"/>
        </w:tabs>
        <w:ind w:left="1852" w:hanging="576"/>
      </w:pPr>
      <w:rPr>
        <w:b w:val="0"/>
        <w:bCs/>
        <w:color w:val="auto"/>
        <w:lang w:val="en-GB"/>
      </w:rPr>
    </w:lvl>
    <w:lvl w:ilvl="1" w:tplc="0B1C8860">
      <w:start w:val="1"/>
      <w:numFmt w:val="decimal"/>
      <w:lvlText w:val="(%2)"/>
      <w:lvlJc w:val="left"/>
      <w:pPr>
        <w:tabs>
          <w:tab w:val="num" w:pos="2717"/>
        </w:tabs>
        <w:ind w:left="2717" w:hanging="720"/>
      </w:pPr>
      <w:rPr>
        <w:sz w:val="20"/>
        <w:szCs w:val="20"/>
      </w:r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6"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4"/>
  </w:num>
  <w:num w:numId="9">
    <w:abstractNumId w:val="3"/>
  </w:num>
  <w:num w:numId="10">
    <w:abstractNumId w:val="4"/>
    <w:lvlOverride w:ilvl="0">
      <w:startOverride w:val="1"/>
    </w:lvlOverride>
  </w:num>
  <w:num w:numId="11">
    <w:abstractNumId w:val="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7D"/>
    <w:rsid w:val="00000A7A"/>
    <w:rsid w:val="000019BB"/>
    <w:rsid w:val="000023F1"/>
    <w:rsid w:val="00002515"/>
    <w:rsid w:val="00004297"/>
    <w:rsid w:val="00004A77"/>
    <w:rsid w:val="00005418"/>
    <w:rsid w:val="0000747C"/>
    <w:rsid w:val="000130D6"/>
    <w:rsid w:val="000130E9"/>
    <w:rsid w:val="00013BDF"/>
    <w:rsid w:val="000145B3"/>
    <w:rsid w:val="000151C0"/>
    <w:rsid w:val="000162A5"/>
    <w:rsid w:val="00022295"/>
    <w:rsid w:val="00023006"/>
    <w:rsid w:val="00024449"/>
    <w:rsid w:val="000261A5"/>
    <w:rsid w:val="000318BA"/>
    <w:rsid w:val="00031AC0"/>
    <w:rsid w:val="000336F4"/>
    <w:rsid w:val="000359F5"/>
    <w:rsid w:val="00037F70"/>
    <w:rsid w:val="00042C3E"/>
    <w:rsid w:val="00042EA9"/>
    <w:rsid w:val="0004439D"/>
    <w:rsid w:val="0004484D"/>
    <w:rsid w:val="00044FE0"/>
    <w:rsid w:val="00045CD1"/>
    <w:rsid w:val="00045E0B"/>
    <w:rsid w:val="00047295"/>
    <w:rsid w:val="00047515"/>
    <w:rsid w:val="0004777B"/>
    <w:rsid w:val="00050C82"/>
    <w:rsid w:val="00051104"/>
    <w:rsid w:val="00052C04"/>
    <w:rsid w:val="000550CD"/>
    <w:rsid w:val="00057DFE"/>
    <w:rsid w:val="00057E24"/>
    <w:rsid w:val="00061A6D"/>
    <w:rsid w:val="00062CBE"/>
    <w:rsid w:val="0006592D"/>
    <w:rsid w:val="00065C88"/>
    <w:rsid w:val="000674AF"/>
    <w:rsid w:val="00071D4C"/>
    <w:rsid w:val="00072A1A"/>
    <w:rsid w:val="000741E9"/>
    <w:rsid w:val="00075B43"/>
    <w:rsid w:val="00075F58"/>
    <w:rsid w:val="00076084"/>
    <w:rsid w:val="000824C4"/>
    <w:rsid w:val="0008310C"/>
    <w:rsid w:val="00083AE2"/>
    <w:rsid w:val="000847EA"/>
    <w:rsid w:val="0008498C"/>
    <w:rsid w:val="00084E3D"/>
    <w:rsid w:val="00086E5B"/>
    <w:rsid w:val="000875F1"/>
    <w:rsid w:val="00090A21"/>
    <w:rsid w:val="00096ADE"/>
    <w:rsid w:val="00097989"/>
    <w:rsid w:val="000A0109"/>
    <w:rsid w:val="000B0894"/>
    <w:rsid w:val="000B26EE"/>
    <w:rsid w:val="000B5D77"/>
    <w:rsid w:val="000C2EAF"/>
    <w:rsid w:val="000C4301"/>
    <w:rsid w:val="000C7374"/>
    <w:rsid w:val="000C75B7"/>
    <w:rsid w:val="000C7780"/>
    <w:rsid w:val="000D3457"/>
    <w:rsid w:val="000D567E"/>
    <w:rsid w:val="000D7E75"/>
    <w:rsid w:val="000E1892"/>
    <w:rsid w:val="000E29D0"/>
    <w:rsid w:val="000E45E6"/>
    <w:rsid w:val="000E4DF4"/>
    <w:rsid w:val="000E700A"/>
    <w:rsid w:val="000F1684"/>
    <w:rsid w:val="000F4EE1"/>
    <w:rsid w:val="000F5412"/>
    <w:rsid w:val="000F769C"/>
    <w:rsid w:val="001007D9"/>
    <w:rsid w:val="00103167"/>
    <w:rsid w:val="001031AC"/>
    <w:rsid w:val="0010560B"/>
    <w:rsid w:val="00107FBA"/>
    <w:rsid w:val="001108C1"/>
    <w:rsid w:val="00110BA1"/>
    <w:rsid w:val="0011589C"/>
    <w:rsid w:val="001158D1"/>
    <w:rsid w:val="00116E32"/>
    <w:rsid w:val="001229C4"/>
    <w:rsid w:val="001235F3"/>
    <w:rsid w:val="00124720"/>
    <w:rsid w:val="00125DC6"/>
    <w:rsid w:val="0012672F"/>
    <w:rsid w:val="00126A59"/>
    <w:rsid w:val="00130555"/>
    <w:rsid w:val="00130D5C"/>
    <w:rsid w:val="00133094"/>
    <w:rsid w:val="00133C47"/>
    <w:rsid w:val="00133F1E"/>
    <w:rsid w:val="00147B99"/>
    <w:rsid w:val="00151ABF"/>
    <w:rsid w:val="00151C3E"/>
    <w:rsid w:val="001524D6"/>
    <w:rsid w:val="00153533"/>
    <w:rsid w:val="00154CC1"/>
    <w:rsid w:val="00156B11"/>
    <w:rsid w:val="00157D13"/>
    <w:rsid w:val="00163914"/>
    <w:rsid w:val="00163D6F"/>
    <w:rsid w:val="00164022"/>
    <w:rsid w:val="001708D0"/>
    <w:rsid w:val="0017168A"/>
    <w:rsid w:val="00173D51"/>
    <w:rsid w:val="00174B73"/>
    <w:rsid w:val="0017688B"/>
    <w:rsid w:val="00176D3B"/>
    <w:rsid w:val="001775A9"/>
    <w:rsid w:val="00184DCA"/>
    <w:rsid w:val="00187D7F"/>
    <w:rsid w:val="001969DB"/>
    <w:rsid w:val="00196A96"/>
    <w:rsid w:val="001A04B3"/>
    <w:rsid w:val="001A14CB"/>
    <w:rsid w:val="001A334E"/>
    <w:rsid w:val="001A367B"/>
    <w:rsid w:val="001A4F0E"/>
    <w:rsid w:val="001A50FD"/>
    <w:rsid w:val="001A6A14"/>
    <w:rsid w:val="001A6F6F"/>
    <w:rsid w:val="001B233C"/>
    <w:rsid w:val="001B2CD3"/>
    <w:rsid w:val="001B3610"/>
    <w:rsid w:val="001B4694"/>
    <w:rsid w:val="001B4C87"/>
    <w:rsid w:val="001B6DF6"/>
    <w:rsid w:val="001B7829"/>
    <w:rsid w:val="001C13DF"/>
    <w:rsid w:val="001C48A4"/>
    <w:rsid w:val="001C527A"/>
    <w:rsid w:val="001C699E"/>
    <w:rsid w:val="001C76EA"/>
    <w:rsid w:val="001D4E09"/>
    <w:rsid w:val="001D5293"/>
    <w:rsid w:val="001D6E50"/>
    <w:rsid w:val="001D6F88"/>
    <w:rsid w:val="001E058E"/>
    <w:rsid w:val="001E31DB"/>
    <w:rsid w:val="001E340C"/>
    <w:rsid w:val="001E411C"/>
    <w:rsid w:val="001F0F8F"/>
    <w:rsid w:val="001F1026"/>
    <w:rsid w:val="001F147B"/>
    <w:rsid w:val="001F264A"/>
    <w:rsid w:val="001F4EF0"/>
    <w:rsid w:val="001F6031"/>
    <w:rsid w:val="001F7518"/>
    <w:rsid w:val="002012AC"/>
    <w:rsid w:val="00201CE4"/>
    <w:rsid w:val="00202590"/>
    <w:rsid w:val="00204309"/>
    <w:rsid w:val="00204A55"/>
    <w:rsid w:val="00206795"/>
    <w:rsid w:val="002070AC"/>
    <w:rsid w:val="0021007C"/>
    <w:rsid w:val="00212C37"/>
    <w:rsid w:val="00214FA1"/>
    <w:rsid w:val="0021739A"/>
    <w:rsid w:val="002208EB"/>
    <w:rsid w:val="00222A77"/>
    <w:rsid w:val="0023094A"/>
    <w:rsid w:val="00232B1D"/>
    <w:rsid w:val="0023590E"/>
    <w:rsid w:val="00235A71"/>
    <w:rsid w:val="002372D8"/>
    <w:rsid w:val="002378B9"/>
    <w:rsid w:val="002401B0"/>
    <w:rsid w:val="00243A42"/>
    <w:rsid w:val="00243F9C"/>
    <w:rsid w:val="00244F58"/>
    <w:rsid w:val="00246B69"/>
    <w:rsid w:val="00247807"/>
    <w:rsid w:val="00250860"/>
    <w:rsid w:val="0025095C"/>
    <w:rsid w:val="00255392"/>
    <w:rsid w:val="0026131E"/>
    <w:rsid w:val="00261E97"/>
    <w:rsid w:val="0026435F"/>
    <w:rsid w:val="002647E3"/>
    <w:rsid w:val="002711C6"/>
    <w:rsid w:val="00272FC5"/>
    <w:rsid w:val="00273666"/>
    <w:rsid w:val="00273E77"/>
    <w:rsid w:val="00274DC1"/>
    <w:rsid w:val="00274DDE"/>
    <w:rsid w:val="002758D7"/>
    <w:rsid w:val="00275918"/>
    <w:rsid w:val="00275A48"/>
    <w:rsid w:val="00275E21"/>
    <w:rsid w:val="00277247"/>
    <w:rsid w:val="00277577"/>
    <w:rsid w:val="002806D4"/>
    <w:rsid w:val="00281CB3"/>
    <w:rsid w:val="002839CE"/>
    <w:rsid w:val="002846A4"/>
    <w:rsid w:val="002846D1"/>
    <w:rsid w:val="00284CCD"/>
    <w:rsid w:val="0028573B"/>
    <w:rsid w:val="002859BE"/>
    <w:rsid w:val="002910C9"/>
    <w:rsid w:val="002916A7"/>
    <w:rsid w:val="00296675"/>
    <w:rsid w:val="0029771C"/>
    <w:rsid w:val="002A49B7"/>
    <w:rsid w:val="002B0109"/>
    <w:rsid w:val="002B0748"/>
    <w:rsid w:val="002B1194"/>
    <w:rsid w:val="002B2307"/>
    <w:rsid w:val="002B5AD2"/>
    <w:rsid w:val="002B659B"/>
    <w:rsid w:val="002B7A02"/>
    <w:rsid w:val="002C0DCA"/>
    <w:rsid w:val="002C285D"/>
    <w:rsid w:val="002D3281"/>
    <w:rsid w:val="002D4240"/>
    <w:rsid w:val="002D6024"/>
    <w:rsid w:val="002D7355"/>
    <w:rsid w:val="002D7B8B"/>
    <w:rsid w:val="002E0624"/>
    <w:rsid w:val="002E57A9"/>
    <w:rsid w:val="002E633C"/>
    <w:rsid w:val="002E7B59"/>
    <w:rsid w:val="002F6F7F"/>
    <w:rsid w:val="002F702B"/>
    <w:rsid w:val="00300081"/>
    <w:rsid w:val="003002A7"/>
    <w:rsid w:val="0030064D"/>
    <w:rsid w:val="00304F2E"/>
    <w:rsid w:val="0030784C"/>
    <w:rsid w:val="003119A8"/>
    <w:rsid w:val="003129B6"/>
    <w:rsid w:val="003173C9"/>
    <w:rsid w:val="003175B9"/>
    <w:rsid w:val="00322021"/>
    <w:rsid w:val="00323FFF"/>
    <w:rsid w:val="00324069"/>
    <w:rsid w:val="00324BE7"/>
    <w:rsid w:val="003252D0"/>
    <w:rsid w:val="00327423"/>
    <w:rsid w:val="0032754E"/>
    <w:rsid w:val="00330167"/>
    <w:rsid w:val="003304A9"/>
    <w:rsid w:val="00330D93"/>
    <w:rsid w:val="003353F0"/>
    <w:rsid w:val="00340E36"/>
    <w:rsid w:val="003414AD"/>
    <w:rsid w:val="00341616"/>
    <w:rsid w:val="00341B93"/>
    <w:rsid w:val="0034322D"/>
    <w:rsid w:val="00346852"/>
    <w:rsid w:val="003472E5"/>
    <w:rsid w:val="0034735C"/>
    <w:rsid w:val="00350B35"/>
    <w:rsid w:val="00350B44"/>
    <w:rsid w:val="00350F91"/>
    <w:rsid w:val="0035258C"/>
    <w:rsid w:val="0035295E"/>
    <w:rsid w:val="00354B25"/>
    <w:rsid w:val="003574A4"/>
    <w:rsid w:val="003621FA"/>
    <w:rsid w:val="00362ABF"/>
    <w:rsid w:val="00363280"/>
    <w:rsid w:val="00363F97"/>
    <w:rsid w:val="003646DC"/>
    <w:rsid w:val="00365374"/>
    <w:rsid w:val="00376222"/>
    <w:rsid w:val="00377549"/>
    <w:rsid w:val="00380045"/>
    <w:rsid w:val="00382A3F"/>
    <w:rsid w:val="00383AD7"/>
    <w:rsid w:val="003843BF"/>
    <w:rsid w:val="00384AA9"/>
    <w:rsid w:val="00386B4A"/>
    <w:rsid w:val="00387760"/>
    <w:rsid w:val="003878F1"/>
    <w:rsid w:val="00396F2F"/>
    <w:rsid w:val="003A1838"/>
    <w:rsid w:val="003A1945"/>
    <w:rsid w:val="003A3699"/>
    <w:rsid w:val="003A428C"/>
    <w:rsid w:val="003A4660"/>
    <w:rsid w:val="003A68C1"/>
    <w:rsid w:val="003A729B"/>
    <w:rsid w:val="003B1ED2"/>
    <w:rsid w:val="003B20F2"/>
    <w:rsid w:val="003B21AF"/>
    <w:rsid w:val="003B32D1"/>
    <w:rsid w:val="003B7EBD"/>
    <w:rsid w:val="003C0606"/>
    <w:rsid w:val="003C269E"/>
    <w:rsid w:val="003C3ACC"/>
    <w:rsid w:val="003C48A1"/>
    <w:rsid w:val="003C4EAE"/>
    <w:rsid w:val="003C5121"/>
    <w:rsid w:val="003D017F"/>
    <w:rsid w:val="003D1A86"/>
    <w:rsid w:val="003D302C"/>
    <w:rsid w:val="003D4F9C"/>
    <w:rsid w:val="003D591C"/>
    <w:rsid w:val="003E1DD5"/>
    <w:rsid w:val="003E2745"/>
    <w:rsid w:val="003E4D2A"/>
    <w:rsid w:val="003E4F47"/>
    <w:rsid w:val="003E5E23"/>
    <w:rsid w:val="003E664C"/>
    <w:rsid w:val="003E69BF"/>
    <w:rsid w:val="003E7541"/>
    <w:rsid w:val="003F1FD0"/>
    <w:rsid w:val="003F318C"/>
    <w:rsid w:val="003F35A4"/>
    <w:rsid w:val="003F473C"/>
    <w:rsid w:val="003F5914"/>
    <w:rsid w:val="003F6BBE"/>
    <w:rsid w:val="004024DF"/>
    <w:rsid w:val="0040277A"/>
    <w:rsid w:val="00402C6E"/>
    <w:rsid w:val="00402EFD"/>
    <w:rsid w:val="004054BA"/>
    <w:rsid w:val="00406510"/>
    <w:rsid w:val="004065F6"/>
    <w:rsid w:val="00406CCC"/>
    <w:rsid w:val="0041228C"/>
    <w:rsid w:val="00413790"/>
    <w:rsid w:val="00415723"/>
    <w:rsid w:val="00415AB0"/>
    <w:rsid w:val="00416BE2"/>
    <w:rsid w:val="00416DCB"/>
    <w:rsid w:val="00417109"/>
    <w:rsid w:val="004203AB"/>
    <w:rsid w:val="004208E5"/>
    <w:rsid w:val="0042328B"/>
    <w:rsid w:val="00423391"/>
    <w:rsid w:val="0042691D"/>
    <w:rsid w:val="004278A4"/>
    <w:rsid w:val="00431DCA"/>
    <w:rsid w:val="00433B10"/>
    <w:rsid w:val="004414D9"/>
    <w:rsid w:val="00441755"/>
    <w:rsid w:val="00441AAD"/>
    <w:rsid w:val="0044481C"/>
    <w:rsid w:val="00444BE6"/>
    <w:rsid w:val="00447B9A"/>
    <w:rsid w:val="00450102"/>
    <w:rsid w:val="004518EF"/>
    <w:rsid w:val="004545C3"/>
    <w:rsid w:val="00455A37"/>
    <w:rsid w:val="004560D4"/>
    <w:rsid w:val="00460D26"/>
    <w:rsid w:val="00461F07"/>
    <w:rsid w:val="00462266"/>
    <w:rsid w:val="0046327E"/>
    <w:rsid w:val="004640E2"/>
    <w:rsid w:val="004645BE"/>
    <w:rsid w:val="00465CB3"/>
    <w:rsid w:val="00465FDF"/>
    <w:rsid w:val="004666BD"/>
    <w:rsid w:val="004718A1"/>
    <w:rsid w:val="0047212F"/>
    <w:rsid w:val="00472B54"/>
    <w:rsid w:val="00473692"/>
    <w:rsid w:val="00474B5C"/>
    <w:rsid w:val="00474FFA"/>
    <w:rsid w:val="00477AB0"/>
    <w:rsid w:val="00481B47"/>
    <w:rsid w:val="00483A3D"/>
    <w:rsid w:val="004900B9"/>
    <w:rsid w:val="004940AB"/>
    <w:rsid w:val="00495C0F"/>
    <w:rsid w:val="0049616B"/>
    <w:rsid w:val="00496D9E"/>
    <w:rsid w:val="004972CD"/>
    <w:rsid w:val="004A2DE9"/>
    <w:rsid w:val="004A3C35"/>
    <w:rsid w:val="004A4781"/>
    <w:rsid w:val="004A5EDD"/>
    <w:rsid w:val="004A7732"/>
    <w:rsid w:val="004B6B44"/>
    <w:rsid w:val="004C02F1"/>
    <w:rsid w:val="004C061D"/>
    <w:rsid w:val="004C622C"/>
    <w:rsid w:val="004D08C7"/>
    <w:rsid w:val="004D58AF"/>
    <w:rsid w:val="004D7841"/>
    <w:rsid w:val="004E0B02"/>
    <w:rsid w:val="004E3428"/>
    <w:rsid w:val="004E457D"/>
    <w:rsid w:val="004E5C45"/>
    <w:rsid w:val="004F1A7A"/>
    <w:rsid w:val="004F519B"/>
    <w:rsid w:val="004F5E50"/>
    <w:rsid w:val="004F6F32"/>
    <w:rsid w:val="00500897"/>
    <w:rsid w:val="00502693"/>
    <w:rsid w:val="00502A52"/>
    <w:rsid w:val="00504038"/>
    <w:rsid w:val="00505B2A"/>
    <w:rsid w:val="00506EEB"/>
    <w:rsid w:val="00507ED9"/>
    <w:rsid w:val="00507F9C"/>
    <w:rsid w:val="00511C15"/>
    <w:rsid w:val="00512980"/>
    <w:rsid w:val="00515273"/>
    <w:rsid w:val="005165D6"/>
    <w:rsid w:val="0051667F"/>
    <w:rsid w:val="00520ED4"/>
    <w:rsid w:val="0052265A"/>
    <w:rsid w:val="005233DB"/>
    <w:rsid w:val="00523F4A"/>
    <w:rsid w:val="005252F9"/>
    <w:rsid w:val="00530945"/>
    <w:rsid w:val="00531D7C"/>
    <w:rsid w:val="0053370E"/>
    <w:rsid w:val="00534A66"/>
    <w:rsid w:val="005363E2"/>
    <w:rsid w:val="00536BF8"/>
    <w:rsid w:val="005405F1"/>
    <w:rsid w:val="005417E3"/>
    <w:rsid w:val="00542DB6"/>
    <w:rsid w:val="005432B1"/>
    <w:rsid w:val="00543721"/>
    <w:rsid w:val="00547CAE"/>
    <w:rsid w:val="00550081"/>
    <w:rsid w:val="0055387E"/>
    <w:rsid w:val="00555483"/>
    <w:rsid w:val="005556E9"/>
    <w:rsid w:val="00556DDE"/>
    <w:rsid w:val="0055779D"/>
    <w:rsid w:val="00560D14"/>
    <w:rsid w:val="00561E00"/>
    <w:rsid w:val="00564116"/>
    <w:rsid w:val="00564F4F"/>
    <w:rsid w:val="00564FDA"/>
    <w:rsid w:val="00565138"/>
    <w:rsid w:val="005656B6"/>
    <w:rsid w:val="0056654A"/>
    <w:rsid w:val="00567855"/>
    <w:rsid w:val="005679F4"/>
    <w:rsid w:val="00575467"/>
    <w:rsid w:val="0058127B"/>
    <w:rsid w:val="0058446B"/>
    <w:rsid w:val="00584FF9"/>
    <w:rsid w:val="00587F4E"/>
    <w:rsid w:val="005949F6"/>
    <w:rsid w:val="00595130"/>
    <w:rsid w:val="00595C64"/>
    <w:rsid w:val="005968B0"/>
    <w:rsid w:val="00596941"/>
    <w:rsid w:val="005A05BF"/>
    <w:rsid w:val="005A41F7"/>
    <w:rsid w:val="005A6DFC"/>
    <w:rsid w:val="005B3C11"/>
    <w:rsid w:val="005C18F4"/>
    <w:rsid w:val="005C330E"/>
    <w:rsid w:val="005C3D6D"/>
    <w:rsid w:val="005C5515"/>
    <w:rsid w:val="005C6734"/>
    <w:rsid w:val="005D56F6"/>
    <w:rsid w:val="005E0223"/>
    <w:rsid w:val="005E0275"/>
    <w:rsid w:val="005E0BC3"/>
    <w:rsid w:val="005E67EF"/>
    <w:rsid w:val="005E785D"/>
    <w:rsid w:val="005F22BA"/>
    <w:rsid w:val="005F5A31"/>
    <w:rsid w:val="005F6018"/>
    <w:rsid w:val="005F77C2"/>
    <w:rsid w:val="005F7F9D"/>
    <w:rsid w:val="006003FC"/>
    <w:rsid w:val="00601563"/>
    <w:rsid w:val="00601D81"/>
    <w:rsid w:val="006026F9"/>
    <w:rsid w:val="00602F65"/>
    <w:rsid w:val="00603A55"/>
    <w:rsid w:val="00610A76"/>
    <w:rsid w:val="0061149B"/>
    <w:rsid w:val="00612B9A"/>
    <w:rsid w:val="00613709"/>
    <w:rsid w:val="00613A5A"/>
    <w:rsid w:val="00613B65"/>
    <w:rsid w:val="00625A8F"/>
    <w:rsid w:val="00626A90"/>
    <w:rsid w:val="006300C9"/>
    <w:rsid w:val="006302FB"/>
    <w:rsid w:val="00631C29"/>
    <w:rsid w:val="006321D3"/>
    <w:rsid w:val="006322B8"/>
    <w:rsid w:val="006349BA"/>
    <w:rsid w:val="006403C4"/>
    <w:rsid w:val="00640597"/>
    <w:rsid w:val="006443DA"/>
    <w:rsid w:val="00644560"/>
    <w:rsid w:val="006448A5"/>
    <w:rsid w:val="00645669"/>
    <w:rsid w:val="00645CF2"/>
    <w:rsid w:val="0064770E"/>
    <w:rsid w:val="00651985"/>
    <w:rsid w:val="0065241B"/>
    <w:rsid w:val="00653629"/>
    <w:rsid w:val="00656189"/>
    <w:rsid w:val="00656EF2"/>
    <w:rsid w:val="00664368"/>
    <w:rsid w:val="00664C91"/>
    <w:rsid w:val="00665B76"/>
    <w:rsid w:val="00665FA8"/>
    <w:rsid w:val="00666BA6"/>
    <w:rsid w:val="00666E4D"/>
    <w:rsid w:val="0066762A"/>
    <w:rsid w:val="00670270"/>
    <w:rsid w:val="006724E6"/>
    <w:rsid w:val="00675222"/>
    <w:rsid w:val="00675B4E"/>
    <w:rsid w:val="00677204"/>
    <w:rsid w:val="0067760D"/>
    <w:rsid w:val="00677D23"/>
    <w:rsid w:val="0068069E"/>
    <w:rsid w:val="00680B94"/>
    <w:rsid w:val="00681BF5"/>
    <w:rsid w:val="00683CA6"/>
    <w:rsid w:val="00683D12"/>
    <w:rsid w:val="00687F7D"/>
    <w:rsid w:val="006909F8"/>
    <w:rsid w:val="00692504"/>
    <w:rsid w:val="00692ADF"/>
    <w:rsid w:val="0069348F"/>
    <w:rsid w:val="006936E2"/>
    <w:rsid w:val="00695599"/>
    <w:rsid w:val="00695B29"/>
    <w:rsid w:val="00695D83"/>
    <w:rsid w:val="006A165B"/>
    <w:rsid w:val="006A24BD"/>
    <w:rsid w:val="006A2689"/>
    <w:rsid w:val="006A3682"/>
    <w:rsid w:val="006B7E5C"/>
    <w:rsid w:val="006C191B"/>
    <w:rsid w:val="006C25ED"/>
    <w:rsid w:val="006C5213"/>
    <w:rsid w:val="006C55B2"/>
    <w:rsid w:val="006C6A8E"/>
    <w:rsid w:val="006C7630"/>
    <w:rsid w:val="006C7B18"/>
    <w:rsid w:val="006D0ED7"/>
    <w:rsid w:val="006D12A6"/>
    <w:rsid w:val="006D19F2"/>
    <w:rsid w:val="006E3C2D"/>
    <w:rsid w:val="006E4C9C"/>
    <w:rsid w:val="006E6D5D"/>
    <w:rsid w:val="006F1F12"/>
    <w:rsid w:val="006F343A"/>
    <w:rsid w:val="006F54DB"/>
    <w:rsid w:val="006F5EF1"/>
    <w:rsid w:val="006F6FD3"/>
    <w:rsid w:val="00700440"/>
    <w:rsid w:val="00703763"/>
    <w:rsid w:val="007039EC"/>
    <w:rsid w:val="007059CA"/>
    <w:rsid w:val="007072F0"/>
    <w:rsid w:val="007144B2"/>
    <w:rsid w:val="00714F31"/>
    <w:rsid w:val="007220A3"/>
    <w:rsid w:val="00726C0C"/>
    <w:rsid w:val="00730313"/>
    <w:rsid w:val="00730C8D"/>
    <w:rsid w:val="00731573"/>
    <w:rsid w:val="00732C38"/>
    <w:rsid w:val="00733367"/>
    <w:rsid w:val="0073363B"/>
    <w:rsid w:val="007337CF"/>
    <w:rsid w:val="0073403C"/>
    <w:rsid w:val="00734737"/>
    <w:rsid w:val="0074039A"/>
    <w:rsid w:val="0074147D"/>
    <w:rsid w:val="007433D3"/>
    <w:rsid w:val="00743EF3"/>
    <w:rsid w:val="00745559"/>
    <w:rsid w:val="00750182"/>
    <w:rsid w:val="00751404"/>
    <w:rsid w:val="00752773"/>
    <w:rsid w:val="00752F67"/>
    <w:rsid w:val="00753B56"/>
    <w:rsid w:val="007547B9"/>
    <w:rsid w:val="007601B1"/>
    <w:rsid w:val="00761F41"/>
    <w:rsid w:val="007625DF"/>
    <w:rsid w:val="00763285"/>
    <w:rsid w:val="007635A3"/>
    <w:rsid w:val="00766645"/>
    <w:rsid w:val="00767C18"/>
    <w:rsid w:val="007703DA"/>
    <w:rsid w:val="00772096"/>
    <w:rsid w:val="00774EB2"/>
    <w:rsid w:val="00774FD7"/>
    <w:rsid w:val="0077547F"/>
    <w:rsid w:val="007769AE"/>
    <w:rsid w:val="00776A44"/>
    <w:rsid w:val="00776D3D"/>
    <w:rsid w:val="007801EB"/>
    <w:rsid w:val="00784B3C"/>
    <w:rsid w:val="00786121"/>
    <w:rsid w:val="00786343"/>
    <w:rsid w:val="0079072D"/>
    <w:rsid w:val="00790EF7"/>
    <w:rsid w:val="00794FBF"/>
    <w:rsid w:val="00795DBB"/>
    <w:rsid w:val="00796CB1"/>
    <w:rsid w:val="007A2D3F"/>
    <w:rsid w:val="007A368E"/>
    <w:rsid w:val="007A4349"/>
    <w:rsid w:val="007A4F82"/>
    <w:rsid w:val="007B0A44"/>
    <w:rsid w:val="007B100C"/>
    <w:rsid w:val="007B15E4"/>
    <w:rsid w:val="007B1E5C"/>
    <w:rsid w:val="007B4D1A"/>
    <w:rsid w:val="007B6338"/>
    <w:rsid w:val="007B730C"/>
    <w:rsid w:val="007B7BE3"/>
    <w:rsid w:val="007C0AEA"/>
    <w:rsid w:val="007C22B0"/>
    <w:rsid w:val="007C6A23"/>
    <w:rsid w:val="007D0C37"/>
    <w:rsid w:val="007D1DEF"/>
    <w:rsid w:val="007D2198"/>
    <w:rsid w:val="007D24ED"/>
    <w:rsid w:val="007D2643"/>
    <w:rsid w:val="007D6872"/>
    <w:rsid w:val="007E0648"/>
    <w:rsid w:val="007E083F"/>
    <w:rsid w:val="007E097F"/>
    <w:rsid w:val="007E0A9B"/>
    <w:rsid w:val="007E1245"/>
    <w:rsid w:val="007E60BF"/>
    <w:rsid w:val="007E7CC2"/>
    <w:rsid w:val="007F15C3"/>
    <w:rsid w:val="007F22EB"/>
    <w:rsid w:val="007F4215"/>
    <w:rsid w:val="007F6F0E"/>
    <w:rsid w:val="007F7491"/>
    <w:rsid w:val="007F7A51"/>
    <w:rsid w:val="007F7C44"/>
    <w:rsid w:val="00804676"/>
    <w:rsid w:val="00805467"/>
    <w:rsid w:val="00810597"/>
    <w:rsid w:val="00810795"/>
    <w:rsid w:val="00811643"/>
    <w:rsid w:val="0081303D"/>
    <w:rsid w:val="008130A4"/>
    <w:rsid w:val="008134FB"/>
    <w:rsid w:val="00814F05"/>
    <w:rsid w:val="00815D85"/>
    <w:rsid w:val="00815E0F"/>
    <w:rsid w:val="008208E0"/>
    <w:rsid w:val="008263DA"/>
    <w:rsid w:val="00830320"/>
    <w:rsid w:val="008320B6"/>
    <w:rsid w:val="008321B8"/>
    <w:rsid w:val="008321E8"/>
    <w:rsid w:val="0083275B"/>
    <w:rsid w:val="00832906"/>
    <w:rsid w:val="008364A3"/>
    <w:rsid w:val="008365C8"/>
    <w:rsid w:val="0083746E"/>
    <w:rsid w:val="0084288A"/>
    <w:rsid w:val="008467DA"/>
    <w:rsid w:val="0085010D"/>
    <w:rsid w:val="00851F11"/>
    <w:rsid w:val="00851FB0"/>
    <w:rsid w:val="00853021"/>
    <w:rsid w:val="008531D6"/>
    <w:rsid w:val="00853D49"/>
    <w:rsid w:val="00853EB6"/>
    <w:rsid w:val="00855EC7"/>
    <w:rsid w:val="00857E78"/>
    <w:rsid w:val="00862614"/>
    <w:rsid w:val="0086336F"/>
    <w:rsid w:val="00863BBF"/>
    <w:rsid w:val="00863E16"/>
    <w:rsid w:val="0086403D"/>
    <w:rsid w:val="00867C02"/>
    <w:rsid w:val="0087081B"/>
    <w:rsid w:val="00871A6D"/>
    <w:rsid w:val="00874F26"/>
    <w:rsid w:val="00876BCE"/>
    <w:rsid w:val="00877BB8"/>
    <w:rsid w:val="00881FEA"/>
    <w:rsid w:val="00884BA2"/>
    <w:rsid w:val="00885E94"/>
    <w:rsid w:val="00887B6F"/>
    <w:rsid w:val="00890344"/>
    <w:rsid w:val="00893A0E"/>
    <w:rsid w:val="008940A9"/>
    <w:rsid w:val="008A0A2B"/>
    <w:rsid w:val="008A0CF3"/>
    <w:rsid w:val="008A0F2E"/>
    <w:rsid w:val="008A19CE"/>
    <w:rsid w:val="008A4632"/>
    <w:rsid w:val="008A4AAE"/>
    <w:rsid w:val="008A576A"/>
    <w:rsid w:val="008A6C93"/>
    <w:rsid w:val="008A7D17"/>
    <w:rsid w:val="008B0EFC"/>
    <w:rsid w:val="008B1170"/>
    <w:rsid w:val="008B180A"/>
    <w:rsid w:val="008B288D"/>
    <w:rsid w:val="008B6024"/>
    <w:rsid w:val="008B6BDE"/>
    <w:rsid w:val="008C0055"/>
    <w:rsid w:val="008C1D1C"/>
    <w:rsid w:val="008C2451"/>
    <w:rsid w:val="008C376C"/>
    <w:rsid w:val="008C5A82"/>
    <w:rsid w:val="008C5ABC"/>
    <w:rsid w:val="008C667F"/>
    <w:rsid w:val="008C7E5E"/>
    <w:rsid w:val="008D1F8D"/>
    <w:rsid w:val="008D678A"/>
    <w:rsid w:val="008D6A1E"/>
    <w:rsid w:val="008D7237"/>
    <w:rsid w:val="008E3AB4"/>
    <w:rsid w:val="008E48B9"/>
    <w:rsid w:val="008E7B8D"/>
    <w:rsid w:val="008F192E"/>
    <w:rsid w:val="008F1E6B"/>
    <w:rsid w:val="008F210C"/>
    <w:rsid w:val="008F21B2"/>
    <w:rsid w:val="008F42AD"/>
    <w:rsid w:val="008F71F9"/>
    <w:rsid w:val="008F7497"/>
    <w:rsid w:val="008F7D44"/>
    <w:rsid w:val="00901545"/>
    <w:rsid w:val="00903315"/>
    <w:rsid w:val="00903DEE"/>
    <w:rsid w:val="00904388"/>
    <w:rsid w:val="009067E4"/>
    <w:rsid w:val="00907326"/>
    <w:rsid w:val="00907D7C"/>
    <w:rsid w:val="00911382"/>
    <w:rsid w:val="00915BA3"/>
    <w:rsid w:val="00916E01"/>
    <w:rsid w:val="00920D81"/>
    <w:rsid w:val="00920E31"/>
    <w:rsid w:val="00921C64"/>
    <w:rsid w:val="0092352B"/>
    <w:rsid w:val="00923D5D"/>
    <w:rsid w:val="00927F9E"/>
    <w:rsid w:val="0093108E"/>
    <w:rsid w:val="00931497"/>
    <w:rsid w:val="00933E77"/>
    <w:rsid w:val="009409DA"/>
    <w:rsid w:val="009410C3"/>
    <w:rsid w:val="009416AC"/>
    <w:rsid w:val="0094207E"/>
    <w:rsid w:val="009443C8"/>
    <w:rsid w:val="00945DF3"/>
    <w:rsid w:val="009473B3"/>
    <w:rsid w:val="00952033"/>
    <w:rsid w:val="0095426F"/>
    <w:rsid w:val="00954E43"/>
    <w:rsid w:val="009552E5"/>
    <w:rsid w:val="00955492"/>
    <w:rsid w:val="00966762"/>
    <w:rsid w:val="00966E80"/>
    <w:rsid w:val="00967F0F"/>
    <w:rsid w:val="00971B59"/>
    <w:rsid w:val="00972021"/>
    <w:rsid w:val="00972790"/>
    <w:rsid w:val="0097372A"/>
    <w:rsid w:val="009741AC"/>
    <w:rsid w:val="00983E2A"/>
    <w:rsid w:val="0098400C"/>
    <w:rsid w:val="00984939"/>
    <w:rsid w:val="009859B2"/>
    <w:rsid w:val="009914BE"/>
    <w:rsid w:val="00992D93"/>
    <w:rsid w:val="00994581"/>
    <w:rsid w:val="009953F2"/>
    <w:rsid w:val="009955DD"/>
    <w:rsid w:val="009A2E22"/>
    <w:rsid w:val="009A46B2"/>
    <w:rsid w:val="009A4A36"/>
    <w:rsid w:val="009A5DF2"/>
    <w:rsid w:val="009A7312"/>
    <w:rsid w:val="009B0438"/>
    <w:rsid w:val="009B0CD4"/>
    <w:rsid w:val="009B5781"/>
    <w:rsid w:val="009C4797"/>
    <w:rsid w:val="009C50F1"/>
    <w:rsid w:val="009C5CD2"/>
    <w:rsid w:val="009C60DE"/>
    <w:rsid w:val="009C71AB"/>
    <w:rsid w:val="009D1F24"/>
    <w:rsid w:val="009D29CD"/>
    <w:rsid w:val="009D6141"/>
    <w:rsid w:val="009E29A9"/>
    <w:rsid w:val="009E5817"/>
    <w:rsid w:val="009E6647"/>
    <w:rsid w:val="009F267A"/>
    <w:rsid w:val="009F292F"/>
    <w:rsid w:val="009F4679"/>
    <w:rsid w:val="009F5A49"/>
    <w:rsid w:val="00A00E24"/>
    <w:rsid w:val="00A0182A"/>
    <w:rsid w:val="00A06127"/>
    <w:rsid w:val="00A06914"/>
    <w:rsid w:val="00A11493"/>
    <w:rsid w:val="00A13B36"/>
    <w:rsid w:val="00A143BC"/>
    <w:rsid w:val="00A14FE5"/>
    <w:rsid w:val="00A1503A"/>
    <w:rsid w:val="00A2021E"/>
    <w:rsid w:val="00A22ED0"/>
    <w:rsid w:val="00A24917"/>
    <w:rsid w:val="00A26AAC"/>
    <w:rsid w:val="00A26B9F"/>
    <w:rsid w:val="00A26CF1"/>
    <w:rsid w:val="00A27DC5"/>
    <w:rsid w:val="00A32794"/>
    <w:rsid w:val="00A32A0B"/>
    <w:rsid w:val="00A471B4"/>
    <w:rsid w:val="00A47240"/>
    <w:rsid w:val="00A53EE3"/>
    <w:rsid w:val="00A5406D"/>
    <w:rsid w:val="00A54298"/>
    <w:rsid w:val="00A548FF"/>
    <w:rsid w:val="00A56ED9"/>
    <w:rsid w:val="00A60E77"/>
    <w:rsid w:val="00A61A37"/>
    <w:rsid w:val="00A635F0"/>
    <w:rsid w:val="00A65519"/>
    <w:rsid w:val="00A711C3"/>
    <w:rsid w:val="00A72A13"/>
    <w:rsid w:val="00A775E7"/>
    <w:rsid w:val="00A801AB"/>
    <w:rsid w:val="00A80D4B"/>
    <w:rsid w:val="00A80E6A"/>
    <w:rsid w:val="00A81454"/>
    <w:rsid w:val="00A83FF1"/>
    <w:rsid w:val="00A84426"/>
    <w:rsid w:val="00A84483"/>
    <w:rsid w:val="00A87017"/>
    <w:rsid w:val="00A87520"/>
    <w:rsid w:val="00A90D4A"/>
    <w:rsid w:val="00A9222B"/>
    <w:rsid w:val="00A9299D"/>
    <w:rsid w:val="00A941A0"/>
    <w:rsid w:val="00A948B5"/>
    <w:rsid w:val="00A94AD1"/>
    <w:rsid w:val="00AA24B6"/>
    <w:rsid w:val="00AA374C"/>
    <w:rsid w:val="00AA3C0C"/>
    <w:rsid w:val="00AA657A"/>
    <w:rsid w:val="00AB1646"/>
    <w:rsid w:val="00AB2CC8"/>
    <w:rsid w:val="00AB3C67"/>
    <w:rsid w:val="00AB4309"/>
    <w:rsid w:val="00AB56BB"/>
    <w:rsid w:val="00AC0B30"/>
    <w:rsid w:val="00AC1FB2"/>
    <w:rsid w:val="00AC35C1"/>
    <w:rsid w:val="00AC40D3"/>
    <w:rsid w:val="00AD01B4"/>
    <w:rsid w:val="00AD47D3"/>
    <w:rsid w:val="00AD4864"/>
    <w:rsid w:val="00AD7BFD"/>
    <w:rsid w:val="00AE4931"/>
    <w:rsid w:val="00AE72F5"/>
    <w:rsid w:val="00AF3504"/>
    <w:rsid w:val="00AF49F2"/>
    <w:rsid w:val="00B04AC1"/>
    <w:rsid w:val="00B106C1"/>
    <w:rsid w:val="00B121D5"/>
    <w:rsid w:val="00B12395"/>
    <w:rsid w:val="00B12686"/>
    <w:rsid w:val="00B150D5"/>
    <w:rsid w:val="00B20DF8"/>
    <w:rsid w:val="00B21E33"/>
    <w:rsid w:val="00B22AF2"/>
    <w:rsid w:val="00B30DA4"/>
    <w:rsid w:val="00B31EA6"/>
    <w:rsid w:val="00B32EF1"/>
    <w:rsid w:val="00B3342B"/>
    <w:rsid w:val="00B3407C"/>
    <w:rsid w:val="00B3558F"/>
    <w:rsid w:val="00B42793"/>
    <w:rsid w:val="00B42E25"/>
    <w:rsid w:val="00B4364C"/>
    <w:rsid w:val="00B44226"/>
    <w:rsid w:val="00B443EB"/>
    <w:rsid w:val="00B45DBA"/>
    <w:rsid w:val="00B474DD"/>
    <w:rsid w:val="00B50C58"/>
    <w:rsid w:val="00B5247C"/>
    <w:rsid w:val="00B53079"/>
    <w:rsid w:val="00B53EC1"/>
    <w:rsid w:val="00B57A73"/>
    <w:rsid w:val="00B605EA"/>
    <w:rsid w:val="00B615B0"/>
    <w:rsid w:val="00B62E49"/>
    <w:rsid w:val="00B6577B"/>
    <w:rsid w:val="00B657D8"/>
    <w:rsid w:val="00B72E30"/>
    <w:rsid w:val="00B72FAC"/>
    <w:rsid w:val="00B76995"/>
    <w:rsid w:val="00B77402"/>
    <w:rsid w:val="00B801DE"/>
    <w:rsid w:val="00B836EB"/>
    <w:rsid w:val="00B83D0B"/>
    <w:rsid w:val="00B83E90"/>
    <w:rsid w:val="00B8495A"/>
    <w:rsid w:val="00B854EF"/>
    <w:rsid w:val="00B856D6"/>
    <w:rsid w:val="00B87106"/>
    <w:rsid w:val="00B901F1"/>
    <w:rsid w:val="00B906AC"/>
    <w:rsid w:val="00B9146E"/>
    <w:rsid w:val="00B91EB8"/>
    <w:rsid w:val="00B94051"/>
    <w:rsid w:val="00B9492C"/>
    <w:rsid w:val="00B95158"/>
    <w:rsid w:val="00B952A0"/>
    <w:rsid w:val="00B977E0"/>
    <w:rsid w:val="00BA049B"/>
    <w:rsid w:val="00BA04ED"/>
    <w:rsid w:val="00BA0D24"/>
    <w:rsid w:val="00BA1DA2"/>
    <w:rsid w:val="00BA1E1E"/>
    <w:rsid w:val="00BA2947"/>
    <w:rsid w:val="00BA37A6"/>
    <w:rsid w:val="00BA5144"/>
    <w:rsid w:val="00BA5FB3"/>
    <w:rsid w:val="00BA796D"/>
    <w:rsid w:val="00BB006F"/>
    <w:rsid w:val="00BB0C77"/>
    <w:rsid w:val="00BB189B"/>
    <w:rsid w:val="00BB2D9E"/>
    <w:rsid w:val="00BB3863"/>
    <w:rsid w:val="00BB6E2D"/>
    <w:rsid w:val="00BB7800"/>
    <w:rsid w:val="00BC10F5"/>
    <w:rsid w:val="00BC1790"/>
    <w:rsid w:val="00BC2615"/>
    <w:rsid w:val="00BC5660"/>
    <w:rsid w:val="00BD04F4"/>
    <w:rsid w:val="00BD13E0"/>
    <w:rsid w:val="00BD17A2"/>
    <w:rsid w:val="00BD233F"/>
    <w:rsid w:val="00BD2A42"/>
    <w:rsid w:val="00BD3BC1"/>
    <w:rsid w:val="00BD7E4E"/>
    <w:rsid w:val="00BE0102"/>
    <w:rsid w:val="00BE10A1"/>
    <w:rsid w:val="00BE18CC"/>
    <w:rsid w:val="00BE5F8F"/>
    <w:rsid w:val="00BE614F"/>
    <w:rsid w:val="00BE78A2"/>
    <w:rsid w:val="00BE7FEB"/>
    <w:rsid w:val="00BF16B9"/>
    <w:rsid w:val="00BF1AC5"/>
    <w:rsid w:val="00BF206F"/>
    <w:rsid w:val="00BF44EE"/>
    <w:rsid w:val="00BF5A8C"/>
    <w:rsid w:val="00BF7DC1"/>
    <w:rsid w:val="00C012B0"/>
    <w:rsid w:val="00C026C9"/>
    <w:rsid w:val="00C052BE"/>
    <w:rsid w:val="00C1143E"/>
    <w:rsid w:val="00C14791"/>
    <w:rsid w:val="00C16D04"/>
    <w:rsid w:val="00C20ECD"/>
    <w:rsid w:val="00C238EE"/>
    <w:rsid w:val="00C26260"/>
    <w:rsid w:val="00C2693A"/>
    <w:rsid w:val="00C26E60"/>
    <w:rsid w:val="00C30D23"/>
    <w:rsid w:val="00C31839"/>
    <w:rsid w:val="00C326F1"/>
    <w:rsid w:val="00C347D0"/>
    <w:rsid w:val="00C35BAA"/>
    <w:rsid w:val="00C42049"/>
    <w:rsid w:val="00C42520"/>
    <w:rsid w:val="00C43B7B"/>
    <w:rsid w:val="00C44012"/>
    <w:rsid w:val="00C4478E"/>
    <w:rsid w:val="00C4624D"/>
    <w:rsid w:val="00C4747C"/>
    <w:rsid w:val="00C530B8"/>
    <w:rsid w:val="00C53B32"/>
    <w:rsid w:val="00C5475A"/>
    <w:rsid w:val="00C54DC6"/>
    <w:rsid w:val="00C563AF"/>
    <w:rsid w:val="00C5673E"/>
    <w:rsid w:val="00C57F9E"/>
    <w:rsid w:val="00C65500"/>
    <w:rsid w:val="00C6593B"/>
    <w:rsid w:val="00C65EF2"/>
    <w:rsid w:val="00C66F9F"/>
    <w:rsid w:val="00C67DDE"/>
    <w:rsid w:val="00C71990"/>
    <w:rsid w:val="00C72D2C"/>
    <w:rsid w:val="00C736AF"/>
    <w:rsid w:val="00C73A29"/>
    <w:rsid w:val="00C73A65"/>
    <w:rsid w:val="00C74CE1"/>
    <w:rsid w:val="00C75A54"/>
    <w:rsid w:val="00C75BF1"/>
    <w:rsid w:val="00C75C59"/>
    <w:rsid w:val="00C7638E"/>
    <w:rsid w:val="00C8103F"/>
    <w:rsid w:val="00C81700"/>
    <w:rsid w:val="00C82699"/>
    <w:rsid w:val="00C8419E"/>
    <w:rsid w:val="00C85938"/>
    <w:rsid w:val="00C8683F"/>
    <w:rsid w:val="00C90194"/>
    <w:rsid w:val="00C91C61"/>
    <w:rsid w:val="00C91D90"/>
    <w:rsid w:val="00CA0858"/>
    <w:rsid w:val="00CA24A2"/>
    <w:rsid w:val="00CA2E7F"/>
    <w:rsid w:val="00CA344D"/>
    <w:rsid w:val="00CA34E9"/>
    <w:rsid w:val="00CA5792"/>
    <w:rsid w:val="00CB03BE"/>
    <w:rsid w:val="00CB04D4"/>
    <w:rsid w:val="00CB087F"/>
    <w:rsid w:val="00CB471C"/>
    <w:rsid w:val="00CB791C"/>
    <w:rsid w:val="00CC0CC9"/>
    <w:rsid w:val="00CC1F7E"/>
    <w:rsid w:val="00CC21C2"/>
    <w:rsid w:val="00CC3CB4"/>
    <w:rsid w:val="00CC3D79"/>
    <w:rsid w:val="00CC7321"/>
    <w:rsid w:val="00CC7F9D"/>
    <w:rsid w:val="00CD1CC8"/>
    <w:rsid w:val="00CD3A4A"/>
    <w:rsid w:val="00CD5371"/>
    <w:rsid w:val="00CE17BF"/>
    <w:rsid w:val="00CE23BF"/>
    <w:rsid w:val="00CE3937"/>
    <w:rsid w:val="00CE3E42"/>
    <w:rsid w:val="00CE5A59"/>
    <w:rsid w:val="00CE6A3B"/>
    <w:rsid w:val="00CE7282"/>
    <w:rsid w:val="00CE7469"/>
    <w:rsid w:val="00CE7A09"/>
    <w:rsid w:val="00CF11C6"/>
    <w:rsid w:val="00CF11ED"/>
    <w:rsid w:val="00CF28F7"/>
    <w:rsid w:val="00CF7D91"/>
    <w:rsid w:val="00D016F7"/>
    <w:rsid w:val="00D0528A"/>
    <w:rsid w:val="00D06901"/>
    <w:rsid w:val="00D07BA9"/>
    <w:rsid w:val="00D109B4"/>
    <w:rsid w:val="00D12494"/>
    <w:rsid w:val="00D14D7D"/>
    <w:rsid w:val="00D1531A"/>
    <w:rsid w:val="00D15F60"/>
    <w:rsid w:val="00D16CDF"/>
    <w:rsid w:val="00D23F6C"/>
    <w:rsid w:val="00D25E38"/>
    <w:rsid w:val="00D35C74"/>
    <w:rsid w:val="00D35D70"/>
    <w:rsid w:val="00D37461"/>
    <w:rsid w:val="00D4039A"/>
    <w:rsid w:val="00D404D1"/>
    <w:rsid w:val="00D40B6D"/>
    <w:rsid w:val="00D40CBB"/>
    <w:rsid w:val="00D446ED"/>
    <w:rsid w:val="00D46098"/>
    <w:rsid w:val="00D46957"/>
    <w:rsid w:val="00D474DB"/>
    <w:rsid w:val="00D47880"/>
    <w:rsid w:val="00D51C65"/>
    <w:rsid w:val="00D52735"/>
    <w:rsid w:val="00D52795"/>
    <w:rsid w:val="00D52BDC"/>
    <w:rsid w:val="00D552C9"/>
    <w:rsid w:val="00D56E7B"/>
    <w:rsid w:val="00D570EF"/>
    <w:rsid w:val="00D60BEF"/>
    <w:rsid w:val="00D63624"/>
    <w:rsid w:val="00D63F9D"/>
    <w:rsid w:val="00D641C8"/>
    <w:rsid w:val="00D64C09"/>
    <w:rsid w:val="00D651AD"/>
    <w:rsid w:val="00D668EC"/>
    <w:rsid w:val="00D67C95"/>
    <w:rsid w:val="00D72062"/>
    <w:rsid w:val="00D7525F"/>
    <w:rsid w:val="00D77CC8"/>
    <w:rsid w:val="00D80354"/>
    <w:rsid w:val="00D842CB"/>
    <w:rsid w:val="00D84DA4"/>
    <w:rsid w:val="00D85143"/>
    <w:rsid w:val="00D86202"/>
    <w:rsid w:val="00D8660D"/>
    <w:rsid w:val="00D909AD"/>
    <w:rsid w:val="00D94E1F"/>
    <w:rsid w:val="00D96EAA"/>
    <w:rsid w:val="00DA203E"/>
    <w:rsid w:val="00DA2D0D"/>
    <w:rsid w:val="00DA2E50"/>
    <w:rsid w:val="00DA2F17"/>
    <w:rsid w:val="00DA4BBB"/>
    <w:rsid w:val="00DA4D89"/>
    <w:rsid w:val="00DA4FEE"/>
    <w:rsid w:val="00DA6493"/>
    <w:rsid w:val="00DA695C"/>
    <w:rsid w:val="00DB4A3E"/>
    <w:rsid w:val="00DB4AAA"/>
    <w:rsid w:val="00DB6D0A"/>
    <w:rsid w:val="00DB77BF"/>
    <w:rsid w:val="00DB7E5F"/>
    <w:rsid w:val="00DC0FB5"/>
    <w:rsid w:val="00DC11C4"/>
    <w:rsid w:val="00DC1AAD"/>
    <w:rsid w:val="00DC39E0"/>
    <w:rsid w:val="00DC6D01"/>
    <w:rsid w:val="00DC7086"/>
    <w:rsid w:val="00DD0393"/>
    <w:rsid w:val="00DD096E"/>
    <w:rsid w:val="00DD205F"/>
    <w:rsid w:val="00DD3700"/>
    <w:rsid w:val="00DD40D5"/>
    <w:rsid w:val="00DD482A"/>
    <w:rsid w:val="00DD60A9"/>
    <w:rsid w:val="00DD6715"/>
    <w:rsid w:val="00DE1072"/>
    <w:rsid w:val="00DE2D84"/>
    <w:rsid w:val="00DE3387"/>
    <w:rsid w:val="00DE5370"/>
    <w:rsid w:val="00DE5E89"/>
    <w:rsid w:val="00DE627A"/>
    <w:rsid w:val="00DE7B66"/>
    <w:rsid w:val="00DF025B"/>
    <w:rsid w:val="00DF1F1D"/>
    <w:rsid w:val="00DF3597"/>
    <w:rsid w:val="00DF421A"/>
    <w:rsid w:val="00DF4E09"/>
    <w:rsid w:val="00E012A0"/>
    <w:rsid w:val="00E0158B"/>
    <w:rsid w:val="00E06040"/>
    <w:rsid w:val="00E10ED7"/>
    <w:rsid w:val="00E20DCF"/>
    <w:rsid w:val="00E22B47"/>
    <w:rsid w:val="00E30DAD"/>
    <w:rsid w:val="00E311DD"/>
    <w:rsid w:val="00E35ADD"/>
    <w:rsid w:val="00E40815"/>
    <w:rsid w:val="00E42554"/>
    <w:rsid w:val="00E42616"/>
    <w:rsid w:val="00E4278B"/>
    <w:rsid w:val="00E431D9"/>
    <w:rsid w:val="00E47D62"/>
    <w:rsid w:val="00E51C85"/>
    <w:rsid w:val="00E54553"/>
    <w:rsid w:val="00E54EC6"/>
    <w:rsid w:val="00E612A2"/>
    <w:rsid w:val="00E64199"/>
    <w:rsid w:val="00E66F00"/>
    <w:rsid w:val="00E726C1"/>
    <w:rsid w:val="00E74EA9"/>
    <w:rsid w:val="00E770C5"/>
    <w:rsid w:val="00E81C5F"/>
    <w:rsid w:val="00E841EE"/>
    <w:rsid w:val="00E8473A"/>
    <w:rsid w:val="00E91C43"/>
    <w:rsid w:val="00E94483"/>
    <w:rsid w:val="00EA1027"/>
    <w:rsid w:val="00EA1A04"/>
    <w:rsid w:val="00EA7C1C"/>
    <w:rsid w:val="00EA7D86"/>
    <w:rsid w:val="00EB141E"/>
    <w:rsid w:val="00EB3643"/>
    <w:rsid w:val="00EB4E0E"/>
    <w:rsid w:val="00EB5986"/>
    <w:rsid w:val="00EB60EA"/>
    <w:rsid w:val="00EC0242"/>
    <w:rsid w:val="00EC1271"/>
    <w:rsid w:val="00EC20E7"/>
    <w:rsid w:val="00EC35ED"/>
    <w:rsid w:val="00EC365B"/>
    <w:rsid w:val="00EC376A"/>
    <w:rsid w:val="00EC5AB7"/>
    <w:rsid w:val="00EC6493"/>
    <w:rsid w:val="00EC7303"/>
    <w:rsid w:val="00EC79D5"/>
    <w:rsid w:val="00ED0CED"/>
    <w:rsid w:val="00ED0F1B"/>
    <w:rsid w:val="00ED14AC"/>
    <w:rsid w:val="00ED18E7"/>
    <w:rsid w:val="00ED56F5"/>
    <w:rsid w:val="00EE282A"/>
    <w:rsid w:val="00EE2C65"/>
    <w:rsid w:val="00EE2F5F"/>
    <w:rsid w:val="00EE3027"/>
    <w:rsid w:val="00EE41BF"/>
    <w:rsid w:val="00EE4269"/>
    <w:rsid w:val="00EE538D"/>
    <w:rsid w:val="00EE7224"/>
    <w:rsid w:val="00EE75C9"/>
    <w:rsid w:val="00EE79E7"/>
    <w:rsid w:val="00EF16A3"/>
    <w:rsid w:val="00EF4E51"/>
    <w:rsid w:val="00EF77AF"/>
    <w:rsid w:val="00F000E2"/>
    <w:rsid w:val="00F00E5E"/>
    <w:rsid w:val="00F01468"/>
    <w:rsid w:val="00F02FD4"/>
    <w:rsid w:val="00F030F2"/>
    <w:rsid w:val="00F05A89"/>
    <w:rsid w:val="00F06976"/>
    <w:rsid w:val="00F06F3F"/>
    <w:rsid w:val="00F07F24"/>
    <w:rsid w:val="00F12E6E"/>
    <w:rsid w:val="00F1624A"/>
    <w:rsid w:val="00F203FE"/>
    <w:rsid w:val="00F21485"/>
    <w:rsid w:val="00F21CAA"/>
    <w:rsid w:val="00F22577"/>
    <w:rsid w:val="00F24721"/>
    <w:rsid w:val="00F250CA"/>
    <w:rsid w:val="00F26555"/>
    <w:rsid w:val="00F26769"/>
    <w:rsid w:val="00F26922"/>
    <w:rsid w:val="00F26C92"/>
    <w:rsid w:val="00F31C76"/>
    <w:rsid w:val="00F332CF"/>
    <w:rsid w:val="00F34CCD"/>
    <w:rsid w:val="00F35460"/>
    <w:rsid w:val="00F361AE"/>
    <w:rsid w:val="00F378B5"/>
    <w:rsid w:val="00F41343"/>
    <w:rsid w:val="00F41824"/>
    <w:rsid w:val="00F425D0"/>
    <w:rsid w:val="00F42E9C"/>
    <w:rsid w:val="00F44BFE"/>
    <w:rsid w:val="00F4535B"/>
    <w:rsid w:val="00F5072D"/>
    <w:rsid w:val="00F50EEA"/>
    <w:rsid w:val="00F51634"/>
    <w:rsid w:val="00F51BBA"/>
    <w:rsid w:val="00F52B07"/>
    <w:rsid w:val="00F53ADE"/>
    <w:rsid w:val="00F540BB"/>
    <w:rsid w:val="00F560E6"/>
    <w:rsid w:val="00F60EE1"/>
    <w:rsid w:val="00F61C25"/>
    <w:rsid w:val="00F62552"/>
    <w:rsid w:val="00F62A5A"/>
    <w:rsid w:val="00F63525"/>
    <w:rsid w:val="00F66E87"/>
    <w:rsid w:val="00F67D03"/>
    <w:rsid w:val="00F7522A"/>
    <w:rsid w:val="00F752C4"/>
    <w:rsid w:val="00F81D71"/>
    <w:rsid w:val="00F841DA"/>
    <w:rsid w:val="00F8502D"/>
    <w:rsid w:val="00F8590A"/>
    <w:rsid w:val="00F85F6F"/>
    <w:rsid w:val="00F926FD"/>
    <w:rsid w:val="00F934FE"/>
    <w:rsid w:val="00F9360A"/>
    <w:rsid w:val="00F937FB"/>
    <w:rsid w:val="00F97423"/>
    <w:rsid w:val="00FA1AC9"/>
    <w:rsid w:val="00FA409B"/>
    <w:rsid w:val="00FA4CD2"/>
    <w:rsid w:val="00FA61CD"/>
    <w:rsid w:val="00FA63CD"/>
    <w:rsid w:val="00FA78BC"/>
    <w:rsid w:val="00FA7F8F"/>
    <w:rsid w:val="00FB016E"/>
    <w:rsid w:val="00FB04C0"/>
    <w:rsid w:val="00FB1044"/>
    <w:rsid w:val="00FB112D"/>
    <w:rsid w:val="00FB580C"/>
    <w:rsid w:val="00FB646D"/>
    <w:rsid w:val="00FC0AF1"/>
    <w:rsid w:val="00FC1148"/>
    <w:rsid w:val="00FC3D98"/>
    <w:rsid w:val="00FC624E"/>
    <w:rsid w:val="00FC6C72"/>
    <w:rsid w:val="00FC7AD1"/>
    <w:rsid w:val="00FC7D0F"/>
    <w:rsid w:val="00FD0A66"/>
    <w:rsid w:val="00FD1466"/>
    <w:rsid w:val="00FD1B33"/>
    <w:rsid w:val="00FD6FFC"/>
    <w:rsid w:val="00FE0862"/>
    <w:rsid w:val="00FE08C1"/>
    <w:rsid w:val="00FE2AB6"/>
    <w:rsid w:val="00FE5A64"/>
    <w:rsid w:val="00FE5DD3"/>
    <w:rsid w:val="00FE643B"/>
    <w:rsid w:val="00FF04EF"/>
    <w:rsid w:val="00FF05CC"/>
    <w:rsid w:val="00FF0F47"/>
    <w:rsid w:val="00FF6A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D57DE"/>
  <w15:docId w15:val="{1A361BEB-2F02-4885-9D61-AF41BCE3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AC"/>
    <w:pPr>
      <w:spacing w:after="120" w:line="240" w:lineRule="auto"/>
    </w:pPr>
    <w:rPr>
      <w:rFonts w:ascii="Times New Roman" w:hAnsi="Times New Roman" w:cs="Arial"/>
      <w:sz w:val="20"/>
    </w:rPr>
  </w:style>
  <w:style w:type="paragraph" w:styleId="Heading1">
    <w:name w:val="heading 1"/>
    <w:next w:val="NumberedParas"/>
    <w:link w:val="Heading1Char"/>
    <w:uiPriority w:val="11"/>
    <w:qFormat/>
    <w:rsid w:val="009741AC"/>
    <w:pPr>
      <w:keepNext/>
      <w:keepLines/>
      <w:numPr>
        <w:numId w:val="9"/>
      </w:numPr>
      <w:tabs>
        <w:tab w:val="right" w:pos="1134"/>
        <w:tab w:val="left" w:pos="1701"/>
      </w:tabs>
      <w:suppressAutoHyphens/>
      <w:spacing w:before="360" w:after="240" w:line="300" w:lineRule="exact"/>
      <w:ind w:right="873"/>
      <w:outlineLvl w:val="0"/>
    </w:pPr>
    <w:rPr>
      <w:rFonts w:asciiTheme="majorBidi" w:hAnsiTheme="majorBidi" w:cs="Arial"/>
      <w:b/>
      <w:sz w:val="28"/>
    </w:rPr>
  </w:style>
  <w:style w:type="paragraph" w:styleId="Heading2">
    <w:name w:val="heading 2"/>
    <w:next w:val="NumberedParas"/>
    <w:link w:val="Heading2Char"/>
    <w:uiPriority w:val="10"/>
    <w:unhideWhenUsed/>
    <w:qFormat/>
    <w:rsid w:val="009741AC"/>
    <w:pPr>
      <w:keepNext/>
      <w:keepLines/>
      <w:numPr>
        <w:numId w:val="8"/>
      </w:numPr>
      <w:tabs>
        <w:tab w:val="right" w:pos="851"/>
        <w:tab w:val="left" w:pos="1701"/>
      </w:tabs>
      <w:suppressAutoHyphens/>
      <w:spacing w:before="360" w:after="240" w:line="270" w:lineRule="exact"/>
      <w:ind w:right="1134"/>
      <w:outlineLvl w:val="1"/>
    </w:pPr>
    <w:rPr>
      <w:rFonts w:asciiTheme="majorBidi" w:eastAsia="Calibri" w:hAnsiTheme="majorBidi" w:cs="Arial"/>
      <w:b/>
      <w:sz w:val="24"/>
    </w:rPr>
  </w:style>
  <w:style w:type="paragraph" w:styleId="Heading3">
    <w:name w:val="heading 3"/>
    <w:next w:val="NumberedParas"/>
    <w:link w:val="Heading3Char"/>
    <w:uiPriority w:val="9"/>
    <w:unhideWhenUsed/>
    <w:qFormat/>
    <w:rsid w:val="009741AC"/>
    <w:pPr>
      <w:keepNext/>
      <w:tabs>
        <w:tab w:val="left" w:pos="1701"/>
      </w:tabs>
      <w:suppressAutoHyphens/>
      <w:spacing w:after="120" w:line="240" w:lineRule="atLeast"/>
      <w:ind w:left="828" w:right="828"/>
      <w:jc w:val="both"/>
      <w:outlineLvl w:val="2"/>
    </w:pPr>
    <w:rPr>
      <w:rFonts w:asciiTheme="majorBidi" w:eastAsia="Calibri" w:hAnsiTheme="majorBidi" w:cs="Arial"/>
      <w:b/>
      <w:sz w:val="20"/>
    </w:rPr>
  </w:style>
  <w:style w:type="paragraph" w:styleId="Heading4">
    <w:name w:val="heading 4"/>
    <w:next w:val="NumberedParas"/>
    <w:link w:val="Heading4Char"/>
    <w:uiPriority w:val="9"/>
    <w:unhideWhenUsed/>
    <w:qFormat/>
    <w:rsid w:val="009741AC"/>
    <w:pPr>
      <w:keepNext/>
      <w:tabs>
        <w:tab w:val="left" w:pos="1701"/>
      </w:tabs>
      <w:suppressAutoHyphens/>
      <w:spacing w:after="120" w:line="240" w:lineRule="atLeast"/>
      <w:ind w:left="828" w:right="828"/>
      <w:jc w:val="both"/>
      <w:outlineLvl w:val="3"/>
    </w:pPr>
    <w:rPr>
      <w:rFonts w:asciiTheme="majorBidi" w:eastAsia="Calibri" w:hAnsiTheme="majorBidi" w:cs="Arial"/>
      <w:bCs/>
      <w:i/>
      <w:iCs/>
      <w:sz w:val="20"/>
    </w:rPr>
  </w:style>
  <w:style w:type="paragraph" w:styleId="Heading5">
    <w:name w:val="heading 5"/>
    <w:basedOn w:val="Heading4"/>
    <w:next w:val="NumberedParas"/>
    <w:link w:val="Heading5Char"/>
    <w:uiPriority w:val="9"/>
    <w:unhideWhenUsed/>
    <w:qFormat/>
    <w:rsid w:val="009741AC"/>
    <w:pPr>
      <w:outlineLvl w:val="4"/>
    </w:pPr>
    <w:rPr>
      <w:i w:val="0"/>
      <w:iCs w:val="0"/>
      <w:u w:val="single"/>
    </w:rPr>
  </w:style>
  <w:style w:type="paragraph" w:styleId="Heading6">
    <w:name w:val="heading 6"/>
    <w:basedOn w:val="Normal"/>
    <w:next w:val="Normal"/>
    <w:link w:val="Heading6Char"/>
    <w:autoRedefine/>
    <w:uiPriority w:val="9"/>
    <w:semiHidden/>
    <w:unhideWhenUsed/>
    <w:rsid w:val="009741A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9741AC"/>
    <w:rPr>
      <w:rFonts w:eastAsiaTheme="minorEastAsia" w:cs="Times New Roman"/>
      <w:szCs w:val="20"/>
      <w:lang w:eastAsia="zh-CN"/>
    </w:rPr>
  </w:style>
  <w:style w:type="character" w:customStyle="1" w:styleId="FootnoteTextChar">
    <w:name w:val="Footnote Text Char"/>
    <w:aliases w:val="5_G Char"/>
    <w:basedOn w:val="DefaultParagraphFont"/>
    <w:link w:val="FootnoteText"/>
    <w:uiPriority w:val="99"/>
    <w:rsid w:val="009741AC"/>
    <w:rPr>
      <w:rFonts w:ascii="Times New Roman" w:eastAsiaTheme="minorEastAsia" w:hAnsi="Times New Roman" w:cs="Times New Roman"/>
      <w:sz w:val="20"/>
      <w:szCs w:val="20"/>
      <w:lang w:eastAsia="zh-CN"/>
    </w:rPr>
  </w:style>
  <w:style w:type="character" w:styleId="FootnoteReference">
    <w:name w:val="footnote reference"/>
    <w:aliases w:val="4_G,text pozn. pod čarou,Footnote symbol"/>
    <w:basedOn w:val="DefaultParagraphFont"/>
    <w:unhideWhenUsed/>
    <w:rsid w:val="009741AC"/>
    <w:rPr>
      <w:vertAlign w:val="superscript"/>
    </w:rPr>
  </w:style>
  <w:style w:type="paragraph" w:styleId="Header">
    <w:name w:val="header"/>
    <w:basedOn w:val="Normal"/>
    <w:link w:val="HeaderChar"/>
    <w:uiPriority w:val="99"/>
    <w:unhideWhenUsed/>
    <w:qFormat/>
    <w:rsid w:val="009741AC"/>
    <w:pPr>
      <w:tabs>
        <w:tab w:val="center" w:pos="4513"/>
        <w:tab w:val="right" w:pos="9026"/>
      </w:tabs>
      <w:jc w:val="right"/>
    </w:pPr>
    <w:rPr>
      <w:rFonts w:asciiTheme="majorBidi" w:hAnsiTheme="majorBidi" w:cstheme="majorBidi"/>
      <w:szCs w:val="20"/>
    </w:rPr>
  </w:style>
  <w:style w:type="character" w:customStyle="1" w:styleId="HeaderChar">
    <w:name w:val="Header Char"/>
    <w:basedOn w:val="DefaultParagraphFont"/>
    <w:link w:val="Header"/>
    <w:uiPriority w:val="99"/>
    <w:rsid w:val="009741AC"/>
    <w:rPr>
      <w:rFonts w:asciiTheme="majorBidi" w:hAnsiTheme="majorBidi" w:cstheme="majorBidi"/>
      <w:sz w:val="20"/>
      <w:szCs w:val="20"/>
    </w:rPr>
  </w:style>
  <w:style w:type="paragraph" w:styleId="Footer">
    <w:name w:val="footer"/>
    <w:basedOn w:val="Normal"/>
    <w:link w:val="FooterChar"/>
    <w:uiPriority w:val="99"/>
    <w:unhideWhenUsed/>
    <w:rsid w:val="009741AC"/>
    <w:pPr>
      <w:tabs>
        <w:tab w:val="center" w:pos="4513"/>
        <w:tab w:val="right" w:pos="9026"/>
      </w:tabs>
      <w:spacing w:after="0"/>
    </w:pPr>
  </w:style>
  <w:style w:type="character" w:customStyle="1" w:styleId="FooterChar">
    <w:name w:val="Footer Char"/>
    <w:basedOn w:val="DefaultParagraphFont"/>
    <w:link w:val="Footer"/>
    <w:uiPriority w:val="99"/>
    <w:rsid w:val="009741AC"/>
    <w:rPr>
      <w:rFonts w:ascii="Times New Roman" w:hAnsi="Times New Roman" w:cs="Arial"/>
      <w:sz w:val="20"/>
    </w:rPr>
  </w:style>
  <w:style w:type="paragraph" w:styleId="ListParagraph">
    <w:name w:val="List Paragraph"/>
    <w:basedOn w:val="Normal"/>
    <w:uiPriority w:val="34"/>
    <w:qFormat/>
    <w:rsid w:val="009741AC"/>
    <w:pPr>
      <w:ind w:left="720"/>
      <w:contextualSpacing/>
    </w:pPr>
  </w:style>
  <w:style w:type="paragraph" w:styleId="BalloonText">
    <w:name w:val="Balloon Text"/>
    <w:basedOn w:val="Normal"/>
    <w:link w:val="BalloonTextChar"/>
    <w:uiPriority w:val="99"/>
    <w:semiHidden/>
    <w:unhideWhenUsed/>
    <w:rsid w:val="009741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AC"/>
    <w:rPr>
      <w:rFonts w:ascii="Segoe UI" w:hAnsi="Segoe UI" w:cs="Segoe UI"/>
      <w:sz w:val="18"/>
      <w:szCs w:val="18"/>
    </w:rPr>
  </w:style>
  <w:style w:type="character" w:styleId="CommentReference">
    <w:name w:val="annotation reference"/>
    <w:basedOn w:val="DefaultParagraphFont"/>
    <w:uiPriority w:val="99"/>
    <w:unhideWhenUsed/>
    <w:rsid w:val="009741AC"/>
    <w:rPr>
      <w:sz w:val="16"/>
      <w:szCs w:val="16"/>
    </w:rPr>
  </w:style>
  <w:style w:type="paragraph" w:styleId="CommentText">
    <w:name w:val="annotation text"/>
    <w:basedOn w:val="Normal"/>
    <w:link w:val="CommentTextChar"/>
    <w:uiPriority w:val="99"/>
    <w:unhideWhenUsed/>
    <w:rsid w:val="009741AC"/>
    <w:rPr>
      <w:szCs w:val="20"/>
    </w:rPr>
  </w:style>
  <w:style w:type="character" w:customStyle="1" w:styleId="CommentTextChar">
    <w:name w:val="Comment Text Char"/>
    <w:basedOn w:val="DefaultParagraphFont"/>
    <w:link w:val="CommentText"/>
    <w:uiPriority w:val="99"/>
    <w:rsid w:val="009741AC"/>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9741AC"/>
    <w:rPr>
      <w:b/>
      <w:bCs/>
    </w:rPr>
  </w:style>
  <w:style w:type="character" w:customStyle="1" w:styleId="CommentSubjectChar">
    <w:name w:val="Comment Subject Char"/>
    <w:basedOn w:val="CommentTextChar"/>
    <w:link w:val="CommentSubject"/>
    <w:uiPriority w:val="99"/>
    <w:semiHidden/>
    <w:rsid w:val="009741AC"/>
    <w:rPr>
      <w:rFonts w:ascii="Times New Roman" w:hAnsi="Times New Roman" w:cs="Arial"/>
      <w:b/>
      <w:bCs/>
      <w:sz w:val="20"/>
      <w:szCs w:val="20"/>
    </w:rPr>
  </w:style>
  <w:style w:type="paragraph" w:customStyle="1" w:styleId="Default">
    <w:name w:val="Default"/>
    <w:rsid w:val="009741A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rsid w:val="009741AC"/>
    <w:pPr>
      <w:spacing w:after="0" w:line="240" w:lineRule="auto"/>
    </w:pPr>
    <w:rPr>
      <w:rFonts w:ascii="Calibri" w:hAnsi="Calibri" w:cs="Arial"/>
    </w:rPr>
  </w:style>
  <w:style w:type="paragraph" w:customStyle="1" w:styleId="SingleTxtG">
    <w:name w:val="_ Single Txt_G"/>
    <w:basedOn w:val="Normal"/>
    <w:rsid w:val="00A26AAC"/>
    <w:pPr>
      <w:suppressAutoHyphens/>
      <w:spacing w:line="240" w:lineRule="atLeast"/>
      <w:ind w:left="1134" w:right="1134"/>
      <w:jc w:val="both"/>
    </w:pPr>
    <w:rPr>
      <w:rFonts w:eastAsia="Times New Roman" w:cs="Times New Roman"/>
      <w:szCs w:val="20"/>
    </w:rPr>
  </w:style>
  <w:style w:type="paragraph" w:customStyle="1" w:styleId="Bullet2G">
    <w:name w:val="_Bullet 2_G"/>
    <w:basedOn w:val="Normal"/>
    <w:rsid w:val="006A3682"/>
    <w:pPr>
      <w:numPr>
        <w:numId w:val="5"/>
      </w:numPr>
      <w:suppressAutoHyphens/>
      <w:spacing w:line="240" w:lineRule="atLeast"/>
      <w:ind w:right="1134"/>
      <w:jc w:val="both"/>
    </w:pPr>
    <w:rPr>
      <w:rFonts w:eastAsia="Times New Roman" w:cs="Times New Roman"/>
      <w:szCs w:val="20"/>
    </w:rPr>
  </w:style>
  <w:style w:type="paragraph" w:customStyle="1" w:styleId="H56G">
    <w:name w:val="_ H_5/6_G"/>
    <w:basedOn w:val="Normal"/>
    <w:next w:val="Normal"/>
    <w:rsid w:val="006A3682"/>
    <w:pPr>
      <w:keepNext/>
      <w:keepLines/>
      <w:tabs>
        <w:tab w:val="right" w:pos="851"/>
      </w:tabs>
      <w:suppressAutoHyphens/>
      <w:spacing w:before="240" w:line="240" w:lineRule="exact"/>
      <w:ind w:left="1134" w:right="1134" w:hanging="1134"/>
    </w:pPr>
    <w:rPr>
      <w:rFonts w:eastAsia="Times New Roman" w:cs="Times New Roman"/>
      <w:szCs w:val="20"/>
    </w:rPr>
  </w:style>
  <w:style w:type="paragraph" w:styleId="Revision">
    <w:name w:val="Revision"/>
    <w:hidden/>
    <w:uiPriority w:val="99"/>
    <w:semiHidden/>
    <w:rsid w:val="00DA4BBB"/>
    <w:pPr>
      <w:spacing w:after="0" w:line="240" w:lineRule="auto"/>
    </w:pPr>
  </w:style>
  <w:style w:type="paragraph" w:styleId="BodyText">
    <w:name w:val="Body Text"/>
    <w:basedOn w:val="Normal"/>
    <w:link w:val="BodyTextChar"/>
    <w:uiPriority w:val="1"/>
    <w:rsid w:val="000B0894"/>
    <w:pPr>
      <w:widowControl w:val="0"/>
      <w:spacing w:after="0"/>
      <w:ind w:left="148"/>
    </w:pPr>
    <w:rPr>
      <w:rFonts w:ascii="Arial" w:eastAsia="Arial" w:hAnsi="Arial"/>
      <w:sz w:val="23"/>
      <w:szCs w:val="23"/>
      <w:lang w:val="en-US"/>
    </w:rPr>
  </w:style>
  <w:style w:type="character" w:customStyle="1" w:styleId="BodyTextChar">
    <w:name w:val="Body Text Char"/>
    <w:basedOn w:val="DefaultParagraphFont"/>
    <w:link w:val="BodyText"/>
    <w:uiPriority w:val="1"/>
    <w:rsid w:val="000B0894"/>
    <w:rPr>
      <w:rFonts w:ascii="Arial" w:eastAsia="Arial" w:hAnsi="Arial"/>
      <w:sz w:val="23"/>
      <w:szCs w:val="23"/>
      <w:lang w:val="en-US"/>
    </w:rPr>
  </w:style>
  <w:style w:type="paragraph" w:styleId="NormalWeb">
    <w:name w:val="Normal (Web)"/>
    <w:basedOn w:val="Normal"/>
    <w:uiPriority w:val="99"/>
    <w:semiHidden/>
    <w:unhideWhenUsed/>
    <w:rsid w:val="001B233C"/>
    <w:pPr>
      <w:spacing w:after="0"/>
    </w:pPr>
    <w:rPr>
      <w:rFonts w:eastAsia="Times New Roman" w:cs="Times New Roman"/>
      <w:sz w:val="24"/>
      <w:szCs w:val="24"/>
      <w:lang w:eastAsia="en-GB"/>
    </w:rPr>
  </w:style>
  <w:style w:type="character" w:styleId="Hyperlink">
    <w:name w:val="Hyperlink"/>
    <w:basedOn w:val="DefaultParagraphFont"/>
    <w:uiPriority w:val="99"/>
    <w:unhideWhenUsed/>
    <w:rsid w:val="009741AC"/>
    <w:rPr>
      <w:color w:val="0000FF" w:themeColor="hyperlink"/>
      <w:u w:val="single"/>
    </w:rPr>
  </w:style>
  <w:style w:type="character" w:styleId="PlaceholderText">
    <w:name w:val="Placeholder Text"/>
    <w:basedOn w:val="DefaultParagraphFont"/>
    <w:uiPriority w:val="99"/>
    <w:semiHidden/>
    <w:rsid w:val="00A72A13"/>
    <w:rPr>
      <w:color w:val="808080"/>
    </w:rPr>
  </w:style>
  <w:style w:type="character" w:customStyle="1" w:styleId="Heading1Char">
    <w:name w:val="Heading 1 Char"/>
    <w:basedOn w:val="DefaultParagraphFont"/>
    <w:link w:val="Heading1"/>
    <w:uiPriority w:val="11"/>
    <w:rsid w:val="009741AC"/>
    <w:rPr>
      <w:rFonts w:asciiTheme="majorBidi" w:hAnsiTheme="majorBidi" w:cs="Arial"/>
      <w:b/>
      <w:sz w:val="28"/>
    </w:rPr>
  </w:style>
  <w:style w:type="character" w:customStyle="1" w:styleId="Heading2Char">
    <w:name w:val="Heading 2 Char"/>
    <w:basedOn w:val="DefaultParagraphFont"/>
    <w:link w:val="Heading2"/>
    <w:uiPriority w:val="10"/>
    <w:rsid w:val="009741AC"/>
    <w:rPr>
      <w:rFonts w:asciiTheme="majorBidi" w:eastAsia="Calibri" w:hAnsiTheme="majorBidi" w:cs="Arial"/>
      <w:b/>
      <w:sz w:val="24"/>
    </w:rPr>
  </w:style>
  <w:style w:type="character" w:customStyle="1" w:styleId="Heading3Char">
    <w:name w:val="Heading 3 Char"/>
    <w:basedOn w:val="DefaultParagraphFont"/>
    <w:link w:val="Heading3"/>
    <w:uiPriority w:val="9"/>
    <w:rsid w:val="009741AC"/>
    <w:rPr>
      <w:rFonts w:asciiTheme="majorBidi" w:eastAsia="Calibri" w:hAnsiTheme="majorBidi" w:cs="Arial"/>
      <w:b/>
      <w:sz w:val="20"/>
    </w:rPr>
  </w:style>
  <w:style w:type="character" w:customStyle="1" w:styleId="Heading4Char">
    <w:name w:val="Heading 4 Char"/>
    <w:basedOn w:val="DefaultParagraphFont"/>
    <w:link w:val="Heading4"/>
    <w:uiPriority w:val="9"/>
    <w:rsid w:val="009741AC"/>
    <w:rPr>
      <w:rFonts w:asciiTheme="majorBidi" w:eastAsia="Calibri" w:hAnsiTheme="majorBidi" w:cs="Arial"/>
      <w:bCs/>
      <w:i/>
      <w:iCs/>
      <w:sz w:val="20"/>
    </w:rPr>
  </w:style>
  <w:style w:type="character" w:customStyle="1" w:styleId="Heading5Char">
    <w:name w:val="Heading 5 Char"/>
    <w:basedOn w:val="DefaultParagraphFont"/>
    <w:link w:val="Heading5"/>
    <w:uiPriority w:val="9"/>
    <w:rsid w:val="009741AC"/>
    <w:rPr>
      <w:rFonts w:asciiTheme="majorBidi" w:eastAsia="Calibri" w:hAnsiTheme="majorBidi" w:cs="Arial"/>
      <w:bCs/>
      <w:sz w:val="20"/>
      <w:u w:val="single"/>
    </w:rPr>
  </w:style>
  <w:style w:type="character" w:customStyle="1" w:styleId="Heading6Char">
    <w:name w:val="Heading 6 Char"/>
    <w:basedOn w:val="DefaultParagraphFont"/>
    <w:link w:val="Heading6"/>
    <w:uiPriority w:val="9"/>
    <w:semiHidden/>
    <w:rsid w:val="009741AC"/>
    <w:rPr>
      <w:rFonts w:asciiTheme="majorHAnsi" w:eastAsiaTheme="majorEastAsia" w:hAnsiTheme="majorHAnsi" w:cstheme="majorBidi"/>
      <w:color w:val="243F60" w:themeColor="accent1" w:themeShade="7F"/>
      <w:sz w:val="20"/>
    </w:rPr>
  </w:style>
  <w:style w:type="paragraph" w:styleId="Title">
    <w:name w:val="Title"/>
    <w:next w:val="NumberedParas"/>
    <w:link w:val="TitleChar"/>
    <w:uiPriority w:val="11"/>
    <w:qFormat/>
    <w:rsid w:val="009741AC"/>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rPr>
  </w:style>
  <w:style w:type="character" w:customStyle="1" w:styleId="TitleChar">
    <w:name w:val="Title Char"/>
    <w:basedOn w:val="DefaultParagraphFont"/>
    <w:link w:val="Title"/>
    <w:uiPriority w:val="11"/>
    <w:rsid w:val="009741AC"/>
    <w:rPr>
      <w:rFonts w:asciiTheme="majorBidi" w:eastAsia="Calibri" w:hAnsiTheme="majorBidi" w:cs="Arial"/>
      <w:b/>
      <w:sz w:val="28"/>
    </w:rPr>
  </w:style>
  <w:style w:type="paragraph" w:customStyle="1" w:styleId="Footnotes">
    <w:name w:val="Footnotes"/>
    <w:link w:val="FootnotesChar"/>
    <w:qFormat/>
    <w:rsid w:val="009741AC"/>
    <w:pPr>
      <w:spacing w:after="0" w:line="240" w:lineRule="auto"/>
      <w:ind w:left="1134"/>
    </w:pPr>
    <w:rPr>
      <w:rFonts w:asciiTheme="majorBidi" w:eastAsia="Calibri" w:hAnsiTheme="majorBidi" w:cs="Arial"/>
      <w:sz w:val="18"/>
      <w:szCs w:val="20"/>
    </w:rPr>
  </w:style>
  <w:style w:type="character" w:customStyle="1" w:styleId="FootnotesChar">
    <w:name w:val="Footnotes Char"/>
    <w:basedOn w:val="DefaultParagraphFont"/>
    <w:link w:val="Footnotes"/>
    <w:rsid w:val="009741AC"/>
    <w:rPr>
      <w:rFonts w:asciiTheme="majorBidi" w:eastAsia="Calibri" w:hAnsiTheme="majorBidi" w:cs="Arial"/>
      <w:sz w:val="18"/>
      <w:szCs w:val="20"/>
    </w:rPr>
  </w:style>
  <w:style w:type="paragraph" w:customStyle="1" w:styleId="NumberedParas">
    <w:name w:val="Numbered Paras"/>
    <w:basedOn w:val="Normal"/>
    <w:link w:val="NumberedParasChar"/>
    <w:qFormat/>
    <w:rsid w:val="009741AC"/>
    <w:pPr>
      <w:numPr>
        <w:numId w:val="7"/>
      </w:numPr>
      <w:tabs>
        <w:tab w:val="left" w:pos="1701"/>
      </w:tabs>
      <w:suppressAutoHyphens/>
      <w:adjustRightInd w:val="0"/>
      <w:snapToGrid w:val="0"/>
      <w:spacing w:line="240" w:lineRule="atLeast"/>
      <w:ind w:right="828"/>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9741AC"/>
    <w:rPr>
      <w:rFonts w:asciiTheme="majorBidi" w:eastAsia="Calibri" w:hAnsiTheme="majorBidi" w:cs="Arial"/>
      <w:color w:val="000000" w:themeColor="text1"/>
      <w:sz w:val="20"/>
    </w:rPr>
  </w:style>
  <w:style w:type="character" w:styleId="SubtleEmphasis">
    <w:name w:val="Subtle Emphasis"/>
    <w:basedOn w:val="DefaultParagraphFont"/>
    <w:uiPriority w:val="19"/>
    <w:rsid w:val="009741AC"/>
    <w:rPr>
      <w:i/>
      <w:iCs/>
      <w:color w:val="404040" w:themeColor="text1" w:themeTint="BF"/>
    </w:rPr>
  </w:style>
  <w:style w:type="character" w:styleId="Emphasis">
    <w:name w:val="Emphasis"/>
    <w:basedOn w:val="DefaultParagraphFont"/>
    <w:uiPriority w:val="20"/>
    <w:rsid w:val="009741AC"/>
    <w:rPr>
      <w:i/>
      <w:iCs/>
    </w:rPr>
  </w:style>
  <w:style w:type="character" w:styleId="IntenseEmphasis">
    <w:name w:val="Intense Emphasis"/>
    <w:basedOn w:val="DefaultParagraphFont"/>
    <w:uiPriority w:val="21"/>
    <w:rsid w:val="009741AC"/>
    <w:rPr>
      <w:i/>
      <w:iCs/>
      <w:color w:val="4F81BD" w:themeColor="accent1"/>
    </w:rPr>
  </w:style>
  <w:style w:type="character" w:styleId="Strong">
    <w:name w:val="Strong"/>
    <w:basedOn w:val="DefaultParagraphFont"/>
    <w:uiPriority w:val="22"/>
    <w:rsid w:val="009741AC"/>
    <w:rPr>
      <w:b/>
      <w:bCs/>
    </w:rPr>
  </w:style>
  <w:style w:type="paragraph" w:styleId="Quote">
    <w:name w:val="Quote"/>
    <w:link w:val="QuoteChar"/>
    <w:uiPriority w:val="8"/>
    <w:qFormat/>
    <w:rsid w:val="009741AC"/>
    <w:pPr>
      <w:spacing w:before="200" w:after="160" w:line="240" w:lineRule="auto"/>
      <w:ind w:left="1395" w:right="828"/>
      <w:jc w:val="both"/>
    </w:pPr>
    <w:rPr>
      <w:rFonts w:ascii="Times New Roman" w:hAnsi="Times New Roman" w:cs="Arial"/>
      <w:iCs/>
      <w:sz w:val="20"/>
    </w:rPr>
  </w:style>
  <w:style w:type="character" w:customStyle="1" w:styleId="QuoteChar">
    <w:name w:val="Quote Char"/>
    <w:basedOn w:val="DefaultParagraphFont"/>
    <w:link w:val="Quote"/>
    <w:uiPriority w:val="8"/>
    <w:rsid w:val="009741AC"/>
    <w:rPr>
      <w:rFonts w:ascii="Times New Roman" w:hAnsi="Times New Roman" w:cs="Arial"/>
      <w:iCs/>
      <w:sz w:val="20"/>
    </w:rPr>
  </w:style>
  <w:style w:type="paragraph" w:styleId="IntenseQuote">
    <w:name w:val="Intense Quote"/>
    <w:basedOn w:val="Normal"/>
    <w:next w:val="Normal"/>
    <w:link w:val="IntenseQuoteChar"/>
    <w:uiPriority w:val="30"/>
    <w:rsid w:val="00974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41AC"/>
    <w:rPr>
      <w:rFonts w:ascii="Times New Roman" w:hAnsi="Times New Roman" w:cs="Arial"/>
      <w:i/>
      <w:iCs/>
      <w:color w:val="4F81BD" w:themeColor="accent1"/>
      <w:sz w:val="20"/>
    </w:rPr>
  </w:style>
  <w:style w:type="paragraph" w:styleId="Subtitle">
    <w:name w:val="Subtitle"/>
    <w:basedOn w:val="Normal"/>
    <w:next w:val="Normal"/>
    <w:link w:val="SubtitleChar"/>
    <w:uiPriority w:val="12"/>
    <w:rsid w:val="009741AC"/>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9741AC"/>
    <w:rPr>
      <w:rFonts w:eastAsiaTheme="minorEastAsia"/>
      <w:color w:val="5A5A5A" w:themeColor="text1" w:themeTint="A5"/>
      <w:spacing w:val="15"/>
      <w:sz w:val="20"/>
    </w:rPr>
  </w:style>
  <w:style w:type="character" w:styleId="SubtleReference">
    <w:name w:val="Subtle Reference"/>
    <w:basedOn w:val="DefaultParagraphFont"/>
    <w:uiPriority w:val="31"/>
    <w:rsid w:val="009741AC"/>
    <w:rPr>
      <w:smallCaps/>
      <w:color w:val="5A5A5A" w:themeColor="text1" w:themeTint="A5"/>
    </w:rPr>
  </w:style>
  <w:style w:type="character" w:styleId="IntenseReference">
    <w:name w:val="Intense Reference"/>
    <w:basedOn w:val="DefaultParagraphFont"/>
    <w:uiPriority w:val="32"/>
    <w:rsid w:val="009741AC"/>
    <w:rPr>
      <w:b/>
      <w:bCs/>
      <w:smallCaps/>
      <w:color w:val="4F81BD" w:themeColor="accent1"/>
      <w:spacing w:val="5"/>
    </w:rPr>
  </w:style>
  <w:style w:type="character" w:styleId="BookTitle">
    <w:name w:val="Book Title"/>
    <w:basedOn w:val="DefaultParagraphFont"/>
    <w:uiPriority w:val="33"/>
    <w:rsid w:val="009741AC"/>
    <w:rPr>
      <w:b/>
      <w:bCs/>
      <w:i/>
      <w:iCs/>
      <w:spacing w:val="5"/>
    </w:rPr>
  </w:style>
  <w:style w:type="character" w:styleId="UnresolvedMention">
    <w:name w:val="Unresolved Mention"/>
    <w:basedOn w:val="DefaultParagraphFont"/>
    <w:uiPriority w:val="99"/>
    <w:semiHidden/>
    <w:unhideWhenUsed/>
    <w:rsid w:val="00974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7349">
      <w:bodyDiv w:val="1"/>
      <w:marLeft w:val="0"/>
      <w:marRight w:val="0"/>
      <w:marTop w:val="0"/>
      <w:marBottom w:val="0"/>
      <w:divBdr>
        <w:top w:val="none" w:sz="0" w:space="0" w:color="auto"/>
        <w:left w:val="none" w:sz="0" w:space="0" w:color="auto"/>
        <w:bottom w:val="none" w:sz="0" w:space="0" w:color="auto"/>
        <w:right w:val="none" w:sz="0" w:space="0" w:color="auto"/>
      </w:divBdr>
      <w:divsChild>
        <w:div w:id="539974543">
          <w:marLeft w:val="0"/>
          <w:marRight w:val="0"/>
          <w:marTop w:val="0"/>
          <w:marBottom w:val="0"/>
          <w:divBdr>
            <w:top w:val="none" w:sz="0" w:space="0" w:color="auto"/>
            <w:left w:val="none" w:sz="0" w:space="0" w:color="auto"/>
            <w:bottom w:val="none" w:sz="0" w:space="0" w:color="auto"/>
            <w:right w:val="none" w:sz="0" w:space="0" w:color="auto"/>
          </w:divBdr>
        </w:div>
        <w:div w:id="615453144">
          <w:marLeft w:val="0"/>
          <w:marRight w:val="0"/>
          <w:marTop w:val="0"/>
          <w:marBottom w:val="0"/>
          <w:divBdr>
            <w:top w:val="none" w:sz="0" w:space="0" w:color="auto"/>
            <w:left w:val="none" w:sz="0" w:space="0" w:color="auto"/>
            <w:bottom w:val="none" w:sz="0" w:space="0" w:color="auto"/>
            <w:right w:val="none" w:sz="0" w:space="0" w:color="auto"/>
          </w:divBdr>
        </w:div>
        <w:div w:id="653069074">
          <w:marLeft w:val="0"/>
          <w:marRight w:val="0"/>
          <w:marTop w:val="0"/>
          <w:marBottom w:val="0"/>
          <w:divBdr>
            <w:top w:val="none" w:sz="0" w:space="0" w:color="auto"/>
            <w:left w:val="none" w:sz="0" w:space="0" w:color="auto"/>
            <w:bottom w:val="none" w:sz="0" w:space="0" w:color="auto"/>
            <w:right w:val="none" w:sz="0" w:space="0" w:color="auto"/>
          </w:divBdr>
        </w:div>
        <w:div w:id="843787884">
          <w:marLeft w:val="0"/>
          <w:marRight w:val="0"/>
          <w:marTop w:val="0"/>
          <w:marBottom w:val="0"/>
          <w:divBdr>
            <w:top w:val="none" w:sz="0" w:space="0" w:color="auto"/>
            <w:left w:val="none" w:sz="0" w:space="0" w:color="auto"/>
            <w:bottom w:val="none" w:sz="0" w:space="0" w:color="auto"/>
            <w:right w:val="none" w:sz="0" w:space="0" w:color="auto"/>
          </w:divBdr>
        </w:div>
        <w:div w:id="1075204047">
          <w:marLeft w:val="0"/>
          <w:marRight w:val="0"/>
          <w:marTop w:val="0"/>
          <w:marBottom w:val="0"/>
          <w:divBdr>
            <w:top w:val="none" w:sz="0" w:space="0" w:color="auto"/>
            <w:left w:val="none" w:sz="0" w:space="0" w:color="auto"/>
            <w:bottom w:val="none" w:sz="0" w:space="0" w:color="auto"/>
            <w:right w:val="none" w:sz="0" w:space="0" w:color="auto"/>
          </w:divBdr>
        </w:div>
        <w:div w:id="1105616647">
          <w:marLeft w:val="0"/>
          <w:marRight w:val="0"/>
          <w:marTop w:val="0"/>
          <w:marBottom w:val="0"/>
          <w:divBdr>
            <w:top w:val="none" w:sz="0" w:space="0" w:color="auto"/>
            <w:left w:val="none" w:sz="0" w:space="0" w:color="auto"/>
            <w:bottom w:val="none" w:sz="0" w:space="0" w:color="auto"/>
            <w:right w:val="none" w:sz="0" w:space="0" w:color="auto"/>
          </w:divBdr>
        </w:div>
        <w:div w:id="1116679131">
          <w:marLeft w:val="0"/>
          <w:marRight w:val="0"/>
          <w:marTop w:val="0"/>
          <w:marBottom w:val="0"/>
          <w:divBdr>
            <w:top w:val="none" w:sz="0" w:space="0" w:color="auto"/>
            <w:left w:val="none" w:sz="0" w:space="0" w:color="auto"/>
            <w:bottom w:val="none" w:sz="0" w:space="0" w:color="auto"/>
            <w:right w:val="none" w:sz="0" w:space="0" w:color="auto"/>
          </w:divBdr>
        </w:div>
        <w:div w:id="1286934760">
          <w:marLeft w:val="0"/>
          <w:marRight w:val="0"/>
          <w:marTop w:val="0"/>
          <w:marBottom w:val="0"/>
          <w:divBdr>
            <w:top w:val="none" w:sz="0" w:space="0" w:color="auto"/>
            <w:left w:val="none" w:sz="0" w:space="0" w:color="auto"/>
            <w:bottom w:val="none" w:sz="0" w:space="0" w:color="auto"/>
            <w:right w:val="none" w:sz="0" w:space="0" w:color="auto"/>
          </w:divBdr>
        </w:div>
        <w:div w:id="1382243865">
          <w:marLeft w:val="0"/>
          <w:marRight w:val="0"/>
          <w:marTop w:val="0"/>
          <w:marBottom w:val="0"/>
          <w:divBdr>
            <w:top w:val="none" w:sz="0" w:space="0" w:color="auto"/>
            <w:left w:val="none" w:sz="0" w:space="0" w:color="auto"/>
            <w:bottom w:val="none" w:sz="0" w:space="0" w:color="auto"/>
            <w:right w:val="none" w:sz="0" w:space="0" w:color="auto"/>
          </w:divBdr>
        </w:div>
        <w:div w:id="1877544368">
          <w:marLeft w:val="0"/>
          <w:marRight w:val="0"/>
          <w:marTop w:val="0"/>
          <w:marBottom w:val="0"/>
          <w:divBdr>
            <w:top w:val="none" w:sz="0" w:space="0" w:color="auto"/>
            <w:left w:val="none" w:sz="0" w:space="0" w:color="auto"/>
            <w:bottom w:val="none" w:sz="0" w:space="0" w:color="auto"/>
            <w:right w:val="none" w:sz="0" w:space="0" w:color="auto"/>
          </w:divBdr>
        </w:div>
        <w:div w:id="1943683549">
          <w:marLeft w:val="0"/>
          <w:marRight w:val="0"/>
          <w:marTop w:val="0"/>
          <w:marBottom w:val="0"/>
          <w:divBdr>
            <w:top w:val="none" w:sz="0" w:space="0" w:color="auto"/>
            <w:left w:val="none" w:sz="0" w:space="0" w:color="auto"/>
            <w:bottom w:val="none" w:sz="0" w:space="0" w:color="auto"/>
            <w:right w:val="none" w:sz="0" w:space="0" w:color="auto"/>
          </w:divBdr>
        </w:div>
        <w:div w:id="2056001011">
          <w:marLeft w:val="0"/>
          <w:marRight w:val="0"/>
          <w:marTop w:val="0"/>
          <w:marBottom w:val="0"/>
          <w:divBdr>
            <w:top w:val="none" w:sz="0" w:space="0" w:color="auto"/>
            <w:left w:val="none" w:sz="0" w:space="0" w:color="auto"/>
            <w:bottom w:val="none" w:sz="0" w:space="0" w:color="auto"/>
            <w:right w:val="none" w:sz="0" w:space="0" w:color="auto"/>
          </w:divBdr>
        </w:div>
      </w:divsChild>
    </w:div>
    <w:div w:id="818232232">
      <w:bodyDiv w:val="1"/>
      <w:marLeft w:val="0"/>
      <w:marRight w:val="0"/>
      <w:marTop w:val="0"/>
      <w:marBottom w:val="0"/>
      <w:divBdr>
        <w:top w:val="none" w:sz="0" w:space="0" w:color="auto"/>
        <w:left w:val="none" w:sz="0" w:space="0" w:color="auto"/>
        <w:bottom w:val="none" w:sz="0" w:space="0" w:color="auto"/>
        <w:right w:val="none" w:sz="0" w:space="0" w:color="auto"/>
      </w:divBdr>
      <w:divsChild>
        <w:div w:id="1110704283">
          <w:marLeft w:val="0"/>
          <w:marRight w:val="0"/>
          <w:marTop w:val="0"/>
          <w:marBottom w:val="0"/>
          <w:divBdr>
            <w:top w:val="none" w:sz="0" w:space="0" w:color="auto"/>
            <w:left w:val="none" w:sz="0" w:space="0" w:color="auto"/>
            <w:bottom w:val="none" w:sz="0" w:space="0" w:color="auto"/>
            <w:right w:val="none" w:sz="0" w:space="0" w:color="auto"/>
          </w:divBdr>
        </w:div>
        <w:div w:id="987396879">
          <w:marLeft w:val="0"/>
          <w:marRight w:val="0"/>
          <w:marTop w:val="0"/>
          <w:marBottom w:val="0"/>
          <w:divBdr>
            <w:top w:val="none" w:sz="0" w:space="0" w:color="auto"/>
            <w:left w:val="none" w:sz="0" w:space="0" w:color="auto"/>
            <w:bottom w:val="none" w:sz="0" w:space="0" w:color="auto"/>
            <w:right w:val="none" w:sz="0" w:space="0" w:color="auto"/>
          </w:divBdr>
        </w:div>
        <w:div w:id="578178484">
          <w:marLeft w:val="0"/>
          <w:marRight w:val="0"/>
          <w:marTop w:val="0"/>
          <w:marBottom w:val="0"/>
          <w:divBdr>
            <w:top w:val="none" w:sz="0" w:space="0" w:color="auto"/>
            <w:left w:val="none" w:sz="0" w:space="0" w:color="auto"/>
            <w:bottom w:val="none" w:sz="0" w:space="0" w:color="auto"/>
            <w:right w:val="none" w:sz="0" w:space="0" w:color="auto"/>
          </w:divBdr>
        </w:div>
        <w:div w:id="385375864">
          <w:marLeft w:val="0"/>
          <w:marRight w:val="0"/>
          <w:marTop w:val="0"/>
          <w:marBottom w:val="0"/>
          <w:divBdr>
            <w:top w:val="none" w:sz="0" w:space="0" w:color="auto"/>
            <w:left w:val="none" w:sz="0" w:space="0" w:color="auto"/>
            <w:bottom w:val="none" w:sz="0" w:space="0" w:color="auto"/>
            <w:right w:val="none" w:sz="0" w:space="0" w:color="auto"/>
          </w:divBdr>
        </w:div>
        <w:div w:id="892543383">
          <w:marLeft w:val="0"/>
          <w:marRight w:val="0"/>
          <w:marTop w:val="0"/>
          <w:marBottom w:val="0"/>
          <w:divBdr>
            <w:top w:val="none" w:sz="0" w:space="0" w:color="auto"/>
            <w:left w:val="none" w:sz="0" w:space="0" w:color="auto"/>
            <w:bottom w:val="none" w:sz="0" w:space="0" w:color="auto"/>
            <w:right w:val="none" w:sz="0" w:space="0" w:color="auto"/>
          </w:divBdr>
        </w:div>
        <w:div w:id="793671588">
          <w:marLeft w:val="0"/>
          <w:marRight w:val="0"/>
          <w:marTop w:val="0"/>
          <w:marBottom w:val="0"/>
          <w:divBdr>
            <w:top w:val="none" w:sz="0" w:space="0" w:color="auto"/>
            <w:left w:val="none" w:sz="0" w:space="0" w:color="auto"/>
            <w:bottom w:val="none" w:sz="0" w:space="0" w:color="auto"/>
            <w:right w:val="none" w:sz="0" w:space="0" w:color="auto"/>
          </w:divBdr>
        </w:div>
        <w:div w:id="9574826">
          <w:marLeft w:val="0"/>
          <w:marRight w:val="0"/>
          <w:marTop w:val="0"/>
          <w:marBottom w:val="0"/>
          <w:divBdr>
            <w:top w:val="none" w:sz="0" w:space="0" w:color="auto"/>
            <w:left w:val="none" w:sz="0" w:space="0" w:color="auto"/>
            <w:bottom w:val="none" w:sz="0" w:space="0" w:color="auto"/>
            <w:right w:val="none" w:sz="0" w:space="0" w:color="auto"/>
          </w:divBdr>
        </w:div>
        <w:div w:id="628588513">
          <w:marLeft w:val="0"/>
          <w:marRight w:val="0"/>
          <w:marTop w:val="0"/>
          <w:marBottom w:val="0"/>
          <w:divBdr>
            <w:top w:val="none" w:sz="0" w:space="0" w:color="auto"/>
            <w:left w:val="none" w:sz="0" w:space="0" w:color="auto"/>
            <w:bottom w:val="none" w:sz="0" w:space="0" w:color="auto"/>
            <w:right w:val="none" w:sz="0" w:space="0" w:color="auto"/>
          </w:divBdr>
        </w:div>
        <w:div w:id="287510361">
          <w:marLeft w:val="0"/>
          <w:marRight w:val="0"/>
          <w:marTop w:val="0"/>
          <w:marBottom w:val="0"/>
          <w:divBdr>
            <w:top w:val="none" w:sz="0" w:space="0" w:color="auto"/>
            <w:left w:val="none" w:sz="0" w:space="0" w:color="auto"/>
            <w:bottom w:val="none" w:sz="0" w:space="0" w:color="auto"/>
            <w:right w:val="none" w:sz="0" w:space="0" w:color="auto"/>
          </w:divBdr>
        </w:div>
        <w:div w:id="1343817583">
          <w:marLeft w:val="0"/>
          <w:marRight w:val="0"/>
          <w:marTop w:val="0"/>
          <w:marBottom w:val="0"/>
          <w:divBdr>
            <w:top w:val="none" w:sz="0" w:space="0" w:color="auto"/>
            <w:left w:val="none" w:sz="0" w:space="0" w:color="auto"/>
            <w:bottom w:val="none" w:sz="0" w:space="0" w:color="auto"/>
            <w:right w:val="none" w:sz="0" w:space="0" w:color="auto"/>
          </w:divBdr>
        </w:div>
        <w:div w:id="740105566">
          <w:marLeft w:val="0"/>
          <w:marRight w:val="0"/>
          <w:marTop w:val="0"/>
          <w:marBottom w:val="0"/>
          <w:divBdr>
            <w:top w:val="none" w:sz="0" w:space="0" w:color="auto"/>
            <w:left w:val="none" w:sz="0" w:space="0" w:color="auto"/>
            <w:bottom w:val="none" w:sz="0" w:space="0" w:color="auto"/>
            <w:right w:val="none" w:sz="0" w:space="0" w:color="auto"/>
          </w:divBdr>
        </w:div>
      </w:divsChild>
    </w:div>
    <w:div w:id="1041175209">
      <w:bodyDiv w:val="1"/>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sChild>
            <w:div w:id="1319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22">
      <w:bodyDiv w:val="1"/>
      <w:marLeft w:val="75"/>
      <w:marRight w:val="75"/>
      <w:marTop w:val="75"/>
      <w:marBottom w:val="75"/>
      <w:divBdr>
        <w:top w:val="none" w:sz="0" w:space="0" w:color="auto"/>
        <w:left w:val="none" w:sz="0" w:space="0" w:color="auto"/>
        <w:bottom w:val="none" w:sz="0" w:space="0" w:color="auto"/>
        <w:right w:val="none" w:sz="0" w:space="0" w:color="auto"/>
      </w:divBdr>
    </w:div>
    <w:div w:id="1192305722">
      <w:bodyDiv w:val="1"/>
      <w:marLeft w:val="0"/>
      <w:marRight w:val="0"/>
      <w:marTop w:val="0"/>
      <w:marBottom w:val="0"/>
      <w:divBdr>
        <w:top w:val="none" w:sz="0" w:space="0" w:color="auto"/>
        <w:left w:val="none" w:sz="0" w:space="0" w:color="auto"/>
        <w:bottom w:val="none" w:sz="0" w:space="0" w:color="auto"/>
        <w:right w:val="none" w:sz="0" w:space="0" w:color="auto"/>
      </w:divBdr>
    </w:div>
    <w:div w:id="1246498257">
      <w:bodyDiv w:val="1"/>
      <w:marLeft w:val="0"/>
      <w:marRight w:val="0"/>
      <w:marTop w:val="0"/>
      <w:marBottom w:val="0"/>
      <w:divBdr>
        <w:top w:val="none" w:sz="0" w:space="0" w:color="auto"/>
        <w:left w:val="none" w:sz="0" w:space="0" w:color="auto"/>
        <w:bottom w:val="none" w:sz="0" w:space="0" w:color="auto"/>
        <w:right w:val="none" w:sz="0" w:space="0" w:color="auto"/>
      </w:divBdr>
      <w:divsChild>
        <w:div w:id="590234577">
          <w:marLeft w:val="0"/>
          <w:marRight w:val="0"/>
          <w:marTop w:val="0"/>
          <w:marBottom w:val="0"/>
          <w:divBdr>
            <w:top w:val="none" w:sz="0" w:space="0" w:color="auto"/>
            <w:left w:val="none" w:sz="0" w:space="0" w:color="auto"/>
            <w:bottom w:val="none" w:sz="0" w:space="0" w:color="auto"/>
            <w:right w:val="none" w:sz="0" w:space="0" w:color="auto"/>
          </w:divBdr>
          <w:divsChild>
            <w:div w:id="4221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8606">
      <w:bodyDiv w:val="1"/>
      <w:marLeft w:val="0"/>
      <w:marRight w:val="0"/>
      <w:marTop w:val="0"/>
      <w:marBottom w:val="0"/>
      <w:divBdr>
        <w:top w:val="none" w:sz="0" w:space="0" w:color="auto"/>
        <w:left w:val="none" w:sz="0" w:space="0" w:color="auto"/>
        <w:bottom w:val="none" w:sz="0" w:space="0" w:color="auto"/>
        <w:right w:val="none" w:sz="0" w:space="0" w:color="auto"/>
      </w:divBdr>
      <w:divsChild>
        <w:div w:id="213153719">
          <w:marLeft w:val="0"/>
          <w:marRight w:val="0"/>
          <w:marTop w:val="0"/>
          <w:marBottom w:val="0"/>
          <w:divBdr>
            <w:top w:val="none" w:sz="0" w:space="0" w:color="auto"/>
            <w:left w:val="none" w:sz="0" w:space="0" w:color="auto"/>
            <w:bottom w:val="none" w:sz="0" w:space="0" w:color="auto"/>
            <w:right w:val="none" w:sz="0" w:space="0" w:color="auto"/>
          </w:divBdr>
        </w:div>
        <w:div w:id="991758207">
          <w:marLeft w:val="0"/>
          <w:marRight w:val="0"/>
          <w:marTop w:val="0"/>
          <w:marBottom w:val="0"/>
          <w:divBdr>
            <w:top w:val="none" w:sz="0" w:space="0" w:color="auto"/>
            <w:left w:val="none" w:sz="0" w:space="0" w:color="auto"/>
            <w:bottom w:val="none" w:sz="0" w:space="0" w:color="auto"/>
            <w:right w:val="none" w:sz="0" w:space="0" w:color="auto"/>
          </w:divBdr>
        </w:div>
        <w:div w:id="1207838905">
          <w:marLeft w:val="0"/>
          <w:marRight w:val="0"/>
          <w:marTop w:val="0"/>
          <w:marBottom w:val="0"/>
          <w:divBdr>
            <w:top w:val="none" w:sz="0" w:space="0" w:color="auto"/>
            <w:left w:val="none" w:sz="0" w:space="0" w:color="auto"/>
            <w:bottom w:val="none" w:sz="0" w:space="0" w:color="auto"/>
            <w:right w:val="none" w:sz="0" w:space="0" w:color="auto"/>
          </w:divBdr>
        </w:div>
        <w:div w:id="1334721009">
          <w:marLeft w:val="0"/>
          <w:marRight w:val="0"/>
          <w:marTop w:val="0"/>
          <w:marBottom w:val="0"/>
          <w:divBdr>
            <w:top w:val="none" w:sz="0" w:space="0" w:color="auto"/>
            <w:left w:val="none" w:sz="0" w:space="0" w:color="auto"/>
            <w:bottom w:val="none" w:sz="0" w:space="0" w:color="auto"/>
            <w:right w:val="none" w:sz="0" w:space="0" w:color="auto"/>
          </w:divBdr>
        </w:div>
        <w:div w:id="1405562702">
          <w:marLeft w:val="0"/>
          <w:marRight w:val="0"/>
          <w:marTop w:val="0"/>
          <w:marBottom w:val="0"/>
          <w:divBdr>
            <w:top w:val="none" w:sz="0" w:space="0" w:color="auto"/>
            <w:left w:val="none" w:sz="0" w:space="0" w:color="auto"/>
            <w:bottom w:val="none" w:sz="0" w:space="0" w:color="auto"/>
            <w:right w:val="none" w:sz="0" w:space="0" w:color="auto"/>
          </w:divBdr>
        </w:div>
        <w:div w:id="1593246453">
          <w:marLeft w:val="0"/>
          <w:marRight w:val="0"/>
          <w:marTop w:val="0"/>
          <w:marBottom w:val="0"/>
          <w:divBdr>
            <w:top w:val="none" w:sz="0" w:space="0" w:color="auto"/>
            <w:left w:val="none" w:sz="0" w:space="0" w:color="auto"/>
            <w:bottom w:val="none" w:sz="0" w:space="0" w:color="auto"/>
            <w:right w:val="none" w:sz="0" w:space="0" w:color="auto"/>
          </w:divBdr>
        </w:div>
        <w:div w:id="2024700104">
          <w:marLeft w:val="0"/>
          <w:marRight w:val="0"/>
          <w:marTop w:val="0"/>
          <w:marBottom w:val="0"/>
          <w:divBdr>
            <w:top w:val="none" w:sz="0" w:space="0" w:color="auto"/>
            <w:left w:val="none" w:sz="0" w:space="0" w:color="auto"/>
            <w:bottom w:val="none" w:sz="0" w:space="0" w:color="auto"/>
            <w:right w:val="none" w:sz="0" w:space="0" w:color="auto"/>
          </w:divBdr>
        </w:div>
      </w:divsChild>
    </w:div>
    <w:div w:id="1457991680">
      <w:bodyDiv w:val="1"/>
      <w:marLeft w:val="0"/>
      <w:marRight w:val="0"/>
      <w:marTop w:val="0"/>
      <w:marBottom w:val="0"/>
      <w:divBdr>
        <w:top w:val="none" w:sz="0" w:space="0" w:color="auto"/>
        <w:left w:val="none" w:sz="0" w:space="0" w:color="auto"/>
        <w:bottom w:val="none" w:sz="0" w:space="0" w:color="auto"/>
        <w:right w:val="none" w:sz="0" w:space="0" w:color="auto"/>
      </w:divBdr>
      <w:divsChild>
        <w:div w:id="606084219">
          <w:marLeft w:val="0"/>
          <w:marRight w:val="0"/>
          <w:marTop w:val="0"/>
          <w:marBottom w:val="0"/>
          <w:divBdr>
            <w:top w:val="none" w:sz="0" w:space="0" w:color="auto"/>
            <w:left w:val="none" w:sz="0" w:space="0" w:color="auto"/>
            <w:bottom w:val="none" w:sz="0" w:space="0" w:color="auto"/>
            <w:right w:val="none" w:sz="0" w:space="0" w:color="auto"/>
          </w:divBdr>
        </w:div>
        <w:div w:id="780951539">
          <w:marLeft w:val="0"/>
          <w:marRight w:val="0"/>
          <w:marTop w:val="0"/>
          <w:marBottom w:val="0"/>
          <w:divBdr>
            <w:top w:val="none" w:sz="0" w:space="0" w:color="auto"/>
            <w:left w:val="none" w:sz="0" w:space="0" w:color="auto"/>
            <w:bottom w:val="none" w:sz="0" w:space="0" w:color="auto"/>
            <w:right w:val="none" w:sz="0" w:space="0" w:color="auto"/>
          </w:divBdr>
        </w:div>
        <w:div w:id="843127518">
          <w:marLeft w:val="0"/>
          <w:marRight w:val="0"/>
          <w:marTop w:val="0"/>
          <w:marBottom w:val="0"/>
          <w:divBdr>
            <w:top w:val="none" w:sz="0" w:space="0" w:color="auto"/>
            <w:left w:val="none" w:sz="0" w:space="0" w:color="auto"/>
            <w:bottom w:val="none" w:sz="0" w:space="0" w:color="auto"/>
            <w:right w:val="none" w:sz="0" w:space="0" w:color="auto"/>
          </w:divBdr>
        </w:div>
      </w:divsChild>
    </w:div>
    <w:div w:id="1495488237">
      <w:bodyDiv w:val="1"/>
      <w:marLeft w:val="0"/>
      <w:marRight w:val="0"/>
      <w:marTop w:val="0"/>
      <w:marBottom w:val="0"/>
      <w:divBdr>
        <w:top w:val="none" w:sz="0" w:space="0" w:color="auto"/>
        <w:left w:val="none" w:sz="0" w:space="0" w:color="auto"/>
        <w:bottom w:val="none" w:sz="0" w:space="0" w:color="auto"/>
        <w:right w:val="none" w:sz="0" w:space="0" w:color="auto"/>
      </w:divBdr>
      <w:divsChild>
        <w:div w:id="25569742">
          <w:marLeft w:val="0"/>
          <w:marRight w:val="0"/>
          <w:marTop w:val="0"/>
          <w:marBottom w:val="0"/>
          <w:divBdr>
            <w:top w:val="none" w:sz="0" w:space="0" w:color="auto"/>
            <w:left w:val="none" w:sz="0" w:space="0" w:color="auto"/>
            <w:bottom w:val="none" w:sz="0" w:space="0" w:color="auto"/>
            <w:right w:val="none" w:sz="0" w:space="0" w:color="auto"/>
          </w:divBdr>
        </w:div>
        <w:div w:id="123428821">
          <w:marLeft w:val="0"/>
          <w:marRight w:val="0"/>
          <w:marTop w:val="0"/>
          <w:marBottom w:val="0"/>
          <w:divBdr>
            <w:top w:val="none" w:sz="0" w:space="0" w:color="auto"/>
            <w:left w:val="none" w:sz="0" w:space="0" w:color="auto"/>
            <w:bottom w:val="none" w:sz="0" w:space="0" w:color="auto"/>
            <w:right w:val="none" w:sz="0" w:space="0" w:color="auto"/>
          </w:divBdr>
        </w:div>
        <w:div w:id="151719233">
          <w:marLeft w:val="0"/>
          <w:marRight w:val="0"/>
          <w:marTop w:val="0"/>
          <w:marBottom w:val="0"/>
          <w:divBdr>
            <w:top w:val="none" w:sz="0" w:space="0" w:color="auto"/>
            <w:left w:val="none" w:sz="0" w:space="0" w:color="auto"/>
            <w:bottom w:val="none" w:sz="0" w:space="0" w:color="auto"/>
            <w:right w:val="none" w:sz="0" w:space="0" w:color="auto"/>
          </w:divBdr>
        </w:div>
        <w:div w:id="207644150">
          <w:marLeft w:val="0"/>
          <w:marRight w:val="0"/>
          <w:marTop w:val="0"/>
          <w:marBottom w:val="0"/>
          <w:divBdr>
            <w:top w:val="none" w:sz="0" w:space="0" w:color="auto"/>
            <w:left w:val="none" w:sz="0" w:space="0" w:color="auto"/>
            <w:bottom w:val="none" w:sz="0" w:space="0" w:color="auto"/>
            <w:right w:val="none" w:sz="0" w:space="0" w:color="auto"/>
          </w:divBdr>
        </w:div>
        <w:div w:id="209264285">
          <w:marLeft w:val="0"/>
          <w:marRight w:val="0"/>
          <w:marTop w:val="0"/>
          <w:marBottom w:val="0"/>
          <w:divBdr>
            <w:top w:val="none" w:sz="0" w:space="0" w:color="auto"/>
            <w:left w:val="none" w:sz="0" w:space="0" w:color="auto"/>
            <w:bottom w:val="none" w:sz="0" w:space="0" w:color="auto"/>
            <w:right w:val="none" w:sz="0" w:space="0" w:color="auto"/>
          </w:divBdr>
        </w:div>
        <w:div w:id="213204815">
          <w:marLeft w:val="0"/>
          <w:marRight w:val="0"/>
          <w:marTop w:val="0"/>
          <w:marBottom w:val="0"/>
          <w:divBdr>
            <w:top w:val="none" w:sz="0" w:space="0" w:color="auto"/>
            <w:left w:val="none" w:sz="0" w:space="0" w:color="auto"/>
            <w:bottom w:val="none" w:sz="0" w:space="0" w:color="auto"/>
            <w:right w:val="none" w:sz="0" w:space="0" w:color="auto"/>
          </w:divBdr>
        </w:div>
        <w:div w:id="223373074">
          <w:marLeft w:val="0"/>
          <w:marRight w:val="0"/>
          <w:marTop w:val="0"/>
          <w:marBottom w:val="0"/>
          <w:divBdr>
            <w:top w:val="none" w:sz="0" w:space="0" w:color="auto"/>
            <w:left w:val="none" w:sz="0" w:space="0" w:color="auto"/>
            <w:bottom w:val="none" w:sz="0" w:space="0" w:color="auto"/>
            <w:right w:val="none" w:sz="0" w:space="0" w:color="auto"/>
          </w:divBdr>
        </w:div>
        <w:div w:id="302463219">
          <w:marLeft w:val="0"/>
          <w:marRight w:val="0"/>
          <w:marTop w:val="0"/>
          <w:marBottom w:val="0"/>
          <w:divBdr>
            <w:top w:val="none" w:sz="0" w:space="0" w:color="auto"/>
            <w:left w:val="none" w:sz="0" w:space="0" w:color="auto"/>
            <w:bottom w:val="none" w:sz="0" w:space="0" w:color="auto"/>
            <w:right w:val="none" w:sz="0" w:space="0" w:color="auto"/>
          </w:divBdr>
        </w:div>
        <w:div w:id="307516531">
          <w:marLeft w:val="0"/>
          <w:marRight w:val="0"/>
          <w:marTop w:val="0"/>
          <w:marBottom w:val="0"/>
          <w:divBdr>
            <w:top w:val="none" w:sz="0" w:space="0" w:color="auto"/>
            <w:left w:val="none" w:sz="0" w:space="0" w:color="auto"/>
            <w:bottom w:val="none" w:sz="0" w:space="0" w:color="auto"/>
            <w:right w:val="none" w:sz="0" w:space="0" w:color="auto"/>
          </w:divBdr>
        </w:div>
        <w:div w:id="362554867">
          <w:marLeft w:val="0"/>
          <w:marRight w:val="0"/>
          <w:marTop w:val="0"/>
          <w:marBottom w:val="0"/>
          <w:divBdr>
            <w:top w:val="none" w:sz="0" w:space="0" w:color="auto"/>
            <w:left w:val="none" w:sz="0" w:space="0" w:color="auto"/>
            <w:bottom w:val="none" w:sz="0" w:space="0" w:color="auto"/>
            <w:right w:val="none" w:sz="0" w:space="0" w:color="auto"/>
          </w:divBdr>
        </w:div>
        <w:div w:id="382602211">
          <w:marLeft w:val="0"/>
          <w:marRight w:val="0"/>
          <w:marTop w:val="0"/>
          <w:marBottom w:val="0"/>
          <w:divBdr>
            <w:top w:val="none" w:sz="0" w:space="0" w:color="auto"/>
            <w:left w:val="none" w:sz="0" w:space="0" w:color="auto"/>
            <w:bottom w:val="none" w:sz="0" w:space="0" w:color="auto"/>
            <w:right w:val="none" w:sz="0" w:space="0" w:color="auto"/>
          </w:divBdr>
        </w:div>
        <w:div w:id="404685618">
          <w:marLeft w:val="0"/>
          <w:marRight w:val="0"/>
          <w:marTop w:val="0"/>
          <w:marBottom w:val="0"/>
          <w:divBdr>
            <w:top w:val="none" w:sz="0" w:space="0" w:color="auto"/>
            <w:left w:val="none" w:sz="0" w:space="0" w:color="auto"/>
            <w:bottom w:val="none" w:sz="0" w:space="0" w:color="auto"/>
            <w:right w:val="none" w:sz="0" w:space="0" w:color="auto"/>
          </w:divBdr>
        </w:div>
        <w:div w:id="412581089">
          <w:marLeft w:val="0"/>
          <w:marRight w:val="0"/>
          <w:marTop w:val="0"/>
          <w:marBottom w:val="0"/>
          <w:divBdr>
            <w:top w:val="none" w:sz="0" w:space="0" w:color="auto"/>
            <w:left w:val="none" w:sz="0" w:space="0" w:color="auto"/>
            <w:bottom w:val="none" w:sz="0" w:space="0" w:color="auto"/>
            <w:right w:val="none" w:sz="0" w:space="0" w:color="auto"/>
          </w:divBdr>
        </w:div>
        <w:div w:id="439033686">
          <w:marLeft w:val="0"/>
          <w:marRight w:val="0"/>
          <w:marTop w:val="0"/>
          <w:marBottom w:val="0"/>
          <w:divBdr>
            <w:top w:val="none" w:sz="0" w:space="0" w:color="auto"/>
            <w:left w:val="none" w:sz="0" w:space="0" w:color="auto"/>
            <w:bottom w:val="none" w:sz="0" w:space="0" w:color="auto"/>
            <w:right w:val="none" w:sz="0" w:space="0" w:color="auto"/>
          </w:divBdr>
        </w:div>
        <w:div w:id="445078346">
          <w:marLeft w:val="0"/>
          <w:marRight w:val="0"/>
          <w:marTop w:val="0"/>
          <w:marBottom w:val="0"/>
          <w:divBdr>
            <w:top w:val="none" w:sz="0" w:space="0" w:color="auto"/>
            <w:left w:val="none" w:sz="0" w:space="0" w:color="auto"/>
            <w:bottom w:val="none" w:sz="0" w:space="0" w:color="auto"/>
            <w:right w:val="none" w:sz="0" w:space="0" w:color="auto"/>
          </w:divBdr>
        </w:div>
        <w:div w:id="505367910">
          <w:marLeft w:val="0"/>
          <w:marRight w:val="0"/>
          <w:marTop w:val="0"/>
          <w:marBottom w:val="0"/>
          <w:divBdr>
            <w:top w:val="none" w:sz="0" w:space="0" w:color="auto"/>
            <w:left w:val="none" w:sz="0" w:space="0" w:color="auto"/>
            <w:bottom w:val="none" w:sz="0" w:space="0" w:color="auto"/>
            <w:right w:val="none" w:sz="0" w:space="0" w:color="auto"/>
          </w:divBdr>
        </w:div>
        <w:div w:id="524951475">
          <w:marLeft w:val="0"/>
          <w:marRight w:val="0"/>
          <w:marTop w:val="0"/>
          <w:marBottom w:val="0"/>
          <w:divBdr>
            <w:top w:val="none" w:sz="0" w:space="0" w:color="auto"/>
            <w:left w:val="none" w:sz="0" w:space="0" w:color="auto"/>
            <w:bottom w:val="none" w:sz="0" w:space="0" w:color="auto"/>
            <w:right w:val="none" w:sz="0" w:space="0" w:color="auto"/>
          </w:divBdr>
        </w:div>
        <w:div w:id="611518276">
          <w:marLeft w:val="0"/>
          <w:marRight w:val="0"/>
          <w:marTop w:val="0"/>
          <w:marBottom w:val="0"/>
          <w:divBdr>
            <w:top w:val="none" w:sz="0" w:space="0" w:color="auto"/>
            <w:left w:val="none" w:sz="0" w:space="0" w:color="auto"/>
            <w:bottom w:val="none" w:sz="0" w:space="0" w:color="auto"/>
            <w:right w:val="none" w:sz="0" w:space="0" w:color="auto"/>
          </w:divBdr>
        </w:div>
        <w:div w:id="625816210">
          <w:marLeft w:val="0"/>
          <w:marRight w:val="0"/>
          <w:marTop w:val="0"/>
          <w:marBottom w:val="0"/>
          <w:divBdr>
            <w:top w:val="none" w:sz="0" w:space="0" w:color="auto"/>
            <w:left w:val="none" w:sz="0" w:space="0" w:color="auto"/>
            <w:bottom w:val="none" w:sz="0" w:space="0" w:color="auto"/>
            <w:right w:val="none" w:sz="0" w:space="0" w:color="auto"/>
          </w:divBdr>
        </w:div>
        <w:div w:id="651981170">
          <w:marLeft w:val="0"/>
          <w:marRight w:val="0"/>
          <w:marTop w:val="0"/>
          <w:marBottom w:val="0"/>
          <w:divBdr>
            <w:top w:val="none" w:sz="0" w:space="0" w:color="auto"/>
            <w:left w:val="none" w:sz="0" w:space="0" w:color="auto"/>
            <w:bottom w:val="none" w:sz="0" w:space="0" w:color="auto"/>
            <w:right w:val="none" w:sz="0" w:space="0" w:color="auto"/>
          </w:divBdr>
        </w:div>
        <w:div w:id="700126865">
          <w:marLeft w:val="0"/>
          <w:marRight w:val="0"/>
          <w:marTop w:val="0"/>
          <w:marBottom w:val="0"/>
          <w:divBdr>
            <w:top w:val="none" w:sz="0" w:space="0" w:color="auto"/>
            <w:left w:val="none" w:sz="0" w:space="0" w:color="auto"/>
            <w:bottom w:val="none" w:sz="0" w:space="0" w:color="auto"/>
            <w:right w:val="none" w:sz="0" w:space="0" w:color="auto"/>
          </w:divBdr>
        </w:div>
        <w:div w:id="710886410">
          <w:marLeft w:val="0"/>
          <w:marRight w:val="0"/>
          <w:marTop w:val="0"/>
          <w:marBottom w:val="0"/>
          <w:divBdr>
            <w:top w:val="none" w:sz="0" w:space="0" w:color="auto"/>
            <w:left w:val="none" w:sz="0" w:space="0" w:color="auto"/>
            <w:bottom w:val="none" w:sz="0" w:space="0" w:color="auto"/>
            <w:right w:val="none" w:sz="0" w:space="0" w:color="auto"/>
          </w:divBdr>
        </w:div>
        <w:div w:id="720906185">
          <w:marLeft w:val="0"/>
          <w:marRight w:val="0"/>
          <w:marTop w:val="0"/>
          <w:marBottom w:val="0"/>
          <w:divBdr>
            <w:top w:val="none" w:sz="0" w:space="0" w:color="auto"/>
            <w:left w:val="none" w:sz="0" w:space="0" w:color="auto"/>
            <w:bottom w:val="none" w:sz="0" w:space="0" w:color="auto"/>
            <w:right w:val="none" w:sz="0" w:space="0" w:color="auto"/>
          </w:divBdr>
        </w:div>
        <w:div w:id="734358786">
          <w:marLeft w:val="0"/>
          <w:marRight w:val="0"/>
          <w:marTop w:val="0"/>
          <w:marBottom w:val="0"/>
          <w:divBdr>
            <w:top w:val="none" w:sz="0" w:space="0" w:color="auto"/>
            <w:left w:val="none" w:sz="0" w:space="0" w:color="auto"/>
            <w:bottom w:val="none" w:sz="0" w:space="0" w:color="auto"/>
            <w:right w:val="none" w:sz="0" w:space="0" w:color="auto"/>
          </w:divBdr>
        </w:div>
        <w:div w:id="848905618">
          <w:marLeft w:val="0"/>
          <w:marRight w:val="0"/>
          <w:marTop w:val="0"/>
          <w:marBottom w:val="0"/>
          <w:divBdr>
            <w:top w:val="none" w:sz="0" w:space="0" w:color="auto"/>
            <w:left w:val="none" w:sz="0" w:space="0" w:color="auto"/>
            <w:bottom w:val="none" w:sz="0" w:space="0" w:color="auto"/>
            <w:right w:val="none" w:sz="0" w:space="0" w:color="auto"/>
          </w:divBdr>
        </w:div>
        <w:div w:id="859927388">
          <w:marLeft w:val="0"/>
          <w:marRight w:val="0"/>
          <w:marTop w:val="0"/>
          <w:marBottom w:val="0"/>
          <w:divBdr>
            <w:top w:val="none" w:sz="0" w:space="0" w:color="auto"/>
            <w:left w:val="none" w:sz="0" w:space="0" w:color="auto"/>
            <w:bottom w:val="none" w:sz="0" w:space="0" w:color="auto"/>
            <w:right w:val="none" w:sz="0" w:space="0" w:color="auto"/>
          </w:divBdr>
        </w:div>
        <w:div w:id="886917612">
          <w:marLeft w:val="0"/>
          <w:marRight w:val="0"/>
          <w:marTop w:val="0"/>
          <w:marBottom w:val="0"/>
          <w:divBdr>
            <w:top w:val="none" w:sz="0" w:space="0" w:color="auto"/>
            <w:left w:val="none" w:sz="0" w:space="0" w:color="auto"/>
            <w:bottom w:val="none" w:sz="0" w:space="0" w:color="auto"/>
            <w:right w:val="none" w:sz="0" w:space="0" w:color="auto"/>
          </w:divBdr>
        </w:div>
        <w:div w:id="901332855">
          <w:marLeft w:val="0"/>
          <w:marRight w:val="0"/>
          <w:marTop w:val="0"/>
          <w:marBottom w:val="0"/>
          <w:divBdr>
            <w:top w:val="none" w:sz="0" w:space="0" w:color="auto"/>
            <w:left w:val="none" w:sz="0" w:space="0" w:color="auto"/>
            <w:bottom w:val="none" w:sz="0" w:space="0" w:color="auto"/>
            <w:right w:val="none" w:sz="0" w:space="0" w:color="auto"/>
          </w:divBdr>
        </w:div>
        <w:div w:id="958143331">
          <w:marLeft w:val="0"/>
          <w:marRight w:val="0"/>
          <w:marTop w:val="0"/>
          <w:marBottom w:val="0"/>
          <w:divBdr>
            <w:top w:val="none" w:sz="0" w:space="0" w:color="auto"/>
            <w:left w:val="none" w:sz="0" w:space="0" w:color="auto"/>
            <w:bottom w:val="none" w:sz="0" w:space="0" w:color="auto"/>
            <w:right w:val="none" w:sz="0" w:space="0" w:color="auto"/>
          </w:divBdr>
        </w:div>
        <w:div w:id="1068528505">
          <w:marLeft w:val="0"/>
          <w:marRight w:val="0"/>
          <w:marTop w:val="0"/>
          <w:marBottom w:val="0"/>
          <w:divBdr>
            <w:top w:val="none" w:sz="0" w:space="0" w:color="auto"/>
            <w:left w:val="none" w:sz="0" w:space="0" w:color="auto"/>
            <w:bottom w:val="none" w:sz="0" w:space="0" w:color="auto"/>
            <w:right w:val="none" w:sz="0" w:space="0" w:color="auto"/>
          </w:divBdr>
        </w:div>
        <w:div w:id="1078599639">
          <w:marLeft w:val="0"/>
          <w:marRight w:val="0"/>
          <w:marTop w:val="0"/>
          <w:marBottom w:val="0"/>
          <w:divBdr>
            <w:top w:val="none" w:sz="0" w:space="0" w:color="auto"/>
            <w:left w:val="none" w:sz="0" w:space="0" w:color="auto"/>
            <w:bottom w:val="none" w:sz="0" w:space="0" w:color="auto"/>
            <w:right w:val="none" w:sz="0" w:space="0" w:color="auto"/>
          </w:divBdr>
        </w:div>
        <w:div w:id="1106848878">
          <w:marLeft w:val="0"/>
          <w:marRight w:val="0"/>
          <w:marTop w:val="0"/>
          <w:marBottom w:val="0"/>
          <w:divBdr>
            <w:top w:val="none" w:sz="0" w:space="0" w:color="auto"/>
            <w:left w:val="none" w:sz="0" w:space="0" w:color="auto"/>
            <w:bottom w:val="none" w:sz="0" w:space="0" w:color="auto"/>
            <w:right w:val="none" w:sz="0" w:space="0" w:color="auto"/>
          </w:divBdr>
        </w:div>
        <w:div w:id="1168445458">
          <w:marLeft w:val="0"/>
          <w:marRight w:val="0"/>
          <w:marTop w:val="0"/>
          <w:marBottom w:val="0"/>
          <w:divBdr>
            <w:top w:val="none" w:sz="0" w:space="0" w:color="auto"/>
            <w:left w:val="none" w:sz="0" w:space="0" w:color="auto"/>
            <w:bottom w:val="none" w:sz="0" w:space="0" w:color="auto"/>
            <w:right w:val="none" w:sz="0" w:space="0" w:color="auto"/>
          </w:divBdr>
        </w:div>
        <w:div w:id="1290821874">
          <w:marLeft w:val="0"/>
          <w:marRight w:val="0"/>
          <w:marTop w:val="0"/>
          <w:marBottom w:val="0"/>
          <w:divBdr>
            <w:top w:val="none" w:sz="0" w:space="0" w:color="auto"/>
            <w:left w:val="none" w:sz="0" w:space="0" w:color="auto"/>
            <w:bottom w:val="none" w:sz="0" w:space="0" w:color="auto"/>
            <w:right w:val="none" w:sz="0" w:space="0" w:color="auto"/>
          </w:divBdr>
        </w:div>
        <w:div w:id="1338114877">
          <w:marLeft w:val="0"/>
          <w:marRight w:val="0"/>
          <w:marTop w:val="0"/>
          <w:marBottom w:val="0"/>
          <w:divBdr>
            <w:top w:val="none" w:sz="0" w:space="0" w:color="auto"/>
            <w:left w:val="none" w:sz="0" w:space="0" w:color="auto"/>
            <w:bottom w:val="none" w:sz="0" w:space="0" w:color="auto"/>
            <w:right w:val="none" w:sz="0" w:space="0" w:color="auto"/>
          </w:divBdr>
        </w:div>
        <w:div w:id="1369329583">
          <w:marLeft w:val="0"/>
          <w:marRight w:val="0"/>
          <w:marTop w:val="0"/>
          <w:marBottom w:val="0"/>
          <w:divBdr>
            <w:top w:val="none" w:sz="0" w:space="0" w:color="auto"/>
            <w:left w:val="none" w:sz="0" w:space="0" w:color="auto"/>
            <w:bottom w:val="none" w:sz="0" w:space="0" w:color="auto"/>
            <w:right w:val="none" w:sz="0" w:space="0" w:color="auto"/>
          </w:divBdr>
        </w:div>
        <w:div w:id="1407217816">
          <w:marLeft w:val="0"/>
          <w:marRight w:val="0"/>
          <w:marTop w:val="0"/>
          <w:marBottom w:val="0"/>
          <w:divBdr>
            <w:top w:val="none" w:sz="0" w:space="0" w:color="auto"/>
            <w:left w:val="none" w:sz="0" w:space="0" w:color="auto"/>
            <w:bottom w:val="none" w:sz="0" w:space="0" w:color="auto"/>
            <w:right w:val="none" w:sz="0" w:space="0" w:color="auto"/>
          </w:divBdr>
        </w:div>
        <w:div w:id="1456369966">
          <w:marLeft w:val="0"/>
          <w:marRight w:val="0"/>
          <w:marTop w:val="0"/>
          <w:marBottom w:val="0"/>
          <w:divBdr>
            <w:top w:val="none" w:sz="0" w:space="0" w:color="auto"/>
            <w:left w:val="none" w:sz="0" w:space="0" w:color="auto"/>
            <w:bottom w:val="none" w:sz="0" w:space="0" w:color="auto"/>
            <w:right w:val="none" w:sz="0" w:space="0" w:color="auto"/>
          </w:divBdr>
        </w:div>
        <w:div w:id="1461731353">
          <w:marLeft w:val="0"/>
          <w:marRight w:val="0"/>
          <w:marTop w:val="0"/>
          <w:marBottom w:val="0"/>
          <w:divBdr>
            <w:top w:val="none" w:sz="0" w:space="0" w:color="auto"/>
            <w:left w:val="none" w:sz="0" w:space="0" w:color="auto"/>
            <w:bottom w:val="none" w:sz="0" w:space="0" w:color="auto"/>
            <w:right w:val="none" w:sz="0" w:space="0" w:color="auto"/>
          </w:divBdr>
        </w:div>
        <w:div w:id="1481381111">
          <w:marLeft w:val="0"/>
          <w:marRight w:val="0"/>
          <w:marTop w:val="0"/>
          <w:marBottom w:val="0"/>
          <w:divBdr>
            <w:top w:val="none" w:sz="0" w:space="0" w:color="auto"/>
            <w:left w:val="none" w:sz="0" w:space="0" w:color="auto"/>
            <w:bottom w:val="none" w:sz="0" w:space="0" w:color="auto"/>
            <w:right w:val="none" w:sz="0" w:space="0" w:color="auto"/>
          </w:divBdr>
        </w:div>
        <w:div w:id="1496607807">
          <w:marLeft w:val="0"/>
          <w:marRight w:val="0"/>
          <w:marTop w:val="0"/>
          <w:marBottom w:val="0"/>
          <w:divBdr>
            <w:top w:val="none" w:sz="0" w:space="0" w:color="auto"/>
            <w:left w:val="none" w:sz="0" w:space="0" w:color="auto"/>
            <w:bottom w:val="none" w:sz="0" w:space="0" w:color="auto"/>
            <w:right w:val="none" w:sz="0" w:space="0" w:color="auto"/>
          </w:divBdr>
        </w:div>
        <w:div w:id="1502117282">
          <w:marLeft w:val="0"/>
          <w:marRight w:val="0"/>
          <w:marTop w:val="0"/>
          <w:marBottom w:val="0"/>
          <w:divBdr>
            <w:top w:val="none" w:sz="0" w:space="0" w:color="auto"/>
            <w:left w:val="none" w:sz="0" w:space="0" w:color="auto"/>
            <w:bottom w:val="none" w:sz="0" w:space="0" w:color="auto"/>
            <w:right w:val="none" w:sz="0" w:space="0" w:color="auto"/>
          </w:divBdr>
        </w:div>
        <w:div w:id="1569877167">
          <w:marLeft w:val="0"/>
          <w:marRight w:val="0"/>
          <w:marTop w:val="0"/>
          <w:marBottom w:val="0"/>
          <w:divBdr>
            <w:top w:val="none" w:sz="0" w:space="0" w:color="auto"/>
            <w:left w:val="none" w:sz="0" w:space="0" w:color="auto"/>
            <w:bottom w:val="none" w:sz="0" w:space="0" w:color="auto"/>
            <w:right w:val="none" w:sz="0" w:space="0" w:color="auto"/>
          </w:divBdr>
        </w:div>
        <w:div w:id="1575244104">
          <w:marLeft w:val="0"/>
          <w:marRight w:val="0"/>
          <w:marTop w:val="0"/>
          <w:marBottom w:val="0"/>
          <w:divBdr>
            <w:top w:val="none" w:sz="0" w:space="0" w:color="auto"/>
            <w:left w:val="none" w:sz="0" w:space="0" w:color="auto"/>
            <w:bottom w:val="none" w:sz="0" w:space="0" w:color="auto"/>
            <w:right w:val="none" w:sz="0" w:space="0" w:color="auto"/>
          </w:divBdr>
        </w:div>
        <w:div w:id="1598056712">
          <w:marLeft w:val="0"/>
          <w:marRight w:val="0"/>
          <w:marTop w:val="0"/>
          <w:marBottom w:val="0"/>
          <w:divBdr>
            <w:top w:val="none" w:sz="0" w:space="0" w:color="auto"/>
            <w:left w:val="none" w:sz="0" w:space="0" w:color="auto"/>
            <w:bottom w:val="none" w:sz="0" w:space="0" w:color="auto"/>
            <w:right w:val="none" w:sz="0" w:space="0" w:color="auto"/>
          </w:divBdr>
        </w:div>
        <w:div w:id="1606039682">
          <w:marLeft w:val="0"/>
          <w:marRight w:val="0"/>
          <w:marTop w:val="0"/>
          <w:marBottom w:val="0"/>
          <w:divBdr>
            <w:top w:val="none" w:sz="0" w:space="0" w:color="auto"/>
            <w:left w:val="none" w:sz="0" w:space="0" w:color="auto"/>
            <w:bottom w:val="none" w:sz="0" w:space="0" w:color="auto"/>
            <w:right w:val="none" w:sz="0" w:space="0" w:color="auto"/>
          </w:divBdr>
        </w:div>
        <w:div w:id="1629163676">
          <w:marLeft w:val="0"/>
          <w:marRight w:val="0"/>
          <w:marTop w:val="0"/>
          <w:marBottom w:val="0"/>
          <w:divBdr>
            <w:top w:val="none" w:sz="0" w:space="0" w:color="auto"/>
            <w:left w:val="none" w:sz="0" w:space="0" w:color="auto"/>
            <w:bottom w:val="none" w:sz="0" w:space="0" w:color="auto"/>
            <w:right w:val="none" w:sz="0" w:space="0" w:color="auto"/>
          </w:divBdr>
        </w:div>
        <w:div w:id="1635208410">
          <w:marLeft w:val="0"/>
          <w:marRight w:val="0"/>
          <w:marTop w:val="0"/>
          <w:marBottom w:val="0"/>
          <w:divBdr>
            <w:top w:val="none" w:sz="0" w:space="0" w:color="auto"/>
            <w:left w:val="none" w:sz="0" w:space="0" w:color="auto"/>
            <w:bottom w:val="none" w:sz="0" w:space="0" w:color="auto"/>
            <w:right w:val="none" w:sz="0" w:space="0" w:color="auto"/>
          </w:divBdr>
        </w:div>
        <w:div w:id="1661612756">
          <w:marLeft w:val="0"/>
          <w:marRight w:val="0"/>
          <w:marTop w:val="0"/>
          <w:marBottom w:val="0"/>
          <w:divBdr>
            <w:top w:val="none" w:sz="0" w:space="0" w:color="auto"/>
            <w:left w:val="none" w:sz="0" w:space="0" w:color="auto"/>
            <w:bottom w:val="none" w:sz="0" w:space="0" w:color="auto"/>
            <w:right w:val="none" w:sz="0" w:space="0" w:color="auto"/>
          </w:divBdr>
        </w:div>
        <w:div w:id="1681470507">
          <w:marLeft w:val="0"/>
          <w:marRight w:val="0"/>
          <w:marTop w:val="0"/>
          <w:marBottom w:val="0"/>
          <w:divBdr>
            <w:top w:val="none" w:sz="0" w:space="0" w:color="auto"/>
            <w:left w:val="none" w:sz="0" w:space="0" w:color="auto"/>
            <w:bottom w:val="none" w:sz="0" w:space="0" w:color="auto"/>
            <w:right w:val="none" w:sz="0" w:space="0" w:color="auto"/>
          </w:divBdr>
        </w:div>
        <w:div w:id="1682200324">
          <w:marLeft w:val="0"/>
          <w:marRight w:val="0"/>
          <w:marTop w:val="0"/>
          <w:marBottom w:val="0"/>
          <w:divBdr>
            <w:top w:val="none" w:sz="0" w:space="0" w:color="auto"/>
            <w:left w:val="none" w:sz="0" w:space="0" w:color="auto"/>
            <w:bottom w:val="none" w:sz="0" w:space="0" w:color="auto"/>
            <w:right w:val="none" w:sz="0" w:space="0" w:color="auto"/>
          </w:divBdr>
        </w:div>
        <w:div w:id="1703744319">
          <w:marLeft w:val="0"/>
          <w:marRight w:val="0"/>
          <w:marTop w:val="0"/>
          <w:marBottom w:val="0"/>
          <w:divBdr>
            <w:top w:val="none" w:sz="0" w:space="0" w:color="auto"/>
            <w:left w:val="none" w:sz="0" w:space="0" w:color="auto"/>
            <w:bottom w:val="none" w:sz="0" w:space="0" w:color="auto"/>
            <w:right w:val="none" w:sz="0" w:space="0" w:color="auto"/>
          </w:divBdr>
        </w:div>
        <w:div w:id="1705252291">
          <w:marLeft w:val="0"/>
          <w:marRight w:val="0"/>
          <w:marTop w:val="0"/>
          <w:marBottom w:val="0"/>
          <w:divBdr>
            <w:top w:val="none" w:sz="0" w:space="0" w:color="auto"/>
            <w:left w:val="none" w:sz="0" w:space="0" w:color="auto"/>
            <w:bottom w:val="none" w:sz="0" w:space="0" w:color="auto"/>
            <w:right w:val="none" w:sz="0" w:space="0" w:color="auto"/>
          </w:divBdr>
        </w:div>
        <w:div w:id="1705640702">
          <w:marLeft w:val="0"/>
          <w:marRight w:val="0"/>
          <w:marTop w:val="0"/>
          <w:marBottom w:val="0"/>
          <w:divBdr>
            <w:top w:val="none" w:sz="0" w:space="0" w:color="auto"/>
            <w:left w:val="none" w:sz="0" w:space="0" w:color="auto"/>
            <w:bottom w:val="none" w:sz="0" w:space="0" w:color="auto"/>
            <w:right w:val="none" w:sz="0" w:space="0" w:color="auto"/>
          </w:divBdr>
        </w:div>
        <w:div w:id="1706053994">
          <w:marLeft w:val="0"/>
          <w:marRight w:val="0"/>
          <w:marTop w:val="0"/>
          <w:marBottom w:val="0"/>
          <w:divBdr>
            <w:top w:val="none" w:sz="0" w:space="0" w:color="auto"/>
            <w:left w:val="none" w:sz="0" w:space="0" w:color="auto"/>
            <w:bottom w:val="none" w:sz="0" w:space="0" w:color="auto"/>
            <w:right w:val="none" w:sz="0" w:space="0" w:color="auto"/>
          </w:divBdr>
        </w:div>
        <w:div w:id="1718042781">
          <w:marLeft w:val="0"/>
          <w:marRight w:val="0"/>
          <w:marTop w:val="0"/>
          <w:marBottom w:val="0"/>
          <w:divBdr>
            <w:top w:val="none" w:sz="0" w:space="0" w:color="auto"/>
            <w:left w:val="none" w:sz="0" w:space="0" w:color="auto"/>
            <w:bottom w:val="none" w:sz="0" w:space="0" w:color="auto"/>
            <w:right w:val="none" w:sz="0" w:space="0" w:color="auto"/>
          </w:divBdr>
        </w:div>
        <w:div w:id="1821460947">
          <w:marLeft w:val="0"/>
          <w:marRight w:val="0"/>
          <w:marTop w:val="0"/>
          <w:marBottom w:val="0"/>
          <w:divBdr>
            <w:top w:val="none" w:sz="0" w:space="0" w:color="auto"/>
            <w:left w:val="none" w:sz="0" w:space="0" w:color="auto"/>
            <w:bottom w:val="none" w:sz="0" w:space="0" w:color="auto"/>
            <w:right w:val="none" w:sz="0" w:space="0" w:color="auto"/>
          </w:divBdr>
        </w:div>
        <w:div w:id="1860314040">
          <w:marLeft w:val="0"/>
          <w:marRight w:val="0"/>
          <w:marTop w:val="0"/>
          <w:marBottom w:val="0"/>
          <w:divBdr>
            <w:top w:val="none" w:sz="0" w:space="0" w:color="auto"/>
            <w:left w:val="none" w:sz="0" w:space="0" w:color="auto"/>
            <w:bottom w:val="none" w:sz="0" w:space="0" w:color="auto"/>
            <w:right w:val="none" w:sz="0" w:space="0" w:color="auto"/>
          </w:divBdr>
        </w:div>
        <w:div w:id="1868106382">
          <w:marLeft w:val="0"/>
          <w:marRight w:val="0"/>
          <w:marTop w:val="0"/>
          <w:marBottom w:val="0"/>
          <w:divBdr>
            <w:top w:val="none" w:sz="0" w:space="0" w:color="auto"/>
            <w:left w:val="none" w:sz="0" w:space="0" w:color="auto"/>
            <w:bottom w:val="none" w:sz="0" w:space="0" w:color="auto"/>
            <w:right w:val="none" w:sz="0" w:space="0" w:color="auto"/>
          </w:divBdr>
        </w:div>
        <w:div w:id="1873877367">
          <w:marLeft w:val="0"/>
          <w:marRight w:val="0"/>
          <w:marTop w:val="0"/>
          <w:marBottom w:val="0"/>
          <w:divBdr>
            <w:top w:val="none" w:sz="0" w:space="0" w:color="auto"/>
            <w:left w:val="none" w:sz="0" w:space="0" w:color="auto"/>
            <w:bottom w:val="none" w:sz="0" w:space="0" w:color="auto"/>
            <w:right w:val="none" w:sz="0" w:space="0" w:color="auto"/>
          </w:divBdr>
        </w:div>
        <w:div w:id="1887906400">
          <w:marLeft w:val="0"/>
          <w:marRight w:val="0"/>
          <w:marTop w:val="0"/>
          <w:marBottom w:val="0"/>
          <w:divBdr>
            <w:top w:val="none" w:sz="0" w:space="0" w:color="auto"/>
            <w:left w:val="none" w:sz="0" w:space="0" w:color="auto"/>
            <w:bottom w:val="none" w:sz="0" w:space="0" w:color="auto"/>
            <w:right w:val="none" w:sz="0" w:space="0" w:color="auto"/>
          </w:divBdr>
        </w:div>
        <w:div w:id="1912813515">
          <w:marLeft w:val="0"/>
          <w:marRight w:val="0"/>
          <w:marTop w:val="0"/>
          <w:marBottom w:val="0"/>
          <w:divBdr>
            <w:top w:val="none" w:sz="0" w:space="0" w:color="auto"/>
            <w:left w:val="none" w:sz="0" w:space="0" w:color="auto"/>
            <w:bottom w:val="none" w:sz="0" w:space="0" w:color="auto"/>
            <w:right w:val="none" w:sz="0" w:space="0" w:color="auto"/>
          </w:divBdr>
        </w:div>
        <w:div w:id="1942103779">
          <w:marLeft w:val="0"/>
          <w:marRight w:val="0"/>
          <w:marTop w:val="0"/>
          <w:marBottom w:val="0"/>
          <w:divBdr>
            <w:top w:val="none" w:sz="0" w:space="0" w:color="auto"/>
            <w:left w:val="none" w:sz="0" w:space="0" w:color="auto"/>
            <w:bottom w:val="none" w:sz="0" w:space="0" w:color="auto"/>
            <w:right w:val="none" w:sz="0" w:space="0" w:color="auto"/>
          </w:divBdr>
        </w:div>
        <w:div w:id="1949462806">
          <w:marLeft w:val="0"/>
          <w:marRight w:val="0"/>
          <w:marTop w:val="0"/>
          <w:marBottom w:val="0"/>
          <w:divBdr>
            <w:top w:val="none" w:sz="0" w:space="0" w:color="auto"/>
            <w:left w:val="none" w:sz="0" w:space="0" w:color="auto"/>
            <w:bottom w:val="none" w:sz="0" w:space="0" w:color="auto"/>
            <w:right w:val="none" w:sz="0" w:space="0" w:color="auto"/>
          </w:divBdr>
        </w:div>
        <w:div w:id="1960793423">
          <w:marLeft w:val="0"/>
          <w:marRight w:val="0"/>
          <w:marTop w:val="0"/>
          <w:marBottom w:val="0"/>
          <w:divBdr>
            <w:top w:val="none" w:sz="0" w:space="0" w:color="auto"/>
            <w:left w:val="none" w:sz="0" w:space="0" w:color="auto"/>
            <w:bottom w:val="none" w:sz="0" w:space="0" w:color="auto"/>
            <w:right w:val="none" w:sz="0" w:space="0" w:color="auto"/>
          </w:divBdr>
        </w:div>
        <w:div w:id="2006082594">
          <w:marLeft w:val="0"/>
          <w:marRight w:val="0"/>
          <w:marTop w:val="0"/>
          <w:marBottom w:val="0"/>
          <w:divBdr>
            <w:top w:val="none" w:sz="0" w:space="0" w:color="auto"/>
            <w:left w:val="none" w:sz="0" w:space="0" w:color="auto"/>
            <w:bottom w:val="none" w:sz="0" w:space="0" w:color="auto"/>
            <w:right w:val="none" w:sz="0" w:space="0" w:color="auto"/>
          </w:divBdr>
        </w:div>
        <w:div w:id="2065060749">
          <w:marLeft w:val="0"/>
          <w:marRight w:val="0"/>
          <w:marTop w:val="0"/>
          <w:marBottom w:val="0"/>
          <w:divBdr>
            <w:top w:val="none" w:sz="0" w:space="0" w:color="auto"/>
            <w:left w:val="none" w:sz="0" w:space="0" w:color="auto"/>
            <w:bottom w:val="none" w:sz="0" w:space="0" w:color="auto"/>
            <w:right w:val="none" w:sz="0" w:space="0" w:color="auto"/>
          </w:divBdr>
        </w:div>
        <w:div w:id="2067680038">
          <w:marLeft w:val="0"/>
          <w:marRight w:val="0"/>
          <w:marTop w:val="0"/>
          <w:marBottom w:val="0"/>
          <w:divBdr>
            <w:top w:val="none" w:sz="0" w:space="0" w:color="auto"/>
            <w:left w:val="none" w:sz="0" w:space="0" w:color="auto"/>
            <w:bottom w:val="none" w:sz="0" w:space="0" w:color="auto"/>
            <w:right w:val="none" w:sz="0" w:space="0" w:color="auto"/>
          </w:divBdr>
        </w:div>
        <w:div w:id="2095975744">
          <w:marLeft w:val="0"/>
          <w:marRight w:val="0"/>
          <w:marTop w:val="0"/>
          <w:marBottom w:val="0"/>
          <w:divBdr>
            <w:top w:val="none" w:sz="0" w:space="0" w:color="auto"/>
            <w:left w:val="none" w:sz="0" w:space="0" w:color="auto"/>
            <w:bottom w:val="none" w:sz="0" w:space="0" w:color="auto"/>
            <w:right w:val="none" w:sz="0" w:space="0" w:color="auto"/>
          </w:divBdr>
        </w:div>
        <w:div w:id="2112119009">
          <w:marLeft w:val="0"/>
          <w:marRight w:val="0"/>
          <w:marTop w:val="0"/>
          <w:marBottom w:val="0"/>
          <w:divBdr>
            <w:top w:val="none" w:sz="0" w:space="0" w:color="auto"/>
            <w:left w:val="none" w:sz="0" w:space="0" w:color="auto"/>
            <w:bottom w:val="none" w:sz="0" w:space="0" w:color="auto"/>
            <w:right w:val="none" w:sz="0" w:space="0" w:color="auto"/>
          </w:divBdr>
        </w:div>
        <w:div w:id="2120100500">
          <w:marLeft w:val="0"/>
          <w:marRight w:val="0"/>
          <w:marTop w:val="0"/>
          <w:marBottom w:val="0"/>
          <w:divBdr>
            <w:top w:val="none" w:sz="0" w:space="0" w:color="auto"/>
            <w:left w:val="none" w:sz="0" w:space="0" w:color="auto"/>
            <w:bottom w:val="none" w:sz="0" w:space="0" w:color="auto"/>
            <w:right w:val="none" w:sz="0" w:space="0" w:color="auto"/>
          </w:divBdr>
        </w:div>
        <w:div w:id="2137331481">
          <w:marLeft w:val="0"/>
          <w:marRight w:val="0"/>
          <w:marTop w:val="0"/>
          <w:marBottom w:val="0"/>
          <w:divBdr>
            <w:top w:val="none" w:sz="0" w:space="0" w:color="auto"/>
            <w:left w:val="none" w:sz="0" w:space="0" w:color="auto"/>
            <w:bottom w:val="none" w:sz="0" w:space="0" w:color="auto"/>
            <w:right w:val="none" w:sz="0" w:space="0" w:color="auto"/>
          </w:divBdr>
        </w:div>
      </w:divsChild>
    </w:div>
    <w:div w:id="1872499887">
      <w:bodyDiv w:val="1"/>
      <w:marLeft w:val="0"/>
      <w:marRight w:val="0"/>
      <w:marTop w:val="0"/>
      <w:marBottom w:val="0"/>
      <w:divBdr>
        <w:top w:val="none" w:sz="0" w:space="0" w:color="auto"/>
        <w:left w:val="none" w:sz="0" w:space="0" w:color="auto"/>
        <w:bottom w:val="none" w:sz="0" w:space="0" w:color="auto"/>
        <w:right w:val="none" w:sz="0" w:space="0" w:color="auto"/>
      </w:divBdr>
    </w:div>
    <w:div w:id="1946888022">
      <w:bodyDiv w:val="1"/>
      <w:marLeft w:val="0"/>
      <w:marRight w:val="0"/>
      <w:marTop w:val="0"/>
      <w:marBottom w:val="0"/>
      <w:divBdr>
        <w:top w:val="none" w:sz="0" w:space="0" w:color="auto"/>
        <w:left w:val="none" w:sz="0" w:space="0" w:color="auto"/>
        <w:bottom w:val="none" w:sz="0" w:space="0" w:color="auto"/>
        <w:right w:val="none" w:sz="0" w:space="0" w:color="auto"/>
      </w:divBdr>
      <w:divsChild>
        <w:div w:id="806901225">
          <w:marLeft w:val="0"/>
          <w:marRight w:val="0"/>
          <w:marTop w:val="0"/>
          <w:marBottom w:val="0"/>
          <w:divBdr>
            <w:top w:val="none" w:sz="0" w:space="0" w:color="auto"/>
            <w:left w:val="none" w:sz="0" w:space="0" w:color="auto"/>
            <w:bottom w:val="none" w:sz="0" w:space="0" w:color="auto"/>
            <w:right w:val="none" w:sz="0" w:space="0" w:color="auto"/>
          </w:divBdr>
        </w:div>
        <w:div w:id="2009356908">
          <w:marLeft w:val="0"/>
          <w:marRight w:val="0"/>
          <w:marTop w:val="0"/>
          <w:marBottom w:val="0"/>
          <w:divBdr>
            <w:top w:val="none" w:sz="0" w:space="0" w:color="auto"/>
            <w:left w:val="none" w:sz="0" w:space="0" w:color="auto"/>
            <w:bottom w:val="none" w:sz="0" w:space="0" w:color="auto"/>
            <w:right w:val="none" w:sz="0" w:space="0" w:color="auto"/>
          </w:divBdr>
        </w:div>
        <w:div w:id="20632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3BB5-C7AC-4D43-92C1-07B50183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ACCC2.dotx</Template>
  <TotalTime>5</TotalTime>
  <Pages>17</Pages>
  <Words>8115</Words>
  <Characters>46260</Characters>
  <Application>Microsoft Office Word</Application>
  <DocSecurity>0</DocSecurity>
  <Lines>385</Lines>
  <Paragraphs>108</Paragraphs>
  <ScaleCrop>false</ScaleCrop>
  <HeadingPairs>
    <vt:vector size="6" baseType="variant">
      <vt:variant>
        <vt:lpstr>Title</vt:lpstr>
      </vt:variant>
      <vt:variant>
        <vt:i4>1</vt:i4>
      </vt:variant>
      <vt:variant>
        <vt:lpstr>Rubrik</vt:lpstr>
      </vt:variant>
      <vt:variant>
        <vt:i4>1</vt:i4>
      </vt:variant>
      <vt:variant>
        <vt:lpstr>Tytuł</vt:lpstr>
      </vt:variant>
      <vt:variant>
        <vt:i4>1</vt:i4>
      </vt:variant>
    </vt:vector>
  </HeadingPairs>
  <TitlesOfParts>
    <vt:vector size="3" baseType="lpstr">
      <vt:lpstr/>
      <vt:lpstr/>
      <vt:lpstr/>
    </vt:vector>
  </TitlesOfParts>
  <Company>ECE-ISU</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Bichet</dc:creator>
  <cp:keywords/>
  <dc:description/>
  <cp:lastModifiedBy>Fiona Marshall</cp:lastModifiedBy>
  <cp:revision>5</cp:revision>
  <cp:lastPrinted>2021-06-16T19:38:00Z</cp:lastPrinted>
  <dcterms:created xsi:type="dcterms:W3CDTF">2021-06-17T13:56:00Z</dcterms:created>
  <dcterms:modified xsi:type="dcterms:W3CDTF">2021-06-17T14:16:00Z</dcterms:modified>
</cp:coreProperties>
</file>