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C5A223" w14:textId="58559D93" w:rsidR="0023575C" w:rsidRPr="00537C28" w:rsidRDefault="00670CC9" w:rsidP="00445225">
      <w:pPr>
        <w:pStyle w:val="HChG"/>
        <w:ind w:firstLine="0"/>
        <w:jc w:val="center"/>
        <w:rPr>
          <w:bCs/>
        </w:rPr>
      </w:pPr>
      <w:r w:rsidRPr="002929CC">
        <w:rPr>
          <w:bCs/>
          <w:spacing w:val="-2"/>
        </w:rPr>
        <w:t xml:space="preserve">Draft findings </w:t>
      </w:r>
      <w:r w:rsidR="0023575C" w:rsidRPr="00C4314A">
        <w:rPr>
          <w:bCs/>
          <w:spacing w:val="-2"/>
        </w:rPr>
        <w:t xml:space="preserve">and </w:t>
      </w:r>
      <w:r w:rsidR="00C90CFC" w:rsidRPr="00C4314A">
        <w:rPr>
          <w:bCs/>
          <w:spacing w:val="-2"/>
        </w:rPr>
        <w:t>r</w:t>
      </w:r>
      <w:r w:rsidR="0023575C" w:rsidRPr="00957F9B">
        <w:rPr>
          <w:bCs/>
          <w:spacing w:val="-2"/>
        </w:rPr>
        <w:t xml:space="preserve">ecommendations </w:t>
      </w:r>
      <w:proofErr w:type="gramStart"/>
      <w:r w:rsidR="0023575C" w:rsidRPr="00957F9B">
        <w:rPr>
          <w:bCs/>
          <w:spacing w:val="-2"/>
        </w:rPr>
        <w:t>with regard to</w:t>
      </w:r>
      <w:proofErr w:type="gramEnd"/>
      <w:r w:rsidR="0023575C" w:rsidRPr="00957F9B">
        <w:rPr>
          <w:bCs/>
          <w:spacing w:val="-2"/>
        </w:rPr>
        <w:t xml:space="preserve"> </w:t>
      </w:r>
      <w:r w:rsidR="00C90CFC" w:rsidRPr="00957F9B">
        <w:rPr>
          <w:bCs/>
          <w:spacing w:val="-2"/>
        </w:rPr>
        <w:t>c</w:t>
      </w:r>
      <w:r w:rsidR="0023575C" w:rsidRPr="00957F9B">
        <w:rPr>
          <w:bCs/>
          <w:spacing w:val="-2"/>
        </w:rPr>
        <w:t>ommunication</w:t>
      </w:r>
      <w:r w:rsidR="0023575C" w:rsidRPr="00957F9B">
        <w:rPr>
          <w:bCs/>
        </w:rPr>
        <w:t xml:space="preserve"> ACCC/C/20</w:t>
      </w:r>
      <w:r w:rsidR="007029FB" w:rsidRPr="00537C28">
        <w:rPr>
          <w:bCs/>
        </w:rPr>
        <w:t>14</w:t>
      </w:r>
      <w:r w:rsidR="0023575C" w:rsidRPr="00537C28">
        <w:rPr>
          <w:bCs/>
        </w:rPr>
        <w:t>/</w:t>
      </w:r>
      <w:r w:rsidR="007029FB" w:rsidRPr="00537C28">
        <w:rPr>
          <w:bCs/>
        </w:rPr>
        <w:t>120</w:t>
      </w:r>
      <w:r w:rsidR="0003534F" w:rsidRPr="00537C28">
        <w:rPr>
          <w:bCs/>
        </w:rPr>
        <w:t xml:space="preserve"> c</w:t>
      </w:r>
      <w:r w:rsidR="0023575C" w:rsidRPr="00537C28">
        <w:rPr>
          <w:bCs/>
        </w:rPr>
        <w:t xml:space="preserve">oncerning </w:t>
      </w:r>
      <w:r w:rsidR="00445225">
        <w:rPr>
          <w:bCs/>
        </w:rPr>
        <w:br/>
      </w:r>
      <w:r w:rsidR="0023575C" w:rsidRPr="00537C28">
        <w:rPr>
          <w:bCs/>
        </w:rPr>
        <w:t>compliance</w:t>
      </w:r>
      <w:r w:rsidR="00445225">
        <w:rPr>
          <w:bCs/>
        </w:rPr>
        <w:t xml:space="preserve"> </w:t>
      </w:r>
      <w:r w:rsidR="0023575C" w:rsidRPr="00537C28">
        <w:rPr>
          <w:bCs/>
        </w:rPr>
        <w:t xml:space="preserve">by </w:t>
      </w:r>
      <w:r w:rsidR="007029FB" w:rsidRPr="00537C28">
        <w:rPr>
          <w:bCs/>
        </w:rPr>
        <w:t>Slovakia</w:t>
      </w:r>
    </w:p>
    <w:p w14:paraId="74EA043C" w14:textId="77777777" w:rsidR="009E5900" w:rsidRPr="00FA053C" w:rsidRDefault="009E5900" w:rsidP="00C1066D">
      <w:pPr>
        <w:pStyle w:val="H1G"/>
        <w:jc w:val="center"/>
      </w:pPr>
      <w:r w:rsidRPr="00FA053C">
        <w:t xml:space="preserve">Adopted by the Compliance Committee on </w:t>
      </w:r>
      <w:r w:rsidR="0013259A" w:rsidRPr="00FA053C">
        <w:t>…</w:t>
      </w:r>
    </w:p>
    <w:p w14:paraId="50B164D0" w14:textId="77777777" w:rsidR="0023575C" w:rsidRPr="00FA053C" w:rsidRDefault="00D971FB" w:rsidP="000E50AB">
      <w:pPr>
        <w:pStyle w:val="HChG"/>
        <w:numPr>
          <w:ilvl w:val="0"/>
          <w:numId w:val="6"/>
        </w:numPr>
      </w:pPr>
      <w:r w:rsidRPr="00FA053C">
        <w:t>Introduction</w:t>
      </w:r>
    </w:p>
    <w:p w14:paraId="40755282" w14:textId="77777777" w:rsidR="00847C86" w:rsidRPr="00C4314A" w:rsidRDefault="0003534F" w:rsidP="000E5806">
      <w:pPr>
        <w:pStyle w:val="SingleTxtG"/>
        <w:numPr>
          <w:ilvl w:val="0"/>
          <w:numId w:val="3"/>
        </w:numPr>
        <w:suppressAutoHyphens w:val="0"/>
        <w:autoSpaceDE w:val="0"/>
        <w:autoSpaceDN w:val="0"/>
        <w:adjustRightInd w:val="0"/>
        <w:spacing w:line="240" w:lineRule="auto"/>
        <w:ind w:left="1100" w:firstLine="0"/>
        <w:rPr>
          <w:lang w:eastAsia="en-GB"/>
        </w:rPr>
      </w:pPr>
      <w:r w:rsidRPr="00FA053C">
        <w:rPr>
          <w:lang w:eastAsia="en-GB"/>
        </w:rPr>
        <w:t xml:space="preserve">On </w:t>
      </w:r>
      <w:r w:rsidR="001D1834" w:rsidRPr="00FA053C">
        <w:rPr>
          <w:lang w:eastAsia="en-GB"/>
        </w:rPr>
        <w:t xml:space="preserve">8 December 2014, civic association </w:t>
      </w:r>
      <w:r w:rsidR="001D1834" w:rsidRPr="00FA053C">
        <w:rPr>
          <w:caps/>
          <w:lang w:eastAsia="en-GB"/>
        </w:rPr>
        <w:t xml:space="preserve">Via iuris </w:t>
      </w:r>
      <w:r w:rsidR="001D1834" w:rsidRPr="00FA053C">
        <w:rPr>
          <w:lang w:eastAsia="en-GB"/>
        </w:rPr>
        <w:t>(the communicant), submitted a communication to the Compliance Committee</w:t>
      </w:r>
      <w:r w:rsidR="005C57AD" w:rsidRPr="00FA053C">
        <w:rPr>
          <w:lang w:eastAsia="en-GB"/>
        </w:rPr>
        <w:t xml:space="preserve"> under the </w:t>
      </w:r>
      <w:r w:rsidR="005C57AD" w:rsidRPr="00FA053C">
        <w:t>Convention on Access to Information, Public Participation in Decision-making and Access to Justice in Environmental Matters (Aarhus Convention</w:t>
      </w:r>
      <w:r w:rsidR="00D75733" w:rsidRPr="00FA053C">
        <w:t>) alleging a failure by Slovakia to comply with its obligations</w:t>
      </w:r>
      <w:r w:rsidR="00847C86" w:rsidRPr="00FA053C">
        <w:rPr>
          <w:lang w:eastAsia="en-GB"/>
        </w:rPr>
        <w:t xml:space="preserve"> </w:t>
      </w:r>
      <w:r w:rsidR="00D75733" w:rsidRPr="00FA053C">
        <w:rPr>
          <w:lang w:eastAsia="en-GB"/>
        </w:rPr>
        <w:t>under</w:t>
      </w:r>
      <w:r w:rsidR="000E5806" w:rsidRPr="00FA053C">
        <w:rPr>
          <w:lang w:eastAsia="en-GB"/>
        </w:rPr>
        <w:t xml:space="preserve"> </w:t>
      </w:r>
      <w:r w:rsidR="001D1834" w:rsidRPr="00FA053C">
        <w:rPr>
          <w:lang w:eastAsia="en-GB"/>
        </w:rPr>
        <w:t>article</w:t>
      </w:r>
      <w:r w:rsidR="00FF612A" w:rsidRPr="00FA053C">
        <w:rPr>
          <w:lang w:eastAsia="en-GB"/>
        </w:rPr>
        <w:t>s</w:t>
      </w:r>
      <w:r w:rsidR="001D1834" w:rsidRPr="00FA053C">
        <w:rPr>
          <w:lang w:eastAsia="en-GB"/>
        </w:rPr>
        <w:t xml:space="preserve"> 8 and 9</w:t>
      </w:r>
      <w:r w:rsidR="00FF612A" w:rsidRPr="00FA053C">
        <w:rPr>
          <w:lang w:eastAsia="en-GB"/>
        </w:rPr>
        <w:t>(</w:t>
      </w:r>
      <w:r w:rsidR="001D1834" w:rsidRPr="00FA053C">
        <w:rPr>
          <w:lang w:eastAsia="en-GB"/>
        </w:rPr>
        <w:t>3</w:t>
      </w:r>
      <w:r w:rsidR="00FF612A" w:rsidRPr="00FA053C">
        <w:rPr>
          <w:lang w:eastAsia="en-GB"/>
        </w:rPr>
        <w:t>)</w:t>
      </w:r>
      <w:r w:rsidR="00847C86" w:rsidRPr="00FA053C">
        <w:rPr>
          <w:lang w:eastAsia="en-GB"/>
        </w:rPr>
        <w:t xml:space="preserve"> of the Convention in </w:t>
      </w:r>
      <w:r w:rsidR="00D75733" w:rsidRPr="00FA053C">
        <w:rPr>
          <w:lang w:eastAsia="en-GB"/>
        </w:rPr>
        <w:t>relation to</w:t>
      </w:r>
      <w:r w:rsidR="00847C86" w:rsidRPr="00FA053C">
        <w:rPr>
          <w:lang w:eastAsia="en-GB"/>
        </w:rPr>
        <w:t xml:space="preserve"> </w:t>
      </w:r>
      <w:r w:rsidR="00FF612A" w:rsidRPr="00FA053C">
        <w:rPr>
          <w:lang w:eastAsia="en-GB"/>
        </w:rPr>
        <w:t>legislation concerning for</w:t>
      </w:r>
      <w:r w:rsidR="00D75733" w:rsidRPr="00FA053C">
        <w:rPr>
          <w:lang w:eastAsia="en-GB"/>
        </w:rPr>
        <w:t>e</w:t>
      </w:r>
      <w:r w:rsidR="00FF612A" w:rsidRPr="00FA053C">
        <w:rPr>
          <w:lang w:eastAsia="en-GB"/>
        </w:rPr>
        <w:t>stry</w:t>
      </w:r>
      <w:r w:rsidR="00847C86" w:rsidRPr="00FA053C">
        <w:rPr>
          <w:lang w:eastAsia="en-GB"/>
        </w:rPr>
        <w:t>.</w:t>
      </w:r>
    </w:p>
    <w:p w14:paraId="6FEB21FC" w14:textId="77777777" w:rsidR="00D75733" w:rsidRPr="00FA053C" w:rsidRDefault="00D75733" w:rsidP="000E5806">
      <w:pPr>
        <w:pStyle w:val="SingleTxtG"/>
        <w:numPr>
          <w:ilvl w:val="0"/>
          <w:numId w:val="3"/>
        </w:numPr>
        <w:suppressAutoHyphens w:val="0"/>
        <w:autoSpaceDE w:val="0"/>
        <w:autoSpaceDN w:val="0"/>
        <w:adjustRightInd w:val="0"/>
        <w:spacing w:line="240" w:lineRule="auto"/>
        <w:ind w:left="1100" w:firstLine="0"/>
        <w:rPr>
          <w:lang w:eastAsia="en-GB"/>
        </w:rPr>
      </w:pPr>
      <w:r w:rsidRPr="00957F9B">
        <w:rPr>
          <w:lang w:eastAsia="en-GB"/>
        </w:rPr>
        <w:t xml:space="preserve">More specifically, the communicant alleges that the Party concerned failed to provide </w:t>
      </w:r>
      <w:r w:rsidRPr="00537C28">
        <w:rPr>
          <w:lang w:eastAsia="en-GB"/>
        </w:rPr>
        <w:t xml:space="preserve">public participation to the extent required by article 8 in the preparation of </w:t>
      </w:r>
      <w:r w:rsidR="00020605" w:rsidRPr="00537C28">
        <w:rPr>
          <w:lang w:eastAsia="en-GB"/>
        </w:rPr>
        <w:t xml:space="preserve">an amendment to forestry legislation in 2013 and access to justice to </w:t>
      </w:r>
      <w:r w:rsidR="00020605" w:rsidRPr="00FA053C">
        <w:rPr>
          <w:lang w:eastAsia="en-GB"/>
        </w:rPr>
        <w:t>enforce rules governing public participation in the preparation of generally binding legal regulations.</w:t>
      </w:r>
    </w:p>
    <w:p w14:paraId="2A83BBCE" w14:textId="702E5B8D" w:rsidR="00D64361" w:rsidRPr="00537C28" w:rsidRDefault="005C57AD" w:rsidP="00E47DC6">
      <w:pPr>
        <w:pStyle w:val="SingleTxtG"/>
        <w:numPr>
          <w:ilvl w:val="0"/>
          <w:numId w:val="3"/>
        </w:numPr>
        <w:suppressAutoHyphens w:val="0"/>
        <w:spacing w:line="240" w:lineRule="auto"/>
        <w:ind w:left="1100" w:firstLine="0"/>
        <w:rPr>
          <w:lang w:eastAsia="en-GB"/>
        </w:rPr>
      </w:pPr>
      <w:r w:rsidRPr="00FA053C">
        <w:rPr>
          <w:lang w:eastAsia="en-GB"/>
        </w:rPr>
        <w:t>O</w:t>
      </w:r>
      <w:r w:rsidR="0004608F" w:rsidRPr="00FA053C">
        <w:rPr>
          <w:lang w:eastAsia="en-GB"/>
        </w:rPr>
        <w:t>n 7 April 2015</w:t>
      </w:r>
      <w:r w:rsidRPr="00C4314A">
        <w:rPr>
          <w:lang w:eastAsia="en-GB"/>
        </w:rPr>
        <w:t>, the Compliance Committee</w:t>
      </w:r>
      <w:r w:rsidR="0004608F" w:rsidRPr="00C4314A">
        <w:rPr>
          <w:lang w:eastAsia="en-GB"/>
        </w:rPr>
        <w:t xml:space="preserve"> determined</w:t>
      </w:r>
      <w:r w:rsidR="006D27E8">
        <w:rPr>
          <w:lang w:eastAsia="en-GB"/>
        </w:rPr>
        <w:t xml:space="preserve"> through</w:t>
      </w:r>
      <w:r w:rsidR="004814AB">
        <w:rPr>
          <w:lang w:eastAsia="en-GB"/>
        </w:rPr>
        <w:t xml:space="preserve"> its electronic decision-making procedure</w:t>
      </w:r>
      <w:r w:rsidR="006D27E8">
        <w:rPr>
          <w:lang w:eastAsia="en-GB"/>
        </w:rPr>
        <w:t xml:space="preserve"> </w:t>
      </w:r>
      <w:r w:rsidR="00D64361" w:rsidRPr="00957F9B">
        <w:rPr>
          <w:lang w:eastAsia="en-GB"/>
        </w:rPr>
        <w:t xml:space="preserve">that </w:t>
      </w:r>
      <w:r w:rsidRPr="00957F9B">
        <w:rPr>
          <w:lang w:eastAsia="en-GB"/>
        </w:rPr>
        <w:t xml:space="preserve">the communication </w:t>
      </w:r>
      <w:r w:rsidR="00D64361" w:rsidRPr="00537C28">
        <w:rPr>
          <w:lang w:eastAsia="en-GB"/>
        </w:rPr>
        <w:t>was admissible</w:t>
      </w:r>
      <w:r w:rsidR="006D27E8">
        <w:rPr>
          <w:lang w:eastAsia="en-GB"/>
        </w:rPr>
        <w:t xml:space="preserve"> on a preliminary basis</w:t>
      </w:r>
      <w:r w:rsidR="0004608F" w:rsidRPr="00537C28">
        <w:rPr>
          <w:lang w:eastAsia="en-GB"/>
        </w:rPr>
        <w:t>.</w:t>
      </w:r>
      <w:r w:rsidR="001E1554" w:rsidRPr="00537C28">
        <w:rPr>
          <w:lang w:eastAsia="en-GB"/>
        </w:rPr>
        <w:t xml:space="preserve"> </w:t>
      </w:r>
    </w:p>
    <w:p w14:paraId="1AC8A009" w14:textId="77777777" w:rsidR="009B1C2A" w:rsidRPr="00FA053C" w:rsidRDefault="00E4413B" w:rsidP="00E47DC6">
      <w:pPr>
        <w:pStyle w:val="SingleTxtG"/>
        <w:numPr>
          <w:ilvl w:val="0"/>
          <w:numId w:val="3"/>
        </w:numPr>
        <w:suppressAutoHyphens w:val="0"/>
        <w:spacing w:line="240" w:lineRule="auto"/>
        <w:ind w:left="1100" w:firstLine="0"/>
        <w:rPr>
          <w:lang w:eastAsia="en-GB"/>
        </w:rPr>
      </w:pPr>
      <w:r w:rsidRPr="00537C28">
        <w:rPr>
          <w:lang w:eastAsia="en-GB"/>
        </w:rPr>
        <w:t>Pursuant to paragraph 22 of the annex to decision I/7, the communication was forwarded to the Party concerned on</w:t>
      </w:r>
      <w:r w:rsidR="001E1554" w:rsidRPr="00FA053C">
        <w:rPr>
          <w:lang w:eastAsia="en-GB"/>
        </w:rPr>
        <w:t xml:space="preserve"> 28 June 2015</w:t>
      </w:r>
      <w:r w:rsidR="009F7885" w:rsidRPr="00FA053C">
        <w:rPr>
          <w:lang w:eastAsia="en-GB"/>
        </w:rPr>
        <w:t xml:space="preserve">. </w:t>
      </w:r>
    </w:p>
    <w:p w14:paraId="1DB036B7" w14:textId="77777777" w:rsidR="001E1554" w:rsidRPr="00FA053C" w:rsidRDefault="00FF612A" w:rsidP="00E47DC6">
      <w:pPr>
        <w:pStyle w:val="SingleTxtG"/>
        <w:numPr>
          <w:ilvl w:val="0"/>
          <w:numId w:val="3"/>
        </w:numPr>
        <w:suppressAutoHyphens w:val="0"/>
        <w:spacing w:line="240" w:lineRule="auto"/>
        <w:ind w:left="1100" w:firstLine="0"/>
        <w:rPr>
          <w:lang w:eastAsia="en-GB"/>
        </w:rPr>
      </w:pPr>
      <w:r w:rsidRPr="00FA053C">
        <w:rPr>
          <w:lang w:eastAsia="en-GB"/>
        </w:rPr>
        <w:t>On 27 November 2015, t</w:t>
      </w:r>
      <w:r w:rsidR="001E1554" w:rsidRPr="00FA053C">
        <w:rPr>
          <w:lang w:eastAsia="en-GB"/>
        </w:rPr>
        <w:t>he Party concerned provided its response</w:t>
      </w:r>
      <w:r w:rsidRPr="00FA053C">
        <w:rPr>
          <w:lang w:eastAsia="en-GB"/>
        </w:rPr>
        <w:t xml:space="preserve"> </w:t>
      </w:r>
      <w:r w:rsidR="005C57AD" w:rsidRPr="00FA053C">
        <w:rPr>
          <w:lang w:eastAsia="en-GB"/>
        </w:rPr>
        <w:t>to the</w:t>
      </w:r>
      <w:r w:rsidRPr="00FA053C">
        <w:rPr>
          <w:lang w:eastAsia="en-GB"/>
        </w:rPr>
        <w:t xml:space="preserve"> communication</w:t>
      </w:r>
      <w:r w:rsidR="001E1554" w:rsidRPr="00FA053C">
        <w:rPr>
          <w:lang w:eastAsia="en-GB"/>
        </w:rPr>
        <w:t>.</w:t>
      </w:r>
    </w:p>
    <w:p w14:paraId="0C2FBBDD" w14:textId="697322D6" w:rsidR="0018098C" w:rsidRDefault="0018098C" w:rsidP="00B114DD">
      <w:pPr>
        <w:pStyle w:val="SingleTxtG"/>
        <w:numPr>
          <w:ilvl w:val="0"/>
          <w:numId w:val="3"/>
        </w:numPr>
        <w:suppressAutoHyphens w:val="0"/>
        <w:autoSpaceDE w:val="0"/>
        <w:autoSpaceDN w:val="0"/>
        <w:adjustRightInd w:val="0"/>
        <w:spacing w:line="240" w:lineRule="auto"/>
        <w:ind w:left="1100" w:firstLine="0"/>
        <w:rPr>
          <w:lang w:eastAsia="en-GB"/>
        </w:rPr>
      </w:pPr>
      <w:r w:rsidRPr="00FA053C">
        <w:rPr>
          <w:lang w:eastAsia="en-GB"/>
        </w:rPr>
        <w:t xml:space="preserve">The Committee </w:t>
      </w:r>
      <w:r w:rsidR="00592E87" w:rsidRPr="00FA053C">
        <w:rPr>
          <w:lang w:eastAsia="en-GB"/>
        </w:rPr>
        <w:t xml:space="preserve">held a hearing to discuss the substance of </w:t>
      </w:r>
      <w:r w:rsidRPr="00FA053C">
        <w:rPr>
          <w:lang w:eastAsia="en-GB"/>
        </w:rPr>
        <w:t xml:space="preserve">the communication at its </w:t>
      </w:r>
      <w:r w:rsidR="00211C08">
        <w:rPr>
          <w:lang w:eastAsia="en-GB"/>
        </w:rPr>
        <w:t>fifty-fourth</w:t>
      </w:r>
      <w:r w:rsidRPr="00FA053C">
        <w:rPr>
          <w:lang w:eastAsia="en-GB"/>
        </w:rPr>
        <w:t xml:space="preserve"> meeting</w:t>
      </w:r>
      <w:r w:rsidR="00622DD9" w:rsidRPr="00FA053C">
        <w:rPr>
          <w:lang w:eastAsia="en-GB"/>
        </w:rPr>
        <w:t xml:space="preserve"> </w:t>
      </w:r>
      <w:r w:rsidR="00622DD9" w:rsidRPr="00FA053C">
        <w:t xml:space="preserve">(Geneva, </w:t>
      </w:r>
      <w:r w:rsidR="00211C08">
        <w:t>27-30 September 2016</w:t>
      </w:r>
      <w:r w:rsidR="00622DD9" w:rsidRPr="00FA053C">
        <w:t>)</w:t>
      </w:r>
      <w:r w:rsidRPr="00FA053C">
        <w:rPr>
          <w:lang w:eastAsia="en-GB"/>
        </w:rPr>
        <w:t>, with the participation of rep</w:t>
      </w:r>
      <w:r w:rsidR="001A1EF2" w:rsidRPr="00FA053C">
        <w:rPr>
          <w:lang w:eastAsia="en-GB"/>
        </w:rPr>
        <w:t>resentatives of the communicant</w:t>
      </w:r>
      <w:r w:rsidR="00DD4F25" w:rsidRPr="00FA053C">
        <w:rPr>
          <w:lang w:eastAsia="en-GB"/>
        </w:rPr>
        <w:t xml:space="preserve"> </w:t>
      </w:r>
      <w:r w:rsidRPr="00FA053C">
        <w:rPr>
          <w:lang w:eastAsia="en-GB"/>
        </w:rPr>
        <w:t>and the Party concerned. At the same meeting, the Committee confirmed the admissibility of the communication.</w:t>
      </w:r>
      <w:r w:rsidR="007C0A5E">
        <w:rPr>
          <w:lang w:eastAsia="en-GB"/>
        </w:rPr>
        <w:t xml:space="preserve"> </w:t>
      </w:r>
    </w:p>
    <w:p w14:paraId="010C5219" w14:textId="3E69FA44" w:rsidR="007C0A5E" w:rsidRDefault="007C0A5E" w:rsidP="00B114DD">
      <w:pPr>
        <w:pStyle w:val="SingleTxtG"/>
        <w:numPr>
          <w:ilvl w:val="0"/>
          <w:numId w:val="3"/>
        </w:numPr>
        <w:suppressAutoHyphens w:val="0"/>
        <w:autoSpaceDE w:val="0"/>
        <w:autoSpaceDN w:val="0"/>
        <w:adjustRightInd w:val="0"/>
        <w:spacing w:line="240" w:lineRule="auto"/>
        <w:ind w:left="1100" w:firstLine="0"/>
        <w:rPr>
          <w:lang w:eastAsia="en-GB"/>
        </w:rPr>
      </w:pPr>
      <w:r>
        <w:rPr>
          <w:lang w:eastAsia="en-GB"/>
        </w:rPr>
        <w:t>On 29 September 2016, the Party concerned provided a written version of its statement at the Committee’s fifty-fourth</w:t>
      </w:r>
      <w:r w:rsidRPr="00FA053C">
        <w:rPr>
          <w:lang w:eastAsia="en-GB"/>
        </w:rPr>
        <w:t xml:space="preserve"> meeting</w:t>
      </w:r>
      <w:r>
        <w:rPr>
          <w:lang w:eastAsia="en-GB"/>
        </w:rPr>
        <w:t>.</w:t>
      </w:r>
    </w:p>
    <w:p w14:paraId="00020437" w14:textId="21AB297E" w:rsidR="007C0A5E" w:rsidRPr="00FA053C" w:rsidRDefault="007C0A5E" w:rsidP="006D27E8">
      <w:pPr>
        <w:pStyle w:val="SingleTxtG"/>
        <w:numPr>
          <w:ilvl w:val="0"/>
          <w:numId w:val="3"/>
        </w:numPr>
        <w:suppressAutoHyphens w:val="0"/>
        <w:autoSpaceDE w:val="0"/>
        <w:autoSpaceDN w:val="0"/>
        <w:adjustRightInd w:val="0"/>
        <w:spacing w:line="240" w:lineRule="auto"/>
        <w:ind w:left="1100" w:firstLine="0"/>
        <w:rPr>
          <w:lang w:eastAsia="en-GB"/>
        </w:rPr>
      </w:pPr>
      <w:r>
        <w:rPr>
          <w:lang w:eastAsia="en-GB"/>
        </w:rPr>
        <w:t xml:space="preserve">On 29 April 2021, the Committee sent </w:t>
      </w:r>
      <w:r w:rsidR="00F84853">
        <w:rPr>
          <w:lang w:eastAsia="en-GB"/>
        </w:rPr>
        <w:t>written</w:t>
      </w:r>
      <w:r>
        <w:rPr>
          <w:lang w:eastAsia="en-GB"/>
        </w:rPr>
        <w:t xml:space="preserve"> questions to the Party concerned and the communicant. On 18 May 2021, the Party concerned provided its </w:t>
      </w:r>
      <w:r w:rsidR="006D27E8">
        <w:rPr>
          <w:lang w:eastAsia="en-GB"/>
        </w:rPr>
        <w:t>reply</w:t>
      </w:r>
      <w:r>
        <w:rPr>
          <w:lang w:eastAsia="en-GB"/>
        </w:rPr>
        <w:t xml:space="preserve">. The communicant did not </w:t>
      </w:r>
      <w:r w:rsidR="00BA5F9C">
        <w:rPr>
          <w:lang w:eastAsia="en-GB"/>
        </w:rPr>
        <w:t>provide</w:t>
      </w:r>
      <w:r w:rsidR="006D27E8">
        <w:rPr>
          <w:lang w:eastAsia="en-GB"/>
        </w:rPr>
        <w:t xml:space="preserve"> a reply</w:t>
      </w:r>
      <w:r>
        <w:rPr>
          <w:lang w:eastAsia="en-GB"/>
        </w:rPr>
        <w:t>.</w:t>
      </w:r>
    </w:p>
    <w:p w14:paraId="1E46B54D" w14:textId="05E4585A" w:rsidR="00D31736" w:rsidRPr="00220860" w:rsidRDefault="00D31736" w:rsidP="00326430">
      <w:pPr>
        <w:pStyle w:val="SingleTxtG"/>
        <w:numPr>
          <w:ilvl w:val="0"/>
          <w:numId w:val="3"/>
        </w:numPr>
        <w:suppressAutoHyphens w:val="0"/>
        <w:autoSpaceDE w:val="0"/>
        <w:autoSpaceDN w:val="0"/>
        <w:adjustRightInd w:val="0"/>
        <w:spacing w:line="240" w:lineRule="auto"/>
        <w:ind w:left="1100" w:firstLine="0"/>
        <w:rPr>
          <w:lang w:eastAsia="en-GB"/>
        </w:rPr>
      </w:pPr>
      <w:r w:rsidRPr="00220860">
        <w:rPr>
          <w:lang w:eastAsia="en-GB"/>
        </w:rPr>
        <w:t xml:space="preserve">The Committee </w:t>
      </w:r>
      <w:r w:rsidR="00D64361" w:rsidRPr="00220860">
        <w:rPr>
          <w:lang w:eastAsia="en-GB"/>
        </w:rPr>
        <w:t xml:space="preserve">completed </w:t>
      </w:r>
      <w:r w:rsidR="00326430" w:rsidRPr="00220860">
        <w:rPr>
          <w:lang w:eastAsia="en-GB"/>
        </w:rPr>
        <w:t>its</w:t>
      </w:r>
      <w:r w:rsidRPr="00220860">
        <w:rPr>
          <w:lang w:eastAsia="en-GB"/>
        </w:rPr>
        <w:t xml:space="preserve"> draft findings </w:t>
      </w:r>
      <w:r w:rsidR="00220860">
        <w:rPr>
          <w:lang w:eastAsia="en-GB"/>
        </w:rPr>
        <w:t>through its electronic decision-making procedure on 13 June 2021</w:t>
      </w:r>
      <w:r w:rsidR="00D64361" w:rsidRPr="00220860">
        <w:rPr>
          <w:lang w:eastAsia="en-GB"/>
        </w:rPr>
        <w:t>. I</w:t>
      </w:r>
      <w:r w:rsidR="0023575C" w:rsidRPr="00220860">
        <w:rPr>
          <w:lang w:eastAsia="en-GB"/>
        </w:rPr>
        <w:t xml:space="preserve">n accordance with paragraph 34 of the annex to decision I/7, the draft findings were then forwarded </w:t>
      </w:r>
      <w:r w:rsidR="00220860">
        <w:rPr>
          <w:lang w:eastAsia="en-GB"/>
        </w:rPr>
        <w:t xml:space="preserve">on that date </w:t>
      </w:r>
      <w:r w:rsidR="0023575C" w:rsidRPr="00220860">
        <w:rPr>
          <w:lang w:eastAsia="en-GB"/>
        </w:rPr>
        <w:t xml:space="preserve">to the Party concerned and to the communicant </w:t>
      </w:r>
      <w:r w:rsidR="00220860" w:rsidRPr="00220860">
        <w:rPr>
          <w:lang w:eastAsia="en-GB"/>
        </w:rPr>
        <w:t>for comments</w:t>
      </w:r>
      <w:r w:rsidR="0023575C" w:rsidRPr="00220860">
        <w:rPr>
          <w:lang w:eastAsia="en-GB"/>
        </w:rPr>
        <w:t xml:space="preserve">. </w:t>
      </w:r>
      <w:r w:rsidR="000971DB" w:rsidRPr="00220860">
        <w:rPr>
          <w:lang w:eastAsia="en-GB"/>
        </w:rPr>
        <w:t>Both</w:t>
      </w:r>
      <w:r w:rsidR="0023575C" w:rsidRPr="00220860">
        <w:rPr>
          <w:lang w:eastAsia="en-GB"/>
        </w:rPr>
        <w:t xml:space="preserve"> were invited to provide comments by </w:t>
      </w:r>
      <w:r w:rsidR="00220860">
        <w:rPr>
          <w:lang w:eastAsia="en-GB"/>
        </w:rPr>
        <w:t>23 July 2021</w:t>
      </w:r>
      <w:r w:rsidR="0023575C" w:rsidRPr="00220860">
        <w:rPr>
          <w:lang w:eastAsia="en-GB"/>
        </w:rPr>
        <w:t>.</w:t>
      </w:r>
    </w:p>
    <w:p w14:paraId="19A5FE4D" w14:textId="77777777" w:rsidR="00D64361" w:rsidRPr="00FA053C" w:rsidRDefault="00D64361" w:rsidP="00326430">
      <w:pPr>
        <w:pStyle w:val="SingleTxtG"/>
        <w:numPr>
          <w:ilvl w:val="0"/>
          <w:numId w:val="3"/>
        </w:numPr>
        <w:suppressAutoHyphens w:val="0"/>
        <w:autoSpaceDE w:val="0"/>
        <w:autoSpaceDN w:val="0"/>
        <w:adjustRightInd w:val="0"/>
        <w:spacing w:line="240" w:lineRule="auto"/>
        <w:ind w:left="1100" w:firstLine="0"/>
        <w:rPr>
          <w:i/>
          <w:iCs/>
          <w:lang w:eastAsia="en-GB"/>
        </w:rPr>
      </w:pPr>
      <w:r w:rsidRPr="00FA053C">
        <w:rPr>
          <w:i/>
          <w:iCs/>
          <w:lang w:eastAsia="en-GB"/>
        </w:rPr>
        <w:t>The communicant and the Party concerned provided comments on […] and […], respectively.</w:t>
      </w:r>
    </w:p>
    <w:p w14:paraId="101993B6" w14:textId="77777777" w:rsidR="00177688" w:rsidRPr="00FA053C" w:rsidRDefault="00177688" w:rsidP="00326430">
      <w:pPr>
        <w:pStyle w:val="SingleTxtG"/>
        <w:numPr>
          <w:ilvl w:val="0"/>
          <w:numId w:val="3"/>
        </w:numPr>
        <w:suppressAutoHyphens w:val="0"/>
        <w:autoSpaceDE w:val="0"/>
        <w:autoSpaceDN w:val="0"/>
        <w:adjustRightInd w:val="0"/>
        <w:spacing w:line="240" w:lineRule="auto"/>
        <w:ind w:left="1100" w:firstLine="0"/>
        <w:rPr>
          <w:i/>
          <w:iCs/>
          <w:lang w:eastAsia="en-GB"/>
        </w:rPr>
      </w:pPr>
      <w:r w:rsidRPr="00FA053C">
        <w:rPr>
          <w:i/>
          <w:iCs/>
          <w:lang w:eastAsia="en-GB"/>
        </w:rPr>
        <w:t>At its […] meeting, the Committee proceeded to finalize its findings in closed session, taking account of the comments received. The Committee then adopted its findings and agreed that they should be published as […]. It requested the secretariat to send the findings to the Party concerned and the communicant.</w:t>
      </w:r>
    </w:p>
    <w:p w14:paraId="40446863" w14:textId="77777777" w:rsidR="0023575C" w:rsidRPr="00C4314A" w:rsidRDefault="00D971FB" w:rsidP="000E50AB">
      <w:pPr>
        <w:pStyle w:val="HChG"/>
        <w:numPr>
          <w:ilvl w:val="0"/>
          <w:numId w:val="6"/>
        </w:numPr>
      </w:pPr>
      <w:r w:rsidRPr="00FA053C">
        <w:lastRenderedPageBreak/>
        <w:t xml:space="preserve">Summary of facts, </w:t>
      </w:r>
      <w:proofErr w:type="gramStart"/>
      <w:r w:rsidRPr="00FA053C">
        <w:t>evidence</w:t>
      </w:r>
      <w:proofErr w:type="gramEnd"/>
      <w:r w:rsidRPr="00FA053C">
        <w:t xml:space="preserve"> and issues</w:t>
      </w:r>
      <w:r w:rsidR="000971DB" w:rsidRPr="00C4314A">
        <w:rPr>
          <w:rStyle w:val="FootnoteReference"/>
        </w:rPr>
        <w:footnoteReference w:id="2"/>
      </w:r>
    </w:p>
    <w:p w14:paraId="1B656B71" w14:textId="77777777" w:rsidR="009F28B7" w:rsidRPr="00957F9B" w:rsidRDefault="00321CE1" w:rsidP="00C4314A">
      <w:pPr>
        <w:pStyle w:val="H1G"/>
        <w:numPr>
          <w:ilvl w:val="0"/>
          <w:numId w:val="55"/>
        </w:numPr>
      </w:pPr>
      <w:r w:rsidRPr="00957F9B">
        <w:t>Legal framework</w:t>
      </w:r>
    </w:p>
    <w:p w14:paraId="1CD7A0D9" w14:textId="77777777" w:rsidR="00321CE1" w:rsidRPr="00FA053C" w:rsidRDefault="007350A7" w:rsidP="00321CE1">
      <w:pPr>
        <w:pStyle w:val="SingleTxtG"/>
        <w:ind w:left="1100"/>
        <w:rPr>
          <w:b/>
          <w:bCs/>
          <w:iCs/>
        </w:rPr>
      </w:pPr>
      <w:r w:rsidRPr="00C4314A">
        <w:rPr>
          <w:b/>
          <w:bCs/>
          <w:iCs/>
        </w:rPr>
        <w:t>Legislative rules</w:t>
      </w:r>
    </w:p>
    <w:p w14:paraId="174273A9" w14:textId="5A86A41D" w:rsidR="007350A7" w:rsidRPr="00FA053C" w:rsidRDefault="00321CE1" w:rsidP="007350A7">
      <w:pPr>
        <w:pStyle w:val="SingleTxtG"/>
        <w:numPr>
          <w:ilvl w:val="0"/>
          <w:numId w:val="3"/>
        </w:numPr>
        <w:suppressAutoHyphens w:val="0"/>
        <w:autoSpaceDE w:val="0"/>
        <w:autoSpaceDN w:val="0"/>
        <w:adjustRightInd w:val="0"/>
        <w:spacing w:line="240" w:lineRule="auto"/>
        <w:ind w:left="1094" w:right="1138" w:firstLine="0"/>
        <w:rPr>
          <w:iCs/>
          <w:lang w:val="en-US"/>
        </w:rPr>
      </w:pPr>
      <w:r w:rsidRPr="00C4314A">
        <w:rPr>
          <w:lang w:val="en-US"/>
        </w:rPr>
        <w:t xml:space="preserve">The procedure for the preparation of draft laws </w:t>
      </w:r>
      <w:r w:rsidR="00BA0D48">
        <w:rPr>
          <w:lang w:val="en-US"/>
        </w:rPr>
        <w:t>was</w:t>
      </w:r>
      <w:r w:rsidR="00BA0D48" w:rsidRPr="00957F9B">
        <w:rPr>
          <w:lang w:val="en-US"/>
        </w:rPr>
        <w:t xml:space="preserve"> </w:t>
      </w:r>
      <w:r w:rsidRPr="00957F9B">
        <w:rPr>
          <w:lang w:val="en-US"/>
        </w:rPr>
        <w:t>regulated</w:t>
      </w:r>
      <w:r w:rsidR="00BA0D48">
        <w:rPr>
          <w:lang w:val="en-US"/>
        </w:rPr>
        <w:t>, at the time of th</w:t>
      </w:r>
      <w:r w:rsidR="00741AD8">
        <w:rPr>
          <w:lang w:val="en-US"/>
        </w:rPr>
        <w:t>e</w:t>
      </w:r>
      <w:r w:rsidR="00BA0D48">
        <w:rPr>
          <w:lang w:val="en-US"/>
        </w:rPr>
        <w:t xml:space="preserve"> events at issue,</w:t>
      </w:r>
      <w:r w:rsidRPr="00957F9B">
        <w:rPr>
          <w:lang w:val="en-US"/>
        </w:rPr>
        <w:t xml:space="preserve"> by </w:t>
      </w:r>
      <w:r w:rsidRPr="00957F9B">
        <w:rPr>
          <w:bCs/>
          <w:lang w:val="en-US"/>
        </w:rPr>
        <w:t xml:space="preserve">the </w:t>
      </w:r>
      <w:r w:rsidR="00FF78FD" w:rsidRPr="00FA053C">
        <w:rPr>
          <w:bCs/>
          <w:lang w:val="en-US"/>
        </w:rPr>
        <w:t>L</w:t>
      </w:r>
      <w:r w:rsidRPr="00957F9B">
        <w:rPr>
          <w:bCs/>
          <w:lang w:val="en-US"/>
        </w:rPr>
        <w:t xml:space="preserve">egislative </w:t>
      </w:r>
      <w:r w:rsidR="00FF78FD" w:rsidRPr="00FA053C">
        <w:rPr>
          <w:bCs/>
          <w:lang w:val="en-US"/>
        </w:rPr>
        <w:t>R</w:t>
      </w:r>
      <w:r w:rsidRPr="00957F9B">
        <w:rPr>
          <w:bCs/>
          <w:lang w:val="en-US"/>
        </w:rPr>
        <w:t xml:space="preserve">ules </w:t>
      </w:r>
      <w:r w:rsidR="00FF78FD" w:rsidRPr="00FA053C">
        <w:rPr>
          <w:bCs/>
          <w:lang w:val="en-US"/>
        </w:rPr>
        <w:t>of the Slovak Republic</w:t>
      </w:r>
      <w:r w:rsidR="00B12D07" w:rsidRPr="00957F9B">
        <w:rPr>
          <w:bCs/>
          <w:lang w:val="en-US"/>
        </w:rPr>
        <w:t xml:space="preserve">, which </w:t>
      </w:r>
      <w:r w:rsidR="007350A7" w:rsidRPr="00957F9B">
        <w:rPr>
          <w:bCs/>
          <w:lang w:val="en-US"/>
        </w:rPr>
        <w:t>were approved by the government by R</w:t>
      </w:r>
      <w:r w:rsidR="007350A7" w:rsidRPr="00537C28">
        <w:rPr>
          <w:bCs/>
          <w:lang w:val="en-US"/>
        </w:rPr>
        <w:t>esolution no. 352 of 25 May 2010.</w:t>
      </w:r>
      <w:r w:rsidR="007350A7" w:rsidRPr="00C4314A">
        <w:rPr>
          <w:rStyle w:val="FootnoteReference"/>
        </w:rPr>
        <w:footnoteReference w:id="3"/>
      </w:r>
      <w:r w:rsidR="007350A7" w:rsidRPr="00C4314A">
        <w:rPr>
          <w:bCs/>
          <w:lang w:val="en-US"/>
        </w:rPr>
        <w:t xml:space="preserve"> The</w:t>
      </w:r>
      <w:r w:rsidR="007350A7" w:rsidRPr="00FA053C">
        <w:rPr>
          <w:bCs/>
          <w:lang w:val="en-US"/>
        </w:rPr>
        <w:t>se</w:t>
      </w:r>
      <w:r w:rsidR="007350A7" w:rsidRPr="00C4314A">
        <w:rPr>
          <w:bCs/>
          <w:lang w:val="en-US"/>
        </w:rPr>
        <w:t xml:space="preserve"> rules are based on Act. No. 350/1996 C</w:t>
      </w:r>
      <w:r w:rsidR="007350A7" w:rsidRPr="00957F9B">
        <w:rPr>
          <w:bCs/>
          <w:lang w:val="en-US"/>
        </w:rPr>
        <w:t>oll. On Rules of Procedure of the National Council of Slovak Republic.</w:t>
      </w:r>
      <w:r w:rsidR="007350A7" w:rsidRPr="00C4314A">
        <w:rPr>
          <w:rStyle w:val="FootnoteReference"/>
        </w:rPr>
        <w:footnoteReference w:id="4"/>
      </w:r>
      <w:r w:rsidR="007350A7" w:rsidRPr="00FA053C">
        <w:rPr>
          <w:bCs/>
          <w:lang w:val="en-US"/>
        </w:rPr>
        <w:t xml:space="preserve"> The </w:t>
      </w:r>
      <w:r w:rsidR="006D27E8">
        <w:rPr>
          <w:bCs/>
          <w:lang w:val="en-US"/>
        </w:rPr>
        <w:t>L</w:t>
      </w:r>
      <w:r w:rsidR="007350A7" w:rsidRPr="00FA053C">
        <w:rPr>
          <w:bCs/>
          <w:lang w:val="en-US"/>
        </w:rPr>
        <w:t xml:space="preserve">egislative </w:t>
      </w:r>
      <w:r w:rsidR="006D27E8">
        <w:rPr>
          <w:bCs/>
          <w:lang w:val="en-US"/>
        </w:rPr>
        <w:t>R</w:t>
      </w:r>
      <w:r w:rsidR="007350A7" w:rsidRPr="00FA053C">
        <w:rPr>
          <w:bCs/>
          <w:lang w:val="en-US"/>
        </w:rPr>
        <w:t xml:space="preserve">ules themselves, however, are not adopted in the form of a </w:t>
      </w:r>
      <w:r w:rsidR="008307A7" w:rsidRPr="00957F9B">
        <w:rPr>
          <w:bCs/>
          <w:lang w:val="en-US"/>
        </w:rPr>
        <w:t xml:space="preserve">generally binding regulation but </w:t>
      </w:r>
      <w:r w:rsidR="00B12D07" w:rsidRPr="00537C28">
        <w:rPr>
          <w:bCs/>
          <w:lang w:val="en-US"/>
        </w:rPr>
        <w:t>an internal directing act</w:t>
      </w:r>
      <w:r w:rsidR="00BA7E06" w:rsidRPr="00FA053C">
        <w:rPr>
          <w:bCs/>
          <w:lang w:val="en-US"/>
        </w:rPr>
        <w:t>.</w:t>
      </w:r>
      <w:r w:rsidRPr="00C4314A">
        <w:rPr>
          <w:rStyle w:val="FootnoteReference"/>
          <w:bCs/>
          <w:lang w:val="en-US"/>
        </w:rPr>
        <w:footnoteReference w:id="5"/>
      </w:r>
      <w:r w:rsidR="00BA7E06" w:rsidRPr="00C4314A">
        <w:rPr>
          <w:bCs/>
          <w:lang w:val="en-US"/>
        </w:rPr>
        <w:t xml:space="preserve"> </w:t>
      </w:r>
    </w:p>
    <w:p w14:paraId="6B5BD12A" w14:textId="77777777" w:rsidR="006D351C" w:rsidRPr="00FA053C" w:rsidRDefault="006D351C" w:rsidP="00FA053C">
      <w:pPr>
        <w:pStyle w:val="SingleTxtG"/>
        <w:suppressAutoHyphens w:val="0"/>
        <w:autoSpaceDE w:val="0"/>
        <w:autoSpaceDN w:val="0"/>
        <w:adjustRightInd w:val="0"/>
        <w:spacing w:line="240" w:lineRule="auto"/>
        <w:ind w:left="1094" w:right="1138"/>
        <w:rPr>
          <w:i/>
          <w:lang w:val="en-US"/>
        </w:rPr>
      </w:pPr>
      <w:r w:rsidRPr="00FA053C">
        <w:rPr>
          <w:i/>
          <w:lang w:val="en-US"/>
        </w:rPr>
        <w:t>Public interdepartmental discussion</w:t>
      </w:r>
    </w:p>
    <w:p w14:paraId="3C742FFE" w14:textId="55407AA8" w:rsidR="008307A7" w:rsidRPr="00C4314A" w:rsidRDefault="00FF78FD" w:rsidP="004A4DBF">
      <w:pPr>
        <w:pStyle w:val="SingleTxtG"/>
        <w:numPr>
          <w:ilvl w:val="0"/>
          <w:numId w:val="3"/>
        </w:numPr>
        <w:suppressAutoHyphens w:val="0"/>
        <w:autoSpaceDE w:val="0"/>
        <w:autoSpaceDN w:val="0"/>
        <w:adjustRightInd w:val="0"/>
        <w:spacing w:line="240" w:lineRule="auto"/>
        <w:ind w:left="1094" w:right="1138" w:firstLine="0"/>
      </w:pPr>
      <w:r w:rsidRPr="00C4314A">
        <w:rPr>
          <w:lang w:val="en-US"/>
        </w:rPr>
        <w:t>Und</w:t>
      </w:r>
      <w:r w:rsidRPr="00957F9B">
        <w:rPr>
          <w:lang w:val="en-US"/>
        </w:rPr>
        <w:t>er t</w:t>
      </w:r>
      <w:r w:rsidR="00BA7E06" w:rsidRPr="00957F9B">
        <w:rPr>
          <w:lang w:val="en-US"/>
        </w:rPr>
        <w:t xml:space="preserve">he </w:t>
      </w:r>
      <w:r w:rsidR="006D27E8">
        <w:rPr>
          <w:lang w:val="en-US"/>
        </w:rPr>
        <w:t>L</w:t>
      </w:r>
      <w:r w:rsidR="006D27E8" w:rsidRPr="00957F9B">
        <w:rPr>
          <w:lang w:val="en-US"/>
        </w:rPr>
        <w:t xml:space="preserve">egislative </w:t>
      </w:r>
      <w:r w:rsidR="006D27E8">
        <w:rPr>
          <w:lang w:val="en-US"/>
        </w:rPr>
        <w:t>R</w:t>
      </w:r>
      <w:r w:rsidR="00BA7E06" w:rsidRPr="00957F9B">
        <w:rPr>
          <w:lang w:val="en-US"/>
        </w:rPr>
        <w:t>ules</w:t>
      </w:r>
      <w:r w:rsidRPr="00957F9B">
        <w:rPr>
          <w:lang w:val="en-US"/>
        </w:rPr>
        <w:t xml:space="preserve">, </w:t>
      </w:r>
      <w:r w:rsidRPr="00537C28">
        <w:rPr>
          <w:lang w:val="en-US"/>
        </w:rPr>
        <w:t xml:space="preserve">the competent ministry </w:t>
      </w:r>
      <w:r w:rsidR="0071186F" w:rsidRPr="00FA053C">
        <w:rPr>
          <w:lang w:val="en-US"/>
        </w:rPr>
        <w:t>(</w:t>
      </w:r>
      <w:r w:rsidR="006D27E8">
        <w:rPr>
          <w:lang w:val="en-US"/>
        </w:rPr>
        <w:t>the “</w:t>
      </w:r>
      <w:r w:rsidR="0071186F" w:rsidRPr="00FA053C">
        <w:rPr>
          <w:lang w:val="en-US"/>
        </w:rPr>
        <w:t>submitter</w:t>
      </w:r>
      <w:r w:rsidR="006D27E8">
        <w:rPr>
          <w:lang w:val="en-US"/>
        </w:rPr>
        <w:t>”</w:t>
      </w:r>
      <w:r w:rsidR="0071186F" w:rsidRPr="00FA053C">
        <w:rPr>
          <w:lang w:val="en-US"/>
        </w:rPr>
        <w:t xml:space="preserve">) </w:t>
      </w:r>
      <w:r w:rsidRPr="00C4314A">
        <w:rPr>
          <w:lang w:val="en-US"/>
        </w:rPr>
        <w:t>prepares a draft law</w:t>
      </w:r>
      <w:r w:rsidRPr="00957F9B">
        <w:rPr>
          <w:lang w:val="en-US"/>
        </w:rPr>
        <w:t xml:space="preserve">, which is subject to a public </w:t>
      </w:r>
      <w:r w:rsidR="008307A7" w:rsidRPr="00FA053C">
        <w:t xml:space="preserve">interdepartmental discussion before it is submitted for approval by the </w:t>
      </w:r>
      <w:r w:rsidRPr="00FA053C">
        <w:t>g</w:t>
      </w:r>
      <w:r w:rsidR="008307A7" w:rsidRPr="00FA053C">
        <w:t>overnment.</w:t>
      </w:r>
      <w:r w:rsidRPr="00FA053C">
        <w:rPr>
          <w:rStyle w:val="FootnoteReference"/>
          <w:bCs/>
          <w:lang w:val="en-US"/>
        </w:rPr>
        <w:footnoteReference w:id="6"/>
      </w:r>
      <w:r w:rsidR="008307A7" w:rsidRPr="00C4314A">
        <w:t xml:space="preserve"> In the </w:t>
      </w:r>
      <w:r w:rsidR="008307A7" w:rsidRPr="00957F9B">
        <w:t>framework of this discussion, other governmental bodies</w:t>
      </w:r>
      <w:r w:rsidR="009040E9" w:rsidRPr="00FA053C">
        <w:t xml:space="preserve"> and other </w:t>
      </w:r>
      <w:r w:rsidR="008307A7" w:rsidRPr="00957F9B">
        <w:t>entities, including the public, can submit their comments on the draft law.</w:t>
      </w:r>
      <w:r w:rsidRPr="00FA053C">
        <w:rPr>
          <w:rStyle w:val="FootnoteReference"/>
          <w:bCs/>
          <w:lang w:val="en-US"/>
        </w:rPr>
        <w:t xml:space="preserve"> </w:t>
      </w:r>
      <w:r w:rsidRPr="00FA053C">
        <w:rPr>
          <w:rStyle w:val="FootnoteReference"/>
          <w:bCs/>
          <w:lang w:val="en-US"/>
        </w:rPr>
        <w:footnoteReference w:id="7"/>
      </w:r>
      <w:r w:rsidR="008307A7" w:rsidRPr="00C4314A">
        <w:t xml:space="preserve"> </w:t>
      </w:r>
    </w:p>
    <w:p w14:paraId="5062074D" w14:textId="2F1817B7" w:rsidR="00BC2452" w:rsidRPr="00FA053C" w:rsidRDefault="00C331E8" w:rsidP="00BC2452">
      <w:pPr>
        <w:pStyle w:val="SingleTxtG"/>
        <w:numPr>
          <w:ilvl w:val="0"/>
          <w:numId w:val="3"/>
        </w:numPr>
        <w:suppressAutoHyphens w:val="0"/>
        <w:autoSpaceDE w:val="0"/>
        <w:autoSpaceDN w:val="0"/>
        <w:adjustRightInd w:val="0"/>
        <w:spacing w:line="240" w:lineRule="auto"/>
        <w:ind w:left="1094" w:right="1138" w:firstLine="0"/>
        <w:rPr>
          <w:iCs/>
          <w:lang w:val="en-US"/>
        </w:rPr>
      </w:pPr>
      <w:r w:rsidRPr="00957F9B">
        <w:rPr>
          <w:bCs/>
          <w:lang w:val="en-US"/>
        </w:rPr>
        <w:t xml:space="preserve">If a comment is </w:t>
      </w:r>
      <w:r w:rsidR="005569F3" w:rsidRPr="00957F9B">
        <w:rPr>
          <w:bCs/>
          <w:lang w:val="en-US"/>
        </w:rPr>
        <w:t>provided</w:t>
      </w:r>
      <w:r w:rsidRPr="00957F9B">
        <w:rPr>
          <w:bCs/>
          <w:lang w:val="en-US"/>
        </w:rPr>
        <w:t xml:space="preserve"> by </w:t>
      </w:r>
      <w:r w:rsidRPr="00C4314A">
        <w:rPr>
          <w:bCs/>
          <w:lang w:val="en-US"/>
        </w:rPr>
        <w:t>a group of the public, it is called a “</w:t>
      </w:r>
      <w:r w:rsidR="009040E9" w:rsidRPr="00FA053C">
        <w:rPr>
          <w:bCs/>
          <w:lang w:val="en-US"/>
        </w:rPr>
        <w:t>collective</w:t>
      </w:r>
      <w:r w:rsidRPr="00C4314A">
        <w:rPr>
          <w:bCs/>
          <w:lang w:val="en-US"/>
        </w:rPr>
        <w:t xml:space="preserve"> comment”.</w:t>
      </w:r>
      <w:r w:rsidRPr="00FA053C">
        <w:rPr>
          <w:rStyle w:val="FootnoteReference"/>
          <w:bCs/>
          <w:lang w:val="en-US"/>
        </w:rPr>
        <w:footnoteReference w:id="8"/>
      </w:r>
      <w:r w:rsidRPr="00C4314A">
        <w:rPr>
          <w:bCs/>
          <w:lang w:val="en-US"/>
        </w:rPr>
        <w:t xml:space="preserve"> </w:t>
      </w:r>
      <w:r w:rsidR="005C0CE9" w:rsidRPr="00FA053C">
        <w:rPr>
          <w:bCs/>
          <w:lang w:val="en-US"/>
        </w:rPr>
        <w:t xml:space="preserve">Article 14(6) of the </w:t>
      </w:r>
      <w:r w:rsidR="006D27E8">
        <w:rPr>
          <w:bCs/>
          <w:lang w:val="en-US"/>
        </w:rPr>
        <w:t>L</w:t>
      </w:r>
      <w:r w:rsidR="005C0CE9" w:rsidRPr="00FA053C">
        <w:rPr>
          <w:bCs/>
          <w:lang w:val="en-US"/>
        </w:rPr>
        <w:t xml:space="preserve">egislative </w:t>
      </w:r>
      <w:r w:rsidR="006D27E8">
        <w:rPr>
          <w:bCs/>
          <w:lang w:val="en-US"/>
        </w:rPr>
        <w:t>R</w:t>
      </w:r>
      <w:r w:rsidR="005C0CE9" w:rsidRPr="00FA053C">
        <w:rPr>
          <w:bCs/>
          <w:lang w:val="en-US"/>
        </w:rPr>
        <w:t>ules provide</w:t>
      </w:r>
      <w:r w:rsidR="002907A0">
        <w:rPr>
          <w:bCs/>
          <w:lang w:val="en-US"/>
        </w:rPr>
        <w:t>s</w:t>
      </w:r>
      <w:r w:rsidR="005C0CE9" w:rsidRPr="00FA053C">
        <w:rPr>
          <w:bCs/>
          <w:lang w:val="en-US"/>
        </w:rPr>
        <w:t xml:space="preserve"> that t</w:t>
      </w:r>
      <w:r w:rsidRPr="00C4314A">
        <w:rPr>
          <w:bCs/>
          <w:lang w:val="en-US"/>
        </w:rPr>
        <w:t xml:space="preserve">he public </w:t>
      </w:r>
      <w:r w:rsidRPr="00957F9B">
        <w:rPr>
          <w:bCs/>
          <w:lang w:val="en-US"/>
        </w:rPr>
        <w:t xml:space="preserve">must nominate a representative for purposes of submitting the </w:t>
      </w:r>
      <w:r w:rsidR="009040E9" w:rsidRPr="00FA053C">
        <w:rPr>
          <w:bCs/>
          <w:lang w:val="en-US"/>
        </w:rPr>
        <w:t xml:space="preserve">collective </w:t>
      </w:r>
      <w:r w:rsidRPr="00C4314A">
        <w:rPr>
          <w:bCs/>
          <w:lang w:val="en-US"/>
        </w:rPr>
        <w:t>comment and for communication with the competent</w:t>
      </w:r>
      <w:r w:rsidRPr="00957F9B">
        <w:rPr>
          <w:bCs/>
          <w:lang w:val="en-US"/>
        </w:rPr>
        <w:t xml:space="preserve"> authority preparing the draft law.</w:t>
      </w:r>
      <w:r w:rsidRPr="00FA053C">
        <w:rPr>
          <w:rStyle w:val="FootnoteReference"/>
          <w:bCs/>
          <w:lang w:val="en-US"/>
        </w:rPr>
        <w:footnoteReference w:id="9"/>
      </w:r>
      <w:r w:rsidR="005569F3" w:rsidRPr="00C4314A">
        <w:rPr>
          <w:bCs/>
          <w:lang w:val="en-US"/>
        </w:rPr>
        <w:t xml:space="preserve"> A list of the individuals supporting the </w:t>
      </w:r>
      <w:r w:rsidR="009040E9" w:rsidRPr="00FA053C">
        <w:rPr>
          <w:bCs/>
          <w:lang w:val="en-US"/>
        </w:rPr>
        <w:t>collective</w:t>
      </w:r>
      <w:r w:rsidR="005569F3" w:rsidRPr="00C4314A">
        <w:rPr>
          <w:bCs/>
          <w:lang w:val="en-US"/>
        </w:rPr>
        <w:t xml:space="preserve"> comment must be provided to t</w:t>
      </w:r>
      <w:r w:rsidR="00F13A60" w:rsidRPr="00FA053C">
        <w:rPr>
          <w:bCs/>
          <w:lang w:val="en-US"/>
        </w:rPr>
        <w:t>he submitter</w:t>
      </w:r>
      <w:r w:rsidR="005569F3" w:rsidRPr="00C4314A">
        <w:rPr>
          <w:bCs/>
          <w:lang w:val="en-US"/>
        </w:rPr>
        <w:t>.</w:t>
      </w:r>
      <w:r w:rsidR="005569F3" w:rsidRPr="00FA053C">
        <w:rPr>
          <w:rStyle w:val="FootnoteReference"/>
          <w:bCs/>
          <w:lang w:val="en-US"/>
        </w:rPr>
        <w:footnoteReference w:id="10"/>
      </w:r>
      <w:bookmarkStart w:id="0" w:name="_Ref22577872"/>
    </w:p>
    <w:bookmarkEnd w:id="0"/>
    <w:p w14:paraId="5BBF019E" w14:textId="49890869" w:rsidR="00BC2452" w:rsidRPr="00FA053C" w:rsidRDefault="00F13A60" w:rsidP="00BC2452">
      <w:pPr>
        <w:pStyle w:val="SingleTxtG"/>
        <w:numPr>
          <w:ilvl w:val="0"/>
          <w:numId w:val="3"/>
        </w:numPr>
        <w:suppressAutoHyphens w:val="0"/>
        <w:autoSpaceDE w:val="0"/>
        <w:autoSpaceDN w:val="0"/>
        <w:adjustRightInd w:val="0"/>
        <w:spacing w:line="240" w:lineRule="auto"/>
        <w:ind w:left="1094" w:right="1138" w:firstLine="0"/>
        <w:rPr>
          <w:iCs/>
          <w:lang w:val="en-US"/>
        </w:rPr>
      </w:pPr>
      <w:r w:rsidRPr="00FA053C">
        <w:rPr>
          <w:iCs/>
          <w:lang w:val="en-US"/>
        </w:rPr>
        <w:t>C</w:t>
      </w:r>
      <w:r w:rsidR="005569F3" w:rsidRPr="00C4314A">
        <w:rPr>
          <w:iCs/>
          <w:lang w:val="en-US"/>
        </w:rPr>
        <w:t xml:space="preserve">omments may be </w:t>
      </w:r>
      <w:r w:rsidR="005569F3" w:rsidRPr="00957F9B">
        <w:rPr>
          <w:iCs/>
          <w:lang w:val="en-US"/>
        </w:rPr>
        <w:t>submitted via a</w:t>
      </w:r>
      <w:r w:rsidR="00775DF2">
        <w:rPr>
          <w:iCs/>
          <w:lang w:val="en-US"/>
        </w:rPr>
        <w:t xml:space="preserve">n online </w:t>
      </w:r>
      <w:r w:rsidR="005569F3" w:rsidRPr="00957F9B">
        <w:rPr>
          <w:iCs/>
          <w:lang w:val="en-US"/>
        </w:rPr>
        <w:t>portal</w:t>
      </w:r>
      <w:r w:rsidR="006D27E8">
        <w:rPr>
          <w:iCs/>
          <w:lang w:val="en-US"/>
        </w:rPr>
        <w:t xml:space="preserve"> or by email or in paper form</w:t>
      </w:r>
      <w:r w:rsidR="005569F3" w:rsidRPr="00957F9B">
        <w:rPr>
          <w:iCs/>
          <w:lang w:val="en-US"/>
        </w:rPr>
        <w:t>.</w:t>
      </w:r>
      <w:r w:rsidR="005569F3" w:rsidRPr="00FA053C">
        <w:rPr>
          <w:rStyle w:val="FootnoteReference"/>
          <w:bCs/>
          <w:lang w:val="en-US"/>
        </w:rPr>
        <w:footnoteReference w:id="11"/>
      </w:r>
    </w:p>
    <w:p w14:paraId="49ADF2C6" w14:textId="141208A0" w:rsidR="009040E9" w:rsidRPr="00FA053C" w:rsidRDefault="009040E9" w:rsidP="00BC2452">
      <w:pPr>
        <w:pStyle w:val="SingleTxtG"/>
        <w:numPr>
          <w:ilvl w:val="0"/>
          <w:numId w:val="3"/>
        </w:numPr>
        <w:suppressAutoHyphens w:val="0"/>
        <w:autoSpaceDE w:val="0"/>
        <w:autoSpaceDN w:val="0"/>
        <w:adjustRightInd w:val="0"/>
        <w:spacing w:line="240" w:lineRule="auto"/>
        <w:ind w:left="1094" w:right="1138" w:firstLine="0"/>
        <w:rPr>
          <w:iCs/>
          <w:lang w:val="en-US"/>
        </w:rPr>
      </w:pPr>
      <w:bookmarkStart w:id="1" w:name="_Ref22577883"/>
      <w:r w:rsidRPr="00C4314A">
        <w:rPr>
          <w:iCs/>
          <w:lang w:val="en-US"/>
        </w:rPr>
        <w:t xml:space="preserve">Article 14(6) of the </w:t>
      </w:r>
      <w:r w:rsidR="006D27E8">
        <w:rPr>
          <w:iCs/>
          <w:lang w:val="en-US"/>
        </w:rPr>
        <w:t>L</w:t>
      </w:r>
      <w:r w:rsidRPr="00C4314A">
        <w:rPr>
          <w:iCs/>
          <w:lang w:val="en-US"/>
        </w:rPr>
        <w:t xml:space="preserve">egislative </w:t>
      </w:r>
      <w:r w:rsidR="006D27E8">
        <w:rPr>
          <w:iCs/>
          <w:lang w:val="en-US"/>
        </w:rPr>
        <w:t>R</w:t>
      </w:r>
      <w:r w:rsidRPr="00C4314A">
        <w:rPr>
          <w:iCs/>
          <w:lang w:val="en-US"/>
        </w:rPr>
        <w:t xml:space="preserve">ules provides that if the </w:t>
      </w:r>
      <w:r w:rsidR="00F13A60" w:rsidRPr="00FA053C">
        <w:rPr>
          <w:iCs/>
          <w:lang w:val="en-US"/>
        </w:rPr>
        <w:t>collective</w:t>
      </w:r>
      <w:r w:rsidRPr="00C4314A">
        <w:rPr>
          <w:iCs/>
          <w:lang w:val="en-US"/>
        </w:rPr>
        <w:t xml:space="preserve"> comment was </w:t>
      </w:r>
      <w:r w:rsidR="00F13A60" w:rsidRPr="00FA053C">
        <w:rPr>
          <w:iCs/>
          <w:lang w:val="en-US"/>
        </w:rPr>
        <w:t>provided</w:t>
      </w:r>
      <w:r w:rsidRPr="00C4314A">
        <w:rPr>
          <w:iCs/>
          <w:lang w:val="en-US"/>
        </w:rPr>
        <w:t xml:space="preserve"> </w:t>
      </w:r>
      <w:r w:rsidRPr="00957F9B">
        <w:rPr>
          <w:iCs/>
          <w:lang w:val="en-US"/>
        </w:rPr>
        <w:t xml:space="preserve">electronically, a </w:t>
      </w:r>
      <w:r w:rsidRPr="00537C28">
        <w:rPr>
          <w:bCs/>
          <w:iCs/>
          <w:lang w:val="en-US"/>
        </w:rPr>
        <w:t>list of natural and legal persons who supported the comment can be sent to the submitter also by other mean than via the portal.</w:t>
      </w:r>
      <w:r w:rsidRPr="00FA053C">
        <w:rPr>
          <w:rStyle w:val="FootnoteReference"/>
          <w:bCs/>
          <w:lang w:val="en-US"/>
        </w:rPr>
        <w:t xml:space="preserve"> </w:t>
      </w:r>
      <w:r w:rsidRPr="00FA053C">
        <w:rPr>
          <w:rStyle w:val="FootnoteReference"/>
          <w:bCs/>
          <w:lang w:val="en-US"/>
        </w:rPr>
        <w:footnoteReference w:id="12"/>
      </w:r>
      <w:bookmarkEnd w:id="1"/>
    </w:p>
    <w:p w14:paraId="314770BE" w14:textId="77777777" w:rsidR="006D351C" w:rsidRPr="00FA053C" w:rsidRDefault="006D351C" w:rsidP="00FA053C">
      <w:pPr>
        <w:pStyle w:val="SingleTxtG"/>
        <w:suppressAutoHyphens w:val="0"/>
        <w:autoSpaceDE w:val="0"/>
        <w:autoSpaceDN w:val="0"/>
        <w:adjustRightInd w:val="0"/>
        <w:spacing w:line="240" w:lineRule="auto"/>
        <w:ind w:left="1094" w:right="1138"/>
        <w:rPr>
          <w:i/>
          <w:lang w:val="en-US"/>
        </w:rPr>
      </w:pPr>
      <w:r w:rsidRPr="00FA053C">
        <w:rPr>
          <w:i/>
          <w:lang w:val="en-US"/>
        </w:rPr>
        <w:t>Essential vs. ordinary comments</w:t>
      </w:r>
    </w:p>
    <w:p w14:paraId="1CBD088F" w14:textId="192C0C0F" w:rsidR="00FE6ACE" w:rsidRPr="00FA053C" w:rsidRDefault="00BC2452" w:rsidP="00C4314A">
      <w:pPr>
        <w:pStyle w:val="SingleTxtG"/>
        <w:numPr>
          <w:ilvl w:val="0"/>
          <w:numId w:val="3"/>
        </w:numPr>
        <w:suppressAutoHyphens w:val="0"/>
        <w:autoSpaceDE w:val="0"/>
        <w:autoSpaceDN w:val="0"/>
        <w:adjustRightInd w:val="0"/>
        <w:spacing w:line="240" w:lineRule="auto"/>
        <w:ind w:left="1094" w:right="1138" w:firstLine="0"/>
        <w:rPr>
          <w:iCs/>
          <w:lang w:val="en-US"/>
        </w:rPr>
      </w:pPr>
      <w:r w:rsidRPr="00C4314A">
        <w:rPr>
          <w:iCs/>
          <w:lang w:val="en-US"/>
        </w:rPr>
        <w:t>C</w:t>
      </w:r>
      <w:r w:rsidR="00A54349" w:rsidRPr="00957F9B">
        <w:rPr>
          <w:iCs/>
          <w:lang w:val="en-US"/>
        </w:rPr>
        <w:t>omments are labeled as either “ordinary” or “essential”.</w:t>
      </w:r>
      <w:r w:rsidR="00A54349" w:rsidRPr="00FA053C">
        <w:rPr>
          <w:rStyle w:val="FootnoteReference"/>
          <w:bCs/>
          <w:lang w:val="en-US"/>
        </w:rPr>
        <w:footnoteReference w:id="13"/>
      </w:r>
      <w:r w:rsidRPr="00FA053C">
        <w:rPr>
          <w:bCs/>
          <w:lang w:val="en-US"/>
        </w:rPr>
        <w:t xml:space="preserve"> </w:t>
      </w:r>
      <w:r w:rsidR="00FA053C">
        <w:rPr>
          <w:bCs/>
          <w:lang w:val="en-US"/>
        </w:rPr>
        <w:t>The p</w:t>
      </w:r>
      <w:r w:rsidR="00FE6ACE" w:rsidRPr="00FA053C">
        <w:rPr>
          <w:iCs/>
          <w:lang w:val="en-US"/>
        </w:rPr>
        <w:t>ublic</w:t>
      </w:r>
      <w:r w:rsidR="00FA053C">
        <w:rPr>
          <w:iCs/>
          <w:lang w:val="en-US"/>
        </w:rPr>
        <w:t>’s</w:t>
      </w:r>
      <w:r w:rsidR="00FE6ACE" w:rsidRPr="00FA053C">
        <w:rPr>
          <w:iCs/>
          <w:lang w:val="en-US"/>
        </w:rPr>
        <w:t xml:space="preserve"> comments are automatically essential comments if supported by at least 500 persons.</w:t>
      </w:r>
      <w:r w:rsidR="00FE6ACE" w:rsidRPr="00FA053C">
        <w:rPr>
          <w:rStyle w:val="FootnoteReference"/>
          <w:bCs/>
          <w:lang w:val="en-US"/>
        </w:rPr>
        <w:footnoteReference w:id="14"/>
      </w:r>
      <w:r w:rsidR="003D40E6" w:rsidRPr="00FA053C">
        <w:rPr>
          <w:iCs/>
          <w:lang w:val="en-US"/>
        </w:rPr>
        <w:t xml:space="preserve"> In the case of ordinary comments</w:t>
      </w:r>
      <w:r w:rsidR="006519EA">
        <w:rPr>
          <w:iCs/>
          <w:lang w:val="en-US"/>
        </w:rPr>
        <w:t>,</w:t>
      </w:r>
      <w:r w:rsidR="003D40E6" w:rsidRPr="00FA053C">
        <w:rPr>
          <w:iCs/>
          <w:lang w:val="en-US"/>
        </w:rPr>
        <w:t xml:space="preserve"> when they are submitted for the negotiations of the </w:t>
      </w:r>
      <w:r w:rsidR="006D27E8">
        <w:rPr>
          <w:iCs/>
          <w:lang w:val="en-US"/>
        </w:rPr>
        <w:t>L</w:t>
      </w:r>
      <w:r w:rsidR="006D27E8" w:rsidRPr="00FA053C">
        <w:rPr>
          <w:iCs/>
          <w:lang w:val="en-US"/>
        </w:rPr>
        <w:t xml:space="preserve">egislative </w:t>
      </w:r>
      <w:r w:rsidR="006D27E8">
        <w:rPr>
          <w:iCs/>
          <w:lang w:val="en-US"/>
        </w:rPr>
        <w:t>C</w:t>
      </w:r>
      <w:r w:rsidR="003D40E6" w:rsidRPr="00FA053C">
        <w:rPr>
          <w:iCs/>
          <w:lang w:val="en-US"/>
        </w:rPr>
        <w:t xml:space="preserve">ouncil and of the </w:t>
      </w:r>
      <w:r w:rsidR="006D27E8">
        <w:rPr>
          <w:iCs/>
          <w:lang w:val="en-US"/>
        </w:rPr>
        <w:t>G</w:t>
      </w:r>
      <w:r w:rsidR="003D40E6" w:rsidRPr="00FA053C">
        <w:rPr>
          <w:iCs/>
          <w:lang w:val="en-US"/>
        </w:rPr>
        <w:t>overnment, there is no need to annex any reasoning which led to their rejection.</w:t>
      </w:r>
      <w:r w:rsidR="003D40E6" w:rsidRPr="00FA053C">
        <w:rPr>
          <w:rStyle w:val="FootnoteReference"/>
          <w:bCs/>
          <w:lang w:val="en-US"/>
        </w:rPr>
        <w:footnoteReference w:id="15"/>
      </w:r>
    </w:p>
    <w:p w14:paraId="1AFE2021" w14:textId="77777777" w:rsidR="006D351C" w:rsidRPr="00FA053C" w:rsidRDefault="006D351C" w:rsidP="00FA053C">
      <w:pPr>
        <w:pStyle w:val="SingleTxtG"/>
        <w:suppressAutoHyphens w:val="0"/>
        <w:autoSpaceDE w:val="0"/>
        <w:autoSpaceDN w:val="0"/>
        <w:adjustRightInd w:val="0"/>
        <w:spacing w:line="240" w:lineRule="auto"/>
        <w:ind w:right="1138"/>
        <w:rPr>
          <w:i/>
          <w:lang w:val="en-US"/>
        </w:rPr>
      </w:pPr>
      <w:r w:rsidRPr="00C4314A">
        <w:rPr>
          <w:i/>
          <w:lang w:val="en-US"/>
        </w:rPr>
        <w:t>Negotiation on</w:t>
      </w:r>
      <w:r w:rsidRPr="00957F9B">
        <w:rPr>
          <w:i/>
          <w:lang w:val="en-US"/>
        </w:rPr>
        <w:t xml:space="preserve"> contradictions</w:t>
      </w:r>
    </w:p>
    <w:p w14:paraId="22236516" w14:textId="63AB2F64" w:rsidR="00321CE1" w:rsidRPr="00C4314A" w:rsidRDefault="00BA7E06" w:rsidP="00FA053C">
      <w:pPr>
        <w:pStyle w:val="SingleTxtG"/>
        <w:numPr>
          <w:ilvl w:val="0"/>
          <w:numId w:val="3"/>
        </w:numPr>
        <w:suppressAutoHyphens w:val="0"/>
        <w:autoSpaceDE w:val="0"/>
        <w:autoSpaceDN w:val="0"/>
        <w:adjustRightInd w:val="0"/>
        <w:spacing w:line="240" w:lineRule="auto"/>
        <w:ind w:left="1094" w:right="1138" w:firstLine="0"/>
        <w:rPr>
          <w:iCs/>
          <w:lang w:val="en-US"/>
        </w:rPr>
      </w:pPr>
      <w:r w:rsidRPr="00FA053C">
        <w:rPr>
          <w:lang w:val="en-US"/>
        </w:rPr>
        <w:t>Article</w:t>
      </w:r>
      <w:r w:rsidR="00321CE1" w:rsidRPr="00FA053C">
        <w:rPr>
          <w:lang w:val="en-US"/>
        </w:rPr>
        <w:t xml:space="preserve"> 14</w:t>
      </w:r>
      <w:r w:rsidR="0071186F" w:rsidRPr="00FA053C">
        <w:rPr>
          <w:lang w:val="en-US"/>
        </w:rPr>
        <w:t>(</w:t>
      </w:r>
      <w:r w:rsidR="00321CE1" w:rsidRPr="00FA053C">
        <w:rPr>
          <w:lang w:val="en-US"/>
        </w:rPr>
        <w:t>6</w:t>
      </w:r>
      <w:r w:rsidR="0071186F" w:rsidRPr="00FA053C">
        <w:rPr>
          <w:lang w:val="en-US"/>
        </w:rPr>
        <w:t>)</w:t>
      </w:r>
      <w:r w:rsidR="00321CE1" w:rsidRPr="00FA053C">
        <w:rPr>
          <w:lang w:val="en-US"/>
        </w:rPr>
        <w:t xml:space="preserve"> </w:t>
      </w:r>
      <w:r w:rsidR="00A54349" w:rsidRPr="00FA053C">
        <w:rPr>
          <w:lang w:val="en-US"/>
        </w:rPr>
        <w:t xml:space="preserve">of the </w:t>
      </w:r>
      <w:r w:rsidR="006D27E8">
        <w:rPr>
          <w:lang w:val="en-US"/>
        </w:rPr>
        <w:t>L</w:t>
      </w:r>
      <w:r w:rsidR="00A54349" w:rsidRPr="00FA053C">
        <w:rPr>
          <w:lang w:val="en-US"/>
        </w:rPr>
        <w:t xml:space="preserve">egislative </w:t>
      </w:r>
      <w:r w:rsidR="006D27E8">
        <w:rPr>
          <w:lang w:val="en-US"/>
        </w:rPr>
        <w:t>R</w:t>
      </w:r>
      <w:r w:rsidR="00A54349" w:rsidRPr="00FA053C">
        <w:rPr>
          <w:lang w:val="en-US"/>
        </w:rPr>
        <w:t xml:space="preserve">ules requires that a </w:t>
      </w:r>
      <w:r w:rsidR="009040E9" w:rsidRPr="00FA053C">
        <w:rPr>
          <w:lang w:val="en-US"/>
        </w:rPr>
        <w:t>“</w:t>
      </w:r>
      <w:r w:rsidR="00A54349" w:rsidRPr="00FA053C">
        <w:rPr>
          <w:lang w:val="en-US"/>
        </w:rPr>
        <w:t xml:space="preserve">negotiation </w:t>
      </w:r>
      <w:r w:rsidR="009040E9" w:rsidRPr="00FA053C">
        <w:rPr>
          <w:lang w:val="en-US"/>
        </w:rPr>
        <w:t xml:space="preserve">on contradictions” take place </w:t>
      </w:r>
      <w:r w:rsidR="00A54349" w:rsidRPr="00FA053C">
        <w:rPr>
          <w:lang w:val="en-US"/>
        </w:rPr>
        <w:t xml:space="preserve">with the </w:t>
      </w:r>
      <w:bookmarkStart w:id="2" w:name="_Ref22580990"/>
      <w:r w:rsidR="00321CE1" w:rsidRPr="00FA053C">
        <w:rPr>
          <w:iCs/>
          <w:lang w:val="en-US"/>
        </w:rPr>
        <w:t xml:space="preserve">representative of the public if the </w:t>
      </w:r>
      <w:r w:rsidR="00F13A60" w:rsidRPr="00FA053C">
        <w:rPr>
          <w:iCs/>
          <w:lang w:val="en-US"/>
        </w:rPr>
        <w:t xml:space="preserve">submitter </w:t>
      </w:r>
      <w:r w:rsidR="00321CE1" w:rsidRPr="00FA053C">
        <w:rPr>
          <w:iCs/>
          <w:lang w:val="en-US"/>
        </w:rPr>
        <w:t>does not accept a collective comment which is supported by at least 500 natural or legal persons</w:t>
      </w:r>
      <w:r w:rsidR="009040E9" w:rsidRPr="00FA053C">
        <w:rPr>
          <w:iCs/>
          <w:lang w:val="en-US"/>
        </w:rPr>
        <w:t>.</w:t>
      </w:r>
      <w:r w:rsidR="00F13A60" w:rsidRPr="00FA053C">
        <w:rPr>
          <w:rStyle w:val="FootnoteReference"/>
          <w:bCs/>
          <w:lang w:val="en-US"/>
        </w:rPr>
        <w:footnoteReference w:id="16"/>
      </w:r>
      <w:bookmarkEnd w:id="2"/>
    </w:p>
    <w:p w14:paraId="42E9C154" w14:textId="4A09288D" w:rsidR="00321CE1" w:rsidRPr="00C4314A" w:rsidRDefault="00321CE1" w:rsidP="00F13A60">
      <w:pPr>
        <w:pStyle w:val="SingleTxtG"/>
        <w:numPr>
          <w:ilvl w:val="0"/>
          <w:numId w:val="3"/>
        </w:numPr>
        <w:suppressAutoHyphens w:val="0"/>
        <w:autoSpaceDE w:val="0"/>
        <w:autoSpaceDN w:val="0"/>
        <w:adjustRightInd w:val="0"/>
        <w:spacing w:line="240" w:lineRule="auto"/>
        <w:ind w:left="1094" w:right="1138" w:firstLine="0"/>
        <w:rPr>
          <w:iCs/>
          <w:lang w:val="en-US"/>
        </w:rPr>
      </w:pPr>
      <w:r w:rsidRPr="00957F9B">
        <w:rPr>
          <w:lang w:val="en-US"/>
        </w:rPr>
        <w:lastRenderedPageBreak/>
        <w:t>Article 14</w:t>
      </w:r>
      <w:r w:rsidR="00F13A60" w:rsidRPr="00957F9B">
        <w:rPr>
          <w:lang w:val="en-US"/>
        </w:rPr>
        <w:t>(</w:t>
      </w:r>
      <w:r w:rsidRPr="00537C28">
        <w:rPr>
          <w:lang w:val="en-US"/>
        </w:rPr>
        <w:t>7</w:t>
      </w:r>
      <w:r w:rsidR="00F13A60" w:rsidRPr="00537C28">
        <w:rPr>
          <w:lang w:val="en-US"/>
        </w:rPr>
        <w:t xml:space="preserve">) of the </w:t>
      </w:r>
      <w:r w:rsidR="006D27E8">
        <w:rPr>
          <w:lang w:val="en-US"/>
        </w:rPr>
        <w:t>L</w:t>
      </w:r>
      <w:r w:rsidR="00F13A60" w:rsidRPr="00537C28">
        <w:rPr>
          <w:lang w:val="en-US"/>
        </w:rPr>
        <w:t xml:space="preserve">egislative </w:t>
      </w:r>
      <w:r w:rsidR="006D27E8">
        <w:rPr>
          <w:lang w:val="en-US"/>
        </w:rPr>
        <w:t>R</w:t>
      </w:r>
      <w:r w:rsidR="00F13A60" w:rsidRPr="00537C28">
        <w:rPr>
          <w:lang w:val="en-US"/>
        </w:rPr>
        <w:t>ules provide</w:t>
      </w:r>
      <w:r w:rsidR="00710A56">
        <w:rPr>
          <w:lang w:val="en-US"/>
        </w:rPr>
        <w:t>s</w:t>
      </w:r>
      <w:r w:rsidR="00F13A60" w:rsidRPr="00537C28">
        <w:rPr>
          <w:lang w:val="en-US"/>
        </w:rPr>
        <w:t xml:space="preserve"> that </w:t>
      </w:r>
      <w:proofErr w:type="gramStart"/>
      <w:r w:rsidR="00F13A60" w:rsidRPr="00537C28">
        <w:rPr>
          <w:lang w:val="en-US"/>
        </w:rPr>
        <w:t>o</w:t>
      </w:r>
      <w:bookmarkStart w:id="3" w:name="_Ref23070427"/>
      <w:r w:rsidRPr="00FA053C">
        <w:rPr>
          <w:iCs/>
          <w:lang w:val="en-US"/>
        </w:rPr>
        <w:t>n the basis of</w:t>
      </w:r>
      <w:proofErr w:type="gramEnd"/>
      <w:r w:rsidRPr="00FA053C">
        <w:rPr>
          <w:iCs/>
          <w:lang w:val="en-US"/>
        </w:rPr>
        <w:t xml:space="preserve"> the negotiation on contradictions the submitter will prepare a </w:t>
      </w:r>
      <w:r w:rsidRPr="00FA053C">
        <w:rPr>
          <w:bCs/>
          <w:iCs/>
          <w:lang w:val="en-US"/>
        </w:rPr>
        <w:t xml:space="preserve">report </w:t>
      </w:r>
      <w:r w:rsidRPr="00FA053C">
        <w:rPr>
          <w:iCs/>
          <w:lang w:val="en-US"/>
        </w:rPr>
        <w:t>which shall be signed by the representatives of b</w:t>
      </w:r>
      <w:r w:rsidR="00696B34" w:rsidRPr="00FA053C">
        <w:rPr>
          <w:iCs/>
          <w:lang w:val="en-US"/>
        </w:rPr>
        <w:t>oth sides of the contradiction.</w:t>
      </w:r>
      <w:r w:rsidR="00237505" w:rsidRPr="00FA053C">
        <w:rPr>
          <w:rStyle w:val="FootnoteReference"/>
          <w:bCs/>
          <w:lang w:val="en-US"/>
        </w:rPr>
        <w:footnoteReference w:id="17"/>
      </w:r>
      <w:bookmarkEnd w:id="3"/>
    </w:p>
    <w:p w14:paraId="1CAA802B" w14:textId="77777777" w:rsidR="00F13A60" w:rsidRPr="00FA053C" w:rsidRDefault="00F13A60" w:rsidP="00FA053C">
      <w:pPr>
        <w:pStyle w:val="SingleTxtG"/>
        <w:suppressAutoHyphens w:val="0"/>
        <w:autoSpaceDE w:val="0"/>
        <w:autoSpaceDN w:val="0"/>
        <w:adjustRightInd w:val="0"/>
        <w:spacing w:line="240" w:lineRule="auto"/>
        <w:ind w:left="1094" w:right="1138"/>
        <w:rPr>
          <w:i/>
          <w:lang w:val="en-US"/>
        </w:rPr>
      </w:pPr>
      <w:r w:rsidRPr="00957F9B">
        <w:rPr>
          <w:i/>
          <w:lang w:val="en-US"/>
        </w:rPr>
        <w:t>The evaluation of the interdepartmental discussion</w:t>
      </w:r>
    </w:p>
    <w:p w14:paraId="5403C47E" w14:textId="581434B8" w:rsidR="00237505" w:rsidRPr="00FA053C" w:rsidRDefault="00321CE1" w:rsidP="00F13A60">
      <w:pPr>
        <w:pStyle w:val="SingleTxtG"/>
        <w:numPr>
          <w:ilvl w:val="0"/>
          <w:numId w:val="3"/>
        </w:numPr>
        <w:suppressAutoHyphens w:val="0"/>
        <w:autoSpaceDE w:val="0"/>
        <w:autoSpaceDN w:val="0"/>
        <w:adjustRightInd w:val="0"/>
        <w:spacing w:line="240" w:lineRule="auto"/>
        <w:ind w:left="1094" w:right="1138" w:firstLine="0"/>
        <w:rPr>
          <w:lang w:val="en-US"/>
        </w:rPr>
      </w:pPr>
      <w:r w:rsidRPr="00C4314A">
        <w:rPr>
          <w:lang w:val="en-US"/>
        </w:rPr>
        <w:t>Article 14</w:t>
      </w:r>
      <w:r w:rsidR="00F13A60" w:rsidRPr="00957F9B">
        <w:rPr>
          <w:lang w:val="en-US"/>
        </w:rPr>
        <w:t>(</w:t>
      </w:r>
      <w:r w:rsidRPr="00957F9B">
        <w:rPr>
          <w:lang w:val="en-US"/>
        </w:rPr>
        <w:t>9</w:t>
      </w:r>
      <w:r w:rsidR="00F13A60" w:rsidRPr="00537C28">
        <w:rPr>
          <w:lang w:val="en-US"/>
        </w:rPr>
        <w:t>)</w:t>
      </w:r>
      <w:r w:rsidRPr="00537C28">
        <w:rPr>
          <w:lang w:val="en-US"/>
        </w:rPr>
        <w:t xml:space="preserve"> </w:t>
      </w:r>
      <w:r w:rsidR="00237505" w:rsidRPr="00FA053C">
        <w:rPr>
          <w:lang w:val="en-US"/>
        </w:rPr>
        <w:t xml:space="preserve">of the </w:t>
      </w:r>
      <w:r w:rsidR="006D27E8">
        <w:rPr>
          <w:lang w:val="en-US"/>
        </w:rPr>
        <w:t>L</w:t>
      </w:r>
      <w:r w:rsidR="00237505" w:rsidRPr="00FA053C">
        <w:rPr>
          <w:lang w:val="en-US"/>
        </w:rPr>
        <w:t xml:space="preserve">egislative </w:t>
      </w:r>
      <w:r w:rsidR="006D27E8">
        <w:rPr>
          <w:lang w:val="en-US"/>
        </w:rPr>
        <w:t>R</w:t>
      </w:r>
      <w:r w:rsidR="00237505" w:rsidRPr="00FA053C">
        <w:rPr>
          <w:lang w:val="en-US"/>
        </w:rPr>
        <w:t xml:space="preserve">ules </w:t>
      </w:r>
      <w:r w:rsidR="00BA7E06" w:rsidRPr="00FA053C">
        <w:rPr>
          <w:lang w:val="en-US"/>
        </w:rPr>
        <w:t>provides</w:t>
      </w:r>
      <w:r w:rsidR="00F13A60" w:rsidRPr="00FA053C">
        <w:rPr>
          <w:lang w:val="en-US"/>
        </w:rPr>
        <w:t xml:space="preserve"> that c</w:t>
      </w:r>
      <w:bookmarkStart w:id="4" w:name="_Ref23073677"/>
      <w:r w:rsidRPr="00FA053C">
        <w:rPr>
          <w:iCs/>
          <w:lang w:val="en-US"/>
        </w:rPr>
        <w:t xml:space="preserve">omments </w:t>
      </w:r>
      <w:r w:rsidR="006D27E8">
        <w:rPr>
          <w:iCs/>
          <w:lang w:val="en-US"/>
        </w:rPr>
        <w:t>on</w:t>
      </w:r>
      <w:r w:rsidR="006D27E8" w:rsidRPr="00FA053C">
        <w:rPr>
          <w:iCs/>
          <w:lang w:val="en-US"/>
        </w:rPr>
        <w:t xml:space="preserve"> </w:t>
      </w:r>
      <w:r w:rsidR="006D27E8">
        <w:rPr>
          <w:iCs/>
          <w:lang w:val="en-US"/>
        </w:rPr>
        <w:t xml:space="preserve">a </w:t>
      </w:r>
      <w:r w:rsidRPr="00FA053C">
        <w:rPr>
          <w:iCs/>
          <w:lang w:val="en-US"/>
        </w:rPr>
        <w:t>draft law which were sent in electronic form through the portal</w:t>
      </w:r>
      <w:r w:rsidR="00AE57C6">
        <w:rPr>
          <w:iCs/>
          <w:lang w:val="en-US"/>
        </w:rPr>
        <w:t xml:space="preserve"> </w:t>
      </w:r>
      <w:r w:rsidRPr="00FA053C">
        <w:rPr>
          <w:iCs/>
          <w:lang w:val="en-US"/>
        </w:rPr>
        <w:t xml:space="preserve">will </w:t>
      </w:r>
      <w:r w:rsidR="00F13A60" w:rsidRPr="00FA053C">
        <w:rPr>
          <w:iCs/>
          <w:lang w:val="en-US"/>
        </w:rPr>
        <w:t xml:space="preserve">be listed in the evaluation of the interdepartmental discussion, together with the indication whether </w:t>
      </w:r>
      <w:r w:rsidR="00AD6B5D">
        <w:rPr>
          <w:iCs/>
          <w:lang w:val="en-US"/>
        </w:rPr>
        <w:t>they are</w:t>
      </w:r>
      <w:r w:rsidRPr="00FA053C">
        <w:rPr>
          <w:bCs/>
          <w:iCs/>
          <w:lang w:val="en-US"/>
        </w:rPr>
        <w:t xml:space="preserve"> essential comment</w:t>
      </w:r>
      <w:r w:rsidR="00AD6B5D">
        <w:rPr>
          <w:bCs/>
          <w:iCs/>
          <w:lang w:val="en-US"/>
        </w:rPr>
        <w:t>s</w:t>
      </w:r>
      <w:r w:rsidR="00237505" w:rsidRPr="00FA053C">
        <w:rPr>
          <w:bCs/>
          <w:iCs/>
          <w:lang w:val="en-US"/>
        </w:rPr>
        <w:t>.</w:t>
      </w:r>
      <w:r w:rsidRPr="00FA053C">
        <w:rPr>
          <w:iCs/>
          <w:lang w:val="en-US"/>
        </w:rPr>
        <w:t xml:space="preserve"> </w:t>
      </w:r>
      <w:r w:rsidR="00237505" w:rsidRPr="00FA053C">
        <w:rPr>
          <w:iCs/>
          <w:lang w:val="en-US"/>
        </w:rPr>
        <w:t>I</w:t>
      </w:r>
      <w:r w:rsidRPr="00FA053C">
        <w:rPr>
          <w:iCs/>
          <w:lang w:val="en-US"/>
        </w:rPr>
        <w:t>n cases where comments were not accepted</w:t>
      </w:r>
      <w:r w:rsidRPr="00C4314A">
        <w:rPr>
          <w:iCs/>
          <w:lang w:val="en-US"/>
        </w:rPr>
        <w:t xml:space="preserve">, </w:t>
      </w:r>
      <w:r w:rsidR="00237505" w:rsidRPr="00957F9B">
        <w:rPr>
          <w:iCs/>
          <w:lang w:val="en-US"/>
        </w:rPr>
        <w:t>the reason why they were not accepted shall also be included</w:t>
      </w:r>
      <w:r w:rsidR="00237505" w:rsidRPr="00537C28">
        <w:rPr>
          <w:iCs/>
          <w:lang w:val="en-US"/>
        </w:rPr>
        <w:t>. These requirements</w:t>
      </w:r>
      <w:r w:rsidRPr="00537C28">
        <w:rPr>
          <w:iCs/>
          <w:lang w:val="en-US"/>
        </w:rPr>
        <w:t xml:space="preserve"> </w:t>
      </w:r>
      <w:r w:rsidR="00237505" w:rsidRPr="00FA053C">
        <w:rPr>
          <w:iCs/>
          <w:lang w:val="en-US"/>
        </w:rPr>
        <w:t>apply</w:t>
      </w:r>
      <w:r w:rsidRPr="00FA053C">
        <w:rPr>
          <w:iCs/>
          <w:lang w:val="en-US"/>
        </w:rPr>
        <w:t xml:space="preserve"> in the case of comments made by a</w:t>
      </w:r>
      <w:r w:rsidR="00237505" w:rsidRPr="00FA053C">
        <w:rPr>
          <w:iCs/>
          <w:lang w:val="en-US"/>
        </w:rPr>
        <w:t xml:space="preserve"> compulsory commenting authority, </w:t>
      </w:r>
      <w:r w:rsidRPr="00FA053C">
        <w:rPr>
          <w:iCs/>
          <w:lang w:val="en-US"/>
        </w:rPr>
        <w:t xml:space="preserve">as well </w:t>
      </w:r>
      <w:r w:rsidR="00237505" w:rsidRPr="00FA053C">
        <w:rPr>
          <w:iCs/>
          <w:lang w:val="en-US"/>
        </w:rPr>
        <w:t>with respect to comments made by optional commenting authorities and</w:t>
      </w:r>
      <w:r w:rsidRPr="00FA053C">
        <w:rPr>
          <w:iCs/>
          <w:lang w:val="en-US"/>
        </w:rPr>
        <w:t xml:space="preserve"> the public.</w:t>
      </w:r>
      <w:r w:rsidR="00237505" w:rsidRPr="00FA053C">
        <w:rPr>
          <w:rStyle w:val="FootnoteReference"/>
          <w:bCs/>
          <w:lang w:val="en-US"/>
        </w:rPr>
        <w:footnoteReference w:id="18"/>
      </w:r>
      <w:bookmarkEnd w:id="4"/>
      <w:r w:rsidR="00237505" w:rsidRPr="00C4314A">
        <w:rPr>
          <w:iCs/>
          <w:lang w:val="en-US"/>
        </w:rPr>
        <w:t xml:space="preserve"> </w:t>
      </w:r>
    </w:p>
    <w:p w14:paraId="2F95EB91" w14:textId="7FC803CC" w:rsidR="00321CE1" w:rsidRPr="00FA053C" w:rsidRDefault="00237505" w:rsidP="00F13A60">
      <w:pPr>
        <w:pStyle w:val="SingleTxtG"/>
        <w:numPr>
          <w:ilvl w:val="0"/>
          <w:numId w:val="3"/>
        </w:numPr>
        <w:suppressAutoHyphens w:val="0"/>
        <w:autoSpaceDE w:val="0"/>
        <w:autoSpaceDN w:val="0"/>
        <w:adjustRightInd w:val="0"/>
        <w:spacing w:line="240" w:lineRule="auto"/>
        <w:ind w:left="1094" w:right="1138" w:firstLine="0"/>
        <w:rPr>
          <w:lang w:val="en-US"/>
        </w:rPr>
      </w:pPr>
      <w:bookmarkStart w:id="5" w:name="_Ref23073688"/>
      <w:r w:rsidRPr="00FA053C">
        <w:rPr>
          <w:iCs/>
          <w:lang w:val="en-US"/>
        </w:rPr>
        <w:t xml:space="preserve">Article 14(9) further provides that </w:t>
      </w:r>
      <w:r w:rsidR="00FA053C">
        <w:rPr>
          <w:iCs/>
          <w:lang w:val="en-US"/>
        </w:rPr>
        <w:t xml:space="preserve">the </w:t>
      </w:r>
      <w:r w:rsidRPr="00FA053C">
        <w:rPr>
          <w:iCs/>
          <w:lang w:val="en-US"/>
        </w:rPr>
        <w:t>public</w:t>
      </w:r>
      <w:r w:rsidR="00FA053C">
        <w:rPr>
          <w:iCs/>
          <w:lang w:val="en-US"/>
        </w:rPr>
        <w:t>’s</w:t>
      </w:r>
      <w:r w:rsidRPr="00FA053C">
        <w:rPr>
          <w:iCs/>
          <w:lang w:val="en-US"/>
        </w:rPr>
        <w:t xml:space="preserve"> comments submitted in written form are not </w:t>
      </w:r>
      <w:r w:rsidR="00957F9B">
        <w:rPr>
          <w:iCs/>
          <w:lang w:val="en-US"/>
        </w:rPr>
        <w:t xml:space="preserve">to be </w:t>
      </w:r>
      <w:r w:rsidRPr="00537C28">
        <w:rPr>
          <w:iCs/>
          <w:lang w:val="en-US"/>
        </w:rPr>
        <w:t xml:space="preserve">listed in the evaluation of the interdepartmental discussion. The submitter of the draft legislation is however still required under that provision of the </w:t>
      </w:r>
      <w:r w:rsidR="00EA5CA0">
        <w:rPr>
          <w:iCs/>
          <w:lang w:val="en-US"/>
        </w:rPr>
        <w:t>L</w:t>
      </w:r>
      <w:r w:rsidRPr="00537C28">
        <w:rPr>
          <w:iCs/>
          <w:lang w:val="en-US"/>
        </w:rPr>
        <w:t xml:space="preserve">egislative </w:t>
      </w:r>
      <w:r w:rsidR="00EA5CA0">
        <w:rPr>
          <w:iCs/>
          <w:lang w:val="en-US"/>
        </w:rPr>
        <w:t>R</w:t>
      </w:r>
      <w:r w:rsidRPr="00537C28">
        <w:rPr>
          <w:iCs/>
          <w:lang w:val="en-US"/>
        </w:rPr>
        <w:t>ules to evaluate them</w:t>
      </w:r>
      <w:r w:rsidRPr="00FA053C">
        <w:rPr>
          <w:iCs/>
          <w:lang w:val="en-US"/>
        </w:rPr>
        <w:t>.</w:t>
      </w:r>
      <w:r w:rsidRPr="00FA053C">
        <w:rPr>
          <w:rStyle w:val="FootnoteReference"/>
          <w:bCs/>
          <w:lang w:val="en-US"/>
        </w:rPr>
        <w:footnoteReference w:id="19"/>
      </w:r>
      <w:bookmarkEnd w:id="5"/>
    </w:p>
    <w:p w14:paraId="257AF2B1" w14:textId="77777777" w:rsidR="00320876" w:rsidRPr="00FA053C" w:rsidRDefault="00320876" w:rsidP="00FA053C">
      <w:pPr>
        <w:pStyle w:val="SingleTxtG"/>
        <w:suppressAutoHyphens w:val="0"/>
        <w:autoSpaceDE w:val="0"/>
        <w:autoSpaceDN w:val="0"/>
        <w:adjustRightInd w:val="0"/>
        <w:spacing w:line="240" w:lineRule="auto"/>
        <w:ind w:left="1094" w:right="1138"/>
        <w:rPr>
          <w:i/>
          <w:iCs/>
          <w:lang w:val="en-US"/>
        </w:rPr>
      </w:pPr>
      <w:r w:rsidRPr="00FA053C">
        <w:rPr>
          <w:i/>
          <w:iCs/>
          <w:lang w:val="en-US"/>
        </w:rPr>
        <w:t>Submission of draft laws</w:t>
      </w:r>
      <w:r w:rsidR="004A4DBF" w:rsidRPr="00FA053C">
        <w:rPr>
          <w:i/>
          <w:iCs/>
          <w:lang w:val="en-US"/>
        </w:rPr>
        <w:t xml:space="preserve"> and submission reports</w:t>
      </w:r>
    </w:p>
    <w:p w14:paraId="78BD420B" w14:textId="55DE6F8A" w:rsidR="00F11D4B" w:rsidRPr="00FA053C" w:rsidRDefault="00F11D4B" w:rsidP="004A4DBF">
      <w:pPr>
        <w:pStyle w:val="SingleTxtG"/>
        <w:numPr>
          <w:ilvl w:val="0"/>
          <w:numId w:val="3"/>
        </w:numPr>
        <w:suppressAutoHyphens w:val="0"/>
        <w:autoSpaceDE w:val="0"/>
        <w:autoSpaceDN w:val="0"/>
        <w:adjustRightInd w:val="0"/>
        <w:spacing w:line="240" w:lineRule="auto"/>
        <w:ind w:left="1094" w:right="1138" w:firstLine="0"/>
        <w:rPr>
          <w:iCs/>
          <w:lang w:val="en-US"/>
        </w:rPr>
      </w:pPr>
      <w:r w:rsidRPr="00C4314A">
        <w:rPr>
          <w:iCs/>
          <w:lang w:val="en-US"/>
        </w:rPr>
        <w:t>Article 18</w:t>
      </w:r>
      <w:r w:rsidRPr="00957F9B">
        <w:rPr>
          <w:iCs/>
          <w:lang w:val="en-US"/>
        </w:rPr>
        <w:t xml:space="preserve">(1) of the </w:t>
      </w:r>
      <w:r w:rsidR="006D27E8">
        <w:rPr>
          <w:iCs/>
          <w:lang w:val="en-US"/>
        </w:rPr>
        <w:t>L</w:t>
      </w:r>
      <w:r w:rsidR="006D27E8" w:rsidRPr="00957F9B">
        <w:rPr>
          <w:iCs/>
          <w:lang w:val="en-US"/>
        </w:rPr>
        <w:t xml:space="preserve">egislative </w:t>
      </w:r>
      <w:r w:rsidR="006D27E8">
        <w:rPr>
          <w:iCs/>
          <w:lang w:val="en-US"/>
        </w:rPr>
        <w:t>R</w:t>
      </w:r>
      <w:r w:rsidRPr="00957F9B">
        <w:rPr>
          <w:iCs/>
          <w:lang w:val="en-US"/>
        </w:rPr>
        <w:t>ules</w:t>
      </w:r>
      <w:r w:rsidRPr="00537C28">
        <w:rPr>
          <w:iCs/>
          <w:lang w:val="en-US"/>
        </w:rPr>
        <w:t xml:space="preserve"> provides that the submitter submits the draft modified according to the results of the interdepartmental discussion to the </w:t>
      </w:r>
      <w:r w:rsidR="006D27E8">
        <w:rPr>
          <w:iCs/>
          <w:lang w:val="en-US"/>
        </w:rPr>
        <w:t>L</w:t>
      </w:r>
      <w:r w:rsidRPr="00537C28">
        <w:rPr>
          <w:iCs/>
          <w:lang w:val="en-US"/>
        </w:rPr>
        <w:t xml:space="preserve">egislative </w:t>
      </w:r>
      <w:r w:rsidR="006D27E8">
        <w:rPr>
          <w:iCs/>
          <w:lang w:val="en-US"/>
        </w:rPr>
        <w:t>C</w:t>
      </w:r>
      <w:r w:rsidRPr="00537C28">
        <w:rPr>
          <w:iCs/>
          <w:lang w:val="en-US"/>
        </w:rPr>
        <w:t>ouncil</w:t>
      </w:r>
      <w:r w:rsidR="00FB276B" w:rsidRPr="00FA053C">
        <w:rPr>
          <w:iCs/>
          <w:lang w:val="en-US"/>
        </w:rPr>
        <w:t>.</w:t>
      </w:r>
      <w:r w:rsidR="00FB276B" w:rsidRPr="00FA053C">
        <w:rPr>
          <w:rStyle w:val="FootnoteReference"/>
          <w:bCs/>
          <w:lang w:val="en-US"/>
        </w:rPr>
        <w:footnoteReference w:id="20"/>
      </w:r>
      <w:r w:rsidR="00FB276B" w:rsidRPr="00FA053C">
        <w:rPr>
          <w:bCs/>
          <w:lang w:val="en-US"/>
        </w:rPr>
        <w:t xml:space="preserve"> The </w:t>
      </w:r>
      <w:r w:rsidR="006D27E8">
        <w:rPr>
          <w:bCs/>
          <w:lang w:val="en-US"/>
        </w:rPr>
        <w:t>L</w:t>
      </w:r>
      <w:r w:rsidR="00FB276B" w:rsidRPr="00FA053C">
        <w:rPr>
          <w:bCs/>
          <w:lang w:val="en-US"/>
        </w:rPr>
        <w:t xml:space="preserve">egislative </w:t>
      </w:r>
      <w:r w:rsidR="006D27E8">
        <w:rPr>
          <w:bCs/>
          <w:lang w:val="en-US"/>
        </w:rPr>
        <w:t>C</w:t>
      </w:r>
      <w:r w:rsidR="00FB276B" w:rsidRPr="00FA053C">
        <w:rPr>
          <w:bCs/>
          <w:lang w:val="en-US"/>
        </w:rPr>
        <w:t>ouncil has the right to propose and insist on the modification of any provision of the draft, including those resulting from a contradictory negotiation.</w:t>
      </w:r>
      <w:r w:rsidR="00FB276B" w:rsidRPr="00FA053C">
        <w:rPr>
          <w:rStyle w:val="FootnoteReference"/>
          <w:bCs/>
          <w:lang w:val="en-US"/>
        </w:rPr>
        <w:footnoteReference w:id="21"/>
      </w:r>
      <w:r w:rsidR="00FB276B" w:rsidRPr="00FA053C">
        <w:rPr>
          <w:iCs/>
          <w:lang w:val="en-US"/>
        </w:rPr>
        <w:t xml:space="preserve"> </w:t>
      </w:r>
      <w:r w:rsidR="00FB276B" w:rsidRPr="00FA053C">
        <w:rPr>
          <w:bCs/>
          <w:lang w:val="en-US"/>
        </w:rPr>
        <w:t xml:space="preserve"> Following the submission to the </w:t>
      </w:r>
      <w:r w:rsidR="006D27E8">
        <w:rPr>
          <w:bCs/>
          <w:lang w:val="en-US"/>
        </w:rPr>
        <w:t>L</w:t>
      </w:r>
      <w:r w:rsidR="00FB276B" w:rsidRPr="00FA053C">
        <w:rPr>
          <w:bCs/>
          <w:lang w:val="en-US"/>
        </w:rPr>
        <w:t xml:space="preserve">egislative </w:t>
      </w:r>
      <w:r w:rsidR="006D27E8">
        <w:rPr>
          <w:bCs/>
          <w:lang w:val="en-US"/>
        </w:rPr>
        <w:t>C</w:t>
      </w:r>
      <w:r w:rsidR="00FB276B" w:rsidRPr="00FA053C">
        <w:rPr>
          <w:bCs/>
          <w:lang w:val="en-US"/>
        </w:rPr>
        <w:t xml:space="preserve">ouncil, the submitter may submit the draft to the </w:t>
      </w:r>
      <w:r w:rsidR="006D27E8">
        <w:rPr>
          <w:bCs/>
          <w:lang w:val="en-US"/>
        </w:rPr>
        <w:t>G</w:t>
      </w:r>
      <w:r w:rsidR="006D27E8" w:rsidRPr="00FA053C">
        <w:rPr>
          <w:bCs/>
          <w:lang w:val="en-US"/>
        </w:rPr>
        <w:t>overnment</w:t>
      </w:r>
      <w:r w:rsidR="00FB276B" w:rsidRPr="00FA053C">
        <w:rPr>
          <w:bCs/>
          <w:lang w:val="en-US"/>
        </w:rPr>
        <w:t>.</w:t>
      </w:r>
      <w:r w:rsidR="00FB276B" w:rsidRPr="00FA053C">
        <w:rPr>
          <w:rStyle w:val="FootnoteReference"/>
          <w:bCs/>
          <w:lang w:val="en-US"/>
        </w:rPr>
        <w:footnoteReference w:id="22"/>
      </w:r>
      <w:r w:rsidR="00FB276B" w:rsidRPr="00FA053C">
        <w:rPr>
          <w:iCs/>
          <w:lang w:val="en-US"/>
        </w:rPr>
        <w:t xml:space="preserve"> </w:t>
      </w:r>
    </w:p>
    <w:p w14:paraId="0F9BA6B8" w14:textId="77777777" w:rsidR="00F11D4B" w:rsidRPr="00FA053C" w:rsidRDefault="00F11D4B" w:rsidP="00F11D4B">
      <w:pPr>
        <w:pStyle w:val="SingleTxtG"/>
        <w:numPr>
          <w:ilvl w:val="0"/>
          <w:numId w:val="3"/>
        </w:numPr>
        <w:suppressAutoHyphens w:val="0"/>
        <w:autoSpaceDE w:val="0"/>
        <w:autoSpaceDN w:val="0"/>
        <w:adjustRightInd w:val="0"/>
        <w:spacing w:line="240" w:lineRule="auto"/>
        <w:ind w:left="1094" w:right="1138" w:firstLine="0"/>
      </w:pPr>
      <w:r w:rsidRPr="00C4314A">
        <w:rPr>
          <w:lang w:val="en-US"/>
        </w:rPr>
        <w:t>Article 18</w:t>
      </w:r>
      <w:r w:rsidRPr="00957F9B">
        <w:rPr>
          <w:lang w:val="en-US"/>
        </w:rPr>
        <w:t>(4)(</w:t>
      </w:r>
      <w:r w:rsidRPr="00537C28">
        <w:rPr>
          <w:lang w:val="en-US"/>
        </w:rPr>
        <w:t xml:space="preserve">h) </w:t>
      </w:r>
      <w:r w:rsidR="006477FD" w:rsidRPr="00537C28">
        <w:rPr>
          <w:lang w:val="en-US"/>
        </w:rPr>
        <w:t xml:space="preserve">provides </w:t>
      </w:r>
      <w:r w:rsidR="00FB276B" w:rsidRPr="00537C28">
        <w:rPr>
          <w:lang w:val="en-US"/>
        </w:rPr>
        <w:t>that a submission</w:t>
      </w:r>
      <w:r w:rsidRPr="00537C28">
        <w:rPr>
          <w:lang w:val="en-US"/>
        </w:rPr>
        <w:t xml:space="preserve"> </w:t>
      </w:r>
      <w:r w:rsidR="006477FD" w:rsidRPr="00537C28">
        <w:rPr>
          <w:lang w:val="en-US"/>
        </w:rPr>
        <w:t xml:space="preserve">report, which is included together with the draft legislation, contains </w:t>
      </w:r>
      <w:r w:rsidR="006477FD" w:rsidRPr="00FA053C">
        <w:rPr>
          <w:lang w:val="en-US"/>
        </w:rPr>
        <w:t>any submitted collective comment of the public or a summary of other materially similar comments of the public.</w:t>
      </w:r>
      <w:r w:rsidR="006477FD" w:rsidRPr="00FA053C">
        <w:rPr>
          <w:rStyle w:val="FootnoteReference"/>
          <w:bCs/>
          <w:lang w:val="en-US"/>
        </w:rPr>
        <w:footnoteReference w:id="23"/>
      </w:r>
    </w:p>
    <w:p w14:paraId="6157AB19" w14:textId="0D7798A7" w:rsidR="0080240B" w:rsidRPr="00FA053C" w:rsidRDefault="0050554D" w:rsidP="00957F9B">
      <w:pPr>
        <w:pStyle w:val="SingleTxtG"/>
        <w:numPr>
          <w:ilvl w:val="0"/>
          <w:numId w:val="3"/>
        </w:numPr>
        <w:suppressAutoHyphens w:val="0"/>
        <w:autoSpaceDE w:val="0"/>
        <w:autoSpaceDN w:val="0"/>
        <w:adjustRightInd w:val="0"/>
        <w:spacing w:line="240" w:lineRule="auto"/>
        <w:ind w:left="1094" w:right="1138" w:firstLine="0"/>
        <w:rPr>
          <w:iCs/>
        </w:rPr>
      </w:pPr>
      <w:r w:rsidRPr="00FA053C">
        <w:t>Article</w:t>
      </w:r>
      <w:r w:rsidR="00FA053C">
        <w:t xml:space="preserve"> </w:t>
      </w:r>
      <w:r w:rsidR="00321CE1" w:rsidRPr="00FA053C">
        <w:t>18</w:t>
      </w:r>
      <w:r w:rsidR="00320876" w:rsidRPr="00FA053C">
        <w:t>(</w:t>
      </w:r>
      <w:r w:rsidR="00321CE1" w:rsidRPr="00FA053C">
        <w:t>2</w:t>
      </w:r>
      <w:r w:rsidR="00320876" w:rsidRPr="00FA053C">
        <w:t>)(</w:t>
      </w:r>
      <w:r w:rsidR="00321CE1" w:rsidRPr="00FA053C">
        <w:t>d)</w:t>
      </w:r>
      <w:r w:rsidR="00320876" w:rsidRPr="00FA053C">
        <w:t>(</w:t>
      </w:r>
      <w:r w:rsidR="00321CE1" w:rsidRPr="00FA053C">
        <w:t>1</w:t>
      </w:r>
      <w:r w:rsidR="00320876" w:rsidRPr="00FA053C">
        <w:t>)</w:t>
      </w:r>
      <w:r w:rsidR="00BA7E06" w:rsidRPr="00FA053C">
        <w:t xml:space="preserve"> </w:t>
      </w:r>
      <w:r w:rsidR="008F2E69" w:rsidRPr="00FA053C">
        <w:t xml:space="preserve">provides that </w:t>
      </w:r>
      <w:r w:rsidR="008F2E69" w:rsidRPr="00C4314A">
        <w:t xml:space="preserve">a declaration </w:t>
      </w:r>
      <w:r w:rsidR="008F2E69" w:rsidRPr="00957F9B">
        <w:t>is to be included</w:t>
      </w:r>
      <w:r w:rsidR="008F2E69" w:rsidRPr="00537C28">
        <w:t xml:space="preserve"> with the draft legislation submitted to the </w:t>
      </w:r>
      <w:r w:rsidR="006D27E8">
        <w:t>L</w:t>
      </w:r>
      <w:r w:rsidR="008F2E69" w:rsidRPr="00537C28">
        <w:t xml:space="preserve">egislative </w:t>
      </w:r>
      <w:r w:rsidR="006D27E8">
        <w:t>C</w:t>
      </w:r>
      <w:r w:rsidR="008F2E69" w:rsidRPr="00537C28">
        <w:t xml:space="preserve">ouncil and </w:t>
      </w:r>
      <w:r w:rsidR="006D27E8">
        <w:t>G</w:t>
      </w:r>
      <w:r w:rsidR="008F2E69" w:rsidRPr="00537C28">
        <w:t>overnment</w:t>
      </w:r>
      <w:r w:rsidR="008F2E69" w:rsidRPr="00FA053C">
        <w:t>. This declaration is contained in the submission report.</w:t>
      </w:r>
      <w:r w:rsidR="008F2E69" w:rsidRPr="00FA053C">
        <w:rPr>
          <w:rStyle w:val="FootnoteReference"/>
          <w:bCs/>
          <w:lang w:val="en-US"/>
        </w:rPr>
        <w:footnoteReference w:id="24"/>
      </w:r>
      <w:r w:rsidR="008F2E69" w:rsidRPr="00C4314A">
        <w:t xml:space="preserve"> </w:t>
      </w:r>
      <w:r w:rsidR="008F2E69" w:rsidRPr="00957F9B">
        <w:t>The declaration must state the absence of contradictions concerning the draft law</w:t>
      </w:r>
      <w:r w:rsidR="008F2E69" w:rsidRPr="00537C28">
        <w:t xml:space="preserve"> or the contradictions which persist</w:t>
      </w:r>
      <w:r w:rsidR="00FD0CCA" w:rsidRPr="00537C28">
        <w:t>, including contradictions with the public representative and on what grounds the contradictions could not be removed.</w:t>
      </w:r>
      <w:r w:rsidR="00FD0CCA" w:rsidRPr="00FA053C">
        <w:rPr>
          <w:rStyle w:val="FootnoteReference"/>
          <w:bCs/>
          <w:lang w:val="en-US"/>
        </w:rPr>
        <w:footnoteReference w:id="25"/>
      </w:r>
      <w:bookmarkStart w:id="6" w:name="_Ref22827715"/>
    </w:p>
    <w:bookmarkEnd w:id="6"/>
    <w:p w14:paraId="7B4BB824" w14:textId="77777777" w:rsidR="00123C95" w:rsidRPr="00FA053C" w:rsidRDefault="00123C95" w:rsidP="00FA053C">
      <w:pPr>
        <w:pStyle w:val="SingleTxtG"/>
        <w:ind w:left="1094" w:right="1138"/>
      </w:pPr>
      <w:r w:rsidRPr="00FA053C">
        <w:rPr>
          <w:b/>
          <w:bCs/>
          <w:iCs/>
        </w:rPr>
        <w:t>Subsequent legal framework for legislative procedures</w:t>
      </w:r>
    </w:p>
    <w:p w14:paraId="2EA7F21A" w14:textId="4975EA17" w:rsidR="00E152E8" w:rsidRDefault="00123C95" w:rsidP="00123C95">
      <w:pPr>
        <w:pStyle w:val="SingleTxtG"/>
        <w:numPr>
          <w:ilvl w:val="0"/>
          <w:numId w:val="3"/>
        </w:numPr>
        <w:ind w:left="1094" w:right="1138" w:firstLine="0"/>
      </w:pPr>
      <w:r w:rsidRPr="00FA053C">
        <w:t>On 1 April 2016, Act no. 400/2015 Coll. on the Making of the Act and on the Collection of the Acts” entered into force. The Act provides the rules of the legislative process, including the public’s right to submit comments.</w:t>
      </w:r>
      <w:r w:rsidRPr="00FA053C">
        <w:rPr>
          <w:rStyle w:val="FootnoteReference"/>
        </w:rPr>
        <w:footnoteReference w:id="26"/>
      </w:r>
      <w:r w:rsidRPr="00FA053C">
        <w:t xml:space="preserve"> Together with the </w:t>
      </w:r>
      <w:r w:rsidR="006D27E8">
        <w:t>L</w:t>
      </w:r>
      <w:r w:rsidRPr="00FA053C">
        <w:t xml:space="preserve">egislative </w:t>
      </w:r>
      <w:r w:rsidR="006D27E8">
        <w:t>R</w:t>
      </w:r>
      <w:r w:rsidRPr="00FA053C">
        <w:t>ules, the Act provides the legal frame for the legislative process and participation of the public.</w:t>
      </w:r>
      <w:r w:rsidRPr="00FA053C">
        <w:rPr>
          <w:rStyle w:val="FootnoteReference"/>
        </w:rPr>
        <w:footnoteReference w:id="27"/>
      </w:r>
      <w:r w:rsidR="003B1F3B">
        <w:t xml:space="preserve"> </w:t>
      </w:r>
    </w:p>
    <w:p w14:paraId="5122D620" w14:textId="28ABC51B" w:rsidR="00FA053C" w:rsidRPr="00957F9B" w:rsidRDefault="00E152E8" w:rsidP="00D00E84">
      <w:pPr>
        <w:pStyle w:val="SingleTxtG"/>
        <w:ind w:left="1094" w:right="1138"/>
        <w:rPr>
          <w:iCs/>
          <w:lang w:val="en-US"/>
        </w:rPr>
      </w:pPr>
      <w:r>
        <w:t xml:space="preserve">Section 8 of </w:t>
      </w:r>
      <w:r w:rsidRPr="00FA053C">
        <w:t>Act no. 400/2015 Coll.</w:t>
      </w:r>
      <w:r w:rsidR="007C1AC9">
        <w:t xml:space="preserve"> </w:t>
      </w:r>
      <w:r w:rsidR="003F6BC8">
        <w:t>p</w:t>
      </w:r>
      <w:r w:rsidR="007C1AC9">
        <w:t>rovides that the previous online portal is to be replaced by the so-called “</w:t>
      </w:r>
      <w:proofErr w:type="spellStart"/>
      <w:r w:rsidR="007C1AC9">
        <w:t>Slov</w:t>
      </w:r>
      <w:proofErr w:type="spellEnd"/>
      <w:r w:rsidR="007C1AC9">
        <w:t>-lex” online portal.</w:t>
      </w:r>
      <w:r w:rsidR="007C1AC9">
        <w:rPr>
          <w:rStyle w:val="FootnoteReference"/>
        </w:rPr>
        <w:footnoteReference w:id="28"/>
      </w:r>
      <w:r w:rsidRPr="00FA053C">
        <w:t xml:space="preserve"> </w:t>
      </w:r>
      <w:r>
        <w:t xml:space="preserve"> </w:t>
      </w:r>
      <w:r w:rsidR="0004562B">
        <w:t>It</w:t>
      </w:r>
      <w:r w:rsidR="007C1AC9">
        <w:t xml:space="preserve"> does</w:t>
      </w:r>
      <w:r w:rsidR="003B1F3B">
        <w:t xml:space="preserve"> not change the rule from article 14(9) of the </w:t>
      </w:r>
      <w:r w:rsidR="006D27E8">
        <w:t>L</w:t>
      </w:r>
      <w:r w:rsidR="003B1F3B">
        <w:t xml:space="preserve">egislative </w:t>
      </w:r>
      <w:r w:rsidR="006D27E8">
        <w:t>R</w:t>
      </w:r>
      <w:r w:rsidR="003B1F3B">
        <w:t xml:space="preserve">ules that only </w:t>
      </w:r>
      <w:r w:rsidR="007C1AC9">
        <w:t xml:space="preserve">comments </w:t>
      </w:r>
      <w:r>
        <w:t xml:space="preserve">submitted through the </w:t>
      </w:r>
      <w:r w:rsidR="0004562B">
        <w:t>online portal (now the “</w:t>
      </w:r>
      <w:proofErr w:type="spellStart"/>
      <w:r w:rsidR="0004562B">
        <w:t>Slov</w:t>
      </w:r>
      <w:proofErr w:type="spellEnd"/>
      <w:r w:rsidR="0004562B">
        <w:t xml:space="preserve">-lex” portal) are included in the evaluation of the </w:t>
      </w:r>
      <w:r w:rsidR="00772632">
        <w:t xml:space="preserve">interdepartmental discussion to be sent to the </w:t>
      </w:r>
      <w:r w:rsidR="006D27E8">
        <w:t>L</w:t>
      </w:r>
      <w:r w:rsidR="00772632">
        <w:t xml:space="preserve">egislative </w:t>
      </w:r>
      <w:r w:rsidR="006D27E8">
        <w:t>C</w:t>
      </w:r>
      <w:r w:rsidR="00772632">
        <w:t>ouncil and the Government.</w:t>
      </w:r>
      <w:r w:rsidR="00772632">
        <w:rPr>
          <w:rStyle w:val="FootnoteReference"/>
        </w:rPr>
        <w:footnoteReference w:id="29"/>
      </w:r>
    </w:p>
    <w:p w14:paraId="407D6171" w14:textId="77777777" w:rsidR="00321CE1" w:rsidRPr="00FA053C" w:rsidRDefault="00321CE1" w:rsidP="00321CE1">
      <w:pPr>
        <w:pStyle w:val="SingleTxtG"/>
        <w:ind w:left="1100"/>
        <w:rPr>
          <w:b/>
          <w:bCs/>
          <w:iCs/>
        </w:rPr>
      </w:pPr>
      <w:r w:rsidRPr="00FA053C">
        <w:rPr>
          <w:b/>
          <w:bCs/>
          <w:iCs/>
        </w:rPr>
        <w:lastRenderedPageBreak/>
        <w:t>Access to justice</w:t>
      </w:r>
    </w:p>
    <w:p w14:paraId="25100165" w14:textId="60B56B7B" w:rsidR="00F33EA1" w:rsidRPr="00C4314A" w:rsidRDefault="006D27E8" w:rsidP="00321CE1">
      <w:pPr>
        <w:pStyle w:val="SingleTxtG"/>
        <w:ind w:left="1100"/>
        <w:rPr>
          <w:i/>
        </w:rPr>
      </w:pPr>
      <w:r>
        <w:rPr>
          <w:i/>
        </w:rPr>
        <w:t>Relevant legislation</w:t>
      </w:r>
    </w:p>
    <w:p w14:paraId="72125542" w14:textId="77777777" w:rsidR="00321CE1" w:rsidRPr="00C4314A" w:rsidRDefault="00321CE1" w:rsidP="00321CE1">
      <w:pPr>
        <w:pStyle w:val="SingleTxtG"/>
        <w:numPr>
          <w:ilvl w:val="0"/>
          <w:numId w:val="3"/>
        </w:numPr>
        <w:ind w:left="1094" w:right="1138" w:firstLine="0"/>
      </w:pPr>
      <w:r w:rsidRPr="00957F9B">
        <w:t>Article 1</w:t>
      </w:r>
      <w:r w:rsidR="000554B2" w:rsidRPr="00957F9B">
        <w:t>(</w:t>
      </w:r>
      <w:r w:rsidRPr="00537C28">
        <w:t>2</w:t>
      </w:r>
      <w:r w:rsidR="000554B2" w:rsidRPr="00537C28">
        <w:t>)</w:t>
      </w:r>
      <w:r w:rsidRPr="00FA053C">
        <w:t xml:space="preserve"> of the Constitution provides that the “Slovak Republic recognizes and respects the general rules of international law, international treaties by which it is bound, and its other international obligations.”</w:t>
      </w:r>
      <w:r w:rsidR="00AE35A5" w:rsidRPr="00FA053C">
        <w:rPr>
          <w:rStyle w:val="FootnoteReference"/>
          <w:bCs/>
          <w:lang w:val="en-US"/>
        </w:rPr>
        <w:t xml:space="preserve"> </w:t>
      </w:r>
      <w:r w:rsidR="00AE35A5" w:rsidRPr="00FA053C">
        <w:rPr>
          <w:rStyle w:val="FootnoteReference"/>
          <w:bCs/>
          <w:lang w:val="en-US"/>
        </w:rPr>
        <w:footnoteReference w:id="30"/>
      </w:r>
    </w:p>
    <w:p w14:paraId="445DAF73" w14:textId="77777777" w:rsidR="00664148" w:rsidRPr="00537C28" w:rsidRDefault="00553694" w:rsidP="00FA053C">
      <w:pPr>
        <w:pStyle w:val="SingleTxtG"/>
        <w:numPr>
          <w:ilvl w:val="0"/>
          <w:numId w:val="3"/>
        </w:numPr>
        <w:ind w:left="1094" w:right="1138" w:firstLine="0"/>
      </w:pPr>
      <w:r w:rsidRPr="00957F9B">
        <w:t>In a</w:t>
      </w:r>
      <w:r w:rsidR="00321CE1" w:rsidRPr="00957F9B">
        <w:t>ccord</w:t>
      </w:r>
      <w:r w:rsidRPr="00957F9B">
        <w:t>ance with</w:t>
      </w:r>
      <w:r w:rsidR="00321CE1" w:rsidRPr="00537C28">
        <w:t xml:space="preserve"> article 46</w:t>
      </w:r>
      <w:r w:rsidR="007E5D15" w:rsidRPr="00537C28">
        <w:t>(</w:t>
      </w:r>
      <w:r w:rsidR="00321CE1" w:rsidRPr="00FA053C">
        <w:t>1</w:t>
      </w:r>
      <w:r w:rsidR="007E5D15" w:rsidRPr="00FA053C">
        <w:t>)</w:t>
      </w:r>
      <w:r w:rsidR="00321CE1" w:rsidRPr="00FA053C">
        <w:t xml:space="preserve"> of the Constitution</w:t>
      </w:r>
      <w:r w:rsidRPr="00FA053C">
        <w:t>,</w:t>
      </w:r>
      <w:r w:rsidR="00321CE1" w:rsidRPr="00FA053C">
        <w:t xml:space="preserve"> any person may claim his </w:t>
      </w:r>
      <w:r w:rsidR="00321CE1" w:rsidRPr="00C4314A">
        <w:t xml:space="preserve">right to an independent and impartial court or other authority of the </w:t>
      </w:r>
      <w:r w:rsidR="00AE35A5" w:rsidRPr="00957F9B">
        <w:t>Party concerned.</w:t>
      </w:r>
      <w:r w:rsidR="00AE35A5" w:rsidRPr="00FA053C">
        <w:rPr>
          <w:rStyle w:val="FootnoteReference"/>
          <w:bCs/>
          <w:lang w:val="en-US"/>
        </w:rPr>
        <w:footnoteReference w:id="31"/>
      </w:r>
    </w:p>
    <w:p w14:paraId="5920ACF6" w14:textId="77777777" w:rsidR="00321CE1" w:rsidRPr="00FA053C" w:rsidRDefault="000E50AB" w:rsidP="00FA053C">
      <w:pPr>
        <w:pStyle w:val="SingleTxtG"/>
        <w:numPr>
          <w:ilvl w:val="0"/>
          <w:numId w:val="3"/>
        </w:numPr>
        <w:ind w:left="1094" w:right="1138" w:firstLine="0"/>
      </w:pPr>
      <w:r w:rsidRPr="00FA053C">
        <w:t xml:space="preserve">Section 3(1) of the </w:t>
      </w:r>
      <w:r w:rsidR="00664148" w:rsidRPr="00FA053C">
        <w:t xml:space="preserve">Act no. 9/2010 Coll. on complaints </w:t>
      </w:r>
      <w:r w:rsidR="00AE35A5" w:rsidRPr="00FA053C">
        <w:t xml:space="preserve">provides that a </w:t>
      </w:r>
      <w:bookmarkStart w:id="7" w:name="_Ref22640423"/>
      <w:r w:rsidR="00321CE1" w:rsidRPr="00FA053C">
        <w:t>complaint is a submission of a natural person or legal person, by which he</w:t>
      </w:r>
      <w:r w:rsidR="00FE6ACE" w:rsidRPr="00FA053C">
        <w:t>:</w:t>
      </w:r>
      <w:bookmarkEnd w:id="7"/>
    </w:p>
    <w:p w14:paraId="55983F92" w14:textId="26DCA5B8" w:rsidR="00321CE1" w:rsidRPr="00FA053C" w:rsidRDefault="006D27E8" w:rsidP="000E50AB">
      <w:pPr>
        <w:pStyle w:val="SingleTxtG"/>
        <w:ind w:left="1701"/>
      </w:pPr>
      <w:r>
        <w:t>(</w:t>
      </w:r>
      <w:r w:rsidR="000E50AB" w:rsidRPr="00FA053C">
        <w:t>a)</w:t>
      </w:r>
      <w:r w:rsidR="000E50AB" w:rsidRPr="00FA053C">
        <w:tab/>
      </w:r>
      <w:r w:rsidR="00622DD9" w:rsidRPr="00FA053C">
        <w:t>S</w:t>
      </w:r>
      <w:r w:rsidR="00321CE1" w:rsidRPr="00FA053C">
        <w:t xml:space="preserve">eeks to protect his rights or interests protected by law, which he considers are violated by action or inaction the </w:t>
      </w:r>
      <w:proofErr w:type="gramStart"/>
      <w:r w:rsidR="00321CE1" w:rsidRPr="00FA053C">
        <w:t>authority;</w:t>
      </w:r>
      <w:proofErr w:type="gramEnd"/>
    </w:p>
    <w:p w14:paraId="4CCB9496" w14:textId="79CE5D9B" w:rsidR="00321CE1" w:rsidRPr="00957F9B" w:rsidRDefault="006D27E8" w:rsidP="000E50AB">
      <w:pPr>
        <w:pStyle w:val="SingleTxtG"/>
        <w:ind w:left="1701"/>
      </w:pPr>
      <w:r>
        <w:t>(</w:t>
      </w:r>
      <w:r w:rsidR="000E50AB" w:rsidRPr="00FA053C">
        <w:t>b)</w:t>
      </w:r>
      <w:r w:rsidR="000E50AB" w:rsidRPr="00FA053C">
        <w:tab/>
      </w:r>
      <w:r w:rsidR="00622DD9" w:rsidRPr="00FA053C">
        <w:t>I</w:t>
      </w:r>
      <w:r w:rsidR="00321CE1" w:rsidRPr="00FA053C">
        <w:t xml:space="preserve">dentify specific deficiencies, </w:t>
      </w:r>
      <w:proofErr w:type="gramStart"/>
      <w:r w:rsidR="00321CE1" w:rsidRPr="00FA053C">
        <w:t>in particular violating</w:t>
      </w:r>
      <w:proofErr w:type="gramEnd"/>
      <w:r w:rsidR="00321CE1" w:rsidRPr="00FA053C">
        <w:t xml:space="preserve"> the law, if their elimination is the responsibility of the public authority.</w:t>
      </w:r>
      <w:r w:rsidR="00AE35A5" w:rsidRPr="00FA053C">
        <w:rPr>
          <w:rStyle w:val="FootnoteReference"/>
          <w:bCs/>
          <w:lang w:val="en-US"/>
        </w:rPr>
        <w:footnoteReference w:id="32"/>
      </w:r>
    </w:p>
    <w:p w14:paraId="39102273" w14:textId="77777777" w:rsidR="00321CE1" w:rsidRPr="00957F9B" w:rsidRDefault="000E50AB" w:rsidP="00FA053C">
      <w:pPr>
        <w:pStyle w:val="SingleTxtG"/>
        <w:numPr>
          <w:ilvl w:val="0"/>
          <w:numId w:val="3"/>
        </w:numPr>
        <w:ind w:left="1094" w:right="1138" w:firstLine="0"/>
      </w:pPr>
      <w:r w:rsidRPr="00537C28">
        <w:t xml:space="preserve">Section 31(1) of the </w:t>
      </w:r>
      <w:r w:rsidR="00321CE1" w:rsidRPr="00537C28">
        <w:t>Act no. 153/2001 Coll. on the prosecution</w:t>
      </w:r>
      <w:r w:rsidRPr="00FA053C">
        <w:t xml:space="preserve"> provides</w:t>
      </w:r>
      <w:r w:rsidR="00AE35A5" w:rsidRPr="00FA053C">
        <w:t xml:space="preserve"> that t</w:t>
      </w:r>
      <w:bookmarkStart w:id="8" w:name="_Ref22640393"/>
      <w:r w:rsidR="00321CE1" w:rsidRPr="00FA053C">
        <w:t xml:space="preserve">he prosecutor reviews the legality of the procedures and decisions of public authorities, prosecutors, investigators, police and courts within the limits set by law, also on suggestion, while he is authorized to carry out measures to eliminate the breach, if their execution is not under special laws only in </w:t>
      </w:r>
      <w:r w:rsidR="00553694" w:rsidRPr="00FA053C">
        <w:t xml:space="preserve">the </w:t>
      </w:r>
      <w:r w:rsidR="00321CE1" w:rsidRPr="00FA053C">
        <w:t>responsibility of other relevant bodies.</w:t>
      </w:r>
      <w:r w:rsidR="00AE35A5" w:rsidRPr="00FA053C">
        <w:rPr>
          <w:rStyle w:val="FootnoteReference"/>
          <w:bCs/>
          <w:lang w:val="en-US"/>
        </w:rPr>
        <w:footnoteReference w:id="33"/>
      </w:r>
      <w:bookmarkEnd w:id="8"/>
    </w:p>
    <w:p w14:paraId="3B065518" w14:textId="77777777" w:rsidR="00AE35A5" w:rsidRPr="00C4314A" w:rsidRDefault="000E50AB" w:rsidP="00AE35A5">
      <w:pPr>
        <w:pStyle w:val="SingleTxtG"/>
        <w:numPr>
          <w:ilvl w:val="0"/>
          <w:numId w:val="3"/>
        </w:numPr>
        <w:ind w:left="1094" w:right="1138" w:firstLine="0"/>
      </w:pPr>
      <w:r w:rsidRPr="00537C28">
        <w:t xml:space="preserve">Section 11(1) of the </w:t>
      </w:r>
      <w:r w:rsidR="00321CE1" w:rsidRPr="00537C28">
        <w:t>Act no. 564/2001 Coll. on the Public Defender of Rights (Ombudsman)</w:t>
      </w:r>
      <w:r w:rsidR="00664148" w:rsidRPr="00FA053C">
        <w:t xml:space="preserve"> </w:t>
      </w:r>
      <w:r w:rsidR="00AE35A5" w:rsidRPr="00FA053C">
        <w:t>provides that a</w:t>
      </w:r>
      <w:bookmarkStart w:id="9" w:name="_Ref23075757"/>
      <w:r w:rsidR="00321CE1" w:rsidRPr="00FA053C">
        <w:t>nyone may contact the Ombudsman who believes that the proceedings, the decisions or omissions of public administration violated fundamental rights and freedoms in conflict with laws or principles o</w:t>
      </w:r>
      <w:r w:rsidRPr="00FA053C">
        <w:t>f a democratic and legal state.</w:t>
      </w:r>
      <w:r w:rsidR="00AE35A5" w:rsidRPr="00FA053C">
        <w:rPr>
          <w:rStyle w:val="FootnoteReference"/>
          <w:bCs/>
          <w:lang w:val="en-US"/>
        </w:rPr>
        <w:footnoteReference w:id="34"/>
      </w:r>
      <w:bookmarkEnd w:id="9"/>
    </w:p>
    <w:p w14:paraId="7CFB3FD9" w14:textId="77777777" w:rsidR="009F28B7" w:rsidRPr="00FA053C" w:rsidRDefault="00AE35A5" w:rsidP="009F28B7">
      <w:pPr>
        <w:pStyle w:val="SingleTxtG"/>
        <w:numPr>
          <w:ilvl w:val="0"/>
          <w:numId w:val="3"/>
        </w:numPr>
        <w:ind w:left="1094" w:right="1138" w:firstLine="0"/>
      </w:pPr>
      <w:r w:rsidRPr="00957F9B" w:rsidDel="00AE35A5">
        <w:t xml:space="preserve"> </w:t>
      </w:r>
      <w:r w:rsidRPr="00957F9B">
        <w:t>I</w:t>
      </w:r>
      <w:bookmarkStart w:id="10" w:name="_Ref23168461"/>
      <w:r w:rsidRPr="00537C28">
        <w:t>n accordance with s</w:t>
      </w:r>
      <w:r w:rsidR="000E50AB" w:rsidRPr="00FA053C">
        <w:t>ection 244(2) of t</w:t>
      </w:r>
      <w:r w:rsidR="00664148" w:rsidRPr="00FA053C">
        <w:t xml:space="preserve">he </w:t>
      </w:r>
      <w:r w:rsidR="00321CE1" w:rsidRPr="00FA053C">
        <w:t>Code of Civil Procedure</w:t>
      </w:r>
      <w:r w:rsidRPr="00FA053C">
        <w:t>, administrative courts review the legality of decisions and proceedings of state administration bodies, bodies of local self-government and bodies of “interest self-government” and other legal persons as well as natural persons if any act confers them to decide on the rights and obligations of natural and legal persons in public administration.</w:t>
      </w:r>
      <w:r w:rsidRPr="00FA053C">
        <w:rPr>
          <w:rStyle w:val="FootnoteReference"/>
          <w:bCs/>
          <w:lang w:val="en-US"/>
        </w:rPr>
        <w:t xml:space="preserve"> </w:t>
      </w:r>
      <w:r w:rsidRPr="00FA053C">
        <w:rPr>
          <w:rStyle w:val="FootnoteReference"/>
          <w:bCs/>
          <w:lang w:val="en-US"/>
        </w:rPr>
        <w:footnoteReference w:id="35"/>
      </w:r>
      <w:bookmarkEnd w:id="10"/>
    </w:p>
    <w:p w14:paraId="4DCD68A2" w14:textId="25D18EA2" w:rsidR="00F33EA1" w:rsidRPr="00FA053C" w:rsidRDefault="006D27E8" w:rsidP="00FA053C">
      <w:pPr>
        <w:pStyle w:val="SingleTxtG"/>
        <w:ind w:left="1094" w:right="1138"/>
        <w:rPr>
          <w:i/>
          <w:iCs/>
        </w:rPr>
      </w:pPr>
      <w:r>
        <w:rPr>
          <w:i/>
          <w:iCs/>
        </w:rPr>
        <w:t>Relevant caselaw</w:t>
      </w:r>
    </w:p>
    <w:p w14:paraId="5C33F1FB" w14:textId="7B363976" w:rsidR="00F33EA1" w:rsidRPr="00FA053C" w:rsidRDefault="00FA053C" w:rsidP="000C41C1">
      <w:pPr>
        <w:pStyle w:val="SingleTxtG"/>
        <w:numPr>
          <w:ilvl w:val="0"/>
          <w:numId w:val="3"/>
        </w:numPr>
        <w:ind w:left="1094" w:right="1138" w:firstLine="0"/>
      </w:pPr>
      <w:bookmarkStart w:id="11" w:name="_Ref74394111"/>
      <w:r>
        <w:t>The Supreme Court, i</w:t>
      </w:r>
      <w:r w:rsidR="009F28B7" w:rsidRPr="00957F9B">
        <w:t xml:space="preserve">n decision no. 9 </w:t>
      </w:r>
      <w:proofErr w:type="spellStart"/>
      <w:r w:rsidR="009F28B7" w:rsidRPr="00957F9B">
        <w:t>Sžz</w:t>
      </w:r>
      <w:proofErr w:type="spellEnd"/>
      <w:r w:rsidR="009F28B7" w:rsidRPr="00957F9B">
        <w:t xml:space="preserve"> 5/2013 of 27 November 2013, which concerned a complaint made by a member of the public (civil association) concerning an alleged violation of the public</w:t>
      </w:r>
      <w:r w:rsidR="009F28B7" w:rsidRPr="00537C28">
        <w:t xml:space="preserve">’s rights under the </w:t>
      </w:r>
      <w:r w:rsidR="00EA5CA0">
        <w:t>L</w:t>
      </w:r>
      <w:r w:rsidR="009F28B7" w:rsidRPr="00537C28">
        <w:t xml:space="preserve">egislative </w:t>
      </w:r>
      <w:r w:rsidR="00EA5CA0">
        <w:t>R</w:t>
      </w:r>
      <w:r w:rsidR="009F28B7" w:rsidRPr="00537C28">
        <w:t>ules during the preparation of the draft law on nature protection</w:t>
      </w:r>
      <w:r>
        <w:t>, ruled</w:t>
      </w:r>
      <w:r w:rsidR="009F28B7" w:rsidRPr="00FA053C">
        <w:t xml:space="preserve"> that it lacked competence to decide the matter as the claim did not concern a legal regulation. The Constitutional Court by resolution I. ÚS 112/2014 dismissed the complaint stating that the proceeding of the Supreme Court had been correct.</w:t>
      </w:r>
      <w:r w:rsidR="009F28B7" w:rsidRPr="00C4314A">
        <w:rPr>
          <w:rStyle w:val="FootnoteReference"/>
        </w:rPr>
        <w:footnoteReference w:id="36"/>
      </w:r>
      <w:bookmarkStart w:id="12" w:name="_Ref23249461"/>
      <w:bookmarkEnd w:id="11"/>
    </w:p>
    <w:bookmarkEnd w:id="12"/>
    <w:p w14:paraId="4FD70FF0" w14:textId="77777777" w:rsidR="008D1A9A" w:rsidRPr="00FA053C" w:rsidRDefault="008D1A9A" w:rsidP="008D1A9A">
      <w:pPr>
        <w:pStyle w:val="SingleTxtG"/>
        <w:numPr>
          <w:ilvl w:val="0"/>
          <w:numId w:val="3"/>
        </w:numPr>
        <w:ind w:left="1094" w:right="1138" w:firstLine="0"/>
      </w:pPr>
      <w:r w:rsidRPr="00C4314A">
        <w:t>In</w:t>
      </w:r>
      <w:r w:rsidR="00F33EA1" w:rsidRPr="00957F9B">
        <w:t xml:space="preserve"> decision no. III. </w:t>
      </w:r>
      <w:r w:rsidRPr="00FA053C">
        <w:t>Ú</w:t>
      </w:r>
      <w:r w:rsidR="00F33EA1" w:rsidRPr="00C4314A">
        <w:t xml:space="preserve">S 4/08, </w:t>
      </w:r>
      <w:r w:rsidRPr="00957F9B">
        <w:t>the Constitutional Court dismissed a challenge of</w:t>
      </w:r>
      <w:r w:rsidRPr="00537C28">
        <w:t xml:space="preserve"> a</w:t>
      </w:r>
      <w:r w:rsidR="00F33EA1" w:rsidRPr="00FA053C">
        <w:t xml:space="preserve"> proceeding </w:t>
      </w:r>
      <w:r w:rsidRPr="00FA053C">
        <w:t>in which</w:t>
      </w:r>
      <w:r w:rsidR="00F33EA1" w:rsidRPr="00FA053C">
        <w:t xml:space="preserve"> a competent ministry submitted a draft law for a governmental negotiation without having negotiated with a representative of the public, despite the fact that the public had raised essential comment to the draft law, supported by a qualified number of supporters.</w:t>
      </w:r>
      <w:r w:rsidRPr="00FA053C">
        <w:rPr>
          <w:rStyle w:val="FootnoteReference"/>
        </w:rPr>
        <w:footnoteReference w:id="37"/>
      </w:r>
    </w:p>
    <w:p w14:paraId="088B374B" w14:textId="4FCBC3A0" w:rsidR="00F33EA1" w:rsidRPr="00FA053C" w:rsidRDefault="00F33EA1" w:rsidP="00F33EA1">
      <w:pPr>
        <w:pStyle w:val="SingleTxtG"/>
        <w:numPr>
          <w:ilvl w:val="0"/>
          <w:numId w:val="3"/>
        </w:numPr>
        <w:ind w:left="1094" w:right="1138" w:firstLine="0"/>
      </w:pPr>
      <w:r w:rsidRPr="00C4314A">
        <w:lastRenderedPageBreak/>
        <w:t xml:space="preserve"> </w:t>
      </w:r>
      <w:r w:rsidR="008D1A9A" w:rsidRPr="00957F9B">
        <w:t>In decision</w:t>
      </w:r>
      <w:r w:rsidRPr="00957F9B">
        <w:t xml:space="preserve"> no. II. ÚS 514/2012</w:t>
      </w:r>
      <w:r w:rsidR="008D1A9A" w:rsidRPr="00957F9B">
        <w:t>, the Constitutional Court</w:t>
      </w:r>
      <w:r w:rsidR="008D1A9A" w:rsidRPr="00537C28">
        <w:t xml:space="preserve"> dismissed a challenge alleging that a competent ministry</w:t>
      </w:r>
      <w:r w:rsidRPr="00FA053C">
        <w:t xml:space="preserve"> had not published </w:t>
      </w:r>
      <w:r w:rsidR="008D1A9A" w:rsidRPr="00FA053C">
        <w:t>a</w:t>
      </w:r>
      <w:r w:rsidRPr="00FA053C">
        <w:t xml:space="preserve"> draft law on the </w:t>
      </w:r>
      <w:r w:rsidR="00ED1D6B">
        <w:t>legislation p</w:t>
      </w:r>
      <w:r w:rsidR="00ED1D6B" w:rsidRPr="00FA053C">
        <w:t>ortal</w:t>
      </w:r>
      <w:r w:rsidR="008D1A9A" w:rsidRPr="00FA053C">
        <w:t xml:space="preserve">, but only sent it for comments </w:t>
      </w:r>
      <w:r w:rsidRPr="00FA053C">
        <w:t>to a selected group of ministries.</w:t>
      </w:r>
      <w:r w:rsidRPr="00C4314A">
        <w:rPr>
          <w:rStyle w:val="FootnoteReference"/>
        </w:rPr>
        <w:footnoteReference w:id="38"/>
      </w:r>
    </w:p>
    <w:p w14:paraId="5FD4E833" w14:textId="77777777" w:rsidR="008D1A9A" w:rsidRPr="00FA053C" w:rsidRDefault="008D1A9A" w:rsidP="008D1A9A">
      <w:pPr>
        <w:pStyle w:val="SingleTxtG"/>
        <w:numPr>
          <w:ilvl w:val="0"/>
          <w:numId w:val="3"/>
        </w:numPr>
        <w:ind w:left="1094" w:right="1138" w:firstLine="0"/>
      </w:pPr>
      <w:bookmarkStart w:id="13" w:name="_Ref74394124"/>
      <w:r w:rsidRPr="00FA053C">
        <w:t>In decisions nos.</w:t>
      </w:r>
      <w:r w:rsidR="002929CC">
        <w:t xml:space="preserve"> </w:t>
      </w:r>
      <w:r w:rsidRPr="00FA053C">
        <w:t>III. ÚS 102/08</w:t>
      </w:r>
      <w:r w:rsidR="002929CC">
        <w:t xml:space="preserve"> </w:t>
      </w:r>
      <w:r w:rsidRPr="00FA053C">
        <w:t>and I. ÚS 112/2014, the Constitutional Court dismissed complaints brought by members of the public objecting to violations of the legislation rules in connection with a violation of article 8 of the Convention.</w:t>
      </w:r>
      <w:r w:rsidRPr="00FA053C">
        <w:rPr>
          <w:rStyle w:val="FootnoteReference"/>
        </w:rPr>
        <w:footnoteReference w:id="39"/>
      </w:r>
      <w:bookmarkEnd w:id="13"/>
    </w:p>
    <w:p w14:paraId="0322C545" w14:textId="77777777" w:rsidR="000C41C1" w:rsidRPr="00C4314A" w:rsidRDefault="00F33EA1" w:rsidP="00FA053C">
      <w:pPr>
        <w:pStyle w:val="H1G"/>
        <w:numPr>
          <w:ilvl w:val="0"/>
          <w:numId w:val="55"/>
        </w:numPr>
      </w:pPr>
      <w:r w:rsidRPr="00FA053C">
        <w:t>Facts</w:t>
      </w:r>
    </w:p>
    <w:p w14:paraId="67F6A4AE" w14:textId="01535D5B" w:rsidR="00FD1127" w:rsidRPr="00FA053C" w:rsidRDefault="009F28B7" w:rsidP="00FD1127">
      <w:pPr>
        <w:pStyle w:val="SingleTxtG"/>
        <w:numPr>
          <w:ilvl w:val="0"/>
          <w:numId w:val="3"/>
        </w:numPr>
        <w:ind w:left="1094" w:right="1138" w:firstLine="0"/>
      </w:pPr>
      <w:r w:rsidRPr="00FA053C">
        <w:t>F</w:t>
      </w:r>
      <w:r w:rsidR="00FE6ACE" w:rsidRPr="00957F9B">
        <w:t>rom</w:t>
      </w:r>
      <w:r w:rsidR="002F3BFE" w:rsidRPr="00FA053C">
        <w:t xml:space="preserve"> 10 May 2013</w:t>
      </w:r>
      <w:r w:rsidR="00FE6ACE" w:rsidRPr="00FA053C">
        <w:t xml:space="preserve"> to 30 May 2013</w:t>
      </w:r>
      <w:r w:rsidR="002F3BFE" w:rsidRPr="00FA053C">
        <w:t xml:space="preserve">, draft amendments to </w:t>
      </w:r>
      <w:r w:rsidR="007E5D15" w:rsidRPr="00FA053C">
        <w:t>L</w:t>
      </w:r>
      <w:r w:rsidR="002F3BFE" w:rsidRPr="00FA053C">
        <w:t xml:space="preserve">aw no. 326/2005 Coll. on </w:t>
      </w:r>
      <w:r w:rsidR="004F6CAF">
        <w:t>f</w:t>
      </w:r>
      <w:r w:rsidR="002F3BFE" w:rsidRPr="00FA053C">
        <w:t>orests (Forest Act)</w:t>
      </w:r>
      <w:r w:rsidR="00152959" w:rsidRPr="00FA053C">
        <w:t xml:space="preserve"> w</w:t>
      </w:r>
      <w:r w:rsidR="00622DD9" w:rsidRPr="00FA053C">
        <w:t xml:space="preserve">ere </w:t>
      </w:r>
      <w:r w:rsidR="00152959" w:rsidRPr="00FA053C">
        <w:t xml:space="preserve">submitted to a public interdepartmental discussion by the Ministry of </w:t>
      </w:r>
      <w:r w:rsidR="002F3BFE" w:rsidRPr="00FA053C">
        <w:t>A</w:t>
      </w:r>
      <w:r w:rsidR="00152959" w:rsidRPr="00FA053C">
        <w:t xml:space="preserve">griculture and </w:t>
      </w:r>
      <w:r w:rsidR="002F3BFE" w:rsidRPr="00FA053C">
        <w:t>R</w:t>
      </w:r>
      <w:r w:rsidR="00152959" w:rsidRPr="00FA053C">
        <w:t xml:space="preserve">ural </w:t>
      </w:r>
      <w:r w:rsidR="002F3BFE" w:rsidRPr="00FA053C">
        <w:t>D</w:t>
      </w:r>
      <w:r w:rsidR="00152959" w:rsidRPr="00FA053C">
        <w:t xml:space="preserve">evelopment </w:t>
      </w:r>
      <w:r w:rsidR="00BF48F0" w:rsidRPr="00FA053C">
        <w:t xml:space="preserve">(the </w:t>
      </w:r>
      <w:r w:rsidR="00696B34" w:rsidRPr="00FA053C">
        <w:t>submitter</w:t>
      </w:r>
      <w:r w:rsidR="00BF48F0" w:rsidRPr="00FA053C">
        <w:t xml:space="preserve">) </w:t>
      </w:r>
      <w:r w:rsidR="00152959" w:rsidRPr="00FA053C">
        <w:t xml:space="preserve">under no. 2752/2013-410 and published on the </w:t>
      </w:r>
      <w:r w:rsidR="00ED1D6B">
        <w:t xml:space="preserve">legislation </w:t>
      </w:r>
      <w:r w:rsidR="00FA053C">
        <w:t>p</w:t>
      </w:r>
      <w:r w:rsidR="00152959" w:rsidRPr="00FA053C">
        <w:t>ortal.</w:t>
      </w:r>
      <w:r w:rsidR="00152959" w:rsidRPr="00C4314A">
        <w:rPr>
          <w:rStyle w:val="FootnoteReference"/>
        </w:rPr>
        <w:footnoteReference w:id="40"/>
      </w:r>
    </w:p>
    <w:p w14:paraId="7C18A564" w14:textId="77777777" w:rsidR="00FD1127" w:rsidRPr="00FA053C" w:rsidRDefault="00FD1127" w:rsidP="004A2DC7">
      <w:pPr>
        <w:pStyle w:val="SingleTxtG"/>
        <w:numPr>
          <w:ilvl w:val="0"/>
          <w:numId w:val="3"/>
        </w:numPr>
        <w:ind w:left="1094" w:right="1138" w:firstLine="0"/>
      </w:pPr>
      <w:r w:rsidRPr="00FA053C" w:rsidDel="00FD1127">
        <w:t xml:space="preserve"> </w:t>
      </w:r>
      <w:r w:rsidRPr="00FA053C">
        <w:t>A</w:t>
      </w:r>
      <w:r w:rsidR="00004309" w:rsidRPr="00FA053C">
        <w:t>mong the proposed amendments was a change to section 30(3) of the Forest Act to provide:</w:t>
      </w:r>
    </w:p>
    <w:p w14:paraId="588DD9AC" w14:textId="77777777" w:rsidR="00FD1127" w:rsidRPr="00FA053C" w:rsidRDefault="00FD1127" w:rsidP="004A2DC7">
      <w:pPr>
        <w:pStyle w:val="SingleTxtG"/>
        <w:suppressAutoHyphens w:val="0"/>
        <w:autoSpaceDE w:val="0"/>
        <w:autoSpaceDN w:val="0"/>
        <w:adjustRightInd w:val="0"/>
        <w:spacing w:line="240" w:lineRule="auto"/>
        <w:ind w:left="1701"/>
      </w:pPr>
      <w:r w:rsidRPr="00FA053C">
        <w:t>“To organize physical education, sport or tourist competitions and events or to carry out commercial activities on forest land is possible only after a written agreement with the forest manager.”</w:t>
      </w:r>
      <w:r w:rsidRPr="00FA053C">
        <w:rPr>
          <w:rStyle w:val="FootnoteReference"/>
        </w:rPr>
        <w:t xml:space="preserve"> </w:t>
      </w:r>
      <w:r w:rsidRPr="00FA053C">
        <w:rPr>
          <w:rStyle w:val="FootnoteReference"/>
        </w:rPr>
        <w:footnoteReference w:id="41"/>
      </w:r>
    </w:p>
    <w:p w14:paraId="54E48E80" w14:textId="0D204095" w:rsidR="00FD1127" w:rsidRPr="00FA053C" w:rsidRDefault="00FD1127" w:rsidP="004A2DC7">
      <w:pPr>
        <w:pStyle w:val="SingleTxtG"/>
        <w:numPr>
          <w:ilvl w:val="0"/>
          <w:numId w:val="3"/>
        </w:numPr>
        <w:ind w:left="1094" w:right="1138" w:firstLine="0"/>
      </w:pPr>
      <w:r w:rsidRPr="00FA053C" w:rsidDel="00FD1127">
        <w:t xml:space="preserve"> </w:t>
      </w:r>
      <w:proofErr w:type="spellStart"/>
      <w:r w:rsidRPr="00FA053C">
        <w:t>R</w:t>
      </w:r>
      <w:r w:rsidR="002F3BFE" w:rsidRPr="00957F9B">
        <w:t>óbert</w:t>
      </w:r>
      <w:proofErr w:type="spellEnd"/>
      <w:r w:rsidR="002F3BFE" w:rsidRPr="00957F9B">
        <w:t xml:space="preserve"> </w:t>
      </w:r>
      <w:proofErr w:type="spellStart"/>
      <w:r w:rsidR="002F3BFE" w:rsidRPr="00957F9B">
        <w:t>Oružinský</w:t>
      </w:r>
      <w:proofErr w:type="spellEnd"/>
      <w:r w:rsidR="002F3BFE" w:rsidRPr="00957F9B">
        <w:t xml:space="preserve">, a member of the public, submitted </w:t>
      </w:r>
      <w:r w:rsidR="003D7BF3" w:rsidRPr="00FA053C">
        <w:t>17</w:t>
      </w:r>
      <w:r w:rsidR="002F3BFE" w:rsidRPr="00957F9B">
        <w:t xml:space="preserve"> collective comment</w:t>
      </w:r>
      <w:r w:rsidR="003D7BF3" w:rsidRPr="00FA053C">
        <w:t>s</w:t>
      </w:r>
      <w:r w:rsidR="002F3BFE" w:rsidRPr="00957F9B">
        <w:t xml:space="preserve"> </w:t>
      </w:r>
      <w:r w:rsidR="00F72F84" w:rsidRPr="00537C28">
        <w:t>in accordance with article 14</w:t>
      </w:r>
      <w:r w:rsidR="004A4DBF" w:rsidRPr="00FA053C">
        <w:t>(6)</w:t>
      </w:r>
      <w:r w:rsidR="00F72F84" w:rsidRPr="00FA053C">
        <w:t xml:space="preserve"> of the </w:t>
      </w:r>
      <w:r w:rsidR="00ED1D6B">
        <w:t>L</w:t>
      </w:r>
      <w:r w:rsidR="00F72F84" w:rsidRPr="00FA053C">
        <w:t>egislat</w:t>
      </w:r>
      <w:r w:rsidR="009A5DDC" w:rsidRPr="00FA053C">
        <w:t>i</w:t>
      </w:r>
      <w:r w:rsidR="00F72F84" w:rsidRPr="00FA053C">
        <w:t xml:space="preserve">ve </w:t>
      </w:r>
      <w:r w:rsidR="00ED1D6B">
        <w:t>R</w:t>
      </w:r>
      <w:r w:rsidR="00F72F84" w:rsidRPr="00FA053C">
        <w:t xml:space="preserve">ules </w:t>
      </w:r>
      <w:r w:rsidR="002F3BFE" w:rsidRPr="00FA053C">
        <w:t xml:space="preserve">on the draft </w:t>
      </w:r>
      <w:r w:rsidR="004A4DBF" w:rsidRPr="00FA053C">
        <w:t>amendments</w:t>
      </w:r>
      <w:r w:rsidR="002F3BFE" w:rsidRPr="00957F9B">
        <w:t xml:space="preserve">. </w:t>
      </w:r>
      <w:r w:rsidR="00ED1D6B">
        <w:t xml:space="preserve">He submitted the same </w:t>
      </w:r>
      <w:r w:rsidR="005922C6" w:rsidRPr="00FA053C">
        <w:t>c</w:t>
      </w:r>
      <w:r w:rsidR="00305D5B" w:rsidRPr="00FA053C">
        <w:t>ollective comment</w:t>
      </w:r>
      <w:r w:rsidR="004A4DBF" w:rsidRPr="00FA053C">
        <w:t>s</w:t>
      </w:r>
      <w:r w:rsidR="00305D5B" w:rsidRPr="00FA053C">
        <w:t xml:space="preserve"> through the </w:t>
      </w:r>
      <w:r w:rsidR="00ED1D6B">
        <w:t xml:space="preserve">legislation </w:t>
      </w:r>
      <w:r w:rsidR="00FA053C">
        <w:t>p</w:t>
      </w:r>
      <w:r w:rsidR="00305D5B" w:rsidRPr="00FA053C">
        <w:t xml:space="preserve">ortal </w:t>
      </w:r>
      <w:r w:rsidR="00ED1D6B">
        <w:t xml:space="preserve">and in </w:t>
      </w:r>
      <w:r w:rsidR="00305D5B" w:rsidRPr="00FA053C">
        <w:t xml:space="preserve">a letter </w:t>
      </w:r>
      <w:r w:rsidR="005922C6" w:rsidRPr="00FA053C">
        <w:t xml:space="preserve">dated </w:t>
      </w:r>
      <w:r w:rsidR="00305D5B" w:rsidRPr="00FA053C">
        <w:t>27 May 2013.</w:t>
      </w:r>
      <w:r w:rsidR="00305D5B" w:rsidRPr="00C4314A">
        <w:rPr>
          <w:vertAlign w:val="superscript"/>
        </w:rPr>
        <w:footnoteReference w:id="42"/>
      </w:r>
      <w:r w:rsidR="00004309" w:rsidRPr="00FA053C">
        <w:t xml:space="preserve"> Comment no. 11 objected to the proposed change of section 30(3) of the Forest Act.</w:t>
      </w:r>
      <w:r w:rsidR="00004309" w:rsidRPr="00FA053C">
        <w:rPr>
          <w:vertAlign w:val="superscript"/>
        </w:rPr>
        <w:footnoteReference w:id="43"/>
      </w:r>
      <w:r w:rsidR="00E75E65" w:rsidRPr="00FA053C">
        <w:t xml:space="preserve"> This comment </w:t>
      </w:r>
      <w:r w:rsidR="00ED1D6B">
        <w:t>requested</w:t>
      </w:r>
      <w:r w:rsidR="00E75E65" w:rsidRPr="00FA053C">
        <w:t xml:space="preserve"> </w:t>
      </w:r>
      <w:r w:rsidR="00ED1D6B">
        <w:t xml:space="preserve">section 30(3) </w:t>
      </w:r>
      <w:r w:rsidR="00E75E65" w:rsidRPr="00FA053C">
        <w:t>be amended to read:</w:t>
      </w:r>
    </w:p>
    <w:p w14:paraId="5F3B975E" w14:textId="77777777" w:rsidR="00FD1127" w:rsidRPr="00FA053C" w:rsidRDefault="00FD1127" w:rsidP="004A2DC7">
      <w:pPr>
        <w:pStyle w:val="SingleTxtG"/>
        <w:suppressAutoHyphens w:val="0"/>
        <w:autoSpaceDE w:val="0"/>
        <w:autoSpaceDN w:val="0"/>
        <w:adjustRightInd w:val="0"/>
        <w:spacing w:line="240" w:lineRule="auto"/>
        <w:ind w:left="1701"/>
      </w:pPr>
      <w:r w:rsidRPr="00FA053C">
        <w:t xml:space="preserve">“Organizing of physical education, sport or hiking events </w:t>
      </w:r>
      <w:r w:rsidR="00FA053C">
        <w:t>is</w:t>
      </w:r>
      <w:r w:rsidR="00FA053C" w:rsidRPr="00FA053C">
        <w:t xml:space="preserve"> </w:t>
      </w:r>
      <w:r w:rsidRPr="00FA053C">
        <w:t>possible only in accordance with particular regulations.</w:t>
      </w:r>
      <w:r w:rsidRPr="00FA053C">
        <w:rPr>
          <w:vertAlign w:val="superscript"/>
        </w:rPr>
        <w:t>45c</w:t>
      </w:r>
      <w:r w:rsidRPr="00FA053C">
        <w:t>”</w:t>
      </w:r>
      <w:r w:rsidRPr="00FA053C">
        <w:rPr>
          <w:vertAlign w:val="superscript"/>
        </w:rPr>
        <w:t xml:space="preserve"> </w:t>
      </w:r>
      <w:r w:rsidRPr="00FA053C">
        <w:rPr>
          <w:vertAlign w:val="superscript"/>
        </w:rPr>
        <w:footnoteReference w:id="44"/>
      </w:r>
    </w:p>
    <w:p w14:paraId="0C2AED4F" w14:textId="369B500B" w:rsidR="00FD1127" w:rsidRPr="00FA053C" w:rsidRDefault="00FD1127" w:rsidP="00FD1127">
      <w:pPr>
        <w:pStyle w:val="SingleTxtG"/>
        <w:numPr>
          <w:ilvl w:val="0"/>
          <w:numId w:val="3"/>
        </w:numPr>
        <w:ind w:left="1094" w:right="1138" w:firstLine="0"/>
      </w:pPr>
      <w:r w:rsidRPr="00FA053C" w:rsidDel="00FD1127">
        <w:t xml:space="preserve"> </w:t>
      </w:r>
      <w:r w:rsidR="004A2DC7">
        <w:t>F</w:t>
      </w:r>
      <w:r w:rsidR="00E75E65" w:rsidRPr="00FA053C">
        <w:t>ootnote 45(c) read: “</w:t>
      </w:r>
      <w:r w:rsidR="004977AA" w:rsidRPr="00FA053C">
        <w:t>Law no. 479/2008 Coll. on organizing of physical education, sport and hiking events of public character.”</w:t>
      </w:r>
      <w:r w:rsidR="004977AA" w:rsidRPr="00FA053C">
        <w:rPr>
          <w:vertAlign w:val="superscript"/>
        </w:rPr>
        <w:t xml:space="preserve"> </w:t>
      </w:r>
      <w:r w:rsidR="004977AA" w:rsidRPr="00FA053C">
        <w:rPr>
          <w:vertAlign w:val="superscript"/>
        </w:rPr>
        <w:footnoteReference w:id="45"/>
      </w:r>
    </w:p>
    <w:p w14:paraId="65DEA259" w14:textId="5260E03D" w:rsidR="00FD1127" w:rsidRPr="00FA053C" w:rsidRDefault="00FD1127" w:rsidP="00FD1127">
      <w:pPr>
        <w:pStyle w:val="SingleTxtG"/>
        <w:numPr>
          <w:ilvl w:val="0"/>
          <w:numId w:val="3"/>
        </w:numPr>
        <w:ind w:left="1094" w:right="1138" w:firstLine="0"/>
      </w:pPr>
      <w:r w:rsidRPr="00FA053C">
        <w:t>T</w:t>
      </w:r>
      <w:r w:rsidR="005C0CE9" w:rsidRPr="00C4314A">
        <w:t>he collective comment</w:t>
      </w:r>
      <w:r w:rsidR="005C0CE9" w:rsidRPr="00957F9B">
        <w:t>s submitted electronically were supp</w:t>
      </w:r>
      <w:r w:rsidR="005C0CE9" w:rsidRPr="00537C28">
        <w:t xml:space="preserve">orted </w:t>
      </w:r>
      <w:r w:rsidR="005C0CE9" w:rsidRPr="00FA053C">
        <w:t>on the portal by 62 persons.</w:t>
      </w:r>
      <w:r w:rsidR="005C0CE9" w:rsidRPr="00C4314A">
        <w:rPr>
          <w:vertAlign w:val="superscript"/>
        </w:rPr>
        <w:footnoteReference w:id="46"/>
      </w:r>
      <w:r w:rsidR="005C0CE9" w:rsidRPr="00C4314A">
        <w:t xml:space="preserve"> </w:t>
      </w:r>
      <w:r w:rsidR="00B0223D" w:rsidRPr="00FA053C">
        <w:t>E</w:t>
      </w:r>
      <w:r w:rsidR="00C55C13" w:rsidRPr="00C4314A">
        <w:t xml:space="preserve">vidence </w:t>
      </w:r>
      <w:r w:rsidR="00931E74" w:rsidRPr="00957F9B">
        <w:t xml:space="preserve">submitted with the comments </w:t>
      </w:r>
      <w:r w:rsidR="00ED1D6B">
        <w:t xml:space="preserve">provided </w:t>
      </w:r>
      <w:r w:rsidR="00931E74" w:rsidRPr="00957F9B">
        <w:t xml:space="preserve">in written form </w:t>
      </w:r>
      <w:r w:rsidR="00C55C13" w:rsidRPr="00957F9B">
        <w:t xml:space="preserve">showed </w:t>
      </w:r>
      <w:r w:rsidR="003D7BF3" w:rsidRPr="00957F9B">
        <w:t xml:space="preserve">the </w:t>
      </w:r>
      <w:r w:rsidR="00C55C13" w:rsidRPr="00537C28">
        <w:t>support of 9062 persons.</w:t>
      </w:r>
      <w:r w:rsidR="00C55C13" w:rsidRPr="00C4314A">
        <w:rPr>
          <w:vertAlign w:val="superscript"/>
        </w:rPr>
        <w:footnoteReference w:id="47"/>
      </w:r>
      <w:r w:rsidR="00C55C13" w:rsidRPr="00C4314A">
        <w:t xml:space="preserve"> </w:t>
      </w:r>
    </w:p>
    <w:p w14:paraId="12A75769" w14:textId="08994A0D" w:rsidR="00FD1127" w:rsidRPr="00FA053C" w:rsidRDefault="00FD1127" w:rsidP="00D00E84">
      <w:pPr>
        <w:pStyle w:val="SingleTxtG"/>
        <w:numPr>
          <w:ilvl w:val="0"/>
          <w:numId w:val="3"/>
        </w:numPr>
        <w:ind w:left="1094" w:right="1138" w:firstLine="0"/>
      </w:pPr>
      <w:r w:rsidRPr="00FA053C">
        <w:t>O</w:t>
      </w:r>
      <w:r w:rsidR="00B0223D" w:rsidRPr="00C4314A">
        <w:t>n 10 June 2013</w:t>
      </w:r>
      <w:r w:rsidR="00B0223D" w:rsidRPr="00957F9B">
        <w:t>, a</w:t>
      </w:r>
      <w:r w:rsidR="00C526C8" w:rsidRPr="00957F9B">
        <w:t xml:space="preserve"> </w:t>
      </w:r>
      <w:r w:rsidR="00C526C8" w:rsidRPr="00FA053C">
        <w:t>n</w:t>
      </w:r>
      <w:r w:rsidR="006C7196" w:rsidRPr="00FA053C">
        <w:t>egotiation on contradictio</w:t>
      </w:r>
      <w:r w:rsidR="00B0223D" w:rsidRPr="00FA053C">
        <w:t>ns</w:t>
      </w:r>
      <w:r w:rsidR="00212A8B">
        <w:t xml:space="preserve"> took place</w:t>
      </w:r>
      <w:r w:rsidR="006C7196" w:rsidRPr="00FA053C">
        <w:t xml:space="preserve"> between the </w:t>
      </w:r>
      <w:r w:rsidR="00165DF4" w:rsidRPr="00FA053C">
        <w:t>submitter</w:t>
      </w:r>
      <w:r w:rsidR="00165DF4" w:rsidRPr="00C4314A">
        <w:t xml:space="preserve"> </w:t>
      </w:r>
      <w:r w:rsidR="006C7196" w:rsidRPr="00957F9B">
        <w:t xml:space="preserve">and </w:t>
      </w:r>
      <w:r w:rsidR="00F72F84" w:rsidRPr="00957F9B">
        <w:t xml:space="preserve">Mr </w:t>
      </w:r>
      <w:bookmarkStart w:id="14" w:name="_Hlk23328602"/>
      <w:proofErr w:type="spellStart"/>
      <w:r w:rsidR="00F72F84" w:rsidRPr="00957F9B">
        <w:t>Oružinský</w:t>
      </w:r>
      <w:bookmarkEnd w:id="14"/>
      <w:proofErr w:type="spellEnd"/>
      <w:r w:rsidR="00F72F84" w:rsidRPr="00957F9B">
        <w:t xml:space="preserve">, as a “representative of the public” </w:t>
      </w:r>
      <w:r w:rsidR="00B0223D" w:rsidRPr="00537C28">
        <w:t>pursuant</w:t>
      </w:r>
      <w:r w:rsidR="00F72F84" w:rsidRPr="00FA053C">
        <w:t xml:space="preserve"> article 14</w:t>
      </w:r>
      <w:r w:rsidR="00B0223D" w:rsidRPr="00FA053C">
        <w:t>(</w:t>
      </w:r>
      <w:r w:rsidR="00F72F84" w:rsidRPr="00FA053C">
        <w:t>6</w:t>
      </w:r>
      <w:r w:rsidR="00B0223D" w:rsidRPr="00FA053C">
        <w:t>)</w:t>
      </w:r>
      <w:r w:rsidR="00F72F84" w:rsidRPr="00FA053C">
        <w:t xml:space="preserve"> of the </w:t>
      </w:r>
      <w:r w:rsidR="00EA5CA0">
        <w:t>L</w:t>
      </w:r>
      <w:r w:rsidR="00F72F84" w:rsidRPr="00FA053C">
        <w:t xml:space="preserve">egislative </w:t>
      </w:r>
      <w:r w:rsidR="00EA5CA0">
        <w:t>R</w:t>
      </w:r>
      <w:r w:rsidR="00F72F84" w:rsidRPr="00FA053C">
        <w:t>ules</w:t>
      </w:r>
      <w:r w:rsidR="006C7196" w:rsidRPr="00537C28">
        <w:t>.</w:t>
      </w:r>
      <w:r w:rsidR="006C7196" w:rsidRPr="00C4314A">
        <w:rPr>
          <w:rStyle w:val="FootnoteReference"/>
        </w:rPr>
        <w:footnoteReference w:id="48"/>
      </w:r>
      <w:r w:rsidR="005E5BE8" w:rsidRPr="00FA053C">
        <w:t xml:space="preserve"> I</w:t>
      </w:r>
      <w:bookmarkStart w:id="15" w:name="_Ref22827477"/>
      <w:r w:rsidR="005E5BE8" w:rsidRPr="00957F9B">
        <w:t>n the course of the negotiation</w:t>
      </w:r>
      <w:r w:rsidR="00212A8B">
        <w:t>,</w:t>
      </w:r>
      <w:r w:rsidR="005E5BE8" w:rsidRPr="00957F9B">
        <w:t xml:space="preserve"> </w:t>
      </w:r>
      <w:r w:rsidR="005E5BE8" w:rsidRPr="00FA053C">
        <w:t>the submitter accept</w:t>
      </w:r>
      <w:r w:rsidR="00165DF4" w:rsidRPr="00FA053C">
        <w:t>ed</w:t>
      </w:r>
      <w:r w:rsidR="005E5BE8" w:rsidRPr="00FA053C">
        <w:t xml:space="preserve"> in whole or in part 13 of the 17 comments submitted</w:t>
      </w:r>
      <w:r w:rsidR="006C7196" w:rsidRPr="00FA053C">
        <w:t>.</w:t>
      </w:r>
      <w:r w:rsidR="006C7196" w:rsidRPr="00C4314A">
        <w:rPr>
          <w:rStyle w:val="FootnoteReference"/>
        </w:rPr>
        <w:footnoteReference w:id="49"/>
      </w:r>
      <w:r w:rsidR="00F701B8" w:rsidRPr="00FA053C">
        <w:t xml:space="preserve"> </w:t>
      </w:r>
      <w:r w:rsidR="001331B2" w:rsidRPr="00FA053C">
        <w:t>Contradictions persisted with respect to 4 comments.</w:t>
      </w:r>
      <w:r w:rsidR="001331B2" w:rsidRPr="00FA053C">
        <w:rPr>
          <w:rStyle w:val="FootnoteReference"/>
        </w:rPr>
        <w:footnoteReference w:id="50"/>
      </w:r>
      <w:bookmarkStart w:id="16" w:name="_Ref23075769"/>
      <w:bookmarkEnd w:id="15"/>
      <w:r w:rsidR="00E66876">
        <w:t xml:space="preserve"> </w:t>
      </w:r>
      <w:r w:rsidRPr="00FA053C">
        <w:t>A</w:t>
      </w:r>
      <w:r w:rsidR="001331B2" w:rsidRPr="00FA053C">
        <w:t>mong the comments that the submitter accept</w:t>
      </w:r>
      <w:r w:rsidR="003931C9" w:rsidRPr="00FA053C">
        <w:t>ed</w:t>
      </w:r>
      <w:r w:rsidR="001331B2" w:rsidRPr="00FA053C">
        <w:t xml:space="preserve"> was comment no. 11</w:t>
      </w:r>
      <w:r w:rsidR="00004309" w:rsidRPr="00FA053C">
        <w:t>.</w:t>
      </w:r>
      <w:bookmarkEnd w:id="16"/>
      <w:r w:rsidR="001331B2" w:rsidRPr="00FA053C">
        <w:t xml:space="preserve"> </w:t>
      </w:r>
    </w:p>
    <w:p w14:paraId="38D12140" w14:textId="47DB66DC" w:rsidR="00FD1127" w:rsidRPr="00C4314A" w:rsidRDefault="00FD1127" w:rsidP="00FA053C">
      <w:pPr>
        <w:pStyle w:val="SingleTxtG"/>
        <w:numPr>
          <w:ilvl w:val="0"/>
          <w:numId w:val="3"/>
        </w:numPr>
        <w:ind w:left="1094" w:right="1138" w:firstLine="0"/>
        <w:rPr>
          <w:b/>
          <w:bCs/>
        </w:rPr>
      </w:pPr>
      <w:r w:rsidRPr="00FA053C">
        <w:lastRenderedPageBreak/>
        <w:t>M</w:t>
      </w:r>
      <w:r w:rsidR="00F701B8" w:rsidRPr="00FA053C">
        <w:t>r</w:t>
      </w:r>
      <w:r w:rsidR="00887BC2">
        <w:t>.</w:t>
      </w:r>
      <w:r w:rsidR="00F701B8" w:rsidRPr="00FA053C">
        <w:t xml:space="preserve"> </w:t>
      </w:r>
      <w:proofErr w:type="spellStart"/>
      <w:r w:rsidR="00F701B8" w:rsidRPr="00FA053C">
        <w:t>Oružinský</w:t>
      </w:r>
      <w:proofErr w:type="spellEnd"/>
      <w:r w:rsidR="00F701B8" w:rsidRPr="00FA053C">
        <w:t xml:space="preserve"> recorded the negotiations on his mobile phone</w:t>
      </w:r>
      <w:r w:rsidR="001331B2" w:rsidRPr="00FA053C">
        <w:t>.</w:t>
      </w:r>
      <w:r w:rsidR="001331B2" w:rsidRPr="00FA053C">
        <w:rPr>
          <w:rStyle w:val="FootnoteReference"/>
        </w:rPr>
        <w:footnoteReference w:id="51"/>
      </w:r>
      <w:r w:rsidR="001331B2" w:rsidRPr="00FA053C">
        <w:t xml:space="preserve"> </w:t>
      </w:r>
      <w:r w:rsidR="004977AA" w:rsidRPr="00FA053C">
        <w:t>The submitter sent the report of the negotiations</w:t>
      </w:r>
      <w:r w:rsidR="00DD7E23" w:rsidRPr="00FA053C">
        <w:t xml:space="preserve"> and its evaluation of the interdepartmental</w:t>
      </w:r>
      <w:r w:rsidR="00091D98" w:rsidRPr="00FA053C">
        <w:t xml:space="preserve"> discussion</w:t>
      </w:r>
      <w:r w:rsidR="004977AA" w:rsidRPr="00FA053C">
        <w:t xml:space="preserve"> via email.</w:t>
      </w:r>
      <w:r w:rsidR="004977AA" w:rsidRPr="00FA053C">
        <w:rPr>
          <w:rStyle w:val="FootnoteReference"/>
        </w:rPr>
        <w:footnoteReference w:id="52"/>
      </w:r>
    </w:p>
    <w:p w14:paraId="49F56060" w14:textId="158C4225" w:rsidR="00FD1127" w:rsidRPr="00FA053C" w:rsidRDefault="00FD1127" w:rsidP="00FA053C">
      <w:pPr>
        <w:pStyle w:val="SingleTxtG"/>
        <w:suppressAutoHyphens w:val="0"/>
        <w:autoSpaceDE w:val="0"/>
        <w:autoSpaceDN w:val="0"/>
        <w:adjustRightInd w:val="0"/>
        <w:spacing w:line="240" w:lineRule="auto"/>
        <w:rPr>
          <w:b/>
          <w:bCs/>
        </w:rPr>
      </w:pPr>
      <w:r w:rsidRPr="00FA053C">
        <w:rPr>
          <w:b/>
          <w:bCs/>
        </w:rPr>
        <w:t xml:space="preserve">Events concerning the submission to the </w:t>
      </w:r>
      <w:r w:rsidR="00ED1D6B">
        <w:rPr>
          <w:b/>
          <w:bCs/>
        </w:rPr>
        <w:t>L</w:t>
      </w:r>
      <w:r w:rsidRPr="00FA053C">
        <w:rPr>
          <w:b/>
          <w:bCs/>
        </w:rPr>
        <w:t xml:space="preserve">egislative </w:t>
      </w:r>
      <w:r w:rsidR="00ED1D6B">
        <w:rPr>
          <w:b/>
          <w:bCs/>
        </w:rPr>
        <w:t>C</w:t>
      </w:r>
      <w:r w:rsidR="000E4AA7">
        <w:rPr>
          <w:b/>
          <w:bCs/>
        </w:rPr>
        <w:t>ouncil</w:t>
      </w:r>
    </w:p>
    <w:p w14:paraId="657F31B1" w14:textId="49FB5F87" w:rsidR="00FD1127" w:rsidRPr="00FA053C" w:rsidRDefault="00FD1127" w:rsidP="00FD1127">
      <w:pPr>
        <w:pStyle w:val="SingleTxtG"/>
        <w:numPr>
          <w:ilvl w:val="0"/>
          <w:numId w:val="3"/>
        </w:numPr>
        <w:ind w:left="1094" w:right="1138" w:firstLine="0"/>
      </w:pPr>
      <w:r w:rsidRPr="00FA053C">
        <w:t>O</w:t>
      </w:r>
      <w:bookmarkStart w:id="17" w:name="_Ref23075066"/>
      <w:r w:rsidR="00BC2D10" w:rsidRPr="00FA053C">
        <w:t xml:space="preserve">n 19 June 2013, prior the negotiation of the </w:t>
      </w:r>
      <w:r w:rsidR="00ED1D6B">
        <w:t>L</w:t>
      </w:r>
      <w:r w:rsidR="00BC2D10" w:rsidRPr="00FA053C">
        <w:t xml:space="preserve">egislative </w:t>
      </w:r>
      <w:r w:rsidR="00ED1D6B">
        <w:t>C</w:t>
      </w:r>
      <w:r w:rsidR="000E4AA7">
        <w:t>ouncil</w:t>
      </w:r>
      <w:r w:rsidR="000E4AA7" w:rsidRPr="00FA053C">
        <w:t xml:space="preserve"> </w:t>
      </w:r>
      <w:r w:rsidR="00BC2D10" w:rsidRPr="00FA053C">
        <w:t xml:space="preserve">on the submitted draft amendments to the Forest Act, Mr. </w:t>
      </w:r>
      <w:proofErr w:type="spellStart"/>
      <w:r w:rsidR="00BC2D10" w:rsidRPr="00FA053C">
        <w:t>Oružinský</w:t>
      </w:r>
      <w:proofErr w:type="spellEnd"/>
      <w:r w:rsidR="00BC2D10" w:rsidRPr="00FA053C">
        <w:t xml:space="preserve"> wrote a letter to the </w:t>
      </w:r>
      <w:r w:rsidR="00ED1D6B">
        <w:t>L</w:t>
      </w:r>
      <w:r w:rsidR="00BC2D10" w:rsidRPr="00FA053C">
        <w:t xml:space="preserve">egislative </w:t>
      </w:r>
      <w:r w:rsidR="00ED1D6B">
        <w:t>C</w:t>
      </w:r>
      <w:r w:rsidR="000E4AA7">
        <w:t>ouncil</w:t>
      </w:r>
      <w:r w:rsidR="000E4AA7" w:rsidRPr="00FA053C">
        <w:t xml:space="preserve"> </w:t>
      </w:r>
      <w:r w:rsidR="00BC2D10" w:rsidRPr="00FA053C">
        <w:t xml:space="preserve">in which he requested participation in the negotiation </w:t>
      </w:r>
      <w:r w:rsidR="00FA053C">
        <w:t>regarding</w:t>
      </w:r>
      <w:r w:rsidR="00BC2D10" w:rsidRPr="00FA053C">
        <w:t xml:space="preserve"> the collective comments he had submitted, and drawing </w:t>
      </w:r>
      <w:r w:rsidR="00FA053C">
        <w:t xml:space="preserve">the </w:t>
      </w:r>
      <w:r w:rsidR="00ED1D6B">
        <w:t>C</w:t>
      </w:r>
      <w:r w:rsidR="00D40F91">
        <w:t xml:space="preserve">ouncil’s </w:t>
      </w:r>
      <w:r w:rsidR="00BC2D10" w:rsidRPr="00FA053C">
        <w:t>attention to the four persisting contradictions and “seriousness of [the] issues that [the] comments were dealing with.”</w:t>
      </w:r>
      <w:r w:rsidR="00BC2D10" w:rsidRPr="00FA053C">
        <w:rPr>
          <w:rStyle w:val="FootnoteReference"/>
        </w:rPr>
        <w:footnoteReference w:id="53"/>
      </w:r>
      <w:bookmarkEnd w:id="17"/>
    </w:p>
    <w:p w14:paraId="5BA245F1" w14:textId="3CFB0C08" w:rsidR="00FD1127" w:rsidRPr="00EA5CA0" w:rsidRDefault="00FD1127" w:rsidP="00FD1127">
      <w:pPr>
        <w:pStyle w:val="SingleTxtG"/>
        <w:numPr>
          <w:ilvl w:val="0"/>
          <w:numId w:val="3"/>
        </w:numPr>
        <w:ind w:left="1094" w:right="1138" w:firstLine="0"/>
      </w:pPr>
      <w:r w:rsidRPr="00FA053C">
        <w:t xml:space="preserve"> </w:t>
      </w:r>
      <w:r w:rsidR="002A478B" w:rsidRPr="00EA5CA0">
        <w:t>Only a brief summary of the</w:t>
      </w:r>
      <w:r w:rsidR="0050554D" w:rsidRPr="00EA5CA0">
        <w:t xml:space="preserve"> persisting contradictions regarding the draft amendments to the Forest Act </w:t>
      </w:r>
      <w:r w:rsidR="002A478B" w:rsidRPr="00EA5CA0">
        <w:t xml:space="preserve">was included in the submission report that was </w:t>
      </w:r>
      <w:r w:rsidR="0050554D" w:rsidRPr="00EA5CA0">
        <w:t xml:space="preserve">provided to the </w:t>
      </w:r>
      <w:r w:rsidR="00ED1D6B" w:rsidRPr="00EA5CA0">
        <w:t>L</w:t>
      </w:r>
      <w:r w:rsidR="0050554D" w:rsidRPr="00EA5CA0">
        <w:t xml:space="preserve">egislative </w:t>
      </w:r>
      <w:r w:rsidR="00ED1D6B" w:rsidRPr="00EA5CA0">
        <w:t>C</w:t>
      </w:r>
      <w:r w:rsidR="0050554D" w:rsidRPr="00EA5CA0">
        <w:t>ouncil</w:t>
      </w:r>
      <w:r w:rsidR="002A478B" w:rsidRPr="00EA5CA0">
        <w:t xml:space="preserve">, </w:t>
      </w:r>
      <w:r w:rsidR="0050554D" w:rsidRPr="00EA5CA0">
        <w:t xml:space="preserve">thereby only partially fulfilling article 18(2)(d)(1) of the </w:t>
      </w:r>
      <w:r w:rsidR="00ED1D6B" w:rsidRPr="00EA5CA0">
        <w:t>L</w:t>
      </w:r>
      <w:r w:rsidR="0050554D" w:rsidRPr="00EA5CA0">
        <w:t xml:space="preserve">egislative </w:t>
      </w:r>
      <w:r w:rsidR="00ED1D6B" w:rsidRPr="00EA5CA0">
        <w:t>R</w:t>
      </w:r>
      <w:r w:rsidR="0050554D" w:rsidRPr="00EA5CA0">
        <w:t xml:space="preserve">ules (see para. </w:t>
      </w:r>
      <w:r w:rsidR="0050554D" w:rsidRPr="00EA5CA0">
        <w:fldChar w:fldCharType="begin"/>
      </w:r>
      <w:r w:rsidR="0050554D" w:rsidRPr="00EA5CA0">
        <w:instrText xml:space="preserve"> REF _Ref22827715 \r \h  \* MERGEFORMAT </w:instrText>
      </w:r>
      <w:r w:rsidR="0050554D" w:rsidRPr="00EA5CA0">
        <w:fldChar w:fldCharType="separate"/>
      </w:r>
      <w:r w:rsidR="0029016F">
        <w:t>24</w:t>
      </w:r>
      <w:r w:rsidR="0050554D" w:rsidRPr="00EA5CA0">
        <w:fldChar w:fldCharType="end"/>
      </w:r>
      <w:r w:rsidR="0050554D" w:rsidRPr="00EA5CA0">
        <w:t xml:space="preserve"> above).</w:t>
      </w:r>
      <w:r w:rsidR="0050554D" w:rsidRPr="00EA5CA0">
        <w:rPr>
          <w:rStyle w:val="FootnoteReference"/>
        </w:rPr>
        <w:footnoteReference w:id="54"/>
      </w:r>
      <w:r w:rsidR="00C65244" w:rsidRPr="00EA5CA0">
        <w:rPr>
          <w:rStyle w:val="FootnoteReference"/>
        </w:rPr>
        <w:t xml:space="preserve"> </w:t>
      </w:r>
      <w:r w:rsidR="00BC2D10" w:rsidRPr="00EA5CA0">
        <w:t>The submitter evaluated the</w:t>
      </w:r>
      <w:r w:rsidR="00BC2D10" w:rsidRPr="003E4A18">
        <w:t xml:space="preserve"> collective comments submitted by Mr </w:t>
      </w:r>
      <w:proofErr w:type="spellStart"/>
      <w:r w:rsidR="00BC2D10" w:rsidRPr="003E4A18">
        <w:t>Oružinský</w:t>
      </w:r>
      <w:proofErr w:type="spellEnd"/>
      <w:r w:rsidR="00BC2D10" w:rsidRPr="003E4A18">
        <w:t xml:space="preserve"> electronically as “not taken into account”.</w:t>
      </w:r>
      <w:r w:rsidR="00BC2D10" w:rsidRPr="00EA5CA0">
        <w:rPr>
          <w:rStyle w:val="FootnoteReference"/>
        </w:rPr>
        <w:footnoteReference w:id="55"/>
      </w:r>
      <w:r w:rsidR="00BC2D10" w:rsidRPr="00EA5CA0">
        <w:t xml:space="preserve"> </w:t>
      </w:r>
      <w:r w:rsidR="00E61683" w:rsidRPr="00EA5CA0">
        <w:t>However, t</w:t>
      </w:r>
      <w:r w:rsidR="00BC2D10" w:rsidRPr="00EA5CA0">
        <w:t xml:space="preserve">he material the submitter </w:t>
      </w:r>
      <w:r w:rsidR="00E61683" w:rsidRPr="00EA5CA0">
        <w:t xml:space="preserve">provided </w:t>
      </w:r>
      <w:r w:rsidR="00BC2D10" w:rsidRPr="00EA5CA0">
        <w:t xml:space="preserve">to the </w:t>
      </w:r>
      <w:r w:rsidR="00ED1D6B" w:rsidRPr="00EA5CA0">
        <w:t>L</w:t>
      </w:r>
      <w:r w:rsidR="00BC2D10" w:rsidRPr="00EA5CA0">
        <w:t xml:space="preserve">egislative </w:t>
      </w:r>
      <w:r w:rsidR="00ED1D6B" w:rsidRPr="00EA5CA0">
        <w:t>C</w:t>
      </w:r>
      <w:r w:rsidR="000E4AA7" w:rsidRPr="00EA5CA0">
        <w:t xml:space="preserve">ouncil </w:t>
      </w:r>
      <w:r w:rsidR="00BC2D10" w:rsidRPr="00EA5CA0">
        <w:t xml:space="preserve">included the </w:t>
      </w:r>
      <w:r w:rsidR="00EA5CA0">
        <w:t>content</w:t>
      </w:r>
      <w:r w:rsidR="00BC2D10" w:rsidRPr="00EA5CA0">
        <w:t xml:space="preserve"> of all comments submitted via the portal.</w:t>
      </w:r>
      <w:r w:rsidR="00BC2D10" w:rsidRPr="00EA5CA0">
        <w:rPr>
          <w:rStyle w:val="FootnoteReference"/>
        </w:rPr>
        <w:footnoteReference w:id="56"/>
      </w:r>
      <w:bookmarkStart w:id="18" w:name="_Ref23075782"/>
    </w:p>
    <w:p w14:paraId="7B6204F1" w14:textId="224EE083" w:rsidR="00FD1127" w:rsidRPr="00FA053C" w:rsidRDefault="00FD1127" w:rsidP="00FA053C">
      <w:pPr>
        <w:pStyle w:val="SingleTxtG"/>
        <w:numPr>
          <w:ilvl w:val="0"/>
          <w:numId w:val="3"/>
        </w:numPr>
        <w:ind w:left="1094" w:right="1138" w:firstLine="0"/>
      </w:pPr>
      <w:r w:rsidRPr="00FA053C">
        <w:t xml:space="preserve"> O</w:t>
      </w:r>
      <w:r w:rsidR="00BC2D10" w:rsidRPr="00FA053C">
        <w:t xml:space="preserve">n 3 September 2013, the </w:t>
      </w:r>
      <w:r w:rsidR="00ED1D6B">
        <w:t>L</w:t>
      </w:r>
      <w:r w:rsidR="00BC2D10" w:rsidRPr="00FA053C">
        <w:t xml:space="preserve">egislative </w:t>
      </w:r>
      <w:r w:rsidR="00ED1D6B">
        <w:t>C</w:t>
      </w:r>
      <w:r w:rsidR="00BC2D10" w:rsidRPr="00FA053C">
        <w:t>ouncil discussed the draft amendments to the Forest Act.</w:t>
      </w:r>
      <w:r w:rsidR="00BC2D10" w:rsidRPr="00FA053C">
        <w:rPr>
          <w:rStyle w:val="FootnoteReference"/>
        </w:rPr>
        <w:footnoteReference w:id="57"/>
      </w:r>
      <w:r w:rsidR="00BC2D10" w:rsidRPr="00FA053C">
        <w:t xml:space="preserve"> In response to comments of the </w:t>
      </w:r>
      <w:r w:rsidR="00ED1D6B">
        <w:t>L</w:t>
      </w:r>
      <w:r w:rsidR="00BC2D10" w:rsidRPr="00FA053C">
        <w:t xml:space="preserve">egislative </w:t>
      </w:r>
      <w:r w:rsidR="00ED1D6B">
        <w:t>C</w:t>
      </w:r>
      <w:r w:rsidR="00BC2D10" w:rsidRPr="00FA053C">
        <w:t>ouncil, the wording of the draft amendment to paragraph 30(3) of the Forest Act was changed to:</w:t>
      </w:r>
      <w:bookmarkEnd w:id="18"/>
    </w:p>
    <w:p w14:paraId="7A647BF2" w14:textId="77777777" w:rsidR="00FD1127" w:rsidRPr="00FA053C" w:rsidRDefault="00FD1127" w:rsidP="00FA053C">
      <w:pPr>
        <w:pStyle w:val="SingleTxtG"/>
        <w:suppressAutoHyphens w:val="0"/>
        <w:autoSpaceDE w:val="0"/>
        <w:autoSpaceDN w:val="0"/>
        <w:adjustRightInd w:val="0"/>
        <w:spacing w:line="240" w:lineRule="auto"/>
        <w:ind w:left="1701"/>
      </w:pPr>
      <w:r w:rsidRPr="00FA053C">
        <w:t>“To organize or carry out activities for profit on forest land is possible only with the consent of the owner or administrator. Public use of forests does not apply to closed and fenced forest land in military forests.”</w:t>
      </w:r>
      <w:r w:rsidRPr="00FA053C">
        <w:rPr>
          <w:rStyle w:val="FootnoteReference"/>
        </w:rPr>
        <w:footnoteReference w:id="58"/>
      </w:r>
    </w:p>
    <w:p w14:paraId="7BF3F06A" w14:textId="774B8FEB" w:rsidR="00FD1127" w:rsidRPr="00FA053C" w:rsidRDefault="00FD1127" w:rsidP="00FA053C">
      <w:pPr>
        <w:pStyle w:val="SingleTxtG"/>
        <w:numPr>
          <w:ilvl w:val="0"/>
          <w:numId w:val="3"/>
        </w:numPr>
        <w:ind w:left="1094" w:right="1138" w:firstLine="0"/>
      </w:pPr>
      <w:r w:rsidRPr="00FA053C" w:rsidDel="00F701B8">
        <w:t xml:space="preserve"> </w:t>
      </w:r>
      <w:r w:rsidRPr="00FA053C">
        <w:t>O</w:t>
      </w:r>
      <w:r w:rsidR="005F1C73" w:rsidRPr="00957F9B">
        <w:t xml:space="preserve">n 12 July 2013, the director of the </w:t>
      </w:r>
      <w:r w:rsidR="00ED1D6B">
        <w:t>L</w:t>
      </w:r>
      <w:r w:rsidR="005F1C73" w:rsidRPr="00957F9B">
        <w:t xml:space="preserve">egislative </w:t>
      </w:r>
      <w:r w:rsidR="00ED1D6B">
        <w:t>D</w:t>
      </w:r>
      <w:r w:rsidR="005F1C73" w:rsidRPr="00957F9B">
        <w:t xml:space="preserve">epartment answered Mr. </w:t>
      </w:r>
      <w:proofErr w:type="spellStart"/>
      <w:r w:rsidR="005F1C73" w:rsidRPr="00FA053C">
        <w:t>Oružinský’s</w:t>
      </w:r>
      <w:proofErr w:type="spellEnd"/>
      <w:r w:rsidR="005F1C73" w:rsidRPr="00FA053C">
        <w:t xml:space="preserve"> letter of 19 June 2013, informing that “if [a] contradiction could not be solved […] within the legislative proceeding, this fact will figure in the evaluation of the interdepartmental discussion.</w:t>
      </w:r>
      <w:r w:rsidR="006E33B8" w:rsidRPr="00FA053C">
        <w:t>”</w:t>
      </w:r>
      <w:r w:rsidR="005F1C73" w:rsidRPr="00FA053C">
        <w:rPr>
          <w:rStyle w:val="FootnoteReference"/>
        </w:rPr>
        <w:footnoteReference w:id="59"/>
      </w:r>
    </w:p>
    <w:p w14:paraId="585B1C4D" w14:textId="77777777" w:rsidR="00FD1127" w:rsidRPr="00FA053C" w:rsidRDefault="00FD1127" w:rsidP="00FA053C">
      <w:pPr>
        <w:pStyle w:val="SingleTxtG"/>
        <w:suppressAutoHyphens w:val="0"/>
        <w:autoSpaceDE w:val="0"/>
        <w:autoSpaceDN w:val="0"/>
        <w:adjustRightInd w:val="0"/>
        <w:spacing w:line="240" w:lineRule="auto"/>
        <w:ind w:left="1094" w:right="1138"/>
      </w:pPr>
      <w:r w:rsidRPr="00FA053C">
        <w:rPr>
          <w:b/>
          <w:bCs/>
        </w:rPr>
        <w:t>Events concerning the submission to the government</w:t>
      </w:r>
    </w:p>
    <w:p w14:paraId="3A599150" w14:textId="253A09C4" w:rsidR="00FD1127" w:rsidRPr="00FA053C" w:rsidRDefault="00FD1127" w:rsidP="00FD1127">
      <w:pPr>
        <w:pStyle w:val="SingleTxtG"/>
        <w:numPr>
          <w:ilvl w:val="0"/>
          <w:numId w:val="3"/>
        </w:numPr>
        <w:ind w:left="1094" w:right="1138" w:firstLine="0"/>
      </w:pPr>
      <w:r w:rsidRPr="00FA053C" w:rsidDel="00436D92">
        <w:t xml:space="preserve"> </w:t>
      </w:r>
      <w:r w:rsidRPr="00FA053C">
        <w:t>O</w:t>
      </w:r>
      <w:r w:rsidR="00BC2D10" w:rsidRPr="00FA053C">
        <w:t xml:space="preserve">n 25 September 2013, </w:t>
      </w:r>
      <w:r w:rsidR="00607402" w:rsidRPr="00FA053C">
        <w:t xml:space="preserve">Mr. </w:t>
      </w:r>
      <w:proofErr w:type="spellStart"/>
      <w:r w:rsidR="00607402" w:rsidRPr="00FA053C">
        <w:t>Oružinský</w:t>
      </w:r>
      <w:proofErr w:type="spellEnd"/>
      <w:r w:rsidR="00BC2D10" w:rsidRPr="00FA053C">
        <w:t xml:space="preserve"> sent an email to the Government Office, specifically to the Prime Minister.</w:t>
      </w:r>
      <w:r w:rsidR="00BC2D10" w:rsidRPr="00FA053C">
        <w:rPr>
          <w:sz w:val="18"/>
          <w:vertAlign w:val="superscript"/>
        </w:rPr>
        <w:footnoteReference w:id="60"/>
      </w:r>
      <w:r w:rsidR="00BC2D10" w:rsidRPr="00FA053C">
        <w:t xml:space="preserve"> In reply, the Government Office sent a letter ensuring him that his letter would lead to a further investigation.</w:t>
      </w:r>
      <w:r w:rsidR="00BC2D10" w:rsidRPr="00FA053C">
        <w:rPr>
          <w:sz w:val="18"/>
          <w:vertAlign w:val="superscript"/>
        </w:rPr>
        <w:footnoteReference w:id="61"/>
      </w:r>
      <w:r w:rsidR="00BC2D10" w:rsidRPr="00FA053C">
        <w:t xml:space="preserve"> </w:t>
      </w:r>
      <w:r w:rsidR="00836F42" w:rsidRPr="00C4314A">
        <w:t>O</w:t>
      </w:r>
      <w:r w:rsidR="00A71D5D" w:rsidRPr="00FA053C">
        <w:t>n</w:t>
      </w:r>
      <w:r w:rsidR="00836F42" w:rsidRPr="00C4314A">
        <w:t xml:space="preserve"> 26 September 2013</w:t>
      </w:r>
      <w:r w:rsidR="00836F42" w:rsidRPr="00957F9B">
        <w:t>, t</w:t>
      </w:r>
      <w:r w:rsidR="00F72F84" w:rsidRPr="00957F9B">
        <w:t>he draft amend</w:t>
      </w:r>
      <w:r w:rsidR="00836F42" w:rsidRPr="00537C28">
        <w:t>ment to the</w:t>
      </w:r>
      <w:r w:rsidR="00F72F84" w:rsidRPr="00FA053C">
        <w:t xml:space="preserve"> Forest Act was submitted for governmental </w:t>
      </w:r>
      <w:r w:rsidR="005E074C" w:rsidRPr="00FA053C">
        <w:t>negotiation and</w:t>
      </w:r>
      <w:r w:rsidR="00836F42" w:rsidRPr="00FA053C">
        <w:t xml:space="preserve"> was adopted the same day by resolution no. 560</w:t>
      </w:r>
      <w:r w:rsidR="00F72F84" w:rsidRPr="00FA053C">
        <w:t>.</w:t>
      </w:r>
      <w:r w:rsidR="00F72F84" w:rsidRPr="00C4314A">
        <w:rPr>
          <w:rStyle w:val="FootnoteReference"/>
        </w:rPr>
        <w:footnoteReference w:id="62"/>
      </w:r>
    </w:p>
    <w:p w14:paraId="19286DA7" w14:textId="2760FC16" w:rsidR="00FD1127" w:rsidRPr="00FA053C" w:rsidRDefault="005E074C" w:rsidP="00FD1127">
      <w:pPr>
        <w:pStyle w:val="SingleTxtG"/>
        <w:numPr>
          <w:ilvl w:val="0"/>
          <w:numId w:val="3"/>
        </w:numPr>
        <w:ind w:left="1094" w:right="1138" w:firstLine="0"/>
        <w:rPr>
          <w:rStyle w:val="CommentReference"/>
          <w:sz w:val="20"/>
          <w:szCs w:val="20"/>
        </w:rPr>
      </w:pPr>
      <w:r>
        <w:t xml:space="preserve">Only </w:t>
      </w:r>
      <w:proofErr w:type="gramStart"/>
      <w:r>
        <w:t>a brief summary</w:t>
      </w:r>
      <w:proofErr w:type="gramEnd"/>
      <w:r>
        <w:t xml:space="preserve"> of the</w:t>
      </w:r>
      <w:r w:rsidRPr="00C4314A">
        <w:t xml:space="preserve"> persisting contradictions</w:t>
      </w:r>
      <w:r w:rsidRPr="00957F9B">
        <w:t xml:space="preserve"> regarding the draft amendments to the Forest Act </w:t>
      </w:r>
      <w:r>
        <w:t xml:space="preserve">was included in the submission report that was </w:t>
      </w:r>
      <w:r w:rsidRPr="00957F9B">
        <w:t xml:space="preserve">provided to the </w:t>
      </w:r>
      <w:r w:rsidR="00ED1D6B">
        <w:t>G</w:t>
      </w:r>
      <w:r>
        <w:t>overnment</w:t>
      </w:r>
      <w:r w:rsidR="00836F42" w:rsidRPr="00FA053C">
        <w:t>.</w:t>
      </w:r>
      <w:r w:rsidR="00836F42" w:rsidRPr="00FA053C">
        <w:rPr>
          <w:rStyle w:val="FootnoteReference"/>
        </w:rPr>
        <w:footnoteReference w:id="63"/>
      </w:r>
      <w:bookmarkStart w:id="19" w:name="_Ref23080101"/>
    </w:p>
    <w:p w14:paraId="3F034D00" w14:textId="4EB3AB3D" w:rsidR="00445233" w:rsidRPr="00FA053C" w:rsidRDefault="00FD1127" w:rsidP="00445233">
      <w:pPr>
        <w:pStyle w:val="SingleTxtG"/>
        <w:numPr>
          <w:ilvl w:val="0"/>
          <w:numId w:val="3"/>
        </w:numPr>
        <w:ind w:left="1094" w:right="1138" w:firstLine="0"/>
      </w:pPr>
      <w:r w:rsidRPr="00FA053C">
        <w:t>T</w:t>
      </w:r>
      <w:r w:rsidR="00CD54DB" w:rsidRPr="00C4314A">
        <w:t>he submission report</w:t>
      </w:r>
      <w:r w:rsidR="00CD54DB" w:rsidRPr="00957F9B">
        <w:t xml:space="preserve"> </w:t>
      </w:r>
      <w:r w:rsidR="00CD54DB" w:rsidRPr="00C4314A">
        <w:t>stated that:</w:t>
      </w:r>
      <w:r w:rsidR="00CD54DB" w:rsidRPr="00FA053C">
        <w:t xml:space="preserve"> </w:t>
      </w:r>
      <w:r w:rsidR="00CD54DB" w:rsidRPr="00C4314A">
        <w:t>“A contradiction persists over an essential comment of the plenipotentiary of the government with civil society concerni</w:t>
      </w:r>
      <w:r w:rsidR="00CD54DB" w:rsidRPr="00957F9B">
        <w:t xml:space="preserve">ng the authorization of a forest </w:t>
      </w:r>
      <w:r w:rsidR="00113FF4" w:rsidRPr="00957F9B">
        <w:t>landowner</w:t>
      </w:r>
      <w:r w:rsidR="00CD54DB" w:rsidRPr="00957F9B">
        <w:t xml:space="preserve"> for the organizing of events on her/his land and over a definition of a party to a proceeding in administrative proceedings and over an essential comment of the public concerning the authorization of the forest land owner to enter her/his land.”</w:t>
      </w:r>
      <w:r w:rsidR="00CD54DB" w:rsidRPr="00FA053C">
        <w:rPr>
          <w:rStyle w:val="FootnoteReference"/>
        </w:rPr>
        <w:t xml:space="preserve"> </w:t>
      </w:r>
      <w:r w:rsidR="00CD54DB" w:rsidRPr="00FA053C">
        <w:rPr>
          <w:rStyle w:val="FootnoteReference"/>
        </w:rPr>
        <w:footnoteReference w:id="64"/>
      </w:r>
      <w:bookmarkEnd w:id="19"/>
    </w:p>
    <w:p w14:paraId="7CADCEB7" w14:textId="77777777" w:rsidR="00286397" w:rsidRPr="00FA053C" w:rsidRDefault="00286397" w:rsidP="00FA053C">
      <w:pPr>
        <w:pStyle w:val="SingleTxtG"/>
        <w:ind w:left="1094" w:right="1138"/>
        <w:rPr>
          <w:b/>
          <w:bCs/>
        </w:rPr>
      </w:pPr>
      <w:r w:rsidRPr="00FA053C">
        <w:rPr>
          <w:b/>
          <w:bCs/>
        </w:rPr>
        <w:lastRenderedPageBreak/>
        <w:t xml:space="preserve">The citizens’ constitutional complaint </w:t>
      </w:r>
    </w:p>
    <w:p w14:paraId="32E03AE4" w14:textId="77777777" w:rsidR="00EF1CD0" w:rsidRDefault="00286397" w:rsidP="00EF1CD0">
      <w:pPr>
        <w:pStyle w:val="SingleTxtG"/>
        <w:numPr>
          <w:ilvl w:val="0"/>
          <w:numId w:val="3"/>
        </w:numPr>
        <w:ind w:left="1094" w:right="1138" w:firstLine="0"/>
      </w:pPr>
      <w:bookmarkStart w:id="20" w:name="_Ref23260221"/>
      <w:r w:rsidRPr="00FA053C">
        <w:t>O</w:t>
      </w:r>
      <w:bookmarkStart w:id="21" w:name="_Ref23167417"/>
      <w:r w:rsidRPr="00FA053C">
        <w:t xml:space="preserve">n 25 November 2013, 424 citizens who had supported the collective comment submitted by Mr. </w:t>
      </w:r>
      <w:proofErr w:type="spellStart"/>
      <w:r w:rsidRPr="00FA053C">
        <w:t>Oružinský</w:t>
      </w:r>
      <w:proofErr w:type="spellEnd"/>
      <w:r w:rsidRPr="00FA053C">
        <w:t xml:space="preserve"> filed a complaint before the Constitutional Court, claiming the legislative procedure concerning the draft Forest Act had violated their rights under article 8 of the Convention. By decision no. I. ÚS 73/2014-280 of 5 March 2014, Court dismissed the complaint as “unsubstantiated”.</w:t>
      </w:r>
      <w:r w:rsidRPr="00FA053C">
        <w:rPr>
          <w:rStyle w:val="FootnoteReference"/>
        </w:rPr>
        <w:footnoteReference w:id="65"/>
      </w:r>
      <w:bookmarkEnd w:id="20"/>
      <w:bookmarkEnd w:id="21"/>
    </w:p>
    <w:p w14:paraId="5F4012C5" w14:textId="036B2820" w:rsidR="00286397" w:rsidRPr="00957F9B" w:rsidRDefault="00EF1CD0" w:rsidP="00FA053C">
      <w:pPr>
        <w:pStyle w:val="SingleTxtG"/>
        <w:numPr>
          <w:ilvl w:val="0"/>
          <w:numId w:val="3"/>
        </w:numPr>
        <w:ind w:left="1094" w:right="1138" w:firstLine="0"/>
      </w:pPr>
      <w:r w:rsidRPr="00C4314A">
        <w:t xml:space="preserve"> </w:t>
      </w:r>
      <w:r>
        <w:t>T</w:t>
      </w:r>
      <w:r w:rsidR="00286397" w:rsidRPr="00C4314A">
        <w:t>he Court found that</w:t>
      </w:r>
      <w:r w:rsidR="002929CC">
        <w:t xml:space="preserve"> the submitter had violated the </w:t>
      </w:r>
      <w:r w:rsidR="00ED1D6B">
        <w:t>L</w:t>
      </w:r>
      <w:r w:rsidR="002929CC">
        <w:t xml:space="preserve">egislative </w:t>
      </w:r>
      <w:r w:rsidR="00ED1D6B">
        <w:t>R</w:t>
      </w:r>
      <w:r w:rsidR="002929CC">
        <w:t>ules</w:t>
      </w:r>
      <w:r>
        <w:t xml:space="preserve">, noting that not only does a submitter have an obligation to carry out negotiations on contradictions, it equally has an obligation to draw the </w:t>
      </w:r>
      <w:r w:rsidR="00ED1D6B">
        <w:t>G</w:t>
      </w:r>
      <w:r>
        <w:t xml:space="preserve">overnment’s attention to the reasons for its non-acceptance of essential comments, as it is the </w:t>
      </w:r>
      <w:r w:rsidR="00ED1D6B">
        <w:t>G</w:t>
      </w:r>
      <w:r>
        <w:t>overnment who adopts the submitter’s draft law</w:t>
      </w:r>
      <w:r w:rsidR="002929CC">
        <w:t>.</w:t>
      </w:r>
      <w:r w:rsidR="002929CC" w:rsidRPr="00D773F9">
        <w:rPr>
          <w:rStyle w:val="FootnoteReference"/>
        </w:rPr>
        <w:footnoteReference w:id="66"/>
      </w:r>
      <w:r w:rsidR="002929CC">
        <w:t xml:space="preserve"> </w:t>
      </w:r>
      <w:r>
        <w:t>However, the Court determined that</w:t>
      </w:r>
      <w:r w:rsidR="00286397" w:rsidRPr="00C4314A">
        <w:t>:</w:t>
      </w:r>
    </w:p>
    <w:p w14:paraId="381CF685" w14:textId="77777777" w:rsidR="00286397" w:rsidRPr="00537C28" w:rsidRDefault="00286397" w:rsidP="00ED1D6B">
      <w:pPr>
        <w:pStyle w:val="SingleTxtG"/>
        <w:ind w:left="1701" w:right="1138"/>
      </w:pPr>
      <w:r w:rsidRPr="00957F9B">
        <w:t>(a)</w:t>
      </w:r>
      <w:r w:rsidRPr="00957F9B">
        <w:tab/>
        <w:t>the submitter complied with all requirements for public access to informa</w:t>
      </w:r>
      <w:r w:rsidRPr="00537C28">
        <w:t xml:space="preserve">tion, participation in decision-making and access to justice in environmental matters under the Convention; and </w:t>
      </w:r>
    </w:p>
    <w:p w14:paraId="4B93FA65" w14:textId="2C636875" w:rsidR="00286397" w:rsidRPr="00FA053C" w:rsidRDefault="00286397" w:rsidP="00D00E84">
      <w:pPr>
        <w:pStyle w:val="CommentText"/>
        <w:ind w:left="1661" w:right="1138"/>
        <w:jc w:val="both"/>
      </w:pPr>
      <w:r w:rsidRPr="00FA053C">
        <w:t>(b)</w:t>
      </w:r>
      <w:r w:rsidRPr="00FA053C">
        <w:tab/>
        <w:t xml:space="preserve">the submission of </w:t>
      </w:r>
      <w:r w:rsidR="009424C6">
        <w:t xml:space="preserve">a </w:t>
      </w:r>
      <w:r w:rsidR="00B5275A">
        <w:t xml:space="preserve">collective </w:t>
      </w:r>
      <w:r w:rsidRPr="00FA053C">
        <w:t xml:space="preserve">comment does not entitle its </w:t>
      </w:r>
      <w:r w:rsidR="00ED1D6B">
        <w:t>a</w:t>
      </w:r>
      <w:r w:rsidRPr="00FA053C">
        <w:t xml:space="preserve">cceptance or its acceptance in </w:t>
      </w:r>
      <w:proofErr w:type="gramStart"/>
      <w:r w:rsidRPr="00FA053C">
        <w:t>exactly identical</w:t>
      </w:r>
      <w:proofErr w:type="gramEnd"/>
      <w:r w:rsidRPr="00FA053C">
        <w:t xml:space="preserve"> wording as that comment proposes</w:t>
      </w:r>
      <w:r w:rsidR="00ED1D6B">
        <w:t>.</w:t>
      </w:r>
      <w:r w:rsidRPr="00FA053C">
        <w:rPr>
          <w:rStyle w:val="FootnoteReference"/>
        </w:rPr>
        <w:footnoteReference w:id="67"/>
      </w:r>
    </w:p>
    <w:p w14:paraId="06F9DE1F" w14:textId="77777777" w:rsidR="00286397" w:rsidRPr="00C4314A" w:rsidRDefault="00286397" w:rsidP="00286397">
      <w:pPr>
        <w:pStyle w:val="CommentText"/>
        <w:ind w:left="1661"/>
      </w:pPr>
    </w:p>
    <w:p w14:paraId="3ACAEE2E" w14:textId="4937552C" w:rsidR="00286397" w:rsidRPr="00FA053C" w:rsidRDefault="00286397" w:rsidP="00445233">
      <w:pPr>
        <w:pStyle w:val="SingleTxtG"/>
        <w:numPr>
          <w:ilvl w:val="0"/>
          <w:numId w:val="3"/>
        </w:numPr>
        <w:ind w:left="1094" w:right="1138" w:firstLine="0"/>
      </w:pPr>
      <w:r w:rsidRPr="00FA053C">
        <w:t xml:space="preserve">The Court found that it was not disputed that the public was provided </w:t>
      </w:r>
      <w:r w:rsidR="009466DF">
        <w:t xml:space="preserve">the opportunity and </w:t>
      </w:r>
      <w:r w:rsidRPr="00FA053C">
        <w:t>sufficient time to submit comments</w:t>
      </w:r>
      <w:r w:rsidR="009466DF">
        <w:t xml:space="preserve"> and</w:t>
      </w:r>
      <w:r w:rsidRPr="00FA053C">
        <w:t xml:space="preserve"> had full access to the draft amendments.</w:t>
      </w:r>
      <w:r w:rsidRPr="00FA053C">
        <w:rPr>
          <w:rStyle w:val="FootnoteReference"/>
        </w:rPr>
        <w:footnoteReference w:id="68"/>
      </w:r>
      <w:r w:rsidRPr="00FA053C">
        <w:t xml:space="preserve"> </w:t>
      </w:r>
      <w:r w:rsidR="003361D4" w:rsidRPr="00FA053C">
        <w:t xml:space="preserve">The Court found further that, based on </w:t>
      </w:r>
      <w:r w:rsidR="00514C8D" w:rsidRPr="00FA053C">
        <w:t xml:space="preserve">Mr </w:t>
      </w:r>
      <w:proofErr w:type="spellStart"/>
      <w:r w:rsidR="00514C8D" w:rsidRPr="00FA053C">
        <w:t>Oružinský’s</w:t>
      </w:r>
      <w:proofErr w:type="spellEnd"/>
      <w:r w:rsidR="00514C8D" w:rsidRPr="00FA053C">
        <w:t xml:space="preserve"> </w:t>
      </w:r>
      <w:r w:rsidR="00E832EE" w:rsidRPr="00FA053C">
        <w:t xml:space="preserve">activities, the </w:t>
      </w:r>
      <w:r w:rsidR="00ED1D6B">
        <w:t>L</w:t>
      </w:r>
      <w:r w:rsidR="00E832EE" w:rsidRPr="00FA053C">
        <w:t xml:space="preserve">egislative </w:t>
      </w:r>
      <w:r w:rsidR="00ED1D6B">
        <w:t>C</w:t>
      </w:r>
      <w:r w:rsidR="00E832EE" w:rsidRPr="00FA053C">
        <w:t xml:space="preserve">ouncil and the </w:t>
      </w:r>
      <w:r w:rsidR="00ED1D6B">
        <w:t>G</w:t>
      </w:r>
      <w:r w:rsidR="00E832EE" w:rsidRPr="00FA053C">
        <w:t>overnment were notified of “the specific deficiencies” of the submitted material prior to the negotiating sessions of these respective bodies.</w:t>
      </w:r>
      <w:r w:rsidR="00E832EE" w:rsidRPr="00FA053C">
        <w:rPr>
          <w:rStyle w:val="FootnoteReference"/>
        </w:rPr>
        <w:footnoteReference w:id="69"/>
      </w:r>
    </w:p>
    <w:p w14:paraId="162026EA" w14:textId="6ACB57EB" w:rsidR="00123C95" w:rsidRPr="00FA053C" w:rsidRDefault="00123C95" w:rsidP="00445233">
      <w:pPr>
        <w:pStyle w:val="SingleTxtG"/>
        <w:numPr>
          <w:ilvl w:val="0"/>
          <w:numId w:val="3"/>
        </w:numPr>
        <w:ind w:left="1094" w:right="1138" w:firstLine="0"/>
      </w:pPr>
      <w:r w:rsidRPr="00FA053C">
        <w:t xml:space="preserve">The Court ruled that it could not be concluded that the legislative procedure was marked by deficiencies of such an intensity that it could be described as a procedure in which sufficient public awareness and </w:t>
      </w:r>
      <w:r w:rsidR="006937F0">
        <w:t>consultations</w:t>
      </w:r>
      <w:r w:rsidR="00112897" w:rsidRPr="00FA053C">
        <w:t xml:space="preserve">, through </w:t>
      </w:r>
      <w:r w:rsidR="00EF5045" w:rsidRPr="00FA053C">
        <w:t>allowing the public to participate in the preparation of generally binding legislation,</w:t>
      </w:r>
      <w:r w:rsidRPr="00FA053C">
        <w:t xml:space="preserve"> was not guaranteed</w:t>
      </w:r>
      <w:r w:rsidR="00EF5045" w:rsidRPr="00FA053C">
        <w:t>.</w:t>
      </w:r>
      <w:r w:rsidR="00EF5045" w:rsidRPr="00FA053C">
        <w:rPr>
          <w:rStyle w:val="FootnoteReference"/>
        </w:rPr>
        <w:footnoteReference w:id="70"/>
      </w:r>
    </w:p>
    <w:p w14:paraId="6A81AE6E" w14:textId="77777777" w:rsidR="00EF5045" w:rsidRPr="00FA053C" w:rsidRDefault="00EF5045" w:rsidP="00445233">
      <w:pPr>
        <w:pStyle w:val="SingleTxtG"/>
        <w:numPr>
          <w:ilvl w:val="0"/>
          <w:numId w:val="3"/>
        </w:numPr>
        <w:ind w:left="1094" w:right="1138" w:firstLine="0"/>
      </w:pPr>
      <w:bookmarkStart w:id="22" w:name="_Ref23260229"/>
      <w:r w:rsidRPr="00FA053C">
        <w:t xml:space="preserve">Finally, the Court found that the right to have comments </w:t>
      </w:r>
      <w:proofErr w:type="gramStart"/>
      <w:r w:rsidRPr="00FA053C">
        <w:t>taken into account</w:t>
      </w:r>
      <w:proofErr w:type="gramEnd"/>
      <w:r w:rsidRPr="00FA053C">
        <w:t xml:space="preserve"> in the form of an absolute or unconditional acceptance of those comments is not part of the right conferred by article 8 of the Convention.</w:t>
      </w:r>
      <w:r w:rsidRPr="00FA053C">
        <w:rPr>
          <w:rStyle w:val="FootnoteReference"/>
        </w:rPr>
        <w:footnoteReference w:id="71"/>
      </w:r>
      <w:bookmarkEnd w:id="22"/>
    </w:p>
    <w:p w14:paraId="0C0DA07C" w14:textId="77777777" w:rsidR="002E6131" w:rsidRPr="00C4314A" w:rsidRDefault="002E6131" w:rsidP="00FA053C">
      <w:pPr>
        <w:pStyle w:val="H1G"/>
        <w:ind w:left="615" w:firstLine="0"/>
      </w:pPr>
      <w:r w:rsidRPr="00FA053C">
        <w:t xml:space="preserve">C. </w:t>
      </w:r>
      <w:r w:rsidRPr="00FA053C">
        <w:tab/>
        <w:t>Domestic remedies and admissibility</w:t>
      </w:r>
    </w:p>
    <w:p w14:paraId="01D26574" w14:textId="22F95844" w:rsidR="00286397" w:rsidRPr="00EA5CA0" w:rsidRDefault="00286397" w:rsidP="00C4314A">
      <w:pPr>
        <w:pStyle w:val="SingleTxtG"/>
        <w:numPr>
          <w:ilvl w:val="0"/>
          <w:numId w:val="3"/>
        </w:numPr>
        <w:ind w:left="1094" w:right="1138" w:firstLine="0"/>
      </w:pPr>
      <w:r w:rsidRPr="00FA053C">
        <w:t xml:space="preserve">The </w:t>
      </w:r>
      <w:r w:rsidR="00802BF0" w:rsidRPr="00FA053C">
        <w:t>communicant submits that the</w:t>
      </w:r>
      <w:r w:rsidR="00ED1D6B">
        <w:t>re is no possibility to appeal the decision of the</w:t>
      </w:r>
      <w:r w:rsidR="00802BF0" w:rsidRPr="00FA053C">
        <w:t xml:space="preserve"> </w:t>
      </w:r>
      <w:r w:rsidRPr="00FA053C">
        <w:t xml:space="preserve">Constitutional Court </w:t>
      </w:r>
      <w:r w:rsidR="00ED1D6B">
        <w:t xml:space="preserve">dismissing </w:t>
      </w:r>
      <w:r w:rsidRPr="00FA053C">
        <w:t xml:space="preserve">the citizens’ complaint against the legislative procedure </w:t>
      </w:r>
      <w:r w:rsidRPr="00EA5CA0">
        <w:t>concerning the draft Forest Act (see para</w:t>
      </w:r>
      <w:r w:rsidR="007933E4" w:rsidRPr="00EA5CA0">
        <w:t>s</w:t>
      </w:r>
      <w:r w:rsidRPr="00EA5CA0">
        <w:t xml:space="preserve">. </w:t>
      </w:r>
      <w:r w:rsidR="00802BF0" w:rsidRPr="00EA5CA0">
        <w:fldChar w:fldCharType="begin"/>
      </w:r>
      <w:r w:rsidR="00802BF0" w:rsidRPr="00EA5CA0">
        <w:instrText xml:space="preserve"> REF _Ref23260221 \r \h </w:instrText>
      </w:r>
      <w:r w:rsidR="002929CC" w:rsidRPr="00EA5CA0">
        <w:instrText xml:space="preserve"> \* MERGEFORMAT </w:instrText>
      </w:r>
      <w:r w:rsidR="00802BF0" w:rsidRPr="00EA5CA0">
        <w:fldChar w:fldCharType="separate"/>
      </w:r>
      <w:r w:rsidR="0029016F">
        <w:t>50</w:t>
      </w:r>
      <w:r w:rsidR="00802BF0" w:rsidRPr="00EA5CA0">
        <w:fldChar w:fldCharType="end"/>
      </w:r>
      <w:r w:rsidR="00802BF0" w:rsidRPr="00EA5CA0">
        <w:t>-</w:t>
      </w:r>
      <w:r w:rsidR="00802BF0" w:rsidRPr="00EA5CA0">
        <w:fldChar w:fldCharType="begin"/>
      </w:r>
      <w:r w:rsidR="00802BF0" w:rsidRPr="00EA5CA0">
        <w:instrText xml:space="preserve"> REF _Ref23260229 \r \h </w:instrText>
      </w:r>
      <w:r w:rsidR="002929CC" w:rsidRPr="00EA5CA0">
        <w:instrText xml:space="preserve"> \* MERGEFORMAT </w:instrText>
      </w:r>
      <w:r w:rsidR="00802BF0" w:rsidRPr="00EA5CA0">
        <w:fldChar w:fldCharType="separate"/>
      </w:r>
      <w:r w:rsidR="0029016F">
        <w:t>54</w:t>
      </w:r>
      <w:r w:rsidR="00802BF0" w:rsidRPr="00EA5CA0">
        <w:fldChar w:fldCharType="end"/>
      </w:r>
      <w:r w:rsidR="00802BF0" w:rsidRPr="00EA5CA0">
        <w:t xml:space="preserve"> </w:t>
      </w:r>
      <w:r w:rsidRPr="00EA5CA0">
        <w:t>above)</w:t>
      </w:r>
      <w:r w:rsidR="0006469A" w:rsidRPr="00EA5CA0">
        <w:t>.</w:t>
      </w:r>
      <w:r w:rsidR="0006469A" w:rsidRPr="00EA5CA0">
        <w:rPr>
          <w:rStyle w:val="FootnoteReference"/>
        </w:rPr>
        <w:footnoteReference w:id="72"/>
      </w:r>
    </w:p>
    <w:p w14:paraId="10AC1C3A" w14:textId="7D7CFF24" w:rsidR="00572ACA" w:rsidRPr="00EA5CA0" w:rsidRDefault="00572ACA" w:rsidP="002E6131">
      <w:pPr>
        <w:pStyle w:val="SingleTxtG"/>
        <w:numPr>
          <w:ilvl w:val="0"/>
          <w:numId w:val="3"/>
        </w:numPr>
        <w:ind w:left="1094" w:right="1138" w:firstLine="0"/>
      </w:pPr>
      <w:r w:rsidRPr="00EA5CA0">
        <w:t>The Party concerned does not challenge the admissibility of the communication.</w:t>
      </w:r>
    </w:p>
    <w:p w14:paraId="0BE69693" w14:textId="77777777" w:rsidR="002E6131" w:rsidRPr="00FA053C" w:rsidRDefault="002E6131" w:rsidP="002E6131">
      <w:pPr>
        <w:pStyle w:val="H1G"/>
        <w:ind w:left="615" w:firstLine="0"/>
      </w:pPr>
      <w:r w:rsidRPr="00EA5CA0">
        <w:t>D.</w:t>
      </w:r>
      <w:r w:rsidRPr="00EA5CA0">
        <w:tab/>
      </w:r>
      <w:r w:rsidRPr="00EA5CA0">
        <w:tab/>
        <w:t>Substantive issues</w:t>
      </w:r>
    </w:p>
    <w:p w14:paraId="282B34FC" w14:textId="77777777" w:rsidR="002E6131" w:rsidRPr="00FA053C" w:rsidRDefault="002E6131" w:rsidP="002E6131">
      <w:pPr>
        <w:pStyle w:val="SingleTxtG"/>
        <w:tabs>
          <w:tab w:val="num" w:pos="1134"/>
        </w:tabs>
        <w:ind w:left="993" w:firstLine="141"/>
        <w:rPr>
          <w:b/>
          <w:iCs/>
        </w:rPr>
      </w:pPr>
      <w:r w:rsidRPr="00FA053C">
        <w:rPr>
          <w:b/>
          <w:iCs/>
        </w:rPr>
        <w:t>Article 8</w:t>
      </w:r>
    </w:p>
    <w:p w14:paraId="1C9C6823" w14:textId="77777777" w:rsidR="002E6131" w:rsidRPr="00C4314A" w:rsidRDefault="002E6131" w:rsidP="00FA053C">
      <w:pPr>
        <w:pStyle w:val="SingleTxtG"/>
        <w:ind w:left="1094" w:right="1138"/>
      </w:pPr>
      <w:r w:rsidRPr="00FA053C">
        <w:rPr>
          <w:i/>
        </w:rPr>
        <w:t>Electronic report on negotiation on contradictions</w:t>
      </w:r>
    </w:p>
    <w:p w14:paraId="3753D038" w14:textId="6A3B838A" w:rsidR="002E6131" w:rsidRPr="00FA053C" w:rsidRDefault="00565E40" w:rsidP="002E6131">
      <w:pPr>
        <w:pStyle w:val="SingleTxtG"/>
        <w:numPr>
          <w:ilvl w:val="0"/>
          <w:numId w:val="3"/>
        </w:numPr>
        <w:ind w:left="1094" w:right="1138" w:firstLine="0"/>
      </w:pPr>
      <w:r w:rsidRPr="00FA053C">
        <w:rPr>
          <w:bCs/>
          <w:iCs/>
        </w:rPr>
        <w:lastRenderedPageBreak/>
        <w:t>T</w:t>
      </w:r>
      <w:r w:rsidR="001623BF" w:rsidRPr="00FA053C">
        <w:t xml:space="preserve">he communicant alleges that after the negotiation on contradictions, </w:t>
      </w:r>
      <w:r w:rsidR="009A0FAF" w:rsidRPr="00FA053C">
        <w:t>the submitter</w:t>
      </w:r>
      <w:r w:rsidR="00AF499E" w:rsidRPr="00FA053C">
        <w:t xml:space="preserve"> </w:t>
      </w:r>
      <w:r w:rsidR="001623BF" w:rsidRPr="00FA053C">
        <w:t xml:space="preserve">did not make a regular report </w:t>
      </w:r>
      <w:r w:rsidR="0018708B" w:rsidRPr="00FA053C">
        <w:t xml:space="preserve">but only an electronic report, </w:t>
      </w:r>
      <w:r w:rsidR="001623BF" w:rsidRPr="00FA053C">
        <w:t xml:space="preserve">which </w:t>
      </w:r>
      <w:r w:rsidR="00A71D5D" w:rsidRPr="00FA053C">
        <w:t xml:space="preserve">it claims </w:t>
      </w:r>
      <w:r w:rsidR="001623BF" w:rsidRPr="00FA053C">
        <w:t xml:space="preserve">violates the </w:t>
      </w:r>
      <w:r w:rsidR="00572ACA">
        <w:t>L</w:t>
      </w:r>
      <w:r w:rsidR="001623BF" w:rsidRPr="00FA053C">
        <w:t xml:space="preserve">egislative </w:t>
      </w:r>
      <w:r w:rsidR="00572ACA">
        <w:t>R</w:t>
      </w:r>
      <w:r w:rsidR="001623BF" w:rsidRPr="00FA053C">
        <w:t>ules.</w:t>
      </w:r>
      <w:r w:rsidR="001623BF" w:rsidRPr="00C4314A">
        <w:rPr>
          <w:rStyle w:val="FootnoteReference"/>
        </w:rPr>
        <w:footnoteReference w:id="73"/>
      </w:r>
    </w:p>
    <w:p w14:paraId="2567D574" w14:textId="1DB6AD2F" w:rsidR="009F3F3D" w:rsidRPr="00FA053C" w:rsidRDefault="002E6131" w:rsidP="002E6131">
      <w:pPr>
        <w:pStyle w:val="SingleTxtG"/>
        <w:numPr>
          <w:ilvl w:val="0"/>
          <w:numId w:val="3"/>
        </w:numPr>
        <w:ind w:left="1094" w:right="1138" w:firstLine="0"/>
      </w:pPr>
      <w:r w:rsidRPr="00FA053C" w:rsidDel="002E6131">
        <w:t xml:space="preserve"> </w:t>
      </w:r>
      <w:r w:rsidRPr="00FA053C">
        <w:t>T</w:t>
      </w:r>
      <w:r w:rsidR="009F6494" w:rsidRPr="00957F9B">
        <w:t xml:space="preserve">he Party concerned submits that according to the </w:t>
      </w:r>
      <w:r w:rsidR="00572ACA">
        <w:t>L</w:t>
      </w:r>
      <w:r w:rsidR="009F6494" w:rsidRPr="00957F9B">
        <w:t xml:space="preserve">egislative </w:t>
      </w:r>
      <w:r w:rsidR="00572ACA">
        <w:t>R</w:t>
      </w:r>
      <w:r w:rsidR="009F6494" w:rsidRPr="00957F9B">
        <w:t xml:space="preserve">ules, the result of the contradictory negotiation shall be recorded in a report signed by the parties but that article </w:t>
      </w:r>
      <w:r w:rsidR="009F6494" w:rsidRPr="00537C28">
        <w:t>14</w:t>
      </w:r>
      <w:r w:rsidR="00F23E13" w:rsidRPr="00537C28">
        <w:t>(</w:t>
      </w:r>
      <w:r w:rsidR="009F6494" w:rsidRPr="00FA053C">
        <w:t>7</w:t>
      </w:r>
      <w:r w:rsidR="00F23E13" w:rsidRPr="00FA053C">
        <w:t>)</w:t>
      </w:r>
      <w:r w:rsidR="009F6494" w:rsidRPr="00FA053C">
        <w:t xml:space="preserve"> of the </w:t>
      </w:r>
      <w:r w:rsidR="00572ACA">
        <w:t>L</w:t>
      </w:r>
      <w:r w:rsidR="009F6494" w:rsidRPr="00FA053C">
        <w:t xml:space="preserve">egislative </w:t>
      </w:r>
      <w:r w:rsidR="00572ACA">
        <w:t>R</w:t>
      </w:r>
      <w:r w:rsidR="009F6494" w:rsidRPr="00FA053C">
        <w:t xml:space="preserve">ules does not </w:t>
      </w:r>
      <w:r w:rsidR="00B7430E" w:rsidRPr="00FA053C">
        <w:t>require the record to be in a particular</w:t>
      </w:r>
      <w:r w:rsidR="009F6494" w:rsidRPr="00FA053C">
        <w:t xml:space="preserve"> form</w:t>
      </w:r>
      <w:r w:rsidR="009F6494" w:rsidRPr="00957F9B">
        <w:t>.</w:t>
      </w:r>
      <w:r w:rsidR="00B7430E" w:rsidRPr="00C4314A">
        <w:rPr>
          <w:rStyle w:val="FootnoteReference"/>
        </w:rPr>
        <w:footnoteReference w:id="74"/>
      </w:r>
      <w:r w:rsidR="009F6494" w:rsidRPr="00C4314A">
        <w:t xml:space="preserve"> The Party concerned contends that participation in the contradict</w:t>
      </w:r>
      <w:r w:rsidR="009F6494" w:rsidRPr="00957F9B">
        <w:t xml:space="preserve">ory negotiation and its results were confirmed by signatures of all participants to the meeting and that the record was completed and signed by all parties to the negotiation. The Party further submits that </w:t>
      </w:r>
      <w:r w:rsidR="000A0722">
        <w:t xml:space="preserve">it </w:t>
      </w:r>
      <w:r w:rsidR="009F6494" w:rsidRPr="00537C28">
        <w:t>was sent to the public representative via e-mail and subsequently consulted upon</w:t>
      </w:r>
      <w:r w:rsidR="009F6494" w:rsidRPr="00957F9B">
        <w:t>.</w:t>
      </w:r>
      <w:r w:rsidR="009F6494" w:rsidRPr="00C4314A">
        <w:rPr>
          <w:rStyle w:val="FootnoteReference"/>
        </w:rPr>
        <w:footnoteReference w:id="75"/>
      </w:r>
    </w:p>
    <w:p w14:paraId="1B748634" w14:textId="77777777" w:rsidR="002E6131" w:rsidRPr="00C4314A" w:rsidRDefault="009F3F3D" w:rsidP="00FA053C">
      <w:pPr>
        <w:pStyle w:val="SingleTxtG"/>
        <w:ind w:left="1094" w:right="1138"/>
      </w:pPr>
      <w:r w:rsidRPr="00FA053C">
        <w:rPr>
          <w:i/>
        </w:rPr>
        <w:t>Labelling of essential comments as ordinary comments</w:t>
      </w:r>
    </w:p>
    <w:p w14:paraId="604D422B" w14:textId="77777777" w:rsidR="009F3F3D" w:rsidRPr="00C4314A" w:rsidRDefault="002E6131" w:rsidP="00FA053C">
      <w:pPr>
        <w:pStyle w:val="SingleTxtG"/>
        <w:numPr>
          <w:ilvl w:val="0"/>
          <w:numId w:val="3"/>
        </w:numPr>
        <w:ind w:left="1094" w:right="1138" w:firstLine="0"/>
      </w:pPr>
      <w:r w:rsidRPr="00FA053C">
        <w:rPr>
          <w:iCs/>
        </w:rPr>
        <w:t>T</w:t>
      </w:r>
      <w:r w:rsidR="001623BF" w:rsidRPr="00FA053C">
        <w:t xml:space="preserve">he communicant claims that in the </w:t>
      </w:r>
      <w:r w:rsidR="00AF499E" w:rsidRPr="00FA053C">
        <w:t xml:space="preserve">submitter’s </w:t>
      </w:r>
      <w:r w:rsidR="001623BF" w:rsidRPr="00FA053C">
        <w:t>evaluation of the interdepartmental discussion, all essential comments were labelled as ordinary comments.</w:t>
      </w:r>
      <w:r w:rsidR="001623BF" w:rsidRPr="00C4314A">
        <w:rPr>
          <w:rStyle w:val="FootnoteReference"/>
        </w:rPr>
        <w:footnoteReference w:id="76"/>
      </w:r>
      <w:r w:rsidR="00ED10FD" w:rsidRPr="00C4314A">
        <w:t xml:space="preserve"> </w:t>
      </w:r>
    </w:p>
    <w:p w14:paraId="0EF05E31" w14:textId="57A3C92B" w:rsidR="009F3F3D" w:rsidRPr="00C4314A" w:rsidRDefault="009F3F3D" w:rsidP="00301466">
      <w:pPr>
        <w:pStyle w:val="SingleTxtG"/>
        <w:numPr>
          <w:ilvl w:val="0"/>
          <w:numId w:val="3"/>
        </w:numPr>
        <w:ind w:left="1094" w:right="1138" w:firstLine="0"/>
      </w:pPr>
      <w:r w:rsidRPr="00FA053C">
        <w:t>T</w:t>
      </w:r>
      <w:r w:rsidR="006500E3" w:rsidRPr="00957F9B">
        <w:t>he communicant submits that</w:t>
      </w:r>
      <w:r w:rsidR="00301466">
        <w:t>,</w:t>
      </w:r>
      <w:r w:rsidR="00301466" w:rsidRPr="00301466">
        <w:t xml:space="preserve"> </w:t>
      </w:r>
      <w:r w:rsidR="00301466" w:rsidRPr="00FA053C">
        <w:t xml:space="preserve">in spite of being automatically labelled as ordinary by the </w:t>
      </w:r>
      <w:r w:rsidR="00572ACA">
        <w:t xml:space="preserve">legislation </w:t>
      </w:r>
      <w:r w:rsidR="00301466">
        <w:t>p</w:t>
      </w:r>
      <w:r w:rsidR="00301466" w:rsidRPr="00FA053C">
        <w:t>ortal,</w:t>
      </w:r>
      <w:r w:rsidR="006500E3" w:rsidRPr="00957F9B">
        <w:t xml:space="preserve"> </w:t>
      </w:r>
      <w:r w:rsidR="00424A81" w:rsidRPr="00957F9B">
        <w:t>t</w:t>
      </w:r>
      <w:r w:rsidR="006500E3" w:rsidRPr="00FA053C">
        <w:t>he comments of the public were in fact essential comments</w:t>
      </w:r>
      <w:r w:rsidR="00424A81" w:rsidRPr="00FA053C">
        <w:t xml:space="preserve">, </w:t>
      </w:r>
      <w:r w:rsidR="006500E3" w:rsidRPr="00FA053C">
        <w:t xml:space="preserve"> given that on the website www.ekoforum.sk</w:t>
      </w:r>
      <w:r w:rsidR="00B433E3">
        <w:t>,</w:t>
      </w:r>
      <w:r w:rsidR="006500E3" w:rsidRPr="00FA053C">
        <w:t xml:space="preserve"> they were supported by more than 13,000 </w:t>
      </w:r>
      <w:r w:rsidR="00AE34C4" w:rsidRPr="00FA053C">
        <w:t>members of the public</w:t>
      </w:r>
      <w:r w:rsidR="006500E3" w:rsidRPr="00FA053C">
        <w:t>.</w:t>
      </w:r>
      <w:r w:rsidR="00424A81" w:rsidRPr="00C4314A">
        <w:rPr>
          <w:rStyle w:val="FootnoteReference"/>
        </w:rPr>
        <w:footnoteReference w:id="77"/>
      </w:r>
      <w:r w:rsidR="006500E3" w:rsidRPr="00C4314A">
        <w:t xml:space="preserve"> </w:t>
      </w:r>
      <w:r w:rsidR="00FA57F0" w:rsidRPr="00957F9B">
        <w:t>The communicant submits that t</w:t>
      </w:r>
      <w:r w:rsidR="006500E3" w:rsidRPr="00957F9B">
        <w:t xml:space="preserve">hese </w:t>
      </w:r>
      <w:r w:rsidR="00AE34C4" w:rsidRPr="00957F9B">
        <w:t>persons</w:t>
      </w:r>
      <w:r w:rsidR="006500E3" w:rsidRPr="00957F9B">
        <w:t xml:space="preserve">’ votes </w:t>
      </w:r>
      <w:r w:rsidR="00424A81" w:rsidRPr="00FA053C">
        <w:t>were provided as a list to the submitter</w:t>
      </w:r>
      <w:r w:rsidR="006500E3" w:rsidRPr="00FA053C">
        <w:t>.</w:t>
      </w:r>
      <w:r w:rsidR="00424A81" w:rsidRPr="00C4314A">
        <w:rPr>
          <w:rStyle w:val="FootnoteReference"/>
        </w:rPr>
        <w:footnoteReference w:id="78"/>
      </w:r>
      <w:r w:rsidR="006500E3" w:rsidRPr="00C4314A">
        <w:t xml:space="preserve"> </w:t>
      </w:r>
      <w:r w:rsidR="00BD0382" w:rsidRPr="00957F9B">
        <w:t>The communicant claims that this way to prove that c</w:t>
      </w:r>
      <w:r w:rsidR="00BD0382" w:rsidRPr="00537C28">
        <w:t xml:space="preserve">omments are essential in nature is </w:t>
      </w:r>
      <w:r w:rsidR="006500E3" w:rsidRPr="00FA053C">
        <w:t>explicitly allowed by article 14</w:t>
      </w:r>
      <w:r w:rsidR="00BD0382" w:rsidRPr="00FA053C">
        <w:t>(</w:t>
      </w:r>
      <w:r w:rsidR="006500E3" w:rsidRPr="00FA053C">
        <w:t>6</w:t>
      </w:r>
      <w:r w:rsidR="00BD0382" w:rsidRPr="00FA053C">
        <w:t xml:space="preserve">) </w:t>
      </w:r>
      <w:r w:rsidR="006500E3" w:rsidRPr="00FA053C">
        <w:t xml:space="preserve">of the </w:t>
      </w:r>
      <w:r w:rsidR="00572ACA">
        <w:t>L</w:t>
      </w:r>
      <w:r w:rsidR="006500E3" w:rsidRPr="00FA053C">
        <w:t xml:space="preserve">egislative </w:t>
      </w:r>
      <w:r w:rsidR="00572ACA">
        <w:t>R</w:t>
      </w:r>
      <w:r w:rsidR="006500E3" w:rsidRPr="00FA053C">
        <w:t>ules</w:t>
      </w:r>
      <w:r w:rsidR="00BD0382" w:rsidRPr="00FA053C">
        <w:t xml:space="preserve">, which provides that </w:t>
      </w:r>
      <w:r w:rsidR="00BD0382" w:rsidRPr="00FA053C">
        <w:rPr>
          <w:iCs/>
          <w:lang w:val="en-US"/>
        </w:rPr>
        <w:t xml:space="preserve">a </w:t>
      </w:r>
      <w:r w:rsidR="00BD0382" w:rsidRPr="00FA053C">
        <w:rPr>
          <w:bCs/>
          <w:iCs/>
          <w:lang w:val="en-US"/>
        </w:rPr>
        <w:t>list of natural and legal persons who supported the comment can be sent to the submitter also “by other means” than via the portal</w:t>
      </w:r>
      <w:r w:rsidR="00BD0382" w:rsidRPr="00C4314A">
        <w:rPr>
          <w:lang w:val="en-US"/>
        </w:rPr>
        <w:t>.</w:t>
      </w:r>
      <w:r w:rsidR="00BD0382" w:rsidRPr="00C4314A">
        <w:rPr>
          <w:rStyle w:val="FootnoteReference"/>
        </w:rPr>
        <w:footnoteReference w:id="79"/>
      </w:r>
      <w:r w:rsidR="006500E3" w:rsidRPr="00957F9B">
        <w:t xml:space="preserve"> </w:t>
      </w:r>
    </w:p>
    <w:p w14:paraId="365A26DD" w14:textId="7562733A" w:rsidR="009F3F3D" w:rsidRPr="00FA053C" w:rsidRDefault="009F3F3D" w:rsidP="009F3F3D">
      <w:pPr>
        <w:pStyle w:val="SingleTxtG"/>
        <w:numPr>
          <w:ilvl w:val="0"/>
          <w:numId w:val="3"/>
        </w:numPr>
        <w:ind w:left="1094" w:right="1138" w:firstLine="0"/>
      </w:pPr>
      <w:r w:rsidRPr="00FA053C">
        <w:t>T</w:t>
      </w:r>
      <w:r w:rsidR="001A51DE" w:rsidRPr="00C4314A">
        <w:t>he Party concerned su</w:t>
      </w:r>
      <w:r w:rsidR="001A51DE" w:rsidRPr="00957F9B">
        <w:t xml:space="preserve">bmits that the communicant submitted the same </w:t>
      </w:r>
      <w:r w:rsidR="001A51DE" w:rsidRPr="00537C28">
        <w:t>collective comments twice</w:t>
      </w:r>
      <w:r w:rsidR="001A51DE" w:rsidRPr="00FA053C">
        <w:t>, once electronically via</w:t>
      </w:r>
      <w:r w:rsidR="00A032C1">
        <w:t xml:space="preserve"> the</w:t>
      </w:r>
      <w:r w:rsidR="001A51DE" w:rsidRPr="00FA053C">
        <w:t xml:space="preserve"> portal, and once in writing.</w:t>
      </w:r>
      <w:r w:rsidR="001A51DE" w:rsidRPr="00FA053C">
        <w:rPr>
          <w:rStyle w:val="FootnoteReference"/>
        </w:rPr>
        <w:footnoteReference w:id="80"/>
      </w:r>
      <w:r w:rsidR="001A51DE" w:rsidRPr="00C4314A">
        <w:t xml:space="preserve"> </w:t>
      </w:r>
      <w:r w:rsidR="006500E3" w:rsidRPr="00957F9B">
        <w:t xml:space="preserve">The Party concerned </w:t>
      </w:r>
      <w:r w:rsidR="00572ACA">
        <w:t>submits</w:t>
      </w:r>
      <w:r w:rsidR="006500E3" w:rsidRPr="00957F9B">
        <w:t xml:space="preserve"> that the </w:t>
      </w:r>
      <w:r w:rsidR="00BD0382" w:rsidRPr="00537C28">
        <w:t xml:space="preserve">collective </w:t>
      </w:r>
      <w:r w:rsidR="006500E3" w:rsidRPr="00FA053C">
        <w:t>comments were supported on the portal by only 62 persons, i.e. they were not supported by more than 500 persons. Th</w:t>
      </w:r>
      <w:r w:rsidR="00AE34C4" w:rsidRPr="00FA053C">
        <w:t>e</w:t>
      </w:r>
      <w:r w:rsidR="006500E3" w:rsidRPr="00FA053C">
        <w:t xml:space="preserve"> public comment</w:t>
      </w:r>
      <w:r w:rsidR="00AE34C4" w:rsidRPr="00FA053C">
        <w:t>s</w:t>
      </w:r>
      <w:r w:rsidR="006500E3" w:rsidRPr="00FA053C">
        <w:t xml:space="preserve"> </w:t>
      </w:r>
      <w:r w:rsidR="00AE34C4" w:rsidRPr="00FA053C">
        <w:t xml:space="preserve">submitted </w:t>
      </w:r>
      <w:r w:rsidR="006500E3" w:rsidRPr="00FA053C">
        <w:t xml:space="preserve">via </w:t>
      </w:r>
      <w:r w:rsidR="00AE34C4" w:rsidRPr="00FA053C">
        <w:t xml:space="preserve">the </w:t>
      </w:r>
      <w:r w:rsidR="006500E3" w:rsidRPr="00FA053C">
        <w:t xml:space="preserve">portal therefore </w:t>
      </w:r>
      <w:r w:rsidR="00BD0382" w:rsidRPr="00FA053C">
        <w:t>were automatically labelled as ordinary</w:t>
      </w:r>
      <w:r w:rsidR="006500E3" w:rsidRPr="00FA053C">
        <w:t>.</w:t>
      </w:r>
      <w:r w:rsidR="006500E3" w:rsidRPr="00C4314A">
        <w:rPr>
          <w:rStyle w:val="FootnoteReference"/>
        </w:rPr>
        <w:footnoteReference w:id="81"/>
      </w:r>
    </w:p>
    <w:p w14:paraId="3B91B471" w14:textId="527A1D04" w:rsidR="0009267A" w:rsidRPr="00FA053C" w:rsidRDefault="009F3F3D" w:rsidP="0009267A">
      <w:pPr>
        <w:pStyle w:val="SingleTxtG"/>
        <w:numPr>
          <w:ilvl w:val="0"/>
          <w:numId w:val="3"/>
        </w:numPr>
        <w:ind w:left="1094" w:right="1138" w:firstLine="0"/>
      </w:pPr>
      <w:r w:rsidRPr="00FA053C" w:rsidDel="009F3F3D">
        <w:t xml:space="preserve"> </w:t>
      </w:r>
      <w:r w:rsidRPr="00FA053C">
        <w:t>H</w:t>
      </w:r>
      <w:r w:rsidR="006500E3" w:rsidRPr="00957F9B">
        <w:t>owever</w:t>
      </w:r>
      <w:r w:rsidR="006500E3" w:rsidRPr="00C4314A">
        <w:t xml:space="preserve">, the Party concerned </w:t>
      </w:r>
      <w:r w:rsidR="001A51DE" w:rsidRPr="00FA053C">
        <w:t>claims</w:t>
      </w:r>
      <w:r w:rsidR="001A51DE" w:rsidRPr="00C4314A">
        <w:t xml:space="preserve"> </w:t>
      </w:r>
      <w:r w:rsidR="00024DC2" w:rsidRPr="00957F9B">
        <w:t xml:space="preserve">that </w:t>
      </w:r>
      <w:r w:rsidR="006500E3" w:rsidRPr="00957F9B">
        <w:t xml:space="preserve">the </w:t>
      </w:r>
      <w:r w:rsidR="006500E3" w:rsidRPr="00FA053C">
        <w:t xml:space="preserve">comments </w:t>
      </w:r>
      <w:r w:rsidR="00301466">
        <w:t xml:space="preserve">in </w:t>
      </w:r>
      <w:r w:rsidR="006500E3" w:rsidRPr="00FA053C">
        <w:t xml:space="preserve">written form showed </w:t>
      </w:r>
      <w:r w:rsidR="001A51DE" w:rsidRPr="00FA053C">
        <w:t xml:space="preserve">the </w:t>
      </w:r>
      <w:r w:rsidR="006500E3" w:rsidRPr="00C4314A">
        <w:t xml:space="preserve">support of 9,062 persons. The </w:t>
      </w:r>
      <w:r w:rsidR="00BD0382" w:rsidRPr="00957F9B">
        <w:t>Party concerned states that these written comments were validly submitted and qualified as essential</w:t>
      </w:r>
      <w:r w:rsidR="00BD0382" w:rsidRPr="00537C28">
        <w:t xml:space="preserve"> comments </w:t>
      </w:r>
      <w:r w:rsidR="001A51DE" w:rsidRPr="00FA053C">
        <w:t xml:space="preserve">under </w:t>
      </w:r>
      <w:r w:rsidR="006500E3" w:rsidRPr="00FA053C">
        <w:t>article 14</w:t>
      </w:r>
      <w:r w:rsidR="00BD0382" w:rsidRPr="00FA053C">
        <w:t>(</w:t>
      </w:r>
      <w:r w:rsidR="006500E3" w:rsidRPr="00FA053C">
        <w:t>6</w:t>
      </w:r>
      <w:r w:rsidR="00BD0382" w:rsidRPr="00FA053C">
        <w:t>)</w:t>
      </w:r>
      <w:r w:rsidR="001A51DE" w:rsidRPr="00FA053C">
        <w:t xml:space="preserve"> of the </w:t>
      </w:r>
      <w:r w:rsidR="00572ACA">
        <w:t>L</w:t>
      </w:r>
      <w:r w:rsidR="001A51DE" w:rsidRPr="00FA053C">
        <w:t xml:space="preserve">egislative </w:t>
      </w:r>
      <w:r w:rsidR="00572ACA">
        <w:t>R</w:t>
      </w:r>
      <w:r w:rsidR="001A51DE" w:rsidRPr="00FA053C">
        <w:t>ules</w:t>
      </w:r>
      <w:r w:rsidR="006500E3" w:rsidRPr="00FA053C">
        <w:t>.</w:t>
      </w:r>
      <w:r w:rsidR="006500E3" w:rsidRPr="00C4314A">
        <w:rPr>
          <w:rStyle w:val="FootnoteReference"/>
        </w:rPr>
        <w:footnoteReference w:id="82"/>
      </w:r>
    </w:p>
    <w:p w14:paraId="5FC429D1" w14:textId="2A0FF439" w:rsidR="0009267A" w:rsidRPr="00C4314A" w:rsidRDefault="0009267A" w:rsidP="00FA053C">
      <w:pPr>
        <w:pStyle w:val="SingleTxtG"/>
        <w:numPr>
          <w:ilvl w:val="0"/>
          <w:numId w:val="3"/>
        </w:numPr>
        <w:ind w:left="1094" w:right="1138" w:firstLine="0"/>
      </w:pPr>
      <w:r w:rsidRPr="00FA053C" w:rsidDel="0009267A">
        <w:t xml:space="preserve"> </w:t>
      </w:r>
      <w:r w:rsidR="00447B62">
        <w:t>T</w:t>
      </w:r>
      <w:r w:rsidR="006500E3" w:rsidRPr="00957F9B">
        <w:t xml:space="preserve">he </w:t>
      </w:r>
      <w:r w:rsidR="001A51DE" w:rsidRPr="00957F9B">
        <w:t xml:space="preserve">Party concerned states that the </w:t>
      </w:r>
      <w:r w:rsidR="006500E3" w:rsidRPr="00537C28">
        <w:t xml:space="preserve">submitter </w:t>
      </w:r>
      <w:r w:rsidR="006500E3" w:rsidRPr="00FA053C">
        <w:t xml:space="preserve">fulfilled </w:t>
      </w:r>
      <w:r w:rsidR="00024DC2" w:rsidRPr="00FA053C">
        <w:t>the</w:t>
      </w:r>
      <w:r w:rsidR="006500E3" w:rsidRPr="00FA053C">
        <w:t xml:space="preserve"> obligation</w:t>
      </w:r>
      <w:r w:rsidR="00771748" w:rsidRPr="00FA053C">
        <w:t>s</w:t>
      </w:r>
      <w:r w:rsidR="006500E3" w:rsidRPr="00FA053C">
        <w:t xml:space="preserve"> under article </w:t>
      </w:r>
      <w:r w:rsidR="00771748" w:rsidRPr="00FA053C">
        <w:t xml:space="preserve">14(6) and </w:t>
      </w:r>
      <w:r w:rsidR="006500E3" w:rsidRPr="00FA053C">
        <w:t>14</w:t>
      </w:r>
      <w:r w:rsidR="001A51DE" w:rsidRPr="00FA053C">
        <w:t>(</w:t>
      </w:r>
      <w:r w:rsidR="006500E3" w:rsidRPr="00FA053C">
        <w:t>9</w:t>
      </w:r>
      <w:r w:rsidR="001A51DE" w:rsidRPr="00FA053C">
        <w:t>)</w:t>
      </w:r>
      <w:r w:rsidR="00301466">
        <w:t xml:space="preserve"> of the </w:t>
      </w:r>
      <w:r w:rsidR="00572ACA">
        <w:t>L</w:t>
      </w:r>
      <w:r w:rsidR="00301466">
        <w:t xml:space="preserve">egislative </w:t>
      </w:r>
      <w:r w:rsidR="00572ACA">
        <w:t>R</w:t>
      </w:r>
      <w:r w:rsidR="00301466">
        <w:t xml:space="preserve">ules </w:t>
      </w:r>
      <w:r w:rsidR="001A51DE" w:rsidRPr="00FA053C">
        <w:t xml:space="preserve">by </w:t>
      </w:r>
      <w:r w:rsidR="00771748" w:rsidRPr="00FA053C">
        <w:t xml:space="preserve">conducting negotiations on the contradictions with respect to the comments </w:t>
      </w:r>
      <w:r w:rsidR="006500E3" w:rsidRPr="00FA053C">
        <w:t>submitted in written form</w:t>
      </w:r>
      <w:r w:rsidR="00771748" w:rsidRPr="00FA053C">
        <w:t xml:space="preserve"> and </w:t>
      </w:r>
      <w:r w:rsidR="006500E3" w:rsidRPr="00FA053C">
        <w:t>evaluat</w:t>
      </w:r>
      <w:r w:rsidR="00771748" w:rsidRPr="00FA053C">
        <w:t>ing these</w:t>
      </w:r>
      <w:r w:rsidR="006500E3" w:rsidRPr="00FA053C">
        <w:t>.</w:t>
      </w:r>
      <w:r w:rsidR="006500E3" w:rsidRPr="00C4314A">
        <w:rPr>
          <w:rStyle w:val="FootnoteReference"/>
        </w:rPr>
        <w:footnoteReference w:id="83"/>
      </w:r>
    </w:p>
    <w:p w14:paraId="03851DCE" w14:textId="77777777" w:rsidR="00FF1A05" w:rsidRPr="00FA053C" w:rsidRDefault="0009267A" w:rsidP="00FF1A05">
      <w:pPr>
        <w:pStyle w:val="SingleTxtG"/>
        <w:numPr>
          <w:ilvl w:val="0"/>
          <w:numId w:val="3"/>
        </w:numPr>
        <w:ind w:left="1094" w:right="1138" w:firstLine="0"/>
      </w:pPr>
      <w:r w:rsidRPr="00FA053C">
        <w:t>T</w:t>
      </w:r>
      <w:r w:rsidR="00771748" w:rsidRPr="00C4314A">
        <w:t xml:space="preserve">he Party concerned states that </w:t>
      </w:r>
      <w:r w:rsidR="00771748" w:rsidRPr="00537C28">
        <w:t>t</w:t>
      </w:r>
      <w:r w:rsidR="006500E3" w:rsidRPr="00FA053C">
        <w:t xml:space="preserve">he submitter was not obliged to conduct </w:t>
      </w:r>
      <w:r w:rsidR="00771748" w:rsidRPr="00FA053C">
        <w:t xml:space="preserve">a </w:t>
      </w:r>
      <w:r w:rsidR="006500E3" w:rsidRPr="00FA053C">
        <w:t xml:space="preserve">contradictory negotiation on the comments </w:t>
      </w:r>
      <w:r w:rsidR="00771748" w:rsidRPr="00FA053C">
        <w:t>provided electronically</w:t>
      </w:r>
      <w:r w:rsidR="006500E3" w:rsidRPr="00FA053C">
        <w:t xml:space="preserve"> via </w:t>
      </w:r>
      <w:r w:rsidR="00771748" w:rsidRPr="00FA053C">
        <w:t xml:space="preserve">the </w:t>
      </w:r>
      <w:r w:rsidR="006500E3" w:rsidRPr="00FA053C">
        <w:t>portal</w:t>
      </w:r>
      <w:r w:rsidR="00771748" w:rsidRPr="00FA053C">
        <w:t>, and an e</w:t>
      </w:r>
      <w:r w:rsidR="006500E3" w:rsidRPr="00FA053C">
        <w:t>valuation of the</w:t>
      </w:r>
      <w:r w:rsidR="00771748" w:rsidRPr="00FA053C">
        <w:t xml:space="preserve">se </w:t>
      </w:r>
      <w:r w:rsidR="006500E3" w:rsidRPr="00FA053C">
        <w:t>was therefore not necessary.</w:t>
      </w:r>
      <w:r w:rsidR="006500E3" w:rsidRPr="00C4314A">
        <w:rPr>
          <w:rStyle w:val="FootnoteReference"/>
        </w:rPr>
        <w:footnoteReference w:id="84"/>
      </w:r>
    </w:p>
    <w:p w14:paraId="24D52A60" w14:textId="1843D91A" w:rsidR="00FF1A05" w:rsidRPr="00C4314A" w:rsidRDefault="00FF1A05" w:rsidP="00887BC2">
      <w:pPr>
        <w:pStyle w:val="SingleTxtG"/>
        <w:tabs>
          <w:tab w:val="left" w:pos="6273"/>
        </w:tabs>
        <w:ind w:right="1138"/>
      </w:pPr>
      <w:r w:rsidRPr="00FA053C">
        <w:rPr>
          <w:i/>
        </w:rPr>
        <w:t xml:space="preserve">Section 30(3) of the draft Forest Act </w:t>
      </w:r>
      <w:r w:rsidR="00887BC2">
        <w:rPr>
          <w:i/>
        </w:rPr>
        <w:tab/>
      </w:r>
    </w:p>
    <w:p w14:paraId="20C763BE" w14:textId="5B7DCEFA" w:rsidR="00FE7A1C" w:rsidRPr="00FA053C" w:rsidRDefault="00936148" w:rsidP="00FE7A1C">
      <w:pPr>
        <w:pStyle w:val="SingleTxtG"/>
        <w:numPr>
          <w:ilvl w:val="0"/>
          <w:numId w:val="3"/>
        </w:numPr>
        <w:ind w:left="1094" w:right="1138" w:firstLine="0"/>
      </w:pPr>
      <w:r w:rsidRPr="00FA053C">
        <w:t>T</w:t>
      </w:r>
      <w:r w:rsidR="001623BF" w:rsidRPr="00C4314A">
        <w:t xml:space="preserve">he communicant </w:t>
      </w:r>
      <w:r w:rsidR="00024DC2" w:rsidRPr="00957F9B">
        <w:t>submits</w:t>
      </w:r>
      <w:r w:rsidR="001623BF" w:rsidRPr="00957F9B">
        <w:t xml:space="preserve"> that </w:t>
      </w:r>
      <w:r w:rsidR="00B442A9" w:rsidRPr="00FA053C">
        <w:t>the</w:t>
      </w:r>
      <w:r w:rsidR="00ED10FD" w:rsidRPr="00FA053C">
        <w:t xml:space="preserve"> </w:t>
      </w:r>
      <w:r w:rsidR="001623BF" w:rsidRPr="00FA053C">
        <w:t>version of section 30</w:t>
      </w:r>
      <w:r w:rsidR="00B442A9" w:rsidRPr="00FA053C">
        <w:t>(</w:t>
      </w:r>
      <w:r w:rsidR="001623BF" w:rsidRPr="00FA053C">
        <w:t>3</w:t>
      </w:r>
      <w:r w:rsidR="00B442A9" w:rsidRPr="00FA053C">
        <w:t>)</w:t>
      </w:r>
      <w:r w:rsidR="001623BF" w:rsidRPr="00FA053C">
        <w:t xml:space="preserve"> of the Forest Act </w:t>
      </w:r>
      <w:r w:rsidR="00E178AD" w:rsidRPr="00FA053C">
        <w:t xml:space="preserve">which </w:t>
      </w:r>
      <w:r w:rsidR="001C1BE7" w:rsidRPr="00FA053C">
        <w:t xml:space="preserve">was submitted for the negotiation in the Government </w:t>
      </w:r>
      <w:r w:rsidR="001623BF" w:rsidRPr="00FA053C">
        <w:t xml:space="preserve">was </w:t>
      </w:r>
      <w:r w:rsidR="00E35DBD" w:rsidRPr="00FA053C">
        <w:t xml:space="preserve">not </w:t>
      </w:r>
      <w:r w:rsidR="001623BF" w:rsidRPr="00FA053C">
        <w:t xml:space="preserve">the version agreed on with the </w:t>
      </w:r>
      <w:r w:rsidR="00553694" w:rsidRPr="00FA053C">
        <w:lastRenderedPageBreak/>
        <w:t>communicant</w:t>
      </w:r>
      <w:r w:rsidR="001623BF" w:rsidRPr="00FA053C">
        <w:t xml:space="preserve"> during the negotiation on contradictions</w:t>
      </w:r>
      <w:r w:rsidR="001623BF" w:rsidRPr="00957F9B">
        <w:t>.</w:t>
      </w:r>
      <w:r w:rsidR="00E35DBD" w:rsidRPr="00C4314A">
        <w:rPr>
          <w:rStyle w:val="FootnoteReference"/>
        </w:rPr>
        <w:footnoteReference w:id="85"/>
      </w:r>
      <w:r w:rsidR="001623BF" w:rsidRPr="00C4314A">
        <w:t xml:space="preserve"> The</w:t>
      </w:r>
      <w:r w:rsidR="00ED10FD" w:rsidRPr="00957F9B">
        <w:t xml:space="preserve"> communicant submits that the</w:t>
      </w:r>
      <w:r w:rsidR="001623BF" w:rsidRPr="00957F9B">
        <w:t xml:space="preserve"> submission report</w:t>
      </w:r>
      <w:r w:rsidR="001623BF" w:rsidRPr="00C4314A">
        <w:t xml:space="preserve"> </w:t>
      </w:r>
      <w:r w:rsidR="00024DC2" w:rsidRPr="00957F9B">
        <w:t>stated</w:t>
      </w:r>
      <w:r w:rsidR="001623BF" w:rsidRPr="00957F9B">
        <w:t xml:space="preserve"> that there was a persisting contradiction in relation to the provision of section 30</w:t>
      </w:r>
      <w:r w:rsidR="00E35DBD" w:rsidRPr="00537C28">
        <w:t>(</w:t>
      </w:r>
      <w:r w:rsidR="001623BF" w:rsidRPr="00FA053C">
        <w:t>3</w:t>
      </w:r>
      <w:r w:rsidR="00E35DBD" w:rsidRPr="00FA053C">
        <w:t>)</w:t>
      </w:r>
      <w:r w:rsidR="001623BF" w:rsidRPr="00FA053C">
        <w:t xml:space="preserve"> of the Forest Ac</w:t>
      </w:r>
      <w:r w:rsidR="005D5041" w:rsidRPr="00FA053C">
        <w:t>t</w:t>
      </w:r>
      <w:r w:rsidR="00ED10FD" w:rsidRPr="00957F9B">
        <w:t xml:space="preserve">, while it </w:t>
      </w:r>
      <w:r w:rsidR="00E35DBD" w:rsidRPr="00957F9B">
        <w:t xml:space="preserve">was in fact </w:t>
      </w:r>
      <w:r w:rsidR="001623BF" w:rsidRPr="00FA053C">
        <w:t xml:space="preserve">the only comment that </w:t>
      </w:r>
      <w:r w:rsidR="00E35DBD" w:rsidRPr="00FA053C">
        <w:t xml:space="preserve">the submitter </w:t>
      </w:r>
      <w:r w:rsidR="001623BF" w:rsidRPr="00FA053C">
        <w:t>accepted during the negotiation on contradictions.</w:t>
      </w:r>
      <w:r w:rsidR="001623BF" w:rsidRPr="00C4314A">
        <w:rPr>
          <w:rStyle w:val="FootnoteReference"/>
        </w:rPr>
        <w:footnoteReference w:id="86"/>
      </w:r>
      <w:r w:rsidR="00607402" w:rsidRPr="00C4314A" w:rsidDel="00607402">
        <w:t xml:space="preserve"> </w:t>
      </w:r>
      <w:r w:rsidR="00607402" w:rsidRPr="00957F9B">
        <w:t>T</w:t>
      </w:r>
      <w:bookmarkStart w:id="23" w:name="_Ref23079646"/>
      <w:r w:rsidR="003050B8" w:rsidRPr="00FA053C">
        <w:t xml:space="preserve">he communicant alleges that </w:t>
      </w:r>
      <w:r w:rsidR="008173BA">
        <w:t>contrary</w:t>
      </w:r>
      <w:r w:rsidR="001623BF" w:rsidRPr="00FA053C">
        <w:t xml:space="preserve"> </w:t>
      </w:r>
      <w:r w:rsidR="00024DC2" w:rsidRPr="00FA053C">
        <w:t>to</w:t>
      </w:r>
      <w:r w:rsidR="001623BF" w:rsidRPr="00FA053C">
        <w:t xml:space="preserve"> the agreement concluded during the negotiation on contradictions, this comment was reclassified </w:t>
      </w:r>
      <w:r w:rsidR="00024DC2" w:rsidRPr="00FA053C">
        <w:t>as</w:t>
      </w:r>
      <w:r w:rsidR="001623BF" w:rsidRPr="00FA053C">
        <w:t xml:space="preserve"> a non-accepted one.</w:t>
      </w:r>
      <w:r w:rsidR="001623BF" w:rsidRPr="00C4314A">
        <w:rPr>
          <w:rStyle w:val="FootnoteReference"/>
        </w:rPr>
        <w:footnoteReference w:id="87"/>
      </w:r>
      <w:bookmarkEnd w:id="23"/>
    </w:p>
    <w:p w14:paraId="1C4A32B6" w14:textId="77BAADAA" w:rsidR="00FE7A1C" w:rsidRPr="00FA053C" w:rsidRDefault="00FE7A1C" w:rsidP="00FE7A1C">
      <w:pPr>
        <w:pStyle w:val="SingleTxtG"/>
        <w:numPr>
          <w:ilvl w:val="0"/>
          <w:numId w:val="3"/>
        </w:numPr>
        <w:ind w:left="1094" w:right="1138" w:firstLine="0"/>
      </w:pPr>
      <w:r w:rsidRPr="00FA053C" w:rsidDel="00FE7A1C">
        <w:t xml:space="preserve"> </w:t>
      </w:r>
      <w:r w:rsidRPr="00FA053C">
        <w:t>T</w:t>
      </w:r>
      <w:r w:rsidR="003050B8" w:rsidRPr="00957F9B">
        <w:t>he communicant further alleges that ne</w:t>
      </w:r>
      <w:r w:rsidR="001623BF" w:rsidRPr="00957F9B">
        <w:t xml:space="preserve">ither </w:t>
      </w:r>
      <w:r w:rsidR="003050B8" w:rsidRPr="00537C28">
        <w:t xml:space="preserve">the </w:t>
      </w:r>
      <w:r w:rsidR="00607402" w:rsidRPr="00FA053C">
        <w:t>submitter</w:t>
      </w:r>
      <w:r w:rsidR="001623BF" w:rsidRPr="00FA053C">
        <w:t xml:space="preserve"> </w:t>
      </w:r>
      <w:r w:rsidR="003050B8" w:rsidRPr="00FA053C">
        <w:t>n</w:t>
      </w:r>
      <w:r w:rsidR="001623BF" w:rsidRPr="00FA053C">
        <w:t xml:space="preserve">or the </w:t>
      </w:r>
      <w:r w:rsidR="00572ACA">
        <w:t>L</w:t>
      </w:r>
      <w:r w:rsidR="001623BF" w:rsidRPr="00FA053C">
        <w:t xml:space="preserve">egislative </w:t>
      </w:r>
      <w:r w:rsidR="00572ACA">
        <w:t>Council</w:t>
      </w:r>
      <w:r w:rsidR="001623BF" w:rsidRPr="00FA053C">
        <w:t xml:space="preserve"> inform</w:t>
      </w:r>
      <w:r w:rsidR="003050B8" w:rsidRPr="00FA053C">
        <w:t>ed</w:t>
      </w:r>
      <w:r w:rsidR="001623BF" w:rsidRPr="00FA053C">
        <w:t xml:space="preserve"> </w:t>
      </w:r>
      <w:r w:rsidR="00607402" w:rsidRPr="00FA053C">
        <w:t xml:space="preserve">Mr. </w:t>
      </w:r>
      <w:proofErr w:type="spellStart"/>
      <w:r w:rsidR="00607402" w:rsidRPr="00FA053C">
        <w:t>Oružinský</w:t>
      </w:r>
      <w:proofErr w:type="spellEnd"/>
      <w:r w:rsidR="00607402" w:rsidRPr="00C4314A" w:rsidDel="00607402">
        <w:t xml:space="preserve"> </w:t>
      </w:r>
      <w:r w:rsidR="001623BF" w:rsidRPr="00FA053C">
        <w:t xml:space="preserve">about changes in the version of the provision agreed on during the negotiation on contradictions and did not allow </w:t>
      </w:r>
      <w:r w:rsidR="00607402" w:rsidRPr="00FA053C">
        <w:t xml:space="preserve">Mr. </w:t>
      </w:r>
      <w:proofErr w:type="spellStart"/>
      <w:r w:rsidR="00607402" w:rsidRPr="00FA053C">
        <w:t>Oružinský</w:t>
      </w:r>
      <w:proofErr w:type="spellEnd"/>
      <w:r w:rsidR="001623BF" w:rsidRPr="00C4314A">
        <w:t xml:space="preserve"> to discuss and </w:t>
      </w:r>
      <w:r w:rsidR="003050B8" w:rsidRPr="00957F9B">
        <w:t>submit his opinion on</w:t>
      </w:r>
      <w:r w:rsidR="001623BF" w:rsidRPr="00957F9B">
        <w:t xml:space="preserve"> the new version of the provision.</w:t>
      </w:r>
      <w:r w:rsidR="00607402" w:rsidRPr="00FA053C">
        <w:rPr>
          <w:rStyle w:val="FootnoteReference"/>
        </w:rPr>
        <w:footnoteReference w:id="88"/>
      </w:r>
      <w:r w:rsidR="001623BF" w:rsidRPr="00C4314A">
        <w:t xml:space="preserve"> </w:t>
      </w:r>
      <w:r w:rsidR="0038342A" w:rsidRPr="00957F9B">
        <w:t>The communicant submits that, e</w:t>
      </w:r>
      <w:r w:rsidR="001623BF" w:rsidRPr="00957F9B">
        <w:t xml:space="preserve">ven if </w:t>
      </w:r>
      <w:r w:rsidR="002129CC" w:rsidRPr="00537C28">
        <w:t xml:space="preserve">it </w:t>
      </w:r>
      <w:r w:rsidR="001623BF" w:rsidRPr="00FA053C">
        <w:t>w</w:t>
      </w:r>
      <w:r w:rsidR="0038342A" w:rsidRPr="00FA053C">
        <w:t>ere</w:t>
      </w:r>
      <w:r w:rsidR="001623BF" w:rsidRPr="00FA053C">
        <w:t xml:space="preserve"> true</w:t>
      </w:r>
      <w:r w:rsidR="002129CC" w:rsidRPr="00FA053C">
        <w:t xml:space="preserve"> </w:t>
      </w:r>
      <w:r w:rsidR="001623BF" w:rsidRPr="00FA053C">
        <w:t xml:space="preserve">that the provision had been changed by the </w:t>
      </w:r>
      <w:r w:rsidR="00572ACA">
        <w:t>L</w:t>
      </w:r>
      <w:r w:rsidR="001623BF" w:rsidRPr="00FA053C">
        <w:t xml:space="preserve">egislative </w:t>
      </w:r>
      <w:r w:rsidR="00572ACA">
        <w:t>Council</w:t>
      </w:r>
      <w:r w:rsidR="003050B8" w:rsidRPr="00FA053C">
        <w:t>, this</w:t>
      </w:r>
      <w:r w:rsidR="001623BF" w:rsidRPr="00FA053C">
        <w:t xml:space="preserve"> </w:t>
      </w:r>
      <w:r w:rsidR="003050B8" w:rsidRPr="00FA053C">
        <w:t xml:space="preserve">would </w:t>
      </w:r>
      <w:r w:rsidR="001623BF" w:rsidRPr="00FA053C">
        <w:t xml:space="preserve">not change the fact that the </w:t>
      </w:r>
      <w:r w:rsidR="003050B8" w:rsidRPr="00FA053C">
        <w:t>communicant</w:t>
      </w:r>
      <w:r w:rsidR="001623BF" w:rsidRPr="00FA053C">
        <w:t xml:space="preserve"> </w:t>
      </w:r>
      <w:r w:rsidR="003050B8" w:rsidRPr="00FA053C">
        <w:t xml:space="preserve">had been </w:t>
      </w:r>
      <w:r w:rsidR="001623BF" w:rsidRPr="00FA053C">
        <w:t xml:space="preserve">told that </w:t>
      </w:r>
      <w:r w:rsidR="0038342A" w:rsidRPr="00FA053C">
        <w:t>the submitter</w:t>
      </w:r>
      <w:r w:rsidR="001623BF" w:rsidRPr="00FA053C">
        <w:t xml:space="preserve"> had accepted his essential comment.</w:t>
      </w:r>
      <w:r w:rsidR="0038342A" w:rsidRPr="00FA053C">
        <w:rPr>
          <w:rStyle w:val="FootnoteReference"/>
        </w:rPr>
        <w:footnoteReference w:id="89"/>
      </w:r>
      <w:r w:rsidR="001623BF" w:rsidRPr="00C4314A">
        <w:t xml:space="preserve"> </w:t>
      </w:r>
      <w:r w:rsidR="003050B8" w:rsidRPr="00FA053C">
        <w:t>The communicant submits that s</w:t>
      </w:r>
      <w:r w:rsidR="001623BF" w:rsidRPr="00FA053C">
        <w:t xml:space="preserve">uch a </w:t>
      </w:r>
      <w:r w:rsidR="00631647" w:rsidRPr="00FA053C">
        <w:t xml:space="preserve">procedure </w:t>
      </w:r>
      <w:r w:rsidR="0038342A" w:rsidRPr="00FA053C">
        <w:t>prevents</w:t>
      </w:r>
      <w:r w:rsidR="001623BF" w:rsidRPr="00FA053C">
        <w:t xml:space="preserve"> effective public participation</w:t>
      </w:r>
      <w:r w:rsidR="002129CC" w:rsidRPr="00FA053C">
        <w:t>.</w:t>
      </w:r>
      <w:r w:rsidR="003050B8" w:rsidRPr="00FA053C">
        <w:t xml:space="preserve"> </w:t>
      </w:r>
      <w:r w:rsidR="0038342A" w:rsidRPr="00FA053C">
        <w:t>Specifically, t</w:t>
      </w:r>
      <w:r w:rsidR="00631647" w:rsidRPr="00FA053C">
        <w:t xml:space="preserve">he communicant </w:t>
      </w:r>
      <w:r w:rsidR="0038342A" w:rsidRPr="00FA053C">
        <w:t xml:space="preserve">claims </w:t>
      </w:r>
      <w:r w:rsidR="00631647" w:rsidRPr="00FA053C">
        <w:t>that if this</w:t>
      </w:r>
      <w:r w:rsidR="001623BF" w:rsidRPr="00FA053C">
        <w:t xml:space="preserve"> kind of </w:t>
      </w:r>
      <w:r w:rsidR="0038342A" w:rsidRPr="00FA053C">
        <w:t>procedure is accepted</w:t>
      </w:r>
      <w:r w:rsidR="001623BF" w:rsidRPr="00FA053C">
        <w:t xml:space="preserve">, submitters of </w:t>
      </w:r>
      <w:r w:rsidR="0038342A" w:rsidRPr="00FA053C">
        <w:t xml:space="preserve">legislative drafts </w:t>
      </w:r>
      <w:r w:rsidR="001623BF" w:rsidRPr="00FA053C">
        <w:t>could easily avoid negotiation with representatives of the public during the negotiation on contradictions</w:t>
      </w:r>
      <w:r w:rsidR="00631647" w:rsidRPr="00FA053C">
        <w:t xml:space="preserve"> by first assuring the</w:t>
      </w:r>
      <w:r w:rsidR="001623BF" w:rsidRPr="00FA053C">
        <w:t xml:space="preserve"> public </w:t>
      </w:r>
      <w:r w:rsidR="00631647" w:rsidRPr="00FA053C">
        <w:t>that</w:t>
      </w:r>
      <w:r w:rsidR="001623BF" w:rsidRPr="00FA053C">
        <w:t xml:space="preserve"> all their essential comment</w:t>
      </w:r>
      <w:r w:rsidR="00631647" w:rsidRPr="00FA053C">
        <w:t>s</w:t>
      </w:r>
      <w:r w:rsidR="001623BF" w:rsidRPr="00FA053C">
        <w:t xml:space="preserve"> </w:t>
      </w:r>
      <w:r w:rsidR="00631647" w:rsidRPr="00FA053C">
        <w:t xml:space="preserve">were accepted </w:t>
      </w:r>
      <w:r w:rsidR="001623BF" w:rsidRPr="00FA053C">
        <w:t>and consequently</w:t>
      </w:r>
      <w:r w:rsidR="00631647" w:rsidRPr="00FA053C">
        <w:t>,</w:t>
      </w:r>
      <w:r w:rsidR="001623BF" w:rsidRPr="00FA053C">
        <w:t xml:space="preserve"> during the negotiation of the </w:t>
      </w:r>
      <w:r w:rsidR="001D5A4C">
        <w:t>L</w:t>
      </w:r>
      <w:r w:rsidR="001623BF" w:rsidRPr="00FA053C">
        <w:t xml:space="preserve">egislative </w:t>
      </w:r>
      <w:r w:rsidR="001D5A4C">
        <w:t>Council</w:t>
      </w:r>
      <w:r w:rsidR="00631647" w:rsidRPr="00FA053C">
        <w:t>,</w:t>
      </w:r>
      <w:r w:rsidR="001623BF" w:rsidRPr="00FA053C">
        <w:t xml:space="preserve"> reject all </w:t>
      </w:r>
      <w:r w:rsidR="00631647" w:rsidRPr="00FA053C">
        <w:t>these comments</w:t>
      </w:r>
      <w:r w:rsidR="001623BF" w:rsidRPr="00FA053C">
        <w:t>.</w:t>
      </w:r>
      <w:r w:rsidR="001623BF" w:rsidRPr="00C4314A">
        <w:rPr>
          <w:rStyle w:val="FootnoteReference"/>
        </w:rPr>
        <w:footnoteReference w:id="90"/>
      </w:r>
    </w:p>
    <w:p w14:paraId="65883CEB" w14:textId="78B8D391" w:rsidR="00FE7A1C" w:rsidRPr="00FA053C" w:rsidRDefault="00FE7A1C" w:rsidP="00FE7A1C">
      <w:pPr>
        <w:pStyle w:val="SingleTxtG"/>
        <w:numPr>
          <w:ilvl w:val="0"/>
          <w:numId w:val="3"/>
        </w:numPr>
        <w:ind w:left="1094" w:right="1138" w:firstLine="0"/>
      </w:pPr>
      <w:r w:rsidRPr="00FA053C">
        <w:t>T</w:t>
      </w:r>
      <w:r w:rsidR="00DF1BC2" w:rsidRPr="00957F9B">
        <w:t xml:space="preserve">he Party concerned submits that the </w:t>
      </w:r>
      <w:r w:rsidR="0038342A" w:rsidRPr="00957F9B">
        <w:t>version of draft</w:t>
      </w:r>
      <w:r w:rsidR="001E3FD3">
        <w:t xml:space="preserve"> </w:t>
      </w:r>
      <w:r w:rsidR="0038342A" w:rsidRPr="00957F9B">
        <w:t xml:space="preserve">section 30(3) of the Forest Act </w:t>
      </w:r>
      <w:r w:rsidR="00DF1BC2" w:rsidRPr="00FA053C">
        <w:t xml:space="preserve">submitted to the </w:t>
      </w:r>
      <w:r w:rsidR="001D5A4C">
        <w:t>L</w:t>
      </w:r>
      <w:r w:rsidR="00DF1BC2" w:rsidRPr="00FA053C">
        <w:t xml:space="preserve">egislative </w:t>
      </w:r>
      <w:r w:rsidR="001D5A4C">
        <w:t>C</w:t>
      </w:r>
      <w:r w:rsidR="00DF1BC2" w:rsidRPr="00FA053C">
        <w:t xml:space="preserve">ouncil </w:t>
      </w:r>
      <w:r w:rsidR="0038342A" w:rsidRPr="00FA053C">
        <w:t xml:space="preserve">was the version the submitter and Mr. </w:t>
      </w:r>
      <w:proofErr w:type="spellStart"/>
      <w:r w:rsidR="0038342A" w:rsidRPr="00FA053C">
        <w:t>Oružinský</w:t>
      </w:r>
      <w:proofErr w:type="spellEnd"/>
      <w:r w:rsidR="0038342A" w:rsidRPr="00FA053C">
        <w:t xml:space="preserve"> agreed upon in the negotiation on contradi</w:t>
      </w:r>
      <w:r w:rsidR="001B2CF1" w:rsidRPr="00FA053C">
        <w:t>c</w:t>
      </w:r>
      <w:r w:rsidR="0038342A" w:rsidRPr="00FA053C">
        <w:t>tions</w:t>
      </w:r>
      <w:r w:rsidR="00DF1BC2" w:rsidRPr="00C4314A">
        <w:t>.</w:t>
      </w:r>
      <w:r w:rsidR="00DF1BC2" w:rsidRPr="00C4314A">
        <w:rPr>
          <w:rStyle w:val="FootnoteReference"/>
        </w:rPr>
        <w:footnoteReference w:id="91"/>
      </w:r>
      <w:r w:rsidR="001B2CF1" w:rsidRPr="00C4314A">
        <w:t xml:space="preserve"> It claims that the</w:t>
      </w:r>
      <w:r w:rsidR="001B2CF1" w:rsidRPr="00957F9B">
        <w:t xml:space="preserve"> version submitted to the </w:t>
      </w:r>
      <w:r w:rsidR="001D5A4C">
        <w:t>G</w:t>
      </w:r>
      <w:r w:rsidR="001B2CF1" w:rsidRPr="00957F9B">
        <w:t xml:space="preserve">overnment reflected changes in wording as a result of comments from the </w:t>
      </w:r>
      <w:r w:rsidR="001D5A4C">
        <w:t>L</w:t>
      </w:r>
      <w:r w:rsidR="001B2CF1" w:rsidRPr="00957F9B">
        <w:t xml:space="preserve">egislative </w:t>
      </w:r>
      <w:r w:rsidR="001D5A4C">
        <w:t>C</w:t>
      </w:r>
      <w:r w:rsidR="001B2CF1" w:rsidRPr="00957F9B">
        <w:t xml:space="preserve">ouncil, and that the </w:t>
      </w:r>
      <w:r w:rsidR="001D5A4C">
        <w:t>L</w:t>
      </w:r>
      <w:r w:rsidR="001B2CF1" w:rsidRPr="00957F9B">
        <w:t xml:space="preserve">egislative </w:t>
      </w:r>
      <w:r w:rsidR="001D5A4C">
        <w:t>C</w:t>
      </w:r>
      <w:r w:rsidR="001B2CF1" w:rsidRPr="00957F9B">
        <w:t xml:space="preserve">ouncil has the power to </w:t>
      </w:r>
      <w:r w:rsidR="001A0AF6" w:rsidRPr="00FA053C">
        <w:t>propose and insist on</w:t>
      </w:r>
      <w:r w:rsidR="001B2CF1" w:rsidRPr="00C4314A">
        <w:t xml:space="preserve"> changes </w:t>
      </w:r>
      <w:r w:rsidR="00301466">
        <w:t xml:space="preserve">to </w:t>
      </w:r>
      <w:r w:rsidR="001A0AF6" w:rsidRPr="00FA053C">
        <w:t xml:space="preserve">any provision of </w:t>
      </w:r>
      <w:r w:rsidR="001B2CF1" w:rsidRPr="00C4314A">
        <w:t>draft legislation</w:t>
      </w:r>
      <w:r w:rsidR="001B2CF1" w:rsidRPr="00957F9B">
        <w:t xml:space="preserve">, even those </w:t>
      </w:r>
      <w:r w:rsidR="001A0AF6" w:rsidRPr="00FA053C">
        <w:t>resulting from a contradictory negotiation</w:t>
      </w:r>
      <w:r w:rsidR="001B2CF1" w:rsidRPr="00C4314A">
        <w:t>.</w:t>
      </w:r>
      <w:r w:rsidR="001B2CF1" w:rsidRPr="00C4314A">
        <w:rPr>
          <w:rStyle w:val="FootnoteReference"/>
        </w:rPr>
        <w:footnoteReference w:id="92"/>
      </w:r>
    </w:p>
    <w:p w14:paraId="3695E42E" w14:textId="77777777" w:rsidR="00FE7A1C" w:rsidRPr="00C4314A" w:rsidRDefault="00FE7A1C" w:rsidP="00FA053C">
      <w:pPr>
        <w:pStyle w:val="SingleTxtG"/>
        <w:numPr>
          <w:ilvl w:val="0"/>
          <w:numId w:val="3"/>
        </w:numPr>
        <w:ind w:left="1094" w:right="1138" w:firstLine="0"/>
      </w:pPr>
      <w:r w:rsidRPr="00FA053C" w:rsidDel="00FE7A1C">
        <w:t xml:space="preserve"> </w:t>
      </w:r>
      <w:r w:rsidRPr="00FA053C">
        <w:t>T</w:t>
      </w:r>
      <w:r w:rsidR="00DF1BC2" w:rsidRPr="00957F9B">
        <w:t xml:space="preserve">he Party concerned submits that </w:t>
      </w:r>
      <w:r w:rsidR="001A0AF6" w:rsidRPr="00FA053C">
        <w:t xml:space="preserve">the comment regarding section 30(3) of the Forest Act </w:t>
      </w:r>
      <w:r w:rsidR="00DF1BC2" w:rsidRPr="00957F9B">
        <w:t>was</w:t>
      </w:r>
      <w:r w:rsidR="001A0AF6" w:rsidRPr="00957F9B">
        <w:t xml:space="preserve"> at any event </w:t>
      </w:r>
      <w:r w:rsidR="00DF1BC2" w:rsidRPr="00FA053C">
        <w:t>not refused in terms of content, but only in terms of formulation</w:t>
      </w:r>
      <w:r w:rsidR="00D61B8B" w:rsidRPr="00FA053C">
        <w:t xml:space="preserve"> and that</w:t>
      </w:r>
      <w:r w:rsidR="00967719" w:rsidRPr="00FA053C">
        <w:t xml:space="preserve"> </w:t>
      </w:r>
      <w:r w:rsidR="00D61B8B" w:rsidRPr="00FA053C">
        <w:t>t</w:t>
      </w:r>
      <w:r w:rsidR="00DF1BC2" w:rsidRPr="00FA053C">
        <w:t>he goal which the public wanted to achieve with this comment</w:t>
      </w:r>
      <w:r w:rsidR="00D61B8B" w:rsidRPr="00FA053C">
        <w:t xml:space="preserve"> </w:t>
      </w:r>
      <w:r w:rsidR="00DF1BC2" w:rsidRPr="00FA053C">
        <w:t>remained intact.</w:t>
      </w:r>
      <w:r w:rsidR="00DF1BC2" w:rsidRPr="00C4314A">
        <w:rPr>
          <w:rStyle w:val="FootnoteReference"/>
        </w:rPr>
        <w:footnoteReference w:id="93"/>
      </w:r>
      <w:r w:rsidR="00DE6656" w:rsidRPr="00C4314A">
        <w:t xml:space="preserve"> It states</w:t>
      </w:r>
      <w:r w:rsidR="00D61B8B" w:rsidRPr="00FA053C">
        <w:t xml:space="preserve"> that</w:t>
      </w:r>
      <w:r w:rsidR="00DF1BC2" w:rsidRPr="00FA053C">
        <w:t xml:space="preserve"> it was </w:t>
      </w:r>
      <w:r w:rsidR="00DE6656" w:rsidRPr="00FA053C">
        <w:t xml:space="preserve">therefore </w:t>
      </w:r>
      <w:r w:rsidR="00DF1BC2" w:rsidRPr="00FA053C">
        <w:t xml:space="preserve">not necessary to inform </w:t>
      </w:r>
      <w:r w:rsidR="00DE6656" w:rsidRPr="00FA053C">
        <w:t xml:space="preserve">Mr. </w:t>
      </w:r>
      <w:proofErr w:type="spellStart"/>
      <w:r w:rsidR="00F76F01" w:rsidRPr="00FA053C">
        <w:t>Oružinský</w:t>
      </w:r>
      <w:proofErr w:type="spellEnd"/>
      <w:r w:rsidR="00DE6656" w:rsidRPr="00FA053C">
        <w:t xml:space="preserve"> </w:t>
      </w:r>
      <w:r w:rsidR="00DF1BC2" w:rsidRPr="00957F9B">
        <w:t>about th</w:t>
      </w:r>
      <w:r w:rsidR="00DE6656" w:rsidRPr="00FA053C">
        <w:t>e</w:t>
      </w:r>
      <w:r w:rsidR="00DF1BC2" w:rsidRPr="00FA053C">
        <w:t xml:space="preserve"> change</w:t>
      </w:r>
      <w:r w:rsidR="00DE6656" w:rsidRPr="00FA053C">
        <w:t>d wording</w:t>
      </w:r>
      <w:r w:rsidR="00DF1BC2" w:rsidRPr="00FA053C">
        <w:t xml:space="preserve"> of </w:t>
      </w:r>
      <w:r w:rsidR="00DE6656" w:rsidRPr="00FA053C">
        <w:t>the draft section 30(3)</w:t>
      </w:r>
      <w:r w:rsidR="00DF1BC2" w:rsidRPr="00FA053C">
        <w:t xml:space="preserve"> of the Forest Act because the result of the contradictory negotiation and the factual content of the provision was</w:t>
      </w:r>
      <w:r w:rsidR="00DE6656" w:rsidRPr="00FA053C">
        <w:t xml:space="preserve"> </w:t>
      </w:r>
      <w:r w:rsidR="00DF1BC2" w:rsidRPr="00FA053C">
        <w:t>not changed</w:t>
      </w:r>
      <w:r w:rsidR="00D61B8B" w:rsidRPr="00FA053C">
        <w:t xml:space="preserve"> but only reformulat</w:t>
      </w:r>
      <w:r w:rsidR="00DE6656" w:rsidRPr="00FA053C">
        <w:t>ed</w:t>
      </w:r>
      <w:r w:rsidR="00DF1BC2" w:rsidRPr="00FA053C">
        <w:t>.</w:t>
      </w:r>
      <w:r w:rsidR="00DF1BC2" w:rsidRPr="00C4314A">
        <w:rPr>
          <w:rStyle w:val="FootnoteReference"/>
        </w:rPr>
        <w:footnoteReference w:id="94"/>
      </w:r>
    </w:p>
    <w:p w14:paraId="2F5F8643" w14:textId="65995CB5" w:rsidR="004C0715" w:rsidRPr="00FA053C" w:rsidRDefault="00FE7A1C" w:rsidP="004C0715">
      <w:pPr>
        <w:pStyle w:val="SingleTxtG"/>
        <w:numPr>
          <w:ilvl w:val="0"/>
          <w:numId w:val="3"/>
        </w:numPr>
        <w:ind w:left="1094" w:right="1138" w:firstLine="0"/>
      </w:pPr>
      <w:r w:rsidRPr="00FA053C">
        <w:t>T</w:t>
      </w:r>
      <w:r w:rsidR="00D61B8B" w:rsidRPr="00FA053C">
        <w:t xml:space="preserve">he Party concerned submits that </w:t>
      </w:r>
      <w:r w:rsidR="00DE6656" w:rsidRPr="00FA053C">
        <w:t>those who submitted comments in the interdepartmental discussion</w:t>
      </w:r>
      <w:r w:rsidR="005A4EFD">
        <w:t>,</w:t>
      </w:r>
      <w:r w:rsidR="00DE6656" w:rsidRPr="00FA053C">
        <w:t xml:space="preserve"> and with </w:t>
      </w:r>
      <w:r w:rsidR="002D0608">
        <w:t>who</w:t>
      </w:r>
      <w:r w:rsidR="001D5A4C">
        <w:t>m</w:t>
      </w:r>
      <w:r w:rsidR="002D0608" w:rsidRPr="00FA053C">
        <w:t xml:space="preserve"> </w:t>
      </w:r>
      <w:r w:rsidR="00DE6656" w:rsidRPr="00FA053C">
        <w:t>negotiations on contradictions took place</w:t>
      </w:r>
      <w:r w:rsidR="005A4EFD">
        <w:t>,</w:t>
      </w:r>
      <w:r w:rsidR="00DE6656" w:rsidRPr="00FA053C">
        <w:t xml:space="preserve"> were</w:t>
      </w:r>
      <w:r w:rsidR="00D61B8B" w:rsidRPr="00FA053C">
        <w:t xml:space="preserve"> </w:t>
      </w:r>
      <w:r w:rsidR="00DF1BC2" w:rsidRPr="00FA053C">
        <w:t xml:space="preserve">informed about the changes in the draft through the portal, where </w:t>
      </w:r>
      <w:r w:rsidR="00D61B8B" w:rsidRPr="00FA053C">
        <w:t xml:space="preserve">all relevant </w:t>
      </w:r>
      <w:r w:rsidR="00DF1BC2" w:rsidRPr="00FA053C">
        <w:t>material is publicly and free</w:t>
      </w:r>
      <w:r w:rsidR="00D61B8B" w:rsidRPr="00FA053C">
        <w:t>ly</w:t>
      </w:r>
      <w:r w:rsidR="00DF1BC2" w:rsidRPr="00FA053C">
        <w:t xml:space="preserve"> available in its </w:t>
      </w:r>
      <w:r w:rsidR="00DE6656" w:rsidRPr="00FA053C">
        <w:t>current</w:t>
      </w:r>
      <w:r w:rsidR="00DF1BC2" w:rsidRPr="00FA053C">
        <w:t xml:space="preserve"> and modified version </w:t>
      </w:r>
      <w:r w:rsidR="003F1DE0" w:rsidRPr="00FA053C">
        <w:t>at</w:t>
      </w:r>
      <w:r w:rsidR="00DF1BC2" w:rsidRPr="00FA053C">
        <w:t xml:space="preserve"> every stage of the legislative process.</w:t>
      </w:r>
      <w:r w:rsidR="00DF1BC2" w:rsidRPr="00C4314A">
        <w:rPr>
          <w:rStyle w:val="FootnoteReference"/>
        </w:rPr>
        <w:footnoteReference w:id="95"/>
      </w:r>
    </w:p>
    <w:p w14:paraId="7EAE921A" w14:textId="77777777" w:rsidR="004C0715" w:rsidRPr="00FA053C" w:rsidRDefault="004C0715" w:rsidP="004C0715">
      <w:pPr>
        <w:pStyle w:val="SingleTxtG"/>
        <w:numPr>
          <w:ilvl w:val="0"/>
          <w:numId w:val="3"/>
        </w:numPr>
        <w:ind w:left="1094" w:right="1138" w:firstLine="0"/>
      </w:pPr>
      <w:r w:rsidRPr="00FA053C">
        <w:t xml:space="preserve"> F</w:t>
      </w:r>
      <w:r w:rsidR="005D5041" w:rsidRPr="00FA053C">
        <w:t xml:space="preserve">inally, the Party concerned states that the reference in the submission report to a persisting contradiction concerning article 30(3) of the draft Forest Act does not refer </w:t>
      </w:r>
      <w:r w:rsidR="00301466">
        <w:t xml:space="preserve">to </w:t>
      </w:r>
      <w:r w:rsidR="005D5041" w:rsidRPr="00FA053C">
        <w:t xml:space="preserve">the public’s comment </w:t>
      </w:r>
      <w:r w:rsidR="00DA2633" w:rsidRPr="00FA053C">
        <w:t xml:space="preserve">no. 11 submitted by Mr. </w:t>
      </w:r>
      <w:r w:rsidR="005D5041" w:rsidRPr="00FA053C">
        <w:t xml:space="preserve"> </w:t>
      </w:r>
      <w:proofErr w:type="spellStart"/>
      <w:r w:rsidR="00DA2633" w:rsidRPr="00FA053C">
        <w:t>Oružinský</w:t>
      </w:r>
      <w:proofErr w:type="spellEnd"/>
      <w:r w:rsidR="00DA2633" w:rsidRPr="00FA053C">
        <w:t>, but was an essential comment of the Association of Trade and Tourism.</w:t>
      </w:r>
      <w:r w:rsidR="00DA2633" w:rsidRPr="00FA053C">
        <w:rPr>
          <w:rStyle w:val="FootnoteReference"/>
        </w:rPr>
        <w:t xml:space="preserve"> </w:t>
      </w:r>
      <w:r w:rsidR="00DA2633" w:rsidRPr="00FA053C">
        <w:rPr>
          <w:rStyle w:val="FootnoteReference"/>
        </w:rPr>
        <w:footnoteReference w:id="96"/>
      </w:r>
    </w:p>
    <w:p w14:paraId="0A27E084" w14:textId="41DC7480" w:rsidR="004C0715" w:rsidRPr="00FA053C" w:rsidRDefault="00B44730" w:rsidP="00FA053C">
      <w:pPr>
        <w:pStyle w:val="SingleTxtG"/>
        <w:ind w:left="1094" w:right="1138"/>
      </w:pPr>
      <w:r w:rsidRPr="00EA5CA0">
        <w:rPr>
          <w:i/>
        </w:rPr>
        <w:t>Alleged f</w:t>
      </w:r>
      <w:r w:rsidR="004C0715" w:rsidRPr="00EA5CA0">
        <w:rPr>
          <w:i/>
        </w:rPr>
        <w:t xml:space="preserve">ailure to provide sufficient information on persisting contradictions </w:t>
      </w:r>
    </w:p>
    <w:p w14:paraId="36DCDF2D" w14:textId="416E2260" w:rsidR="002A5C4E" w:rsidRPr="00FA053C" w:rsidRDefault="004C0715" w:rsidP="002A5C4E">
      <w:pPr>
        <w:pStyle w:val="SingleTxtG"/>
        <w:numPr>
          <w:ilvl w:val="0"/>
          <w:numId w:val="3"/>
        </w:numPr>
        <w:ind w:left="1094" w:right="1138" w:firstLine="0"/>
      </w:pPr>
      <w:r w:rsidRPr="00FA053C">
        <w:rPr>
          <w:iCs/>
        </w:rPr>
        <w:t>T</w:t>
      </w:r>
      <w:r w:rsidR="003E50FC" w:rsidRPr="00FA053C">
        <w:t xml:space="preserve">he communicant submits that </w:t>
      </w:r>
      <w:r w:rsidR="006658F3" w:rsidRPr="00FA053C">
        <w:t xml:space="preserve">the </w:t>
      </w:r>
      <w:r w:rsidR="003E50FC" w:rsidRPr="00FA053C">
        <w:t xml:space="preserve">documents submitted </w:t>
      </w:r>
      <w:r w:rsidR="00DE6656" w:rsidRPr="00FA053C">
        <w:t xml:space="preserve">to the </w:t>
      </w:r>
      <w:r w:rsidR="001D5A4C">
        <w:t>L</w:t>
      </w:r>
      <w:r w:rsidR="00DE6656" w:rsidRPr="00FA053C">
        <w:t xml:space="preserve">egislative </w:t>
      </w:r>
      <w:r w:rsidR="001D5A4C">
        <w:t>C</w:t>
      </w:r>
      <w:r w:rsidR="00DE6656" w:rsidRPr="00FA053C">
        <w:t xml:space="preserve">ouncil and the </w:t>
      </w:r>
      <w:r w:rsidR="001D5A4C">
        <w:t>G</w:t>
      </w:r>
      <w:r w:rsidR="00DE6656" w:rsidRPr="00FA053C">
        <w:t>overnment</w:t>
      </w:r>
      <w:r w:rsidR="003E50FC" w:rsidRPr="00FA053C">
        <w:t xml:space="preserve"> </w:t>
      </w:r>
      <w:r w:rsidR="00F76F01" w:rsidRPr="00FA053C">
        <w:t xml:space="preserve">failed to </w:t>
      </w:r>
      <w:r w:rsidR="003E50FC" w:rsidRPr="00FA053C">
        <w:t xml:space="preserve">state </w:t>
      </w:r>
      <w:r w:rsidR="006658F3" w:rsidRPr="00FA053C">
        <w:t xml:space="preserve">that </w:t>
      </w:r>
      <w:r w:rsidR="003E50FC" w:rsidRPr="00FA053C">
        <w:t>there w</w:t>
      </w:r>
      <w:r w:rsidR="00DE6656" w:rsidRPr="00FA053C">
        <w:t>ere</w:t>
      </w:r>
      <w:r w:rsidR="003E50FC" w:rsidRPr="00FA053C">
        <w:t xml:space="preserve"> persisting contradiction</w:t>
      </w:r>
      <w:r w:rsidR="00682B32">
        <w:t>s</w:t>
      </w:r>
      <w:r w:rsidR="003E50FC" w:rsidRPr="00FA053C">
        <w:t xml:space="preserve"> concerning four </w:t>
      </w:r>
      <w:r w:rsidR="003E50FC" w:rsidRPr="00FA053C">
        <w:lastRenderedPageBreak/>
        <w:t>essential comments of the public.</w:t>
      </w:r>
      <w:r w:rsidR="00F76F01" w:rsidRPr="00FA053C">
        <w:rPr>
          <w:rStyle w:val="FootnoteReference"/>
        </w:rPr>
        <w:footnoteReference w:id="97"/>
      </w:r>
      <w:r w:rsidR="003E50FC" w:rsidRPr="00C4314A">
        <w:t xml:space="preserve"> </w:t>
      </w:r>
      <w:r w:rsidR="0039091A" w:rsidRPr="00957F9B">
        <w:t>Rather, the communicant claims that in the evaluation submitted to these bodies</w:t>
      </w:r>
      <w:r w:rsidR="00350985">
        <w:t>,</w:t>
      </w:r>
      <w:r w:rsidR="0039091A" w:rsidRPr="00FA053C">
        <w:t xml:space="preserve"> all 17 comments of the public represented by </w:t>
      </w:r>
      <w:r w:rsidR="00CD7491" w:rsidRPr="00FA053C">
        <w:t xml:space="preserve">Mr. </w:t>
      </w:r>
      <w:proofErr w:type="spellStart"/>
      <w:r w:rsidR="00CD7491" w:rsidRPr="00FA053C">
        <w:t>Oružinský</w:t>
      </w:r>
      <w:proofErr w:type="spellEnd"/>
      <w:r w:rsidR="00CD7491" w:rsidRPr="00C4314A" w:rsidDel="00F76F01">
        <w:t xml:space="preserve"> </w:t>
      </w:r>
      <w:r w:rsidR="00CD7491" w:rsidRPr="00957F9B">
        <w:t xml:space="preserve"> were classified as “ordinary – O” which were evaluated as “not to be taken into account.</w:t>
      </w:r>
      <w:r w:rsidR="00CD7491" w:rsidRPr="00FA053C">
        <w:rPr>
          <w:rStyle w:val="FootnoteReference"/>
        </w:rPr>
        <w:footnoteReference w:id="98"/>
      </w:r>
      <w:r w:rsidR="009934A4" w:rsidRPr="00FA053C">
        <w:t xml:space="preserve"> </w:t>
      </w:r>
      <w:r w:rsidR="003E50FC" w:rsidRPr="00C4314A">
        <w:t>The communicant submits that</w:t>
      </w:r>
      <w:r w:rsidR="00100794">
        <w:t>,</w:t>
      </w:r>
      <w:r w:rsidR="003E50FC" w:rsidRPr="00C4314A">
        <w:t xml:space="preserve"> accordingly</w:t>
      </w:r>
      <w:r w:rsidR="00100794">
        <w:t>,</w:t>
      </w:r>
      <w:r w:rsidR="003E50FC" w:rsidRPr="00C4314A">
        <w:t xml:space="preserve"> the </w:t>
      </w:r>
      <w:r w:rsidR="001D5A4C">
        <w:t>G</w:t>
      </w:r>
      <w:r w:rsidR="003E50FC" w:rsidRPr="00C4314A">
        <w:t xml:space="preserve">overnment could not take into account these essential comments </w:t>
      </w:r>
      <w:r w:rsidR="003F1DE0" w:rsidRPr="00957F9B">
        <w:t xml:space="preserve">by the public </w:t>
      </w:r>
      <w:r w:rsidR="003E50FC" w:rsidRPr="00957F9B">
        <w:t xml:space="preserve">during </w:t>
      </w:r>
      <w:r w:rsidR="003F1DE0" w:rsidRPr="00FA053C">
        <w:t>the</w:t>
      </w:r>
      <w:r w:rsidR="003E50FC" w:rsidRPr="00FA053C">
        <w:t xml:space="preserve"> negotiation </w:t>
      </w:r>
      <w:r w:rsidR="003F1DE0" w:rsidRPr="00FA053C">
        <w:t xml:space="preserve">of, </w:t>
      </w:r>
      <w:r w:rsidR="003E50FC" w:rsidRPr="00FA053C">
        <w:t>and decision-making on</w:t>
      </w:r>
      <w:r w:rsidR="003F1DE0" w:rsidRPr="00FA053C">
        <w:t>,</w:t>
      </w:r>
      <w:r w:rsidR="003E50FC" w:rsidRPr="00FA053C">
        <w:t xml:space="preserve"> the draft </w:t>
      </w:r>
      <w:r w:rsidR="003F1DE0" w:rsidRPr="00FA053C">
        <w:t xml:space="preserve">amended </w:t>
      </w:r>
      <w:r w:rsidR="003E50FC" w:rsidRPr="00FA053C">
        <w:t>Forest Act</w:t>
      </w:r>
      <w:r w:rsidR="00CD7491" w:rsidRPr="00FA053C">
        <w:t>, nor the fact of four persisting contradictions</w:t>
      </w:r>
      <w:r w:rsidR="003E50FC" w:rsidRPr="00FA053C">
        <w:t>.</w:t>
      </w:r>
      <w:r w:rsidR="00F76F01" w:rsidRPr="00FA053C">
        <w:rPr>
          <w:rStyle w:val="FootnoteReference"/>
        </w:rPr>
        <w:footnoteReference w:id="99"/>
      </w:r>
      <w:r w:rsidR="003E50FC" w:rsidRPr="00C4314A">
        <w:t xml:space="preserve"> </w:t>
      </w:r>
      <w:r w:rsidR="007315F1" w:rsidRPr="00957F9B">
        <w:t>The communicant alleges</w:t>
      </w:r>
      <w:r w:rsidR="007315F1" w:rsidRPr="00FA053C">
        <w:t xml:space="preserve"> that the requirement included in article 8 of the Convention that “the result of the public participation shall be taken into account as far as possible” has </w:t>
      </w:r>
      <w:r w:rsidR="00C12DEB" w:rsidRPr="00FA053C">
        <w:t xml:space="preserve">accordingly </w:t>
      </w:r>
      <w:r w:rsidR="007315F1" w:rsidRPr="00FA053C">
        <w:t>not been fulfilled.</w:t>
      </w:r>
      <w:r w:rsidR="007315F1" w:rsidRPr="00C4314A">
        <w:rPr>
          <w:rStyle w:val="FootnoteReference"/>
        </w:rPr>
        <w:footnoteReference w:id="100"/>
      </w:r>
    </w:p>
    <w:p w14:paraId="526A962A" w14:textId="5D4375E4" w:rsidR="002A5C4E" w:rsidRPr="00C4314A" w:rsidRDefault="002A5C4E" w:rsidP="00FA053C">
      <w:pPr>
        <w:pStyle w:val="SingleTxtG"/>
        <w:numPr>
          <w:ilvl w:val="0"/>
          <w:numId w:val="3"/>
        </w:numPr>
        <w:ind w:left="1094" w:right="1138" w:firstLine="0"/>
      </w:pPr>
      <w:r w:rsidRPr="00FA053C" w:rsidDel="002A5C4E">
        <w:t xml:space="preserve"> </w:t>
      </w:r>
      <w:r w:rsidRPr="00FA053C">
        <w:t>T</w:t>
      </w:r>
      <w:r w:rsidR="003E50FC" w:rsidRPr="00957F9B">
        <w:t xml:space="preserve">he communicant submits that the only contradiction referred to </w:t>
      </w:r>
      <w:r w:rsidR="00CD7491" w:rsidRPr="00957F9B">
        <w:t xml:space="preserve">in the documents the submitter provided </w:t>
      </w:r>
      <w:r w:rsidR="00FA57F0" w:rsidRPr="00FA053C">
        <w:t>concern</w:t>
      </w:r>
      <w:r w:rsidR="00F76F01" w:rsidRPr="00FA053C">
        <w:t>ed</w:t>
      </w:r>
      <w:r w:rsidR="003E50FC" w:rsidRPr="00FA053C">
        <w:t xml:space="preserve"> the amendment of </w:t>
      </w:r>
      <w:r w:rsidR="00F76F01" w:rsidRPr="00FA053C">
        <w:t>section 30(3)</w:t>
      </w:r>
      <w:r w:rsidR="00FA57F0" w:rsidRPr="00FA053C">
        <w:t xml:space="preserve">, which </w:t>
      </w:r>
      <w:r w:rsidR="00F76F01" w:rsidRPr="00FA053C">
        <w:t xml:space="preserve">the communicant claims </w:t>
      </w:r>
      <w:r w:rsidR="00FA57F0" w:rsidRPr="00FA053C">
        <w:t xml:space="preserve">should not have been </w:t>
      </w:r>
      <w:r w:rsidR="00F76F01" w:rsidRPr="00FA053C">
        <w:t xml:space="preserve">referred to as </w:t>
      </w:r>
      <w:r w:rsidR="00FA57F0" w:rsidRPr="00FA053C">
        <w:t>a contradiction</w:t>
      </w:r>
      <w:r w:rsidR="00F76F01" w:rsidRPr="00FA053C">
        <w:t xml:space="preserve">, given that the submitter and Mr. </w:t>
      </w:r>
      <w:proofErr w:type="spellStart"/>
      <w:r w:rsidR="00F76F01" w:rsidRPr="00FA053C">
        <w:t>Oružinský</w:t>
      </w:r>
      <w:proofErr w:type="spellEnd"/>
      <w:r w:rsidR="00F76F01" w:rsidRPr="00C4314A" w:rsidDel="00F76F01">
        <w:t xml:space="preserve"> </w:t>
      </w:r>
      <w:r w:rsidR="00F76F01" w:rsidRPr="00957F9B">
        <w:t>had resolved the contradiction</w:t>
      </w:r>
      <w:r w:rsidR="003E50FC" w:rsidRPr="00957F9B">
        <w:t>.</w:t>
      </w:r>
      <w:r w:rsidR="00CD7491" w:rsidRPr="00FA053C">
        <w:rPr>
          <w:rStyle w:val="FootnoteReference"/>
        </w:rPr>
        <w:footnoteReference w:id="101"/>
      </w:r>
      <w:r w:rsidR="003E50FC" w:rsidRPr="00C4314A">
        <w:t xml:space="preserve"> </w:t>
      </w:r>
    </w:p>
    <w:p w14:paraId="5E0FBAC6" w14:textId="18BC112E" w:rsidR="002A5C4E" w:rsidRPr="00FA053C" w:rsidRDefault="002A5C4E" w:rsidP="002A5C4E">
      <w:pPr>
        <w:pStyle w:val="SingleTxtG"/>
        <w:numPr>
          <w:ilvl w:val="0"/>
          <w:numId w:val="3"/>
        </w:numPr>
        <w:ind w:left="1094" w:right="1138" w:firstLine="0"/>
      </w:pPr>
      <w:r w:rsidRPr="00FA053C">
        <w:t>T</w:t>
      </w:r>
      <w:r w:rsidR="00704DB6" w:rsidRPr="00C4314A">
        <w:t>he Party concerned concedes that in both submission reports, information on the persisting contradictions as to th</w:t>
      </w:r>
      <w:r w:rsidR="00704DB6" w:rsidRPr="00957F9B">
        <w:t xml:space="preserve">e collective comments submitted by </w:t>
      </w:r>
      <w:r w:rsidR="00704DB6" w:rsidRPr="00FA053C">
        <w:t xml:space="preserve">Mr. </w:t>
      </w:r>
      <w:proofErr w:type="spellStart"/>
      <w:r w:rsidR="00704DB6" w:rsidRPr="00FA053C">
        <w:t>Oružinský</w:t>
      </w:r>
      <w:proofErr w:type="spellEnd"/>
      <w:r w:rsidR="00704DB6" w:rsidRPr="00C4314A">
        <w:t xml:space="preserve"> were included only as a brief summary, given the limited and informative scope of the </w:t>
      </w:r>
      <w:r w:rsidR="00704DB6" w:rsidRPr="00FA053C">
        <w:t xml:space="preserve">submission report, and that accordingly, article 18(2)(d)(1) of the </w:t>
      </w:r>
      <w:r w:rsidR="00EA5CA0">
        <w:t>L</w:t>
      </w:r>
      <w:r w:rsidR="00704DB6" w:rsidRPr="00FA053C">
        <w:t xml:space="preserve">egislative </w:t>
      </w:r>
      <w:r w:rsidR="00EA5CA0">
        <w:t>R</w:t>
      </w:r>
      <w:r w:rsidR="00704DB6" w:rsidRPr="00FA053C">
        <w:t>ules was thus only partially fulfilled.</w:t>
      </w:r>
      <w:r w:rsidR="00704DB6" w:rsidRPr="00FA053C">
        <w:rPr>
          <w:rStyle w:val="FootnoteReference"/>
        </w:rPr>
        <w:footnoteReference w:id="102"/>
      </w:r>
    </w:p>
    <w:p w14:paraId="1C7D1EE4" w14:textId="1BD70C20" w:rsidR="002A5C4E" w:rsidRDefault="002A5C4E" w:rsidP="002A5C4E">
      <w:pPr>
        <w:pStyle w:val="SingleTxtG"/>
        <w:numPr>
          <w:ilvl w:val="0"/>
          <w:numId w:val="3"/>
        </w:numPr>
        <w:ind w:left="1094" w:right="1138" w:firstLine="0"/>
      </w:pPr>
      <w:r w:rsidRPr="00FA053C" w:rsidDel="004A20A6">
        <w:t xml:space="preserve"> </w:t>
      </w:r>
      <w:r w:rsidRPr="00FA053C">
        <w:t>T</w:t>
      </w:r>
      <w:r w:rsidR="003E50FC" w:rsidRPr="00FA053C">
        <w:t xml:space="preserve">he Party concerned </w:t>
      </w:r>
      <w:r w:rsidR="00704DB6" w:rsidRPr="00FA053C">
        <w:t>claims however</w:t>
      </w:r>
      <w:r w:rsidR="00704DB6" w:rsidRPr="00C4314A">
        <w:t xml:space="preserve"> </w:t>
      </w:r>
      <w:r w:rsidR="003E50FC" w:rsidRPr="00957F9B">
        <w:t xml:space="preserve">that </w:t>
      </w:r>
      <w:r w:rsidR="00311464" w:rsidRPr="00957F9B">
        <w:t>“</w:t>
      </w:r>
      <w:r w:rsidR="003E50FC" w:rsidRPr="00FA053C">
        <w:t xml:space="preserve">the material </w:t>
      </w:r>
      <w:r w:rsidR="006658F3" w:rsidRPr="00FA053C">
        <w:t>on</w:t>
      </w:r>
      <w:r w:rsidR="003E50FC" w:rsidRPr="00FA053C">
        <w:t xml:space="preserve"> the draft law submitted for discussion of the </w:t>
      </w:r>
      <w:r w:rsidR="001D5A4C">
        <w:t>L</w:t>
      </w:r>
      <w:r w:rsidR="003E50FC" w:rsidRPr="00FA053C">
        <w:t>egisla</w:t>
      </w:r>
      <w:r w:rsidR="00A1470C" w:rsidRPr="00FA053C">
        <w:t xml:space="preserve">tive </w:t>
      </w:r>
      <w:r w:rsidR="001D5A4C">
        <w:t>C</w:t>
      </w:r>
      <w:r w:rsidR="00A1470C" w:rsidRPr="00FA053C">
        <w:t xml:space="preserve">ouncil and </w:t>
      </w:r>
      <w:r w:rsidR="008770A9" w:rsidRPr="00FA053C">
        <w:t xml:space="preserve">the </w:t>
      </w:r>
      <w:r w:rsidR="001D5A4C">
        <w:t>G</w:t>
      </w:r>
      <w:r w:rsidR="00A1470C" w:rsidRPr="00FA053C">
        <w:t>overnment</w:t>
      </w:r>
      <w:r w:rsidR="00311464" w:rsidRPr="00FA053C">
        <w:t>,</w:t>
      </w:r>
      <w:r w:rsidR="003E50FC" w:rsidRPr="00FA053C">
        <w:t xml:space="preserve"> contained </w:t>
      </w:r>
      <w:r w:rsidR="00A1470C" w:rsidRPr="00FA053C">
        <w:t>a</w:t>
      </w:r>
      <w:r w:rsidR="003E50FC" w:rsidRPr="00FA053C">
        <w:t xml:space="preserve"> list and evaluation of all the comments submitted via the </w:t>
      </w:r>
      <w:r w:rsidR="001D5A4C">
        <w:t>p</w:t>
      </w:r>
      <w:r w:rsidR="003E50FC" w:rsidRPr="00FA053C">
        <w:t>ortal, including t</w:t>
      </w:r>
      <w:r w:rsidR="00A1470C" w:rsidRPr="00FA053C">
        <w:t xml:space="preserve">hose identical public comments </w:t>
      </w:r>
      <w:r w:rsidR="003E50FC" w:rsidRPr="00FA053C">
        <w:t xml:space="preserve">which were </w:t>
      </w:r>
      <w:r w:rsidR="00311464" w:rsidRPr="00FA053C">
        <w:t>applied [</w:t>
      </w:r>
      <w:r w:rsidR="003E50FC" w:rsidRPr="00FA053C">
        <w:t>submitted</w:t>
      </w:r>
      <w:r w:rsidR="00311464" w:rsidRPr="00FA053C">
        <w:t>]</w:t>
      </w:r>
      <w:r w:rsidR="003E50FC" w:rsidRPr="00FA053C">
        <w:t xml:space="preserve"> by the public representative </w:t>
      </w:r>
      <w:r w:rsidR="00311464" w:rsidRPr="00FA053C">
        <w:t>in both ways, namely through the portal and in written form.</w:t>
      </w:r>
      <w:r w:rsidR="003E50FC" w:rsidRPr="00FA053C">
        <w:t xml:space="preserve"> All of these comments were kept </w:t>
      </w:r>
      <w:r w:rsidR="00311464" w:rsidRPr="00FA053C">
        <w:t>in</w:t>
      </w:r>
      <w:r w:rsidR="00A1470C" w:rsidRPr="00FA053C">
        <w:t xml:space="preserve"> </w:t>
      </w:r>
      <w:r w:rsidR="00311464" w:rsidRPr="00FA053C">
        <w:t>[</w:t>
      </w:r>
      <w:r w:rsidR="00A1470C" w:rsidRPr="00FA053C">
        <w:t>the</w:t>
      </w:r>
      <w:r w:rsidR="00311464" w:rsidRPr="00FA053C">
        <w:t>]</w:t>
      </w:r>
      <w:r w:rsidR="003E50FC" w:rsidRPr="00FA053C">
        <w:t xml:space="preserve"> disposal of the </w:t>
      </w:r>
      <w:r w:rsidR="001D5A4C">
        <w:t>L</w:t>
      </w:r>
      <w:r w:rsidR="003E50FC" w:rsidRPr="00FA053C">
        <w:t xml:space="preserve">egislative </w:t>
      </w:r>
      <w:r w:rsidR="001D5A4C">
        <w:t>C</w:t>
      </w:r>
      <w:r w:rsidR="003E50FC" w:rsidRPr="00FA053C">
        <w:t xml:space="preserve">ouncil and </w:t>
      </w:r>
      <w:r w:rsidR="001D5A4C">
        <w:t>G</w:t>
      </w:r>
      <w:r w:rsidR="003E50FC" w:rsidRPr="00FA053C">
        <w:t>overnment.</w:t>
      </w:r>
      <w:r w:rsidR="00311464" w:rsidRPr="00FA053C">
        <w:t>”</w:t>
      </w:r>
      <w:r w:rsidR="003E50FC" w:rsidRPr="00C4314A">
        <w:rPr>
          <w:rStyle w:val="FootnoteReference"/>
        </w:rPr>
        <w:footnoteReference w:id="103"/>
      </w:r>
      <w:r w:rsidR="00704DB6" w:rsidRPr="00FA053C" w:rsidDel="00704DB6">
        <w:t xml:space="preserve"> </w:t>
      </w:r>
      <w:r w:rsidR="00704DB6" w:rsidRPr="00FA053C">
        <w:t>T</w:t>
      </w:r>
      <w:r w:rsidR="003E50FC" w:rsidRPr="00FA053C">
        <w:t>he Party concerned submits that therefore</w:t>
      </w:r>
      <w:r w:rsidR="00C06D3C">
        <w:t>,</w:t>
      </w:r>
      <w:r w:rsidR="003E50FC" w:rsidRPr="00FA053C">
        <w:t xml:space="preserve"> the </w:t>
      </w:r>
      <w:r w:rsidR="001D5A4C">
        <w:t>L</w:t>
      </w:r>
      <w:r w:rsidR="003E50FC" w:rsidRPr="00FA053C">
        <w:t xml:space="preserve">egislative </w:t>
      </w:r>
      <w:r w:rsidR="001D5A4C">
        <w:t>C</w:t>
      </w:r>
      <w:r w:rsidR="003E50FC" w:rsidRPr="00FA053C">
        <w:t xml:space="preserve">ouncil and the </w:t>
      </w:r>
      <w:r w:rsidR="001D5A4C">
        <w:t>G</w:t>
      </w:r>
      <w:r w:rsidR="003E50FC" w:rsidRPr="00FA053C">
        <w:t xml:space="preserve">overnment had the opportunity to study and discuss the public comments </w:t>
      </w:r>
      <w:r w:rsidR="00704DB6" w:rsidRPr="00FA053C">
        <w:t xml:space="preserve">Mr. </w:t>
      </w:r>
      <w:proofErr w:type="spellStart"/>
      <w:r w:rsidR="00704DB6" w:rsidRPr="00FA053C">
        <w:t>Oružinský</w:t>
      </w:r>
      <w:proofErr w:type="spellEnd"/>
      <w:r w:rsidR="00704DB6" w:rsidRPr="00FA053C">
        <w:t xml:space="preserve"> submitted </w:t>
      </w:r>
      <w:r w:rsidR="003E50FC" w:rsidRPr="00957F9B">
        <w:t>via</w:t>
      </w:r>
      <w:r w:rsidR="00301466">
        <w:t xml:space="preserve"> the</w:t>
      </w:r>
      <w:r w:rsidR="003E50FC" w:rsidRPr="00957F9B">
        <w:t xml:space="preserve"> portal</w:t>
      </w:r>
      <w:r w:rsidR="00704DB6" w:rsidRPr="00957F9B">
        <w:t>, which were</w:t>
      </w:r>
      <w:r w:rsidR="003E50FC" w:rsidRPr="00FA053C">
        <w:t xml:space="preserve"> identical </w:t>
      </w:r>
      <w:r w:rsidR="00704DB6" w:rsidRPr="00FA053C">
        <w:t xml:space="preserve">to those </w:t>
      </w:r>
      <w:r w:rsidR="003E50FC" w:rsidRPr="00FA053C">
        <w:t xml:space="preserve">comments submitted in writing. The </w:t>
      </w:r>
      <w:r w:rsidR="00704DB6" w:rsidRPr="00FA053C">
        <w:t xml:space="preserve">Party concerned claims that the </w:t>
      </w:r>
      <w:r w:rsidR="001D5A4C">
        <w:t>L</w:t>
      </w:r>
      <w:r w:rsidR="003E50FC" w:rsidRPr="00FA053C">
        <w:t xml:space="preserve">egislative </w:t>
      </w:r>
      <w:r w:rsidR="001D5A4C">
        <w:t>C</w:t>
      </w:r>
      <w:r w:rsidR="003E50FC" w:rsidRPr="00FA053C">
        <w:t xml:space="preserve">ouncil and the </w:t>
      </w:r>
      <w:r w:rsidR="001D5A4C">
        <w:t>G</w:t>
      </w:r>
      <w:r w:rsidR="003E50FC" w:rsidRPr="00FA053C">
        <w:t>overnment had the opportunity to request the submitter to explain why the submitter evaluated those public comments as “not taken into account”.</w:t>
      </w:r>
      <w:r w:rsidR="003E50FC" w:rsidRPr="00C4314A">
        <w:rPr>
          <w:rStyle w:val="FootnoteReference"/>
        </w:rPr>
        <w:footnoteReference w:id="104"/>
      </w:r>
    </w:p>
    <w:p w14:paraId="545BE866" w14:textId="459C9018" w:rsidR="001F2DBB" w:rsidRPr="00FA053C" w:rsidRDefault="00337FAD" w:rsidP="002A5C4E">
      <w:pPr>
        <w:pStyle w:val="SingleTxtG"/>
        <w:numPr>
          <w:ilvl w:val="0"/>
          <w:numId w:val="3"/>
        </w:numPr>
        <w:ind w:left="1094" w:right="1138" w:firstLine="0"/>
      </w:pPr>
      <w:r>
        <w:t xml:space="preserve">The Party </w:t>
      </w:r>
      <w:r w:rsidR="00556195">
        <w:t xml:space="preserve">concerned submits </w:t>
      </w:r>
      <w:r w:rsidR="002E458C">
        <w:t>that the purpose of</w:t>
      </w:r>
      <w:r w:rsidR="00EA410F">
        <w:t xml:space="preserve"> </w:t>
      </w:r>
      <w:r w:rsidR="002E458C">
        <w:t>the</w:t>
      </w:r>
      <w:r w:rsidR="00A031BA">
        <w:t xml:space="preserve"> rule in article 18(2)(e) of the </w:t>
      </w:r>
      <w:r w:rsidR="001D5A4C">
        <w:t>L</w:t>
      </w:r>
      <w:r w:rsidR="00A031BA">
        <w:t xml:space="preserve">egislative </w:t>
      </w:r>
      <w:r w:rsidR="001D5A4C">
        <w:t>R</w:t>
      </w:r>
      <w:r w:rsidR="00A031BA">
        <w:t xml:space="preserve">ules that the </w:t>
      </w:r>
      <w:r w:rsidR="002E458C">
        <w:t xml:space="preserve">evaluation </w:t>
      </w:r>
      <w:r w:rsidR="00165AFC">
        <w:t xml:space="preserve">of interdepartmental discussion </w:t>
      </w:r>
      <w:r w:rsidR="000943B8">
        <w:t>to be</w:t>
      </w:r>
      <w:r w:rsidR="00A031BA">
        <w:t xml:space="preserve"> sent </w:t>
      </w:r>
      <w:r w:rsidR="00165AFC">
        <w:t xml:space="preserve">to the </w:t>
      </w:r>
      <w:r w:rsidR="001D5A4C">
        <w:t>L</w:t>
      </w:r>
      <w:r w:rsidR="00165AFC">
        <w:t xml:space="preserve">egislative </w:t>
      </w:r>
      <w:r w:rsidR="001D5A4C">
        <w:t>C</w:t>
      </w:r>
      <w:r w:rsidR="00165AFC">
        <w:t xml:space="preserve">ouncil and the </w:t>
      </w:r>
      <w:r w:rsidR="001D5A4C">
        <w:t>G</w:t>
      </w:r>
      <w:r w:rsidR="00165AFC">
        <w:t>overnment</w:t>
      </w:r>
      <w:r w:rsidR="000943B8">
        <w:t xml:space="preserve"> </w:t>
      </w:r>
      <w:r w:rsidR="004A3FFB">
        <w:t>only includ</w:t>
      </w:r>
      <w:r w:rsidR="00165AFC">
        <w:t>e</w:t>
      </w:r>
      <w:r w:rsidR="004A3FFB">
        <w:t xml:space="preserve"> </w:t>
      </w:r>
      <w:r w:rsidR="00110D18">
        <w:t>the comments submitted via the portal</w:t>
      </w:r>
      <w:r w:rsidR="00153CC7">
        <w:t xml:space="preserve"> was “</w:t>
      </w:r>
      <w:r w:rsidR="00D84713">
        <w:t xml:space="preserve">to lead and motivate </w:t>
      </w:r>
      <w:r w:rsidR="00D84713" w:rsidRPr="00D84713">
        <w:t xml:space="preserve">all state authorities as well as natural and legal persons not to prefer the paper form of the application of comments, but the electronic form via </w:t>
      </w:r>
      <w:r w:rsidR="00D70C40">
        <w:t xml:space="preserve">[the] </w:t>
      </w:r>
      <w:r w:rsidR="00D84713" w:rsidRPr="00D84713">
        <w:t>portal</w:t>
      </w:r>
      <w:r w:rsidR="00D84713">
        <w:t>”</w:t>
      </w:r>
      <w:r w:rsidR="001735E5">
        <w:t>.</w:t>
      </w:r>
      <w:r w:rsidR="001735E5">
        <w:rPr>
          <w:rStyle w:val="FootnoteReference"/>
        </w:rPr>
        <w:footnoteReference w:id="105"/>
      </w:r>
    </w:p>
    <w:p w14:paraId="0716C5F5" w14:textId="74FD2758" w:rsidR="002A5C4E" w:rsidRPr="00C4314A" w:rsidRDefault="002A5C4E" w:rsidP="00FA053C">
      <w:pPr>
        <w:pStyle w:val="SingleTxtG"/>
        <w:numPr>
          <w:ilvl w:val="0"/>
          <w:numId w:val="3"/>
        </w:numPr>
        <w:ind w:left="1094" w:right="1138" w:firstLine="0"/>
      </w:pPr>
      <w:r w:rsidRPr="00FA053C" w:rsidDel="002A5C4E">
        <w:t xml:space="preserve"> </w:t>
      </w:r>
      <w:r w:rsidRPr="00FA053C">
        <w:t>T</w:t>
      </w:r>
      <w:r w:rsidR="003E50FC" w:rsidRPr="00957F9B">
        <w:t xml:space="preserve">he Party concerned </w:t>
      </w:r>
      <w:r w:rsidR="00704DB6" w:rsidRPr="00FA053C">
        <w:t xml:space="preserve">points out </w:t>
      </w:r>
      <w:r w:rsidR="003E50FC" w:rsidRPr="00FA053C">
        <w:t xml:space="preserve">that </w:t>
      </w:r>
      <w:r w:rsidR="00704DB6" w:rsidRPr="00FA053C">
        <w:t xml:space="preserve">Mr. </w:t>
      </w:r>
      <w:proofErr w:type="spellStart"/>
      <w:r w:rsidR="00704DB6" w:rsidRPr="00FA053C">
        <w:t>Oružinský</w:t>
      </w:r>
      <w:proofErr w:type="spellEnd"/>
      <w:r w:rsidR="00704DB6" w:rsidRPr="00C4314A" w:rsidDel="00704DB6">
        <w:t xml:space="preserve"> </w:t>
      </w:r>
      <w:r w:rsidR="00CB5D74" w:rsidRPr="00957F9B">
        <w:t xml:space="preserve">on his own initiative </w:t>
      </w:r>
      <w:r w:rsidR="003E50FC" w:rsidRPr="00FA053C">
        <w:t xml:space="preserve">notified in writing and also via e-mail the </w:t>
      </w:r>
      <w:r w:rsidR="001D5A4C">
        <w:t>L</w:t>
      </w:r>
      <w:r w:rsidR="003E50FC" w:rsidRPr="00FA053C">
        <w:t xml:space="preserve">egislative </w:t>
      </w:r>
      <w:r w:rsidR="001D5A4C">
        <w:t>C</w:t>
      </w:r>
      <w:r w:rsidR="003E50FC" w:rsidRPr="00FA053C">
        <w:t xml:space="preserve">ouncil as well as the Prime Minister </w:t>
      </w:r>
      <w:r w:rsidR="00CB5D74" w:rsidRPr="00FA053C">
        <w:t xml:space="preserve">of </w:t>
      </w:r>
      <w:r w:rsidR="003E50FC" w:rsidRPr="00FA053C">
        <w:t>his objections to the legislative process</w:t>
      </w:r>
      <w:r w:rsidR="00CB5D74" w:rsidRPr="00FA053C">
        <w:t xml:space="preserve"> </w:t>
      </w:r>
      <w:r w:rsidR="003E50FC" w:rsidRPr="00FA053C">
        <w:t>on 19 June and 25 September 2013</w:t>
      </w:r>
      <w:r w:rsidR="00CB5D74" w:rsidRPr="00FA053C">
        <w:t>,</w:t>
      </w:r>
      <w:r w:rsidR="003E50FC" w:rsidRPr="00FA053C">
        <w:t xml:space="preserve"> </w:t>
      </w:r>
      <w:r w:rsidR="00704DB6" w:rsidRPr="00FA053C">
        <w:t>which preceded</w:t>
      </w:r>
      <w:r w:rsidR="003E50FC" w:rsidRPr="00FA053C">
        <w:t xml:space="preserve"> the discussion</w:t>
      </w:r>
      <w:r w:rsidR="00704DB6" w:rsidRPr="00FA053C">
        <w:t>s</w:t>
      </w:r>
      <w:r w:rsidR="003E50FC" w:rsidRPr="00FA053C">
        <w:t xml:space="preserve"> of the </w:t>
      </w:r>
      <w:r w:rsidR="001D5A4C">
        <w:t>L</w:t>
      </w:r>
      <w:r w:rsidR="003E50FC" w:rsidRPr="00FA053C">
        <w:t xml:space="preserve">egislative </w:t>
      </w:r>
      <w:r w:rsidR="001D5A4C">
        <w:t>C</w:t>
      </w:r>
      <w:r w:rsidR="003E50FC" w:rsidRPr="00FA053C">
        <w:t xml:space="preserve">ouncil and before the discussion of the </w:t>
      </w:r>
      <w:r w:rsidR="001D5A4C">
        <w:t>G</w:t>
      </w:r>
      <w:r w:rsidR="003E50FC" w:rsidRPr="00FA053C">
        <w:t>overnment</w:t>
      </w:r>
      <w:r w:rsidR="00CB5D74" w:rsidRPr="00FA053C">
        <w:t>, respectively</w:t>
      </w:r>
      <w:r w:rsidR="003E50FC" w:rsidRPr="00FA053C">
        <w:t xml:space="preserve">. The Party concerned alleges that the </w:t>
      </w:r>
      <w:r w:rsidR="001D5A4C">
        <w:t>L</w:t>
      </w:r>
      <w:r w:rsidR="003E50FC" w:rsidRPr="00FA053C">
        <w:t xml:space="preserve">egislative </w:t>
      </w:r>
      <w:r w:rsidR="001D5A4C">
        <w:t>C</w:t>
      </w:r>
      <w:r w:rsidR="003E50FC" w:rsidRPr="00FA053C">
        <w:t xml:space="preserve">ouncil and the </w:t>
      </w:r>
      <w:r w:rsidR="001D5A4C">
        <w:t>G</w:t>
      </w:r>
      <w:r w:rsidR="003E50FC" w:rsidRPr="00FA053C">
        <w:t>overnment were therefore informed about the persisting contradictions on the public comments</w:t>
      </w:r>
      <w:r w:rsidR="00704DB6" w:rsidRPr="00FA053C">
        <w:t xml:space="preserve"> submitted by Mr. </w:t>
      </w:r>
      <w:proofErr w:type="spellStart"/>
      <w:r w:rsidR="00704DB6" w:rsidRPr="00FA053C">
        <w:t>Oružinský</w:t>
      </w:r>
      <w:proofErr w:type="spellEnd"/>
      <w:r w:rsidR="003E50FC" w:rsidRPr="00C4314A">
        <w:t xml:space="preserve">, independently of the </w:t>
      </w:r>
      <w:r w:rsidR="00704DB6" w:rsidRPr="00957F9B">
        <w:t xml:space="preserve">submitter’s </w:t>
      </w:r>
      <w:r w:rsidR="003E50FC" w:rsidRPr="00957F9B">
        <w:t>procedure</w:t>
      </w:r>
      <w:r w:rsidR="003E50FC" w:rsidRPr="00FA053C">
        <w:t>.</w:t>
      </w:r>
      <w:r w:rsidR="003E50FC" w:rsidRPr="00C4314A">
        <w:rPr>
          <w:rStyle w:val="FootnoteReference"/>
        </w:rPr>
        <w:footnoteReference w:id="106"/>
      </w:r>
    </w:p>
    <w:p w14:paraId="0FB4F32A" w14:textId="42A50E01" w:rsidR="002A5C4E" w:rsidRPr="00FA053C" w:rsidRDefault="002A5C4E" w:rsidP="002A5C4E">
      <w:pPr>
        <w:pStyle w:val="SingleTxtG"/>
        <w:numPr>
          <w:ilvl w:val="0"/>
          <w:numId w:val="3"/>
        </w:numPr>
        <w:ind w:left="1094" w:right="1138" w:firstLine="0"/>
      </w:pPr>
      <w:r w:rsidRPr="00FA053C">
        <w:t>T</w:t>
      </w:r>
      <w:r w:rsidR="003E50FC" w:rsidRPr="00C4314A">
        <w:t xml:space="preserve">he Party concerned states that any comments, including the essential comments of the state authorities and </w:t>
      </w:r>
      <w:r w:rsidR="001D5A4C">
        <w:t>collective</w:t>
      </w:r>
      <w:r w:rsidR="003E50FC" w:rsidRPr="00957F9B">
        <w:t xml:space="preserve"> comm</w:t>
      </w:r>
      <w:r w:rsidR="003E50FC" w:rsidRPr="00FA053C">
        <w:t>ents</w:t>
      </w:r>
      <w:r w:rsidR="00C44E75">
        <w:t xml:space="preserve"> of the public</w:t>
      </w:r>
      <w:r w:rsidR="003E50FC" w:rsidRPr="00FA053C">
        <w:t xml:space="preserve">, </w:t>
      </w:r>
      <w:r w:rsidR="00CB5D74" w:rsidRPr="00FA053C">
        <w:t>are</w:t>
      </w:r>
      <w:r w:rsidR="003E50FC" w:rsidRPr="00FA053C">
        <w:t xml:space="preserve"> only consultative and </w:t>
      </w:r>
      <w:r w:rsidR="00CB5D74" w:rsidRPr="00FA053C">
        <w:t xml:space="preserve">do not bind the </w:t>
      </w:r>
      <w:r w:rsidR="00C44E75">
        <w:t>G</w:t>
      </w:r>
      <w:r w:rsidR="00CB5D74" w:rsidRPr="00FA053C">
        <w:t>overnment</w:t>
      </w:r>
      <w:r w:rsidR="003E50FC" w:rsidRPr="00FA053C">
        <w:t>, even if there is a persisting contradiction about th</w:t>
      </w:r>
      <w:r w:rsidR="00CB5D74" w:rsidRPr="00FA053C">
        <w:t>o</w:t>
      </w:r>
      <w:r w:rsidR="003E50FC" w:rsidRPr="00FA053C">
        <w:t xml:space="preserve">se comments. </w:t>
      </w:r>
      <w:r w:rsidR="00AB7C96" w:rsidRPr="00FA053C">
        <w:t>It</w:t>
      </w:r>
      <w:r w:rsidR="003E50FC" w:rsidRPr="00FA053C">
        <w:t xml:space="preserve"> submits </w:t>
      </w:r>
      <w:r w:rsidR="003E50FC" w:rsidRPr="00FA053C">
        <w:lastRenderedPageBreak/>
        <w:t xml:space="preserve">that </w:t>
      </w:r>
      <w:r w:rsidR="00AB7C96" w:rsidRPr="00FA053C">
        <w:t>“</w:t>
      </w:r>
      <w:r w:rsidR="003E50FC" w:rsidRPr="00FA053C">
        <w:t xml:space="preserve">the </w:t>
      </w:r>
      <w:r w:rsidR="00C44E75">
        <w:t>G</w:t>
      </w:r>
      <w:r w:rsidR="003E50FC" w:rsidRPr="00FA053C">
        <w:t>overnment is the authority that decides on the persisting contradictions</w:t>
      </w:r>
      <w:r w:rsidR="00AB7C96" w:rsidRPr="00FA053C">
        <w:t>.”</w:t>
      </w:r>
      <w:r w:rsidR="003E50FC" w:rsidRPr="00FA053C">
        <w:t xml:space="preserve"> </w:t>
      </w:r>
      <w:r w:rsidR="00AB7C96" w:rsidRPr="00FA053C">
        <w:t xml:space="preserve">The Party concerned claims that the </w:t>
      </w:r>
      <w:r w:rsidR="00C44E75">
        <w:t>G</w:t>
      </w:r>
      <w:r w:rsidR="00AB7C96" w:rsidRPr="00FA053C">
        <w:t xml:space="preserve">overnment “took </w:t>
      </w:r>
      <w:r w:rsidR="003E50FC" w:rsidRPr="00FA053C">
        <w:t>measure of all the not accepted comments to the draft act concerned, including the public comments and persisting contradictions, in a way it bec</w:t>
      </w:r>
      <w:r w:rsidR="00C42F89" w:rsidRPr="00FA053C">
        <w:t>a</w:t>
      </w:r>
      <w:r w:rsidR="003E50FC" w:rsidRPr="00FA053C">
        <w:t xml:space="preserve">me familiar with them </w:t>
      </w:r>
      <w:r w:rsidR="00AB7C96" w:rsidRPr="00FA053C">
        <w:t xml:space="preserve">[…] </w:t>
      </w:r>
      <w:r w:rsidR="003E50FC" w:rsidRPr="00FA053C">
        <w:t>and approved the draft act concerned.</w:t>
      </w:r>
      <w:r w:rsidR="00AB7C96" w:rsidRPr="00FA053C">
        <w:t>”</w:t>
      </w:r>
      <w:r w:rsidR="003E50FC" w:rsidRPr="00C4314A">
        <w:rPr>
          <w:rStyle w:val="FootnoteReference"/>
        </w:rPr>
        <w:footnoteReference w:id="107"/>
      </w:r>
      <w:r w:rsidR="00C12DEB" w:rsidRPr="00C4314A" w:rsidDel="00C12DEB">
        <w:rPr>
          <w:i/>
        </w:rPr>
        <w:t xml:space="preserve"> </w:t>
      </w:r>
    </w:p>
    <w:p w14:paraId="2BE15DB6" w14:textId="77777777" w:rsidR="002A5C4E" w:rsidRPr="00FA053C" w:rsidRDefault="002A5C4E" w:rsidP="002A5C4E">
      <w:pPr>
        <w:pStyle w:val="SingleTxtG"/>
        <w:numPr>
          <w:ilvl w:val="0"/>
          <w:numId w:val="3"/>
        </w:numPr>
        <w:ind w:left="1094" w:right="1138" w:firstLine="0"/>
        <w:rPr>
          <w:b/>
          <w:bCs/>
        </w:rPr>
      </w:pPr>
      <w:r w:rsidRPr="00FA053C">
        <w:t>F</w:t>
      </w:r>
      <w:r w:rsidR="00C12DEB" w:rsidRPr="00C4314A">
        <w:t xml:space="preserve">inally, the Party concerned states that the results of public participation were taken into account as far </w:t>
      </w:r>
      <w:r w:rsidR="00C12DEB" w:rsidRPr="00957F9B">
        <w:t xml:space="preserve">as possible, as the submitter conducted the contradictory negotiation with </w:t>
      </w:r>
      <w:r w:rsidR="00C12DEB" w:rsidRPr="00FA053C">
        <w:t xml:space="preserve">Mr. </w:t>
      </w:r>
      <w:proofErr w:type="spellStart"/>
      <w:r w:rsidR="00C12DEB" w:rsidRPr="00FA053C">
        <w:t>Oružinský</w:t>
      </w:r>
      <w:proofErr w:type="spellEnd"/>
      <w:r w:rsidR="00C12DEB" w:rsidRPr="00C4314A">
        <w:t xml:space="preserve"> and accepted in whole or in part 13 of the 17 public comments, representing a 74.5% acceptance rate.</w:t>
      </w:r>
      <w:r w:rsidR="00C12DEB" w:rsidRPr="00C4314A">
        <w:rPr>
          <w:rStyle w:val="FootnoteReference"/>
        </w:rPr>
        <w:footnoteReference w:id="108"/>
      </w:r>
    </w:p>
    <w:p w14:paraId="7FD4E595" w14:textId="77777777" w:rsidR="00910A34" w:rsidRPr="00FA053C" w:rsidRDefault="00910A34" w:rsidP="00FA053C">
      <w:pPr>
        <w:pStyle w:val="SingleTxtG"/>
        <w:ind w:left="1094" w:right="1138"/>
        <w:rPr>
          <w:i/>
          <w:iCs/>
        </w:rPr>
      </w:pPr>
      <w:r w:rsidRPr="00FA053C">
        <w:rPr>
          <w:i/>
          <w:iCs/>
        </w:rPr>
        <w:t>The citizens’ constitutional complaint</w:t>
      </w:r>
    </w:p>
    <w:p w14:paraId="2578767F" w14:textId="0E142A34" w:rsidR="00910A34" w:rsidRPr="00FA053C" w:rsidRDefault="00910A34" w:rsidP="00910A34">
      <w:pPr>
        <w:pStyle w:val="SingleTxtG"/>
        <w:numPr>
          <w:ilvl w:val="0"/>
          <w:numId w:val="3"/>
        </w:numPr>
        <w:ind w:left="1094" w:right="1138" w:firstLine="0"/>
        <w:rPr>
          <w:b/>
          <w:bCs/>
        </w:rPr>
      </w:pPr>
      <w:r w:rsidRPr="00FA053C">
        <w:t>With respect to the citizens’ constitutional complaint challenging the legislative procedure regarding the draft amendments to the Forest Act, the communicant</w:t>
      </w:r>
      <w:r w:rsidRPr="00C4314A">
        <w:t xml:space="preserve"> submits that it is paradoxical that the Constitutional Court in its decision dismissing the complaint (see paras. </w:t>
      </w:r>
      <w:r w:rsidRPr="00C4314A">
        <w:fldChar w:fldCharType="begin"/>
      </w:r>
      <w:r w:rsidRPr="00FA053C">
        <w:instrText xml:space="preserve"> REF _Ref23260221 \r \h </w:instrText>
      </w:r>
      <w:r w:rsidR="00AB422D" w:rsidRPr="00FA053C">
        <w:instrText xml:space="preserve"> \* MERGEFORMAT </w:instrText>
      </w:r>
      <w:r w:rsidRPr="00C4314A">
        <w:fldChar w:fldCharType="separate"/>
      </w:r>
      <w:r w:rsidR="0029016F">
        <w:t>50</w:t>
      </w:r>
      <w:r w:rsidRPr="00C4314A">
        <w:fldChar w:fldCharType="end"/>
      </w:r>
      <w:r w:rsidRPr="00C4314A">
        <w:t>-</w:t>
      </w:r>
      <w:r w:rsidRPr="00C4314A">
        <w:fldChar w:fldCharType="begin"/>
      </w:r>
      <w:r w:rsidRPr="00FA053C">
        <w:instrText xml:space="preserve"> REF _Ref23260229 \r \h </w:instrText>
      </w:r>
      <w:r w:rsidR="00AB422D" w:rsidRPr="00FA053C">
        <w:instrText xml:space="preserve"> \* MERGEFORMAT </w:instrText>
      </w:r>
      <w:r w:rsidRPr="00C4314A">
        <w:fldChar w:fldCharType="separate"/>
      </w:r>
      <w:r w:rsidR="0029016F">
        <w:t>54</w:t>
      </w:r>
      <w:r w:rsidRPr="00C4314A">
        <w:fldChar w:fldCharType="end"/>
      </w:r>
      <w:r w:rsidRPr="00C4314A">
        <w:t xml:space="preserve"> above) agreed that the submitter had violated the </w:t>
      </w:r>
      <w:r w:rsidR="00C44E75">
        <w:t>L</w:t>
      </w:r>
      <w:r w:rsidRPr="00C4314A">
        <w:t xml:space="preserve">egislative </w:t>
      </w:r>
      <w:r w:rsidR="00C44E75">
        <w:t>R</w:t>
      </w:r>
      <w:r w:rsidRPr="00C4314A">
        <w:t>ules.</w:t>
      </w:r>
      <w:r w:rsidRPr="00FA053C">
        <w:rPr>
          <w:rStyle w:val="FootnoteReference"/>
        </w:rPr>
        <w:footnoteReference w:id="109"/>
      </w:r>
      <w:r w:rsidRPr="00FA053C">
        <w:t xml:space="preserve"> The communicant states that the Court’s finding that the public’s article 8 rights were not violated because Mr. </w:t>
      </w:r>
      <w:proofErr w:type="spellStart"/>
      <w:r w:rsidRPr="00FA053C">
        <w:t>Oružinský</w:t>
      </w:r>
      <w:proofErr w:type="spellEnd"/>
      <w:r w:rsidRPr="00FA053C">
        <w:t xml:space="preserve"> informed the </w:t>
      </w:r>
      <w:r w:rsidR="00C44E75">
        <w:t>L</w:t>
      </w:r>
      <w:r w:rsidRPr="00FA053C">
        <w:t xml:space="preserve">egislative </w:t>
      </w:r>
      <w:r w:rsidR="00C44E75">
        <w:t xml:space="preserve">Council </w:t>
      </w:r>
      <w:r w:rsidRPr="00FA053C">
        <w:t xml:space="preserve">and the </w:t>
      </w:r>
      <w:r w:rsidR="00C44E75">
        <w:t>G</w:t>
      </w:r>
      <w:r w:rsidRPr="00FA053C">
        <w:t>overnment about the persisting contradictions on the public’s essential comments is not logical.</w:t>
      </w:r>
      <w:r w:rsidRPr="00FA053C">
        <w:rPr>
          <w:rStyle w:val="FootnoteReference"/>
        </w:rPr>
        <w:footnoteReference w:id="110"/>
      </w:r>
      <w:r w:rsidRPr="00FA053C">
        <w:t xml:space="preserve"> The communicant claims that it does not deny that the </w:t>
      </w:r>
      <w:r w:rsidR="00C44E75">
        <w:t>G</w:t>
      </w:r>
      <w:r w:rsidRPr="00FA053C">
        <w:t xml:space="preserve">overnment has the right to consider and reject comments, but rather that, to be able to consider comments and decide whether it rejects or accepts them, the </w:t>
      </w:r>
      <w:r w:rsidR="00C44E75">
        <w:t>G</w:t>
      </w:r>
      <w:r w:rsidRPr="00FA053C">
        <w:t>overnment must be well-informed.</w:t>
      </w:r>
      <w:r w:rsidRPr="00FA053C">
        <w:rPr>
          <w:rStyle w:val="FootnoteReference"/>
        </w:rPr>
        <w:footnoteReference w:id="111"/>
      </w:r>
      <w:r w:rsidRPr="00FA053C">
        <w:t xml:space="preserve"> The communicant submits that it is accordingly not clear what the court meant in its observation regarding the </w:t>
      </w:r>
      <w:r w:rsidR="00C44E75">
        <w:t>G</w:t>
      </w:r>
      <w:r w:rsidRPr="00FA053C">
        <w:t>overnment’s competence.</w:t>
      </w:r>
      <w:r w:rsidRPr="00FA053C">
        <w:rPr>
          <w:rStyle w:val="FootnoteReference"/>
        </w:rPr>
        <w:footnoteReference w:id="112"/>
      </w:r>
      <w:r w:rsidRPr="00FA053C">
        <w:t xml:space="preserve"> The communicant states that it considers the Court’s statement regarding the intensity of the deficiencies in the legislative procedure for the preparation of the amendments to be a non-substantiated conclusion, without any detailed explanation and argumentation.</w:t>
      </w:r>
      <w:r w:rsidRPr="00FA053C">
        <w:rPr>
          <w:rStyle w:val="FootnoteReference"/>
        </w:rPr>
        <w:footnoteReference w:id="113"/>
      </w:r>
      <w:r w:rsidR="00565E40" w:rsidRPr="00C4314A">
        <w:t xml:space="preserve"> The communicant submits</w:t>
      </w:r>
      <w:r w:rsidRPr="00C4314A">
        <w:t xml:space="preserve"> that the </w:t>
      </w:r>
      <w:r w:rsidR="00565E40" w:rsidRPr="00C4314A">
        <w:t>conclusion</w:t>
      </w:r>
      <w:r w:rsidRPr="00957F9B">
        <w:t xml:space="preserve"> is dangerous for </w:t>
      </w:r>
      <w:r w:rsidR="00565E40" w:rsidRPr="00957F9B">
        <w:t>the participation of the public</w:t>
      </w:r>
      <w:r w:rsidRPr="00FA053C">
        <w:t xml:space="preserve"> in the preparation of legislation in the future</w:t>
      </w:r>
      <w:r w:rsidR="00565E40" w:rsidRPr="00FA053C">
        <w:t xml:space="preserve"> because any violation of the </w:t>
      </w:r>
      <w:r w:rsidR="00C44E75">
        <w:t>L</w:t>
      </w:r>
      <w:r w:rsidR="00565E40" w:rsidRPr="00FA053C">
        <w:t xml:space="preserve">egislative </w:t>
      </w:r>
      <w:r w:rsidR="00C44E75">
        <w:t>R</w:t>
      </w:r>
      <w:r w:rsidR="00565E40" w:rsidRPr="00FA053C">
        <w:t xml:space="preserve">ules might be qualified as having a small or insufficient intensity which can lead to an arbitrary and subjective violation of the </w:t>
      </w:r>
      <w:r w:rsidR="00C44E75">
        <w:t>L</w:t>
      </w:r>
      <w:r w:rsidR="00565E40" w:rsidRPr="00FA053C">
        <w:t xml:space="preserve">egislative </w:t>
      </w:r>
      <w:r w:rsidR="00C44E75">
        <w:t>R</w:t>
      </w:r>
      <w:r w:rsidR="00565E40" w:rsidRPr="00FA053C">
        <w:t>ules</w:t>
      </w:r>
      <w:r w:rsidRPr="00FA053C">
        <w:t>.</w:t>
      </w:r>
      <w:r w:rsidR="00565E40" w:rsidRPr="00FA053C">
        <w:rPr>
          <w:rStyle w:val="FootnoteReference"/>
        </w:rPr>
        <w:footnoteReference w:id="114"/>
      </w:r>
    </w:p>
    <w:p w14:paraId="1966B93C" w14:textId="77777777" w:rsidR="00AB422D" w:rsidRPr="00FA053C" w:rsidRDefault="00AB422D" w:rsidP="00FA053C">
      <w:pPr>
        <w:pStyle w:val="SingleTxtG"/>
        <w:numPr>
          <w:ilvl w:val="0"/>
          <w:numId w:val="3"/>
        </w:numPr>
        <w:ind w:left="1094" w:right="1138" w:firstLine="0"/>
      </w:pPr>
      <w:r w:rsidRPr="00C4314A">
        <w:t>The Party concerned submits that the Constitutional Court’s decision was reasoned and makes clear</w:t>
      </w:r>
      <w:r w:rsidRPr="00957F9B">
        <w:t xml:space="preserve">, inter alia, </w:t>
      </w:r>
      <w:r w:rsidR="0083439C">
        <w:t>that</w:t>
      </w:r>
      <w:r w:rsidRPr="00957F9B">
        <w:t xml:space="preserve"> the submitter complied with all requirements under the Convention.</w:t>
      </w:r>
      <w:r w:rsidRPr="00FA053C">
        <w:rPr>
          <w:rStyle w:val="FootnoteReference"/>
        </w:rPr>
        <w:t xml:space="preserve"> </w:t>
      </w:r>
      <w:r w:rsidRPr="00FA053C">
        <w:rPr>
          <w:rStyle w:val="FootnoteReference"/>
        </w:rPr>
        <w:footnoteReference w:id="115"/>
      </w:r>
    </w:p>
    <w:p w14:paraId="14DCF722" w14:textId="77777777" w:rsidR="002A5C4E" w:rsidRPr="00FA053C" w:rsidRDefault="002A5C4E" w:rsidP="00FA053C">
      <w:pPr>
        <w:pStyle w:val="SingleTxtG"/>
        <w:ind w:right="1138"/>
      </w:pPr>
      <w:r w:rsidRPr="00FA053C">
        <w:rPr>
          <w:b/>
          <w:bCs/>
        </w:rPr>
        <w:t xml:space="preserve">Article 9(3) </w:t>
      </w:r>
    </w:p>
    <w:p w14:paraId="7C01A000" w14:textId="77777777" w:rsidR="003F6F43" w:rsidRPr="00FA053C" w:rsidRDefault="002A5C4E" w:rsidP="003F6F43">
      <w:pPr>
        <w:pStyle w:val="SingleTxtG"/>
        <w:numPr>
          <w:ilvl w:val="0"/>
          <w:numId w:val="3"/>
        </w:numPr>
        <w:ind w:left="1094" w:right="1138" w:firstLine="0"/>
      </w:pPr>
      <w:r w:rsidRPr="00FA053C" w:rsidDel="00C12DEB">
        <w:t xml:space="preserve"> </w:t>
      </w:r>
      <w:r w:rsidRPr="00FA053C">
        <w:t>T</w:t>
      </w:r>
      <w:r w:rsidR="00874EBA" w:rsidRPr="00FA053C">
        <w:t xml:space="preserve">he communicant </w:t>
      </w:r>
      <w:r w:rsidR="00AB422D" w:rsidRPr="00FA053C">
        <w:t xml:space="preserve">states </w:t>
      </w:r>
      <w:r w:rsidR="00874EBA" w:rsidRPr="00FA053C">
        <w:t xml:space="preserve">that </w:t>
      </w:r>
      <w:proofErr w:type="gramStart"/>
      <w:r w:rsidR="00874EBA" w:rsidRPr="00FA053C">
        <w:t>it is clear that the</w:t>
      </w:r>
      <w:proofErr w:type="gramEnd"/>
      <w:r w:rsidR="00874EBA" w:rsidRPr="00FA053C">
        <w:t xml:space="preserve"> third pillar of the Convention protects the rights arising from article 8, given that an effective implementation of these rights requires their judicial protection. The communicant submits that therefore also acts and proceedings carried out by the competent public administration bodies during the preparation of generally binding legal rules in matters of the environment are “acts and omissions” within the meaning of the article 9(3) of the Convention.</w:t>
      </w:r>
      <w:r w:rsidR="00874EBA" w:rsidRPr="00FA053C">
        <w:rPr>
          <w:rStyle w:val="FootnoteReference"/>
        </w:rPr>
        <w:footnoteReference w:id="116"/>
      </w:r>
    </w:p>
    <w:p w14:paraId="6564193B" w14:textId="77777777" w:rsidR="003F6F43" w:rsidRPr="00FA053C" w:rsidRDefault="003F6F43" w:rsidP="003F6F43">
      <w:pPr>
        <w:pStyle w:val="SingleTxtG"/>
        <w:numPr>
          <w:ilvl w:val="0"/>
          <w:numId w:val="3"/>
        </w:numPr>
        <w:ind w:left="1094" w:right="1138" w:firstLine="0"/>
      </w:pPr>
      <w:r w:rsidRPr="00FA053C">
        <w:t xml:space="preserve"> T</w:t>
      </w:r>
      <w:r w:rsidR="003B218E" w:rsidRPr="00FA053C">
        <w:t>he Party concerned does not dispute that article 9(3) applies to executive regulations and other generally applicable legally binding rules that may have a significant effect on the environment.</w:t>
      </w:r>
    </w:p>
    <w:p w14:paraId="03D26608" w14:textId="77777777" w:rsidR="00FB28D7" w:rsidRDefault="00FB28D7" w:rsidP="00FA053C">
      <w:pPr>
        <w:pStyle w:val="SingleTxtG"/>
        <w:suppressAutoHyphens w:val="0"/>
        <w:spacing w:line="240" w:lineRule="auto"/>
        <w:ind w:right="1138"/>
        <w:rPr>
          <w:i/>
          <w:iCs/>
        </w:rPr>
      </w:pPr>
    </w:p>
    <w:p w14:paraId="6EA9A6D3" w14:textId="77777777" w:rsidR="00FB28D7" w:rsidRDefault="00FB28D7" w:rsidP="00FA053C">
      <w:pPr>
        <w:pStyle w:val="SingleTxtG"/>
        <w:suppressAutoHyphens w:val="0"/>
        <w:spacing w:line="240" w:lineRule="auto"/>
        <w:ind w:right="1138"/>
        <w:rPr>
          <w:i/>
          <w:iCs/>
        </w:rPr>
      </w:pPr>
    </w:p>
    <w:p w14:paraId="4C28E8BD" w14:textId="39A0F37C" w:rsidR="003F6F43" w:rsidRPr="00FA053C" w:rsidRDefault="003F6F43" w:rsidP="00FA053C">
      <w:pPr>
        <w:pStyle w:val="SingleTxtG"/>
        <w:suppressAutoHyphens w:val="0"/>
        <w:spacing w:line="240" w:lineRule="auto"/>
        <w:ind w:right="1138"/>
        <w:rPr>
          <w:i/>
          <w:iCs/>
        </w:rPr>
      </w:pPr>
      <w:r w:rsidRPr="00FA053C">
        <w:rPr>
          <w:i/>
          <w:iCs/>
        </w:rPr>
        <w:lastRenderedPageBreak/>
        <w:t xml:space="preserve">Access to justice to enforce the </w:t>
      </w:r>
      <w:r w:rsidR="00C44E75">
        <w:rPr>
          <w:i/>
          <w:iCs/>
        </w:rPr>
        <w:t>L</w:t>
      </w:r>
      <w:r w:rsidRPr="00FA053C">
        <w:rPr>
          <w:i/>
          <w:iCs/>
        </w:rPr>
        <w:t xml:space="preserve">egislative </w:t>
      </w:r>
      <w:r w:rsidR="00C44E75">
        <w:rPr>
          <w:i/>
          <w:iCs/>
        </w:rPr>
        <w:t>R</w:t>
      </w:r>
      <w:r w:rsidRPr="00FA053C">
        <w:rPr>
          <w:i/>
          <w:iCs/>
        </w:rPr>
        <w:t>ules</w:t>
      </w:r>
    </w:p>
    <w:p w14:paraId="5875819C" w14:textId="447CBB17" w:rsidR="003F6F43" w:rsidRPr="00FA053C" w:rsidRDefault="003F6F43" w:rsidP="003F6F43">
      <w:pPr>
        <w:pStyle w:val="SingleTxtG"/>
        <w:numPr>
          <w:ilvl w:val="0"/>
          <w:numId w:val="3"/>
        </w:numPr>
        <w:ind w:left="1094" w:right="1138" w:firstLine="0"/>
      </w:pPr>
      <w:r w:rsidRPr="00FA053C">
        <w:t xml:space="preserve"> T</w:t>
      </w:r>
      <w:r w:rsidR="00874EBA" w:rsidRPr="00C4314A">
        <w:t xml:space="preserve">he communicant submits that the </w:t>
      </w:r>
      <w:r w:rsidR="00C44E75">
        <w:t>L</w:t>
      </w:r>
      <w:r w:rsidR="00874EBA" w:rsidRPr="00C4314A">
        <w:t xml:space="preserve">egislative </w:t>
      </w:r>
      <w:r w:rsidR="00C44E75">
        <w:t>R</w:t>
      </w:r>
      <w:r w:rsidR="00874EBA" w:rsidRPr="00C4314A">
        <w:t>ules are compatible with article 8 of the Convention, as regards sufficien</w:t>
      </w:r>
      <w:r w:rsidR="00874EBA" w:rsidRPr="00957F9B">
        <w:t xml:space="preserve">t participation of the public in the </w:t>
      </w:r>
      <w:r w:rsidR="0077689A" w:rsidRPr="00FA053C">
        <w:t>preparation of</w:t>
      </w:r>
      <w:r w:rsidR="00874EBA" w:rsidRPr="00C4314A">
        <w:t xml:space="preserve"> generally binding regulation</w:t>
      </w:r>
      <w:r w:rsidR="0077689A" w:rsidRPr="00FA053C">
        <w:t>s</w:t>
      </w:r>
      <w:r w:rsidR="00874EBA" w:rsidRPr="00C4314A">
        <w:t xml:space="preserve"> related to the environment. However, the communicant submits that there are </w:t>
      </w:r>
      <w:r w:rsidR="00874EBA" w:rsidRPr="00957F9B">
        <w:t xml:space="preserve">few or no possibilities to effectively enforce the </w:t>
      </w:r>
      <w:r w:rsidR="00C44E75">
        <w:t>L</w:t>
      </w:r>
      <w:r w:rsidR="00874EBA" w:rsidRPr="00957F9B">
        <w:t xml:space="preserve">egislative </w:t>
      </w:r>
      <w:r w:rsidR="00C44E75">
        <w:t>R</w:t>
      </w:r>
      <w:r w:rsidR="00874EBA" w:rsidRPr="00957F9B">
        <w:t xml:space="preserve">ules and accordingly </w:t>
      </w:r>
      <w:r w:rsidR="00663857">
        <w:t xml:space="preserve">the </w:t>
      </w:r>
      <w:r w:rsidR="00874EBA" w:rsidRPr="00957F9B">
        <w:t>observance of the public’s rights to participate.</w:t>
      </w:r>
      <w:r w:rsidR="00874EBA" w:rsidRPr="00C4314A">
        <w:rPr>
          <w:rStyle w:val="FootnoteReference"/>
        </w:rPr>
        <w:footnoteReference w:id="117"/>
      </w:r>
    </w:p>
    <w:p w14:paraId="2EFA2D8B" w14:textId="30FFE195" w:rsidR="003F6F43" w:rsidRPr="00FA053C" w:rsidRDefault="003F6F43" w:rsidP="003F6F43">
      <w:pPr>
        <w:pStyle w:val="SingleTxtG"/>
        <w:numPr>
          <w:ilvl w:val="0"/>
          <w:numId w:val="3"/>
        </w:numPr>
        <w:ind w:left="1094" w:right="1138" w:firstLine="0"/>
      </w:pPr>
      <w:r w:rsidRPr="00FA053C">
        <w:t>T</w:t>
      </w:r>
      <w:r w:rsidR="00732BCA" w:rsidRPr="00957F9B">
        <w:t xml:space="preserve">he communicant submits that in practice the rights of the public stipulated in the </w:t>
      </w:r>
      <w:r w:rsidR="00C44E75">
        <w:t>L</w:t>
      </w:r>
      <w:r w:rsidR="00732BCA" w:rsidRPr="00957F9B">
        <w:t xml:space="preserve">egislative </w:t>
      </w:r>
      <w:r w:rsidR="00C44E75">
        <w:t>R</w:t>
      </w:r>
      <w:r w:rsidR="00732BCA" w:rsidRPr="00957F9B">
        <w:t xml:space="preserve">ules </w:t>
      </w:r>
      <w:r w:rsidR="00732BCA" w:rsidRPr="00FA053C">
        <w:t>are often violated during the process of interdepartmental discussions. The communicant alleges that in the case of such violations, the public does not have any appropriate and effective instruments to obtain a remedy.</w:t>
      </w:r>
      <w:r w:rsidR="00732BCA" w:rsidRPr="00C4314A">
        <w:rPr>
          <w:rStyle w:val="FootnoteReference"/>
        </w:rPr>
        <w:footnoteReference w:id="118"/>
      </w:r>
    </w:p>
    <w:p w14:paraId="4EB1E83D" w14:textId="42850E6B" w:rsidR="003F6F43" w:rsidRPr="00957F9B" w:rsidRDefault="003F6F43" w:rsidP="002B7157">
      <w:pPr>
        <w:pStyle w:val="SingleTxtG"/>
        <w:numPr>
          <w:ilvl w:val="0"/>
          <w:numId w:val="3"/>
        </w:numPr>
        <w:ind w:left="1094" w:right="1138" w:firstLine="0"/>
      </w:pPr>
      <w:r w:rsidRPr="00FA053C" w:rsidDel="003F6F43">
        <w:t xml:space="preserve"> </w:t>
      </w:r>
      <w:r w:rsidRPr="00FA053C">
        <w:t>S</w:t>
      </w:r>
      <w:r w:rsidR="008851C7" w:rsidRPr="00957F9B">
        <w:t>pecifically, t</w:t>
      </w:r>
      <w:r w:rsidR="00F17E20" w:rsidRPr="00FA053C">
        <w:t>he</w:t>
      </w:r>
      <w:r w:rsidR="00DC4C92" w:rsidRPr="00FA053C">
        <w:t xml:space="preserve"> communicant submits that the</w:t>
      </w:r>
      <w:r w:rsidR="00F17E20" w:rsidRPr="00FA053C">
        <w:t xml:space="preserve"> </w:t>
      </w:r>
      <w:r w:rsidR="00C44E75">
        <w:t>L</w:t>
      </w:r>
      <w:r w:rsidR="00AD596D" w:rsidRPr="00FA053C">
        <w:t xml:space="preserve">egislative </w:t>
      </w:r>
      <w:r w:rsidR="00C44E75">
        <w:t>R</w:t>
      </w:r>
      <w:r w:rsidR="00AD596D" w:rsidRPr="00FA053C">
        <w:t xml:space="preserve">ules </w:t>
      </w:r>
      <w:r w:rsidR="007679FC" w:rsidRPr="00FA053C">
        <w:t xml:space="preserve">are </w:t>
      </w:r>
      <w:r w:rsidR="00AD596D" w:rsidRPr="00FA053C">
        <w:t>an intern</w:t>
      </w:r>
      <w:r w:rsidR="007679FC" w:rsidRPr="00FA053C">
        <w:t>al</w:t>
      </w:r>
      <w:r w:rsidR="00AD596D" w:rsidRPr="00FA053C">
        <w:t xml:space="preserve"> directing act of the </w:t>
      </w:r>
      <w:r w:rsidR="00C44E75">
        <w:t>G</w:t>
      </w:r>
      <w:r w:rsidR="001623BF" w:rsidRPr="00FA053C">
        <w:t>overnment</w:t>
      </w:r>
      <w:r w:rsidR="00874EBA" w:rsidRPr="00FA053C">
        <w:t>,</w:t>
      </w:r>
      <w:r w:rsidR="001623BF" w:rsidRPr="00FA053C">
        <w:t xml:space="preserve"> binding </w:t>
      </w:r>
      <w:r w:rsidR="007679FC" w:rsidRPr="00FA053C">
        <w:t xml:space="preserve">on </w:t>
      </w:r>
      <w:r w:rsidR="001623BF" w:rsidRPr="00FA053C">
        <w:t>central state bodies</w:t>
      </w:r>
      <w:r w:rsidR="00874EBA" w:rsidRPr="00FA053C">
        <w:t xml:space="preserve"> such as ministries </w:t>
      </w:r>
      <w:r w:rsidR="00AD596D" w:rsidRPr="00FA053C">
        <w:t xml:space="preserve">which are subordinate to the </w:t>
      </w:r>
      <w:r w:rsidR="00C44E75">
        <w:t>G</w:t>
      </w:r>
      <w:r w:rsidR="001623BF" w:rsidRPr="00FA053C">
        <w:t xml:space="preserve">overnment. </w:t>
      </w:r>
      <w:r w:rsidR="008851C7" w:rsidRPr="00FA053C">
        <w:t>The communicant claims that</w:t>
      </w:r>
      <w:r w:rsidR="001623BF" w:rsidRPr="00FA053C">
        <w:t xml:space="preserve"> </w:t>
      </w:r>
      <w:r w:rsidR="00DC4C92" w:rsidRPr="00FA053C">
        <w:t xml:space="preserve">the </w:t>
      </w:r>
      <w:r w:rsidR="00C44E75">
        <w:t>L</w:t>
      </w:r>
      <w:r w:rsidR="00DC4C92" w:rsidRPr="00FA053C">
        <w:t xml:space="preserve">egislative </w:t>
      </w:r>
      <w:r w:rsidR="00C44E75">
        <w:t>R</w:t>
      </w:r>
      <w:r w:rsidR="00DC4C92" w:rsidRPr="00FA053C">
        <w:t>ules do</w:t>
      </w:r>
      <w:r w:rsidR="001623BF" w:rsidRPr="00FA053C">
        <w:t xml:space="preserve"> not </w:t>
      </w:r>
      <w:r w:rsidR="003B218E" w:rsidRPr="00FA053C">
        <w:t xml:space="preserve">however </w:t>
      </w:r>
      <w:r w:rsidR="001623BF" w:rsidRPr="00FA053C">
        <w:t>have generally binding legal character</w:t>
      </w:r>
      <w:r w:rsidR="008851C7" w:rsidRPr="00FA053C">
        <w:t xml:space="preserve">, and therefore </w:t>
      </w:r>
      <w:r w:rsidR="001623BF" w:rsidRPr="00FA053C">
        <w:t xml:space="preserve">the public </w:t>
      </w:r>
      <w:r w:rsidR="003B0F08" w:rsidRPr="00FA053C">
        <w:t>has neither</w:t>
      </w:r>
      <w:r w:rsidR="008851C7" w:rsidRPr="00FA053C">
        <w:t xml:space="preserve"> access to courts</w:t>
      </w:r>
      <w:r w:rsidR="00B70385" w:rsidRPr="00FA053C">
        <w:t>, nor</w:t>
      </w:r>
      <w:r w:rsidR="003B0F08" w:rsidRPr="00FA053C">
        <w:t xml:space="preserve"> to </w:t>
      </w:r>
      <w:r w:rsidR="00B70385" w:rsidRPr="00FA053C">
        <w:t xml:space="preserve">the Public Prosecutor’s office, </w:t>
      </w:r>
      <w:r w:rsidR="003B0F08" w:rsidRPr="00FA053C">
        <w:t xml:space="preserve">as both of these bodies allegedly lack the competence to review violations of rules which are not adopted </w:t>
      </w:r>
      <w:r w:rsidR="001623BF" w:rsidRPr="00FA053C">
        <w:t xml:space="preserve">in </w:t>
      </w:r>
      <w:r w:rsidR="003B0F08" w:rsidRPr="00FA053C">
        <w:t xml:space="preserve">the </w:t>
      </w:r>
      <w:r w:rsidR="001623BF" w:rsidRPr="00FA053C">
        <w:t>form of generally binding legal regulation</w:t>
      </w:r>
      <w:r w:rsidR="00DC4C92" w:rsidRPr="00FA053C">
        <w:t>s</w:t>
      </w:r>
      <w:r w:rsidR="003B0F08" w:rsidRPr="00FA053C">
        <w:t>.</w:t>
      </w:r>
      <w:r w:rsidR="001623BF" w:rsidRPr="00C4314A">
        <w:rPr>
          <w:rStyle w:val="FootnoteReference"/>
        </w:rPr>
        <w:footnoteReference w:id="119"/>
      </w:r>
      <w:r w:rsidR="001623BF" w:rsidRPr="00FA053C">
        <w:t xml:space="preserve"> </w:t>
      </w:r>
      <w:r w:rsidR="002B7157" w:rsidRPr="00FA053C">
        <w:t>In this regard</w:t>
      </w:r>
      <w:r w:rsidR="00433B1B">
        <w:t>,</w:t>
      </w:r>
      <w:r w:rsidR="00C6326F" w:rsidRPr="00FA053C">
        <w:t xml:space="preserve"> the communicant points to</w:t>
      </w:r>
      <w:r w:rsidR="001623BF" w:rsidRPr="00FA053C">
        <w:t xml:space="preserve"> </w:t>
      </w:r>
      <w:r w:rsidRPr="00FA053C">
        <w:t>Supreme Administrative Court and Constitutional Court jurisprudence</w:t>
      </w:r>
      <w:r w:rsidR="00A9721E" w:rsidRPr="00FA053C">
        <w:t xml:space="preserve"> (see paras.</w:t>
      </w:r>
      <w:r w:rsidR="00C44E75">
        <w:t xml:space="preserve"> </w:t>
      </w:r>
      <w:r w:rsidR="00C44E75">
        <w:fldChar w:fldCharType="begin"/>
      </w:r>
      <w:r w:rsidR="00C44E75">
        <w:instrText xml:space="preserve"> REF _Ref74394111 \r \h </w:instrText>
      </w:r>
      <w:r w:rsidR="00C44E75">
        <w:fldChar w:fldCharType="separate"/>
      </w:r>
      <w:r w:rsidR="0029016F">
        <w:t>32</w:t>
      </w:r>
      <w:r w:rsidR="00C44E75">
        <w:fldChar w:fldCharType="end"/>
      </w:r>
      <w:r w:rsidR="00C44E75">
        <w:t>-</w:t>
      </w:r>
      <w:r w:rsidR="00C44E75">
        <w:fldChar w:fldCharType="begin"/>
      </w:r>
      <w:r w:rsidR="00C44E75">
        <w:instrText xml:space="preserve"> REF _Ref74394124 \r \h </w:instrText>
      </w:r>
      <w:r w:rsidR="00C44E75">
        <w:fldChar w:fldCharType="separate"/>
      </w:r>
      <w:r w:rsidR="0029016F">
        <w:t>35</w:t>
      </w:r>
      <w:r w:rsidR="00C44E75">
        <w:fldChar w:fldCharType="end"/>
      </w:r>
      <w:r w:rsidR="00C44E75">
        <w:t xml:space="preserve"> </w:t>
      </w:r>
      <w:r w:rsidR="00A9721E" w:rsidRPr="00FA053C">
        <w:t>above)</w:t>
      </w:r>
      <w:r w:rsidR="003B0F08" w:rsidRPr="00FA053C">
        <w:t xml:space="preserve">. </w:t>
      </w:r>
      <w:r w:rsidR="002B7157" w:rsidRPr="00FA053C">
        <w:t xml:space="preserve">The communicant claims in particular that the Constitutional Court has always dismissed constitutional complaints which concerned the violation of </w:t>
      </w:r>
      <w:r w:rsidR="00C44E75">
        <w:t>the L</w:t>
      </w:r>
      <w:r w:rsidR="002B7157" w:rsidRPr="00FA053C">
        <w:t xml:space="preserve">egislative </w:t>
      </w:r>
      <w:r w:rsidR="00C44E75">
        <w:t>R</w:t>
      </w:r>
      <w:r w:rsidR="002B7157" w:rsidRPr="00FA053C">
        <w:t>ules, including where the claimants invoked article 8 of the Convention.</w:t>
      </w:r>
      <w:r w:rsidR="002B7157" w:rsidRPr="00FA053C">
        <w:rPr>
          <w:vertAlign w:val="superscript"/>
        </w:rPr>
        <w:footnoteReference w:id="120"/>
      </w:r>
      <w:r w:rsidR="002B7157" w:rsidRPr="00FA053C">
        <w:t xml:space="preserve"> The communicant moreover submits a constitutional complaint is also insufficient because the Constitutional Court is in its decision-making materially competent to review only constitutionality and thus can state only violation of constitutional rights. The communicant alleges that this considerably restrains its scope of review.</w:t>
      </w:r>
      <w:r w:rsidR="002B7157" w:rsidRPr="00FA053C">
        <w:rPr>
          <w:rStyle w:val="FootnoteReference"/>
        </w:rPr>
        <w:footnoteReference w:id="121"/>
      </w:r>
      <w:r w:rsidR="002B7157" w:rsidRPr="00FA053C">
        <w:t xml:space="preserve"> </w:t>
      </w:r>
    </w:p>
    <w:p w14:paraId="1A275596" w14:textId="0586E442" w:rsidR="00AB422D" w:rsidRPr="00FA053C" w:rsidRDefault="003F6F43" w:rsidP="00AB422D">
      <w:pPr>
        <w:pStyle w:val="SingleTxtG"/>
        <w:numPr>
          <w:ilvl w:val="0"/>
          <w:numId w:val="3"/>
        </w:numPr>
        <w:ind w:left="1094" w:right="1138" w:firstLine="0"/>
      </w:pPr>
      <w:r w:rsidRPr="00FA053C">
        <w:t>T</w:t>
      </w:r>
      <w:r w:rsidR="00DC4C92" w:rsidRPr="00FA053C">
        <w:t xml:space="preserve">he communicant submits that </w:t>
      </w:r>
      <w:r w:rsidR="00B70385" w:rsidRPr="00FA053C">
        <w:t>on</w:t>
      </w:r>
      <w:r w:rsidR="006E06D2" w:rsidRPr="00FA053C">
        <w:t>e</w:t>
      </w:r>
      <w:r w:rsidR="00B70385" w:rsidRPr="00FA053C">
        <w:t xml:space="preserve"> available remedy in these cases</w:t>
      </w:r>
      <w:r w:rsidR="001623BF" w:rsidRPr="00FA053C">
        <w:t xml:space="preserve"> </w:t>
      </w:r>
      <w:r w:rsidR="00B70385" w:rsidRPr="00FA053C">
        <w:t>w</w:t>
      </w:r>
      <w:r w:rsidR="00DC4C92" w:rsidRPr="00FA053C">
        <w:t xml:space="preserve">ould </w:t>
      </w:r>
      <w:r w:rsidR="001623BF" w:rsidRPr="00FA053C">
        <w:t xml:space="preserve">be </w:t>
      </w:r>
      <w:r w:rsidR="00DC4C92" w:rsidRPr="00FA053C">
        <w:t xml:space="preserve">the </w:t>
      </w:r>
      <w:r w:rsidR="001623BF" w:rsidRPr="00FA053C">
        <w:t xml:space="preserve">filing of </w:t>
      </w:r>
      <w:r w:rsidR="00DC4C92" w:rsidRPr="00FA053C">
        <w:t xml:space="preserve">a </w:t>
      </w:r>
      <w:r w:rsidR="001623BF" w:rsidRPr="00FA053C">
        <w:t xml:space="preserve">complaint </w:t>
      </w:r>
      <w:proofErr w:type="gramStart"/>
      <w:r w:rsidR="001623BF" w:rsidRPr="00FA053C">
        <w:t>on the basis of</w:t>
      </w:r>
      <w:proofErr w:type="gramEnd"/>
      <w:r w:rsidR="001623BF" w:rsidRPr="00FA053C">
        <w:t xml:space="preserve"> law no. 9/2010 Coll. on complaints</w:t>
      </w:r>
      <w:r w:rsidR="004C53C1" w:rsidRPr="00FA053C">
        <w:t xml:space="preserve"> (see para. </w:t>
      </w:r>
      <w:r w:rsidR="004C53C1" w:rsidRPr="00957F9B">
        <w:fldChar w:fldCharType="begin"/>
      </w:r>
      <w:r w:rsidR="004C53C1" w:rsidRPr="00FA053C">
        <w:instrText xml:space="preserve"> REF _Ref22640423 \r \h </w:instrText>
      </w:r>
      <w:r w:rsidR="00B67C2B" w:rsidRPr="00FA053C">
        <w:instrText xml:space="preserve"> \* MERGEFORMAT </w:instrText>
      </w:r>
      <w:r w:rsidR="004C53C1" w:rsidRPr="00957F9B">
        <w:fldChar w:fldCharType="separate"/>
      </w:r>
      <w:r w:rsidR="0029016F">
        <w:t>28</w:t>
      </w:r>
      <w:r w:rsidR="004C53C1" w:rsidRPr="00957F9B">
        <w:fldChar w:fldCharType="end"/>
      </w:r>
      <w:r w:rsidR="004C53C1" w:rsidRPr="00C4314A">
        <w:t xml:space="preserve"> above)</w:t>
      </w:r>
      <w:r w:rsidR="001623BF" w:rsidRPr="00957F9B">
        <w:t xml:space="preserve">. However, </w:t>
      </w:r>
      <w:r w:rsidR="00B70385" w:rsidRPr="00957F9B">
        <w:t xml:space="preserve">the communicant </w:t>
      </w:r>
      <w:r w:rsidR="00C66C56" w:rsidRPr="00FA053C">
        <w:t>claims</w:t>
      </w:r>
      <w:r w:rsidR="00B70385" w:rsidRPr="00FA053C">
        <w:t xml:space="preserve"> that </w:t>
      </w:r>
      <w:r w:rsidR="001623BF" w:rsidRPr="00FA053C">
        <w:t xml:space="preserve">such a complaint would be reviewed by the same body who </w:t>
      </w:r>
      <w:r w:rsidR="00B67C2B" w:rsidRPr="00FA053C">
        <w:t xml:space="preserve">allegedly </w:t>
      </w:r>
      <w:r w:rsidR="001623BF" w:rsidRPr="00FA053C">
        <w:t>impaired the right or by its superior body</w:t>
      </w:r>
      <w:r w:rsidR="00B67C2B" w:rsidRPr="00FA053C">
        <w:t>, rather</w:t>
      </w:r>
      <w:r w:rsidR="001623BF" w:rsidRPr="00FA053C">
        <w:t xml:space="preserve"> </w:t>
      </w:r>
      <w:r w:rsidR="00B67C2B" w:rsidRPr="00FA053C">
        <w:t>than</w:t>
      </w:r>
      <w:r w:rsidR="001623BF" w:rsidRPr="00FA053C">
        <w:t xml:space="preserve"> an independent body</w:t>
      </w:r>
      <w:r w:rsidR="00433B1B">
        <w:t>.</w:t>
      </w:r>
      <w:r w:rsidR="00B67C2B" w:rsidRPr="00C4314A">
        <w:rPr>
          <w:rStyle w:val="FootnoteReference"/>
        </w:rPr>
        <w:footnoteReference w:id="122"/>
      </w:r>
      <w:r w:rsidR="001623BF" w:rsidRPr="00C4314A">
        <w:t xml:space="preserve"> </w:t>
      </w:r>
      <w:r w:rsidR="00B67C2B" w:rsidRPr="00957F9B">
        <w:t xml:space="preserve">The communicant claims that </w:t>
      </w:r>
      <w:r w:rsidR="009203F0" w:rsidRPr="00FA053C">
        <w:t xml:space="preserve">such a procedure would not be “fair” and </w:t>
      </w:r>
      <w:r w:rsidR="00B70385" w:rsidRPr="00FA053C">
        <w:t xml:space="preserve">therefore </w:t>
      </w:r>
      <w:r w:rsidR="001623BF" w:rsidRPr="00FA053C">
        <w:t>it is impossible to achieve an effective remedy.</w:t>
      </w:r>
      <w:r w:rsidR="001623BF" w:rsidRPr="00C4314A">
        <w:rPr>
          <w:rStyle w:val="FootnoteReference"/>
        </w:rPr>
        <w:footnoteReference w:id="123"/>
      </w:r>
      <w:r w:rsidR="00A9721E" w:rsidRPr="00FA053C">
        <w:t xml:space="preserve"> T</w:t>
      </w:r>
      <w:r w:rsidR="005F5FF1" w:rsidRPr="00957F9B">
        <w:t xml:space="preserve">he communicant </w:t>
      </w:r>
      <w:r w:rsidR="00792866" w:rsidRPr="00FA053C">
        <w:t>submits</w:t>
      </w:r>
      <w:r w:rsidR="005F5FF1" w:rsidRPr="00FA053C">
        <w:t xml:space="preserve"> that </w:t>
      </w:r>
      <w:r w:rsidR="002B7157" w:rsidRPr="00FA053C">
        <w:t xml:space="preserve">only courts, as impartial and independent entities, </w:t>
      </w:r>
      <w:r w:rsidR="005F5FF1" w:rsidRPr="00FA053C">
        <w:t xml:space="preserve">could guarantee the compliance with the </w:t>
      </w:r>
      <w:r w:rsidR="00EA5CA0">
        <w:t>L</w:t>
      </w:r>
      <w:r w:rsidR="005F5FF1" w:rsidRPr="00FA053C">
        <w:t xml:space="preserve">egislative </w:t>
      </w:r>
      <w:r w:rsidR="00EA5CA0">
        <w:t>R</w:t>
      </w:r>
      <w:r w:rsidR="005F5FF1" w:rsidRPr="00FA053C">
        <w:t>ules</w:t>
      </w:r>
      <w:r w:rsidR="002B7157" w:rsidRPr="00FA053C">
        <w:t>, and that members of the public should have access to the courts to bring challenges to violations of these rules</w:t>
      </w:r>
      <w:r w:rsidR="005F5FF1" w:rsidRPr="00FA053C">
        <w:t>.</w:t>
      </w:r>
      <w:r w:rsidR="005F5FF1" w:rsidRPr="00C4314A">
        <w:rPr>
          <w:rStyle w:val="FootnoteReference"/>
        </w:rPr>
        <w:footnoteReference w:id="124"/>
      </w:r>
      <w:r w:rsidR="005F5FF1" w:rsidRPr="00C4314A">
        <w:t xml:space="preserve"> </w:t>
      </w:r>
    </w:p>
    <w:p w14:paraId="720B24C5" w14:textId="3929887A" w:rsidR="00B67C2B" w:rsidRPr="00957F9B" w:rsidRDefault="00B67C2B" w:rsidP="00FA053C">
      <w:pPr>
        <w:pStyle w:val="SingleTxtG"/>
        <w:numPr>
          <w:ilvl w:val="0"/>
          <w:numId w:val="3"/>
        </w:numPr>
        <w:ind w:left="1094" w:right="1138" w:firstLine="0"/>
      </w:pPr>
      <w:r w:rsidRPr="00C4314A">
        <w:t>T</w:t>
      </w:r>
      <w:r w:rsidR="00D42EF0" w:rsidRPr="00FA053C">
        <w:t xml:space="preserve">he Party concerned submits that </w:t>
      </w:r>
      <w:r w:rsidR="003F1DE0" w:rsidRPr="00FA053C">
        <w:t>article 1</w:t>
      </w:r>
      <w:r w:rsidR="00445233" w:rsidRPr="00FA053C">
        <w:t>(</w:t>
      </w:r>
      <w:r w:rsidR="003F1DE0" w:rsidRPr="00FA053C">
        <w:t>2</w:t>
      </w:r>
      <w:r w:rsidR="00445233" w:rsidRPr="00FA053C">
        <w:t>)</w:t>
      </w:r>
      <w:r w:rsidR="003F1DE0" w:rsidRPr="00FA053C">
        <w:t xml:space="preserve"> of </w:t>
      </w:r>
      <w:r w:rsidR="00A9721E" w:rsidRPr="00FA053C">
        <w:t xml:space="preserve">its </w:t>
      </w:r>
      <w:r w:rsidR="00D42EF0" w:rsidRPr="00FA053C">
        <w:t>Constitution recognizes and respects all</w:t>
      </w:r>
      <w:r w:rsidR="00445233" w:rsidRPr="00FA053C">
        <w:t xml:space="preserve"> </w:t>
      </w:r>
      <w:r w:rsidR="00D42EF0" w:rsidRPr="00FA053C">
        <w:t xml:space="preserve">international obligations, including the </w:t>
      </w:r>
      <w:r w:rsidR="003F1DE0" w:rsidRPr="00FA053C">
        <w:t>C</w:t>
      </w:r>
      <w:r w:rsidR="00D42EF0" w:rsidRPr="00FA053C">
        <w:t>onvention.</w:t>
      </w:r>
      <w:r w:rsidR="00A9721E" w:rsidRPr="00FA053C">
        <w:rPr>
          <w:rStyle w:val="FootnoteReference"/>
        </w:rPr>
        <w:footnoteReference w:id="125"/>
      </w:r>
      <w:r w:rsidR="00D42EF0" w:rsidRPr="00C4314A">
        <w:t xml:space="preserve"> </w:t>
      </w:r>
      <w:r w:rsidR="00A9721E" w:rsidRPr="00957F9B">
        <w:t>It</w:t>
      </w:r>
      <w:r w:rsidR="00D42EF0" w:rsidRPr="00FA053C">
        <w:t xml:space="preserve"> further submits that in accordance with</w:t>
      </w:r>
      <w:r w:rsidR="00445233" w:rsidRPr="00FA053C">
        <w:t xml:space="preserve"> </w:t>
      </w:r>
      <w:r w:rsidR="00A9721E" w:rsidRPr="00FA053C">
        <w:t>a</w:t>
      </w:r>
      <w:r w:rsidR="00D42EF0" w:rsidRPr="00FA053C">
        <w:t>rticle 46</w:t>
      </w:r>
      <w:r w:rsidR="00445233" w:rsidRPr="00FA053C">
        <w:t>(</w:t>
      </w:r>
      <w:r w:rsidR="00D42EF0" w:rsidRPr="00FA053C">
        <w:t>1</w:t>
      </w:r>
      <w:r w:rsidR="00445233" w:rsidRPr="00FA053C">
        <w:t>)</w:t>
      </w:r>
      <w:r w:rsidR="00D42EF0" w:rsidRPr="00FA053C">
        <w:t xml:space="preserve"> of the Constitution, any person may claim his right to an independent and impartial court or other authority</w:t>
      </w:r>
      <w:r w:rsidR="00A9721E" w:rsidRPr="00FA053C">
        <w:t>.</w:t>
      </w:r>
      <w:r w:rsidR="00A9721E" w:rsidRPr="00FA053C">
        <w:rPr>
          <w:rStyle w:val="FootnoteReference"/>
        </w:rPr>
        <w:footnoteReference w:id="126"/>
      </w:r>
      <w:r w:rsidR="00D42EF0" w:rsidRPr="00C4314A">
        <w:t xml:space="preserve"> </w:t>
      </w:r>
    </w:p>
    <w:p w14:paraId="308E8C22" w14:textId="65BEBFCC" w:rsidR="00AB422D" w:rsidRPr="00C4314A" w:rsidRDefault="00B67C2B" w:rsidP="00FA053C">
      <w:pPr>
        <w:pStyle w:val="SingleTxtG"/>
        <w:numPr>
          <w:ilvl w:val="0"/>
          <w:numId w:val="3"/>
        </w:numPr>
        <w:ind w:left="1094" w:right="1138" w:firstLine="0"/>
      </w:pPr>
      <w:r w:rsidRPr="00FA053C">
        <w:t>T</w:t>
      </w:r>
      <w:r w:rsidR="00D42EF0" w:rsidRPr="00FA053C">
        <w:t xml:space="preserve">he Party concerned submits that it </w:t>
      </w:r>
      <w:r w:rsidR="00D42EF0" w:rsidRPr="00FA053C">
        <w:rPr>
          <w:lang w:val="en-US"/>
        </w:rPr>
        <w:t>fulfills its obligation under article 9</w:t>
      </w:r>
      <w:r w:rsidRPr="00FA053C">
        <w:rPr>
          <w:lang w:val="en-US"/>
        </w:rPr>
        <w:t>(</w:t>
      </w:r>
      <w:r w:rsidR="00D42EF0" w:rsidRPr="00FA053C">
        <w:rPr>
          <w:lang w:val="en-US"/>
        </w:rPr>
        <w:t>3</w:t>
      </w:r>
      <w:r w:rsidRPr="00FA053C">
        <w:rPr>
          <w:lang w:val="en-US"/>
        </w:rPr>
        <w:t>)</w:t>
      </w:r>
      <w:r w:rsidR="00D42EF0" w:rsidRPr="00FA053C">
        <w:rPr>
          <w:lang w:val="en-US"/>
        </w:rPr>
        <w:t xml:space="preserve"> of the Convention</w:t>
      </w:r>
      <w:r w:rsidR="00663857">
        <w:rPr>
          <w:lang w:val="en-US"/>
        </w:rPr>
        <w:t xml:space="preserve"> to ensure</w:t>
      </w:r>
      <w:r w:rsidR="00D42EF0" w:rsidRPr="00FA053C">
        <w:rPr>
          <w:lang w:val="en-US"/>
        </w:rPr>
        <w:t xml:space="preserve"> that members of the public have access to administrative or judicial procedures to challenge acts and omissions by private persons and public authorities which contravene provisions of its national law relating to the environment</w:t>
      </w:r>
      <w:r w:rsidRPr="00FA053C">
        <w:rPr>
          <w:lang w:val="en-US"/>
        </w:rPr>
        <w:t>.</w:t>
      </w:r>
      <w:r w:rsidR="00A9721E" w:rsidRPr="00FA053C">
        <w:rPr>
          <w:rStyle w:val="FootnoteReference"/>
        </w:rPr>
        <w:footnoteReference w:id="127"/>
      </w:r>
      <w:r w:rsidR="00A9721E" w:rsidRPr="00C4314A">
        <w:t xml:space="preserve"> </w:t>
      </w:r>
      <w:r w:rsidRPr="00957F9B">
        <w:rPr>
          <w:lang w:val="en-US"/>
        </w:rPr>
        <w:t xml:space="preserve"> </w:t>
      </w:r>
      <w:r w:rsidR="00A9721E" w:rsidRPr="00957F9B">
        <w:rPr>
          <w:lang w:val="en-US"/>
        </w:rPr>
        <w:t>Specifically, t</w:t>
      </w:r>
      <w:r w:rsidRPr="00FA053C">
        <w:rPr>
          <w:lang w:val="en-US"/>
        </w:rPr>
        <w:t xml:space="preserve">he Party concerned claims that </w:t>
      </w:r>
      <w:r w:rsidR="003B1BC3" w:rsidRPr="00FA053C">
        <w:rPr>
          <w:lang w:val="en-US"/>
        </w:rPr>
        <w:t xml:space="preserve">the communicant used only the highest level for the protection </w:t>
      </w:r>
      <w:r w:rsidR="003B1BC3" w:rsidRPr="00FA053C">
        <w:rPr>
          <w:lang w:val="en-US"/>
        </w:rPr>
        <w:lastRenderedPageBreak/>
        <w:t>of public rights, namely the Constitutional Court</w:t>
      </w:r>
      <w:r w:rsidR="00A653B8">
        <w:rPr>
          <w:lang w:val="en-US"/>
        </w:rPr>
        <w:t>,</w:t>
      </w:r>
      <w:r w:rsidR="003B1BC3" w:rsidRPr="00FA053C">
        <w:rPr>
          <w:lang w:val="en-US"/>
        </w:rPr>
        <w:t xml:space="preserve"> and did not succeed. The Party concerned claims that </w:t>
      </w:r>
      <w:r w:rsidR="00D12AE5" w:rsidRPr="00FA053C">
        <w:rPr>
          <w:lang w:val="en-US"/>
        </w:rPr>
        <w:t>there are other means to protect and enforce rights arising from the Convention, including the options</w:t>
      </w:r>
      <w:r w:rsidR="00A9721E" w:rsidRPr="00FA053C">
        <w:rPr>
          <w:lang w:val="en-US"/>
        </w:rPr>
        <w:t xml:space="preserve"> to</w:t>
      </w:r>
      <w:r w:rsidR="00A9721E" w:rsidRPr="00FA053C">
        <w:t xml:space="preserve"> (</w:t>
      </w:r>
      <w:r w:rsidR="00A9721E" w:rsidRPr="00FA053C">
        <w:rPr>
          <w:lang w:val="en-US"/>
        </w:rPr>
        <w:t xml:space="preserve">a) file a complaint under the Act no. 9/2010 Coll. on complaints (see para. </w:t>
      </w:r>
      <w:r w:rsidR="00A9721E" w:rsidRPr="00FA053C">
        <w:rPr>
          <w:lang w:val="en-US"/>
        </w:rPr>
        <w:fldChar w:fldCharType="begin"/>
      </w:r>
      <w:r w:rsidR="00A9721E" w:rsidRPr="00FA053C">
        <w:rPr>
          <w:lang w:val="en-US"/>
        </w:rPr>
        <w:instrText xml:space="preserve"> REF _Ref22640423 \r \h  \* MERGEFORMAT </w:instrText>
      </w:r>
      <w:r w:rsidR="00A9721E" w:rsidRPr="00FA053C">
        <w:rPr>
          <w:lang w:val="en-US"/>
        </w:rPr>
      </w:r>
      <w:r w:rsidR="00A9721E" w:rsidRPr="00FA053C">
        <w:rPr>
          <w:lang w:val="en-US"/>
        </w:rPr>
        <w:fldChar w:fldCharType="separate"/>
      </w:r>
      <w:r w:rsidR="0029016F">
        <w:rPr>
          <w:lang w:val="en-US"/>
        </w:rPr>
        <w:t>28</w:t>
      </w:r>
      <w:r w:rsidR="00A9721E" w:rsidRPr="00FA053C">
        <w:rPr>
          <w:lang w:val="en-US"/>
        </w:rPr>
        <w:fldChar w:fldCharType="end"/>
      </w:r>
      <w:r w:rsidR="00A9721E" w:rsidRPr="00FA053C">
        <w:rPr>
          <w:lang w:val="en-US"/>
        </w:rPr>
        <w:t xml:space="preserve"> above), (b) propose that the prosecutor review the legality of a legislative procedure (see para. </w:t>
      </w:r>
      <w:r w:rsidR="00A9721E" w:rsidRPr="00FA053C">
        <w:rPr>
          <w:lang w:val="en-US"/>
        </w:rPr>
        <w:fldChar w:fldCharType="begin"/>
      </w:r>
      <w:r w:rsidR="00A9721E" w:rsidRPr="00FA053C">
        <w:rPr>
          <w:lang w:val="en-US"/>
        </w:rPr>
        <w:instrText xml:space="preserve"> REF _Ref22640393 \r \h  \* MERGEFORMAT </w:instrText>
      </w:r>
      <w:r w:rsidR="00A9721E" w:rsidRPr="00FA053C">
        <w:rPr>
          <w:lang w:val="en-US"/>
        </w:rPr>
      </w:r>
      <w:r w:rsidR="00A9721E" w:rsidRPr="00FA053C">
        <w:rPr>
          <w:lang w:val="en-US"/>
        </w:rPr>
        <w:fldChar w:fldCharType="separate"/>
      </w:r>
      <w:r w:rsidR="0029016F">
        <w:rPr>
          <w:lang w:val="en-US"/>
        </w:rPr>
        <w:t>29</w:t>
      </w:r>
      <w:r w:rsidR="00A9721E" w:rsidRPr="00FA053C">
        <w:rPr>
          <w:lang w:val="en-US"/>
        </w:rPr>
        <w:fldChar w:fldCharType="end"/>
      </w:r>
      <w:r w:rsidR="00A9721E" w:rsidRPr="00FA053C">
        <w:rPr>
          <w:lang w:val="en-US"/>
        </w:rPr>
        <w:t xml:space="preserve"> above), (c) file a complaint with the Ombudsman (see para. 28 above), or (d) br</w:t>
      </w:r>
      <w:r w:rsidR="00C6644E" w:rsidRPr="00FA053C">
        <w:rPr>
          <w:lang w:val="en-US"/>
        </w:rPr>
        <w:t>ing</w:t>
      </w:r>
      <w:r w:rsidR="00A9721E" w:rsidRPr="00FA053C">
        <w:rPr>
          <w:lang w:val="en-US"/>
        </w:rPr>
        <w:t xml:space="preserve"> a</w:t>
      </w:r>
      <w:r w:rsidR="00C50764" w:rsidRPr="00FA053C">
        <w:rPr>
          <w:lang w:val="en-US"/>
        </w:rPr>
        <w:t xml:space="preserve">n administrative </w:t>
      </w:r>
      <w:r w:rsidR="00A9721E" w:rsidRPr="00FA053C">
        <w:rPr>
          <w:lang w:val="en-US"/>
        </w:rPr>
        <w:t xml:space="preserve">court action (see para. </w:t>
      </w:r>
      <w:r w:rsidR="00A9721E" w:rsidRPr="00FA053C">
        <w:rPr>
          <w:lang w:val="en-US"/>
        </w:rPr>
        <w:fldChar w:fldCharType="begin"/>
      </w:r>
      <w:r w:rsidR="00A9721E" w:rsidRPr="00FA053C">
        <w:rPr>
          <w:lang w:val="en-US"/>
        </w:rPr>
        <w:instrText xml:space="preserve"> REF _Ref23168461 \r \h  \* MERGEFORMAT </w:instrText>
      </w:r>
      <w:r w:rsidR="00A9721E" w:rsidRPr="00FA053C">
        <w:rPr>
          <w:lang w:val="en-US"/>
        </w:rPr>
      </w:r>
      <w:r w:rsidR="00A9721E" w:rsidRPr="00FA053C">
        <w:rPr>
          <w:lang w:val="en-US"/>
        </w:rPr>
        <w:fldChar w:fldCharType="separate"/>
      </w:r>
      <w:r w:rsidR="0029016F">
        <w:rPr>
          <w:lang w:val="en-US"/>
        </w:rPr>
        <w:t>31</w:t>
      </w:r>
      <w:r w:rsidR="00A9721E" w:rsidRPr="00FA053C">
        <w:rPr>
          <w:lang w:val="en-US"/>
        </w:rPr>
        <w:fldChar w:fldCharType="end"/>
      </w:r>
      <w:r w:rsidR="00A9721E" w:rsidRPr="00FA053C">
        <w:rPr>
          <w:lang w:val="en-US"/>
        </w:rPr>
        <w:t xml:space="preserve"> above).</w:t>
      </w:r>
      <w:r w:rsidR="00C50764" w:rsidRPr="00FA053C">
        <w:rPr>
          <w:rStyle w:val="FootnoteReference"/>
        </w:rPr>
        <w:footnoteReference w:id="128"/>
      </w:r>
      <w:r w:rsidR="00A9721E" w:rsidRPr="00FA053C" w:rsidDel="002E6131">
        <w:t xml:space="preserve"> </w:t>
      </w:r>
    </w:p>
    <w:p w14:paraId="407C896F" w14:textId="77777777" w:rsidR="000011F1" w:rsidRPr="00FA053C" w:rsidRDefault="000011F1" w:rsidP="00FA053C">
      <w:pPr>
        <w:pStyle w:val="HChG"/>
        <w:ind w:left="993"/>
        <w:jc w:val="center"/>
      </w:pPr>
      <w:r w:rsidRPr="00FA053C">
        <w:t>III.</w:t>
      </w:r>
      <w:r w:rsidRPr="00FA053C">
        <w:tab/>
        <w:t xml:space="preserve"> Consideration and evaluation by the Committee</w:t>
      </w:r>
    </w:p>
    <w:p w14:paraId="04B14E94" w14:textId="77777777" w:rsidR="000011F1" w:rsidRDefault="000011F1" w:rsidP="000011F1">
      <w:pPr>
        <w:pStyle w:val="SingleTxtG"/>
        <w:numPr>
          <w:ilvl w:val="0"/>
          <w:numId w:val="3"/>
        </w:numPr>
        <w:ind w:left="1094" w:right="1138" w:firstLine="0"/>
      </w:pPr>
      <w:r w:rsidRPr="00FA053C">
        <w:t>S</w:t>
      </w:r>
      <w:r w:rsidR="0004608F" w:rsidRPr="00FA053C">
        <w:t xml:space="preserve">lovakia deposited its instrument of ratification of the Convention on 5 December 2005, meaning that the Convention entered into force for Slovakia on 5 March 2006, i.e. ninety days after the date of deposit of the instrument of ratification. </w:t>
      </w:r>
    </w:p>
    <w:p w14:paraId="212042C8" w14:textId="77777777" w:rsidR="00AA4679" w:rsidRDefault="00AA4679" w:rsidP="00505A42">
      <w:pPr>
        <w:pStyle w:val="SingleTxtG"/>
        <w:ind w:left="1094" w:right="1138"/>
        <w:rPr>
          <w:b/>
          <w:bCs/>
        </w:rPr>
      </w:pPr>
    </w:p>
    <w:p w14:paraId="541804D2" w14:textId="77777777" w:rsidR="00FD418D" w:rsidRPr="00505A42" w:rsidRDefault="00FD418D" w:rsidP="00FD418D">
      <w:pPr>
        <w:pStyle w:val="SingleTxtG"/>
        <w:ind w:left="1094" w:right="1138"/>
        <w:rPr>
          <w:b/>
          <w:bCs/>
        </w:rPr>
      </w:pPr>
      <w:bookmarkStart w:id="24" w:name="_Hlk74409120"/>
      <w:r w:rsidRPr="00505A42">
        <w:rPr>
          <w:b/>
          <w:bCs/>
        </w:rPr>
        <w:t>Admissibility</w:t>
      </w:r>
    </w:p>
    <w:p w14:paraId="387DE081" w14:textId="77777777" w:rsidR="00FD418D" w:rsidRDefault="00FD418D" w:rsidP="00FD418D">
      <w:pPr>
        <w:pStyle w:val="SingleTxtG"/>
        <w:numPr>
          <w:ilvl w:val="0"/>
          <w:numId w:val="3"/>
        </w:numPr>
        <w:ind w:left="1094" w:right="1138" w:firstLine="0"/>
      </w:pPr>
      <w:r>
        <w:t xml:space="preserve">Mr. </w:t>
      </w:r>
      <w:proofErr w:type="spellStart"/>
      <w:r>
        <w:t>Oruzinsky</w:t>
      </w:r>
      <w:proofErr w:type="spellEnd"/>
      <w:r>
        <w:t xml:space="preserve"> sought to challenge the public participation procedure on the draft </w:t>
      </w:r>
      <w:proofErr w:type="spellStart"/>
      <w:r w:rsidRPr="00C841CC">
        <w:t>Foresty</w:t>
      </w:r>
      <w:proofErr w:type="spellEnd"/>
      <w:r w:rsidRPr="00C841CC">
        <w:t xml:space="preserve"> Act before the Constitutional Court, the highest judicial authority in the Party concerned. </w:t>
      </w:r>
      <w:r w:rsidRPr="00A11302">
        <w:t xml:space="preserve">Mr </w:t>
      </w:r>
      <w:proofErr w:type="spellStart"/>
      <w:r w:rsidRPr="00A11302">
        <w:t>Oruzinsky</w:t>
      </w:r>
      <w:proofErr w:type="spellEnd"/>
      <w:r w:rsidRPr="00A11302">
        <w:t xml:space="preserve"> having</w:t>
      </w:r>
      <w:r w:rsidRPr="00C841CC">
        <w:t xml:space="preserve"> done so</w:t>
      </w:r>
      <w:r w:rsidRPr="00617DE9">
        <w:t>,</w:t>
      </w:r>
      <w:r w:rsidRPr="005B31A6">
        <w:t xml:space="preserve"> the Committee does not consider that the use of domestic remedies under paragraph 21 of the annex to decision I/7 would require Mr. </w:t>
      </w:r>
      <w:proofErr w:type="spellStart"/>
      <w:r w:rsidRPr="005B31A6">
        <w:t>Oruzinsky</w:t>
      </w:r>
      <w:proofErr w:type="spellEnd"/>
      <w:r w:rsidRPr="005B31A6">
        <w:t xml:space="preserve"> to have then turned to any other still available court procedures to challenge the Forestry Act which</w:t>
      </w:r>
      <w:r>
        <w:t xml:space="preserve"> was by then in force. On this point, the Committee notes that the Party concerned does not challenge the admissibility of the communication.</w:t>
      </w:r>
    </w:p>
    <w:p w14:paraId="501A8423" w14:textId="77777777" w:rsidR="00FD418D" w:rsidRDefault="00FD418D" w:rsidP="00FD418D">
      <w:pPr>
        <w:pStyle w:val="SingleTxtG"/>
        <w:numPr>
          <w:ilvl w:val="0"/>
          <w:numId w:val="3"/>
        </w:numPr>
        <w:ind w:left="1094" w:right="1138" w:firstLine="0"/>
      </w:pPr>
      <w:r>
        <w:t>In the light of the foregoing, the Committee finds the communication to be admissible.</w:t>
      </w:r>
    </w:p>
    <w:p w14:paraId="63827886" w14:textId="77777777" w:rsidR="00FD418D" w:rsidRDefault="00FD418D" w:rsidP="00FD418D">
      <w:pPr>
        <w:pStyle w:val="SingleTxtG"/>
        <w:ind w:left="1094" w:right="1138"/>
        <w:rPr>
          <w:b/>
          <w:bCs/>
        </w:rPr>
      </w:pPr>
    </w:p>
    <w:p w14:paraId="1F569CA0" w14:textId="77777777" w:rsidR="00FD418D" w:rsidRPr="007E2A48" w:rsidRDefault="00FD418D" w:rsidP="00FD418D">
      <w:pPr>
        <w:pStyle w:val="SingleTxtG"/>
        <w:ind w:left="1094" w:right="1138"/>
        <w:rPr>
          <w:b/>
          <w:bCs/>
        </w:rPr>
      </w:pPr>
      <w:r w:rsidRPr="007E2A48">
        <w:rPr>
          <w:b/>
          <w:bCs/>
        </w:rPr>
        <w:t xml:space="preserve">Article 8 </w:t>
      </w:r>
      <w:r>
        <w:rPr>
          <w:b/>
          <w:bCs/>
        </w:rPr>
        <w:t>and article 2(2)</w:t>
      </w:r>
    </w:p>
    <w:p w14:paraId="58C367D6" w14:textId="5C2B3B98" w:rsidR="00FD418D" w:rsidRDefault="00FD418D" w:rsidP="00FD418D">
      <w:pPr>
        <w:pStyle w:val="SingleTxtG"/>
        <w:numPr>
          <w:ilvl w:val="0"/>
          <w:numId w:val="3"/>
        </w:numPr>
        <w:ind w:left="1094" w:right="1138" w:firstLine="0"/>
      </w:pPr>
      <w:r>
        <w:t xml:space="preserve">In reviewing whether the Party concerned failed to comply with article 8 of the Convention by not taking the outcome of the public participation into account as far as possible in the preparation of the Forest Act, the Committee first examines whether article 8 applies to that preparation. The Committee then considers whether the government is acting in a legislative capacity under article 2(2) of the Convention when preparing the legislation. </w:t>
      </w:r>
    </w:p>
    <w:p w14:paraId="5B73620B" w14:textId="74FA5968" w:rsidR="00FD418D" w:rsidRDefault="00FD418D" w:rsidP="00445225">
      <w:pPr>
        <w:pStyle w:val="SingleTxtG"/>
        <w:numPr>
          <w:ilvl w:val="0"/>
          <w:numId w:val="3"/>
        </w:numPr>
        <w:tabs>
          <w:tab w:val="clear" w:pos="1569"/>
        </w:tabs>
        <w:spacing w:after="0"/>
        <w:ind w:left="1134" w:right="1138" w:firstLine="0"/>
      </w:pPr>
      <w:r>
        <w:t xml:space="preserve">The Committee notes that, although the Party concerned disagrees with the communicant on the issue of compliance, it neither questions the application of article 8 to this preparatory process </w:t>
      </w:r>
      <w:r w:rsidR="00E329E8">
        <w:t>n</w:t>
      </w:r>
      <w:r>
        <w:t>or argues that it acted in a legislative capacity during the preparation. The Committee also notes that the Constitutional Court, when examining the preparatory practice, while dismissing the complaint, understood article 8 to include public participation in the preparation of legislation and did not consider that the government was acting in a legislative capacity as under article 2(2) of the Convention. According to the Constitutional Court:</w:t>
      </w:r>
      <w:r>
        <w:tab/>
      </w:r>
      <w:r>
        <w:br/>
      </w:r>
    </w:p>
    <w:p w14:paraId="74853003" w14:textId="452F1BAC" w:rsidR="00FD418D" w:rsidRDefault="00FD418D" w:rsidP="00445225">
      <w:pPr>
        <w:pStyle w:val="SingleTxtG"/>
        <w:spacing w:after="0"/>
        <w:ind w:left="1560" w:right="1138"/>
      </w:pPr>
      <w:r w:rsidRPr="006B526C">
        <w:t>The aim of the positive commitment of the state resulting from Art. 8 of the Aarhus Convention is to ensure, through the law of the State concerned, the protection of public participation in the preparation of generally binding legislation having a significant effect on the environment, i.e. the initial phase of the entire legislative process - in the preparation and discussion of a draft law before its submission to the National Council</w:t>
      </w:r>
      <w:r>
        <w:t>.</w:t>
      </w:r>
      <w:r>
        <w:rPr>
          <w:rStyle w:val="FootnoteReference"/>
        </w:rPr>
        <w:footnoteReference w:id="129"/>
      </w:r>
      <w:r>
        <w:tab/>
      </w:r>
      <w:r>
        <w:br/>
      </w:r>
    </w:p>
    <w:p w14:paraId="348FD222" w14:textId="4E23E6D3" w:rsidR="00FD418D" w:rsidRDefault="00FD418D" w:rsidP="00D00E84">
      <w:pPr>
        <w:pStyle w:val="SingleTxtG"/>
        <w:numPr>
          <w:ilvl w:val="0"/>
          <w:numId w:val="3"/>
        </w:numPr>
        <w:ind w:left="1094" w:right="1138" w:firstLine="0"/>
      </w:pPr>
      <w:r>
        <w:t>The Party concerned thus does not dispute that article 8 applied to the preparation of the draft Forestry Act and that the government did not act in a legislative capacity during its preparation.</w:t>
      </w:r>
    </w:p>
    <w:p w14:paraId="0C7D43B0" w14:textId="77777777" w:rsidR="00FD418D" w:rsidRPr="007E2A48" w:rsidRDefault="00FD418D" w:rsidP="00FD418D">
      <w:pPr>
        <w:pStyle w:val="SingleTxtG"/>
        <w:ind w:right="1138"/>
        <w:rPr>
          <w:i/>
          <w:iCs/>
        </w:rPr>
      </w:pPr>
      <w:r>
        <w:rPr>
          <w:i/>
          <w:iCs/>
        </w:rPr>
        <w:lastRenderedPageBreak/>
        <w:t xml:space="preserve">Executive regulations and other generally applicable legally binding rules </w:t>
      </w:r>
    </w:p>
    <w:p w14:paraId="3C9A688A" w14:textId="525B0D4F" w:rsidR="00FD418D" w:rsidRDefault="00FD418D" w:rsidP="00FD418D">
      <w:pPr>
        <w:pStyle w:val="SingleTxtG"/>
        <w:numPr>
          <w:ilvl w:val="0"/>
          <w:numId w:val="3"/>
        </w:numPr>
        <w:ind w:left="1094" w:right="1138" w:firstLine="0"/>
      </w:pPr>
      <w:bookmarkStart w:id="25" w:name="_Hlk74301798"/>
      <w:r>
        <w:t>The Committee considers that there is nothing in the title or text of article 8 of the Convention to suggest that it does not include the preparation of legislation by executive bodies to be adopted by national parliaments. On the contrary, although the term “legislation” or “laws” do not appear in the provision, the wording of article 8 and the ordinary meaning given to its terms nevertheless support the inclusion of legislation and other normative instruments of a similar character.</w:t>
      </w:r>
      <w:r>
        <w:rPr>
          <w:rStyle w:val="FootnoteReference"/>
        </w:rPr>
        <w:footnoteReference w:id="130"/>
      </w:r>
      <w:r>
        <w:t xml:space="preserve"> </w:t>
      </w:r>
    </w:p>
    <w:p w14:paraId="0AA9596B" w14:textId="77777777" w:rsidR="00FD418D" w:rsidRDefault="00FD418D" w:rsidP="00FD418D">
      <w:pPr>
        <w:pStyle w:val="SingleTxtG"/>
        <w:numPr>
          <w:ilvl w:val="0"/>
          <w:numId w:val="3"/>
        </w:numPr>
        <w:ind w:left="1094" w:right="1138" w:firstLine="0"/>
      </w:pPr>
      <w:r>
        <w:t xml:space="preserve">First, article 8 refers to “generally applicable legally binding normative instruments”, which is exactly what legislation is. The Committee understands this as a generic expression intended to cover different kinds of generally applicable legally binding normative instruments, which may be referred to in different ways in different jurisdictions. </w:t>
      </w:r>
      <w:bookmarkStart w:id="26" w:name="_Hlk74301741"/>
      <w:r w:rsidRPr="00D123D6">
        <w:t>In addition to draft legislation prepared by executive bodies to be adopted by national parliaments, the provision applies also to the preparation by executive bodies of other generally applicable legally binding normative instruments to be adopted by local or regional assemblies, whether or not the outcome is referred to as “legislation”.</w:t>
      </w:r>
      <w:bookmarkEnd w:id="26"/>
      <w:r>
        <w:t xml:space="preserve"> </w:t>
      </w:r>
    </w:p>
    <w:p w14:paraId="1DD804D6" w14:textId="552491FF" w:rsidR="00FD418D" w:rsidRDefault="00FD418D" w:rsidP="00FD418D">
      <w:pPr>
        <w:pStyle w:val="SingleTxtG"/>
        <w:numPr>
          <w:ilvl w:val="0"/>
          <w:numId w:val="3"/>
        </w:numPr>
        <w:ind w:left="1094" w:right="1138" w:firstLine="0"/>
      </w:pPr>
      <w:r>
        <w:t xml:space="preserve">Second, the terms “generally applicable legally binding normative instruments” are </w:t>
      </w:r>
      <w:r w:rsidRPr="00FD3693">
        <w:t xml:space="preserve">included </w:t>
      </w:r>
      <w:r w:rsidRPr="00887BC2">
        <w:t>in addition</w:t>
      </w:r>
      <w:r>
        <w:t xml:space="preserve"> to “executive regulations”. If article 8 was only intended to apply to such regulations by the executive branch, then there would be no reason to add the reference to generally applicable legally binding normative instruments. In this context, the Committee recalls its findings on communication ACCC/C/2009/44 (Belarus), where it stressed that “the scope of obligations under article 8 relate to any normative acts that may have a significant effect on the environment”.</w:t>
      </w:r>
      <w:r>
        <w:rPr>
          <w:rStyle w:val="FootnoteReference"/>
        </w:rPr>
        <w:footnoteReference w:id="131"/>
      </w:r>
      <w:r>
        <w:t xml:space="preserve"> The Committee also notes that this view is supported by the Maastricht Recommendations, which on several occasions refer to “executive regulation or law” or similar expressions, where “law” is a shorthand for “generally applicable legally binding normative instruments”.</w:t>
      </w:r>
      <w:r>
        <w:rPr>
          <w:rStyle w:val="FootnoteReference"/>
        </w:rPr>
        <w:footnoteReference w:id="132"/>
      </w:r>
      <w:r>
        <w:t xml:space="preserve"> It is thus clear to the Committee that article 8 of the Convention applies also to the preparation of legislation by executive bodies to be adopted by national parliaments.</w:t>
      </w:r>
    </w:p>
    <w:bookmarkEnd w:id="25"/>
    <w:p w14:paraId="033E4A9B" w14:textId="77777777" w:rsidR="00FD418D" w:rsidRPr="007E2A48" w:rsidRDefault="00FD418D" w:rsidP="00FD418D">
      <w:pPr>
        <w:pStyle w:val="SingleTxtG"/>
        <w:ind w:right="1138"/>
        <w:rPr>
          <w:i/>
          <w:iCs/>
        </w:rPr>
      </w:pPr>
      <w:r>
        <w:rPr>
          <w:i/>
          <w:iCs/>
        </w:rPr>
        <w:t xml:space="preserve">Bodies acting in a legislative capacity </w:t>
      </w:r>
    </w:p>
    <w:p w14:paraId="07C0CD04" w14:textId="77FFB7E3" w:rsidR="00FD418D" w:rsidRDefault="00FD418D" w:rsidP="00FD418D">
      <w:pPr>
        <w:pStyle w:val="SingleTxtG"/>
        <w:numPr>
          <w:ilvl w:val="0"/>
          <w:numId w:val="3"/>
        </w:numPr>
        <w:ind w:left="1094" w:right="1138" w:firstLine="0"/>
      </w:pPr>
      <w:r>
        <w:t>While article 8 of the Convention is thus applicable to legislation, article 2(2) sets out that the definition of “public authority” does not include bodies or institutions acting in a legislative capacity. The question then arises what is covered by that provision. When do bodies or institutions of a Party act in a legislative capacity, and more specifically, when in the process starting with the preparation of legislation does a body or institution act in a legislative capacity? Although the Convention does not set out exactly when a body or institution – be it central, regional or local – acts in a legislative capacity, it is clear that the Convention only excludes the body or institution when it acts in this specific capacity. Accordingly, a parliament may act as a public authority under the Convention when it is not acting in its legislative capacity, for example when authorizing an activity or project.</w:t>
      </w:r>
      <w:r>
        <w:rPr>
          <w:rStyle w:val="FootnoteReference"/>
        </w:rPr>
        <w:footnoteReference w:id="133"/>
      </w:r>
      <w:r>
        <w:t xml:space="preserve"> The Committee thus understands the expression “legislative capacity” to have a rather precise meaning, referring to the acts of the body when it is indeed legislating, that is when it uses its legislative power, but not when it carries out other functions.</w:t>
      </w:r>
    </w:p>
    <w:p w14:paraId="4968DFBB" w14:textId="674645B0" w:rsidR="00FD418D" w:rsidRDefault="00FD418D" w:rsidP="00FD3693">
      <w:pPr>
        <w:pStyle w:val="SingleTxtG"/>
        <w:numPr>
          <w:ilvl w:val="0"/>
          <w:numId w:val="3"/>
        </w:numPr>
        <w:ind w:left="1094" w:right="1138" w:firstLine="0"/>
      </w:pPr>
      <w:r>
        <w:t>The understanding of “acting in legislative capacity” as having a rather strict and precise meaning implies that it only covers activities by the body or institution with the capacity and power to adopt the legislation. This understanding is also supported by the French and Russian versions of the Convention (in French</w:t>
      </w:r>
      <w:r w:rsidRPr="00361866">
        <w:t xml:space="preserve"> “dans </w:t>
      </w:r>
      <w:proofErr w:type="spellStart"/>
      <w:r w:rsidRPr="00361866">
        <w:t>l'exercice</w:t>
      </w:r>
      <w:proofErr w:type="spellEnd"/>
      <w:r w:rsidRPr="00361866">
        <w:t xml:space="preserve"> de </w:t>
      </w:r>
      <w:proofErr w:type="spellStart"/>
      <w:r w:rsidRPr="00361866">
        <w:t>pouvoirs</w:t>
      </w:r>
      <w:proofErr w:type="spellEnd"/>
      <w:r w:rsidRPr="00961FAA">
        <w:t xml:space="preserve"> </w:t>
      </w:r>
      <w:r>
        <w:t>…</w:t>
      </w:r>
      <w:r w:rsidRPr="00961FAA">
        <w:t xml:space="preserve"> </w:t>
      </w:r>
      <w:proofErr w:type="spellStart"/>
      <w:r w:rsidRPr="00961FAA">
        <w:t>législatifs</w:t>
      </w:r>
      <w:proofErr w:type="spellEnd"/>
      <w:r w:rsidRPr="00961FAA">
        <w:t>”</w:t>
      </w:r>
      <w:r>
        <w:t xml:space="preserve"> and in Russian </w:t>
      </w:r>
      <w:r w:rsidRPr="00961FAA">
        <w:t>“</w:t>
      </w:r>
      <w:proofErr w:type="spellStart"/>
      <w:r>
        <w:t>действующие</w:t>
      </w:r>
      <w:proofErr w:type="spellEnd"/>
      <w:r>
        <w:t xml:space="preserve"> в .... </w:t>
      </w:r>
      <w:proofErr w:type="spellStart"/>
      <w:r>
        <w:t>законодательном</w:t>
      </w:r>
      <w:proofErr w:type="spellEnd"/>
      <w:r>
        <w:t xml:space="preserve"> </w:t>
      </w:r>
      <w:proofErr w:type="spellStart"/>
      <w:r>
        <w:t>качестве</w:t>
      </w:r>
      <w:proofErr w:type="spellEnd"/>
      <w:r w:rsidRPr="00961FAA">
        <w:t>”</w:t>
      </w:r>
      <w:r>
        <w:t xml:space="preserve">). Taking into account that the legislative process is likely to differ between the Parties, the Committee also considers </w:t>
      </w:r>
      <w:r>
        <w:lastRenderedPageBreak/>
        <w:t>that this strict understanding ensures a uniform application of article 2(2) of the Convention by the Parties.</w:t>
      </w:r>
      <w:r>
        <w:rPr>
          <w:rStyle w:val="FootnoteReference"/>
        </w:rPr>
        <w:footnoteReference w:id="134"/>
      </w:r>
      <w:r>
        <w:t xml:space="preserve"> It also prevents the Parties from excluding the application of the Convention by expanding their preparatory p</w:t>
      </w:r>
      <w:r w:rsidRPr="00FD3693">
        <w:t xml:space="preserve">rocesses so as to allow for </w:t>
      </w:r>
      <w:r w:rsidRPr="00887BC2">
        <w:t xml:space="preserve">comprehensive preparatory processes with several </w:t>
      </w:r>
      <w:r w:rsidR="00FD3693" w:rsidRPr="00887BC2">
        <w:t xml:space="preserve">public </w:t>
      </w:r>
      <w:r w:rsidRPr="00887BC2">
        <w:t>authorities</w:t>
      </w:r>
      <w:r w:rsidR="00FD3693" w:rsidRPr="00887BC2">
        <w:t xml:space="preserve"> </w:t>
      </w:r>
      <w:r w:rsidR="00FD3693" w:rsidRPr="00D00E84">
        <w:t xml:space="preserve">involved </w:t>
      </w:r>
      <w:r w:rsidR="00FD3693" w:rsidRPr="00887BC2">
        <w:t xml:space="preserve">in </w:t>
      </w:r>
      <w:r w:rsidR="00FD3693" w:rsidRPr="00D00E84">
        <w:t>the</w:t>
      </w:r>
      <w:r w:rsidR="00FD3693" w:rsidRPr="00887BC2">
        <w:t xml:space="preserve"> process</w:t>
      </w:r>
      <w:r>
        <w:t xml:space="preserve"> without any transparency or public participation. While such comprehensive preparatory procedures are perfectly in line with the Convention, they must not be used so as to exclude opportunities for members of the public to request environmental information or to participate in the </w:t>
      </w:r>
      <w:r w:rsidR="00365F69">
        <w:t>preparation by executive bodies of legislation to be adopted by national parliaments</w:t>
      </w:r>
      <w:r>
        <w:t xml:space="preserve">. </w:t>
      </w:r>
      <w:r w:rsidR="00FD3693">
        <w:t>Finally, t</w:t>
      </w:r>
      <w:r w:rsidRPr="00D00E84">
        <w:rPr>
          <w:lang w:val="en-US"/>
        </w:rPr>
        <w:t>he</w:t>
      </w:r>
      <w:r w:rsidRPr="00887BC2">
        <w:rPr>
          <w:lang w:val="en-US"/>
        </w:rPr>
        <w:t xml:space="preserve"> understanding of “acting in legislative capacity” as not including executive bodies in the preparatory proceedings when drafting legislation to be adopted by the national parliament, is in line with the 11</w:t>
      </w:r>
      <w:r w:rsidRPr="00887BC2">
        <w:rPr>
          <w:vertAlign w:val="superscript"/>
          <w:lang w:val="en-US"/>
        </w:rPr>
        <w:t>th</w:t>
      </w:r>
      <w:r w:rsidRPr="00887BC2">
        <w:rPr>
          <w:lang w:val="en-US"/>
        </w:rPr>
        <w:t xml:space="preserve"> recital of the preamble of the Convention, whereby the parties invite the “legislative bodies to implement the principles of this Convention in their proceedings”.</w:t>
      </w:r>
      <w:r>
        <w:t xml:space="preserve"> </w:t>
      </w:r>
    </w:p>
    <w:p w14:paraId="575BD756" w14:textId="3D797D1D" w:rsidR="00FD418D" w:rsidRDefault="00FD418D" w:rsidP="00FD418D">
      <w:pPr>
        <w:pStyle w:val="SingleTxtG"/>
        <w:numPr>
          <w:ilvl w:val="0"/>
          <w:numId w:val="3"/>
        </w:numPr>
        <w:ind w:left="1094" w:right="1138" w:firstLine="0"/>
      </w:pPr>
      <w:r>
        <w:t xml:space="preserve">The Committee thus concludes that the reference to bodies and institutions acting in their legislative capacity does not exclude public authorities, including the government, when engaged in preparing the laws until the draft or proposal is submitted to the body or institution which adopts the legislation. </w:t>
      </w:r>
    </w:p>
    <w:p w14:paraId="7960DF59" w14:textId="6AB9E4AC" w:rsidR="00FD418D" w:rsidRDefault="00FD418D" w:rsidP="00FD418D">
      <w:pPr>
        <w:pStyle w:val="SingleTxtG"/>
        <w:ind w:left="1094" w:right="1138"/>
        <w:rPr>
          <w:i/>
          <w:iCs/>
        </w:rPr>
      </w:pPr>
      <w:r>
        <w:rPr>
          <w:i/>
          <w:iCs/>
        </w:rPr>
        <w:t>Concluding remarks on the applicability of article 8 to the preparation of legislation</w:t>
      </w:r>
    </w:p>
    <w:p w14:paraId="146542C2" w14:textId="5F5EFE4E" w:rsidR="00FD418D" w:rsidRDefault="00FD418D" w:rsidP="00FD418D">
      <w:pPr>
        <w:pStyle w:val="SingleTxtG"/>
        <w:numPr>
          <w:ilvl w:val="0"/>
          <w:numId w:val="3"/>
        </w:numPr>
        <w:ind w:left="1094" w:right="1138" w:firstLine="0"/>
      </w:pPr>
      <w:r>
        <w:t xml:space="preserve">Based on the above, the Committee considers that article 8 of the Convention applies also to the preparation of legislation by executive bodies to be adopted by national parliaments, and that public authorities, including governments, do not act in a legislative capacity when engaged in preparing the laws until the draft or proposal is submitted to the body or institution which adopts the legislation. </w:t>
      </w:r>
    </w:p>
    <w:p w14:paraId="0BBED5D6" w14:textId="77777777" w:rsidR="00FD418D" w:rsidRDefault="00FD418D" w:rsidP="00FD418D">
      <w:pPr>
        <w:pStyle w:val="SingleTxtG"/>
        <w:numPr>
          <w:ilvl w:val="0"/>
          <w:numId w:val="3"/>
        </w:numPr>
        <w:ind w:left="1094" w:right="1138" w:firstLine="0"/>
      </w:pPr>
      <w:r>
        <w:t xml:space="preserve">The Committee thus confirms that in the present case, article 8 applied to the preparation of the draft Forestry Act by the Ministry of Agriculture and Rural Development </w:t>
      </w:r>
      <w:proofErr w:type="gramStart"/>
      <w:r>
        <w:t>and also</w:t>
      </w:r>
      <w:proofErr w:type="gramEnd"/>
      <w:r>
        <w:t xml:space="preserve"> during the subsequent stages of its preparation by the Legislative Council of the Government.</w:t>
      </w:r>
    </w:p>
    <w:p w14:paraId="331E1F8D" w14:textId="62CC0917" w:rsidR="00FD418D" w:rsidRDefault="00FD418D" w:rsidP="00FD418D">
      <w:pPr>
        <w:pStyle w:val="SingleTxtG"/>
        <w:numPr>
          <w:ilvl w:val="0"/>
          <w:numId w:val="3"/>
        </w:numPr>
        <w:ind w:left="1094" w:right="1138" w:firstLine="0"/>
      </w:pPr>
      <w:r>
        <w:t xml:space="preserve">In concluding that article 8 of the Convention applies also to the preparation of legislation by parliaments, the Committee notes that that article obliges to the Parties to “strive to promote effective public participation at an appropriate stage. This expresses an obligation of a somewhat “softer” nature than the obligations set out in article 6 and 7, meaning that the Parties must show that they make efforts to provide for public participation in the preparation of legislation and other generally applicable legally binding normative instruments. </w:t>
      </w:r>
      <w:r w:rsidRPr="0086743B">
        <w:t>In comparison with articles 6 and 7, article 8 gives the Parties a greater leeway in deciding how to live up to this obligation.</w:t>
      </w:r>
      <w:r>
        <w:t xml:space="preserve">   </w:t>
      </w:r>
    </w:p>
    <w:p w14:paraId="25AD2F87" w14:textId="77777777" w:rsidR="00FD418D" w:rsidRPr="0018711F" w:rsidRDefault="00FD418D" w:rsidP="00FD418D">
      <w:pPr>
        <w:pStyle w:val="SingleTxtG"/>
        <w:ind w:left="1094" w:right="1138"/>
        <w:rPr>
          <w:i/>
          <w:iCs/>
        </w:rPr>
      </w:pPr>
      <w:r w:rsidRPr="0018711F">
        <w:rPr>
          <w:i/>
          <w:iCs/>
        </w:rPr>
        <w:t xml:space="preserve">Result of the public participation shall be </w:t>
      </w:r>
      <w:proofErr w:type="gramStart"/>
      <w:r w:rsidRPr="0018711F">
        <w:rPr>
          <w:i/>
          <w:iCs/>
        </w:rPr>
        <w:t>taken into account</w:t>
      </w:r>
      <w:proofErr w:type="gramEnd"/>
      <w:r w:rsidRPr="0018711F">
        <w:rPr>
          <w:i/>
          <w:iCs/>
        </w:rPr>
        <w:t xml:space="preserve"> as far as possible</w:t>
      </w:r>
    </w:p>
    <w:p w14:paraId="00051694" w14:textId="77777777" w:rsidR="00FD418D" w:rsidRDefault="00FD418D" w:rsidP="00FD418D">
      <w:pPr>
        <w:pStyle w:val="SingleTxtG"/>
        <w:numPr>
          <w:ilvl w:val="0"/>
          <w:numId w:val="3"/>
        </w:numPr>
        <w:ind w:left="1094" w:right="1138" w:firstLine="0"/>
      </w:pPr>
      <w:r>
        <w:t xml:space="preserve">The communicant does not allege noncompliance with paragraphs (a)-(c) of article 8 concerning sufficient timeframes, the publication of draft rules or the public’s opportunity to comment. Rather, the essence of its claim would appear to relate to the final sentence of article 8 requiring that the result of the public participation shall be </w:t>
      </w:r>
      <w:proofErr w:type="gramStart"/>
      <w:r>
        <w:t>taken into account</w:t>
      </w:r>
      <w:proofErr w:type="gramEnd"/>
      <w:r>
        <w:t xml:space="preserve"> as far as possible.</w:t>
      </w:r>
    </w:p>
    <w:p w14:paraId="5E3FD8A5" w14:textId="77777777" w:rsidR="00FD418D" w:rsidRDefault="00FD418D" w:rsidP="00FD418D">
      <w:pPr>
        <w:pStyle w:val="SingleTxtG"/>
        <w:numPr>
          <w:ilvl w:val="0"/>
          <w:numId w:val="3"/>
        </w:numPr>
        <w:ind w:left="1094" w:right="1138" w:firstLine="0"/>
      </w:pPr>
      <w:bookmarkStart w:id="27" w:name="_Ref72874581"/>
      <w:r>
        <w:t xml:space="preserve">At the outset, the Committee welcomes the procedure set out in the Legislative Rules under which members of the public who have the support of more than 500 members of the public are entitled to have a meeting with the public authority that is preparing the draft legislation with a view to reach an </w:t>
      </w:r>
      <w:r w:rsidRPr="00C841CC">
        <w:t xml:space="preserve">agreed outcome regarding how to address the public’s </w:t>
      </w:r>
      <w:r w:rsidRPr="00617DE9">
        <w:t xml:space="preserve">collective </w:t>
      </w:r>
      <w:r w:rsidRPr="005B31A6">
        <w:t xml:space="preserve">comments. </w:t>
      </w:r>
      <w:r w:rsidRPr="00A11302">
        <w:t xml:space="preserve">The Committee also welcomes that, for comments received through the portal, the Legislative Rules require that the evaluation of the commenting procedure documents the text of each comment, whether each comment was an ordinary or essential comment, how the comment was taken into account and, for any essential comments, whether </w:t>
      </w:r>
      <w:r w:rsidRPr="00A11302">
        <w:lastRenderedPageBreak/>
        <w:t>a “contradiction” between those comments and the draft law as submitted in the package to the Legislative Council still persists.</w:t>
      </w:r>
      <w:bookmarkEnd w:id="27"/>
      <w:r>
        <w:t xml:space="preserve"> </w:t>
      </w:r>
    </w:p>
    <w:p w14:paraId="52672A94" w14:textId="77777777" w:rsidR="00FD418D" w:rsidRDefault="00FD418D" w:rsidP="00FD418D">
      <w:pPr>
        <w:pStyle w:val="SingleTxtG"/>
        <w:numPr>
          <w:ilvl w:val="0"/>
          <w:numId w:val="3"/>
        </w:numPr>
        <w:ind w:left="1094" w:right="1138" w:firstLine="0"/>
      </w:pPr>
      <w:r>
        <w:t>With respect to the requirement to ensure that due account is taken of the outcome of the public participation in article 6(8) of the Convention, in its findings on communication ACCC/C/2008/24 (Spain), the Committee held:</w:t>
      </w:r>
      <w:r>
        <w:rPr>
          <w:rStyle w:val="FootnoteReference"/>
        </w:rPr>
        <w:footnoteReference w:id="135"/>
      </w:r>
    </w:p>
    <w:p w14:paraId="5AD94209" w14:textId="4AB213B6" w:rsidR="00FD418D" w:rsidRDefault="00FD418D" w:rsidP="00FD418D">
      <w:pPr>
        <w:pStyle w:val="SingleTxtG"/>
        <w:ind w:left="1701" w:right="1138"/>
      </w:pPr>
      <w:r>
        <w:t>the obligation to take due account in the decision of the outcome of the public participation cannot be considered as a requirement to accept all comments, reservations or opinions submitted. However, while it is impossible to accept in substance all the comments submitted, which may often be conflicting, the relevant authority must still seriously consider all the comments received.</w:t>
      </w:r>
    </w:p>
    <w:p w14:paraId="5BC73E0A" w14:textId="77777777" w:rsidR="00FD418D" w:rsidRDefault="00FD418D" w:rsidP="00FD418D">
      <w:pPr>
        <w:pStyle w:val="SingleTxtG"/>
        <w:numPr>
          <w:ilvl w:val="0"/>
          <w:numId w:val="3"/>
        </w:numPr>
        <w:ind w:left="1094" w:right="1138" w:firstLine="0"/>
      </w:pPr>
      <w:r>
        <w:t xml:space="preserve">The Committee considers the above conclusion is also pertinent to the obligation in article 8 of the Convention that “the result of the public participation shall be taken into account as far as possible”. </w:t>
      </w:r>
    </w:p>
    <w:p w14:paraId="05A3FF9F" w14:textId="77777777" w:rsidR="00FD418D" w:rsidRDefault="00FD418D" w:rsidP="00FD418D">
      <w:pPr>
        <w:pStyle w:val="SingleTxtG"/>
        <w:numPr>
          <w:ilvl w:val="0"/>
          <w:numId w:val="3"/>
        </w:numPr>
        <w:ind w:left="1094" w:right="1138" w:firstLine="0"/>
      </w:pPr>
      <w:r>
        <w:t xml:space="preserve">In the present case, 13 out of Mr. </w:t>
      </w:r>
      <w:proofErr w:type="spellStart"/>
      <w:r>
        <w:t>Oruzinsky’s</w:t>
      </w:r>
      <w:proofErr w:type="spellEnd"/>
      <w:r>
        <w:t xml:space="preserve"> 17 collective comments were resolved during his contradictory negotiation meeting with the Ministry. Having read the contradictory negotiation report, the Committee considers that the report, together with the fact that 13 of his 17 comments were resolved during the negotiation, demonstrates that his comments were indeed seriously considered by the Ministry. The standard required by the final sentence of article 8 was thus met. </w:t>
      </w:r>
    </w:p>
    <w:p w14:paraId="7F921F25" w14:textId="6DA52E9E" w:rsidR="00FD418D" w:rsidRPr="00E67735" w:rsidRDefault="00FD418D" w:rsidP="00FD418D">
      <w:pPr>
        <w:pStyle w:val="SingleTxtG"/>
        <w:numPr>
          <w:ilvl w:val="0"/>
          <w:numId w:val="3"/>
        </w:numPr>
        <w:ind w:left="1094" w:right="1138" w:firstLine="0"/>
      </w:pPr>
      <w:r>
        <w:t>The</w:t>
      </w:r>
      <w:r w:rsidRPr="00D00E84">
        <w:t xml:space="preserve"> communicant</w:t>
      </w:r>
      <w:r>
        <w:t xml:space="preserve"> alleges </w:t>
      </w:r>
      <w:r w:rsidRPr="00D00E84">
        <w:t>that</w:t>
      </w:r>
      <w:r w:rsidRPr="00E67735">
        <w:t xml:space="preserve">, </w:t>
      </w:r>
      <w:proofErr w:type="gramStart"/>
      <w:r w:rsidRPr="00E67735">
        <w:t>subsequent to</w:t>
      </w:r>
      <w:proofErr w:type="gramEnd"/>
      <w:r w:rsidRPr="00E67735">
        <w:t xml:space="preserve"> the contradictory negotiation report, the text of article 30(3) was changed from that agreed </w:t>
      </w:r>
      <w:r>
        <w:t xml:space="preserve">between </w:t>
      </w:r>
      <w:r w:rsidRPr="00E67735">
        <w:t xml:space="preserve">Mr. </w:t>
      </w:r>
      <w:proofErr w:type="spellStart"/>
      <w:r w:rsidRPr="00E67735">
        <w:t>Oruzinsky</w:t>
      </w:r>
      <w:proofErr w:type="spellEnd"/>
      <w:r>
        <w:t xml:space="preserve"> and the Ministry. While it accepts that draft article 30(3) was later amended, </w:t>
      </w:r>
      <w:r w:rsidRPr="00D00E84">
        <w:t xml:space="preserve">the Party concerned </w:t>
      </w:r>
      <w:r>
        <w:t>submits</w:t>
      </w:r>
      <w:r w:rsidRPr="00D00E84">
        <w:t xml:space="preserve"> that </w:t>
      </w:r>
      <w:r>
        <w:t xml:space="preserve">the </w:t>
      </w:r>
      <w:r w:rsidRPr="000473EF">
        <w:t xml:space="preserve">change was made by the Legislative Council </w:t>
      </w:r>
      <w:r>
        <w:t xml:space="preserve">prior to draft law’s submission to the Government and that </w:t>
      </w:r>
      <w:r w:rsidRPr="000473EF">
        <w:t xml:space="preserve">the text agreed with Mr. </w:t>
      </w:r>
      <w:proofErr w:type="spellStart"/>
      <w:r w:rsidRPr="000473EF">
        <w:t>Oruzinsky</w:t>
      </w:r>
      <w:proofErr w:type="spellEnd"/>
      <w:r w:rsidRPr="000473EF">
        <w:t xml:space="preserve"> was the version </w:t>
      </w:r>
      <w:r w:rsidR="00887BC2">
        <w:t>the Ministry</w:t>
      </w:r>
      <w:r w:rsidRPr="000473EF">
        <w:t xml:space="preserve"> submitted to the Legislative Council</w:t>
      </w:r>
      <w:r>
        <w:t xml:space="preserve">. The Committee notes that </w:t>
      </w:r>
      <w:r w:rsidR="00E329E8">
        <w:t xml:space="preserve">the </w:t>
      </w:r>
      <w:r>
        <w:t xml:space="preserve">communicant has not put any evidence before the Committee to show that this was not the case. In any event, </w:t>
      </w:r>
      <w:r w:rsidRPr="00E67735">
        <w:t xml:space="preserve">the fact that the text was later changed does not in itself amount to a breach of the requirement to </w:t>
      </w:r>
      <w:proofErr w:type="gramStart"/>
      <w:r w:rsidRPr="00E67735">
        <w:t>take into account</w:t>
      </w:r>
      <w:proofErr w:type="gramEnd"/>
      <w:r w:rsidRPr="00E67735">
        <w:t xml:space="preserve"> the result of the public participation as far as possible.</w:t>
      </w:r>
    </w:p>
    <w:p w14:paraId="23C1CAF9" w14:textId="77777777" w:rsidR="00FD418D" w:rsidRDefault="00FD418D" w:rsidP="00FD418D">
      <w:pPr>
        <w:pStyle w:val="SingleTxtG"/>
        <w:numPr>
          <w:ilvl w:val="0"/>
          <w:numId w:val="3"/>
        </w:numPr>
        <w:ind w:left="1094" w:right="1138" w:firstLine="0"/>
      </w:pPr>
      <w:r>
        <w:t>Based on the foregoing, the Committee does not find the Party concerned to be in noncompliance with article 8 of the Convention in the circumstances of this case.</w:t>
      </w:r>
    </w:p>
    <w:p w14:paraId="49361886" w14:textId="77777777" w:rsidR="00FD418D" w:rsidRDefault="00FD418D" w:rsidP="00FD418D">
      <w:pPr>
        <w:pStyle w:val="SingleTxtG"/>
        <w:ind w:left="1094" w:right="1138"/>
        <w:rPr>
          <w:b/>
          <w:bCs/>
        </w:rPr>
      </w:pPr>
    </w:p>
    <w:p w14:paraId="7B33049A" w14:textId="6643B214" w:rsidR="00FD418D" w:rsidRDefault="00FD418D" w:rsidP="00FD418D">
      <w:pPr>
        <w:pStyle w:val="SingleTxtG"/>
        <w:ind w:left="1094" w:right="1138"/>
        <w:rPr>
          <w:b/>
          <w:bCs/>
        </w:rPr>
      </w:pPr>
      <w:r w:rsidRPr="007E2A48">
        <w:rPr>
          <w:b/>
          <w:bCs/>
        </w:rPr>
        <w:t xml:space="preserve">Article 3(1) </w:t>
      </w:r>
      <w:proofErr w:type="gramStart"/>
      <w:r>
        <w:rPr>
          <w:b/>
          <w:bCs/>
        </w:rPr>
        <w:t>with regard to</w:t>
      </w:r>
      <w:proofErr w:type="gramEnd"/>
      <w:r>
        <w:rPr>
          <w:b/>
          <w:bCs/>
        </w:rPr>
        <w:t xml:space="preserve"> the implementation of article 8</w:t>
      </w:r>
    </w:p>
    <w:p w14:paraId="6F447304" w14:textId="4E1388E0" w:rsidR="00FD418D" w:rsidRPr="00DD7448" w:rsidRDefault="00FD418D" w:rsidP="00FD418D">
      <w:pPr>
        <w:pStyle w:val="SingleTxtG"/>
        <w:ind w:left="1094" w:right="1138"/>
        <w:rPr>
          <w:i/>
          <w:iCs/>
        </w:rPr>
      </w:pPr>
      <w:r>
        <w:rPr>
          <w:i/>
          <w:iCs/>
        </w:rPr>
        <w:t xml:space="preserve">Clear, </w:t>
      </w:r>
      <w:proofErr w:type="gramStart"/>
      <w:r>
        <w:rPr>
          <w:i/>
          <w:iCs/>
        </w:rPr>
        <w:t>t</w:t>
      </w:r>
      <w:r w:rsidRPr="00DD7448">
        <w:rPr>
          <w:i/>
          <w:iCs/>
        </w:rPr>
        <w:t>ransparent</w:t>
      </w:r>
      <w:proofErr w:type="gramEnd"/>
      <w:r w:rsidRPr="00DD7448">
        <w:rPr>
          <w:i/>
          <w:iCs/>
        </w:rPr>
        <w:t xml:space="preserve"> and consistent framework </w:t>
      </w:r>
    </w:p>
    <w:p w14:paraId="23F3BB7E" w14:textId="61D0E98C" w:rsidR="00FD418D" w:rsidRDefault="00FD418D" w:rsidP="00FD418D">
      <w:pPr>
        <w:pStyle w:val="SingleTxtG"/>
        <w:numPr>
          <w:ilvl w:val="0"/>
          <w:numId w:val="3"/>
        </w:numPr>
        <w:ind w:left="1094" w:right="1138" w:firstLine="0"/>
      </w:pPr>
      <w:r>
        <w:t xml:space="preserve">The requirement in article 3(1) of the Convention to establish and maintain a clear, </w:t>
      </w:r>
      <w:proofErr w:type="gramStart"/>
      <w:r>
        <w:t>transparent</w:t>
      </w:r>
      <w:proofErr w:type="gramEnd"/>
      <w:r>
        <w:t xml:space="preserve"> and consistent framework to implement the provisions of the Convention is fundamental to the Convention. As noted in paragraph </w:t>
      </w:r>
      <w:r>
        <w:fldChar w:fldCharType="begin"/>
      </w:r>
      <w:r>
        <w:instrText xml:space="preserve"> REF _Ref72874581 \r \h </w:instrText>
      </w:r>
      <w:r>
        <w:fldChar w:fldCharType="separate"/>
      </w:r>
      <w:r w:rsidR="0029016F">
        <w:t>106</w:t>
      </w:r>
      <w:r>
        <w:fldChar w:fldCharType="end"/>
      </w:r>
      <w:r>
        <w:t xml:space="preserve"> above, the Committee considers that the procedure established by the Legislative Rules of the Party concerned, through which the public may participate in the preparation of draft legislation, is very advanced in several respects. However, the</w:t>
      </w:r>
      <w:r w:rsidRPr="00D00E84">
        <w:rPr>
          <w:lang w:val="en-US"/>
        </w:rPr>
        <w:t xml:space="preserve"> </w:t>
      </w:r>
      <w:r w:rsidRPr="00810CB2">
        <w:rPr>
          <w:lang w:val="en-US"/>
        </w:rPr>
        <w:t>Committee notes</w:t>
      </w:r>
      <w:r>
        <w:t xml:space="preserve"> that, contrary </w:t>
      </w:r>
      <w:proofErr w:type="gramStart"/>
      <w:r>
        <w:t>to  the</w:t>
      </w:r>
      <w:proofErr w:type="gramEnd"/>
      <w:r>
        <w:t xml:space="preserve"> comments on draft legislation submitted through the portal, comments on draft legislation submitted by email or in paper form are not included in the </w:t>
      </w:r>
      <w:r w:rsidRPr="0015635A">
        <w:t>evaluati</w:t>
      </w:r>
      <w:r w:rsidRPr="00D00E84">
        <w:t>on of</w:t>
      </w:r>
      <w:r w:rsidRPr="0015635A">
        <w:t xml:space="preserve"> the commenting process.</w:t>
      </w:r>
    </w:p>
    <w:p w14:paraId="586C84EC" w14:textId="38481ADF" w:rsidR="00FD418D" w:rsidRDefault="00FD418D" w:rsidP="00FD418D">
      <w:pPr>
        <w:pStyle w:val="SingleTxtG"/>
        <w:numPr>
          <w:ilvl w:val="0"/>
          <w:numId w:val="3"/>
        </w:numPr>
        <w:ind w:left="1094" w:right="1138" w:firstLine="0"/>
      </w:pPr>
      <w:r>
        <w:t xml:space="preserve">Since the comments submitted by email or in paper form are not included in the evaluation of the commenting procedure there is no public record of those comments. In the present case, Mr. </w:t>
      </w:r>
      <w:proofErr w:type="spellStart"/>
      <w:r>
        <w:t>Oruzinsky’s</w:t>
      </w:r>
      <w:proofErr w:type="spellEnd"/>
      <w:r>
        <w:t xml:space="preserve"> collective comments were supported by 9062 other members of the public. However, that information does not exist anywhere in the public record. In contrast, comments received from single individuals, with no other public support, are included in the evaluation of comments. This may lead to a situation where the results of the public participation are only partially reflected in the evaluation of comments.</w:t>
      </w:r>
    </w:p>
    <w:p w14:paraId="2CE55C24" w14:textId="1F9F1640" w:rsidR="00FD418D" w:rsidRDefault="00FD418D" w:rsidP="00FD418D">
      <w:pPr>
        <w:pStyle w:val="SingleTxtG"/>
        <w:numPr>
          <w:ilvl w:val="0"/>
          <w:numId w:val="3"/>
        </w:numPr>
        <w:ind w:left="1094" w:right="1138" w:firstLine="0"/>
      </w:pPr>
      <w:r>
        <w:lastRenderedPageBreak/>
        <w:t xml:space="preserve">While appreciating the efforts of the Party concerned to promote public participation in the preparation of legislation, the Committee is concerned about the fact that, contrary to comments submitted through the portal, </w:t>
      </w:r>
      <w:r w:rsidRPr="00810CB2">
        <w:t xml:space="preserve">comments </w:t>
      </w:r>
      <w:r>
        <w:t xml:space="preserve">submitted </w:t>
      </w:r>
      <w:r w:rsidRPr="00810CB2">
        <w:t xml:space="preserve">by email or in paper </w:t>
      </w:r>
      <w:r>
        <w:t xml:space="preserve">form are not included in the evaluation of the commenting procedure. The Committee </w:t>
      </w:r>
      <w:r w:rsidRPr="00887BC2">
        <w:t>notes that this could be easily resolved by amending</w:t>
      </w:r>
      <w:r>
        <w:t xml:space="preserve"> this anomalous aspect of the Legislative Rules. </w:t>
      </w:r>
    </w:p>
    <w:p w14:paraId="760CA2AC" w14:textId="218CD842" w:rsidR="00FD418D" w:rsidRPr="00FD3693" w:rsidRDefault="00FD418D" w:rsidP="00FD418D">
      <w:pPr>
        <w:pStyle w:val="SingleTxtG"/>
        <w:numPr>
          <w:ilvl w:val="0"/>
          <w:numId w:val="3"/>
        </w:numPr>
        <w:ind w:left="1094" w:right="1138" w:firstLine="0"/>
      </w:pPr>
      <w:r>
        <w:t xml:space="preserve">However, since the </w:t>
      </w:r>
      <w:r w:rsidRPr="00537C28">
        <w:rPr>
          <w:iCs/>
          <w:lang w:val="en-US"/>
        </w:rPr>
        <w:t xml:space="preserve">submitter of the draft legislation is still required under </w:t>
      </w:r>
      <w:r>
        <w:rPr>
          <w:iCs/>
          <w:lang w:val="en-US"/>
        </w:rPr>
        <w:t xml:space="preserve">article 14(9) </w:t>
      </w:r>
      <w:r w:rsidRPr="00537C28">
        <w:rPr>
          <w:iCs/>
          <w:lang w:val="en-US"/>
        </w:rPr>
        <w:t xml:space="preserve">of the </w:t>
      </w:r>
      <w:r>
        <w:rPr>
          <w:iCs/>
          <w:lang w:val="en-US"/>
        </w:rPr>
        <w:t>L</w:t>
      </w:r>
      <w:r w:rsidRPr="00537C28">
        <w:rPr>
          <w:iCs/>
          <w:lang w:val="en-US"/>
        </w:rPr>
        <w:t xml:space="preserve">egislative </w:t>
      </w:r>
      <w:r>
        <w:rPr>
          <w:iCs/>
          <w:lang w:val="en-US"/>
        </w:rPr>
        <w:t>R</w:t>
      </w:r>
      <w:r w:rsidRPr="00537C28">
        <w:rPr>
          <w:iCs/>
          <w:lang w:val="en-US"/>
        </w:rPr>
        <w:t xml:space="preserve">ules to </w:t>
      </w:r>
      <w:r>
        <w:rPr>
          <w:iCs/>
          <w:lang w:val="en-US"/>
        </w:rPr>
        <w:t xml:space="preserve">take comments submitted by email or in paper form into account, and since </w:t>
      </w:r>
      <w:r>
        <w:t>the different treatment of comments submitted in paper form or by email as opposed to through the porta</w:t>
      </w:r>
      <w:r w:rsidRPr="00FD3693">
        <w:t xml:space="preserve">l is explicitly stated in the Legislative Rules, the Committee </w:t>
      </w:r>
      <w:r w:rsidRPr="00887BC2">
        <w:t xml:space="preserve">does not </w:t>
      </w:r>
      <w:r w:rsidRPr="00304C12">
        <w:t xml:space="preserve">go so far as to find the Party concerned in non-compliance with the requirement in article 3(1) to establish and </w:t>
      </w:r>
      <w:r w:rsidRPr="00887BC2">
        <w:t>maintain a clear, transparent and consistent framework to implement article 8 of the Convention</w:t>
      </w:r>
      <w:r w:rsidR="00887BC2">
        <w:t>.</w:t>
      </w:r>
      <w:r w:rsidRPr="00FD3693">
        <w:t xml:space="preserve"> </w:t>
      </w:r>
    </w:p>
    <w:p w14:paraId="1A09BE6A" w14:textId="77777777" w:rsidR="00FD418D" w:rsidRPr="00DD7448" w:rsidRDefault="00FD418D" w:rsidP="00FD418D">
      <w:pPr>
        <w:pStyle w:val="SingleTxtG"/>
        <w:ind w:left="1094" w:right="1138"/>
        <w:rPr>
          <w:i/>
          <w:iCs/>
        </w:rPr>
      </w:pPr>
      <w:r w:rsidRPr="00DD7448">
        <w:rPr>
          <w:i/>
          <w:iCs/>
        </w:rPr>
        <w:t xml:space="preserve">Non-binding nature of the Legislative Rules </w:t>
      </w:r>
    </w:p>
    <w:p w14:paraId="02DAB3E4" w14:textId="77777777" w:rsidR="00FD418D" w:rsidRDefault="00FD418D" w:rsidP="00FD418D">
      <w:pPr>
        <w:pStyle w:val="SingleTxtG"/>
        <w:numPr>
          <w:ilvl w:val="0"/>
          <w:numId w:val="3"/>
        </w:numPr>
        <w:ind w:left="1094" w:right="1138" w:firstLine="0"/>
      </w:pPr>
      <w:r>
        <w:t xml:space="preserve">Article 3(1) of the Convention requires Parties inter alia to have “proper enforcement mechanisms” to establish and maintain a clear, </w:t>
      </w:r>
      <w:proofErr w:type="gramStart"/>
      <w:r>
        <w:t>transparent</w:t>
      </w:r>
      <w:proofErr w:type="gramEnd"/>
      <w:r>
        <w:t xml:space="preserve"> and consistent framework to implement the Convention’s provisions. The communicant alleges that the fact that the legislative rules are non-binding does not meet the requirements of the Convention since the legislative rules are accordingly not enforceable.</w:t>
      </w:r>
      <w:r>
        <w:rPr>
          <w:rStyle w:val="FootnoteReference"/>
        </w:rPr>
        <w:footnoteReference w:id="136"/>
      </w:r>
      <w:r>
        <w:t xml:space="preserve">  The Committee points out that, so long as the measures in place in the Party concerned ensure that the requirements of article 8 are fully met in practice, there is no express requirement in the Convention that those measures are enshrined in a legally binding form. </w:t>
      </w:r>
    </w:p>
    <w:p w14:paraId="1B33DAF7" w14:textId="49AE63DD" w:rsidR="00FD418D" w:rsidRDefault="00FD418D" w:rsidP="00FD418D">
      <w:pPr>
        <w:pStyle w:val="SingleTxtG"/>
        <w:numPr>
          <w:ilvl w:val="0"/>
          <w:numId w:val="3"/>
        </w:numPr>
        <w:ind w:left="1094" w:right="1138" w:firstLine="0"/>
      </w:pPr>
      <w:r>
        <w:t>In the present case, the Constitutional Court assessed whether the requirements of article 8 of the Convention had themselves been met directly. In these circumstances, the Committee finds that the allegation that the non-binding nature of the Legislative Rules amounts to noncompliance with the Convention is not substantiated.</w:t>
      </w:r>
    </w:p>
    <w:p w14:paraId="2F6404DC" w14:textId="77777777" w:rsidR="00FD418D" w:rsidRDefault="00FD418D" w:rsidP="00FD418D">
      <w:pPr>
        <w:pStyle w:val="SingleTxtG"/>
        <w:ind w:left="1094" w:right="1138"/>
        <w:rPr>
          <w:b/>
          <w:bCs/>
        </w:rPr>
      </w:pPr>
    </w:p>
    <w:p w14:paraId="2B1B2F36" w14:textId="77777777" w:rsidR="00FD418D" w:rsidRPr="00505A42" w:rsidRDefault="00FD418D" w:rsidP="00FD418D">
      <w:pPr>
        <w:pStyle w:val="SingleTxtG"/>
        <w:ind w:left="1094" w:right="1138"/>
        <w:rPr>
          <w:b/>
          <w:bCs/>
        </w:rPr>
      </w:pPr>
      <w:r w:rsidRPr="00505A42">
        <w:rPr>
          <w:b/>
          <w:bCs/>
        </w:rPr>
        <w:t>Article 9(3)</w:t>
      </w:r>
    </w:p>
    <w:p w14:paraId="4CEEE270" w14:textId="77777777" w:rsidR="00FD418D" w:rsidRDefault="00FD418D" w:rsidP="00FD418D">
      <w:pPr>
        <w:pStyle w:val="SingleTxtG"/>
        <w:numPr>
          <w:ilvl w:val="0"/>
          <w:numId w:val="3"/>
        </w:numPr>
        <w:ind w:left="1094" w:right="1138" w:firstLine="0"/>
      </w:pPr>
      <w:r>
        <w:t>The communicant alleges that the fact that the legislative rules are non-binding means that there is no possibility to challenge a violation of the rights granted by article 8 before a court.</w:t>
      </w:r>
    </w:p>
    <w:p w14:paraId="0371C8E5" w14:textId="77777777" w:rsidR="00FD418D" w:rsidRDefault="00FD418D" w:rsidP="00FD418D">
      <w:pPr>
        <w:pStyle w:val="SingleTxtG"/>
        <w:numPr>
          <w:ilvl w:val="0"/>
          <w:numId w:val="3"/>
        </w:numPr>
        <w:ind w:left="1094" w:right="1138" w:firstLine="0"/>
      </w:pPr>
      <w:r>
        <w:t>In its submissions to the Committee, the Party concerned acknowledges that article 9(3) applies to alleged violations of article 8. It is evident from the judgment of the Constitutional Court that the Constitutional Court likewise accepts that article 9(3) applies to alleged violations of article 8.</w:t>
      </w:r>
    </w:p>
    <w:p w14:paraId="3F34A360" w14:textId="4F8BF8FA" w:rsidR="00FD418D" w:rsidRDefault="00FD418D" w:rsidP="00FD418D">
      <w:pPr>
        <w:pStyle w:val="SingleTxtG"/>
        <w:numPr>
          <w:ilvl w:val="0"/>
          <w:numId w:val="3"/>
        </w:numPr>
        <w:ind w:left="1094" w:right="1138" w:firstLine="0"/>
      </w:pPr>
      <w:r>
        <w:t>Article 9(3) requires that members of the public meeting the criteria, if any, laid down in national law have access to administrative or judicial procedures to challenge acts and omissions which contravene provisions of national law relating to the environment</w:t>
      </w:r>
      <w:r w:rsidRPr="00FD3693">
        <w:t xml:space="preserve">. </w:t>
      </w:r>
      <w:r w:rsidR="00FD3693" w:rsidRPr="00FD3693">
        <w:t>Obviously, this does not</w:t>
      </w:r>
      <w:r w:rsidRPr="00FD3693">
        <w:t xml:space="preserve"> mean </w:t>
      </w:r>
      <w:r w:rsidRPr="00887BC2">
        <w:t xml:space="preserve">that </w:t>
      </w:r>
      <w:r w:rsidR="00FD3693">
        <w:t>the</w:t>
      </w:r>
      <w:r w:rsidRPr="00FD3693">
        <w:t xml:space="preserve"> claim</w:t>
      </w:r>
      <w:r w:rsidR="00FD3693">
        <w:t>s</w:t>
      </w:r>
      <w:r w:rsidRPr="00FD3693">
        <w:t xml:space="preserve"> </w:t>
      </w:r>
      <w:r w:rsidR="00FD3693">
        <w:t>brought</w:t>
      </w:r>
      <w:r w:rsidR="00FD3693" w:rsidRPr="00887BC2">
        <w:t xml:space="preserve"> </w:t>
      </w:r>
      <w:r w:rsidRPr="00887BC2">
        <w:t>within the scope of article 9(3) must be successful</w:t>
      </w:r>
      <w:r>
        <w:t xml:space="preserve">. Rather, it requires that the reviewing body properly reviews the alleged contravention of national law to the standard required by article 9(3). </w:t>
      </w:r>
    </w:p>
    <w:p w14:paraId="616C7DD4" w14:textId="77777777" w:rsidR="00FD418D" w:rsidRDefault="00FD418D" w:rsidP="00FD418D">
      <w:pPr>
        <w:pStyle w:val="SingleTxtG"/>
        <w:numPr>
          <w:ilvl w:val="0"/>
          <w:numId w:val="3"/>
        </w:numPr>
        <w:ind w:left="1094" w:right="1138" w:firstLine="0"/>
      </w:pPr>
      <w:r>
        <w:t xml:space="preserve">While Mr. </w:t>
      </w:r>
      <w:proofErr w:type="spellStart"/>
      <w:r>
        <w:t>Oruzinsky’s</w:t>
      </w:r>
      <w:proofErr w:type="spellEnd"/>
      <w:r>
        <w:t xml:space="preserve"> claim under article 8 of the Convention did not succeed on its merits, it is evident that the Constitutional Court examined the events against the requirements of article 8 and concluded that the requirements of article 8 had been sufficiently met. In particular, the Constitutional Court in its judgment of 5 March 2014 held that:</w:t>
      </w:r>
    </w:p>
    <w:p w14:paraId="1A2413B2" w14:textId="77777777" w:rsidR="00FD418D" w:rsidRDefault="00FD418D" w:rsidP="00FD418D">
      <w:pPr>
        <w:pStyle w:val="SingleTxtG"/>
        <w:ind w:left="1701" w:right="1138"/>
      </w:pPr>
      <w:r>
        <w:t>“</w:t>
      </w:r>
      <w:r w:rsidRPr="00EC3A58">
        <w:t xml:space="preserve">From the above, it is clear that the minimum procedural requirements for respecting the public right arising from Art. 8 of the Aarhus Convention is the provision of sufficient, and/or reasonable opportunities to comment on the generally binding legislation draft, both in terms of time and the scope of accessibility of the content of the proposed generally binding legislation to the public, as well as taking into account </w:t>
      </w:r>
      <w:r w:rsidRPr="00EC3A58">
        <w:lastRenderedPageBreak/>
        <w:t xml:space="preserve">the comments submitted to the public in the preparation of the generally binding legislation. </w:t>
      </w:r>
    </w:p>
    <w:p w14:paraId="751459CB" w14:textId="77777777" w:rsidR="00FD418D" w:rsidRDefault="00FD418D" w:rsidP="00FD418D">
      <w:pPr>
        <w:pStyle w:val="SingleTxtG"/>
        <w:ind w:left="1701" w:right="1138"/>
      </w:pPr>
      <w:r w:rsidRPr="00EC3A58">
        <w:t>In the above case, it is not disputed that the public was given sufficient time by the submitter to submit comments and that the public had full access to the submitted Forest Act draft and the opportunity to comment, and/or to submit their observations against that proposal.</w:t>
      </w:r>
    </w:p>
    <w:p w14:paraId="28C5C18D" w14:textId="77777777" w:rsidR="00FD418D" w:rsidRDefault="00FD418D" w:rsidP="00FD418D">
      <w:pPr>
        <w:pStyle w:val="SingleTxtG"/>
        <w:ind w:left="1701" w:right="1138"/>
      </w:pPr>
      <w:r w:rsidRPr="00EC3A58">
        <w:t xml:space="preserve">The essence of the complainants' objections is the fact that the fundamental comments of the public represented by the complainants were not sufficiently </w:t>
      </w:r>
      <w:proofErr w:type="gramStart"/>
      <w:r w:rsidRPr="00EC3A58">
        <w:t>taken into account</w:t>
      </w:r>
      <w:proofErr w:type="gramEnd"/>
      <w:r w:rsidRPr="00EC3A58">
        <w:t xml:space="preserve"> in the preparation of the Forest Act by the submitter and the Government.</w:t>
      </w:r>
    </w:p>
    <w:p w14:paraId="459EFAFD" w14:textId="77777777" w:rsidR="00FD418D" w:rsidRDefault="00FD418D" w:rsidP="00FD418D">
      <w:pPr>
        <w:pStyle w:val="SingleTxtG"/>
        <w:ind w:left="1701" w:right="1138"/>
      </w:pPr>
      <w:r>
        <w:t>…</w:t>
      </w:r>
    </w:p>
    <w:p w14:paraId="7F0FA1A9" w14:textId="77777777" w:rsidR="00FD418D" w:rsidRDefault="00FD418D" w:rsidP="00FD418D">
      <w:pPr>
        <w:pStyle w:val="SingleTxtG"/>
        <w:ind w:left="1701" w:right="1138"/>
      </w:pPr>
      <w:r w:rsidRPr="00EC3A58">
        <w:t>Requirement of Art. 8 of the Aarhus Convention to ensure that the results of public participation are duly taken into account is transposed within the Slovak legal system by providing the public with the opportunity to submit comments in which it expresses its opinion on the wording of the Act submitted by the submitter. An important provision in this regard is the obligation of the competent authority to carry out a dispute procedure, as well as to draw the attention of the government to the reasons for possible non-acceptance of fundamental comments, which approves the draft law prepared by the submitter by its resolution.</w:t>
      </w:r>
    </w:p>
    <w:p w14:paraId="15B9C3DD" w14:textId="77777777" w:rsidR="00FD418D" w:rsidRDefault="00FD418D" w:rsidP="00FD418D">
      <w:pPr>
        <w:pStyle w:val="SingleTxtG"/>
        <w:ind w:left="1701" w:right="1138"/>
      </w:pPr>
      <w:r>
        <w:t>…</w:t>
      </w:r>
    </w:p>
    <w:p w14:paraId="129BA551" w14:textId="77777777" w:rsidR="00FD418D" w:rsidRDefault="00FD418D" w:rsidP="00FD418D">
      <w:pPr>
        <w:pStyle w:val="SingleTxtG"/>
        <w:ind w:left="1701" w:right="1138"/>
      </w:pPr>
      <w:r w:rsidRPr="002B3084">
        <w:t xml:space="preserve">Although in the present case it can be stated that the procedure, especially of the submitter of the draft Forest Act, was not fully in accordance with the legislative rules, as in the material submitted to the Legislative Council and the Government insufficiently, and/or confusingly pointed to the persistent discrepancies in comments no. 2, 3, 12 and 15 and did not draw attention to the reformulated wording of Section 30 (3) of the Forest Act, which was originally established in another wording in the framework of a dispute procedure with a representative of the public. On the other hand, in the opinion of the Constitutional Court, the government is an executive body of state power, which is responsible for exercising its powers, it is responsible for the content of the submitted draft law, and therefore it cannot be denied the right, after reasonable consideration and/or independent consideration of the submitted comments, reject them, and/or not to accept them. </w:t>
      </w:r>
    </w:p>
    <w:p w14:paraId="7821D875" w14:textId="77777777" w:rsidR="00FD418D" w:rsidRPr="00FA053C" w:rsidRDefault="00FD418D" w:rsidP="00FD418D">
      <w:pPr>
        <w:pStyle w:val="SingleTxtG"/>
        <w:ind w:left="1701" w:right="1138"/>
      </w:pPr>
      <w:r w:rsidRPr="002B3084">
        <w:t>In the opinion of the Constitutional Court in the present motion, it cannot be concluded that the procedure of the submitter and the government was influenced by shortcomings of such intensity that it could be described as a procedure by which sufficient public information and consultative democracy wasn’t guaranteed and/or enabling public participation in the preparation of generally binding legislation. It follows from the content of the complainants' complaint that their aim was not only to submit comments in the process of drafting the Forest Act, but also to try to accept their fundamental comments, which is natural but, according to the Constitutional Court, the right to take comments in absolute form, and/or unconditional acceptance of comments from the public is not part of the right arising from Art. 8 of the Aarhus Convention.</w:t>
      </w:r>
      <w:r>
        <w:rPr>
          <w:rStyle w:val="FootnoteReference"/>
        </w:rPr>
        <w:footnoteReference w:id="137"/>
      </w:r>
    </w:p>
    <w:p w14:paraId="4579FE02" w14:textId="77777777" w:rsidR="00FD418D" w:rsidRPr="00FA053C" w:rsidRDefault="00FD418D" w:rsidP="00FD418D">
      <w:pPr>
        <w:pStyle w:val="SingleTxtG"/>
        <w:numPr>
          <w:ilvl w:val="0"/>
          <w:numId w:val="3"/>
        </w:numPr>
        <w:ind w:left="1094" w:right="1138" w:firstLine="0"/>
      </w:pPr>
      <w:r>
        <w:t>In the light of the above, the Committee considers that the Constitutional Court, in its judgment of 5 March 2014, did provide access to justice as required by article 9(3) of the Convention. The Committee thus does not find the Party concerned to be in noncompliance with article 9(3) in the circumstances of this case.</w:t>
      </w:r>
    </w:p>
    <w:p w14:paraId="74127627" w14:textId="77777777" w:rsidR="00FD418D" w:rsidRPr="00FA053C" w:rsidRDefault="00FD418D" w:rsidP="00FD418D">
      <w:pPr>
        <w:spacing w:after="120"/>
        <w:ind w:right="1134"/>
        <w:jc w:val="both"/>
        <w:rPr>
          <w:i/>
        </w:rPr>
      </w:pPr>
    </w:p>
    <w:p w14:paraId="034BB7CC" w14:textId="77777777" w:rsidR="00FD418D" w:rsidRDefault="00FD418D" w:rsidP="00FD418D">
      <w:pPr>
        <w:pStyle w:val="SingleTxtG"/>
        <w:ind w:left="1094" w:right="1138"/>
        <w:rPr>
          <w:b/>
          <w:sz w:val="28"/>
        </w:rPr>
      </w:pPr>
    </w:p>
    <w:p w14:paraId="0AD6C9E1" w14:textId="77777777" w:rsidR="00FD418D" w:rsidRPr="00FA053C" w:rsidRDefault="00FD418D" w:rsidP="00FD418D">
      <w:pPr>
        <w:pStyle w:val="SingleTxtG"/>
        <w:ind w:left="1094" w:right="1138"/>
      </w:pPr>
      <w:r w:rsidRPr="00FA053C">
        <w:rPr>
          <w:b/>
          <w:sz w:val="28"/>
        </w:rPr>
        <w:lastRenderedPageBreak/>
        <w:t>IV.</w:t>
      </w:r>
      <w:r w:rsidRPr="00FA053C">
        <w:rPr>
          <w:b/>
          <w:sz w:val="28"/>
        </w:rPr>
        <w:tab/>
        <w:t>Conclusions and recommendations</w:t>
      </w:r>
    </w:p>
    <w:p w14:paraId="32DF241C" w14:textId="0A486822" w:rsidR="00FD418D" w:rsidRDefault="00FD418D" w:rsidP="00FD418D">
      <w:pPr>
        <w:pStyle w:val="SingleTxtG"/>
        <w:numPr>
          <w:ilvl w:val="0"/>
          <w:numId w:val="3"/>
        </w:numPr>
        <w:ind w:left="1094" w:right="1138" w:firstLine="0"/>
      </w:pPr>
      <w:r>
        <w:t xml:space="preserve">Based on the above considerations, the Committee does not find the Party concerned to be in non-compliance with articles 8, 9 or 3(1) of the Convention in the circumstances of this case. </w:t>
      </w:r>
    </w:p>
    <w:p w14:paraId="473B2845" w14:textId="77777777" w:rsidR="00FD418D" w:rsidRPr="00FA053C" w:rsidRDefault="00FD418D" w:rsidP="00D00E84">
      <w:pPr>
        <w:pStyle w:val="SingleTxtG"/>
        <w:ind w:left="1094" w:right="1138"/>
      </w:pPr>
    </w:p>
    <w:p w14:paraId="4384AB8E" w14:textId="77777777" w:rsidR="00FD418D" w:rsidRPr="00E75AA8" w:rsidRDefault="00FD418D" w:rsidP="00FD418D">
      <w:pPr>
        <w:spacing w:after="120"/>
        <w:ind w:left="1100" w:right="1134" w:firstLine="340"/>
        <w:jc w:val="center"/>
      </w:pPr>
      <w:r w:rsidRPr="00FA053C">
        <w:t>_______________________</w:t>
      </w:r>
    </w:p>
    <w:bookmarkEnd w:id="24"/>
    <w:p w14:paraId="755FC902" w14:textId="77777777" w:rsidR="00F82A5E" w:rsidRDefault="00F82A5E" w:rsidP="007E2A48">
      <w:pPr>
        <w:pStyle w:val="SingleTxtG"/>
        <w:ind w:left="1094" w:right="1138"/>
        <w:rPr>
          <w:b/>
          <w:bCs/>
        </w:rPr>
      </w:pPr>
    </w:p>
    <w:sectPr w:rsidR="00F82A5E" w:rsidSect="00111231">
      <w:headerReference w:type="even" r:id="rId8"/>
      <w:headerReference w:type="default" r:id="rId9"/>
      <w:footerReference w:type="even" r:id="rId10"/>
      <w:footerReference w:type="default" r:id="rId11"/>
      <w:headerReference w:type="first" r:id="rId12"/>
      <w:footerReference w:type="first" r:id="rId13"/>
      <w:endnotePr>
        <w:numFmt w:val="decimal"/>
      </w:endnotePr>
      <w:pgSz w:w="11907" w:h="16840" w:code="9"/>
      <w:pgMar w:top="1701" w:right="1134" w:bottom="851" w:left="1134" w:header="1134" w:footer="103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62B85" w14:textId="77777777" w:rsidR="00E50756" w:rsidRDefault="00E50756"/>
  </w:endnote>
  <w:endnote w:type="continuationSeparator" w:id="0">
    <w:p w14:paraId="03480B81" w14:textId="77777777" w:rsidR="00E50756" w:rsidRDefault="00E50756"/>
  </w:endnote>
  <w:endnote w:type="continuationNotice" w:id="1">
    <w:p w14:paraId="2CDF05D6" w14:textId="77777777" w:rsidR="00E50756" w:rsidRDefault="00E507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roman"/>
    <w:pitch w:val="default"/>
  </w:font>
  <w:font w:name="MS Gothic">
    <w:altName w:val="ＭＳ ゴシック"/>
    <w:panose1 w:val="020B0609070205080204"/>
    <w:charset w:val="80"/>
    <w:family w:val="modern"/>
    <w:pitch w:val="fixed"/>
    <w:sig w:usb0="00000287" w:usb1="08070000" w:usb2="00000010" w:usb3="00000000" w:csb0="0002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00000001" w:usb1="08070000" w:usb2="00000010" w:usb3="00000000" w:csb0="00020000"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1F00EA" w14:textId="77777777" w:rsidR="00887BC2" w:rsidRPr="0023575C" w:rsidRDefault="00887BC2" w:rsidP="0023575C">
    <w:pPr>
      <w:pStyle w:val="Footer"/>
      <w:tabs>
        <w:tab w:val="right" w:pos="9638"/>
      </w:tabs>
      <w:rPr>
        <w:sz w:val="18"/>
      </w:rPr>
    </w:pP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10</w:t>
    </w:r>
    <w:r w:rsidRPr="0023575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1081E4" w14:textId="77777777" w:rsidR="00887BC2" w:rsidRPr="0023575C" w:rsidRDefault="00887BC2" w:rsidP="0023575C">
    <w:pPr>
      <w:pStyle w:val="Footer"/>
      <w:tabs>
        <w:tab w:val="right" w:pos="9638"/>
      </w:tabs>
      <w:rPr>
        <w:b/>
        <w:sz w:val="18"/>
      </w:rPr>
    </w:pPr>
    <w:r>
      <w:tab/>
    </w:r>
    <w:r w:rsidRPr="0023575C">
      <w:rPr>
        <w:b/>
        <w:sz w:val="18"/>
      </w:rPr>
      <w:fldChar w:fldCharType="begin"/>
    </w:r>
    <w:r w:rsidRPr="0023575C">
      <w:rPr>
        <w:b/>
        <w:sz w:val="18"/>
      </w:rPr>
      <w:instrText xml:space="preserve"> PAGE  \* MERGEFORMAT </w:instrText>
    </w:r>
    <w:r w:rsidRPr="0023575C">
      <w:rPr>
        <w:b/>
        <w:sz w:val="18"/>
      </w:rPr>
      <w:fldChar w:fldCharType="separate"/>
    </w:r>
    <w:r>
      <w:rPr>
        <w:b/>
        <w:noProof/>
        <w:sz w:val="18"/>
      </w:rPr>
      <w:t>20</w:t>
    </w:r>
    <w:r w:rsidRPr="0023575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E119D8" w14:textId="651E50E8" w:rsidR="00887BC2" w:rsidRPr="0023575C" w:rsidRDefault="00887BC2">
    <w:pPr>
      <w:pStyle w:val="Footer"/>
      <w:rPr>
        <w:sz w:val="20"/>
      </w:rPr>
    </w:pPr>
    <w:r>
      <w:rPr>
        <w:noProof/>
        <w:lang w:val="sv-SE" w:eastAsia="sv-SE"/>
      </w:rPr>
      <w:drawing>
        <wp:anchor distT="0" distB="0" distL="114300" distR="114300" simplePos="0" relativeHeight="251657728" behindDoc="0" locked="1" layoutInCell="1" allowOverlap="1" wp14:anchorId="58C94F97" wp14:editId="06F0F61C">
          <wp:simplePos x="0" y="0"/>
          <wp:positionH relativeFrom="column">
            <wp:posOffset>5148580</wp:posOffset>
          </wp:positionH>
          <wp:positionV relativeFrom="paragraph">
            <wp:posOffset>-114935</wp:posOffset>
          </wp:positionV>
          <wp:extent cx="930275" cy="230505"/>
          <wp:effectExtent l="0" t="0" r="0" b="0"/>
          <wp:wrapNone/>
          <wp:docPr id="1" name="Bild 1" descr="recycle_Engl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Englis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0275" cy="230505"/>
                  </a:xfrm>
                  <a:prstGeom prst="rect">
                    <a:avLst/>
                  </a:prstGeom>
                  <a:noFill/>
                </pic:spPr>
              </pic:pic>
            </a:graphicData>
          </a:graphic>
          <wp14:sizeRelH relativeFrom="page">
            <wp14:pctWidth>0</wp14:pctWidth>
          </wp14:sizeRelH>
          <wp14:sizeRelV relativeFrom="page">
            <wp14:pctHeight>0</wp14:pctHeight>
          </wp14:sizeRelV>
        </wp:anchor>
      </w:drawing>
    </w:r>
    <w:r>
      <w:rPr>
        <w:sz w:val="20"/>
      </w:rPr>
      <w:t>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6013B2" w14:textId="77777777" w:rsidR="00E50756" w:rsidRPr="000B175B" w:rsidRDefault="00E50756" w:rsidP="000B175B">
      <w:pPr>
        <w:tabs>
          <w:tab w:val="right" w:pos="2155"/>
        </w:tabs>
        <w:spacing w:after="80"/>
        <w:ind w:left="680"/>
        <w:rPr>
          <w:u w:val="single"/>
        </w:rPr>
      </w:pPr>
      <w:r>
        <w:rPr>
          <w:u w:val="single"/>
        </w:rPr>
        <w:tab/>
      </w:r>
    </w:p>
  </w:footnote>
  <w:footnote w:type="continuationSeparator" w:id="0">
    <w:p w14:paraId="44ED980D" w14:textId="77777777" w:rsidR="00E50756" w:rsidRPr="00FC68B7" w:rsidRDefault="00E50756" w:rsidP="00FC68B7">
      <w:pPr>
        <w:tabs>
          <w:tab w:val="left" w:pos="2155"/>
        </w:tabs>
        <w:spacing w:after="80"/>
        <w:ind w:left="680"/>
        <w:rPr>
          <w:u w:val="single"/>
        </w:rPr>
      </w:pPr>
      <w:r>
        <w:rPr>
          <w:u w:val="single"/>
        </w:rPr>
        <w:tab/>
      </w:r>
    </w:p>
  </w:footnote>
  <w:footnote w:type="continuationNotice" w:id="1">
    <w:p w14:paraId="112D1E62" w14:textId="77777777" w:rsidR="00E50756" w:rsidRDefault="00E50756"/>
  </w:footnote>
  <w:footnote w:id="2">
    <w:p w14:paraId="3DFF4094" w14:textId="3FBD9C7B" w:rsidR="00887BC2" w:rsidRPr="00DB3577" w:rsidRDefault="00FB28D7" w:rsidP="00FB28D7">
      <w:pPr>
        <w:pStyle w:val="FootnoteText"/>
        <w:tabs>
          <w:tab w:val="clear" w:pos="1021"/>
          <w:tab w:val="left" w:pos="1134"/>
        </w:tabs>
        <w:ind w:left="1701" w:firstLine="0"/>
        <w:rPr>
          <w:szCs w:val="18"/>
        </w:rPr>
      </w:pPr>
      <w:r>
        <w:rPr>
          <w:szCs w:val="18"/>
        </w:rPr>
        <w:tab/>
      </w:r>
      <w:r w:rsidR="00887BC2" w:rsidRPr="00DB3577">
        <w:rPr>
          <w:rStyle w:val="FootnoteReference"/>
          <w:szCs w:val="18"/>
        </w:rPr>
        <w:footnoteRef/>
      </w:r>
      <w:r w:rsidR="00887BC2" w:rsidRPr="00DB3577">
        <w:rPr>
          <w:szCs w:val="18"/>
        </w:rPr>
        <w:t xml:space="preserve"> This section summarizes only the main facts, evidence and issues considered to be relevant to the question of compliance, as presented to and considered by the Committee.</w:t>
      </w:r>
    </w:p>
  </w:footnote>
  <w:footnote w:id="3">
    <w:p w14:paraId="045D36C0" w14:textId="77777777" w:rsidR="00887BC2" w:rsidRPr="00FA053C" w:rsidRDefault="00887BC2" w:rsidP="00FB28D7">
      <w:pPr>
        <w:pStyle w:val="FootnoteText"/>
        <w:tabs>
          <w:tab w:val="clear" w:pos="1021"/>
          <w:tab w:val="left" w:pos="1134"/>
          <w:tab w:val="right" w:pos="1701"/>
        </w:tabs>
        <w:ind w:firstLine="0"/>
      </w:pPr>
      <w:r w:rsidRPr="001E7211">
        <w:tab/>
      </w:r>
      <w:r w:rsidRPr="001E7211">
        <w:tab/>
      </w:r>
      <w:r>
        <w:rPr>
          <w:rStyle w:val="FootnoteReference"/>
        </w:rPr>
        <w:footnoteRef/>
      </w:r>
      <w:r w:rsidRPr="00FA053C">
        <w:t xml:space="preserve"> Party’s response to the communication, p. </w:t>
      </w:r>
      <w:r>
        <w:t>13</w:t>
      </w:r>
      <w:r w:rsidRPr="00FA053C">
        <w:t>.</w:t>
      </w:r>
    </w:p>
  </w:footnote>
  <w:footnote w:id="4">
    <w:p w14:paraId="070A1415" w14:textId="77777777" w:rsidR="00887BC2" w:rsidRPr="00AE14DE" w:rsidRDefault="00887BC2" w:rsidP="00FB28D7">
      <w:pPr>
        <w:pStyle w:val="FootnoteText"/>
        <w:tabs>
          <w:tab w:val="clear" w:pos="1021"/>
          <w:tab w:val="left" w:pos="1134"/>
          <w:tab w:val="right" w:pos="1701"/>
        </w:tabs>
        <w:ind w:firstLine="0"/>
      </w:pPr>
      <w:r w:rsidRPr="00952955">
        <w:rPr>
          <w:lang w:val="en-US"/>
        </w:rPr>
        <w:tab/>
      </w:r>
      <w:r w:rsidRPr="00952955">
        <w:rPr>
          <w:lang w:val="en-US"/>
        </w:rPr>
        <w:tab/>
      </w:r>
      <w:r>
        <w:rPr>
          <w:rStyle w:val="FootnoteReference"/>
        </w:rPr>
        <w:footnoteRef/>
      </w:r>
      <w:r w:rsidRPr="00AE14DE">
        <w:t xml:space="preserve"> Party’s response to the communication, p</w:t>
      </w:r>
      <w:r>
        <w:t>p</w:t>
      </w:r>
      <w:r w:rsidRPr="00AE14DE">
        <w:t xml:space="preserve">. </w:t>
      </w:r>
      <w:r>
        <w:t>13-14</w:t>
      </w:r>
      <w:r w:rsidRPr="00AE14DE">
        <w:t>.</w:t>
      </w:r>
    </w:p>
  </w:footnote>
  <w:footnote w:id="5">
    <w:p w14:paraId="28B1232D" w14:textId="77777777" w:rsidR="00887BC2" w:rsidRPr="00F65D19" w:rsidRDefault="00887BC2" w:rsidP="00FB28D7">
      <w:pPr>
        <w:pStyle w:val="FootnoteText"/>
        <w:tabs>
          <w:tab w:val="clear" w:pos="1021"/>
          <w:tab w:val="left" w:pos="1134"/>
          <w:tab w:val="right" w:pos="1701"/>
        </w:tabs>
        <w:ind w:firstLine="0"/>
        <w:rPr>
          <w:lang w:val="fr-CH"/>
        </w:rPr>
      </w:pPr>
      <w:r>
        <w:tab/>
      </w:r>
      <w:r>
        <w:tab/>
      </w:r>
      <w:r>
        <w:rPr>
          <w:rStyle w:val="FootnoteReference"/>
        </w:rPr>
        <w:footnoteRef/>
      </w:r>
      <w:r w:rsidRPr="00321CE1">
        <w:rPr>
          <w:lang w:val="fr-CH"/>
        </w:rPr>
        <w:t xml:space="preserve"> </w:t>
      </w:r>
      <w:r>
        <w:rPr>
          <w:lang w:val="fr-CH"/>
        </w:rPr>
        <w:t>Communication, p.</w:t>
      </w:r>
      <w:r w:rsidRPr="00321CE1">
        <w:rPr>
          <w:lang w:val="fr-CH"/>
        </w:rPr>
        <w:t xml:space="preserve"> 1.</w:t>
      </w:r>
    </w:p>
  </w:footnote>
  <w:footnote w:id="6">
    <w:p w14:paraId="2E9F3C02" w14:textId="77777777" w:rsidR="00887BC2" w:rsidRPr="00F65D19" w:rsidRDefault="00887BC2" w:rsidP="00FB28D7">
      <w:pPr>
        <w:pStyle w:val="FootnoteText"/>
        <w:tabs>
          <w:tab w:val="clear" w:pos="1021"/>
          <w:tab w:val="left" w:pos="1134"/>
          <w:tab w:val="right" w:pos="1701"/>
        </w:tabs>
        <w:ind w:firstLine="0"/>
        <w:rPr>
          <w:lang w:val="fr-CH"/>
        </w:rPr>
      </w:pPr>
      <w:r w:rsidRPr="00952955">
        <w:rPr>
          <w:lang w:val="fr-FR"/>
        </w:rPr>
        <w:tab/>
      </w:r>
      <w:r w:rsidRPr="00952955">
        <w:rPr>
          <w:lang w:val="fr-FR"/>
        </w:rPr>
        <w:tab/>
      </w:r>
      <w:r>
        <w:rPr>
          <w:rStyle w:val="FootnoteReference"/>
        </w:rPr>
        <w:footnoteRef/>
      </w:r>
      <w:r w:rsidRPr="00321CE1">
        <w:rPr>
          <w:lang w:val="fr-CH"/>
        </w:rPr>
        <w:t xml:space="preserve"> </w:t>
      </w:r>
      <w:r>
        <w:rPr>
          <w:lang w:val="fr-CH"/>
        </w:rPr>
        <w:t>Communication, p.</w:t>
      </w:r>
      <w:r w:rsidRPr="00321CE1">
        <w:rPr>
          <w:lang w:val="fr-CH"/>
        </w:rPr>
        <w:t xml:space="preserve"> 10.</w:t>
      </w:r>
    </w:p>
  </w:footnote>
  <w:footnote w:id="7">
    <w:p w14:paraId="2DCDD738" w14:textId="77777777" w:rsidR="00887BC2" w:rsidRPr="00F65D19" w:rsidRDefault="00887BC2" w:rsidP="00FB28D7">
      <w:pPr>
        <w:pStyle w:val="FootnoteText"/>
        <w:tabs>
          <w:tab w:val="clear" w:pos="1021"/>
          <w:tab w:val="left" w:pos="1134"/>
          <w:tab w:val="right" w:pos="1701"/>
        </w:tabs>
        <w:ind w:firstLine="0"/>
        <w:rPr>
          <w:lang w:val="fr-CH"/>
        </w:rPr>
      </w:pPr>
      <w:r w:rsidRPr="00952955">
        <w:rPr>
          <w:lang w:val="fr-FR"/>
        </w:rPr>
        <w:tab/>
      </w:r>
      <w:r w:rsidRPr="00952955">
        <w:rPr>
          <w:lang w:val="fr-FR"/>
        </w:rPr>
        <w:tab/>
      </w:r>
      <w:r>
        <w:rPr>
          <w:rStyle w:val="FootnoteReference"/>
        </w:rPr>
        <w:footnoteRef/>
      </w:r>
      <w:r w:rsidRPr="00321CE1">
        <w:rPr>
          <w:lang w:val="fr-CH"/>
        </w:rPr>
        <w:t xml:space="preserve"> </w:t>
      </w:r>
      <w:r>
        <w:rPr>
          <w:lang w:val="fr-CH"/>
        </w:rPr>
        <w:t>Communication, p.</w:t>
      </w:r>
      <w:r w:rsidRPr="00321CE1">
        <w:rPr>
          <w:lang w:val="fr-CH"/>
        </w:rPr>
        <w:t xml:space="preserve"> 10.</w:t>
      </w:r>
    </w:p>
  </w:footnote>
  <w:footnote w:id="8">
    <w:p w14:paraId="4CC6458D" w14:textId="77777777" w:rsidR="00887BC2" w:rsidRPr="00FA053C" w:rsidRDefault="00887BC2" w:rsidP="00FB28D7">
      <w:pPr>
        <w:pStyle w:val="FootnoteText"/>
        <w:tabs>
          <w:tab w:val="clear" w:pos="1021"/>
          <w:tab w:val="left" w:pos="1134"/>
          <w:tab w:val="right" w:pos="1701"/>
        </w:tabs>
        <w:ind w:firstLine="0"/>
      </w:pPr>
      <w:r w:rsidRPr="00952955">
        <w:rPr>
          <w:lang w:val="fr-FR"/>
        </w:rPr>
        <w:tab/>
      </w:r>
      <w:r w:rsidRPr="00952955">
        <w:rPr>
          <w:lang w:val="fr-FR"/>
        </w:rPr>
        <w:tab/>
      </w:r>
      <w:r>
        <w:rPr>
          <w:rStyle w:val="FootnoteReference"/>
        </w:rPr>
        <w:footnoteRef/>
      </w:r>
      <w:r w:rsidRPr="00FA053C">
        <w:t xml:space="preserve"> Party’s response to the communication, p. </w:t>
      </w:r>
      <w:r>
        <w:t>2</w:t>
      </w:r>
      <w:r w:rsidRPr="00FA053C">
        <w:t>.</w:t>
      </w:r>
    </w:p>
  </w:footnote>
  <w:footnote w:id="9">
    <w:p w14:paraId="6D6713A1"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 </w:t>
      </w:r>
      <w:r>
        <w:t>2</w:t>
      </w:r>
      <w:r w:rsidRPr="00AE14DE">
        <w:t>.</w:t>
      </w:r>
    </w:p>
  </w:footnote>
  <w:footnote w:id="10">
    <w:p w14:paraId="2668E66D"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 </w:t>
      </w:r>
      <w:r>
        <w:t>2</w:t>
      </w:r>
      <w:r w:rsidRPr="00AE14DE">
        <w:t>.</w:t>
      </w:r>
    </w:p>
  </w:footnote>
  <w:footnote w:id="11">
    <w:p w14:paraId="215C9C78"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 </w:t>
      </w:r>
      <w:r>
        <w:t>2</w:t>
      </w:r>
      <w:r w:rsidRPr="00AE14DE">
        <w:t>.</w:t>
      </w:r>
    </w:p>
  </w:footnote>
  <w:footnote w:id="12">
    <w:p w14:paraId="78EB7C42"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 </w:t>
      </w:r>
      <w:r>
        <w:t>2</w:t>
      </w:r>
      <w:r w:rsidRPr="00AE14DE">
        <w:t>.</w:t>
      </w:r>
    </w:p>
  </w:footnote>
  <w:footnote w:id="13">
    <w:p w14:paraId="7D0AF9EB"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w:t>
      </w:r>
      <w:r>
        <w:t xml:space="preserve">Communication, p. 5, and </w:t>
      </w:r>
      <w:r w:rsidRPr="00AE14DE">
        <w:t xml:space="preserve">Party’s response to the communication, p. </w:t>
      </w:r>
      <w:r>
        <w:t>2</w:t>
      </w:r>
      <w:r w:rsidRPr="00AE14DE">
        <w:t>.</w:t>
      </w:r>
    </w:p>
  </w:footnote>
  <w:footnote w:id="14">
    <w:p w14:paraId="292295A6"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opening statement, 28 September 2016</w:t>
      </w:r>
      <w:r>
        <w:t>, para. 3</w:t>
      </w:r>
      <w:r w:rsidRPr="00AE14DE">
        <w:t>.</w:t>
      </w:r>
    </w:p>
  </w:footnote>
  <w:footnote w:id="15">
    <w:p w14:paraId="2ED3BCB9"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opening statement, 28 September 2016</w:t>
      </w:r>
      <w:r>
        <w:t>, para. 3</w:t>
      </w:r>
      <w:r w:rsidRPr="00AE14DE">
        <w:t>.</w:t>
      </w:r>
    </w:p>
  </w:footnote>
  <w:footnote w:id="16">
    <w:p w14:paraId="0BFBE0A0"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 </w:t>
      </w:r>
      <w:r>
        <w:t>2</w:t>
      </w:r>
      <w:r w:rsidRPr="00AE14DE">
        <w:t>.</w:t>
      </w:r>
    </w:p>
  </w:footnote>
  <w:footnote w:id="17">
    <w:p w14:paraId="58E4FE50"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w:t>
      </w:r>
      <w:r>
        <w:t>. 6</w:t>
      </w:r>
      <w:r w:rsidRPr="00AE14DE">
        <w:t>.</w:t>
      </w:r>
    </w:p>
  </w:footnote>
  <w:footnote w:id="18">
    <w:p w14:paraId="63FD38FF"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w:t>
      </w:r>
      <w:r>
        <w:t>p. 2-3</w:t>
      </w:r>
      <w:r w:rsidRPr="00AE14DE">
        <w:t>.</w:t>
      </w:r>
    </w:p>
  </w:footnote>
  <w:footnote w:id="19">
    <w:p w14:paraId="04808B19"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w:t>
      </w:r>
      <w:r>
        <w:t>p. 2-3</w:t>
      </w:r>
      <w:r w:rsidRPr="00AE14DE">
        <w:t>.</w:t>
      </w:r>
    </w:p>
  </w:footnote>
  <w:footnote w:id="20">
    <w:p w14:paraId="5264E63E"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10</w:t>
      </w:r>
      <w:r w:rsidRPr="00AE14DE">
        <w:t>.</w:t>
      </w:r>
    </w:p>
  </w:footnote>
  <w:footnote w:id="21">
    <w:p w14:paraId="03E1C027"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10</w:t>
      </w:r>
      <w:r w:rsidRPr="00AE14DE">
        <w:t>.</w:t>
      </w:r>
    </w:p>
  </w:footnote>
  <w:footnote w:id="22">
    <w:p w14:paraId="069553AA"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10</w:t>
      </w:r>
      <w:r w:rsidRPr="00AE14DE">
        <w:t>.</w:t>
      </w:r>
    </w:p>
  </w:footnote>
  <w:footnote w:id="23">
    <w:p w14:paraId="29B75CC7"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w:t>
      </w:r>
      <w:r>
        <w:t>Communication, p. 10</w:t>
      </w:r>
      <w:r w:rsidRPr="00AE14DE">
        <w:t>.</w:t>
      </w:r>
    </w:p>
  </w:footnote>
  <w:footnote w:id="24">
    <w:p w14:paraId="7A6F04B9"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p</w:t>
      </w:r>
      <w:r>
        <w:t>. 7</w:t>
      </w:r>
      <w:r w:rsidRPr="00AE14DE">
        <w:t>.</w:t>
      </w:r>
    </w:p>
  </w:footnote>
  <w:footnote w:id="25">
    <w:p w14:paraId="10152386"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7</w:t>
      </w:r>
      <w:r w:rsidRPr="00AE14DE">
        <w:t>.</w:t>
      </w:r>
    </w:p>
  </w:footnote>
  <w:footnote w:id="26">
    <w:p w14:paraId="2B06FF9F"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opening statement, 29 September 2016, p. 4.</w:t>
      </w:r>
    </w:p>
  </w:footnote>
  <w:footnote w:id="27">
    <w:p w14:paraId="468935C7"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opening statement, 29 September 2016, p. 4.</w:t>
      </w:r>
    </w:p>
  </w:footnote>
  <w:footnote w:id="28">
    <w:p w14:paraId="5DDA93F8" w14:textId="6FB44DBE" w:rsidR="00887BC2" w:rsidRPr="00710A56" w:rsidRDefault="00887BC2" w:rsidP="00FB28D7">
      <w:pPr>
        <w:pStyle w:val="FootnoteText"/>
        <w:tabs>
          <w:tab w:val="clear" w:pos="1021"/>
          <w:tab w:val="left" w:pos="1134"/>
          <w:tab w:val="right" w:pos="1701"/>
        </w:tabs>
        <w:ind w:firstLine="0"/>
      </w:pPr>
      <w:r>
        <w:tab/>
      </w:r>
      <w:r>
        <w:tab/>
      </w:r>
      <w:r>
        <w:rPr>
          <w:rStyle w:val="FootnoteReference"/>
        </w:rPr>
        <w:footnoteRef/>
      </w:r>
      <w:r>
        <w:t xml:space="preserve"> Party’s reply to </w:t>
      </w:r>
      <w:r w:rsidR="00445225">
        <w:t xml:space="preserve">Committee’s </w:t>
      </w:r>
      <w:r>
        <w:t xml:space="preserve">questions, 18 May 2021, pp. 2-3. </w:t>
      </w:r>
    </w:p>
  </w:footnote>
  <w:footnote w:id="29">
    <w:p w14:paraId="3B85A504" w14:textId="273F4C10" w:rsidR="00887BC2" w:rsidRPr="00710A56" w:rsidRDefault="00887BC2" w:rsidP="00FB28D7">
      <w:pPr>
        <w:pStyle w:val="FootnoteText"/>
        <w:tabs>
          <w:tab w:val="clear" w:pos="1021"/>
          <w:tab w:val="left" w:pos="1134"/>
          <w:tab w:val="right" w:pos="1701"/>
        </w:tabs>
        <w:ind w:firstLine="0"/>
      </w:pPr>
      <w:r>
        <w:tab/>
      </w:r>
      <w:r>
        <w:tab/>
      </w:r>
      <w:r>
        <w:rPr>
          <w:rStyle w:val="FootnoteReference"/>
        </w:rPr>
        <w:footnoteRef/>
      </w:r>
      <w:r>
        <w:t xml:space="preserve"> Party’s reply to questions, 18 May 2021, p. 3.</w:t>
      </w:r>
    </w:p>
  </w:footnote>
  <w:footnote w:id="30">
    <w:p w14:paraId="18E0E3EB"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1">
    <w:p w14:paraId="069472EF"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2">
    <w:p w14:paraId="0809F605"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3">
    <w:p w14:paraId="012FE454"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4">
    <w:p w14:paraId="25571B12"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5">
    <w:p w14:paraId="19B64FFE" w14:textId="77777777" w:rsidR="00887BC2" w:rsidRPr="00AE14DE" w:rsidRDefault="00887BC2" w:rsidP="00FB28D7">
      <w:pPr>
        <w:pStyle w:val="FootnoteText"/>
        <w:tabs>
          <w:tab w:val="clear" w:pos="1021"/>
          <w:tab w:val="left" w:pos="1134"/>
          <w:tab w:val="right" w:pos="1701"/>
        </w:tabs>
        <w:ind w:firstLine="0"/>
      </w:pPr>
      <w:r>
        <w:tab/>
      </w:r>
      <w:r>
        <w:tab/>
      </w:r>
      <w:r>
        <w:rPr>
          <w:rStyle w:val="FootnoteReference"/>
        </w:rPr>
        <w:footnoteRef/>
      </w:r>
      <w:r w:rsidRPr="00AE14DE">
        <w:t xml:space="preserve"> Party’s response to the communication, </w:t>
      </w:r>
      <w:r>
        <w:t>p. 12</w:t>
      </w:r>
      <w:r w:rsidRPr="00AE14DE">
        <w:t>.</w:t>
      </w:r>
    </w:p>
  </w:footnote>
  <w:footnote w:id="36">
    <w:p w14:paraId="02278913" w14:textId="77777777" w:rsidR="00887BC2" w:rsidRPr="00952955" w:rsidRDefault="00887BC2" w:rsidP="00FB28D7">
      <w:pPr>
        <w:pStyle w:val="FootnoteText"/>
        <w:tabs>
          <w:tab w:val="clear" w:pos="1021"/>
          <w:tab w:val="left" w:pos="1134"/>
          <w:tab w:val="right" w:pos="1701"/>
        </w:tabs>
        <w:ind w:firstLine="0"/>
        <w:rPr>
          <w:lang w:val="fr-FR"/>
        </w:rPr>
      </w:pPr>
      <w:r>
        <w:tab/>
      </w:r>
      <w:r>
        <w:tab/>
      </w:r>
      <w:r>
        <w:rPr>
          <w:rStyle w:val="FootnoteReference"/>
        </w:rPr>
        <w:footnoteRef/>
      </w:r>
      <w:r w:rsidRPr="00952955">
        <w:rPr>
          <w:lang w:val="fr-FR"/>
        </w:rPr>
        <w:t xml:space="preserve"> Communication, p. 16.</w:t>
      </w:r>
    </w:p>
  </w:footnote>
  <w:footnote w:id="37">
    <w:p w14:paraId="41C245CD" w14:textId="77777777" w:rsidR="00887BC2" w:rsidRPr="00952955" w:rsidRDefault="00887BC2" w:rsidP="00FB28D7">
      <w:pPr>
        <w:pStyle w:val="FootnoteText"/>
        <w:tabs>
          <w:tab w:val="clear" w:pos="1021"/>
          <w:tab w:val="left" w:pos="1134"/>
          <w:tab w:val="right" w:pos="1701"/>
        </w:tabs>
        <w:ind w:firstLine="0"/>
        <w:rPr>
          <w:lang w:val="fr-FR"/>
        </w:rPr>
      </w:pPr>
      <w:r w:rsidRPr="00952955">
        <w:rPr>
          <w:lang w:val="fr-FR"/>
        </w:rPr>
        <w:tab/>
      </w:r>
      <w:r w:rsidRPr="00952955">
        <w:rPr>
          <w:lang w:val="fr-FR"/>
        </w:rPr>
        <w:tab/>
      </w:r>
      <w:r>
        <w:rPr>
          <w:rStyle w:val="FootnoteReference"/>
        </w:rPr>
        <w:footnoteRef/>
      </w:r>
      <w:r w:rsidRPr="00952955">
        <w:rPr>
          <w:lang w:val="fr-FR"/>
        </w:rPr>
        <w:t xml:space="preserve"> Communication, p. 16.</w:t>
      </w:r>
    </w:p>
  </w:footnote>
  <w:footnote w:id="38">
    <w:p w14:paraId="54FCABE4" w14:textId="5B3A8E65" w:rsidR="00887BC2" w:rsidRPr="00D4588A" w:rsidRDefault="00887BC2" w:rsidP="00FB28D7">
      <w:pPr>
        <w:pStyle w:val="FootnoteText"/>
        <w:tabs>
          <w:tab w:val="clear" w:pos="1021"/>
          <w:tab w:val="left" w:pos="1134"/>
          <w:tab w:val="right" w:pos="1701"/>
        </w:tabs>
        <w:ind w:firstLine="0"/>
        <w:rPr>
          <w:lang w:val="fr-CH"/>
        </w:rPr>
      </w:pPr>
      <w:r w:rsidRPr="00D4588A">
        <w:rPr>
          <w:lang w:val="fr-CH"/>
        </w:rPr>
        <w:tab/>
      </w:r>
      <w:r>
        <w:rPr>
          <w:rStyle w:val="FootnoteReference"/>
        </w:rPr>
        <w:footnoteRef/>
      </w:r>
      <w:r w:rsidRPr="00D4588A">
        <w:rPr>
          <w:lang w:val="fr-CH"/>
        </w:rPr>
        <w:t xml:space="preserve"> Communication, p. 16.</w:t>
      </w:r>
    </w:p>
  </w:footnote>
  <w:footnote w:id="39">
    <w:p w14:paraId="7C5B3DE4" w14:textId="72770653" w:rsidR="00887BC2" w:rsidRPr="001E7211" w:rsidRDefault="00887BC2" w:rsidP="00FB28D7">
      <w:pPr>
        <w:pStyle w:val="FootnoteText"/>
        <w:tabs>
          <w:tab w:val="clear" w:pos="1021"/>
          <w:tab w:val="left" w:pos="1134"/>
          <w:tab w:val="right" w:pos="1701"/>
        </w:tabs>
        <w:ind w:firstLine="0"/>
      </w:pPr>
      <w:r w:rsidRPr="00D4588A">
        <w:rPr>
          <w:lang w:val="fr-CH"/>
        </w:rPr>
        <w:tab/>
      </w:r>
      <w:r>
        <w:rPr>
          <w:rStyle w:val="FootnoteReference"/>
        </w:rPr>
        <w:footnoteRef/>
      </w:r>
      <w:r w:rsidRPr="001E7211">
        <w:t xml:space="preserve"> Communication, pp. 16-17.</w:t>
      </w:r>
    </w:p>
  </w:footnote>
  <w:footnote w:id="40">
    <w:p w14:paraId="53623B87" w14:textId="7A1D9CDF" w:rsidR="00887BC2" w:rsidRPr="004A4DBF" w:rsidRDefault="00887BC2" w:rsidP="00FB28D7">
      <w:pPr>
        <w:pStyle w:val="FootnoteText"/>
        <w:tabs>
          <w:tab w:val="clear" w:pos="1021"/>
          <w:tab w:val="left" w:pos="1134"/>
        </w:tabs>
        <w:ind w:firstLine="0"/>
      </w:pPr>
      <w:r w:rsidRPr="00FA053C">
        <w:tab/>
      </w:r>
      <w:r>
        <w:rPr>
          <w:rStyle w:val="FootnoteReference"/>
        </w:rPr>
        <w:footnoteRef/>
      </w:r>
      <w:r w:rsidRPr="004A4DBF">
        <w:t xml:space="preserve"> </w:t>
      </w:r>
      <w:r w:rsidRPr="00C4314A">
        <w:t>Communication, p.</w:t>
      </w:r>
      <w:r w:rsidRPr="00957F9B">
        <w:t xml:space="preserve"> </w:t>
      </w:r>
      <w:r>
        <w:t>3</w:t>
      </w:r>
      <w:r w:rsidRPr="00FA053C">
        <w:t xml:space="preserve">, </w:t>
      </w:r>
      <w:r>
        <w:t xml:space="preserve">Party’s response to the communication, p. 14, and </w:t>
      </w:r>
      <w:r w:rsidRPr="00FA053C">
        <w:t>Party’s opening statement, 28 September 2016, p</w:t>
      </w:r>
      <w:r>
        <w:t>ara. 2</w:t>
      </w:r>
      <w:r w:rsidRPr="004A4DBF">
        <w:t>.</w:t>
      </w:r>
    </w:p>
  </w:footnote>
  <w:footnote w:id="41">
    <w:p w14:paraId="7A9292DD" w14:textId="7075966D" w:rsidR="00887BC2" w:rsidRPr="004A4DBF" w:rsidRDefault="00887BC2" w:rsidP="00FB28D7">
      <w:pPr>
        <w:pStyle w:val="FootnoteText"/>
        <w:tabs>
          <w:tab w:val="clear" w:pos="1021"/>
          <w:tab w:val="left" w:pos="1134"/>
          <w:tab w:val="right" w:pos="1701"/>
        </w:tabs>
        <w:ind w:firstLine="0"/>
      </w:pPr>
      <w:r w:rsidRPr="00075506">
        <w:tab/>
      </w:r>
      <w:r>
        <w:rPr>
          <w:rStyle w:val="FootnoteReference"/>
        </w:rPr>
        <w:footnoteRef/>
      </w:r>
      <w:r w:rsidRPr="004A4DBF">
        <w:t xml:space="preserve"> </w:t>
      </w:r>
      <w:r>
        <w:t>Party’s response to the communication, p. 9</w:t>
      </w:r>
      <w:r w:rsidRPr="004A4DBF">
        <w:t>.</w:t>
      </w:r>
    </w:p>
  </w:footnote>
  <w:footnote w:id="42">
    <w:p w14:paraId="64192CE8" w14:textId="6A18B65A" w:rsidR="00887BC2" w:rsidRPr="00C4314A" w:rsidRDefault="00887BC2" w:rsidP="00FB28D7">
      <w:pPr>
        <w:pStyle w:val="FootnoteText"/>
        <w:tabs>
          <w:tab w:val="clear" w:pos="1021"/>
          <w:tab w:val="left" w:pos="1134"/>
          <w:tab w:val="right" w:pos="1701"/>
        </w:tabs>
        <w:ind w:firstLine="0"/>
      </w:pPr>
      <w:r w:rsidRPr="004A4DBF">
        <w:tab/>
      </w:r>
      <w:r>
        <w:rPr>
          <w:rStyle w:val="FootnoteReference"/>
        </w:rPr>
        <w:footnoteRef/>
      </w:r>
      <w:r w:rsidRPr="00C4314A">
        <w:t xml:space="preserve"> </w:t>
      </w:r>
      <w:r w:rsidRPr="00957F9B">
        <w:t>Communication, p.</w:t>
      </w:r>
      <w:r w:rsidRPr="00537C28">
        <w:t xml:space="preserve"> 2</w:t>
      </w:r>
      <w:r w:rsidRPr="00FA053C">
        <w:t>, Party’s response to the communication, pp. 2, 4-5, and 7</w:t>
      </w:r>
      <w:r w:rsidRPr="00C4314A">
        <w:t>.</w:t>
      </w:r>
    </w:p>
  </w:footnote>
  <w:footnote w:id="43">
    <w:p w14:paraId="34DCAD9A" w14:textId="5118841E" w:rsidR="00887BC2" w:rsidRPr="00952955" w:rsidRDefault="00887BC2" w:rsidP="00FB28D7">
      <w:pPr>
        <w:pStyle w:val="FootnoteText"/>
        <w:tabs>
          <w:tab w:val="clear" w:pos="1021"/>
          <w:tab w:val="left" w:pos="1134"/>
          <w:tab w:val="right" w:pos="1701"/>
        </w:tabs>
        <w:ind w:firstLine="0"/>
        <w:rPr>
          <w:lang w:val="fr-FR"/>
        </w:rPr>
      </w:pPr>
      <w:r w:rsidRPr="004A4DBF">
        <w:tab/>
      </w:r>
      <w:r>
        <w:rPr>
          <w:rStyle w:val="FootnoteReference"/>
        </w:rPr>
        <w:footnoteRef/>
      </w:r>
      <w:r w:rsidRPr="00952955">
        <w:rPr>
          <w:lang w:val="fr-FR"/>
        </w:rPr>
        <w:t xml:space="preserve"> Communication, p. 3.</w:t>
      </w:r>
    </w:p>
  </w:footnote>
  <w:footnote w:id="44">
    <w:p w14:paraId="10FCC750" w14:textId="2D9EB474" w:rsidR="00887BC2" w:rsidRPr="00952955" w:rsidRDefault="00887BC2" w:rsidP="00FB28D7">
      <w:pPr>
        <w:pStyle w:val="FootnoteText"/>
        <w:tabs>
          <w:tab w:val="clear" w:pos="1021"/>
          <w:tab w:val="left" w:pos="1134"/>
          <w:tab w:val="right" w:pos="1701"/>
        </w:tabs>
        <w:ind w:firstLine="0"/>
        <w:rPr>
          <w:lang w:val="fr-FR"/>
        </w:rPr>
      </w:pPr>
      <w:r w:rsidRPr="00952955">
        <w:rPr>
          <w:lang w:val="fr-FR"/>
        </w:rPr>
        <w:tab/>
      </w:r>
      <w:r>
        <w:rPr>
          <w:rStyle w:val="FootnoteReference"/>
        </w:rPr>
        <w:footnoteRef/>
      </w:r>
      <w:r w:rsidRPr="00952955">
        <w:rPr>
          <w:lang w:val="fr-FR"/>
        </w:rPr>
        <w:t xml:space="preserve"> Communication, p. 3.</w:t>
      </w:r>
    </w:p>
  </w:footnote>
  <w:footnote w:id="45">
    <w:p w14:paraId="4C76FDC9" w14:textId="3C7D8E4C" w:rsidR="00887BC2" w:rsidRPr="00952955" w:rsidRDefault="00887BC2" w:rsidP="00FB28D7">
      <w:pPr>
        <w:pStyle w:val="FootnoteText"/>
        <w:tabs>
          <w:tab w:val="clear" w:pos="1021"/>
          <w:tab w:val="left" w:pos="1134"/>
          <w:tab w:val="right" w:pos="1701"/>
        </w:tabs>
        <w:ind w:firstLine="0"/>
        <w:rPr>
          <w:lang w:val="fr-FR"/>
        </w:rPr>
      </w:pPr>
      <w:r w:rsidRPr="00952955">
        <w:rPr>
          <w:lang w:val="fr-FR"/>
        </w:rPr>
        <w:tab/>
      </w:r>
      <w:r>
        <w:rPr>
          <w:rStyle w:val="FootnoteReference"/>
        </w:rPr>
        <w:footnoteRef/>
      </w:r>
      <w:r w:rsidRPr="00952955">
        <w:rPr>
          <w:lang w:val="fr-FR"/>
        </w:rPr>
        <w:t xml:space="preserve"> Communication, p. 3.</w:t>
      </w:r>
    </w:p>
  </w:footnote>
  <w:footnote w:id="46">
    <w:p w14:paraId="0BF2EAEE" w14:textId="37C8D061" w:rsidR="00887BC2" w:rsidRPr="00FA053C" w:rsidRDefault="00887BC2" w:rsidP="00FB28D7">
      <w:pPr>
        <w:pStyle w:val="FootnoteText"/>
        <w:tabs>
          <w:tab w:val="clear" w:pos="1021"/>
          <w:tab w:val="left" w:pos="1134"/>
          <w:tab w:val="right" w:pos="1701"/>
        </w:tabs>
        <w:ind w:firstLine="0"/>
      </w:pPr>
      <w:r w:rsidRPr="00952955">
        <w:rPr>
          <w:lang w:val="fr-FR"/>
        </w:rPr>
        <w:tab/>
      </w:r>
      <w:r>
        <w:rPr>
          <w:rStyle w:val="FootnoteReference"/>
        </w:rPr>
        <w:footnoteRef/>
      </w:r>
      <w:r w:rsidRPr="00FA053C">
        <w:t xml:space="preserve"> Party’s response to the communication, p. </w:t>
      </w:r>
      <w:r>
        <w:t>3</w:t>
      </w:r>
      <w:r w:rsidRPr="00FA053C">
        <w:t>.</w:t>
      </w:r>
    </w:p>
  </w:footnote>
  <w:footnote w:id="47">
    <w:p w14:paraId="012B56F3" w14:textId="2DEED9C1" w:rsidR="00887BC2" w:rsidRPr="00FA053C" w:rsidRDefault="00887BC2" w:rsidP="00FB28D7">
      <w:pPr>
        <w:pStyle w:val="FootnoteText"/>
        <w:tabs>
          <w:tab w:val="clear" w:pos="1021"/>
          <w:tab w:val="left" w:pos="1134"/>
          <w:tab w:val="right" w:pos="1701"/>
        </w:tabs>
        <w:ind w:firstLine="0"/>
      </w:pPr>
      <w:r w:rsidRPr="004A4DBF">
        <w:tab/>
      </w:r>
      <w:r>
        <w:rPr>
          <w:rStyle w:val="FootnoteReference"/>
        </w:rPr>
        <w:footnoteRef/>
      </w:r>
      <w:r>
        <w:t xml:space="preserve"> Communication, p. 2, and </w:t>
      </w:r>
      <w:r w:rsidRPr="00FA053C">
        <w:t xml:space="preserve">Party’s response to the communication, </w:t>
      </w:r>
      <w:r>
        <w:t>p. 4, and annex 3</w:t>
      </w:r>
      <w:r w:rsidRPr="00FA053C">
        <w:t>.</w:t>
      </w:r>
    </w:p>
  </w:footnote>
  <w:footnote w:id="48">
    <w:p w14:paraId="76B35B60" w14:textId="3F2483A6" w:rsidR="00887BC2" w:rsidRPr="00C4314A" w:rsidRDefault="00887BC2" w:rsidP="00FB28D7">
      <w:pPr>
        <w:pStyle w:val="FootnoteText"/>
        <w:tabs>
          <w:tab w:val="clear" w:pos="1021"/>
          <w:tab w:val="left" w:pos="1134"/>
          <w:tab w:val="right" w:pos="1701"/>
        </w:tabs>
        <w:ind w:firstLine="0"/>
      </w:pPr>
      <w:r w:rsidRPr="00957F9B">
        <w:tab/>
      </w:r>
      <w:r>
        <w:rPr>
          <w:rStyle w:val="FootnoteReference"/>
        </w:rPr>
        <w:footnoteRef/>
      </w:r>
      <w:r w:rsidRPr="00C4314A">
        <w:t xml:space="preserve"> </w:t>
      </w:r>
      <w:r w:rsidRPr="00957F9B">
        <w:t>Communication, p. 3</w:t>
      </w:r>
      <w:r w:rsidRPr="00FA053C">
        <w:t xml:space="preserve">, and Party’s response to the communication, p. </w:t>
      </w:r>
      <w:r>
        <w:t>14</w:t>
      </w:r>
      <w:r w:rsidRPr="00C4314A">
        <w:t>.</w:t>
      </w:r>
    </w:p>
  </w:footnote>
  <w:footnote w:id="49">
    <w:p w14:paraId="59C56D6F" w14:textId="76DB5C88" w:rsidR="00887BC2" w:rsidRPr="00C4314A" w:rsidRDefault="00887BC2" w:rsidP="00FB28D7">
      <w:pPr>
        <w:pStyle w:val="FootnoteText"/>
        <w:tabs>
          <w:tab w:val="clear" w:pos="1021"/>
          <w:tab w:val="left" w:pos="1134"/>
          <w:tab w:val="right" w:pos="1701"/>
        </w:tabs>
        <w:ind w:firstLine="0"/>
      </w:pPr>
      <w:r w:rsidRPr="00C4314A">
        <w:tab/>
      </w:r>
      <w:r>
        <w:rPr>
          <w:rStyle w:val="FootnoteReference"/>
        </w:rPr>
        <w:footnoteRef/>
      </w:r>
      <w:r w:rsidRPr="00C4314A">
        <w:t xml:space="preserve"> </w:t>
      </w:r>
      <w:r w:rsidRPr="00957F9B">
        <w:t>Communication, p</w:t>
      </w:r>
      <w:r>
        <w:t>p</w:t>
      </w:r>
      <w:r w:rsidRPr="00C4314A">
        <w:t>.</w:t>
      </w:r>
      <w:r w:rsidRPr="00957F9B">
        <w:t xml:space="preserve"> 3</w:t>
      </w:r>
      <w:r>
        <w:t>-4</w:t>
      </w:r>
      <w:r w:rsidRPr="00FA053C">
        <w:t xml:space="preserve">, and Party’s response to the communication, p. </w:t>
      </w:r>
      <w:r>
        <w:t>14</w:t>
      </w:r>
      <w:r w:rsidRPr="00C4314A">
        <w:t>.</w:t>
      </w:r>
    </w:p>
  </w:footnote>
  <w:footnote w:id="50">
    <w:p w14:paraId="06040E93" w14:textId="5879B674" w:rsidR="00887BC2" w:rsidRPr="00075506" w:rsidRDefault="00887BC2" w:rsidP="00FB28D7">
      <w:pPr>
        <w:pStyle w:val="FootnoteText"/>
        <w:tabs>
          <w:tab w:val="clear" w:pos="1021"/>
          <w:tab w:val="left" w:pos="1134"/>
          <w:tab w:val="right" w:pos="1701"/>
        </w:tabs>
        <w:ind w:firstLine="0"/>
      </w:pPr>
      <w:r w:rsidRPr="00075506">
        <w:tab/>
      </w:r>
      <w:r>
        <w:rPr>
          <w:rStyle w:val="FootnoteReference"/>
        </w:rPr>
        <w:footnoteRef/>
      </w:r>
      <w:r w:rsidRPr="00075506">
        <w:t xml:space="preserve"> Communication, p</w:t>
      </w:r>
      <w:r>
        <w:t>. 6</w:t>
      </w:r>
      <w:r w:rsidRPr="00075506">
        <w:t xml:space="preserve">, and Party’s response to the communication, p. </w:t>
      </w:r>
      <w:r>
        <w:t>6</w:t>
      </w:r>
      <w:r w:rsidRPr="00075506">
        <w:t>.</w:t>
      </w:r>
    </w:p>
  </w:footnote>
  <w:footnote w:id="51">
    <w:p w14:paraId="64AFC94F"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Communication, p</w:t>
      </w:r>
      <w:r>
        <w:t>. 6</w:t>
      </w:r>
      <w:r w:rsidRPr="00075506">
        <w:t xml:space="preserve">, and Party’s response to the communication, p. </w:t>
      </w:r>
      <w:r>
        <w:t>6</w:t>
      </w:r>
      <w:r w:rsidRPr="00075506">
        <w:t>.</w:t>
      </w:r>
    </w:p>
  </w:footnote>
  <w:footnote w:id="52">
    <w:p w14:paraId="46CAC679"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Communication, p</w:t>
      </w:r>
      <w:r>
        <w:t>. 4</w:t>
      </w:r>
      <w:r w:rsidRPr="00075506">
        <w:t xml:space="preserve">, and Party’s response to the communication, p. </w:t>
      </w:r>
      <w:r>
        <w:t>6</w:t>
      </w:r>
      <w:r w:rsidRPr="00075506">
        <w:t>.</w:t>
      </w:r>
    </w:p>
  </w:footnote>
  <w:footnote w:id="53">
    <w:p w14:paraId="6C2CE393"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w:t>
      </w:r>
      <w:r>
        <w:t>Communication, p. 6</w:t>
      </w:r>
      <w:r w:rsidRPr="00075506">
        <w:t>.</w:t>
      </w:r>
    </w:p>
  </w:footnote>
  <w:footnote w:id="54">
    <w:p w14:paraId="11237385"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Party’s response to the communication, p. </w:t>
      </w:r>
      <w:r>
        <w:t>7, and annex 6</w:t>
      </w:r>
      <w:r w:rsidRPr="00075506">
        <w:t>.</w:t>
      </w:r>
    </w:p>
  </w:footnote>
  <w:footnote w:id="55">
    <w:p w14:paraId="18136533"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Party’s response to the communication, p. </w:t>
      </w:r>
      <w:r>
        <w:t>6</w:t>
      </w:r>
      <w:r w:rsidRPr="00075506">
        <w:t>.</w:t>
      </w:r>
    </w:p>
  </w:footnote>
  <w:footnote w:id="56">
    <w:p w14:paraId="3B1E0BA0"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Party’s response to the communication, p. </w:t>
      </w:r>
      <w:r>
        <w:t>7, and annex 6</w:t>
      </w:r>
      <w:r w:rsidRPr="00075506">
        <w:t>.</w:t>
      </w:r>
    </w:p>
  </w:footnote>
  <w:footnote w:id="57">
    <w:p w14:paraId="0AB0D883"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Party’s response to the communication, </w:t>
      </w:r>
      <w:r>
        <w:t>p. 6</w:t>
      </w:r>
      <w:r w:rsidRPr="00075506">
        <w:t>.</w:t>
      </w:r>
    </w:p>
  </w:footnote>
  <w:footnote w:id="58">
    <w:p w14:paraId="3D6ED5D5" w14:textId="77777777" w:rsidR="00887BC2" w:rsidRPr="00075506"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075506">
        <w:t xml:space="preserve"> Party’s response to the communication, </w:t>
      </w:r>
      <w:r>
        <w:t>p. 9</w:t>
      </w:r>
      <w:r w:rsidRPr="00075506">
        <w:t>.</w:t>
      </w:r>
    </w:p>
  </w:footnote>
  <w:footnote w:id="59">
    <w:p w14:paraId="600E27B7" w14:textId="77777777" w:rsidR="00887BC2" w:rsidRPr="00952955" w:rsidRDefault="00887BC2" w:rsidP="00FB28D7">
      <w:pPr>
        <w:pStyle w:val="FootnoteText"/>
        <w:tabs>
          <w:tab w:val="clear" w:pos="1021"/>
          <w:tab w:val="left" w:pos="1134"/>
          <w:tab w:val="right" w:pos="1701"/>
        </w:tabs>
        <w:ind w:firstLine="0"/>
        <w:rPr>
          <w:lang w:val="fr-FR"/>
        </w:rPr>
      </w:pPr>
      <w:r w:rsidRPr="00075506">
        <w:tab/>
      </w:r>
      <w:r w:rsidRPr="00075506">
        <w:tab/>
      </w:r>
      <w:r>
        <w:rPr>
          <w:rStyle w:val="FootnoteReference"/>
        </w:rPr>
        <w:footnoteRef/>
      </w:r>
      <w:r w:rsidRPr="00952955">
        <w:rPr>
          <w:lang w:val="fr-FR"/>
        </w:rPr>
        <w:t xml:space="preserve"> Communication, p. 6.</w:t>
      </w:r>
    </w:p>
  </w:footnote>
  <w:footnote w:id="60">
    <w:p w14:paraId="1A16816F" w14:textId="77777777" w:rsidR="00887BC2" w:rsidRPr="00295866" w:rsidRDefault="00887BC2" w:rsidP="00FB28D7">
      <w:pPr>
        <w:pStyle w:val="FootnoteText"/>
        <w:tabs>
          <w:tab w:val="clear" w:pos="1021"/>
          <w:tab w:val="left" w:pos="1134"/>
          <w:tab w:val="right" w:pos="1701"/>
        </w:tabs>
        <w:ind w:firstLine="0"/>
        <w:rPr>
          <w:lang w:val="fr-CH"/>
        </w:rPr>
      </w:pPr>
      <w:r w:rsidRPr="00295866">
        <w:rPr>
          <w:lang w:val="fr-CH"/>
        </w:rPr>
        <w:tab/>
      </w:r>
      <w:r w:rsidRPr="00295866">
        <w:rPr>
          <w:lang w:val="fr-CH"/>
        </w:rPr>
        <w:tab/>
      </w:r>
      <w:r>
        <w:rPr>
          <w:rStyle w:val="FootnoteReference"/>
        </w:rPr>
        <w:footnoteRef/>
      </w:r>
      <w:r w:rsidRPr="00295866">
        <w:rPr>
          <w:lang w:val="fr-CH"/>
        </w:rPr>
        <w:t xml:space="preserve"> Communication, p. 8.</w:t>
      </w:r>
    </w:p>
  </w:footnote>
  <w:footnote w:id="61">
    <w:p w14:paraId="6C702CA7" w14:textId="77777777" w:rsidR="00887BC2" w:rsidRPr="00295866" w:rsidRDefault="00887BC2" w:rsidP="00FB28D7">
      <w:pPr>
        <w:pStyle w:val="FootnoteText"/>
        <w:tabs>
          <w:tab w:val="clear" w:pos="1021"/>
          <w:tab w:val="left" w:pos="1134"/>
          <w:tab w:val="right" w:pos="1701"/>
        </w:tabs>
        <w:ind w:firstLine="0"/>
        <w:rPr>
          <w:lang w:val="fr-CH"/>
        </w:rPr>
      </w:pPr>
      <w:r w:rsidRPr="00295866">
        <w:rPr>
          <w:lang w:val="fr-CH"/>
        </w:rPr>
        <w:tab/>
      </w:r>
      <w:r w:rsidRPr="00295866">
        <w:rPr>
          <w:lang w:val="fr-CH"/>
        </w:rPr>
        <w:tab/>
      </w:r>
      <w:r>
        <w:rPr>
          <w:rStyle w:val="FootnoteReference"/>
        </w:rPr>
        <w:footnoteRef/>
      </w:r>
      <w:r w:rsidRPr="00295866">
        <w:rPr>
          <w:lang w:val="fr-CH"/>
        </w:rPr>
        <w:t xml:space="preserve"> Communication, p. 8.</w:t>
      </w:r>
    </w:p>
  </w:footnote>
  <w:footnote w:id="62">
    <w:p w14:paraId="266DFEC0" w14:textId="77777777" w:rsidR="00887BC2" w:rsidRPr="00952955" w:rsidRDefault="00887BC2" w:rsidP="00FB28D7">
      <w:pPr>
        <w:pStyle w:val="FootnoteText"/>
        <w:tabs>
          <w:tab w:val="clear" w:pos="1021"/>
          <w:tab w:val="left" w:pos="1134"/>
          <w:tab w:val="right" w:pos="1701"/>
        </w:tabs>
        <w:ind w:firstLine="0"/>
        <w:rPr>
          <w:lang w:val="en-US"/>
        </w:rPr>
      </w:pPr>
      <w:r w:rsidRPr="00FA053C">
        <w:rPr>
          <w:lang w:val="fr-CH"/>
        </w:rPr>
        <w:tab/>
      </w:r>
      <w:r w:rsidRPr="00FA053C">
        <w:rPr>
          <w:lang w:val="fr-CH"/>
        </w:rPr>
        <w:tab/>
      </w:r>
      <w:r>
        <w:rPr>
          <w:rStyle w:val="FootnoteReference"/>
        </w:rPr>
        <w:footnoteRef/>
      </w:r>
      <w:r w:rsidRPr="00952955">
        <w:rPr>
          <w:lang w:val="en-US"/>
        </w:rPr>
        <w:t xml:space="preserve"> Communication, p. 6.</w:t>
      </w:r>
    </w:p>
  </w:footnote>
  <w:footnote w:id="63">
    <w:p w14:paraId="64D2DDCB" w14:textId="77777777" w:rsidR="00887BC2" w:rsidRPr="00075506" w:rsidRDefault="00887BC2" w:rsidP="00FB28D7">
      <w:pPr>
        <w:pStyle w:val="FootnoteText"/>
        <w:tabs>
          <w:tab w:val="clear" w:pos="1021"/>
          <w:tab w:val="left" w:pos="1134"/>
          <w:tab w:val="right" w:pos="1701"/>
        </w:tabs>
        <w:ind w:firstLine="0"/>
      </w:pPr>
      <w:r w:rsidRPr="00952955">
        <w:rPr>
          <w:lang w:val="en-US"/>
        </w:rPr>
        <w:tab/>
      </w:r>
      <w:r w:rsidRPr="00952955">
        <w:rPr>
          <w:lang w:val="en-US"/>
        </w:rPr>
        <w:tab/>
      </w:r>
      <w:r>
        <w:rPr>
          <w:rStyle w:val="FootnoteReference"/>
        </w:rPr>
        <w:footnoteRef/>
      </w:r>
      <w:r w:rsidRPr="00075506">
        <w:t xml:space="preserve"> Party’s response to the communication, p. </w:t>
      </w:r>
      <w:r>
        <w:t>7, and annex 6</w:t>
      </w:r>
      <w:r w:rsidRPr="00075506">
        <w:t>.</w:t>
      </w:r>
    </w:p>
  </w:footnote>
  <w:footnote w:id="64">
    <w:p w14:paraId="0893B0FB" w14:textId="5D180DB2" w:rsidR="00887BC2" w:rsidRPr="00D00E84" w:rsidRDefault="00887BC2" w:rsidP="00FB28D7">
      <w:pPr>
        <w:pStyle w:val="FootnoteText"/>
        <w:tabs>
          <w:tab w:val="clear" w:pos="1021"/>
          <w:tab w:val="left" w:pos="1134"/>
          <w:tab w:val="right" w:pos="1701"/>
        </w:tabs>
        <w:ind w:firstLine="0"/>
      </w:pPr>
      <w:r w:rsidRPr="00075506">
        <w:tab/>
      </w:r>
      <w:r w:rsidRPr="00075506">
        <w:tab/>
      </w:r>
      <w:r>
        <w:rPr>
          <w:rStyle w:val="FootnoteReference"/>
        </w:rPr>
        <w:footnoteRef/>
      </w:r>
      <w:r w:rsidRPr="00D00E84">
        <w:t xml:space="preserve"> Communication, p. 7</w:t>
      </w:r>
      <w:r>
        <w:t>, s</w:t>
      </w:r>
      <w:r w:rsidRPr="00D00E84">
        <w:t>ee also P</w:t>
      </w:r>
      <w:r>
        <w:t>arty’s reply to questions, 18 May 2021, annex 9.</w:t>
      </w:r>
    </w:p>
  </w:footnote>
  <w:footnote w:id="65">
    <w:p w14:paraId="24F946CE" w14:textId="77777777" w:rsidR="00887BC2" w:rsidRPr="00D00E84" w:rsidRDefault="00887BC2" w:rsidP="00FB28D7">
      <w:pPr>
        <w:pStyle w:val="FootnoteText"/>
        <w:tabs>
          <w:tab w:val="clear" w:pos="1021"/>
          <w:tab w:val="left" w:pos="1134"/>
          <w:tab w:val="right" w:pos="1701"/>
        </w:tabs>
        <w:ind w:firstLine="0"/>
      </w:pPr>
      <w:r w:rsidRPr="00D00E84">
        <w:tab/>
      </w:r>
      <w:r w:rsidRPr="00D00E84">
        <w:tab/>
      </w:r>
      <w:r>
        <w:rPr>
          <w:rStyle w:val="FootnoteReference"/>
        </w:rPr>
        <w:footnoteRef/>
      </w:r>
      <w:r w:rsidRPr="00D00E84">
        <w:t xml:space="preserve"> Communication, p. 19.</w:t>
      </w:r>
    </w:p>
  </w:footnote>
  <w:footnote w:id="66">
    <w:p w14:paraId="0A1E1A77" w14:textId="77777777" w:rsidR="00887BC2" w:rsidRPr="00D00E84" w:rsidRDefault="00887BC2" w:rsidP="00FB28D7">
      <w:pPr>
        <w:pStyle w:val="FootnoteText"/>
        <w:tabs>
          <w:tab w:val="clear" w:pos="1021"/>
          <w:tab w:val="left" w:pos="1134"/>
          <w:tab w:val="right" w:pos="1701"/>
        </w:tabs>
        <w:ind w:firstLine="0"/>
      </w:pPr>
      <w:r w:rsidRPr="00D00E84">
        <w:tab/>
      </w:r>
      <w:r w:rsidRPr="00D00E84">
        <w:tab/>
      </w:r>
      <w:r>
        <w:rPr>
          <w:rStyle w:val="FootnoteReference"/>
        </w:rPr>
        <w:footnoteRef/>
      </w:r>
      <w:r w:rsidRPr="00D00E84">
        <w:t xml:space="preserve"> Communication, pp. 19-20.</w:t>
      </w:r>
    </w:p>
  </w:footnote>
  <w:footnote w:id="67">
    <w:p w14:paraId="3FEA019A" w14:textId="77777777" w:rsidR="00887BC2" w:rsidRPr="00D4588A" w:rsidRDefault="00887BC2" w:rsidP="00FB28D7">
      <w:pPr>
        <w:pStyle w:val="FootnoteText"/>
        <w:tabs>
          <w:tab w:val="clear" w:pos="1021"/>
          <w:tab w:val="left" w:pos="1134"/>
          <w:tab w:val="right" w:pos="1701"/>
        </w:tabs>
        <w:ind w:firstLine="0"/>
      </w:pPr>
      <w:r w:rsidRPr="00D00E84">
        <w:tab/>
      </w:r>
      <w:r w:rsidRPr="00D00E84">
        <w:tab/>
      </w:r>
      <w:r>
        <w:rPr>
          <w:rStyle w:val="FootnoteReference"/>
        </w:rPr>
        <w:footnoteRef/>
      </w:r>
      <w:r w:rsidRPr="00D4588A">
        <w:t xml:space="preserve"> Party’s response to the communication, p. 1</w:t>
      </w:r>
      <w:r>
        <w:t>3</w:t>
      </w:r>
      <w:r w:rsidRPr="00D4588A">
        <w:t>.</w:t>
      </w:r>
    </w:p>
  </w:footnote>
  <w:footnote w:id="68">
    <w:p w14:paraId="0F4C3788" w14:textId="77777777" w:rsidR="00887BC2" w:rsidRPr="00D4588A" w:rsidRDefault="00887BC2" w:rsidP="00FB28D7">
      <w:pPr>
        <w:pStyle w:val="FootnoteText"/>
        <w:tabs>
          <w:tab w:val="clear" w:pos="1021"/>
          <w:tab w:val="left" w:pos="1134"/>
          <w:tab w:val="right" w:pos="1701"/>
        </w:tabs>
        <w:ind w:firstLine="0"/>
      </w:pPr>
      <w:r w:rsidRPr="00D4588A">
        <w:tab/>
      </w:r>
      <w:r w:rsidRPr="00D4588A">
        <w:tab/>
      </w:r>
      <w:r>
        <w:rPr>
          <w:rStyle w:val="FootnoteReference"/>
        </w:rPr>
        <w:footnoteRef/>
      </w:r>
      <w:r w:rsidRPr="00D4588A">
        <w:t xml:space="preserve"> Party’s response to the communication, p. 1</w:t>
      </w:r>
      <w:r>
        <w:t>3</w:t>
      </w:r>
      <w:r w:rsidRPr="00D4588A">
        <w:t>.</w:t>
      </w:r>
    </w:p>
  </w:footnote>
  <w:footnote w:id="69">
    <w:p w14:paraId="79FB13ED" w14:textId="77777777" w:rsidR="00887BC2" w:rsidRPr="00D4588A" w:rsidRDefault="00887BC2" w:rsidP="00FB28D7">
      <w:pPr>
        <w:pStyle w:val="FootnoteText"/>
        <w:tabs>
          <w:tab w:val="clear" w:pos="1021"/>
          <w:tab w:val="left" w:pos="1134"/>
          <w:tab w:val="right" w:pos="1701"/>
        </w:tabs>
        <w:ind w:firstLine="0"/>
      </w:pPr>
      <w:r w:rsidRPr="00D4588A">
        <w:tab/>
      </w:r>
      <w:r w:rsidRPr="00D4588A">
        <w:tab/>
      </w:r>
      <w:r>
        <w:rPr>
          <w:rStyle w:val="FootnoteReference"/>
        </w:rPr>
        <w:footnoteRef/>
      </w:r>
      <w:r w:rsidRPr="00D4588A">
        <w:t xml:space="preserve"> Party’s response to the communication, p. 1</w:t>
      </w:r>
      <w:r>
        <w:t>3</w:t>
      </w:r>
      <w:r w:rsidRPr="00D4588A">
        <w:t>.</w:t>
      </w:r>
    </w:p>
  </w:footnote>
  <w:footnote w:id="70">
    <w:p w14:paraId="30385BCB" w14:textId="77777777" w:rsidR="00887BC2" w:rsidRPr="00D4588A" w:rsidRDefault="00887BC2" w:rsidP="00FB28D7">
      <w:pPr>
        <w:pStyle w:val="FootnoteText"/>
        <w:tabs>
          <w:tab w:val="clear" w:pos="1021"/>
          <w:tab w:val="left" w:pos="1134"/>
          <w:tab w:val="right" w:pos="1701"/>
        </w:tabs>
        <w:ind w:firstLine="0"/>
      </w:pPr>
      <w:r w:rsidRPr="00D4588A">
        <w:tab/>
      </w:r>
      <w:r w:rsidRPr="00D4588A">
        <w:tab/>
      </w:r>
      <w:r>
        <w:rPr>
          <w:rStyle w:val="FootnoteReference"/>
        </w:rPr>
        <w:footnoteRef/>
      </w:r>
      <w:r w:rsidRPr="00D4588A">
        <w:t xml:space="preserve"> Party’s response to the communication, p. 1</w:t>
      </w:r>
      <w:r>
        <w:t>3</w:t>
      </w:r>
      <w:r w:rsidRPr="00D4588A">
        <w:t>.</w:t>
      </w:r>
    </w:p>
  </w:footnote>
  <w:footnote w:id="71">
    <w:p w14:paraId="7D263569" w14:textId="77777777" w:rsidR="00887BC2" w:rsidRPr="00D4588A" w:rsidRDefault="00887BC2" w:rsidP="00FB28D7">
      <w:pPr>
        <w:pStyle w:val="FootnoteText"/>
        <w:tabs>
          <w:tab w:val="clear" w:pos="1021"/>
          <w:tab w:val="left" w:pos="1134"/>
          <w:tab w:val="right" w:pos="1701"/>
        </w:tabs>
        <w:ind w:firstLine="0"/>
      </w:pPr>
      <w:r w:rsidRPr="00D4588A">
        <w:tab/>
      </w:r>
      <w:r w:rsidRPr="00D4588A">
        <w:tab/>
      </w:r>
      <w:r>
        <w:rPr>
          <w:rStyle w:val="FootnoteReference"/>
        </w:rPr>
        <w:footnoteRef/>
      </w:r>
      <w:r w:rsidRPr="00D4588A">
        <w:t xml:space="preserve"> Party’s response to the communication, p. 1</w:t>
      </w:r>
      <w:r>
        <w:t>3</w:t>
      </w:r>
      <w:r w:rsidRPr="00D4588A">
        <w:t>.</w:t>
      </w:r>
    </w:p>
  </w:footnote>
  <w:footnote w:id="72">
    <w:p w14:paraId="3DDC05F7" w14:textId="77777777" w:rsidR="00887BC2" w:rsidRPr="00D4588A" w:rsidRDefault="00887BC2" w:rsidP="00FB28D7">
      <w:pPr>
        <w:pStyle w:val="FootnoteText"/>
        <w:tabs>
          <w:tab w:val="clear" w:pos="1021"/>
          <w:tab w:val="left" w:pos="1134"/>
          <w:tab w:val="right" w:pos="1701"/>
        </w:tabs>
        <w:ind w:firstLine="0"/>
      </w:pPr>
      <w:r w:rsidRPr="00D4588A">
        <w:tab/>
      </w:r>
      <w:r w:rsidRPr="00D4588A">
        <w:tab/>
      </w:r>
      <w:r>
        <w:rPr>
          <w:rStyle w:val="FootnoteReference"/>
        </w:rPr>
        <w:footnoteRef/>
      </w:r>
      <w:r w:rsidRPr="00D4588A">
        <w:t xml:space="preserve"> </w:t>
      </w:r>
      <w:r>
        <w:t>Communication, p. 19</w:t>
      </w:r>
      <w:r w:rsidRPr="00D4588A">
        <w:t>.</w:t>
      </w:r>
    </w:p>
  </w:footnote>
  <w:footnote w:id="73">
    <w:p w14:paraId="3CDDA248" w14:textId="77777777" w:rsidR="00887BC2" w:rsidRPr="00952955" w:rsidRDefault="00887BC2" w:rsidP="00FB28D7">
      <w:pPr>
        <w:pStyle w:val="FootnoteText"/>
        <w:tabs>
          <w:tab w:val="clear" w:pos="1021"/>
          <w:tab w:val="left" w:pos="1134"/>
          <w:tab w:val="right" w:pos="1701"/>
        </w:tabs>
        <w:ind w:firstLine="0"/>
        <w:rPr>
          <w:lang w:val="en-US"/>
        </w:rPr>
      </w:pPr>
      <w:r w:rsidRPr="00FA053C">
        <w:tab/>
      </w:r>
      <w:r w:rsidRPr="00FA053C">
        <w:tab/>
      </w:r>
      <w:r>
        <w:rPr>
          <w:rStyle w:val="FootnoteReference"/>
        </w:rPr>
        <w:footnoteRef/>
      </w:r>
      <w:r w:rsidRPr="00952955">
        <w:rPr>
          <w:lang w:val="en-US"/>
        </w:rPr>
        <w:t xml:space="preserve"> Communication, pp. 4 and 11.</w:t>
      </w:r>
    </w:p>
  </w:footnote>
  <w:footnote w:id="74">
    <w:p w14:paraId="1DA77DEC"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6.</w:t>
      </w:r>
    </w:p>
  </w:footnote>
  <w:footnote w:id="75">
    <w:p w14:paraId="3D969170"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6.</w:t>
      </w:r>
    </w:p>
  </w:footnote>
  <w:footnote w:id="76">
    <w:p w14:paraId="54565332" w14:textId="77777777" w:rsidR="00887BC2" w:rsidRPr="00952955" w:rsidRDefault="00887BC2" w:rsidP="00FB28D7">
      <w:pPr>
        <w:pStyle w:val="FootnoteText"/>
        <w:tabs>
          <w:tab w:val="clear" w:pos="1021"/>
          <w:tab w:val="left" w:pos="1134"/>
          <w:tab w:val="right" w:pos="1701"/>
        </w:tabs>
        <w:ind w:firstLine="0"/>
        <w:rPr>
          <w:lang w:val="en-US"/>
        </w:rPr>
      </w:pPr>
      <w:r w:rsidRPr="0090328C">
        <w:tab/>
      </w:r>
      <w:r w:rsidRPr="0090328C">
        <w:tab/>
      </w:r>
      <w:r>
        <w:rPr>
          <w:rStyle w:val="FootnoteReference"/>
        </w:rPr>
        <w:footnoteRef/>
      </w:r>
      <w:r w:rsidRPr="00952955">
        <w:rPr>
          <w:lang w:val="en-US"/>
        </w:rPr>
        <w:t xml:space="preserve"> Communication, p. 11.</w:t>
      </w:r>
    </w:p>
  </w:footnote>
  <w:footnote w:id="77">
    <w:p w14:paraId="0EC29962" w14:textId="77777777" w:rsidR="00887BC2" w:rsidRPr="00952955" w:rsidRDefault="00887BC2" w:rsidP="00FB28D7">
      <w:pPr>
        <w:pStyle w:val="FootnoteText"/>
        <w:tabs>
          <w:tab w:val="clear" w:pos="1021"/>
          <w:tab w:val="left" w:pos="1134"/>
          <w:tab w:val="right" w:pos="1701"/>
        </w:tabs>
        <w:ind w:firstLine="0"/>
        <w:rPr>
          <w:lang w:val="en-US"/>
        </w:rPr>
      </w:pPr>
      <w:r w:rsidRPr="00952955">
        <w:rPr>
          <w:lang w:val="en-US"/>
        </w:rPr>
        <w:tab/>
      </w:r>
      <w:r w:rsidRPr="00952955">
        <w:rPr>
          <w:lang w:val="en-US"/>
        </w:rPr>
        <w:tab/>
      </w:r>
      <w:r>
        <w:rPr>
          <w:rStyle w:val="FootnoteReference"/>
        </w:rPr>
        <w:footnoteRef/>
      </w:r>
      <w:r w:rsidRPr="00952955">
        <w:rPr>
          <w:lang w:val="en-US"/>
        </w:rPr>
        <w:t xml:space="preserve"> Communication, pp. 9 and 12.</w:t>
      </w:r>
    </w:p>
  </w:footnote>
  <w:footnote w:id="78">
    <w:p w14:paraId="5A82ED83" w14:textId="77777777" w:rsidR="00887BC2" w:rsidRPr="00952955" w:rsidRDefault="00887BC2" w:rsidP="00FB28D7">
      <w:pPr>
        <w:pStyle w:val="FootnoteText"/>
        <w:tabs>
          <w:tab w:val="clear" w:pos="1021"/>
          <w:tab w:val="left" w:pos="1134"/>
          <w:tab w:val="right" w:pos="1701"/>
        </w:tabs>
        <w:ind w:firstLine="0"/>
        <w:rPr>
          <w:lang w:val="en-US"/>
        </w:rPr>
      </w:pPr>
      <w:r w:rsidRPr="00952955">
        <w:rPr>
          <w:lang w:val="en-US"/>
        </w:rPr>
        <w:tab/>
      </w:r>
      <w:r w:rsidRPr="00952955">
        <w:rPr>
          <w:lang w:val="en-US"/>
        </w:rPr>
        <w:tab/>
      </w:r>
      <w:r>
        <w:rPr>
          <w:rStyle w:val="FootnoteReference"/>
        </w:rPr>
        <w:footnoteRef/>
      </w:r>
      <w:r w:rsidRPr="00952955">
        <w:rPr>
          <w:lang w:val="en-US"/>
        </w:rPr>
        <w:t xml:space="preserve"> Communication, p. 12.</w:t>
      </w:r>
    </w:p>
  </w:footnote>
  <w:footnote w:id="79">
    <w:p w14:paraId="6BDE9B2C" w14:textId="77777777" w:rsidR="00887BC2" w:rsidRPr="00952955" w:rsidRDefault="00887BC2" w:rsidP="00FB28D7">
      <w:pPr>
        <w:pStyle w:val="FootnoteText"/>
        <w:tabs>
          <w:tab w:val="clear" w:pos="1021"/>
          <w:tab w:val="left" w:pos="1134"/>
          <w:tab w:val="right" w:pos="1701"/>
        </w:tabs>
        <w:ind w:firstLine="0"/>
        <w:rPr>
          <w:lang w:val="en-US"/>
        </w:rPr>
      </w:pPr>
      <w:r w:rsidRPr="00952955">
        <w:rPr>
          <w:lang w:val="en-US"/>
        </w:rPr>
        <w:tab/>
      </w:r>
      <w:r w:rsidRPr="00952955">
        <w:rPr>
          <w:lang w:val="en-US"/>
        </w:rPr>
        <w:tab/>
      </w:r>
      <w:r>
        <w:rPr>
          <w:rStyle w:val="FootnoteReference"/>
        </w:rPr>
        <w:footnoteRef/>
      </w:r>
      <w:r w:rsidRPr="00952955">
        <w:rPr>
          <w:lang w:val="en-US"/>
        </w:rPr>
        <w:t xml:space="preserve"> Communication, pp. 9 and 12.</w:t>
      </w:r>
    </w:p>
  </w:footnote>
  <w:footnote w:id="80">
    <w:p w14:paraId="55F3C5FE" w14:textId="77777777" w:rsidR="00887BC2" w:rsidRPr="005B407F" w:rsidRDefault="00887BC2" w:rsidP="00FB28D7">
      <w:pPr>
        <w:pStyle w:val="FootnoteText"/>
        <w:tabs>
          <w:tab w:val="clear" w:pos="1021"/>
          <w:tab w:val="left" w:pos="1134"/>
          <w:tab w:val="right" w:pos="1701"/>
        </w:tabs>
        <w:ind w:firstLine="0"/>
        <w:rPr>
          <w:lang w:val="en-US"/>
        </w:rPr>
      </w:pPr>
      <w:r w:rsidRPr="00DF5DA0">
        <w:tab/>
      </w:r>
      <w:r w:rsidRPr="00DF5DA0">
        <w:tab/>
      </w:r>
      <w:r>
        <w:rPr>
          <w:rStyle w:val="FootnoteReference"/>
        </w:rPr>
        <w:footnoteRef/>
      </w:r>
      <w:r>
        <w:t xml:space="preserve"> Party’s response to the communication, p. 4.</w:t>
      </w:r>
    </w:p>
  </w:footnote>
  <w:footnote w:id="81">
    <w:p w14:paraId="03FF8768" w14:textId="77777777" w:rsidR="00887BC2" w:rsidRPr="005B407F" w:rsidRDefault="00887BC2" w:rsidP="00FB28D7">
      <w:pPr>
        <w:pStyle w:val="FootnoteText"/>
        <w:tabs>
          <w:tab w:val="clear" w:pos="1021"/>
          <w:tab w:val="left" w:pos="1134"/>
          <w:tab w:val="right" w:pos="1701"/>
        </w:tabs>
        <w:ind w:firstLine="0"/>
        <w:rPr>
          <w:lang w:val="en-US"/>
        </w:rPr>
      </w:pPr>
      <w:r w:rsidRPr="00FA053C">
        <w:tab/>
      </w:r>
      <w:r w:rsidRPr="00FA053C">
        <w:tab/>
      </w:r>
      <w:r>
        <w:rPr>
          <w:rStyle w:val="FootnoteReference"/>
        </w:rPr>
        <w:footnoteRef/>
      </w:r>
      <w:r>
        <w:t xml:space="preserve"> Party’s response to the communication, pp. 3 and 5.</w:t>
      </w:r>
    </w:p>
  </w:footnote>
  <w:footnote w:id="82">
    <w:p w14:paraId="7CFA43FF" w14:textId="77777777" w:rsidR="00887BC2" w:rsidRPr="005B407F" w:rsidRDefault="00887BC2" w:rsidP="00FB28D7">
      <w:pPr>
        <w:pStyle w:val="FootnoteText"/>
        <w:tabs>
          <w:tab w:val="clear" w:pos="1021"/>
          <w:tab w:val="left" w:pos="1134"/>
          <w:tab w:val="right" w:pos="1701"/>
        </w:tabs>
        <w:ind w:firstLine="0"/>
        <w:rPr>
          <w:lang w:val="en-US"/>
        </w:rPr>
      </w:pPr>
      <w:r>
        <w:tab/>
      </w:r>
      <w:r>
        <w:tab/>
      </w:r>
      <w:r>
        <w:rPr>
          <w:rStyle w:val="FootnoteReference"/>
        </w:rPr>
        <w:footnoteRef/>
      </w:r>
      <w:r>
        <w:t xml:space="preserve"> Party’s response to the communication, pp. 4-5.</w:t>
      </w:r>
    </w:p>
  </w:footnote>
  <w:footnote w:id="83">
    <w:p w14:paraId="280F75B7" w14:textId="77777777" w:rsidR="00887BC2" w:rsidRPr="005B407F" w:rsidRDefault="00887BC2" w:rsidP="00FB28D7">
      <w:pPr>
        <w:pStyle w:val="FootnoteText"/>
        <w:tabs>
          <w:tab w:val="clear" w:pos="1021"/>
          <w:tab w:val="left" w:pos="1134"/>
          <w:tab w:val="right" w:pos="1701"/>
        </w:tabs>
        <w:ind w:firstLine="0"/>
        <w:rPr>
          <w:lang w:val="en-US"/>
        </w:rPr>
      </w:pPr>
      <w:r>
        <w:tab/>
      </w:r>
      <w:r>
        <w:tab/>
      </w:r>
      <w:r>
        <w:rPr>
          <w:rStyle w:val="FootnoteReference"/>
        </w:rPr>
        <w:footnoteRef/>
      </w:r>
      <w:r>
        <w:t xml:space="preserve"> Party’s response to the communication, pp. 4-5.</w:t>
      </w:r>
    </w:p>
  </w:footnote>
  <w:footnote w:id="84">
    <w:p w14:paraId="7423AC7E" w14:textId="77777777" w:rsidR="00887BC2" w:rsidRPr="001D49C5" w:rsidRDefault="00887BC2" w:rsidP="00FB28D7">
      <w:pPr>
        <w:pStyle w:val="FootnoteText"/>
        <w:tabs>
          <w:tab w:val="clear" w:pos="1021"/>
          <w:tab w:val="left" w:pos="1134"/>
          <w:tab w:val="right" w:pos="1701"/>
        </w:tabs>
        <w:ind w:firstLine="0"/>
        <w:rPr>
          <w:lang w:val="en-US"/>
        </w:rPr>
      </w:pPr>
      <w:r>
        <w:tab/>
      </w:r>
      <w:r>
        <w:tab/>
      </w:r>
      <w:r>
        <w:rPr>
          <w:rStyle w:val="FootnoteReference"/>
        </w:rPr>
        <w:footnoteRef/>
      </w:r>
      <w:r>
        <w:t xml:space="preserve"> </w:t>
      </w:r>
      <w:r>
        <w:rPr>
          <w:lang w:val="en-US"/>
        </w:rPr>
        <w:t>Party’s response to the communication, pp.</w:t>
      </w:r>
      <w:r w:rsidRPr="001D49C5">
        <w:rPr>
          <w:lang w:val="en-US"/>
        </w:rPr>
        <w:t xml:space="preserve"> 4-5.</w:t>
      </w:r>
    </w:p>
  </w:footnote>
  <w:footnote w:id="85">
    <w:p w14:paraId="179D54C3" w14:textId="77777777" w:rsidR="00887BC2" w:rsidRPr="001623BF" w:rsidRDefault="00887BC2" w:rsidP="00FB28D7">
      <w:pPr>
        <w:pStyle w:val="FootnoteText"/>
        <w:tabs>
          <w:tab w:val="clear" w:pos="1021"/>
          <w:tab w:val="left" w:pos="1134"/>
          <w:tab w:val="right" w:pos="1701"/>
        </w:tabs>
        <w:ind w:firstLine="0"/>
        <w:rPr>
          <w:lang w:val="fr-CH"/>
        </w:rPr>
      </w:pPr>
      <w:r w:rsidRPr="000E50AB">
        <w:tab/>
      </w:r>
      <w:r w:rsidRPr="000E50AB">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86">
    <w:p w14:paraId="09C98167" w14:textId="77777777" w:rsidR="00887BC2" w:rsidRPr="001623BF" w:rsidRDefault="00887BC2" w:rsidP="00FB28D7">
      <w:pPr>
        <w:pStyle w:val="FootnoteText"/>
        <w:tabs>
          <w:tab w:val="clear" w:pos="1021"/>
          <w:tab w:val="left" w:pos="1134"/>
          <w:tab w:val="right" w:pos="1701"/>
        </w:tabs>
        <w:ind w:firstLine="0"/>
        <w:rPr>
          <w:lang w:val="fr-CH"/>
        </w:rPr>
      </w:pPr>
      <w:r w:rsidRPr="001E7211">
        <w:rPr>
          <w:lang w:val="fr-CH"/>
        </w:rPr>
        <w:tab/>
      </w:r>
      <w:r w:rsidRPr="001E7211">
        <w:rPr>
          <w:lang w:val="fr-CH"/>
        </w:rPr>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87">
    <w:p w14:paraId="1276079D" w14:textId="77777777" w:rsidR="00887BC2" w:rsidRPr="001623BF" w:rsidRDefault="00887BC2" w:rsidP="00FB28D7">
      <w:pPr>
        <w:pStyle w:val="FootnoteText"/>
        <w:tabs>
          <w:tab w:val="clear" w:pos="1021"/>
          <w:tab w:val="left" w:pos="1134"/>
          <w:tab w:val="right" w:pos="1701"/>
        </w:tabs>
        <w:ind w:firstLine="0"/>
        <w:rPr>
          <w:lang w:val="fr-CH"/>
        </w:rPr>
      </w:pPr>
      <w:r w:rsidRPr="001623BF">
        <w:rPr>
          <w:lang w:val="fr-CH"/>
        </w:rPr>
        <w:tab/>
      </w:r>
      <w:r w:rsidRPr="001623BF">
        <w:rPr>
          <w:lang w:val="fr-CH"/>
        </w:rPr>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88">
    <w:p w14:paraId="550ED88B" w14:textId="77777777" w:rsidR="00887BC2" w:rsidRPr="001623BF" w:rsidRDefault="00887BC2" w:rsidP="00FB28D7">
      <w:pPr>
        <w:pStyle w:val="FootnoteText"/>
        <w:tabs>
          <w:tab w:val="clear" w:pos="1021"/>
          <w:tab w:val="left" w:pos="1134"/>
          <w:tab w:val="right" w:pos="1701"/>
        </w:tabs>
        <w:ind w:firstLine="0"/>
        <w:rPr>
          <w:lang w:val="fr-CH"/>
        </w:rPr>
      </w:pPr>
      <w:r w:rsidRPr="001623BF">
        <w:rPr>
          <w:lang w:val="fr-CH"/>
        </w:rPr>
        <w:tab/>
      </w:r>
      <w:r w:rsidRPr="001623BF">
        <w:rPr>
          <w:lang w:val="fr-CH"/>
        </w:rPr>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89">
    <w:p w14:paraId="3596236A" w14:textId="77777777" w:rsidR="00887BC2" w:rsidRPr="001623BF" w:rsidRDefault="00887BC2" w:rsidP="00FB28D7">
      <w:pPr>
        <w:pStyle w:val="FootnoteText"/>
        <w:tabs>
          <w:tab w:val="clear" w:pos="1021"/>
          <w:tab w:val="left" w:pos="1134"/>
          <w:tab w:val="right" w:pos="1701"/>
        </w:tabs>
        <w:ind w:firstLine="0"/>
        <w:rPr>
          <w:lang w:val="fr-CH"/>
        </w:rPr>
      </w:pPr>
      <w:r w:rsidRPr="001623BF">
        <w:rPr>
          <w:lang w:val="fr-CH"/>
        </w:rPr>
        <w:tab/>
      </w:r>
      <w:r w:rsidRPr="001623BF">
        <w:rPr>
          <w:lang w:val="fr-CH"/>
        </w:rPr>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90">
    <w:p w14:paraId="5BD967F5" w14:textId="77777777" w:rsidR="00887BC2" w:rsidRPr="001623BF" w:rsidRDefault="00887BC2" w:rsidP="00FB28D7">
      <w:pPr>
        <w:pStyle w:val="FootnoteText"/>
        <w:tabs>
          <w:tab w:val="clear" w:pos="1021"/>
          <w:tab w:val="left" w:pos="1134"/>
          <w:tab w:val="right" w:pos="1701"/>
        </w:tabs>
        <w:ind w:firstLine="0"/>
        <w:rPr>
          <w:lang w:val="fr-CH"/>
        </w:rPr>
      </w:pPr>
      <w:r w:rsidRPr="001623BF">
        <w:rPr>
          <w:lang w:val="fr-CH"/>
        </w:rPr>
        <w:tab/>
      </w:r>
      <w:r w:rsidRPr="001623BF">
        <w:rPr>
          <w:lang w:val="fr-CH"/>
        </w:rPr>
        <w:tab/>
      </w:r>
      <w:r>
        <w:rPr>
          <w:rStyle w:val="FootnoteReference"/>
        </w:rPr>
        <w:footnoteRef/>
      </w:r>
      <w:r w:rsidRPr="001623BF">
        <w:rPr>
          <w:lang w:val="fr-CH"/>
        </w:rPr>
        <w:t xml:space="preserve"> </w:t>
      </w:r>
      <w:r>
        <w:rPr>
          <w:lang w:val="fr-CH"/>
        </w:rPr>
        <w:t>Communication, p.</w:t>
      </w:r>
      <w:r w:rsidRPr="001623BF">
        <w:rPr>
          <w:lang w:val="fr-CH"/>
        </w:rPr>
        <w:t xml:space="preserve"> 11.</w:t>
      </w:r>
    </w:p>
  </w:footnote>
  <w:footnote w:id="91">
    <w:p w14:paraId="3E7602A9" w14:textId="77777777" w:rsidR="00887BC2" w:rsidRPr="00292FC7" w:rsidRDefault="00887BC2" w:rsidP="00FB28D7">
      <w:pPr>
        <w:pStyle w:val="FootnoteText"/>
        <w:tabs>
          <w:tab w:val="clear" w:pos="1021"/>
          <w:tab w:val="left" w:pos="1134"/>
          <w:tab w:val="right" w:pos="1701"/>
        </w:tabs>
        <w:ind w:firstLine="0"/>
        <w:rPr>
          <w:lang w:val="en-US"/>
        </w:rPr>
      </w:pPr>
      <w:r w:rsidRPr="00FA053C">
        <w:rPr>
          <w:lang w:val="fr-CH"/>
        </w:rPr>
        <w:tab/>
      </w:r>
      <w:r w:rsidRPr="00FA053C">
        <w:rPr>
          <w:lang w:val="fr-CH"/>
        </w:rPr>
        <w:tab/>
      </w:r>
      <w:r>
        <w:rPr>
          <w:rStyle w:val="FootnoteReference"/>
        </w:rPr>
        <w:footnoteRef/>
      </w:r>
      <w:r>
        <w:t xml:space="preserve"> </w:t>
      </w:r>
      <w:r>
        <w:rPr>
          <w:lang w:val="en-US"/>
        </w:rPr>
        <w:t>Party’s response to the communication, p. 9.</w:t>
      </w:r>
    </w:p>
  </w:footnote>
  <w:footnote w:id="92">
    <w:p w14:paraId="5050F35F" w14:textId="77777777" w:rsidR="00887BC2" w:rsidRPr="00292FC7" w:rsidRDefault="00887BC2" w:rsidP="00FB28D7">
      <w:pPr>
        <w:pStyle w:val="FootnoteText"/>
        <w:tabs>
          <w:tab w:val="clear" w:pos="1021"/>
          <w:tab w:val="left" w:pos="1134"/>
          <w:tab w:val="right" w:pos="1701"/>
        </w:tabs>
        <w:ind w:firstLine="0"/>
        <w:rPr>
          <w:lang w:val="en-US"/>
        </w:rPr>
      </w:pPr>
      <w:r w:rsidRPr="00952955">
        <w:rPr>
          <w:lang w:val="en-US"/>
        </w:rPr>
        <w:tab/>
      </w:r>
      <w:r w:rsidRPr="00952955">
        <w:rPr>
          <w:lang w:val="en-US"/>
        </w:rPr>
        <w:tab/>
      </w:r>
      <w:r>
        <w:rPr>
          <w:rStyle w:val="FootnoteReference"/>
        </w:rPr>
        <w:footnoteRef/>
      </w:r>
      <w:r>
        <w:t xml:space="preserve"> </w:t>
      </w:r>
      <w:r>
        <w:rPr>
          <w:lang w:val="en-US"/>
        </w:rPr>
        <w:t>Party’s response to the communication, pp. 9-10.</w:t>
      </w:r>
    </w:p>
  </w:footnote>
  <w:footnote w:id="93">
    <w:p w14:paraId="4C956584"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11.</w:t>
      </w:r>
    </w:p>
  </w:footnote>
  <w:footnote w:id="94">
    <w:p w14:paraId="1A646946"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11.</w:t>
      </w:r>
    </w:p>
  </w:footnote>
  <w:footnote w:id="95">
    <w:p w14:paraId="1927609F"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11.</w:t>
      </w:r>
    </w:p>
  </w:footnote>
  <w:footnote w:id="96">
    <w:p w14:paraId="16B28476" w14:textId="77777777" w:rsidR="00887BC2" w:rsidRPr="00292FC7" w:rsidRDefault="00887BC2" w:rsidP="00FB28D7">
      <w:pPr>
        <w:pStyle w:val="FootnoteText"/>
        <w:tabs>
          <w:tab w:val="clear" w:pos="1021"/>
          <w:tab w:val="left" w:pos="1134"/>
          <w:tab w:val="right" w:pos="1701"/>
        </w:tabs>
        <w:ind w:firstLine="0"/>
        <w:rPr>
          <w:lang w:val="en-US"/>
        </w:rPr>
      </w:pPr>
      <w:r>
        <w:rPr>
          <w:lang w:val="en-US"/>
        </w:rPr>
        <w:tab/>
      </w:r>
      <w:r>
        <w:rPr>
          <w:lang w:val="en-US"/>
        </w:rPr>
        <w:tab/>
      </w:r>
      <w:r>
        <w:rPr>
          <w:rStyle w:val="FootnoteReference"/>
        </w:rPr>
        <w:footnoteRef/>
      </w:r>
      <w:r>
        <w:t xml:space="preserve"> </w:t>
      </w:r>
      <w:r>
        <w:rPr>
          <w:lang w:val="en-US"/>
        </w:rPr>
        <w:t>Party’s response to the communication, p. 8.</w:t>
      </w:r>
    </w:p>
  </w:footnote>
  <w:footnote w:id="97">
    <w:p w14:paraId="59906E65" w14:textId="5D57AA02" w:rsidR="00887BC2" w:rsidRPr="00952955" w:rsidRDefault="00887BC2" w:rsidP="00FB28D7">
      <w:pPr>
        <w:pStyle w:val="FootnoteText"/>
        <w:tabs>
          <w:tab w:val="clear" w:pos="1021"/>
          <w:tab w:val="left" w:pos="1134"/>
          <w:tab w:val="right" w:pos="1701"/>
        </w:tabs>
        <w:ind w:firstLine="0"/>
        <w:rPr>
          <w:lang w:val="fr-FR"/>
        </w:rPr>
      </w:pPr>
      <w:r>
        <w:rPr>
          <w:lang w:val="en-US"/>
        </w:rPr>
        <w:tab/>
      </w:r>
      <w:r>
        <w:rPr>
          <w:rStyle w:val="FootnoteReference"/>
        </w:rPr>
        <w:footnoteRef/>
      </w:r>
      <w:r w:rsidRPr="00952955">
        <w:rPr>
          <w:lang w:val="fr-FR"/>
        </w:rPr>
        <w:t xml:space="preserve"> Communication, pp. 7-8.</w:t>
      </w:r>
    </w:p>
  </w:footnote>
  <w:footnote w:id="98">
    <w:p w14:paraId="14E7F621" w14:textId="3DBB812E" w:rsidR="00887BC2" w:rsidRPr="00952955" w:rsidRDefault="00887BC2" w:rsidP="00FB28D7">
      <w:pPr>
        <w:pStyle w:val="FootnoteText"/>
        <w:tabs>
          <w:tab w:val="clear" w:pos="1021"/>
          <w:tab w:val="left" w:pos="1134"/>
          <w:tab w:val="right" w:pos="1701"/>
        </w:tabs>
        <w:ind w:firstLine="0"/>
        <w:rPr>
          <w:lang w:val="fr-FR"/>
        </w:rPr>
      </w:pPr>
      <w:r w:rsidRPr="00952955">
        <w:rPr>
          <w:lang w:val="fr-FR"/>
        </w:rPr>
        <w:tab/>
      </w:r>
      <w:r>
        <w:rPr>
          <w:rStyle w:val="FootnoteReference"/>
        </w:rPr>
        <w:footnoteRef/>
      </w:r>
      <w:r w:rsidRPr="00952955">
        <w:rPr>
          <w:lang w:val="fr-FR"/>
        </w:rPr>
        <w:t xml:space="preserve"> Communication, p. 8.</w:t>
      </w:r>
    </w:p>
  </w:footnote>
  <w:footnote w:id="99">
    <w:p w14:paraId="21DA16DF" w14:textId="3B8D7B2F" w:rsidR="00887BC2" w:rsidRPr="00952955" w:rsidRDefault="00887BC2" w:rsidP="00FB28D7">
      <w:pPr>
        <w:pStyle w:val="FootnoteText"/>
        <w:tabs>
          <w:tab w:val="clear" w:pos="1021"/>
          <w:tab w:val="left" w:pos="1134"/>
          <w:tab w:val="right" w:pos="1701"/>
        </w:tabs>
        <w:ind w:firstLine="0"/>
        <w:rPr>
          <w:lang w:val="fr-FR"/>
        </w:rPr>
      </w:pPr>
      <w:r w:rsidRPr="00952955">
        <w:rPr>
          <w:lang w:val="fr-FR"/>
        </w:rPr>
        <w:tab/>
      </w:r>
      <w:r>
        <w:rPr>
          <w:rStyle w:val="FootnoteReference"/>
        </w:rPr>
        <w:footnoteRef/>
      </w:r>
      <w:r w:rsidRPr="00952955">
        <w:rPr>
          <w:lang w:val="fr-FR"/>
        </w:rPr>
        <w:t xml:space="preserve"> Communication, pp. 8 and 14.</w:t>
      </w:r>
    </w:p>
  </w:footnote>
  <w:footnote w:id="100">
    <w:p w14:paraId="46AC3C68" w14:textId="1EA1AD99" w:rsidR="00887BC2" w:rsidRPr="00D00E84" w:rsidRDefault="00887BC2" w:rsidP="00FB28D7">
      <w:pPr>
        <w:pStyle w:val="FootnoteText"/>
        <w:tabs>
          <w:tab w:val="clear" w:pos="1021"/>
          <w:tab w:val="left" w:pos="1134"/>
          <w:tab w:val="right" w:pos="1701"/>
        </w:tabs>
        <w:ind w:firstLine="0"/>
      </w:pPr>
      <w:r w:rsidRPr="00952955">
        <w:rPr>
          <w:lang w:val="fr-FR"/>
        </w:rPr>
        <w:tab/>
      </w:r>
      <w:r>
        <w:rPr>
          <w:rStyle w:val="FootnoteReference"/>
        </w:rPr>
        <w:footnoteRef/>
      </w:r>
      <w:r w:rsidRPr="00D00E84">
        <w:t xml:space="preserve"> Communication, p. 14.</w:t>
      </w:r>
    </w:p>
  </w:footnote>
  <w:footnote w:id="101">
    <w:p w14:paraId="589641FD" w14:textId="202DF877" w:rsidR="00887BC2" w:rsidRPr="00D00E84" w:rsidRDefault="00887BC2" w:rsidP="00FB28D7">
      <w:pPr>
        <w:pStyle w:val="FootnoteText"/>
        <w:tabs>
          <w:tab w:val="clear" w:pos="1021"/>
          <w:tab w:val="left" w:pos="1134"/>
          <w:tab w:val="right" w:pos="1701"/>
        </w:tabs>
        <w:ind w:firstLine="0"/>
      </w:pPr>
      <w:r w:rsidRPr="00D00E84">
        <w:tab/>
      </w:r>
      <w:r>
        <w:rPr>
          <w:rStyle w:val="FootnoteReference"/>
        </w:rPr>
        <w:footnoteRef/>
      </w:r>
      <w:r w:rsidRPr="00D00E84">
        <w:t xml:space="preserve"> Communication, p. 11.</w:t>
      </w:r>
    </w:p>
  </w:footnote>
  <w:footnote w:id="102">
    <w:p w14:paraId="176E6972" w14:textId="649E18E5" w:rsidR="00887BC2" w:rsidRPr="00D00E84" w:rsidRDefault="00887BC2" w:rsidP="00FB28D7">
      <w:pPr>
        <w:pStyle w:val="FootnoteText"/>
        <w:tabs>
          <w:tab w:val="clear" w:pos="1021"/>
          <w:tab w:val="left" w:pos="1134"/>
          <w:tab w:val="right" w:pos="1701"/>
        </w:tabs>
        <w:ind w:firstLine="0"/>
      </w:pPr>
      <w:r w:rsidRPr="00D00E84">
        <w:tab/>
      </w:r>
      <w:r>
        <w:rPr>
          <w:rStyle w:val="FootnoteReference"/>
        </w:rPr>
        <w:footnoteRef/>
      </w:r>
      <w:r w:rsidRPr="00D00E84">
        <w:t xml:space="preserve"> Party’s response to the communication, p. 7.</w:t>
      </w:r>
    </w:p>
  </w:footnote>
  <w:footnote w:id="103">
    <w:p w14:paraId="01CFE86D" w14:textId="02752F24" w:rsidR="00887BC2" w:rsidRPr="00D00E84" w:rsidRDefault="00887BC2" w:rsidP="00FB28D7">
      <w:pPr>
        <w:pStyle w:val="FootnoteText"/>
        <w:tabs>
          <w:tab w:val="clear" w:pos="1021"/>
          <w:tab w:val="left" w:pos="1134"/>
          <w:tab w:val="right" w:pos="1701"/>
        </w:tabs>
        <w:ind w:firstLine="0"/>
      </w:pPr>
      <w:r w:rsidRPr="00D00E84">
        <w:tab/>
      </w:r>
      <w:r>
        <w:rPr>
          <w:rStyle w:val="FootnoteReference"/>
        </w:rPr>
        <w:footnoteRef/>
      </w:r>
      <w:r w:rsidRPr="00D00E84">
        <w:t xml:space="preserve"> Party’s response to the communication, p. 7.</w:t>
      </w:r>
    </w:p>
  </w:footnote>
  <w:footnote w:id="104">
    <w:p w14:paraId="20143EF1" w14:textId="69587B0A" w:rsidR="00887BC2" w:rsidRPr="00D00E84" w:rsidRDefault="00887BC2" w:rsidP="00FB28D7">
      <w:pPr>
        <w:pStyle w:val="FootnoteText"/>
        <w:tabs>
          <w:tab w:val="clear" w:pos="1021"/>
          <w:tab w:val="left" w:pos="1134"/>
          <w:tab w:val="right" w:pos="1701"/>
        </w:tabs>
        <w:ind w:firstLine="0"/>
      </w:pPr>
      <w:r w:rsidRPr="00D00E84">
        <w:tab/>
      </w:r>
      <w:r>
        <w:rPr>
          <w:rStyle w:val="FootnoteReference"/>
        </w:rPr>
        <w:footnoteRef/>
      </w:r>
      <w:r w:rsidRPr="00D00E84">
        <w:t xml:space="preserve"> Party’s response to the communication, p. 7.</w:t>
      </w:r>
    </w:p>
  </w:footnote>
  <w:footnote w:id="105">
    <w:p w14:paraId="5B1C49A4" w14:textId="48C28441" w:rsidR="00887BC2" w:rsidRPr="001735E5" w:rsidRDefault="00887BC2" w:rsidP="00FB28D7">
      <w:pPr>
        <w:pStyle w:val="FootnoteText"/>
        <w:tabs>
          <w:tab w:val="clear" w:pos="1021"/>
          <w:tab w:val="left" w:pos="1134"/>
          <w:tab w:val="right" w:pos="1701"/>
        </w:tabs>
        <w:ind w:firstLine="0"/>
      </w:pPr>
      <w:r>
        <w:tab/>
      </w:r>
      <w:r>
        <w:rPr>
          <w:rStyle w:val="FootnoteReference"/>
        </w:rPr>
        <w:footnoteRef/>
      </w:r>
      <w:r>
        <w:t xml:space="preserve"> Party’s reply to questions, 18 May 2021, p. 1. </w:t>
      </w:r>
    </w:p>
  </w:footnote>
  <w:footnote w:id="106">
    <w:p w14:paraId="43BF76E0" w14:textId="555106C8" w:rsidR="00887BC2" w:rsidRPr="005F5531" w:rsidRDefault="00887BC2" w:rsidP="00FB28D7">
      <w:pPr>
        <w:pStyle w:val="FootnoteText"/>
        <w:tabs>
          <w:tab w:val="clear" w:pos="1021"/>
          <w:tab w:val="left" w:pos="1134"/>
          <w:tab w:val="right" w:pos="1701"/>
        </w:tabs>
        <w:ind w:firstLine="0"/>
        <w:rPr>
          <w:lang w:val="en-US"/>
        </w:rPr>
      </w:pPr>
      <w:r w:rsidRPr="00D00E84">
        <w:tab/>
      </w:r>
      <w:r>
        <w:rPr>
          <w:rStyle w:val="FootnoteReference"/>
        </w:rPr>
        <w:footnoteRef/>
      </w:r>
      <w:r>
        <w:t xml:space="preserve"> Party’s response to the communication, p. 7.</w:t>
      </w:r>
    </w:p>
  </w:footnote>
  <w:footnote w:id="107">
    <w:p w14:paraId="23403942" w14:textId="2DD4BC85" w:rsidR="00887BC2" w:rsidRPr="005F5531" w:rsidRDefault="00887BC2" w:rsidP="00FB28D7">
      <w:pPr>
        <w:pStyle w:val="FootnoteText"/>
        <w:tabs>
          <w:tab w:val="clear" w:pos="1021"/>
          <w:tab w:val="left" w:pos="1134"/>
          <w:tab w:val="right" w:pos="1701"/>
        </w:tabs>
        <w:ind w:firstLine="0"/>
        <w:rPr>
          <w:lang w:val="en-US"/>
        </w:rPr>
      </w:pPr>
      <w:r>
        <w:tab/>
      </w:r>
      <w:r>
        <w:rPr>
          <w:rStyle w:val="FootnoteReference"/>
        </w:rPr>
        <w:footnoteRef/>
      </w:r>
      <w:r>
        <w:t xml:space="preserve"> Party’s response to the communication, pp. 7-8.</w:t>
      </w:r>
    </w:p>
  </w:footnote>
  <w:footnote w:id="108">
    <w:p w14:paraId="71E15032" w14:textId="0B61465B" w:rsidR="00887BC2" w:rsidRPr="005B407F" w:rsidRDefault="00887BC2" w:rsidP="00FB28D7">
      <w:pPr>
        <w:pStyle w:val="FootnoteText"/>
        <w:tabs>
          <w:tab w:val="clear" w:pos="1021"/>
          <w:tab w:val="left" w:pos="1134"/>
          <w:tab w:val="right" w:pos="1701"/>
        </w:tabs>
        <w:ind w:firstLine="0"/>
        <w:rPr>
          <w:lang w:val="en-US"/>
        </w:rPr>
      </w:pPr>
      <w:r>
        <w:tab/>
      </w:r>
      <w:r>
        <w:rPr>
          <w:rStyle w:val="FootnoteReference"/>
        </w:rPr>
        <w:footnoteRef/>
      </w:r>
      <w:r>
        <w:t xml:space="preserve"> Party’s response to the communication, p. 14.</w:t>
      </w:r>
    </w:p>
  </w:footnote>
  <w:footnote w:id="109">
    <w:p w14:paraId="6BCE8958" w14:textId="00EFD23E" w:rsidR="00887BC2" w:rsidRPr="00D4588A" w:rsidRDefault="00887BC2" w:rsidP="00FB28D7">
      <w:pPr>
        <w:pStyle w:val="FootnoteText"/>
        <w:tabs>
          <w:tab w:val="clear" w:pos="1021"/>
          <w:tab w:val="left" w:pos="1134"/>
          <w:tab w:val="right" w:pos="1701"/>
        </w:tabs>
        <w:ind w:firstLine="0"/>
        <w:rPr>
          <w:lang w:val="fr-CH"/>
        </w:rPr>
      </w:pPr>
      <w:r w:rsidRPr="00952955">
        <w:rPr>
          <w:lang w:val="en-US"/>
        </w:rPr>
        <w:tab/>
      </w:r>
      <w:r>
        <w:rPr>
          <w:rStyle w:val="FootnoteReference"/>
        </w:rPr>
        <w:footnoteRef/>
      </w:r>
      <w:r w:rsidRPr="00D4588A">
        <w:rPr>
          <w:lang w:val="fr-CH"/>
        </w:rPr>
        <w:t xml:space="preserve"> Communication, p. 1</w:t>
      </w:r>
      <w:r>
        <w:rPr>
          <w:lang w:val="fr-CH"/>
        </w:rPr>
        <w:t>9</w:t>
      </w:r>
      <w:r w:rsidRPr="00D4588A">
        <w:rPr>
          <w:lang w:val="fr-CH"/>
        </w:rPr>
        <w:t>.</w:t>
      </w:r>
    </w:p>
  </w:footnote>
  <w:footnote w:id="110">
    <w:p w14:paraId="6D77E67C" w14:textId="498EA8D5" w:rsidR="00887BC2" w:rsidRPr="00D4588A"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D4588A">
        <w:rPr>
          <w:lang w:val="fr-CH"/>
        </w:rPr>
        <w:t xml:space="preserve"> Communication, p. </w:t>
      </w:r>
      <w:r>
        <w:rPr>
          <w:lang w:val="fr-CH"/>
        </w:rPr>
        <w:t>21</w:t>
      </w:r>
      <w:r w:rsidRPr="00D4588A">
        <w:rPr>
          <w:lang w:val="fr-CH"/>
        </w:rPr>
        <w:t>.</w:t>
      </w:r>
    </w:p>
  </w:footnote>
  <w:footnote w:id="111">
    <w:p w14:paraId="2BD20415" w14:textId="06000363" w:rsidR="00887BC2" w:rsidRPr="00D4588A"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D4588A">
        <w:rPr>
          <w:lang w:val="fr-CH"/>
        </w:rPr>
        <w:t xml:space="preserve"> Communication, p. </w:t>
      </w:r>
      <w:r>
        <w:rPr>
          <w:lang w:val="fr-CH"/>
        </w:rPr>
        <w:t>22</w:t>
      </w:r>
      <w:r w:rsidRPr="00D4588A">
        <w:rPr>
          <w:lang w:val="fr-CH"/>
        </w:rPr>
        <w:t>.</w:t>
      </w:r>
    </w:p>
  </w:footnote>
  <w:footnote w:id="112">
    <w:p w14:paraId="32F355CC" w14:textId="6E9FDD77" w:rsidR="00887BC2" w:rsidRPr="00D4588A"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D4588A">
        <w:rPr>
          <w:lang w:val="fr-CH"/>
        </w:rPr>
        <w:t xml:space="preserve"> Communication, p. </w:t>
      </w:r>
      <w:r>
        <w:rPr>
          <w:lang w:val="fr-CH"/>
        </w:rPr>
        <w:t>22</w:t>
      </w:r>
      <w:r w:rsidRPr="00D4588A">
        <w:rPr>
          <w:lang w:val="fr-CH"/>
        </w:rPr>
        <w:t>.</w:t>
      </w:r>
    </w:p>
  </w:footnote>
  <w:footnote w:id="113">
    <w:p w14:paraId="3C2F477B" w14:textId="2C0C4AD7" w:rsidR="00887BC2" w:rsidRPr="00D4588A"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D4588A">
        <w:rPr>
          <w:lang w:val="fr-CH"/>
        </w:rPr>
        <w:t xml:space="preserve"> Communication, p. </w:t>
      </w:r>
      <w:r>
        <w:rPr>
          <w:lang w:val="fr-CH"/>
        </w:rPr>
        <w:t>22</w:t>
      </w:r>
      <w:r w:rsidRPr="00D4588A">
        <w:rPr>
          <w:lang w:val="fr-CH"/>
        </w:rPr>
        <w:t>.</w:t>
      </w:r>
    </w:p>
  </w:footnote>
  <w:footnote w:id="114">
    <w:p w14:paraId="7CD60163" w14:textId="5DB962B3" w:rsidR="00887BC2" w:rsidRPr="00D4588A"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D4588A">
        <w:rPr>
          <w:lang w:val="fr-CH"/>
        </w:rPr>
        <w:t xml:space="preserve"> Communication, p. </w:t>
      </w:r>
      <w:r>
        <w:rPr>
          <w:lang w:val="fr-CH"/>
        </w:rPr>
        <w:t>22</w:t>
      </w:r>
      <w:r w:rsidRPr="00D4588A">
        <w:rPr>
          <w:lang w:val="fr-CH"/>
        </w:rPr>
        <w:t>.</w:t>
      </w:r>
    </w:p>
  </w:footnote>
  <w:footnote w:id="115">
    <w:p w14:paraId="39002CA6" w14:textId="1F2B5DC7" w:rsidR="00887BC2" w:rsidRPr="00D4588A" w:rsidRDefault="00887BC2" w:rsidP="00FB28D7">
      <w:pPr>
        <w:pStyle w:val="FootnoteText"/>
        <w:tabs>
          <w:tab w:val="clear" w:pos="1021"/>
          <w:tab w:val="left" w:pos="1134"/>
          <w:tab w:val="right" w:pos="1701"/>
        </w:tabs>
        <w:ind w:firstLine="0"/>
      </w:pPr>
      <w:r w:rsidRPr="000E50AB">
        <w:rPr>
          <w:lang w:val="fr-CH"/>
        </w:rPr>
        <w:tab/>
      </w:r>
      <w:r>
        <w:rPr>
          <w:rStyle w:val="FootnoteReference"/>
        </w:rPr>
        <w:footnoteRef/>
      </w:r>
      <w:r w:rsidRPr="00D4588A">
        <w:t xml:space="preserve"> Party’s response to the communication, p. 1</w:t>
      </w:r>
      <w:r>
        <w:t>3</w:t>
      </w:r>
      <w:r w:rsidRPr="00D4588A">
        <w:t>.</w:t>
      </w:r>
    </w:p>
  </w:footnote>
  <w:footnote w:id="116">
    <w:p w14:paraId="56BDB58B" w14:textId="3D9884CC" w:rsidR="00887BC2" w:rsidRPr="00DF5DA0" w:rsidRDefault="00887BC2" w:rsidP="00FB28D7">
      <w:pPr>
        <w:pStyle w:val="FootnoteText"/>
        <w:tabs>
          <w:tab w:val="clear" w:pos="1021"/>
          <w:tab w:val="left" w:pos="1134"/>
          <w:tab w:val="right" w:pos="1701"/>
        </w:tabs>
        <w:ind w:firstLine="0"/>
        <w:rPr>
          <w:lang w:val="fr-CH"/>
        </w:rPr>
      </w:pPr>
      <w:r>
        <w:tab/>
      </w:r>
      <w:r>
        <w:rPr>
          <w:rStyle w:val="FootnoteReference"/>
        </w:rPr>
        <w:footnoteRef/>
      </w:r>
      <w:r w:rsidRPr="00DF5DA0">
        <w:rPr>
          <w:lang w:val="fr-CH"/>
        </w:rPr>
        <w:t xml:space="preserve"> Communication, </w:t>
      </w:r>
      <w:r>
        <w:rPr>
          <w:lang w:val="fr-CH"/>
        </w:rPr>
        <w:t>p.</w:t>
      </w:r>
      <w:r w:rsidRPr="00DF5DA0">
        <w:rPr>
          <w:lang w:val="fr-CH"/>
        </w:rPr>
        <w:t xml:space="preserve"> 18.</w:t>
      </w:r>
    </w:p>
  </w:footnote>
  <w:footnote w:id="117">
    <w:p w14:paraId="46EA7C26" w14:textId="4FB06827" w:rsidR="00887BC2" w:rsidRPr="00DF5DA0" w:rsidRDefault="00887BC2" w:rsidP="00FB28D7">
      <w:pPr>
        <w:pStyle w:val="FootnoteText"/>
        <w:tabs>
          <w:tab w:val="clear" w:pos="1021"/>
          <w:tab w:val="left" w:pos="1134"/>
          <w:tab w:val="right" w:pos="1701"/>
        </w:tabs>
        <w:ind w:firstLine="0"/>
        <w:rPr>
          <w:lang w:val="fr-CH"/>
        </w:rPr>
      </w:pPr>
      <w:r w:rsidRPr="00DF5DA0">
        <w:rPr>
          <w:lang w:val="fr-CH"/>
        </w:rPr>
        <w:tab/>
      </w:r>
      <w:r>
        <w:rPr>
          <w:rStyle w:val="FootnoteReference"/>
        </w:rPr>
        <w:footnoteRef/>
      </w:r>
      <w:r w:rsidRPr="00DF5DA0">
        <w:rPr>
          <w:lang w:val="fr-CH"/>
        </w:rPr>
        <w:t xml:space="preserve"> Communication, p. 15. </w:t>
      </w:r>
    </w:p>
  </w:footnote>
  <w:footnote w:id="118">
    <w:p w14:paraId="2CA991CD" w14:textId="57255EBD" w:rsidR="00887BC2" w:rsidRPr="00F17E20" w:rsidRDefault="00887BC2" w:rsidP="00FB28D7">
      <w:pPr>
        <w:pStyle w:val="FootnoteText"/>
        <w:tabs>
          <w:tab w:val="clear" w:pos="1021"/>
          <w:tab w:val="left" w:pos="1134"/>
          <w:tab w:val="right" w:pos="1701"/>
        </w:tabs>
        <w:ind w:firstLine="0"/>
        <w:rPr>
          <w:lang w:val="fr-CH"/>
        </w:rPr>
      </w:pPr>
      <w:r w:rsidRPr="00FA053C">
        <w:rPr>
          <w:lang w:val="fr-CH"/>
        </w:rPr>
        <w:tab/>
      </w:r>
      <w:r>
        <w:rPr>
          <w:rStyle w:val="FootnoteReference"/>
        </w:rPr>
        <w:footnoteRef/>
      </w:r>
      <w:r w:rsidRPr="00FA053C">
        <w:rPr>
          <w:lang w:val="fr-CH"/>
        </w:rPr>
        <w:t xml:space="preserve"> Communication, p. 15.</w:t>
      </w:r>
    </w:p>
  </w:footnote>
  <w:footnote w:id="119">
    <w:p w14:paraId="004B30B4" w14:textId="398C51A8" w:rsidR="00887BC2" w:rsidRPr="00FA053C" w:rsidRDefault="00887BC2" w:rsidP="00FB28D7">
      <w:pPr>
        <w:pStyle w:val="FootnoteText"/>
        <w:tabs>
          <w:tab w:val="clear" w:pos="1021"/>
          <w:tab w:val="left" w:pos="1134"/>
          <w:tab w:val="right" w:pos="1701"/>
        </w:tabs>
        <w:ind w:firstLine="0"/>
        <w:rPr>
          <w:lang w:val="fr-CH"/>
        </w:rPr>
      </w:pPr>
      <w:r w:rsidRPr="00FA053C">
        <w:rPr>
          <w:lang w:val="fr-CH"/>
        </w:rPr>
        <w:tab/>
      </w:r>
      <w:r>
        <w:rPr>
          <w:rStyle w:val="FootnoteReference"/>
        </w:rPr>
        <w:footnoteRef/>
      </w:r>
      <w:r w:rsidRPr="00FA053C">
        <w:rPr>
          <w:lang w:val="fr-CH"/>
        </w:rPr>
        <w:t xml:space="preserve"> Communication, p</w:t>
      </w:r>
      <w:r>
        <w:rPr>
          <w:lang w:val="fr-CH"/>
        </w:rPr>
        <w:t>p.</w:t>
      </w:r>
      <w:r w:rsidRPr="00FA053C">
        <w:rPr>
          <w:lang w:val="fr-CH"/>
        </w:rPr>
        <w:t xml:space="preserve"> 15-16.</w:t>
      </w:r>
    </w:p>
  </w:footnote>
  <w:footnote w:id="120">
    <w:p w14:paraId="5F982AF4" w14:textId="08C64687" w:rsidR="00887BC2" w:rsidRPr="00D4588A" w:rsidRDefault="00887BC2" w:rsidP="00FB28D7">
      <w:pPr>
        <w:pStyle w:val="FootnoteText"/>
        <w:tabs>
          <w:tab w:val="clear" w:pos="1021"/>
          <w:tab w:val="left" w:pos="1134"/>
          <w:tab w:val="right" w:pos="1701"/>
        </w:tabs>
        <w:ind w:firstLine="0"/>
        <w:rPr>
          <w:lang w:val="fr-CH"/>
        </w:rPr>
      </w:pPr>
      <w:r w:rsidRPr="00D4588A">
        <w:rPr>
          <w:lang w:val="fr-CH"/>
        </w:rPr>
        <w:tab/>
      </w:r>
      <w:r>
        <w:rPr>
          <w:rStyle w:val="FootnoteReference"/>
        </w:rPr>
        <w:footnoteRef/>
      </w:r>
      <w:r w:rsidRPr="00D4588A">
        <w:rPr>
          <w:lang w:val="fr-CH"/>
        </w:rPr>
        <w:t xml:space="preserve"> Communication, p</w:t>
      </w:r>
      <w:r>
        <w:rPr>
          <w:lang w:val="fr-CH"/>
        </w:rPr>
        <w:t>p.</w:t>
      </w:r>
      <w:r w:rsidRPr="00D4588A">
        <w:rPr>
          <w:lang w:val="fr-CH"/>
        </w:rPr>
        <w:t xml:space="preserve"> 16-17.</w:t>
      </w:r>
    </w:p>
  </w:footnote>
  <w:footnote w:id="121">
    <w:p w14:paraId="6BB4AA02" w14:textId="663134DF" w:rsidR="00887BC2" w:rsidRPr="00D4588A" w:rsidRDefault="00887BC2" w:rsidP="00FB28D7">
      <w:pPr>
        <w:pStyle w:val="FootnoteText"/>
        <w:tabs>
          <w:tab w:val="clear" w:pos="1021"/>
          <w:tab w:val="left" w:pos="1134"/>
          <w:tab w:val="right" w:pos="1701"/>
        </w:tabs>
        <w:ind w:firstLine="0"/>
        <w:rPr>
          <w:lang w:val="fr-CH"/>
        </w:rPr>
      </w:pPr>
      <w:r w:rsidRPr="00D4588A">
        <w:rPr>
          <w:lang w:val="fr-CH"/>
        </w:rPr>
        <w:tab/>
      </w:r>
      <w:r>
        <w:rPr>
          <w:rStyle w:val="FootnoteReference"/>
        </w:rPr>
        <w:footnoteRef/>
      </w:r>
      <w:r w:rsidRPr="00D4588A">
        <w:rPr>
          <w:lang w:val="fr-CH"/>
        </w:rPr>
        <w:t xml:space="preserve"> Communication, p. 17.</w:t>
      </w:r>
    </w:p>
  </w:footnote>
  <w:footnote w:id="122">
    <w:p w14:paraId="0CEAEF03" w14:textId="7DD16C35" w:rsidR="00887BC2" w:rsidRPr="00D4588A" w:rsidRDefault="00887BC2" w:rsidP="00FB28D7">
      <w:pPr>
        <w:pStyle w:val="FootnoteText"/>
        <w:tabs>
          <w:tab w:val="clear" w:pos="1021"/>
          <w:tab w:val="left" w:pos="1134"/>
          <w:tab w:val="right" w:pos="1701"/>
        </w:tabs>
        <w:ind w:firstLine="0"/>
        <w:rPr>
          <w:lang w:val="fr-CH"/>
        </w:rPr>
      </w:pPr>
      <w:r w:rsidRPr="00D4588A">
        <w:rPr>
          <w:lang w:val="fr-CH"/>
        </w:rPr>
        <w:tab/>
      </w:r>
      <w:r>
        <w:rPr>
          <w:rStyle w:val="FootnoteReference"/>
        </w:rPr>
        <w:footnoteRef/>
      </w:r>
      <w:r w:rsidRPr="00D4588A">
        <w:rPr>
          <w:lang w:val="fr-CH"/>
        </w:rPr>
        <w:t xml:space="preserve"> Communication, p. 16.</w:t>
      </w:r>
    </w:p>
  </w:footnote>
  <w:footnote w:id="123">
    <w:p w14:paraId="2BE0094D" w14:textId="3D0EDA17" w:rsidR="00887BC2" w:rsidRPr="00FA053C" w:rsidRDefault="00887BC2" w:rsidP="00FB28D7">
      <w:pPr>
        <w:pStyle w:val="FootnoteText"/>
        <w:tabs>
          <w:tab w:val="clear" w:pos="1021"/>
          <w:tab w:val="left" w:pos="1134"/>
          <w:tab w:val="right" w:pos="1701"/>
        </w:tabs>
        <w:ind w:firstLine="0"/>
        <w:rPr>
          <w:lang w:val="fr-CH"/>
        </w:rPr>
      </w:pPr>
      <w:r w:rsidRPr="00FA053C">
        <w:rPr>
          <w:lang w:val="fr-CH"/>
        </w:rPr>
        <w:tab/>
      </w:r>
      <w:r>
        <w:rPr>
          <w:rStyle w:val="FootnoteReference"/>
        </w:rPr>
        <w:footnoteRef/>
      </w:r>
      <w:r w:rsidRPr="00FA053C">
        <w:rPr>
          <w:lang w:val="fr-CH"/>
        </w:rPr>
        <w:t xml:space="preserve"> Communication, p. 16.</w:t>
      </w:r>
    </w:p>
  </w:footnote>
  <w:footnote w:id="124">
    <w:p w14:paraId="4CD1A630" w14:textId="79975117" w:rsidR="00887BC2" w:rsidRPr="00FA053C" w:rsidRDefault="00887BC2" w:rsidP="00FB28D7">
      <w:pPr>
        <w:pStyle w:val="FootnoteText"/>
        <w:tabs>
          <w:tab w:val="clear" w:pos="1021"/>
          <w:tab w:val="left" w:pos="1134"/>
          <w:tab w:val="right" w:pos="1701"/>
        </w:tabs>
        <w:ind w:firstLine="0"/>
        <w:rPr>
          <w:lang w:val="fr-CH"/>
        </w:rPr>
      </w:pPr>
      <w:r w:rsidRPr="000E50AB">
        <w:rPr>
          <w:lang w:val="fr-CH"/>
        </w:rPr>
        <w:tab/>
      </w:r>
      <w:r>
        <w:rPr>
          <w:rStyle w:val="FootnoteReference"/>
        </w:rPr>
        <w:footnoteRef/>
      </w:r>
      <w:r w:rsidRPr="00FA053C">
        <w:rPr>
          <w:lang w:val="fr-CH"/>
        </w:rPr>
        <w:t xml:space="preserve"> Communication, p. 17.</w:t>
      </w:r>
    </w:p>
  </w:footnote>
  <w:footnote w:id="125">
    <w:p w14:paraId="21E169C3" w14:textId="587E1FD0" w:rsidR="00887BC2" w:rsidRPr="00FA053C" w:rsidRDefault="00887BC2" w:rsidP="00FB28D7">
      <w:pPr>
        <w:pStyle w:val="FootnoteText"/>
        <w:tabs>
          <w:tab w:val="clear" w:pos="1021"/>
          <w:tab w:val="left" w:pos="1134"/>
          <w:tab w:val="right" w:pos="1701"/>
        </w:tabs>
        <w:ind w:firstLine="0"/>
      </w:pPr>
      <w:r w:rsidRPr="000E50AB">
        <w:rPr>
          <w:lang w:val="fr-CH"/>
        </w:rPr>
        <w:tab/>
      </w:r>
      <w:r>
        <w:rPr>
          <w:rStyle w:val="FootnoteReference"/>
        </w:rPr>
        <w:footnoteRef/>
      </w:r>
      <w:r w:rsidRPr="00FA053C">
        <w:t xml:space="preserve"> Party’s response to the communication, p. 12.</w:t>
      </w:r>
    </w:p>
  </w:footnote>
  <w:footnote w:id="126">
    <w:p w14:paraId="5FA32E03" w14:textId="3985AE57" w:rsidR="00887BC2" w:rsidRPr="00D4588A" w:rsidRDefault="00887BC2" w:rsidP="00FB28D7">
      <w:pPr>
        <w:pStyle w:val="FootnoteText"/>
        <w:tabs>
          <w:tab w:val="clear" w:pos="1021"/>
          <w:tab w:val="left" w:pos="1134"/>
          <w:tab w:val="right" w:pos="1701"/>
        </w:tabs>
        <w:ind w:firstLine="0"/>
      </w:pPr>
      <w:r w:rsidRPr="00952955">
        <w:rPr>
          <w:lang w:val="en-US"/>
        </w:rPr>
        <w:tab/>
      </w:r>
      <w:r>
        <w:rPr>
          <w:rStyle w:val="FootnoteReference"/>
        </w:rPr>
        <w:footnoteRef/>
      </w:r>
      <w:r w:rsidRPr="00D4588A">
        <w:t xml:space="preserve"> Party’s response to the communication, p. 12.</w:t>
      </w:r>
    </w:p>
  </w:footnote>
  <w:footnote w:id="127">
    <w:p w14:paraId="12291092" w14:textId="635E7399" w:rsidR="00887BC2" w:rsidRPr="00D4588A" w:rsidRDefault="00887BC2" w:rsidP="00FB28D7">
      <w:pPr>
        <w:pStyle w:val="FootnoteText"/>
        <w:tabs>
          <w:tab w:val="clear" w:pos="1021"/>
          <w:tab w:val="left" w:pos="1134"/>
          <w:tab w:val="right" w:pos="1701"/>
        </w:tabs>
        <w:ind w:firstLine="0"/>
      </w:pPr>
      <w:r w:rsidRPr="00952955">
        <w:rPr>
          <w:lang w:val="en-US"/>
        </w:rPr>
        <w:tab/>
      </w:r>
      <w:r>
        <w:rPr>
          <w:rStyle w:val="FootnoteReference"/>
        </w:rPr>
        <w:footnoteRef/>
      </w:r>
      <w:r w:rsidRPr="00D4588A">
        <w:t xml:space="preserve"> Party’s response to the communication, p. 1</w:t>
      </w:r>
      <w:r>
        <w:t>4</w:t>
      </w:r>
      <w:r w:rsidRPr="00D4588A">
        <w:t>.</w:t>
      </w:r>
    </w:p>
  </w:footnote>
  <w:footnote w:id="128">
    <w:p w14:paraId="4C6D5E98" w14:textId="2DFD2418" w:rsidR="00887BC2" w:rsidRPr="00D4588A" w:rsidRDefault="00887BC2" w:rsidP="00FB28D7">
      <w:pPr>
        <w:pStyle w:val="FootnoteText"/>
        <w:tabs>
          <w:tab w:val="clear" w:pos="1021"/>
          <w:tab w:val="left" w:pos="1134"/>
          <w:tab w:val="right" w:pos="1701"/>
        </w:tabs>
        <w:ind w:firstLine="0"/>
      </w:pPr>
      <w:r w:rsidRPr="00952955">
        <w:rPr>
          <w:lang w:val="en-US"/>
        </w:rPr>
        <w:tab/>
      </w:r>
      <w:r>
        <w:rPr>
          <w:rStyle w:val="FootnoteReference"/>
        </w:rPr>
        <w:footnoteRef/>
      </w:r>
      <w:r w:rsidRPr="00D4588A">
        <w:t xml:space="preserve"> Party’s response to the communication, p. 1</w:t>
      </w:r>
      <w:r>
        <w:t>2, and Party’s opening statement, 29 September 2016, p. 3</w:t>
      </w:r>
      <w:r w:rsidRPr="00D4588A">
        <w:t>.</w:t>
      </w:r>
    </w:p>
  </w:footnote>
  <w:footnote w:id="129">
    <w:p w14:paraId="71513D6B" w14:textId="2BEFFE3C" w:rsidR="00887BC2" w:rsidRPr="00616581" w:rsidRDefault="00887BC2" w:rsidP="00FB28D7">
      <w:pPr>
        <w:pStyle w:val="FootnoteText"/>
        <w:tabs>
          <w:tab w:val="clear" w:pos="1021"/>
          <w:tab w:val="left" w:pos="1134"/>
          <w:tab w:val="right" w:pos="1701"/>
        </w:tabs>
        <w:ind w:firstLine="0"/>
      </w:pPr>
      <w:r>
        <w:rPr>
          <w:rStyle w:val="FootnoteReference"/>
        </w:rPr>
        <w:footnoteRef/>
      </w:r>
      <w:r>
        <w:t xml:space="preserve"> </w:t>
      </w:r>
      <w:r w:rsidR="00445225">
        <w:rPr>
          <w:lang w:val="en-US"/>
        </w:rPr>
        <w:t>Party’s reply to Committee’s questions, 18 May 2021, annex 11, p. 28.</w:t>
      </w:r>
    </w:p>
  </w:footnote>
  <w:footnote w:id="130">
    <w:p w14:paraId="54AE31B3" w14:textId="77777777" w:rsidR="00887BC2" w:rsidRPr="0080521D" w:rsidRDefault="00887BC2" w:rsidP="00FB28D7">
      <w:pPr>
        <w:pStyle w:val="FootnoteText"/>
        <w:tabs>
          <w:tab w:val="clear" w:pos="1021"/>
          <w:tab w:val="left" w:pos="1134"/>
          <w:tab w:val="right" w:pos="1701"/>
        </w:tabs>
        <w:ind w:firstLine="0"/>
      </w:pPr>
      <w:r>
        <w:rPr>
          <w:rStyle w:val="FootnoteReference"/>
        </w:rPr>
        <w:footnoteRef/>
      </w:r>
      <w:r>
        <w:t xml:space="preserve"> Cf. Vienna Convention of the Law of the Treaties, article 31.</w:t>
      </w:r>
    </w:p>
  </w:footnote>
  <w:footnote w:id="131">
    <w:p w14:paraId="39B5755F" w14:textId="77777777" w:rsidR="00887BC2" w:rsidRPr="00DC365C" w:rsidRDefault="00887BC2" w:rsidP="00FB28D7">
      <w:pPr>
        <w:pStyle w:val="FootnoteText"/>
        <w:tabs>
          <w:tab w:val="clear" w:pos="1021"/>
          <w:tab w:val="left" w:pos="1134"/>
          <w:tab w:val="right" w:pos="1701"/>
        </w:tabs>
        <w:ind w:firstLine="0"/>
      </w:pPr>
      <w:r>
        <w:rPr>
          <w:rStyle w:val="FootnoteReference"/>
        </w:rPr>
        <w:footnoteRef/>
      </w:r>
      <w:r w:rsidRPr="00AB44F6">
        <w:rPr>
          <w:lang w:val="es-ES"/>
        </w:rPr>
        <w:t xml:space="preserve"> ECE/</w:t>
      </w:r>
      <w:proofErr w:type="gramStart"/>
      <w:r w:rsidRPr="00AB44F6">
        <w:rPr>
          <w:lang w:val="es-ES"/>
        </w:rPr>
        <w:t>MP.PP</w:t>
      </w:r>
      <w:proofErr w:type="gramEnd"/>
      <w:r w:rsidRPr="00AB44F6">
        <w:rPr>
          <w:lang w:val="es-ES"/>
        </w:rPr>
        <w:t>/C.1/2011/6/Add.1, para</w:t>
      </w:r>
      <w:r>
        <w:rPr>
          <w:lang w:val="es-ES"/>
        </w:rPr>
        <w:t xml:space="preserve">. </w:t>
      </w:r>
      <w:r w:rsidRPr="00DC365C">
        <w:t>61.</w:t>
      </w:r>
    </w:p>
  </w:footnote>
  <w:footnote w:id="132">
    <w:p w14:paraId="01649315" w14:textId="107BA234" w:rsidR="00887BC2" w:rsidRPr="00C02951" w:rsidRDefault="00887BC2" w:rsidP="00FB28D7">
      <w:pPr>
        <w:pStyle w:val="FootnoteText"/>
        <w:tabs>
          <w:tab w:val="clear" w:pos="1021"/>
          <w:tab w:val="left" w:pos="1134"/>
          <w:tab w:val="right" w:pos="1701"/>
        </w:tabs>
        <w:ind w:firstLine="0"/>
      </w:pPr>
      <w:r>
        <w:rPr>
          <w:rStyle w:val="FootnoteReference"/>
        </w:rPr>
        <w:footnoteRef/>
      </w:r>
      <w:r>
        <w:t xml:space="preserve"> Maastricht </w:t>
      </w:r>
      <w:r w:rsidR="00445225">
        <w:t>R</w:t>
      </w:r>
      <w:r>
        <w:t>ecommendations, heading of section IV (“Public participation during the preparation of executive regulations and laws (article 8)”) and paras 184, 185, 186, 187 and 190.</w:t>
      </w:r>
    </w:p>
  </w:footnote>
  <w:footnote w:id="133">
    <w:p w14:paraId="0A6B50BE" w14:textId="4C0F617C" w:rsidR="00887BC2" w:rsidRPr="00361866" w:rsidRDefault="00887BC2" w:rsidP="00FB28D7">
      <w:pPr>
        <w:pStyle w:val="FootnoteText"/>
        <w:tabs>
          <w:tab w:val="clear" w:pos="1021"/>
          <w:tab w:val="left" w:pos="1134"/>
          <w:tab w:val="right" w:pos="1701"/>
        </w:tabs>
        <w:ind w:firstLine="0"/>
      </w:pPr>
      <w:r>
        <w:rPr>
          <w:rStyle w:val="FootnoteReference"/>
        </w:rPr>
        <w:footnoteRef/>
      </w:r>
      <w:r>
        <w:t xml:space="preserve"> See </w:t>
      </w:r>
      <w:r w:rsidR="00445225">
        <w:t>ACCC/C/2011/61</w:t>
      </w:r>
      <w:r>
        <w:t xml:space="preserve"> (</w:t>
      </w:r>
      <w:r w:rsidR="00445225">
        <w:t>United Kingdom</w:t>
      </w:r>
      <w:r>
        <w:t>),</w:t>
      </w:r>
      <w:r w:rsidR="00445225">
        <w:t xml:space="preserve"> ECE/</w:t>
      </w:r>
      <w:proofErr w:type="gramStart"/>
      <w:r w:rsidR="00445225">
        <w:t>MP.PP</w:t>
      </w:r>
      <w:proofErr w:type="gramEnd"/>
      <w:r w:rsidR="00445225">
        <w:t>/C.1/2013/13,</w:t>
      </w:r>
      <w:r>
        <w:t xml:space="preserve"> para</w:t>
      </w:r>
      <w:r w:rsidR="00445225">
        <w:t>.</w:t>
      </w:r>
      <w:r>
        <w:t xml:space="preserve"> 54, where the Committee held that the parliament did not act in a legislative capacity, but “rather as the ‘public authority’ authorizing the project.” </w:t>
      </w:r>
    </w:p>
  </w:footnote>
  <w:footnote w:id="134">
    <w:p w14:paraId="520540C5" w14:textId="65CDF976" w:rsidR="00887BC2" w:rsidRPr="00A231AB" w:rsidRDefault="00887BC2" w:rsidP="00FB28D7">
      <w:pPr>
        <w:pStyle w:val="FootnoteText"/>
        <w:tabs>
          <w:tab w:val="clear" w:pos="1021"/>
          <w:tab w:val="left" w:pos="1134"/>
          <w:tab w:val="right" w:pos="1701"/>
        </w:tabs>
        <w:ind w:firstLine="0"/>
      </w:pPr>
      <w:r>
        <w:rPr>
          <w:rStyle w:val="FootnoteReference"/>
        </w:rPr>
        <w:footnoteRef/>
      </w:r>
      <w:r>
        <w:t xml:space="preserve"> In this respect, the Committee notes that such a “functionalist interpretation” leads the Committee to a different conclusion than that of the Court of Justice of the European Union in C-204/09, </w:t>
      </w:r>
      <w:proofErr w:type="spellStart"/>
      <w:r w:rsidRPr="006D34D4">
        <w:rPr>
          <w:i/>
        </w:rPr>
        <w:t>Flachglas</w:t>
      </w:r>
      <w:proofErr w:type="spellEnd"/>
      <w:r w:rsidRPr="006D34D4">
        <w:rPr>
          <w:i/>
        </w:rPr>
        <w:t xml:space="preserve"> </w:t>
      </w:r>
      <w:proofErr w:type="spellStart"/>
      <w:r w:rsidRPr="006D34D4">
        <w:rPr>
          <w:i/>
        </w:rPr>
        <w:t>Torgau</w:t>
      </w:r>
      <w:proofErr w:type="spellEnd"/>
      <w:r>
        <w:t>.</w:t>
      </w:r>
    </w:p>
  </w:footnote>
  <w:footnote w:id="135">
    <w:p w14:paraId="4C825D54" w14:textId="1D5519E1" w:rsidR="00887BC2" w:rsidRPr="00603D89" w:rsidRDefault="00887BC2" w:rsidP="00FB28D7">
      <w:pPr>
        <w:pStyle w:val="FootnoteText"/>
        <w:tabs>
          <w:tab w:val="clear" w:pos="1021"/>
          <w:tab w:val="left" w:pos="1134"/>
          <w:tab w:val="right" w:pos="1701"/>
        </w:tabs>
        <w:ind w:firstLine="0"/>
        <w:rPr>
          <w:lang w:val="en-US"/>
        </w:rPr>
      </w:pPr>
      <w:r w:rsidRPr="00DC365C">
        <w:tab/>
      </w:r>
      <w:r>
        <w:rPr>
          <w:rStyle w:val="FootnoteReference"/>
        </w:rPr>
        <w:footnoteRef/>
      </w:r>
      <w:r w:rsidRPr="00603D89">
        <w:rPr>
          <w:lang w:val="es-ES"/>
        </w:rPr>
        <w:t xml:space="preserve"> </w:t>
      </w:r>
      <w:r w:rsidRPr="00603D89">
        <w:rPr>
          <w:sz w:val="20"/>
          <w:lang w:val="es-ES"/>
        </w:rPr>
        <w:t>ECE/</w:t>
      </w:r>
      <w:proofErr w:type="gramStart"/>
      <w:r w:rsidRPr="00603D89">
        <w:rPr>
          <w:sz w:val="20"/>
          <w:lang w:val="es-ES"/>
        </w:rPr>
        <w:t>MP.PP</w:t>
      </w:r>
      <w:proofErr w:type="gramEnd"/>
      <w:r w:rsidRPr="00603D89">
        <w:rPr>
          <w:sz w:val="20"/>
          <w:lang w:val="es-ES"/>
        </w:rPr>
        <w:t xml:space="preserve">/C.1/2009/8/Add.1, paras. </w:t>
      </w:r>
      <w:r>
        <w:rPr>
          <w:sz w:val="20"/>
        </w:rPr>
        <w:t>98-99; See also ACCC/C/2012/68 (European Union and United Kingdom), ECE/</w:t>
      </w:r>
      <w:proofErr w:type="gramStart"/>
      <w:r>
        <w:rPr>
          <w:sz w:val="20"/>
        </w:rPr>
        <w:t>MP.PP</w:t>
      </w:r>
      <w:proofErr w:type="gramEnd"/>
      <w:r>
        <w:rPr>
          <w:sz w:val="20"/>
        </w:rPr>
        <w:t xml:space="preserve">/C.1/2014/5, paras. 80 and 83. </w:t>
      </w:r>
      <w:r>
        <w:t xml:space="preserve"> </w:t>
      </w:r>
    </w:p>
  </w:footnote>
  <w:footnote w:id="136">
    <w:p w14:paraId="404333CF" w14:textId="77777777" w:rsidR="00887BC2" w:rsidRPr="00D76BCD" w:rsidRDefault="00887BC2" w:rsidP="00FB28D7">
      <w:pPr>
        <w:pStyle w:val="FootnoteText"/>
        <w:tabs>
          <w:tab w:val="clear" w:pos="1021"/>
          <w:tab w:val="left" w:pos="1134"/>
          <w:tab w:val="right" w:pos="1701"/>
        </w:tabs>
        <w:ind w:firstLine="0"/>
        <w:rPr>
          <w:lang w:val="en-US"/>
        </w:rPr>
      </w:pPr>
      <w:r>
        <w:rPr>
          <w:rStyle w:val="FootnoteReference"/>
        </w:rPr>
        <w:footnoteRef/>
      </w:r>
      <w:r>
        <w:t xml:space="preserve"> </w:t>
      </w:r>
      <w:r>
        <w:rPr>
          <w:lang w:val="en-US"/>
        </w:rPr>
        <w:t>Communication, p. 17.</w:t>
      </w:r>
    </w:p>
  </w:footnote>
  <w:footnote w:id="137">
    <w:p w14:paraId="6D27734C" w14:textId="47D6FA82" w:rsidR="00887BC2" w:rsidRPr="00EC3A58" w:rsidRDefault="00887BC2" w:rsidP="00FB28D7">
      <w:pPr>
        <w:pStyle w:val="FootnoteText"/>
        <w:tabs>
          <w:tab w:val="clear" w:pos="1021"/>
          <w:tab w:val="left" w:pos="1134"/>
          <w:tab w:val="right" w:pos="1701"/>
        </w:tabs>
        <w:ind w:firstLine="0"/>
        <w:rPr>
          <w:lang w:val="en-US"/>
        </w:rPr>
      </w:pPr>
      <w:r>
        <w:rPr>
          <w:rStyle w:val="FootnoteReference"/>
        </w:rPr>
        <w:footnoteRef/>
      </w:r>
      <w:r>
        <w:t xml:space="preserve"> </w:t>
      </w:r>
      <w:r>
        <w:rPr>
          <w:lang w:val="en-US"/>
        </w:rPr>
        <w:t>Party’s reply</w:t>
      </w:r>
      <w:r w:rsidR="00445225">
        <w:rPr>
          <w:lang w:val="en-US"/>
        </w:rPr>
        <w:t xml:space="preserve"> to Committee’s questions</w:t>
      </w:r>
      <w:r>
        <w:rPr>
          <w:lang w:val="en-US"/>
        </w:rPr>
        <w:t>, 18</w:t>
      </w:r>
      <w:r w:rsidR="00445225">
        <w:rPr>
          <w:lang w:val="en-US"/>
        </w:rPr>
        <w:t xml:space="preserve"> May </w:t>
      </w:r>
      <w:r>
        <w:rPr>
          <w:lang w:val="en-US"/>
        </w:rPr>
        <w:t>2021, annex 11, pp. 25-26 and 28.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7FFA24" w14:textId="77777777" w:rsidR="00887BC2" w:rsidRPr="0003534F" w:rsidRDefault="00887BC2" w:rsidP="00451F8C">
    <w:pPr>
      <w:pStyle w:val="Header"/>
      <w:jc w:val="right"/>
      <w:rPr>
        <w:lang w:val="en-US"/>
      </w:rPr>
    </w:pPr>
    <w:r>
      <w:rPr>
        <w:b w:val="0"/>
      </w:rPr>
      <w:t xml:space="preserve">C81 draft findings – February 16 </w:t>
    </w:r>
  </w:p>
  <w:p w14:paraId="02ABF114" w14:textId="77777777" w:rsidR="00887BC2" w:rsidRPr="00DB21DC" w:rsidRDefault="00887BC2" w:rsidP="002208DD">
    <w:pPr>
      <w:pStyle w:val="Header"/>
      <w:jc w:val="right"/>
      <w:rPr>
        <w:b w:val="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DA9FDB" w14:textId="77777777" w:rsidR="00887BC2" w:rsidRDefault="00887BC2" w:rsidP="00451F8C">
    <w:pPr>
      <w:pStyle w:val="Header"/>
      <w:jc w:val="right"/>
      <w:rPr>
        <w:b w:val="0"/>
      </w:rPr>
    </w:pPr>
    <w:r>
      <w:rPr>
        <w:b w:val="0"/>
      </w:rPr>
      <w:t>ACCC/C/2014/120 (Slovakia)</w:t>
    </w:r>
  </w:p>
  <w:p w14:paraId="5B03E384" w14:textId="59A09DDD" w:rsidR="00887BC2" w:rsidRPr="0067740B" w:rsidRDefault="00887BC2" w:rsidP="00220860">
    <w:pPr>
      <w:pStyle w:val="Header"/>
      <w:jc w:val="right"/>
    </w:pPr>
    <w:r>
      <w:rPr>
        <w:b w:val="0"/>
      </w:rPr>
      <w:t xml:space="preserve">Draft findings for </w:t>
    </w:r>
    <w:r w:rsidR="00220860">
      <w:rPr>
        <w:b w:val="0"/>
      </w:rPr>
      <w:t>parties’ comments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5C18F4" w14:textId="77777777" w:rsidR="00887BC2" w:rsidRPr="0003534F" w:rsidRDefault="00887BC2" w:rsidP="00DC11E3">
    <w:pPr>
      <w:pStyle w:val="Header"/>
      <w:jc w:val="right"/>
      <w:rPr>
        <w:lang w:val="en-US"/>
      </w:rPr>
    </w:pPr>
    <w:r>
      <w:rPr>
        <w:b w:val="0"/>
      </w:rPr>
      <w:t xml:space="preserve">C81 draft findings – February 16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56047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E84299"/>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 w15:restartNumberingAfterBreak="0">
    <w:nsid w:val="13EC6C36"/>
    <w:multiLevelType w:val="hybridMultilevel"/>
    <w:tmpl w:val="3D881B3E"/>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3" w15:restartNumberingAfterBreak="0">
    <w:nsid w:val="147C1AF3"/>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 w15:restartNumberingAfterBreak="0">
    <w:nsid w:val="17820B97"/>
    <w:multiLevelType w:val="hybridMultilevel"/>
    <w:tmpl w:val="7D4AF57A"/>
    <w:lvl w:ilvl="0" w:tplc="0809001B">
      <w:start w:val="1"/>
      <w:numFmt w:val="lowerRoman"/>
      <w:lvlText w:val="%1."/>
      <w:lvlJc w:val="right"/>
      <w:pPr>
        <w:ind w:left="2558" w:hanging="360"/>
      </w:pPr>
    </w:lvl>
    <w:lvl w:ilvl="1" w:tplc="08090019" w:tentative="1">
      <w:start w:val="1"/>
      <w:numFmt w:val="lowerLetter"/>
      <w:lvlText w:val="%2."/>
      <w:lvlJc w:val="left"/>
      <w:pPr>
        <w:ind w:left="3278" w:hanging="360"/>
      </w:pPr>
    </w:lvl>
    <w:lvl w:ilvl="2" w:tplc="0809001B" w:tentative="1">
      <w:start w:val="1"/>
      <w:numFmt w:val="lowerRoman"/>
      <w:lvlText w:val="%3."/>
      <w:lvlJc w:val="right"/>
      <w:pPr>
        <w:ind w:left="3998" w:hanging="180"/>
      </w:pPr>
    </w:lvl>
    <w:lvl w:ilvl="3" w:tplc="0809000F" w:tentative="1">
      <w:start w:val="1"/>
      <w:numFmt w:val="decimal"/>
      <w:lvlText w:val="%4."/>
      <w:lvlJc w:val="left"/>
      <w:pPr>
        <w:ind w:left="4718" w:hanging="360"/>
      </w:pPr>
    </w:lvl>
    <w:lvl w:ilvl="4" w:tplc="08090019" w:tentative="1">
      <w:start w:val="1"/>
      <w:numFmt w:val="lowerLetter"/>
      <w:lvlText w:val="%5."/>
      <w:lvlJc w:val="left"/>
      <w:pPr>
        <w:ind w:left="5438" w:hanging="360"/>
      </w:pPr>
    </w:lvl>
    <w:lvl w:ilvl="5" w:tplc="0809001B" w:tentative="1">
      <w:start w:val="1"/>
      <w:numFmt w:val="lowerRoman"/>
      <w:lvlText w:val="%6."/>
      <w:lvlJc w:val="right"/>
      <w:pPr>
        <w:ind w:left="6158" w:hanging="180"/>
      </w:pPr>
    </w:lvl>
    <w:lvl w:ilvl="6" w:tplc="0809000F" w:tentative="1">
      <w:start w:val="1"/>
      <w:numFmt w:val="decimal"/>
      <w:lvlText w:val="%7."/>
      <w:lvlJc w:val="left"/>
      <w:pPr>
        <w:ind w:left="6878" w:hanging="360"/>
      </w:pPr>
    </w:lvl>
    <w:lvl w:ilvl="7" w:tplc="08090019" w:tentative="1">
      <w:start w:val="1"/>
      <w:numFmt w:val="lowerLetter"/>
      <w:lvlText w:val="%8."/>
      <w:lvlJc w:val="left"/>
      <w:pPr>
        <w:ind w:left="7598" w:hanging="360"/>
      </w:pPr>
    </w:lvl>
    <w:lvl w:ilvl="8" w:tplc="0809001B" w:tentative="1">
      <w:start w:val="1"/>
      <w:numFmt w:val="lowerRoman"/>
      <w:lvlText w:val="%9."/>
      <w:lvlJc w:val="right"/>
      <w:pPr>
        <w:ind w:left="8318" w:hanging="180"/>
      </w:pPr>
    </w:lvl>
  </w:abstractNum>
  <w:abstractNum w:abstractNumId="5" w15:restartNumberingAfterBreak="0">
    <w:nsid w:val="1A573342"/>
    <w:multiLevelType w:val="hybridMultilevel"/>
    <w:tmpl w:val="FBA46088"/>
    <w:lvl w:ilvl="0" w:tplc="C4268414">
      <w:start w:val="1"/>
      <w:numFmt w:val="decimal"/>
      <w:lvlText w:val="%1."/>
      <w:lvlJc w:val="left"/>
      <w:pPr>
        <w:tabs>
          <w:tab w:val="num" w:pos="1711"/>
        </w:tabs>
        <w:ind w:left="1711"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 w15:restartNumberingAfterBreak="0">
    <w:nsid w:val="1A90341A"/>
    <w:multiLevelType w:val="hybridMultilevel"/>
    <w:tmpl w:val="C7AEDFF8"/>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7" w15:restartNumberingAfterBreak="0">
    <w:nsid w:val="1ADF1033"/>
    <w:multiLevelType w:val="hybridMultilevel"/>
    <w:tmpl w:val="3D5C4F84"/>
    <w:lvl w:ilvl="0" w:tplc="0680D000">
      <w:start w:val="27"/>
      <w:numFmt w:val="decimal"/>
      <w:lvlText w:val="%1."/>
      <w:lvlJc w:val="left"/>
      <w:pPr>
        <w:tabs>
          <w:tab w:val="num" w:pos="1569"/>
        </w:tabs>
        <w:ind w:left="1569" w:hanging="576"/>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991E8E"/>
    <w:multiLevelType w:val="hybridMultilevel"/>
    <w:tmpl w:val="AC18A456"/>
    <w:lvl w:ilvl="0" w:tplc="0409000F">
      <w:start w:val="1"/>
      <w:numFmt w:val="decimal"/>
      <w:lvlText w:val="%1."/>
      <w:lvlJc w:val="lef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9" w15:restartNumberingAfterBreak="0">
    <w:nsid w:val="2177095F"/>
    <w:multiLevelType w:val="hybridMultilevel"/>
    <w:tmpl w:val="7C1E1EDC"/>
    <w:lvl w:ilvl="0" w:tplc="A7223978">
      <w:start w:val="26"/>
      <w:numFmt w:val="decimal"/>
      <w:lvlText w:val="%1."/>
      <w:lvlJc w:val="left"/>
      <w:pPr>
        <w:tabs>
          <w:tab w:val="num" w:pos="1143"/>
        </w:tabs>
        <w:ind w:left="1143" w:hanging="576"/>
      </w:pPr>
      <w:rPr>
        <w:rFonts w:hint="default"/>
        <w:b w:val="0"/>
        <w:i w:val="0"/>
      </w:rPr>
    </w:lvl>
    <w:lvl w:ilvl="1" w:tplc="08090019" w:tentative="1">
      <w:start w:val="1"/>
      <w:numFmt w:val="lowerLetter"/>
      <w:lvlText w:val="%2."/>
      <w:lvlJc w:val="left"/>
      <w:pPr>
        <w:ind w:left="1014" w:hanging="360"/>
      </w:pPr>
    </w:lvl>
    <w:lvl w:ilvl="2" w:tplc="0809001B" w:tentative="1">
      <w:start w:val="1"/>
      <w:numFmt w:val="lowerRoman"/>
      <w:lvlText w:val="%3."/>
      <w:lvlJc w:val="right"/>
      <w:pPr>
        <w:ind w:left="1734" w:hanging="180"/>
      </w:pPr>
    </w:lvl>
    <w:lvl w:ilvl="3" w:tplc="0809000F" w:tentative="1">
      <w:start w:val="1"/>
      <w:numFmt w:val="decimal"/>
      <w:lvlText w:val="%4."/>
      <w:lvlJc w:val="left"/>
      <w:pPr>
        <w:ind w:left="2454" w:hanging="360"/>
      </w:pPr>
    </w:lvl>
    <w:lvl w:ilvl="4" w:tplc="08090019" w:tentative="1">
      <w:start w:val="1"/>
      <w:numFmt w:val="lowerLetter"/>
      <w:lvlText w:val="%5."/>
      <w:lvlJc w:val="left"/>
      <w:pPr>
        <w:ind w:left="3174" w:hanging="360"/>
      </w:pPr>
    </w:lvl>
    <w:lvl w:ilvl="5" w:tplc="0809001B" w:tentative="1">
      <w:start w:val="1"/>
      <w:numFmt w:val="lowerRoman"/>
      <w:lvlText w:val="%6."/>
      <w:lvlJc w:val="right"/>
      <w:pPr>
        <w:ind w:left="3894" w:hanging="180"/>
      </w:pPr>
    </w:lvl>
    <w:lvl w:ilvl="6" w:tplc="0809000F" w:tentative="1">
      <w:start w:val="1"/>
      <w:numFmt w:val="decimal"/>
      <w:lvlText w:val="%7."/>
      <w:lvlJc w:val="left"/>
      <w:pPr>
        <w:ind w:left="4614" w:hanging="360"/>
      </w:pPr>
    </w:lvl>
    <w:lvl w:ilvl="7" w:tplc="08090019" w:tentative="1">
      <w:start w:val="1"/>
      <w:numFmt w:val="lowerLetter"/>
      <w:lvlText w:val="%8."/>
      <w:lvlJc w:val="left"/>
      <w:pPr>
        <w:ind w:left="5334" w:hanging="360"/>
      </w:pPr>
    </w:lvl>
    <w:lvl w:ilvl="8" w:tplc="0809001B" w:tentative="1">
      <w:start w:val="1"/>
      <w:numFmt w:val="lowerRoman"/>
      <w:lvlText w:val="%9."/>
      <w:lvlJc w:val="right"/>
      <w:pPr>
        <w:ind w:left="6054" w:hanging="180"/>
      </w:pPr>
    </w:lvl>
  </w:abstractNum>
  <w:abstractNum w:abstractNumId="10" w15:restartNumberingAfterBreak="0">
    <w:nsid w:val="254E4DE6"/>
    <w:multiLevelType w:val="hybridMultilevel"/>
    <w:tmpl w:val="DDB620E6"/>
    <w:lvl w:ilvl="0" w:tplc="321A89FA">
      <w:start w:val="1"/>
      <w:numFmt w:val="upperLetter"/>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11" w15:restartNumberingAfterBreak="0">
    <w:nsid w:val="2A8910F1"/>
    <w:multiLevelType w:val="hybridMultilevel"/>
    <w:tmpl w:val="54FCD376"/>
    <w:lvl w:ilvl="0" w:tplc="2BB4F0FA">
      <w:start w:val="46"/>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602BB3"/>
    <w:multiLevelType w:val="hybridMultilevel"/>
    <w:tmpl w:val="BEE83F12"/>
    <w:lvl w:ilvl="0" w:tplc="C4268414">
      <w:start w:val="1"/>
      <w:numFmt w:val="decimal"/>
      <w:lvlText w:val="%1."/>
      <w:lvlJc w:val="left"/>
      <w:pPr>
        <w:tabs>
          <w:tab w:val="num" w:pos="1427"/>
        </w:tabs>
        <w:ind w:left="1427"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3" w15:restartNumberingAfterBreak="0">
    <w:nsid w:val="2B742987"/>
    <w:multiLevelType w:val="hybridMultilevel"/>
    <w:tmpl w:val="1EF62C22"/>
    <w:lvl w:ilvl="0" w:tplc="7478BC56">
      <w:start w:val="1"/>
      <w:numFmt w:val="decimal"/>
      <w:lvlText w:val="%1."/>
      <w:lvlJc w:val="left"/>
      <w:pPr>
        <w:tabs>
          <w:tab w:val="num" w:pos="1853"/>
        </w:tabs>
        <w:ind w:left="1853" w:hanging="576"/>
      </w:pPr>
      <w:rPr>
        <w:rFonts w:hint="default"/>
        <w:b w:val="0"/>
        <w:i w:val="0"/>
        <w:lang w:val="en-GB"/>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4" w15:restartNumberingAfterBreak="0">
    <w:nsid w:val="2C95098D"/>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5" w15:restartNumberingAfterBreak="0">
    <w:nsid w:val="2E3A34B1"/>
    <w:multiLevelType w:val="hybridMultilevel"/>
    <w:tmpl w:val="BEE83F12"/>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16" w15:restartNumberingAfterBreak="0">
    <w:nsid w:val="302F2CAA"/>
    <w:multiLevelType w:val="hybridMultilevel"/>
    <w:tmpl w:val="3D5C4F84"/>
    <w:lvl w:ilvl="0" w:tplc="0680D000">
      <w:start w:val="27"/>
      <w:numFmt w:val="decimal"/>
      <w:lvlText w:val="%1."/>
      <w:lvlJc w:val="left"/>
      <w:pPr>
        <w:tabs>
          <w:tab w:val="num" w:pos="1569"/>
        </w:tabs>
        <w:ind w:left="1569" w:hanging="576"/>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10F5918"/>
    <w:multiLevelType w:val="hybridMultilevel"/>
    <w:tmpl w:val="6E3C6BDE"/>
    <w:lvl w:ilvl="0" w:tplc="9D9E53E8">
      <w:start w:val="1"/>
      <w:numFmt w:val="lowerRoman"/>
      <w:lvlText w:val="(%1)"/>
      <w:lvlJc w:val="left"/>
      <w:pPr>
        <w:ind w:left="1820" w:hanging="720"/>
      </w:pPr>
      <w:rPr>
        <w:rFonts w:hint="default"/>
      </w:rPr>
    </w:lvl>
    <w:lvl w:ilvl="1" w:tplc="08090019" w:tentative="1">
      <w:start w:val="1"/>
      <w:numFmt w:val="lowerLetter"/>
      <w:lvlText w:val="%2."/>
      <w:lvlJc w:val="left"/>
      <w:pPr>
        <w:ind w:left="2180" w:hanging="360"/>
      </w:pPr>
    </w:lvl>
    <w:lvl w:ilvl="2" w:tplc="0809001B" w:tentative="1">
      <w:start w:val="1"/>
      <w:numFmt w:val="lowerRoman"/>
      <w:lvlText w:val="%3."/>
      <w:lvlJc w:val="right"/>
      <w:pPr>
        <w:ind w:left="2900" w:hanging="180"/>
      </w:pPr>
    </w:lvl>
    <w:lvl w:ilvl="3" w:tplc="0809000F" w:tentative="1">
      <w:start w:val="1"/>
      <w:numFmt w:val="decimal"/>
      <w:lvlText w:val="%4."/>
      <w:lvlJc w:val="left"/>
      <w:pPr>
        <w:ind w:left="3620" w:hanging="360"/>
      </w:pPr>
    </w:lvl>
    <w:lvl w:ilvl="4" w:tplc="08090019" w:tentative="1">
      <w:start w:val="1"/>
      <w:numFmt w:val="lowerLetter"/>
      <w:lvlText w:val="%5."/>
      <w:lvlJc w:val="left"/>
      <w:pPr>
        <w:ind w:left="4340" w:hanging="360"/>
      </w:pPr>
    </w:lvl>
    <w:lvl w:ilvl="5" w:tplc="0809001B" w:tentative="1">
      <w:start w:val="1"/>
      <w:numFmt w:val="lowerRoman"/>
      <w:lvlText w:val="%6."/>
      <w:lvlJc w:val="right"/>
      <w:pPr>
        <w:ind w:left="5060" w:hanging="180"/>
      </w:pPr>
    </w:lvl>
    <w:lvl w:ilvl="6" w:tplc="0809000F" w:tentative="1">
      <w:start w:val="1"/>
      <w:numFmt w:val="decimal"/>
      <w:lvlText w:val="%7."/>
      <w:lvlJc w:val="left"/>
      <w:pPr>
        <w:ind w:left="5780" w:hanging="360"/>
      </w:pPr>
    </w:lvl>
    <w:lvl w:ilvl="7" w:tplc="08090019" w:tentative="1">
      <w:start w:val="1"/>
      <w:numFmt w:val="lowerLetter"/>
      <w:lvlText w:val="%8."/>
      <w:lvlJc w:val="left"/>
      <w:pPr>
        <w:ind w:left="6500" w:hanging="360"/>
      </w:pPr>
    </w:lvl>
    <w:lvl w:ilvl="8" w:tplc="0809001B" w:tentative="1">
      <w:start w:val="1"/>
      <w:numFmt w:val="lowerRoman"/>
      <w:lvlText w:val="%9."/>
      <w:lvlJc w:val="right"/>
      <w:pPr>
        <w:ind w:left="7220" w:hanging="180"/>
      </w:pPr>
    </w:lvl>
  </w:abstractNum>
  <w:abstractNum w:abstractNumId="18" w15:restartNumberingAfterBreak="0">
    <w:nsid w:val="326A59DD"/>
    <w:multiLevelType w:val="hybridMultilevel"/>
    <w:tmpl w:val="218E8F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9" w15:restartNumberingAfterBreak="0">
    <w:nsid w:val="337955E6"/>
    <w:multiLevelType w:val="multilevel"/>
    <w:tmpl w:val="75A4B4CA"/>
    <w:lvl w:ilvl="0">
      <w:start w:val="1"/>
      <w:numFmt w:val="decimal"/>
      <w:lvlText w:val="%1."/>
      <w:lvlJc w:val="left"/>
      <w:pPr>
        <w:tabs>
          <w:tab w:val="num" w:pos="1569"/>
        </w:tabs>
        <w:ind w:left="1569" w:hanging="576"/>
      </w:pPr>
      <w:rPr>
        <w:rFonts w:hint="default"/>
        <w:b w:val="0"/>
        <w:i w:val="0"/>
      </w:rPr>
    </w:lvl>
    <w:lvl w:ilvl="1">
      <w:start w:val="1"/>
      <w:numFmt w:val="lowerLetter"/>
      <w:lvlText w:val="(%2)"/>
      <w:lvlJc w:val="left"/>
      <w:pPr>
        <w:tabs>
          <w:tab w:val="num" w:pos="2574"/>
        </w:tabs>
        <w:ind w:left="2574" w:hanging="720"/>
      </w:pPr>
      <w:rPr>
        <w:rFonts w:hint="default"/>
        <w:sz w:val="20"/>
        <w:szCs w:val="20"/>
      </w:rPr>
    </w:lvl>
    <w:lvl w:ilvl="2">
      <w:start w:val="1"/>
      <w:numFmt w:val="lowerRoman"/>
      <w:lvlText w:val="%3."/>
      <w:lvlJc w:val="right"/>
      <w:pPr>
        <w:tabs>
          <w:tab w:val="num" w:pos="2934"/>
        </w:tabs>
        <w:ind w:left="2934" w:hanging="180"/>
      </w:p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20" w15:restartNumberingAfterBreak="0">
    <w:nsid w:val="35413640"/>
    <w:multiLevelType w:val="hybridMultilevel"/>
    <w:tmpl w:val="0076E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BA68FC"/>
    <w:multiLevelType w:val="hybridMultilevel"/>
    <w:tmpl w:val="2FC282CE"/>
    <w:lvl w:ilvl="0" w:tplc="80CEFE02">
      <w:start w:val="1"/>
      <w:numFmt w:val="lowerRoman"/>
      <w:lvlText w:val="(%1)"/>
      <w:lvlJc w:val="left"/>
      <w:pPr>
        <w:ind w:left="1814" w:hanging="720"/>
      </w:pPr>
      <w:rPr>
        <w:rFonts w:hint="default"/>
      </w:rPr>
    </w:lvl>
    <w:lvl w:ilvl="1" w:tplc="08090019" w:tentative="1">
      <w:start w:val="1"/>
      <w:numFmt w:val="lowerLetter"/>
      <w:lvlText w:val="%2."/>
      <w:lvlJc w:val="left"/>
      <w:pPr>
        <w:ind w:left="2174" w:hanging="360"/>
      </w:pPr>
    </w:lvl>
    <w:lvl w:ilvl="2" w:tplc="0809001B" w:tentative="1">
      <w:start w:val="1"/>
      <w:numFmt w:val="lowerRoman"/>
      <w:lvlText w:val="%3."/>
      <w:lvlJc w:val="right"/>
      <w:pPr>
        <w:ind w:left="2894" w:hanging="180"/>
      </w:pPr>
    </w:lvl>
    <w:lvl w:ilvl="3" w:tplc="0809000F" w:tentative="1">
      <w:start w:val="1"/>
      <w:numFmt w:val="decimal"/>
      <w:lvlText w:val="%4."/>
      <w:lvlJc w:val="left"/>
      <w:pPr>
        <w:ind w:left="3614" w:hanging="360"/>
      </w:pPr>
    </w:lvl>
    <w:lvl w:ilvl="4" w:tplc="08090019" w:tentative="1">
      <w:start w:val="1"/>
      <w:numFmt w:val="lowerLetter"/>
      <w:lvlText w:val="%5."/>
      <w:lvlJc w:val="left"/>
      <w:pPr>
        <w:ind w:left="4334" w:hanging="360"/>
      </w:pPr>
    </w:lvl>
    <w:lvl w:ilvl="5" w:tplc="0809001B" w:tentative="1">
      <w:start w:val="1"/>
      <w:numFmt w:val="lowerRoman"/>
      <w:lvlText w:val="%6."/>
      <w:lvlJc w:val="right"/>
      <w:pPr>
        <w:ind w:left="5054" w:hanging="180"/>
      </w:pPr>
    </w:lvl>
    <w:lvl w:ilvl="6" w:tplc="0809000F" w:tentative="1">
      <w:start w:val="1"/>
      <w:numFmt w:val="decimal"/>
      <w:lvlText w:val="%7."/>
      <w:lvlJc w:val="left"/>
      <w:pPr>
        <w:ind w:left="5774" w:hanging="360"/>
      </w:pPr>
    </w:lvl>
    <w:lvl w:ilvl="7" w:tplc="08090019" w:tentative="1">
      <w:start w:val="1"/>
      <w:numFmt w:val="lowerLetter"/>
      <w:lvlText w:val="%8."/>
      <w:lvlJc w:val="left"/>
      <w:pPr>
        <w:ind w:left="6494" w:hanging="360"/>
      </w:pPr>
    </w:lvl>
    <w:lvl w:ilvl="8" w:tplc="0809001B" w:tentative="1">
      <w:start w:val="1"/>
      <w:numFmt w:val="lowerRoman"/>
      <w:lvlText w:val="%9."/>
      <w:lvlJc w:val="right"/>
      <w:pPr>
        <w:ind w:left="7214" w:hanging="180"/>
      </w:pPr>
    </w:lvl>
  </w:abstractNum>
  <w:abstractNum w:abstractNumId="22" w15:restartNumberingAfterBreak="0">
    <w:nsid w:val="37905981"/>
    <w:multiLevelType w:val="hybridMultilevel"/>
    <w:tmpl w:val="0076E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8696341"/>
    <w:multiLevelType w:val="hybridMultilevel"/>
    <w:tmpl w:val="8042E554"/>
    <w:lvl w:ilvl="0" w:tplc="3DB0EBE0">
      <w:start w:val="2"/>
      <w:numFmt w:val="upperLetter"/>
      <w:lvlText w:val="%1."/>
      <w:lvlJc w:val="left"/>
      <w:pPr>
        <w:ind w:left="975" w:hanging="360"/>
      </w:pPr>
      <w:rPr>
        <w:rFonts w:hint="default"/>
      </w:rPr>
    </w:lvl>
    <w:lvl w:ilvl="1" w:tplc="08090019" w:tentative="1">
      <w:start w:val="1"/>
      <w:numFmt w:val="lowerLetter"/>
      <w:lvlText w:val="%2."/>
      <w:lvlJc w:val="left"/>
      <w:pPr>
        <w:ind w:left="1695" w:hanging="360"/>
      </w:pPr>
    </w:lvl>
    <w:lvl w:ilvl="2" w:tplc="0809001B" w:tentative="1">
      <w:start w:val="1"/>
      <w:numFmt w:val="lowerRoman"/>
      <w:lvlText w:val="%3."/>
      <w:lvlJc w:val="right"/>
      <w:pPr>
        <w:ind w:left="2415" w:hanging="180"/>
      </w:pPr>
    </w:lvl>
    <w:lvl w:ilvl="3" w:tplc="0809000F" w:tentative="1">
      <w:start w:val="1"/>
      <w:numFmt w:val="decimal"/>
      <w:lvlText w:val="%4."/>
      <w:lvlJc w:val="left"/>
      <w:pPr>
        <w:ind w:left="3135" w:hanging="360"/>
      </w:pPr>
    </w:lvl>
    <w:lvl w:ilvl="4" w:tplc="08090019" w:tentative="1">
      <w:start w:val="1"/>
      <w:numFmt w:val="lowerLetter"/>
      <w:lvlText w:val="%5."/>
      <w:lvlJc w:val="left"/>
      <w:pPr>
        <w:ind w:left="3855" w:hanging="360"/>
      </w:pPr>
    </w:lvl>
    <w:lvl w:ilvl="5" w:tplc="0809001B" w:tentative="1">
      <w:start w:val="1"/>
      <w:numFmt w:val="lowerRoman"/>
      <w:lvlText w:val="%6."/>
      <w:lvlJc w:val="right"/>
      <w:pPr>
        <w:ind w:left="4575" w:hanging="180"/>
      </w:pPr>
    </w:lvl>
    <w:lvl w:ilvl="6" w:tplc="0809000F" w:tentative="1">
      <w:start w:val="1"/>
      <w:numFmt w:val="decimal"/>
      <w:lvlText w:val="%7."/>
      <w:lvlJc w:val="left"/>
      <w:pPr>
        <w:ind w:left="5295" w:hanging="360"/>
      </w:pPr>
    </w:lvl>
    <w:lvl w:ilvl="7" w:tplc="08090019" w:tentative="1">
      <w:start w:val="1"/>
      <w:numFmt w:val="lowerLetter"/>
      <w:lvlText w:val="%8."/>
      <w:lvlJc w:val="left"/>
      <w:pPr>
        <w:ind w:left="6015" w:hanging="360"/>
      </w:pPr>
    </w:lvl>
    <w:lvl w:ilvl="8" w:tplc="0809001B" w:tentative="1">
      <w:start w:val="1"/>
      <w:numFmt w:val="lowerRoman"/>
      <w:lvlText w:val="%9."/>
      <w:lvlJc w:val="right"/>
      <w:pPr>
        <w:ind w:left="6735" w:hanging="180"/>
      </w:pPr>
    </w:lvl>
  </w:abstractNum>
  <w:abstractNum w:abstractNumId="24" w15:restartNumberingAfterBreak="0">
    <w:nsid w:val="386E1414"/>
    <w:multiLevelType w:val="hybridMultilevel"/>
    <w:tmpl w:val="5B08DE46"/>
    <w:lvl w:ilvl="0" w:tplc="C73E0F46">
      <w:start w:val="1"/>
      <w:numFmt w:val="upperLetter"/>
      <w:lvlText w:val="%1."/>
      <w:lvlJc w:val="left"/>
      <w:pPr>
        <w:ind w:left="1128" w:hanging="504"/>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5" w15:restartNumberingAfterBreak="0">
    <w:nsid w:val="38E16104"/>
    <w:multiLevelType w:val="hybridMultilevel"/>
    <w:tmpl w:val="310853EA"/>
    <w:lvl w:ilvl="0" w:tplc="992E1028">
      <w:start w:val="1"/>
      <w:numFmt w:val="upperLetter"/>
      <w:lvlText w:val="%1."/>
      <w:lvlJc w:val="left"/>
      <w:pPr>
        <w:ind w:left="984" w:hanging="360"/>
      </w:pPr>
      <w:rPr>
        <w:rFonts w:hint="default"/>
      </w:rPr>
    </w:lvl>
    <w:lvl w:ilvl="1" w:tplc="08090019" w:tentative="1">
      <w:start w:val="1"/>
      <w:numFmt w:val="lowerLetter"/>
      <w:lvlText w:val="%2."/>
      <w:lvlJc w:val="left"/>
      <w:pPr>
        <w:ind w:left="1704" w:hanging="360"/>
      </w:pPr>
    </w:lvl>
    <w:lvl w:ilvl="2" w:tplc="0809001B" w:tentative="1">
      <w:start w:val="1"/>
      <w:numFmt w:val="lowerRoman"/>
      <w:lvlText w:val="%3."/>
      <w:lvlJc w:val="right"/>
      <w:pPr>
        <w:ind w:left="2424" w:hanging="180"/>
      </w:pPr>
    </w:lvl>
    <w:lvl w:ilvl="3" w:tplc="0809000F" w:tentative="1">
      <w:start w:val="1"/>
      <w:numFmt w:val="decimal"/>
      <w:lvlText w:val="%4."/>
      <w:lvlJc w:val="left"/>
      <w:pPr>
        <w:ind w:left="3144" w:hanging="360"/>
      </w:pPr>
    </w:lvl>
    <w:lvl w:ilvl="4" w:tplc="08090019" w:tentative="1">
      <w:start w:val="1"/>
      <w:numFmt w:val="lowerLetter"/>
      <w:lvlText w:val="%5."/>
      <w:lvlJc w:val="left"/>
      <w:pPr>
        <w:ind w:left="3864" w:hanging="360"/>
      </w:pPr>
    </w:lvl>
    <w:lvl w:ilvl="5" w:tplc="0809001B" w:tentative="1">
      <w:start w:val="1"/>
      <w:numFmt w:val="lowerRoman"/>
      <w:lvlText w:val="%6."/>
      <w:lvlJc w:val="right"/>
      <w:pPr>
        <w:ind w:left="4584" w:hanging="180"/>
      </w:pPr>
    </w:lvl>
    <w:lvl w:ilvl="6" w:tplc="0809000F" w:tentative="1">
      <w:start w:val="1"/>
      <w:numFmt w:val="decimal"/>
      <w:lvlText w:val="%7."/>
      <w:lvlJc w:val="left"/>
      <w:pPr>
        <w:ind w:left="5304" w:hanging="360"/>
      </w:pPr>
    </w:lvl>
    <w:lvl w:ilvl="7" w:tplc="08090019" w:tentative="1">
      <w:start w:val="1"/>
      <w:numFmt w:val="lowerLetter"/>
      <w:lvlText w:val="%8."/>
      <w:lvlJc w:val="left"/>
      <w:pPr>
        <w:ind w:left="6024" w:hanging="360"/>
      </w:pPr>
    </w:lvl>
    <w:lvl w:ilvl="8" w:tplc="0809001B" w:tentative="1">
      <w:start w:val="1"/>
      <w:numFmt w:val="lowerRoman"/>
      <w:lvlText w:val="%9."/>
      <w:lvlJc w:val="right"/>
      <w:pPr>
        <w:ind w:left="6744" w:hanging="180"/>
      </w:pPr>
    </w:lvl>
  </w:abstractNum>
  <w:abstractNum w:abstractNumId="26" w15:restartNumberingAfterBreak="0">
    <w:nsid w:val="3B5B41B3"/>
    <w:multiLevelType w:val="hybridMultilevel"/>
    <w:tmpl w:val="9056BB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71212D"/>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28" w15:restartNumberingAfterBreak="0">
    <w:nsid w:val="3C716985"/>
    <w:multiLevelType w:val="hybridMultilevel"/>
    <w:tmpl w:val="D5826A1A"/>
    <w:lvl w:ilvl="0" w:tplc="BCE8CB74">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40647A0D"/>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0" w15:restartNumberingAfterBreak="0">
    <w:nsid w:val="44414322"/>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1" w15:restartNumberingAfterBreak="0">
    <w:nsid w:val="444F5CD9"/>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2" w15:restartNumberingAfterBreak="0">
    <w:nsid w:val="45D5399E"/>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3" w15:restartNumberingAfterBreak="0">
    <w:nsid w:val="50034438"/>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4" w15:restartNumberingAfterBreak="0">
    <w:nsid w:val="53941584"/>
    <w:multiLevelType w:val="hybridMultilevel"/>
    <w:tmpl w:val="D8EEB49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5" w15:restartNumberingAfterBreak="0">
    <w:nsid w:val="56606175"/>
    <w:multiLevelType w:val="hybridMultilevel"/>
    <w:tmpl w:val="1EF62C22"/>
    <w:lvl w:ilvl="0" w:tplc="7478BC56">
      <w:start w:val="1"/>
      <w:numFmt w:val="decimal"/>
      <w:lvlText w:val="%1."/>
      <w:lvlJc w:val="left"/>
      <w:pPr>
        <w:tabs>
          <w:tab w:val="num" w:pos="1853"/>
        </w:tabs>
        <w:ind w:left="1853" w:hanging="576"/>
      </w:pPr>
      <w:rPr>
        <w:rFonts w:hint="default"/>
        <w:b w:val="0"/>
        <w:i w:val="0"/>
        <w:lang w:val="en-GB"/>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6" w15:restartNumberingAfterBreak="0">
    <w:nsid w:val="574001D1"/>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7" w15:restartNumberingAfterBreak="0">
    <w:nsid w:val="59B4211F"/>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38" w15:restartNumberingAfterBreak="0">
    <w:nsid w:val="5A595C9A"/>
    <w:multiLevelType w:val="hybridMultilevel"/>
    <w:tmpl w:val="5A54AA68"/>
    <w:lvl w:ilvl="0" w:tplc="34F89090">
      <w:start w:val="1"/>
      <w:numFmt w:val="upperLetter"/>
      <w:lvlText w:val="%1."/>
      <w:lvlJc w:val="left"/>
      <w:pPr>
        <w:tabs>
          <w:tab w:val="num" w:pos="1140"/>
        </w:tabs>
        <w:ind w:left="1140" w:hanging="525"/>
      </w:pPr>
      <w:rPr>
        <w:rFonts w:hint="default"/>
      </w:rPr>
    </w:lvl>
    <w:lvl w:ilvl="1" w:tplc="04090019" w:tentative="1">
      <w:start w:val="1"/>
      <w:numFmt w:val="lowerLetter"/>
      <w:lvlText w:val="%2."/>
      <w:lvlJc w:val="left"/>
      <w:pPr>
        <w:tabs>
          <w:tab w:val="num" w:pos="1695"/>
        </w:tabs>
        <w:ind w:left="1695" w:hanging="360"/>
      </w:pPr>
    </w:lvl>
    <w:lvl w:ilvl="2" w:tplc="0409001B" w:tentative="1">
      <w:start w:val="1"/>
      <w:numFmt w:val="lowerRoman"/>
      <w:lvlText w:val="%3."/>
      <w:lvlJc w:val="right"/>
      <w:pPr>
        <w:tabs>
          <w:tab w:val="num" w:pos="2415"/>
        </w:tabs>
        <w:ind w:left="2415" w:hanging="180"/>
      </w:pPr>
    </w:lvl>
    <w:lvl w:ilvl="3" w:tplc="0409000F" w:tentative="1">
      <w:start w:val="1"/>
      <w:numFmt w:val="decimal"/>
      <w:lvlText w:val="%4."/>
      <w:lvlJc w:val="left"/>
      <w:pPr>
        <w:tabs>
          <w:tab w:val="num" w:pos="3135"/>
        </w:tabs>
        <w:ind w:left="3135" w:hanging="360"/>
      </w:pPr>
    </w:lvl>
    <w:lvl w:ilvl="4" w:tplc="04090019" w:tentative="1">
      <w:start w:val="1"/>
      <w:numFmt w:val="lowerLetter"/>
      <w:lvlText w:val="%5."/>
      <w:lvlJc w:val="left"/>
      <w:pPr>
        <w:tabs>
          <w:tab w:val="num" w:pos="3855"/>
        </w:tabs>
        <w:ind w:left="3855" w:hanging="360"/>
      </w:pPr>
    </w:lvl>
    <w:lvl w:ilvl="5" w:tplc="0409001B" w:tentative="1">
      <w:start w:val="1"/>
      <w:numFmt w:val="lowerRoman"/>
      <w:lvlText w:val="%6."/>
      <w:lvlJc w:val="right"/>
      <w:pPr>
        <w:tabs>
          <w:tab w:val="num" w:pos="4575"/>
        </w:tabs>
        <w:ind w:left="4575" w:hanging="180"/>
      </w:pPr>
    </w:lvl>
    <w:lvl w:ilvl="6" w:tplc="0409000F" w:tentative="1">
      <w:start w:val="1"/>
      <w:numFmt w:val="decimal"/>
      <w:lvlText w:val="%7."/>
      <w:lvlJc w:val="left"/>
      <w:pPr>
        <w:tabs>
          <w:tab w:val="num" w:pos="5295"/>
        </w:tabs>
        <w:ind w:left="5295" w:hanging="360"/>
      </w:pPr>
    </w:lvl>
    <w:lvl w:ilvl="7" w:tplc="04090019" w:tentative="1">
      <w:start w:val="1"/>
      <w:numFmt w:val="lowerLetter"/>
      <w:lvlText w:val="%8."/>
      <w:lvlJc w:val="left"/>
      <w:pPr>
        <w:tabs>
          <w:tab w:val="num" w:pos="6015"/>
        </w:tabs>
        <w:ind w:left="6015" w:hanging="360"/>
      </w:pPr>
    </w:lvl>
    <w:lvl w:ilvl="8" w:tplc="0409001B" w:tentative="1">
      <w:start w:val="1"/>
      <w:numFmt w:val="lowerRoman"/>
      <w:lvlText w:val="%9."/>
      <w:lvlJc w:val="right"/>
      <w:pPr>
        <w:tabs>
          <w:tab w:val="num" w:pos="6735"/>
        </w:tabs>
        <w:ind w:left="6735" w:hanging="180"/>
      </w:pPr>
    </w:lvl>
  </w:abstractNum>
  <w:abstractNum w:abstractNumId="39" w15:restartNumberingAfterBreak="0">
    <w:nsid w:val="5E732D6A"/>
    <w:multiLevelType w:val="hybridMultilevel"/>
    <w:tmpl w:val="977293C4"/>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0" w15:restartNumberingAfterBreak="0">
    <w:nsid w:val="5FF50FD0"/>
    <w:multiLevelType w:val="hybridMultilevel"/>
    <w:tmpl w:val="6E4CB3BA"/>
    <w:lvl w:ilvl="0" w:tplc="4BD8F6D2">
      <w:start w:val="1"/>
      <w:numFmt w:val="upperLetter"/>
      <w:lvlText w:val="%1."/>
      <w:lvlJc w:val="left"/>
      <w:pPr>
        <w:ind w:left="1755" w:hanging="360"/>
      </w:pPr>
      <w:rPr>
        <w:rFonts w:hint="default"/>
      </w:rPr>
    </w:lvl>
    <w:lvl w:ilvl="1" w:tplc="08090019" w:tentative="1">
      <w:start w:val="1"/>
      <w:numFmt w:val="lowerLetter"/>
      <w:lvlText w:val="%2."/>
      <w:lvlJc w:val="left"/>
      <w:pPr>
        <w:ind w:left="2475" w:hanging="360"/>
      </w:pPr>
    </w:lvl>
    <w:lvl w:ilvl="2" w:tplc="0809001B" w:tentative="1">
      <w:start w:val="1"/>
      <w:numFmt w:val="lowerRoman"/>
      <w:lvlText w:val="%3."/>
      <w:lvlJc w:val="right"/>
      <w:pPr>
        <w:ind w:left="3195" w:hanging="180"/>
      </w:pPr>
    </w:lvl>
    <w:lvl w:ilvl="3" w:tplc="0809000F" w:tentative="1">
      <w:start w:val="1"/>
      <w:numFmt w:val="decimal"/>
      <w:lvlText w:val="%4."/>
      <w:lvlJc w:val="left"/>
      <w:pPr>
        <w:ind w:left="3915" w:hanging="360"/>
      </w:pPr>
    </w:lvl>
    <w:lvl w:ilvl="4" w:tplc="08090019" w:tentative="1">
      <w:start w:val="1"/>
      <w:numFmt w:val="lowerLetter"/>
      <w:lvlText w:val="%5."/>
      <w:lvlJc w:val="left"/>
      <w:pPr>
        <w:ind w:left="4635" w:hanging="360"/>
      </w:pPr>
    </w:lvl>
    <w:lvl w:ilvl="5" w:tplc="0809001B" w:tentative="1">
      <w:start w:val="1"/>
      <w:numFmt w:val="lowerRoman"/>
      <w:lvlText w:val="%6."/>
      <w:lvlJc w:val="right"/>
      <w:pPr>
        <w:ind w:left="5355" w:hanging="180"/>
      </w:pPr>
    </w:lvl>
    <w:lvl w:ilvl="6" w:tplc="0809000F" w:tentative="1">
      <w:start w:val="1"/>
      <w:numFmt w:val="decimal"/>
      <w:lvlText w:val="%7."/>
      <w:lvlJc w:val="left"/>
      <w:pPr>
        <w:ind w:left="6075" w:hanging="360"/>
      </w:pPr>
    </w:lvl>
    <w:lvl w:ilvl="7" w:tplc="08090019" w:tentative="1">
      <w:start w:val="1"/>
      <w:numFmt w:val="lowerLetter"/>
      <w:lvlText w:val="%8."/>
      <w:lvlJc w:val="left"/>
      <w:pPr>
        <w:ind w:left="6795" w:hanging="360"/>
      </w:pPr>
    </w:lvl>
    <w:lvl w:ilvl="8" w:tplc="0809001B" w:tentative="1">
      <w:start w:val="1"/>
      <w:numFmt w:val="lowerRoman"/>
      <w:lvlText w:val="%9."/>
      <w:lvlJc w:val="right"/>
      <w:pPr>
        <w:ind w:left="7515" w:hanging="180"/>
      </w:pPr>
    </w:lvl>
  </w:abstractNum>
  <w:abstractNum w:abstractNumId="41" w15:restartNumberingAfterBreak="0">
    <w:nsid w:val="61361356"/>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2" w15:restartNumberingAfterBreak="0">
    <w:nsid w:val="614A1263"/>
    <w:multiLevelType w:val="hybridMultilevel"/>
    <w:tmpl w:val="29BEC922"/>
    <w:lvl w:ilvl="0" w:tplc="88E4FE6A">
      <w:start w:val="1"/>
      <w:numFmt w:val="lowerLetter"/>
      <w:lvlText w:val="(%1)"/>
      <w:lvlJc w:val="left"/>
      <w:pPr>
        <w:tabs>
          <w:tab w:val="num" w:pos="2574"/>
        </w:tabs>
        <w:ind w:left="2574" w:hanging="720"/>
      </w:pPr>
      <w:rPr>
        <w:rFonts w:hint="default"/>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623C5C53"/>
    <w:multiLevelType w:val="hybridMultilevel"/>
    <w:tmpl w:val="1EF62C22"/>
    <w:lvl w:ilvl="0" w:tplc="7478BC56">
      <w:start w:val="1"/>
      <w:numFmt w:val="decimal"/>
      <w:lvlText w:val="%1."/>
      <w:lvlJc w:val="left"/>
      <w:pPr>
        <w:tabs>
          <w:tab w:val="num" w:pos="1853"/>
        </w:tabs>
        <w:ind w:left="1853" w:hanging="576"/>
      </w:pPr>
      <w:rPr>
        <w:rFonts w:hint="default"/>
        <w:b w:val="0"/>
        <w:i w:val="0"/>
        <w:lang w:val="en-GB"/>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4" w15:restartNumberingAfterBreak="0">
    <w:nsid w:val="6254769E"/>
    <w:multiLevelType w:val="hybridMultilevel"/>
    <w:tmpl w:val="DDBE511E"/>
    <w:lvl w:ilvl="0" w:tplc="B06A77AA">
      <w:start w:val="1"/>
      <w:numFmt w:val="bullet"/>
      <w:lvlText w:val=""/>
      <w:lvlJc w:val="left"/>
      <w:pPr>
        <w:tabs>
          <w:tab w:val="num" w:pos="1569"/>
        </w:tabs>
        <w:ind w:left="1569" w:hanging="576"/>
      </w:pPr>
      <w:rPr>
        <w:rFonts w:ascii="Symbol" w:hAnsi="Symbol"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5" w15:restartNumberingAfterBreak="0">
    <w:nsid w:val="62EE0F20"/>
    <w:multiLevelType w:val="hybridMultilevel"/>
    <w:tmpl w:val="C1265272"/>
    <w:lvl w:ilvl="0" w:tplc="43DA6E66">
      <w:start w:val="1"/>
      <w:numFmt w:val="upperRoman"/>
      <w:lvlText w:val="%1."/>
      <w:lvlJc w:val="left"/>
      <w:pPr>
        <w:ind w:left="1395" w:hanging="720"/>
      </w:pPr>
      <w:rPr>
        <w:rFonts w:hint="default"/>
      </w:rPr>
    </w:lvl>
    <w:lvl w:ilvl="1" w:tplc="08090019" w:tentative="1">
      <w:start w:val="1"/>
      <w:numFmt w:val="lowerLetter"/>
      <w:lvlText w:val="%2."/>
      <w:lvlJc w:val="left"/>
      <w:pPr>
        <w:ind w:left="1755" w:hanging="360"/>
      </w:pPr>
    </w:lvl>
    <w:lvl w:ilvl="2" w:tplc="0809001B" w:tentative="1">
      <w:start w:val="1"/>
      <w:numFmt w:val="lowerRoman"/>
      <w:lvlText w:val="%3."/>
      <w:lvlJc w:val="right"/>
      <w:pPr>
        <w:ind w:left="2475" w:hanging="180"/>
      </w:pPr>
    </w:lvl>
    <w:lvl w:ilvl="3" w:tplc="0809000F" w:tentative="1">
      <w:start w:val="1"/>
      <w:numFmt w:val="decimal"/>
      <w:lvlText w:val="%4."/>
      <w:lvlJc w:val="left"/>
      <w:pPr>
        <w:ind w:left="3195" w:hanging="360"/>
      </w:pPr>
    </w:lvl>
    <w:lvl w:ilvl="4" w:tplc="08090019" w:tentative="1">
      <w:start w:val="1"/>
      <w:numFmt w:val="lowerLetter"/>
      <w:lvlText w:val="%5."/>
      <w:lvlJc w:val="left"/>
      <w:pPr>
        <w:ind w:left="3915" w:hanging="360"/>
      </w:pPr>
    </w:lvl>
    <w:lvl w:ilvl="5" w:tplc="0809001B" w:tentative="1">
      <w:start w:val="1"/>
      <w:numFmt w:val="lowerRoman"/>
      <w:lvlText w:val="%6."/>
      <w:lvlJc w:val="right"/>
      <w:pPr>
        <w:ind w:left="4635" w:hanging="180"/>
      </w:pPr>
    </w:lvl>
    <w:lvl w:ilvl="6" w:tplc="0809000F" w:tentative="1">
      <w:start w:val="1"/>
      <w:numFmt w:val="decimal"/>
      <w:lvlText w:val="%7."/>
      <w:lvlJc w:val="left"/>
      <w:pPr>
        <w:ind w:left="5355" w:hanging="360"/>
      </w:pPr>
    </w:lvl>
    <w:lvl w:ilvl="7" w:tplc="08090019" w:tentative="1">
      <w:start w:val="1"/>
      <w:numFmt w:val="lowerLetter"/>
      <w:lvlText w:val="%8."/>
      <w:lvlJc w:val="left"/>
      <w:pPr>
        <w:ind w:left="6075" w:hanging="360"/>
      </w:pPr>
    </w:lvl>
    <w:lvl w:ilvl="8" w:tplc="0809001B" w:tentative="1">
      <w:start w:val="1"/>
      <w:numFmt w:val="lowerRoman"/>
      <w:lvlText w:val="%9."/>
      <w:lvlJc w:val="right"/>
      <w:pPr>
        <w:ind w:left="6795" w:hanging="180"/>
      </w:pPr>
    </w:lvl>
  </w:abstractNum>
  <w:abstractNum w:abstractNumId="46" w15:restartNumberingAfterBreak="0">
    <w:nsid w:val="64167748"/>
    <w:multiLevelType w:val="hybridMultilevel"/>
    <w:tmpl w:val="1EF62C22"/>
    <w:lvl w:ilvl="0" w:tplc="7478BC56">
      <w:start w:val="1"/>
      <w:numFmt w:val="decimal"/>
      <w:lvlText w:val="%1."/>
      <w:lvlJc w:val="left"/>
      <w:pPr>
        <w:tabs>
          <w:tab w:val="num" w:pos="1853"/>
        </w:tabs>
        <w:ind w:left="1853" w:hanging="576"/>
      </w:pPr>
      <w:rPr>
        <w:rFonts w:hint="default"/>
        <w:b w:val="0"/>
        <w:i w:val="0"/>
        <w:lang w:val="en-GB"/>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7" w15:restartNumberingAfterBreak="0">
    <w:nsid w:val="659023C5"/>
    <w:multiLevelType w:val="hybridMultilevel"/>
    <w:tmpl w:val="FBA46088"/>
    <w:lvl w:ilvl="0" w:tplc="C4268414">
      <w:start w:val="1"/>
      <w:numFmt w:val="decimal"/>
      <w:lvlText w:val="%1."/>
      <w:lvlJc w:val="left"/>
      <w:pPr>
        <w:tabs>
          <w:tab w:val="num" w:pos="1711"/>
        </w:tabs>
        <w:ind w:left="1711"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48"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66006A12"/>
    <w:multiLevelType w:val="hybridMultilevel"/>
    <w:tmpl w:val="196ED904"/>
    <w:lvl w:ilvl="0" w:tplc="B234EB9C">
      <w:start w:val="1"/>
      <w:numFmt w:val="decimal"/>
      <w:lvlText w:val="%1."/>
      <w:lvlJc w:val="left"/>
      <w:pPr>
        <w:tabs>
          <w:tab w:val="num" w:pos="1569"/>
        </w:tabs>
        <w:ind w:left="1569"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0" w15:restartNumberingAfterBreak="0">
    <w:nsid w:val="67980F1B"/>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1" w15:restartNumberingAfterBreak="0">
    <w:nsid w:val="681A0D17"/>
    <w:multiLevelType w:val="hybridMultilevel"/>
    <w:tmpl w:val="1EF62C22"/>
    <w:lvl w:ilvl="0" w:tplc="7478BC56">
      <w:start w:val="1"/>
      <w:numFmt w:val="decimal"/>
      <w:lvlText w:val="%1."/>
      <w:lvlJc w:val="left"/>
      <w:pPr>
        <w:tabs>
          <w:tab w:val="num" w:pos="1853"/>
        </w:tabs>
        <w:ind w:left="1853" w:hanging="576"/>
      </w:pPr>
      <w:rPr>
        <w:rFonts w:hint="default"/>
        <w:b w:val="0"/>
        <w:i w:val="0"/>
        <w:lang w:val="en-GB"/>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2" w15:restartNumberingAfterBreak="0">
    <w:nsid w:val="6A6C0387"/>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3" w15:restartNumberingAfterBreak="0">
    <w:nsid w:val="6A6D25F2"/>
    <w:multiLevelType w:val="hybridMultilevel"/>
    <w:tmpl w:val="95763EC6"/>
    <w:lvl w:ilvl="0" w:tplc="FFFFFFFF">
      <w:start w:val="1"/>
      <w:numFmt w:val="decimal"/>
      <w:lvlText w:val="%1."/>
      <w:lvlJc w:val="left"/>
      <w:pPr>
        <w:tabs>
          <w:tab w:val="num" w:pos="720"/>
        </w:tabs>
        <w:ind w:left="720" w:hanging="360"/>
      </w:pPr>
    </w:lvl>
    <w:lvl w:ilvl="1" w:tplc="5CA8FD3E">
      <w:start w:val="1"/>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4" w15:restartNumberingAfterBreak="0">
    <w:nsid w:val="6B3F2F27"/>
    <w:multiLevelType w:val="hybridMultilevel"/>
    <w:tmpl w:val="FBA46088"/>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5" w15:restartNumberingAfterBreak="0">
    <w:nsid w:val="6C1B0756"/>
    <w:multiLevelType w:val="hybridMultilevel"/>
    <w:tmpl w:val="F5A45E5A"/>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6" w15:restartNumberingAfterBreak="0">
    <w:nsid w:val="6D053109"/>
    <w:multiLevelType w:val="hybridMultilevel"/>
    <w:tmpl w:val="FBA46088"/>
    <w:lvl w:ilvl="0" w:tplc="C4268414">
      <w:start w:val="1"/>
      <w:numFmt w:val="decimal"/>
      <w:lvlText w:val="%1."/>
      <w:lvlJc w:val="left"/>
      <w:pPr>
        <w:tabs>
          <w:tab w:val="num" w:pos="1711"/>
        </w:tabs>
        <w:ind w:left="1711"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7" w15:restartNumberingAfterBreak="0">
    <w:nsid w:val="6E5F7104"/>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58" w15:restartNumberingAfterBreak="0">
    <w:nsid w:val="72C824D3"/>
    <w:multiLevelType w:val="hybridMultilevel"/>
    <w:tmpl w:val="3D5C4F84"/>
    <w:lvl w:ilvl="0" w:tplc="0680D000">
      <w:start w:val="27"/>
      <w:numFmt w:val="decimal"/>
      <w:lvlText w:val="%1."/>
      <w:lvlJc w:val="left"/>
      <w:pPr>
        <w:tabs>
          <w:tab w:val="num" w:pos="1569"/>
        </w:tabs>
        <w:ind w:left="1569" w:hanging="576"/>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78C02F2F"/>
    <w:multiLevelType w:val="hybridMultilevel"/>
    <w:tmpl w:val="D8EEB494"/>
    <w:lvl w:ilvl="0" w:tplc="B234EB9C">
      <w:start w:val="1"/>
      <w:numFmt w:val="decimal"/>
      <w:lvlText w:val="%1."/>
      <w:lvlJc w:val="left"/>
      <w:pPr>
        <w:tabs>
          <w:tab w:val="num" w:pos="1710"/>
        </w:tabs>
        <w:ind w:left="1710" w:hanging="576"/>
      </w:pPr>
      <w:rPr>
        <w:rFonts w:hint="default"/>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abstractNum w:abstractNumId="61" w15:restartNumberingAfterBreak="0">
    <w:nsid w:val="7DC71A24"/>
    <w:multiLevelType w:val="hybridMultilevel"/>
    <w:tmpl w:val="27C890F2"/>
    <w:lvl w:ilvl="0" w:tplc="2D1A8692">
      <w:start w:val="62"/>
      <w:numFmt w:val="decimal"/>
      <w:lvlText w:val="%1."/>
      <w:lvlJc w:val="left"/>
      <w:pPr>
        <w:tabs>
          <w:tab w:val="num" w:pos="1569"/>
        </w:tabs>
        <w:ind w:left="1569" w:hanging="576"/>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F2760FA"/>
    <w:multiLevelType w:val="hybridMultilevel"/>
    <w:tmpl w:val="0322729A"/>
    <w:lvl w:ilvl="0" w:tplc="C4268414">
      <w:start w:val="1"/>
      <w:numFmt w:val="decimal"/>
      <w:lvlText w:val="%1."/>
      <w:lvlJc w:val="left"/>
      <w:pPr>
        <w:tabs>
          <w:tab w:val="num" w:pos="1569"/>
        </w:tabs>
        <w:ind w:left="1569" w:hanging="576"/>
      </w:pPr>
      <w:rPr>
        <w:rFonts w:hint="default"/>
        <w:b w:val="0"/>
        <w:i w:val="0"/>
      </w:rPr>
    </w:lvl>
    <w:lvl w:ilvl="1" w:tplc="88E4FE6A">
      <w:start w:val="1"/>
      <w:numFmt w:val="lowerLetter"/>
      <w:lvlText w:val="(%2)"/>
      <w:lvlJc w:val="left"/>
      <w:pPr>
        <w:tabs>
          <w:tab w:val="num" w:pos="2574"/>
        </w:tabs>
        <w:ind w:left="2574" w:hanging="720"/>
      </w:pPr>
      <w:rPr>
        <w:rFonts w:hint="default"/>
        <w:sz w:val="20"/>
        <w:szCs w:val="20"/>
      </w:rPr>
    </w:lvl>
    <w:lvl w:ilvl="2" w:tplc="0409001B">
      <w:start w:val="1"/>
      <w:numFmt w:val="lowerRoman"/>
      <w:lvlText w:val="%3."/>
      <w:lvlJc w:val="right"/>
      <w:pPr>
        <w:tabs>
          <w:tab w:val="num" w:pos="2934"/>
        </w:tabs>
        <w:ind w:left="2934" w:hanging="180"/>
      </w:pPr>
    </w:lvl>
    <w:lvl w:ilvl="3" w:tplc="0409000F" w:tentative="1">
      <w:start w:val="1"/>
      <w:numFmt w:val="decimal"/>
      <w:lvlText w:val="%4."/>
      <w:lvlJc w:val="left"/>
      <w:pPr>
        <w:tabs>
          <w:tab w:val="num" w:pos="3654"/>
        </w:tabs>
        <w:ind w:left="3654" w:hanging="360"/>
      </w:pPr>
    </w:lvl>
    <w:lvl w:ilvl="4" w:tplc="04090019" w:tentative="1">
      <w:start w:val="1"/>
      <w:numFmt w:val="lowerLetter"/>
      <w:lvlText w:val="%5."/>
      <w:lvlJc w:val="left"/>
      <w:pPr>
        <w:tabs>
          <w:tab w:val="num" w:pos="4374"/>
        </w:tabs>
        <w:ind w:left="4374" w:hanging="360"/>
      </w:pPr>
    </w:lvl>
    <w:lvl w:ilvl="5" w:tplc="0409001B" w:tentative="1">
      <w:start w:val="1"/>
      <w:numFmt w:val="lowerRoman"/>
      <w:lvlText w:val="%6."/>
      <w:lvlJc w:val="right"/>
      <w:pPr>
        <w:tabs>
          <w:tab w:val="num" w:pos="5094"/>
        </w:tabs>
        <w:ind w:left="5094" w:hanging="180"/>
      </w:pPr>
    </w:lvl>
    <w:lvl w:ilvl="6" w:tplc="0409000F" w:tentative="1">
      <w:start w:val="1"/>
      <w:numFmt w:val="decimal"/>
      <w:lvlText w:val="%7."/>
      <w:lvlJc w:val="left"/>
      <w:pPr>
        <w:tabs>
          <w:tab w:val="num" w:pos="5814"/>
        </w:tabs>
        <w:ind w:left="5814" w:hanging="360"/>
      </w:pPr>
    </w:lvl>
    <w:lvl w:ilvl="7" w:tplc="04090019" w:tentative="1">
      <w:start w:val="1"/>
      <w:numFmt w:val="lowerLetter"/>
      <w:lvlText w:val="%8."/>
      <w:lvlJc w:val="left"/>
      <w:pPr>
        <w:tabs>
          <w:tab w:val="num" w:pos="6534"/>
        </w:tabs>
        <w:ind w:left="6534" w:hanging="360"/>
      </w:pPr>
    </w:lvl>
    <w:lvl w:ilvl="8" w:tplc="0409001B" w:tentative="1">
      <w:start w:val="1"/>
      <w:numFmt w:val="lowerRoman"/>
      <w:lvlText w:val="%9."/>
      <w:lvlJc w:val="right"/>
      <w:pPr>
        <w:tabs>
          <w:tab w:val="num" w:pos="7254"/>
        </w:tabs>
        <w:ind w:left="7254" w:hanging="180"/>
      </w:pPr>
    </w:lvl>
  </w:abstractNum>
  <w:num w:numId="1">
    <w:abstractNumId w:val="48"/>
  </w:num>
  <w:num w:numId="2">
    <w:abstractNumId w:val="59"/>
  </w:num>
  <w:num w:numId="3">
    <w:abstractNumId w:val="39"/>
  </w:num>
  <w:num w:numId="4">
    <w:abstractNumId w:val="38"/>
  </w:num>
  <w:num w:numId="5">
    <w:abstractNumId w:val="24"/>
  </w:num>
  <w:num w:numId="6">
    <w:abstractNumId w:val="45"/>
  </w:num>
  <w:num w:numId="7">
    <w:abstractNumId w:val="40"/>
  </w:num>
  <w:num w:numId="8">
    <w:abstractNumId w:val="57"/>
  </w:num>
  <w:num w:numId="9">
    <w:abstractNumId w:val="32"/>
  </w:num>
  <w:num w:numId="10">
    <w:abstractNumId w:val="60"/>
  </w:num>
  <w:num w:numId="11">
    <w:abstractNumId w:val="33"/>
  </w:num>
  <w:num w:numId="12">
    <w:abstractNumId w:val="34"/>
  </w:num>
  <w:num w:numId="13">
    <w:abstractNumId w:val="1"/>
  </w:num>
  <w:num w:numId="14">
    <w:abstractNumId w:val="49"/>
  </w:num>
  <w:num w:numId="15">
    <w:abstractNumId w:val="18"/>
  </w:num>
  <w:num w:numId="16">
    <w:abstractNumId w:val="11"/>
  </w:num>
  <w:num w:numId="17">
    <w:abstractNumId w:val="3"/>
  </w:num>
  <w:num w:numId="18">
    <w:abstractNumId w:val="4"/>
  </w:num>
  <w:num w:numId="19">
    <w:abstractNumId w:val="53"/>
  </w:num>
  <w:num w:numId="20">
    <w:abstractNumId w:val="28"/>
  </w:num>
  <w:num w:numId="21">
    <w:abstractNumId w:val="17"/>
  </w:num>
  <w:num w:numId="22">
    <w:abstractNumId w:val="42"/>
  </w:num>
  <w:num w:numId="23">
    <w:abstractNumId w:val="36"/>
  </w:num>
  <w:num w:numId="24">
    <w:abstractNumId w:val="23"/>
  </w:num>
  <w:num w:numId="25">
    <w:abstractNumId w:val="29"/>
  </w:num>
  <w:num w:numId="26">
    <w:abstractNumId w:val="35"/>
  </w:num>
  <w:num w:numId="27">
    <w:abstractNumId w:val="41"/>
  </w:num>
  <w:num w:numId="28">
    <w:abstractNumId w:val="14"/>
  </w:num>
  <w:num w:numId="29">
    <w:abstractNumId w:val="30"/>
  </w:num>
  <w:num w:numId="30">
    <w:abstractNumId w:val="5"/>
  </w:num>
  <w:num w:numId="31">
    <w:abstractNumId w:val="56"/>
  </w:num>
  <w:num w:numId="32">
    <w:abstractNumId w:val="47"/>
  </w:num>
  <w:num w:numId="33">
    <w:abstractNumId w:val="37"/>
  </w:num>
  <w:num w:numId="34">
    <w:abstractNumId w:val="43"/>
  </w:num>
  <w:num w:numId="35">
    <w:abstractNumId w:val="51"/>
  </w:num>
  <w:num w:numId="36">
    <w:abstractNumId w:val="31"/>
  </w:num>
  <w:num w:numId="37">
    <w:abstractNumId w:val="46"/>
  </w:num>
  <w:num w:numId="38">
    <w:abstractNumId w:val="13"/>
  </w:num>
  <w:num w:numId="39">
    <w:abstractNumId w:val="50"/>
  </w:num>
  <w:num w:numId="40">
    <w:abstractNumId w:val="54"/>
  </w:num>
  <w:num w:numId="41">
    <w:abstractNumId w:val="27"/>
  </w:num>
  <w:num w:numId="42">
    <w:abstractNumId w:val="44"/>
  </w:num>
  <w:num w:numId="43">
    <w:abstractNumId w:val="52"/>
  </w:num>
  <w:num w:numId="44">
    <w:abstractNumId w:val="0"/>
  </w:num>
  <w:num w:numId="45">
    <w:abstractNumId w:val="22"/>
  </w:num>
  <w:num w:numId="46">
    <w:abstractNumId w:val="2"/>
  </w:num>
  <w:num w:numId="47">
    <w:abstractNumId w:val="20"/>
  </w:num>
  <w:num w:numId="48">
    <w:abstractNumId w:val="19"/>
  </w:num>
  <w:num w:numId="49">
    <w:abstractNumId w:val="61"/>
  </w:num>
  <w:num w:numId="50">
    <w:abstractNumId w:val="26"/>
  </w:num>
  <w:num w:numId="51">
    <w:abstractNumId w:val="12"/>
  </w:num>
  <w:num w:numId="52">
    <w:abstractNumId w:val="8"/>
  </w:num>
  <w:num w:numId="53">
    <w:abstractNumId w:val="15"/>
  </w:num>
  <w:num w:numId="54">
    <w:abstractNumId w:val="62"/>
  </w:num>
  <w:num w:numId="55">
    <w:abstractNumId w:val="10"/>
  </w:num>
  <w:num w:numId="56">
    <w:abstractNumId w:val="6"/>
  </w:num>
  <w:num w:numId="57">
    <w:abstractNumId w:val="9"/>
  </w:num>
  <w:num w:numId="58">
    <w:abstractNumId w:val="7"/>
  </w:num>
  <w:num w:numId="59">
    <w:abstractNumId w:val="55"/>
  </w:num>
  <w:num w:numId="60">
    <w:abstractNumId w:val="21"/>
  </w:num>
  <w:num w:numId="61">
    <w:abstractNumId w:val="25"/>
  </w:num>
  <w:num w:numId="62">
    <w:abstractNumId w:val="16"/>
  </w:num>
  <w:num w:numId="63">
    <w:abstractNumId w:val="58"/>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fr-CH" w:vendorID="64" w:dllVersion="6" w:nlCheck="1" w:checkStyle="0"/>
  <w:activeWritingStyle w:appName="MSWord" w:lang="es-ES" w:vendorID="64" w:dllVersion="6" w:nlCheck="1" w:checkStyle="0"/>
  <w:activeWritingStyle w:appName="MSWord" w:lang="de-CH" w:vendorID="64" w:dllVersion="6"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ar-SA" w:vendorID="64" w:dllVersion="0" w:nlCheck="1" w:checkStyle="0"/>
  <w:activeWritingStyle w:appName="MSWord" w:lang="es-E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CH" w:vendorID="64" w:dllVersion="4096" w:nlCheck="1" w:checkStyle="0"/>
  <w:activeWritingStyle w:appName="MSWord" w:lang="fr-FR" w:vendorID="64" w:dllVersion="4096" w:nlCheck="1" w:checkStyle="0"/>
  <w:activeWritingStyle w:appName="MSWord" w:lang="es-ES" w:vendorID="64" w:dllVersion="4096" w:nlCheck="1" w:checkStyle="0"/>
  <w:activeWritingStyle w:appName="MSWord" w:lang="ar-SA" w:vendorID="64" w:dllVersion="4096"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75C"/>
    <w:rsid w:val="000011F1"/>
    <w:rsid w:val="00001D13"/>
    <w:rsid w:val="000022C2"/>
    <w:rsid w:val="00002A7D"/>
    <w:rsid w:val="000038A8"/>
    <w:rsid w:val="00003B5C"/>
    <w:rsid w:val="00004309"/>
    <w:rsid w:val="00004967"/>
    <w:rsid w:val="00006790"/>
    <w:rsid w:val="00006A60"/>
    <w:rsid w:val="000072F7"/>
    <w:rsid w:val="00007D6A"/>
    <w:rsid w:val="00010802"/>
    <w:rsid w:val="00010EE6"/>
    <w:rsid w:val="00012205"/>
    <w:rsid w:val="00012D44"/>
    <w:rsid w:val="00016738"/>
    <w:rsid w:val="00016DC3"/>
    <w:rsid w:val="00017DB8"/>
    <w:rsid w:val="00020139"/>
    <w:rsid w:val="00020198"/>
    <w:rsid w:val="00020605"/>
    <w:rsid w:val="00023219"/>
    <w:rsid w:val="000246CE"/>
    <w:rsid w:val="00024CB5"/>
    <w:rsid w:val="00024DC2"/>
    <w:rsid w:val="00025317"/>
    <w:rsid w:val="00027624"/>
    <w:rsid w:val="00031238"/>
    <w:rsid w:val="000312A8"/>
    <w:rsid w:val="000316FD"/>
    <w:rsid w:val="00035055"/>
    <w:rsid w:val="0003534F"/>
    <w:rsid w:val="000369BD"/>
    <w:rsid w:val="0003764F"/>
    <w:rsid w:val="00040137"/>
    <w:rsid w:val="0004065D"/>
    <w:rsid w:val="000439B2"/>
    <w:rsid w:val="0004421E"/>
    <w:rsid w:val="000443EC"/>
    <w:rsid w:val="00044DDA"/>
    <w:rsid w:val="0004562B"/>
    <w:rsid w:val="00045B8F"/>
    <w:rsid w:val="0004608F"/>
    <w:rsid w:val="00046EDF"/>
    <w:rsid w:val="00047574"/>
    <w:rsid w:val="000506B0"/>
    <w:rsid w:val="00050F6B"/>
    <w:rsid w:val="00054A26"/>
    <w:rsid w:val="000554B2"/>
    <w:rsid w:val="00055D26"/>
    <w:rsid w:val="000602AF"/>
    <w:rsid w:val="00060D95"/>
    <w:rsid w:val="00061FEF"/>
    <w:rsid w:val="00063C55"/>
    <w:rsid w:val="0006469A"/>
    <w:rsid w:val="00066E03"/>
    <w:rsid w:val="000678CD"/>
    <w:rsid w:val="000702E9"/>
    <w:rsid w:val="000710CD"/>
    <w:rsid w:val="00071770"/>
    <w:rsid w:val="00072085"/>
    <w:rsid w:val="00072C8C"/>
    <w:rsid w:val="0007322C"/>
    <w:rsid w:val="00074FE8"/>
    <w:rsid w:val="00075641"/>
    <w:rsid w:val="00075812"/>
    <w:rsid w:val="00075F4A"/>
    <w:rsid w:val="00077B5C"/>
    <w:rsid w:val="00081CE0"/>
    <w:rsid w:val="0008357A"/>
    <w:rsid w:val="00083710"/>
    <w:rsid w:val="00083A0A"/>
    <w:rsid w:val="00084D30"/>
    <w:rsid w:val="000878D1"/>
    <w:rsid w:val="00090320"/>
    <w:rsid w:val="0009032B"/>
    <w:rsid w:val="00090745"/>
    <w:rsid w:val="00090D28"/>
    <w:rsid w:val="00091B80"/>
    <w:rsid w:val="00091D98"/>
    <w:rsid w:val="0009263A"/>
    <w:rsid w:val="0009267A"/>
    <w:rsid w:val="00092F94"/>
    <w:rsid w:val="000931C0"/>
    <w:rsid w:val="000931E4"/>
    <w:rsid w:val="00093DB7"/>
    <w:rsid w:val="00093F17"/>
    <w:rsid w:val="000943B8"/>
    <w:rsid w:val="00096227"/>
    <w:rsid w:val="00096E5C"/>
    <w:rsid w:val="000971DB"/>
    <w:rsid w:val="00097280"/>
    <w:rsid w:val="000A0087"/>
    <w:rsid w:val="000A04E8"/>
    <w:rsid w:val="000A0552"/>
    <w:rsid w:val="000A0722"/>
    <w:rsid w:val="000A2E09"/>
    <w:rsid w:val="000A4024"/>
    <w:rsid w:val="000A42F4"/>
    <w:rsid w:val="000A463A"/>
    <w:rsid w:val="000A46FD"/>
    <w:rsid w:val="000A49F4"/>
    <w:rsid w:val="000A54ED"/>
    <w:rsid w:val="000A6E6D"/>
    <w:rsid w:val="000A6F91"/>
    <w:rsid w:val="000B024F"/>
    <w:rsid w:val="000B05BC"/>
    <w:rsid w:val="000B06E0"/>
    <w:rsid w:val="000B0AF6"/>
    <w:rsid w:val="000B175B"/>
    <w:rsid w:val="000B3441"/>
    <w:rsid w:val="000B3A0F"/>
    <w:rsid w:val="000B4C10"/>
    <w:rsid w:val="000B5012"/>
    <w:rsid w:val="000B53D9"/>
    <w:rsid w:val="000B549A"/>
    <w:rsid w:val="000B655B"/>
    <w:rsid w:val="000B76CF"/>
    <w:rsid w:val="000C14E0"/>
    <w:rsid w:val="000C2B8B"/>
    <w:rsid w:val="000C41C1"/>
    <w:rsid w:val="000C53BC"/>
    <w:rsid w:val="000C6C2B"/>
    <w:rsid w:val="000D000D"/>
    <w:rsid w:val="000D0B6C"/>
    <w:rsid w:val="000D1156"/>
    <w:rsid w:val="000D5100"/>
    <w:rsid w:val="000D6ADD"/>
    <w:rsid w:val="000E0415"/>
    <w:rsid w:val="000E0880"/>
    <w:rsid w:val="000E1F1E"/>
    <w:rsid w:val="000E25F2"/>
    <w:rsid w:val="000E2A0D"/>
    <w:rsid w:val="000E2ED2"/>
    <w:rsid w:val="000E47F9"/>
    <w:rsid w:val="000E4AA7"/>
    <w:rsid w:val="000E50AB"/>
    <w:rsid w:val="000E5806"/>
    <w:rsid w:val="000E60B6"/>
    <w:rsid w:val="000E6E46"/>
    <w:rsid w:val="000E7270"/>
    <w:rsid w:val="000E74AA"/>
    <w:rsid w:val="000F0B84"/>
    <w:rsid w:val="000F1B8C"/>
    <w:rsid w:val="000F36D2"/>
    <w:rsid w:val="000F4582"/>
    <w:rsid w:val="000F46FC"/>
    <w:rsid w:val="000F638F"/>
    <w:rsid w:val="000F64F5"/>
    <w:rsid w:val="000F68C7"/>
    <w:rsid w:val="000F7715"/>
    <w:rsid w:val="000F798F"/>
    <w:rsid w:val="00100689"/>
    <w:rsid w:val="00100794"/>
    <w:rsid w:val="00101526"/>
    <w:rsid w:val="00102133"/>
    <w:rsid w:val="001021DF"/>
    <w:rsid w:val="00102744"/>
    <w:rsid w:val="0010480E"/>
    <w:rsid w:val="00105428"/>
    <w:rsid w:val="001067DE"/>
    <w:rsid w:val="00110D18"/>
    <w:rsid w:val="00111231"/>
    <w:rsid w:val="001124F5"/>
    <w:rsid w:val="00112564"/>
    <w:rsid w:val="00112897"/>
    <w:rsid w:val="00112E41"/>
    <w:rsid w:val="0011351F"/>
    <w:rsid w:val="00113FF4"/>
    <w:rsid w:val="001146DD"/>
    <w:rsid w:val="00115B99"/>
    <w:rsid w:val="001175D6"/>
    <w:rsid w:val="001178E6"/>
    <w:rsid w:val="00117C2E"/>
    <w:rsid w:val="00120038"/>
    <w:rsid w:val="0012025E"/>
    <w:rsid w:val="00120EE7"/>
    <w:rsid w:val="0012184B"/>
    <w:rsid w:val="00121C8A"/>
    <w:rsid w:val="00123597"/>
    <w:rsid w:val="001237BA"/>
    <w:rsid w:val="00123C95"/>
    <w:rsid w:val="00125A19"/>
    <w:rsid w:val="00126C4F"/>
    <w:rsid w:val="001277F7"/>
    <w:rsid w:val="00127874"/>
    <w:rsid w:val="00132402"/>
    <w:rsid w:val="0013259A"/>
    <w:rsid w:val="001331B2"/>
    <w:rsid w:val="00134490"/>
    <w:rsid w:val="00134AB3"/>
    <w:rsid w:val="00134D13"/>
    <w:rsid w:val="00134E0E"/>
    <w:rsid w:val="00135200"/>
    <w:rsid w:val="00135446"/>
    <w:rsid w:val="00135C2F"/>
    <w:rsid w:val="00137704"/>
    <w:rsid w:val="001410D6"/>
    <w:rsid w:val="00142608"/>
    <w:rsid w:val="00143B06"/>
    <w:rsid w:val="00143FFD"/>
    <w:rsid w:val="001440BC"/>
    <w:rsid w:val="001449E7"/>
    <w:rsid w:val="00144EF4"/>
    <w:rsid w:val="00145DB9"/>
    <w:rsid w:val="00145E72"/>
    <w:rsid w:val="0015039C"/>
    <w:rsid w:val="00151E21"/>
    <w:rsid w:val="00152016"/>
    <w:rsid w:val="00152959"/>
    <w:rsid w:val="00153ADF"/>
    <w:rsid w:val="00153CC7"/>
    <w:rsid w:val="001543A5"/>
    <w:rsid w:val="00154D2C"/>
    <w:rsid w:val="00155F22"/>
    <w:rsid w:val="00156B99"/>
    <w:rsid w:val="00157566"/>
    <w:rsid w:val="00157BC2"/>
    <w:rsid w:val="0016021D"/>
    <w:rsid w:val="001605CB"/>
    <w:rsid w:val="00160758"/>
    <w:rsid w:val="001611A7"/>
    <w:rsid w:val="001615B3"/>
    <w:rsid w:val="001623BF"/>
    <w:rsid w:val="0016295C"/>
    <w:rsid w:val="00165AFC"/>
    <w:rsid w:val="00165DF4"/>
    <w:rsid w:val="00166124"/>
    <w:rsid w:val="0016750A"/>
    <w:rsid w:val="001676CA"/>
    <w:rsid w:val="00167825"/>
    <w:rsid w:val="001735E5"/>
    <w:rsid w:val="0017438C"/>
    <w:rsid w:val="001751A2"/>
    <w:rsid w:val="00175733"/>
    <w:rsid w:val="00175AD0"/>
    <w:rsid w:val="00175F5D"/>
    <w:rsid w:val="001769B7"/>
    <w:rsid w:val="00176CC2"/>
    <w:rsid w:val="00177688"/>
    <w:rsid w:val="0018098C"/>
    <w:rsid w:val="0018126D"/>
    <w:rsid w:val="00182351"/>
    <w:rsid w:val="00182990"/>
    <w:rsid w:val="00184713"/>
    <w:rsid w:val="00184DDA"/>
    <w:rsid w:val="00185938"/>
    <w:rsid w:val="001859D9"/>
    <w:rsid w:val="0018708B"/>
    <w:rsid w:val="0018711F"/>
    <w:rsid w:val="001874A2"/>
    <w:rsid w:val="001876CB"/>
    <w:rsid w:val="00187779"/>
    <w:rsid w:val="001900CD"/>
    <w:rsid w:val="0019156A"/>
    <w:rsid w:val="00192200"/>
    <w:rsid w:val="001964EB"/>
    <w:rsid w:val="00196BAF"/>
    <w:rsid w:val="00196C26"/>
    <w:rsid w:val="001A0452"/>
    <w:rsid w:val="001A0AF6"/>
    <w:rsid w:val="001A0CB5"/>
    <w:rsid w:val="001A1600"/>
    <w:rsid w:val="001A1EF2"/>
    <w:rsid w:val="001A26C3"/>
    <w:rsid w:val="001A417A"/>
    <w:rsid w:val="001A4B8E"/>
    <w:rsid w:val="001A51DE"/>
    <w:rsid w:val="001A55E1"/>
    <w:rsid w:val="001A64A5"/>
    <w:rsid w:val="001A672C"/>
    <w:rsid w:val="001A6E82"/>
    <w:rsid w:val="001A7334"/>
    <w:rsid w:val="001A7A70"/>
    <w:rsid w:val="001A7B6C"/>
    <w:rsid w:val="001B0663"/>
    <w:rsid w:val="001B2CF1"/>
    <w:rsid w:val="001B4B04"/>
    <w:rsid w:val="001B4D38"/>
    <w:rsid w:val="001B5875"/>
    <w:rsid w:val="001B5BC1"/>
    <w:rsid w:val="001B5D31"/>
    <w:rsid w:val="001B5D92"/>
    <w:rsid w:val="001B661B"/>
    <w:rsid w:val="001B6B6C"/>
    <w:rsid w:val="001B6C91"/>
    <w:rsid w:val="001C0752"/>
    <w:rsid w:val="001C148C"/>
    <w:rsid w:val="001C1BE7"/>
    <w:rsid w:val="001C1FA9"/>
    <w:rsid w:val="001C20CB"/>
    <w:rsid w:val="001C24DF"/>
    <w:rsid w:val="001C2842"/>
    <w:rsid w:val="001C2A1C"/>
    <w:rsid w:val="001C3378"/>
    <w:rsid w:val="001C3436"/>
    <w:rsid w:val="001C3763"/>
    <w:rsid w:val="001C37BF"/>
    <w:rsid w:val="001C483D"/>
    <w:rsid w:val="001C4B9C"/>
    <w:rsid w:val="001C5458"/>
    <w:rsid w:val="001C5783"/>
    <w:rsid w:val="001C5D99"/>
    <w:rsid w:val="001C6663"/>
    <w:rsid w:val="001C76DA"/>
    <w:rsid w:val="001C7895"/>
    <w:rsid w:val="001D00F7"/>
    <w:rsid w:val="001D1834"/>
    <w:rsid w:val="001D1A44"/>
    <w:rsid w:val="001D26DF"/>
    <w:rsid w:val="001D2EF8"/>
    <w:rsid w:val="001D34F9"/>
    <w:rsid w:val="001D3825"/>
    <w:rsid w:val="001D49C5"/>
    <w:rsid w:val="001D4B92"/>
    <w:rsid w:val="001D4EE2"/>
    <w:rsid w:val="001D5A4C"/>
    <w:rsid w:val="001D7839"/>
    <w:rsid w:val="001D7DE6"/>
    <w:rsid w:val="001E0928"/>
    <w:rsid w:val="001E1554"/>
    <w:rsid w:val="001E30DD"/>
    <w:rsid w:val="001E38BC"/>
    <w:rsid w:val="001E3FD3"/>
    <w:rsid w:val="001E4058"/>
    <w:rsid w:val="001E4B4D"/>
    <w:rsid w:val="001E5F28"/>
    <w:rsid w:val="001E60B5"/>
    <w:rsid w:val="001E6889"/>
    <w:rsid w:val="001E7133"/>
    <w:rsid w:val="001E7211"/>
    <w:rsid w:val="001E7475"/>
    <w:rsid w:val="001F057D"/>
    <w:rsid w:val="001F1599"/>
    <w:rsid w:val="001F19C4"/>
    <w:rsid w:val="001F21D9"/>
    <w:rsid w:val="001F245A"/>
    <w:rsid w:val="001F29BF"/>
    <w:rsid w:val="001F2BBF"/>
    <w:rsid w:val="001F2C82"/>
    <w:rsid w:val="001F2DBB"/>
    <w:rsid w:val="001F3C59"/>
    <w:rsid w:val="001F554C"/>
    <w:rsid w:val="001F6117"/>
    <w:rsid w:val="001F65E9"/>
    <w:rsid w:val="001F7BAC"/>
    <w:rsid w:val="0020035A"/>
    <w:rsid w:val="002007E9"/>
    <w:rsid w:val="00201F6F"/>
    <w:rsid w:val="002024E0"/>
    <w:rsid w:val="002043F0"/>
    <w:rsid w:val="002057A4"/>
    <w:rsid w:val="002059F6"/>
    <w:rsid w:val="00205C4A"/>
    <w:rsid w:val="00205DF4"/>
    <w:rsid w:val="0020603C"/>
    <w:rsid w:val="002069F4"/>
    <w:rsid w:val="00207586"/>
    <w:rsid w:val="00207E3E"/>
    <w:rsid w:val="002101C2"/>
    <w:rsid w:val="002101CA"/>
    <w:rsid w:val="0021080A"/>
    <w:rsid w:val="00210C6F"/>
    <w:rsid w:val="00211C08"/>
    <w:rsid w:val="00211D37"/>
    <w:rsid w:val="00211E0B"/>
    <w:rsid w:val="00212329"/>
    <w:rsid w:val="002129CC"/>
    <w:rsid w:val="00212A8B"/>
    <w:rsid w:val="00212C1E"/>
    <w:rsid w:val="00213402"/>
    <w:rsid w:val="002140E7"/>
    <w:rsid w:val="00215A0A"/>
    <w:rsid w:val="00216CFC"/>
    <w:rsid w:val="00217BAF"/>
    <w:rsid w:val="002205AF"/>
    <w:rsid w:val="0022080C"/>
    <w:rsid w:val="00220860"/>
    <w:rsid w:val="002208DD"/>
    <w:rsid w:val="00221A05"/>
    <w:rsid w:val="00222283"/>
    <w:rsid w:val="00223602"/>
    <w:rsid w:val="00224838"/>
    <w:rsid w:val="00225951"/>
    <w:rsid w:val="00227937"/>
    <w:rsid w:val="00230279"/>
    <w:rsid w:val="00230A91"/>
    <w:rsid w:val="00231EFB"/>
    <w:rsid w:val="00232575"/>
    <w:rsid w:val="00232AED"/>
    <w:rsid w:val="00232D9C"/>
    <w:rsid w:val="0023575C"/>
    <w:rsid w:val="00235766"/>
    <w:rsid w:val="002359BA"/>
    <w:rsid w:val="002359C4"/>
    <w:rsid w:val="0023647C"/>
    <w:rsid w:val="00236FE7"/>
    <w:rsid w:val="00237505"/>
    <w:rsid w:val="002409E1"/>
    <w:rsid w:val="00240E76"/>
    <w:rsid w:val="00241F6B"/>
    <w:rsid w:val="00243D15"/>
    <w:rsid w:val="00243EB0"/>
    <w:rsid w:val="00243F0E"/>
    <w:rsid w:val="002457F8"/>
    <w:rsid w:val="00246C69"/>
    <w:rsid w:val="0024704E"/>
    <w:rsid w:val="00247258"/>
    <w:rsid w:val="00247EC2"/>
    <w:rsid w:val="002516FB"/>
    <w:rsid w:val="00251962"/>
    <w:rsid w:val="00254825"/>
    <w:rsid w:val="00254B3C"/>
    <w:rsid w:val="00254BB2"/>
    <w:rsid w:val="00255C8A"/>
    <w:rsid w:val="00256423"/>
    <w:rsid w:val="00256842"/>
    <w:rsid w:val="002572C7"/>
    <w:rsid w:val="0025793D"/>
    <w:rsid w:val="002579A4"/>
    <w:rsid w:val="00257CAC"/>
    <w:rsid w:val="00260D26"/>
    <w:rsid w:val="00261341"/>
    <w:rsid w:val="002635EA"/>
    <w:rsid w:val="002645B7"/>
    <w:rsid w:val="002651FC"/>
    <w:rsid w:val="0026529C"/>
    <w:rsid w:val="00265685"/>
    <w:rsid w:val="002660E3"/>
    <w:rsid w:val="00266B51"/>
    <w:rsid w:val="0026713C"/>
    <w:rsid w:val="00267B25"/>
    <w:rsid w:val="0027201A"/>
    <w:rsid w:val="002721ED"/>
    <w:rsid w:val="0027237A"/>
    <w:rsid w:val="0027248C"/>
    <w:rsid w:val="002739F4"/>
    <w:rsid w:val="00274B5A"/>
    <w:rsid w:val="0027535C"/>
    <w:rsid w:val="00277D56"/>
    <w:rsid w:val="00281BEA"/>
    <w:rsid w:val="002826AE"/>
    <w:rsid w:val="00283712"/>
    <w:rsid w:val="002837CF"/>
    <w:rsid w:val="00283804"/>
    <w:rsid w:val="00283C2C"/>
    <w:rsid w:val="002853C8"/>
    <w:rsid w:val="00286397"/>
    <w:rsid w:val="00286404"/>
    <w:rsid w:val="0029016F"/>
    <w:rsid w:val="002905BB"/>
    <w:rsid w:val="002907A0"/>
    <w:rsid w:val="00291997"/>
    <w:rsid w:val="00292902"/>
    <w:rsid w:val="00292950"/>
    <w:rsid w:val="002929CC"/>
    <w:rsid w:val="00292FC7"/>
    <w:rsid w:val="0029366E"/>
    <w:rsid w:val="00294BD7"/>
    <w:rsid w:val="00294FBB"/>
    <w:rsid w:val="0029637D"/>
    <w:rsid w:val="00296EFE"/>
    <w:rsid w:val="00297308"/>
    <w:rsid w:val="002974E9"/>
    <w:rsid w:val="00297F56"/>
    <w:rsid w:val="002A1C42"/>
    <w:rsid w:val="002A21E6"/>
    <w:rsid w:val="002A2827"/>
    <w:rsid w:val="002A3AC8"/>
    <w:rsid w:val="002A3B7E"/>
    <w:rsid w:val="002A478B"/>
    <w:rsid w:val="002A5850"/>
    <w:rsid w:val="002A5C4E"/>
    <w:rsid w:val="002A67B1"/>
    <w:rsid w:val="002A683A"/>
    <w:rsid w:val="002A7F94"/>
    <w:rsid w:val="002B0396"/>
    <w:rsid w:val="002B05C5"/>
    <w:rsid w:val="002B109A"/>
    <w:rsid w:val="002B2F8B"/>
    <w:rsid w:val="002B3084"/>
    <w:rsid w:val="002B3916"/>
    <w:rsid w:val="002B3D1D"/>
    <w:rsid w:val="002B3EB7"/>
    <w:rsid w:val="002B4A29"/>
    <w:rsid w:val="002B6375"/>
    <w:rsid w:val="002B7157"/>
    <w:rsid w:val="002C3C99"/>
    <w:rsid w:val="002C5518"/>
    <w:rsid w:val="002C634E"/>
    <w:rsid w:val="002C6D45"/>
    <w:rsid w:val="002C6E6E"/>
    <w:rsid w:val="002C771E"/>
    <w:rsid w:val="002C7C13"/>
    <w:rsid w:val="002D0608"/>
    <w:rsid w:val="002D0CAD"/>
    <w:rsid w:val="002D0E44"/>
    <w:rsid w:val="002D3580"/>
    <w:rsid w:val="002D45EE"/>
    <w:rsid w:val="002D6221"/>
    <w:rsid w:val="002D6C62"/>
    <w:rsid w:val="002D6DF5"/>
    <w:rsid w:val="002D6E46"/>
    <w:rsid w:val="002D6E53"/>
    <w:rsid w:val="002D6ECB"/>
    <w:rsid w:val="002D7782"/>
    <w:rsid w:val="002D7E98"/>
    <w:rsid w:val="002E07BD"/>
    <w:rsid w:val="002E26B2"/>
    <w:rsid w:val="002E3DC2"/>
    <w:rsid w:val="002E458C"/>
    <w:rsid w:val="002E5404"/>
    <w:rsid w:val="002E5BBB"/>
    <w:rsid w:val="002E6131"/>
    <w:rsid w:val="002E62EF"/>
    <w:rsid w:val="002E679E"/>
    <w:rsid w:val="002E6DBD"/>
    <w:rsid w:val="002E715C"/>
    <w:rsid w:val="002E7566"/>
    <w:rsid w:val="002E76F9"/>
    <w:rsid w:val="002F046D"/>
    <w:rsid w:val="002F0522"/>
    <w:rsid w:val="002F1BEA"/>
    <w:rsid w:val="002F36D2"/>
    <w:rsid w:val="002F3BD5"/>
    <w:rsid w:val="002F3BFE"/>
    <w:rsid w:val="002F49E7"/>
    <w:rsid w:val="002F5B11"/>
    <w:rsid w:val="002F7D71"/>
    <w:rsid w:val="003007E0"/>
    <w:rsid w:val="00301466"/>
    <w:rsid w:val="00301651"/>
    <w:rsid w:val="00301764"/>
    <w:rsid w:val="003019D6"/>
    <w:rsid w:val="003026BD"/>
    <w:rsid w:val="0030391C"/>
    <w:rsid w:val="00304C12"/>
    <w:rsid w:val="003050B8"/>
    <w:rsid w:val="00305D5B"/>
    <w:rsid w:val="0030626B"/>
    <w:rsid w:val="003065C2"/>
    <w:rsid w:val="00306AC0"/>
    <w:rsid w:val="00306D64"/>
    <w:rsid w:val="003103CD"/>
    <w:rsid w:val="00311464"/>
    <w:rsid w:val="003127F3"/>
    <w:rsid w:val="00312A1F"/>
    <w:rsid w:val="00313428"/>
    <w:rsid w:val="00313E62"/>
    <w:rsid w:val="003141B9"/>
    <w:rsid w:val="00314BCF"/>
    <w:rsid w:val="0031512A"/>
    <w:rsid w:val="00315974"/>
    <w:rsid w:val="00317124"/>
    <w:rsid w:val="00320061"/>
    <w:rsid w:val="00320197"/>
    <w:rsid w:val="00320876"/>
    <w:rsid w:val="003215AD"/>
    <w:rsid w:val="003215EC"/>
    <w:rsid w:val="00321AAF"/>
    <w:rsid w:val="00321BEB"/>
    <w:rsid w:val="00321CE1"/>
    <w:rsid w:val="003229D8"/>
    <w:rsid w:val="00322A31"/>
    <w:rsid w:val="00324004"/>
    <w:rsid w:val="00326430"/>
    <w:rsid w:val="003268ED"/>
    <w:rsid w:val="00330A8B"/>
    <w:rsid w:val="0033299C"/>
    <w:rsid w:val="003329BE"/>
    <w:rsid w:val="003338BC"/>
    <w:rsid w:val="00333C0C"/>
    <w:rsid w:val="003342FF"/>
    <w:rsid w:val="00334600"/>
    <w:rsid w:val="003361D4"/>
    <w:rsid w:val="00336362"/>
    <w:rsid w:val="00336B19"/>
    <w:rsid w:val="00336C97"/>
    <w:rsid w:val="00336EDD"/>
    <w:rsid w:val="00336FB4"/>
    <w:rsid w:val="00337078"/>
    <w:rsid w:val="003379A4"/>
    <w:rsid w:val="00337F88"/>
    <w:rsid w:val="00337FAD"/>
    <w:rsid w:val="0034216B"/>
    <w:rsid w:val="00342432"/>
    <w:rsid w:val="00342E5A"/>
    <w:rsid w:val="00342E69"/>
    <w:rsid w:val="00344265"/>
    <w:rsid w:val="00344FD8"/>
    <w:rsid w:val="00345594"/>
    <w:rsid w:val="00345EB2"/>
    <w:rsid w:val="003470D4"/>
    <w:rsid w:val="00347DD4"/>
    <w:rsid w:val="0035026F"/>
    <w:rsid w:val="003505BD"/>
    <w:rsid w:val="0035078D"/>
    <w:rsid w:val="00350985"/>
    <w:rsid w:val="003515B9"/>
    <w:rsid w:val="00352125"/>
    <w:rsid w:val="0035223F"/>
    <w:rsid w:val="00352795"/>
    <w:rsid w:val="00352D4B"/>
    <w:rsid w:val="0035363D"/>
    <w:rsid w:val="003538C0"/>
    <w:rsid w:val="00353A0E"/>
    <w:rsid w:val="00353E80"/>
    <w:rsid w:val="00353EB5"/>
    <w:rsid w:val="003556BA"/>
    <w:rsid w:val="00355E80"/>
    <w:rsid w:val="0035622B"/>
    <w:rsid w:val="0035638C"/>
    <w:rsid w:val="00357611"/>
    <w:rsid w:val="003578B9"/>
    <w:rsid w:val="0036052C"/>
    <w:rsid w:val="00361866"/>
    <w:rsid w:val="003646AA"/>
    <w:rsid w:val="003649F6"/>
    <w:rsid w:val="00364B8E"/>
    <w:rsid w:val="00365B20"/>
    <w:rsid w:val="00365B88"/>
    <w:rsid w:val="00365F69"/>
    <w:rsid w:val="00366575"/>
    <w:rsid w:val="0037058A"/>
    <w:rsid w:val="003706F2"/>
    <w:rsid w:val="003723A5"/>
    <w:rsid w:val="00373726"/>
    <w:rsid w:val="00374497"/>
    <w:rsid w:val="00374977"/>
    <w:rsid w:val="00374AF3"/>
    <w:rsid w:val="0037538F"/>
    <w:rsid w:val="00375734"/>
    <w:rsid w:val="00375ADC"/>
    <w:rsid w:val="00376E68"/>
    <w:rsid w:val="00377DDD"/>
    <w:rsid w:val="0038026C"/>
    <w:rsid w:val="0038255E"/>
    <w:rsid w:val="0038342A"/>
    <w:rsid w:val="00384368"/>
    <w:rsid w:val="00386DF8"/>
    <w:rsid w:val="0039091A"/>
    <w:rsid w:val="003916FA"/>
    <w:rsid w:val="003918E6"/>
    <w:rsid w:val="00393117"/>
    <w:rsid w:val="003931C9"/>
    <w:rsid w:val="00394018"/>
    <w:rsid w:val="0039695D"/>
    <w:rsid w:val="003A2415"/>
    <w:rsid w:val="003A27E9"/>
    <w:rsid w:val="003A3DE2"/>
    <w:rsid w:val="003A46BB"/>
    <w:rsid w:val="003A4EC7"/>
    <w:rsid w:val="003A4F16"/>
    <w:rsid w:val="003A51FF"/>
    <w:rsid w:val="003A5266"/>
    <w:rsid w:val="003A58FA"/>
    <w:rsid w:val="003A5ED9"/>
    <w:rsid w:val="003A6563"/>
    <w:rsid w:val="003A7295"/>
    <w:rsid w:val="003A7F75"/>
    <w:rsid w:val="003B04AB"/>
    <w:rsid w:val="003B0968"/>
    <w:rsid w:val="003B0F08"/>
    <w:rsid w:val="003B1290"/>
    <w:rsid w:val="003B17C8"/>
    <w:rsid w:val="003B1BC3"/>
    <w:rsid w:val="003B1F3B"/>
    <w:rsid w:val="003B1F60"/>
    <w:rsid w:val="003B218E"/>
    <w:rsid w:val="003B25CF"/>
    <w:rsid w:val="003B2B81"/>
    <w:rsid w:val="003B3299"/>
    <w:rsid w:val="003B4D03"/>
    <w:rsid w:val="003B5E44"/>
    <w:rsid w:val="003B6DAD"/>
    <w:rsid w:val="003B75DC"/>
    <w:rsid w:val="003B7B9C"/>
    <w:rsid w:val="003C03B0"/>
    <w:rsid w:val="003C0B02"/>
    <w:rsid w:val="003C110F"/>
    <w:rsid w:val="003C11AA"/>
    <w:rsid w:val="003C140A"/>
    <w:rsid w:val="003C1928"/>
    <w:rsid w:val="003C2CC4"/>
    <w:rsid w:val="003C3820"/>
    <w:rsid w:val="003D0019"/>
    <w:rsid w:val="003D0BF1"/>
    <w:rsid w:val="003D2D7C"/>
    <w:rsid w:val="003D356E"/>
    <w:rsid w:val="003D3C57"/>
    <w:rsid w:val="003D40E6"/>
    <w:rsid w:val="003D485A"/>
    <w:rsid w:val="003D4B23"/>
    <w:rsid w:val="003D4DC2"/>
    <w:rsid w:val="003D50E3"/>
    <w:rsid w:val="003D51B4"/>
    <w:rsid w:val="003D6A10"/>
    <w:rsid w:val="003D6D1C"/>
    <w:rsid w:val="003D7A0D"/>
    <w:rsid w:val="003D7BF3"/>
    <w:rsid w:val="003D7E11"/>
    <w:rsid w:val="003E1286"/>
    <w:rsid w:val="003E1946"/>
    <w:rsid w:val="003E278A"/>
    <w:rsid w:val="003E2AF9"/>
    <w:rsid w:val="003E3387"/>
    <w:rsid w:val="003E39BA"/>
    <w:rsid w:val="003E4349"/>
    <w:rsid w:val="003E4A18"/>
    <w:rsid w:val="003E50FC"/>
    <w:rsid w:val="003E5473"/>
    <w:rsid w:val="003E5B12"/>
    <w:rsid w:val="003E6036"/>
    <w:rsid w:val="003E6177"/>
    <w:rsid w:val="003E692A"/>
    <w:rsid w:val="003F1DE0"/>
    <w:rsid w:val="003F27B7"/>
    <w:rsid w:val="003F2EE5"/>
    <w:rsid w:val="003F3377"/>
    <w:rsid w:val="003F59C0"/>
    <w:rsid w:val="003F6BC8"/>
    <w:rsid w:val="003F6E08"/>
    <w:rsid w:val="003F6F43"/>
    <w:rsid w:val="004008BC"/>
    <w:rsid w:val="004025BD"/>
    <w:rsid w:val="00402A89"/>
    <w:rsid w:val="0040370E"/>
    <w:rsid w:val="00404846"/>
    <w:rsid w:val="00404CAA"/>
    <w:rsid w:val="00410893"/>
    <w:rsid w:val="00410BC0"/>
    <w:rsid w:val="00410F0F"/>
    <w:rsid w:val="00411565"/>
    <w:rsid w:val="00412717"/>
    <w:rsid w:val="00412F48"/>
    <w:rsid w:val="00413520"/>
    <w:rsid w:val="004135F7"/>
    <w:rsid w:val="0041514C"/>
    <w:rsid w:val="0042081E"/>
    <w:rsid w:val="00420C6F"/>
    <w:rsid w:val="00421588"/>
    <w:rsid w:val="00421962"/>
    <w:rsid w:val="00424995"/>
    <w:rsid w:val="00424A81"/>
    <w:rsid w:val="00426489"/>
    <w:rsid w:val="00427E4E"/>
    <w:rsid w:val="0043069A"/>
    <w:rsid w:val="004325CB"/>
    <w:rsid w:val="0043265E"/>
    <w:rsid w:val="004328A3"/>
    <w:rsid w:val="00432BB8"/>
    <w:rsid w:val="00433627"/>
    <w:rsid w:val="00433B1B"/>
    <w:rsid w:val="0043547E"/>
    <w:rsid w:val="00436BB1"/>
    <w:rsid w:val="00436D92"/>
    <w:rsid w:val="00440A07"/>
    <w:rsid w:val="004436C1"/>
    <w:rsid w:val="004436CB"/>
    <w:rsid w:val="00444B81"/>
    <w:rsid w:val="00445225"/>
    <w:rsid w:val="00445233"/>
    <w:rsid w:val="004456F6"/>
    <w:rsid w:val="00445CDE"/>
    <w:rsid w:val="00447B62"/>
    <w:rsid w:val="00451005"/>
    <w:rsid w:val="0045180A"/>
    <w:rsid w:val="00451B39"/>
    <w:rsid w:val="00451F8C"/>
    <w:rsid w:val="004527AD"/>
    <w:rsid w:val="004528C2"/>
    <w:rsid w:val="00455A78"/>
    <w:rsid w:val="004603CA"/>
    <w:rsid w:val="00460DDF"/>
    <w:rsid w:val="004621E8"/>
    <w:rsid w:val="00462880"/>
    <w:rsid w:val="004635DB"/>
    <w:rsid w:val="00464023"/>
    <w:rsid w:val="00464567"/>
    <w:rsid w:val="00464BFE"/>
    <w:rsid w:val="00465AE5"/>
    <w:rsid w:val="00466119"/>
    <w:rsid w:val="0046676F"/>
    <w:rsid w:val="00467B2C"/>
    <w:rsid w:val="004744B4"/>
    <w:rsid w:val="00475506"/>
    <w:rsid w:val="004761A3"/>
    <w:rsid w:val="00476D3B"/>
    <w:rsid w:val="00476E85"/>
    <w:rsid w:val="00476F24"/>
    <w:rsid w:val="004777F3"/>
    <w:rsid w:val="0048021F"/>
    <w:rsid w:val="0048073C"/>
    <w:rsid w:val="004807B7"/>
    <w:rsid w:val="0048082D"/>
    <w:rsid w:val="0048092E"/>
    <w:rsid w:val="004814AB"/>
    <w:rsid w:val="00481FAB"/>
    <w:rsid w:val="00482AFF"/>
    <w:rsid w:val="00485E15"/>
    <w:rsid w:val="00486632"/>
    <w:rsid w:val="00487E5A"/>
    <w:rsid w:val="004907BC"/>
    <w:rsid w:val="00491A81"/>
    <w:rsid w:val="00492C5B"/>
    <w:rsid w:val="00492E41"/>
    <w:rsid w:val="00493FCD"/>
    <w:rsid w:val="0049582A"/>
    <w:rsid w:val="004961F5"/>
    <w:rsid w:val="00496294"/>
    <w:rsid w:val="00496D4A"/>
    <w:rsid w:val="004972BC"/>
    <w:rsid w:val="004977AA"/>
    <w:rsid w:val="004A012B"/>
    <w:rsid w:val="004A09F1"/>
    <w:rsid w:val="004A20A6"/>
    <w:rsid w:val="004A2DC7"/>
    <w:rsid w:val="004A3FF1"/>
    <w:rsid w:val="004A3FFB"/>
    <w:rsid w:val="004A4DBF"/>
    <w:rsid w:val="004A53B0"/>
    <w:rsid w:val="004A6D3B"/>
    <w:rsid w:val="004B38AB"/>
    <w:rsid w:val="004B3F76"/>
    <w:rsid w:val="004B60EC"/>
    <w:rsid w:val="004B6210"/>
    <w:rsid w:val="004C0715"/>
    <w:rsid w:val="004C1C9F"/>
    <w:rsid w:val="004C3246"/>
    <w:rsid w:val="004C3BAA"/>
    <w:rsid w:val="004C5359"/>
    <w:rsid w:val="004C53C1"/>
    <w:rsid w:val="004C544D"/>
    <w:rsid w:val="004C55B0"/>
    <w:rsid w:val="004C6BBF"/>
    <w:rsid w:val="004D1198"/>
    <w:rsid w:val="004D13C5"/>
    <w:rsid w:val="004D28B0"/>
    <w:rsid w:val="004D2C12"/>
    <w:rsid w:val="004D2E37"/>
    <w:rsid w:val="004D5D2C"/>
    <w:rsid w:val="004D690B"/>
    <w:rsid w:val="004D74CB"/>
    <w:rsid w:val="004D7FA4"/>
    <w:rsid w:val="004E097F"/>
    <w:rsid w:val="004E1235"/>
    <w:rsid w:val="004E1D34"/>
    <w:rsid w:val="004E2D34"/>
    <w:rsid w:val="004E3B8A"/>
    <w:rsid w:val="004E6D06"/>
    <w:rsid w:val="004E6D18"/>
    <w:rsid w:val="004E7206"/>
    <w:rsid w:val="004E739D"/>
    <w:rsid w:val="004F0A6F"/>
    <w:rsid w:val="004F0EE2"/>
    <w:rsid w:val="004F0F9E"/>
    <w:rsid w:val="004F2614"/>
    <w:rsid w:val="004F3B0A"/>
    <w:rsid w:val="004F3DB7"/>
    <w:rsid w:val="004F3E9A"/>
    <w:rsid w:val="004F4F12"/>
    <w:rsid w:val="004F5577"/>
    <w:rsid w:val="004F5B86"/>
    <w:rsid w:val="004F6BA0"/>
    <w:rsid w:val="004F6CAF"/>
    <w:rsid w:val="004F7FA5"/>
    <w:rsid w:val="00500505"/>
    <w:rsid w:val="0050067E"/>
    <w:rsid w:val="00500A34"/>
    <w:rsid w:val="00501971"/>
    <w:rsid w:val="00502724"/>
    <w:rsid w:val="00503BEA"/>
    <w:rsid w:val="0050554D"/>
    <w:rsid w:val="00505A42"/>
    <w:rsid w:val="00505B64"/>
    <w:rsid w:val="0050603C"/>
    <w:rsid w:val="0050612D"/>
    <w:rsid w:val="0050627E"/>
    <w:rsid w:val="00506870"/>
    <w:rsid w:val="005074D1"/>
    <w:rsid w:val="005077D6"/>
    <w:rsid w:val="00507D24"/>
    <w:rsid w:val="005107CC"/>
    <w:rsid w:val="00511454"/>
    <w:rsid w:val="00511975"/>
    <w:rsid w:val="00512243"/>
    <w:rsid w:val="00512898"/>
    <w:rsid w:val="00512985"/>
    <w:rsid w:val="00512F70"/>
    <w:rsid w:val="00513103"/>
    <w:rsid w:val="005131A5"/>
    <w:rsid w:val="00513724"/>
    <w:rsid w:val="00513BDB"/>
    <w:rsid w:val="00514C8D"/>
    <w:rsid w:val="0051649C"/>
    <w:rsid w:val="00517B09"/>
    <w:rsid w:val="00517CCE"/>
    <w:rsid w:val="00520677"/>
    <w:rsid w:val="00521225"/>
    <w:rsid w:val="0052180E"/>
    <w:rsid w:val="0052182C"/>
    <w:rsid w:val="005222E2"/>
    <w:rsid w:val="00523482"/>
    <w:rsid w:val="00525E51"/>
    <w:rsid w:val="00526FE3"/>
    <w:rsid w:val="00527EA4"/>
    <w:rsid w:val="00531098"/>
    <w:rsid w:val="005311C1"/>
    <w:rsid w:val="00531F0C"/>
    <w:rsid w:val="00532333"/>
    <w:rsid w:val="00532F7F"/>
    <w:rsid w:val="005331E8"/>
    <w:rsid w:val="00533616"/>
    <w:rsid w:val="005339FC"/>
    <w:rsid w:val="00535807"/>
    <w:rsid w:val="00535ABA"/>
    <w:rsid w:val="005360A3"/>
    <w:rsid w:val="00536CE9"/>
    <w:rsid w:val="0053768B"/>
    <w:rsid w:val="00537C28"/>
    <w:rsid w:val="0054018E"/>
    <w:rsid w:val="00540CF5"/>
    <w:rsid w:val="00541BB7"/>
    <w:rsid w:val="005420F2"/>
    <w:rsid w:val="0054214A"/>
    <w:rsid w:val="0054285C"/>
    <w:rsid w:val="0054293E"/>
    <w:rsid w:val="005439ED"/>
    <w:rsid w:val="005441D4"/>
    <w:rsid w:val="0054629C"/>
    <w:rsid w:val="00546751"/>
    <w:rsid w:val="00546CA5"/>
    <w:rsid w:val="00547B96"/>
    <w:rsid w:val="00547D01"/>
    <w:rsid w:val="00547EC6"/>
    <w:rsid w:val="005519C4"/>
    <w:rsid w:val="00552878"/>
    <w:rsid w:val="005528F2"/>
    <w:rsid w:val="00552AED"/>
    <w:rsid w:val="00552C73"/>
    <w:rsid w:val="00552D66"/>
    <w:rsid w:val="00552F98"/>
    <w:rsid w:val="00553474"/>
    <w:rsid w:val="00553502"/>
    <w:rsid w:val="00553694"/>
    <w:rsid w:val="00555597"/>
    <w:rsid w:val="00555D44"/>
    <w:rsid w:val="00555E14"/>
    <w:rsid w:val="00556146"/>
    <w:rsid w:val="00556195"/>
    <w:rsid w:val="005561DE"/>
    <w:rsid w:val="005569F3"/>
    <w:rsid w:val="00560769"/>
    <w:rsid w:val="005623D4"/>
    <w:rsid w:val="00562958"/>
    <w:rsid w:val="00563BC9"/>
    <w:rsid w:val="00564B57"/>
    <w:rsid w:val="00564BC6"/>
    <w:rsid w:val="00564D3D"/>
    <w:rsid w:val="00565E16"/>
    <w:rsid w:val="00565E40"/>
    <w:rsid w:val="00566FC6"/>
    <w:rsid w:val="005707A0"/>
    <w:rsid w:val="00572ACA"/>
    <w:rsid w:val="00572DDF"/>
    <w:rsid w:val="00573A7D"/>
    <w:rsid w:val="00576CC0"/>
    <w:rsid w:val="00576CF5"/>
    <w:rsid w:val="005770E8"/>
    <w:rsid w:val="00577734"/>
    <w:rsid w:val="00577B1E"/>
    <w:rsid w:val="00577C01"/>
    <w:rsid w:val="00577D9A"/>
    <w:rsid w:val="00582868"/>
    <w:rsid w:val="00582F9D"/>
    <w:rsid w:val="00582FDE"/>
    <w:rsid w:val="00583035"/>
    <w:rsid w:val="00583F86"/>
    <w:rsid w:val="00584173"/>
    <w:rsid w:val="00584356"/>
    <w:rsid w:val="00586CE1"/>
    <w:rsid w:val="00587C4B"/>
    <w:rsid w:val="00590BC8"/>
    <w:rsid w:val="00591241"/>
    <w:rsid w:val="00591F4A"/>
    <w:rsid w:val="005922C6"/>
    <w:rsid w:val="00592E0D"/>
    <w:rsid w:val="00592E87"/>
    <w:rsid w:val="00592FFF"/>
    <w:rsid w:val="0059318E"/>
    <w:rsid w:val="005936FF"/>
    <w:rsid w:val="00593DAC"/>
    <w:rsid w:val="00593DB8"/>
    <w:rsid w:val="005942A8"/>
    <w:rsid w:val="005942B5"/>
    <w:rsid w:val="00594593"/>
    <w:rsid w:val="00595520"/>
    <w:rsid w:val="00596616"/>
    <w:rsid w:val="005A0673"/>
    <w:rsid w:val="005A2255"/>
    <w:rsid w:val="005A2AE9"/>
    <w:rsid w:val="005A3455"/>
    <w:rsid w:val="005A44B9"/>
    <w:rsid w:val="005A47CA"/>
    <w:rsid w:val="005A4EFD"/>
    <w:rsid w:val="005A7327"/>
    <w:rsid w:val="005A75F9"/>
    <w:rsid w:val="005B0FA9"/>
    <w:rsid w:val="005B1A85"/>
    <w:rsid w:val="005B1B74"/>
    <w:rsid w:val="005B1BA0"/>
    <w:rsid w:val="005B1BC7"/>
    <w:rsid w:val="005B2897"/>
    <w:rsid w:val="005B29CC"/>
    <w:rsid w:val="005B2F09"/>
    <w:rsid w:val="005B31A6"/>
    <w:rsid w:val="005B3C6A"/>
    <w:rsid w:val="005B3DB3"/>
    <w:rsid w:val="005B407F"/>
    <w:rsid w:val="005B4980"/>
    <w:rsid w:val="005B73B9"/>
    <w:rsid w:val="005C0CE9"/>
    <w:rsid w:val="005C19B3"/>
    <w:rsid w:val="005C28CD"/>
    <w:rsid w:val="005C2A86"/>
    <w:rsid w:val="005C3453"/>
    <w:rsid w:val="005C4AF5"/>
    <w:rsid w:val="005C5096"/>
    <w:rsid w:val="005C57AD"/>
    <w:rsid w:val="005C5A1D"/>
    <w:rsid w:val="005C5CBB"/>
    <w:rsid w:val="005C6884"/>
    <w:rsid w:val="005C7CE7"/>
    <w:rsid w:val="005D000F"/>
    <w:rsid w:val="005D07FD"/>
    <w:rsid w:val="005D15CA"/>
    <w:rsid w:val="005D4ED1"/>
    <w:rsid w:val="005D5041"/>
    <w:rsid w:val="005D5440"/>
    <w:rsid w:val="005D6E0C"/>
    <w:rsid w:val="005D763F"/>
    <w:rsid w:val="005E074C"/>
    <w:rsid w:val="005E3B52"/>
    <w:rsid w:val="005E4C9F"/>
    <w:rsid w:val="005E518A"/>
    <w:rsid w:val="005E5BE8"/>
    <w:rsid w:val="005E694C"/>
    <w:rsid w:val="005F04D6"/>
    <w:rsid w:val="005F0931"/>
    <w:rsid w:val="005F0F7C"/>
    <w:rsid w:val="005F1C73"/>
    <w:rsid w:val="005F2403"/>
    <w:rsid w:val="005F3066"/>
    <w:rsid w:val="005F3E61"/>
    <w:rsid w:val="005F4FE7"/>
    <w:rsid w:val="005F53CC"/>
    <w:rsid w:val="005F5531"/>
    <w:rsid w:val="005F5F36"/>
    <w:rsid w:val="005F5FF1"/>
    <w:rsid w:val="00600384"/>
    <w:rsid w:val="0060112D"/>
    <w:rsid w:val="00601950"/>
    <w:rsid w:val="0060207C"/>
    <w:rsid w:val="006022B2"/>
    <w:rsid w:val="0060386D"/>
    <w:rsid w:val="00603A2F"/>
    <w:rsid w:val="00603D89"/>
    <w:rsid w:val="00604DDD"/>
    <w:rsid w:val="00604E19"/>
    <w:rsid w:val="00606380"/>
    <w:rsid w:val="006066EE"/>
    <w:rsid w:val="00607402"/>
    <w:rsid w:val="00610584"/>
    <w:rsid w:val="00610FFD"/>
    <w:rsid w:val="006115CC"/>
    <w:rsid w:val="00611D3C"/>
    <w:rsid w:val="00611FC4"/>
    <w:rsid w:val="00612A85"/>
    <w:rsid w:val="00614380"/>
    <w:rsid w:val="006147FF"/>
    <w:rsid w:val="00615B65"/>
    <w:rsid w:val="00616502"/>
    <w:rsid w:val="00616581"/>
    <w:rsid w:val="00616F19"/>
    <w:rsid w:val="006176FB"/>
    <w:rsid w:val="00617DE9"/>
    <w:rsid w:val="0062287B"/>
    <w:rsid w:val="00622CDF"/>
    <w:rsid w:val="00622DD9"/>
    <w:rsid w:val="006236D0"/>
    <w:rsid w:val="0062578E"/>
    <w:rsid w:val="00626B06"/>
    <w:rsid w:val="00627420"/>
    <w:rsid w:val="006304EF"/>
    <w:rsid w:val="00630D05"/>
    <w:rsid w:val="00630FCB"/>
    <w:rsid w:val="00631647"/>
    <w:rsid w:val="006318F1"/>
    <w:rsid w:val="00631B0F"/>
    <w:rsid w:val="00631C64"/>
    <w:rsid w:val="0063209B"/>
    <w:rsid w:val="0063229B"/>
    <w:rsid w:val="00635B4B"/>
    <w:rsid w:val="00635BDB"/>
    <w:rsid w:val="0063729E"/>
    <w:rsid w:val="00637645"/>
    <w:rsid w:val="00637B04"/>
    <w:rsid w:val="0064002E"/>
    <w:rsid w:val="006402F1"/>
    <w:rsid w:val="006403F0"/>
    <w:rsid w:val="00640587"/>
    <w:rsid w:val="00640B26"/>
    <w:rsid w:val="006411A3"/>
    <w:rsid w:val="006445C3"/>
    <w:rsid w:val="00644D08"/>
    <w:rsid w:val="006459DE"/>
    <w:rsid w:val="0064635A"/>
    <w:rsid w:val="00647357"/>
    <w:rsid w:val="006477FD"/>
    <w:rsid w:val="006500E3"/>
    <w:rsid w:val="00651056"/>
    <w:rsid w:val="006519EA"/>
    <w:rsid w:val="00651BCE"/>
    <w:rsid w:val="00652ED1"/>
    <w:rsid w:val="00653605"/>
    <w:rsid w:val="00653723"/>
    <w:rsid w:val="006540FE"/>
    <w:rsid w:val="00654142"/>
    <w:rsid w:val="00654A6E"/>
    <w:rsid w:val="00654B99"/>
    <w:rsid w:val="00655FDE"/>
    <w:rsid w:val="00660C5D"/>
    <w:rsid w:val="00661A4B"/>
    <w:rsid w:val="00661EEE"/>
    <w:rsid w:val="006621AD"/>
    <w:rsid w:val="0066263E"/>
    <w:rsid w:val="006631CA"/>
    <w:rsid w:val="00663857"/>
    <w:rsid w:val="00663F89"/>
    <w:rsid w:val="00664148"/>
    <w:rsid w:val="006658F3"/>
    <w:rsid w:val="00667E95"/>
    <w:rsid w:val="00667FA2"/>
    <w:rsid w:val="00670307"/>
    <w:rsid w:val="006704CE"/>
    <w:rsid w:val="00670CC9"/>
    <w:rsid w:val="00674CDE"/>
    <w:rsid w:val="00674D12"/>
    <w:rsid w:val="00675DBD"/>
    <w:rsid w:val="00676E81"/>
    <w:rsid w:val="00676ECE"/>
    <w:rsid w:val="006770B2"/>
    <w:rsid w:val="0067740B"/>
    <w:rsid w:val="00677D70"/>
    <w:rsid w:val="00677DF4"/>
    <w:rsid w:val="00682B32"/>
    <w:rsid w:val="00683167"/>
    <w:rsid w:val="00683C0A"/>
    <w:rsid w:val="00684468"/>
    <w:rsid w:val="00684541"/>
    <w:rsid w:val="00684ADC"/>
    <w:rsid w:val="00684BFA"/>
    <w:rsid w:val="0068672A"/>
    <w:rsid w:val="0068782B"/>
    <w:rsid w:val="006913E1"/>
    <w:rsid w:val="00691AA5"/>
    <w:rsid w:val="00691D51"/>
    <w:rsid w:val="006929EE"/>
    <w:rsid w:val="0069319A"/>
    <w:rsid w:val="0069372A"/>
    <w:rsid w:val="006937F0"/>
    <w:rsid w:val="006937FA"/>
    <w:rsid w:val="006940E1"/>
    <w:rsid w:val="006952E3"/>
    <w:rsid w:val="006954C1"/>
    <w:rsid w:val="00695E4A"/>
    <w:rsid w:val="00696B34"/>
    <w:rsid w:val="006A26FC"/>
    <w:rsid w:val="006A28A3"/>
    <w:rsid w:val="006A3044"/>
    <w:rsid w:val="006A3446"/>
    <w:rsid w:val="006A3C72"/>
    <w:rsid w:val="006A48F6"/>
    <w:rsid w:val="006A5423"/>
    <w:rsid w:val="006A60D7"/>
    <w:rsid w:val="006A7392"/>
    <w:rsid w:val="006A7975"/>
    <w:rsid w:val="006A7AD8"/>
    <w:rsid w:val="006B03A1"/>
    <w:rsid w:val="006B05D3"/>
    <w:rsid w:val="006B2C24"/>
    <w:rsid w:val="006B3019"/>
    <w:rsid w:val="006B381B"/>
    <w:rsid w:val="006B3DDD"/>
    <w:rsid w:val="006B3EFA"/>
    <w:rsid w:val="006B4414"/>
    <w:rsid w:val="006B4B83"/>
    <w:rsid w:val="006B4D0C"/>
    <w:rsid w:val="006B59DF"/>
    <w:rsid w:val="006B67D9"/>
    <w:rsid w:val="006C12A8"/>
    <w:rsid w:val="006C1BE5"/>
    <w:rsid w:val="006C2AA6"/>
    <w:rsid w:val="006C2E89"/>
    <w:rsid w:val="006C35BD"/>
    <w:rsid w:val="006C5535"/>
    <w:rsid w:val="006C6663"/>
    <w:rsid w:val="006C6708"/>
    <w:rsid w:val="006C7196"/>
    <w:rsid w:val="006D0589"/>
    <w:rsid w:val="006D15BB"/>
    <w:rsid w:val="006D27E8"/>
    <w:rsid w:val="006D293C"/>
    <w:rsid w:val="006D351C"/>
    <w:rsid w:val="006D40FA"/>
    <w:rsid w:val="006D4F4B"/>
    <w:rsid w:val="006D5537"/>
    <w:rsid w:val="006D5619"/>
    <w:rsid w:val="006D5624"/>
    <w:rsid w:val="006D60F3"/>
    <w:rsid w:val="006D656B"/>
    <w:rsid w:val="006D6A2E"/>
    <w:rsid w:val="006E06D2"/>
    <w:rsid w:val="006E0DA0"/>
    <w:rsid w:val="006E1689"/>
    <w:rsid w:val="006E31DC"/>
    <w:rsid w:val="006E33B8"/>
    <w:rsid w:val="006E48CF"/>
    <w:rsid w:val="006E4A49"/>
    <w:rsid w:val="006E4FEC"/>
    <w:rsid w:val="006E564B"/>
    <w:rsid w:val="006E58D5"/>
    <w:rsid w:val="006E5984"/>
    <w:rsid w:val="006E6E23"/>
    <w:rsid w:val="006E7154"/>
    <w:rsid w:val="006E72A8"/>
    <w:rsid w:val="006E7A2A"/>
    <w:rsid w:val="006F3C77"/>
    <w:rsid w:val="006F4C26"/>
    <w:rsid w:val="006F5931"/>
    <w:rsid w:val="006F7379"/>
    <w:rsid w:val="006F7A38"/>
    <w:rsid w:val="006F7E76"/>
    <w:rsid w:val="007003CD"/>
    <w:rsid w:val="007007D3"/>
    <w:rsid w:val="007029FB"/>
    <w:rsid w:val="00703065"/>
    <w:rsid w:val="00703DAE"/>
    <w:rsid w:val="00704C5B"/>
    <w:rsid w:val="00704DB6"/>
    <w:rsid w:val="007062A9"/>
    <w:rsid w:val="0070701E"/>
    <w:rsid w:val="00707615"/>
    <w:rsid w:val="00707984"/>
    <w:rsid w:val="0071002B"/>
    <w:rsid w:val="00710054"/>
    <w:rsid w:val="007108B4"/>
    <w:rsid w:val="00710A56"/>
    <w:rsid w:val="0071186F"/>
    <w:rsid w:val="00711956"/>
    <w:rsid w:val="00711A24"/>
    <w:rsid w:val="00712167"/>
    <w:rsid w:val="00712C76"/>
    <w:rsid w:val="007132E3"/>
    <w:rsid w:val="007134BB"/>
    <w:rsid w:val="00713686"/>
    <w:rsid w:val="00713B12"/>
    <w:rsid w:val="007140EF"/>
    <w:rsid w:val="007175C9"/>
    <w:rsid w:val="00717FAE"/>
    <w:rsid w:val="007200B5"/>
    <w:rsid w:val="00720A97"/>
    <w:rsid w:val="00721281"/>
    <w:rsid w:val="0072271A"/>
    <w:rsid w:val="00724CF9"/>
    <w:rsid w:val="00726202"/>
    <w:rsid w:val="0072632A"/>
    <w:rsid w:val="007315F1"/>
    <w:rsid w:val="00732BCA"/>
    <w:rsid w:val="007337AC"/>
    <w:rsid w:val="007350A7"/>
    <w:rsid w:val="007357D4"/>
    <w:rsid w:val="007358E8"/>
    <w:rsid w:val="00735F0D"/>
    <w:rsid w:val="00736ECE"/>
    <w:rsid w:val="00740EFA"/>
    <w:rsid w:val="0074118F"/>
    <w:rsid w:val="00741AD8"/>
    <w:rsid w:val="00743572"/>
    <w:rsid w:val="00744391"/>
    <w:rsid w:val="0074533B"/>
    <w:rsid w:val="00746268"/>
    <w:rsid w:val="007464BC"/>
    <w:rsid w:val="007464D3"/>
    <w:rsid w:val="007467AA"/>
    <w:rsid w:val="00746974"/>
    <w:rsid w:val="00747292"/>
    <w:rsid w:val="007474C1"/>
    <w:rsid w:val="0075026E"/>
    <w:rsid w:val="00750827"/>
    <w:rsid w:val="007519A9"/>
    <w:rsid w:val="00752908"/>
    <w:rsid w:val="00752968"/>
    <w:rsid w:val="00756759"/>
    <w:rsid w:val="0075707B"/>
    <w:rsid w:val="00757F82"/>
    <w:rsid w:val="007609F3"/>
    <w:rsid w:val="00761AE4"/>
    <w:rsid w:val="00762A26"/>
    <w:rsid w:val="007637C6"/>
    <w:rsid w:val="00763954"/>
    <w:rsid w:val="007643BC"/>
    <w:rsid w:val="0076574F"/>
    <w:rsid w:val="00765871"/>
    <w:rsid w:val="00765F1E"/>
    <w:rsid w:val="00766159"/>
    <w:rsid w:val="00766C03"/>
    <w:rsid w:val="00766F9A"/>
    <w:rsid w:val="007679FC"/>
    <w:rsid w:val="00767C3C"/>
    <w:rsid w:val="00770ACA"/>
    <w:rsid w:val="00771748"/>
    <w:rsid w:val="007719BF"/>
    <w:rsid w:val="00772632"/>
    <w:rsid w:val="00772E75"/>
    <w:rsid w:val="00775DF2"/>
    <w:rsid w:val="0077689A"/>
    <w:rsid w:val="00776BBE"/>
    <w:rsid w:val="00781F20"/>
    <w:rsid w:val="00782656"/>
    <w:rsid w:val="00782852"/>
    <w:rsid w:val="00783E00"/>
    <w:rsid w:val="00785252"/>
    <w:rsid w:val="007856ED"/>
    <w:rsid w:val="0078599C"/>
    <w:rsid w:val="00786676"/>
    <w:rsid w:val="007906EB"/>
    <w:rsid w:val="00792866"/>
    <w:rsid w:val="00792FE2"/>
    <w:rsid w:val="007933E4"/>
    <w:rsid w:val="00795746"/>
    <w:rsid w:val="00795803"/>
    <w:rsid w:val="007959FE"/>
    <w:rsid w:val="007A0CF1"/>
    <w:rsid w:val="007A14B3"/>
    <w:rsid w:val="007A1E16"/>
    <w:rsid w:val="007A26AA"/>
    <w:rsid w:val="007A371B"/>
    <w:rsid w:val="007A37C9"/>
    <w:rsid w:val="007A38D4"/>
    <w:rsid w:val="007A4BC4"/>
    <w:rsid w:val="007A5F11"/>
    <w:rsid w:val="007A7F2C"/>
    <w:rsid w:val="007B228B"/>
    <w:rsid w:val="007B24F6"/>
    <w:rsid w:val="007B25B2"/>
    <w:rsid w:val="007B3538"/>
    <w:rsid w:val="007B518F"/>
    <w:rsid w:val="007B563A"/>
    <w:rsid w:val="007B5A23"/>
    <w:rsid w:val="007B6153"/>
    <w:rsid w:val="007B6A03"/>
    <w:rsid w:val="007B6BA5"/>
    <w:rsid w:val="007B73D0"/>
    <w:rsid w:val="007B79A3"/>
    <w:rsid w:val="007B7D86"/>
    <w:rsid w:val="007C0A5E"/>
    <w:rsid w:val="007C1AC9"/>
    <w:rsid w:val="007C1C92"/>
    <w:rsid w:val="007C2623"/>
    <w:rsid w:val="007C3390"/>
    <w:rsid w:val="007C3443"/>
    <w:rsid w:val="007C3DF8"/>
    <w:rsid w:val="007C42D8"/>
    <w:rsid w:val="007C435F"/>
    <w:rsid w:val="007C4F4B"/>
    <w:rsid w:val="007C588F"/>
    <w:rsid w:val="007C5AD8"/>
    <w:rsid w:val="007C735A"/>
    <w:rsid w:val="007C7417"/>
    <w:rsid w:val="007C76FE"/>
    <w:rsid w:val="007C7A69"/>
    <w:rsid w:val="007D11CE"/>
    <w:rsid w:val="007D13B0"/>
    <w:rsid w:val="007D1459"/>
    <w:rsid w:val="007D2226"/>
    <w:rsid w:val="007D2A10"/>
    <w:rsid w:val="007D36D1"/>
    <w:rsid w:val="007D3EF7"/>
    <w:rsid w:val="007D4628"/>
    <w:rsid w:val="007D4E5A"/>
    <w:rsid w:val="007D542B"/>
    <w:rsid w:val="007D66C3"/>
    <w:rsid w:val="007D7362"/>
    <w:rsid w:val="007D738C"/>
    <w:rsid w:val="007D7B8A"/>
    <w:rsid w:val="007D7CD8"/>
    <w:rsid w:val="007E011E"/>
    <w:rsid w:val="007E0491"/>
    <w:rsid w:val="007E0837"/>
    <w:rsid w:val="007E0C26"/>
    <w:rsid w:val="007E2A48"/>
    <w:rsid w:val="007E30A3"/>
    <w:rsid w:val="007E4F72"/>
    <w:rsid w:val="007E5D15"/>
    <w:rsid w:val="007E7490"/>
    <w:rsid w:val="007E74CD"/>
    <w:rsid w:val="007E7D0F"/>
    <w:rsid w:val="007F0BE6"/>
    <w:rsid w:val="007F27C8"/>
    <w:rsid w:val="007F2F5D"/>
    <w:rsid w:val="007F3304"/>
    <w:rsid w:val="007F3849"/>
    <w:rsid w:val="007F4298"/>
    <w:rsid w:val="007F5CE2"/>
    <w:rsid w:val="007F6611"/>
    <w:rsid w:val="007F6B9A"/>
    <w:rsid w:val="007F6C5B"/>
    <w:rsid w:val="007F7CEB"/>
    <w:rsid w:val="00800135"/>
    <w:rsid w:val="008009EC"/>
    <w:rsid w:val="00800BB7"/>
    <w:rsid w:val="0080240B"/>
    <w:rsid w:val="00802BF0"/>
    <w:rsid w:val="00803418"/>
    <w:rsid w:val="00803446"/>
    <w:rsid w:val="00803856"/>
    <w:rsid w:val="008045A9"/>
    <w:rsid w:val="0080497A"/>
    <w:rsid w:val="00804B8A"/>
    <w:rsid w:val="0080521D"/>
    <w:rsid w:val="00810BAC"/>
    <w:rsid w:val="00811150"/>
    <w:rsid w:val="0081268F"/>
    <w:rsid w:val="00813D85"/>
    <w:rsid w:val="00814B0E"/>
    <w:rsid w:val="00815EE4"/>
    <w:rsid w:val="00816F35"/>
    <w:rsid w:val="0081705B"/>
    <w:rsid w:val="008173BA"/>
    <w:rsid w:val="00817465"/>
    <w:rsid w:val="008175E9"/>
    <w:rsid w:val="00820374"/>
    <w:rsid w:val="00820453"/>
    <w:rsid w:val="00820586"/>
    <w:rsid w:val="00820626"/>
    <w:rsid w:val="00820A5B"/>
    <w:rsid w:val="00820AEF"/>
    <w:rsid w:val="0082376F"/>
    <w:rsid w:val="00824165"/>
    <w:rsid w:val="008242D7"/>
    <w:rsid w:val="00824563"/>
    <w:rsid w:val="00825265"/>
    <w:rsid w:val="0082577B"/>
    <w:rsid w:val="008262C6"/>
    <w:rsid w:val="00827CAB"/>
    <w:rsid w:val="008307A7"/>
    <w:rsid w:val="00830E08"/>
    <w:rsid w:val="00830F65"/>
    <w:rsid w:val="00831682"/>
    <w:rsid w:val="0083246C"/>
    <w:rsid w:val="0083422E"/>
    <w:rsid w:val="0083439C"/>
    <w:rsid w:val="00834430"/>
    <w:rsid w:val="008344C8"/>
    <w:rsid w:val="00836AF6"/>
    <w:rsid w:val="00836F42"/>
    <w:rsid w:val="008373B5"/>
    <w:rsid w:val="00837433"/>
    <w:rsid w:val="008379E9"/>
    <w:rsid w:val="008407A4"/>
    <w:rsid w:val="008408DF"/>
    <w:rsid w:val="00841ABA"/>
    <w:rsid w:val="00842764"/>
    <w:rsid w:val="00844D58"/>
    <w:rsid w:val="00845091"/>
    <w:rsid w:val="008451FE"/>
    <w:rsid w:val="00845445"/>
    <w:rsid w:val="00846D33"/>
    <w:rsid w:val="00847C86"/>
    <w:rsid w:val="0085036B"/>
    <w:rsid w:val="008507FB"/>
    <w:rsid w:val="00850F72"/>
    <w:rsid w:val="00853AB8"/>
    <w:rsid w:val="00853F72"/>
    <w:rsid w:val="00855B12"/>
    <w:rsid w:val="00855F1D"/>
    <w:rsid w:val="0085639E"/>
    <w:rsid w:val="00857792"/>
    <w:rsid w:val="00861752"/>
    <w:rsid w:val="008619C0"/>
    <w:rsid w:val="00862631"/>
    <w:rsid w:val="008629E6"/>
    <w:rsid w:val="00862A98"/>
    <w:rsid w:val="00864B3E"/>
    <w:rsid w:val="00864F55"/>
    <w:rsid w:val="00866893"/>
    <w:rsid w:val="00866F02"/>
    <w:rsid w:val="008672C5"/>
    <w:rsid w:val="00867613"/>
    <w:rsid w:val="00867BE1"/>
    <w:rsid w:val="00867D18"/>
    <w:rsid w:val="00870390"/>
    <w:rsid w:val="00870C04"/>
    <w:rsid w:val="00870D5E"/>
    <w:rsid w:val="00871F9A"/>
    <w:rsid w:val="00871FD5"/>
    <w:rsid w:val="00874EBA"/>
    <w:rsid w:val="008770A9"/>
    <w:rsid w:val="00877D39"/>
    <w:rsid w:val="00880E85"/>
    <w:rsid w:val="0088172E"/>
    <w:rsid w:val="00881EAA"/>
    <w:rsid w:val="00881EFA"/>
    <w:rsid w:val="00882597"/>
    <w:rsid w:val="00882D16"/>
    <w:rsid w:val="008831CB"/>
    <w:rsid w:val="008851C7"/>
    <w:rsid w:val="00885C77"/>
    <w:rsid w:val="00885F19"/>
    <w:rsid w:val="00886994"/>
    <w:rsid w:val="008879CB"/>
    <w:rsid w:val="00887BC2"/>
    <w:rsid w:val="008908B9"/>
    <w:rsid w:val="00890E8C"/>
    <w:rsid w:val="00893207"/>
    <w:rsid w:val="00893577"/>
    <w:rsid w:val="00893791"/>
    <w:rsid w:val="00893AF8"/>
    <w:rsid w:val="008942ED"/>
    <w:rsid w:val="00895136"/>
    <w:rsid w:val="008979B1"/>
    <w:rsid w:val="008A05ED"/>
    <w:rsid w:val="008A3124"/>
    <w:rsid w:val="008A563B"/>
    <w:rsid w:val="008A5AF7"/>
    <w:rsid w:val="008A6B25"/>
    <w:rsid w:val="008A6C4F"/>
    <w:rsid w:val="008B0174"/>
    <w:rsid w:val="008B1AEA"/>
    <w:rsid w:val="008B25D6"/>
    <w:rsid w:val="008B389E"/>
    <w:rsid w:val="008B3F05"/>
    <w:rsid w:val="008B4295"/>
    <w:rsid w:val="008B4947"/>
    <w:rsid w:val="008B4E57"/>
    <w:rsid w:val="008B54BC"/>
    <w:rsid w:val="008B6944"/>
    <w:rsid w:val="008B6FB7"/>
    <w:rsid w:val="008B76FA"/>
    <w:rsid w:val="008B7A25"/>
    <w:rsid w:val="008C1ADD"/>
    <w:rsid w:val="008C3334"/>
    <w:rsid w:val="008C353E"/>
    <w:rsid w:val="008C5499"/>
    <w:rsid w:val="008C5BA0"/>
    <w:rsid w:val="008C6C31"/>
    <w:rsid w:val="008C6E4B"/>
    <w:rsid w:val="008C6E5A"/>
    <w:rsid w:val="008D045E"/>
    <w:rsid w:val="008D12BF"/>
    <w:rsid w:val="008D1A9A"/>
    <w:rsid w:val="008D1D09"/>
    <w:rsid w:val="008D30D9"/>
    <w:rsid w:val="008D36DC"/>
    <w:rsid w:val="008D3F25"/>
    <w:rsid w:val="008D4D82"/>
    <w:rsid w:val="008D5253"/>
    <w:rsid w:val="008D76BD"/>
    <w:rsid w:val="008E0E46"/>
    <w:rsid w:val="008E2CA9"/>
    <w:rsid w:val="008E34B9"/>
    <w:rsid w:val="008E3B38"/>
    <w:rsid w:val="008E41C2"/>
    <w:rsid w:val="008E42CC"/>
    <w:rsid w:val="008E4985"/>
    <w:rsid w:val="008E504D"/>
    <w:rsid w:val="008E58AB"/>
    <w:rsid w:val="008E63F3"/>
    <w:rsid w:val="008E70CD"/>
    <w:rsid w:val="008E7116"/>
    <w:rsid w:val="008E7E29"/>
    <w:rsid w:val="008F143B"/>
    <w:rsid w:val="008F1A96"/>
    <w:rsid w:val="008F2DEF"/>
    <w:rsid w:val="008F2E69"/>
    <w:rsid w:val="008F3612"/>
    <w:rsid w:val="008F3882"/>
    <w:rsid w:val="008F4B7C"/>
    <w:rsid w:val="008F4CA3"/>
    <w:rsid w:val="008F57B3"/>
    <w:rsid w:val="008F6DB8"/>
    <w:rsid w:val="00900A0C"/>
    <w:rsid w:val="00901D30"/>
    <w:rsid w:val="00901D44"/>
    <w:rsid w:val="00902338"/>
    <w:rsid w:val="00902A20"/>
    <w:rsid w:val="00903116"/>
    <w:rsid w:val="0090328C"/>
    <w:rsid w:val="00903894"/>
    <w:rsid w:val="009040E9"/>
    <w:rsid w:val="0090495C"/>
    <w:rsid w:val="00907B46"/>
    <w:rsid w:val="00910507"/>
    <w:rsid w:val="00910695"/>
    <w:rsid w:val="00910A34"/>
    <w:rsid w:val="00911DF7"/>
    <w:rsid w:val="00911F75"/>
    <w:rsid w:val="00912547"/>
    <w:rsid w:val="0091279A"/>
    <w:rsid w:val="00912BF9"/>
    <w:rsid w:val="009130BD"/>
    <w:rsid w:val="00913982"/>
    <w:rsid w:val="00913C16"/>
    <w:rsid w:val="00914823"/>
    <w:rsid w:val="009158E9"/>
    <w:rsid w:val="00915B42"/>
    <w:rsid w:val="00916D67"/>
    <w:rsid w:val="009173DA"/>
    <w:rsid w:val="009201EA"/>
    <w:rsid w:val="009203F0"/>
    <w:rsid w:val="00922C23"/>
    <w:rsid w:val="00924401"/>
    <w:rsid w:val="00925A4C"/>
    <w:rsid w:val="00926371"/>
    <w:rsid w:val="0092640F"/>
    <w:rsid w:val="009268C7"/>
    <w:rsid w:val="00926E47"/>
    <w:rsid w:val="009301AC"/>
    <w:rsid w:val="0093147F"/>
    <w:rsid w:val="00931E74"/>
    <w:rsid w:val="00932A76"/>
    <w:rsid w:val="00934683"/>
    <w:rsid w:val="009349C9"/>
    <w:rsid w:val="00934C66"/>
    <w:rsid w:val="0093525F"/>
    <w:rsid w:val="009352A8"/>
    <w:rsid w:val="00935AA4"/>
    <w:rsid w:val="00936148"/>
    <w:rsid w:val="00937A89"/>
    <w:rsid w:val="00937B95"/>
    <w:rsid w:val="00937FFC"/>
    <w:rsid w:val="009424C6"/>
    <w:rsid w:val="00942593"/>
    <w:rsid w:val="00942748"/>
    <w:rsid w:val="00944A8A"/>
    <w:rsid w:val="00944F1C"/>
    <w:rsid w:val="00945A74"/>
    <w:rsid w:val="009466DF"/>
    <w:rsid w:val="00947162"/>
    <w:rsid w:val="00950346"/>
    <w:rsid w:val="009503CC"/>
    <w:rsid w:val="00952955"/>
    <w:rsid w:val="00952BF2"/>
    <w:rsid w:val="009533F6"/>
    <w:rsid w:val="009542A2"/>
    <w:rsid w:val="00954E99"/>
    <w:rsid w:val="009557E7"/>
    <w:rsid w:val="00955D5F"/>
    <w:rsid w:val="00955EA8"/>
    <w:rsid w:val="009567BD"/>
    <w:rsid w:val="00956F82"/>
    <w:rsid w:val="009571D2"/>
    <w:rsid w:val="00957F9B"/>
    <w:rsid w:val="009610D0"/>
    <w:rsid w:val="00961FAA"/>
    <w:rsid w:val="0096375C"/>
    <w:rsid w:val="00965147"/>
    <w:rsid w:val="00965E8F"/>
    <w:rsid w:val="009662E6"/>
    <w:rsid w:val="00967719"/>
    <w:rsid w:val="009707C3"/>
    <w:rsid w:val="0097095E"/>
    <w:rsid w:val="00970F16"/>
    <w:rsid w:val="009711F7"/>
    <w:rsid w:val="009714DB"/>
    <w:rsid w:val="009728E2"/>
    <w:rsid w:val="00972CA0"/>
    <w:rsid w:val="009749E9"/>
    <w:rsid w:val="00975F24"/>
    <w:rsid w:val="009772C4"/>
    <w:rsid w:val="00977832"/>
    <w:rsid w:val="0098081C"/>
    <w:rsid w:val="009818B5"/>
    <w:rsid w:val="009819C8"/>
    <w:rsid w:val="00982676"/>
    <w:rsid w:val="00983A00"/>
    <w:rsid w:val="00983E12"/>
    <w:rsid w:val="0098480F"/>
    <w:rsid w:val="00985646"/>
    <w:rsid w:val="0098592B"/>
    <w:rsid w:val="00985FC4"/>
    <w:rsid w:val="00986298"/>
    <w:rsid w:val="00986498"/>
    <w:rsid w:val="0098692B"/>
    <w:rsid w:val="00987370"/>
    <w:rsid w:val="00987828"/>
    <w:rsid w:val="00990766"/>
    <w:rsid w:val="00991198"/>
    <w:rsid w:val="00991261"/>
    <w:rsid w:val="009934A4"/>
    <w:rsid w:val="009935D3"/>
    <w:rsid w:val="009937FE"/>
    <w:rsid w:val="00994DCB"/>
    <w:rsid w:val="0099508E"/>
    <w:rsid w:val="009964C4"/>
    <w:rsid w:val="00997710"/>
    <w:rsid w:val="00997D4F"/>
    <w:rsid w:val="009A016C"/>
    <w:rsid w:val="009A03E4"/>
    <w:rsid w:val="009A055C"/>
    <w:rsid w:val="009A0FAF"/>
    <w:rsid w:val="009A14C2"/>
    <w:rsid w:val="009A165A"/>
    <w:rsid w:val="009A3976"/>
    <w:rsid w:val="009A53BA"/>
    <w:rsid w:val="009A5DDC"/>
    <w:rsid w:val="009A5F02"/>
    <w:rsid w:val="009A7B81"/>
    <w:rsid w:val="009B08B5"/>
    <w:rsid w:val="009B1C2A"/>
    <w:rsid w:val="009B201C"/>
    <w:rsid w:val="009B2D7C"/>
    <w:rsid w:val="009B3CC1"/>
    <w:rsid w:val="009B4AC0"/>
    <w:rsid w:val="009B67FF"/>
    <w:rsid w:val="009B7859"/>
    <w:rsid w:val="009B786F"/>
    <w:rsid w:val="009B78F3"/>
    <w:rsid w:val="009C0AB5"/>
    <w:rsid w:val="009C0BEF"/>
    <w:rsid w:val="009C10D5"/>
    <w:rsid w:val="009C1201"/>
    <w:rsid w:val="009C1FDC"/>
    <w:rsid w:val="009C237B"/>
    <w:rsid w:val="009C25D5"/>
    <w:rsid w:val="009C2E11"/>
    <w:rsid w:val="009C2E5B"/>
    <w:rsid w:val="009C393E"/>
    <w:rsid w:val="009C431A"/>
    <w:rsid w:val="009C5CCD"/>
    <w:rsid w:val="009C7662"/>
    <w:rsid w:val="009C7C0A"/>
    <w:rsid w:val="009D01C0"/>
    <w:rsid w:val="009D06EB"/>
    <w:rsid w:val="009D106A"/>
    <w:rsid w:val="009D2524"/>
    <w:rsid w:val="009D5933"/>
    <w:rsid w:val="009D6A08"/>
    <w:rsid w:val="009D7891"/>
    <w:rsid w:val="009E0A16"/>
    <w:rsid w:val="009E0EAD"/>
    <w:rsid w:val="009E302C"/>
    <w:rsid w:val="009E4016"/>
    <w:rsid w:val="009E5900"/>
    <w:rsid w:val="009E6801"/>
    <w:rsid w:val="009E6CB7"/>
    <w:rsid w:val="009E7725"/>
    <w:rsid w:val="009E7970"/>
    <w:rsid w:val="009E7C1D"/>
    <w:rsid w:val="009F28B7"/>
    <w:rsid w:val="009F2EAC"/>
    <w:rsid w:val="009F3065"/>
    <w:rsid w:val="009F3F3D"/>
    <w:rsid w:val="009F46DB"/>
    <w:rsid w:val="009F572C"/>
    <w:rsid w:val="009F57E3"/>
    <w:rsid w:val="009F6494"/>
    <w:rsid w:val="009F7885"/>
    <w:rsid w:val="00A00D5A"/>
    <w:rsid w:val="00A00F25"/>
    <w:rsid w:val="00A01CD1"/>
    <w:rsid w:val="00A02FAB"/>
    <w:rsid w:val="00A031BA"/>
    <w:rsid w:val="00A031F3"/>
    <w:rsid w:val="00A032C1"/>
    <w:rsid w:val="00A03708"/>
    <w:rsid w:val="00A045CF"/>
    <w:rsid w:val="00A049FF"/>
    <w:rsid w:val="00A058AE"/>
    <w:rsid w:val="00A05A1B"/>
    <w:rsid w:val="00A062C5"/>
    <w:rsid w:val="00A06A31"/>
    <w:rsid w:val="00A07172"/>
    <w:rsid w:val="00A10F4F"/>
    <w:rsid w:val="00A11067"/>
    <w:rsid w:val="00A110F2"/>
    <w:rsid w:val="00A112F8"/>
    <w:rsid w:val="00A11302"/>
    <w:rsid w:val="00A11B7F"/>
    <w:rsid w:val="00A1431F"/>
    <w:rsid w:val="00A1470C"/>
    <w:rsid w:val="00A1549D"/>
    <w:rsid w:val="00A154F9"/>
    <w:rsid w:val="00A1574B"/>
    <w:rsid w:val="00A158F0"/>
    <w:rsid w:val="00A169CE"/>
    <w:rsid w:val="00A1704A"/>
    <w:rsid w:val="00A17D9F"/>
    <w:rsid w:val="00A17E8C"/>
    <w:rsid w:val="00A22B52"/>
    <w:rsid w:val="00A231AB"/>
    <w:rsid w:val="00A234B4"/>
    <w:rsid w:val="00A243B5"/>
    <w:rsid w:val="00A245C2"/>
    <w:rsid w:val="00A25147"/>
    <w:rsid w:val="00A25DA2"/>
    <w:rsid w:val="00A25EA3"/>
    <w:rsid w:val="00A26B2C"/>
    <w:rsid w:val="00A2748F"/>
    <w:rsid w:val="00A27662"/>
    <w:rsid w:val="00A27F84"/>
    <w:rsid w:val="00A301C8"/>
    <w:rsid w:val="00A30293"/>
    <w:rsid w:val="00A31CB1"/>
    <w:rsid w:val="00A32990"/>
    <w:rsid w:val="00A34A81"/>
    <w:rsid w:val="00A35205"/>
    <w:rsid w:val="00A35887"/>
    <w:rsid w:val="00A35C0F"/>
    <w:rsid w:val="00A40BAA"/>
    <w:rsid w:val="00A4199C"/>
    <w:rsid w:val="00A41AF8"/>
    <w:rsid w:val="00A42116"/>
    <w:rsid w:val="00A425EB"/>
    <w:rsid w:val="00A426DD"/>
    <w:rsid w:val="00A42B71"/>
    <w:rsid w:val="00A4517F"/>
    <w:rsid w:val="00A473CE"/>
    <w:rsid w:val="00A5044F"/>
    <w:rsid w:val="00A506DA"/>
    <w:rsid w:val="00A51096"/>
    <w:rsid w:val="00A538F3"/>
    <w:rsid w:val="00A53B9E"/>
    <w:rsid w:val="00A54349"/>
    <w:rsid w:val="00A552BD"/>
    <w:rsid w:val="00A55FE1"/>
    <w:rsid w:val="00A56160"/>
    <w:rsid w:val="00A56513"/>
    <w:rsid w:val="00A6047A"/>
    <w:rsid w:val="00A60833"/>
    <w:rsid w:val="00A614A5"/>
    <w:rsid w:val="00A653B8"/>
    <w:rsid w:val="00A659D7"/>
    <w:rsid w:val="00A66C50"/>
    <w:rsid w:val="00A6775C"/>
    <w:rsid w:val="00A70146"/>
    <w:rsid w:val="00A71D5D"/>
    <w:rsid w:val="00A71DC2"/>
    <w:rsid w:val="00A72F22"/>
    <w:rsid w:val="00A733BC"/>
    <w:rsid w:val="00A7357A"/>
    <w:rsid w:val="00A73E56"/>
    <w:rsid w:val="00A748A6"/>
    <w:rsid w:val="00A7498A"/>
    <w:rsid w:val="00A760A2"/>
    <w:rsid w:val="00A763DE"/>
    <w:rsid w:val="00A764D8"/>
    <w:rsid w:val="00A76A69"/>
    <w:rsid w:val="00A77238"/>
    <w:rsid w:val="00A77914"/>
    <w:rsid w:val="00A80540"/>
    <w:rsid w:val="00A80DF4"/>
    <w:rsid w:val="00A821FE"/>
    <w:rsid w:val="00A830D2"/>
    <w:rsid w:val="00A83656"/>
    <w:rsid w:val="00A84249"/>
    <w:rsid w:val="00A846D5"/>
    <w:rsid w:val="00A8472D"/>
    <w:rsid w:val="00A84CDB"/>
    <w:rsid w:val="00A850CE"/>
    <w:rsid w:val="00A8521A"/>
    <w:rsid w:val="00A85339"/>
    <w:rsid w:val="00A879A4"/>
    <w:rsid w:val="00A9197D"/>
    <w:rsid w:val="00A91C5D"/>
    <w:rsid w:val="00A94276"/>
    <w:rsid w:val="00A944C1"/>
    <w:rsid w:val="00A947F2"/>
    <w:rsid w:val="00A94D4C"/>
    <w:rsid w:val="00A95600"/>
    <w:rsid w:val="00A95699"/>
    <w:rsid w:val="00A96617"/>
    <w:rsid w:val="00A9721E"/>
    <w:rsid w:val="00AA0602"/>
    <w:rsid w:val="00AA0FF8"/>
    <w:rsid w:val="00AA1B50"/>
    <w:rsid w:val="00AA1F26"/>
    <w:rsid w:val="00AA313E"/>
    <w:rsid w:val="00AA4679"/>
    <w:rsid w:val="00AA4727"/>
    <w:rsid w:val="00AA4914"/>
    <w:rsid w:val="00AA5047"/>
    <w:rsid w:val="00AA50AD"/>
    <w:rsid w:val="00AA68EF"/>
    <w:rsid w:val="00AA7277"/>
    <w:rsid w:val="00AB1B2E"/>
    <w:rsid w:val="00AB320A"/>
    <w:rsid w:val="00AB3660"/>
    <w:rsid w:val="00AB422D"/>
    <w:rsid w:val="00AB44F6"/>
    <w:rsid w:val="00AB4814"/>
    <w:rsid w:val="00AB4DBA"/>
    <w:rsid w:val="00AB5DCD"/>
    <w:rsid w:val="00AB737B"/>
    <w:rsid w:val="00AB7C96"/>
    <w:rsid w:val="00AB7DFC"/>
    <w:rsid w:val="00AC0070"/>
    <w:rsid w:val="00AC0409"/>
    <w:rsid w:val="00AC0F2C"/>
    <w:rsid w:val="00AC11A5"/>
    <w:rsid w:val="00AC1C0E"/>
    <w:rsid w:val="00AC399D"/>
    <w:rsid w:val="00AC4105"/>
    <w:rsid w:val="00AC502A"/>
    <w:rsid w:val="00AC5941"/>
    <w:rsid w:val="00AC68E4"/>
    <w:rsid w:val="00AC7521"/>
    <w:rsid w:val="00AC79F5"/>
    <w:rsid w:val="00AD0126"/>
    <w:rsid w:val="00AD0601"/>
    <w:rsid w:val="00AD0B69"/>
    <w:rsid w:val="00AD0DB0"/>
    <w:rsid w:val="00AD1767"/>
    <w:rsid w:val="00AD4D86"/>
    <w:rsid w:val="00AD5909"/>
    <w:rsid w:val="00AD596D"/>
    <w:rsid w:val="00AD6A33"/>
    <w:rsid w:val="00AD6B5D"/>
    <w:rsid w:val="00AD6F03"/>
    <w:rsid w:val="00AE21F6"/>
    <w:rsid w:val="00AE3351"/>
    <w:rsid w:val="00AE34C4"/>
    <w:rsid w:val="00AE35A5"/>
    <w:rsid w:val="00AE3DF2"/>
    <w:rsid w:val="00AE4311"/>
    <w:rsid w:val="00AE484E"/>
    <w:rsid w:val="00AE4C79"/>
    <w:rsid w:val="00AE557B"/>
    <w:rsid w:val="00AE57C6"/>
    <w:rsid w:val="00AE5850"/>
    <w:rsid w:val="00AE774F"/>
    <w:rsid w:val="00AE7CA2"/>
    <w:rsid w:val="00AE7D74"/>
    <w:rsid w:val="00AF0D3E"/>
    <w:rsid w:val="00AF1973"/>
    <w:rsid w:val="00AF1A1D"/>
    <w:rsid w:val="00AF1C47"/>
    <w:rsid w:val="00AF1E96"/>
    <w:rsid w:val="00AF46A9"/>
    <w:rsid w:val="00AF499E"/>
    <w:rsid w:val="00AF4A1A"/>
    <w:rsid w:val="00AF4BE9"/>
    <w:rsid w:val="00AF58C1"/>
    <w:rsid w:val="00AF69F2"/>
    <w:rsid w:val="00B01B03"/>
    <w:rsid w:val="00B0223D"/>
    <w:rsid w:val="00B02E36"/>
    <w:rsid w:val="00B042E8"/>
    <w:rsid w:val="00B0484B"/>
    <w:rsid w:val="00B04911"/>
    <w:rsid w:val="00B04A3F"/>
    <w:rsid w:val="00B06643"/>
    <w:rsid w:val="00B078BA"/>
    <w:rsid w:val="00B108E1"/>
    <w:rsid w:val="00B10D96"/>
    <w:rsid w:val="00B114DD"/>
    <w:rsid w:val="00B11643"/>
    <w:rsid w:val="00B12491"/>
    <w:rsid w:val="00B12D07"/>
    <w:rsid w:val="00B138C2"/>
    <w:rsid w:val="00B15055"/>
    <w:rsid w:val="00B15896"/>
    <w:rsid w:val="00B162CE"/>
    <w:rsid w:val="00B1659D"/>
    <w:rsid w:val="00B227FE"/>
    <w:rsid w:val="00B230B1"/>
    <w:rsid w:val="00B23475"/>
    <w:rsid w:val="00B23B46"/>
    <w:rsid w:val="00B25211"/>
    <w:rsid w:val="00B25428"/>
    <w:rsid w:val="00B25B3A"/>
    <w:rsid w:val="00B25CA0"/>
    <w:rsid w:val="00B26917"/>
    <w:rsid w:val="00B30179"/>
    <w:rsid w:val="00B31304"/>
    <w:rsid w:val="00B31C93"/>
    <w:rsid w:val="00B324D1"/>
    <w:rsid w:val="00B324FB"/>
    <w:rsid w:val="00B32BE2"/>
    <w:rsid w:val="00B33E8B"/>
    <w:rsid w:val="00B348B8"/>
    <w:rsid w:val="00B34BAC"/>
    <w:rsid w:val="00B353CD"/>
    <w:rsid w:val="00B3636E"/>
    <w:rsid w:val="00B3675A"/>
    <w:rsid w:val="00B37153"/>
    <w:rsid w:val="00B37B15"/>
    <w:rsid w:val="00B42C07"/>
    <w:rsid w:val="00B433E3"/>
    <w:rsid w:val="00B43A64"/>
    <w:rsid w:val="00B442A9"/>
    <w:rsid w:val="00B44730"/>
    <w:rsid w:val="00B45C02"/>
    <w:rsid w:val="00B464EA"/>
    <w:rsid w:val="00B4731D"/>
    <w:rsid w:val="00B50252"/>
    <w:rsid w:val="00B5028C"/>
    <w:rsid w:val="00B524B5"/>
    <w:rsid w:val="00B5275A"/>
    <w:rsid w:val="00B52F5F"/>
    <w:rsid w:val="00B53257"/>
    <w:rsid w:val="00B53ED5"/>
    <w:rsid w:val="00B5487F"/>
    <w:rsid w:val="00B551BA"/>
    <w:rsid w:val="00B5558F"/>
    <w:rsid w:val="00B57392"/>
    <w:rsid w:val="00B57A4A"/>
    <w:rsid w:val="00B636ED"/>
    <w:rsid w:val="00B63839"/>
    <w:rsid w:val="00B63E86"/>
    <w:rsid w:val="00B649B0"/>
    <w:rsid w:val="00B659E9"/>
    <w:rsid w:val="00B67C2B"/>
    <w:rsid w:val="00B67E5E"/>
    <w:rsid w:val="00B70385"/>
    <w:rsid w:val="00B71D82"/>
    <w:rsid w:val="00B725E0"/>
    <w:rsid w:val="00B72A1E"/>
    <w:rsid w:val="00B73ED1"/>
    <w:rsid w:val="00B742BF"/>
    <w:rsid w:val="00B7430E"/>
    <w:rsid w:val="00B75064"/>
    <w:rsid w:val="00B760B2"/>
    <w:rsid w:val="00B76DC2"/>
    <w:rsid w:val="00B77BB5"/>
    <w:rsid w:val="00B8043B"/>
    <w:rsid w:val="00B8080B"/>
    <w:rsid w:val="00B8103B"/>
    <w:rsid w:val="00B814F5"/>
    <w:rsid w:val="00B81E12"/>
    <w:rsid w:val="00B8207C"/>
    <w:rsid w:val="00B837D1"/>
    <w:rsid w:val="00B84118"/>
    <w:rsid w:val="00B84750"/>
    <w:rsid w:val="00B84F25"/>
    <w:rsid w:val="00B86251"/>
    <w:rsid w:val="00B86321"/>
    <w:rsid w:val="00B86449"/>
    <w:rsid w:val="00B940C1"/>
    <w:rsid w:val="00B95848"/>
    <w:rsid w:val="00B95AD2"/>
    <w:rsid w:val="00B95AF9"/>
    <w:rsid w:val="00B9638D"/>
    <w:rsid w:val="00B96C15"/>
    <w:rsid w:val="00B975B1"/>
    <w:rsid w:val="00B97C62"/>
    <w:rsid w:val="00BA0025"/>
    <w:rsid w:val="00BA0D48"/>
    <w:rsid w:val="00BA16F2"/>
    <w:rsid w:val="00BA20A7"/>
    <w:rsid w:val="00BA2FAB"/>
    <w:rsid w:val="00BA339B"/>
    <w:rsid w:val="00BA33F2"/>
    <w:rsid w:val="00BA351A"/>
    <w:rsid w:val="00BA3E03"/>
    <w:rsid w:val="00BA4E07"/>
    <w:rsid w:val="00BA5F89"/>
    <w:rsid w:val="00BA5F9C"/>
    <w:rsid w:val="00BA6443"/>
    <w:rsid w:val="00BA6F69"/>
    <w:rsid w:val="00BA7E06"/>
    <w:rsid w:val="00BB0376"/>
    <w:rsid w:val="00BB0410"/>
    <w:rsid w:val="00BB0F78"/>
    <w:rsid w:val="00BB1EBD"/>
    <w:rsid w:val="00BB2D49"/>
    <w:rsid w:val="00BB2F69"/>
    <w:rsid w:val="00BB5EA3"/>
    <w:rsid w:val="00BB629B"/>
    <w:rsid w:val="00BB646F"/>
    <w:rsid w:val="00BB64A8"/>
    <w:rsid w:val="00BB6988"/>
    <w:rsid w:val="00BB6C3C"/>
    <w:rsid w:val="00BB6D19"/>
    <w:rsid w:val="00BB7710"/>
    <w:rsid w:val="00BB7BF7"/>
    <w:rsid w:val="00BC155A"/>
    <w:rsid w:val="00BC1E7E"/>
    <w:rsid w:val="00BC1EFA"/>
    <w:rsid w:val="00BC2452"/>
    <w:rsid w:val="00BC29EA"/>
    <w:rsid w:val="00BC2D10"/>
    <w:rsid w:val="00BC3BBA"/>
    <w:rsid w:val="00BC3E17"/>
    <w:rsid w:val="00BC5440"/>
    <w:rsid w:val="00BC5823"/>
    <w:rsid w:val="00BC658D"/>
    <w:rsid w:val="00BC7327"/>
    <w:rsid w:val="00BC74E9"/>
    <w:rsid w:val="00BD0382"/>
    <w:rsid w:val="00BD0C86"/>
    <w:rsid w:val="00BD0DD2"/>
    <w:rsid w:val="00BD104D"/>
    <w:rsid w:val="00BD1942"/>
    <w:rsid w:val="00BD2C50"/>
    <w:rsid w:val="00BD2E59"/>
    <w:rsid w:val="00BD4614"/>
    <w:rsid w:val="00BD51D4"/>
    <w:rsid w:val="00BD786F"/>
    <w:rsid w:val="00BE00B5"/>
    <w:rsid w:val="00BE19DF"/>
    <w:rsid w:val="00BE363E"/>
    <w:rsid w:val="00BE36A9"/>
    <w:rsid w:val="00BE618E"/>
    <w:rsid w:val="00BE6881"/>
    <w:rsid w:val="00BE7349"/>
    <w:rsid w:val="00BE7A6F"/>
    <w:rsid w:val="00BE7BEC"/>
    <w:rsid w:val="00BF08CC"/>
    <w:rsid w:val="00BF0A5A"/>
    <w:rsid w:val="00BF0E63"/>
    <w:rsid w:val="00BF12A3"/>
    <w:rsid w:val="00BF16D7"/>
    <w:rsid w:val="00BF221A"/>
    <w:rsid w:val="00BF2236"/>
    <w:rsid w:val="00BF234E"/>
    <w:rsid w:val="00BF2373"/>
    <w:rsid w:val="00BF2628"/>
    <w:rsid w:val="00BF2BEF"/>
    <w:rsid w:val="00BF3064"/>
    <w:rsid w:val="00BF48F0"/>
    <w:rsid w:val="00BF6337"/>
    <w:rsid w:val="00C00EAF"/>
    <w:rsid w:val="00C02951"/>
    <w:rsid w:val="00C03266"/>
    <w:rsid w:val="00C044E2"/>
    <w:rsid w:val="00C048CB"/>
    <w:rsid w:val="00C04FF9"/>
    <w:rsid w:val="00C066F3"/>
    <w:rsid w:val="00C06D3C"/>
    <w:rsid w:val="00C070BC"/>
    <w:rsid w:val="00C07248"/>
    <w:rsid w:val="00C07D88"/>
    <w:rsid w:val="00C1066D"/>
    <w:rsid w:val="00C11617"/>
    <w:rsid w:val="00C118BB"/>
    <w:rsid w:val="00C11E80"/>
    <w:rsid w:val="00C12DEB"/>
    <w:rsid w:val="00C1348A"/>
    <w:rsid w:val="00C149CE"/>
    <w:rsid w:val="00C20C55"/>
    <w:rsid w:val="00C210C5"/>
    <w:rsid w:val="00C22214"/>
    <w:rsid w:val="00C22AC0"/>
    <w:rsid w:val="00C22E15"/>
    <w:rsid w:val="00C232EF"/>
    <w:rsid w:val="00C24650"/>
    <w:rsid w:val="00C26781"/>
    <w:rsid w:val="00C27BFA"/>
    <w:rsid w:val="00C30AE0"/>
    <w:rsid w:val="00C31244"/>
    <w:rsid w:val="00C326D1"/>
    <w:rsid w:val="00C331E8"/>
    <w:rsid w:val="00C364C0"/>
    <w:rsid w:val="00C36507"/>
    <w:rsid w:val="00C407E7"/>
    <w:rsid w:val="00C40C0D"/>
    <w:rsid w:val="00C41524"/>
    <w:rsid w:val="00C424EB"/>
    <w:rsid w:val="00C42DD1"/>
    <w:rsid w:val="00C42F89"/>
    <w:rsid w:val="00C4314A"/>
    <w:rsid w:val="00C44E59"/>
    <w:rsid w:val="00C44E75"/>
    <w:rsid w:val="00C4599C"/>
    <w:rsid w:val="00C46006"/>
    <w:rsid w:val="00C460A0"/>
    <w:rsid w:val="00C460B3"/>
    <w:rsid w:val="00C463DD"/>
    <w:rsid w:val="00C47AE0"/>
    <w:rsid w:val="00C50764"/>
    <w:rsid w:val="00C51553"/>
    <w:rsid w:val="00C51623"/>
    <w:rsid w:val="00C526C8"/>
    <w:rsid w:val="00C52FE9"/>
    <w:rsid w:val="00C536D7"/>
    <w:rsid w:val="00C53D83"/>
    <w:rsid w:val="00C5445E"/>
    <w:rsid w:val="00C54482"/>
    <w:rsid w:val="00C548EC"/>
    <w:rsid w:val="00C556CB"/>
    <w:rsid w:val="00C55C13"/>
    <w:rsid w:val="00C5741B"/>
    <w:rsid w:val="00C57EDB"/>
    <w:rsid w:val="00C60648"/>
    <w:rsid w:val="00C6085E"/>
    <w:rsid w:val="00C609E1"/>
    <w:rsid w:val="00C6326F"/>
    <w:rsid w:val="00C63FEA"/>
    <w:rsid w:val="00C65244"/>
    <w:rsid w:val="00C6644E"/>
    <w:rsid w:val="00C66C56"/>
    <w:rsid w:val="00C6701E"/>
    <w:rsid w:val="00C7035A"/>
    <w:rsid w:val="00C70AF1"/>
    <w:rsid w:val="00C7115A"/>
    <w:rsid w:val="00C71C8B"/>
    <w:rsid w:val="00C745C3"/>
    <w:rsid w:val="00C77C93"/>
    <w:rsid w:val="00C81767"/>
    <w:rsid w:val="00C8181D"/>
    <w:rsid w:val="00C8192C"/>
    <w:rsid w:val="00C820E2"/>
    <w:rsid w:val="00C82862"/>
    <w:rsid w:val="00C835E5"/>
    <w:rsid w:val="00C841CC"/>
    <w:rsid w:val="00C84321"/>
    <w:rsid w:val="00C85B0F"/>
    <w:rsid w:val="00C863C1"/>
    <w:rsid w:val="00C87A84"/>
    <w:rsid w:val="00C87FC9"/>
    <w:rsid w:val="00C90CF7"/>
    <w:rsid w:val="00C90CFC"/>
    <w:rsid w:val="00C90F4C"/>
    <w:rsid w:val="00C927BE"/>
    <w:rsid w:val="00C929C6"/>
    <w:rsid w:val="00C930C7"/>
    <w:rsid w:val="00C93611"/>
    <w:rsid w:val="00C941AC"/>
    <w:rsid w:val="00C94C32"/>
    <w:rsid w:val="00C95CD1"/>
    <w:rsid w:val="00C96395"/>
    <w:rsid w:val="00C96763"/>
    <w:rsid w:val="00CA03E9"/>
    <w:rsid w:val="00CA0B2B"/>
    <w:rsid w:val="00CA24A4"/>
    <w:rsid w:val="00CA4CD2"/>
    <w:rsid w:val="00CA50DA"/>
    <w:rsid w:val="00CA56D1"/>
    <w:rsid w:val="00CA62B7"/>
    <w:rsid w:val="00CA653F"/>
    <w:rsid w:val="00CB00B4"/>
    <w:rsid w:val="00CB23DD"/>
    <w:rsid w:val="00CB2CD1"/>
    <w:rsid w:val="00CB348D"/>
    <w:rsid w:val="00CB5D74"/>
    <w:rsid w:val="00CB62CF"/>
    <w:rsid w:val="00CB6C84"/>
    <w:rsid w:val="00CB7FA5"/>
    <w:rsid w:val="00CC2588"/>
    <w:rsid w:val="00CC3703"/>
    <w:rsid w:val="00CC377D"/>
    <w:rsid w:val="00CC3B46"/>
    <w:rsid w:val="00CC55AE"/>
    <w:rsid w:val="00CC641A"/>
    <w:rsid w:val="00CD0C82"/>
    <w:rsid w:val="00CD0CFA"/>
    <w:rsid w:val="00CD1522"/>
    <w:rsid w:val="00CD16F7"/>
    <w:rsid w:val="00CD1DF5"/>
    <w:rsid w:val="00CD227C"/>
    <w:rsid w:val="00CD2296"/>
    <w:rsid w:val="00CD3072"/>
    <w:rsid w:val="00CD3F48"/>
    <w:rsid w:val="00CD42F4"/>
    <w:rsid w:val="00CD46F5"/>
    <w:rsid w:val="00CD4FCE"/>
    <w:rsid w:val="00CD54DB"/>
    <w:rsid w:val="00CD6D29"/>
    <w:rsid w:val="00CD6D83"/>
    <w:rsid w:val="00CD7491"/>
    <w:rsid w:val="00CD7A5E"/>
    <w:rsid w:val="00CE1748"/>
    <w:rsid w:val="00CE19DA"/>
    <w:rsid w:val="00CE2106"/>
    <w:rsid w:val="00CE2850"/>
    <w:rsid w:val="00CE32ED"/>
    <w:rsid w:val="00CE4A8F"/>
    <w:rsid w:val="00CE5E09"/>
    <w:rsid w:val="00CF071D"/>
    <w:rsid w:val="00CF0F86"/>
    <w:rsid w:val="00CF39D3"/>
    <w:rsid w:val="00CF41F2"/>
    <w:rsid w:val="00CF4664"/>
    <w:rsid w:val="00CF536F"/>
    <w:rsid w:val="00CF542F"/>
    <w:rsid w:val="00CF78FD"/>
    <w:rsid w:val="00CF7C9D"/>
    <w:rsid w:val="00D00E84"/>
    <w:rsid w:val="00D010C9"/>
    <w:rsid w:val="00D01622"/>
    <w:rsid w:val="00D033C6"/>
    <w:rsid w:val="00D03D76"/>
    <w:rsid w:val="00D0446F"/>
    <w:rsid w:val="00D048DA"/>
    <w:rsid w:val="00D04AFC"/>
    <w:rsid w:val="00D05CA3"/>
    <w:rsid w:val="00D063D7"/>
    <w:rsid w:val="00D06D9B"/>
    <w:rsid w:val="00D06DED"/>
    <w:rsid w:val="00D10459"/>
    <w:rsid w:val="00D10CBA"/>
    <w:rsid w:val="00D10F1F"/>
    <w:rsid w:val="00D12AE5"/>
    <w:rsid w:val="00D12C50"/>
    <w:rsid w:val="00D1415B"/>
    <w:rsid w:val="00D147D9"/>
    <w:rsid w:val="00D14C95"/>
    <w:rsid w:val="00D14DCD"/>
    <w:rsid w:val="00D154F1"/>
    <w:rsid w:val="00D154FA"/>
    <w:rsid w:val="00D15B04"/>
    <w:rsid w:val="00D15B4A"/>
    <w:rsid w:val="00D16117"/>
    <w:rsid w:val="00D163A7"/>
    <w:rsid w:val="00D177F4"/>
    <w:rsid w:val="00D17B9D"/>
    <w:rsid w:val="00D17E77"/>
    <w:rsid w:val="00D2031B"/>
    <w:rsid w:val="00D20FE8"/>
    <w:rsid w:val="00D21D19"/>
    <w:rsid w:val="00D22234"/>
    <w:rsid w:val="00D2233B"/>
    <w:rsid w:val="00D228BA"/>
    <w:rsid w:val="00D2377D"/>
    <w:rsid w:val="00D23D2C"/>
    <w:rsid w:val="00D24EB7"/>
    <w:rsid w:val="00D24EE5"/>
    <w:rsid w:val="00D25560"/>
    <w:rsid w:val="00D25FE2"/>
    <w:rsid w:val="00D26B97"/>
    <w:rsid w:val="00D27655"/>
    <w:rsid w:val="00D316D2"/>
    <w:rsid w:val="00D31736"/>
    <w:rsid w:val="00D31EF1"/>
    <w:rsid w:val="00D33831"/>
    <w:rsid w:val="00D33A83"/>
    <w:rsid w:val="00D34331"/>
    <w:rsid w:val="00D347B7"/>
    <w:rsid w:val="00D34ACD"/>
    <w:rsid w:val="00D34AE8"/>
    <w:rsid w:val="00D3566D"/>
    <w:rsid w:val="00D36279"/>
    <w:rsid w:val="00D364BA"/>
    <w:rsid w:val="00D378B2"/>
    <w:rsid w:val="00D37DA9"/>
    <w:rsid w:val="00D406A7"/>
    <w:rsid w:val="00D40F91"/>
    <w:rsid w:val="00D40FE6"/>
    <w:rsid w:val="00D42CB6"/>
    <w:rsid w:val="00D42EF0"/>
    <w:rsid w:val="00D43252"/>
    <w:rsid w:val="00D44D86"/>
    <w:rsid w:val="00D4555D"/>
    <w:rsid w:val="00D465F9"/>
    <w:rsid w:val="00D473BF"/>
    <w:rsid w:val="00D47EE2"/>
    <w:rsid w:val="00D505ED"/>
    <w:rsid w:val="00D50B7D"/>
    <w:rsid w:val="00D51506"/>
    <w:rsid w:val="00D51F89"/>
    <w:rsid w:val="00D52012"/>
    <w:rsid w:val="00D542B4"/>
    <w:rsid w:val="00D549BB"/>
    <w:rsid w:val="00D5746D"/>
    <w:rsid w:val="00D57999"/>
    <w:rsid w:val="00D57D4B"/>
    <w:rsid w:val="00D604EC"/>
    <w:rsid w:val="00D60A37"/>
    <w:rsid w:val="00D615C0"/>
    <w:rsid w:val="00D61B8B"/>
    <w:rsid w:val="00D61C42"/>
    <w:rsid w:val="00D62AC5"/>
    <w:rsid w:val="00D635AB"/>
    <w:rsid w:val="00D6426D"/>
    <w:rsid w:val="00D64361"/>
    <w:rsid w:val="00D64460"/>
    <w:rsid w:val="00D64E0D"/>
    <w:rsid w:val="00D6569A"/>
    <w:rsid w:val="00D6571E"/>
    <w:rsid w:val="00D65B4C"/>
    <w:rsid w:val="00D66087"/>
    <w:rsid w:val="00D67013"/>
    <w:rsid w:val="00D67F31"/>
    <w:rsid w:val="00D704E5"/>
    <w:rsid w:val="00D70C40"/>
    <w:rsid w:val="00D71312"/>
    <w:rsid w:val="00D72727"/>
    <w:rsid w:val="00D72A18"/>
    <w:rsid w:val="00D72E0B"/>
    <w:rsid w:val="00D734E5"/>
    <w:rsid w:val="00D737D7"/>
    <w:rsid w:val="00D73A19"/>
    <w:rsid w:val="00D75733"/>
    <w:rsid w:val="00D76A50"/>
    <w:rsid w:val="00D76BCD"/>
    <w:rsid w:val="00D76FFE"/>
    <w:rsid w:val="00D775BB"/>
    <w:rsid w:val="00D81F5D"/>
    <w:rsid w:val="00D82BC9"/>
    <w:rsid w:val="00D8314F"/>
    <w:rsid w:val="00D83A0D"/>
    <w:rsid w:val="00D83DA1"/>
    <w:rsid w:val="00D84713"/>
    <w:rsid w:val="00D854BA"/>
    <w:rsid w:val="00D85774"/>
    <w:rsid w:val="00D86462"/>
    <w:rsid w:val="00D87C88"/>
    <w:rsid w:val="00D9021E"/>
    <w:rsid w:val="00D904E3"/>
    <w:rsid w:val="00D90BC3"/>
    <w:rsid w:val="00D90D99"/>
    <w:rsid w:val="00D90FA9"/>
    <w:rsid w:val="00D91135"/>
    <w:rsid w:val="00D92023"/>
    <w:rsid w:val="00D929AC"/>
    <w:rsid w:val="00D931A3"/>
    <w:rsid w:val="00D93EF3"/>
    <w:rsid w:val="00D9521E"/>
    <w:rsid w:val="00D9552C"/>
    <w:rsid w:val="00D95F7D"/>
    <w:rsid w:val="00D964CA"/>
    <w:rsid w:val="00D971FB"/>
    <w:rsid w:val="00D978C6"/>
    <w:rsid w:val="00D97C32"/>
    <w:rsid w:val="00DA0956"/>
    <w:rsid w:val="00DA0FD2"/>
    <w:rsid w:val="00DA2633"/>
    <w:rsid w:val="00DA270A"/>
    <w:rsid w:val="00DA357F"/>
    <w:rsid w:val="00DA3E12"/>
    <w:rsid w:val="00DA48CD"/>
    <w:rsid w:val="00DA6E0B"/>
    <w:rsid w:val="00DB1A07"/>
    <w:rsid w:val="00DB1BD3"/>
    <w:rsid w:val="00DB1FB6"/>
    <w:rsid w:val="00DB21DC"/>
    <w:rsid w:val="00DB3577"/>
    <w:rsid w:val="00DB359B"/>
    <w:rsid w:val="00DB44F5"/>
    <w:rsid w:val="00DB6923"/>
    <w:rsid w:val="00DB738F"/>
    <w:rsid w:val="00DC06AF"/>
    <w:rsid w:val="00DC11E3"/>
    <w:rsid w:val="00DC14FC"/>
    <w:rsid w:val="00DC18AD"/>
    <w:rsid w:val="00DC365C"/>
    <w:rsid w:val="00DC403B"/>
    <w:rsid w:val="00DC40CE"/>
    <w:rsid w:val="00DC4C92"/>
    <w:rsid w:val="00DC559C"/>
    <w:rsid w:val="00DC64EB"/>
    <w:rsid w:val="00DC6A5C"/>
    <w:rsid w:val="00DC6D76"/>
    <w:rsid w:val="00DC7EDE"/>
    <w:rsid w:val="00DD1A19"/>
    <w:rsid w:val="00DD25CB"/>
    <w:rsid w:val="00DD38E9"/>
    <w:rsid w:val="00DD4D81"/>
    <w:rsid w:val="00DD4F25"/>
    <w:rsid w:val="00DD6D98"/>
    <w:rsid w:val="00DD7448"/>
    <w:rsid w:val="00DD77BE"/>
    <w:rsid w:val="00DD7B3A"/>
    <w:rsid w:val="00DD7E23"/>
    <w:rsid w:val="00DE098C"/>
    <w:rsid w:val="00DE0AD8"/>
    <w:rsid w:val="00DE1DBF"/>
    <w:rsid w:val="00DE2297"/>
    <w:rsid w:val="00DE2566"/>
    <w:rsid w:val="00DE2B0B"/>
    <w:rsid w:val="00DE4CAD"/>
    <w:rsid w:val="00DE4CAF"/>
    <w:rsid w:val="00DE5197"/>
    <w:rsid w:val="00DE543B"/>
    <w:rsid w:val="00DE554F"/>
    <w:rsid w:val="00DE6656"/>
    <w:rsid w:val="00DE760B"/>
    <w:rsid w:val="00DE7746"/>
    <w:rsid w:val="00DE7750"/>
    <w:rsid w:val="00DE7851"/>
    <w:rsid w:val="00DE7F73"/>
    <w:rsid w:val="00DF0470"/>
    <w:rsid w:val="00DF1BC2"/>
    <w:rsid w:val="00DF428A"/>
    <w:rsid w:val="00DF4A0F"/>
    <w:rsid w:val="00DF79CE"/>
    <w:rsid w:val="00DF7CAE"/>
    <w:rsid w:val="00E02649"/>
    <w:rsid w:val="00E03645"/>
    <w:rsid w:val="00E05035"/>
    <w:rsid w:val="00E05119"/>
    <w:rsid w:val="00E06C6A"/>
    <w:rsid w:val="00E06EBD"/>
    <w:rsid w:val="00E07A00"/>
    <w:rsid w:val="00E07F02"/>
    <w:rsid w:val="00E106C1"/>
    <w:rsid w:val="00E11595"/>
    <w:rsid w:val="00E1231A"/>
    <w:rsid w:val="00E1312F"/>
    <w:rsid w:val="00E13388"/>
    <w:rsid w:val="00E14A15"/>
    <w:rsid w:val="00E152E8"/>
    <w:rsid w:val="00E1558B"/>
    <w:rsid w:val="00E16FAF"/>
    <w:rsid w:val="00E172E4"/>
    <w:rsid w:val="00E174AF"/>
    <w:rsid w:val="00E178AD"/>
    <w:rsid w:val="00E20745"/>
    <w:rsid w:val="00E217BA"/>
    <w:rsid w:val="00E230D6"/>
    <w:rsid w:val="00E23587"/>
    <w:rsid w:val="00E239A9"/>
    <w:rsid w:val="00E23EDC"/>
    <w:rsid w:val="00E244D3"/>
    <w:rsid w:val="00E245C5"/>
    <w:rsid w:val="00E306BE"/>
    <w:rsid w:val="00E31057"/>
    <w:rsid w:val="00E327DD"/>
    <w:rsid w:val="00E329E8"/>
    <w:rsid w:val="00E32F3B"/>
    <w:rsid w:val="00E339E8"/>
    <w:rsid w:val="00E358E8"/>
    <w:rsid w:val="00E35DBD"/>
    <w:rsid w:val="00E363CD"/>
    <w:rsid w:val="00E367F0"/>
    <w:rsid w:val="00E36834"/>
    <w:rsid w:val="00E36991"/>
    <w:rsid w:val="00E423C0"/>
    <w:rsid w:val="00E426AF"/>
    <w:rsid w:val="00E43ED3"/>
    <w:rsid w:val="00E4413B"/>
    <w:rsid w:val="00E45327"/>
    <w:rsid w:val="00E46348"/>
    <w:rsid w:val="00E46898"/>
    <w:rsid w:val="00E4704D"/>
    <w:rsid w:val="00E47DC6"/>
    <w:rsid w:val="00E50756"/>
    <w:rsid w:val="00E50D8C"/>
    <w:rsid w:val="00E50F12"/>
    <w:rsid w:val="00E51213"/>
    <w:rsid w:val="00E532C0"/>
    <w:rsid w:val="00E53706"/>
    <w:rsid w:val="00E550B0"/>
    <w:rsid w:val="00E560E2"/>
    <w:rsid w:val="00E56618"/>
    <w:rsid w:val="00E57668"/>
    <w:rsid w:val="00E61683"/>
    <w:rsid w:val="00E6231F"/>
    <w:rsid w:val="00E637D1"/>
    <w:rsid w:val="00E6414C"/>
    <w:rsid w:val="00E6456A"/>
    <w:rsid w:val="00E64975"/>
    <w:rsid w:val="00E659EA"/>
    <w:rsid w:val="00E65A56"/>
    <w:rsid w:val="00E66876"/>
    <w:rsid w:val="00E670A1"/>
    <w:rsid w:val="00E70608"/>
    <w:rsid w:val="00E713C9"/>
    <w:rsid w:val="00E72186"/>
    <w:rsid w:val="00E72297"/>
    <w:rsid w:val="00E7260F"/>
    <w:rsid w:val="00E75E65"/>
    <w:rsid w:val="00E77167"/>
    <w:rsid w:val="00E77B22"/>
    <w:rsid w:val="00E77D39"/>
    <w:rsid w:val="00E8099C"/>
    <w:rsid w:val="00E81674"/>
    <w:rsid w:val="00E817FF"/>
    <w:rsid w:val="00E832EE"/>
    <w:rsid w:val="00E84CBB"/>
    <w:rsid w:val="00E85338"/>
    <w:rsid w:val="00E8610C"/>
    <w:rsid w:val="00E864DF"/>
    <w:rsid w:val="00E86915"/>
    <w:rsid w:val="00E86B42"/>
    <w:rsid w:val="00E86D8A"/>
    <w:rsid w:val="00E8702D"/>
    <w:rsid w:val="00E916A9"/>
    <w:rsid w:val="00E916DE"/>
    <w:rsid w:val="00E91E00"/>
    <w:rsid w:val="00E92492"/>
    <w:rsid w:val="00E925AD"/>
    <w:rsid w:val="00E92F61"/>
    <w:rsid w:val="00E9316D"/>
    <w:rsid w:val="00E93A0F"/>
    <w:rsid w:val="00E944D7"/>
    <w:rsid w:val="00E96630"/>
    <w:rsid w:val="00E9719C"/>
    <w:rsid w:val="00E97433"/>
    <w:rsid w:val="00EA058F"/>
    <w:rsid w:val="00EA1FAD"/>
    <w:rsid w:val="00EA410F"/>
    <w:rsid w:val="00EA42A3"/>
    <w:rsid w:val="00EA5503"/>
    <w:rsid w:val="00EA5CA0"/>
    <w:rsid w:val="00EA5D02"/>
    <w:rsid w:val="00EA600E"/>
    <w:rsid w:val="00EA6668"/>
    <w:rsid w:val="00EA7D7C"/>
    <w:rsid w:val="00EB27E8"/>
    <w:rsid w:val="00EB2C51"/>
    <w:rsid w:val="00EB35F6"/>
    <w:rsid w:val="00EB37E9"/>
    <w:rsid w:val="00EB381A"/>
    <w:rsid w:val="00EB5635"/>
    <w:rsid w:val="00EB68DC"/>
    <w:rsid w:val="00EB72EE"/>
    <w:rsid w:val="00EC0356"/>
    <w:rsid w:val="00EC0490"/>
    <w:rsid w:val="00EC1BA2"/>
    <w:rsid w:val="00EC1DBB"/>
    <w:rsid w:val="00EC2D9F"/>
    <w:rsid w:val="00EC332D"/>
    <w:rsid w:val="00EC3A58"/>
    <w:rsid w:val="00EC4338"/>
    <w:rsid w:val="00EC4EB1"/>
    <w:rsid w:val="00EC7119"/>
    <w:rsid w:val="00ED0A7B"/>
    <w:rsid w:val="00ED0F83"/>
    <w:rsid w:val="00ED10FD"/>
    <w:rsid w:val="00ED139A"/>
    <w:rsid w:val="00ED15EC"/>
    <w:rsid w:val="00ED1861"/>
    <w:rsid w:val="00ED18DC"/>
    <w:rsid w:val="00ED1A83"/>
    <w:rsid w:val="00ED1D6B"/>
    <w:rsid w:val="00ED31CC"/>
    <w:rsid w:val="00ED3B6C"/>
    <w:rsid w:val="00ED50C4"/>
    <w:rsid w:val="00ED6201"/>
    <w:rsid w:val="00ED7A2A"/>
    <w:rsid w:val="00EE17D3"/>
    <w:rsid w:val="00EE6AD5"/>
    <w:rsid w:val="00EE738E"/>
    <w:rsid w:val="00EF0060"/>
    <w:rsid w:val="00EF0E7F"/>
    <w:rsid w:val="00EF19A7"/>
    <w:rsid w:val="00EF1CD0"/>
    <w:rsid w:val="00EF1D7F"/>
    <w:rsid w:val="00EF2A09"/>
    <w:rsid w:val="00EF2B7E"/>
    <w:rsid w:val="00EF306E"/>
    <w:rsid w:val="00EF3A49"/>
    <w:rsid w:val="00EF5045"/>
    <w:rsid w:val="00F0009D"/>
    <w:rsid w:val="00F00D39"/>
    <w:rsid w:val="00F00EAF"/>
    <w:rsid w:val="00F0102D"/>
    <w:rsid w:val="00F0137E"/>
    <w:rsid w:val="00F03D17"/>
    <w:rsid w:val="00F04826"/>
    <w:rsid w:val="00F04BF4"/>
    <w:rsid w:val="00F05C18"/>
    <w:rsid w:val="00F05D38"/>
    <w:rsid w:val="00F05FCC"/>
    <w:rsid w:val="00F073D5"/>
    <w:rsid w:val="00F07FCE"/>
    <w:rsid w:val="00F10E40"/>
    <w:rsid w:val="00F116C5"/>
    <w:rsid w:val="00F11D4B"/>
    <w:rsid w:val="00F12296"/>
    <w:rsid w:val="00F12A4A"/>
    <w:rsid w:val="00F13402"/>
    <w:rsid w:val="00F13A60"/>
    <w:rsid w:val="00F1624B"/>
    <w:rsid w:val="00F1756C"/>
    <w:rsid w:val="00F17E20"/>
    <w:rsid w:val="00F2069D"/>
    <w:rsid w:val="00F20751"/>
    <w:rsid w:val="00F21085"/>
    <w:rsid w:val="00F2171C"/>
    <w:rsid w:val="00F21786"/>
    <w:rsid w:val="00F21978"/>
    <w:rsid w:val="00F2206E"/>
    <w:rsid w:val="00F223CE"/>
    <w:rsid w:val="00F228D7"/>
    <w:rsid w:val="00F2320B"/>
    <w:rsid w:val="00F23E13"/>
    <w:rsid w:val="00F24CB0"/>
    <w:rsid w:val="00F24EDE"/>
    <w:rsid w:val="00F274DF"/>
    <w:rsid w:val="00F27896"/>
    <w:rsid w:val="00F30F05"/>
    <w:rsid w:val="00F316A1"/>
    <w:rsid w:val="00F31D4C"/>
    <w:rsid w:val="00F324FB"/>
    <w:rsid w:val="00F32759"/>
    <w:rsid w:val="00F32DD6"/>
    <w:rsid w:val="00F33492"/>
    <w:rsid w:val="00F33EA1"/>
    <w:rsid w:val="00F349CF"/>
    <w:rsid w:val="00F34B41"/>
    <w:rsid w:val="00F367CA"/>
    <w:rsid w:val="00F3742B"/>
    <w:rsid w:val="00F37E10"/>
    <w:rsid w:val="00F40D58"/>
    <w:rsid w:val="00F40FEC"/>
    <w:rsid w:val="00F41FDB"/>
    <w:rsid w:val="00F420DE"/>
    <w:rsid w:val="00F42906"/>
    <w:rsid w:val="00F44424"/>
    <w:rsid w:val="00F44BB5"/>
    <w:rsid w:val="00F44C3C"/>
    <w:rsid w:val="00F45FD6"/>
    <w:rsid w:val="00F471DF"/>
    <w:rsid w:val="00F50572"/>
    <w:rsid w:val="00F507CF"/>
    <w:rsid w:val="00F507EC"/>
    <w:rsid w:val="00F51362"/>
    <w:rsid w:val="00F516F7"/>
    <w:rsid w:val="00F532EB"/>
    <w:rsid w:val="00F53D0E"/>
    <w:rsid w:val="00F54925"/>
    <w:rsid w:val="00F54F33"/>
    <w:rsid w:val="00F550EA"/>
    <w:rsid w:val="00F56CDB"/>
    <w:rsid w:val="00F56D63"/>
    <w:rsid w:val="00F600F0"/>
    <w:rsid w:val="00F60603"/>
    <w:rsid w:val="00F609A9"/>
    <w:rsid w:val="00F61203"/>
    <w:rsid w:val="00F65D19"/>
    <w:rsid w:val="00F67789"/>
    <w:rsid w:val="00F701B8"/>
    <w:rsid w:val="00F72F84"/>
    <w:rsid w:val="00F73B82"/>
    <w:rsid w:val="00F76112"/>
    <w:rsid w:val="00F76508"/>
    <w:rsid w:val="00F76F01"/>
    <w:rsid w:val="00F76F19"/>
    <w:rsid w:val="00F76FC0"/>
    <w:rsid w:val="00F80C99"/>
    <w:rsid w:val="00F817E0"/>
    <w:rsid w:val="00F82248"/>
    <w:rsid w:val="00F82A5E"/>
    <w:rsid w:val="00F83187"/>
    <w:rsid w:val="00F84853"/>
    <w:rsid w:val="00F84EB3"/>
    <w:rsid w:val="00F85F48"/>
    <w:rsid w:val="00F867EC"/>
    <w:rsid w:val="00F86B5F"/>
    <w:rsid w:val="00F87427"/>
    <w:rsid w:val="00F87F22"/>
    <w:rsid w:val="00F91619"/>
    <w:rsid w:val="00F91B2B"/>
    <w:rsid w:val="00F91F42"/>
    <w:rsid w:val="00F9211A"/>
    <w:rsid w:val="00F939D3"/>
    <w:rsid w:val="00F94376"/>
    <w:rsid w:val="00F94B4B"/>
    <w:rsid w:val="00F9537B"/>
    <w:rsid w:val="00F955F0"/>
    <w:rsid w:val="00F96489"/>
    <w:rsid w:val="00F96646"/>
    <w:rsid w:val="00F96EB8"/>
    <w:rsid w:val="00FA053C"/>
    <w:rsid w:val="00FA163C"/>
    <w:rsid w:val="00FA1F6F"/>
    <w:rsid w:val="00FA1FD0"/>
    <w:rsid w:val="00FA2BDD"/>
    <w:rsid w:val="00FA36C0"/>
    <w:rsid w:val="00FA3C08"/>
    <w:rsid w:val="00FA3CCE"/>
    <w:rsid w:val="00FA57F0"/>
    <w:rsid w:val="00FA697B"/>
    <w:rsid w:val="00FA6A9F"/>
    <w:rsid w:val="00FB1004"/>
    <w:rsid w:val="00FB13B6"/>
    <w:rsid w:val="00FB1F67"/>
    <w:rsid w:val="00FB270C"/>
    <w:rsid w:val="00FB276B"/>
    <w:rsid w:val="00FB28D7"/>
    <w:rsid w:val="00FB3D49"/>
    <w:rsid w:val="00FB40D5"/>
    <w:rsid w:val="00FB449A"/>
    <w:rsid w:val="00FB491C"/>
    <w:rsid w:val="00FB53D9"/>
    <w:rsid w:val="00FB5885"/>
    <w:rsid w:val="00FC0166"/>
    <w:rsid w:val="00FC03CD"/>
    <w:rsid w:val="00FC0519"/>
    <w:rsid w:val="00FC0646"/>
    <w:rsid w:val="00FC1D28"/>
    <w:rsid w:val="00FC26B3"/>
    <w:rsid w:val="00FC28AA"/>
    <w:rsid w:val="00FC2ED7"/>
    <w:rsid w:val="00FC3121"/>
    <w:rsid w:val="00FC370A"/>
    <w:rsid w:val="00FC48B9"/>
    <w:rsid w:val="00FC5014"/>
    <w:rsid w:val="00FC56DE"/>
    <w:rsid w:val="00FC5FA9"/>
    <w:rsid w:val="00FC670F"/>
    <w:rsid w:val="00FC68B7"/>
    <w:rsid w:val="00FC75E3"/>
    <w:rsid w:val="00FD0CCA"/>
    <w:rsid w:val="00FD0DF4"/>
    <w:rsid w:val="00FD1127"/>
    <w:rsid w:val="00FD2372"/>
    <w:rsid w:val="00FD3693"/>
    <w:rsid w:val="00FD418D"/>
    <w:rsid w:val="00FD6240"/>
    <w:rsid w:val="00FD690A"/>
    <w:rsid w:val="00FD72DB"/>
    <w:rsid w:val="00FD7E87"/>
    <w:rsid w:val="00FE050D"/>
    <w:rsid w:val="00FE10DF"/>
    <w:rsid w:val="00FE1578"/>
    <w:rsid w:val="00FE1BB7"/>
    <w:rsid w:val="00FE250B"/>
    <w:rsid w:val="00FE2CC0"/>
    <w:rsid w:val="00FE317D"/>
    <w:rsid w:val="00FE3254"/>
    <w:rsid w:val="00FE41C3"/>
    <w:rsid w:val="00FE42DE"/>
    <w:rsid w:val="00FE51DD"/>
    <w:rsid w:val="00FE637D"/>
    <w:rsid w:val="00FE6985"/>
    <w:rsid w:val="00FE6ACE"/>
    <w:rsid w:val="00FE6EBA"/>
    <w:rsid w:val="00FE7A1C"/>
    <w:rsid w:val="00FF1082"/>
    <w:rsid w:val="00FF10A5"/>
    <w:rsid w:val="00FF144A"/>
    <w:rsid w:val="00FF1A05"/>
    <w:rsid w:val="00FF2660"/>
    <w:rsid w:val="00FF4BC3"/>
    <w:rsid w:val="00FF612A"/>
    <w:rsid w:val="00FF78F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17CB76"/>
  <w15:chartTrackingRefBased/>
  <w15:docId w15:val="{EA0238E1-3D5B-49BC-B319-76F6F82F7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semiHidden="1" w:unhideWhenUsed="1" w:qFormat="1"/>
    <w:lsdException w:name="annotation reference" w:uiPriority="99"/>
    <w:lsdException w:name="Title" w:uiPriority="10"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25AD"/>
    <w:pPr>
      <w:suppressAutoHyphens/>
      <w:spacing w:line="240" w:lineRule="atLeast"/>
    </w:pPr>
    <w:rPr>
      <w:lang w:eastAsia="en-US"/>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qFormat/>
    <w:rsid w:val="00E925AD"/>
    <w:pPr>
      <w:spacing w:line="240" w:lineRule="auto"/>
      <w:outlineLvl w:val="1"/>
    </w:pPr>
  </w:style>
  <w:style w:type="paragraph" w:styleId="Heading3">
    <w:name w:val="heading 3"/>
    <w:basedOn w:val="Normal"/>
    <w:next w:val="Normal"/>
    <w:qFormat/>
    <w:rsid w:val="00E925AD"/>
    <w:pPr>
      <w:spacing w:line="240" w:lineRule="auto"/>
      <w:outlineLvl w:val="2"/>
    </w:pPr>
  </w:style>
  <w:style w:type="paragraph" w:styleId="Heading4">
    <w:name w:val="heading 4"/>
    <w:basedOn w:val="Normal"/>
    <w:next w:val="Normal"/>
    <w:qFormat/>
    <w:rsid w:val="00E925AD"/>
    <w:pPr>
      <w:spacing w:line="240" w:lineRule="auto"/>
      <w:outlineLvl w:val="3"/>
    </w:pPr>
  </w:style>
  <w:style w:type="paragraph" w:styleId="Heading5">
    <w:name w:val="heading 5"/>
    <w:basedOn w:val="Normal"/>
    <w:next w:val="Normal"/>
    <w:qFormat/>
    <w:rsid w:val="00E925AD"/>
    <w:pPr>
      <w:spacing w:line="240" w:lineRule="auto"/>
      <w:outlineLvl w:val="4"/>
    </w:pPr>
  </w:style>
  <w:style w:type="paragraph" w:styleId="Heading6">
    <w:name w:val="heading 6"/>
    <w:basedOn w:val="Normal"/>
    <w:next w:val="Normal"/>
    <w:qFormat/>
    <w:rsid w:val="00E925AD"/>
    <w:pPr>
      <w:spacing w:line="240" w:lineRule="auto"/>
      <w:outlineLvl w:val="5"/>
    </w:pPr>
  </w:style>
  <w:style w:type="paragraph" w:styleId="Heading7">
    <w:name w:val="heading 7"/>
    <w:basedOn w:val="Normal"/>
    <w:next w:val="Normal"/>
    <w:qFormat/>
    <w:rsid w:val="00E925AD"/>
    <w:pPr>
      <w:spacing w:line="240" w:lineRule="auto"/>
      <w:outlineLvl w:val="6"/>
    </w:pPr>
  </w:style>
  <w:style w:type="paragraph" w:styleId="Heading8">
    <w:name w:val="heading 8"/>
    <w:basedOn w:val="Normal"/>
    <w:next w:val="Normal"/>
    <w:qFormat/>
    <w:rsid w:val="00E925AD"/>
    <w:pPr>
      <w:spacing w:line="240" w:lineRule="auto"/>
      <w:outlineLvl w:val="7"/>
    </w:pPr>
  </w:style>
  <w:style w:type="paragraph" w:styleId="Heading9">
    <w:name w:val="heading 9"/>
    <w:basedOn w:val="Normal"/>
    <w:next w:val="Normal"/>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rsid w:val="00E925AD"/>
    <w:rPr>
      <w:rFonts w:ascii="Times New Roman" w:hAnsi="Times New Roman"/>
      <w:sz w:val="18"/>
      <w:vertAlign w:val="superscript"/>
    </w:rPr>
  </w:style>
  <w:style w:type="character" w:styleId="FootnoteReference">
    <w:name w:val="footnote reference"/>
    <w:aliases w:val="4_G"/>
    <w:rsid w:val="00E925AD"/>
    <w:rPr>
      <w:rFonts w:ascii="Times New Roman" w:hAnsi="Times New Roman"/>
      <w:sz w:val="18"/>
      <w:vertAlign w:val="superscript"/>
    </w:rPr>
  </w:style>
  <w:style w:type="paragraph" w:styleId="FootnoteText">
    <w:name w:val="footnote text"/>
    <w:aliases w:val="5_G"/>
    <w:basedOn w:val="Normal"/>
    <w:link w:val="FootnoteTextChar"/>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semiHidden/>
    <w:rsid w:val="00E925AD"/>
    <w:rPr>
      <w:color w:val="auto"/>
      <w:u w:val="none"/>
    </w:rPr>
  </w:style>
  <w:style w:type="paragraph" w:styleId="Footer">
    <w:name w:val="footer"/>
    <w:aliases w:val="3_G"/>
    <w:basedOn w:val="Normal"/>
    <w:rsid w:val="00E925AD"/>
    <w:pPr>
      <w:spacing w:line="240" w:lineRule="auto"/>
    </w:pPr>
    <w:rPr>
      <w:sz w:val="16"/>
    </w:rPr>
  </w:style>
  <w:style w:type="paragraph" w:styleId="Header">
    <w:name w:val="header"/>
    <w:aliases w:val="6_G"/>
    <w:basedOn w:val="Normal"/>
    <w:link w:val="HeaderChar"/>
    <w:rsid w:val="00E925AD"/>
    <w:pPr>
      <w:pBdr>
        <w:bottom w:val="single" w:sz="4" w:space="4" w:color="auto"/>
      </w:pBdr>
      <w:spacing w:line="240" w:lineRule="auto"/>
    </w:pPr>
    <w:rPr>
      <w:b/>
      <w:sz w:val="18"/>
    </w:rPr>
  </w:style>
  <w:style w:type="table" w:styleId="TableGrid">
    <w:name w:val="Table Grid"/>
    <w:basedOn w:val="TableNormal"/>
    <w:semiHidden/>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semiHidden/>
    <w:rsid w:val="00E925AD"/>
    <w:rPr>
      <w:color w:val="auto"/>
      <w:u w:val="none"/>
    </w:rPr>
  </w:style>
  <w:style w:type="character" w:styleId="CommentReference">
    <w:name w:val="annotation reference"/>
    <w:uiPriority w:val="99"/>
    <w:rsid w:val="00C90CFC"/>
    <w:rPr>
      <w:sz w:val="16"/>
      <w:szCs w:val="16"/>
    </w:rPr>
  </w:style>
  <w:style w:type="paragraph" w:styleId="CommentText">
    <w:name w:val="annotation text"/>
    <w:basedOn w:val="Normal"/>
    <w:link w:val="CommentTextChar"/>
    <w:uiPriority w:val="99"/>
    <w:rsid w:val="00C90CFC"/>
  </w:style>
  <w:style w:type="paragraph" w:styleId="CommentSubject">
    <w:name w:val="annotation subject"/>
    <w:basedOn w:val="CommentText"/>
    <w:next w:val="CommentText"/>
    <w:semiHidden/>
    <w:rsid w:val="00C90CFC"/>
    <w:rPr>
      <w:b/>
      <w:bCs/>
    </w:rPr>
  </w:style>
  <w:style w:type="paragraph" w:styleId="BalloonText">
    <w:name w:val="Balloon Text"/>
    <w:basedOn w:val="Normal"/>
    <w:semiHidden/>
    <w:rsid w:val="00C90CFC"/>
    <w:rPr>
      <w:rFonts w:ascii="Tahoma" w:hAnsi="Tahoma" w:cs="Tahoma"/>
      <w:sz w:val="16"/>
      <w:szCs w:val="16"/>
    </w:rPr>
  </w:style>
  <w:style w:type="paragraph" w:customStyle="1" w:styleId="Default">
    <w:name w:val="Default"/>
    <w:rsid w:val="00A35C0F"/>
    <w:pPr>
      <w:autoSpaceDE w:val="0"/>
      <w:autoSpaceDN w:val="0"/>
      <w:adjustRightInd w:val="0"/>
    </w:pPr>
    <w:rPr>
      <w:rFonts w:ascii="EUAlbertina" w:hAnsi="EUAlbertina" w:cs="EUAlbertina"/>
      <w:color w:val="000000"/>
      <w:sz w:val="24"/>
      <w:szCs w:val="24"/>
      <w:lang w:val="en-US" w:eastAsia="en-US"/>
    </w:rPr>
  </w:style>
  <w:style w:type="paragraph" w:customStyle="1" w:styleId="CM4">
    <w:name w:val="CM4"/>
    <w:basedOn w:val="Default"/>
    <w:next w:val="Default"/>
    <w:rsid w:val="00A35C0F"/>
    <w:rPr>
      <w:rFonts w:cs="Times New Roman"/>
      <w:color w:val="auto"/>
    </w:rPr>
  </w:style>
  <w:style w:type="character" w:customStyle="1" w:styleId="dnindex">
    <w:name w:val="dnindex"/>
    <w:basedOn w:val="DefaultParagraphFont"/>
    <w:rsid w:val="009B08B5"/>
  </w:style>
  <w:style w:type="character" w:customStyle="1" w:styleId="labset">
    <w:name w:val="labset"/>
    <w:basedOn w:val="DefaultParagraphFont"/>
    <w:rsid w:val="009B08B5"/>
  </w:style>
  <w:style w:type="character" w:customStyle="1" w:styleId="ital-inline">
    <w:name w:val="ital-inline"/>
    <w:basedOn w:val="DefaultParagraphFont"/>
    <w:rsid w:val="009B08B5"/>
  </w:style>
  <w:style w:type="character" w:customStyle="1" w:styleId="apple-style-span">
    <w:name w:val="apple-style-span"/>
    <w:basedOn w:val="DefaultParagraphFont"/>
    <w:rsid w:val="002140E7"/>
  </w:style>
  <w:style w:type="paragraph" w:customStyle="1" w:styleId="MediumList2-Accent41">
    <w:name w:val="Medium List 2 - Accent 41"/>
    <w:basedOn w:val="Normal"/>
    <w:uiPriority w:val="34"/>
    <w:qFormat/>
    <w:rsid w:val="00205DF4"/>
    <w:pPr>
      <w:ind w:left="720"/>
    </w:pPr>
  </w:style>
  <w:style w:type="character" w:customStyle="1" w:styleId="FontStyle60">
    <w:name w:val="Font Style60"/>
    <w:rsid w:val="00535807"/>
    <w:rPr>
      <w:rFonts w:ascii="Times New Roman" w:hAnsi="Times New Roman" w:cs="Times New Roman"/>
      <w:sz w:val="20"/>
    </w:rPr>
  </w:style>
  <w:style w:type="paragraph" w:customStyle="1" w:styleId="Style3">
    <w:name w:val="Style3"/>
    <w:basedOn w:val="Normal"/>
    <w:rsid w:val="004761A3"/>
    <w:pPr>
      <w:widowControl w:val="0"/>
      <w:autoSpaceDE w:val="0"/>
      <w:spacing w:line="220" w:lineRule="exact"/>
      <w:ind w:firstLine="475"/>
      <w:jc w:val="both"/>
    </w:pPr>
    <w:rPr>
      <w:sz w:val="24"/>
      <w:szCs w:val="24"/>
      <w:lang w:val="uk-UA" w:eastAsia="ar-SA"/>
    </w:rPr>
  </w:style>
  <w:style w:type="character" w:customStyle="1" w:styleId="CommentTextChar">
    <w:name w:val="Comment Text Char"/>
    <w:link w:val="CommentText"/>
    <w:uiPriority w:val="99"/>
    <w:rsid w:val="004761A3"/>
    <w:rPr>
      <w:lang w:eastAsia="en-US"/>
    </w:rPr>
  </w:style>
  <w:style w:type="paragraph" w:customStyle="1" w:styleId="MediumList1-Accent41">
    <w:name w:val="Medium List 1 - Accent 41"/>
    <w:hidden/>
    <w:uiPriority w:val="99"/>
    <w:semiHidden/>
    <w:rsid w:val="00E6456A"/>
    <w:rPr>
      <w:lang w:eastAsia="en-US"/>
    </w:rPr>
  </w:style>
  <w:style w:type="character" w:customStyle="1" w:styleId="FootnoteTextChar">
    <w:name w:val="Footnote Text Char"/>
    <w:aliases w:val="5_G Char"/>
    <w:link w:val="FootnoteText"/>
    <w:rsid w:val="00757F82"/>
    <w:rPr>
      <w:sz w:val="18"/>
      <w:lang w:eastAsia="en-US"/>
    </w:rPr>
  </w:style>
  <w:style w:type="character" w:customStyle="1" w:styleId="st">
    <w:name w:val="st"/>
    <w:rsid w:val="00E713C9"/>
  </w:style>
  <w:style w:type="character" w:customStyle="1" w:styleId="hps">
    <w:name w:val="hps"/>
    <w:rsid w:val="009571D2"/>
  </w:style>
  <w:style w:type="character" w:customStyle="1" w:styleId="hpsalt-edited">
    <w:name w:val="hps alt-edited"/>
    <w:rsid w:val="009571D2"/>
  </w:style>
  <w:style w:type="character" w:customStyle="1" w:styleId="hpsatn">
    <w:name w:val="hps atn"/>
    <w:rsid w:val="009571D2"/>
  </w:style>
  <w:style w:type="character" w:customStyle="1" w:styleId="alt-edited">
    <w:name w:val="alt-edited"/>
    <w:basedOn w:val="DefaultParagraphFont"/>
    <w:rsid w:val="00D76FFE"/>
  </w:style>
  <w:style w:type="character" w:customStyle="1" w:styleId="shorttext">
    <w:name w:val="short_text"/>
    <w:basedOn w:val="DefaultParagraphFont"/>
    <w:rsid w:val="00AE3DF2"/>
  </w:style>
  <w:style w:type="character" w:customStyle="1" w:styleId="HeaderChar">
    <w:name w:val="Header Char"/>
    <w:aliases w:val="6_G Char"/>
    <w:link w:val="Header"/>
    <w:rsid w:val="0067740B"/>
    <w:rPr>
      <w:b/>
      <w:sz w:val="18"/>
      <w:lang w:eastAsia="en-US"/>
    </w:rPr>
  </w:style>
  <w:style w:type="paragraph" w:styleId="Title">
    <w:name w:val="Title"/>
    <w:basedOn w:val="Normal"/>
    <w:next w:val="Normal"/>
    <w:link w:val="TitleChar"/>
    <w:uiPriority w:val="10"/>
    <w:qFormat/>
    <w:rsid w:val="009B1C2A"/>
    <w:pPr>
      <w:pBdr>
        <w:bottom w:val="single" w:sz="8" w:space="4" w:color="4F81BD"/>
      </w:pBdr>
      <w:suppressAutoHyphens w:val="0"/>
      <w:spacing w:after="300" w:line="240" w:lineRule="auto"/>
      <w:contextualSpacing/>
    </w:pPr>
    <w:rPr>
      <w:rFonts w:ascii="Calibri" w:eastAsia="MS Gothic" w:hAnsi="Calibri"/>
      <w:color w:val="17365D"/>
      <w:spacing w:val="5"/>
      <w:kern w:val="28"/>
      <w:sz w:val="52"/>
      <w:szCs w:val="52"/>
      <w:lang w:val="en-US"/>
    </w:rPr>
  </w:style>
  <w:style w:type="character" w:customStyle="1" w:styleId="TitleChar">
    <w:name w:val="Title Char"/>
    <w:link w:val="Title"/>
    <w:uiPriority w:val="10"/>
    <w:rsid w:val="009B1C2A"/>
    <w:rPr>
      <w:rFonts w:ascii="Calibri" w:eastAsia="MS Gothic" w:hAnsi="Calibri"/>
      <w:color w:val="17365D"/>
      <w:spacing w:val="5"/>
      <w:kern w:val="28"/>
      <w:sz w:val="52"/>
      <w:szCs w:val="52"/>
      <w:lang w:val="en-US"/>
    </w:rPr>
  </w:style>
  <w:style w:type="paragraph" w:styleId="NormalWeb">
    <w:name w:val="Normal (Web)"/>
    <w:basedOn w:val="Normal"/>
    <w:uiPriority w:val="99"/>
    <w:unhideWhenUsed/>
    <w:rsid w:val="00F21978"/>
    <w:pPr>
      <w:suppressAutoHyphens w:val="0"/>
      <w:spacing w:before="100" w:beforeAutospacing="1" w:after="100" w:afterAutospacing="1" w:line="240" w:lineRule="auto"/>
    </w:pPr>
    <w:rPr>
      <w:rFonts w:ascii="Times" w:eastAsia="MS Mincho" w:hAnsi="Times"/>
    </w:rPr>
  </w:style>
  <w:style w:type="paragraph" w:customStyle="1" w:styleId="MediumList2-Accent21">
    <w:name w:val="Medium List 2 - Accent 21"/>
    <w:hidden/>
    <w:uiPriority w:val="71"/>
    <w:rsid w:val="00D97C32"/>
    <w:rPr>
      <w:lang w:eastAsia="en-US"/>
    </w:rPr>
  </w:style>
  <w:style w:type="paragraph" w:customStyle="1" w:styleId="ColorfulShading-Accent11">
    <w:name w:val="Colorful Shading - Accent 11"/>
    <w:hidden/>
    <w:uiPriority w:val="99"/>
    <w:semiHidden/>
    <w:rsid w:val="00277D56"/>
    <w:rPr>
      <w:lang w:eastAsia="en-US"/>
    </w:rPr>
  </w:style>
  <w:style w:type="paragraph" w:customStyle="1" w:styleId="ColorfulShading-Accent12">
    <w:name w:val="Colorful Shading - Accent 12"/>
    <w:hidden/>
    <w:uiPriority w:val="99"/>
    <w:semiHidden/>
    <w:rsid w:val="00093F17"/>
    <w:rPr>
      <w:lang w:eastAsia="en-US"/>
    </w:rPr>
  </w:style>
  <w:style w:type="paragraph" w:styleId="ListParagraph">
    <w:name w:val="List Paragraph"/>
    <w:basedOn w:val="Normal"/>
    <w:uiPriority w:val="34"/>
    <w:qFormat/>
    <w:rsid w:val="00536CE9"/>
    <w:pPr>
      <w:ind w:left="720"/>
    </w:pPr>
  </w:style>
  <w:style w:type="paragraph" w:styleId="Revision">
    <w:name w:val="Revision"/>
    <w:hidden/>
    <w:uiPriority w:val="99"/>
    <w:semiHidden/>
    <w:rsid w:val="00DD1A19"/>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761315">
      <w:bodyDiv w:val="1"/>
      <w:marLeft w:val="0"/>
      <w:marRight w:val="0"/>
      <w:marTop w:val="0"/>
      <w:marBottom w:val="0"/>
      <w:divBdr>
        <w:top w:val="none" w:sz="0" w:space="0" w:color="auto"/>
        <w:left w:val="none" w:sz="0" w:space="0" w:color="auto"/>
        <w:bottom w:val="none" w:sz="0" w:space="0" w:color="auto"/>
        <w:right w:val="none" w:sz="0" w:space="0" w:color="auto"/>
      </w:divBdr>
    </w:div>
    <w:div w:id="79983360">
      <w:bodyDiv w:val="1"/>
      <w:marLeft w:val="0"/>
      <w:marRight w:val="0"/>
      <w:marTop w:val="0"/>
      <w:marBottom w:val="0"/>
      <w:divBdr>
        <w:top w:val="none" w:sz="0" w:space="0" w:color="auto"/>
        <w:left w:val="none" w:sz="0" w:space="0" w:color="auto"/>
        <w:bottom w:val="none" w:sz="0" w:space="0" w:color="auto"/>
        <w:right w:val="none" w:sz="0" w:space="0" w:color="auto"/>
      </w:divBdr>
    </w:div>
    <w:div w:id="146630759">
      <w:bodyDiv w:val="1"/>
      <w:marLeft w:val="0"/>
      <w:marRight w:val="0"/>
      <w:marTop w:val="0"/>
      <w:marBottom w:val="0"/>
      <w:divBdr>
        <w:top w:val="none" w:sz="0" w:space="0" w:color="auto"/>
        <w:left w:val="none" w:sz="0" w:space="0" w:color="auto"/>
        <w:bottom w:val="none" w:sz="0" w:space="0" w:color="auto"/>
        <w:right w:val="none" w:sz="0" w:space="0" w:color="auto"/>
      </w:divBdr>
    </w:div>
    <w:div w:id="158084522">
      <w:bodyDiv w:val="1"/>
      <w:marLeft w:val="0"/>
      <w:marRight w:val="0"/>
      <w:marTop w:val="0"/>
      <w:marBottom w:val="0"/>
      <w:divBdr>
        <w:top w:val="none" w:sz="0" w:space="0" w:color="auto"/>
        <w:left w:val="none" w:sz="0" w:space="0" w:color="auto"/>
        <w:bottom w:val="none" w:sz="0" w:space="0" w:color="auto"/>
        <w:right w:val="none" w:sz="0" w:space="0" w:color="auto"/>
      </w:divBdr>
    </w:div>
    <w:div w:id="177937789">
      <w:bodyDiv w:val="1"/>
      <w:marLeft w:val="0"/>
      <w:marRight w:val="0"/>
      <w:marTop w:val="0"/>
      <w:marBottom w:val="0"/>
      <w:divBdr>
        <w:top w:val="none" w:sz="0" w:space="0" w:color="auto"/>
        <w:left w:val="none" w:sz="0" w:space="0" w:color="auto"/>
        <w:bottom w:val="none" w:sz="0" w:space="0" w:color="auto"/>
        <w:right w:val="none" w:sz="0" w:space="0" w:color="auto"/>
      </w:divBdr>
    </w:div>
    <w:div w:id="224027121">
      <w:bodyDiv w:val="1"/>
      <w:marLeft w:val="0"/>
      <w:marRight w:val="0"/>
      <w:marTop w:val="0"/>
      <w:marBottom w:val="0"/>
      <w:divBdr>
        <w:top w:val="none" w:sz="0" w:space="0" w:color="auto"/>
        <w:left w:val="none" w:sz="0" w:space="0" w:color="auto"/>
        <w:bottom w:val="none" w:sz="0" w:space="0" w:color="auto"/>
        <w:right w:val="none" w:sz="0" w:space="0" w:color="auto"/>
      </w:divBdr>
    </w:div>
    <w:div w:id="247665313">
      <w:bodyDiv w:val="1"/>
      <w:marLeft w:val="0"/>
      <w:marRight w:val="0"/>
      <w:marTop w:val="0"/>
      <w:marBottom w:val="0"/>
      <w:divBdr>
        <w:top w:val="none" w:sz="0" w:space="0" w:color="auto"/>
        <w:left w:val="none" w:sz="0" w:space="0" w:color="auto"/>
        <w:bottom w:val="none" w:sz="0" w:space="0" w:color="auto"/>
        <w:right w:val="none" w:sz="0" w:space="0" w:color="auto"/>
      </w:divBdr>
    </w:div>
    <w:div w:id="282881149">
      <w:bodyDiv w:val="1"/>
      <w:marLeft w:val="0"/>
      <w:marRight w:val="0"/>
      <w:marTop w:val="0"/>
      <w:marBottom w:val="0"/>
      <w:divBdr>
        <w:top w:val="none" w:sz="0" w:space="0" w:color="auto"/>
        <w:left w:val="none" w:sz="0" w:space="0" w:color="auto"/>
        <w:bottom w:val="none" w:sz="0" w:space="0" w:color="auto"/>
        <w:right w:val="none" w:sz="0" w:space="0" w:color="auto"/>
      </w:divBdr>
    </w:div>
    <w:div w:id="346564223">
      <w:bodyDiv w:val="1"/>
      <w:marLeft w:val="0"/>
      <w:marRight w:val="0"/>
      <w:marTop w:val="0"/>
      <w:marBottom w:val="0"/>
      <w:divBdr>
        <w:top w:val="none" w:sz="0" w:space="0" w:color="auto"/>
        <w:left w:val="none" w:sz="0" w:space="0" w:color="auto"/>
        <w:bottom w:val="none" w:sz="0" w:space="0" w:color="auto"/>
        <w:right w:val="none" w:sz="0" w:space="0" w:color="auto"/>
      </w:divBdr>
    </w:div>
    <w:div w:id="414864008">
      <w:bodyDiv w:val="1"/>
      <w:marLeft w:val="0"/>
      <w:marRight w:val="0"/>
      <w:marTop w:val="0"/>
      <w:marBottom w:val="0"/>
      <w:divBdr>
        <w:top w:val="none" w:sz="0" w:space="0" w:color="auto"/>
        <w:left w:val="none" w:sz="0" w:space="0" w:color="auto"/>
        <w:bottom w:val="none" w:sz="0" w:space="0" w:color="auto"/>
        <w:right w:val="none" w:sz="0" w:space="0" w:color="auto"/>
      </w:divBdr>
      <w:divsChild>
        <w:div w:id="246618778">
          <w:marLeft w:val="0"/>
          <w:marRight w:val="0"/>
          <w:marTop w:val="0"/>
          <w:marBottom w:val="0"/>
          <w:divBdr>
            <w:top w:val="none" w:sz="0" w:space="0" w:color="auto"/>
            <w:left w:val="none" w:sz="0" w:space="0" w:color="auto"/>
            <w:bottom w:val="none" w:sz="0" w:space="0" w:color="auto"/>
            <w:right w:val="none" w:sz="0" w:space="0" w:color="auto"/>
          </w:divBdr>
          <w:divsChild>
            <w:div w:id="1663897371">
              <w:marLeft w:val="0"/>
              <w:marRight w:val="0"/>
              <w:marTop w:val="0"/>
              <w:marBottom w:val="0"/>
              <w:divBdr>
                <w:top w:val="none" w:sz="0" w:space="0" w:color="auto"/>
                <w:left w:val="none" w:sz="0" w:space="0" w:color="auto"/>
                <w:bottom w:val="none" w:sz="0" w:space="0" w:color="auto"/>
                <w:right w:val="none" w:sz="0" w:space="0" w:color="auto"/>
              </w:divBdr>
              <w:divsChild>
                <w:div w:id="54427487">
                  <w:marLeft w:val="0"/>
                  <w:marRight w:val="0"/>
                  <w:marTop w:val="0"/>
                  <w:marBottom w:val="0"/>
                  <w:divBdr>
                    <w:top w:val="none" w:sz="0" w:space="0" w:color="auto"/>
                    <w:left w:val="none" w:sz="0" w:space="0" w:color="auto"/>
                    <w:bottom w:val="none" w:sz="0" w:space="0" w:color="auto"/>
                    <w:right w:val="none" w:sz="0" w:space="0" w:color="auto"/>
                  </w:divBdr>
                </w:div>
                <w:div w:id="61106134">
                  <w:marLeft w:val="0"/>
                  <w:marRight w:val="0"/>
                  <w:marTop w:val="0"/>
                  <w:marBottom w:val="0"/>
                  <w:divBdr>
                    <w:top w:val="none" w:sz="0" w:space="0" w:color="auto"/>
                    <w:left w:val="none" w:sz="0" w:space="0" w:color="auto"/>
                    <w:bottom w:val="none" w:sz="0" w:space="0" w:color="auto"/>
                    <w:right w:val="none" w:sz="0" w:space="0" w:color="auto"/>
                  </w:divBdr>
                </w:div>
                <w:div w:id="80294254">
                  <w:marLeft w:val="0"/>
                  <w:marRight w:val="0"/>
                  <w:marTop w:val="0"/>
                  <w:marBottom w:val="0"/>
                  <w:divBdr>
                    <w:top w:val="none" w:sz="0" w:space="0" w:color="auto"/>
                    <w:left w:val="none" w:sz="0" w:space="0" w:color="auto"/>
                    <w:bottom w:val="none" w:sz="0" w:space="0" w:color="auto"/>
                    <w:right w:val="none" w:sz="0" w:space="0" w:color="auto"/>
                  </w:divBdr>
                </w:div>
                <w:div w:id="211775881">
                  <w:marLeft w:val="0"/>
                  <w:marRight w:val="0"/>
                  <w:marTop w:val="0"/>
                  <w:marBottom w:val="0"/>
                  <w:divBdr>
                    <w:top w:val="none" w:sz="0" w:space="0" w:color="auto"/>
                    <w:left w:val="none" w:sz="0" w:space="0" w:color="auto"/>
                    <w:bottom w:val="none" w:sz="0" w:space="0" w:color="auto"/>
                    <w:right w:val="none" w:sz="0" w:space="0" w:color="auto"/>
                  </w:divBdr>
                </w:div>
                <w:div w:id="345521657">
                  <w:marLeft w:val="0"/>
                  <w:marRight w:val="0"/>
                  <w:marTop w:val="0"/>
                  <w:marBottom w:val="0"/>
                  <w:divBdr>
                    <w:top w:val="none" w:sz="0" w:space="0" w:color="auto"/>
                    <w:left w:val="none" w:sz="0" w:space="0" w:color="auto"/>
                    <w:bottom w:val="none" w:sz="0" w:space="0" w:color="auto"/>
                    <w:right w:val="none" w:sz="0" w:space="0" w:color="auto"/>
                  </w:divBdr>
                </w:div>
                <w:div w:id="357630313">
                  <w:marLeft w:val="0"/>
                  <w:marRight w:val="0"/>
                  <w:marTop w:val="0"/>
                  <w:marBottom w:val="0"/>
                  <w:divBdr>
                    <w:top w:val="none" w:sz="0" w:space="0" w:color="auto"/>
                    <w:left w:val="none" w:sz="0" w:space="0" w:color="auto"/>
                    <w:bottom w:val="none" w:sz="0" w:space="0" w:color="auto"/>
                    <w:right w:val="none" w:sz="0" w:space="0" w:color="auto"/>
                  </w:divBdr>
                </w:div>
                <w:div w:id="378018587">
                  <w:marLeft w:val="0"/>
                  <w:marRight w:val="0"/>
                  <w:marTop w:val="0"/>
                  <w:marBottom w:val="0"/>
                  <w:divBdr>
                    <w:top w:val="none" w:sz="0" w:space="0" w:color="auto"/>
                    <w:left w:val="none" w:sz="0" w:space="0" w:color="auto"/>
                    <w:bottom w:val="none" w:sz="0" w:space="0" w:color="auto"/>
                    <w:right w:val="none" w:sz="0" w:space="0" w:color="auto"/>
                  </w:divBdr>
                </w:div>
                <w:div w:id="448012530">
                  <w:marLeft w:val="0"/>
                  <w:marRight w:val="0"/>
                  <w:marTop w:val="0"/>
                  <w:marBottom w:val="0"/>
                  <w:divBdr>
                    <w:top w:val="none" w:sz="0" w:space="0" w:color="auto"/>
                    <w:left w:val="none" w:sz="0" w:space="0" w:color="auto"/>
                    <w:bottom w:val="none" w:sz="0" w:space="0" w:color="auto"/>
                    <w:right w:val="none" w:sz="0" w:space="0" w:color="auto"/>
                  </w:divBdr>
                </w:div>
                <w:div w:id="494688882">
                  <w:marLeft w:val="0"/>
                  <w:marRight w:val="0"/>
                  <w:marTop w:val="0"/>
                  <w:marBottom w:val="0"/>
                  <w:divBdr>
                    <w:top w:val="none" w:sz="0" w:space="0" w:color="auto"/>
                    <w:left w:val="none" w:sz="0" w:space="0" w:color="auto"/>
                    <w:bottom w:val="none" w:sz="0" w:space="0" w:color="auto"/>
                    <w:right w:val="none" w:sz="0" w:space="0" w:color="auto"/>
                  </w:divBdr>
                </w:div>
                <w:div w:id="714542418">
                  <w:marLeft w:val="0"/>
                  <w:marRight w:val="0"/>
                  <w:marTop w:val="0"/>
                  <w:marBottom w:val="0"/>
                  <w:divBdr>
                    <w:top w:val="none" w:sz="0" w:space="0" w:color="auto"/>
                    <w:left w:val="none" w:sz="0" w:space="0" w:color="auto"/>
                    <w:bottom w:val="none" w:sz="0" w:space="0" w:color="auto"/>
                    <w:right w:val="none" w:sz="0" w:space="0" w:color="auto"/>
                  </w:divBdr>
                </w:div>
                <w:div w:id="819270700">
                  <w:marLeft w:val="0"/>
                  <w:marRight w:val="0"/>
                  <w:marTop w:val="0"/>
                  <w:marBottom w:val="0"/>
                  <w:divBdr>
                    <w:top w:val="none" w:sz="0" w:space="0" w:color="auto"/>
                    <w:left w:val="none" w:sz="0" w:space="0" w:color="auto"/>
                    <w:bottom w:val="none" w:sz="0" w:space="0" w:color="auto"/>
                    <w:right w:val="none" w:sz="0" w:space="0" w:color="auto"/>
                  </w:divBdr>
                </w:div>
                <w:div w:id="867260707">
                  <w:marLeft w:val="0"/>
                  <w:marRight w:val="0"/>
                  <w:marTop w:val="0"/>
                  <w:marBottom w:val="0"/>
                  <w:divBdr>
                    <w:top w:val="none" w:sz="0" w:space="0" w:color="auto"/>
                    <w:left w:val="none" w:sz="0" w:space="0" w:color="auto"/>
                    <w:bottom w:val="none" w:sz="0" w:space="0" w:color="auto"/>
                    <w:right w:val="none" w:sz="0" w:space="0" w:color="auto"/>
                  </w:divBdr>
                </w:div>
                <w:div w:id="935600256">
                  <w:marLeft w:val="0"/>
                  <w:marRight w:val="0"/>
                  <w:marTop w:val="0"/>
                  <w:marBottom w:val="0"/>
                  <w:divBdr>
                    <w:top w:val="none" w:sz="0" w:space="0" w:color="auto"/>
                    <w:left w:val="none" w:sz="0" w:space="0" w:color="auto"/>
                    <w:bottom w:val="none" w:sz="0" w:space="0" w:color="auto"/>
                    <w:right w:val="none" w:sz="0" w:space="0" w:color="auto"/>
                  </w:divBdr>
                </w:div>
                <w:div w:id="995257825">
                  <w:marLeft w:val="0"/>
                  <w:marRight w:val="0"/>
                  <w:marTop w:val="0"/>
                  <w:marBottom w:val="0"/>
                  <w:divBdr>
                    <w:top w:val="none" w:sz="0" w:space="0" w:color="auto"/>
                    <w:left w:val="none" w:sz="0" w:space="0" w:color="auto"/>
                    <w:bottom w:val="none" w:sz="0" w:space="0" w:color="auto"/>
                    <w:right w:val="none" w:sz="0" w:space="0" w:color="auto"/>
                  </w:divBdr>
                </w:div>
                <w:div w:id="1078598787">
                  <w:marLeft w:val="0"/>
                  <w:marRight w:val="0"/>
                  <w:marTop w:val="0"/>
                  <w:marBottom w:val="0"/>
                  <w:divBdr>
                    <w:top w:val="none" w:sz="0" w:space="0" w:color="auto"/>
                    <w:left w:val="none" w:sz="0" w:space="0" w:color="auto"/>
                    <w:bottom w:val="none" w:sz="0" w:space="0" w:color="auto"/>
                    <w:right w:val="none" w:sz="0" w:space="0" w:color="auto"/>
                  </w:divBdr>
                </w:div>
                <w:div w:id="1162307066">
                  <w:marLeft w:val="0"/>
                  <w:marRight w:val="0"/>
                  <w:marTop w:val="0"/>
                  <w:marBottom w:val="0"/>
                  <w:divBdr>
                    <w:top w:val="none" w:sz="0" w:space="0" w:color="auto"/>
                    <w:left w:val="none" w:sz="0" w:space="0" w:color="auto"/>
                    <w:bottom w:val="none" w:sz="0" w:space="0" w:color="auto"/>
                    <w:right w:val="none" w:sz="0" w:space="0" w:color="auto"/>
                  </w:divBdr>
                </w:div>
                <w:div w:id="1169640695">
                  <w:marLeft w:val="0"/>
                  <w:marRight w:val="0"/>
                  <w:marTop w:val="0"/>
                  <w:marBottom w:val="0"/>
                  <w:divBdr>
                    <w:top w:val="none" w:sz="0" w:space="0" w:color="auto"/>
                    <w:left w:val="none" w:sz="0" w:space="0" w:color="auto"/>
                    <w:bottom w:val="none" w:sz="0" w:space="0" w:color="auto"/>
                    <w:right w:val="none" w:sz="0" w:space="0" w:color="auto"/>
                  </w:divBdr>
                </w:div>
                <w:div w:id="1445467682">
                  <w:marLeft w:val="0"/>
                  <w:marRight w:val="0"/>
                  <w:marTop w:val="0"/>
                  <w:marBottom w:val="0"/>
                  <w:divBdr>
                    <w:top w:val="none" w:sz="0" w:space="0" w:color="auto"/>
                    <w:left w:val="none" w:sz="0" w:space="0" w:color="auto"/>
                    <w:bottom w:val="none" w:sz="0" w:space="0" w:color="auto"/>
                    <w:right w:val="none" w:sz="0" w:space="0" w:color="auto"/>
                  </w:divBdr>
                </w:div>
                <w:div w:id="1754014343">
                  <w:marLeft w:val="0"/>
                  <w:marRight w:val="0"/>
                  <w:marTop w:val="0"/>
                  <w:marBottom w:val="0"/>
                  <w:divBdr>
                    <w:top w:val="none" w:sz="0" w:space="0" w:color="auto"/>
                    <w:left w:val="none" w:sz="0" w:space="0" w:color="auto"/>
                    <w:bottom w:val="none" w:sz="0" w:space="0" w:color="auto"/>
                    <w:right w:val="none" w:sz="0" w:space="0" w:color="auto"/>
                  </w:divBdr>
                </w:div>
                <w:div w:id="1835954568">
                  <w:marLeft w:val="0"/>
                  <w:marRight w:val="0"/>
                  <w:marTop w:val="0"/>
                  <w:marBottom w:val="0"/>
                  <w:divBdr>
                    <w:top w:val="none" w:sz="0" w:space="0" w:color="auto"/>
                    <w:left w:val="none" w:sz="0" w:space="0" w:color="auto"/>
                    <w:bottom w:val="none" w:sz="0" w:space="0" w:color="auto"/>
                    <w:right w:val="none" w:sz="0" w:space="0" w:color="auto"/>
                  </w:divBdr>
                </w:div>
                <w:div w:id="1842432766">
                  <w:marLeft w:val="0"/>
                  <w:marRight w:val="0"/>
                  <w:marTop w:val="0"/>
                  <w:marBottom w:val="0"/>
                  <w:divBdr>
                    <w:top w:val="none" w:sz="0" w:space="0" w:color="auto"/>
                    <w:left w:val="none" w:sz="0" w:space="0" w:color="auto"/>
                    <w:bottom w:val="none" w:sz="0" w:space="0" w:color="auto"/>
                    <w:right w:val="none" w:sz="0" w:space="0" w:color="auto"/>
                  </w:divBdr>
                </w:div>
                <w:div w:id="1909463703">
                  <w:marLeft w:val="0"/>
                  <w:marRight w:val="0"/>
                  <w:marTop w:val="0"/>
                  <w:marBottom w:val="0"/>
                  <w:divBdr>
                    <w:top w:val="none" w:sz="0" w:space="0" w:color="auto"/>
                    <w:left w:val="none" w:sz="0" w:space="0" w:color="auto"/>
                    <w:bottom w:val="none" w:sz="0" w:space="0" w:color="auto"/>
                    <w:right w:val="none" w:sz="0" w:space="0" w:color="auto"/>
                  </w:divBdr>
                </w:div>
                <w:div w:id="2043237617">
                  <w:marLeft w:val="0"/>
                  <w:marRight w:val="0"/>
                  <w:marTop w:val="0"/>
                  <w:marBottom w:val="0"/>
                  <w:divBdr>
                    <w:top w:val="none" w:sz="0" w:space="0" w:color="auto"/>
                    <w:left w:val="none" w:sz="0" w:space="0" w:color="auto"/>
                    <w:bottom w:val="none" w:sz="0" w:space="0" w:color="auto"/>
                    <w:right w:val="none" w:sz="0" w:space="0" w:color="auto"/>
                  </w:divBdr>
                </w:div>
                <w:div w:id="2084329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298682">
          <w:marLeft w:val="0"/>
          <w:marRight w:val="0"/>
          <w:marTop w:val="0"/>
          <w:marBottom w:val="0"/>
          <w:divBdr>
            <w:top w:val="none" w:sz="0" w:space="0" w:color="auto"/>
            <w:left w:val="none" w:sz="0" w:space="0" w:color="auto"/>
            <w:bottom w:val="none" w:sz="0" w:space="0" w:color="auto"/>
            <w:right w:val="none" w:sz="0" w:space="0" w:color="auto"/>
          </w:divBdr>
          <w:divsChild>
            <w:div w:id="467011522">
              <w:marLeft w:val="0"/>
              <w:marRight w:val="0"/>
              <w:marTop w:val="0"/>
              <w:marBottom w:val="0"/>
              <w:divBdr>
                <w:top w:val="none" w:sz="0" w:space="0" w:color="auto"/>
                <w:left w:val="none" w:sz="0" w:space="0" w:color="auto"/>
                <w:bottom w:val="none" w:sz="0" w:space="0" w:color="auto"/>
                <w:right w:val="none" w:sz="0" w:space="0" w:color="auto"/>
              </w:divBdr>
              <w:divsChild>
                <w:div w:id="87431140">
                  <w:marLeft w:val="0"/>
                  <w:marRight w:val="0"/>
                  <w:marTop w:val="0"/>
                  <w:marBottom w:val="0"/>
                  <w:divBdr>
                    <w:top w:val="none" w:sz="0" w:space="0" w:color="auto"/>
                    <w:left w:val="none" w:sz="0" w:space="0" w:color="auto"/>
                    <w:bottom w:val="none" w:sz="0" w:space="0" w:color="auto"/>
                    <w:right w:val="none" w:sz="0" w:space="0" w:color="auto"/>
                  </w:divBdr>
                </w:div>
                <w:div w:id="145778220">
                  <w:marLeft w:val="0"/>
                  <w:marRight w:val="0"/>
                  <w:marTop w:val="0"/>
                  <w:marBottom w:val="0"/>
                  <w:divBdr>
                    <w:top w:val="none" w:sz="0" w:space="0" w:color="auto"/>
                    <w:left w:val="none" w:sz="0" w:space="0" w:color="auto"/>
                    <w:bottom w:val="none" w:sz="0" w:space="0" w:color="auto"/>
                    <w:right w:val="none" w:sz="0" w:space="0" w:color="auto"/>
                  </w:divBdr>
                </w:div>
                <w:div w:id="170150418">
                  <w:marLeft w:val="0"/>
                  <w:marRight w:val="0"/>
                  <w:marTop w:val="0"/>
                  <w:marBottom w:val="0"/>
                  <w:divBdr>
                    <w:top w:val="none" w:sz="0" w:space="0" w:color="auto"/>
                    <w:left w:val="none" w:sz="0" w:space="0" w:color="auto"/>
                    <w:bottom w:val="none" w:sz="0" w:space="0" w:color="auto"/>
                    <w:right w:val="none" w:sz="0" w:space="0" w:color="auto"/>
                  </w:divBdr>
                </w:div>
                <w:div w:id="184103449">
                  <w:marLeft w:val="0"/>
                  <w:marRight w:val="0"/>
                  <w:marTop w:val="0"/>
                  <w:marBottom w:val="0"/>
                  <w:divBdr>
                    <w:top w:val="none" w:sz="0" w:space="0" w:color="auto"/>
                    <w:left w:val="none" w:sz="0" w:space="0" w:color="auto"/>
                    <w:bottom w:val="none" w:sz="0" w:space="0" w:color="auto"/>
                    <w:right w:val="none" w:sz="0" w:space="0" w:color="auto"/>
                  </w:divBdr>
                </w:div>
                <w:div w:id="244534233">
                  <w:marLeft w:val="0"/>
                  <w:marRight w:val="0"/>
                  <w:marTop w:val="0"/>
                  <w:marBottom w:val="0"/>
                  <w:divBdr>
                    <w:top w:val="none" w:sz="0" w:space="0" w:color="auto"/>
                    <w:left w:val="none" w:sz="0" w:space="0" w:color="auto"/>
                    <w:bottom w:val="none" w:sz="0" w:space="0" w:color="auto"/>
                    <w:right w:val="none" w:sz="0" w:space="0" w:color="auto"/>
                  </w:divBdr>
                </w:div>
                <w:div w:id="310721639">
                  <w:marLeft w:val="0"/>
                  <w:marRight w:val="0"/>
                  <w:marTop w:val="0"/>
                  <w:marBottom w:val="0"/>
                  <w:divBdr>
                    <w:top w:val="none" w:sz="0" w:space="0" w:color="auto"/>
                    <w:left w:val="none" w:sz="0" w:space="0" w:color="auto"/>
                    <w:bottom w:val="none" w:sz="0" w:space="0" w:color="auto"/>
                    <w:right w:val="none" w:sz="0" w:space="0" w:color="auto"/>
                  </w:divBdr>
                </w:div>
                <w:div w:id="404376974">
                  <w:marLeft w:val="0"/>
                  <w:marRight w:val="0"/>
                  <w:marTop w:val="0"/>
                  <w:marBottom w:val="0"/>
                  <w:divBdr>
                    <w:top w:val="none" w:sz="0" w:space="0" w:color="auto"/>
                    <w:left w:val="none" w:sz="0" w:space="0" w:color="auto"/>
                    <w:bottom w:val="none" w:sz="0" w:space="0" w:color="auto"/>
                    <w:right w:val="none" w:sz="0" w:space="0" w:color="auto"/>
                  </w:divBdr>
                </w:div>
                <w:div w:id="415133102">
                  <w:marLeft w:val="0"/>
                  <w:marRight w:val="0"/>
                  <w:marTop w:val="0"/>
                  <w:marBottom w:val="0"/>
                  <w:divBdr>
                    <w:top w:val="none" w:sz="0" w:space="0" w:color="auto"/>
                    <w:left w:val="none" w:sz="0" w:space="0" w:color="auto"/>
                    <w:bottom w:val="none" w:sz="0" w:space="0" w:color="auto"/>
                    <w:right w:val="none" w:sz="0" w:space="0" w:color="auto"/>
                  </w:divBdr>
                </w:div>
                <w:div w:id="416292343">
                  <w:marLeft w:val="0"/>
                  <w:marRight w:val="0"/>
                  <w:marTop w:val="0"/>
                  <w:marBottom w:val="0"/>
                  <w:divBdr>
                    <w:top w:val="none" w:sz="0" w:space="0" w:color="auto"/>
                    <w:left w:val="none" w:sz="0" w:space="0" w:color="auto"/>
                    <w:bottom w:val="none" w:sz="0" w:space="0" w:color="auto"/>
                    <w:right w:val="none" w:sz="0" w:space="0" w:color="auto"/>
                  </w:divBdr>
                </w:div>
                <w:div w:id="478304725">
                  <w:marLeft w:val="0"/>
                  <w:marRight w:val="0"/>
                  <w:marTop w:val="0"/>
                  <w:marBottom w:val="0"/>
                  <w:divBdr>
                    <w:top w:val="none" w:sz="0" w:space="0" w:color="auto"/>
                    <w:left w:val="none" w:sz="0" w:space="0" w:color="auto"/>
                    <w:bottom w:val="none" w:sz="0" w:space="0" w:color="auto"/>
                    <w:right w:val="none" w:sz="0" w:space="0" w:color="auto"/>
                  </w:divBdr>
                </w:div>
                <w:div w:id="519314728">
                  <w:marLeft w:val="0"/>
                  <w:marRight w:val="0"/>
                  <w:marTop w:val="0"/>
                  <w:marBottom w:val="0"/>
                  <w:divBdr>
                    <w:top w:val="none" w:sz="0" w:space="0" w:color="auto"/>
                    <w:left w:val="none" w:sz="0" w:space="0" w:color="auto"/>
                    <w:bottom w:val="none" w:sz="0" w:space="0" w:color="auto"/>
                    <w:right w:val="none" w:sz="0" w:space="0" w:color="auto"/>
                  </w:divBdr>
                </w:div>
                <w:div w:id="541602042">
                  <w:marLeft w:val="0"/>
                  <w:marRight w:val="0"/>
                  <w:marTop w:val="0"/>
                  <w:marBottom w:val="0"/>
                  <w:divBdr>
                    <w:top w:val="none" w:sz="0" w:space="0" w:color="auto"/>
                    <w:left w:val="none" w:sz="0" w:space="0" w:color="auto"/>
                    <w:bottom w:val="none" w:sz="0" w:space="0" w:color="auto"/>
                    <w:right w:val="none" w:sz="0" w:space="0" w:color="auto"/>
                  </w:divBdr>
                </w:div>
                <w:div w:id="552931951">
                  <w:marLeft w:val="0"/>
                  <w:marRight w:val="0"/>
                  <w:marTop w:val="0"/>
                  <w:marBottom w:val="0"/>
                  <w:divBdr>
                    <w:top w:val="none" w:sz="0" w:space="0" w:color="auto"/>
                    <w:left w:val="none" w:sz="0" w:space="0" w:color="auto"/>
                    <w:bottom w:val="none" w:sz="0" w:space="0" w:color="auto"/>
                    <w:right w:val="none" w:sz="0" w:space="0" w:color="auto"/>
                  </w:divBdr>
                </w:div>
                <w:div w:id="613756351">
                  <w:marLeft w:val="0"/>
                  <w:marRight w:val="0"/>
                  <w:marTop w:val="0"/>
                  <w:marBottom w:val="0"/>
                  <w:divBdr>
                    <w:top w:val="none" w:sz="0" w:space="0" w:color="auto"/>
                    <w:left w:val="none" w:sz="0" w:space="0" w:color="auto"/>
                    <w:bottom w:val="none" w:sz="0" w:space="0" w:color="auto"/>
                    <w:right w:val="none" w:sz="0" w:space="0" w:color="auto"/>
                  </w:divBdr>
                </w:div>
                <w:div w:id="650987878">
                  <w:marLeft w:val="0"/>
                  <w:marRight w:val="0"/>
                  <w:marTop w:val="0"/>
                  <w:marBottom w:val="0"/>
                  <w:divBdr>
                    <w:top w:val="none" w:sz="0" w:space="0" w:color="auto"/>
                    <w:left w:val="none" w:sz="0" w:space="0" w:color="auto"/>
                    <w:bottom w:val="none" w:sz="0" w:space="0" w:color="auto"/>
                    <w:right w:val="none" w:sz="0" w:space="0" w:color="auto"/>
                  </w:divBdr>
                </w:div>
                <w:div w:id="655110158">
                  <w:marLeft w:val="0"/>
                  <w:marRight w:val="0"/>
                  <w:marTop w:val="0"/>
                  <w:marBottom w:val="0"/>
                  <w:divBdr>
                    <w:top w:val="none" w:sz="0" w:space="0" w:color="auto"/>
                    <w:left w:val="none" w:sz="0" w:space="0" w:color="auto"/>
                    <w:bottom w:val="none" w:sz="0" w:space="0" w:color="auto"/>
                    <w:right w:val="none" w:sz="0" w:space="0" w:color="auto"/>
                  </w:divBdr>
                </w:div>
                <w:div w:id="655762983">
                  <w:marLeft w:val="0"/>
                  <w:marRight w:val="0"/>
                  <w:marTop w:val="0"/>
                  <w:marBottom w:val="0"/>
                  <w:divBdr>
                    <w:top w:val="none" w:sz="0" w:space="0" w:color="auto"/>
                    <w:left w:val="none" w:sz="0" w:space="0" w:color="auto"/>
                    <w:bottom w:val="none" w:sz="0" w:space="0" w:color="auto"/>
                    <w:right w:val="none" w:sz="0" w:space="0" w:color="auto"/>
                  </w:divBdr>
                </w:div>
                <w:div w:id="708652574">
                  <w:marLeft w:val="0"/>
                  <w:marRight w:val="0"/>
                  <w:marTop w:val="0"/>
                  <w:marBottom w:val="0"/>
                  <w:divBdr>
                    <w:top w:val="none" w:sz="0" w:space="0" w:color="auto"/>
                    <w:left w:val="none" w:sz="0" w:space="0" w:color="auto"/>
                    <w:bottom w:val="none" w:sz="0" w:space="0" w:color="auto"/>
                    <w:right w:val="none" w:sz="0" w:space="0" w:color="auto"/>
                  </w:divBdr>
                </w:div>
                <w:div w:id="825240447">
                  <w:marLeft w:val="0"/>
                  <w:marRight w:val="0"/>
                  <w:marTop w:val="0"/>
                  <w:marBottom w:val="0"/>
                  <w:divBdr>
                    <w:top w:val="none" w:sz="0" w:space="0" w:color="auto"/>
                    <w:left w:val="none" w:sz="0" w:space="0" w:color="auto"/>
                    <w:bottom w:val="none" w:sz="0" w:space="0" w:color="auto"/>
                    <w:right w:val="none" w:sz="0" w:space="0" w:color="auto"/>
                  </w:divBdr>
                </w:div>
                <w:div w:id="885946642">
                  <w:marLeft w:val="0"/>
                  <w:marRight w:val="0"/>
                  <w:marTop w:val="0"/>
                  <w:marBottom w:val="0"/>
                  <w:divBdr>
                    <w:top w:val="none" w:sz="0" w:space="0" w:color="auto"/>
                    <w:left w:val="none" w:sz="0" w:space="0" w:color="auto"/>
                    <w:bottom w:val="none" w:sz="0" w:space="0" w:color="auto"/>
                    <w:right w:val="none" w:sz="0" w:space="0" w:color="auto"/>
                  </w:divBdr>
                </w:div>
                <w:div w:id="1026637612">
                  <w:marLeft w:val="0"/>
                  <w:marRight w:val="0"/>
                  <w:marTop w:val="0"/>
                  <w:marBottom w:val="0"/>
                  <w:divBdr>
                    <w:top w:val="none" w:sz="0" w:space="0" w:color="auto"/>
                    <w:left w:val="none" w:sz="0" w:space="0" w:color="auto"/>
                    <w:bottom w:val="none" w:sz="0" w:space="0" w:color="auto"/>
                    <w:right w:val="none" w:sz="0" w:space="0" w:color="auto"/>
                  </w:divBdr>
                </w:div>
                <w:div w:id="1048257909">
                  <w:marLeft w:val="0"/>
                  <w:marRight w:val="0"/>
                  <w:marTop w:val="0"/>
                  <w:marBottom w:val="0"/>
                  <w:divBdr>
                    <w:top w:val="none" w:sz="0" w:space="0" w:color="auto"/>
                    <w:left w:val="none" w:sz="0" w:space="0" w:color="auto"/>
                    <w:bottom w:val="none" w:sz="0" w:space="0" w:color="auto"/>
                    <w:right w:val="none" w:sz="0" w:space="0" w:color="auto"/>
                  </w:divBdr>
                </w:div>
                <w:div w:id="1175530853">
                  <w:marLeft w:val="0"/>
                  <w:marRight w:val="0"/>
                  <w:marTop w:val="0"/>
                  <w:marBottom w:val="0"/>
                  <w:divBdr>
                    <w:top w:val="none" w:sz="0" w:space="0" w:color="auto"/>
                    <w:left w:val="none" w:sz="0" w:space="0" w:color="auto"/>
                    <w:bottom w:val="none" w:sz="0" w:space="0" w:color="auto"/>
                    <w:right w:val="none" w:sz="0" w:space="0" w:color="auto"/>
                  </w:divBdr>
                </w:div>
                <w:div w:id="1200170231">
                  <w:marLeft w:val="0"/>
                  <w:marRight w:val="0"/>
                  <w:marTop w:val="0"/>
                  <w:marBottom w:val="0"/>
                  <w:divBdr>
                    <w:top w:val="none" w:sz="0" w:space="0" w:color="auto"/>
                    <w:left w:val="none" w:sz="0" w:space="0" w:color="auto"/>
                    <w:bottom w:val="none" w:sz="0" w:space="0" w:color="auto"/>
                    <w:right w:val="none" w:sz="0" w:space="0" w:color="auto"/>
                  </w:divBdr>
                </w:div>
                <w:div w:id="1201821409">
                  <w:marLeft w:val="0"/>
                  <w:marRight w:val="0"/>
                  <w:marTop w:val="0"/>
                  <w:marBottom w:val="0"/>
                  <w:divBdr>
                    <w:top w:val="none" w:sz="0" w:space="0" w:color="auto"/>
                    <w:left w:val="none" w:sz="0" w:space="0" w:color="auto"/>
                    <w:bottom w:val="none" w:sz="0" w:space="0" w:color="auto"/>
                    <w:right w:val="none" w:sz="0" w:space="0" w:color="auto"/>
                  </w:divBdr>
                </w:div>
                <w:div w:id="1237128809">
                  <w:marLeft w:val="0"/>
                  <w:marRight w:val="0"/>
                  <w:marTop w:val="0"/>
                  <w:marBottom w:val="0"/>
                  <w:divBdr>
                    <w:top w:val="none" w:sz="0" w:space="0" w:color="auto"/>
                    <w:left w:val="none" w:sz="0" w:space="0" w:color="auto"/>
                    <w:bottom w:val="none" w:sz="0" w:space="0" w:color="auto"/>
                    <w:right w:val="none" w:sz="0" w:space="0" w:color="auto"/>
                  </w:divBdr>
                </w:div>
                <w:div w:id="1265728597">
                  <w:marLeft w:val="0"/>
                  <w:marRight w:val="0"/>
                  <w:marTop w:val="0"/>
                  <w:marBottom w:val="0"/>
                  <w:divBdr>
                    <w:top w:val="none" w:sz="0" w:space="0" w:color="auto"/>
                    <w:left w:val="none" w:sz="0" w:space="0" w:color="auto"/>
                    <w:bottom w:val="none" w:sz="0" w:space="0" w:color="auto"/>
                    <w:right w:val="none" w:sz="0" w:space="0" w:color="auto"/>
                  </w:divBdr>
                </w:div>
                <w:div w:id="1299266941">
                  <w:marLeft w:val="0"/>
                  <w:marRight w:val="0"/>
                  <w:marTop w:val="0"/>
                  <w:marBottom w:val="0"/>
                  <w:divBdr>
                    <w:top w:val="none" w:sz="0" w:space="0" w:color="auto"/>
                    <w:left w:val="none" w:sz="0" w:space="0" w:color="auto"/>
                    <w:bottom w:val="none" w:sz="0" w:space="0" w:color="auto"/>
                    <w:right w:val="none" w:sz="0" w:space="0" w:color="auto"/>
                  </w:divBdr>
                </w:div>
                <w:div w:id="1339844310">
                  <w:marLeft w:val="0"/>
                  <w:marRight w:val="0"/>
                  <w:marTop w:val="0"/>
                  <w:marBottom w:val="0"/>
                  <w:divBdr>
                    <w:top w:val="none" w:sz="0" w:space="0" w:color="auto"/>
                    <w:left w:val="none" w:sz="0" w:space="0" w:color="auto"/>
                    <w:bottom w:val="none" w:sz="0" w:space="0" w:color="auto"/>
                    <w:right w:val="none" w:sz="0" w:space="0" w:color="auto"/>
                  </w:divBdr>
                </w:div>
                <w:div w:id="1490830906">
                  <w:marLeft w:val="0"/>
                  <w:marRight w:val="0"/>
                  <w:marTop w:val="0"/>
                  <w:marBottom w:val="0"/>
                  <w:divBdr>
                    <w:top w:val="none" w:sz="0" w:space="0" w:color="auto"/>
                    <w:left w:val="none" w:sz="0" w:space="0" w:color="auto"/>
                    <w:bottom w:val="none" w:sz="0" w:space="0" w:color="auto"/>
                    <w:right w:val="none" w:sz="0" w:space="0" w:color="auto"/>
                  </w:divBdr>
                </w:div>
                <w:div w:id="1559363591">
                  <w:marLeft w:val="0"/>
                  <w:marRight w:val="0"/>
                  <w:marTop w:val="0"/>
                  <w:marBottom w:val="0"/>
                  <w:divBdr>
                    <w:top w:val="none" w:sz="0" w:space="0" w:color="auto"/>
                    <w:left w:val="none" w:sz="0" w:space="0" w:color="auto"/>
                    <w:bottom w:val="none" w:sz="0" w:space="0" w:color="auto"/>
                    <w:right w:val="none" w:sz="0" w:space="0" w:color="auto"/>
                  </w:divBdr>
                </w:div>
                <w:div w:id="1574586076">
                  <w:marLeft w:val="0"/>
                  <w:marRight w:val="0"/>
                  <w:marTop w:val="0"/>
                  <w:marBottom w:val="0"/>
                  <w:divBdr>
                    <w:top w:val="none" w:sz="0" w:space="0" w:color="auto"/>
                    <w:left w:val="none" w:sz="0" w:space="0" w:color="auto"/>
                    <w:bottom w:val="none" w:sz="0" w:space="0" w:color="auto"/>
                    <w:right w:val="none" w:sz="0" w:space="0" w:color="auto"/>
                  </w:divBdr>
                </w:div>
                <w:div w:id="1635258510">
                  <w:marLeft w:val="0"/>
                  <w:marRight w:val="0"/>
                  <w:marTop w:val="0"/>
                  <w:marBottom w:val="0"/>
                  <w:divBdr>
                    <w:top w:val="none" w:sz="0" w:space="0" w:color="auto"/>
                    <w:left w:val="none" w:sz="0" w:space="0" w:color="auto"/>
                    <w:bottom w:val="none" w:sz="0" w:space="0" w:color="auto"/>
                    <w:right w:val="none" w:sz="0" w:space="0" w:color="auto"/>
                  </w:divBdr>
                </w:div>
                <w:div w:id="1648703825">
                  <w:marLeft w:val="0"/>
                  <w:marRight w:val="0"/>
                  <w:marTop w:val="0"/>
                  <w:marBottom w:val="0"/>
                  <w:divBdr>
                    <w:top w:val="none" w:sz="0" w:space="0" w:color="auto"/>
                    <w:left w:val="none" w:sz="0" w:space="0" w:color="auto"/>
                    <w:bottom w:val="none" w:sz="0" w:space="0" w:color="auto"/>
                    <w:right w:val="none" w:sz="0" w:space="0" w:color="auto"/>
                  </w:divBdr>
                </w:div>
                <w:div w:id="1724719129">
                  <w:marLeft w:val="0"/>
                  <w:marRight w:val="0"/>
                  <w:marTop w:val="0"/>
                  <w:marBottom w:val="0"/>
                  <w:divBdr>
                    <w:top w:val="none" w:sz="0" w:space="0" w:color="auto"/>
                    <w:left w:val="none" w:sz="0" w:space="0" w:color="auto"/>
                    <w:bottom w:val="none" w:sz="0" w:space="0" w:color="auto"/>
                    <w:right w:val="none" w:sz="0" w:space="0" w:color="auto"/>
                  </w:divBdr>
                </w:div>
                <w:div w:id="1741948402">
                  <w:marLeft w:val="0"/>
                  <w:marRight w:val="0"/>
                  <w:marTop w:val="0"/>
                  <w:marBottom w:val="0"/>
                  <w:divBdr>
                    <w:top w:val="none" w:sz="0" w:space="0" w:color="auto"/>
                    <w:left w:val="none" w:sz="0" w:space="0" w:color="auto"/>
                    <w:bottom w:val="none" w:sz="0" w:space="0" w:color="auto"/>
                    <w:right w:val="none" w:sz="0" w:space="0" w:color="auto"/>
                  </w:divBdr>
                </w:div>
                <w:div w:id="1863471465">
                  <w:marLeft w:val="0"/>
                  <w:marRight w:val="0"/>
                  <w:marTop w:val="0"/>
                  <w:marBottom w:val="0"/>
                  <w:divBdr>
                    <w:top w:val="none" w:sz="0" w:space="0" w:color="auto"/>
                    <w:left w:val="none" w:sz="0" w:space="0" w:color="auto"/>
                    <w:bottom w:val="none" w:sz="0" w:space="0" w:color="auto"/>
                    <w:right w:val="none" w:sz="0" w:space="0" w:color="auto"/>
                  </w:divBdr>
                </w:div>
                <w:div w:id="1994868023">
                  <w:marLeft w:val="0"/>
                  <w:marRight w:val="0"/>
                  <w:marTop w:val="0"/>
                  <w:marBottom w:val="0"/>
                  <w:divBdr>
                    <w:top w:val="none" w:sz="0" w:space="0" w:color="auto"/>
                    <w:left w:val="none" w:sz="0" w:space="0" w:color="auto"/>
                    <w:bottom w:val="none" w:sz="0" w:space="0" w:color="auto"/>
                    <w:right w:val="none" w:sz="0" w:space="0" w:color="auto"/>
                  </w:divBdr>
                </w:div>
                <w:div w:id="2009091536">
                  <w:marLeft w:val="0"/>
                  <w:marRight w:val="0"/>
                  <w:marTop w:val="0"/>
                  <w:marBottom w:val="0"/>
                  <w:divBdr>
                    <w:top w:val="none" w:sz="0" w:space="0" w:color="auto"/>
                    <w:left w:val="none" w:sz="0" w:space="0" w:color="auto"/>
                    <w:bottom w:val="none" w:sz="0" w:space="0" w:color="auto"/>
                    <w:right w:val="none" w:sz="0" w:space="0" w:color="auto"/>
                  </w:divBdr>
                </w:div>
                <w:div w:id="2019039521">
                  <w:marLeft w:val="0"/>
                  <w:marRight w:val="0"/>
                  <w:marTop w:val="0"/>
                  <w:marBottom w:val="0"/>
                  <w:divBdr>
                    <w:top w:val="none" w:sz="0" w:space="0" w:color="auto"/>
                    <w:left w:val="none" w:sz="0" w:space="0" w:color="auto"/>
                    <w:bottom w:val="none" w:sz="0" w:space="0" w:color="auto"/>
                    <w:right w:val="none" w:sz="0" w:space="0" w:color="auto"/>
                  </w:divBdr>
                </w:div>
                <w:div w:id="2038962784">
                  <w:marLeft w:val="0"/>
                  <w:marRight w:val="0"/>
                  <w:marTop w:val="0"/>
                  <w:marBottom w:val="0"/>
                  <w:divBdr>
                    <w:top w:val="none" w:sz="0" w:space="0" w:color="auto"/>
                    <w:left w:val="none" w:sz="0" w:space="0" w:color="auto"/>
                    <w:bottom w:val="none" w:sz="0" w:space="0" w:color="auto"/>
                    <w:right w:val="none" w:sz="0" w:space="0" w:color="auto"/>
                  </w:divBdr>
                </w:div>
                <w:div w:id="2077244475">
                  <w:marLeft w:val="0"/>
                  <w:marRight w:val="0"/>
                  <w:marTop w:val="0"/>
                  <w:marBottom w:val="0"/>
                  <w:divBdr>
                    <w:top w:val="none" w:sz="0" w:space="0" w:color="auto"/>
                    <w:left w:val="none" w:sz="0" w:space="0" w:color="auto"/>
                    <w:bottom w:val="none" w:sz="0" w:space="0" w:color="auto"/>
                    <w:right w:val="none" w:sz="0" w:space="0" w:color="auto"/>
                  </w:divBdr>
                </w:div>
                <w:div w:id="2107920934">
                  <w:marLeft w:val="0"/>
                  <w:marRight w:val="0"/>
                  <w:marTop w:val="0"/>
                  <w:marBottom w:val="0"/>
                  <w:divBdr>
                    <w:top w:val="none" w:sz="0" w:space="0" w:color="auto"/>
                    <w:left w:val="none" w:sz="0" w:space="0" w:color="auto"/>
                    <w:bottom w:val="none" w:sz="0" w:space="0" w:color="auto"/>
                    <w:right w:val="none" w:sz="0" w:space="0" w:color="auto"/>
                  </w:divBdr>
                </w:div>
                <w:div w:id="2135783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314055">
      <w:bodyDiv w:val="1"/>
      <w:marLeft w:val="0"/>
      <w:marRight w:val="0"/>
      <w:marTop w:val="0"/>
      <w:marBottom w:val="0"/>
      <w:divBdr>
        <w:top w:val="none" w:sz="0" w:space="0" w:color="auto"/>
        <w:left w:val="none" w:sz="0" w:space="0" w:color="auto"/>
        <w:bottom w:val="none" w:sz="0" w:space="0" w:color="auto"/>
        <w:right w:val="none" w:sz="0" w:space="0" w:color="auto"/>
      </w:divBdr>
      <w:divsChild>
        <w:div w:id="1877694391">
          <w:marLeft w:val="0"/>
          <w:marRight w:val="0"/>
          <w:marTop w:val="0"/>
          <w:marBottom w:val="0"/>
          <w:divBdr>
            <w:top w:val="none" w:sz="0" w:space="0" w:color="auto"/>
            <w:left w:val="none" w:sz="0" w:space="0" w:color="auto"/>
            <w:bottom w:val="none" w:sz="0" w:space="0" w:color="auto"/>
            <w:right w:val="none" w:sz="0" w:space="0" w:color="auto"/>
          </w:divBdr>
          <w:divsChild>
            <w:div w:id="307826889">
              <w:marLeft w:val="0"/>
              <w:marRight w:val="0"/>
              <w:marTop w:val="0"/>
              <w:marBottom w:val="0"/>
              <w:divBdr>
                <w:top w:val="none" w:sz="0" w:space="0" w:color="auto"/>
                <w:left w:val="none" w:sz="0" w:space="0" w:color="auto"/>
                <w:bottom w:val="none" w:sz="0" w:space="0" w:color="auto"/>
                <w:right w:val="none" w:sz="0" w:space="0" w:color="auto"/>
              </w:divBdr>
              <w:divsChild>
                <w:div w:id="133996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08168">
      <w:bodyDiv w:val="1"/>
      <w:marLeft w:val="0"/>
      <w:marRight w:val="0"/>
      <w:marTop w:val="0"/>
      <w:marBottom w:val="0"/>
      <w:divBdr>
        <w:top w:val="none" w:sz="0" w:space="0" w:color="auto"/>
        <w:left w:val="none" w:sz="0" w:space="0" w:color="auto"/>
        <w:bottom w:val="none" w:sz="0" w:space="0" w:color="auto"/>
        <w:right w:val="none" w:sz="0" w:space="0" w:color="auto"/>
      </w:divBdr>
    </w:div>
    <w:div w:id="455100001">
      <w:bodyDiv w:val="1"/>
      <w:marLeft w:val="0"/>
      <w:marRight w:val="0"/>
      <w:marTop w:val="0"/>
      <w:marBottom w:val="0"/>
      <w:divBdr>
        <w:top w:val="none" w:sz="0" w:space="0" w:color="auto"/>
        <w:left w:val="none" w:sz="0" w:space="0" w:color="auto"/>
        <w:bottom w:val="none" w:sz="0" w:space="0" w:color="auto"/>
        <w:right w:val="none" w:sz="0" w:space="0" w:color="auto"/>
      </w:divBdr>
    </w:div>
    <w:div w:id="502745103">
      <w:bodyDiv w:val="1"/>
      <w:marLeft w:val="0"/>
      <w:marRight w:val="0"/>
      <w:marTop w:val="0"/>
      <w:marBottom w:val="0"/>
      <w:divBdr>
        <w:top w:val="none" w:sz="0" w:space="0" w:color="auto"/>
        <w:left w:val="none" w:sz="0" w:space="0" w:color="auto"/>
        <w:bottom w:val="none" w:sz="0" w:space="0" w:color="auto"/>
        <w:right w:val="none" w:sz="0" w:space="0" w:color="auto"/>
      </w:divBdr>
    </w:div>
    <w:div w:id="575822820">
      <w:bodyDiv w:val="1"/>
      <w:marLeft w:val="0"/>
      <w:marRight w:val="0"/>
      <w:marTop w:val="0"/>
      <w:marBottom w:val="0"/>
      <w:divBdr>
        <w:top w:val="none" w:sz="0" w:space="0" w:color="auto"/>
        <w:left w:val="none" w:sz="0" w:space="0" w:color="auto"/>
        <w:bottom w:val="none" w:sz="0" w:space="0" w:color="auto"/>
        <w:right w:val="none" w:sz="0" w:space="0" w:color="auto"/>
      </w:divBdr>
    </w:div>
    <w:div w:id="610014776">
      <w:bodyDiv w:val="1"/>
      <w:marLeft w:val="0"/>
      <w:marRight w:val="0"/>
      <w:marTop w:val="0"/>
      <w:marBottom w:val="0"/>
      <w:divBdr>
        <w:top w:val="none" w:sz="0" w:space="0" w:color="auto"/>
        <w:left w:val="none" w:sz="0" w:space="0" w:color="auto"/>
        <w:bottom w:val="none" w:sz="0" w:space="0" w:color="auto"/>
        <w:right w:val="none" w:sz="0" w:space="0" w:color="auto"/>
      </w:divBdr>
    </w:div>
    <w:div w:id="624969832">
      <w:bodyDiv w:val="1"/>
      <w:marLeft w:val="0"/>
      <w:marRight w:val="0"/>
      <w:marTop w:val="0"/>
      <w:marBottom w:val="0"/>
      <w:divBdr>
        <w:top w:val="none" w:sz="0" w:space="0" w:color="auto"/>
        <w:left w:val="none" w:sz="0" w:space="0" w:color="auto"/>
        <w:bottom w:val="none" w:sz="0" w:space="0" w:color="auto"/>
        <w:right w:val="none" w:sz="0" w:space="0" w:color="auto"/>
      </w:divBdr>
    </w:div>
    <w:div w:id="657346639">
      <w:bodyDiv w:val="1"/>
      <w:marLeft w:val="0"/>
      <w:marRight w:val="0"/>
      <w:marTop w:val="0"/>
      <w:marBottom w:val="0"/>
      <w:divBdr>
        <w:top w:val="none" w:sz="0" w:space="0" w:color="auto"/>
        <w:left w:val="none" w:sz="0" w:space="0" w:color="auto"/>
        <w:bottom w:val="none" w:sz="0" w:space="0" w:color="auto"/>
        <w:right w:val="none" w:sz="0" w:space="0" w:color="auto"/>
      </w:divBdr>
    </w:div>
    <w:div w:id="688533082">
      <w:bodyDiv w:val="1"/>
      <w:marLeft w:val="0"/>
      <w:marRight w:val="0"/>
      <w:marTop w:val="0"/>
      <w:marBottom w:val="0"/>
      <w:divBdr>
        <w:top w:val="none" w:sz="0" w:space="0" w:color="auto"/>
        <w:left w:val="none" w:sz="0" w:space="0" w:color="auto"/>
        <w:bottom w:val="none" w:sz="0" w:space="0" w:color="auto"/>
        <w:right w:val="none" w:sz="0" w:space="0" w:color="auto"/>
      </w:divBdr>
    </w:div>
    <w:div w:id="771361104">
      <w:bodyDiv w:val="1"/>
      <w:marLeft w:val="0"/>
      <w:marRight w:val="0"/>
      <w:marTop w:val="0"/>
      <w:marBottom w:val="0"/>
      <w:divBdr>
        <w:top w:val="none" w:sz="0" w:space="0" w:color="auto"/>
        <w:left w:val="none" w:sz="0" w:space="0" w:color="auto"/>
        <w:bottom w:val="none" w:sz="0" w:space="0" w:color="auto"/>
        <w:right w:val="none" w:sz="0" w:space="0" w:color="auto"/>
      </w:divBdr>
    </w:div>
    <w:div w:id="946431172">
      <w:bodyDiv w:val="1"/>
      <w:marLeft w:val="0"/>
      <w:marRight w:val="0"/>
      <w:marTop w:val="0"/>
      <w:marBottom w:val="0"/>
      <w:divBdr>
        <w:top w:val="none" w:sz="0" w:space="0" w:color="auto"/>
        <w:left w:val="none" w:sz="0" w:space="0" w:color="auto"/>
        <w:bottom w:val="none" w:sz="0" w:space="0" w:color="auto"/>
        <w:right w:val="none" w:sz="0" w:space="0" w:color="auto"/>
      </w:divBdr>
    </w:div>
    <w:div w:id="981735644">
      <w:bodyDiv w:val="1"/>
      <w:marLeft w:val="0"/>
      <w:marRight w:val="0"/>
      <w:marTop w:val="0"/>
      <w:marBottom w:val="0"/>
      <w:divBdr>
        <w:top w:val="none" w:sz="0" w:space="0" w:color="auto"/>
        <w:left w:val="none" w:sz="0" w:space="0" w:color="auto"/>
        <w:bottom w:val="none" w:sz="0" w:space="0" w:color="auto"/>
        <w:right w:val="none" w:sz="0" w:space="0" w:color="auto"/>
      </w:divBdr>
    </w:div>
    <w:div w:id="987130288">
      <w:bodyDiv w:val="1"/>
      <w:marLeft w:val="0"/>
      <w:marRight w:val="0"/>
      <w:marTop w:val="0"/>
      <w:marBottom w:val="0"/>
      <w:divBdr>
        <w:top w:val="none" w:sz="0" w:space="0" w:color="auto"/>
        <w:left w:val="none" w:sz="0" w:space="0" w:color="auto"/>
        <w:bottom w:val="none" w:sz="0" w:space="0" w:color="auto"/>
        <w:right w:val="none" w:sz="0" w:space="0" w:color="auto"/>
      </w:divBdr>
    </w:div>
    <w:div w:id="1011571196">
      <w:bodyDiv w:val="1"/>
      <w:marLeft w:val="0"/>
      <w:marRight w:val="0"/>
      <w:marTop w:val="0"/>
      <w:marBottom w:val="0"/>
      <w:divBdr>
        <w:top w:val="none" w:sz="0" w:space="0" w:color="auto"/>
        <w:left w:val="none" w:sz="0" w:space="0" w:color="auto"/>
        <w:bottom w:val="none" w:sz="0" w:space="0" w:color="auto"/>
        <w:right w:val="none" w:sz="0" w:space="0" w:color="auto"/>
      </w:divBdr>
    </w:div>
    <w:div w:id="1014915754">
      <w:bodyDiv w:val="1"/>
      <w:marLeft w:val="0"/>
      <w:marRight w:val="0"/>
      <w:marTop w:val="0"/>
      <w:marBottom w:val="0"/>
      <w:divBdr>
        <w:top w:val="none" w:sz="0" w:space="0" w:color="auto"/>
        <w:left w:val="none" w:sz="0" w:space="0" w:color="auto"/>
        <w:bottom w:val="none" w:sz="0" w:space="0" w:color="auto"/>
        <w:right w:val="none" w:sz="0" w:space="0" w:color="auto"/>
      </w:divBdr>
    </w:div>
    <w:div w:id="1117719892">
      <w:bodyDiv w:val="1"/>
      <w:marLeft w:val="0"/>
      <w:marRight w:val="0"/>
      <w:marTop w:val="0"/>
      <w:marBottom w:val="0"/>
      <w:divBdr>
        <w:top w:val="none" w:sz="0" w:space="0" w:color="auto"/>
        <w:left w:val="none" w:sz="0" w:space="0" w:color="auto"/>
        <w:bottom w:val="none" w:sz="0" w:space="0" w:color="auto"/>
        <w:right w:val="none" w:sz="0" w:space="0" w:color="auto"/>
      </w:divBdr>
    </w:div>
    <w:div w:id="1159424979">
      <w:bodyDiv w:val="1"/>
      <w:marLeft w:val="0"/>
      <w:marRight w:val="0"/>
      <w:marTop w:val="0"/>
      <w:marBottom w:val="0"/>
      <w:divBdr>
        <w:top w:val="none" w:sz="0" w:space="0" w:color="auto"/>
        <w:left w:val="none" w:sz="0" w:space="0" w:color="auto"/>
        <w:bottom w:val="none" w:sz="0" w:space="0" w:color="auto"/>
        <w:right w:val="none" w:sz="0" w:space="0" w:color="auto"/>
      </w:divBdr>
      <w:divsChild>
        <w:div w:id="290793807">
          <w:marLeft w:val="0"/>
          <w:marRight w:val="0"/>
          <w:marTop w:val="0"/>
          <w:marBottom w:val="0"/>
          <w:divBdr>
            <w:top w:val="none" w:sz="0" w:space="0" w:color="auto"/>
            <w:left w:val="none" w:sz="0" w:space="0" w:color="auto"/>
            <w:bottom w:val="none" w:sz="0" w:space="0" w:color="auto"/>
            <w:right w:val="none" w:sz="0" w:space="0" w:color="auto"/>
          </w:divBdr>
          <w:divsChild>
            <w:div w:id="1802183499">
              <w:marLeft w:val="0"/>
              <w:marRight w:val="0"/>
              <w:marTop w:val="0"/>
              <w:marBottom w:val="0"/>
              <w:divBdr>
                <w:top w:val="none" w:sz="0" w:space="0" w:color="auto"/>
                <w:left w:val="none" w:sz="0" w:space="0" w:color="auto"/>
                <w:bottom w:val="none" w:sz="0" w:space="0" w:color="auto"/>
                <w:right w:val="none" w:sz="0" w:space="0" w:color="auto"/>
              </w:divBdr>
            </w:div>
          </w:divsChild>
        </w:div>
        <w:div w:id="336689870">
          <w:marLeft w:val="0"/>
          <w:marRight w:val="0"/>
          <w:marTop w:val="0"/>
          <w:marBottom w:val="0"/>
          <w:divBdr>
            <w:top w:val="none" w:sz="0" w:space="0" w:color="auto"/>
            <w:left w:val="none" w:sz="0" w:space="0" w:color="auto"/>
            <w:bottom w:val="none" w:sz="0" w:space="0" w:color="auto"/>
            <w:right w:val="none" w:sz="0" w:space="0" w:color="auto"/>
          </w:divBdr>
          <w:divsChild>
            <w:div w:id="1444154136">
              <w:marLeft w:val="0"/>
              <w:marRight w:val="0"/>
              <w:marTop w:val="0"/>
              <w:marBottom w:val="0"/>
              <w:divBdr>
                <w:top w:val="none" w:sz="0" w:space="0" w:color="auto"/>
                <w:left w:val="none" w:sz="0" w:space="0" w:color="auto"/>
                <w:bottom w:val="none" w:sz="0" w:space="0" w:color="auto"/>
                <w:right w:val="none" w:sz="0" w:space="0" w:color="auto"/>
              </w:divBdr>
            </w:div>
          </w:divsChild>
        </w:div>
        <w:div w:id="1820031293">
          <w:marLeft w:val="0"/>
          <w:marRight w:val="0"/>
          <w:marTop w:val="0"/>
          <w:marBottom w:val="0"/>
          <w:divBdr>
            <w:top w:val="none" w:sz="0" w:space="0" w:color="auto"/>
            <w:left w:val="none" w:sz="0" w:space="0" w:color="auto"/>
            <w:bottom w:val="none" w:sz="0" w:space="0" w:color="auto"/>
            <w:right w:val="none" w:sz="0" w:space="0" w:color="auto"/>
          </w:divBdr>
          <w:divsChild>
            <w:div w:id="126360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7928289">
      <w:bodyDiv w:val="1"/>
      <w:marLeft w:val="0"/>
      <w:marRight w:val="0"/>
      <w:marTop w:val="0"/>
      <w:marBottom w:val="0"/>
      <w:divBdr>
        <w:top w:val="none" w:sz="0" w:space="0" w:color="auto"/>
        <w:left w:val="none" w:sz="0" w:space="0" w:color="auto"/>
        <w:bottom w:val="none" w:sz="0" w:space="0" w:color="auto"/>
        <w:right w:val="none" w:sz="0" w:space="0" w:color="auto"/>
      </w:divBdr>
    </w:div>
    <w:div w:id="1339384718">
      <w:bodyDiv w:val="1"/>
      <w:marLeft w:val="0"/>
      <w:marRight w:val="0"/>
      <w:marTop w:val="0"/>
      <w:marBottom w:val="0"/>
      <w:divBdr>
        <w:top w:val="none" w:sz="0" w:space="0" w:color="auto"/>
        <w:left w:val="none" w:sz="0" w:space="0" w:color="auto"/>
        <w:bottom w:val="none" w:sz="0" w:space="0" w:color="auto"/>
        <w:right w:val="none" w:sz="0" w:space="0" w:color="auto"/>
      </w:divBdr>
    </w:div>
    <w:div w:id="1434327077">
      <w:bodyDiv w:val="1"/>
      <w:marLeft w:val="0"/>
      <w:marRight w:val="0"/>
      <w:marTop w:val="0"/>
      <w:marBottom w:val="0"/>
      <w:divBdr>
        <w:top w:val="none" w:sz="0" w:space="0" w:color="auto"/>
        <w:left w:val="none" w:sz="0" w:space="0" w:color="auto"/>
        <w:bottom w:val="none" w:sz="0" w:space="0" w:color="auto"/>
        <w:right w:val="none" w:sz="0" w:space="0" w:color="auto"/>
      </w:divBdr>
    </w:div>
    <w:div w:id="1483502703">
      <w:bodyDiv w:val="1"/>
      <w:marLeft w:val="0"/>
      <w:marRight w:val="0"/>
      <w:marTop w:val="0"/>
      <w:marBottom w:val="0"/>
      <w:divBdr>
        <w:top w:val="none" w:sz="0" w:space="0" w:color="auto"/>
        <w:left w:val="none" w:sz="0" w:space="0" w:color="auto"/>
        <w:bottom w:val="none" w:sz="0" w:space="0" w:color="auto"/>
        <w:right w:val="none" w:sz="0" w:space="0" w:color="auto"/>
      </w:divBdr>
    </w:div>
    <w:div w:id="1508908079">
      <w:bodyDiv w:val="1"/>
      <w:marLeft w:val="0"/>
      <w:marRight w:val="0"/>
      <w:marTop w:val="0"/>
      <w:marBottom w:val="0"/>
      <w:divBdr>
        <w:top w:val="none" w:sz="0" w:space="0" w:color="auto"/>
        <w:left w:val="none" w:sz="0" w:space="0" w:color="auto"/>
        <w:bottom w:val="none" w:sz="0" w:space="0" w:color="auto"/>
        <w:right w:val="none" w:sz="0" w:space="0" w:color="auto"/>
      </w:divBdr>
    </w:div>
    <w:div w:id="1693065939">
      <w:bodyDiv w:val="1"/>
      <w:marLeft w:val="0"/>
      <w:marRight w:val="0"/>
      <w:marTop w:val="0"/>
      <w:marBottom w:val="0"/>
      <w:divBdr>
        <w:top w:val="none" w:sz="0" w:space="0" w:color="auto"/>
        <w:left w:val="none" w:sz="0" w:space="0" w:color="auto"/>
        <w:bottom w:val="none" w:sz="0" w:space="0" w:color="auto"/>
        <w:right w:val="none" w:sz="0" w:space="0" w:color="auto"/>
      </w:divBdr>
      <w:divsChild>
        <w:div w:id="2097593">
          <w:marLeft w:val="0"/>
          <w:marRight w:val="0"/>
          <w:marTop w:val="0"/>
          <w:marBottom w:val="0"/>
          <w:divBdr>
            <w:top w:val="none" w:sz="0" w:space="0" w:color="auto"/>
            <w:left w:val="none" w:sz="0" w:space="0" w:color="auto"/>
            <w:bottom w:val="none" w:sz="0" w:space="0" w:color="auto"/>
            <w:right w:val="none" w:sz="0" w:space="0" w:color="auto"/>
          </w:divBdr>
        </w:div>
        <w:div w:id="146628534">
          <w:marLeft w:val="0"/>
          <w:marRight w:val="0"/>
          <w:marTop w:val="0"/>
          <w:marBottom w:val="0"/>
          <w:divBdr>
            <w:top w:val="none" w:sz="0" w:space="0" w:color="auto"/>
            <w:left w:val="none" w:sz="0" w:space="0" w:color="auto"/>
            <w:bottom w:val="none" w:sz="0" w:space="0" w:color="auto"/>
            <w:right w:val="none" w:sz="0" w:space="0" w:color="auto"/>
          </w:divBdr>
        </w:div>
        <w:div w:id="160045865">
          <w:marLeft w:val="0"/>
          <w:marRight w:val="0"/>
          <w:marTop w:val="0"/>
          <w:marBottom w:val="0"/>
          <w:divBdr>
            <w:top w:val="none" w:sz="0" w:space="0" w:color="auto"/>
            <w:left w:val="none" w:sz="0" w:space="0" w:color="auto"/>
            <w:bottom w:val="none" w:sz="0" w:space="0" w:color="auto"/>
            <w:right w:val="none" w:sz="0" w:space="0" w:color="auto"/>
          </w:divBdr>
        </w:div>
        <w:div w:id="256715711">
          <w:marLeft w:val="0"/>
          <w:marRight w:val="0"/>
          <w:marTop w:val="0"/>
          <w:marBottom w:val="0"/>
          <w:divBdr>
            <w:top w:val="none" w:sz="0" w:space="0" w:color="auto"/>
            <w:left w:val="none" w:sz="0" w:space="0" w:color="auto"/>
            <w:bottom w:val="none" w:sz="0" w:space="0" w:color="auto"/>
            <w:right w:val="none" w:sz="0" w:space="0" w:color="auto"/>
          </w:divBdr>
        </w:div>
        <w:div w:id="349919249">
          <w:marLeft w:val="0"/>
          <w:marRight w:val="0"/>
          <w:marTop w:val="0"/>
          <w:marBottom w:val="0"/>
          <w:divBdr>
            <w:top w:val="none" w:sz="0" w:space="0" w:color="auto"/>
            <w:left w:val="none" w:sz="0" w:space="0" w:color="auto"/>
            <w:bottom w:val="none" w:sz="0" w:space="0" w:color="auto"/>
            <w:right w:val="none" w:sz="0" w:space="0" w:color="auto"/>
          </w:divBdr>
        </w:div>
        <w:div w:id="520048729">
          <w:marLeft w:val="0"/>
          <w:marRight w:val="0"/>
          <w:marTop w:val="0"/>
          <w:marBottom w:val="0"/>
          <w:divBdr>
            <w:top w:val="none" w:sz="0" w:space="0" w:color="auto"/>
            <w:left w:val="none" w:sz="0" w:space="0" w:color="auto"/>
            <w:bottom w:val="none" w:sz="0" w:space="0" w:color="auto"/>
            <w:right w:val="none" w:sz="0" w:space="0" w:color="auto"/>
          </w:divBdr>
        </w:div>
        <w:div w:id="539434609">
          <w:marLeft w:val="0"/>
          <w:marRight w:val="0"/>
          <w:marTop w:val="0"/>
          <w:marBottom w:val="0"/>
          <w:divBdr>
            <w:top w:val="none" w:sz="0" w:space="0" w:color="auto"/>
            <w:left w:val="none" w:sz="0" w:space="0" w:color="auto"/>
            <w:bottom w:val="none" w:sz="0" w:space="0" w:color="auto"/>
            <w:right w:val="none" w:sz="0" w:space="0" w:color="auto"/>
          </w:divBdr>
        </w:div>
        <w:div w:id="682362746">
          <w:marLeft w:val="0"/>
          <w:marRight w:val="0"/>
          <w:marTop w:val="0"/>
          <w:marBottom w:val="0"/>
          <w:divBdr>
            <w:top w:val="none" w:sz="0" w:space="0" w:color="auto"/>
            <w:left w:val="none" w:sz="0" w:space="0" w:color="auto"/>
            <w:bottom w:val="none" w:sz="0" w:space="0" w:color="auto"/>
            <w:right w:val="none" w:sz="0" w:space="0" w:color="auto"/>
          </w:divBdr>
        </w:div>
        <w:div w:id="845830877">
          <w:marLeft w:val="0"/>
          <w:marRight w:val="0"/>
          <w:marTop w:val="0"/>
          <w:marBottom w:val="0"/>
          <w:divBdr>
            <w:top w:val="none" w:sz="0" w:space="0" w:color="auto"/>
            <w:left w:val="none" w:sz="0" w:space="0" w:color="auto"/>
            <w:bottom w:val="none" w:sz="0" w:space="0" w:color="auto"/>
            <w:right w:val="none" w:sz="0" w:space="0" w:color="auto"/>
          </w:divBdr>
        </w:div>
        <w:div w:id="1318873930">
          <w:marLeft w:val="0"/>
          <w:marRight w:val="0"/>
          <w:marTop w:val="0"/>
          <w:marBottom w:val="0"/>
          <w:divBdr>
            <w:top w:val="none" w:sz="0" w:space="0" w:color="auto"/>
            <w:left w:val="none" w:sz="0" w:space="0" w:color="auto"/>
            <w:bottom w:val="none" w:sz="0" w:space="0" w:color="auto"/>
            <w:right w:val="none" w:sz="0" w:space="0" w:color="auto"/>
          </w:divBdr>
        </w:div>
        <w:div w:id="1460762676">
          <w:marLeft w:val="0"/>
          <w:marRight w:val="0"/>
          <w:marTop w:val="0"/>
          <w:marBottom w:val="0"/>
          <w:divBdr>
            <w:top w:val="none" w:sz="0" w:space="0" w:color="auto"/>
            <w:left w:val="none" w:sz="0" w:space="0" w:color="auto"/>
            <w:bottom w:val="none" w:sz="0" w:space="0" w:color="auto"/>
            <w:right w:val="none" w:sz="0" w:space="0" w:color="auto"/>
          </w:divBdr>
        </w:div>
        <w:div w:id="1606035944">
          <w:marLeft w:val="0"/>
          <w:marRight w:val="0"/>
          <w:marTop w:val="0"/>
          <w:marBottom w:val="0"/>
          <w:divBdr>
            <w:top w:val="none" w:sz="0" w:space="0" w:color="auto"/>
            <w:left w:val="none" w:sz="0" w:space="0" w:color="auto"/>
            <w:bottom w:val="none" w:sz="0" w:space="0" w:color="auto"/>
            <w:right w:val="none" w:sz="0" w:space="0" w:color="auto"/>
          </w:divBdr>
        </w:div>
        <w:div w:id="1669672004">
          <w:marLeft w:val="0"/>
          <w:marRight w:val="0"/>
          <w:marTop w:val="0"/>
          <w:marBottom w:val="0"/>
          <w:divBdr>
            <w:top w:val="none" w:sz="0" w:space="0" w:color="auto"/>
            <w:left w:val="none" w:sz="0" w:space="0" w:color="auto"/>
            <w:bottom w:val="none" w:sz="0" w:space="0" w:color="auto"/>
            <w:right w:val="none" w:sz="0" w:space="0" w:color="auto"/>
          </w:divBdr>
        </w:div>
      </w:divsChild>
    </w:div>
    <w:div w:id="1747261262">
      <w:bodyDiv w:val="1"/>
      <w:marLeft w:val="0"/>
      <w:marRight w:val="0"/>
      <w:marTop w:val="0"/>
      <w:marBottom w:val="0"/>
      <w:divBdr>
        <w:top w:val="none" w:sz="0" w:space="0" w:color="auto"/>
        <w:left w:val="none" w:sz="0" w:space="0" w:color="auto"/>
        <w:bottom w:val="none" w:sz="0" w:space="0" w:color="auto"/>
        <w:right w:val="none" w:sz="0" w:space="0" w:color="auto"/>
      </w:divBdr>
      <w:divsChild>
        <w:div w:id="13500860">
          <w:marLeft w:val="0"/>
          <w:marRight w:val="0"/>
          <w:marTop w:val="0"/>
          <w:marBottom w:val="0"/>
          <w:divBdr>
            <w:top w:val="none" w:sz="0" w:space="0" w:color="auto"/>
            <w:left w:val="none" w:sz="0" w:space="0" w:color="auto"/>
            <w:bottom w:val="none" w:sz="0" w:space="0" w:color="auto"/>
            <w:right w:val="none" w:sz="0" w:space="0" w:color="auto"/>
          </w:divBdr>
        </w:div>
        <w:div w:id="49574206">
          <w:marLeft w:val="0"/>
          <w:marRight w:val="0"/>
          <w:marTop w:val="0"/>
          <w:marBottom w:val="0"/>
          <w:divBdr>
            <w:top w:val="none" w:sz="0" w:space="0" w:color="auto"/>
            <w:left w:val="none" w:sz="0" w:space="0" w:color="auto"/>
            <w:bottom w:val="none" w:sz="0" w:space="0" w:color="auto"/>
            <w:right w:val="none" w:sz="0" w:space="0" w:color="auto"/>
          </w:divBdr>
        </w:div>
        <w:div w:id="78259739">
          <w:marLeft w:val="0"/>
          <w:marRight w:val="0"/>
          <w:marTop w:val="0"/>
          <w:marBottom w:val="0"/>
          <w:divBdr>
            <w:top w:val="none" w:sz="0" w:space="0" w:color="auto"/>
            <w:left w:val="none" w:sz="0" w:space="0" w:color="auto"/>
            <w:bottom w:val="none" w:sz="0" w:space="0" w:color="auto"/>
            <w:right w:val="none" w:sz="0" w:space="0" w:color="auto"/>
          </w:divBdr>
        </w:div>
        <w:div w:id="145634229">
          <w:marLeft w:val="0"/>
          <w:marRight w:val="0"/>
          <w:marTop w:val="0"/>
          <w:marBottom w:val="0"/>
          <w:divBdr>
            <w:top w:val="none" w:sz="0" w:space="0" w:color="auto"/>
            <w:left w:val="none" w:sz="0" w:space="0" w:color="auto"/>
            <w:bottom w:val="none" w:sz="0" w:space="0" w:color="auto"/>
            <w:right w:val="none" w:sz="0" w:space="0" w:color="auto"/>
          </w:divBdr>
        </w:div>
        <w:div w:id="229459572">
          <w:marLeft w:val="0"/>
          <w:marRight w:val="0"/>
          <w:marTop w:val="0"/>
          <w:marBottom w:val="0"/>
          <w:divBdr>
            <w:top w:val="none" w:sz="0" w:space="0" w:color="auto"/>
            <w:left w:val="none" w:sz="0" w:space="0" w:color="auto"/>
            <w:bottom w:val="none" w:sz="0" w:space="0" w:color="auto"/>
            <w:right w:val="none" w:sz="0" w:space="0" w:color="auto"/>
          </w:divBdr>
        </w:div>
        <w:div w:id="272329329">
          <w:marLeft w:val="0"/>
          <w:marRight w:val="0"/>
          <w:marTop w:val="0"/>
          <w:marBottom w:val="0"/>
          <w:divBdr>
            <w:top w:val="none" w:sz="0" w:space="0" w:color="auto"/>
            <w:left w:val="none" w:sz="0" w:space="0" w:color="auto"/>
            <w:bottom w:val="none" w:sz="0" w:space="0" w:color="auto"/>
            <w:right w:val="none" w:sz="0" w:space="0" w:color="auto"/>
          </w:divBdr>
        </w:div>
        <w:div w:id="303706447">
          <w:marLeft w:val="0"/>
          <w:marRight w:val="0"/>
          <w:marTop w:val="0"/>
          <w:marBottom w:val="0"/>
          <w:divBdr>
            <w:top w:val="none" w:sz="0" w:space="0" w:color="auto"/>
            <w:left w:val="none" w:sz="0" w:space="0" w:color="auto"/>
            <w:bottom w:val="none" w:sz="0" w:space="0" w:color="auto"/>
            <w:right w:val="none" w:sz="0" w:space="0" w:color="auto"/>
          </w:divBdr>
        </w:div>
        <w:div w:id="349525094">
          <w:marLeft w:val="0"/>
          <w:marRight w:val="0"/>
          <w:marTop w:val="0"/>
          <w:marBottom w:val="0"/>
          <w:divBdr>
            <w:top w:val="none" w:sz="0" w:space="0" w:color="auto"/>
            <w:left w:val="none" w:sz="0" w:space="0" w:color="auto"/>
            <w:bottom w:val="none" w:sz="0" w:space="0" w:color="auto"/>
            <w:right w:val="none" w:sz="0" w:space="0" w:color="auto"/>
          </w:divBdr>
        </w:div>
        <w:div w:id="354578472">
          <w:marLeft w:val="0"/>
          <w:marRight w:val="0"/>
          <w:marTop w:val="0"/>
          <w:marBottom w:val="0"/>
          <w:divBdr>
            <w:top w:val="none" w:sz="0" w:space="0" w:color="auto"/>
            <w:left w:val="none" w:sz="0" w:space="0" w:color="auto"/>
            <w:bottom w:val="none" w:sz="0" w:space="0" w:color="auto"/>
            <w:right w:val="none" w:sz="0" w:space="0" w:color="auto"/>
          </w:divBdr>
        </w:div>
        <w:div w:id="494995212">
          <w:marLeft w:val="0"/>
          <w:marRight w:val="0"/>
          <w:marTop w:val="0"/>
          <w:marBottom w:val="0"/>
          <w:divBdr>
            <w:top w:val="none" w:sz="0" w:space="0" w:color="auto"/>
            <w:left w:val="none" w:sz="0" w:space="0" w:color="auto"/>
            <w:bottom w:val="none" w:sz="0" w:space="0" w:color="auto"/>
            <w:right w:val="none" w:sz="0" w:space="0" w:color="auto"/>
          </w:divBdr>
        </w:div>
        <w:div w:id="545218982">
          <w:marLeft w:val="0"/>
          <w:marRight w:val="0"/>
          <w:marTop w:val="0"/>
          <w:marBottom w:val="0"/>
          <w:divBdr>
            <w:top w:val="none" w:sz="0" w:space="0" w:color="auto"/>
            <w:left w:val="none" w:sz="0" w:space="0" w:color="auto"/>
            <w:bottom w:val="none" w:sz="0" w:space="0" w:color="auto"/>
            <w:right w:val="none" w:sz="0" w:space="0" w:color="auto"/>
          </w:divBdr>
        </w:div>
        <w:div w:id="588543595">
          <w:marLeft w:val="0"/>
          <w:marRight w:val="0"/>
          <w:marTop w:val="0"/>
          <w:marBottom w:val="0"/>
          <w:divBdr>
            <w:top w:val="none" w:sz="0" w:space="0" w:color="auto"/>
            <w:left w:val="none" w:sz="0" w:space="0" w:color="auto"/>
            <w:bottom w:val="none" w:sz="0" w:space="0" w:color="auto"/>
            <w:right w:val="none" w:sz="0" w:space="0" w:color="auto"/>
          </w:divBdr>
        </w:div>
        <w:div w:id="597641998">
          <w:marLeft w:val="0"/>
          <w:marRight w:val="0"/>
          <w:marTop w:val="0"/>
          <w:marBottom w:val="0"/>
          <w:divBdr>
            <w:top w:val="none" w:sz="0" w:space="0" w:color="auto"/>
            <w:left w:val="none" w:sz="0" w:space="0" w:color="auto"/>
            <w:bottom w:val="none" w:sz="0" w:space="0" w:color="auto"/>
            <w:right w:val="none" w:sz="0" w:space="0" w:color="auto"/>
          </w:divBdr>
        </w:div>
        <w:div w:id="763915352">
          <w:marLeft w:val="0"/>
          <w:marRight w:val="0"/>
          <w:marTop w:val="0"/>
          <w:marBottom w:val="0"/>
          <w:divBdr>
            <w:top w:val="none" w:sz="0" w:space="0" w:color="auto"/>
            <w:left w:val="none" w:sz="0" w:space="0" w:color="auto"/>
            <w:bottom w:val="none" w:sz="0" w:space="0" w:color="auto"/>
            <w:right w:val="none" w:sz="0" w:space="0" w:color="auto"/>
          </w:divBdr>
        </w:div>
        <w:div w:id="787162760">
          <w:marLeft w:val="0"/>
          <w:marRight w:val="0"/>
          <w:marTop w:val="0"/>
          <w:marBottom w:val="0"/>
          <w:divBdr>
            <w:top w:val="none" w:sz="0" w:space="0" w:color="auto"/>
            <w:left w:val="none" w:sz="0" w:space="0" w:color="auto"/>
            <w:bottom w:val="none" w:sz="0" w:space="0" w:color="auto"/>
            <w:right w:val="none" w:sz="0" w:space="0" w:color="auto"/>
          </w:divBdr>
        </w:div>
        <w:div w:id="884028267">
          <w:marLeft w:val="0"/>
          <w:marRight w:val="0"/>
          <w:marTop w:val="0"/>
          <w:marBottom w:val="0"/>
          <w:divBdr>
            <w:top w:val="none" w:sz="0" w:space="0" w:color="auto"/>
            <w:left w:val="none" w:sz="0" w:space="0" w:color="auto"/>
            <w:bottom w:val="none" w:sz="0" w:space="0" w:color="auto"/>
            <w:right w:val="none" w:sz="0" w:space="0" w:color="auto"/>
          </w:divBdr>
        </w:div>
        <w:div w:id="892353637">
          <w:marLeft w:val="0"/>
          <w:marRight w:val="0"/>
          <w:marTop w:val="0"/>
          <w:marBottom w:val="0"/>
          <w:divBdr>
            <w:top w:val="none" w:sz="0" w:space="0" w:color="auto"/>
            <w:left w:val="none" w:sz="0" w:space="0" w:color="auto"/>
            <w:bottom w:val="none" w:sz="0" w:space="0" w:color="auto"/>
            <w:right w:val="none" w:sz="0" w:space="0" w:color="auto"/>
          </w:divBdr>
        </w:div>
        <w:div w:id="1086460142">
          <w:marLeft w:val="0"/>
          <w:marRight w:val="0"/>
          <w:marTop w:val="0"/>
          <w:marBottom w:val="0"/>
          <w:divBdr>
            <w:top w:val="none" w:sz="0" w:space="0" w:color="auto"/>
            <w:left w:val="none" w:sz="0" w:space="0" w:color="auto"/>
            <w:bottom w:val="none" w:sz="0" w:space="0" w:color="auto"/>
            <w:right w:val="none" w:sz="0" w:space="0" w:color="auto"/>
          </w:divBdr>
        </w:div>
        <w:div w:id="1090152506">
          <w:marLeft w:val="0"/>
          <w:marRight w:val="0"/>
          <w:marTop w:val="0"/>
          <w:marBottom w:val="0"/>
          <w:divBdr>
            <w:top w:val="none" w:sz="0" w:space="0" w:color="auto"/>
            <w:left w:val="none" w:sz="0" w:space="0" w:color="auto"/>
            <w:bottom w:val="none" w:sz="0" w:space="0" w:color="auto"/>
            <w:right w:val="none" w:sz="0" w:space="0" w:color="auto"/>
          </w:divBdr>
        </w:div>
        <w:div w:id="1218274494">
          <w:marLeft w:val="0"/>
          <w:marRight w:val="0"/>
          <w:marTop w:val="0"/>
          <w:marBottom w:val="0"/>
          <w:divBdr>
            <w:top w:val="none" w:sz="0" w:space="0" w:color="auto"/>
            <w:left w:val="none" w:sz="0" w:space="0" w:color="auto"/>
            <w:bottom w:val="none" w:sz="0" w:space="0" w:color="auto"/>
            <w:right w:val="none" w:sz="0" w:space="0" w:color="auto"/>
          </w:divBdr>
        </w:div>
        <w:div w:id="1355420726">
          <w:marLeft w:val="0"/>
          <w:marRight w:val="0"/>
          <w:marTop w:val="0"/>
          <w:marBottom w:val="0"/>
          <w:divBdr>
            <w:top w:val="none" w:sz="0" w:space="0" w:color="auto"/>
            <w:left w:val="none" w:sz="0" w:space="0" w:color="auto"/>
            <w:bottom w:val="none" w:sz="0" w:space="0" w:color="auto"/>
            <w:right w:val="none" w:sz="0" w:space="0" w:color="auto"/>
          </w:divBdr>
        </w:div>
        <w:div w:id="1696610648">
          <w:marLeft w:val="0"/>
          <w:marRight w:val="0"/>
          <w:marTop w:val="0"/>
          <w:marBottom w:val="0"/>
          <w:divBdr>
            <w:top w:val="none" w:sz="0" w:space="0" w:color="auto"/>
            <w:left w:val="none" w:sz="0" w:space="0" w:color="auto"/>
            <w:bottom w:val="none" w:sz="0" w:space="0" w:color="auto"/>
            <w:right w:val="none" w:sz="0" w:space="0" w:color="auto"/>
          </w:divBdr>
        </w:div>
        <w:div w:id="1721172266">
          <w:marLeft w:val="0"/>
          <w:marRight w:val="0"/>
          <w:marTop w:val="0"/>
          <w:marBottom w:val="0"/>
          <w:divBdr>
            <w:top w:val="none" w:sz="0" w:space="0" w:color="auto"/>
            <w:left w:val="none" w:sz="0" w:space="0" w:color="auto"/>
            <w:bottom w:val="none" w:sz="0" w:space="0" w:color="auto"/>
            <w:right w:val="none" w:sz="0" w:space="0" w:color="auto"/>
          </w:divBdr>
        </w:div>
        <w:div w:id="1775633271">
          <w:marLeft w:val="0"/>
          <w:marRight w:val="0"/>
          <w:marTop w:val="0"/>
          <w:marBottom w:val="0"/>
          <w:divBdr>
            <w:top w:val="none" w:sz="0" w:space="0" w:color="auto"/>
            <w:left w:val="none" w:sz="0" w:space="0" w:color="auto"/>
            <w:bottom w:val="none" w:sz="0" w:space="0" w:color="auto"/>
            <w:right w:val="none" w:sz="0" w:space="0" w:color="auto"/>
          </w:divBdr>
        </w:div>
        <w:div w:id="1789080242">
          <w:marLeft w:val="0"/>
          <w:marRight w:val="0"/>
          <w:marTop w:val="0"/>
          <w:marBottom w:val="0"/>
          <w:divBdr>
            <w:top w:val="none" w:sz="0" w:space="0" w:color="auto"/>
            <w:left w:val="none" w:sz="0" w:space="0" w:color="auto"/>
            <w:bottom w:val="none" w:sz="0" w:space="0" w:color="auto"/>
            <w:right w:val="none" w:sz="0" w:space="0" w:color="auto"/>
          </w:divBdr>
        </w:div>
        <w:div w:id="1791777834">
          <w:marLeft w:val="0"/>
          <w:marRight w:val="0"/>
          <w:marTop w:val="0"/>
          <w:marBottom w:val="0"/>
          <w:divBdr>
            <w:top w:val="none" w:sz="0" w:space="0" w:color="auto"/>
            <w:left w:val="none" w:sz="0" w:space="0" w:color="auto"/>
            <w:bottom w:val="none" w:sz="0" w:space="0" w:color="auto"/>
            <w:right w:val="none" w:sz="0" w:space="0" w:color="auto"/>
          </w:divBdr>
        </w:div>
        <w:div w:id="1807816518">
          <w:marLeft w:val="0"/>
          <w:marRight w:val="0"/>
          <w:marTop w:val="0"/>
          <w:marBottom w:val="0"/>
          <w:divBdr>
            <w:top w:val="none" w:sz="0" w:space="0" w:color="auto"/>
            <w:left w:val="none" w:sz="0" w:space="0" w:color="auto"/>
            <w:bottom w:val="none" w:sz="0" w:space="0" w:color="auto"/>
            <w:right w:val="none" w:sz="0" w:space="0" w:color="auto"/>
          </w:divBdr>
        </w:div>
        <w:div w:id="1822693755">
          <w:marLeft w:val="0"/>
          <w:marRight w:val="0"/>
          <w:marTop w:val="0"/>
          <w:marBottom w:val="0"/>
          <w:divBdr>
            <w:top w:val="none" w:sz="0" w:space="0" w:color="auto"/>
            <w:left w:val="none" w:sz="0" w:space="0" w:color="auto"/>
            <w:bottom w:val="none" w:sz="0" w:space="0" w:color="auto"/>
            <w:right w:val="none" w:sz="0" w:space="0" w:color="auto"/>
          </w:divBdr>
        </w:div>
        <w:div w:id="1844473334">
          <w:marLeft w:val="0"/>
          <w:marRight w:val="0"/>
          <w:marTop w:val="0"/>
          <w:marBottom w:val="0"/>
          <w:divBdr>
            <w:top w:val="none" w:sz="0" w:space="0" w:color="auto"/>
            <w:left w:val="none" w:sz="0" w:space="0" w:color="auto"/>
            <w:bottom w:val="none" w:sz="0" w:space="0" w:color="auto"/>
            <w:right w:val="none" w:sz="0" w:space="0" w:color="auto"/>
          </w:divBdr>
        </w:div>
        <w:div w:id="1985236946">
          <w:marLeft w:val="0"/>
          <w:marRight w:val="0"/>
          <w:marTop w:val="0"/>
          <w:marBottom w:val="0"/>
          <w:divBdr>
            <w:top w:val="none" w:sz="0" w:space="0" w:color="auto"/>
            <w:left w:val="none" w:sz="0" w:space="0" w:color="auto"/>
            <w:bottom w:val="none" w:sz="0" w:space="0" w:color="auto"/>
            <w:right w:val="none" w:sz="0" w:space="0" w:color="auto"/>
          </w:divBdr>
        </w:div>
        <w:div w:id="2000503712">
          <w:marLeft w:val="0"/>
          <w:marRight w:val="0"/>
          <w:marTop w:val="0"/>
          <w:marBottom w:val="0"/>
          <w:divBdr>
            <w:top w:val="none" w:sz="0" w:space="0" w:color="auto"/>
            <w:left w:val="none" w:sz="0" w:space="0" w:color="auto"/>
            <w:bottom w:val="none" w:sz="0" w:space="0" w:color="auto"/>
            <w:right w:val="none" w:sz="0" w:space="0" w:color="auto"/>
          </w:divBdr>
        </w:div>
        <w:div w:id="2014799445">
          <w:marLeft w:val="0"/>
          <w:marRight w:val="0"/>
          <w:marTop w:val="0"/>
          <w:marBottom w:val="0"/>
          <w:divBdr>
            <w:top w:val="none" w:sz="0" w:space="0" w:color="auto"/>
            <w:left w:val="none" w:sz="0" w:space="0" w:color="auto"/>
            <w:bottom w:val="none" w:sz="0" w:space="0" w:color="auto"/>
            <w:right w:val="none" w:sz="0" w:space="0" w:color="auto"/>
          </w:divBdr>
        </w:div>
        <w:div w:id="2061055658">
          <w:marLeft w:val="0"/>
          <w:marRight w:val="0"/>
          <w:marTop w:val="0"/>
          <w:marBottom w:val="0"/>
          <w:divBdr>
            <w:top w:val="none" w:sz="0" w:space="0" w:color="auto"/>
            <w:left w:val="none" w:sz="0" w:space="0" w:color="auto"/>
            <w:bottom w:val="none" w:sz="0" w:space="0" w:color="auto"/>
            <w:right w:val="none" w:sz="0" w:space="0" w:color="auto"/>
          </w:divBdr>
        </w:div>
        <w:div w:id="2086806049">
          <w:marLeft w:val="0"/>
          <w:marRight w:val="0"/>
          <w:marTop w:val="0"/>
          <w:marBottom w:val="0"/>
          <w:divBdr>
            <w:top w:val="none" w:sz="0" w:space="0" w:color="auto"/>
            <w:left w:val="none" w:sz="0" w:space="0" w:color="auto"/>
            <w:bottom w:val="none" w:sz="0" w:space="0" w:color="auto"/>
            <w:right w:val="none" w:sz="0" w:space="0" w:color="auto"/>
          </w:divBdr>
        </w:div>
      </w:divsChild>
    </w:div>
    <w:div w:id="1864855135">
      <w:bodyDiv w:val="1"/>
      <w:marLeft w:val="0"/>
      <w:marRight w:val="0"/>
      <w:marTop w:val="0"/>
      <w:marBottom w:val="0"/>
      <w:divBdr>
        <w:top w:val="none" w:sz="0" w:space="0" w:color="auto"/>
        <w:left w:val="none" w:sz="0" w:space="0" w:color="auto"/>
        <w:bottom w:val="none" w:sz="0" w:space="0" w:color="auto"/>
        <w:right w:val="none" w:sz="0" w:space="0" w:color="auto"/>
      </w:divBdr>
      <w:divsChild>
        <w:div w:id="596789496">
          <w:marLeft w:val="0"/>
          <w:marRight w:val="0"/>
          <w:marTop w:val="0"/>
          <w:marBottom w:val="0"/>
          <w:divBdr>
            <w:top w:val="none" w:sz="0" w:space="0" w:color="auto"/>
            <w:left w:val="none" w:sz="0" w:space="0" w:color="auto"/>
            <w:bottom w:val="none" w:sz="0" w:space="0" w:color="auto"/>
            <w:right w:val="none" w:sz="0" w:space="0" w:color="auto"/>
          </w:divBdr>
        </w:div>
        <w:div w:id="1472016340">
          <w:marLeft w:val="0"/>
          <w:marRight w:val="0"/>
          <w:marTop w:val="0"/>
          <w:marBottom w:val="0"/>
          <w:divBdr>
            <w:top w:val="none" w:sz="0" w:space="0" w:color="auto"/>
            <w:left w:val="none" w:sz="0" w:space="0" w:color="auto"/>
            <w:bottom w:val="none" w:sz="0" w:space="0" w:color="auto"/>
            <w:right w:val="none" w:sz="0" w:space="0" w:color="auto"/>
          </w:divBdr>
        </w:div>
        <w:div w:id="1578251223">
          <w:marLeft w:val="0"/>
          <w:marRight w:val="0"/>
          <w:marTop w:val="0"/>
          <w:marBottom w:val="0"/>
          <w:divBdr>
            <w:top w:val="none" w:sz="0" w:space="0" w:color="auto"/>
            <w:left w:val="none" w:sz="0" w:space="0" w:color="auto"/>
            <w:bottom w:val="none" w:sz="0" w:space="0" w:color="auto"/>
            <w:right w:val="none" w:sz="0" w:space="0" w:color="auto"/>
          </w:divBdr>
        </w:div>
        <w:div w:id="1657764505">
          <w:marLeft w:val="0"/>
          <w:marRight w:val="0"/>
          <w:marTop w:val="0"/>
          <w:marBottom w:val="0"/>
          <w:divBdr>
            <w:top w:val="none" w:sz="0" w:space="0" w:color="auto"/>
            <w:left w:val="none" w:sz="0" w:space="0" w:color="auto"/>
            <w:bottom w:val="none" w:sz="0" w:space="0" w:color="auto"/>
            <w:right w:val="none" w:sz="0" w:space="0" w:color="auto"/>
          </w:divBdr>
        </w:div>
        <w:div w:id="1684167587">
          <w:marLeft w:val="0"/>
          <w:marRight w:val="0"/>
          <w:marTop w:val="0"/>
          <w:marBottom w:val="0"/>
          <w:divBdr>
            <w:top w:val="none" w:sz="0" w:space="0" w:color="auto"/>
            <w:left w:val="none" w:sz="0" w:space="0" w:color="auto"/>
            <w:bottom w:val="none" w:sz="0" w:space="0" w:color="auto"/>
            <w:right w:val="none" w:sz="0" w:space="0" w:color="auto"/>
          </w:divBdr>
        </w:div>
        <w:div w:id="1770345630">
          <w:marLeft w:val="0"/>
          <w:marRight w:val="0"/>
          <w:marTop w:val="0"/>
          <w:marBottom w:val="0"/>
          <w:divBdr>
            <w:top w:val="none" w:sz="0" w:space="0" w:color="auto"/>
            <w:left w:val="none" w:sz="0" w:space="0" w:color="auto"/>
            <w:bottom w:val="none" w:sz="0" w:space="0" w:color="auto"/>
            <w:right w:val="none" w:sz="0" w:space="0" w:color="auto"/>
          </w:divBdr>
        </w:div>
        <w:div w:id="1907184288">
          <w:marLeft w:val="0"/>
          <w:marRight w:val="0"/>
          <w:marTop w:val="0"/>
          <w:marBottom w:val="0"/>
          <w:divBdr>
            <w:top w:val="none" w:sz="0" w:space="0" w:color="auto"/>
            <w:left w:val="none" w:sz="0" w:space="0" w:color="auto"/>
            <w:bottom w:val="none" w:sz="0" w:space="0" w:color="auto"/>
            <w:right w:val="none" w:sz="0" w:space="0" w:color="auto"/>
          </w:divBdr>
        </w:div>
        <w:div w:id="2043430726">
          <w:marLeft w:val="0"/>
          <w:marRight w:val="0"/>
          <w:marTop w:val="0"/>
          <w:marBottom w:val="0"/>
          <w:divBdr>
            <w:top w:val="none" w:sz="0" w:space="0" w:color="auto"/>
            <w:left w:val="none" w:sz="0" w:space="0" w:color="auto"/>
            <w:bottom w:val="none" w:sz="0" w:space="0" w:color="auto"/>
            <w:right w:val="none" w:sz="0" w:space="0" w:color="auto"/>
          </w:divBdr>
        </w:div>
      </w:divsChild>
    </w:div>
    <w:div w:id="1889223648">
      <w:bodyDiv w:val="1"/>
      <w:marLeft w:val="0"/>
      <w:marRight w:val="0"/>
      <w:marTop w:val="0"/>
      <w:marBottom w:val="0"/>
      <w:divBdr>
        <w:top w:val="none" w:sz="0" w:space="0" w:color="auto"/>
        <w:left w:val="none" w:sz="0" w:space="0" w:color="auto"/>
        <w:bottom w:val="none" w:sz="0" w:space="0" w:color="auto"/>
        <w:right w:val="none" w:sz="0" w:space="0" w:color="auto"/>
      </w:divBdr>
    </w:div>
    <w:div w:id="1906407514">
      <w:bodyDiv w:val="1"/>
      <w:marLeft w:val="0"/>
      <w:marRight w:val="0"/>
      <w:marTop w:val="0"/>
      <w:marBottom w:val="0"/>
      <w:divBdr>
        <w:top w:val="none" w:sz="0" w:space="0" w:color="auto"/>
        <w:left w:val="none" w:sz="0" w:space="0" w:color="auto"/>
        <w:bottom w:val="none" w:sz="0" w:space="0" w:color="auto"/>
        <w:right w:val="none" w:sz="0" w:space="0" w:color="auto"/>
      </w:divBdr>
    </w:div>
    <w:div w:id="1916624879">
      <w:bodyDiv w:val="1"/>
      <w:marLeft w:val="0"/>
      <w:marRight w:val="0"/>
      <w:marTop w:val="0"/>
      <w:marBottom w:val="0"/>
      <w:divBdr>
        <w:top w:val="none" w:sz="0" w:space="0" w:color="auto"/>
        <w:left w:val="none" w:sz="0" w:space="0" w:color="auto"/>
        <w:bottom w:val="none" w:sz="0" w:space="0" w:color="auto"/>
        <w:right w:val="none" w:sz="0" w:space="0" w:color="auto"/>
      </w:divBdr>
      <w:divsChild>
        <w:div w:id="175584706">
          <w:marLeft w:val="0"/>
          <w:marRight w:val="0"/>
          <w:marTop w:val="0"/>
          <w:marBottom w:val="0"/>
          <w:divBdr>
            <w:top w:val="none" w:sz="0" w:space="0" w:color="auto"/>
            <w:left w:val="none" w:sz="0" w:space="0" w:color="auto"/>
            <w:bottom w:val="none" w:sz="0" w:space="0" w:color="auto"/>
            <w:right w:val="none" w:sz="0" w:space="0" w:color="auto"/>
          </w:divBdr>
        </w:div>
        <w:div w:id="192307616">
          <w:marLeft w:val="0"/>
          <w:marRight w:val="0"/>
          <w:marTop w:val="0"/>
          <w:marBottom w:val="0"/>
          <w:divBdr>
            <w:top w:val="none" w:sz="0" w:space="0" w:color="auto"/>
            <w:left w:val="none" w:sz="0" w:space="0" w:color="auto"/>
            <w:bottom w:val="none" w:sz="0" w:space="0" w:color="auto"/>
            <w:right w:val="none" w:sz="0" w:space="0" w:color="auto"/>
          </w:divBdr>
        </w:div>
        <w:div w:id="196045882">
          <w:marLeft w:val="0"/>
          <w:marRight w:val="0"/>
          <w:marTop w:val="0"/>
          <w:marBottom w:val="0"/>
          <w:divBdr>
            <w:top w:val="none" w:sz="0" w:space="0" w:color="auto"/>
            <w:left w:val="none" w:sz="0" w:space="0" w:color="auto"/>
            <w:bottom w:val="none" w:sz="0" w:space="0" w:color="auto"/>
            <w:right w:val="none" w:sz="0" w:space="0" w:color="auto"/>
          </w:divBdr>
        </w:div>
        <w:div w:id="320551233">
          <w:marLeft w:val="0"/>
          <w:marRight w:val="0"/>
          <w:marTop w:val="0"/>
          <w:marBottom w:val="0"/>
          <w:divBdr>
            <w:top w:val="none" w:sz="0" w:space="0" w:color="auto"/>
            <w:left w:val="none" w:sz="0" w:space="0" w:color="auto"/>
            <w:bottom w:val="none" w:sz="0" w:space="0" w:color="auto"/>
            <w:right w:val="none" w:sz="0" w:space="0" w:color="auto"/>
          </w:divBdr>
        </w:div>
        <w:div w:id="322857492">
          <w:marLeft w:val="0"/>
          <w:marRight w:val="0"/>
          <w:marTop w:val="0"/>
          <w:marBottom w:val="0"/>
          <w:divBdr>
            <w:top w:val="none" w:sz="0" w:space="0" w:color="auto"/>
            <w:left w:val="none" w:sz="0" w:space="0" w:color="auto"/>
            <w:bottom w:val="none" w:sz="0" w:space="0" w:color="auto"/>
            <w:right w:val="none" w:sz="0" w:space="0" w:color="auto"/>
          </w:divBdr>
        </w:div>
        <w:div w:id="429156626">
          <w:marLeft w:val="0"/>
          <w:marRight w:val="0"/>
          <w:marTop w:val="0"/>
          <w:marBottom w:val="0"/>
          <w:divBdr>
            <w:top w:val="none" w:sz="0" w:space="0" w:color="auto"/>
            <w:left w:val="none" w:sz="0" w:space="0" w:color="auto"/>
            <w:bottom w:val="none" w:sz="0" w:space="0" w:color="auto"/>
            <w:right w:val="none" w:sz="0" w:space="0" w:color="auto"/>
          </w:divBdr>
        </w:div>
        <w:div w:id="503476367">
          <w:marLeft w:val="0"/>
          <w:marRight w:val="0"/>
          <w:marTop w:val="0"/>
          <w:marBottom w:val="0"/>
          <w:divBdr>
            <w:top w:val="none" w:sz="0" w:space="0" w:color="auto"/>
            <w:left w:val="none" w:sz="0" w:space="0" w:color="auto"/>
            <w:bottom w:val="none" w:sz="0" w:space="0" w:color="auto"/>
            <w:right w:val="none" w:sz="0" w:space="0" w:color="auto"/>
          </w:divBdr>
        </w:div>
        <w:div w:id="645819917">
          <w:marLeft w:val="0"/>
          <w:marRight w:val="0"/>
          <w:marTop w:val="0"/>
          <w:marBottom w:val="0"/>
          <w:divBdr>
            <w:top w:val="none" w:sz="0" w:space="0" w:color="auto"/>
            <w:left w:val="none" w:sz="0" w:space="0" w:color="auto"/>
            <w:bottom w:val="none" w:sz="0" w:space="0" w:color="auto"/>
            <w:right w:val="none" w:sz="0" w:space="0" w:color="auto"/>
          </w:divBdr>
        </w:div>
        <w:div w:id="1051003428">
          <w:marLeft w:val="0"/>
          <w:marRight w:val="0"/>
          <w:marTop w:val="0"/>
          <w:marBottom w:val="0"/>
          <w:divBdr>
            <w:top w:val="none" w:sz="0" w:space="0" w:color="auto"/>
            <w:left w:val="none" w:sz="0" w:space="0" w:color="auto"/>
            <w:bottom w:val="none" w:sz="0" w:space="0" w:color="auto"/>
            <w:right w:val="none" w:sz="0" w:space="0" w:color="auto"/>
          </w:divBdr>
        </w:div>
        <w:div w:id="1074931046">
          <w:marLeft w:val="0"/>
          <w:marRight w:val="0"/>
          <w:marTop w:val="0"/>
          <w:marBottom w:val="0"/>
          <w:divBdr>
            <w:top w:val="none" w:sz="0" w:space="0" w:color="auto"/>
            <w:left w:val="none" w:sz="0" w:space="0" w:color="auto"/>
            <w:bottom w:val="none" w:sz="0" w:space="0" w:color="auto"/>
            <w:right w:val="none" w:sz="0" w:space="0" w:color="auto"/>
          </w:divBdr>
        </w:div>
        <w:div w:id="1206672855">
          <w:marLeft w:val="0"/>
          <w:marRight w:val="0"/>
          <w:marTop w:val="0"/>
          <w:marBottom w:val="0"/>
          <w:divBdr>
            <w:top w:val="none" w:sz="0" w:space="0" w:color="auto"/>
            <w:left w:val="none" w:sz="0" w:space="0" w:color="auto"/>
            <w:bottom w:val="none" w:sz="0" w:space="0" w:color="auto"/>
            <w:right w:val="none" w:sz="0" w:space="0" w:color="auto"/>
          </w:divBdr>
        </w:div>
        <w:div w:id="1241595174">
          <w:marLeft w:val="0"/>
          <w:marRight w:val="0"/>
          <w:marTop w:val="0"/>
          <w:marBottom w:val="0"/>
          <w:divBdr>
            <w:top w:val="none" w:sz="0" w:space="0" w:color="auto"/>
            <w:left w:val="none" w:sz="0" w:space="0" w:color="auto"/>
            <w:bottom w:val="none" w:sz="0" w:space="0" w:color="auto"/>
            <w:right w:val="none" w:sz="0" w:space="0" w:color="auto"/>
          </w:divBdr>
        </w:div>
        <w:div w:id="1314868913">
          <w:marLeft w:val="0"/>
          <w:marRight w:val="0"/>
          <w:marTop w:val="0"/>
          <w:marBottom w:val="0"/>
          <w:divBdr>
            <w:top w:val="none" w:sz="0" w:space="0" w:color="auto"/>
            <w:left w:val="none" w:sz="0" w:space="0" w:color="auto"/>
            <w:bottom w:val="none" w:sz="0" w:space="0" w:color="auto"/>
            <w:right w:val="none" w:sz="0" w:space="0" w:color="auto"/>
          </w:divBdr>
        </w:div>
        <w:div w:id="1421564065">
          <w:marLeft w:val="0"/>
          <w:marRight w:val="0"/>
          <w:marTop w:val="0"/>
          <w:marBottom w:val="0"/>
          <w:divBdr>
            <w:top w:val="none" w:sz="0" w:space="0" w:color="auto"/>
            <w:left w:val="none" w:sz="0" w:space="0" w:color="auto"/>
            <w:bottom w:val="none" w:sz="0" w:space="0" w:color="auto"/>
            <w:right w:val="none" w:sz="0" w:space="0" w:color="auto"/>
          </w:divBdr>
        </w:div>
        <w:div w:id="1520925376">
          <w:marLeft w:val="0"/>
          <w:marRight w:val="0"/>
          <w:marTop w:val="0"/>
          <w:marBottom w:val="0"/>
          <w:divBdr>
            <w:top w:val="none" w:sz="0" w:space="0" w:color="auto"/>
            <w:left w:val="none" w:sz="0" w:space="0" w:color="auto"/>
            <w:bottom w:val="none" w:sz="0" w:space="0" w:color="auto"/>
            <w:right w:val="none" w:sz="0" w:space="0" w:color="auto"/>
          </w:divBdr>
        </w:div>
        <w:div w:id="1886330191">
          <w:marLeft w:val="0"/>
          <w:marRight w:val="0"/>
          <w:marTop w:val="0"/>
          <w:marBottom w:val="0"/>
          <w:divBdr>
            <w:top w:val="none" w:sz="0" w:space="0" w:color="auto"/>
            <w:left w:val="none" w:sz="0" w:space="0" w:color="auto"/>
            <w:bottom w:val="none" w:sz="0" w:space="0" w:color="auto"/>
            <w:right w:val="none" w:sz="0" w:space="0" w:color="auto"/>
          </w:divBdr>
        </w:div>
        <w:div w:id="1901163687">
          <w:marLeft w:val="0"/>
          <w:marRight w:val="0"/>
          <w:marTop w:val="0"/>
          <w:marBottom w:val="0"/>
          <w:divBdr>
            <w:top w:val="none" w:sz="0" w:space="0" w:color="auto"/>
            <w:left w:val="none" w:sz="0" w:space="0" w:color="auto"/>
            <w:bottom w:val="none" w:sz="0" w:space="0" w:color="auto"/>
            <w:right w:val="none" w:sz="0" w:space="0" w:color="auto"/>
          </w:divBdr>
        </w:div>
        <w:div w:id="1968513012">
          <w:marLeft w:val="0"/>
          <w:marRight w:val="0"/>
          <w:marTop w:val="0"/>
          <w:marBottom w:val="0"/>
          <w:divBdr>
            <w:top w:val="none" w:sz="0" w:space="0" w:color="auto"/>
            <w:left w:val="none" w:sz="0" w:space="0" w:color="auto"/>
            <w:bottom w:val="none" w:sz="0" w:space="0" w:color="auto"/>
            <w:right w:val="none" w:sz="0" w:space="0" w:color="auto"/>
          </w:divBdr>
        </w:div>
        <w:div w:id="2067534038">
          <w:marLeft w:val="0"/>
          <w:marRight w:val="0"/>
          <w:marTop w:val="0"/>
          <w:marBottom w:val="0"/>
          <w:divBdr>
            <w:top w:val="none" w:sz="0" w:space="0" w:color="auto"/>
            <w:left w:val="none" w:sz="0" w:space="0" w:color="auto"/>
            <w:bottom w:val="none" w:sz="0" w:space="0" w:color="auto"/>
            <w:right w:val="none" w:sz="0" w:space="0" w:color="auto"/>
          </w:divBdr>
        </w:div>
      </w:divsChild>
    </w:div>
    <w:div w:id="1925338014">
      <w:bodyDiv w:val="1"/>
      <w:marLeft w:val="0"/>
      <w:marRight w:val="0"/>
      <w:marTop w:val="0"/>
      <w:marBottom w:val="0"/>
      <w:divBdr>
        <w:top w:val="none" w:sz="0" w:space="0" w:color="auto"/>
        <w:left w:val="none" w:sz="0" w:space="0" w:color="auto"/>
        <w:bottom w:val="none" w:sz="0" w:space="0" w:color="auto"/>
        <w:right w:val="none" w:sz="0" w:space="0" w:color="auto"/>
      </w:divBdr>
    </w:div>
    <w:div w:id="1928882930">
      <w:bodyDiv w:val="1"/>
      <w:marLeft w:val="0"/>
      <w:marRight w:val="0"/>
      <w:marTop w:val="0"/>
      <w:marBottom w:val="0"/>
      <w:divBdr>
        <w:top w:val="none" w:sz="0" w:space="0" w:color="auto"/>
        <w:left w:val="none" w:sz="0" w:space="0" w:color="auto"/>
        <w:bottom w:val="none" w:sz="0" w:space="0" w:color="auto"/>
        <w:right w:val="none" w:sz="0" w:space="0" w:color="auto"/>
      </w:divBdr>
      <w:divsChild>
        <w:div w:id="88742526">
          <w:marLeft w:val="0"/>
          <w:marRight w:val="0"/>
          <w:marTop w:val="0"/>
          <w:marBottom w:val="0"/>
          <w:divBdr>
            <w:top w:val="none" w:sz="0" w:space="0" w:color="auto"/>
            <w:left w:val="none" w:sz="0" w:space="0" w:color="auto"/>
            <w:bottom w:val="none" w:sz="0" w:space="0" w:color="auto"/>
            <w:right w:val="none" w:sz="0" w:space="0" w:color="auto"/>
          </w:divBdr>
        </w:div>
        <w:div w:id="199175291">
          <w:marLeft w:val="0"/>
          <w:marRight w:val="0"/>
          <w:marTop w:val="0"/>
          <w:marBottom w:val="0"/>
          <w:divBdr>
            <w:top w:val="none" w:sz="0" w:space="0" w:color="auto"/>
            <w:left w:val="none" w:sz="0" w:space="0" w:color="auto"/>
            <w:bottom w:val="none" w:sz="0" w:space="0" w:color="auto"/>
            <w:right w:val="none" w:sz="0" w:space="0" w:color="auto"/>
          </w:divBdr>
        </w:div>
        <w:div w:id="288173804">
          <w:marLeft w:val="0"/>
          <w:marRight w:val="0"/>
          <w:marTop w:val="0"/>
          <w:marBottom w:val="0"/>
          <w:divBdr>
            <w:top w:val="none" w:sz="0" w:space="0" w:color="auto"/>
            <w:left w:val="none" w:sz="0" w:space="0" w:color="auto"/>
            <w:bottom w:val="none" w:sz="0" w:space="0" w:color="auto"/>
            <w:right w:val="none" w:sz="0" w:space="0" w:color="auto"/>
          </w:divBdr>
        </w:div>
        <w:div w:id="610363262">
          <w:marLeft w:val="0"/>
          <w:marRight w:val="0"/>
          <w:marTop w:val="0"/>
          <w:marBottom w:val="0"/>
          <w:divBdr>
            <w:top w:val="none" w:sz="0" w:space="0" w:color="auto"/>
            <w:left w:val="none" w:sz="0" w:space="0" w:color="auto"/>
            <w:bottom w:val="none" w:sz="0" w:space="0" w:color="auto"/>
            <w:right w:val="none" w:sz="0" w:space="0" w:color="auto"/>
          </w:divBdr>
        </w:div>
        <w:div w:id="1821574218">
          <w:marLeft w:val="0"/>
          <w:marRight w:val="0"/>
          <w:marTop w:val="0"/>
          <w:marBottom w:val="0"/>
          <w:divBdr>
            <w:top w:val="none" w:sz="0" w:space="0" w:color="auto"/>
            <w:left w:val="none" w:sz="0" w:space="0" w:color="auto"/>
            <w:bottom w:val="none" w:sz="0" w:space="0" w:color="auto"/>
            <w:right w:val="none" w:sz="0" w:space="0" w:color="auto"/>
          </w:divBdr>
        </w:div>
      </w:divsChild>
    </w:div>
    <w:div w:id="1997417334">
      <w:bodyDiv w:val="1"/>
      <w:marLeft w:val="0"/>
      <w:marRight w:val="0"/>
      <w:marTop w:val="0"/>
      <w:marBottom w:val="0"/>
      <w:divBdr>
        <w:top w:val="none" w:sz="0" w:space="0" w:color="auto"/>
        <w:left w:val="none" w:sz="0" w:space="0" w:color="auto"/>
        <w:bottom w:val="none" w:sz="0" w:space="0" w:color="auto"/>
        <w:right w:val="none" w:sz="0" w:space="0" w:color="auto"/>
      </w:divBdr>
    </w:div>
    <w:div w:id="2047102340">
      <w:bodyDiv w:val="1"/>
      <w:marLeft w:val="0"/>
      <w:marRight w:val="0"/>
      <w:marTop w:val="0"/>
      <w:marBottom w:val="0"/>
      <w:divBdr>
        <w:top w:val="none" w:sz="0" w:space="0" w:color="auto"/>
        <w:left w:val="none" w:sz="0" w:space="0" w:color="auto"/>
        <w:bottom w:val="none" w:sz="0" w:space="0" w:color="auto"/>
        <w:right w:val="none" w:sz="0" w:space="0" w:color="auto"/>
      </w:divBdr>
    </w:div>
    <w:div w:id="2055348769">
      <w:bodyDiv w:val="1"/>
      <w:marLeft w:val="0"/>
      <w:marRight w:val="0"/>
      <w:marTop w:val="0"/>
      <w:marBottom w:val="0"/>
      <w:divBdr>
        <w:top w:val="none" w:sz="0" w:space="0" w:color="auto"/>
        <w:left w:val="none" w:sz="0" w:space="0" w:color="auto"/>
        <w:bottom w:val="none" w:sz="0" w:space="0" w:color="auto"/>
        <w:right w:val="none" w:sz="0" w:space="0" w:color="auto"/>
      </w:divBdr>
    </w:div>
    <w:div w:id="2070424169">
      <w:bodyDiv w:val="1"/>
      <w:marLeft w:val="0"/>
      <w:marRight w:val="0"/>
      <w:marTop w:val="0"/>
      <w:marBottom w:val="0"/>
      <w:divBdr>
        <w:top w:val="none" w:sz="0" w:space="0" w:color="auto"/>
        <w:left w:val="none" w:sz="0" w:space="0" w:color="auto"/>
        <w:bottom w:val="none" w:sz="0" w:space="0" w:color="auto"/>
        <w:right w:val="none" w:sz="0" w:space="0" w:color="auto"/>
      </w:divBdr>
    </w:div>
    <w:div w:id="2145459339">
      <w:bodyDiv w:val="1"/>
      <w:marLeft w:val="0"/>
      <w:marRight w:val="0"/>
      <w:marTop w:val="0"/>
      <w:marBottom w:val="0"/>
      <w:divBdr>
        <w:top w:val="none" w:sz="0" w:space="0" w:color="auto"/>
        <w:left w:val="none" w:sz="0" w:space="0" w:color="auto"/>
        <w:bottom w:val="none" w:sz="0" w:space="0" w:color="auto"/>
        <w:right w:val="none" w:sz="0" w:space="0" w:color="auto"/>
      </w:divBdr>
      <w:divsChild>
        <w:div w:id="871383001">
          <w:marLeft w:val="0"/>
          <w:marRight w:val="0"/>
          <w:marTop w:val="0"/>
          <w:marBottom w:val="0"/>
          <w:divBdr>
            <w:top w:val="none" w:sz="0" w:space="0" w:color="auto"/>
            <w:left w:val="none" w:sz="0" w:space="0" w:color="auto"/>
            <w:bottom w:val="none" w:sz="0" w:space="0" w:color="auto"/>
            <w:right w:val="none" w:sz="0" w:space="0" w:color="auto"/>
          </w:divBdr>
          <w:divsChild>
            <w:div w:id="817264336">
              <w:marLeft w:val="0"/>
              <w:marRight w:val="0"/>
              <w:marTop w:val="0"/>
              <w:marBottom w:val="0"/>
              <w:divBdr>
                <w:top w:val="none" w:sz="0" w:space="0" w:color="auto"/>
                <w:left w:val="none" w:sz="0" w:space="0" w:color="auto"/>
                <w:bottom w:val="none" w:sz="0" w:space="0" w:color="auto"/>
                <w:right w:val="none" w:sz="0" w:space="0" w:color="auto"/>
              </w:divBdr>
              <w:divsChild>
                <w:div w:id="1345206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_La_Cruz\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10ECAF-AEAA-4157-A3ED-F2C2346D5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19</Pages>
  <Words>8841</Words>
  <Characters>50399</Characters>
  <Application>Microsoft Office Word</Application>
  <DocSecurity>0</DocSecurity>
  <Lines>419</Lines>
  <Paragraphs>118</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United Nations</vt:lpstr>
      <vt:lpstr>United Nations</vt:lpstr>
    </vt:vector>
  </TitlesOfParts>
  <Company>CSD</Company>
  <LinksUpToDate>false</LinksUpToDate>
  <CharactersWithSpaces>59122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subject/>
  <dc:creator>De_La_Cruz</dc:creator>
  <cp:keywords/>
  <cp:lastModifiedBy>Fiona Marshall</cp:lastModifiedBy>
  <cp:revision>2</cp:revision>
  <cp:lastPrinted>2021-06-12T15:07:00Z</cp:lastPrinted>
  <dcterms:created xsi:type="dcterms:W3CDTF">2021-06-14T21:39:00Z</dcterms:created>
  <dcterms:modified xsi:type="dcterms:W3CDTF">2021-06-14T21:39:00Z</dcterms:modified>
</cp:coreProperties>
</file>